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8B82">
      <w:pPr>
        <w:snapToGrid w:val="0"/>
        <w:spacing w:line="360" w:lineRule="auto"/>
        <w:rPr>
          <w:rFonts w:hint="eastAsia" w:ascii="黑体" w:hAnsi="宋体" w:eastAsia="黑体" w:cs="楷体_GB2312"/>
          <w:color w:val="auto"/>
          <w:w w:val="90"/>
          <w:sz w:val="44"/>
          <w:szCs w:val="44"/>
          <w:highlight w:val="none"/>
          <w:lang w:eastAsia="zh-CN"/>
        </w:rPr>
      </w:pPr>
    </w:p>
    <w:p w14:paraId="4D10D934">
      <w:pPr>
        <w:snapToGrid w:val="0"/>
        <w:spacing w:line="360" w:lineRule="auto"/>
        <w:jc w:val="center"/>
        <w:rPr>
          <w:rFonts w:hint="eastAsia" w:ascii="黑体" w:hAnsi="宋体" w:eastAsia="黑体" w:cs="楷体_GB2312"/>
          <w:color w:val="auto"/>
          <w:w w:val="90"/>
          <w:sz w:val="44"/>
          <w:szCs w:val="44"/>
          <w:highlight w:val="none"/>
          <w:lang w:eastAsia="zh-CN"/>
        </w:rPr>
      </w:pPr>
      <w:r>
        <w:rPr>
          <w:rFonts w:hint="eastAsia" w:ascii="黑体" w:hAnsi="宋体" w:eastAsia="黑体" w:cs="楷体_GB2312"/>
          <w:color w:val="auto"/>
          <w:w w:val="90"/>
          <w:sz w:val="44"/>
          <w:szCs w:val="44"/>
          <w:highlight w:val="none"/>
          <w:lang w:eastAsia="zh-CN"/>
        </w:rPr>
        <w:t>中国财税博物馆2024-2027年保安及物业管理服务采购项目</w:t>
      </w:r>
    </w:p>
    <w:p w14:paraId="5DF97EE1">
      <w:pPr>
        <w:jc w:val="center"/>
        <w:rPr>
          <w:rFonts w:ascii="宋体" w:hAnsi="宋体"/>
          <w:b/>
          <w:color w:val="auto"/>
          <w:szCs w:val="84"/>
          <w:highlight w:val="none"/>
        </w:rPr>
      </w:pPr>
    </w:p>
    <w:p w14:paraId="0F7D397A">
      <w:pPr>
        <w:jc w:val="center"/>
        <w:rPr>
          <w:rFonts w:ascii="宋体" w:hAnsi="宋体"/>
          <w:b/>
          <w:color w:val="auto"/>
          <w:szCs w:val="84"/>
          <w:highlight w:val="none"/>
        </w:rPr>
      </w:pPr>
    </w:p>
    <w:p w14:paraId="0B7D9C60">
      <w:pPr>
        <w:jc w:val="center"/>
        <w:rPr>
          <w:rFonts w:ascii="宋体" w:hAnsi="宋体"/>
          <w:b/>
          <w:color w:val="auto"/>
          <w:szCs w:val="84"/>
          <w:highlight w:val="none"/>
        </w:rPr>
      </w:pPr>
    </w:p>
    <w:p w14:paraId="0DBC8FB7">
      <w:pPr>
        <w:spacing w:line="360" w:lineRule="auto"/>
        <w:jc w:val="center"/>
        <w:rPr>
          <w:rFonts w:ascii="宋体" w:hAnsi="宋体"/>
          <w:b/>
          <w:color w:val="auto"/>
          <w:sz w:val="84"/>
          <w:szCs w:val="84"/>
          <w:highlight w:val="none"/>
        </w:rPr>
      </w:pPr>
      <w:r>
        <w:rPr>
          <w:rFonts w:hint="eastAsia" w:ascii="黑体" w:hAnsi="宋体" w:eastAsia="黑体" w:cs="Angsana New"/>
          <w:color w:val="auto"/>
          <w:spacing w:val="40"/>
          <w:w w:val="80"/>
          <w:sz w:val="96"/>
          <w:szCs w:val="96"/>
          <w:highlight w:val="none"/>
          <w:lang w:bidi="th-TH"/>
        </w:rPr>
        <w:t>招 标 文 件</w:t>
      </w:r>
    </w:p>
    <w:p w14:paraId="22BB7371">
      <w:pPr>
        <w:jc w:val="center"/>
        <w:rPr>
          <w:rFonts w:ascii="宋体" w:hAnsi="宋体"/>
          <w:b/>
          <w:color w:val="auto"/>
          <w:szCs w:val="84"/>
          <w:highlight w:val="none"/>
        </w:rPr>
      </w:pPr>
    </w:p>
    <w:p w14:paraId="6425D6F8">
      <w:pPr>
        <w:jc w:val="center"/>
        <w:rPr>
          <w:rFonts w:ascii="宋体" w:hAnsi="宋体"/>
          <w:b/>
          <w:color w:val="auto"/>
          <w:szCs w:val="84"/>
          <w:highlight w:val="none"/>
        </w:rPr>
      </w:pPr>
    </w:p>
    <w:p w14:paraId="359966F7">
      <w:pPr>
        <w:spacing w:line="360" w:lineRule="auto"/>
        <w:jc w:val="center"/>
        <w:rPr>
          <w:rFonts w:hint="eastAsia" w:ascii="宋体" w:hAnsi="宋体" w:eastAsia="宋体" w:cs="Angsana New"/>
          <w:b/>
          <w:bCs/>
          <w:color w:val="auto"/>
          <w:w w:val="80"/>
          <w:sz w:val="36"/>
          <w:szCs w:val="36"/>
          <w:highlight w:val="none"/>
          <w:lang w:eastAsia="zh-CN" w:bidi="th-TH"/>
        </w:rPr>
      </w:pPr>
      <w:r>
        <w:rPr>
          <w:rFonts w:hint="eastAsia" w:ascii="宋体" w:hAnsi="宋体" w:cs="Angsana New"/>
          <w:b/>
          <w:bCs/>
          <w:color w:val="auto"/>
          <w:w w:val="80"/>
          <w:sz w:val="36"/>
          <w:szCs w:val="36"/>
          <w:highlight w:val="none"/>
          <w:lang w:bidi="th-TH"/>
        </w:rPr>
        <w:t>招标编号：ZJ-</w:t>
      </w:r>
      <w:r>
        <w:rPr>
          <w:rFonts w:hint="eastAsia" w:ascii="宋体" w:hAnsi="宋体" w:cs="Angsana New"/>
          <w:b/>
          <w:bCs/>
          <w:color w:val="auto"/>
          <w:w w:val="80"/>
          <w:sz w:val="36"/>
          <w:szCs w:val="36"/>
          <w:highlight w:val="none"/>
          <w:lang w:eastAsia="zh-CN" w:bidi="th-TH"/>
        </w:rPr>
        <w:t>2412844</w:t>
      </w:r>
    </w:p>
    <w:p w14:paraId="22FD58E8">
      <w:pPr>
        <w:pStyle w:val="28"/>
        <w:ind w:left="5250"/>
        <w:rPr>
          <w:rFonts w:ascii="宋体" w:hAnsi="宋体"/>
          <w:color w:val="auto"/>
          <w:szCs w:val="28"/>
          <w:highlight w:val="none"/>
        </w:rPr>
      </w:pPr>
    </w:p>
    <w:p w14:paraId="1F5D6C94">
      <w:pPr>
        <w:rPr>
          <w:rFonts w:ascii="宋体" w:hAnsi="宋体"/>
          <w:b/>
          <w:color w:val="auto"/>
          <w:highlight w:val="none"/>
        </w:rPr>
      </w:pPr>
    </w:p>
    <w:p w14:paraId="444FA6CE">
      <w:pPr>
        <w:rPr>
          <w:rFonts w:ascii="宋体" w:hAnsi="宋体"/>
          <w:b/>
          <w:color w:val="auto"/>
          <w:highlight w:val="none"/>
        </w:rPr>
      </w:pPr>
    </w:p>
    <w:p w14:paraId="0EE5FE4B">
      <w:pPr>
        <w:rPr>
          <w:rFonts w:ascii="宋体" w:hAnsi="宋体"/>
          <w:b/>
          <w:color w:val="auto"/>
          <w:highlight w:val="none"/>
        </w:rPr>
      </w:pPr>
    </w:p>
    <w:p w14:paraId="3610F59A">
      <w:pPr>
        <w:rPr>
          <w:rFonts w:ascii="宋体" w:hAnsi="宋体"/>
          <w:b/>
          <w:color w:val="auto"/>
          <w:highlight w:val="none"/>
        </w:rPr>
      </w:pPr>
    </w:p>
    <w:p w14:paraId="55EA9B2D">
      <w:pPr>
        <w:rPr>
          <w:rFonts w:ascii="宋体" w:hAnsi="宋体"/>
          <w:b/>
          <w:color w:val="auto"/>
          <w:highlight w:val="none"/>
        </w:rPr>
      </w:pPr>
    </w:p>
    <w:p w14:paraId="31B80CA2">
      <w:pPr>
        <w:rPr>
          <w:rFonts w:ascii="宋体" w:hAnsi="宋体"/>
          <w:b/>
          <w:color w:val="auto"/>
          <w:highlight w:val="none"/>
        </w:rPr>
      </w:pPr>
    </w:p>
    <w:p w14:paraId="3F08582C">
      <w:pPr>
        <w:rPr>
          <w:rFonts w:ascii="宋体" w:hAnsi="宋体"/>
          <w:b/>
          <w:color w:val="auto"/>
          <w:highlight w:val="none"/>
        </w:rPr>
      </w:pPr>
    </w:p>
    <w:p w14:paraId="7C205D75">
      <w:pPr>
        <w:rPr>
          <w:rFonts w:ascii="宋体" w:hAnsi="宋体"/>
          <w:b/>
          <w:color w:val="auto"/>
          <w:highlight w:val="none"/>
        </w:rPr>
      </w:pPr>
    </w:p>
    <w:p w14:paraId="4DBCC233">
      <w:pPr>
        <w:rPr>
          <w:rFonts w:ascii="宋体" w:hAnsi="宋体"/>
          <w:b/>
          <w:color w:val="auto"/>
          <w:highlight w:val="none"/>
        </w:rPr>
      </w:pPr>
    </w:p>
    <w:p w14:paraId="3DAF56AD">
      <w:pPr>
        <w:rPr>
          <w:rFonts w:ascii="宋体" w:hAnsi="宋体"/>
          <w:b/>
          <w:color w:val="auto"/>
          <w:highlight w:val="none"/>
        </w:rPr>
      </w:pPr>
    </w:p>
    <w:tbl>
      <w:tblPr>
        <w:tblStyle w:val="45"/>
        <w:tblW w:w="7337" w:type="dxa"/>
        <w:jc w:val="center"/>
        <w:tblLayout w:type="fixed"/>
        <w:tblCellMar>
          <w:top w:w="0" w:type="dxa"/>
          <w:left w:w="108" w:type="dxa"/>
          <w:bottom w:w="0" w:type="dxa"/>
          <w:right w:w="108" w:type="dxa"/>
        </w:tblCellMar>
      </w:tblPr>
      <w:tblGrid>
        <w:gridCol w:w="2032"/>
        <w:gridCol w:w="516"/>
        <w:gridCol w:w="4789"/>
      </w:tblGrid>
      <w:tr w14:paraId="7D976736">
        <w:tblPrEx>
          <w:tblCellMar>
            <w:top w:w="0" w:type="dxa"/>
            <w:left w:w="108" w:type="dxa"/>
            <w:bottom w:w="0" w:type="dxa"/>
            <w:right w:w="108" w:type="dxa"/>
          </w:tblCellMar>
        </w:tblPrEx>
        <w:trPr>
          <w:trHeight w:val="680" w:hRule="atLeast"/>
          <w:jc w:val="center"/>
        </w:trPr>
        <w:tc>
          <w:tcPr>
            <w:tcW w:w="2032" w:type="dxa"/>
            <w:vAlign w:val="center"/>
          </w:tcPr>
          <w:p w14:paraId="23CBB061">
            <w:pPr>
              <w:snapToGrid w:val="0"/>
              <w:jc w:val="distribute"/>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采购人</w:t>
            </w:r>
          </w:p>
        </w:tc>
        <w:tc>
          <w:tcPr>
            <w:tcW w:w="516" w:type="dxa"/>
            <w:vAlign w:val="center"/>
          </w:tcPr>
          <w:p w14:paraId="23D0E0C5">
            <w:pPr>
              <w:snapToGrid w:val="0"/>
              <w:jc w:val="distribute"/>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w:t>
            </w:r>
          </w:p>
        </w:tc>
        <w:tc>
          <w:tcPr>
            <w:tcW w:w="4789" w:type="dxa"/>
            <w:vAlign w:val="center"/>
          </w:tcPr>
          <w:p w14:paraId="751B2E79">
            <w:pPr>
              <w:snapToGrid w:val="0"/>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中国财税博物馆</w:t>
            </w:r>
          </w:p>
        </w:tc>
      </w:tr>
      <w:tr w14:paraId="1F0C0A63">
        <w:tblPrEx>
          <w:tblCellMar>
            <w:top w:w="0" w:type="dxa"/>
            <w:left w:w="108" w:type="dxa"/>
            <w:bottom w:w="0" w:type="dxa"/>
            <w:right w:w="108" w:type="dxa"/>
          </w:tblCellMar>
        </w:tblPrEx>
        <w:trPr>
          <w:trHeight w:val="297" w:hRule="atLeast"/>
          <w:jc w:val="center"/>
        </w:trPr>
        <w:tc>
          <w:tcPr>
            <w:tcW w:w="2032" w:type="dxa"/>
            <w:vAlign w:val="center"/>
          </w:tcPr>
          <w:p w14:paraId="6C8AA6BB">
            <w:pPr>
              <w:snapToGrid w:val="0"/>
              <w:jc w:val="distribute"/>
              <w:rPr>
                <w:rFonts w:ascii="黑体" w:hAnsi="Courier New" w:eastAsia="黑体" w:cs="Courier New"/>
                <w:color w:val="auto"/>
                <w:szCs w:val="21"/>
                <w:highlight w:val="none"/>
              </w:rPr>
            </w:pPr>
          </w:p>
        </w:tc>
        <w:tc>
          <w:tcPr>
            <w:tcW w:w="516" w:type="dxa"/>
            <w:vAlign w:val="center"/>
          </w:tcPr>
          <w:p w14:paraId="2A2DBDA7">
            <w:pPr>
              <w:snapToGrid w:val="0"/>
              <w:jc w:val="distribute"/>
              <w:rPr>
                <w:rFonts w:ascii="黑体" w:hAnsi="Courier New" w:eastAsia="黑体" w:cs="Courier New"/>
                <w:color w:val="auto"/>
                <w:szCs w:val="21"/>
                <w:highlight w:val="none"/>
              </w:rPr>
            </w:pPr>
          </w:p>
        </w:tc>
        <w:tc>
          <w:tcPr>
            <w:tcW w:w="4789" w:type="dxa"/>
            <w:vAlign w:val="center"/>
          </w:tcPr>
          <w:p w14:paraId="51000E53">
            <w:pPr>
              <w:snapToGrid w:val="0"/>
              <w:jc w:val="distribute"/>
              <w:rPr>
                <w:rFonts w:ascii="黑体" w:hAnsi="Courier New" w:eastAsia="黑体" w:cs="Courier New"/>
                <w:color w:val="auto"/>
                <w:szCs w:val="21"/>
                <w:highlight w:val="none"/>
              </w:rPr>
            </w:pPr>
          </w:p>
        </w:tc>
      </w:tr>
      <w:tr w14:paraId="2AD919D0">
        <w:tblPrEx>
          <w:tblCellMar>
            <w:top w:w="0" w:type="dxa"/>
            <w:left w:w="108" w:type="dxa"/>
            <w:bottom w:w="0" w:type="dxa"/>
            <w:right w:w="108" w:type="dxa"/>
          </w:tblCellMar>
        </w:tblPrEx>
        <w:trPr>
          <w:trHeight w:val="680" w:hRule="atLeast"/>
          <w:jc w:val="center"/>
        </w:trPr>
        <w:tc>
          <w:tcPr>
            <w:tcW w:w="2032" w:type="dxa"/>
            <w:vAlign w:val="center"/>
          </w:tcPr>
          <w:p w14:paraId="4418A3E1">
            <w:pPr>
              <w:snapToGrid w:val="0"/>
              <w:jc w:val="distribute"/>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采购代理机构</w:t>
            </w:r>
          </w:p>
        </w:tc>
        <w:tc>
          <w:tcPr>
            <w:tcW w:w="516" w:type="dxa"/>
            <w:vAlign w:val="center"/>
          </w:tcPr>
          <w:p w14:paraId="0DB456FA">
            <w:pPr>
              <w:snapToGrid w:val="0"/>
              <w:jc w:val="distribute"/>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w:t>
            </w:r>
          </w:p>
        </w:tc>
        <w:tc>
          <w:tcPr>
            <w:tcW w:w="4789" w:type="dxa"/>
            <w:vAlign w:val="center"/>
          </w:tcPr>
          <w:p w14:paraId="58080347">
            <w:pPr>
              <w:snapToGrid w:val="0"/>
              <w:jc w:val="distribute"/>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浙江国际招投标有限公司</w:t>
            </w:r>
          </w:p>
        </w:tc>
      </w:tr>
      <w:tr w14:paraId="663CEA21">
        <w:tblPrEx>
          <w:tblCellMar>
            <w:top w:w="0" w:type="dxa"/>
            <w:left w:w="108" w:type="dxa"/>
            <w:bottom w:w="0" w:type="dxa"/>
            <w:right w:w="108" w:type="dxa"/>
          </w:tblCellMar>
        </w:tblPrEx>
        <w:trPr>
          <w:trHeight w:val="680" w:hRule="atLeast"/>
          <w:jc w:val="center"/>
        </w:trPr>
        <w:tc>
          <w:tcPr>
            <w:tcW w:w="7337" w:type="dxa"/>
            <w:gridSpan w:val="3"/>
            <w:vAlign w:val="bottom"/>
          </w:tcPr>
          <w:p w14:paraId="07B862DD">
            <w:pPr>
              <w:snapToGrid w:val="0"/>
              <w:jc w:val="center"/>
              <w:rPr>
                <w:rFonts w:ascii="黑体" w:hAnsi="Courier New" w:eastAsia="黑体" w:cs="Courier New"/>
                <w:color w:val="auto"/>
                <w:sz w:val="30"/>
                <w:szCs w:val="30"/>
                <w:highlight w:val="none"/>
              </w:rPr>
            </w:pPr>
            <w:r>
              <w:rPr>
                <w:rFonts w:hint="eastAsia" w:ascii="黑体" w:hAnsi="Courier New" w:eastAsia="黑体" w:cs="Courier New"/>
                <w:color w:val="auto"/>
                <w:sz w:val="30"/>
                <w:szCs w:val="30"/>
                <w:highlight w:val="none"/>
              </w:rPr>
              <w:t>202</w:t>
            </w:r>
            <w:r>
              <w:rPr>
                <w:rFonts w:hint="eastAsia" w:ascii="黑体" w:hAnsi="Courier New" w:eastAsia="黑体" w:cs="Courier New"/>
                <w:color w:val="auto"/>
                <w:sz w:val="30"/>
                <w:szCs w:val="30"/>
                <w:highlight w:val="none"/>
                <w:lang w:val="en-US" w:eastAsia="zh-CN"/>
              </w:rPr>
              <w:t>4</w:t>
            </w:r>
            <w:r>
              <w:rPr>
                <w:rFonts w:hint="eastAsia" w:ascii="黑体" w:hAnsi="Courier New" w:eastAsia="黑体" w:cs="Courier New"/>
                <w:color w:val="auto"/>
                <w:sz w:val="30"/>
                <w:szCs w:val="30"/>
                <w:highlight w:val="none"/>
              </w:rPr>
              <w:t>年</w:t>
            </w:r>
            <w:r>
              <w:rPr>
                <w:rFonts w:hint="eastAsia" w:ascii="黑体" w:hAnsi="Courier New" w:eastAsia="黑体" w:cs="Courier New"/>
                <w:color w:val="auto"/>
                <w:sz w:val="30"/>
                <w:szCs w:val="30"/>
                <w:highlight w:val="none"/>
                <w:lang w:val="en-US" w:eastAsia="zh-CN"/>
              </w:rPr>
              <w:t>10</w:t>
            </w:r>
            <w:r>
              <w:rPr>
                <w:rFonts w:hint="eastAsia" w:ascii="黑体" w:hAnsi="Courier New" w:eastAsia="黑体" w:cs="Courier New"/>
                <w:color w:val="auto"/>
                <w:sz w:val="30"/>
                <w:szCs w:val="30"/>
                <w:highlight w:val="none"/>
              </w:rPr>
              <w:t>月</w:t>
            </w:r>
          </w:p>
        </w:tc>
      </w:tr>
    </w:tbl>
    <w:p w14:paraId="091B5B3F">
      <w:pPr>
        <w:pStyle w:val="26"/>
        <w:spacing w:line="360" w:lineRule="auto"/>
        <w:jc w:val="center"/>
        <w:rPr>
          <w:rFonts w:ascii="宋体" w:hAnsi="宋体" w:eastAsia="宋体" w:cs="宋体"/>
          <w:b/>
          <w:color w:val="auto"/>
          <w:sz w:val="28"/>
          <w:szCs w:val="28"/>
          <w:highlight w:val="none"/>
        </w:rPr>
      </w:pPr>
      <w:r>
        <w:rPr>
          <w:rFonts w:ascii="宋体" w:hAnsi="宋体"/>
          <w:b/>
          <w:color w:val="auto"/>
          <w:sz w:val="48"/>
          <w:szCs w:val="48"/>
          <w:highlight w:val="none"/>
        </w:rPr>
        <w:br w:type="page"/>
      </w:r>
      <w:r>
        <w:rPr>
          <w:rFonts w:hint="eastAsia" w:ascii="宋体" w:hAnsi="宋体" w:eastAsia="宋体" w:cs="宋体"/>
          <w:b/>
          <w:color w:val="auto"/>
          <w:sz w:val="28"/>
          <w:szCs w:val="28"/>
          <w:highlight w:val="none"/>
        </w:rPr>
        <w:t>目    录</w:t>
      </w:r>
    </w:p>
    <w:p w14:paraId="16BB34A3">
      <w:pPr>
        <w:pStyle w:val="34"/>
        <w:tabs>
          <w:tab w:val="right" w:leader="dot" w:pos="8730"/>
          <w:tab w:val="clear" w:pos="8720"/>
        </w:tabs>
        <w:rPr>
          <w:rFonts w:hint="eastAsia" w:ascii="宋体" w:hAnsi="宋体" w:eastAsia="宋体" w:cs="宋体"/>
          <w:color w:val="auto"/>
          <w:highlight w:val="none"/>
        </w:rPr>
      </w:pPr>
      <w:r>
        <w:rPr>
          <w:rFonts w:hint="eastAsia" w:ascii="宋体" w:hAnsi="宋体" w:cs="宋体"/>
          <w:b/>
          <w:caps w:val="0"/>
          <w:color w:val="auto"/>
          <w:sz w:val="21"/>
          <w:szCs w:val="21"/>
          <w:highlight w:val="none"/>
        </w:rPr>
        <w:fldChar w:fldCharType="begin"/>
      </w:r>
      <w:r>
        <w:rPr>
          <w:rFonts w:hint="eastAsia" w:ascii="宋体" w:hAnsi="宋体" w:cs="宋体"/>
          <w:b/>
          <w:caps w:val="0"/>
          <w:color w:val="auto"/>
          <w:sz w:val="21"/>
          <w:szCs w:val="21"/>
          <w:highlight w:val="none"/>
        </w:rPr>
        <w:instrText xml:space="preserve"> TOC \o "1-2" \u </w:instrText>
      </w:r>
      <w:r>
        <w:rPr>
          <w:rFonts w:hint="eastAsia" w:ascii="宋体" w:hAnsi="宋体" w:cs="宋体"/>
          <w:b/>
          <w:caps w:val="0"/>
          <w:color w:val="auto"/>
          <w:sz w:val="21"/>
          <w:szCs w:val="21"/>
          <w:highlight w:val="none"/>
        </w:rPr>
        <w:fldChar w:fldCharType="separate"/>
      </w:r>
      <w:r>
        <w:rPr>
          <w:rFonts w:hint="eastAsia" w:ascii="宋体" w:hAnsi="宋体" w:eastAsia="宋体" w:cs="宋体"/>
          <w:color w:val="auto"/>
          <w:szCs w:val="30"/>
          <w:highlight w:val="none"/>
        </w:rPr>
        <w:t>第一部分  公开招标公告</w:t>
      </w:r>
      <w:r>
        <w:rPr>
          <w:rFonts w:hint="eastAsia" w:ascii="宋体" w:hAnsi="宋体" w:eastAsia="宋体" w:cs="宋体"/>
          <w:color w:val="auto"/>
          <w:highlight w:val="none"/>
        </w:rPr>
        <w:tab/>
      </w:r>
      <w:r>
        <w:rPr>
          <w:rFonts w:hint="eastAsia" w:ascii="宋体" w:hAnsi="宋体" w:eastAsia="宋体" w:cs="宋体"/>
          <w:color w:val="auto"/>
          <w:highlight w:val="none"/>
        </w:rPr>
        <w:t>2</w:t>
      </w:r>
    </w:p>
    <w:p w14:paraId="13B4BEBE">
      <w:pPr>
        <w:pStyle w:val="34"/>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30"/>
          <w:highlight w:val="none"/>
        </w:rPr>
        <w:t>第二部分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p>
    <w:p w14:paraId="2FF241BB">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p>
    <w:p w14:paraId="783620F1">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p>
    <w:p w14:paraId="4E98F477">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p>
    <w:p w14:paraId="6D40F3EA">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p>
    <w:p w14:paraId="5380B3E4">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_Toc27759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p>
    <w:p w14:paraId="0ADFB22A">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21"/>
          <w:highlight w:val="none"/>
        </w:rPr>
        <w:t>六、确定中标人及授予合同</w:t>
      </w:r>
      <w:r>
        <w:rPr>
          <w:rFonts w:hint="eastAsia" w:ascii="宋体" w:hAnsi="宋体" w:eastAsia="宋体" w:cs="宋体"/>
          <w:color w:val="auto"/>
          <w:highlight w:val="none"/>
        </w:rPr>
        <w:tab/>
      </w:r>
      <w:r>
        <w:rPr>
          <w:rFonts w:hint="eastAsia" w:ascii="宋体" w:hAnsi="宋体" w:eastAsia="宋体" w:cs="宋体"/>
          <w:color w:val="auto"/>
          <w:highlight w:val="none"/>
        </w:rPr>
        <w:t>21</w:t>
      </w:r>
    </w:p>
    <w:p w14:paraId="02376C89">
      <w:pPr>
        <w:pStyle w:val="34"/>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30"/>
          <w:highlight w:val="none"/>
        </w:rPr>
        <w:t>第三部分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p>
    <w:p w14:paraId="48D1C22C">
      <w:pPr>
        <w:pStyle w:val="34"/>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30"/>
          <w:highlight w:val="none"/>
        </w:rPr>
        <w:t>第四部分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_Toc25387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p>
    <w:p w14:paraId="1C4A5E82">
      <w:pPr>
        <w:pStyle w:val="34"/>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30"/>
          <w:highlight w:val="none"/>
        </w:rPr>
        <w:t>第五部分  评标办法（综合评分法）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_Toc20087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p>
    <w:p w14:paraId="6B66BD5C">
      <w:pPr>
        <w:pStyle w:val="34"/>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szCs w:val="30"/>
          <w:highlight w:val="none"/>
        </w:rPr>
        <w:t>第六部分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p>
    <w:p w14:paraId="28921ED8">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bCs/>
          <w:snapToGrid w:val="0"/>
          <w:color w:val="auto"/>
          <w:kern w:val="0"/>
          <w:szCs w:val="21"/>
          <w:highlight w:val="none"/>
        </w:rPr>
        <w:t>一、投标文件封面（格式供参考）</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p>
    <w:p w14:paraId="4AD53396">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bCs/>
          <w:color w:val="auto"/>
          <w:highlight w:val="none"/>
        </w:rPr>
        <w:t>二、资格响应文件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p>
    <w:p w14:paraId="42733D57">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t>三、商务和技术响应文件部分格式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p>
    <w:p w14:paraId="67D565F0">
      <w:pPr>
        <w:pStyle w:val="39"/>
        <w:tabs>
          <w:tab w:val="right" w:leader="dot" w:pos="8730"/>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t>四、报价响应文件部分格式</w:t>
      </w:r>
      <w:r>
        <w:rPr>
          <w:rFonts w:hint="eastAsia" w:ascii="宋体" w:hAnsi="宋体" w:eastAsia="宋体" w:cs="宋体"/>
          <w:color w:val="auto"/>
          <w:highlight w:val="none"/>
        </w:rPr>
        <w:tab/>
      </w:r>
      <w:r>
        <w:rPr>
          <w:rFonts w:hint="eastAsia" w:ascii="宋体" w:hAnsi="宋体" w:eastAsia="宋体" w:cs="宋体"/>
          <w:color w:val="auto"/>
          <w:highlight w:val="none"/>
        </w:rPr>
        <w:t>56</w:t>
      </w:r>
    </w:p>
    <w:p w14:paraId="21253767">
      <w:pPr>
        <w:pStyle w:val="34"/>
        <w:tabs>
          <w:tab w:val="right" w:leader="dot" w:pos="8730"/>
          <w:tab w:val="clear" w:pos="8720"/>
        </w:tabs>
        <w:rPr>
          <w:color w:val="auto"/>
          <w:highlight w:val="none"/>
        </w:rPr>
      </w:pPr>
    </w:p>
    <w:p w14:paraId="4207A62E">
      <w:pPr>
        <w:jc w:val="center"/>
        <w:rPr>
          <w:rFonts w:ascii="宋体" w:hAnsi="宋体" w:cs="宋体"/>
          <w:color w:val="auto"/>
          <w:szCs w:val="21"/>
          <w:highlight w:val="none"/>
        </w:rPr>
        <w:sectPr>
          <w:headerReference r:id="rId3" w:type="default"/>
          <w:footerReference r:id="rId4" w:type="default"/>
          <w:pgSz w:w="11906" w:h="16838"/>
          <w:pgMar w:top="1418" w:right="1588" w:bottom="1418" w:left="1588" w:header="851" w:footer="992" w:gutter="0"/>
          <w:pgNumType w:start="0"/>
          <w:cols w:space="720" w:num="1"/>
          <w:titlePg/>
          <w:docGrid w:type="lines" w:linePitch="312" w:charSpace="0"/>
        </w:sectPr>
      </w:pPr>
      <w:r>
        <w:rPr>
          <w:rFonts w:hint="eastAsia" w:ascii="宋体" w:hAnsi="宋体" w:cs="宋体"/>
          <w:color w:val="auto"/>
          <w:szCs w:val="21"/>
          <w:highlight w:val="none"/>
        </w:rPr>
        <w:fldChar w:fldCharType="end"/>
      </w:r>
    </w:p>
    <w:p w14:paraId="604172EC">
      <w:pPr>
        <w:pStyle w:val="7"/>
        <w:tabs>
          <w:tab w:val="right" w:leader="dot" w:pos="9000"/>
        </w:tabs>
        <w:snapToGrid w:val="0"/>
        <w:spacing w:before="0" w:after="0"/>
        <w:jc w:val="center"/>
        <w:rPr>
          <w:rStyle w:val="74"/>
          <w:rFonts w:ascii="宋体" w:hAnsi="宋体" w:eastAsia="宋体"/>
          <w:b/>
          <w:bCs/>
          <w:color w:val="auto"/>
          <w:sz w:val="32"/>
          <w:highlight w:val="none"/>
        </w:rPr>
      </w:pPr>
      <w:bookmarkStart w:id="0" w:name="_Toc118516209"/>
      <w:bookmarkStart w:id="1" w:name="_Toc171394907"/>
      <w:bookmarkStart w:id="2" w:name="_Toc251189093"/>
      <w:bookmarkStart w:id="3" w:name="_Toc185012671"/>
      <w:bookmarkStart w:id="4" w:name="_Toc251221438"/>
      <w:r>
        <w:rPr>
          <w:rFonts w:hint="eastAsia" w:ascii="宋体" w:hAnsi="宋体" w:eastAsia="宋体"/>
          <w:color w:val="auto"/>
          <w:sz w:val="32"/>
          <w:highlight w:val="none"/>
        </w:rPr>
        <w:t>第一部分</w:t>
      </w:r>
      <w:bookmarkEnd w:id="0"/>
      <w:r>
        <w:rPr>
          <w:rFonts w:hint="eastAsia" w:ascii="宋体" w:hAnsi="宋体" w:eastAsia="宋体"/>
          <w:color w:val="auto"/>
          <w:sz w:val="32"/>
          <w:highlight w:val="none"/>
        </w:rPr>
        <w:t xml:space="preserve"> 公开招标公告</w:t>
      </w:r>
      <w:bookmarkEnd w:id="1"/>
    </w:p>
    <w:p w14:paraId="6DE13BA7">
      <w:pPr>
        <w:widowControl/>
        <w:adjustRightInd w:val="0"/>
        <w:snapToGrid w:val="0"/>
        <w:spacing w:line="360" w:lineRule="auto"/>
        <w:jc w:val="left"/>
        <w:rPr>
          <w:rFonts w:ascii="宋体" w:hAnsi="宋体" w:cs="Arial"/>
          <w:b/>
          <w:bCs/>
          <w:color w:val="auto"/>
          <w:szCs w:val="21"/>
          <w:highlight w:val="none"/>
        </w:rPr>
      </w:pPr>
      <w:r>
        <w:rPr>
          <w:rFonts w:hint="eastAsia" w:ascii="宋体" w:hAnsi="宋体" w:cs="Arial"/>
          <w:b/>
          <w:bCs/>
          <w:color w:val="auto"/>
          <w:szCs w:val="21"/>
          <w:highlight w:val="none"/>
        </w:rPr>
        <w:t>项目概况</w:t>
      </w:r>
    </w:p>
    <w:p w14:paraId="7481D4B2">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u w:val="single"/>
          <w:lang w:eastAsia="zh-CN"/>
        </w:rPr>
        <w:t>中国财税博物馆2024-2027年保安及物业管理服务采购项目</w:t>
      </w:r>
      <w:r>
        <w:rPr>
          <w:rFonts w:hint="eastAsia" w:ascii="宋体" w:hAnsi="宋体" w:cs="Arial"/>
          <w:color w:val="auto"/>
          <w:szCs w:val="21"/>
          <w:highlight w:val="none"/>
        </w:rPr>
        <w:t>的潜在投标人应在杭州市文三路90号东部软件园1号楼3楼325室现场获取或线上报名获取招标文件，并于202</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11</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日9时</w:t>
      </w: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0分00秒（北京时间）前递交投标文件。</w:t>
      </w:r>
    </w:p>
    <w:p w14:paraId="695BD81B">
      <w:pPr>
        <w:spacing w:line="360" w:lineRule="auto"/>
        <w:rPr>
          <w:rFonts w:ascii="仿宋_GB2312" w:hAnsi="仿宋" w:eastAsia="仿宋_GB2312"/>
          <w:b/>
          <w:color w:val="auto"/>
          <w:sz w:val="24"/>
          <w:highlight w:val="none"/>
        </w:rPr>
      </w:pPr>
    </w:p>
    <w:p w14:paraId="10B4C8DC">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一、项目基本情况                                            </w:t>
      </w:r>
    </w:p>
    <w:p w14:paraId="2DF8565A">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项目编号：</w:t>
      </w:r>
      <w:r>
        <w:rPr>
          <w:rFonts w:hint="eastAsia" w:ascii="宋体" w:hAnsi="宋体" w:cs="宋体"/>
          <w:color w:val="auto"/>
          <w:szCs w:val="21"/>
          <w:highlight w:val="none"/>
        </w:rPr>
        <w:t>ZJ-</w:t>
      </w:r>
      <w:r>
        <w:rPr>
          <w:rFonts w:hint="eastAsia" w:ascii="宋体" w:hAnsi="宋体" w:cs="宋体"/>
          <w:color w:val="auto"/>
          <w:szCs w:val="21"/>
          <w:highlight w:val="none"/>
          <w:lang w:eastAsia="zh-CN"/>
        </w:rPr>
        <w:t>2412844</w:t>
      </w:r>
    </w:p>
    <w:p w14:paraId="5BB11AB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项目名称：</w:t>
      </w:r>
      <w:r>
        <w:rPr>
          <w:rFonts w:hint="eastAsia" w:ascii="宋体" w:hAnsi="宋体" w:cs="宋体"/>
          <w:b w:val="0"/>
          <w:bCs/>
          <w:color w:val="auto"/>
          <w:szCs w:val="21"/>
          <w:highlight w:val="none"/>
          <w:lang w:eastAsia="zh-CN"/>
        </w:rPr>
        <w:t>中国财税博物馆2024-2027年保安及物业管理服务采购项目</w:t>
      </w:r>
    </w:p>
    <w:p w14:paraId="553665B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预算金额（元）：</w:t>
      </w:r>
      <w:r>
        <w:rPr>
          <w:rFonts w:hint="eastAsia" w:ascii="宋体" w:hAnsi="宋体" w:cs="宋体"/>
          <w:b w:val="0"/>
          <w:bCs/>
          <w:color w:val="auto"/>
          <w:szCs w:val="21"/>
          <w:highlight w:val="none"/>
          <w:lang w:eastAsia="zh-CN"/>
        </w:rPr>
        <w:t>3401000</w:t>
      </w:r>
    </w:p>
    <w:p w14:paraId="740B5441">
      <w:pPr>
        <w:spacing w:line="360" w:lineRule="auto"/>
        <w:ind w:firstLine="48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最高限价（元）：</w:t>
      </w:r>
      <w:r>
        <w:rPr>
          <w:rFonts w:hint="eastAsia" w:ascii="宋体" w:hAnsi="宋体" w:cs="宋体"/>
          <w:b w:val="0"/>
          <w:bCs/>
          <w:color w:val="auto"/>
          <w:szCs w:val="21"/>
          <w:highlight w:val="none"/>
          <w:lang w:eastAsia="zh-CN"/>
        </w:rPr>
        <w:t>3401000</w:t>
      </w:r>
    </w:p>
    <w:p w14:paraId="2B8324F0">
      <w:pPr>
        <w:pStyle w:val="11"/>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采购需求：</w:t>
      </w:r>
    </w:p>
    <w:p w14:paraId="5532B977">
      <w:pPr>
        <w:pStyle w:val="11"/>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标项一</w:t>
      </w:r>
    </w:p>
    <w:p w14:paraId="16930C1B">
      <w:pPr>
        <w:pStyle w:val="11"/>
        <w:spacing w:line="360" w:lineRule="auto"/>
        <w:ind w:firstLine="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标项名称：</w:t>
      </w:r>
      <w:r>
        <w:rPr>
          <w:rFonts w:hint="eastAsia" w:ascii="宋体" w:hAnsi="宋体" w:cs="宋体"/>
          <w:color w:val="auto"/>
          <w:sz w:val="21"/>
          <w:szCs w:val="21"/>
          <w:highlight w:val="none"/>
          <w:lang w:eastAsia="zh-CN"/>
        </w:rPr>
        <w:t>中国财税博物馆2024-2027年保安及物业管理服务采购项目</w:t>
      </w:r>
    </w:p>
    <w:p w14:paraId="3801CC9B">
      <w:pPr>
        <w:pStyle w:val="11"/>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数量：1</w:t>
      </w:r>
    </w:p>
    <w:p w14:paraId="6DC520AE">
      <w:pPr>
        <w:pStyle w:val="11"/>
        <w:spacing w:line="360" w:lineRule="auto"/>
        <w:ind w:firstLine="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eastAsia="zh-CN"/>
        </w:rPr>
        <w:t>3401000</w:t>
      </w:r>
    </w:p>
    <w:p w14:paraId="144A03F5">
      <w:pPr>
        <w:pStyle w:val="11"/>
        <w:spacing w:line="360" w:lineRule="auto"/>
        <w:ind w:firstLine="480"/>
        <w:rPr>
          <w:rFonts w:ascii="宋体" w:hAnsi="宋体" w:cs="宋体"/>
          <w:bCs/>
          <w:color w:val="auto"/>
          <w:kern w:val="2"/>
          <w:sz w:val="21"/>
          <w:szCs w:val="21"/>
          <w:highlight w:val="none"/>
        </w:rPr>
      </w:pPr>
      <w:r>
        <w:rPr>
          <w:rFonts w:hint="eastAsia" w:ascii="宋体" w:hAnsi="宋体" w:cs="宋体"/>
          <w:color w:val="auto"/>
          <w:sz w:val="21"/>
          <w:szCs w:val="21"/>
          <w:highlight w:val="none"/>
        </w:rPr>
        <w:t>简要规格描述或项目基本概况介绍、用途：（一）物业服务管理。按照博物馆物业服务工作要求，负责馆区内的建筑主体设施维护、环境卫生保洁、垃圾分类及清运等；水电及通讯设备维修维护；高压配电设备管理及值班；前台及会务接待服务保障；</w:t>
      </w:r>
      <w:r>
        <w:rPr>
          <w:rFonts w:hint="eastAsia" w:ascii="宋体" w:hAnsi="宋体" w:cs="宋体"/>
          <w:color w:val="auto"/>
          <w:sz w:val="21"/>
          <w:szCs w:val="21"/>
          <w:highlight w:val="none"/>
          <w:lang w:eastAsia="zh-CN"/>
        </w:rPr>
        <w:t>展厅综合服务管理；</w:t>
      </w:r>
      <w:r>
        <w:rPr>
          <w:rFonts w:hint="eastAsia" w:ascii="宋体" w:hAnsi="宋体" w:cs="宋体"/>
          <w:color w:val="auto"/>
          <w:sz w:val="21"/>
          <w:szCs w:val="21"/>
          <w:highlight w:val="none"/>
        </w:rPr>
        <w:t>博物馆各项应急预案中的职责要求；物业服务档案的整理及保管；临时交办的其它物业服务均应是中标单位的服务内容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二）保安服务管理。按照博物馆保安服务工作要求，负责馆区防火、防盗、防破坏、防自然灾害等安全防护和应急处置；负责馆区人员、车辆及物品进出检查；负责展厅安全防护及参观秩序管理；负责馆区门岗值勤、安全巡逻及防火检查；负责馆区消（监)控室专人值班；博物馆各项应急预案中的职责要求；配合公安机关做好治安综合治理及纠纷案件；保安服务档案的整理保管；临时交办的其它保安服务均应是中标单位的服务内容。详见第三部分采购需求</w:t>
      </w:r>
      <w:r>
        <w:rPr>
          <w:rFonts w:hint="eastAsia" w:ascii="宋体" w:hAnsi="宋体" w:cs="宋体"/>
          <w:bCs/>
          <w:color w:val="auto"/>
          <w:kern w:val="2"/>
          <w:sz w:val="21"/>
          <w:szCs w:val="21"/>
          <w:highlight w:val="none"/>
        </w:rPr>
        <w:t>。</w:t>
      </w:r>
    </w:p>
    <w:p w14:paraId="2EC7F477">
      <w:pPr>
        <w:pStyle w:val="59"/>
        <w:ind w:firstLine="422"/>
        <w:outlineLvl w:val="2"/>
        <w:rPr>
          <w:rFonts w:ascii="宋体" w:hAnsi="宋体" w:cs="宋体"/>
          <w:color w:val="auto"/>
          <w:sz w:val="21"/>
          <w:szCs w:val="21"/>
          <w:highlight w:val="none"/>
        </w:rPr>
      </w:pPr>
      <w:r>
        <w:rPr>
          <w:rFonts w:hint="eastAsia" w:ascii="宋体" w:hAnsi="宋体" w:cs="宋体"/>
          <w:b/>
          <w:color w:val="auto"/>
          <w:sz w:val="21"/>
          <w:szCs w:val="21"/>
          <w:highlight w:val="none"/>
        </w:rPr>
        <w:t>合同履约期限：合同期限为</w:t>
      </w:r>
      <w:r>
        <w:rPr>
          <w:rFonts w:hint="eastAsia" w:ascii="宋体" w:hAnsi="宋体" w:cs="宋体"/>
          <w:b/>
          <w:color w:val="auto"/>
          <w:sz w:val="21"/>
          <w:szCs w:val="21"/>
          <w:highlight w:val="none"/>
          <w:lang w:eastAsia="zh-CN"/>
        </w:rPr>
        <w:t>一年。</w:t>
      </w:r>
      <w:r>
        <w:rPr>
          <w:rFonts w:hint="eastAsia" w:ascii="宋体" w:hAnsi="宋体" w:cs="宋体"/>
          <w:b/>
          <w:color w:val="auto"/>
          <w:sz w:val="21"/>
          <w:szCs w:val="21"/>
          <w:highlight w:val="none"/>
        </w:rPr>
        <w:t>上一年考核结果达到优秀标准</w:t>
      </w:r>
      <w:r>
        <w:rPr>
          <w:rFonts w:hint="eastAsia" w:ascii="宋体" w:hAnsi="宋体" w:cs="宋体"/>
          <w:b/>
          <w:color w:val="auto"/>
          <w:sz w:val="21"/>
          <w:szCs w:val="21"/>
          <w:highlight w:val="none"/>
          <w:lang w:eastAsia="zh-CN"/>
        </w:rPr>
        <w:t>的，可续签一年合同，最多续签两次</w:t>
      </w:r>
      <w:r>
        <w:rPr>
          <w:rFonts w:hint="eastAsia" w:ascii="宋体" w:hAnsi="宋体" w:cs="宋体"/>
          <w:b/>
          <w:color w:val="auto"/>
          <w:sz w:val="21"/>
          <w:szCs w:val="21"/>
          <w:highlight w:val="none"/>
        </w:rPr>
        <w:t>。</w:t>
      </w:r>
    </w:p>
    <w:p w14:paraId="34F2C027">
      <w:pPr>
        <w:pStyle w:val="11"/>
        <w:spacing w:line="360" w:lineRule="auto"/>
        <w:ind w:firstLine="480"/>
        <w:rPr>
          <w:rFonts w:ascii="宋体" w:hAnsi="宋体" w:cs="宋体"/>
          <w:b/>
          <w:color w:val="auto"/>
          <w:sz w:val="21"/>
          <w:szCs w:val="21"/>
          <w:highlight w:val="none"/>
        </w:rPr>
      </w:pPr>
      <w:r>
        <w:rPr>
          <w:rFonts w:hint="eastAsia" w:ascii="宋体" w:hAnsi="宋体" w:cs="宋体"/>
          <w:b/>
          <w:snapToGrid w:val="0"/>
          <w:color w:val="auto"/>
          <w:kern w:val="28"/>
          <w:sz w:val="21"/>
          <w:szCs w:val="21"/>
          <w:highlight w:val="none"/>
        </w:rPr>
        <w:t>本项目不接受联合体投标</w:t>
      </w:r>
      <w:r>
        <w:rPr>
          <w:rFonts w:hint="eastAsia" w:ascii="宋体" w:hAnsi="宋体" w:cs="宋体"/>
          <w:b/>
          <w:bCs/>
          <w:snapToGrid w:val="0"/>
          <w:color w:val="auto"/>
          <w:sz w:val="21"/>
          <w:szCs w:val="21"/>
          <w:highlight w:val="none"/>
        </w:rPr>
        <w:t>。</w:t>
      </w:r>
    </w:p>
    <w:p w14:paraId="145CAACB">
      <w:pPr>
        <w:pStyle w:val="54"/>
        <w:rPr>
          <w:rFonts w:ascii="宋体" w:hAnsi="宋体" w:eastAsia="宋体" w:cs="Arial"/>
          <w:color w:val="auto"/>
          <w:sz w:val="21"/>
          <w:szCs w:val="21"/>
          <w:highlight w:val="none"/>
        </w:rPr>
      </w:pPr>
    </w:p>
    <w:p w14:paraId="78996FA7">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rPr>
        <w:t>二、申请人的资格要求：</w:t>
      </w:r>
    </w:p>
    <w:p w14:paraId="23D05B7F">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155E26E6">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2.落实政府采购政策需满足的资格要求：</w:t>
      </w:r>
      <w:r>
        <w:rPr>
          <w:rFonts w:hint="eastAsia" w:ascii="宋体" w:hAnsi="宋体" w:cs="Arial"/>
          <w:color w:val="auto"/>
          <w:szCs w:val="21"/>
          <w:highlight w:val="none"/>
          <w:lang w:val="en-US" w:eastAsia="zh-CN"/>
        </w:rPr>
        <w:t>要求合同分包，提供分包意向协议和中小企业声明函。本项目预留不少于30%合同金额给小微企业。如果供应商本身提供所有标的均由小微企业制造、承建或承接，视同符合了资格条件，无需再进行分包，无需提供分包意向协议；</w:t>
      </w:r>
    </w:p>
    <w:p w14:paraId="35BE4BE8">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3.本项目的特定资格要求：无</w:t>
      </w:r>
      <w:r>
        <w:rPr>
          <w:rFonts w:hint="eastAsia" w:ascii="宋体" w:hAnsi="宋体" w:cs="宋体"/>
          <w:color w:val="auto"/>
          <w:kern w:val="0"/>
          <w:szCs w:val="21"/>
          <w:highlight w:val="none"/>
        </w:rPr>
        <w:t>。</w:t>
      </w:r>
    </w:p>
    <w:p w14:paraId="7E2BDE2A">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rPr>
        <w:t>三、获取招标文件：</w:t>
      </w:r>
      <w:bookmarkStart w:id="91" w:name="_GoBack"/>
      <w:bookmarkEnd w:id="91"/>
    </w:p>
    <w:p w14:paraId="6BEE1D8B">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时间：</w:t>
      </w:r>
      <w:r>
        <w:rPr>
          <w:rFonts w:hint="eastAsia" w:cs="宋体"/>
          <w:color w:val="auto"/>
          <w:szCs w:val="21"/>
          <w:highlight w:val="none"/>
          <w:u w:val="single"/>
        </w:rPr>
        <w:t>202</w:t>
      </w:r>
      <w:r>
        <w:rPr>
          <w:rFonts w:hint="eastAsia" w:cs="宋体"/>
          <w:color w:val="auto"/>
          <w:szCs w:val="21"/>
          <w:highlight w:val="none"/>
          <w:u w:val="single"/>
          <w:lang w:val="en-US" w:eastAsia="zh-CN"/>
        </w:rPr>
        <w:t>4</w:t>
      </w:r>
      <w:r>
        <w:rPr>
          <w:rFonts w:hint="eastAsia" w:cs="宋体"/>
          <w:color w:val="auto"/>
          <w:szCs w:val="21"/>
          <w:highlight w:val="none"/>
          <w:u w:val="single"/>
        </w:rPr>
        <w:t>年</w:t>
      </w:r>
      <w:r>
        <w:rPr>
          <w:rFonts w:hint="eastAsia" w:cs="宋体"/>
          <w:color w:val="auto"/>
          <w:szCs w:val="21"/>
          <w:highlight w:val="none"/>
          <w:u w:val="single"/>
          <w:lang w:val="en-US" w:eastAsia="zh-CN"/>
        </w:rPr>
        <w:t>10</w:t>
      </w:r>
      <w:r>
        <w:rPr>
          <w:rFonts w:hint="eastAsia" w:cs="宋体"/>
          <w:color w:val="auto"/>
          <w:szCs w:val="21"/>
          <w:highlight w:val="none"/>
          <w:u w:val="single"/>
        </w:rPr>
        <w:t>月</w:t>
      </w:r>
      <w:r>
        <w:rPr>
          <w:rFonts w:hint="eastAsia" w:cs="宋体"/>
          <w:color w:val="auto"/>
          <w:szCs w:val="21"/>
          <w:highlight w:val="none"/>
          <w:u w:val="single"/>
          <w:lang w:val="en-US" w:eastAsia="zh-CN"/>
        </w:rPr>
        <w:t>18</w:t>
      </w:r>
      <w:r>
        <w:rPr>
          <w:rFonts w:hint="eastAsia" w:cs="宋体"/>
          <w:color w:val="auto"/>
          <w:szCs w:val="21"/>
          <w:highlight w:val="none"/>
          <w:u w:val="single"/>
        </w:rPr>
        <w:t>日</w:t>
      </w:r>
      <w:r>
        <w:rPr>
          <w:rFonts w:hint="eastAsia" w:ascii="宋体" w:hAnsi="宋体" w:cs="Arial"/>
          <w:color w:val="auto"/>
          <w:szCs w:val="21"/>
          <w:highlight w:val="none"/>
        </w:rPr>
        <w:t>至提交投标文件截止时间前，每天上午08:30至11:30，下午13:30至17:00（北京时间，法定节假日除外）；本项目招标文件公告期限为本公告发布之日起5个工作日。</w:t>
      </w:r>
    </w:p>
    <w:p w14:paraId="6F6E59C6">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地点：杭州市文三路90号东部软件园1号楼3楼325室；</w:t>
      </w:r>
    </w:p>
    <w:p w14:paraId="2FFB9C64">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方式：现场获取或线上报名获取。</w:t>
      </w:r>
    </w:p>
    <w:p w14:paraId="4923D8F7">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获取招标文件联系人：邵子野，陶云龙，联系方式：0571-81061830,81061831</w:t>
      </w:r>
    </w:p>
    <w:p w14:paraId="3B8B58D9">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现场获取：投标人代表</w:t>
      </w:r>
      <w:r>
        <w:rPr>
          <w:rFonts w:hint="eastAsia" w:ascii="宋体" w:hAnsi="宋体" w:cs="Arial"/>
          <w:color w:val="auto"/>
          <w:szCs w:val="21"/>
          <w:highlight w:val="none"/>
          <w:lang w:eastAsia="zh-CN"/>
        </w:rPr>
        <w:t>到</w:t>
      </w:r>
      <w:r>
        <w:rPr>
          <w:rFonts w:hint="eastAsia" w:ascii="宋体" w:hAnsi="宋体" w:cs="Arial"/>
          <w:color w:val="auto"/>
          <w:szCs w:val="21"/>
          <w:highlight w:val="none"/>
        </w:rPr>
        <w:t>上述规定的时间、地点</w:t>
      </w:r>
      <w:r>
        <w:rPr>
          <w:rFonts w:hint="eastAsia" w:ascii="宋体" w:hAnsi="宋体" w:cs="Arial"/>
          <w:color w:val="auto"/>
          <w:szCs w:val="21"/>
          <w:highlight w:val="none"/>
          <w:lang w:eastAsia="zh-CN"/>
        </w:rPr>
        <w:t>填写</w:t>
      </w:r>
      <w:r>
        <w:rPr>
          <w:rFonts w:hint="eastAsia" w:ascii="宋体" w:hAnsi="宋体" w:cs="Arial"/>
          <w:color w:val="auto"/>
          <w:szCs w:val="21"/>
          <w:highlight w:val="none"/>
        </w:rPr>
        <w:t>《报名单位信息登记表》</w:t>
      </w:r>
      <w:r>
        <w:rPr>
          <w:rFonts w:hint="eastAsia" w:ascii="宋体" w:hAnsi="宋体" w:cs="Arial"/>
          <w:color w:val="auto"/>
          <w:szCs w:val="21"/>
          <w:highlight w:val="none"/>
          <w:lang w:eastAsia="zh-CN"/>
        </w:rPr>
        <w:t>并</w:t>
      </w:r>
      <w:r>
        <w:rPr>
          <w:rFonts w:hint="eastAsia" w:ascii="宋体" w:hAnsi="宋体" w:cs="Arial"/>
          <w:color w:val="auto"/>
          <w:szCs w:val="21"/>
          <w:highlight w:val="none"/>
        </w:rPr>
        <w:t>获取招标文件。</w:t>
      </w:r>
    </w:p>
    <w:p w14:paraId="0300BEC5">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线上报名：以邮件形式将《报名单位信息登记表》（见公告附件）</w:t>
      </w:r>
      <w:r>
        <w:rPr>
          <w:rFonts w:hint="eastAsia" w:ascii="宋体" w:hAnsi="宋体" w:cs="Arial"/>
          <w:color w:val="auto"/>
          <w:szCs w:val="21"/>
          <w:highlight w:val="none"/>
          <w:lang w:eastAsia="zh-CN"/>
        </w:rPr>
        <w:t>及标书款转账凭证</w:t>
      </w:r>
      <w:r>
        <w:rPr>
          <w:rFonts w:hint="eastAsia" w:ascii="宋体" w:hAnsi="宋体" w:cs="Arial"/>
          <w:color w:val="auto"/>
          <w:szCs w:val="21"/>
          <w:highlight w:val="none"/>
        </w:rPr>
        <w:t>发送至2970516628@qq.com</w:t>
      </w:r>
    </w:p>
    <w:p w14:paraId="088E2CD4">
      <w:pPr>
        <w:widowControl/>
        <w:adjustRightInd w:val="0"/>
        <w:snapToGrid w:val="0"/>
        <w:spacing w:line="360" w:lineRule="auto"/>
        <w:ind w:firstLine="420" w:firstLineChars="200"/>
        <w:jc w:val="left"/>
        <w:rPr>
          <w:color w:val="auto"/>
          <w:highlight w:val="none"/>
        </w:rPr>
      </w:pPr>
      <w:r>
        <w:rPr>
          <w:rFonts w:hint="eastAsia"/>
          <w:color w:val="auto"/>
          <w:highlight w:val="none"/>
        </w:rPr>
        <w:t>售价（元）：500（售后不退）</w:t>
      </w:r>
    </w:p>
    <w:p w14:paraId="51D35FE4">
      <w:pPr>
        <w:pStyle w:val="3"/>
        <w:ind w:firstLine="420"/>
        <w:rPr>
          <w:rFonts w:ascii="Calibri" w:hAnsi="Calibri" w:eastAsia="宋体"/>
          <w:color w:val="auto"/>
          <w:sz w:val="21"/>
          <w:szCs w:val="24"/>
          <w:highlight w:val="none"/>
        </w:rPr>
      </w:pPr>
      <w:r>
        <w:rPr>
          <w:rFonts w:ascii="Calibri" w:hAnsi="Calibri" w:eastAsia="宋体"/>
          <w:color w:val="auto"/>
          <w:sz w:val="21"/>
          <w:szCs w:val="24"/>
          <w:highlight w:val="none"/>
        </w:rPr>
        <w:t>收款单位（户名）：浙江国际招投标有限公司</w:t>
      </w:r>
    </w:p>
    <w:p w14:paraId="711E592D">
      <w:pPr>
        <w:pStyle w:val="3"/>
        <w:ind w:firstLine="420"/>
        <w:rPr>
          <w:rFonts w:ascii="Calibri" w:hAnsi="Calibri" w:eastAsia="宋体"/>
          <w:color w:val="auto"/>
          <w:sz w:val="21"/>
          <w:szCs w:val="24"/>
          <w:highlight w:val="none"/>
        </w:rPr>
      </w:pPr>
      <w:r>
        <w:rPr>
          <w:rFonts w:ascii="Calibri" w:hAnsi="Calibri" w:eastAsia="宋体"/>
          <w:color w:val="auto"/>
          <w:sz w:val="21"/>
          <w:szCs w:val="24"/>
          <w:highlight w:val="none"/>
        </w:rPr>
        <w:t xml:space="preserve">开户：中国工商银行杭州武林支行 </w:t>
      </w:r>
    </w:p>
    <w:p w14:paraId="7BDBFBF0">
      <w:pPr>
        <w:pStyle w:val="3"/>
        <w:ind w:firstLine="420"/>
        <w:rPr>
          <w:rFonts w:ascii="Calibri" w:hAnsi="Calibri" w:eastAsia="宋体"/>
          <w:color w:val="auto"/>
          <w:sz w:val="21"/>
          <w:szCs w:val="24"/>
          <w:highlight w:val="none"/>
        </w:rPr>
      </w:pPr>
      <w:r>
        <w:rPr>
          <w:rFonts w:ascii="Calibri" w:hAnsi="Calibri" w:eastAsia="宋体"/>
          <w:color w:val="auto"/>
          <w:sz w:val="21"/>
          <w:szCs w:val="24"/>
          <w:highlight w:val="none"/>
        </w:rPr>
        <w:t>账号：1202 0212 0990 6782 015</w:t>
      </w:r>
    </w:p>
    <w:p w14:paraId="51DCDCC4">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rPr>
        <w:t>四、</w:t>
      </w:r>
      <w:r>
        <w:rPr>
          <w:b/>
          <w:bCs/>
          <w:color w:val="auto"/>
          <w:highlight w:val="none"/>
        </w:rPr>
        <w:t>提交投标文件截止时间、开标时间和地点</w:t>
      </w:r>
      <w:r>
        <w:rPr>
          <w:rFonts w:hint="eastAsia"/>
          <w:b/>
          <w:bCs/>
          <w:color w:val="auto"/>
          <w:highlight w:val="none"/>
        </w:rPr>
        <w:t xml:space="preserve"> </w:t>
      </w:r>
    </w:p>
    <w:p w14:paraId="356E996A">
      <w:pPr>
        <w:spacing w:line="360" w:lineRule="auto"/>
        <w:rPr>
          <w:color w:val="auto"/>
          <w:highlight w:val="none"/>
        </w:rPr>
      </w:pPr>
      <w:r>
        <w:rPr>
          <w:color w:val="auto"/>
          <w:highlight w:val="none"/>
        </w:rPr>
        <w:t>提交投标文件截止时间：</w:t>
      </w:r>
      <w:r>
        <w:rPr>
          <w:rFonts w:hint="eastAsia" w:ascii="宋体" w:hAnsi="宋体" w:cs="Arial"/>
          <w:color w:val="auto"/>
          <w:szCs w:val="21"/>
          <w:highlight w:val="none"/>
          <w:u w:val="single"/>
        </w:rPr>
        <w:t>202</w:t>
      </w:r>
      <w:r>
        <w:rPr>
          <w:rFonts w:hint="eastAsia" w:ascii="宋体" w:hAnsi="宋体" w:cs="Arial"/>
          <w:color w:val="auto"/>
          <w:szCs w:val="21"/>
          <w:highlight w:val="none"/>
          <w:u w:val="single"/>
          <w:lang w:val="en-US" w:eastAsia="zh-CN"/>
        </w:rPr>
        <w:t>4</w:t>
      </w:r>
      <w:r>
        <w:rPr>
          <w:rFonts w:hint="eastAsia" w:ascii="宋体" w:hAnsi="宋体" w:cs="Arial"/>
          <w:color w:val="auto"/>
          <w:szCs w:val="21"/>
          <w:highlight w:val="none"/>
          <w:u w:val="single"/>
        </w:rPr>
        <w:t>年</w:t>
      </w:r>
      <w:r>
        <w:rPr>
          <w:rFonts w:hint="eastAsia" w:ascii="宋体" w:hAnsi="宋体" w:cs="Arial"/>
          <w:color w:val="auto"/>
          <w:szCs w:val="21"/>
          <w:highlight w:val="none"/>
          <w:u w:val="single"/>
          <w:lang w:val="en-US" w:eastAsia="zh-CN"/>
        </w:rPr>
        <w:t>11</w:t>
      </w:r>
      <w:r>
        <w:rPr>
          <w:rFonts w:hint="eastAsia" w:ascii="宋体" w:hAnsi="宋体" w:cs="Arial"/>
          <w:color w:val="auto"/>
          <w:szCs w:val="21"/>
          <w:highlight w:val="none"/>
          <w:u w:val="single"/>
        </w:rPr>
        <w:t>月</w:t>
      </w:r>
      <w:r>
        <w:rPr>
          <w:rFonts w:hint="eastAsia" w:ascii="宋体" w:hAnsi="宋体" w:cs="Arial"/>
          <w:color w:val="auto"/>
          <w:szCs w:val="21"/>
          <w:highlight w:val="none"/>
          <w:u w:val="single"/>
          <w:lang w:val="en-US" w:eastAsia="zh-CN"/>
        </w:rPr>
        <w:t>8</w:t>
      </w:r>
      <w:r>
        <w:rPr>
          <w:rFonts w:hint="eastAsia" w:ascii="宋体" w:hAnsi="宋体" w:cs="Arial"/>
          <w:color w:val="auto"/>
          <w:szCs w:val="21"/>
          <w:highlight w:val="none"/>
          <w:u w:val="single"/>
        </w:rPr>
        <w:t>日9时</w:t>
      </w:r>
      <w:r>
        <w:rPr>
          <w:rFonts w:hint="eastAsia" w:ascii="宋体" w:hAnsi="宋体" w:cs="Arial"/>
          <w:color w:val="auto"/>
          <w:szCs w:val="21"/>
          <w:highlight w:val="none"/>
          <w:u w:val="single"/>
          <w:lang w:val="en-US" w:eastAsia="zh-CN"/>
        </w:rPr>
        <w:t>3</w:t>
      </w:r>
      <w:r>
        <w:rPr>
          <w:rFonts w:hint="eastAsia" w:ascii="宋体" w:hAnsi="宋体" w:cs="Arial"/>
          <w:color w:val="auto"/>
          <w:szCs w:val="21"/>
          <w:highlight w:val="none"/>
          <w:u w:val="single"/>
        </w:rPr>
        <w:t>0分00秒  </w:t>
      </w:r>
      <w:r>
        <w:rPr>
          <w:color w:val="auto"/>
          <w:highlight w:val="none"/>
        </w:rPr>
        <w:t>（北京时间）</w:t>
      </w:r>
    </w:p>
    <w:p w14:paraId="1E08D317">
      <w:pPr>
        <w:spacing w:line="360" w:lineRule="auto"/>
        <w:rPr>
          <w:rFonts w:ascii="宋体" w:hAnsi="宋体" w:cs="宋体"/>
          <w:color w:val="auto"/>
          <w:highlight w:val="none"/>
        </w:rPr>
      </w:pPr>
      <w:r>
        <w:rPr>
          <w:rFonts w:hint="eastAsia" w:ascii="宋体" w:hAnsi="宋体" w:cs="宋体"/>
          <w:color w:val="auto"/>
          <w:highlight w:val="none"/>
        </w:rPr>
        <w:t>投标地点：浙江国际招投标有限公司30</w:t>
      </w:r>
      <w:r>
        <w:rPr>
          <w:rFonts w:hint="eastAsia" w:ascii="宋体" w:hAnsi="宋体" w:cs="宋体"/>
          <w:color w:val="auto"/>
          <w:highlight w:val="none"/>
          <w:lang w:val="en-US" w:eastAsia="zh-CN"/>
        </w:rPr>
        <w:t>1</w:t>
      </w:r>
      <w:r>
        <w:rPr>
          <w:rFonts w:hint="eastAsia" w:ascii="宋体" w:hAnsi="宋体" w:cs="宋体"/>
          <w:color w:val="auto"/>
          <w:highlight w:val="none"/>
        </w:rPr>
        <w:t>开标室（杭州市文三路90号东部软件园1号楼3楼）</w:t>
      </w:r>
    </w:p>
    <w:p w14:paraId="4EFD4B86">
      <w:pPr>
        <w:spacing w:line="360" w:lineRule="auto"/>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Arial"/>
          <w:color w:val="auto"/>
          <w:szCs w:val="21"/>
          <w:highlight w:val="none"/>
          <w:u w:val="single"/>
        </w:rPr>
        <w:t>202</w:t>
      </w:r>
      <w:r>
        <w:rPr>
          <w:rFonts w:hint="eastAsia" w:ascii="宋体" w:hAnsi="宋体" w:cs="Arial"/>
          <w:color w:val="auto"/>
          <w:szCs w:val="21"/>
          <w:highlight w:val="none"/>
          <w:u w:val="single"/>
          <w:lang w:val="en-US" w:eastAsia="zh-CN"/>
        </w:rPr>
        <w:t>4</w:t>
      </w:r>
      <w:r>
        <w:rPr>
          <w:rFonts w:hint="eastAsia" w:ascii="宋体" w:hAnsi="宋体" w:cs="Arial"/>
          <w:color w:val="auto"/>
          <w:szCs w:val="21"/>
          <w:highlight w:val="none"/>
          <w:u w:val="single"/>
        </w:rPr>
        <w:t>年</w:t>
      </w:r>
      <w:r>
        <w:rPr>
          <w:rFonts w:hint="eastAsia" w:ascii="宋体" w:hAnsi="宋体" w:cs="Arial"/>
          <w:color w:val="auto"/>
          <w:szCs w:val="21"/>
          <w:highlight w:val="none"/>
          <w:u w:val="single"/>
          <w:lang w:val="en-US" w:eastAsia="zh-CN"/>
        </w:rPr>
        <w:t>11</w:t>
      </w:r>
      <w:r>
        <w:rPr>
          <w:rFonts w:hint="eastAsia" w:ascii="宋体" w:hAnsi="宋体" w:cs="Arial"/>
          <w:color w:val="auto"/>
          <w:szCs w:val="21"/>
          <w:highlight w:val="none"/>
          <w:u w:val="single"/>
        </w:rPr>
        <w:t>月</w:t>
      </w:r>
      <w:r>
        <w:rPr>
          <w:rFonts w:hint="eastAsia" w:ascii="宋体" w:hAnsi="宋体" w:cs="Arial"/>
          <w:color w:val="auto"/>
          <w:szCs w:val="21"/>
          <w:highlight w:val="none"/>
          <w:u w:val="single"/>
          <w:lang w:val="en-US" w:eastAsia="zh-CN"/>
        </w:rPr>
        <w:t>8</w:t>
      </w:r>
      <w:r>
        <w:rPr>
          <w:rFonts w:hint="eastAsia" w:ascii="宋体" w:hAnsi="宋体" w:cs="Arial"/>
          <w:color w:val="auto"/>
          <w:szCs w:val="21"/>
          <w:highlight w:val="none"/>
          <w:u w:val="single"/>
        </w:rPr>
        <w:t>日9时</w:t>
      </w:r>
      <w:r>
        <w:rPr>
          <w:rFonts w:hint="eastAsia" w:ascii="宋体" w:hAnsi="宋体" w:cs="Arial"/>
          <w:color w:val="auto"/>
          <w:szCs w:val="21"/>
          <w:highlight w:val="none"/>
          <w:u w:val="single"/>
          <w:lang w:val="en-US" w:eastAsia="zh-CN"/>
        </w:rPr>
        <w:t>3</w:t>
      </w:r>
      <w:r>
        <w:rPr>
          <w:rFonts w:hint="eastAsia" w:ascii="宋体" w:hAnsi="宋体" w:cs="Arial"/>
          <w:color w:val="auto"/>
          <w:szCs w:val="21"/>
          <w:highlight w:val="none"/>
          <w:u w:val="single"/>
        </w:rPr>
        <w:t>0分</w:t>
      </w:r>
      <w:r>
        <w:rPr>
          <w:rFonts w:hint="eastAsia" w:ascii="宋体" w:hAnsi="宋体" w:cs="宋体"/>
          <w:color w:val="auto"/>
          <w:szCs w:val="21"/>
          <w:highlight w:val="none"/>
          <w:u w:val="single"/>
        </w:rPr>
        <w:t> </w:t>
      </w:r>
      <w:r>
        <w:rPr>
          <w:rFonts w:hint="eastAsia" w:ascii="宋体" w:hAnsi="宋体" w:cs="宋体"/>
          <w:color w:val="auto"/>
          <w:highlight w:val="none"/>
        </w:rPr>
        <w:t>（北京时间）</w:t>
      </w:r>
    </w:p>
    <w:p w14:paraId="01184517">
      <w:pPr>
        <w:widowControl/>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开标地点：浙江国际招投标有限公司30</w:t>
      </w:r>
      <w:r>
        <w:rPr>
          <w:rFonts w:hint="eastAsia" w:ascii="宋体" w:hAnsi="宋体" w:cs="宋体"/>
          <w:color w:val="auto"/>
          <w:highlight w:val="none"/>
          <w:lang w:val="en-US" w:eastAsia="zh-CN"/>
        </w:rPr>
        <w:t>1</w:t>
      </w:r>
      <w:r>
        <w:rPr>
          <w:rFonts w:hint="eastAsia" w:ascii="宋体" w:hAnsi="宋体" w:cs="宋体"/>
          <w:color w:val="auto"/>
          <w:highlight w:val="none"/>
        </w:rPr>
        <w:t>开标室（杭州市文三路90号东部软件园1号楼3楼）</w:t>
      </w:r>
    </w:p>
    <w:p w14:paraId="584D27CD">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rPr>
        <w:t>五、公告期限</w:t>
      </w:r>
    </w:p>
    <w:p w14:paraId="20DA285E">
      <w:pPr>
        <w:widowControl/>
        <w:spacing w:before="63" w:after="63"/>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自本公告发布之日起5个工作日。</w:t>
      </w:r>
    </w:p>
    <w:p w14:paraId="6A5DB979">
      <w:pPr>
        <w:pStyle w:val="29"/>
        <w:spacing w:line="400" w:lineRule="exact"/>
        <w:ind w:firstLine="0" w:firstLineChars="0"/>
        <w:rPr>
          <w:rFonts w:hint="default" w:ascii="宋体" w:hAnsi="宋体" w:cs="Arial"/>
          <w:b/>
          <w:bCs/>
          <w:color w:val="auto"/>
          <w:sz w:val="21"/>
          <w:szCs w:val="21"/>
          <w:highlight w:val="none"/>
        </w:rPr>
      </w:pPr>
    </w:p>
    <w:p w14:paraId="011E0B6C">
      <w:pPr>
        <w:pStyle w:val="29"/>
        <w:spacing w:line="400" w:lineRule="exact"/>
        <w:ind w:firstLine="0" w:firstLineChars="0"/>
        <w:rPr>
          <w:rFonts w:hint="default" w:ascii="宋体"/>
          <w:b/>
          <w:bCs/>
          <w:color w:val="auto"/>
          <w:sz w:val="21"/>
          <w:szCs w:val="21"/>
          <w:highlight w:val="none"/>
        </w:rPr>
      </w:pPr>
      <w:r>
        <w:rPr>
          <w:rFonts w:ascii="宋体" w:hAnsi="宋体" w:cs="Arial"/>
          <w:b/>
          <w:bCs/>
          <w:color w:val="auto"/>
          <w:sz w:val="21"/>
          <w:szCs w:val="21"/>
          <w:highlight w:val="none"/>
        </w:rPr>
        <w:t>六、</w:t>
      </w:r>
      <w:r>
        <w:rPr>
          <w:rFonts w:ascii="宋体"/>
          <w:b/>
          <w:bCs/>
          <w:color w:val="auto"/>
          <w:sz w:val="21"/>
          <w:szCs w:val="21"/>
          <w:highlight w:val="none"/>
        </w:rPr>
        <w:t>投标保证金：</w:t>
      </w:r>
    </w:p>
    <w:p w14:paraId="34532154">
      <w:pPr>
        <w:pStyle w:val="29"/>
        <w:spacing w:line="400" w:lineRule="exact"/>
        <w:ind w:firstLine="441"/>
        <w:rPr>
          <w:rFonts w:hint="default" w:ascii="宋体"/>
          <w:color w:val="auto"/>
          <w:sz w:val="21"/>
          <w:szCs w:val="21"/>
          <w:highlight w:val="none"/>
        </w:rPr>
      </w:pPr>
      <w:r>
        <w:rPr>
          <w:rFonts w:ascii="宋体"/>
          <w:color w:val="auto"/>
          <w:sz w:val="21"/>
          <w:szCs w:val="21"/>
          <w:highlight w:val="none"/>
        </w:rPr>
        <w:t>投标保证金：人民币60000元整；</w:t>
      </w:r>
    </w:p>
    <w:p w14:paraId="2D6FABA6">
      <w:pPr>
        <w:pStyle w:val="29"/>
        <w:spacing w:line="400" w:lineRule="exact"/>
        <w:ind w:firstLine="441"/>
        <w:rPr>
          <w:rFonts w:hint="default" w:ascii="宋体"/>
          <w:color w:val="auto"/>
          <w:sz w:val="21"/>
          <w:szCs w:val="21"/>
          <w:highlight w:val="none"/>
        </w:rPr>
      </w:pPr>
      <w:r>
        <w:rPr>
          <w:rFonts w:ascii="宋体"/>
          <w:color w:val="auto"/>
          <w:sz w:val="21"/>
          <w:szCs w:val="21"/>
          <w:highlight w:val="none"/>
        </w:rPr>
        <w:t>交付方式:银行汇票/转账支票/银行转帐/</w:t>
      </w:r>
    </w:p>
    <w:p w14:paraId="262DF2F9">
      <w:pPr>
        <w:pStyle w:val="29"/>
        <w:spacing w:line="400" w:lineRule="exact"/>
        <w:ind w:firstLine="441"/>
        <w:rPr>
          <w:rFonts w:hint="default" w:ascii="宋体"/>
          <w:color w:val="auto"/>
          <w:sz w:val="21"/>
          <w:szCs w:val="21"/>
          <w:highlight w:val="none"/>
        </w:rPr>
      </w:pPr>
      <w:r>
        <w:rPr>
          <w:rFonts w:ascii="宋体"/>
          <w:color w:val="auto"/>
          <w:sz w:val="21"/>
          <w:szCs w:val="21"/>
          <w:highlight w:val="none"/>
        </w:rPr>
        <w:t>收款单位（户名）:浙江国际招投标有限公司</w:t>
      </w:r>
    </w:p>
    <w:p w14:paraId="5554B45A">
      <w:pPr>
        <w:pStyle w:val="29"/>
        <w:spacing w:line="400" w:lineRule="exact"/>
        <w:ind w:firstLine="441"/>
        <w:rPr>
          <w:rFonts w:hint="default" w:ascii="宋体"/>
          <w:color w:val="auto"/>
          <w:sz w:val="21"/>
          <w:szCs w:val="21"/>
          <w:highlight w:val="none"/>
        </w:rPr>
      </w:pPr>
      <w:r>
        <w:rPr>
          <w:rFonts w:ascii="宋体"/>
          <w:color w:val="auto"/>
          <w:sz w:val="21"/>
          <w:szCs w:val="21"/>
          <w:highlight w:val="none"/>
        </w:rPr>
        <w:t>开户银行：中国工商银行杭州武林支行</w:t>
      </w:r>
    </w:p>
    <w:p w14:paraId="78BE7B46">
      <w:pPr>
        <w:pStyle w:val="29"/>
        <w:spacing w:line="400" w:lineRule="exact"/>
        <w:ind w:firstLine="441"/>
        <w:rPr>
          <w:rFonts w:hint="default" w:ascii="宋体"/>
          <w:color w:val="auto"/>
          <w:sz w:val="21"/>
          <w:szCs w:val="21"/>
          <w:highlight w:val="none"/>
        </w:rPr>
      </w:pPr>
      <w:r>
        <w:rPr>
          <w:rFonts w:ascii="宋体"/>
          <w:color w:val="auto"/>
          <w:sz w:val="21"/>
          <w:szCs w:val="21"/>
          <w:highlight w:val="none"/>
        </w:rPr>
        <w:t>银行账号：1202021209906782015</w:t>
      </w:r>
    </w:p>
    <w:p w14:paraId="5D4624AE">
      <w:pPr>
        <w:pStyle w:val="29"/>
        <w:spacing w:line="400" w:lineRule="exact"/>
        <w:ind w:firstLine="441"/>
        <w:rPr>
          <w:rFonts w:hint="default" w:ascii="宋体"/>
          <w:color w:val="auto"/>
          <w:sz w:val="21"/>
          <w:szCs w:val="21"/>
          <w:highlight w:val="none"/>
        </w:rPr>
      </w:pPr>
      <w:r>
        <w:rPr>
          <w:rFonts w:ascii="宋体"/>
          <w:color w:val="auto"/>
          <w:sz w:val="21"/>
          <w:szCs w:val="21"/>
          <w:highlight w:val="none"/>
        </w:rPr>
        <w:t>投标人应在投标截止时间前办妥投标保证金交纳手续。</w:t>
      </w:r>
    </w:p>
    <w:p w14:paraId="6B9E65E7">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rPr>
        <w:t>七、其他补充事宜</w:t>
      </w:r>
    </w:p>
    <w:p w14:paraId="71018EBC">
      <w:pPr>
        <w:spacing w:line="360" w:lineRule="auto"/>
        <w:ind w:firstLine="420" w:firstLineChars="200"/>
        <w:rPr>
          <w:color w:val="auto"/>
          <w:highlight w:val="none"/>
        </w:rPr>
      </w:pPr>
      <w:r>
        <w:rPr>
          <w:color w:val="auto"/>
          <w:highlight w:val="none"/>
        </w:rPr>
        <w:t>1、</w:t>
      </w:r>
      <w:r>
        <w:rPr>
          <w:rFonts w:hint="eastAsia"/>
          <w:color w:val="auto"/>
          <w:highlight w:val="none"/>
        </w:rPr>
        <w:t>投标人认为招标文件使自己的权益受到损害的，可以自获取招标文件之日或者招标文件公告期限届满之日（公告期限届满后获取招标文件的，以公告期限届满之日为准）起7个工作日内，</w:t>
      </w:r>
      <w:r>
        <w:rPr>
          <w:rFonts w:hint="eastAsia" w:ascii="宋体" w:hAnsi="宋体" w:cs="宋体"/>
          <w:color w:val="auto"/>
          <w:szCs w:val="21"/>
          <w:highlight w:val="none"/>
        </w:rPr>
        <w:t>对招标文件需求的以书面形式向采购人提出质疑，对其他内容的以书面形式向采购人和采购代理机构提出质疑。</w:t>
      </w:r>
    </w:p>
    <w:p w14:paraId="74FD9F04">
      <w:pPr>
        <w:spacing w:line="360" w:lineRule="auto"/>
        <w:rPr>
          <w:color w:val="auto"/>
          <w:highlight w:val="none"/>
        </w:rPr>
      </w:pPr>
      <w:r>
        <w:rPr>
          <w:color w:val="auto"/>
          <w:highlight w:val="none"/>
        </w:rPr>
        <w:t>    2、其他事项</w:t>
      </w:r>
    </w:p>
    <w:p w14:paraId="26BBC04B">
      <w:pPr>
        <w:spacing w:line="360" w:lineRule="auto"/>
        <w:rPr>
          <w:color w:val="auto"/>
          <w:highlight w:val="none"/>
        </w:rPr>
      </w:pPr>
      <w:r>
        <w:rPr>
          <w:color w:val="auto"/>
          <w:highlight w:val="none"/>
        </w:rPr>
        <w:t>   </w:t>
      </w:r>
      <w:r>
        <w:rPr>
          <w:rFonts w:hint="eastAsia"/>
          <w:color w:val="auto"/>
          <w:highlight w:val="none"/>
        </w:rPr>
        <w:t>（1）采购项目需要落实的政府采购政策：《政府采购促进中小企业发展暂行办法》、《关于促进残疾人就业政府采购政策的通知》（财库〔2017〕141号）、《关于政府采购支持监狱企业发展有关问题的通知》（财库[2014]68号）、《关于调整优化节能产品环境标志产品政府采购执行机制的通知》（财库[2019]9号）。</w:t>
      </w:r>
    </w:p>
    <w:p w14:paraId="0A9DB09E">
      <w:pPr>
        <w:spacing w:line="360" w:lineRule="auto"/>
        <w:ind w:firstLine="210" w:firstLineChars="100"/>
        <w:rPr>
          <w:color w:val="auto"/>
          <w:highlight w:val="none"/>
        </w:rPr>
      </w:pPr>
      <w:r>
        <w:rPr>
          <w:rFonts w:hint="eastAsia"/>
          <w:color w:val="auto"/>
          <w:highlight w:val="none"/>
        </w:rPr>
        <w:t>（2）说明：</w:t>
      </w:r>
    </w:p>
    <w:p w14:paraId="0D185AA2">
      <w:pPr>
        <w:widowControl/>
        <w:spacing w:line="360" w:lineRule="auto"/>
        <w:ind w:firstLine="210" w:firstLineChars="100"/>
        <w:jc w:val="left"/>
        <w:rPr>
          <w:color w:val="auto"/>
          <w:highlight w:val="none"/>
        </w:rPr>
      </w:pPr>
      <w:r>
        <w:rPr>
          <w:rFonts w:hint="eastAsia"/>
          <w:color w:val="auto"/>
          <w:highlight w:val="none"/>
        </w:rPr>
        <w:t>A.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r>
        <w:rPr>
          <w:rFonts w:hint="eastAsia"/>
          <w:color w:val="auto"/>
          <w:highlight w:val="none"/>
          <w:lang w:val="en-US" w:eastAsia="zh-CN"/>
        </w:rPr>
        <w:t>，可以允许其独立参加政府采购活动</w:t>
      </w:r>
      <w:r>
        <w:rPr>
          <w:rFonts w:hint="eastAsia"/>
          <w:color w:val="auto"/>
          <w:highlight w:val="none"/>
        </w:rPr>
        <w:t>；</w:t>
      </w:r>
    </w:p>
    <w:p w14:paraId="2B5E30C1">
      <w:pPr>
        <w:widowControl/>
        <w:spacing w:line="360" w:lineRule="auto"/>
        <w:ind w:firstLine="210" w:firstLineChars="100"/>
        <w:jc w:val="left"/>
        <w:rPr>
          <w:color w:val="auto"/>
          <w:highlight w:val="none"/>
        </w:rPr>
      </w:pPr>
      <w:r>
        <w:rPr>
          <w:rFonts w:hint="eastAsia"/>
          <w:color w:val="auto"/>
          <w:highlight w:val="none"/>
        </w:rPr>
        <w:t>B.供应商未被列入失信被执行人名单、重大税收违法案件当事人名单、政府采购严重违法失信行为记录名单，信用信息以信用中国网站（www.creditchina.gov.cn）、中国政府采购网（www.ccgp.gov.cn）公布为准； 　　</w:t>
      </w:r>
    </w:p>
    <w:p w14:paraId="56632436">
      <w:pPr>
        <w:widowControl/>
        <w:spacing w:line="360" w:lineRule="auto"/>
        <w:ind w:firstLine="210" w:firstLineChars="100"/>
        <w:jc w:val="left"/>
        <w:rPr>
          <w:color w:val="auto"/>
          <w:szCs w:val="21"/>
          <w:highlight w:val="none"/>
        </w:rPr>
      </w:pPr>
      <w:r>
        <w:rPr>
          <w:rFonts w:hint="eastAsia"/>
          <w:color w:val="auto"/>
          <w:highlight w:val="none"/>
        </w:rPr>
        <w:t>C.单位负责人为同一人或者存在直接控股、管理关系的不同供应商，不得同时参加同一合同项下的投标。  </w:t>
      </w:r>
    </w:p>
    <w:p w14:paraId="684F17F1">
      <w:pPr>
        <w:widowControl/>
        <w:spacing w:before="213" w:after="213" w:line="401" w:lineRule="atLeast"/>
        <w:rPr>
          <w:rFonts w:ascii="宋体" w:hAnsi="宋体" w:cs="Arial"/>
          <w:color w:val="auto"/>
          <w:szCs w:val="21"/>
          <w:highlight w:val="none"/>
        </w:rPr>
      </w:pPr>
      <w:r>
        <w:rPr>
          <w:rFonts w:hint="eastAsia" w:ascii="宋体" w:hAnsi="宋体" w:cs="Arial"/>
          <w:b/>
          <w:bCs/>
          <w:color w:val="auto"/>
          <w:szCs w:val="21"/>
          <w:highlight w:val="none"/>
          <w:lang w:val="en-US" w:eastAsia="zh-CN"/>
        </w:rPr>
        <w:t>八</w:t>
      </w:r>
      <w:r>
        <w:rPr>
          <w:rFonts w:hint="eastAsia" w:ascii="宋体" w:hAnsi="宋体" w:cs="Arial"/>
          <w:b/>
          <w:bCs/>
          <w:color w:val="auto"/>
          <w:szCs w:val="21"/>
          <w:highlight w:val="none"/>
        </w:rPr>
        <w:t>、对本次采购提出询问、质疑、投诉，请按以下方式联系。</w:t>
      </w:r>
      <w:r>
        <w:rPr>
          <w:rFonts w:hint="eastAsia" w:ascii="宋体" w:hAnsi="宋体" w:cs="Arial"/>
          <w:color w:val="auto"/>
          <w:szCs w:val="21"/>
          <w:highlight w:val="none"/>
        </w:rPr>
        <w:t>　　　　　　　　　　　　</w:t>
      </w:r>
    </w:p>
    <w:p w14:paraId="1E8D085C">
      <w:pPr>
        <w:widowControl/>
        <w:adjustRightInd w:val="0"/>
        <w:snapToGrid w:val="0"/>
        <w:spacing w:line="360" w:lineRule="auto"/>
        <w:jc w:val="left"/>
        <w:rPr>
          <w:rFonts w:ascii="宋体" w:hAnsi="宋体" w:cs="Arial"/>
          <w:b/>
          <w:bCs/>
          <w:color w:val="auto"/>
          <w:szCs w:val="21"/>
          <w:highlight w:val="none"/>
        </w:rPr>
      </w:pPr>
      <w:r>
        <w:rPr>
          <w:rFonts w:hint="eastAsia" w:ascii="宋体" w:hAnsi="宋体" w:cs="Arial"/>
          <w:b/>
          <w:bCs/>
          <w:color w:val="auto"/>
          <w:szCs w:val="21"/>
          <w:highlight w:val="none"/>
        </w:rPr>
        <w:t>1.采购人信息</w:t>
      </w:r>
    </w:p>
    <w:p w14:paraId="728621A7">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名    称：</w:t>
      </w:r>
      <w:r>
        <w:rPr>
          <w:rFonts w:hint="eastAsia" w:ascii="宋体" w:hAnsi="宋体" w:cs="宋体"/>
          <w:color w:val="auto"/>
          <w:kern w:val="0"/>
          <w:szCs w:val="21"/>
          <w:highlight w:val="none"/>
          <w:u w:val="single"/>
        </w:rPr>
        <w:t>中国财税博物馆</w:t>
      </w:r>
    </w:p>
    <w:p w14:paraId="00EC1D6D">
      <w:pPr>
        <w:widowControl/>
        <w:adjustRightInd w:val="0"/>
        <w:snapToGrid w:val="0"/>
        <w:spacing w:line="360" w:lineRule="auto"/>
        <w:ind w:firstLine="420" w:firstLineChars="200"/>
        <w:jc w:val="left"/>
        <w:rPr>
          <w:rFonts w:ascii="宋体" w:hAnsi="宋体" w:cs="Arial"/>
          <w:color w:val="auto"/>
          <w:szCs w:val="21"/>
          <w:highlight w:val="none"/>
          <w:u w:val="single"/>
        </w:rPr>
      </w:pPr>
      <w:r>
        <w:rPr>
          <w:rFonts w:hint="eastAsia" w:ascii="宋体" w:hAnsi="宋体" w:cs="Arial"/>
          <w:color w:val="auto"/>
          <w:szCs w:val="21"/>
          <w:highlight w:val="none"/>
        </w:rPr>
        <w:t>地    址：</w:t>
      </w:r>
      <w:r>
        <w:rPr>
          <w:rFonts w:hint="eastAsia" w:ascii="宋体" w:hAnsi="宋体" w:cs="Arial"/>
          <w:color w:val="auto"/>
          <w:szCs w:val="21"/>
          <w:highlight w:val="none"/>
          <w:u w:val="single"/>
        </w:rPr>
        <w:t xml:space="preserve"> 杭州市吴山广场28号</w:t>
      </w:r>
    </w:p>
    <w:p w14:paraId="6ECA5CBD">
      <w:pPr>
        <w:widowControl/>
        <w:adjustRightInd w:val="0"/>
        <w:snapToGrid w:val="0"/>
        <w:spacing w:line="360" w:lineRule="auto"/>
        <w:ind w:firstLine="420" w:firstLineChars="200"/>
        <w:jc w:val="left"/>
        <w:rPr>
          <w:rFonts w:ascii="宋体" w:hAnsi="宋体" w:cs="Arial"/>
          <w:color w:val="auto"/>
          <w:szCs w:val="21"/>
          <w:highlight w:val="none"/>
          <w:u w:val="single"/>
        </w:rPr>
      </w:pPr>
      <w:r>
        <w:rPr>
          <w:rFonts w:hint="eastAsia" w:ascii="宋体" w:hAnsi="宋体" w:cs="Arial"/>
          <w:color w:val="auto"/>
          <w:szCs w:val="21"/>
          <w:highlight w:val="none"/>
        </w:rPr>
        <w:t>传     真：</w:t>
      </w:r>
      <w:r>
        <w:rPr>
          <w:rFonts w:hint="eastAsia" w:ascii="宋体" w:hAnsi="宋体" w:cs="Arial"/>
          <w:color w:val="auto"/>
          <w:szCs w:val="21"/>
          <w:highlight w:val="none"/>
          <w:u w:val="single"/>
        </w:rPr>
        <w:t xml:space="preserve"> / </w:t>
      </w:r>
    </w:p>
    <w:p w14:paraId="2F433AF2">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项目联系人（询问）：</w:t>
      </w:r>
      <w:r>
        <w:rPr>
          <w:rFonts w:hint="eastAsia" w:ascii="宋体" w:hAnsi="宋体" w:cs="宋体"/>
          <w:color w:val="auto"/>
          <w:kern w:val="0"/>
          <w:szCs w:val="21"/>
          <w:highlight w:val="none"/>
          <w:u w:val="single"/>
        </w:rPr>
        <w:t xml:space="preserve">  姜先生  </w:t>
      </w:r>
    </w:p>
    <w:p w14:paraId="78A44A34">
      <w:pPr>
        <w:widowControl/>
        <w:adjustRightInd w:val="0"/>
        <w:snapToGrid w:val="0"/>
        <w:spacing w:line="360" w:lineRule="auto"/>
        <w:ind w:firstLine="420" w:firstLineChars="200"/>
        <w:jc w:val="left"/>
        <w:rPr>
          <w:rFonts w:ascii="宋体" w:hAnsi="宋体" w:cs="Arial"/>
          <w:b/>
          <w:bCs/>
          <w:color w:val="auto"/>
          <w:szCs w:val="21"/>
          <w:highlight w:val="none"/>
        </w:rPr>
      </w:pPr>
      <w:r>
        <w:rPr>
          <w:rFonts w:hint="eastAsia" w:ascii="宋体" w:hAnsi="宋体" w:cs="Arial"/>
          <w:color w:val="auto"/>
          <w:szCs w:val="21"/>
          <w:highlight w:val="none"/>
        </w:rPr>
        <w:t>项目联系方式（询问）：</w:t>
      </w:r>
      <w:r>
        <w:rPr>
          <w:rFonts w:hint="eastAsia" w:ascii="宋体" w:hAnsi="宋体" w:cs="宋体"/>
          <w:color w:val="auto"/>
          <w:kern w:val="0"/>
          <w:szCs w:val="21"/>
          <w:highlight w:val="none"/>
          <w:u w:val="single"/>
        </w:rPr>
        <w:t>0571-87835357</w:t>
      </w:r>
      <w:r>
        <w:rPr>
          <w:rFonts w:hint="eastAsia" w:ascii="宋体" w:hAnsi="宋体" w:cs="Arial"/>
          <w:color w:val="auto"/>
          <w:szCs w:val="21"/>
          <w:highlight w:val="none"/>
        </w:rPr>
        <w:t xml:space="preserve">  </w:t>
      </w:r>
      <w:r>
        <w:rPr>
          <w:rFonts w:hint="eastAsia" w:ascii="宋体" w:hAnsi="宋体" w:cs="Arial"/>
          <w:color w:val="auto"/>
          <w:szCs w:val="21"/>
          <w:highlight w:val="none"/>
        </w:rPr>
        <w:br w:type="textWrapping"/>
      </w:r>
      <w:r>
        <w:rPr>
          <w:rFonts w:hint="eastAsia" w:ascii="宋体" w:hAnsi="宋体" w:cs="Arial"/>
          <w:b/>
          <w:bCs/>
          <w:color w:val="auto"/>
          <w:szCs w:val="21"/>
          <w:highlight w:val="none"/>
        </w:rPr>
        <w:t>2.采购代理机构信息</w:t>
      </w:r>
    </w:p>
    <w:p w14:paraId="4D137D30">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名    称： </w:t>
      </w:r>
      <w:r>
        <w:rPr>
          <w:rFonts w:hint="eastAsia" w:ascii="宋体" w:hAnsi="宋体" w:cs="Arial"/>
          <w:color w:val="auto"/>
          <w:szCs w:val="21"/>
          <w:highlight w:val="none"/>
          <w:u w:val="single"/>
        </w:rPr>
        <w:t>浙江国际招投标有限公司</w:t>
      </w:r>
    </w:p>
    <w:p w14:paraId="35D64993">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地    址： </w:t>
      </w:r>
      <w:r>
        <w:rPr>
          <w:rFonts w:hint="eastAsia" w:ascii="宋体" w:hAnsi="宋体" w:cs="Arial"/>
          <w:color w:val="auto"/>
          <w:szCs w:val="21"/>
          <w:highlight w:val="none"/>
          <w:u w:val="single"/>
        </w:rPr>
        <w:t>杭州市文三路90号东部软件园1号楼3楼</w:t>
      </w:r>
    </w:p>
    <w:p w14:paraId="407DAB50">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传    真：</w:t>
      </w:r>
      <w:r>
        <w:rPr>
          <w:rFonts w:hint="eastAsia" w:ascii="宋体" w:hAnsi="宋体" w:cs="Arial"/>
          <w:color w:val="auto"/>
          <w:szCs w:val="21"/>
          <w:highlight w:val="none"/>
          <w:u w:val="single"/>
        </w:rPr>
        <w:t>0571-81061828</w:t>
      </w:r>
    </w:p>
    <w:p w14:paraId="0B01025E">
      <w:pPr>
        <w:widowControl/>
        <w:adjustRightInd w:val="0"/>
        <w:snapToGrid w:val="0"/>
        <w:spacing w:line="360" w:lineRule="auto"/>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项目联系人（询问）：</w:t>
      </w:r>
      <w:r>
        <w:rPr>
          <w:rFonts w:hint="eastAsia" w:ascii="宋体" w:hAnsi="宋体" w:cs="Arial"/>
          <w:color w:val="auto"/>
          <w:szCs w:val="21"/>
          <w:highlight w:val="none"/>
          <w:u w:val="single"/>
        </w:rPr>
        <w:t>邵子野，陶云龙</w:t>
      </w:r>
    </w:p>
    <w:p w14:paraId="45ACE2CD">
      <w:pPr>
        <w:widowControl/>
        <w:adjustRightInd w:val="0"/>
        <w:snapToGrid w:val="0"/>
        <w:spacing w:line="360" w:lineRule="auto"/>
        <w:ind w:firstLine="420" w:firstLineChars="200"/>
        <w:jc w:val="left"/>
        <w:rPr>
          <w:rFonts w:ascii="宋体" w:hAnsi="宋体" w:cs="Arial"/>
          <w:color w:val="auto"/>
          <w:szCs w:val="21"/>
          <w:highlight w:val="none"/>
          <w:u w:val="single"/>
        </w:rPr>
      </w:pPr>
      <w:r>
        <w:rPr>
          <w:rFonts w:hint="eastAsia" w:ascii="宋体" w:hAnsi="宋体" w:cs="Arial"/>
          <w:color w:val="auto"/>
          <w:szCs w:val="21"/>
          <w:highlight w:val="none"/>
        </w:rPr>
        <w:t>项目联系方式（询问）：</w:t>
      </w:r>
      <w:r>
        <w:rPr>
          <w:rFonts w:hint="eastAsia" w:ascii="宋体" w:hAnsi="宋体" w:cs="Arial"/>
          <w:color w:val="auto"/>
          <w:szCs w:val="21"/>
          <w:highlight w:val="none"/>
          <w:u w:val="single"/>
        </w:rPr>
        <w:t>0571-81061830，81061831</w:t>
      </w:r>
    </w:p>
    <w:p w14:paraId="3D8E2803">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质疑联系人：</w:t>
      </w:r>
      <w:r>
        <w:rPr>
          <w:rFonts w:hint="eastAsia" w:ascii="宋体" w:hAnsi="宋体" w:cs="宋体"/>
          <w:color w:val="auto"/>
          <w:szCs w:val="21"/>
          <w:highlight w:val="none"/>
          <w:u w:val="single"/>
        </w:rPr>
        <w:t> 康勤勤 </w:t>
      </w:r>
    </w:p>
    <w:p w14:paraId="031BE4A5">
      <w:pPr>
        <w:widowControl/>
        <w:adjustRightInd w:val="0"/>
        <w:snapToGrid w:val="0"/>
        <w:spacing w:line="360" w:lineRule="auto"/>
        <w:ind w:firstLine="420" w:firstLineChars="200"/>
        <w:jc w:val="left"/>
        <w:rPr>
          <w:rFonts w:ascii="宋体" w:hAnsi="宋体" w:cs="Arial"/>
          <w:b/>
          <w:bCs/>
          <w:color w:val="auto"/>
          <w:szCs w:val="21"/>
          <w:highlight w:val="none"/>
        </w:rPr>
      </w:pPr>
      <w:r>
        <w:rPr>
          <w:rFonts w:hint="eastAsia" w:ascii="宋体" w:hAnsi="宋体" w:cs="宋体"/>
          <w:color w:val="auto"/>
          <w:szCs w:val="21"/>
          <w:highlight w:val="none"/>
        </w:rPr>
        <w:t>质疑联系方式：</w:t>
      </w:r>
      <w:r>
        <w:rPr>
          <w:rFonts w:hint="eastAsia" w:ascii="宋体" w:hAnsi="宋体" w:cs="宋体"/>
          <w:color w:val="auto"/>
          <w:szCs w:val="21"/>
          <w:highlight w:val="none"/>
          <w:u w:val="single"/>
        </w:rPr>
        <w:t xml:space="preserve">  0571-81061834  </w:t>
      </w:r>
      <w:r>
        <w:rPr>
          <w:rFonts w:hint="eastAsia" w:ascii="宋体" w:hAnsi="宋体" w:cs="Arial"/>
          <w:color w:val="auto"/>
          <w:szCs w:val="21"/>
          <w:highlight w:val="none"/>
        </w:rPr>
        <w:t> </w:t>
      </w:r>
      <w:r>
        <w:rPr>
          <w:rFonts w:hint="eastAsia" w:ascii="宋体" w:hAnsi="宋体" w:cs="Arial"/>
          <w:color w:val="auto"/>
          <w:szCs w:val="21"/>
          <w:highlight w:val="none"/>
        </w:rPr>
        <w:br w:type="textWrapping"/>
      </w:r>
      <w:r>
        <w:rPr>
          <w:rFonts w:hint="eastAsia" w:ascii="宋体" w:hAnsi="宋体" w:cs="Arial"/>
          <w:b/>
          <w:bCs/>
          <w:color w:val="auto"/>
          <w:szCs w:val="21"/>
          <w:highlight w:val="none"/>
        </w:rPr>
        <w:t>3.监督管理部门</w:t>
      </w:r>
    </w:p>
    <w:bookmarkEnd w:id="2"/>
    <w:bookmarkEnd w:id="3"/>
    <w:bookmarkEnd w:id="4"/>
    <w:p w14:paraId="6A87E1BA">
      <w:pPr>
        <w:pStyle w:val="3"/>
        <w:ind w:firstLine="420" w:firstLineChars="200"/>
        <w:rPr>
          <w:rFonts w:hint="eastAsia" w:ascii="宋体" w:hAnsi="宋体" w:eastAsia="宋体" w:cs="宋体"/>
          <w:color w:val="auto"/>
          <w:sz w:val="21"/>
          <w:szCs w:val="18"/>
          <w:highlight w:val="none"/>
          <w:lang w:eastAsia="zh-CN"/>
        </w:rPr>
      </w:pPr>
      <w:r>
        <w:rPr>
          <w:rFonts w:hint="eastAsia" w:ascii="宋体" w:hAnsi="宋体" w:cs="宋体"/>
          <w:color w:val="auto"/>
          <w:sz w:val="21"/>
          <w:szCs w:val="18"/>
          <w:highlight w:val="none"/>
        </w:rPr>
        <w:t>名    称：</w:t>
      </w:r>
      <w:r>
        <w:rPr>
          <w:rFonts w:hint="eastAsia" w:ascii="宋体" w:hAnsi="宋体" w:eastAsia="宋体" w:cs="宋体"/>
          <w:color w:val="auto"/>
          <w:sz w:val="21"/>
          <w:szCs w:val="18"/>
          <w:highlight w:val="none"/>
          <w:lang w:eastAsia="zh-CN"/>
        </w:rPr>
        <w:t>中共中国财税博物馆纪律检查委员会</w:t>
      </w:r>
    </w:p>
    <w:p w14:paraId="7C9AF712">
      <w:pPr>
        <w:pStyle w:val="3"/>
        <w:ind w:firstLine="420" w:firstLineChars="200"/>
        <w:rPr>
          <w:rFonts w:hint="default" w:ascii="宋体" w:hAnsi="宋体" w:eastAsia="宋体" w:cs="宋体"/>
          <w:color w:val="auto"/>
          <w:sz w:val="21"/>
          <w:szCs w:val="18"/>
          <w:highlight w:val="none"/>
          <w:lang w:val="en-US" w:eastAsia="zh-CN"/>
        </w:rPr>
      </w:pPr>
      <w:r>
        <w:rPr>
          <w:rFonts w:hint="eastAsia" w:ascii="宋体" w:hAnsi="宋体" w:cs="宋体"/>
          <w:color w:val="auto"/>
          <w:sz w:val="21"/>
          <w:szCs w:val="18"/>
          <w:highlight w:val="none"/>
        </w:rPr>
        <w:t>地    址：</w:t>
      </w:r>
      <w:r>
        <w:rPr>
          <w:rFonts w:hint="eastAsia" w:ascii="宋体" w:hAnsi="宋体" w:eastAsia="宋体" w:cs="宋体"/>
          <w:color w:val="auto"/>
          <w:sz w:val="21"/>
          <w:szCs w:val="18"/>
          <w:highlight w:val="none"/>
          <w:lang w:eastAsia="zh-CN"/>
        </w:rPr>
        <w:t>杭州市吴山广场</w:t>
      </w:r>
      <w:r>
        <w:rPr>
          <w:rFonts w:hint="eastAsia" w:ascii="宋体" w:hAnsi="宋体" w:eastAsia="宋体" w:cs="宋体"/>
          <w:color w:val="auto"/>
          <w:sz w:val="21"/>
          <w:szCs w:val="18"/>
          <w:highlight w:val="none"/>
          <w:lang w:val="en-US" w:eastAsia="zh-CN"/>
        </w:rPr>
        <w:t>28号</w:t>
      </w:r>
    </w:p>
    <w:p w14:paraId="01D0826A">
      <w:pPr>
        <w:pStyle w:val="3"/>
        <w:ind w:firstLine="420" w:firstLineChars="200"/>
        <w:rPr>
          <w:rFonts w:hint="eastAsia" w:ascii="宋体" w:hAnsi="宋体" w:eastAsia="宋体" w:cs="宋体"/>
          <w:color w:val="auto"/>
          <w:sz w:val="21"/>
          <w:szCs w:val="18"/>
          <w:highlight w:val="none"/>
          <w:lang w:eastAsia="zh-CN"/>
        </w:rPr>
      </w:pPr>
      <w:r>
        <w:rPr>
          <w:rFonts w:hint="eastAsia" w:ascii="宋体" w:hAnsi="宋体" w:cs="宋体"/>
          <w:color w:val="auto"/>
          <w:sz w:val="21"/>
          <w:szCs w:val="18"/>
          <w:highlight w:val="none"/>
        </w:rPr>
        <w:t>联系人：</w:t>
      </w:r>
      <w:r>
        <w:rPr>
          <w:rFonts w:hint="eastAsia" w:ascii="宋体" w:hAnsi="宋体" w:eastAsia="宋体" w:cs="宋体"/>
          <w:color w:val="auto"/>
          <w:sz w:val="21"/>
          <w:szCs w:val="18"/>
          <w:highlight w:val="none"/>
          <w:lang w:eastAsia="zh-CN"/>
        </w:rPr>
        <w:t>余女士</w:t>
      </w:r>
    </w:p>
    <w:p w14:paraId="0B3BB98B">
      <w:pPr>
        <w:pStyle w:val="3"/>
        <w:ind w:firstLine="420" w:firstLineChars="200"/>
        <w:rPr>
          <w:rFonts w:ascii="宋体" w:hAnsi="宋体" w:eastAsia="宋体" w:cs="宋体"/>
          <w:color w:val="auto"/>
          <w:kern w:val="0"/>
          <w:sz w:val="21"/>
          <w:szCs w:val="18"/>
          <w:highlight w:val="none"/>
        </w:rPr>
      </w:pPr>
      <w:r>
        <w:rPr>
          <w:rFonts w:hint="eastAsia" w:ascii="宋体" w:hAnsi="宋体" w:cs="宋体"/>
          <w:color w:val="auto"/>
          <w:sz w:val="21"/>
          <w:szCs w:val="18"/>
          <w:highlight w:val="none"/>
        </w:rPr>
        <w:t>监督投诉电话：</w:t>
      </w:r>
      <w:r>
        <w:rPr>
          <w:rFonts w:hint="eastAsia" w:ascii="宋体" w:hAnsi="宋体" w:eastAsia="宋体" w:cs="宋体"/>
          <w:color w:val="auto"/>
          <w:sz w:val="21"/>
          <w:szCs w:val="18"/>
          <w:highlight w:val="none"/>
          <w:lang w:val="en-US" w:eastAsia="zh-CN"/>
        </w:rPr>
        <w:t>0571-87835339</w:t>
      </w:r>
      <w:r>
        <w:rPr>
          <w:rFonts w:hint="eastAsia" w:ascii="宋体" w:hAnsi="宋体" w:cs="宋体"/>
          <w:color w:val="auto"/>
          <w:sz w:val="21"/>
          <w:szCs w:val="18"/>
          <w:highlight w:val="none"/>
        </w:rPr>
        <w:t xml:space="preserve">          </w:t>
      </w:r>
    </w:p>
    <w:p w14:paraId="7C2EE6DA">
      <w:pPr>
        <w:widowControl/>
        <w:tabs>
          <w:tab w:val="left" w:pos="8647"/>
        </w:tabs>
        <w:adjustRightInd w:val="0"/>
        <w:snapToGrid w:val="0"/>
        <w:spacing w:line="360" w:lineRule="auto"/>
        <w:ind w:right="-59"/>
        <w:jc w:val="center"/>
        <w:rPr>
          <w:rFonts w:ascii="宋体" w:hAnsi="宋体" w:cs="宋体"/>
          <w:b/>
          <w:color w:val="auto"/>
          <w:sz w:val="30"/>
          <w:szCs w:val="30"/>
          <w:highlight w:val="none"/>
        </w:rPr>
      </w:pPr>
      <w:r>
        <w:rPr>
          <w:rFonts w:hint="eastAsia" w:ascii="宋体" w:hAnsi="宋体" w:cs="宋体"/>
          <w:b/>
          <w:bCs/>
          <w:color w:val="auto"/>
          <w:sz w:val="28"/>
          <w:szCs w:val="21"/>
          <w:highlight w:val="none"/>
        </w:rPr>
        <w:br w:type="page"/>
      </w:r>
      <w:r>
        <w:rPr>
          <w:rFonts w:hint="eastAsia" w:ascii="宋体" w:hAnsi="宋体" w:cs="宋体"/>
          <w:b/>
          <w:color w:val="auto"/>
          <w:sz w:val="30"/>
          <w:szCs w:val="30"/>
          <w:highlight w:val="none"/>
        </w:rPr>
        <w:t>前 附 表</w:t>
      </w:r>
    </w:p>
    <w:p w14:paraId="000CB0C8">
      <w:pPr>
        <w:rPr>
          <w:rFonts w:ascii="宋体" w:hAnsi="宋体" w:cs="宋体"/>
          <w:color w:val="auto"/>
          <w:szCs w:val="21"/>
          <w:highlight w:val="none"/>
        </w:rPr>
      </w:pPr>
    </w:p>
    <w:tbl>
      <w:tblPr>
        <w:tblStyle w:val="45"/>
        <w:tblW w:w="959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6"/>
        <w:gridCol w:w="1278"/>
        <w:gridCol w:w="7419"/>
      </w:tblGrid>
      <w:tr w14:paraId="55504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1" w:hRule="atLeast"/>
          <w:tblHeader/>
          <w:jc w:val="center"/>
        </w:trPr>
        <w:tc>
          <w:tcPr>
            <w:tcW w:w="896" w:type="dxa"/>
            <w:vAlign w:val="center"/>
          </w:tcPr>
          <w:p w14:paraId="3380123A">
            <w:pPr>
              <w:adjustRightInd w:val="0"/>
              <w:snapToGrid w:val="0"/>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序号</w:t>
            </w:r>
          </w:p>
        </w:tc>
        <w:tc>
          <w:tcPr>
            <w:tcW w:w="1278" w:type="dxa"/>
            <w:vAlign w:val="center"/>
          </w:tcPr>
          <w:p w14:paraId="4291B5DC">
            <w:pPr>
              <w:adjustRightInd w:val="0"/>
              <w:snapToGrid w:val="0"/>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项   目</w:t>
            </w:r>
          </w:p>
        </w:tc>
        <w:tc>
          <w:tcPr>
            <w:tcW w:w="7419" w:type="dxa"/>
            <w:vAlign w:val="center"/>
          </w:tcPr>
          <w:p w14:paraId="3A150098">
            <w:pPr>
              <w:adjustRightInd w:val="0"/>
              <w:snapToGrid w:val="0"/>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内       容</w:t>
            </w:r>
          </w:p>
        </w:tc>
      </w:tr>
      <w:tr w14:paraId="5D2E8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96" w:type="dxa"/>
            <w:vAlign w:val="center"/>
          </w:tcPr>
          <w:p w14:paraId="3A61D4D5">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1278" w:type="dxa"/>
            <w:vAlign w:val="center"/>
          </w:tcPr>
          <w:p w14:paraId="2E539B9D">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项目名称</w:t>
            </w:r>
          </w:p>
        </w:tc>
        <w:tc>
          <w:tcPr>
            <w:tcW w:w="7419" w:type="dxa"/>
            <w:vAlign w:val="center"/>
          </w:tcPr>
          <w:p w14:paraId="453F926E">
            <w:pPr>
              <w:adjustRightInd w:val="0"/>
              <w:snapToGrid w:val="0"/>
              <w:spacing w:line="300" w:lineRule="auto"/>
              <w:rPr>
                <w:rFonts w:hint="eastAsia" w:ascii="宋体" w:hAnsi="宋体" w:eastAsia="宋体" w:cs="宋体"/>
                <w:snapToGrid w:val="0"/>
                <w:color w:val="auto"/>
                <w:kern w:val="0"/>
                <w:szCs w:val="21"/>
                <w:highlight w:val="none"/>
                <w:lang w:eastAsia="zh-CN"/>
              </w:rPr>
            </w:pPr>
            <w:r>
              <w:rPr>
                <w:rFonts w:hint="eastAsia" w:ascii="宋体" w:hAnsi="宋体" w:cs="宋体"/>
                <w:bCs/>
                <w:snapToGrid w:val="0"/>
                <w:color w:val="auto"/>
                <w:kern w:val="0"/>
                <w:szCs w:val="21"/>
                <w:highlight w:val="none"/>
                <w:lang w:eastAsia="zh-CN"/>
              </w:rPr>
              <w:t>中国财税博物馆2024-2027年保安及物业管理服务采购项目</w:t>
            </w:r>
          </w:p>
        </w:tc>
      </w:tr>
      <w:tr w14:paraId="160F62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96" w:type="dxa"/>
            <w:vAlign w:val="center"/>
          </w:tcPr>
          <w:p w14:paraId="21480792">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1278" w:type="dxa"/>
            <w:vAlign w:val="center"/>
          </w:tcPr>
          <w:p w14:paraId="5214836A">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实施地点</w:t>
            </w:r>
          </w:p>
        </w:tc>
        <w:tc>
          <w:tcPr>
            <w:tcW w:w="7419" w:type="dxa"/>
            <w:vAlign w:val="center"/>
          </w:tcPr>
          <w:p w14:paraId="722C2B18">
            <w:pPr>
              <w:adjustRightInd w:val="0"/>
              <w:snapToGrid w:val="0"/>
              <w:spacing w:line="300" w:lineRule="auto"/>
              <w:rPr>
                <w:rFonts w:ascii="宋体" w:hAnsi="宋体" w:cs="宋体"/>
                <w:snapToGrid w:val="0"/>
                <w:color w:val="auto"/>
                <w:kern w:val="0"/>
                <w:szCs w:val="21"/>
                <w:highlight w:val="none"/>
              </w:rPr>
            </w:pPr>
            <w:r>
              <w:rPr>
                <w:rFonts w:hint="eastAsia"/>
                <w:color w:val="auto"/>
                <w:highlight w:val="none"/>
              </w:rPr>
              <w:t>中国财税博物馆指定地点</w:t>
            </w:r>
          </w:p>
        </w:tc>
      </w:tr>
      <w:tr w14:paraId="39106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96" w:type="dxa"/>
            <w:vAlign w:val="center"/>
          </w:tcPr>
          <w:p w14:paraId="010FA6BA">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1278" w:type="dxa"/>
            <w:vAlign w:val="center"/>
          </w:tcPr>
          <w:p w14:paraId="249777E7">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招标编号</w:t>
            </w:r>
          </w:p>
        </w:tc>
        <w:tc>
          <w:tcPr>
            <w:tcW w:w="7419" w:type="dxa"/>
            <w:vAlign w:val="center"/>
          </w:tcPr>
          <w:p w14:paraId="49D4B429">
            <w:pPr>
              <w:adjustRightInd w:val="0"/>
              <w:snapToGrid w:val="0"/>
              <w:spacing w:line="300" w:lineRule="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rPr>
              <w:t>ZJ-</w:t>
            </w:r>
            <w:r>
              <w:rPr>
                <w:rFonts w:hint="eastAsia" w:ascii="宋体" w:hAnsi="宋体" w:cs="宋体"/>
                <w:snapToGrid w:val="0"/>
                <w:color w:val="auto"/>
                <w:kern w:val="0"/>
                <w:szCs w:val="21"/>
                <w:highlight w:val="none"/>
                <w:lang w:eastAsia="zh-CN"/>
              </w:rPr>
              <w:t>2412844</w:t>
            </w:r>
          </w:p>
        </w:tc>
      </w:tr>
      <w:tr w14:paraId="3BD49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896" w:type="dxa"/>
            <w:vAlign w:val="center"/>
          </w:tcPr>
          <w:p w14:paraId="559606F7">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w:t>
            </w:r>
          </w:p>
        </w:tc>
        <w:tc>
          <w:tcPr>
            <w:tcW w:w="1278" w:type="dxa"/>
            <w:vAlign w:val="center"/>
          </w:tcPr>
          <w:p w14:paraId="5114A4BA">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采购方式</w:t>
            </w:r>
          </w:p>
        </w:tc>
        <w:tc>
          <w:tcPr>
            <w:tcW w:w="7419" w:type="dxa"/>
            <w:vAlign w:val="center"/>
          </w:tcPr>
          <w:p w14:paraId="7C07111A">
            <w:pPr>
              <w:adjustRightInd w:val="0"/>
              <w:snapToGrid w:val="0"/>
              <w:spacing w:line="300" w:lineRule="auto"/>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公开招标</w:t>
            </w:r>
          </w:p>
        </w:tc>
      </w:tr>
      <w:tr w14:paraId="647996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96" w:type="dxa"/>
            <w:vAlign w:val="center"/>
          </w:tcPr>
          <w:p w14:paraId="348F0AF1">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1278" w:type="dxa"/>
            <w:vAlign w:val="center"/>
          </w:tcPr>
          <w:p w14:paraId="7A0D3576">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采购内容概述</w:t>
            </w:r>
          </w:p>
        </w:tc>
        <w:tc>
          <w:tcPr>
            <w:tcW w:w="7419" w:type="dxa"/>
            <w:vAlign w:val="center"/>
          </w:tcPr>
          <w:p w14:paraId="2EF8A1FF">
            <w:pPr>
              <w:adjustRightInd w:val="0"/>
              <w:snapToGrid w:val="0"/>
              <w:spacing w:line="300" w:lineRule="auto"/>
              <w:rPr>
                <w:rFonts w:ascii="宋体" w:hAnsi="宋体" w:cs="宋体"/>
                <w:snapToGrid w:val="0"/>
                <w:color w:val="auto"/>
                <w:kern w:val="0"/>
                <w:szCs w:val="21"/>
                <w:highlight w:val="none"/>
              </w:rPr>
            </w:pPr>
            <w:r>
              <w:rPr>
                <w:rFonts w:hint="eastAsia"/>
                <w:color w:val="auto"/>
                <w:highlight w:val="none"/>
              </w:rPr>
              <w:t>本次招标内容为</w:t>
            </w:r>
            <w:r>
              <w:rPr>
                <w:rFonts w:hint="eastAsia"/>
                <w:color w:val="auto"/>
                <w:highlight w:val="none"/>
                <w:lang w:eastAsia="zh-CN"/>
              </w:rPr>
              <w:t>中国财税博物馆2024-2027年保安及物业管理服务采购项目</w:t>
            </w:r>
            <w:r>
              <w:rPr>
                <w:rFonts w:hint="eastAsia" w:ascii="宋体" w:hAnsi="宋体" w:cs="宋体"/>
                <w:color w:val="auto"/>
                <w:highlight w:val="none"/>
              </w:rPr>
              <w:t>,</w:t>
            </w:r>
            <w:r>
              <w:rPr>
                <w:rFonts w:hint="eastAsia"/>
                <w:color w:val="auto"/>
                <w:highlight w:val="none"/>
              </w:rPr>
              <w:t>具体要求详见《采购需求》。</w:t>
            </w:r>
          </w:p>
        </w:tc>
      </w:tr>
      <w:tr w14:paraId="0245B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96" w:type="dxa"/>
            <w:vAlign w:val="center"/>
          </w:tcPr>
          <w:p w14:paraId="5BF1B547">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p>
        </w:tc>
        <w:tc>
          <w:tcPr>
            <w:tcW w:w="1278" w:type="dxa"/>
            <w:vAlign w:val="center"/>
          </w:tcPr>
          <w:p w14:paraId="0FC82E19">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服务期限</w:t>
            </w:r>
          </w:p>
        </w:tc>
        <w:tc>
          <w:tcPr>
            <w:tcW w:w="7419" w:type="dxa"/>
            <w:vAlign w:val="center"/>
          </w:tcPr>
          <w:p w14:paraId="109DF53C">
            <w:pPr>
              <w:widowControl/>
              <w:adjustRightInd w:val="0"/>
              <w:snapToGrid w:val="0"/>
              <w:jc w:val="left"/>
              <w:rPr>
                <w:rFonts w:ascii="宋体" w:hAnsi="宋体" w:cs="宋体"/>
                <w:color w:val="auto"/>
                <w:szCs w:val="21"/>
                <w:highlight w:val="none"/>
              </w:rPr>
            </w:pPr>
            <w:r>
              <w:rPr>
                <w:rFonts w:hint="eastAsia"/>
                <w:color w:val="auto"/>
                <w:highlight w:val="none"/>
              </w:rPr>
              <w:t>合同期限为一年。上一年考核结果达到优秀标准的，可续签一年合同，最多续签两次。</w:t>
            </w:r>
          </w:p>
        </w:tc>
      </w:tr>
      <w:tr w14:paraId="1A08C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896" w:type="dxa"/>
            <w:vAlign w:val="center"/>
          </w:tcPr>
          <w:p w14:paraId="5C226C01">
            <w:pPr>
              <w:adjustRightInd w:val="0"/>
              <w:jc w:val="center"/>
              <w:rPr>
                <w:rFonts w:ascii="宋体" w:hAnsi="宋体" w:cs="宋体"/>
                <w:snapToGrid w:val="0"/>
                <w:color w:val="auto"/>
                <w:kern w:val="0"/>
                <w:szCs w:val="21"/>
                <w:highlight w:val="none"/>
              </w:rPr>
            </w:pPr>
            <w:r>
              <w:rPr>
                <w:rFonts w:hint="eastAsia" w:ascii="宋体" w:hAnsi="宋体" w:cs="宋体"/>
                <w:color w:val="auto"/>
                <w:szCs w:val="21"/>
                <w:highlight w:val="none"/>
              </w:rPr>
              <w:t>7</w:t>
            </w:r>
          </w:p>
        </w:tc>
        <w:tc>
          <w:tcPr>
            <w:tcW w:w="1278" w:type="dxa"/>
            <w:vAlign w:val="center"/>
          </w:tcPr>
          <w:p w14:paraId="2F7DD3A5">
            <w:pPr>
              <w:snapToGrid w:val="0"/>
              <w:spacing w:line="360" w:lineRule="exact"/>
              <w:jc w:val="center"/>
              <w:rPr>
                <w:rFonts w:ascii="宋体" w:hAnsi="宋体" w:cs="宋体"/>
                <w:b/>
                <w:bCs/>
                <w:snapToGrid w:val="0"/>
                <w:color w:val="auto"/>
                <w:kern w:val="0"/>
                <w:szCs w:val="21"/>
                <w:highlight w:val="none"/>
              </w:rPr>
            </w:pPr>
            <w:r>
              <w:rPr>
                <w:rFonts w:hint="eastAsia" w:ascii="宋体" w:hAnsi="宋体" w:cs="宋体"/>
                <w:b/>
                <w:bCs/>
                <w:color w:val="auto"/>
                <w:szCs w:val="21"/>
                <w:highlight w:val="none"/>
              </w:rPr>
              <w:t>资金来源</w:t>
            </w:r>
          </w:p>
        </w:tc>
        <w:tc>
          <w:tcPr>
            <w:tcW w:w="7419" w:type="dxa"/>
            <w:vAlign w:val="center"/>
          </w:tcPr>
          <w:p w14:paraId="44652F1F">
            <w:pPr>
              <w:snapToGrid w:val="0"/>
              <w:spacing w:line="320" w:lineRule="exact"/>
              <w:rPr>
                <w:color w:val="auto"/>
                <w:highlight w:val="none"/>
              </w:rPr>
            </w:pPr>
            <w:r>
              <w:rPr>
                <w:rFonts w:hint="eastAsia"/>
                <w:color w:val="auto"/>
                <w:highlight w:val="none"/>
              </w:rPr>
              <w:t>财政性资金。</w:t>
            </w:r>
          </w:p>
        </w:tc>
      </w:tr>
      <w:tr w14:paraId="22D290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96" w:type="dxa"/>
            <w:vAlign w:val="center"/>
          </w:tcPr>
          <w:p w14:paraId="01A954AC">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p>
        </w:tc>
        <w:tc>
          <w:tcPr>
            <w:tcW w:w="1278" w:type="dxa"/>
            <w:vAlign w:val="center"/>
          </w:tcPr>
          <w:p w14:paraId="6B0848B5">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▲采购预算</w:t>
            </w:r>
          </w:p>
        </w:tc>
        <w:tc>
          <w:tcPr>
            <w:tcW w:w="7419" w:type="dxa"/>
            <w:vAlign w:val="center"/>
          </w:tcPr>
          <w:p w14:paraId="46EAB21D">
            <w:pPr>
              <w:adjustRightInd w:val="0"/>
              <w:snapToGrid w:val="0"/>
              <w:spacing w:line="300" w:lineRule="auto"/>
              <w:rPr>
                <w:rFonts w:ascii="宋体" w:hAnsi="宋体" w:cs="宋体"/>
                <w:b/>
                <w:snapToGrid w:val="0"/>
                <w:color w:val="auto"/>
                <w:kern w:val="0"/>
                <w:szCs w:val="21"/>
                <w:highlight w:val="none"/>
              </w:rPr>
            </w:pPr>
            <w:r>
              <w:rPr>
                <w:rFonts w:hint="eastAsia" w:ascii="宋体" w:hAnsi="宋体" w:cs="宋体"/>
                <w:b/>
                <w:color w:val="auto"/>
                <w:kern w:val="0"/>
                <w:szCs w:val="21"/>
                <w:highlight w:val="none"/>
              </w:rPr>
              <w:t>本项目采购预算为人民币</w:t>
            </w:r>
            <w:r>
              <w:rPr>
                <w:rFonts w:hint="eastAsia" w:ascii="宋体" w:hAnsi="宋体" w:cs="宋体"/>
                <w:b/>
                <w:bCs/>
                <w:color w:val="auto"/>
                <w:szCs w:val="21"/>
                <w:highlight w:val="none"/>
              </w:rPr>
              <w:t>340.1</w:t>
            </w:r>
            <w:r>
              <w:rPr>
                <w:rFonts w:hint="eastAsia" w:ascii="宋体" w:hAnsi="宋体" w:cs="宋体"/>
                <w:b/>
                <w:bCs/>
                <w:color w:val="auto"/>
                <w:szCs w:val="21"/>
                <w:highlight w:val="none"/>
                <w:lang w:val="en-US" w:eastAsia="zh-CN"/>
              </w:rPr>
              <w:t>0万元</w:t>
            </w:r>
            <w:r>
              <w:rPr>
                <w:rFonts w:hint="eastAsia" w:ascii="宋体" w:hAnsi="宋体" w:cs="宋体"/>
                <w:b/>
                <w:color w:val="auto"/>
                <w:kern w:val="0"/>
                <w:szCs w:val="21"/>
                <w:highlight w:val="none"/>
              </w:rPr>
              <w:t>，超过此预算金额的报价将作无效标处理。</w:t>
            </w:r>
          </w:p>
        </w:tc>
      </w:tr>
      <w:tr w14:paraId="13543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896" w:type="dxa"/>
            <w:vAlign w:val="center"/>
          </w:tcPr>
          <w:p w14:paraId="3A314BBE">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w:t>
            </w:r>
          </w:p>
        </w:tc>
        <w:tc>
          <w:tcPr>
            <w:tcW w:w="1278" w:type="dxa"/>
            <w:vAlign w:val="center"/>
          </w:tcPr>
          <w:p w14:paraId="2DFF9273">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资格审查方式</w:t>
            </w:r>
          </w:p>
        </w:tc>
        <w:tc>
          <w:tcPr>
            <w:tcW w:w="7419" w:type="dxa"/>
            <w:vAlign w:val="center"/>
          </w:tcPr>
          <w:p w14:paraId="1F1E16A3">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资格后审。</w:t>
            </w:r>
          </w:p>
          <w:p w14:paraId="0592503E">
            <w:pPr>
              <w:adjustRightInd w:val="0"/>
              <w:snapToGrid w:val="0"/>
              <w:spacing w:line="300" w:lineRule="auto"/>
              <w:rPr>
                <w:rFonts w:ascii="宋体" w:hAnsi="宋体" w:cs="宋体"/>
                <w:snapToGrid w:val="0"/>
                <w:color w:val="auto"/>
                <w:kern w:val="0"/>
                <w:szCs w:val="21"/>
                <w:highlight w:val="none"/>
              </w:rPr>
            </w:pPr>
            <w:r>
              <w:rPr>
                <w:rFonts w:hint="eastAsia" w:ascii="宋体" w:hAnsi="宋体" w:cs="宋体"/>
                <w:color w:val="auto"/>
                <w:szCs w:val="21"/>
                <w:highlight w:val="none"/>
              </w:rPr>
              <w:t>资格后审是指在开标后由采购人或采购代理机构代表根据招标文件的规定对投标人进行的资格审查，资格后审不合格的投标人，其投标作无效标处理。</w:t>
            </w:r>
          </w:p>
        </w:tc>
      </w:tr>
      <w:tr w14:paraId="61094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896" w:type="dxa"/>
            <w:vAlign w:val="center"/>
          </w:tcPr>
          <w:p w14:paraId="528D52C6">
            <w:pPr>
              <w:adjustRightIn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278" w:type="dxa"/>
            <w:vAlign w:val="center"/>
          </w:tcPr>
          <w:p w14:paraId="1E4DDEDB">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投标保证金</w:t>
            </w:r>
          </w:p>
        </w:tc>
        <w:tc>
          <w:tcPr>
            <w:tcW w:w="7419" w:type="dxa"/>
            <w:vAlign w:val="center"/>
          </w:tcPr>
          <w:p w14:paraId="276F3A93">
            <w:pPr>
              <w:pStyle w:val="29"/>
              <w:spacing w:line="400" w:lineRule="exact"/>
              <w:ind w:firstLine="0" w:firstLineChars="0"/>
              <w:rPr>
                <w:rFonts w:hint="default" w:ascii="宋体"/>
                <w:color w:val="auto"/>
                <w:sz w:val="21"/>
                <w:szCs w:val="21"/>
                <w:highlight w:val="none"/>
              </w:rPr>
            </w:pPr>
            <w:r>
              <w:rPr>
                <w:rFonts w:ascii="宋体"/>
                <w:color w:val="auto"/>
                <w:sz w:val="21"/>
                <w:szCs w:val="21"/>
                <w:highlight w:val="none"/>
              </w:rPr>
              <w:t>投标保证金：人民币60000元整；</w:t>
            </w:r>
          </w:p>
          <w:p w14:paraId="11394F6B">
            <w:pPr>
              <w:pStyle w:val="29"/>
              <w:spacing w:line="400" w:lineRule="exact"/>
              <w:ind w:firstLine="0" w:firstLineChars="0"/>
              <w:rPr>
                <w:rFonts w:hint="default" w:ascii="宋体"/>
                <w:color w:val="auto"/>
                <w:sz w:val="21"/>
                <w:szCs w:val="21"/>
                <w:highlight w:val="none"/>
              </w:rPr>
            </w:pPr>
            <w:r>
              <w:rPr>
                <w:rFonts w:ascii="宋体"/>
                <w:color w:val="auto"/>
                <w:sz w:val="21"/>
                <w:szCs w:val="21"/>
                <w:highlight w:val="none"/>
              </w:rPr>
              <w:t>交付方式:银行汇票/转账支票/银行转帐/</w:t>
            </w:r>
          </w:p>
          <w:p w14:paraId="21A6ED4C">
            <w:pPr>
              <w:pStyle w:val="29"/>
              <w:spacing w:line="400" w:lineRule="exact"/>
              <w:ind w:firstLine="0" w:firstLineChars="0"/>
              <w:rPr>
                <w:rFonts w:hint="default" w:ascii="宋体"/>
                <w:color w:val="auto"/>
                <w:sz w:val="21"/>
                <w:szCs w:val="21"/>
                <w:highlight w:val="none"/>
              </w:rPr>
            </w:pPr>
            <w:r>
              <w:rPr>
                <w:rFonts w:ascii="宋体"/>
                <w:color w:val="auto"/>
                <w:sz w:val="21"/>
                <w:szCs w:val="21"/>
                <w:highlight w:val="none"/>
              </w:rPr>
              <w:t>收款单位（户名）:浙江国际招投标有限公司</w:t>
            </w:r>
          </w:p>
          <w:p w14:paraId="7A9B9580">
            <w:pPr>
              <w:pStyle w:val="29"/>
              <w:spacing w:line="400" w:lineRule="exact"/>
              <w:ind w:firstLine="0" w:firstLineChars="0"/>
              <w:rPr>
                <w:rFonts w:hint="default" w:ascii="宋体"/>
                <w:color w:val="auto"/>
                <w:sz w:val="21"/>
                <w:szCs w:val="21"/>
                <w:highlight w:val="none"/>
              </w:rPr>
            </w:pPr>
            <w:r>
              <w:rPr>
                <w:rFonts w:ascii="宋体"/>
                <w:color w:val="auto"/>
                <w:sz w:val="21"/>
                <w:szCs w:val="21"/>
                <w:highlight w:val="none"/>
              </w:rPr>
              <w:t>开户银行：中国工商银行杭州武林支行</w:t>
            </w:r>
          </w:p>
          <w:p w14:paraId="591D0ED7">
            <w:pPr>
              <w:pStyle w:val="29"/>
              <w:spacing w:line="400" w:lineRule="exact"/>
              <w:ind w:firstLine="0" w:firstLineChars="0"/>
              <w:rPr>
                <w:rFonts w:hint="default" w:ascii="宋体"/>
                <w:color w:val="auto"/>
                <w:sz w:val="21"/>
                <w:szCs w:val="21"/>
                <w:highlight w:val="none"/>
              </w:rPr>
            </w:pPr>
            <w:r>
              <w:rPr>
                <w:rFonts w:ascii="宋体"/>
                <w:color w:val="auto"/>
                <w:sz w:val="21"/>
                <w:szCs w:val="21"/>
                <w:highlight w:val="none"/>
              </w:rPr>
              <w:t>银行账号：1202021209906782015</w:t>
            </w:r>
          </w:p>
          <w:p w14:paraId="0183FCEC">
            <w:pPr>
              <w:pStyle w:val="29"/>
              <w:spacing w:line="400" w:lineRule="exact"/>
              <w:ind w:firstLine="0" w:firstLineChars="0"/>
              <w:rPr>
                <w:rFonts w:hint="default" w:ascii="宋体" w:hAnsi="宋体" w:cs="宋体"/>
                <w:color w:val="auto"/>
                <w:szCs w:val="21"/>
                <w:highlight w:val="none"/>
              </w:rPr>
            </w:pPr>
            <w:r>
              <w:rPr>
                <w:rFonts w:ascii="宋体"/>
                <w:color w:val="auto"/>
                <w:sz w:val="21"/>
                <w:szCs w:val="21"/>
                <w:highlight w:val="none"/>
              </w:rPr>
              <w:t>投标人应在投标截止时间前办妥投标保证金交纳手续。</w:t>
            </w:r>
          </w:p>
        </w:tc>
      </w:tr>
      <w:tr w14:paraId="29237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896" w:type="dxa"/>
            <w:vAlign w:val="center"/>
          </w:tcPr>
          <w:p w14:paraId="02AAD965">
            <w:pPr>
              <w:adjustRightIn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278" w:type="dxa"/>
            <w:vAlign w:val="center"/>
          </w:tcPr>
          <w:p w14:paraId="4A787EE3">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踏勘现场</w:t>
            </w:r>
          </w:p>
        </w:tc>
        <w:tc>
          <w:tcPr>
            <w:tcW w:w="7419" w:type="dxa"/>
            <w:vAlign w:val="center"/>
          </w:tcPr>
          <w:p w14:paraId="003377C8">
            <w:pPr>
              <w:snapToGrid w:val="0"/>
              <w:spacing w:line="320" w:lineRule="exact"/>
              <w:rPr>
                <w:color w:val="auto"/>
                <w:szCs w:val="21"/>
                <w:highlight w:val="none"/>
              </w:rPr>
            </w:pPr>
            <w:r>
              <w:rPr>
                <w:rFonts w:hint="eastAsia"/>
                <w:color w:val="auto"/>
                <w:szCs w:val="21"/>
                <w:highlight w:val="none"/>
              </w:rPr>
              <w:t>自行踏勘。</w:t>
            </w:r>
          </w:p>
          <w:p w14:paraId="258CA09A">
            <w:pPr>
              <w:snapToGrid w:val="0"/>
              <w:spacing w:line="400" w:lineRule="exact"/>
              <w:rPr>
                <w:rFonts w:hint="eastAsia" w:eastAsia="宋体"/>
                <w:color w:val="auto"/>
                <w:szCs w:val="21"/>
                <w:highlight w:val="none"/>
                <w:lang w:eastAsia="zh-CN"/>
              </w:rPr>
            </w:pPr>
            <w:r>
              <w:rPr>
                <w:rFonts w:hint="eastAsia" w:ascii="宋体" w:hAnsi="宋体"/>
                <w:color w:val="auto"/>
                <w:szCs w:val="21"/>
                <w:highlight w:val="none"/>
              </w:rPr>
              <w:t>现场踏勘联系人：叶先生，联系电话：0571-87835383</w:t>
            </w:r>
            <w:r>
              <w:rPr>
                <w:rFonts w:hint="eastAsia" w:ascii="宋体" w:hAnsi="宋体"/>
                <w:color w:val="auto"/>
                <w:szCs w:val="21"/>
                <w:highlight w:val="none"/>
                <w:lang w:eastAsia="zh-CN"/>
              </w:rPr>
              <w:t>。</w:t>
            </w:r>
          </w:p>
        </w:tc>
      </w:tr>
      <w:tr w14:paraId="7085D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896" w:type="dxa"/>
            <w:vAlign w:val="center"/>
          </w:tcPr>
          <w:p w14:paraId="570C8C14">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w:t>
            </w:r>
          </w:p>
        </w:tc>
        <w:tc>
          <w:tcPr>
            <w:tcW w:w="1278" w:type="dxa"/>
            <w:vAlign w:val="center"/>
          </w:tcPr>
          <w:p w14:paraId="787FB855">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招标答疑</w:t>
            </w:r>
          </w:p>
        </w:tc>
        <w:tc>
          <w:tcPr>
            <w:tcW w:w="7419" w:type="dxa"/>
            <w:vAlign w:val="center"/>
          </w:tcPr>
          <w:p w14:paraId="19B8741F">
            <w:pPr>
              <w:adjustRightInd w:val="0"/>
              <w:snapToGrid w:val="0"/>
              <w:spacing w:line="30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投标人如认为招标文件表述不清晰的，必须在202</w:t>
            </w: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rPr>
              <w:t>日17时之前、将要求答疑的问题传真至0571－81061828 ,并发电子邮件至2970516628</w:t>
            </w:r>
            <w:r>
              <w:rPr>
                <w:rFonts w:ascii="宋体" w:hAnsi="宋体" w:cs="宋体"/>
                <w:snapToGrid w:val="0"/>
                <w:color w:val="auto"/>
                <w:kern w:val="0"/>
                <w:szCs w:val="21"/>
                <w:highlight w:val="none"/>
              </w:rPr>
              <w:t>@qq.com</w:t>
            </w:r>
            <w:r>
              <w:rPr>
                <w:rFonts w:hint="eastAsia" w:ascii="宋体" w:hAnsi="宋体" w:cs="宋体"/>
                <w:snapToGrid w:val="0"/>
                <w:color w:val="auto"/>
                <w:kern w:val="0"/>
                <w:szCs w:val="21"/>
                <w:highlight w:val="none"/>
              </w:rPr>
              <w:t>（电子邮件与书面文件有不一致的，一律以书面文件为准）。截止期后的疑问将不予受理、答复。答疑回复内容是招标文件的组成部份，并将以更正（澄清）公告形式告知所有获取招标文件的投标人。请投标人密切关注公告信息。</w:t>
            </w:r>
          </w:p>
        </w:tc>
      </w:tr>
      <w:tr w14:paraId="65FCF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896" w:type="dxa"/>
            <w:vAlign w:val="center"/>
          </w:tcPr>
          <w:p w14:paraId="4B4809D2">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w:t>
            </w:r>
          </w:p>
        </w:tc>
        <w:tc>
          <w:tcPr>
            <w:tcW w:w="1278" w:type="dxa"/>
            <w:vAlign w:val="center"/>
          </w:tcPr>
          <w:p w14:paraId="6D5ABD65">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招标文件的澄清与修改</w:t>
            </w:r>
          </w:p>
        </w:tc>
        <w:tc>
          <w:tcPr>
            <w:tcW w:w="7419" w:type="dxa"/>
            <w:vAlign w:val="center"/>
          </w:tcPr>
          <w:p w14:paraId="7825D2A0">
            <w:pPr>
              <w:adjustRightInd w:val="0"/>
              <w:snapToGrid w:val="0"/>
              <w:spacing w:line="300" w:lineRule="auto"/>
              <w:ind w:right="105" w:rightChars="50"/>
              <w:rPr>
                <w:rFonts w:ascii="宋体" w:hAnsi="宋体" w:cs="宋体"/>
                <w:snapToGrid w:val="0"/>
                <w:color w:val="auto"/>
                <w:kern w:val="0"/>
                <w:szCs w:val="21"/>
                <w:highlight w:val="none"/>
              </w:rPr>
            </w:pPr>
            <w:r>
              <w:rPr>
                <w:rFonts w:hint="eastAsia"/>
                <w:color w:val="auto"/>
                <w:highlight w:val="none"/>
              </w:rPr>
              <w:t>在投标截止时间15天前，采购人有权澄清和修改招标文件，并以更正（澄清）公告形式通知所有已获取招标文件的投标人。修改和澄清（答疑）答复的内容作为招标文件的补充和组成部分，对所有投标人均有约束力。请投标人密切关注公告信息。</w:t>
            </w:r>
          </w:p>
        </w:tc>
      </w:tr>
      <w:tr w14:paraId="5DFD9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96" w:type="dxa"/>
            <w:vAlign w:val="center"/>
          </w:tcPr>
          <w:p w14:paraId="7B4C256C">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w:t>
            </w:r>
          </w:p>
        </w:tc>
        <w:tc>
          <w:tcPr>
            <w:tcW w:w="1278" w:type="dxa"/>
            <w:vAlign w:val="center"/>
          </w:tcPr>
          <w:p w14:paraId="46643BDA">
            <w:pPr>
              <w:adjustRightInd w:val="0"/>
              <w:snapToGri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投标文件的组成</w:t>
            </w:r>
          </w:p>
        </w:tc>
        <w:tc>
          <w:tcPr>
            <w:tcW w:w="7419" w:type="dxa"/>
            <w:vAlign w:val="center"/>
          </w:tcPr>
          <w:p w14:paraId="5FA1541A">
            <w:pPr>
              <w:autoSpaceDE w:val="0"/>
              <w:autoSpaceDN w:val="0"/>
              <w:snapToGrid w:val="0"/>
              <w:spacing w:line="400" w:lineRule="exact"/>
              <w:textAlignment w:val="bottom"/>
              <w:rPr>
                <w:color w:val="auto"/>
                <w:szCs w:val="21"/>
                <w:highlight w:val="none"/>
              </w:rPr>
            </w:pPr>
            <w:r>
              <w:rPr>
                <w:rFonts w:hint="eastAsia"/>
                <w:color w:val="auto"/>
                <w:szCs w:val="21"/>
                <w:highlight w:val="none"/>
              </w:rPr>
              <w:t>投标人向采购人递交的投标文件均由资格响应文件、商务和技术响应文件、报价响应文件组成，具体内容如下：</w:t>
            </w:r>
          </w:p>
          <w:p w14:paraId="4149B396">
            <w:pPr>
              <w:autoSpaceDE w:val="0"/>
              <w:autoSpaceDN w:val="0"/>
              <w:snapToGrid w:val="0"/>
              <w:spacing w:line="400" w:lineRule="exact"/>
              <w:textAlignment w:val="bottom"/>
              <w:rPr>
                <w:color w:val="auto"/>
                <w:szCs w:val="21"/>
                <w:highlight w:val="none"/>
              </w:rPr>
            </w:pPr>
            <w:r>
              <w:rPr>
                <w:rFonts w:hint="eastAsia"/>
                <w:color w:val="auto"/>
                <w:szCs w:val="21"/>
                <w:highlight w:val="none"/>
              </w:rPr>
              <w:t>1．资格响应文件</w:t>
            </w:r>
          </w:p>
          <w:p w14:paraId="32929844">
            <w:pPr>
              <w:autoSpaceDE w:val="0"/>
              <w:autoSpaceDN w:val="0"/>
              <w:snapToGrid w:val="0"/>
              <w:spacing w:line="400" w:lineRule="exact"/>
              <w:textAlignment w:val="bottom"/>
              <w:rPr>
                <w:color w:val="auto"/>
                <w:szCs w:val="21"/>
                <w:highlight w:val="none"/>
              </w:rPr>
            </w:pPr>
            <w:r>
              <w:rPr>
                <w:rFonts w:hint="eastAsia"/>
                <w:color w:val="auto"/>
                <w:szCs w:val="21"/>
                <w:highlight w:val="none"/>
              </w:rPr>
              <w:t>（1）基本资格条件：符合《中华人民共和国政府采购法》第二十二条的规定；</w:t>
            </w:r>
          </w:p>
          <w:p w14:paraId="1349EB78">
            <w:pPr>
              <w:autoSpaceDE w:val="0"/>
              <w:autoSpaceDN w:val="0"/>
              <w:snapToGrid w:val="0"/>
              <w:spacing w:line="400" w:lineRule="exact"/>
              <w:textAlignment w:val="bottom"/>
              <w:rPr>
                <w:color w:val="auto"/>
                <w:szCs w:val="21"/>
                <w:highlight w:val="none"/>
              </w:rPr>
            </w:pPr>
            <w:r>
              <w:rPr>
                <w:rFonts w:hint="eastAsia"/>
                <w:color w:val="auto"/>
                <w:szCs w:val="21"/>
                <w:highlight w:val="none"/>
              </w:rPr>
              <w:t>各投标人须在响应文件中出具对应证明材料。（商业信誉可提前自查，响应文件中可不提供）</w:t>
            </w:r>
          </w:p>
          <w:p w14:paraId="21B69C00">
            <w:pPr>
              <w:autoSpaceDE w:val="0"/>
              <w:autoSpaceDN w:val="0"/>
              <w:snapToGrid w:val="0"/>
              <w:spacing w:line="400" w:lineRule="exact"/>
              <w:textAlignment w:val="bottom"/>
              <w:rPr>
                <w:color w:val="auto"/>
                <w:szCs w:val="21"/>
                <w:highlight w:val="none"/>
              </w:rPr>
            </w:pPr>
            <w:r>
              <w:rPr>
                <w:rFonts w:hint="eastAsia"/>
                <w:color w:val="auto"/>
                <w:szCs w:val="21"/>
                <w:highlight w:val="none"/>
              </w:rPr>
              <w:t>a．具有独立承担民事责任能力的证明材料；</w:t>
            </w:r>
          </w:p>
          <w:p w14:paraId="017BEA20">
            <w:pPr>
              <w:autoSpaceDE w:val="0"/>
              <w:autoSpaceDN w:val="0"/>
              <w:snapToGrid w:val="0"/>
              <w:spacing w:line="400" w:lineRule="exact"/>
              <w:textAlignment w:val="bottom"/>
              <w:rPr>
                <w:color w:val="auto"/>
                <w:szCs w:val="21"/>
                <w:highlight w:val="none"/>
              </w:rPr>
            </w:pPr>
            <w:r>
              <w:rPr>
                <w:rFonts w:hint="eastAsia"/>
                <w:color w:val="auto"/>
                <w:szCs w:val="21"/>
                <w:highlight w:val="none"/>
              </w:rPr>
              <w:t>投标人须在响应文件中出具符合以下情况的证明材料复印件（五选一）：</w:t>
            </w:r>
          </w:p>
          <w:p w14:paraId="3FE4DE80">
            <w:pPr>
              <w:numPr>
                <w:ilvl w:val="0"/>
                <w:numId w:val="1"/>
              </w:numPr>
              <w:autoSpaceDE w:val="0"/>
              <w:autoSpaceDN w:val="0"/>
              <w:snapToGrid w:val="0"/>
              <w:spacing w:line="400" w:lineRule="exact"/>
              <w:textAlignment w:val="bottom"/>
              <w:rPr>
                <w:color w:val="auto"/>
                <w:szCs w:val="21"/>
                <w:highlight w:val="none"/>
              </w:rPr>
            </w:pPr>
            <w:r>
              <w:rPr>
                <w:rFonts w:hint="eastAsia"/>
                <w:color w:val="auto"/>
                <w:szCs w:val="21"/>
                <w:highlight w:val="none"/>
              </w:rPr>
              <w:t>如投标人是企业（包括合伙企业），提供在工商部门注册的有效“企业法人营业执照”或“营业执照”；</w:t>
            </w:r>
          </w:p>
          <w:p w14:paraId="09A7A694">
            <w:pPr>
              <w:numPr>
                <w:ilvl w:val="0"/>
                <w:numId w:val="1"/>
              </w:numPr>
              <w:autoSpaceDE w:val="0"/>
              <w:autoSpaceDN w:val="0"/>
              <w:snapToGrid w:val="0"/>
              <w:spacing w:line="400" w:lineRule="exact"/>
              <w:textAlignment w:val="bottom"/>
              <w:rPr>
                <w:color w:val="auto"/>
                <w:szCs w:val="21"/>
                <w:highlight w:val="none"/>
              </w:rPr>
            </w:pPr>
            <w:r>
              <w:rPr>
                <w:rFonts w:hint="eastAsia"/>
                <w:color w:val="auto"/>
                <w:szCs w:val="21"/>
                <w:highlight w:val="none"/>
              </w:rPr>
              <w:t>如投标人是事业单位，提供有效的“事业单位法人证书”；</w:t>
            </w:r>
          </w:p>
          <w:p w14:paraId="395413F5">
            <w:pPr>
              <w:numPr>
                <w:ilvl w:val="0"/>
                <w:numId w:val="1"/>
              </w:numPr>
              <w:autoSpaceDE w:val="0"/>
              <w:autoSpaceDN w:val="0"/>
              <w:snapToGrid w:val="0"/>
              <w:spacing w:line="400" w:lineRule="exact"/>
              <w:textAlignment w:val="bottom"/>
              <w:rPr>
                <w:color w:val="auto"/>
                <w:szCs w:val="21"/>
                <w:highlight w:val="none"/>
              </w:rPr>
            </w:pPr>
            <w:r>
              <w:rPr>
                <w:rFonts w:hint="eastAsia"/>
                <w:color w:val="auto"/>
                <w:szCs w:val="21"/>
                <w:highlight w:val="none"/>
              </w:rPr>
              <w:t>如投标人是非企业专业服务机构的，提供执业许可证等证明文件；</w:t>
            </w:r>
          </w:p>
          <w:p w14:paraId="7AC2ADD7">
            <w:pPr>
              <w:numPr>
                <w:ilvl w:val="0"/>
                <w:numId w:val="1"/>
              </w:numPr>
              <w:autoSpaceDE w:val="0"/>
              <w:autoSpaceDN w:val="0"/>
              <w:snapToGrid w:val="0"/>
              <w:spacing w:line="400" w:lineRule="exact"/>
              <w:textAlignment w:val="bottom"/>
              <w:rPr>
                <w:color w:val="auto"/>
                <w:szCs w:val="21"/>
                <w:highlight w:val="none"/>
              </w:rPr>
            </w:pPr>
            <w:r>
              <w:rPr>
                <w:rFonts w:hint="eastAsia"/>
                <w:color w:val="auto"/>
                <w:szCs w:val="21"/>
                <w:highlight w:val="none"/>
              </w:rPr>
              <w:t>如投标人是个体工商户，提供有效的“个体工商户营业执照”；</w:t>
            </w:r>
          </w:p>
          <w:p w14:paraId="0B31447A">
            <w:pPr>
              <w:numPr>
                <w:ilvl w:val="0"/>
                <w:numId w:val="1"/>
              </w:numPr>
              <w:autoSpaceDE w:val="0"/>
              <w:autoSpaceDN w:val="0"/>
              <w:snapToGrid w:val="0"/>
              <w:spacing w:line="400" w:lineRule="exact"/>
              <w:textAlignment w:val="bottom"/>
              <w:rPr>
                <w:color w:val="auto"/>
                <w:szCs w:val="21"/>
                <w:highlight w:val="none"/>
              </w:rPr>
            </w:pPr>
            <w:r>
              <w:rPr>
                <w:rFonts w:hint="eastAsia"/>
                <w:color w:val="auto"/>
                <w:szCs w:val="21"/>
                <w:highlight w:val="none"/>
              </w:rPr>
              <w:t>如投标人是自然人，提供有效的自然人身份证明（居民身份证正反面或公安机关出具的临时居民身份证正反面或港澳台胞证或护照）。</w:t>
            </w:r>
          </w:p>
          <w:p w14:paraId="440A1899">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1D1B5597">
            <w:pPr>
              <w:autoSpaceDE w:val="0"/>
              <w:autoSpaceDN w:val="0"/>
              <w:snapToGrid w:val="0"/>
              <w:spacing w:line="400" w:lineRule="exact"/>
              <w:textAlignment w:val="bottom"/>
              <w:rPr>
                <w:color w:val="auto"/>
                <w:szCs w:val="21"/>
                <w:highlight w:val="none"/>
              </w:rPr>
            </w:pPr>
            <w:r>
              <w:rPr>
                <w:rFonts w:hint="eastAsia"/>
                <w:color w:val="auto"/>
                <w:szCs w:val="21"/>
                <w:highlight w:val="none"/>
              </w:rPr>
              <w:t>b．符合参与政府采购活动资格条件的承诺函；（参考格式见本文件第六部分）</w:t>
            </w:r>
          </w:p>
          <w:p w14:paraId="66B05EBE">
            <w:pPr>
              <w:autoSpaceDE w:val="0"/>
              <w:autoSpaceDN w:val="0"/>
              <w:snapToGrid w:val="0"/>
              <w:spacing w:line="400" w:lineRule="exact"/>
              <w:textAlignment w:val="bottom"/>
              <w:rPr>
                <w:color w:val="auto"/>
                <w:szCs w:val="21"/>
                <w:highlight w:val="none"/>
              </w:rPr>
            </w:pPr>
            <w:r>
              <w:rPr>
                <w:rFonts w:hint="eastAsia"/>
                <w:color w:val="auto"/>
                <w:szCs w:val="21"/>
                <w:highlight w:val="none"/>
              </w:rPr>
              <w:t>c．商业信誉：</w:t>
            </w:r>
          </w:p>
          <w:p w14:paraId="23ED5D7A">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至本项目响应截止时间止未列入失信被执行人、重大税收违法案件当事人名单、政府采购严重违法失信行为记录名单。（代理机构以开标当日在“信用中国”网站（www.creditchina.gov.cn）、中国政府采购网（www.ccgp.gov.cn）网页查询记录为准）</w:t>
            </w:r>
          </w:p>
          <w:p w14:paraId="101EE8FB">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经查询列入失信被执行人、重大税收违法案件当事人名单、政府采购严重违法失信行为记录名单，截至本项目开标前三年内因违法经营收到刑事处罚或者责令停产停业、吊销许可证或者执照、较大数额罚款等行政处罚的，其投标无效，无效投标人的信用记录查询结果截图将作为项目材料的组成部分。</w:t>
            </w:r>
          </w:p>
          <w:p w14:paraId="6FEE26D4">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说明：较大数额罚款的认定，以判罚机关所在地或相关部门明确的听证范围为准。</w:t>
            </w:r>
          </w:p>
          <w:p w14:paraId="2E70E78D">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（2）落实政府采购政策需满足的资格要求所对应的证明材料：</w:t>
            </w:r>
            <w:r>
              <w:rPr>
                <w:rFonts w:hint="eastAsia" w:ascii="宋体" w:hAnsi="宋体" w:cs="Arial"/>
                <w:color w:val="auto"/>
                <w:szCs w:val="21"/>
                <w:highlight w:val="none"/>
              </w:rPr>
              <w:t>要求合同分包，提供分包意向协议和中小企业声明函。本项目预留</w:t>
            </w:r>
            <w:r>
              <w:rPr>
                <w:rFonts w:hint="eastAsia" w:ascii="宋体" w:hAnsi="宋体" w:cs="Arial"/>
                <w:color w:val="auto"/>
                <w:szCs w:val="21"/>
                <w:highlight w:val="none"/>
                <w:lang w:eastAsia="zh-CN"/>
              </w:rPr>
              <w:t>不少于</w:t>
            </w:r>
            <w:r>
              <w:rPr>
                <w:rFonts w:hint="eastAsia" w:ascii="宋体" w:hAnsi="宋体" w:cs="Arial"/>
                <w:color w:val="auto"/>
                <w:szCs w:val="21"/>
                <w:highlight w:val="none"/>
              </w:rPr>
              <w:t>30%合同金额给小微企业。如果供应商本身提供所有标的均由小微企业制造、承建或承接，视同符合了资格条件，无需再进行分包，无需提供分包意向协议；</w:t>
            </w:r>
          </w:p>
          <w:p w14:paraId="7F82BD43">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（3）特定资格条件对应的证明材料：</w:t>
            </w:r>
            <w:r>
              <w:rPr>
                <w:rFonts w:hint="eastAsia"/>
                <w:color w:val="auto"/>
                <w:szCs w:val="21"/>
                <w:highlight w:val="none"/>
                <w:lang w:val="en-US" w:eastAsia="zh-CN"/>
              </w:rPr>
              <w:t>无</w:t>
            </w:r>
            <w:r>
              <w:rPr>
                <w:rFonts w:hint="eastAsia"/>
                <w:color w:val="auto"/>
                <w:szCs w:val="21"/>
                <w:highlight w:val="none"/>
              </w:rPr>
              <w:t>。</w:t>
            </w:r>
          </w:p>
          <w:p w14:paraId="30EFD86C">
            <w:pPr>
              <w:pStyle w:val="11"/>
              <w:rPr>
                <w:color w:val="auto"/>
                <w:sz w:val="21"/>
                <w:szCs w:val="21"/>
                <w:highlight w:val="none"/>
              </w:rPr>
            </w:pPr>
          </w:p>
          <w:p w14:paraId="547BBD36">
            <w:pPr>
              <w:autoSpaceDE w:val="0"/>
              <w:autoSpaceDN w:val="0"/>
              <w:snapToGrid w:val="0"/>
              <w:spacing w:line="400" w:lineRule="exact"/>
              <w:textAlignment w:val="bottom"/>
              <w:rPr>
                <w:color w:val="auto"/>
                <w:szCs w:val="21"/>
                <w:highlight w:val="none"/>
              </w:rPr>
            </w:pPr>
            <w:r>
              <w:rPr>
                <w:color w:val="auto"/>
                <w:szCs w:val="21"/>
                <w:highlight w:val="none"/>
              </w:rPr>
              <w:t>2</w:t>
            </w:r>
            <w:r>
              <w:rPr>
                <w:rFonts w:hint="eastAsia"/>
                <w:color w:val="auto"/>
                <w:szCs w:val="21"/>
                <w:highlight w:val="none"/>
              </w:rPr>
              <w:t>．商务和技术响应文件</w:t>
            </w:r>
          </w:p>
          <w:p w14:paraId="4F8DAD0F">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(1)评分索引表；</w:t>
            </w:r>
          </w:p>
          <w:p w14:paraId="59CEF7C5">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(2)投标函；</w:t>
            </w:r>
          </w:p>
          <w:p w14:paraId="16DDF515">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(3)投标响应一览表；</w:t>
            </w:r>
          </w:p>
          <w:p w14:paraId="72B8577F">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(4)投标人基本情况表；</w:t>
            </w:r>
          </w:p>
          <w:p w14:paraId="4D2FDA20">
            <w:pPr>
              <w:autoSpaceDE w:val="0"/>
              <w:autoSpaceDN w:val="0"/>
              <w:snapToGrid w:val="0"/>
              <w:spacing w:line="400" w:lineRule="exact"/>
              <w:ind w:firstLine="420" w:firstLineChars="200"/>
              <w:textAlignment w:val="bottom"/>
              <w:rPr>
                <w:rFonts w:hint="eastAsia"/>
                <w:color w:val="auto"/>
                <w:szCs w:val="21"/>
                <w:highlight w:val="none"/>
              </w:rPr>
            </w:pPr>
            <w:r>
              <w:rPr>
                <w:rFonts w:hint="eastAsia"/>
                <w:color w:val="auto"/>
                <w:szCs w:val="21"/>
                <w:highlight w:val="none"/>
              </w:rPr>
              <w:t>(5)授权委托书，同时须附授权委托人的有效身份证复印件；</w:t>
            </w:r>
          </w:p>
          <w:p w14:paraId="627B32EC">
            <w:pPr>
              <w:autoSpaceDE w:val="0"/>
              <w:autoSpaceDN w:val="0"/>
              <w:snapToGrid w:val="0"/>
              <w:spacing w:line="400" w:lineRule="exact"/>
              <w:ind w:firstLine="420" w:firstLineChars="200"/>
              <w:textAlignment w:val="bottom"/>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szCs w:val="21"/>
                <w:highlight w:val="none"/>
                <w:lang w:eastAsia="zh-CN"/>
              </w:rPr>
              <w:t>分包意向和中小企业声明函（格式见附件）</w:t>
            </w:r>
            <w:r>
              <w:rPr>
                <w:rFonts w:hint="eastAsia"/>
                <w:color w:val="auto"/>
                <w:szCs w:val="21"/>
                <w:highlight w:val="none"/>
              </w:rPr>
              <w:t>；</w:t>
            </w:r>
          </w:p>
          <w:p w14:paraId="64239440">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)政府采购供应商廉洁自律承诺书；</w:t>
            </w:r>
          </w:p>
          <w:p w14:paraId="707438D4">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w:t>
            </w:r>
            <w:r>
              <w:rPr>
                <w:rFonts w:hint="eastAsia"/>
                <w:color w:val="auto"/>
                <w:szCs w:val="21"/>
                <w:highlight w:val="none"/>
                <w:lang w:val="en-US" w:eastAsia="zh-CN"/>
              </w:rPr>
              <w:t>8</w:t>
            </w:r>
            <w:r>
              <w:rPr>
                <w:rFonts w:hint="eastAsia"/>
                <w:color w:val="auto"/>
                <w:szCs w:val="21"/>
                <w:highlight w:val="none"/>
              </w:rPr>
              <w:t>)廉政承诺书；</w:t>
            </w:r>
          </w:p>
          <w:p w14:paraId="55019C5B">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w:t>
            </w:r>
            <w:r>
              <w:rPr>
                <w:rFonts w:hint="eastAsia"/>
                <w:color w:val="auto"/>
                <w:szCs w:val="21"/>
                <w:highlight w:val="none"/>
                <w:lang w:val="en-US" w:eastAsia="zh-CN"/>
              </w:rPr>
              <w:t>9</w:t>
            </w:r>
            <w:r>
              <w:rPr>
                <w:rFonts w:hint="eastAsia"/>
                <w:color w:val="auto"/>
                <w:szCs w:val="21"/>
                <w:highlight w:val="none"/>
              </w:rPr>
              <w:t>)投标人曾承担过的类似项目业绩一览表；</w:t>
            </w:r>
          </w:p>
          <w:p w14:paraId="1D3A10D7">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w:t>
            </w:r>
            <w:r>
              <w:rPr>
                <w:rFonts w:hint="eastAsia"/>
                <w:color w:val="auto"/>
                <w:szCs w:val="21"/>
                <w:highlight w:val="none"/>
                <w:lang w:val="en-US" w:eastAsia="zh-CN"/>
              </w:rPr>
              <w:t>10</w:t>
            </w:r>
            <w:r>
              <w:rPr>
                <w:rFonts w:hint="eastAsia"/>
                <w:color w:val="auto"/>
                <w:szCs w:val="21"/>
                <w:highlight w:val="none"/>
              </w:rPr>
              <w:t>)合同条款偏离表/商务条款偏离表；</w:t>
            </w:r>
          </w:p>
          <w:p w14:paraId="4C96C091">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1</w:t>
            </w:r>
            <w:r>
              <w:rPr>
                <w:rFonts w:hint="eastAsia"/>
                <w:color w:val="auto"/>
                <w:szCs w:val="21"/>
                <w:highlight w:val="none"/>
              </w:rPr>
              <w:t>)中标服务费支付承诺书；</w:t>
            </w:r>
          </w:p>
          <w:p w14:paraId="6182A0C3">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2</w:t>
            </w:r>
            <w:r>
              <w:rPr>
                <w:rFonts w:hint="eastAsia"/>
                <w:color w:val="auto"/>
                <w:szCs w:val="21"/>
                <w:highlight w:val="none"/>
              </w:rPr>
              <w:t>)拟派项目团队配备情况表；</w:t>
            </w:r>
          </w:p>
          <w:p w14:paraId="70CBA391">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3</w:t>
            </w:r>
            <w:r>
              <w:rPr>
                <w:rFonts w:hint="eastAsia"/>
                <w:color w:val="auto"/>
                <w:szCs w:val="21"/>
                <w:highlight w:val="none"/>
              </w:rPr>
              <w:t>)项目主要人员简历表；</w:t>
            </w:r>
          </w:p>
          <w:p w14:paraId="543774D7">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4</w:t>
            </w:r>
            <w:r>
              <w:rPr>
                <w:rFonts w:hint="eastAsia"/>
                <w:color w:val="auto"/>
                <w:szCs w:val="21"/>
                <w:highlight w:val="none"/>
              </w:rPr>
              <w:t>)技术偏离表；</w:t>
            </w:r>
          </w:p>
          <w:p w14:paraId="6621CB91">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5</w:t>
            </w:r>
            <w:r>
              <w:rPr>
                <w:rFonts w:hint="eastAsia"/>
                <w:color w:val="auto"/>
                <w:szCs w:val="21"/>
                <w:highlight w:val="none"/>
              </w:rPr>
              <w:t>)评标标准相应的商务技术资料；</w:t>
            </w:r>
          </w:p>
          <w:p w14:paraId="0BA317BF">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(1</w:t>
            </w:r>
            <w:r>
              <w:rPr>
                <w:rFonts w:hint="eastAsia"/>
                <w:color w:val="auto"/>
                <w:szCs w:val="21"/>
                <w:highlight w:val="none"/>
                <w:lang w:val="en-US" w:eastAsia="zh-CN"/>
              </w:rPr>
              <w:t>6</w:t>
            </w:r>
            <w:r>
              <w:rPr>
                <w:rFonts w:hint="eastAsia"/>
                <w:color w:val="auto"/>
                <w:szCs w:val="21"/>
                <w:highlight w:val="none"/>
              </w:rPr>
              <w:t>)投标人认为需要的其他技术文件或说明（如有）。</w:t>
            </w:r>
          </w:p>
          <w:p w14:paraId="51027E86">
            <w:pPr>
              <w:pStyle w:val="11"/>
              <w:rPr>
                <w:color w:val="auto"/>
                <w:sz w:val="21"/>
                <w:szCs w:val="21"/>
                <w:highlight w:val="none"/>
              </w:rPr>
            </w:pPr>
          </w:p>
          <w:p w14:paraId="650B1FA7">
            <w:pPr>
              <w:autoSpaceDE w:val="0"/>
              <w:autoSpaceDN w:val="0"/>
              <w:snapToGrid w:val="0"/>
              <w:spacing w:line="400" w:lineRule="exact"/>
              <w:textAlignment w:val="bottom"/>
              <w:rPr>
                <w:color w:val="auto"/>
                <w:szCs w:val="21"/>
                <w:highlight w:val="none"/>
              </w:rPr>
            </w:pPr>
            <w:r>
              <w:rPr>
                <w:color w:val="auto"/>
                <w:szCs w:val="21"/>
                <w:highlight w:val="none"/>
              </w:rPr>
              <w:t>3</w:t>
            </w:r>
            <w:r>
              <w:rPr>
                <w:rFonts w:hint="eastAsia"/>
                <w:color w:val="auto"/>
                <w:szCs w:val="21"/>
                <w:highlight w:val="none"/>
              </w:rPr>
              <w:t xml:space="preserve">．报价响应文件 </w:t>
            </w:r>
          </w:p>
          <w:p w14:paraId="020C4167">
            <w:pPr>
              <w:autoSpaceDE w:val="0"/>
              <w:autoSpaceDN w:val="0"/>
              <w:snapToGrid w:val="0"/>
              <w:spacing w:line="400" w:lineRule="exact"/>
              <w:ind w:firstLine="420" w:firstLineChars="200"/>
              <w:textAlignment w:val="bottom"/>
              <w:rPr>
                <w:rFonts w:hint="eastAsia"/>
                <w:color w:val="auto"/>
                <w:szCs w:val="21"/>
                <w:highlight w:val="none"/>
              </w:rPr>
            </w:pPr>
            <w:r>
              <w:rPr>
                <w:rFonts w:hint="eastAsia"/>
                <w:color w:val="auto"/>
                <w:szCs w:val="21"/>
                <w:highlight w:val="none"/>
              </w:rPr>
              <w:t>（1）开标一览表；（格式见附件）</w:t>
            </w:r>
          </w:p>
          <w:p w14:paraId="504FE670">
            <w:pPr>
              <w:autoSpaceDE w:val="0"/>
              <w:autoSpaceDN w:val="0"/>
              <w:snapToGrid w:val="0"/>
              <w:spacing w:line="400" w:lineRule="exact"/>
              <w:ind w:firstLine="420" w:firstLineChars="200"/>
              <w:textAlignment w:val="bottom"/>
              <w:rPr>
                <w:color w:val="auto"/>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w:t>
            </w:r>
            <w:r>
              <w:rPr>
                <w:rFonts w:hint="eastAsia"/>
                <w:color w:val="auto"/>
                <w:szCs w:val="21"/>
                <w:highlight w:val="none"/>
                <w:lang w:eastAsia="zh-CN"/>
              </w:rPr>
              <w:t>中小企业声明函</w:t>
            </w:r>
            <w:r>
              <w:rPr>
                <w:rFonts w:hint="eastAsia"/>
                <w:color w:val="auto"/>
                <w:szCs w:val="21"/>
                <w:highlight w:val="none"/>
              </w:rPr>
              <w:t>；（格式见附件）</w:t>
            </w:r>
          </w:p>
          <w:p w14:paraId="7777EBD4">
            <w:pPr>
              <w:autoSpaceDE w:val="0"/>
              <w:autoSpaceDN w:val="0"/>
              <w:snapToGrid w:val="0"/>
              <w:spacing w:line="400" w:lineRule="exact"/>
              <w:ind w:firstLine="420" w:firstLineChars="200"/>
              <w:textAlignment w:val="bottom"/>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）投标报价明细表；（格式见附件）</w:t>
            </w:r>
          </w:p>
          <w:p w14:paraId="5B2109D9">
            <w:pPr>
              <w:adjustRightInd w:val="0"/>
              <w:snapToGrid w:val="0"/>
              <w:spacing w:line="300" w:lineRule="auto"/>
              <w:ind w:firstLine="420" w:firstLineChars="200"/>
              <w:rPr>
                <w:rFonts w:ascii="宋体" w:hAnsi="宋体" w:cs="宋体"/>
                <w:color w:val="auto"/>
                <w:szCs w:val="21"/>
                <w:highlight w:val="none"/>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）投标人认为针对报价需要说明的其他文件及资料（如有）。</w:t>
            </w:r>
          </w:p>
        </w:tc>
      </w:tr>
      <w:tr w14:paraId="7A2990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96" w:type="dxa"/>
            <w:vAlign w:val="center"/>
          </w:tcPr>
          <w:p w14:paraId="3CC65775">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15</w:t>
            </w:r>
          </w:p>
        </w:tc>
        <w:tc>
          <w:tcPr>
            <w:tcW w:w="1278" w:type="dxa"/>
            <w:vAlign w:val="center"/>
          </w:tcPr>
          <w:p w14:paraId="03BFAAFA">
            <w:pPr>
              <w:adjustRightInd w:val="0"/>
              <w:snapToGri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投标文件份数</w:t>
            </w:r>
          </w:p>
        </w:tc>
        <w:tc>
          <w:tcPr>
            <w:tcW w:w="7419" w:type="dxa"/>
            <w:vAlign w:val="center"/>
          </w:tcPr>
          <w:p w14:paraId="670A19E5">
            <w:pPr>
              <w:autoSpaceDE w:val="0"/>
              <w:autoSpaceDN w:val="0"/>
              <w:snapToGrid w:val="0"/>
              <w:spacing w:line="400" w:lineRule="exact"/>
              <w:textAlignment w:val="bottom"/>
              <w:rPr>
                <w:color w:val="auto"/>
                <w:highlight w:val="none"/>
              </w:rPr>
            </w:pPr>
            <w:r>
              <w:rPr>
                <w:rFonts w:hint="eastAsia"/>
                <w:color w:val="auto"/>
                <w:highlight w:val="none"/>
              </w:rPr>
              <w:t>1</w:t>
            </w:r>
            <w:r>
              <w:rPr>
                <w:color w:val="auto"/>
                <w:highlight w:val="none"/>
              </w:rPr>
              <w:t>.</w:t>
            </w:r>
            <w:r>
              <w:rPr>
                <w:rFonts w:hint="eastAsia"/>
                <w:color w:val="auto"/>
                <w:highlight w:val="none"/>
              </w:rPr>
              <w:t>资格响应文件、商务和技术响应文件胶装成一册，报价响应文件胶装成一册，各正本一份、副本</w:t>
            </w:r>
            <w:r>
              <w:rPr>
                <w:rFonts w:hint="eastAsia"/>
                <w:color w:val="auto"/>
                <w:highlight w:val="none"/>
                <w:lang w:eastAsia="zh-CN"/>
              </w:rPr>
              <w:t>六</w:t>
            </w:r>
            <w:r>
              <w:rPr>
                <w:rFonts w:hint="eastAsia"/>
                <w:color w:val="auto"/>
                <w:highlight w:val="none"/>
              </w:rPr>
              <w:t xml:space="preserve">份。响应文件必须胶装，否则做无效投标处理。 </w:t>
            </w:r>
          </w:p>
          <w:p w14:paraId="5B8EF442">
            <w:pPr>
              <w:autoSpaceDE w:val="0"/>
              <w:autoSpaceDN w:val="0"/>
              <w:snapToGrid w:val="0"/>
              <w:spacing w:line="400" w:lineRule="exact"/>
              <w:textAlignment w:val="bottom"/>
              <w:rPr>
                <w:color w:val="auto"/>
                <w:highlight w:val="none"/>
              </w:rPr>
            </w:pPr>
            <w:r>
              <w:rPr>
                <w:rFonts w:hint="eastAsia"/>
                <w:color w:val="auto"/>
                <w:highlight w:val="none"/>
              </w:rPr>
              <w:t>2</w:t>
            </w:r>
            <w:r>
              <w:rPr>
                <w:color w:val="auto"/>
                <w:highlight w:val="none"/>
              </w:rPr>
              <w:t>.</w:t>
            </w:r>
            <w:r>
              <w:rPr>
                <w:rFonts w:hint="eastAsia"/>
                <w:color w:val="auto"/>
                <w:highlight w:val="none"/>
              </w:rPr>
              <w:t xml:space="preserve">投标人应将投标文件资格响应文件、商务和技术响应文件正本、副本全部密封封装在一个外层包装中，将报价响应文件正本、副本全部密封封装在另一个外层包装中，投标文件的外层包装封面上应注明投标人名称、投标人地址、“资格响应文件、商务技术文件响应文件”或“报价响应文件”字样、项目名称、采购编号、标项号及“开标时启封”字样，并加盖投标人公章。 </w:t>
            </w:r>
            <w:r>
              <w:rPr>
                <w:color w:val="auto"/>
                <w:highlight w:val="none"/>
              </w:rPr>
              <w:t xml:space="preserve"> </w:t>
            </w:r>
          </w:p>
          <w:p w14:paraId="3DEAC433">
            <w:pPr>
              <w:snapToGrid w:val="0"/>
              <w:spacing w:line="300" w:lineRule="auto"/>
              <w:rPr>
                <w:color w:val="auto"/>
                <w:highlight w:val="none"/>
              </w:rPr>
            </w:pPr>
            <w:r>
              <w:rPr>
                <w:rFonts w:hint="eastAsia"/>
                <w:color w:val="auto"/>
                <w:highlight w:val="none"/>
              </w:rPr>
              <w:t>3</w:t>
            </w:r>
            <w:r>
              <w:rPr>
                <w:color w:val="auto"/>
                <w:highlight w:val="none"/>
              </w:rPr>
              <w:t>.</w:t>
            </w:r>
            <w:r>
              <w:rPr>
                <w:rFonts w:hint="eastAsia"/>
                <w:color w:val="auto"/>
                <w:highlight w:val="none"/>
              </w:rPr>
              <w:t>如投标人未按上述要求密封及加写标记，采购人对投标文件的误投和提前启封不负责任。</w:t>
            </w:r>
          </w:p>
        </w:tc>
      </w:tr>
      <w:tr w14:paraId="0DB84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896" w:type="dxa"/>
            <w:vAlign w:val="center"/>
          </w:tcPr>
          <w:p w14:paraId="1D333BE2">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16</w:t>
            </w:r>
          </w:p>
        </w:tc>
        <w:tc>
          <w:tcPr>
            <w:tcW w:w="1278" w:type="dxa"/>
            <w:vAlign w:val="center"/>
          </w:tcPr>
          <w:p w14:paraId="3E54E641">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投标文件截止时间及地点</w:t>
            </w:r>
          </w:p>
        </w:tc>
        <w:tc>
          <w:tcPr>
            <w:tcW w:w="7419" w:type="dxa"/>
            <w:vAlign w:val="center"/>
          </w:tcPr>
          <w:p w14:paraId="3E0258B8">
            <w:pPr>
              <w:adjustRightInd w:val="0"/>
              <w:snapToGrid w:val="0"/>
              <w:spacing w:line="300" w:lineRule="auto"/>
              <w:rPr>
                <w:color w:val="auto"/>
                <w:highlight w:val="none"/>
              </w:rPr>
            </w:pPr>
            <w:r>
              <w:rPr>
                <w:rFonts w:hint="eastAsia" w:ascii="宋体" w:hAnsi="宋体" w:cs="宋体"/>
                <w:snapToGrid w:val="0"/>
                <w:color w:val="auto"/>
                <w:kern w:val="0"/>
                <w:szCs w:val="21"/>
                <w:highlight w:val="none"/>
              </w:rPr>
              <w:t>详见招标公告</w:t>
            </w:r>
          </w:p>
        </w:tc>
      </w:tr>
      <w:tr w14:paraId="4734D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896" w:type="dxa"/>
            <w:vAlign w:val="center"/>
          </w:tcPr>
          <w:p w14:paraId="79BD8F02">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17</w:t>
            </w:r>
          </w:p>
        </w:tc>
        <w:tc>
          <w:tcPr>
            <w:tcW w:w="1278" w:type="dxa"/>
            <w:vAlign w:val="center"/>
          </w:tcPr>
          <w:p w14:paraId="58AB75BC">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开标时间及地点</w:t>
            </w:r>
          </w:p>
        </w:tc>
        <w:tc>
          <w:tcPr>
            <w:tcW w:w="7419" w:type="dxa"/>
            <w:vAlign w:val="center"/>
          </w:tcPr>
          <w:p w14:paraId="7C2AB0F1">
            <w:pPr>
              <w:adjustRightInd w:val="0"/>
              <w:snapToGrid w:val="0"/>
              <w:spacing w:line="300" w:lineRule="auto"/>
              <w:rPr>
                <w:color w:val="auto"/>
                <w:szCs w:val="21"/>
                <w:highlight w:val="none"/>
              </w:rPr>
            </w:pPr>
            <w:r>
              <w:rPr>
                <w:rFonts w:hint="eastAsia" w:ascii="宋体" w:hAnsi="宋体" w:cs="宋体"/>
                <w:snapToGrid w:val="0"/>
                <w:color w:val="auto"/>
                <w:kern w:val="0"/>
                <w:szCs w:val="21"/>
                <w:highlight w:val="none"/>
              </w:rPr>
              <w:t>详见招标公告</w:t>
            </w:r>
          </w:p>
        </w:tc>
      </w:tr>
      <w:tr w14:paraId="4E479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896" w:type="dxa"/>
            <w:vAlign w:val="center"/>
          </w:tcPr>
          <w:p w14:paraId="2F736385">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18</w:t>
            </w:r>
          </w:p>
        </w:tc>
        <w:tc>
          <w:tcPr>
            <w:tcW w:w="1278" w:type="dxa"/>
            <w:vAlign w:val="center"/>
          </w:tcPr>
          <w:p w14:paraId="50A31B24">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投标有效期</w:t>
            </w:r>
          </w:p>
        </w:tc>
        <w:tc>
          <w:tcPr>
            <w:tcW w:w="7419" w:type="dxa"/>
            <w:vAlign w:val="center"/>
          </w:tcPr>
          <w:p w14:paraId="7E8E0B33">
            <w:pPr>
              <w:adjustRightInd w:val="0"/>
              <w:snapToGrid w:val="0"/>
              <w:spacing w:line="30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投标截止日后</w:t>
            </w:r>
            <w:r>
              <w:rPr>
                <w:rFonts w:hint="eastAsia" w:ascii="宋体" w:hAnsi="宋体" w:cs="宋体"/>
                <w:b/>
                <w:bCs/>
                <w:snapToGrid w:val="0"/>
                <w:color w:val="auto"/>
                <w:kern w:val="0"/>
                <w:szCs w:val="21"/>
                <w:highlight w:val="none"/>
              </w:rPr>
              <w:t>90日历天</w:t>
            </w:r>
            <w:r>
              <w:rPr>
                <w:rFonts w:hint="eastAsia" w:ascii="宋体" w:hAnsi="宋体" w:cs="宋体"/>
                <w:snapToGrid w:val="0"/>
                <w:color w:val="auto"/>
                <w:kern w:val="0"/>
                <w:szCs w:val="21"/>
                <w:highlight w:val="none"/>
              </w:rPr>
              <w:t>内有效</w:t>
            </w:r>
          </w:p>
        </w:tc>
      </w:tr>
      <w:tr w14:paraId="2254F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896" w:type="dxa"/>
            <w:vAlign w:val="center"/>
          </w:tcPr>
          <w:p w14:paraId="72E27941">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w:t>
            </w:r>
          </w:p>
        </w:tc>
        <w:tc>
          <w:tcPr>
            <w:tcW w:w="1278" w:type="dxa"/>
            <w:vAlign w:val="center"/>
          </w:tcPr>
          <w:p w14:paraId="3B7D519D">
            <w:pPr>
              <w:adjustRightInd w:val="0"/>
              <w:snapToGrid w:val="0"/>
              <w:spacing w:line="276"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评标办法</w:t>
            </w:r>
          </w:p>
        </w:tc>
        <w:tc>
          <w:tcPr>
            <w:tcW w:w="7419" w:type="dxa"/>
            <w:vAlign w:val="center"/>
          </w:tcPr>
          <w:p w14:paraId="027D5E0B">
            <w:pPr>
              <w:adjustRightInd w:val="0"/>
              <w:snapToGrid w:val="0"/>
              <w:spacing w:line="30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综合评分法</w:t>
            </w:r>
          </w:p>
        </w:tc>
      </w:tr>
      <w:tr w14:paraId="79FC3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896" w:type="dxa"/>
            <w:vAlign w:val="center"/>
          </w:tcPr>
          <w:p w14:paraId="496ED429">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1278" w:type="dxa"/>
            <w:vAlign w:val="center"/>
          </w:tcPr>
          <w:p w14:paraId="3BD6612A">
            <w:pPr>
              <w:adjustRightInd w:val="0"/>
              <w:snapToGrid w:val="0"/>
              <w:spacing w:line="276" w:lineRule="auto"/>
              <w:jc w:val="center"/>
              <w:rPr>
                <w:rFonts w:ascii="宋体" w:hAnsi="宋体" w:cs="宋体"/>
                <w:b/>
                <w:bCs/>
                <w:snapToGrid w:val="0"/>
                <w:color w:val="auto"/>
                <w:kern w:val="0"/>
                <w:szCs w:val="21"/>
                <w:highlight w:val="none"/>
              </w:rPr>
            </w:pPr>
            <w:r>
              <w:rPr>
                <w:rFonts w:hint="eastAsia" w:ascii="宋体" w:hAnsi="宋体"/>
                <w:b/>
                <w:bCs/>
                <w:color w:val="auto"/>
                <w:szCs w:val="21"/>
                <w:highlight w:val="none"/>
              </w:rPr>
              <w:t>开标程序</w:t>
            </w:r>
          </w:p>
        </w:tc>
        <w:tc>
          <w:tcPr>
            <w:tcW w:w="7419" w:type="dxa"/>
            <w:vAlign w:val="center"/>
          </w:tcPr>
          <w:p w14:paraId="6347EF06">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开标顺序：按照投标文件送达的先后顺序进行开标。</w:t>
            </w:r>
          </w:p>
          <w:p w14:paraId="3ACA57A5">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开标程序：本项目分两阶段开标，具体如下：</w:t>
            </w:r>
          </w:p>
          <w:p w14:paraId="288A36FA">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第一阶段：商务及技术文件开标；</w:t>
            </w:r>
          </w:p>
          <w:p w14:paraId="1E222A66">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时间：详见招标公告</w:t>
            </w:r>
          </w:p>
          <w:p w14:paraId="205C3D2D">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开标地点：详见招标公告</w:t>
            </w:r>
          </w:p>
          <w:p w14:paraId="67A9A6FA">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第二阶段：报价文件开标；</w:t>
            </w:r>
          </w:p>
          <w:p w14:paraId="78B6B9B1">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时间：商务及技术文件评审结束后（以采购代理机构通知时间为准）；</w:t>
            </w:r>
          </w:p>
          <w:p w14:paraId="7171D70D">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地点：同第一阶段开标地点。</w:t>
            </w:r>
          </w:p>
          <w:p w14:paraId="4F36AC54">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注：第一阶段评审过程中作无效标处理的投标人不再进入第二阶段开标，报价文件直接退还投标人。</w:t>
            </w:r>
          </w:p>
          <w:p w14:paraId="01C0D5AD">
            <w:pPr>
              <w:adjustRightInd w:val="0"/>
              <w:snapToGrid w:val="0"/>
              <w:spacing w:line="30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投标人应派法定代表人或其授权代表（携带本人有效居民身份证原件）出席开标大会。</w:t>
            </w:r>
          </w:p>
        </w:tc>
      </w:tr>
      <w:tr w14:paraId="375D6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6" w:type="dxa"/>
            <w:vAlign w:val="center"/>
          </w:tcPr>
          <w:p w14:paraId="696BF16A">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w:t>
            </w:r>
          </w:p>
        </w:tc>
        <w:tc>
          <w:tcPr>
            <w:tcW w:w="1278" w:type="dxa"/>
            <w:vAlign w:val="center"/>
          </w:tcPr>
          <w:p w14:paraId="01ECABF2">
            <w:pPr>
              <w:adjustRightInd w:val="0"/>
              <w:snapToGrid w:val="0"/>
              <w:spacing w:line="276" w:lineRule="auto"/>
              <w:jc w:val="center"/>
              <w:rPr>
                <w:rFonts w:ascii="宋体" w:hAnsi="宋体" w:cs="宋体"/>
                <w:b/>
                <w:bCs/>
                <w:snapToGrid w:val="0"/>
                <w:color w:val="auto"/>
                <w:kern w:val="0"/>
                <w:szCs w:val="21"/>
                <w:highlight w:val="none"/>
              </w:rPr>
            </w:pPr>
            <w:r>
              <w:rPr>
                <w:rFonts w:hint="eastAsia" w:ascii="宋体" w:hAnsi="宋体"/>
                <w:b/>
                <w:bCs/>
                <w:color w:val="auto"/>
                <w:szCs w:val="21"/>
                <w:highlight w:val="none"/>
              </w:rPr>
              <w:t>评标程序</w:t>
            </w:r>
          </w:p>
        </w:tc>
        <w:tc>
          <w:tcPr>
            <w:tcW w:w="7419" w:type="dxa"/>
            <w:vAlign w:val="center"/>
          </w:tcPr>
          <w:p w14:paraId="4F551D11">
            <w:pPr>
              <w:pStyle w:val="26"/>
              <w:numPr>
                <w:ilvl w:val="0"/>
                <w:numId w:val="2"/>
              </w:numPr>
              <w:snapToGrid w:val="0"/>
              <w:spacing w:line="320" w:lineRule="exact"/>
              <w:rPr>
                <w:rFonts w:ascii="宋体" w:hAnsi="宋体" w:eastAsia="宋体"/>
                <w:color w:val="auto"/>
                <w:highlight w:val="none"/>
              </w:rPr>
            </w:pPr>
            <w:r>
              <w:rPr>
                <w:rFonts w:hint="eastAsia" w:ascii="宋体" w:hAnsi="宋体" w:eastAsia="宋体"/>
                <w:color w:val="auto"/>
                <w:highlight w:val="none"/>
              </w:rPr>
              <w:t>资格审查：由采购人或采购代理机构代表根据招标文件的规定对投标人进行资格审查，资格审查不合格的投标人，其投标作无效标处理。</w:t>
            </w:r>
          </w:p>
          <w:p w14:paraId="1B7BE30F">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符合性评审</w:t>
            </w:r>
            <w:r>
              <w:rPr>
                <w:rFonts w:hint="eastAsia" w:ascii="宋体" w:hAnsi="宋体" w:eastAsia="宋体"/>
                <w:color w:val="auto"/>
                <w:highlight w:val="none"/>
              </w:rPr>
              <w:t>：依据招标文件的规定，从投标文件的有效性、完整性和对招标文件的响应程度进行审查，以确定是否对招标文件的实质性要求作出响应。具体审查内容见第五部分 评标办法，四、评标程序，第5条“无效投标的认定”。</w:t>
            </w:r>
          </w:p>
          <w:p w14:paraId="5D01538A">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商务技术评分</w:t>
            </w:r>
            <w:r>
              <w:rPr>
                <w:rFonts w:hint="eastAsia" w:ascii="宋体" w:hAnsi="宋体" w:eastAsia="宋体"/>
                <w:color w:val="auto"/>
                <w:highlight w:val="none"/>
              </w:rPr>
              <w:t>：由评标委员会对各投标人的技术商务充分审核、讨论及评议后，独立评分。</w:t>
            </w:r>
            <w:r>
              <w:rPr>
                <w:rFonts w:ascii="宋体" w:hAnsi="宋体" w:eastAsia="宋体"/>
                <w:color w:val="auto"/>
                <w:highlight w:val="none"/>
              </w:rPr>
              <w:t>商务技术评分汇总</w:t>
            </w:r>
            <w:r>
              <w:rPr>
                <w:rFonts w:hint="eastAsia" w:ascii="宋体" w:hAnsi="宋体" w:eastAsia="宋体"/>
                <w:color w:val="auto"/>
                <w:highlight w:val="none"/>
              </w:rPr>
              <w:t>。</w:t>
            </w:r>
          </w:p>
          <w:p w14:paraId="3BB2B7F9">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商务技术结果公布</w:t>
            </w:r>
            <w:r>
              <w:rPr>
                <w:rFonts w:hint="eastAsia" w:ascii="宋体" w:hAnsi="宋体" w:eastAsia="宋体"/>
                <w:color w:val="auto"/>
                <w:highlight w:val="none"/>
              </w:rPr>
              <w:t>；代理机构将公布符合性审查、商务技术评审无效投标人名称及理由；公布经商务技术评审后有效投标人的名单，及其商务技术部分得分情况。</w:t>
            </w:r>
          </w:p>
          <w:p w14:paraId="38C70C06">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开启</w:t>
            </w:r>
            <w:r>
              <w:rPr>
                <w:rFonts w:hint="eastAsia" w:ascii="宋体" w:hAnsi="宋体" w:eastAsia="宋体"/>
                <w:color w:val="auto"/>
                <w:highlight w:val="none"/>
              </w:rPr>
              <w:t>报价响应文件：采购代理机构成功开启报价响应文件后，方可查看各投标人报价情况。</w:t>
            </w:r>
          </w:p>
          <w:p w14:paraId="6B6E9004">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报价评审</w:t>
            </w:r>
            <w:r>
              <w:rPr>
                <w:rFonts w:hint="eastAsia" w:ascii="宋体" w:hAnsi="宋体" w:eastAsia="宋体"/>
                <w:color w:val="auto"/>
                <w:highlight w:val="none"/>
              </w:rPr>
              <w:t>：由评标委员会对报价的合理性、准确性等进行审查核实。</w:t>
            </w:r>
          </w:p>
          <w:p w14:paraId="6409C869">
            <w:pPr>
              <w:pStyle w:val="26"/>
              <w:numPr>
                <w:ilvl w:val="0"/>
                <w:numId w:val="2"/>
              </w:numPr>
              <w:snapToGrid w:val="0"/>
              <w:spacing w:line="320" w:lineRule="exact"/>
              <w:rPr>
                <w:rFonts w:ascii="宋体" w:hAnsi="宋体" w:eastAsia="宋体"/>
                <w:color w:val="auto"/>
                <w:highlight w:val="none"/>
              </w:rPr>
            </w:pPr>
            <w:r>
              <w:rPr>
                <w:rFonts w:ascii="宋体" w:hAnsi="宋体" w:eastAsia="宋体"/>
                <w:color w:val="auto"/>
                <w:highlight w:val="none"/>
              </w:rPr>
              <w:t>得分汇总</w:t>
            </w:r>
            <w:r>
              <w:rPr>
                <w:rFonts w:hint="eastAsia" w:ascii="宋体" w:hAnsi="宋体" w:eastAsia="宋体"/>
                <w:color w:val="auto"/>
                <w:highlight w:val="none"/>
              </w:rPr>
              <w:t>。</w:t>
            </w:r>
          </w:p>
          <w:p w14:paraId="6944621A">
            <w:pPr>
              <w:pStyle w:val="26"/>
              <w:numPr>
                <w:ilvl w:val="0"/>
                <w:numId w:val="2"/>
              </w:numPr>
              <w:snapToGrid w:val="0"/>
              <w:spacing w:line="320" w:lineRule="exact"/>
              <w:rPr>
                <w:rFonts w:ascii="宋体" w:hAnsi="宋体" w:cs="宋体"/>
                <w:snapToGrid w:val="0"/>
                <w:color w:val="auto"/>
                <w:kern w:val="0"/>
                <w:highlight w:val="none"/>
              </w:rPr>
            </w:pPr>
            <w:r>
              <w:rPr>
                <w:rFonts w:ascii="宋体" w:hAnsi="宋体" w:eastAsia="宋体"/>
                <w:color w:val="auto"/>
                <w:highlight w:val="none"/>
              </w:rPr>
              <w:t>结果公布</w:t>
            </w:r>
            <w:r>
              <w:rPr>
                <w:rFonts w:hint="eastAsia" w:ascii="宋体" w:hAnsi="宋体" w:eastAsia="宋体"/>
                <w:color w:val="auto"/>
                <w:highlight w:val="none"/>
              </w:rPr>
              <w:t>。</w:t>
            </w:r>
          </w:p>
        </w:tc>
      </w:tr>
      <w:tr w14:paraId="26318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96" w:type="dxa"/>
            <w:vAlign w:val="center"/>
          </w:tcPr>
          <w:p w14:paraId="2F06D827">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w:t>
            </w:r>
          </w:p>
        </w:tc>
        <w:tc>
          <w:tcPr>
            <w:tcW w:w="1278" w:type="dxa"/>
            <w:vAlign w:val="center"/>
          </w:tcPr>
          <w:p w14:paraId="6C3F5622">
            <w:pPr>
              <w:adjustRightInd w:val="0"/>
              <w:snapToGrid w:val="0"/>
              <w:spacing w:line="276" w:lineRule="auto"/>
              <w:jc w:val="center"/>
              <w:rPr>
                <w:rFonts w:ascii="宋体" w:hAnsi="宋体" w:cs="宋体"/>
                <w:b/>
                <w:bCs/>
                <w:color w:val="auto"/>
                <w:szCs w:val="21"/>
                <w:highlight w:val="none"/>
              </w:rPr>
            </w:pPr>
            <w:r>
              <w:rPr>
                <w:rFonts w:hint="eastAsia" w:ascii="宋体" w:hAnsi="宋体"/>
                <w:b/>
                <w:bCs/>
                <w:snapToGrid w:val="0"/>
                <w:color w:val="auto"/>
                <w:kern w:val="0"/>
                <w:szCs w:val="21"/>
                <w:highlight w:val="none"/>
              </w:rPr>
              <w:t>询标澄清</w:t>
            </w:r>
          </w:p>
        </w:tc>
        <w:tc>
          <w:tcPr>
            <w:tcW w:w="7419" w:type="dxa"/>
            <w:vAlign w:val="center"/>
          </w:tcPr>
          <w:p w14:paraId="04866864">
            <w:pPr>
              <w:pStyle w:val="26"/>
              <w:snapToGrid w:val="0"/>
              <w:spacing w:line="320" w:lineRule="exact"/>
              <w:rPr>
                <w:rFonts w:ascii="宋体" w:hAnsi="宋体" w:eastAsia="宋体" w:cs="宋体"/>
                <w:color w:val="auto"/>
                <w:highlight w:val="none"/>
              </w:rPr>
            </w:pPr>
            <w:r>
              <w:rPr>
                <w:rFonts w:hint="eastAsia" w:ascii="宋体" w:hAnsi="宋体" w:eastAsia="宋体"/>
                <w:color w:val="auto"/>
                <w:highlight w:val="none"/>
              </w:rPr>
              <w:t>在评标过程中，如评审小组对投标文件有疑问，由评审组长将问题汇总后发起询标澄清函，投标人应在规定截止时间前回复相关内容并经签章后提交。逾期答复的，投标人</w:t>
            </w:r>
            <w:r>
              <w:rPr>
                <w:rFonts w:hint="eastAsia" w:ascii="宋体" w:hAnsi="宋体" w:eastAsia="宋体" w:cs="宋体"/>
                <w:color w:val="auto"/>
                <w:highlight w:val="none"/>
              </w:rPr>
              <w:t>自行承担由此可能导致的对其不利的评审结果，评标委员会按少数服从多数原则对相关内容进行评判</w:t>
            </w:r>
          </w:p>
        </w:tc>
      </w:tr>
      <w:tr w14:paraId="6E58B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96" w:type="dxa"/>
            <w:vAlign w:val="center"/>
          </w:tcPr>
          <w:p w14:paraId="2C5337B3">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w:t>
            </w:r>
          </w:p>
        </w:tc>
        <w:tc>
          <w:tcPr>
            <w:tcW w:w="1278" w:type="dxa"/>
            <w:vAlign w:val="center"/>
          </w:tcPr>
          <w:p w14:paraId="1EA0256C">
            <w:pPr>
              <w:adjustRightInd w:val="0"/>
              <w:snapToGrid w:val="0"/>
              <w:spacing w:line="276" w:lineRule="auto"/>
              <w:jc w:val="center"/>
              <w:rPr>
                <w:rFonts w:ascii="宋体" w:hAnsi="宋体"/>
                <w:b/>
                <w:bCs/>
                <w:snapToGrid w:val="0"/>
                <w:color w:val="auto"/>
                <w:kern w:val="0"/>
                <w:szCs w:val="21"/>
                <w:highlight w:val="none"/>
              </w:rPr>
            </w:pPr>
            <w:r>
              <w:rPr>
                <w:rFonts w:hint="eastAsia" w:ascii="宋体" w:hAnsi="宋体" w:cs="宋体"/>
                <w:b/>
                <w:bCs/>
                <w:snapToGrid w:val="0"/>
                <w:color w:val="auto"/>
                <w:kern w:val="0"/>
                <w:szCs w:val="21"/>
                <w:highlight w:val="none"/>
              </w:rPr>
              <w:t>公告发布媒体</w:t>
            </w:r>
          </w:p>
        </w:tc>
        <w:tc>
          <w:tcPr>
            <w:tcW w:w="7419" w:type="dxa"/>
            <w:vAlign w:val="center"/>
          </w:tcPr>
          <w:p w14:paraId="3C59CB85">
            <w:pPr>
              <w:pStyle w:val="26"/>
              <w:snapToGrid w:val="0"/>
              <w:spacing w:line="320" w:lineRule="exact"/>
              <w:rPr>
                <w:rFonts w:ascii="宋体" w:hAnsi="宋体" w:eastAsia="宋体"/>
                <w:color w:val="auto"/>
                <w:highlight w:val="none"/>
              </w:rPr>
            </w:pPr>
            <w:r>
              <w:rPr>
                <w:rFonts w:hint="eastAsia" w:ascii="宋体" w:hAnsi="宋体" w:eastAsia="宋体" w:cs="宋体"/>
                <w:snapToGrid w:val="0"/>
                <w:color w:val="auto"/>
                <w:kern w:val="0"/>
                <w:highlight w:val="none"/>
              </w:rPr>
              <w:t>本项目招标公告及结果公告发布媒体为中国政府采购网（http://www.ccgp.gov.cn/）</w:t>
            </w:r>
          </w:p>
        </w:tc>
      </w:tr>
      <w:tr w14:paraId="4FB01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96" w:type="dxa"/>
            <w:vAlign w:val="center"/>
          </w:tcPr>
          <w:p w14:paraId="76A34029">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24</w:t>
            </w:r>
          </w:p>
        </w:tc>
        <w:tc>
          <w:tcPr>
            <w:tcW w:w="1278" w:type="dxa"/>
            <w:vAlign w:val="center"/>
          </w:tcPr>
          <w:p w14:paraId="4791109E">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质疑</w:t>
            </w:r>
          </w:p>
        </w:tc>
        <w:tc>
          <w:tcPr>
            <w:tcW w:w="7419" w:type="dxa"/>
            <w:vAlign w:val="center"/>
          </w:tcPr>
          <w:p w14:paraId="64C3DEC3">
            <w:pPr>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根据《中华人民共和国政府采购法》第五十二条、《中华人民共和国政府采购法实施条例》第五十三条、《政府采购质疑和投诉办法》的规定：</w:t>
            </w:r>
          </w:p>
          <w:p w14:paraId="4088EE15">
            <w:pPr>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投标人认为采购（招标）文件、采购过程、中标或者成交结果使自己的权益受到损害的，可以在知道或者应知其权益受到损害之日起7个工作日内，以书面形式向采购人、采购代理机构提出质疑。</w:t>
            </w:r>
          </w:p>
          <w:p w14:paraId="57D804C5">
            <w:pPr>
              <w:snapToGrid w:val="0"/>
              <w:spacing w:line="320" w:lineRule="exact"/>
              <w:rPr>
                <w:rFonts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本项目要求投标人在法定质疑期内一次性提出针对同一采购程序环节的质疑。</w:t>
            </w:r>
          </w:p>
        </w:tc>
      </w:tr>
      <w:tr w14:paraId="595F0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96" w:type="dxa"/>
            <w:vAlign w:val="center"/>
          </w:tcPr>
          <w:p w14:paraId="1B8CFC80">
            <w:pPr>
              <w:adjustRightInd w:val="0"/>
              <w:snapToGrid w:val="0"/>
              <w:spacing w:line="276" w:lineRule="auto"/>
              <w:jc w:val="center"/>
              <w:rPr>
                <w:rFonts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25</w:t>
            </w:r>
          </w:p>
        </w:tc>
        <w:tc>
          <w:tcPr>
            <w:tcW w:w="1278" w:type="dxa"/>
            <w:vAlign w:val="center"/>
          </w:tcPr>
          <w:p w14:paraId="2A4ED4B1">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投诉</w:t>
            </w:r>
          </w:p>
        </w:tc>
        <w:tc>
          <w:tcPr>
            <w:tcW w:w="7419" w:type="dxa"/>
            <w:vAlign w:val="center"/>
          </w:tcPr>
          <w:p w14:paraId="7BF64381">
            <w:pPr>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疑投标人对采购人、采购代理机构的答复不满意或者采购人、采购代理机构未在规定的时间内作出答复的，可以在答复期满后十五个工作日内向监督管理部门投诉。以联合体形式参加政府采购活动的，其投诉应当由组成联合体的所有投标人共同提出。</w:t>
            </w:r>
          </w:p>
        </w:tc>
      </w:tr>
      <w:tr w14:paraId="3D543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96" w:type="dxa"/>
            <w:vAlign w:val="center"/>
          </w:tcPr>
          <w:p w14:paraId="61BB2A38">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26</w:t>
            </w:r>
          </w:p>
        </w:tc>
        <w:tc>
          <w:tcPr>
            <w:tcW w:w="1278" w:type="dxa"/>
            <w:vAlign w:val="center"/>
          </w:tcPr>
          <w:p w14:paraId="0973F26B">
            <w:pPr>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特别说明</w:t>
            </w:r>
          </w:p>
        </w:tc>
        <w:tc>
          <w:tcPr>
            <w:tcW w:w="7419" w:type="dxa"/>
            <w:vAlign w:val="center"/>
          </w:tcPr>
          <w:p w14:paraId="1D11BFF4">
            <w:pPr>
              <w:pStyle w:val="26"/>
              <w:adjustRightInd w:val="0"/>
              <w:snapToGrid w:val="0"/>
              <w:spacing w:line="320" w:lineRule="exac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人应无条件的、认真仔细的、不厌其烦的阅读本招标文件及其澄清答疑、修改答复的补充文件，严格按照招标文件及补充文件的规定和要求编制投标文件。在编制投标文件过程中，应严格遵循实事求是、诚信投标的原则，针对招标文件中第三部分用户需求、第四部分合同条款等各项内容进行确认，如有偏离，应如实填写响应偏离表。</w:t>
            </w:r>
          </w:p>
          <w:p w14:paraId="212B6481">
            <w:pPr>
              <w:pStyle w:val="26"/>
              <w:adjustRightInd w:val="0"/>
              <w:snapToGrid w:val="0"/>
              <w:spacing w:line="320" w:lineRule="exac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本项目中标公示期间，投标人不得通过非正当途径、更不得通过非正当手段获取法律法规规定评标委员会（包括其他相关人员）应当保密的相关内容。即便由此获得资料并作为向采购人或采购代理机构或监督管理部门提出异（质）疑或投诉或法院起诉的理由，均属于非法索取的依据。</w:t>
            </w:r>
          </w:p>
          <w:p w14:paraId="52F38617">
            <w:pPr>
              <w:pStyle w:val="26"/>
              <w:adjustRightInd w:val="0"/>
              <w:snapToGrid w:val="0"/>
              <w:spacing w:line="320" w:lineRule="exac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（3）质疑、投诉人未按前列序号第24、25条规定进行质疑、投诉（申诉）、举报等，均属于扰乱政府采购市场不良行为。</w:t>
            </w:r>
          </w:p>
          <w:p w14:paraId="23ECB197">
            <w:pPr>
              <w:pStyle w:val="26"/>
              <w:snapToGrid w:val="0"/>
              <w:spacing w:line="320" w:lineRule="exact"/>
              <w:rPr>
                <w:rFonts w:ascii="宋体" w:hAnsi="宋体" w:eastAsia="宋体" w:cs="宋体"/>
                <w:b/>
                <w:color w:val="auto"/>
                <w:highlight w:val="none"/>
              </w:rPr>
            </w:pPr>
            <w:r>
              <w:rPr>
                <w:rFonts w:hint="eastAsia" w:ascii="宋体" w:hAnsi="宋体" w:eastAsia="宋体" w:cs="宋体"/>
                <w:b/>
                <w:bCs/>
                <w:snapToGrid w:val="0"/>
                <w:color w:val="auto"/>
                <w:kern w:val="0"/>
                <w:highlight w:val="none"/>
              </w:rPr>
              <w:t>（4）招标文件中凡标注“▲”的条款均为实质性要求，不响应的投标文件将作无效标处理</w:t>
            </w:r>
          </w:p>
        </w:tc>
      </w:tr>
      <w:tr w14:paraId="1413C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96" w:type="dxa"/>
            <w:vAlign w:val="center"/>
          </w:tcPr>
          <w:p w14:paraId="176F5A21">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27</w:t>
            </w:r>
          </w:p>
        </w:tc>
        <w:tc>
          <w:tcPr>
            <w:tcW w:w="1278" w:type="dxa"/>
            <w:vAlign w:val="center"/>
          </w:tcPr>
          <w:p w14:paraId="2F86F82C">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招标代理服务费</w:t>
            </w:r>
          </w:p>
        </w:tc>
        <w:tc>
          <w:tcPr>
            <w:tcW w:w="7419" w:type="dxa"/>
            <w:vAlign w:val="center"/>
          </w:tcPr>
          <w:p w14:paraId="3F2CFD06">
            <w:pPr>
              <w:adjustRightInd w:val="0"/>
              <w:snapToGrid w:val="0"/>
              <w:spacing w:line="320" w:lineRule="exact"/>
              <w:rPr>
                <w:color w:val="auto"/>
                <w:szCs w:val="21"/>
                <w:highlight w:val="none"/>
              </w:rPr>
            </w:pPr>
            <w:r>
              <w:rPr>
                <w:rFonts w:hint="eastAsia"/>
                <w:color w:val="auto"/>
                <w:szCs w:val="21"/>
                <w:highlight w:val="none"/>
              </w:rPr>
              <w:t>本项目的采购代理费由中标人以人民币支付，即参照《杭价费[2003]148号文件》规定服务类收费标准收取，在领取中标通知书时，中标人向采购代理机构一次性支付全额代理服务费。</w:t>
            </w:r>
          </w:p>
          <w:p w14:paraId="3E463668">
            <w:pPr>
              <w:adjustRightInd w:val="0"/>
              <w:snapToGrid w:val="0"/>
              <w:spacing w:line="320" w:lineRule="exact"/>
              <w:rPr>
                <w:color w:val="auto"/>
                <w:szCs w:val="21"/>
                <w:highlight w:val="none"/>
              </w:rPr>
            </w:pPr>
            <w:r>
              <w:rPr>
                <w:rFonts w:hint="eastAsia"/>
                <w:color w:val="auto"/>
                <w:szCs w:val="21"/>
                <w:highlight w:val="none"/>
              </w:rPr>
              <w:t xml:space="preserve">单    位： 浙江国际招投标有限公司 </w:t>
            </w:r>
          </w:p>
          <w:p w14:paraId="3CFE2A31">
            <w:pPr>
              <w:adjustRightInd w:val="0"/>
              <w:snapToGrid w:val="0"/>
              <w:spacing w:line="320" w:lineRule="exact"/>
              <w:rPr>
                <w:color w:val="auto"/>
                <w:szCs w:val="21"/>
                <w:highlight w:val="none"/>
              </w:rPr>
            </w:pPr>
            <w:r>
              <w:rPr>
                <w:rFonts w:hint="eastAsia"/>
                <w:color w:val="auto"/>
                <w:szCs w:val="21"/>
                <w:highlight w:val="none"/>
              </w:rPr>
              <w:t>开户银行： 工商银行杭州武林支行</w:t>
            </w:r>
          </w:p>
          <w:p w14:paraId="68040204">
            <w:pPr>
              <w:adjustRightInd w:val="0"/>
              <w:snapToGrid w:val="0"/>
              <w:spacing w:line="320" w:lineRule="exact"/>
              <w:rPr>
                <w:color w:val="auto"/>
                <w:szCs w:val="21"/>
                <w:highlight w:val="none"/>
              </w:rPr>
            </w:pPr>
            <w:r>
              <w:rPr>
                <w:rFonts w:hint="eastAsia"/>
                <w:color w:val="auto"/>
                <w:szCs w:val="21"/>
                <w:highlight w:val="none"/>
              </w:rPr>
              <w:t>账    号：  1202021209906782015</w:t>
            </w:r>
          </w:p>
        </w:tc>
      </w:tr>
      <w:tr w14:paraId="6FB152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643B72EF">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28</w:t>
            </w:r>
          </w:p>
        </w:tc>
        <w:tc>
          <w:tcPr>
            <w:tcW w:w="1278" w:type="dxa"/>
            <w:vAlign w:val="center"/>
          </w:tcPr>
          <w:p w14:paraId="581B3232">
            <w:pPr>
              <w:adjustRightInd w:val="0"/>
              <w:snapToGrid w:val="0"/>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节能环保要求</w:t>
            </w:r>
          </w:p>
        </w:tc>
        <w:tc>
          <w:tcPr>
            <w:tcW w:w="7419" w:type="dxa"/>
            <w:vAlign w:val="center"/>
          </w:tcPr>
          <w:p w14:paraId="798F379D">
            <w:pPr>
              <w:adjustRightInd w:val="0"/>
              <w:snapToGrid w:val="0"/>
              <w:spacing w:line="320" w:lineRule="exact"/>
              <w:rPr>
                <w:rFonts w:hAnsi="宋体" w:cs="宋体"/>
                <w:snapToGrid w:val="0"/>
                <w:color w:val="auto"/>
                <w:kern w:val="0"/>
                <w:szCs w:val="21"/>
                <w:highlight w:val="none"/>
              </w:rPr>
            </w:pPr>
            <w:r>
              <w:rPr>
                <w:rFonts w:hint="eastAsia" w:ascii="宋体" w:hAnsi="宋体" w:cs="宋体"/>
                <w:snapToGrid w:val="0"/>
                <w:color w:val="auto"/>
                <w:kern w:val="0"/>
                <w:szCs w:val="21"/>
                <w:highlight w:val="none"/>
              </w:rPr>
              <w:t>本项目不适用</w:t>
            </w:r>
          </w:p>
        </w:tc>
      </w:tr>
      <w:tr w14:paraId="1D7F6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03EED1B1">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29</w:t>
            </w:r>
          </w:p>
        </w:tc>
        <w:tc>
          <w:tcPr>
            <w:tcW w:w="1278" w:type="dxa"/>
            <w:vAlign w:val="center"/>
          </w:tcPr>
          <w:p w14:paraId="07971564">
            <w:pPr>
              <w:spacing w:line="276" w:lineRule="auto"/>
              <w:jc w:val="center"/>
              <w:rPr>
                <w:rFonts w:ascii="宋体" w:hAnsi="宋体" w:cs="宋体"/>
                <w:b/>
                <w:bCs/>
                <w:snapToGrid w:val="0"/>
                <w:color w:val="auto"/>
                <w:kern w:val="0"/>
                <w:szCs w:val="21"/>
                <w:highlight w:val="none"/>
              </w:rPr>
            </w:pPr>
            <w:r>
              <w:rPr>
                <w:rFonts w:hint="eastAsia" w:ascii="宋体" w:hAnsi="宋体" w:cs="宋体"/>
                <w:b/>
                <w:bCs/>
                <w:color w:val="auto"/>
                <w:szCs w:val="21"/>
                <w:highlight w:val="none"/>
              </w:rPr>
              <w:t>进口产品投标</w:t>
            </w:r>
          </w:p>
        </w:tc>
        <w:tc>
          <w:tcPr>
            <w:tcW w:w="7419" w:type="dxa"/>
            <w:vAlign w:val="center"/>
          </w:tcPr>
          <w:p w14:paraId="21A910C0">
            <w:pPr>
              <w:spacing w:line="276"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w:t>
            </w:r>
            <w:r>
              <w:rPr>
                <w:rFonts w:hint="eastAsia" w:ascii="宋体" w:hAnsi="宋体" w:cs="宋体"/>
                <w:bCs/>
                <w:color w:val="auto"/>
                <w:szCs w:val="21"/>
                <w:highlight w:val="none"/>
              </w:rPr>
              <w:t>不适用</w:t>
            </w:r>
          </w:p>
        </w:tc>
      </w:tr>
      <w:tr w14:paraId="3BEAA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0D672919">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w:t>
            </w:r>
          </w:p>
        </w:tc>
        <w:tc>
          <w:tcPr>
            <w:tcW w:w="1278" w:type="dxa"/>
            <w:vAlign w:val="center"/>
          </w:tcPr>
          <w:p w14:paraId="76306F37">
            <w:pPr>
              <w:adjustRightInd w:val="0"/>
              <w:snapToGrid w:val="0"/>
              <w:jc w:val="center"/>
              <w:rPr>
                <w:rFonts w:hint="eastAsia" w:ascii="宋体" w:hAnsi="宋体" w:eastAsia="宋体" w:cs="宋体"/>
                <w:b/>
                <w:bCs/>
                <w:snapToGrid w:val="0"/>
                <w:color w:val="auto"/>
                <w:kern w:val="0"/>
                <w:szCs w:val="21"/>
                <w:highlight w:val="none"/>
                <w:lang w:eastAsia="zh-CN"/>
              </w:rPr>
            </w:pPr>
            <w:r>
              <w:rPr>
                <w:rFonts w:hint="eastAsia" w:ascii="宋体" w:hAnsi="宋体" w:cs="宋体"/>
                <w:b/>
                <w:bCs/>
                <w:color w:val="auto"/>
                <w:szCs w:val="21"/>
                <w:highlight w:val="none"/>
              </w:rPr>
              <w:t>是否</w:t>
            </w:r>
            <w:r>
              <w:rPr>
                <w:rFonts w:hint="eastAsia" w:ascii="宋体" w:hAnsi="宋体" w:cs="宋体"/>
                <w:b/>
                <w:bCs/>
                <w:color w:val="auto"/>
                <w:szCs w:val="21"/>
                <w:highlight w:val="none"/>
                <w:lang w:eastAsia="zh-CN"/>
              </w:rPr>
              <w:t>中</w:t>
            </w:r>
            <w:r>
              <w:rPr>
                <w:rFonts w:hint="eastAsia" w:ascii="宋体" w:hAnsi="宋体" w:cs="宋体"/>
                <w:b/>
                <w:bCs/>
                <w:color w:val="auto"/>
                <w:szCs w:val="21"/>
                <w:highlight w:val="none"/>
              </w:rPr>
              <w:t>小企业</w:t>
            </w:r>
            <w:r>
              <w:rPr>
                <w:rFonts w:hint="eastAsia" w:ascii="宋体" w:hAnsi="宋体" w:cs="宋体"/>
                <w:b/>
                <w:bCs/>
                <w:color w:val="auto"/>
                <w:szCs w:val="21"/>
                <w:highlight w:val="none"/>
                <w:lang w:eastAsia="zh-CN"/>
              </w:rPr>
              <w:t>预留</w:t>
            </w:r>
          </w:p>
        </w:tc>
        <w:tc>
          <w:tcPr>
            <w:tcW w:w="7419" w:type="dxa"/>
            <w:vAlign w:val="center"/>
          </w:tcPr>
          <w:p w14:paraId="1280A22A">
            <w:pPr>
              <w:spacing w:line="276" w:lineRule="auto"/>
              <w:rPr>
                <w:rFonts w:ascii="宋体" w:hAnsi="宋体" w:cs="宋体"/>
                <w:snapToGrid w:val="0"/>
                <w:color w:val="auto"/>
                <w:kern w:val="0"/>
                <w:szCs w:val="21"/>
                <w:highlight w:val="none"/>
              </w:rPr>
            </w:pPr>
            <w:r>
              <w:rPr>
                <w:rFonts w:hint="eastAsia" w:ascii="宋体" w:hAnsi="宋体" w:cs="宋体"/>
                <w:bCs/>
                <w:color w:val="auto"/>
                <w:szCs w:val="21"/>
                <w:highlight w:val="none"/>
              </w:rPr>
              <w:sym w:font="Wingdings 2" w:char="0052"/>
            </w:r>
            <w:r>
              <w:rPr>
                <w:rFonts w:hint="eastAsia" w:ascii="宋体" w:hAnsi="宋体" w:cs="宋体"/>
                <w:bCs/>
                <w:color w:val="auto"/>
                <w:szCs w:val="21"/>
                <w:highlight w:val="none"/>
              </w:rPr>
              <w:t xml:space="preserve">是     </w:t>
            </w:r>
            <w:r>
              <w:rPr>
                <w:rFonts w:hint="eastAsia" w:ascii="宋体" w:hAnsi="宋体" w:cs="宋体"/>
                <w:bCs/>
                <w:color w:val="auto"/>
                <w:szCs w:val="21"/>
                <w:highlight w:val="none"/>
              </w:rPr>
              <w:sym w:font="Wingdings 2" w:char="00A3"/>
            </w:r>
            <w:r>
              <w:rPr>
                <w:rFonts w:hint="eastAsia" w:ascii="宋体" w:hAnsi="宋体" w:cs="宋体"/>
                <w:bCs/>
                <w:color w:val="auto"/>
                <w:szCs w:val="21"/>
                <w:highlight w:val="none"/>
              </w:rPr>
              <w:t>否</w:t>
            </w:r>
          </w:p>
        </w:tc>
      </w:tr>
      <w:tr w14:paraId="71C33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47227966">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w:t>
            </w:r>
          </w:p>
        </w:tc>
        <w:tc>
          <w:tcPr>
            <w:tcW w:w="1278" w:type="dxa"/>
            <w:vAlign w:val="center"/>
          </w:tcPr>
          <w:p w14:paraId="5B993476">
            <w:pPr>
              <w:adjustRightInd w:val="0"/>
              <w:snapToGrid w:val="0"/>
              <w:jc w:val="center"/>
              <w:rPr>
                <w:rFonts w:ascii="宋体" w:hAnsi="宋体" w:cs="宋体"/>
                <w:b/>
                <w:bCs/>
                <w:snapToGrid w:val="0"/>
                <w:color w:val="auto"/>
                <w:kern w:val="0"/>
                <w:szCs w:val="21"/>
                <w:highlight w:val="none"/>
              </w:rPr>
            </w:pPr>
            <w:r>
              <w:rPr>
                <w:rFonts w:hint="eastAsia" w:ascii="宋体" w:hAnsi="宋体" w:cs="宋体"/>
                <w:b/>
                <w:bCs/>
                <w:color w:val="auto"/>
                <w:szCs w:val="21"/>
                <w:highlight w:val="none"/>
              </w:rPr>
              <w:t>采购人是否允许分包</w:t>
            </w:r>
          </w:p>
        </w:tc>
        <w:tc>
          <w:tcPr>
            <w:tcW w:w="7419" w:type="dxa"/>
            <w:vAlign w:val="center"/>
          </w:tcPr>
          <w:p w14:paraId="5220095F">
            <w:pPr>
              <w:spacing w:line="276" w:lineRule="auto"/>
              <w:rPr>
                <w:rFonts w:ascii="宋体" w:hAnsi="宋体" w:cs="宋体"/>
                <w:snapToGrid w:val="0"/>
                <w:color w:val="auto"/>
                <w:kern w:val="0"/>
                <w:szCs w:val="21"/>
                <w:highlight w:val="none"/>
              </w:rPr>
            </w:pPr>
            <w:r>
              <w:rPr>
                <w:rFonts w:hint="eastAsia" w:ascii="宋体" w:hAnsi="宋体" w:cs="宋体"/>
                <w:bCs/>
                <w:color w:val="auto"/>
                <w:szCs w:val="21"/>
                <w:highlight w:val="none"/>
              </w:rPr>
              <w:sym w:font="Wingdings 2" w:char="0052"/>
            </w:r>
            <w:r>
              <w:rPr>
                <w:rFonts w:hint="eastAsia" w:ascii="宋体" w:hAnsi="宋体" w:cs="宋体"/>
                <w:bCs/>
                <w:color w:val="auto"/>
                <w:szCs w:val="21"/>
                <w:highlight w:val="none"/>
              </w:rPr>
              <w:t xml:space="preserve">是     </w:t>
            </w:r>
            <w:r>
              <w:rPr>
                <w:rFonts w:hint="eastAsia" w:ascii="宋体" w:hAnsi="宋体" w:cs="宋体"/>
                <w:bCs/>
                <w:color w:val="auto"/>
                <w:szCs w:val="21"/>
                <w:highlight w:val="none"/>
              </w:rPr>
              <w:sym w:font="Wingdings 2" w:char="00A3"/>
            </w:r>
            <w:r>
              <w:rPr>
                <w:rFonts w:hint="eastAsia" w:ascii="宋体" w:hAnsi="宋体" w:cs="宋体"/>
                <w:bCs/>
                <w:color w:val="auto"/>
                <w:szCs w:val="21"/>
                <w:highlight w:val="none"/>
              </w:rPr>
              <w:t>否</w:t>
            </w:r>
          </w:p>
        </w:tc>
      </w:tr>
      <w:tr w14:paraId="339AC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896" w:type="dxa"/>
            <w:vAlign w:val="center"/>
          </w:tcPr>
          <w:p w14:paraId="6E432049">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w:t>
            </w:r>
          </w:p>
        </w:tc>
        <w:tc>
          <w:tcPr>
            <w:tcW w:w="1278" w:type="dxa"/>
            <w:vAlign w:val="center"/>
          </w:tcPr>
          <w:p w14:paraId="758CBBD0">
            <w:pPr>
              <w:adjustRightInd w:val="0"/>
              <w:snapToGrid w:val="0"/>
              <w:spacing w:line="276" w:lineRule="auto"/>
              <w:jc w:val="center"/>
              <w:rPr>
                <w:rFonts w:ascii="宋体" w:hAnsi="宋体" w:cs="宋体"/>
                <w:b/>
                <w:bCs/>
                <w:snapToGrid w:val="0"/>
                <w:color w:val="auto"/>
                <w:kern w:val="0"/>
                <w:szCs w:val="21"/>
                <w:highlight w:val="none"/>
              </w:rPr>
            </w:pPr>
            <w:r>
              <w:rPr>
                <w:rFonts w:hint="eastAsia"/>
                <w:b/>
                <w:bCs/>
                <w:color w:val="auto"/>
                <w:highlight w:val="none"/>
              </w:rPr>
              <w:t>项目属性及采购标的对应的中小企业划分标准所属行业</w:t>
            </w:r>
          </w:p>
        </w:tc>
        <w:tc>
          <w:tcPr>
            <w:tcW w:w="7419" w:type="dxa"/>
            <w:vAlign w:val="center"/>
          </w:tcPr>
          <w:p w14:paraId="52207C35">
            <w:pPr>
              <w:pStyle w:val="21"/>
              <w:spacing w:line="320" w:lineRule="exact"/>
              <w:rPr>
                <w:b w:val="0"/>
                <w:bCs w:val="0"/>
                <w:color w:val="auto"/>
                <w:highlight w:val="none"/>
              </w:rPr>
            </w:pPr>
            <w:r>
              <w:rPr>
                <w:rFonts w:hint="eastAsia"/>
                <w:b/>
                <w:bCs/>
                <w:color w:val="auto"/>
                <w:highlight w:val="none"/>
              </w:rPr>
              <w:t>项目属性：</w:t>
            </w:r>
            <w:r>
              <w:rPr>
                <w:rFonts w:hint="eastAsia"/>
                <w:b w:val="0"/>
                <w:bCs w:val="0"/>
                <w:color w:val="auto"/>
                <w:highlight w:val="none"/>
                <w:u w:val="single"/>
              </w:rPr>
              <w:t>服务类</w:t>
            </w:r>
          </w:p>
          <w:p w14:paraId="78CCAFDB">
            <w:pPr>
              <w:rPr>
                <w:color w:val="auto"/>
                <w:highlight w:val="none"/>
              </w:rPr>
            </w:pPr>
            <w:r>
              <w:rPr>
                <w:rFonts w:hint="eastAsia"/>
                <w:b/>
                <w:bCs/>
                <w:color w:val="auto"/>
                <w:highlight w:val="none"/>
              </w:rPr>
              <w:t>标的：</w:t>
            </w:r>
            <w:r>
              <w:rPr>
                <w:rFonts w:hint="eastAsia" w:ascii="宋体" w:hAnsi="宋体" w:cs="宋体"/>
                <w:color w:val="auto"/>
                <w:szCs w:val="21"/>
                <w:highlight w:val="none"/>
                <w:u w:val="single"/>
              </w:rPr>
              <w:t>中国财税博物馆2024-2027年保安及物业管理服务</w:t>
            </w:r>
            <w:r>
              <w:rPr>
                <w:rFonts w:hint="eastAsia" w:ascii="宋体" w:hAnsi="宋体" w:cs="宋体"/>
                <w:color w:val="auto"/>
                <w:szCs w:val="21"/>
                <w:highlight w:val="none"/>
              </w:rPr>
              <w:t>，属于</w:t>
            </w:r>
            <w:r>
              <w:rPr>
                <w:rFonts w:hint="eastAsia" w:ascii="宋体" w:hAnsi="宋体" w:cs="宋体"/>
                <w:color w:val="auto"/>
                <w:szCs w:val="21"/>
                <w:highlight w:val="none"/>
                <w:u w:val="single"/>
              </w:rPr>
              <w:t>物业管理行业</w:t>
            </w:r>
          </w:p>
        </w:tc>
      </w:tr>
      <w:tr w14:paraId="5671F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896" w:type="dxa"/>
            <w:vAlign w:val="center"/>
          </w:tcPr>
          <w:p w14:paraId="153941E6">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w:t>
            </w:r>
          </w:p>
        </w:tc>
        <w:tc>
          <w:tcPr>
            <w:tcW w:w="1278" w:type="dxa"/>
            <w:vAlign w:val="center"/>
          </w:tcPr>
          <w:p w14:paraId="4A6AEB5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合同签订</w:t>
            </w:r>
          </w:p>
        </w:tc>
        <w:tc>
          <w:tcPr>
            <w:tcW w:w="7419" w:type="dxa"/>
            <w:vAlign w:val="center"/>
          </w:tcPr>
          <w:p w14:paraId="473858C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中标通知书发出后30日内，中标人持中标通知书与采购人签订合同；</w:t>
            </w:r>
          </w:p>
        </w:tc>
      </w:tr>
      <w:tr w14:paraId="4EBF5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896" w:type="dxa"/>
            <w:vAlign w:val="center"/>
          </w:tcPr>
          <w:p w14:paraId="2389782B">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w:t>
            </w:r>
          </w:p>
        </w:tc>
        <w:tc>
          <w:tcPr>
            <w:tcW w:w="1278" w:type="dxa"/>
            <w:vAlign w:val="center"/>
          </w:tcPr>
          <w:p w14:paraId="05305FE0">
            <w:pPr>
              <w:adjustRightInd w:val="0"/>
              <w:snapToGrid w:val="0"/>
              <w:spacing w:line="360"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7419" w:type="dxa"/>
            <w:vAlign w:val="center"/>
          </w:tcPr>
          <w:p w14:paraId="6BA40927">
            <w:pPr>
              <w:pStyle w:val="26"/>
              <w:snapToGrid w:val="0"/>
              <w:spacing w:line="320" w:lineRule="exact"/>
              <w:rPr>
                <w:rFonts w:ascii="宋体" w:hAnsi="宋体" w:eastAsia="宋体" w:cs="宋体"/>
                <w:snapToGrid w:val="0"/>
                <w:color w:val="auto"/>
                <w:kern w:val="0"/>
                <w:highlight w:val="none"/>
              </w:rPr>
            </w:pPr>
            <w:r>
              <w:rPr>
                <w:rFonts w:hint="eastAsia" w:ascii="宋体" w:hAnsi="宋体" w:eastAsia="宋体" w:cs="宋体"/>
                <w:color w:val="auto"/>
                <w:highlight w:val="none"/>
              </w:rPr>
              <w:t>本项目不适用</w:t>
            </w:r>
          </w:p>
        </w:tc>
      </w:tr>
      <w:tr w14:paraId="0D455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Merge w:val="restart"/>
            <w:vAlign w:val="center"/>
          </w:tcPr>
          <w:p w14:paraId="40654268">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35</w:t>
            </w:r>
          </w:p>
        </w:tc>
        <w:tc>
          <w:tcPr>
            <w:tcW w:w="1278" w:type="dxa"/>
            <w:vMerge w:val="restart"/>
            <w:vAlign w:val="center"/>
          </w:tcPr>
          <w:p w14:paraId="7293F325">
            <w:pPr>
              <w:adjustRightInd w:val="0"/>
              <w:snapToGrid w:val="0"/>
              <w:spacing w:line="360" w:lineRule="auto"/>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投标人信用信息事项</w:t>
            </w:r>
          </w:p>
        </w:tc>
        <w:tc>
          <w:tcPr>
            <w:tcW w:w="7419" w:type="dxa"/>
            <w:vAlign w:val="center"/>
          </w:tcPr>
          <w:p w14:paraId="72B97D1A">
            <w:pPr>
              <w:adjustRightInd w:val="0"/>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信用信息查询渠道及截止时间：项目评审组织人员将通过“信用中国”网站(www.creditchina.gov.cn)、中国政府采购网(www.ccgp.gov.cn)渠道查询投标人投标截止时间前的信用记录。</w:t>
            </w:r>
          </w:p>
        </w:tc>
      </w:tr>
      <w:tr w14:paraId="7AD51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Merge w:val="continue"/>
            <w:vAlign w:val="center"/>
          </w:tcPr>
          <w:p w14:paraId="735537E1">
            <w:pPr>
              <w:adjustRightInd w:val="0"/>
              <w:snapToGrid w:val="0"/>
              <w:spacing w:line="276" w:lineRule="auto"/>
              <w:jc w:val="center"/>
              <w:rPr>
                <w:rFonts w:ascii="宋体" w:hAnsi="宋体" w:cs="宋体"/>
                <w:snapToGrid w:val="0"/>
                <w:color w:val="auto"/>
                <w:kern w:val="0"/>
                <w:szCs w:val="21"/>
                <w:highlight w:val="none"/>
              </w:rPr>
            </w:pPr>
          </w:p>
        </w:tc>
        <w:tc>
          <w:tcPr>
            <w:tcW w:w="1278" w:type="dxa"/>
            <w:vMerge w:val="continue"/>
            <w:vAlign w:val="center"/>
          </w:tcPr>
          <w:p w14:paraId="57C41510">
            <w:pPr>
              <w:adjustRightInd w:val="0"/>
              <w:snapToGrid w:val="0"/>
              <w:spacing w:line="360" w:lineRule="auto"/>
              <w:jc w:val="center"/>
              <w:rPr>
                <w:rFonts w:ascii="宋体" w:hAnsi="宋体" w:cs="宋体"/>
                <w:snapToGrid w:val="0"/>
                <w:color w:val="auto"/>
                <w:kern w:val="0"/>
                <w:szCs w:val="21"/>
                <w:highlight w:val="none"/>
              </w:rPr>
            </w:pPr>
          </w:p>
        </w:tc>
        <w:tc>
          <w:tcPr>
            <w:tcW w:w="7419" w:type="dxa"/>
            <w:vAlign w:val="center"/>
          </w:tcPr>
          <w:p w14:paraId="272F3FB8">
            <w:pPr>
              <w:adjustRightInd w:val="0"/>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信用信息查询记录和证据留存的具体方式：采购代理机构开标当天查询投标人的信用记录，查询结果经确认后与招标文件一起存档。</w:t>
            </w:r>
          </w:p>
        </w:tc>
      </w:tr>
      <w:tr w14:paraId="1EB29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Merge w:val="continue"/>
            <w:vAlign w:val="center"/>
          </w:tcPr>
          <w:p w14:paraId="7AB1BD8C">
            <w:pPr>
              <w:adjustRightInd w:val="0"/>
              <w:snapToGrid w:val="0"/>
              <w:spacing w:line="276" w:lineRule="auto"/>
              <w:jc w:val="center"/>
              <w:rPr>
                <w:rFonts w:ascii="宋体" w:hAnsi="宋体" w:cs="宋体"/>
                <w:snapToGrid w:val="0"/>
                <w:color w:val="auto"/>
                <w:kern w:val="0"/>
                <w:szCs w:val="21"/>
                <w:highlight w:val="none"/>
              </w:rPr>
            </w:pPr>
          </w:p>
        </w:tc>
        <w:tc>
          <w:tcPr>
            <w:tcW w:w="1278" w:type="dxa"/>
            <w:vMerge w:val="continue"/>
            <w:vAlign w:val="center"/>
          </w:tcPr>
          <w:p w14:paraId="622695EB">
            <w:pPr>
              <w:adjustRightInd w:val="0"/>
              <w:snapToGrid w:val="0"/>
              <w:spacing w:line="360" w:lineRule="auto"/>
              <w:jc w:val="center"/>
              <w:rPr>
                <w:rFonts w:ascii="宋体" w:hAnsi="宋体" w:cs="宋体"/>
                <w:snapToGrid w:val="0"/>
                <w:color w:val="auto"/>
                <w:kern w:val="0"/>
                <w:szCs w:val="21"/>
                <w:highlight w:val="none"/>
              </w:rPr>
            </w:pPr>
          </w:p>
        </w:tc>
        <w:tc>
          <w:tcPr>
            <w:tcW w:w="7419" w:type="dxa"/>
            <w:vAlign w:val="center"/>
          </w:tcPr>
          <w:p w14:paraId="61C90E0A">
            <w:pPr>
              <w:adjustRightInd w:val="0"/>
              <w:snapToGrid w:val="0"/>
              <w:spacing w:line="32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信用信息的使用规则：经查询列入失信被执行人名单、重大税收违法案件当事人名单、政府采购严重违法失信行为记录名单的投标人的投标文件将被拒绝。</w:t>
            </w:r>
          </w:p>
        </w:tc>
      </w:tr>
      <w:tr w14:paraId="52F14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7D7FBB59">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36</w:t>
            </w:r>
          </w:p>
        </w:tc>
        <w:tc>
          <w:tcPr>
            <w:tcW w:w="1278" w:type="dxa"/>
            <w:vAlign w:val="center"/>
          </w:tcPr>
          <w:p w14:paraId="759AED67">
            <w:pPr>
              <w:adjustRightInd w:val="0"/>
              <w:snapToGrid w:val="0"/>
              <w:spacing w:line="360"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其他说明</w:t>
            </w:r>
          </w:p>
        </w:tc>
        <w:tc>
          <w:tcPr>
            <w:tcW w:w="7419" w:type="dxa"/>
            <w:vAlign w:val="center"/>
          </w:tcPr>
          <w:p w14:paraId="1EF57C95">
            <w:pPr>
              <w:adjustRightInd w:val="0"/>
              <w:snapToGrid w:val="0"/>
              <w:spacing w:line="320" w:lineRule="exact"/>
              <w:rPr>
                <w:color w:val="auto"/>
                <w:szCs w:val="21"/>
                <w:highlight w:val="none"/>
              </w:rPr>
            </w:pPr>
            <w:r>
              <w:rPr>
                <w:rFonts w:hint="eastAsia"/>
                <w:color w:val="auto"/>
                <w:szCs w:val="21"/>
                <w:highlight w:val="none"/>
              </w:rPr>
              <w:t>1、投标截止后，在投标有效期内，投标人不能撤销投标文件。投标人强行撤销投标文件的，应按预算金额的2%赔偿对采购代理机构造成的损失。</w:t>
            </w:r>
          </w:p>
          <w:p w14:paraId="2B6961EF">
            <w:pPr>
              <w:adjustRightInd w:val="0"/>
              <w:snapToGrid w:val="0"/>
              <w:spacing w:line="320" w:lineRule="exact"/>
              <w:rPr>
                <w:color w:val="auto"/>
                <w:szCs w:val="21"/>
                <w:highlight w:val="none"/>
              </w:rPr>
            </w:pPr>
            <w:r>
              <w:rPr>
                <w:rFonts w:hint="eastAsia"/>
                <w:color w:val="auto"/>
                <w:szCs w:val="21"/>
                <w:highlight w:val="none"/>
              </w:rPr>
              <w:t>2、中标后，投标人拒绝签订合同的，采购人重新开展政府采购活动。投标人中标后拒绝签订合同的，应按预算金额的2%对采购人进行赔偿；赔偿金额不足以弥补采购人损失的，中标人应继续承担超过部分的损失。</w:t>
            </w:r>
          </w:p>
          <w:p w14:paraId="4EEA7467">
            <w:pPr>
              <w:adjustRightInd w:val="0"/>
              <w:snapToGrid w:val="0"/>
              <w:spacing w:line="320" w:lineRule="exact"/>
              <w:rPr>
                <w:color w:val="auto"/>
                <w:szCs w:val="21"/>
                <w:highlight w:val="none"/>
              </w:rPr>
            </w:pPr>
            <w:r>
              <w:rPr>
                <w:rFonts w:hint="eastAsia"/>
                <w:color w:val="auto"/>
                <w:szCs w:val="21"/>
                <w:highlight w:val="none"/>
              </w:rPr>
              <w:t>3、存在下列行为的，采购代理机构将其失信行为上报政府采购主管部门，由主管部门按有关规定对其违法失信行为记录进行公开：</w:t>
            </w:r>
          </w:p>
          <w:p w14:paraId="65961406">
            <w:pPr>
              <w:adjustRightInd w:val="0"/>
              <w:snapToGrid w:val="0"/>
              <w:spacing w:line="320" w:lineRule="exact"/>
              <w:rPr>
                <w:color w:val="auto"/>
                <w:szCs w:val="21"/>
                <w:highlight w:val="none"/>
              </w:rPr>
            </w:pPr>
            <w:r>
              <w:rPr>
                <w:rFonts w:hint="eastAsia"/>
                <w:color w:val="auto"/>
                <w:szCs w:val="21"/>
                <w:highlight w:val="none"/>
              </w:rPr>
              <w:t>（1）中标或者成交后，拒绝签订政府采购合同的；</w:t>
            </w:r>
          </w:p>
          <w:p w14:paraId="756E687D">
            <w:pPr>
              <w:adjustRightInd w:val="0"/>
              <w:snapToGrid w:val="0"/>
              <w:spacing w:line="320" w:lineRule="exact"/>
              <w:rPr>
                <w:color w:val="auto"/>
                <w:szCs w:val="21"/>
                <w:highlight w:val="none"/>
              </w:rPr>
            </w:pPr>
            <w:r>
              <w:rPr>
                <w:rFonts w:hint="eastAsia"/>
                <w:color w:val="auto"/>
                <w:szCs w:val="21"/>
                <w:highlight w:val="none"/>
              </w:rPr>
              <w:t>（2）投标有效期内撤销投标文件的。</w:t>
            </w:r>
          </w:p>
          <w:p w14:paraId="13BA12D7">
            <w:pPr>
              <w:adjustRightInd w:val="0"/>
              <w:snapToGrid w:val="0"/>
              <w:spacing w:line="320" w:lineRule="exact"/>
              <w:rPr>
                <w:rFonts w:ascii="宋体" w:hAnsi="宋体" w:cs="宋体"/>
                <w:snapToGrid w:val="0"/>
                <w:color w:val="auto"/>
                <w:kern w:val="0"/>
                <w:szCs w:val="21"/>
                <w:highlight w:val="none"/>
              </w:rPr>
            </w:pPr>
            <w:r>
              <w:rPr>
                <w:rFonts w:hint="eastAsia"/>
                <w:color w:val="auto"/>
                <w:szCs w:val="21"/>
                <w:highlight w:val="none"/>
              </w:rPr>
              <w:t>4、本合同范围的服务，应由中标人直接提供，未经采购人事先书面同意，中标人不得将本合同范围的服务部分分包给第</w:t>
            </w:r>
            <w:r>
              <w:rPr>
                <w:rFonts w:hint="eastAsia" w:ascii="宋体" w:hAnsi="宋体" w:cs="宋体"/>
                <w:snapToGrid w:val="0"/>
                <w:color w:val="auto"/>
                <w:kern w:val="0"/>
                <w:szCs w:val="21"/>
                <w:highlight w:val="none"/>
              </w:rPr>
              <w:t>三方。</w:t>
            </w:r>
          </w:p>
        </w:tc>
      </w:tr>
      <w:tr w14:paraId="3D533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96" w:type="dxa"/>
            <w:vAlign w:val="center"/>
          </w:tcPr>
          <w:p w14:paraId="3A72F023">
            <w:pPr>
              <w:adjustRightInd w:val="0"/>
              <w:snapToGrid w:val="0"/>
              <w:spacing w:line="276"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w:t>
            </w:r>
          </w:p>
        </w:tc>
        <w:tc>
          <w:tcPr>
            <w:tcW w:w="1278" w:type="dxa"/>
            <w:vAlign w:val="center"/>
          </w:tcPr>
          <w:p w14:paraId="3BD27612">
            <w:pPr>
              <w:adjustRightInd w:val="0"/>
              <w:snapToGrid w:val="0"/>
              <w:spacing w:line="360" w:lineRule="auto"/>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支持中小企业发展</w:t>
            </w:r>
          </w:p>
        </w:tc>
        <w:tc>
          <w:tcPr>
            <w:tcW w:w="7419" w:type="dxa"/>
            <w:vAlign w:val="center"/>
          </w:tcPr>
          <w:p w14:paraId="2AAB449E">
            <w:pPr>
              <w:adjustRightInd w:val="0"/>
              <w:snapToGrid w:val="0"/>
              <w:spacing w:line="320" w:lineRule="exact"/>
              <w:rPr>
                <w:color w:val="auto"/>
                <w:szCs w:val="21"/>
                <w:highlight w:val="none"/>
              </w:rPr>
            </w:pPr>
            <w:r>
              <w:rPr>
                <w:rFonts w:hint="eastAsia"/>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5C21CE3E">
            <w:pPr>
              <w:adjustRightInd w:val="0"/>
              <w:snapToGrid w:val="0"/>
              <w:spacing w:line="320" w:lineRule="exact"/>
              <w:rPr>
                <w:color w:val="auto"/>
                <w:szCs w:val="21"/>
                <w:highlight w:val="none"/>
              </w:rPr>
            </w:pPr>
            <w:r>
              <w:rPr>
                <w:rFonts w:hint="eastAsia"/>
                <w:color w:val="auto"/>
                <w:szCs w:val="21"/>
                <w:highlight w:val="none"/>
              </w:rPr>
              <w:t>符合中小企业划分标准的个体工商户，在政府采购活动中视同中小企业。</w:t>
            </w:r>
          </w:p>
          <w:p w14:paraId="38E748A3">
            <w:pPr>
              <w:adjustRightInd w:val="0"/>
              <w:snapToGrid w:val="0"/>
              <w:spacing w:line="320" w:lineRule="exact"/>
              <w:rPr>
                <w:color w:val="auto"/>
                <w:szCs w:val="21"/>
                <w:highlight w:val="none"/>
              </w:rPr>
            </w:pPr>
            <w:r>
              <w:rPr>
                <w:rFonts w:hint="eastAsia"/>
                <w:color w:val="auto"/>
                <w:szCs w:val="21"/>
                <w:highlight w:val="none"/>
              </w:rPr>
              <w:t>2.在政府采购活动中，投标人提供的货物、工程或者服务符合下列情形的，享受中小企业扶持政策：</w:t>
            </w:r>
          </w:p>
          <w:p w14:paraId="2F557BCA">
            <w:pPr>
              <w:adjustRightInd w:val="0"/>
              <w:snapToGrid w:val="0"/>
              <w:spacing w:line="320" w:lineRule="exact"/>
              <w:rPr>
                <w:color w:val="auto"/>
                <w:szCs w:val="21"/>
                <w:highlight w:val="none"/>
              </w:rPr>
            </w:pPr>
            <w:r>
              <w:rPr>
                <w:rFonts w:hint="eastAsia"/>
                <w:color w:val="auto"/>
                <w:szCs w:val="21"/>
                <w:highlight w:val="none"/>
              </w:rPr>
              <w:t>（1）在货物采购项目中，货物由中小企业制造，即货物由中小企业生产且使用该中小企业商号或者注册商标；</w:t>
            </w:r>
          </w:p>
          <w:p w14:paraId="11AEF6F0">
            <w:pPr>
              <w:adjustRightInd w:val="0"/>
              <w:snapToGrid w:val="0"/>
              <w:spacing w:line="320" w:lineRule="exact"/>
              <w:rPr>
                <w:color w:val="auto"/>
                <w:szCs w:val="21"/>
                <w:highlight w:val="none"/>
              </w:rPr>
            </w:pPr>
            <w:r>
              <w:rPr>
                <w:rFonts w:hint="eastAsia"/>
                <w:color w:val="auto"/>
                <w:szCs w:val="21"/>
                <w:highlight w:val="none"/>
              </w:rPr>
              <w:t>（2）在工程采购项目中，工程由中小企业承建，即工程施工单位为中小企业；</w:t>
            </w:r>
          </w:p>
          <w:p w14:paraId="560A175D">
            <w:pPr>
              <w:adjustRightInd w:val="0"/>
              <w:snapToGrid w:val="0"/>
              <w:spacing w:line="320" w:lineRule="exact"/>
              <w:rPr>
                <w:color w:val="auto"/>
                <w:szCs w:val="21"/>
                <w:highlight w:val="none"/>
              </w:rPr>
            </w:pPr>
            <w:r>
              <w:rPr>
                <w:rFonts w:hint="eastAsia"/>
                <w:color w:val="auto"/>
                <w:szCs w:val="21"/>
                <w:highlight w:val="none"/>
              </w:rPr>
              <w:t>（3）在服务采购项目中，服务由中小企业承接，即提供服务的人员为中小企业依照《中华人民共和国劳动合同法》订立劳动合同的从业人员。</w:t>
            </w:r>
          </w:p>
          <w:p w14:paraId="3DAFCCCF">
            <w:pPr>
              <w:adjustRightInd w:val="0"/>
              <w:snapToGrid w:val="0"/>
              <w:spacing w:line="320" w:lineRule="exact"/>
              <w:rPr>
                <w:color w:val="auto"/>
                <w:szCs w:val="21"/>
                <w:highlight w:val="none"/>
              </w:rPr>
            </w:pPr>
            <w:r>
              <w:rPr>
                <w:rFonts w:hint="eastAsia"/>
                <w:color w:val="auto"/>
                <w:szCs w:val="21"/>
                <w:highlight w:val="none"/>
              </w:rPr>
              <w:t>在货物采购项目中，投标人提供的货物既有中小企业制造货物，也有大型企业制造货物的，不享受中小企业扶持政策。</w:t>
            </w:r>
          </w:p>
          <w:p w14:paraId="798D9A4C">
            <w:pPr>
              <w:adjustRightInd w:val="0"/>
              <w:snapToGrid w:val="0"/>
              <w:spacing w:line="320" w:lineRule="exact"/>
              <w:rPr>
                <w:color w:val="auto"/>
                <w:szCs w:val="21"/>
                <w:highlight w:val="none"/>
              </w:rPr>
            </w:pPr>
            <w:r>
              <w:rPr>
                <w:rFonts w:hint="eastAsia"/>
                <w:color w:val="auto"/>
                <w:szCs w:val="21"/>
                <w:highlight w:val="none"/>
              </w:rPr>
              <w:t>以联合体形式参加政府采购活动，联合体各方均为中小企业的，联合体视同中小企业。其中，联合体各方均为小微企业的，联合体视同小微企业。</w:t>
            </w:r>
          </w:p>
          <w:p w14:paraId="5986372E">
            <w:pPr>
              <w:adjustRightInd w:val="0"/>
              <w:snapToGrid w:val="0"/>
              <w:spacing w:line="320" w:lineRule="exact"/>
              <w:rPr>
                <w:color w:val="auto"/>
                <w:szCs w:val="21"/>
                <w:highlight w:val="none"/>
              </w:rPr>
            </w:pPr>
            <w:r>
              <w:rPr>
                <w:rFonts w:hint="eastAsia"/>
                <w:color w:val="auto"/>
                <w:szCs w:val="21"/>
                <w:highlight w:val="none"/>
              </w:rPr>
              <w:t>3.对于未预留份额专门面向中小企业的政府采购货物或服务项目，以及预留份额政府采购货物或服务项目中的非预留部分标项，对小型和微型企业的投标报价给予</w:t>
            </w:r>
            <w:r>
              <w:rPr>
                <w:rFonts w:hint="eastAsia"/>
                <w:color w:val="auto"/>
                <w:szCs w:val="21"/>
                <w:highlight w:val="none"/>
                <w:lang w:val="en-US" w:eastAsia="zh-CN"/>
              </w:rPr>
              <w:t>10%-</w:t>
            </w:r>
            <w:r>
              <w:rPr>
                <w:rFonts w:hint="eastAsia"/>
                <w:color w:val="auto"/>
                <w:szCs w:val="21"/>
                <w:highlight w:val="none"/>
              </w:rPr>
              <w:t>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color w:val="auto"/>
                <w:szCs w:val="21"/>
                <w:highlight w:val="none"/>
                <w:lang w:val="en-US" w:eastAsia="zh-CN"/>
              </w:rPr>
              <w:t>4%-</w:t>
            </w:r>
            <w:r>
              <w:rPr>
                <w:rFonts w:hint="eastAsia"/>
                <w:color w:val="auto"/>
                <w:szCs w:val="21"/>
                <w:highlight w:val="none"/>
              </w:rPr>
              <w:t>6%的扣除，用扣除后的价格参加评审。组成联合体或者接受分包的小微企业与联合体内其他企业、分包企业之间存在直接控股、管理关系的，不享受价格扣除优惠政策。</w:t>
            </w:r>
          </w:p>
          <w:p w14:paraId="00D51DC6">
            <w:pPr>
              <w:adjustRightInd w:val="0"/>
              <w:snapToGrid w:val="0"/>
              <w:spacing w:line="320" w:lineRule="exact"/>
              <w:rPr>
                <w:color w:val="auto"/>
                <w:szCs w:val="21"/>
                <w:highlight w:val="none"/>
              </w:rPr>
            </w:pPr>
            <w:r>
              <w:rPr>
                <w:rFonts w:hint="eastAsia"/>
                <w:color w:val="auto"/>
                <w:szCs w:val="21"/>
                <w:highlight w:val="none"/>
              </w:rPr>
              <w:t>4.符合《关于促进残疾人就业政府采购政策的通知》（财库〔2017〕141号）规定的条件并提供《残疾人福利性单位声明函》（附件1）的残疾人福利性单位视同小型、微型企业；</w:t>
            </w:r>
          </w:p>
          <w:p w14:paraId="5AA7C520">
            <w:pPr>
              <w:adjustRightInd w:val="0"/>
              <w:snapToGrid w:val="0"/>
              <w:spacing w:line="320" w:lineRule="exact"/>
              <w:rPr>
                <w:color w:val="auto"/>
                <w:szCs w:val="21"/>
                <w:highlight w:val="none"/>
              </w:rPr>
            </w:pPr>
            <w:r>
              <w:rPr>
                <w:rFonts w:hint="eastAsia"/>
                <w:color w:val="auto"/>
                <w:szCs w:val="21"/>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7933B87B">
            <w:pPr>
              <w:adjustRightInd w:val="0"/>
              <w:snapToGrid w:val="0"/>
              <w:spacing w:line="320" w:lineRule="exact"/>
              <w:rPr>
                <w:color w:val="auto"/>
                <w:szCs w:val="21"/>
                <w:highlight w:val="none"/>
              </w:rPr>
            </w:pPr>
            <w:r>
              <w:rPr>
                <w:rFonts w:hint="eastAsia"/>
                <w:color w:val="auto"/>
                <w:szCs w:val="21"/>
                <w:highlight w:val="none"/>
              </w:rPr>
              <w:t>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BEA3AB0">
            <w:pPr>
              <w:adjustRightInd w:val="0"/>
              <w:snapToGrid w:val="0"/>
              <w:spacing w:line="320" w:lineRule="exact"/>
              <w:rPr>
                <w:color w:val="auto"/>
                <w:szCs w:val="21"/>
                <w:highlight w:val="none"/>
              </w:rPr>
            </w:pPr>
            <w:r>
              <w:rPr>
                <w:rFonts w:hint="eastAsia"/>
                <w:color w:val="auto"/>
                <w:szCs w:val="21"/>
                <w:highlight w:val="none"/>
              </w:rPr>
              <w:t>7.中小企业享受扶持政策获得政府采购合同的，小微企业不得将合同分包给大中型企业，中型企业不得将合同分包给大型企业。</w:t>
            </w:r>
          </w:p>
        </w:tc>
      </w:tr>
    </w:tbl>
    <w:p w14:paraId="5245CB1E">
      <w:pPr>
        <w:ind w:firstLine="420" w:firstLineChars="200"/>
        <w:rPr>
          <w:rFonts w:ascii="宋体" w:hAnsi="宋体" w:cs="宋体"/>
          <w:color w:val="auto"/>
          <w:szCs w:val="21"/>
          <w:highlight w:val="none"/>
        </w:rPr>
      </w:pPr>
      <w:r>
        <w:rPr>
          <w:rFonts w:hint="eastAsia" w:ascii="宋体" w:hAnsi="宋体" w:cs="宋体"/>
          <w:color w:val="auto"/>
          <w:szCs w:val="21"/>
          <w:highlight w:val="none"/>
        </w:rPr>
        <w:t>注：以上内容如有变化将另行书面通知。如通知其中某一内容发生变化，其余未提及的将不作变动。</w:t>
      </w:r>
      <w:bookmarkStart w:id="5" w:name="_Toc240450076"/>
      <w:bookmarkStart w:id="6" w:name="_Toc251566649"/>
    </w:p>
    <w:p w14:paraId="0C934982">
      <w:pPr>
        <w:pStyle w:val="3"/>
        <w:rPr>
          <w:rFonts w:ascii="宋体" w:hAnsi="宋体" w:cs="宋体"/>
          <w:color w:val="auto"/>
          <w:szCs w:val="21"/>
          <w:highlight w:val="none"/>
        </w:rPr>
      </w:pPr>
    </w:p>
    <w:p w14:paraId="5081BBD6">
      <w:pPr>
        <w:rPr>
          <w:color w:val="auto"/>
          <w:highlight w:val="none"/>
        </w:rPr>
      </w:pPr>
    </w:p>
    <w:p w14:paraId="043ACE09">
      <w:pPr>
        <w:adjustRightInd w:val="0"/>
        <w:snapToGrid w:val="0"/>
        <w:spacing w:before="120" w:beforeLines="50" w:after="120" w:afterLines="50" w:line="360" w:lineRule="auto"/>
        <w:jc w:val="center"/>
        <w:outlineLvl w:val="0"/>
        <w:rPr>
          <w:rFonts w:ascii="宋体" w:hAnsi="宋体" w:cs="宋体"/>
          <w:color w:val="auto"/>
          <w:szCs w:val="21"/>
          <w:highlight w:val="none"/>
        </w:rPr>
      </w:pPr>
      <w:r>
        <w:rPr>
          <w:rFonts w:hint="eastAsia" w:ascii="宋体" w:hAnsi="宋体" w:cs="宋体"/>
          <w:color w:val="auto"/>
          <w:szCs w:val="21"/>
          <w:highlight w:val="none"/>
        </w:rPr>
        <w:br w:type="page"/>
      </w:r>
      <w:bookmarkStart w:id="7" w:name="_Toc2187"/>
      <w:bookmarkStart w:id="8" w:name="_Toc30054"/>
      <w:r>
        <w:rPr>
          <w:rFonts w:hint="eastAsia" w:ascii="宋体" w:hAnsi="宋体" w:cs="宋体"/>
          <w:b/>
          <w:color w:val="auto"/>
          <w:sz w:val="30"/>
          <w:szCs w:val="30"/>
          <w:highlight w:val="none"/>
        </w:rPr>
        <w:t>第二部分  投标须知</w:t>
      </w:r>
      <w:bookmarkEnd w:id="5"/>
      <w:bookmarkEnd w:id="6"/>
      <w:bookmarkEnd w:id="7"/>
      <w:bookmarkEnd w:id="8"/>
    </w:p>
    <w:p w14:paraId="5C33D0F3">
      <w:pPr>
        <w:pStyle w:val="8"/>
        <w:snapToGrid w:val="0"/>
        <w:spacing w:before="120" w:beforeLines="50" w:after="120" w:afterLines="50" w:line="360" w:lineRule="auto"/>
        <w:rPr>
          <w:rFonts w:ascii="宋体" w:hAnsi="宋体" w:eastAsia="宋体" w:cs="宋体"/>
          <w:color w:val="auto"/>
          <w:sz w:val="21"/>
          <w:szCs w:val="21"/>
          <w:highlight w:val="none"/>
        </w:rPr>
      </w:pPr>
      <w:bookmarkStart w:id="9" w:name="_Toc240450077"/>
      <w:bookmarkStart w:id="10" w:name="_Toc24877"/>
      <w:bookmarkStart w:id="11" w:name="_Toc251566650"/>
      <w:bookmarkStart w:id="12" w:name="_Toc12000"/>
      <w:r>
        <w:rPr>
          <w:rFonts w:hint="eastAsia" w:ascii="宋体" w:hAnsi="宋体" w:eastAsia="宋体" w:cs="宋体"/>
          <w:color w:val="auto"/>
          <w:sz w:val="21"/>
          <w:szCs w:val="21"/>
          <w:highlight w:val="none"/>
        </w:rPr>
        <w:t>一、总则</w:t>
      </w:r>
      <w:bookmarkEnd w:id="9"/>
      <w:bookmarkEnd w:id="10"/>
      <w:bookmarkEnd w:id="11"/>
      <w:bookmarkEnd w:id="12"/>
    </w:p>
    <w:p w14:paraId="54138990">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本次招标工作是参照《中华人民共和国政府采购法》、《中华人民共和国政府采购法实施条例》、《政府采购货物和服务招标投标管理办法》等相关法律法规组织和实施，并接受监督部门指导和监督。</w:t>
      </w:r>
    </w:p>
    <w:p w14:paraId="4BD88879">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1．适用范围</w:t>
      </w:r>
    </w:p>
    <w:p w14:paraId="114C1F1E">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 本招标文件仅适用于本次招标项目。</w:t>
      </w:r>
    </w:p>
    <w:p w14:paraId="1E1B4A51">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 本项目采购方式为公开招标。</w:t>
      </w:r>
    </w:p>
    <w:p w14:paraId="2E7366C2">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 投标须知为招标文件的通用条款，如通用条款与前附表、用户需求、合同条款等特定条款不一致的，请按特定条款执行。</w:t>
      </w:r>
    </w:p>
    <w:p w14:paraId="108185D4">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2．定义</w:t>
      </w:r>
    </w:p>
    <w:p w14:paraId="047F6AD9">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2.1“采购人”系指中国财税博物馆</w:t>
      </w:r>
      <w:r>
        <w:rPr>
          <w:rFonts w:hint="eastAsia" w:ascii="宋体" w:hAnsi="宋体" w:cs="宋体"/>
          <w:color w:val="auto"/>
          <w:szCs w:val="21"/>
          <w:highlight w:val="none"/>
        </w:rPr>
        <w:t>（合同中的甲方）</w:t>
      </w:r>
      <w:r>
        <w:rPr>
          <w:rFonts w:hint="eastAsia" w:ascii="宋体" w:hAnsi="宋体" w:cs="宋体"/>
          <w:snapToGrid w:val="0"/>
          <w:color w:val="auto"/>
          <w:kern w:val="0"/>
          <w:szCs w:val="21"/>
          <w:highlight w:val="none"/>
        </w:rPr>
        <w:t>。</w:t>
      </w:r>
    </w:p>
    <w:p w14:paraId="442872D6">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2.2“采购代理机构”系指浙江国际招投标有限公司。</w:t>
      </w:r>
    </w:p>
    <w:p w14:paraId="03FBFC07">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2.3“监督管理部门”系指</w:t>
      </w:r>
      <w:r>
        <w:rPr>
          <w:rFonts w:hint="eastAsia" w:ascii="宋体" w:hAnsi="宋体" w:cs="宋体"/>
          <w:snapToGrid w:val="0"/>
          <w:color w:val="auto"/>
          <w:kern w:val="0"/>
          <w:szCs w:val="21"/>
          <w:highlight w:val="none"/>
          <w:lang w:eastAsia="zh-CN"/>
        </w:rPr>
        <w:t>中共</w:t>
      </w:r>
      <w:r>
        <w:rPr>
          <w:rFonts w:hint="eastAsia" w:ascii="宋体" w:hAnsi="宋体" w:cs="宋体"/>
          <w:snapToGrid w:val="0"/>
          <w:color w:val="auto"/>
          <w:kern w:val="0"/>
          <w:szCs w:val="21"/>
          <w:highlight w:val="none"/>
        </w:rPr>
        <w:t>中国财税博物馆</w:t>
      </w:r>
      <w:r>
        <w:rPr>
          <w:rFonts w:hint="eastAsia" w:ascii="宋体" w:hAnsi="宋体" w:cs="宋体"/>
          <w:snapToGrid w:val="0"/>
          <w:color w:val="auto"/>
          <w:kern w:val="0"/>
          <w:szCs w:val="21"/>
          <w:highlight w:val="none"/>
          <w:lang w:eastAsia="zh-CN"/>
        </w:rPr>
        <w:t>纪律检查委员会</w:t>
      </w:r>
      <w:r>
        <w:rPr>
          <w:rFonts w:hint="eastAsia" w:ascii="宋体" w:hAnsi="宋体" w:cs="宋体"/>
          <w:snapToGrid w:val="0"/>
          <w:color w:val="auto"/>
          <w:kern w:val="0"/>
          <w:szCs w:val="21"/>
          <w:highlight w:val="none"/>
        </w:rPr>
        <w:t>。</w:t>
      </w:r>
    </w:p>
    <w:p w14:paraId="4E1C3474">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2.4“投标人”系指响应本次招标，参加本次投标的独立法人</w:t>
      </w:r>
      <w:r>
        <w:rPr>
          <w:rFonts w:hint="eastAsia" w:ascii="宋体" w:hAnsi="宋体" w:cs="宋体"/>
          <w:color w:val="auto"/>
          <w:szCs w:val="21"/>
          <w:highlight w:val="none"/>
        </w:rPr>
        <w:t>（合同中的乙方）</w:t>
      </w:r>
      <w:r>
        <w:rPr>
          <w:rFonts w:hint="eastAsia" w:ascii="宋体" w:hAnsi="宋体" w:cs="宋体"/>
          <w:snapToGrid w:val="0"/>
          <w:color w:val="auto"/>
          <w:kern w:val="0"/>
          <w:szCs w:val="21"/>
          <w:highlight w:val="none"/>
        </w:rPr>
        <w:t>。</w:t>
      </w:r>
    </w:p>
    <w:p w14:paraId="13AFC5B1">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2.5“服务”系指招标文件或合同规定投标人须承担的服务以及其他类似的义务。</w:t>
      </w:r>
    </w:p>
    <w:p w14:paraId="24E57678">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2.6“实质性条款”系指招标文件条款前标注“▲”标识的条款。</w:t>
      </w:r>
    </w:p>
    <w:p w14:paraId="7BB42A6F">
      <w:pPr>
        <w:adjustRightInd w:val="0"/>
        <w:snapToGrid w:val="0"/>
        <w:spacing w:line="360" w:lineRule="auto"/>
        <w:ind w:firstLine="420" w:firstLineChars="200"/>
        <w:rPr>
          <w:color w:val="auto"/>
          <w:highlight w:val="none"/>
        </w:rPr>
      </w:pPr>
      <w:r>
        <w:rPr>
          <w:rFonts w:hint="eastAsia" w:ascii="宋体" w:hAnsi="宋体" w:cs="宋体"/>
          <w:snapToGrid w:val="0"/>
          <w:color w:val="auto"/>
          <w:kern w:val="0"/>
          <w:szCs w:val="21"/>
          <w:highlight w:val="none"/>
        </w:rPr>
        <w:t>2.7</w:t>
      </w:r>
      <w:r>
        <w:rPr>
          <w:rFonts w:hint="eastAsia" w:ascii="宋体" w:hAnsi="宋体"/>
          <w:snapToGrid w:val="0"/>
          <w:color w:val="auto"/>
          <w:kern w:val="0"/>
          <w:szCs w:val="21"/>
          <w:highlight w:val="none"/>
        </w:rPr>
        <w:t>官方指定网站公示的内容视为书面告知。</w:t>
      </w:r>
    </w:p>
    <w:p w14:paraId="35BBBC28">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3．合格的投标人及合格的投标货物和服务</w:t>
      </w:r>
    </w:p>
    <w:p w14:paraId="42C2DF6D">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3.1合格的投标人，详见采购公告第二条规定的投标人必须具备的资格条件并经采购人或采购代理机构审查通过的。</w:t>
      </w:r>
    </w:p>
    <w:p w14:paraId="09CE8533">
      <w:pPr>
        <w:adjustRightInd w:val="0"/>
        <w:snapToGrid w:val="0"/>
        <w:spacing w:line="360" w:lineRule="auto"/>
        <w:ind w:firstLine="422" w:firstLineChars="200"/>
        <w:rPr>
          <w:rFonts w:ascii="宋体" w:hAnsi="宋体" w:cs="宋体"/>
          <w:b/>
          <w:bCs/>
          <w:snapToGrid w:val="0"/>
          <w:color w:val="auto"/>
          <w:kern w:val="0"/>
          <w:highlight w:val="none"/>
        </w:rPr>
      </w:pPr>
      <w:r>
        <w:rPr>
          <w:rFonts w:hint="eastAsia" w:ascii="宋体" w:hAnsi="宋体" w:cs="宋体"/>
          <w:b/>
          <w:bCs/>
          <w:snapToGrid w:val="0"/>
          <w:color w:val="auto"/>
          <w:kern w:val="0"/>
          <w:highlight w:val="none"/>
        </w:rPr>
        <w:t>3.2对投标人的限制</w:t>
      </w:r>
    </w:p>
    <w:p w14:paraId="41ABE69D">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3.2.1单位负责人（指法定代表人或者法律、行政法规规定代表单位行使职权的主要负责人）为同一人或者存在直接控股、管理关系的不同投标人不得分别参加同一合同项下的采购活动。违反本条规定的，相关投标均无效；</w:t>
      </w:r>
    </w:p>
    <w:p w14:paraId="41390F94">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3.2.2为本项目提供过整体设计、规范编制或者项目管理、监理、检测等服务的投标人，不得再参加该采购项目的其他采购活动（不包括为该项目提供整体设计、规范编制或者项目管理、监理、检测等服务）；</w:t>
      </w:r>
    </w:p>
    <w:p w14:paraId="2A48ADD6">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3.2.3以联合体形式参加政府采购活动的，联合体各方不得再单独参加或者与其他投标人另外组成联合体参加同一合同项下的政府采购活动；</w:t>
      </w:r>
    </w:p>
    <w:p w14:paraId="3D93105D">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3.2.4为证明投标人拥有的业绩、荣誉、知识产权、项目案例等而在投标文件中提供的证明材料必须为投标人自身所有。不同法人、其他组织的资料与投标人无关。</w:t>
      </w:r>
    </w:p>
    <w:p w14:paraId="3FF2276F">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3.2.5在政府采购活动中，采购人员及相关人员与投标人有下列利害关系之一的，应当回避：</w:t>
      </w:r>
    </w:p>
    <w:p w14:paraId="47A95BEB">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（一）参加采购活动前3年内与投标人存在劳动关系；</w:t>
      </w:r>
    </w:p>
    <w:p w14:paraId="69CD07BA">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（二）参加采购活动前3年内担任投标人的董事、监事；</w:t>
      </w:r>
    </w:p>
    <w:p w14:paraId="51075B71">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（三）参加采购活动前3年内是投标人的控股股东或者实际控制人；</w:t>
      </w:r>
    </w:p>
    <w:p w14:paraId="04392928">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（四）与投标人的法定代表人或者负责人有夫妻、直系血亲、三代以内旁系血亲或者近姻亲关系；</w:t>
      </w:r>
    </w:p>
    <w:p w14:paraId="1ECB1E8A">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（五）与投标人有其他可能影响政府采购活动公平、公正进行的关系。</w:t>
      </w:r>
    </w:p>
    <w:p w14:paraId="2DA0CE96">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376F6BB9">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4．相关说明</w:t>
      </w:r>
    </w:p>
    <w:p w14:paraId="0B2B8A49">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 投标费用</w:t>
      </w:r>
    </w:p>
    <w:p w14:paraId="5DF8E650">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投标人应承担其参加投标所涉及的一切费用，不管投标结果如何，采购人对这些费用不负任何责任。</w:t>
      </w:r>
    </w:p>
    <w:p w14:paraId="0464DCAE">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 投标人应仔细阅读招标文件的所有内容，按照招标文件的要求提交投标文件。投标文件应对招标文件的要求作出实质性响应，并对所提供的全部资料的真实性承担法律责任。</w:t>
      </w:r>
    </w:p>
    <w:p w14:paraId="50F8F89B">
      <w:pPr>
        <w:adjustRightInd w:val="0"/>
        <w:snapToGrid w:val="0"/>
        <w:spacing w:line="360" w:lineRule="auto"/>
        <w:ind w:firstLine="422" w:firstLineChars="200"/>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4.3投标人投标所使用的资格、信誉、荣誉、业绩与企业认证必须为本法人所拥有。投标人投标拟派项目实施人员必须为本法人员工。</w:t>
      </w:r>
    </w:p>
    <w:p w14:paraId="174CEF3F">
      <w:pPr>
        <w:adjustRightInd w:val="0"/>
        <w:snapToGrid w:val="0"/>
        <w:spacing w:line="360" w:lineRule="auto"/>
        <w:ind w:firstLine="422" w:firstLineChars="200"/>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4.4投标人应仔细阅读招标文件的所有内容，按照招标文件的要求提交投标文件，并对所提供的全部资料的真实性承担法律责任。</w:t>
      </w:r>
    </w:p>
    <w:p w14:paraId="068E455C">
      <w:pPr>
        <w:adjustRightInd w:val="0"/>
        <w:snapToGrid w:val="0"/>
        <w:spacing w:line="360" w:lineRule="auto"/>
        <w:ind w:firstLine="422" w:firstLineChars="200"/>
        <w:rPr>
          <w:rFonts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4.5投标人在投标活动中提供任何虚假材料,其投标无效，并报监管部门查处；中标后发现的,按《政府采购货物和服务招标投标管理办法》（财政部令第87号）相关规定承担相应的法律责任。</w:t>
      </w:r>
    </w:p>
    <w:p w14:paraId="5D4E70A5">
      <w:pPr>
        <w:pStyle w:val="8"/>
        <w:snapToGrid w:val="0"/>
        <w:spacing w:before="120" w:beforeLines="50" w:after="120" w:afterLines="50" w:line="360" w:lineRule="auto"/>
        <w:rPr>
          <w:rFonts w:ascii="宋体" w:hAnsi="宋体" w:eastAsia="宋体" w:cs="宋体"/>
          <w:color w:val="auto"/>
          <w:sz w:val="21"/>
          <w:szCs w:val="21"/>
          <w:highlight w:val="none"/>
        </w:rPr>
      </w:pPr>
      <w:bookmarkStart w:id="13" w:name="_Toc251566651"/>
      <w:bookmarkStart w:id="14" w:name="_Toc27862"/>
      <w:bookmarkStart w:id="15" w:name="_Toc240450078"/>
      <w:bookmarkStart w:id="16" w:name="_Toc2034"/>
      <w:r>
        <w:rPr>
          <w:rFonts w:hint="eastAsia" w:ascii="宋体" w:hAnsi="宋体" w:eastAsia="宋体" w:cs="宋体"/>
          <w:color w:val="auto"/>
          <w:sz w:val="21"/>
          <w:szCs w:val="21"/>
          <w:highlight w:val="none"/>
        </w:rPr>
        <w:t>二、</w:t>
      </w:r>
      <w:bookmarkEnd w:id="13"/>
      <w:bookmarkEnd w:id="14"/>
      <w:bookmarkEnd w:id="15"/>
      <w:bookmarkEnd w:id="16"/>
      <w:r>
        <w:rPr>
          <w:rFonts w:hint="eastAsia" w:ascii="宋体" w:hAnsi="宋体" w:eastAsia="宋体" w:cs="宋体"/>
          <w:color w:val="auto"/>
          <w:sz w:val="21"/>
          <w:szCs w:val="21"/>
          <w:highlight w:val="none"/>
        </w:rPr>
        <w:t>招标文件</w:t>
      </w:r>
    </w:p>
    <w:p w14:paraId="0ADEE216">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5．招标文件构成</w:t>
      </w:r>
    </w:p>
    <w:p w14:paraId="2F88E5AD">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5.1 本招标文件包括目录所示内容及所有按本须知第6、7条发出的补充资料。</w:t>
      </w:r>
    </w:p>
    <w:p w14:paraId="1096633D">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5.2 除上述所列内容外，采购人和采购代理机构的任何工作人员对投标人所作的任何口头解释、介绍、答复，只能供投标人参考，对采购人、采购代理机构和投标人无任何约束力。</w:t>
      </w:r>
    </w:p>
    <w:p w14:paraId="5E58C946">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5.3 招标文件是招标过程进行的有效依据，也是成交后签订合同的依据，对双方均具有约束力，凡不遵守招标文件规定或对招标文件的实质性内容不响应的，将可能被拒绝或以无效标处理。</w:t>
      </w:r>
    </w:p>
    <w:p w14:paraId="1A32F2DF">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5.4 本招标文件由采购人或采购代理机构依据相关法律、法规、规章、省市规定及招标文件进行解释。</w:t>
      </w:r>
    </w:p>
    <w:p w14:paraId="38D4D21F">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6．招标文件的澄清</w:t>
      </w:r>
    </w:p>
    <w:p w14:paraId="07D5B9EC">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 投标人在获取招标文件后，若有问题需要澄清或认为有必要与采购人进行技术交流，应于前附表规定的时间前，将问题传真至0571-81061828，同时将问题发电子邮件至2970516628@qq.com（电子邮件与书面文件有不一致的，以书面文件为准）。截止期后的疑问将不予受理、答复。</w:t>
      </w:r>
    </w:p>
    <w:p w14:paraId="6561D01F">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6.2 投标人要求解释或澄清的问题应以书面或邮件形式送达，并加盖公章、写明日期。</w:t>
      </w:r>
    </w:p>
    <w:p w14:paraId="279D1CE0">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6.3 所有要求解释或澄清的问题都予以解答，答疑内容与补充内容以更正（澄清）公告形式告知所有获取招标文件的投标人。</w:t>
      </w:r>
    </w:p>
    <w:p w14:paraId="5B0B9619">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7．招标文件的修改</w:t>
      </w:r>
    </w:p>
    <w:p w14:paraId="6E2C3DF2">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7.1 采购人或者采购代理机构可以对已发出的招标文件进行必要的澄清或者修改。澄清或者修改的内容可能影响投标文件编制的，采购人或者采购代理机构应当在投标截止时间至少15日前，以更正（澄清）公告形式通知所有获取招标文件的潜在投标人；不足15日的，采购人或者采购代理机构应当顺延提交投标文件的截止时间。</w:t>
      </w:r>
    </w:p>
    <w:p w14:paraId="51A017EA">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7.2 招标文件的修改将以更正（澄清）公告通知所有购买招标文件的投标人，并对其具有约束力。</w:t>
      </w:r>
      <w:r>
        <w:rPr>
          <w:rFonts w:hint="eastAsia" w:ascii="宋体" w:hAnsi="宋体" w:cs="宋体"/>
          <w:color w:val="auto"/>
          <w:highlight w:val="none"/>
        </w:rPr>
        <w:t>投标人应及时关注招标公告发布网站上该项目的公告信息</w:t>
      </w:r>
      <w:r>
        <w:rPr>
          <w:rFonts w:hint="eastAsia" w:ascii="宋体" w:hAnsi="宋体" w:cs="宋体"/>
          <w:snapToGrid w:val="0"/>
          <w:color w:val="auto"/>
          <w:kern w:val="0"/>
          <w:szCs w:val="21"/>
          <w:highlight w:val="none"/>
        </w:rPr>
        <w:t>。</w:t>
      </w:r>
    </w:p>
    <w:p w14:paraId="165CBC06">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 在更正（澄清）公告发布后，如果投标人认为编制投标文件的时间不充分的，必须在公告发布之日的24小时内通知采购人和采购代理机构。否则，视同投标人有充足时间编制投标文件。</w:t>
      </w:r>
    </w:p>
    <w:p w14:paraId="5A0E661F">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7.4招标文件澄清、答复、修改、补充的内容为招标文件的组成部分。当招标文件与招标文件的答复、澄清、修改、补充通知就同一内容的表述不一致时，以最后发出的更正（澄清）公告为准。</w:t>
      </w:r>
    </w:p>
    <w:p w14:paraId="5237E28D">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7.5招标文件的澄清、答复、修改或补充都应该通过本代理机构以法定形式发布，除此以外的发布不属于招标文件的组成部分。</w:t>
      </w:r>
    </w:p>
    <w:p w14:paraId="7FD69B31">
      <w:pPr>
        <w:pStyle w:val="8"/>
        <w:snapToGrid w:val="0"/>
        <w:spacing w:before="120" w:beforeLines="50" w:after="120" w:afterLines="50" w:line="360" w:lineRule="auto"/>
        <w:rPr>
          <w:rFonts w:ascii="宋体" w:hAnsi="宋体" w:eastAsia="宋体" w:cs="宋体"/>
          <w:color w:val="auto"/>
          <w:sz w:val="21"/>
          <w:szCs w:val="21"/>
          <w:highlight w:val="none"/>
        </w:rPr>
      </w:pPr>
      <w:bookmarkStart w:id="17" w:name="_Toc240450079"/>
      <w:bookmarkStart w:id="18" w:name="_Toc31368"/>
      <w:bookmarkStart w:id="19" w:name="_Toc251566652"/>
      <w:bookmarkStart w:id="20" w:name="_Toc15688"/>
      <w:r>
        <w:rPr>
          <w:rFonts w:hint="eastAsia" w:ascii="宋体" w:hAnsi="宋体" w:eastAsia="宋体" w:cs="宋体"/>
          <w:color w:val="auto"/>
          <w:sz w:val="21"/>
          <w:szCs w:val="21"/>
          <w:highlight w:val="none"/>
        </w:rPr>
        <w:t>三、投标文件的编制</w:t>
      </w:r>
      <w:bookmarkEnd w:id="17"/>
      <w:bookmarkEnd w:id="18"/>
      <w:bookmarkEnd w:id="19"/>
      <w:bookmarkEnd w:id="20"/>
    </w:p>
    <w:p w14:paraId="5BC26E06">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人应认真阅读招标文件中所有的事项、格式、条款和技术要求等。如果投标人没有按照招标文件要求和规定编制投标文件及提交全部资料，或者投标没有对招标文件中各方面作出实质性响应，其风险应由投标人承担。</w:t>
      </w:r>
    </w:p>
    <w:p w14:paraId="10A8C90D">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8．投标文件的语言、计量单位</w:t>
      </w:r>
    </w:p>
    <w:p w14:paraId="6A1690C8">
      <w:pPr>
        <w:adjustRightInd w:val="0"/>
        <w:snapToGrid w:val="0"/>
        <w:spacing w:line="360" w:lineRule="auto"/>
        <w:ind w:firstLine="422" w:firstLineChars="200"/>
        <w:rPr>
          <w:rFonts w:ascii="宋体" w:hAnsi="宋体" w:cs="宋体"/>
          <w:snapToGrid w:val="0"/>
          <w:color w:val="auto"/>
          <w:kern w:val="0"/>
          <w:szCs w:val="21"/>
          <w:highlight w:val="none"/>
        </w:rPr>
      </w:pPr>
      <w:r>
        <w:rPr>
          <w:rFonts w:hint="eastAsia" w:ascii="宋体" w:hAnsi="宋体" w:cs="宋体"/>
          <w:b/>
          <w:snapToGrid w:val="0"/>
          <w:color w:val="auto"/>
          <w:kern w:val="0"/>
          <w:szCs w:val="21"/>
          <w:highlight w:val="none"/>
        </w:rPr>
        <w:t>8.1</w:t>
      </w:r>
      <w:r>
        <w:rPr>
          <w:rFonts w:hint="eastAsia" w:ascii="宋体" w:hAnsi="宋体" w:cs="宋体"/>
          <w:snapToGrid w:val="0"/>
          <w:color w:val="auto"/>
          <w:kern w:val="0"/>
          <w:szCs w:val="21"/>
          <w:highlight w:val="none"/>
        </w:rPr>
        <w:t>投标文件及投标人与采购人之间与投标有关的来往通知、函件和文件均应使用简体中文。除签名、盖章、专用名称等特殊情形外，以中文汉语以外的文字表述的投标文件视同未提供。投标人提交的支持文件和印刷的文献可以用另一种语言，但相应内容应附有中文翻译文本，在解释投标文件时以中文翻译文本为准。</w:t>
      </w:r>
    </w:p>
    <w:p w14:paraId="5B68A561">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8.2 除招标文件另有规定外，投标文件所使用的计量单位，均须采用中华人民共和国法定计量单位，否则视同未响应。</w:t>
      </w:r>
    </w:p>
    <w:p w14:paraId="02DC3EC6">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9．投标文件构成</w:t>
      </w:r>
    </w:p>
    <w:p w14:paraId="3EF4E369">
      <w:pPr>
        <w:numPr>
          <w:ilvl w:val="0"/>
          <w:numId w:val="3"/>
        </w:numPr>
        <w:tabs>
          <w:tab w:val="left" w:pos="840"/>
          <w:tab w:val="left" w:pos="1050"/>
        </w:tabs>
        <w:adjustRightInd w:val="0"/>
        <w:snapToGrid w:val="0"/>
        <w:spacing w:line="360" w:lineRule="auto"/>
        <w:ind w:left="13" w:firstLine="409"/>
        <w:jc w:val="left"/>
        <w:rPr>
          <w:rFonts w:ascii="宋体" w:hAnsi="宋体" w:cs="宋体"/>
          <w:bCs/>
          <w:snapToGrid w:val="0"/>
          <w:color w:val="auto"/>
          <w:kern w:val="0"/>
          <w:szCs w:val="21"/>
          <w:highlight w:val="none"/>
        </w:rPr>
      </w:pPr>
      <w:r>
        <w:rPr>
          <w:rFonts w:hint="eastAsia" w:ascii="宋体" w:hAnsi="宋体" w:cs="宋体"/>
          <w:snapToGrid w:val="0"/>
          <w:color w:val="auto"/>
          <w:kern w:val="0"/>
          <w:szCs w:val="21"/>
          <w:highlight w:val="none"/>
        </w:rPr>
        <w:t>投标人向采购人递交的投标文件均由</w:t>
      </w:r>
      <w:r>
        <w:rPr>
          <w:rFonts w:hint="eastAsia" w:ascii="宋体" w:hAnsi="宋体" w:cs="宋体"/>
          <w:b/>
          <w:bCs/>
          <w:snapToGrid w:val="0"/>
          <w:color w:val="auto"/>
          <w:kern w:val="0"/>
          <w:szCs w:val="21"/>
          <w:highlight w:val="none"/>
        </w:rPr>
        <w:t>资格响应文件、商务和技术响应文件、报价响应文件</w:t>
      </w:r>
      <w:r>
        <w:rPr>
          <w:rFonts w:hint="eastAsia" w:ascii="宋体" w:hAnsi="宋体" w:cs="宋体"/>
          <w:snapToGrid w:val="0"/>
          <w:color w:val="auto"/>
          <w:kern w:val="0"/>
          <w:szCs w:val="21"/>
          <w:highlight w:val="none"/>
        </w:rPr>
        <w:t>组成，</w:t>
      </w:r>
      <w:r>
        <w:rPr>
          <w:rFonts w:hint="eastAsia" w:ascii="宋体" w:hAnsi="宋体" w:cs="宋体"/>
          <w:color w:val="auto"/>
          <w:szCs w:val="21"/>
          <w:highlight w:val="none"/>
        </w:rPr>
        <w:t>具体详见前附表。</w:t>
      </w:r>
    </w:p>
    <w:p w14:paraId="6EA8F19E">
      <w:pPr>
        <w:adjustRightInd w:val="0"/>
        <w:snapToGrid w:val="0"/>
        <w:spacing w:line="360" w:lineRule="auto"/>
        <w:ind w:firstLine="422" w:firstLineChars="20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（2）陈述和答辩</w:t>
      </w:r>
    </w:p>
    <w:p w14:paraId="5AECFC05">
      <w:pPr>
        <w:spacing w:line="360" w:lineRule="auto"/>
        <w:ind w:firstLine="420" w:firstLineChars="200"/>
        <w:rPr>
          <w:color w:val="auto"/>
          <w:highlight w:val="none"/>
        </w:rPr>
      </w:pPr>
      <w:r>
        <w:rPr>
          <w:rFonts w:hint="eastAsia"/>
          <w:color w:val="auto"/>
          <w:highlight w:val="none"/>
        </w:rPr>
        <w:t>本项目不设陈述和答辩环节。</w:t>
      </w:r>
    </w:p>
    <w:p w14:paraId="7FC71D8B">
      <w:pPr>
        <w:adjustRightInd w:val="0"/>
        <w:snapToGrid w:val="0"/>
        <w:spacing w:before="120" w:beforeLines="50"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10．投标函</w:t>
      </w:r>
    </w:p>
    <w:p w14:paraId="7436F92B">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10.1 投标人应完整地填写招标文件中提供的投标函和投标相关附件。</w:t>
      </w:r>
    </w:p>
    <w:p w14:paraId="3D9FBFA3">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10.2 投标文件应当对招标文件中有关投标有效期、采购需求等实质性内容作出响应。投标人在满足招标文件实质性要求的基础上，可以提出比招标文件要求更有利于采购人的承诺。</w:t>
      </w:r>
    </w:p>
    <w:p w14:paraId="7E8231A2">
      <w:pPr>
        <w:pStyle w:val="3"/>
        <w:snapToGrid w:val="0"/>
        <w:spacing w:before="120" w:beforeLines="5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11．投标报价</w:t>
      </w:r>
    </w:p>
    <w:p w14:paraId="5AB99DDB">
      <w:pPr>
        <w:pStyle w:val="3"/>
        <w:snapToGrid w:val="0"/>
        <w:ind w:firstLine="420" w:firstLineChars="200"/>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11.1投标人应按招标文件中规定填写报价相关表单；</w:t>
      </w:r>
    </w:p>
    <w:p w14:paraId="6EA81D73">
      <w:pPr>
        <w:pStyle w:val="3"/>
        <w:snapToGrid w:val="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11.2本次报价方式为单价合同，按实结算，全部采用人民币报价。</w:t>
      </w:r>
    </w:p>
    <w:p w14:paraId="0ED38112">
      <w:pPr>
        <w:pStyle w:val="3"/>
        <w:snapToGrid w:val="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完成本项目服务所涉及的一切费用由投标人承担。费用清单需详细列明，不详细的部分采购人有权按最好效果、最高标准执行。</w:t>
      </w:r>
    </w:p>
    <w:p w14:paraId="0399D335">
      <w:pPr>
        <w:pStyle w:val="3"/>
        <w:snapToGrid w:val="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投标人应认真计算可能发生的各相关费用并计入报价内，在项目实施过程中不得藉此要求增加任何费用，并不得出现选择性的报价。</w:t>
      </w:r>
    </w:p>
    <w:p w14:paraId="5BBE9F39">
      <w:pPr>
        <w:widowControl/>
        <w:adjustRightInd w:val="0"/>
        <w:snapToGrid w:val="0"/>
        <w:spacing w:line="360" w:lineRule="auto"/>
        <w:ind w:firstLine="422" w:firstLineChars="200"/>
        <w:jc w:val="left"/>
        <w:rPr>
          <w:rFonts w:ascii="宋体" w:hAnsi="宋体" w:cs="宋体"/>
          <w:snapToGrid w:val="0"/>
          <w:color w:val="auto"/>
          <w:kern w:val="0"/>
          <w:szCs w:val="21"/>
          <w:highlight w:val="none"/>
        </w:rPr>
      </w:pPr>
      <w:r>
        <w:rPr>
          <w:rFonts w:hint="eastAsia" w:ascii="宋体" w:hAnsi="宋体" w:cs="宋体"/>
          <w:b/>
          <w:snapToGrid w:val="0"/>
          <w:color w:val="auto"/>
          <w:kern w:val="0"/>
          <w:szCs w:val="21"/>
          <w:highlight w:val="none"/>
        </w:rPr>
        <w:t>11.3本项目采购代理服务费由中标人向采购代理机构支付，相关成本支出由投标人自行考虑。采购代理服务费计取标准见前附表。</w:t>
      </w:r>
    </w:p>
    <w:p w14:paraId="348B22A8">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11.4本项目只允许一次报价，不允许以开标后调整的报价作为评标的依据（但按本招标文件投标须知投标文件错误的修正并经评标委员会认定或经投标人确认同意的除外）。</w:t>
      </w:r>
    </w:p>
    <w:p w14:paraId="67D30998">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11.5其它需在报价中考虑的因素：</w:t>
      </w:r>
    </w:p>
    <w:p w14:paraId="0477632B">
      <w:pPr>
        <w:numPr>
          <w:ilvl w:val="0"/>
          <w:numId w:val="4"/>
        </w:numPr>
        <w:tabs>
          <w:tab w:val="left" w:pos="993"/>
        </w:tabs>
        <w:adjustRightInd w:val="0"/>
        <w:snapToGrid w:val="0"/>
        <w:spacing w:line="360" w:lineRule="auto"/>
        <w:ind w:left="0" w:firstLine="42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用户需求中明确的需投标人承担的费用均应含在投标成本中；</w:t>
      </w:r>
    </w:p>
    <w:p w14:paraId="11E72A85">
      <w:pPr>
        <w:numPr>
          <w:ilvl w:val="0"/>
          <w:numId w:val="4"/>
        </w:numPr>
        <w:tabs>
          <w:tab w:val="left" w:pos="993"/>
        </w:tabs>
        <w:adjustRightInd w:val="0"/>
        <w:snapToGrid w:val="0"/>
        <w:spacing w:line="360" w:lineRule="auto"/>
        <w:ind w:left="0" w:firstLine="420"/>
        <w:jc w:val="left"/>
        <w:rPr>
          <w:rFonts w:ascii="宋体" w:hAnsi="宋体" w:cs="宋体"/>
          <w:b/>
          <w:snapToGrid w:val="0"/>
          <w:color w:val="auto"/>
          <w:kern w:val="0"/>
          <w:szCs w:val="21"/>
          <w:highlight w:val="none"/>
        </w:rPr>
      </w:pPr>
      <w:r>
        <w:rPr>
          <w:rFonts w:hint="eastAsia" w:ascii="宋体" w:hAnsi="宋体" w:cs="宋体"/>
          <w:b/>
          <w:color w:val="auto"/>
          <w:szCs w:val="21"/>
          <w:highlight w:val="none"/>
        </w:rPr>
        <w:t>招标文件未明示但投标人认为可能产生的潜在费用支出均需自行考虑并计入投标成本中；</w:t>
      </w:r>
    </w:p>
    <w:p w14:paraId="7BE9F3DC">
      <w:pPr>
        <w:numPr>
          <w:ilvl w:val="0"/>
          <w:numId w:val="4"/>
        </w:numPr>
        <w:tabs>
          <w:tab w:val="left" w:pos="993"/>
        </w:tabs>
        <w:adjustRightInd w:val="0"/>
        <w:snapToGrid w:val="0"/>
        <w:spacing w:line="360" w:lineRule="auto"/>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对于没有填报的项目，采购人将不再支付，并均认为已包含在报价内。</w:t>
      </w:r>
    </w:p>
    <w:p w14:paraId="57F6B963">
      <w:pPr>
        <w:pStyle w:val="3"/>
        <w:snapToGrid w:val="0"/>
        <w:spacing w:before="120" w:beforeLines="5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12．投标货币</w:t>
      </w:r>
    </w:p>
    <w:p w14:paraId="39AD181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投标人用人民币报价。</w:t>
      </w:r>
    </w:p>
    <w:p w14:paraId="73695C50">
      <w:pPr>
        <w:pStyle w:val="3"/>
        <w:numPr>
          <w:ilvl w:val="0"/>
          <w:numId w:val="5"/>
        </w:numPr>
        <w:snapToGrid w:val="0"/>
        <w:spacing w:before="120" w:beforeLines="5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投标保证金</w:t>
      </w:r>
    </w:p>
    <w:p w14:paraId="01A8C12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本项目投标保证金</w:t>
      </w:r>
      <w:r>
        <w:rPr>
          <w:rFonts w:hint="eastAsia" w:ascii="宋体" w:hAnsi="宋体" w:cs="宋体"/>
          <w:snapToGrid w:val="0"/>
          <w:color w:val="auto"/>
          <w:kern w:val="0"/>
          <w:szCs w:val="21"/>
          <w:highlight w:val="none"/>
          <w:lang w:val="en-US" w:eastAsia="zh-CN"/>
        </w:rPr>
        <w:t>详见前附表</w:t>
      </w:r>
      <w:r>
        <w:rPr>
          <w:rFonts w:hint="eastAsia" w:ascii="宋体" w:hAnsi="宋体" w:cs="宋体"/>
          <w:snapToGrid w:val="0"/>
          <w:color w:val="auto"/>
          <w:kern w:val="0"/>
          <w:szCs w:val="21"/>
          <w:highlight w:val="none"/>
        </w:rPr>
        <w:t>。</w:t>
      </w:r>
    </w:p>
    <w:p w14:paraId="2E2FF3D9">
      <w:pPr>
        <w:pStyle w:val="3"/>
        <w:snapToGrid w:val="0"/>
        <w:spacing w:before="120" w:beforeLines="5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14．投标有效期</w:t>
      </w:r>
    </w:p>
    <w:p w14:paraId="65B71494">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 投标文件在开标之日起90个日历天内有效。</w:t>
      </w:r>
    </w:p>
    <w:p w14:paraId="4A49770D">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 在原定投标有效期满之前，如果出现特殊情况，采购人可以以书面形式向投标人提出延长投标有效期的要求。这种要求与答复均应采用书面形式如传真或信件等。投标人可以拒绝接受采购人的这种要求而放弃投标。接受延长投标有效期的投标人将不会被要求和允许修正其投标。</w:t>
      </w:r>
    </w:p>
    <w:p w14:paraId="495A9E60">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 中标人的投标文件自开标之日起至合同履行完毕止均应保持有效。</w:t>
      </w:r>
    </w:p>
    <w:p w14:paraId="0B7154E5">
      <w:pPr>
        <w:pStyle w:val="3"/>
        <w:snapToGrid w:val="0"/>
        <w:spacing w:before="120" w:beforeLines="50"/>
        <w:ind w:firstLine="422" w:firstLineChars="200"/>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15．投标文件的式样</w:t>
      </w:r>
    </w:p>
    <w:p w14:paraId="12DB3A2D">
      <w:pPr>
        <w:adjustRightInd w:val="0"/>
        <w:snapToGrid w:val="0"/>
        <w:spacing w:line="360" w:lineRule="auto"/>
        <w:ind w:firstLine="420" w:firstLineChars="200"/>
        <w:jc w:val="left"/>
        <w:rPr>
          <w:rFonts w:ascii="宋体" w:hAnsi="宋体"/>
          <w:snapToGrid w:val="0"/>
          <w:color w:val="auto"/>
          <w:kern w:val="0"/>
          <w:szCs w:val="21"/>
          <w:highlight w:val="none"/>
        </w:rPr>
      </w:pPr>
      <w:bookmarkStart w:id="21" w:name="_Toc251566653"/>
      <w:bookmarkStart w:id="22" w:name="_Toc11108"/>
      <w:bookmarkStart w:id="23" w:name="_Toc1575"/>
      <w:bookmarkStart w:id="24" w:name="_Toc240450080"/>
      <w:bookmarkStart w:id="25" w:name="_Toc10376"/>
      <w:r>
        <w:rPr>
          <w:rFonts w:hint="eastAsia" w:ascii="宋体" w:hAnsi="宋体"/>
          <w:snapToGrid w:val="0"/>
          <w:color w:val="auto"/>
          <w:kern w:val="0"/>
          <w:szCs w:val="21"/>
          <w:highlight w:val="none"/>
        </w:rPr>
        <w:t xml:space="preserve">15.1 </w:t>
      </w:r>
      <w:r>
        <w:rPr>
          <w:rFonts w:ascii="宋体" w:hAnsi="宋体"/>
          <w:snapToGrid w:val="0"/>
          <w:color w:val="auto"/>
          <w:kern w:val="0"/>
          <w:szCs w:val="21"/>
          <w:highlight w:val="none"/>
        </w:rPr>
        <w:t>投标人应</w:t>
      </w:r>
      <w:r>
        <w:rPr>
          <w:rFonts w:hint="eastAsia" w:ascii="宋体" w:hAnsi="宋体"/>
          <w:snapToGrid w:val="0"/>
          <w:color w:val="auto"/>
          <w:kern w:val="0"/>
          <w:szCs w:val="21"/>
          <w:highlight w:val="none"/>
        </w:rPr>
        <w:t>按照</w:t>
      </w: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招标文件</w:t>
      </w:r>
      <w:r>
        <w:rPr>
          <w:rFonts w:ascii="宋体" w:hAnsi="宋体"/>
          <w:snapToGrid w:val="0"/>
          <w:color w:val="auto"/>
          <w:kern w:val="0"/>
          <w:szCs w:val="21"/>
          <w:highlight w:val="none"/>
        </w:rPr>
        <w:t>规定的格式和顺序编制、装订投标文件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投标文件内容不完整、编排混乱导致投标文件被误读、漏读</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或者</w:t>
      </w:r>
      <w:r>
        <w:rPr>
          <w:rFonts w:hint="eastAsia" w:ascii="宋体" w:hAnsi="宋体"/>
          <w:snapToGrid w:val="0"/>
          <w:color w:val="auto"/>
          <w:kern w:val="0"/>
          <w:szCs w:val="21"/>
          <w:highlight w:val="none"/>
        </w:rPr>
        <w:t>在按招标文件规定装订成册的部分</w:t>
      </w:r>
      <w:r>
        <w:rPr>
          <w:rFonts w:ascii="宋体" w:hAnsi="宋体"/>
          <w:snapToGrid w:val="0"/>
          <w:color w:val="auto"/>
          <w:kern w:val="0"/>
          <w:szCs w:val="21"/>
          <w:highlight w:val="none"/>
        </w:rPr>
        <w:t>查找不到相关内容的，是投标人的责任。</w:t>
      </w:r>
    </w:p>
    <w:p w14:paraId="209BCCFB">
      <w:pPr>
        <w:adjustRightInd w:val="0"/>
        <w:snapToGrid w:val="0"/>
        <w:spacing w:line="360" w:lineRule="auto"/>
        <w:ind w:firstLine="478" w:firstLineChars="228"/>
        <w:rPr>
          <w:rFonts w:ascii="宋体" w:hAnsi="宋体"/>
          <w:b/>
          <w:snapToGrid w:val="0"/>
          <w:color w:val="auto"/>
          <w:kern w:val="0"/>
          <w:szCs w:val="21"/>
          <w:highlight w:val="none"/>
          <w:u w:val="singl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2</w:t>
      </w:r>
      <w:r>
        <w:rPr>
          <w:rFonts w:ascii="楷体" w:hAnsi="楷体"/>
          <w:snapToGrid w:val="0"/>
          <w:color w:val="auto"/>
          <w:kern w:val="0"/>
          <w:szCs w:val="21"/>
          <w:highlight w:val="none"/>
        </w:rPr>
        <w:t>投标人递交</w:t>
      </w:r>
      <w:r>
        <w:rPr>
          <w:rFonts w:hint="eastAsia" w:ascii="楷体" w:hAnsi="楷体"/>
          <w:snapToGrid w:val="0"/>
          <w:color w:val="auto"/>
          <w:kern w:val="0"/>
          <w:szCs w:val="21"/>
          <w:highlight w:val="none"/>
        </w:rPr>
        <w:t>的</w:t>
      </w:r>
      <w:r>
        <w:rPr>
          <w:rFonts w:ascii="楷体" w:hAnsi="楷体"/>
          <w:snapToGrid w:val="0"/>
          <w:color w:val="auto"/>
          <w:kern w:val="0"/>
          <w:szCs w:val="21"/>
          <w:highlight w:val="none"/>
        </w:rPr>
        <w:t>投标文件</w:t>
      </w:r>
      <w:r>
        <w:rPr>
          <w:rFonts w:hint="eastAsia" w:ascii="楷体" w:hAnsi="楷体"/>
          <w:snapToGrid w:val="0"/>
          <w:color w:val="auto"/>
          <w:kern w:val="0"/>
          <w:szCs w:val="21"/>
          <w:highlight w:val="none"/>
        </w:rPr>
        <w:t>分为正本和副本。在投标文件封面的右上角须清楚的</w:t>
      </w:r>
      <w:r>
        <w:rPr>
          <w:rFonts w:ascii="楷体" w:hAnsi="楷体"/>
          <w:snapToGrid w:val="0"/>
          <w:color w:val="auto"/>
          <w:kern w:val="0"/>
          <w:szCs w:val="21"/>
          <w:highlight w:val="none"/>
        </w:rPr>
        <w:t>注明“正本”</w:t>
      </w:r>
      <w:r>
        <w:rPr>
          <w:rFonts w:hint="eastAsia" w:ascii="楷体" w:hAnsi="楷体"/>
          <w:snapToGrid w:val="0"/>
          <w:color w:val="auto"/>
          <w:kern w:val="0"/>
          <w:szCs w:val="21"/>
          <w:highlight w:val="none"/>
        </w:rPr>
        <w:t>或</w:t>
      </w:r>
      <w:r>
        <w:rPr>
          <w:rFonts w:ascii="楷体" w:hAnsi="楷体"/>
          <w:snapToGrid w:val="0"/>
          <w:color w:val="auto"/>
          <w:kern w:val="0"/>
          <w:szCs w:val="21"/>
          <w:highlight w:val="none"/>
        </w:rPr>
        <w:t>“副本”。</w:t>
      </w:r>
      <w:r>
        <w:rPr>
          <w:rFonts w:hint="eastAsia" w:ascii="楷体" w:hAnsi="楷体"/>
          <w:snapToGrid w:val="0"/>
          <w:color w:val="auto"/>
          <w:kern w:val="0"/>
          <w:szCs w:val="21"/>
          <w:highlight w:val="none"/>
        </w:rPr>
        <w:t>其中投标文件的正本必须打印或用不褪色墨</w:t>
      </w:r>
      <w:r>
        <w:rPr>
          <w:rFonts w:hint="eastAsia" w:ascii="宋体" w:hAnsi="宋体"/>
          <w:snapToGrid w:val="0"/>
          <w:color w:val="auto"/>
          <w:kern w:val="0"/>
          <w:szCs w:val="21"/>
          <w:highlight w:val="none"/>
        </w:rPr>
        <w:t>水书写，字迹须清晰易于辨认。</w:t>
      </w:r>
      <w:r>
        <w:rPr>
          <w:rFonts w:ascii="宋体" w:hAnsi="宋体"/>
          <w:snapToGrid w:val="0"/>
          <w:color w:val="auto"/>
          <w:kern w:val="0"/>
          <w:szCs w:val="21"/>
          <w:highlight w:val="none"/>
        </w:rPr>
        <w:t>投标文件的正本和副本有不一致</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，以正本为准</w:t>
      </w:r>
      <w:r>
        <w:rPr>
          <w:rFonts w:hint="eastAsia" w:ascii="宋体" w:hAnsi="宋体"/>
          <w:snapToGrid w:val="0"/>
          <w:color w:val="auto"/>
          <w:kern w:val="0"/>
          <w:szCs w:val="21"/>
          <w:highlight w:val="none"/>
        </w:rPr>
        <w:t>。</w:t>
      </w:r>
    </w:p>
    <w:p w14:paraId="7EA9218F">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15.3</w:t>
      </w:r>
      <w:r>
        <w:rPr>
          <w:rFonts w:hint="eastAsia" w:ascii="宋体" w:hAnsi="宋体" w:cs="宋体"/>
          <w:b/>
          <w:bCs/>
          <w:snapToGrid w:val="0"/>
          <w:color w:val="auto"/>
          <w:kern w:val="0"/>
          <w:szCs w:val="21"/>
          <w:highlight w:val="none"/>
        </w:rPr>
        <w:t>投标文件中投标函、授权委托书的格式、签字、盖章及内容均应符合招标文件格式要求，否则投标文件无效。</w:t>
      </w:r>
      <w:r>
        <w:rPr>
          <w:rFonts w:hint="eastAsia" w:ascii="宋体" w:hAnsi="宋体"/>
          <w:snapToGrid w:val="0"/>
          <w:color w:val="auto"/>
          <w:kern w:val="0"/>
          <w:szCs w:val="21"/>
          <w:highlight w:val="none"/>
        </w:rPr>
        <w:t>投标文件正本中依据招标文件要求加盖投标人公章</w:t>
      </w:r>
      <w:r>
        <w:rPr>
          <w:rFonts w:hint="eastAsia" w:ascii="宋体" w:hAnsi="宋体"/>
          <w:b/>
          <w:snapToGrid w:val="0"/>
          <w:color w:val="auto"/>
          <w:kern w:val="0"/>
          <w:szCs w:val="21"/>
          <w:highlight w:val="none"/>
          <w:u w:val="single"/>
        </w:rPr>
        <w:t>（除此之外的投标专用章、合同章等均视为无效）</w:t>
      </w:r>
      <w:r>
        <w:rPr>
          <w:rFonts w:hint="eastAsia" w:ascii="宋体" w:hAnsi="宋体"/>
          <w:snapToGrid w:val="0"/>
          <w:color w:val="auto"/>
          <w:kern w:val="0"/>
          <w:szCs w:val="21"/>
          <w:highlight w:val="none"/>
        </w:rPr>
        <w:t>、法定代表人或其委托代理人签字或盖章的地方须为原件。副本可复印正本内容。</w:t>
      </w:r>
    </w:p>
    <w:p w14:paraId="0FF5955F">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15.4 除投标人对错误之处必须修改外，全套投标文件应无涂改或行间插字和增删。修改处须有投标人法定代表人或被授权代表的签字或盖章，否则，评标委员会将不予接受。</w:t>
      </w:r>
    </w:p>
    <w:p w14:paraId="6C90094C">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15.5 投标文件</w:t>
      </w:r>
      <w:r>
        <w:rPr>
          <w:rFonts w:ascii="宋体" w:hAnsi="宋体"/>
          <w:snapToGrid w:val="0"/>
          <w:color w:val="auto"/>
          <w:kern w:val="0"/>
          <w:szCs w:val="21"/>
          <w:highlight w:val="none"/>
        </w:rPr>
        <w:t>每册目录所示页码</w:t>
      </w:r>
      <w:r>
        <w:rPr>
          <w:rFonts w:hint="eastAsia" w:ascii="宋体" w:hAnsi="宋体"/>
          <w:snapToGrid w:val="0"/>
          <w:color w:val="auto"/>
          <w:kern w:val="0"/>
          <w:szCs w:val="21"/>
          <w:highlight w:val="none"/>
        </w:rPr>
        <w:t>应该</w:t>
      </w:r>
      <w:r>
        <w:rPr>
          <w:rFonts w:ascii="宋体" w:hAnsi="宋体"/>
          <w:snapToGrid w:val="0"/>
          <w:color w:val="auto"/>
          <w:kern w:val="0"/>
          <w:szCs w:val="21"/>
          <w:highlight w:val="none"/>
        </w:rPr>
        <w:t>是该册唯一的页码，其唯一的页码</w:t>
      </w:r>
      <w:r>
        <w:rPr>
          <w:rFonts w:hint="eastAsia" w:ascii="宋体" w:hAnsi="宋体"/>
          <w:snapToGrid w:val="0"/>
          <w:color w:val="auto"/>
          <w:kern w:val="0"/>
          <w:szCs w:val="21"/>
          <w:highlight w:val="none"/>
        </w:rPr>
        <w:t>应该</w:t>
      </w:r>
      <w:r>
        <w:rPr>
          <w:rFonts w:ascii="宋体" w:hAnsi="宋体"/>
          <w:snapToGrid w:val="0"/>
          <w:color w:val="auto"/>
          <w:kern w:val="0"/>
          <w:szCs w:val="21"/>
          <w:highlight w:val="none"/>
        </w:rPr>
        <w:t>与目录所示的页码相吻合</w:t>
      </w:r>
      <w:r>
        <w:rPr>
          <w:rFonts w:hint="eastAsia" w:ascii="宋体" w:hAnsi="宋体"/>
          <w:snapToGrid w:val="0"/>
          <w:color w:val="auto"/>
          <w:kern w:val="0"/>
          <w:szCs w:val="21"/>
          <w:highlight w:val="none"/>
        </w:rPr>
        <w:t>。投标人应针对评标细则逐条编制响应内容并标注对应页码，</w:t>
      </w:r>
      <w:r>
        <w:rPr>
          <w:rFonts w:ascii="宋体" w:hAnsi="宋体"/>
          <w:snapToGrid w:val="0"/>
          <w:color w:val="auto"/>
          <w:kern w:val="0"/>
          <w:szCs w:val="21"/>
          <w:highlight w:val="none"/>
        </w:rPr>
        <w:t>否则</w:t>
      </w:r>
      <w:r>
        <w:rPr>
          <w:rFonts w:hint="eastAsia" w:ascii="宋体" w:hAnsi="宋体"/>
          <w:snapToGrid w:val="0"/>
          <w:color w:val="auto"/>
          <w:kern w:val="0"/>
          <w:szCs w:val="21"/>
          <w:highlight w:val="none"/>
        </w:rPr>
        <w:t>采购人</w:t>
      </w:r>
      <w:r>
        <w:rPr>
          <w:rFonts w:ascii="宋体" w:hAnsi="宋体"/>
          <w:snapToGrid w:val="0"/>
          <w:color w:val="auto"/>
          <w:kern w:val="0"/>
          <w:szCs w:val="21"/>
          <w:highlight w:val="none"/>
        </w:rPr>
        <w:t>不承担因为该项错误导致找不到目录所示内容而漏评或因标书编制质量而被扣分的责任。</w:t>
      </w:r>
    </w:p>
    <w:p w14:paraId="64341912">
      <w:pPr>
        <w:pStyle w:val="8"/>
        <w:snapToGrid w:val="0"/>
        <w:spacing w:before="120" w:beforeLines="50" w:after="120" w:afterLines="5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四、投标文件的递交</w:t>
      </w:r>
      <w:bookmarkEnd w:id="21"/>
      <w:bookmarkEnd w:id="22"/>
      <w:bookmarkEnd w:id="23"/>
      <w:bookmarkEnd w:id="24"/>
      <w:bookmarkEnd w:id="25"/>
    </w:p>
    <w:p w14:paraId="33919FB9">
      <w:pPr>
        <w:adjustRightInd w:val="0"/>
        <w:snapToGrid w:val="0"/>
        <w:spacing w:line="360" w:lineRule="auto"/>
        <w:ind w:firstLine="422" w:firstLineChars="200"/>
        <w:rPr>
          <w:rFonts w:ascii="宋体" w:hAnsi="宋体"/>
          <w:b/>
          <w:snapToGrid w:val="0"/>
          <w:color w:val="auto"/>
          <w:kern w:val="0"/>
          <w:szCs w:val="21"/>
          <w:highlight w:val="none"/>
        </w:rPr>
      </w:pPr>
      <w:r>
        <w:rPr>
          <w:rFonts w:ascii="宋体" w:hAnsi="宋体"/>
          <w:b/>
          <w:snapToGrid w:val="0"/>
          <w:color w:val="auto"/>
          <w:kern w:val="0"/>
          <w:szCs w:val="21"/>
          <w:highlight w:val="none"/>
        </w:rPr>
        <w:t>1</w:t>
      </w:r>
      <w:r>
        <w:rPr>
          <w:rFonts w:hint="eastAsia" w:ascii="宋体" w:hAnsi="宋体"/>
          <w:b/>
          <w:snapToGrid w:val="0"/>
          <w:color w:val="auto"/>
          <w:kern w:val="0"/>
          <w:szCs w:val="21"/>
          <w:highlight w:val="none"/>
        </w:rPr>
        <w:t>6．</w:t>
      </w:r>
      <w:r>
        <w:rPr>
          <w:rFonts w:ascii="宋体" w:hAnsi="宋体"/>
          <w:b/>
          <w:snapToGrid w:val="0"/>
          <w:color w:val="auto"/>
          <w:kern w:val="0"/>
          <w:szCs w:val="21"/>
          <w:highlight w:val="none"/>
        </w:rPr>
        <w:t>投标文件的密封与标志</w:t>
      </w:r>
    </w:p>
    <w:p w14:paraId="446A85D5">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olor w:val="auto"/>
          <w:szCs w:val="21"/>
          <w:highlight w:val="none"/>
        </w:rPr>
        <w:t>16</w:t>
      </w:r>
      <w:r>
        <w:rPr>
          <w:rFonts w:ascii="宋体" w:hAnsi="宋体"/>
          <w:color w:val="auto"/>
          <w:szCs w:val="21"/>
          <w:highlight w:val="none"/>
        </w:rPr>
        <w:t>.1</w:t>
      </w:r>
      <w:r>
        <w:rPr>
          <w:rFonts w:hint="eastAsia" w:ascii="宋体" w:hAnsi="宋体"/>
          <w:snapToGrid w:val="0"/>
          <w:color w:val="auto"/>
          <w:kern w:val="0"/>
          <w:szCs w:val="21"/>
          <w:highlight w:val="none"/>
        </w:rPr>
        <w:t>投标文件分为正本和副本。其中：</w:t>
      </w:r>
      <w:r>
        <w:rPr>
          <w:rFonts w:hint="eastAsia" w:ascii="宋体" w:hAnsi="宋体"/>
          <w:b/>
          <w:snapToGrid w:val="0"/>
          <w:color w:val="auto"/>
          <w:kern w:val="0"/>
          <w:szCs w:val="21"/>
          <w:highlight w:val="none"/>
        </w:rPr>
        <w:t>资格响应文件和商务和技术响应文件胶装成一册、报价响应文件胶装成一册（以上正本各</w:t>
      </w:r>
      <w:r>
        <w:rPr>
          <w:rFonts w:hint="eastAsia" w:ascii="宋体" w:hAnsi="宋体"/>
          <w:b/>
          <w:snapToGrid w:val="0"/>
          <w:color w:val="auto"/>
          <w:kern w:val="0"/>
          <w:szCs w:val="21"/>
          <w:highlight w:val="none"/>
          <w:lang w:eastAsia="zh-CN"/>
        </w:rPr>
        <w:t>一</w:t>
      </w:r>
      <w:r>
        <w:rPr>
          <w:rFonts w:hint="eastAsia" w:ascii="宋体" w:hAnsi="宋体"/>
          <w:b/>
          <w:snapToGrid w:val="0"/>
          <w:color w:val="auto"/>
          <w:kern w:val="0"/>
          <w:szCs w:val="21"/>
          <w:highlight w:val="none"/>
        </w:rPr>
        <w:t>份，副本各</w:t>
      </w:r>
      <w:r>
        <w:rPr>
          <w:rFonts w:hint="eastAsia" w:ascii="宋体" w:hAnsi="宋体"/>
          <w:b/>
          <w:snapToGrid w:val="0"/>
          <w:color w:val="auto"/>
          <w:kern w:val="0"/>
          <w:szCs w:val="21"/>
          <w:highlight w:val="none"/>
          <w:lang w:eastAsia="zh-CN"/>
        </w:rPr>
        <w:t>六</w:t>
      </w:r>
      <w:r>
        <w:rPr>
          <w:rFonts w:hint="eastAsia" w:ascii="宋体" w:hAnsi="宋体"/>
          <w:b/>
          <w:snapToGrid w:val="0"/>
          <w:color w:val="auto"/>
          <w:kern w:val="0"/>
          <w:szCs w:val="21"/>
          <w:highlight w:val="none"/>
        </w:rPr>
        <w:t>份，均须胶装）并密封包装。</w:t>
      </w:r>
      <w:r>
        <w:rPr>
          <w:rFonts w:hint="eastAsia" w:ascii="宋体" w:hAnsi="宋体"/>
          <w:snapToGrid w:val="0"/>
          <w:color w:val="auto"/>
          <w:kern w:val="0"/>
          <w:szCs w:val="21"/>
          <w:highlight w:val="none"/>
        </w:rPr>
        <w:t>投标文件的封面应注明“资格响应文件、商务和技术响应文件”、“报价响应文件”、 “正本”、“副本”等字样。投标文件应根据以上其各部分不同内容编制详细的目录，该部分文件的页码是唯一的,不得有漏码或重码或错码。</w:t>
      </w:r>
    </w:p>
    <w:p w14:paraId="42CB6926">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如果由于目录与页码不一致等原因，导致评标专家在该册文件中无法查找或难以查找到相关评审内容，评标专家可按招标文件关于编制、装订等相关规定，对该投标人作出未提供相关供评审材料的决定，并通过评标委员会集体、按照少数服从多数的原则确定其投标文件是否构成严重不符或重大偏离。</w:t>
      </w:r>
    </w:p>
    <w:p w14:paraId="2A33DE70">
      <w:pPr>
        <w:adjustRightInd w:val="0"/>
        <w:spacing w:line="360" w:lineRule="auto"/>
        <w:ind w:firstLine="422" w:firstLineChars="200"/>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6</w:t>
      </w:r>
      <w:r>
        <w:rPr>
          <w:rFonts w:ascii="宋体" w:hAnsi="宋体"/>
          <w:b/>
          <w:color w:val="auto"/>
          <w:szCs w:val="21"/>
          <w:highlight w:val="none"/>
        </w:rPr>
        <w:t>.2</w:t>
      </w:r>
      <w:r>
        <w:rPr>
          <w:rFonts w:hint="eastAsia" w:ascii="宋体" w:hAnsi="宋体"/>
          <w:b/>
          <w:snapToGrid w:val="0"/>
          <w:color w:val="auto"/>
          <w:kern w:val="0"/>
          <w:szCs w:val="21"/>
          <w:highlight w:val="none"/>
        </w:rPr>
        <w:t>投标人应将投标文件资格响应文件、商务和技术响应文件正本、副本全部密封封装在一个外层包装中，将报价文件正本、副本全部密封封装在另一个外层包装中，共两个密封包装袋，分别为（1）资格响应文件、商务和技术响应文件正本和副本；（2）报价文件正本和副本</w:t>
      </w:r>
      <w:r>
        <w:rPr>
          <w:rFonts w:hint="eastAsia" w:ascii="宋体" w:hAnsi="宋体"/>
          <w:b/>
          <w:color w:val="auto"/>
          <w:szCs w:val="21"/>
          <w:highlight w:val="none"/>
        </w:rPr>
        <w:t>。</w:t>
      </w:r>
    </w:p>
    <w:p w14:paraId="40937A55">
      <w:pPr>
        <w:pStyle w:val="26"/>
        <w:adjustRightInd w:val="0"/>
        <w:spacing w:line="360" w:lineRule="auto"/>
        <w:ind w:firstLine="472" w:firstLineChars="225"/>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6</w:t>
      </w:r>
      <w:r>
        <w:rPr>
          <w:rFonts w:ascii="宋体" w:hAnsi="宋体" w:eastAsia="宋体"/>
          <w:color w:val="auto"/>
          <w:highlight w:val="none"/>
        </w:rPr>
        <w:t>.3在投标文件密封袋上均应:</w:t>
      </w:r>
    </w:p>
    <w:p w14:paraId="2EF0428A">
      <w:pPr>
        <w:pStyle w:val="26"/>
        <w:adjustRightInd w:val="0"/>
        <w:spacing w:line="360" w:lineRule="auto"/>
        <w:rPr>
          <w:rFonts w:ascii="宋体" w:hAnsi="宋体" w:eastAsia="宋体"/>
          <w:color w:val="auto"/>
          <w:highlight w:val="none"/>
        </w:rPr>
      </w:pPr>
      <w:r>
        <w:rPr>
          <w:rFonts w:ascii="宋体" w:hAnsi="宋体" w:eastAsia="宋体"/>
          <w:color w:val="auto"/>
          <w:highlight w:val="none"/>
        </w:rPr>
        <w:t xml:space="preserve">    (1)写明</w:t>
      </w:r>
      <w:r>
        <w:rPr>
          <w:rFonts w:hint="eastAsia" w:ascii="宋体" w:hAnsi="宋体" w:eastAsia="宋体"/>
          <w:color w:val="auto"/>
          <w:highlight w:val="none"/>
        </w:rPr>
        <w:t>采购人</w:t>
      </w:r>
      <w:r>
        <w:rPr>
          <w:rFonts w:ascii="宋体" w:hAnsi="宋体" w:eastAsia="宋体"/>
          <w:color w:val="auto"/>
          <w:highlight w:val="none"/>
        </w:rPr>
        <w:t>名称和地址；</w:t>
      </w:r>
    </w:p>
    <w:p w14:paraId="3A811479">
      <w:pPr>
        <w:pStyle w:val="26"/>
        <w:adjustRightInd w:val="0"/>
        <w:spacing w:line="360" w:lineRule="auto"/>
        <w:rPr>
          <w:rFonts w:ascii="宋体" w:hAnsi="宋体" w:eastAsia="宋体"/>
          <w:color w:val="auto"/>
          <w:highlight w:val="none"/>
        </w:rPr>
      </w:pPr>
      <w:r>
        <w:rPr>
          <w:rFonts w:ascii="宋体" w:hAnsi="宋体" w:eastAsia="宋体"/>
          <w:color w:val="auto"/>
          <w:highlight w:val="none"/>
        </w:rPr>
        <w:t xml:space="preserve">    (2)注明下列识别标志；</w:t>
      </w:r>
    </w:p>
    <w:p w14:paraId="5C2A7CC3">
      <w:pPr>
        <w:pStyle w:val="26"/>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·A·招标编号；</w:t>
      </w:r>
    </w:p>
    <w:p w14:paraId="538ECA41">
      <w:pPr>
        <w:pStyle w:val="26"/>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·B·项目名称；</w:t>
      </w:r>
    </w:p>
    <w:p w14:paraId="66118CB0">
      <w:pPr>
        <w:pStyle w:val="26"/>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·C·文件类别（注明密封袋内是资格响应文件、商务和技术响应文件或报价文件）</w:t>
      </w:r>
    </w:p>
    <w:p w14:paraId="3C069FDC">
      <w:pPr>
        <w:pStyle w:val="26"/>
        <w:adjustRightInd w:val="0"/>
        <w:spacing w:line="360" w:lineRule="auto"/>
        <w:ind w:firstLine="514" w:firstLineChars="245"/>
        <w:rPr>
          <w:rFonts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__年___月___日___时___分开标，此时间以前不得开封。（限资格响应文件、商务和技术文件）</w:t>
      </w:r>
    </w:p>
    <w:p w14:paraId="622BDF1E">
      <w:pPr>
        <w:pStyle w:val="26"/>
        <w:adjustRightInd w:val="0"/>
        <w:spacing w:line="360" w:lineRule="auto"/>
        <w:ind w:firstLine="1134" w:firstLineChars="540"/>
        <w:rPr>
          <w:rFonts w:hAnsi="宋体" w:eastAsia="宋体"/>
          <w:color w:val="auto"/>
          <w:highlight w:val="none"/>
        </w:rPr>
      </w:pPr>
      <w:r>
        <w:rPr>
          <w:rFonts w:hAnsi="宋体"/>
          <w:color w:val="auto"/>
          <w:highlight w:val="none"/>
          <w:u w:val="single"/>
        </w:rPr>
        <w:t xml:space="preserve">   </w:t>
      </w:r>
      <w:r>
        <w:rPr>
          <w:rFonts w:hAnsi="宋体"/>
          <w:color w:val="auto"/>
          <w:highlight w:val="none"/>
        </w:rPr>
        <w:t>__年___月___日</w:t>
      </w:r>
      <w:r>
        <w:rPr>
          <w:rFonts w:hint="eastAsia" w:hAnsi="宋体" w:eastAsia="宋体"/>
          <w:color w:val="auto"/>
          <w:highlight w:val="none"/>
          <w:u w:val="single"/>
        </w:rPr>
        <w:t xml:space="preserve">  第二阶段  </w:t>
      </w:r>
      <w:r>
        <w:rPr>
          <w:rFonts w:hAnsi="宋体"/>
          <w:color w:val="auto"/>
          <w:highlight w:val="none"/>
        </w:rPr>
        <w:t>开标</w:t>
      </w:r>
      <w:r>
        <w:rPr>
          <w:rFonts w:hint="eastAsia" w:hAnsi="宋体" w:eastAsia="宋体"/>
          <w:color w:val="auto"/>
          <w:highlight w:val="none"/>
        </w:rPr>
        <w:t>，</w:t>
      </w:r>
      <w:r>
        <w:rPr>
          <w:rFonts w:hAnsi="宋体"/>
          <w:color w:val="auto"/>
          <w:highlight w:val="none"/>
        </w:rPr>
        <w:t>此时间以前不得开封。</w:t>
      </w:r>
      <w:r>
        <w:rPr>
          <w:rFonts w:hint="eastAsia" w:hAnsi="宋体" w:eastAsia="宋体"/>
          <w:color w:val="auto"/>
          <w:highlight w:val="none"/>
        </w:rPr>
        <w:t>（限报价文件）</w:t>
      </w:r>
    </w:p>
    <w:p w14:paraId="121BC4AA">
      <w:pPr>
        <w:adjustRightInd w:val="0"/>
        <w:spacing w:line="360" w:lineRule="auto"/>
        <w:ind w:firstLine="457" w:firstLineChars="218"/>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.4</w:t>
      </w:r>
      <w:r>
        <w:rPr>
          <w:rFonts w:hint="eastAsia" w:ascii="宋体" w:hAnsi="宋体"/>
          <w:color w:val="auto"/>
          <w:szCs w:val="21"/>
          <w:highlight w:val="none"/>
        </w:rPr>
        <w:t>除了按本须知第16.3款所要求的识别字样外，在投标文件密封袋上还应写明投标人的名称与地址、邮政编码，以便投标宣布“迟到”时，投标文件可按密封袋上标明的投标人地址原封退回；</w:t>
      </w:r>
    </w:p>
    <w:p w14:paraId="5E420BEB">
      <w:pPr>
        <w:pStyle w:val="26"/>
        <w:adjustRightInd w:val="0"/>
        <w:spacing w:line="360" w:lineRule="auto"/>
        <w:ind w:firstLine="420" w:firstLineChars="200"/>
        <w:rPr>
          <w:rFonts w:ascii="宋体" w:hAnsi="宋体" w:eastAsia="宋体" w:cs="宋体"/>
          <w:color w:val="auto"/>
          <w:highlight w:val="none"/>
        </w:rPr>
      </w:pPr>
      <w:r>
        <w:rPr>
          <w:rFonts w:hint="eastAsia" w:ascii="宋体" w:hAnsi="宋体"/>
          <w:color w:val="auto"/>
          <w:highlight w:val="none"/>
        </w:rPr>
        <w:t>16.5如果投标文件没有按本投标须知第16.1款、第16.2款、第16.3款规定加写标记和密封，</w:t>
      </w:r>
      <w:r>
        <w:rPr>
          <w:rFonts w:hint="eastAsia" w:ascii="宋体" w:hAnsi="宋体" w:eastAsia="宋体"/>
          <w:color w:val="auto"/>
          <w:highlight w:val="none"/>
        </w:rPr>
        <w:t>采购人</w:t>
      </w:r>
      <w:r>
        <w:rPr>
          <w:rFonts w:hint="eastAsia" w:ascii="宋体" w:hAnsi="宋体"/>
          <w:color w:val="auto"/>
          <w:highlight w:val="none"/>
        </w:rPr>
        <w:t>将拒收或者告知投标人</w:t>
      </w:r>
      <w:r>
        <w:rPr>
          <w:rFonts w:hint="eastAsia" w:ascii="宋体" w:hAnsi="宋体" w:eastAsia="宋体"/>
          <w:color w:val="auto"/>
          <w:highlight w:val="none"/>
        </w:rPr>
        <w:t>采购人</w:t>
      </w:r>
      <w:r>
        <w:rPr>
          <w:rFonts w:hint="eastAsia" w:ascii="宋体" w:hAnsi="宋体"/>
          <w:color w:val="auto"/>
          <w:highlight w:val="none"/>
        </w:rPr>
        <w:t>将不承担投标文件错放或提前开封的责任。对由此造成的提前开封的投标文件将予以拒绝，并退还给投标人。</w:t>
      </w:r>
    </w:p>
    <w:p w14:paraId="1A687286">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17．投标截止期</w:t>
      </w:r>
    </w:p>
    <w:p w14:paraId="72CB1193">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17.1 投标人应按前附表规定的日期、时间和方式上传、递交投标文件。</w:t>
      </w:r>
    </w:p>
    <w:p w14:paraId="3B6AC6A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17.2 采购人可以按本须知第7条规定，通过修改招标文件适当延长投标截止日期。在此情况下，采购人与投标人受投标截止期制约的所有权利和义务均应延长至新的截止期。</w:t>
      </w:r>
    </w:p>
    <w:p w14:paraId="4F4D2E16">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18．迟交的投标文件</w:t>
      </w:r>
    </w:p>
    <w:p w14:paraId="624CEF8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在本须知第17条规定的截止期后收到的任何投标文件，采购人将不予接收。</w:t>
      </w:r>
    </w:p>
    <w:p w14:paraId="2766D9D0">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19．投标文件的修改与撤回</w:t>
      </w:r>
    </w:p>
    <w:p w14:paraId="2E3686C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19.1投标人在递交投标文件后，可以在规定的投标截止时间前，以书面的形式通知采购人，修改或撤回其投标文件。</w:t>
      </w:r>
    </w:p>
    <w:p w14:paraId="622B2F97">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19.2投标人的修改或撤回通知，应按本须知第16条规定编制、密封、标志和递交（在外层包封上标明“修改”或“撤回”字样）。修改文件同样必须在投标截止时间前送达采购人。</w:t>
      </w:r>
    </w:p>
    <w:p w14:paraId="36618F8E">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19.3在投标截止期之后，投标人不得对其投标作任何修改。</w:t>
      </w:r>
    </w:p>
    <w:p w14:paraId="2743758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19.4从投标截止期至投标人在投标函格式中确定的投标有效期期满这段时间内，投标人不得撤回其投标，否则其投标保证金将按照本须知第13.7条的规定不予退还。</w:t>
      </w:r>
    </w:p>
    <w:p w14:paraId="0CABBE86">
      <w:pPr>
        <w:pStyle w:val="8"/>
        <w:snapToGrid w:val="0"/>
        <w:spacing w:before="120" w:beforeLines="50" w:after="120" w:afterLines="50" w:line="360" w:lineRule="auto"/>
        <w:rPr>
          <w:rFonts w:ascii="宋体" w:hAnsi="宋体" w:eastAsia="宋体" w:cs="宋体"/>
          <w:color w:val="auto"/>
          <w:sz w:val="21"/>
          <w:szCs w:val="21"/>
          <w:highlight w:val="none"/>
        </w:rPr>
      </w:pPr>
      <w:bookmarkStart w:id="26" w:name="_Toc27759"/>
      <w:bookmarkStart w:id="27" w:name="_Toc240450081"/>
      <w:bookmarkStart w:id="28" w:name="_Toc251566654"/>
      <w:bookmarkStart w:id="29" w:name="_Toc14566"/>
      <w:bookmarkStart w:id="30" w:name="_Toc13578"/>
      <w:r>
        <w:rPr>
          <w:rFonts w:hint="eastAsia" w:ascii="宋体" w:hAnsi="宋体" w:eastAsia="宋体" w:cs="宋体"/>
          <w:color w:val="auto"/>
          <w:sz w:val="21"/>
          <w:szCs w:val="21"/>
          <w:highlight w:val="none"/>
        </w:rPr>
        <w:t>五、开标与评标</w:t>
      </w:r>
      <w:bookmarkEnd w:id="26"/>
      <w:bookmarkEnd w:id="27"/>
      <w:bookmarkEnd w:id="28"/>
      <w:bookmarkEnd w:id="29"/>
      <w:bookmarkEnd w:id="30"/>
    </w:p>
    <w:p w14:paraId="6E7C0031">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20．开标</w:t>
      </w:r>
    </w:p>
    <w:p w14:paraId="63F839F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20.1 采购人将于前附表规定的时间和地点公开开标。若采购人按本须知第7条规定，通过修改招标文件更改了开标时间和地点的，以后者为准。</w:t>
      </w:r>
    </w:p>
    <w:p w14:paraId="7B33A1C8">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21.2 开标大会邀请所有投标人代表参加。参加开标的投标人的法定代表人或其委托代理人（以下称投标人代表）必须随带本人居民身份证或公安机关出具的临时居民身份证明或港澳台胞证或护照原件</w:t>
      </w:r>
      <w:r>
        <w:rPr>
          <w:rFonts w:hint="eastAsia" w:ascii="宋体" w:hAnsi="宋体" w:cs="宋体"/>
          <w:b/>
          <w:bCs/>
          <w:snapToGrid w:val="0"/>
          <w:color w:val="auto"/>
          <w:kern w:val="0"/>
          <w:szCs w:val="21"/>
          <w:highlight w:val="none"/>
        </w:rPr>
        <w:t>（其他诸如驾驶证、市民卡等一律视为未提供有效的身份证明）</w:t>
      </w:r>
      <w:r>
        <w:rPr>
          <w:rFonts w:hint="eastAsia" w:ascii="宋体" w:hAnsi="宋体" w:cs="宋体"/>
          <w:snapToGrid w:val="0"/>
          <w:color w:val="auto"/>
          <w:kern w:val="0"/>
          <w:szCs w:val="21"/>
          <w:highlight w:val="none"/>
        </w:rPr>
        <w:t>和授权委托书原件。投标人如不派代表参加开标大会的，事后不得对采购相关人员、开标过程和开标结果提出异议。</w:t>
      </w:r>
    </w:p>
    <w:p w14:paraId="008B14E8">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投标人如是法人代表的，只须按前款提供并出示相关证明、证件即可；如是法人代表授权一个以上代表参加投标的，应按实参加，并在相应文件上同时签署。</w:t>
      </w:r>
    </w:p>
    <w:p w14:paraId="52931FB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20.3 开标程序</w:t>
      </w:r>
    </w:p>
    <w:p w14:paraId="5DA94A32">
      <w:pPr>
        <w:adjustRightInd w:val="0"/>
        <w:snapToGrid w:val="0"/>
        <w:spacing w:line="360" w:lineRule="auto"/>
        <w:ind w:firstLine="422" w:firstLineChars="200"/>
        <w:jc w:val="left"/>
        <w:rPr>
          <w:rFonts w:ascii="宋体" w:hAnsi="宋体"/>
          <w:b/>
          <w:snapToGrid w:val="0"/>
          <w:color w:val="auto"/>
          <w:kern w:val="0"/>
          <w:szCs w:val="21"/>
          <w:highlight w:val="none"/>
        </w:rPr>
      </w:pPr>
      <w:r>
        <w:rPr>
          <w:rFonts w:hint="eastAsia" w:ascii="宋体" w:hAnsi="宋体"/>
          <w:b/>
          <w:snapToGrid w:val="0"/>
          <w:color w:val="auto"/>
          <w:kern w:val="0"/>
          <w:szCs w:val="21"/>
          <w:highlight w:val="none"/>
        </w:rPr>
        <w:t>本项目按照先拆封商务和技术文件、后拆封报价文件的顺序进行。具体按以下程序进行：</w:t>
      </w:r>
    </w:p>
    <w:p w14:paraId="2E49DCCE">
      <w:pP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（1）开标大会由</w:t>
      </w:r>
      <w:r>
        <w:rPr>
          <w:rFonts w:hint="eastAsia" w:ascii="宋体" w:hAnsi="宋体"/>
          <w:snapToGrid w:val="0"/>
          <w:color w:val="auto"/>
          <w:kern w:val="0"/>
          <w:szCs w:val="21"/>
          <w:highlight w:val="none"/>
        </w:rPr>
        <w:t>采购人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采购代理机构</w:t>
      </w:r>
      <w:r>
        <w:rPr>
          <w:rFonts w:ascii="宋体" w:hAnsi="宋体"/>
          <w:snapToGrid w:val="0"/>
          <w:color w:val="auto"/>
          <w:kern w:val="0"/>
          <w:szCs w:val="21"/>
          <w:highlight w:val="none"/>
        </w:rPr>
        <w:t>主持，</w:t>
      </w:r>
      <w:r>
        <w:rPr>
          <w:rFonts w:ascii="ˎ̥" w:hAnsi="ˎ̥" w:cs="宋体"/>
          <w:color w:val="auto"/>
          <w:kern w:val="0"/>
          <w:szCs w:val="21"/>
          <w:highlight w:val="none"/>
        </w:rPr>
        <w:t>介绍开标现场的人员情况，宣读递交采购响应文件的</w:t>
      </w:r>
      <w:r>
        <w:rPr>
          <w:rFonts w:hint="eastAsia" w:ascii="ˎ̥" w:hAnsi="ˎ̥" w:cs="宋体"/>
          <w:color w:val="auto"/>
          <w:kern w:val="0"/>
          <w:szCs w:val="21"/>
          <w:highlight w:val="none"/>
        </w:rPr>
        <w:t>投标人</w:t>
      </w:r>
      <w:r>
        <w:rPr>
          <w:rFonts w:ascii="ˎ̥" w:hAnsi="ˎ̥" w:cs="宋体"/>
          <w:color w:val="auto"/>
          <w:kern w:val="0"/>
          <w:szCs w:val="21"/>
          <w:highlight w:val="none"/>
        </w:rPr>
        <w:t>名单、开标纪律、应当回避的情形等注意事项，组织</w:t>
      </w:r>
      <w:r>
        <w:rPr>
          <w:rFonts w:hint="eastAsia" w:ascii="ˎ̥" w:hAnsi="ˎ̥" w:cs="宋体"/>
          <w:color w:val="auto"/>
          <w:kern w:val="0"/>
          <w:szCs w:val="21"/>
          <w:highlight w:val="none"/>
        </w:rPr>
        <w:t>投标人</w:t>
      </w:r>
      <w:r>
        <w:rPr>
          <w:rFonts w:ascii="ˎ̥" w:hAnsi="ˎ̥" w:cs="宋体"/>
          <w:color w:val="auto"/>
          <w:kern w:val="0"/>
          <w:szCs w:val="21"/>
          <w:highlight w:val="none"/>
        </w:rPr>
        <w:t>签署不存在影响公平竞争的《政府采购活动现场确认声明书》</w:t>
      </w:r>
      <w:r>
        <w:rPr>
          <w:rFonts w:ascii="宋体" w:hAnsi="宋体"/>
          <w:snapToGrid w:val="0"/>
          <w:color w:val="auto"/>
          <w:kern w:val="0"/>
          <w:szCs w:val="21"/>
          <w:highlight w:val="none"/>
        </w:rPr>
        <w:t>；</w:t>
      </w:r>
    </w:p>
    <w:p w14:paraId="6525F9FD">
      <w:pP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ˎ̥" w:hAnsi="ˎ̥" w:cs="宋体"/>
          <w:color w:val="auto"/>
          <w:kern w:val="0"/>
          <w:szCs w:val="21"/>
          <w:highlight w:val="none"/>
        </w:rPr>
        <w:t>对投标人保证金缴纳情况进行查验、核实，提请投标人代表或公证人员查验采购响应文件密封情况；</w:t>
      </w:r>
    </w:p>
    <w:p w14:paraId="1533AB98">
      <w:pP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按投标人提交采购响应文件（即投标文件）的先后顺序当众拆封、清点采购响应文件（包括正本、副本）数量，将其中密封的报价文件（含开标&lt;报价&gt;一览表、报价明细表等，下同）现场集中封存保管等候拆封，将拆封后的商务和技术文件由现场工作人员护送至指定的评审地点，同时告知投标人代表拆封报价文件的预计时间。对不符合装订要求的采购响应文件，由现场工作人员退还投标人代表。</w:t>
      </w:r>
    </w:p>
    <w:p w14:paraId="7A5983D3">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提交的采购响应文件应当将其中的报价文件单独密封，否则如开标时发生报价泄露的，由投标人自行承担相关责任。</w:t>
      </w:r>
    </w:p>
    <w:p w14:paraId="2D28E325">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4）商务和技术评审结束后，主持人宣告商务和技术评审无效投标人名称及理由，投标人代表可收回未拆封的报价文件并签字确认；公布经商务和技术评审符合采购需求的投标人名单，采用综合评分法的，同时公布其商务和技术得分情况。</w:t>
      </w:r>
    </w:p>
    <w:p w14:paraId="3B8C2259">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5）拆封投标人报价文件，宣读开标（报价）一览表有关内容，同时当场制作并打印开标记录表，由投标人代表、唱标人、记录人和现场监督员在开标记录表上签字确认（不予确认的应说明理由，否则视为无异议）。唱标结束后，现场工作人员将报价文件及开标记录表护送至指定评审地点，由评审小组对报价的合理性、准确性等进行审查核实。</w:t>
      </w:r>
    </w:p>
    <w:p w14:paraId="4C82C5FE">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snapToGrid w:val="0"/>
          <w:color w:val="auto"/>
          <w:kern w:val="0"/>
          <w:szCs w:val="21"/>
          <w:highlight w:val="none"/>
        </w:rPr>
        <w:t>（6）评审结束后，主持人公布中标（成交）候选投标人名单，及采购人最终确定中标或成交投标人名单的时间和公告方式等</w:t>
      </w:r>
      <w:r>
        <w:rPr>
          <w:rFonts w:ascii="宋体" w:hAnsi="宋体"/>
          <w:snapToGrid w:val="0"/>
          <w:color w:val="auto"/>
          <w:kern w:val="0"/>
          <w:szCs w:val="21"/>
          <w:highlight w:val="none"/>
        </w:rPr>
        <w:t>。</w:t>
      </w:r>
    </w:p>
    <w:p w14:paraId="08F71845">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21．评标</w:t>
      </w:r>
    </w:p>
    <w:p w14:paraId="18B7A037">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21.1 评标组织</w:t>
      </w:r>
    </w:p>
    <w:p w14:paraId="5C938B8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评标工作由招标采购单位负责组织，具体评标事务由招标采购单位依法组建的评标委员会负责。评标委员会由采购人代表和有关技术、经济等方面的专家组成，成员人数应当为五人及以上单数。</w:t>
      </w:r>
    </w:p>
    <w:p w14:paraId="35B4AFE3">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21.2评标纪律</w:t>
      </w:r>
    </w:p>
    <w:p w14:paraId="122B6A24">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本次评标工作将在严格保密的情况下进行，评标委员会成员名单在定标前将保密。</w:t>
      </w:r>
    </w:p>
    <w:p w14:paraId="09BA735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21.3评标办法</w:t>
      </w:r>
    </w:p>
    <w:p w14:paraId="29577410">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采用综合评分法，详见招标文件第五部分“评标办法”。</w:t>
      </w:r>
    </w:p>
    <w:p w14:paraId="67F167B3">
      <w:pPr>
        <w:tabs>
          <w:tab w:val="left" w:pos="900"/>
          <w:tab w:val="left" w:pos="1080"/>
        </w:tabs>
        <w:adjustRightInd w:val="0"/>
        <w:snapToGrid w:val="0"/>
        <w:spacing w:line="360" w:lineRule="auto"/>
        <w:ind w:firstLine="422" w:firstLineChars="200"/>
        <w:jc w:val="left"/>
        <w:rPr>
          <w:rFonts w:ascii="宋体" w:hAnsi="宋体" w:cs="宋体"/>
          <w:snapToGrid w:val="0"/>
          <w:color w:val="auto"/>
          <w:kern w:val="0"/>
          <w:szCs w:val="21"/>
          <w:highlight w:val="none"/>
        </w:rPr>
      </w:pPr>
      <w:r>
        <w:rPr>
          <w:rFonts w:ascii="宋体" w:hAnsi="宋体" w:cs="宋体"/>
          <w:b/>
          <w:color w:val="auto"/>
          <w:szCs w:val="21"/>
          <w:highlight w:val="none"/>
        </w:rPr>
        <w:t>22．串通投标</w:t>
      </w:r>
    </w:p>
    <w:p w14:paraId="07D160DD">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有下列情形之一的，视为</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串通投标，其投标无效：</w:t>
      </w:r>
    </w:p>
    <w:p w14:paraId="4E3486EE">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（1）不同</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的投标文件由同一单位或者个人编制；</w:t>
      </w:r>
    </w:p>
    <w:p w14:paraId="31999C3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（2）不同</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委托同一单位或者个人办理投标事宜；</w:t>
      </w:r>
    </w:p>
    <w:p w14:paraId="7C7BBFCD">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（3）不同</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的投标文件载明的项目管理成员或者联系人员为同一人；</w:t>
      </w:r>
    </w:p>
    <w:p w14:paraId="09F39769">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（4）不同</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的投标文件异常一致或者投标报价呈规律性差异；</w:t>
      </w:r>
    </w:p>
    <w:p w14:paraId="0F77440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ascii="宋体" w:hAnsi="宋体" w:cs="宋体"/>
          <w:snapToGrid w:val="0"/>
          <w:color w:val="auto"/>
          <w:kern w:val="0"/>
          <w:szCs w:val="21"/>
          <w:highlight w:val="none"/>
        </w:rPr>
        <w:t>（5）不同</w:t>
      </w:r>
      <w:r>
        <w:rPr>
          <w:rFonts w:hint="eastAsia" w:ascii="宋体" w:hAnsi="宋体" w:cs="宋体"/>
          <w:snapToGrid w:val="0"/>
          <w:color w:val="auto"/>
          <w:kern w:val="0"/>
          <w:szCs w:val="21"/>
          <w:highlight w:val="none"/>
        </w:rPr>
        <w:t>投标人</w:t>
      </w:r>
      <w:r>
        <w:rPr>
          <w:rFonts w:ascii="宋体" w:hAnsi="宋体" w:cs="宋体"/>
          <w:snapToGrid w:val="0"/>
          <w:color w:val="auto"/>
          <w:kern w:val="0"/>
          <w:szCs w:val="21"/>
          <w:highlight w:val="none"/>
        </w:rPr>
        <w:t>的投标文件相互混装。</w:t>
      </w:r>
    </w:p>
    <w:p w14:paraId="391827E8">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23．废标</w:t>
      </w:r>
    </w:p>
    <w:p w14:paraId="4C4C231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23.1根据《中华人民共和国政府采购法》第三十六条，出现下列情形之一的，应予以废标：</w:t>
      </w:r>
    </w:p>
    <w:p w14:paraId="2F40EE8A">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（1）符合专业条件的投标人或者对招标文件作实质响应的投标人不足三家的；</w:t>
      </w:r>
    </w:p>
    <w:p w14:paraId="3E4BB2A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（2）出现影响采购公正的违法、违规行为的；</w:t>
      </w:r>
    </w:p>
    <w:p w14:paraId="6DE097B6">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（3）所有投标人的报价均超过了采购预算，采购人不能支付的；</w:t>
      </w:r>
    </w:p>
    <w:p w14:paraId="1BB76836">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（4）因重大变故，采购任务取消的。</w:t>
      </w:r>
    </w:p>
    <w:p w14:paraId="09BF750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23.2 废标后，采购人应当将废标理由通知所有投标人并重新组织招标；或者经主管部门批准，采取其他方式组织采购。</w:t>
      </w:r>
    </w:p>
    <w:p w14:paraId="12BC02B7">
      <w:pPr>
        <w:pStyle w:val="8"/>
        <w:snapToGrid w:val="0"/>
        <w:spacing w:before="120" w:beforeLines="50" w:after="120" w:afterLines="50" w:line="360" w:lineRule="auto"/>
        <w:rPr>
          <w:rFonts w:ascii="宋体" w:hAnsi="宋体" w:eastAsia="宋体" w:cs="宋体"/>
          <w:color w:val="auto"/>
          <w:sz w:val="21"/>
          <w:szCs w:val="21"/>
          <w:highlight w:val="none"/>
        </w:rPr>
      </w:pPr>
      <w:bookmarkStart w:id="31" w:name="_Toc26186"/>
      <w:bookmarkStart w:id="32" w:name="_Toc240450082"/>
      <w:bookmarkStart w:id="33" w:name="_Toc251566655"/>
      <w:bookmarkStart w:id="34" w:name="_Toc7805"/>
      <w:r>
        <w:rPr>
          <w:rFonts w:hint="eastAsia" w:ascii="宋体" w:hAnsi="宋体" w:eastAsia="宋体" w:cs="宋体"/>
          <w:color w:val="auto"/>
          <w:sz w:val="21"/>
          <w:szCs w:val="21"/>
          <w:highlight w:val="none"/>
        </w:rPr>
        <w:t>六、确定中标人及授予合同</w:t>
      </w:r>
      <w:bookmarkEnd w:id="31"/>
      <w:bookmarkEnd w:id="32"/>
      <w:bookmarkEnd w:id="33"/>
      <w:bookmarkEnd w:id="34"/>
    </w:p>
    <w:p w14:paraId="768F30BD">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24．中标人的确定</w:t>
      </w:r>
    </w:p>
    <w:p w14:paraId="571D30CB">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24.1 采购代理机构应当自评审结束之日起2个工作日内将评审报告送交采购人。</w:t>
      </w:r>
    </w:p>
    <w:p w14:paraId="7625240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757444">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5A811FB">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采购人或者采购代理机构应当自中标人确定之日起2个工作日内，在省级以上财政部门指定的媒体上公告中标结果，招标文件应当随中标结果同时公告。</w:t>
      </w:r>
    </w:p>
    <w:p w14:paraId="771DD36A">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公告期限为1个工作日。</w:t>
      </w:r>
    </w:p>
    <w:p w14:paraId="39B8EE1A">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24.2 除国务院财政部门规定的情形外，采购人、采购代理机构不得以任何理由组织重新评审。采购人、采购代理机构按照国务院财政部门的规定组织重新评审的，应当书面报告本级人民政府财政部门。</w:t>
      </w:r>
    </w:p>
    <w:p w14:paraId="3D59C3B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24.3中标通知书发出后，采购人不得违法改变中标结果，中标人无正当理由不得放弃中标。 </w:t>
      </w:r>
    </w:p>
    <w:p w14:paraId="354BB940">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25．合同授予</w:t>
      </w:r>
    </w:p>
    <w:p w14:paraId="6CE20A7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25.1 本项目的合同将授予按本须知第24.1款所确定的中标人。</w:t>
      </w:r>
    </w:p>
    <w:p w14:paraId="2A7D9F16">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25.2 中标或者成交供应商拒绝与采购人签订合同的，采购人可以按照评审报告推荐的中标或者成交候选人名单排序，确定下一候选人为中标或者成交供应商，也可以重新开展政府采购活动。</w:t>
      </w:r>
    </w:p>
    <w:p w14:paraId="3B4F430A">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26．签订合同</w:t>
      </w:r>
    </w:p>
    <w:p w14:paraId="156CBF44">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26.1 中标人应按中标通知书规定的时间与采购人签订合同。如中标人为联合体的，由联合体成员各方法定代表人或其授权代表与采购人代表签订合同。中标人在领取中标通知书时须向采购人提供一份关于本项目在实施过程中的相关人员的通讯录作为合同附件。</w:t>
      </w:r>
    </w:p>
    <w:p w14:paraId="7AA8BFE6">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26.2 中标人如不遵守招标文件或投标文件各项条款的邀约与要约，或在接到中标通知书后借故拖延，拒签合同的，采购人将依据国家和招标文件有关规定要求中标人予以赔偿，同时采购人可根据25.2的原则另行选择中标人；</w:t>
      </w:r>
    </w:p>
    <w:p w14:paraId="740A424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26.3 招标文件、中标人的投标文件及投标修改文件、评标过程中有关澄清文件及经投标人法定代表人或授权代表签字确认的询标回复和承诺及中标通知书均作为合同组成部分。</w:t>
      </w:r>
    </w:p>
    <w:p w14:paraId="5698D4B8">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27．履约保证金</w:t>
      </w:r>
    </w:p>
    <w:p w14:paraId="29D2ECE5">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27.1 履约保证金具体要求详见前附表。</w:t>
      </w:r>
    </w:p>
    <w:p w14:paraId="2ED6E51B">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28.采购代理服务费</w:t>
      </w:r>
    </w:p>
    <w:p w14:paraId="4423768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本项目的采购代理费由中标人支付，</w:t>
      </w:r>
      <w:r>
        <w:rPr>
          <w:rFonts w:hint="eastAsia" w:ascii="宋体" w:hAnsi="宋体" w:cs="宋体"/>
          <w:color w:val="auto"/>
          <w:szCs w:val="21"/>
          <w:highlight w:val="none"/>
        </w:rPr>
        <w:t>收费标准详见前附表。</w:t>
      </w:r>
    </w:p>
    <w:p w14:paraId="7F91DF54">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29.质疑与投诉</w:t>
      </w:r>
    </w:p>
    <w:p w14:paraId="0859014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供应商（投标人，下同）可以依法提起质疑和投诉。</w:t>
      </w:r>
    </w:p>
    <w:p w14:paraId="23871676">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29.1投标人询问</w:t>
      </w:r>
    </w:p>
    <w:p w14:paraId="517E9603">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投标人对政府采购活动事项有疑问的，可以向采购机构提出询问，采购人或者采购代理机构应当在3个工作日内对投标人依法提出的询问作出答复，但答复的内容不得涉及商业秘密。</w:t>
      </w:r>
    </w:p>
    <w:p w14:paraId="798D5026">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29.2投标人质疑</w:t>
      </w:r>
    </w:p>
    <w:p w14:paraId="7D335D7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29.2.1投标人认为招标文件、采购过程、中标或者成交结果使自己的权益受到损害的，可以在知道或者应知其权益受到损害之日起7个工作日内，以书面形式向采购人、采购代理机构提出质疑。</w:t>
      </w:r>
    </w:p>
    <w:p w14:paraId="1F55DFD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本项目要求投标人在法定质疑期内一次性提出针对同一采购程序环节的质疑。</w:t>
      </w:r>
    </w:p>
    <w:p w14:paraId="52F0204C">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29.2.2提出质疑的投标人（以下简称质疑人）应当是参与所质疑项目采购活动的投标人。</w:t>
      </w:r>
    </w:p>
    <w:p w14:paraId="3793DC44">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潜在投标人已依法获取其可质疑的招标文件的，可以对该文件提出质疑。对招标文件提出质疑的，应当在获取招标文件或者招标文件公告期限届满之日起7个工作日内提出。</w:t>
      </w:r>
    </w:p>
    <w:p w14:paraId="3A991A93">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29.2.3投标人提出质疑应当提交质疑函和必要的证明材料。质疑函应当包括下列内容：</w:t>
      </w:r>
    </w:p>
    <w:p w14:paraId="1B17D3CE">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（一）投标人的姓名或者名称、地址、邮编、联系人及联系电话；</w:t>
      </w:r>
    </w:p>
    <w:p w14:paraId="606E57F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（二）质疑项目的名称、编号；</w:t>
      </w:r>
    </w:p>
    <w:p w14:paraId="7A9E56BD">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（三）具体、明确的质疑事项和与质疑事项相关的请求；</w:t>
      </w:r>
    </w:p>
    <w:p w14:paraId="3493E56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（四）事实依据；</w:t>
      </w:r>
    </w:p>
    <w:p w14:paraId="47D5BE3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（五）必要的法律依据；</w:t>
      </w:r>
    </w:p>
    <w:p w14:paraId="2E2DA6F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（六）提出质疑的日期。</w:t>
      </w:r>
    </w:p>
    <w:p w14:paraId="1D866E60">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投标人为自然人的，应当由本人签字；投标人为法人或者其他组织的，应当由法定代表人、主要负责人，或者其授权代表签字或者盖章，并加盖公章。</w:t>
      </w:r>
    </w:p>
    <w:p w14:paraId="4F784B46">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29.3.4采购人、采购代理机构在收到法定质疑期内发出的质疑函后7个工作日内作出答复，并以书面形式通知质疑人和其他有关投标人。质疑答复的内容不得涉及商业秘密。</w:t>
      </w:r>
    </w:p>
    <w:p w14:paraId="6943899D">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29.3投标人投诉</w:t>
      </w:r>
    </w:p>
    <w:p w14:paraId="66CF52B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质疑投标人对采购机构的答复不满意或者采购机构未在规定的时间内作出答复的，可以在答复期满后十五个工作日内向监督管理部门提出投诉。</w:t>
      </w:r>
    </w:p>
    <w:p w14:paraId="04743781">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30．采购结束</w:t>
      </w:r>
    </w:p>
    <w:p w14:paraId="6A724C71">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30.1中标人与采购人签订合同生效后即为采购结束。</w:t>
      </w:r>
    </w:p>
    <w:p w14:paraId="48EC8DEE">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30.2本项目的投标文件不予退回。</w:t>
      </w:r>
    </w:p>
    <w:p w14:paraId="05889130">
      <w:pPr>
        <w:adjustRightInd w:val="0"/>
        <w:snapToGrid w:val="0"/>
        <w:spacing w:line="360" w:lineRule="auto"/>
        <w:ind w:firstLine="420" w:firstLineChars="200"/>
        <w:rPr>
          <w:rFonts w:ascii="宋体" w:hAnsi="宋体" w:cs="宋体"/>
          <w:snapToGrid w:val="0"/>
          <w:color w:val="auto"/>
          <w:kern w:val="0"/>
          <w:szCs w:val="21"/>
          <w:highlight w:val="none"/>
        </w:rPr>
      </w:pPr>
    </w:p>
    <w:p w14:paraId="0A64D848">
      <w:pPr>
        <w:adjustRightInd w:val="0"/>
        <w:snapToGrid w:val="0"/>
        <w:spacing w:line="360" w:lineRule="auto"/>
        <w:ind w:firstLine="420" w:firstLineChars="200"/>
        <w:jc w:val="left"/>
        <w:rPr>
          <w:rFonts w:ascii="宋体" w:hAnsi="宋体" w:cs="宋体"/>
          <w:snapToGrid w:val="0"/>
          <w:color w:val="auto"/>
          <w:kern w:val="0"/>
          <w:szCs w:val="21"/>
          <w:highlight w:val="none"/>
        </w:rPr>
      </w:pPr>
    </w:p>
    <w:p w14:paraId="30C89605">
      <w:pPr>
        <w:adjustRightInd w:val="0"/>
        <w:snapToGrid w:val="0"/>
        <w:spacing w:before="120" w:beforeLines="50" w:after="120" w:afterLines="50" w:line="360" w:lineRule="auto"/>
        <w:jc w:val="center"/>
        <w:outlineLvl w:val="0"/>
        <w:rPr>
          <w:rFonts w:ascii="宋体" w:hAnsi="宋体"/>
          <w:color w:val="auto"/>
          <w:sz w:val="24"/>
          <w:highlight w:val="none"/>
        </w:rPr>
      </w:pPr>
      <w:r>
        <w:rPr>
          <w:rFonts w:hint="eastAsia" w:ascii="宋体" w:hAnsi="宋体" w:cs="宋体"/>
          <w:b/>
          <w:bCs/>
          <w:color w:val="auto"/>
          <w:sz w:val="28"/>
          <w:szCs w:val="21"/>
          <w:highlight w:val="none"/>
        </w:rPr>
        <w:br w:type="page"/>
      </w:r>
      <w:bookmarkStart w:id="35" w:name="_Toc83616202"/>
      <w:bookmarkStart w:id="36" w:name="_Toc242012796"/>
      <w:bookmarkStart w:id="37" w:name="_Toc31190"/>
      <w:bookmarkStart w:id="38" w:name="_Toc19227"/>
      <w:r>
        <w:rPr>
          <w:rFonts w:hint="eastAsia" w:ascii="宋体" w:hAnsi="宋体" w:cs="宋体"/>
          <w:b/>
          <w:color w:val="auto"/>
          <w:sz w:val="30"/>
          <w:szCs w:val="30"/>
          <w:highlight w:val="none"/>
        </w:rPr>
        <w:t>第三部分</w:t>
      </w:r>
      <w:bookmarkEnd w:id="35"/>
      <w:r>
        <w:rPr>
          <w:rFonts w:hint="eastAsia" w:ascii="宋体" w:hAnsi="宋体" w:cs="宋体"/>
          <w:b/>
          <w:color w:val="auto"/>
          <w:sz w:val="30"/>
          <w:szCs w:val="30"/>
          <w:highlight w:val="none"/>
        </w:rPr>
        <w:t xml:space="preserve"> </w:t>
      </w:r>
      <w:bookmarkEnd w:id="36"/>
      <w:bookmarkEnd w:id="37"/>
      <w:bookmarkEnd w:id="38"/>
      <w:r>
        <w:rPr>
          <w:rFonts w:hint="eastAsia" w:ascii="宋体" w:hAnsi="宋体" w:cs="宋体"/>
          <w:b/>
          <w:color w:val="auto"/>
          <w:sz w:val="30"/>
          <w:szCs w:val="30"/>
          <w:highlight w:val="none"/>
        </w:rPr>
        <w:t>采购需求</w:t>
      </w:r>
    </w:p>
    <w:p w14:paraId="26C8F38B">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一、项目背景</w:t>
      </w:r>
    </w:p>
    <w:p w14:paraId="6887D94B">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财税博物馆隶属于财政部和国家税务总局，地处吴山广场28号，占地27亩，建筑面积12000平方米，地上2层,地下1层。博物馆除主楼设有大厅、展区、办公区、库房及配套区等功能区外，还建有学术楼、车库、观光塔等永久建筑和少量临时用房。其中展区设5个永久展厅，1个临展厅和1个观众体验馆。</w:t>
      </w:r>
    </w:p>
    <w:p w14:paraId="435ED41A">
      <w:pPr>
        <w:pStyle w:val="8"/>
        <w:pageBreakBefore w:val="0"/>
        <w:kinsoku/>
        <w:wordWrap/>
        <w:overflowPunct/>
        <w:topLinePunct w:val="0"/>
        <w:bidi w:val="0"/>
        <w:snapToGrid/>
        <w:spacing w:before="0" w:after="0" w:line="360" w:lineRule="auto"/>
        <w:ind w:left="0" w:right="0" w:rightChars="0" w:firstLine="478" w:firstLineChars="2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本项目落实政府采购政策需满足的资格要求：要求合同分包，提供分包意向协议和中小企业声明函。本项目预留</w:t>
      </w:r>
      <w:r>
        <w:rPr>
          <w:rFonts w:hint="eastAsia" w:ascii="宋体" w:hAnsi="宋体" w:eastAsia="宋体" w:cs="宋体"/>
          <w:b w:val="0"/>
          <w:bCs w:val="0"/>
          <w:color w:val="auto"/>
          <w:sz w:val="21"/>
          <w:szCs w:val="21"/>
          <w:highlight w:val="none"/>
          <w:lang w:eastAsia="zh-CN"/>
        </w:rPr>
        <w:t>不少于</w:t>
      </w:r>
      <w:r>
        <w:rPr>
          <w:rFonts w:hint="eastAsia" w:ascii="宋体" w:hAnsi="宋体" w:eastAsia="宋体" w:cs="宋体"/>
          <w:b w:val="0"/>
          <w:bCs w:val="0"/>
          <w:color w:val="auto"/>
          <w:sz w:val="21"/>
          <w:szCs w:val="21"/>
          <w:highlight w:val="none"/>
        </w:rPr>
        <w:t>30%合同金额给小微企业。如果供应商本身提供所有标的均由小微企业制造、承建或承接，视同符合了资格条件，无需再进行分包，无需提供分包意向协议；</w:t>
      </w:r>
    </w:p>
    <w:p w14:paraId="7C20A729">
      <w:pPr>
        <w:pageBreakBefore w:val="0"/>
        <w:kinsoku/>
        <w:wordWrap/>
        <w:overflowPunct/>
        <w:topLinePunct w:val="0"/>
        <w:bidi w:val="0"/>
        <w:snapToGrid/>
        <w:spacing w:line="360" w:lineRule="auto"/>
        <w:ind w:left="0" w:leftChars="0" w:right="0" w:rightChars="0" w:firstLine="478" w:firstLineChars="22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本项目采购预算金额为</w:t>
      </w:r>
      <w:r>
        <w:rPr>
          <w:rFonts w:hint="eastAsia" w:ascii="宋体" w:hAnsi="宋体" w:eastAsia="宋体" w:cs="宋体"/>
          <w:b w:val="0"/>
          <w:bCs w:val="0"/>
          <w:color w:val="auto"/>
          <w:sz w:val="21"/>
          <w:szCs w:val="21"/>
          <w:highlight w:val="none"/>
          <w:lang w:val="en-US" w:eastAsia="zh-CN"/>
        </w:rPr>
        <w:t>340.1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万元，合同期限为签一续二。续约合同一年一签，且需上一年考核结果达到优秀标准。</w:t>
      </w:r>
    </w:p>
    <w:p w14:paraId="505B93FC">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p>
    <w:p w14:paraId="75F70AA6">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二、项目内容</w:t>
      </w: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lang w:val="en-US" w:eastAsia="zh-CN"/>
        </w:rPr>
        <w:t>投标文件中需提供相关服务方案</w:t>
      </w:r>
      <w:r>
        <w:rPr>
          <w:rFonts w:hint="eastAsia" w:ascii="宋体" w:hAnsi="宋体" w:cs="宋体"/>
          <w:b/>
          <w:bCs/>
          <w:color w:val="auto"/>
          <w:sz w:val="21"/>
          <w:szCs w:val="21"/>
          <w:highlight w:val="none"/>
          <w:lang w:val="zh-CN"/>
        </w:rPr>
        <w:t>）</w:t>
      </w:r>
    </w:p>
    <w:p w14:paraId="4E6D641B">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rPr>
        <w:t>（一）物业服务管理</w:t>
      </w:r>
      <w:r>
        <w:rPr>
          <w:rFonts w:hint="eastAsia" w:ascii="宋体" w:hAnsi="宋体" w:eastAsia="宋体" w:cs="宋体"/>
          <w:b/>
          <w:bCs/>
          <w:color w:val="auto"/>
          <w:sz w:val="21"/>
          <w:szCs w:val="21"/>
          <w:highlight w:val="none"/>
          <w:lang w:val="zh-CN" w:eastAsia="zh-CN"/>
        </w:rPr>
        <w:t>。</w:t>
      </w:r>
    </w:p>
    <w:p w14:paraId="3FA6A3E8">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按照博物馆物业服务工作要求，负责馆区内的建筑主体设施维护、环境卫生保洁、垃圾分类及清运等；水电及通讯设备维修维护；高压配电设备管理及值班；前台及会务接待服务保障；</w:t>
      </w:r>
      <w:r>
        <w:rPr>
          <w:rFonts w:hint="eastAsia" w:ascii="宋体" w:hAnsi="宋体" w:cs="宋体"/>
          <w:color w:val="auto"/>
          <w:sz w:val="21"/>
          <w:szCs w:val="21"/>
          <w:highlight w:val="none"/>
          <w:lang w:val="zh-CN"/>
        </w:rPr>
        <w:t>展厅综合服务管理；</w:t>
      </w:r>
      <w:r>
        <w:rPr>
          <w:rFonts w:hint="eastAsia" w:ascii="宋体" w:hAnsi="宋体" w:eastAsia="宋体" w:cs="宋体"/>
          <w:color w:val="auto"/>
          <w:sz w:val="21"/>
          <w:szCs w:val="21"/>
          <w:highlight w:val="none"/>
          <w:lang w:val="zh-CN"/>
        </w:rPr>
        <w:t>博物馆各项应急预案中的职责要求；</w:t>
      </w:r>
      <w:r>
        <w:rPr>
          <w:rFonts w:hint="eastAsia" w:ascii="宋体" w:hAnsi="宋体" w:eastAsia="宋体" w:cs="宋体"/>
          <w:color w:val="auto"/>
          <w:sz w:val="21"/>
          <w:szCs w:val="21"/>
          <w:highlight w:val="none"/>
        </w:rPr>
        <w:t>物业服务档案的整理及保管；</w:t>
      </w:r>
      <w:r>
        <w:rPr>
          <w:rFonts w:hint="eastAsia" w:ascii="宋体" w:hAnsi="宋体" w:eastAsia="宋体" w:cs="宋体"/>
          <w:color w:val="auto"/>
          <w:sz w:val="21"/>
          <w:szCs w:val="21"/>
          <w:highlight w:val="none"/>
          <w:lang w:val="zh-CN"/>
        </w:rPr>
        <w:t>临时交办的其它物业服务均应是中标单位的服务内容。</w:t>
      </w:r>
    </w:p>
    <w:p w14:paraId="16C53DED">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（二）保安服务管理。</w:t>
      </w:r>
    </w:p>
    <w:p w14:paraId="2CDFBF48">
      <w:pPr>
        <w:pageBreakBefore w:val="0"/>
        <w:kinsoku/>
        <w:wordWrap/>
        <w:overflowPunct/>
        <w:topLinePunct w:val="0"/>
        <w:bidi w:val="0"/>
        <w:snapToGrid/>
        <w:spacing w:line="360" w:lineRule="auto"/>
        <w:ind w:left="0" w:right="0" w:rightChars="0"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按照博物馆保安服务工作要求，负责馆区防火、防盗、防破坏、防自然灾害等安全防护和应急处置；负责馆区人员、车辆及物品进出检查；负责</w:t>
      </w:r>
      <w:r>
        <w:rPr>
          <w:rFonts w:hint="eastAsia" w:ascii="宋体" w:hAnsi="宋体" w:eastAsia="宋体" w:cs="宋体"/>
          <w:color w:val="auto"/>
          <w:sz w:val="21"/>
          <w:szCs w:val="21"/>
          <w:highlight w:val="none"/>
        </w:rPr>
        <w:t>展厅安全防护及参观秩序管理；</w:t>
      </w:r>
      <w:r>
        <w:rPr>
          <w:rFonts w:hint="eastAsia" w:ascii="宋体" w:hAnsi="宋体" w:eastAsia="宋体" w:cs="宋体"/>
          <w:color w:val="auto"/>
          <w:sz w:val="21"/>
          <w:szCs w:val="21"/>
          <w:highlight w:val="none"/>
          <w:lang w:val="zh-CN"/>
        </w:rPr>
        <w:t>负责馆区</w:t>
      </w:r>
      <w:r>
        <w:rPr>
          <w:rFonts w:hint="eastAsia" w:ascii="宋体" w:hAnsi="宋体" w:eastAsia="宋体" w:cs="宋体"/>
          <w:color w:val="auto"/>
          <w:sz w:val="21"/>
          <w:szCs w:val="21"/>
          <w:highlight w:val="none"/>
        </w:rPr>
        <w:t>门岗</w:t>
      </w:r>
      <w:r>
        <w:rPr>
          <w:rFonts w:hint="eastAsia" w:ascii="宋体" w:hAnsi="宋体" w:eastAsia="宋体" w:cs="宋体"/>
          <w:color w:val="auto"/>
          <w:sz w:val="21"/>
          <w:szCs w:val="21"/>
          <w:highlight w:val="none"/>
          <w:lang w:val="zh-CN"/>
        </w:rPr>
        <w:t>值勤、</w:t>
      </w:r>
      <w:r>
        <w:rPr>
          <w:rFonts w:hint="eastAsia" w:ascii="宋体" w:hAnsi="宋体" w:eastAsia="宋体" w:cs="宋体"/>
          <w:color w:val="auto"/>
          <w:sz w:val="21"/>
          <w:szCs w:val="21"/>
          <w:highlight w:val="none"/>
        </w:rPr>
        <w:t>安全巡逻及防火检查；</w:t>
      </w:r>
      <w:r>
        <w:rPr>
          <w:rFonts w:hint="eastAsia" w:ascii="宋体" w:hAnsi="宋体" w:eastAsia="宋体" w:cs="宋体"/>
          <w:color w:val="auto"/>
          <w:sz w:val="21"/>
          <w:szCs w:val="21"/>
          <w:highlight w:val="none"/>
          <w:lang w:val="zh-CN"/>
        </w:rPr>
        <w:t>负责馆区消（监)控室专人值班；博物馆各项应急预案中的职责要求；</w:t>
      </w:r>
      <w:r>
        <w:rPr>
          <w:rFonts w:hint="eastAsia" w:ascii="宋体" w:hAnsi="宋体" w:eastAsia="宋体" w:cs="宋体"/>
          <w:color w:val="auto"/>
          <w:sz w:val="21"/>
          <w:szCs w:val="21"/>
          <w:highlight w:val="none"/>
        </w:rPr>
        <w:t>配合公安机关做好治安综合治理及纠纷案件；</w:t>
      </w:r>
      <w:r>
        <w:rPr>
          <w:rFonts w:hint="eastAsia" w:ascii="宋体" w:hAnsi="宋体" w:eastAsia="宋体" w:cs="宋体"/>
          <w:color w:val="auto"/>
          <w:sz w:val="21"/>
          <w:szCs w:val="21"/>
          <w:highlight w:val="none"/>
          <w:lang w:val="zh-CN"/>
        </w:rPr>
        <w:t>保</w:t>
      </w:r>
      <w:r>
        <w:rPr>
          <w:rFonts w:hint="eastAsia" w:ascii="宋体" w:hAnsi="宋体" w:eastAsia="宋体" w:cs="宋体"/>
          <w:color w:val="auto"/>
          <w:sz w:val="21"/>
          <w:szCs w:val="21"/>
          <w:highlight w:val="none"/>
        </w:rPr>
        <w:t>安服务档案的整理保管；</w:t>
      </w:r>
      <w:r>
        <w:rPr>
          <w:rFonts w:hint="eastAsia" w:ascii="宋体" w:hAnsi="宋体" w:eastAsia="宋体" w:cs="宋体"/>
          <w:color w:val="auto"/>
          <w:sz w:val="21"/>
          <w:szCs w:val="21"/>
          <w:highlight w:val="none"/>
          <w:lang w:val="zh-CN"/>
        </w:rPr>
        <w:t>临时交办的其它保安服务均应是中标单位的服务内容。</w:t>
      </w:r>
    </w:p>
    <w:p w14:paraId="4CEF11A4">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p>
    <w:p w14:paraId="6E9D3E2C">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三、管理理念和管理目标</w:t>
      </w:r>
    </w:p>
    <w:p w14:paraId="5862C65A">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（一）管理理念。</w:t>
      </w:r>
    </w:p>
    <w:p w14:paraId="7031074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以努力营造安全舒适温馨的参观、学习、工作和交流环境，实行规范化、制度化管理为目标，为中国财税博物馆提供优质高效的物业及保安管理服务保障。</w:t>
      </w:r>
    </w:p>
    <w:p w14:paraId="1CFF74A1">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（二）管理目标。</w:t>
      </w:r>
    </w:p>
    <w:p w14:paraId="44017A5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国家、地方以及行业的法律法规，严守安全底线，注重效率，勤俭节约、物尽其用，少花钱、多办事、办好事。严格执行文物保护法确保文物安全，确保水电设备和服务设施正常运行，确保各项服务高效到位，确保不发生重大安全事故。</w:t>
      </w:r>
    </w:p>
    <w:p w14:paraId="4CD05DA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Cs/>
          <w:color w:val="auto"/>
          <w:sz w:val="21"/>
          <w:szCs w:val="21"/>
          <w:highlight w:val="none"/>
          <w:lang w:val="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安全目标：</w:t>
      </w:r>
      <w:r>
        <w:rPr>
          <w:rFonts w:hint="eastAsia" w:ascii="宋体" w:hAnsi="宋体" w:eastAsia="宋体" w:cs="宋体"/>
          <w:color w:val="auto"/>
          <w:sz w:val="21"/>
          <w:szCs w:val="21"/>
          <w:highlight w:val="none"/>
          <w:lang w:val="zh-CN"/>
        </w:rPr>
        <w:t>（1）无重大人员伤亡事故；（2）无重大火灾事故；（3）无重大水浸事故；（4）无文物和其它重大财产报废、损毁事故；（5）违章发生率1%以下，处理率100%。</w:t>
      </w:r>
    </w:p>
    <w:p w14:paraId="06FA471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服务目标：</w:t>
      </w:r>
      <w:r>
        <w:rPr>
          <w:rFonts w:hint="eastAsia" w:ascii="宋体" w:hAnsi="宋体" w:eastAsia="宋体" w:cs="宋体"/>
          <w:color w:val="auto"/>
          <w:sz w:val="21"/>
          <w:szCs w:val="21"/>
          <w:highlight w:val="none"/>
          <w:lang w:val="zh-CN"/>
        </w:rPr>
        <w:t>（1）馆舍完好率及维修率大于95%；（2）重要设备完好率100%，其它公用设备完好使用率95%；（3）故障报修处理及时率100%；（4）服务回访率90%以上；（5）观众及业主单位满意率90%。</w:t>
      </w:r>
    </w:p>
    <w:p w14:paraId="6364E148">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Cs/>
          <w:color w:val="auto"/>
          <w:sz w:val="21"/>
          <w:szCs w:val="21"/>
          <w:highlight w:val="none"/>
          <w:lang w:val="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环境卫生目标：</w:t>
      </w:r>
      <w:r>
        <w:rPr>
          <w:rFonts w:hint="eastAsia" w:ascii="宋体" w:hAnsi="宋体" w:eastAsia="宋体" w:cs="宋体"/>
          <w:color w:val="auto"/>
          <w:sz w:val="21"/>
          <w:szCs w:val="21"/>
          <w:highlight w:val="none"/>
          <w:lang w:val="zh-CN"/>
        </w:rPr>
        <w:t>（1）保洁率达到100%；（2）垃圾日产、日清率100%；（3）卫生消杀达标率100%。</w:t>
      </w:r>
    </w:p>
    <w:p w14:paraId="3D58B0CA">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p>
    <w:p w14:paraId="0E091550">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四、管理方式和要求</w:t>
      </w:r>
    </w:p>
    <w:p w14:paraId="5572896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（一）人员管理。</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投标文件中需提供人员相关证明材料及社保证明</w:t>
      </w:r>
      <w:r>
        <w:rPr>
          <w:rFonts w:hint="eastAsia" w:ascii="宋体" w:hAnsi="宋体" w:cs="宋体"/>
          <w:b w:val="0"/>
          <w:bCs w:val="0"/>
          <w:color w:val="auto"/>
          <w:sz w:val="21"/>
          <w:szCs w:val="21"/>
          <w:highlight w:val="none"/>
          <w:lang w:val="zh-CN"/>
        </w:rPr>
        <w:t>）</w:t>
      </w:r>
    </w:p>
    <w:p w14:paraId="6F9F4367">
      <w:pPr>
        <w:pageBreakBefore w:val="0"/>
        <w:kinsoku/>
        <w:wordWrap/>
        <w:overflowPunct/>
        <w:topLinePunct w:val="0"/>
        <w:bidi w:val="0"/>
        <w:snapToGrid/>
        <w:spacing w:line="360" w:lineRule="auto"/>
        <w:ind w:left="0"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中标人应熟悉业主单位的基本情况，根据业主单位的具体情况，设置相适应的管理服务架构，配备管理人员和服务设施。所有人员要求身体健康、品行端正，无不良嗜好，无违纪违法犯罪记录。</w:t>
      </w:r>
    </w:p>
    <w:p w14:paraId="155C78B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en-US" w:eastAsia="zh-CN"/>
        </w:rPr>
        <w:t>▲为保障合同履行的连贯性、专业性和服务质量，减少因团队人员流失、频繁更换或专业能力不足带来的潜在风险，投标人拟派驻的</w:t>
      </w:r>
      <w:r>
        <w:rPr>
          <w:rFonts w:hint="eastAsia" w:ascii="宋体" w:hAnsi="宋体" w:eastAsia="宋体" w:cs="宋体"/>
          <w:b w:val="0"/>
          <w:bCs/>
          <w:color w:val="auto"/>
          <w:sz w:val="21"/>
          <w:szCs w:val="21"/>
          <w:highlight w:val="none"/>
          <w:lang w:val="zh-CN"/>
        </w:rPr>
        <w:t>项目</w:t>
      </w:r>
      <w:r>
        <w:rPr>
          <w:rFonts w:hint="eastAsia" w:ascii="宋体" w:hAnsi="宋体" w:cs="宋体"/>
          <w:b w:val="0"/>
          <w:bCs/>
          <w:color w:val="auto"/>
          <w:sz w:val="21"/>
          <w:szCs w:val="21"/>
          <w:highlight w:val="none"/>
          <w:lang w:val="zh-CN"/>
        </w:rPr>
        <w:t>经理人员需根据招标文件要求，在投标文件中提供截至投标截止时间前近六个月在投标人单位的社保缴纳记录；投标人拟派驻的</w:t>
      </w:r>
      <w:r>
        <w:rPr>
          <w:rFonts w:hint="eastAsia" w:ascii="宋体" w:hAnsi="宋体" w:eastAsia="宋体" w:cs="宋体"/>
          <w:b w:val="0"/>
          <w:bCs/>
          <w:color w:val="auto"/>
          <w:sz w:val="21"/>
          <w:szCs w:val="21"/>
          <w:highlight w:val="none"/>
          <w:lang w:val="zh-CN"/>
        </w:rPr>
        <w:t>经理助理</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展厅综合服务管理员</w:t>
      </w:r>
      <w:r>
        <w:rPr>
          <w:rFonts w:hint="eastAsia" w:ascii="宋体" w:hAnsi="宋体" w:cs="宋体"/>
          <w:b w:val="0"/>
          <w:bCs/>
          <w:color w:val="auto"/>
          <w:sz w:val="21"/>
          <w:szCs w:val="21"/>
          <w:highlight w:val="none"/>
          <w:lang w:val="zh-CN"/>
        </w:rPr>
        <w:t>二个项目组人员需根据招标文件要求，在投标文件中提供截至投标截止时间前近六个月在投标人单位（含签订分包意向协议的小微企业）的社保缴纳记录。</w:t>
      </w:r>
    </w:p>
    <w:p w14:paraId="3A9B4F37">
      <w:pPr>
        <w:pageBreakBefore w:val="0"/>
        <w:kinsoku/>
        <w:wordWrap/>
        <w:overflowPunct/>
        <w:topLinePunct w:val="0"/>
        <w:bidi w:val="0"/>
        <w:snapToGrid/>
        <w:spacing w:line="360" w:lineRule="auto"/>
        <w:ind w:left="0" w:right="0" w:rightChars="0"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zh-CN"/>
        </w:rPr>
        <w:t>投标人拟派驻的</w:t>
      </w:r>
      <w:r>
        <w:rPr>
          <w:rFonts w:hint="eastAsia" w:ascii="宋体" w:hAnsi="宋体" w:eastAsia="宋体" w:cs="宋体"/>
          <w:b w:val="0"/>
          <w:bCs/>
          <w:color w:val="auto"/>
          <w:sz w:val="21"/>
          <w:szCs w:val="21"/>
          <w:highlight w:val="none"/>
          <w:lang w:val="zh-CN"/>
        </w:rPr>
        <w:t>保安主管</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物业主管</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保洁主管</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设备主管</w:t>
      </w:r>
      <w:r>
        <w:rPr>
          <w:rFonts w:hint="eastAsia" w:ascii="宋体" w:hAnsi="宋体" w:cs="宋体"/>
          <w:b w:val="0"/>
          <w:bCs/>
          <w:color w:val="auto"/>
          <w:sz w:val="21"/>
          <w:szCs w:val="21"/>
          <w:highlight w:val="none"/>
          <w:lang w:val="zh-CN"/>
        </w:rPr>
        <w:t>和</w:t>
      </w:r>
      <w:r>
        <w:rPr>
          <w:rFonts w:hint="eastAsia" w:ascii="宋体" w:hAnsi="宋体" w:eastAsia="宋体" w:cs="宋体"/>
          <w:b w:val="0"/>
          <w:bCs/>
          <w:color w:val="auto"/>
          <w:sz w:val="21"/>
          <w:szCs w:val="21"/>
          <w:highlight w:val="none"/>
          <w:lang w:val="zh-CN"/>
        </w:rPr>
        <w:t>会务/前台服务人员</w:t>
      </w:r>
      <w:r>
        <w:rPr>
          <w:rFonts w:hint="eastAsia" w:ascii="宋体" w:hAnsi="宋体" w:cs="宋体"/>
          <w:b w:val="0"/>
          <w:bCs/>
          <w:color w:val="auto"/>
          <w:sz w:val="21"/>
          <w:szCs w:val="21"/>
          <w:highlight w:val="none"/>
          <w:lang w:val="en-US" w:eastAsia="zh-CN"/>
        </w:rPr>
        <w:t>等项目组人员，</w:t>
      </w:r>
      <w:r>
        <w:rPr>
          <w:rFonts w:hint="eastAsia" w:ascii="宋体" w:hAnsi="宋体" w:cs="宋体"/>
          <w:b w:val="0"/>
          <w:bCs/>
          <w:color w:val="auto"/>
          <w:sz w:val="21"/>
          <w:szCs w:val="21"/>
          <w:highlight w:val="none"/>
          <w:lang w:val="zh-CN"/>
        </w:rPr>
        <w:t>需根据招标文件要求，在投标文件中提供截至投标截止时间前近三个月内任意一个月在投标人单位（含签订分包意向协议的小微企业）社保缴纳记录</w:t>
      </w:r>
      <w:r>
        <w:rPr>
          <w:rFonts w:hint="eastAsia" w:ascii="宋体" w:hAnsi="宋体" w:cs="宋体"/>
          <w:b w:val="0"/>
          <w:bCs/>
          <w:color w:val="auto"/>
          <w:sz w:val="21"/>
          <w:szCs w:val="21"/>
          <w:highlight w:val="none"/>
          <w:lang w:val="en-US" w:eastAsia="zh-CN"/>
        </w:rPr>
        <w:t>。</w:t>
      </w:r>
    </w:p>
    <w:p w14:paraId="6E5F294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管理人员：</w:t>
      </w:r>
      <w:r>
        <w:rPr>
          <w:rFonts w:hint="eastAsia" w:ascii="宋体" w:hAnsi="宋体" w:eastAsia="宋体" w:cs="宋体"/>
          <w:color w:val="auto"/>
          <w:sz w:val="21"/>
          <w:szCs w:val="21"/>
          <w:highlight w:val="none"/>
          <w:lang w:val="zh-CN"/>
        </w:rPr>
        <w:t>项目经理要求综合能力强，工作认真负责，做事踏实，</w:t>
      </w:r>
      <w:r>
        <w:rPr>
          <w:rFonts w:hint="eastAsia" w:ascii="宋体" w:hAnsi="宋体" w:cs="宋体"/>
          <w:color w:val="auto"/>
          <w:sz w:val="21"/>
          <w:szCs w:val="21"/>
          <w:highlight w:val="none"/>
          <w:lang w:val="zh-CN"/>
        </w:rPr>
        <w:t>沟通能力强，</w:t>
      </w:r>
      <w:r>
        <w:rPr>
          <w:rFonts w:hint="eastAsia" w:ascii="宋体" w:hAnsi="宋体" w:eastAsia="宋体" w:cs="宋体"/>
          <w:color w:val="auto"/>
          <w:sz w:val="21"/>
          <w:szCs w:val="21"/>
          <w:highlight w:val="none"/>
          <w:lang w:val="zh-CN"/>
        </w:rPr>
        <w:t>具有全面管理经验和相关专业技能。中标人可同时指定一名项目经理助手，上班期间项目经理和项目经理助手必须保证至少有一人在岗。</w:t>
      </w:r>
    </w:p>
    <w:p w14:paraId="235A0A4F">
      <w:pPr>
        <w:pageBreakBefore w:val="0"/>
        <w:kinsoku/>
        <w:wordWrap/>
        <w:overflowPunct/>
        <w:topLinePunct w:val="0"/>
        <w:bidi w:val="0"/>
        <w:snapToGrid/>
        <w:spacing w:line="360" w:lineRule="auto"/>
        <w:ind w:left="0" w:right="0" w:rightChars="0"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项目经理</w:t>
      </w:r>
      <w:r>
        <w:rPr>
          <w:rFonts w:hint="eastAsia" w:ascii="宋体" w:hAnsi="宋体" w:eastAsia="宋体" w:cs="宋体"/>
          <w:color w:val="auto"/>
          <w:sz w:val="21"/>
          <w:szCs w:val="21"/>
          <w:highlight w:val="none"/>
          <w:lang w:val="zh-CN" w:eastAsia="zh-CN"/>
        </w:rPr>
        <w:t>如需离岗48小时及以上的</w:t>
      </w:r>
      <w:r>
        <w:rPr>
          <w:rFonts w:hint="eastAsia" w:ascii="宋体" w:hAnsi="宋体" w:eastAsia="宋体" w:cs="宋体"/>
          <w:color w:val="auto"/>
          <w:sz w:val="21"/>
          <w:szCs w:val="21"/>
          <w:highlight w:val="none"/>
          <w:lang w:val="zh-CN"/>
        </w:rPr>
        <w:t>，必须由</w:t>
      </w:r>
      <w:r>
        <w:rPr>
          <w:rFonts w:hint="eastAsia" w:ascii="宋体" w:hAnsi="宋体" w:eastAsia="宋体" w:cs="宋体"/>
          <w:color w:val="auto"/>
          <w:sz w:val="21"/>
          <w:szCs w:val="21"/>
          <w:highlight w:val="none"/>
          <w:lang w:val="zh-CN" w:eastAsia="zh-CN"/>
        </w:rPr>
        <w:t>中标单位</w:t>
      </w:r>
      <w:r>
        <w:rPr>
          <w:rFonts w:hint="eastAsia" w:ascii="宋体" w:hAnsi="宋体" w:eastAsia="宋体" w:cs="宋体"/>
          <w:color w:val="auto"/>
          <w:sz w:val="21"/>
          <w:szCs w:val="21"/>
          <w:highlight w:val="none"/>
          <w:lang w:val="zh-CN"/>
        </w:rPr>
        <w:t>提</w:t>
      </w:r>
      <w:r>
        <w:rPr>
          <w:rFonts w:hint="eastAsia" w:ascii="宋体" w:hAnsi="宋体" w:eastAsia="宋体" w:cs="宋体"/>
          <w:color w:val="auto"/>
          <w:sz w:val="21"/>
          <w:szCs w:val="21"/>
          <w:highlight w:val="none"/>
          <w:lang w:val="zh-CN" w:eastAsia="zh-CN"/>
        </w:rPr>
        <w:t>交</w:t>
      </w:r>
      <w:r>
        <w:rPr>
          <w:rFonts w:hint="eastAsia" w:ascii="宋体" w:hAnsi="宋体" w:eastAsia="宋体" w:cs="宋体"/>
          <w:color w:val="auto"/>
          <w:sz w:val="21"/>
          <w:szCs w:val="21"/>
          <w:highlight w:val="none"/>
          <w:lang w:val="zh-CN"/>
        </w:rPr>
        <w:t>书面请假条</w:t>
      </w:r>
      <w:r>
        <w:rPr>
          <w:rFonts w:hint="eastAsia" w:ascii="宋体" w:hAnsi="宋体" w:eastAsia="宋体" w:cs="宋体"/>
          <w:color w:val="auto"/>
          <w:sz w:val="21"/>
          <w:szCs w:val="21"/>
          <w:highlight w:val="none"/>
          <w:lang w:val="zh-CN" w:eastAsia="zh-CN"/>
        </w:rPr>
        <w:t>并经</w:t>
      </w:r>
      <w:r>
        <w:rPr>
          <w:rFonts w:hint="eastAsia" w:ascii="宋体" w:hAnsi="宋体" w:eastAsia="宋体" w:cs="宋体"/>
          <w:color w:val="auto"/>
          <w:sz w:val="21"/>
          <w:szCs w:val="21"/>
          <w:highlight w:val="none"/>
          <w:lang w:val="zh-CN"/>
        </w:rPr>
        <w:t>甲方批准。为保证项目的延续性和服务质量，项目经理和项目经理助手不得同时变更岗位。项目经理、项目经理助手和各分项管理负责人</w:t>
      </w:r>
      <w:r>
        <w:rPr>
          <w:rFonts w:hint="eastAsia" w:ascii="宋体" w:hAnsi="宋体" w:eastAsia="宋体" w:cs="宋体"/>
          <w:color w:val="auto"/>
          <w:sz w:val="21"/>
          <w:szCs w:val="21"/>
          <w:highlight w:val="none"/>
          <w:lang w:val="zh-CN" w:eastAsia="zh-CN"/>
        </w:rPr>
        <w:t>如有人员变动，需</w:t>
      </w:r>
      <w:r>
        <w:rPr>
          <w:rFonts w:hint="eastAsia" w:ascii="宋体" w:hAnsi="宋体" w:eastAsia="宋体" w:cs="宋体"/>
          <w:color w:val="auto"/>
          <w:sz w:val="21"/>
          <w:szCs w:val="21"/>
          <w:highlight w:val="none"/>
          <w:lang w:val="zh-CN"/>
        </w:rPr>
        <w:t>提前</w:t>
      </w:r>
      <w:r>
        <w:rPr>
          <w:rFonts w:hint="eastAsia" w:ascii="宋体" w:hAnsi="宋体" w:eastAsia="宋体" w:cs="宋体"/>
          <w:color w:val="auto"/>
          <w:sz w:val="21"/>
          <w:szCs w:val="21"/>
          <w:highlight w:val="none"/>
          <w:lang w:val="zh-CN" w:eastAsia="zh-CN"/>
        </w:rPr>
        <w:t>十个工作日书面</w:t>
      </w:r>
      <w:r>
        <w:rPr>
          <w:rFonts w:hint="eastAsia" w:ascii="宋体" w:hAnsi="宋体" w:eastAsia="宋体" w:cs="宋体"/>
          <w:color w:val="auto"/>
          <w:sz w:val="21"/>
          <w:szCs w:val="21"/>
          <w:highlight w:val="none"/>
          <w:lang w:val="zh-CN"/>
        </w:rPr>
        <w:t>报请甲方批准。项目经理、</w:t>
      </w:r>
      <w:r>
        <w:rPr>
          <w:rFonts w:hint="eastAsia" w:ascii="宋体" w:hAnsi="宋体" w:eastAsia="宋体" w:cs="宋体"/>
          <w:color w:val="auto"/>
          <w:sz w:val="21"/>
          <w:szCs w:val="21"/>
          <w:highlight w:val="none"/>
          <w:lang w:val="zh-CN" w:eastAsia="zh-CN"/>
        </w:rPr>
        <w:t>项目经理助手</w:t>
      </w:r>
      <w:r>
        <w:rPr>
          <w:rFonts w:hint="eastAsia" w:ascii="宋体" w:hAnsi="宋体" w:eastAsia="宋体" w:cs="宋体"/>
          <w:color w:val="auto"/>
          <w:sz w:val="21"/>
          <w:szCs w:val="21"/>
          <w:highlight w:val="none"/>
          <w:lang w:val="zh-CN"/>
        </w:rPr>
        <w:t>和分项管理负责人不得兼任本项目外的负责人或管理人员。</w:t>
      </w:r>
    </w:p>
    <w:p w14:paraId="134311F6">
      <w:pPr>
        <w:pageBreakBefore w:val="0"/>
        <w:kinsoku/>
        <w:wordWrap/>
        <w:overflowPunct/>
        <w:topLinePunct w:val="0"/>
        <w:bidi w:val="0"/>
        <w:snapToGrid/>
        <w:spacing w:line="360" w:lineRule="auto"/>
        <w:ind w:left="0" w:right="0" w:rightChars="0" w:firstLine="420" w:firstLineChars="20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管理人员要求及作息制度</w:t>
      </w:r>
    </w:p>
    <w:tbl>
      <w:tblPr>
        <w:tblStyle w:val="4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3402"/>
        <w:gridCol w:w="1559"/>
        <w:gridCol w:w="1418"/>
      </w:tblGrid>
      <w:tr w14:paraId="0968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5A14E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276" w:type="dxa"/>
            <w:vAlign w:val="center"/>
          </w:tcPr>
          <w:p w14:paraId="54FE884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w:t>
            </w:r>
          </w:p>
        </w:tc>
        <w:tc>
          <w:tcPr>
            <w:tcW w:w="3402" w:type="dxa"/>
            <w:vAlign w:val="center"/>
          </w:tcPr>
          <w:p w14:paraId="51405F2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岗位要求</w:t>
            </w:r>
          </w:p>
        </w:tc>
        <w:tc>
          <w:tcPr>
            <w:tcW w:w="1559" w:type="dxa"/>
            <w:vAlign w:val="center"/>
          </w:tcPr>
          <w:p w14:paraId="27DE391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作息时间</w:t>
            </w:r>
          </w:p>
        </w:tc>
        <w:tc>
          <w:tcPr>
            <w:tcW w:w="1418" w:type="dxa"/>
            <w:vAlign w:val="center"/>
          </w:tcPr>
          <w:p w14:paraId="10435DC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tc>
      </w:tr>
      <w:tr w14:paraId="2DB5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8326B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76" w:type="dxa"/>
            <w:vAlign w:val="center"/>
          </w:tcPr>
          <w:p w14:paraId="67192ED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项目经理</w:t>
            </w:r>
          </w:p>
        </w:tc>
        <w:tc>
          <w:tcPr>
            <w:tcW w:w="3402" w:type="dxa"/>
            <w:vAlign w:val="center"/>
          </w:tcPr>
          <w:p w14:paraId="5752B237">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年龄≯45，全日制本科及以上学历，1年及以上物业项目管理经验，具备人力资源管理和劳动关系协调处理的能力。</w:t>
            </w:r>
          </w:p>
        </w:tc>
        <w:tc>
          <w:tcPr>
            <w:tcW w:w="1559" w:type="dxa"/>
            <w:vAlign w:val="center"/>
          </w:tcPr>
          <w:p w14:paraId="2257690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65583DD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8:00-11:30</w:t>
            </w:r>
          </w:p>
          <w:p w14:paraId="52C0EF3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13:00-17:00</w:t>
            </w:r>
          </w:p>
        </w:tc>
        <w:tc>
          <w:tcPr>
            <w:tcW w:w="1418" w:type="dxa"/>
            <w:vMerge w:val="restart"/>
            <w:vAlign w:val="center"/>
          </w:tcPr>
          <w:p w14:paraId="4AB8924C">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节假日保证一人在岗。</w:t>
            </w:r>
          </w:p>
        </w:tc>
      </w:tr>
      <w:tr w14:paraId="0968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5AD56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76" w:type="dxa"/>
            <w:vAlign w:val="center"/>
          </w:tcPr>
          <w:p w14:paraId="35CF7D1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经理助理</w:t>
            </w:r>
          </w:p>
        </w:tc>
        <w:tc>
          <w:tcPr>
            <w:tcW w:w="3402" w:type="dxa"/>
            <w:vAlign w:val="center"/>
          </w:tcPr>
          <w:p w14:paraId="7DF109B6">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年龄≯40，全日制大专及以上学历，具备物业管理、安保、救护的能力，1年及以上物业项目管理经验。</w:t>
            </w:r>
          </w:p>
        </w:tc>
        <w:tc>
          <w:tcPr>
            <w:tcW w:w="1559" w:type="dxa"/>
            <w:vAlign w:val="center"/>
          </w:tcPr>
          <w:p w14:paraId="6EA9920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079854B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7:00-11:30</w:t>
            </w:r>
          </w:p>
          <w:p w14:paraId="507C982C">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13:00-17:30</w:t>
            </w:r>
          </w:p>
        </w:tc>
        <w:tc>
          <w:tcPr>
            <w:tcW w:w="1418" w:type="dxa"/>
            <w:vMerge w:val="continue"/>
            <w:vAlign w:val="center"/>
          </w:tcPr>
          <w:p w14:paraId="4C073AA0">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z w:val="21"/>
                <w:szCs w:val="21"/>
                <w:highlight w:val="none"/>
                <w:lang w:val="zh-CN"/>
              </w:rPr>
            </w:pPr>
          </w:p>
        </w:tc>
      </w:tr>
      <w:tr w14:paraId="2FA9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8C019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76" w:type="dxa"/>
            <w:vAlign w:val="center"/>
          </w:tcPr>
          <w:p w14:paraId="2676DC3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保安主管</w:t>
            </w:r>
          </w:p>
        </w:tc>
        <w:tc>
          <w:tcPr>
            <w:tcW w:w="3402" w:type="dxa"/>
            <w:vAlign w:val="center"/>
          </w:tcPr>
          <w:p w14:paraId="4BEDA879">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男性，20-55周岁，身高≥1.7米，大专及以上学历，具有1年及以上保安队伍管理经验和相关从业资格证书。复转军人优先。</w:t>
            </w:r>
          </w:p>
        </w:tc>
        <w:tc>
          <w:tcPr>
            <w:tcW w:w="1559" w:type="dxa"/>
            <w:vAlign w:val="center"/>
          </w:tcPr>
          <w:p w14:paraId="343963B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7CCB003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7:30-11:30</w:t>
            </w:r>
          </w:p>
          <w:p w14:paraId="214DB2A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13:00-17:00</w:t>
            </w:r>
          </w:p>
        </w:tc>
        <w:tc>
          <w:tcPr>
            <w:tcW w:w="1418" w:type="dxa"/>
            <w:vMerge w:val="restart"/>
            <w:vAlign w:val="center"/>
          </w:tcPr>
          <w:p w14:paraId="144C5694">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中午需安排值班，相近工种可互兼。节假日需安排加班。</w:t>
            </w:r>
          </w:p>
          <w:p w14:paraId="22535A4D">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分项负责人也可与一般工作人员互兼。</w:t>
            </w:r>
          </w:p>
          <w:p w14:paraId="351F64D1">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安保分项负责人复转军人可优先。</w:t>
            </w:r>
          </w:p>
        </w:tc>
      </w:tr>
      <w:tr w14:paraId="551E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3F240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76" w:type="dxa"/>
            <w:vAlign w:val="center"/>
          </w:tcPr>
          <w:p w14:paraId="5212E97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物业主管</w:t>
            </w:r>
          </w:p>
        </w:tc>
        <w:tc>
          <w:tcPr>
            <w:tcW w:w="3402" w:type="dxa"/>
            <w:vAlign w:val="center"/>
          </w:tcPr>
          <w:p w14:paraId="766DD61D">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年龄≯45，大专及以上学历，有1年及以上物业项目管理经验。</w:t>
            </w:r>
          </w:p>
        </w:tc>
        <w:tc>
          <w:tcPr>
            <w:tcW w:w="1559" w:type="dxa"/>
            <w:vAlign w:val="center"/>
          </w:tcPr>
          <w:p w14:paraId="402AC1F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3085420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7:30-11:30</w:t>
            </w:r>
          </w:p>
          <w:p w14:paraId="4D0E579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13:00-17:00</w:t>
            </w:r>
          </w:p>
        </w:tc>
        <w:tc>
          <w:tcPr>
            <w:tcW w:w="1418" w:type="dxa"/>
            <w:vMerge w:val="continue"/>
            <w:vAlign w:val="center"/>
          </w:tcPr>
          <w:p w14:paraId="3E41EBFE">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p>
        </w:tc>
      </w:tr>
      <w:tr w14:paraId="686C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6708C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76" w:type="dxa"/>
            <w:vAlign w:val="center"/>
          </w:tcPr>
          <w:p w14:paraId="53852DC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保洁主管</w:t>
            </w:r>
          </w:p>
        </w:tc>
        <w:tc>
          <w:tcPr>
            <w:tcW w:w="3402" w:type="dxa"/>
            <w:vAlign w:val="center"/>
          </w:tcPr>
          <w:p w14:paraId="66FB11AD">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年龄≯45，大专及以上学历，有1年以上物业项目保洁管理经验。</w:t>
            </w:r>
          </w:p>
        </w:tc>
        <w:tc>
          <w:tcPr>
            <w:tcW w:w="1559" w:type="dxa"/>
            <w:vAlign w:val="center"/>
          </w:tcPr>
          <w:p w14:paraId="2ABF03E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6144EA2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7:30-11:30</w:t>
            </w:r>
          </w:p>
          <w:p w14:paraId="0E6575D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13:00-17:00</w:t>
            </w:r>
          </w:p>
        </w:tc>
        <w:tc>
          <w:tcPr>
            <w:tcW w:w="1418" w:type="dxa"/>
            <w:vMerge w:val="continue"/>
            <w:vAlign w:val="center"/>
          </w:tcPr>
          <w:p w14:paraId="60089B37">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p>
        </w:tc>
      </w:tr>
      <w:tr w14:paraId="114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4EE59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76" w:type="dxa"/>
            <w:vAlign w:val="center"/>
          </w:tcPr>
          <w:p w14:paraId="68C6B36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2"/>
                <w:sz w:val="21"/>
                <w:szCs w:val="21"/>
                <w:highlight w:val="none"/>
                <w:lang w:val="zh-CN"/>
              </w:rPr>
            </w:pPr>
            <w:r>
              <w:rPr>
                <w:rFonts w:hint="eastAsia" w:ascii="宋体" w:hAnsi="宋体" w:eastAsia="宋体" w:cs="宋体"/>
                <w:color w:val="auto"/>
                <w:spacing w:val="-12"/>
                <w:sz w:val="21"/>
                <w:szCs w:val="21"/>
                <w:highlight w:val="none"/>
                <w:lang w:val="zh-CN"/>
              </w:rPr>
              <w:t>设备主管</w:t>
            </w:r>
          </w:p>
        </w:tc>
        <w:tc>
          <w:tcPr>
            <w:tcW w:w="3402" w:type="dxa"/>
            <w:vAlign w:val="center"/>
          </w:tcPr>
          <w:p w14:paraId="6192BEE0">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年龄≯45，大专及以上学历，有1年以上物业项目设备管理经验。</w:t>
            </w:r>
          </w:p>
        </w:tc>
        <w:tc>
          <w:tcPr>
            <w:tcW w:w="1559" w:type="dxa"/>
            <w:vAlign w:val="center"/>
          </w:tcPr>
          <w:p w14:paraId="172D8D5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做六休一</w:t>
            </w:r>
          </w:p>
          <w:p w14:paraId="7EBB1CA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7:30-11:30</w:t>
            </w:r>
          </w:p>
          <w:p w14:paraId="4F79D2A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pacing w:val="-10"/>
                <w:sz w:val="21"/>
                <w:szCs w:val="21"/>
                <w:highlight w:val="none"/>
                <w:lang w:val="zh-CN"/>
              </w:rPr>
            </w:pPr>
            <w:r>
              <w:rPr>
                <w:rFonts w:hint="eastAsia" w:ascii="宋体" w:hAnsi="宋体" w:eastAsia="宋体" w:cs="宋体"/>
                <w:color w:val="auto"/>
                <w:spacing w:val="-10"/>
                <w:sz w:val="21"/>
                <w:szCs w:val="21"/>
                <w:highlight w:val="none"/>
                <w:lang w:val="zh-CN"/>
              </w:rPr>
              <w:t>13:00-17:00</w:t>
            </w:r>
          </w:p>
        </w:tc>
        <w:tc>
          <w:tcPr>
            <w:tcW w:w="1418" w:type="dxa"/>
            <w:vMerge w:val="continue"/>
            <w:vAlign w:val="center"/>
          </w:tcPr>
          <w:p w14:paraId="1E66BF15">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color w:val="auto"/>
                <w:spacing w:val="-10"/>
                <w:sz w:val="21"/>
                <w:szCs w:val="21"/>
                <w:highlight w:val="none"/>
                <w:lang w:val="zh-CN"/>
              </w:rPr>
            </w:pPr>
          </w:p>
        </w:tc>
      </w:tr>
    </w:tbl>
    <w:p w14:paraId="45945515">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注：（1）以上岗位要求如突破，应书面报经甲方考核认可。（2）以上时间可因甲方工作时间变动而相应调整；服务单位也可因时因季因势作适当调整并报甲方认可，但总工作时间不得减少。</w:t>
      </w:r>
    </w:p>
    <w:p w14:paraId="294E6785">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物业人员要求及作息制度。</w:t>
      </w:r>
    </w:p>
    <w:tbl>
      <w:tblPr>
        <w:tblStyle w:val="4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93"/>
        <w:gridCol w:w="2660"/>
        <w:gridCol w:w="1678"/>
        <w:gridCol w:w="2736"/>
      </w:tblGrid>
      <w:tr w14:paraId="78F2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vAlign w:val="center"/>
          </w:tcPr>
          <w:p w14:paraId="400CDA4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bookmarkStart w:id="39" w:name="_Hlk109914146"/>
            <w:r>
              <w:rPr>
                <w:rFonts w:hint="eastAsia" w:ascii="宋体" w:hAnsi="宋体" w:eastAsia="宋体" w:cs="宋体"/>
                <w:color w:val="auto"/>
                <w:sz w:val="21"/>
                <w:szCs w:val="21"/>
                <w:highlight w:val="none"/>
                <w:lang w:val="zh-CN"/>
              </w:rPr>
              <w:t>序号</w:t>
            </w:r>
          </w:p>
        </w:tc>
        <w:tc>
          <w:tcPr>
            <w:tcW w:w="893" w:type="dxa"/>
            <w:vAlign w:val="center"/>
          </w:tcPr>
          <w:p w14:paraId="04CC614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w:t>
            </w:r>
          </w:p>
        </w:tc>
        <w:tc>
          <w:tcPr>
            <w:tcW w:w="2660" w:type="dxa"/>
            <w:vAlign w:val="center"/>
          </w:tcPr>
          <w:p w14:paraId="69B919F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岗位要求</w:t>
            </w:r>
          </w:p>
        </w:tc>
        <w:tc>
          <w:tcPr>
            <w:tcW w:w="1678" w:type="dxa"/>
            <w:vAlign w:val="center"/>
          </w:tcPr>
          <w:p w14:paraId="644CDC4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作息时间</w:t>
            </w:r>
          </w:p>
        </w:tc>
        <w:tc>
          <w:tcPr>
            <w:tcW w:w="2736" w:type="dxa"/>
            <w:vAlign w:val="center"/>
          </w:tcPr>
          <w:p w14:paraId="6BBEC93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tc>
      </w:tr>
      <w:tr w14:paraId="67CC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35263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893" w:type="dxa"/>
            <w:vAlign w:val="center"/>
          </w:tcPr>
          <w:p w14:paraId="7E42572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室内保洁</w:t>
            </w:r>
          </w:p>
        </w:tc>
        <w:tc>
          <w:tcPr>
            <w:tcW w:w="2660" w:type="dxa"/>
            <w:vAlign w:val="center"/>
          </w:tcPr>
          <w:p w14:paraId="51BC61C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男性年龄≯60，女性年龄≯55。</w:t>
            </w:r>
          </w:p>
        </w:tc>
        <w:tc>
          <w:tcPr>
            <w:tcW w:w="1678" w:type="dxa"/>
            <w:vAlign w:val="center"/>
          </w:tcPr>
          <w:p w14:paraId="420B7CD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206CB42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7:00-11:30</w:t>
            </w:r>
          </w:p>
          <w:p w14:paraId="16EA3FE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13:00-16:30</w:t>
            </w:r>
          </w:p>
        </w:tc>
        <w:tc>
          <w:tcPr>
            <w:tcW w:w="2736" w:type="dxa"/>
            <w:vMerge w:val="restart"/>
            <w:vAlign w:val="center"/>
          </w:tcPr>
          <w:p w14:paraId="6FFCA80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室内外保洁中午需安排值班，可互兼。节假日需安排加班，室内节假日可部分休息，室外不变。</w:t>
            </w:r>
          </w:p>
        </w:tc>
      </w:tr>
      <w:tr w14:paraId="7EB2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1E6E2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893" w:type="dxa"/>
            <w:vAlign w:val="center"/>
          </w:tcPr>
          <w:p w14:paraId="046CB5F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室外保洁</w:t>
            </w:r>
          </w:p>
        </w:tc>
        <w:tc>
          <w:tcPr>
            <w:tcW w:w="2660" w:type="dxa"/>
            <w:vAlign w:val="center"/>
          </w:tcPr>
          <w:p w14:paraId="066DACE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男性年龄≯60，女性年龄≯55。</w:t>
            </w:r>
          </w:p>
        </w:tc>
        <w:tc>
          <w:tcPr>
            <w:tcW w:w="1678" w:type="dxa"/>
            <w:vAlign w:val="center"/>
          </w:tcPr>
          <w:p w14:paraId="30B6B47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56E6CAD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6:30-11:30</w:t>
            </w:r>
          </w:p>
          <w:p w14:paraId="5A48E0C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13:00-16:30</w:t>
            </w:r>
          </w:p>
        </w:tc>
        <w:tc>
          <w:tcPr>
            <w:tcW w:w="2736" w:type="dxa"/>
            <w:vMerge w:val="continue"/>
            <w:vAlign w:val="center"/>
          </w:tcPr>
          <w:p w14:paraId="3CEA6F1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r w14:paraId="14DD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C70C2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893" w:type="dxa"/>
            <w:vAlign w:val="center"/>
          </w:tcPr>
          <w:p w14:paraId="2C78F28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水电维修</w:t>
            </w:r>
          </w:p>
        </w:tc>
        <w:tc>
          <w:tcPr>
            <w:tcW w:w="2660" w:type="dxa"/>
            <w:vAlign w:val="center"/>
          </w:tcPr>
          <w:p w14:paraId="279DDCD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男性年龄≯55，女性年龄≯50。需要低压电工等相应从业资格证书、3年以上从业经验。</w:t>
            </w:r>
          </w:p>
        </w:tc>
        <w:tc>
          <w:tcPr>
            <w:tcW w:w="1678" w:type="dxa"/>
            <w:vAlign w:val="center"/>
          </w:tcPr>
          <w:p w14:paraId="1F76203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712EF1A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7:30-11:30</w:t>
            </w:r>
          </w:p>
          <w:p w14:paraId="332C40D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13:00-17:00</w:t>
            </w:r>
          </w:p>
        </w:tc>
        <w:tc>
          <w:tcPr>
            <w:tcW w:w="2736" w:type="dxa"/>
            <w:vMerge w:val="restart"/>
            <w:vAlign w:val="center"/>
          </w:tcPr>
          <w:p w14:paraId="16A2DE9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有相应从业资格证人员可互兼。</w:t>
            </w:r>
          </w:p>
          <w:p w14:paraId="63BCA8D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水电维修就餐时间需安排值班，节假日需安排加班。</w:t>
            </w:r>
          </w:p>
        </w:tc>
      </w:tr>
      <w:tr w14:paraId="423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CE455C">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893" w:type="dxa"/>
            <w:vAlign w:val="center"/>
          </w:tcPr>
          <w:p w14:paraId="0FD76F5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高配值班</w:t>
            </w:r>
          </w:p>
        </w:tc>
        <w:tc>
          <w:tcPr>
            <w:tcW w:w="2660" w:type="dxa"/>
            <w:vAlign w:val="center"/>
          </w:tcPr>
          <w:p w14:paraId="0128003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男性年龄≯55，女性年龄≯50。需要高压电工等相应从业资格证书、3年以上从业经验。</w:t>
            </w:r>
          </w:p>
        </w:tc>
        <w:tc>
          <w:tcPr>
            <w:tcW w:w="1678" w:type="dxa"/>
            <w:vAlign w:val="center"/>
          </w:tcPr>
          <w:p w14:paraId="449A2CB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全天候24小时值班</w:t>
            </w:r>
          </w:p>
        </w:tc>
        <w:tc>
          <w:tcPr>
            <w:tcW w:w="2736" w:type="dxa"/>
            <w:vMerge w:val="continue"/>
            <w:vAlign w:val="center"/>
          </w:tcPr>
          <w:p w14:paraId="2FD9469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r w14:paraId="74FB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7A8F4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893" w:type="dxa"/>
            <w:vAlign w:val="center"/>
          </w:tcPr>
          <w:p w14:paraId="5357201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综合维修</w:t>
            </w:r>
          </w:p>
        </w:tc>
        <w:tc>
          <w:tcPr>
            <w:tcW w:w="2660" w:type="dxa"/>
            <w:vAlign w:val="center"/>
          </w:tcPr>
          <w:p w14:paraId="4903204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男性，年龄≯50。有简单的泥水、木工、油漆和种植技能，有高配和电工证优先。</w:t>
            </w:r>
          </w:p>
        </w:tc>
        <w:tc>
          <w:tcPr>
            <w:tcW w:w="1678" w:type="dxa"/>
            <w:vAlign w:val="center"/>
          </w:tcPr>
          <w:p w14:paraId="359ADA3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47DD591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7:30-11:30</w:t>
            </w:r>
          </w:p>
          <w:p w14:paraId="12AFB52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13:00-17:00</w:t>
            </w:r>
          </w:p>
        </w:tc>
        <w:tc>
          <w:tcPr>
            <w:tcW w:w="2736" w:type="dxa"/>
            <w:vAlign w:val="center"/>
          </w:tcPr>
          <w:p w14:paraId="5EC5AEE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每周休息时间由甲方视工作安排。节假日正常休息。可与相近工种互兼。</w:t>
            </w:r>
          </w:p>
        </w:tc>
      </w:tr>
      <w:tr w14:paraId="1FD0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33F9D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893" w:type="dxa"/>
            <w:vAlign w:val="center"/>
          </w:tcPr>
          <w:p w14:paraId="7D10E028">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会务/前台服务</w:t>
            </w:r>
          </w:p>
        </w:tc>
        <w:tc>
          <w:tcPr>
            <w:tcW w:w="2660" w:type="dxa"/>
            <w:vAlign w:val="center"/>
          </w:tcPr>
          <w:p w14:paraId="48FA330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女性，年龄≯35，全日制酒店管理或旅游管理大专及以上学历，形象气质佳，沟通能力和服务意识强。具备一定水平的普通话、外语、计算机能力。</w:t>
            </w:r>
          </w:p>
        </w:tc>
        <w:tc>
          <w:tcPr>
            <w:tcW w:w="1678" w:type="dxa"/>
            <w:vAlign w:val="center"/>
          </w:tcPr>
          <w:p w14:paraId="24EA0A6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79FA77B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7:30-11:30</w:t>
            </w:r>
          </w:p>
          <w:p w14:paraId="6F50650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13:00-17:00</w:t>
            </w:r>
          </w:p>
        </w:tc>
        <w:tc>
          <w:tcPr>
            <w:tcW w:w="2736" w:type="dxa"/>
            <w:vAlign w:val="center"/>
          </w:tcPr>
          <w:p w14:paraId="2B2394C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收发时间7:30-8:30,16:00-17:00</w:t>
            </w:r>
          </w:p>
          <w:p w14:paraId="3300733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就餐时间需安排值班，相近工种可互兼。</w:t>
            </w:r>
          </w:p>
        </w:tc>
      </w:tr>
      <w:tr w14:paraId="2393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17" w:type="dxa"/>
            <w:vAlign w:val="center"/>
          </w:tcPr>
          <w:p w14:paraId="4968B5E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893" w:type="dxa"/>
            <w:vAlign w:val="center"/>
          </w:tcPr>
          <w:p w14:paraId="26BE6BB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展厅综合服务管理</w:t>
            </w:r>
          </w:p>
        </w:tc>
        <w:tc>
          <w:tcPr>
            <w:tcW w:w="2660" w:type="dxa"/>
            <w:vAlign w:val="center"/>
          </w:tcPr>
          <w:p w14:paraId="0035FDE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女性，年龄≯35，全日制翻译专业本科及以上学历，形象气质佳，沟通能力和服务意识强。具备安保、消防</w:t>
            </w:r>
            <w:r>
              <w:rPr>
                <w:rFonts w:hint="eastAsia" w:ascii="宋体" w:hAnsi="宋体" w:cs="宋体"/>
                <w:color w:val="auto"/>
                <w:sz w:val="21"/>
                <w:szCs w:val="21"/>
                <w:highlight w:val="none"/>
                <w:lang w:val="zh-CN"/>
              </w:rPr>
              <w:t>和</w:t>
            </w:r>
            <w:r>
              <w:rPr>
                <w:rFonts w:hint="eastAsia" w:ascii="宋体" w:hAnsi="宋体" w:eastAsia="宋体" w:cs="宋体"/>
                <w:color w:val="auto"/>
                <w:sz w:val="21"/>
                <w:szCs w:val="21"/>
                <w:highlight w:val="none"/>
                <w:lang w:val="zh-CN"/>
              </w:rPr>
              <w:t>救护等能力</w:t>
            </w:r>
          </w:p>
        </w:tc>
        <w:tc>
          <w:tcPr>
            <w:tcW w:w="1678" w:type="dxa"/>
            <w:vAlign w:val="center"/>
          </w:tcPr>
          <w:p w14:paraId="23AEB07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10E684C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7:30-11:30</w:t>
            </w:r>
          </w:p>
          <w:p w14:paraId="234547C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13:00-17:00</w:t>
            </w:r>
          </w:p>
        </w:tc>
        <w:tc>
          <w:tcPr>
            <w:tcW w:w="2736" w:type="dxa"/>
            <w:vAlign w:val="center"/>
          </w:tcPr>
          <w:p w14:paraId="2C773F2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包括</w:t>
            </w:r>
            <w:r>
              <w:rPr>
                <w:rFonts w:hint="eastAsia" w:ascii="宋体" w:hAnsi="宋体" w:eastAsia="宋体" w:cs="宋体"/>
                <w:color w:val="auto"/>
                <w:sz w:val="21"/>
                <w:szCs w:val="21"/>
                <w:highlight w:val="none"/>
                <w:lang w:val="zh-CN" w:eastAsia="zh-CN"/>
              </w:rPr>
              <w:t>观众</w:t>
            </w:r>
            <w:r>
              <w:rPr>
                <w:rFonts w:hint="eastAsia" w:ascii="宋体" w:hAnsi="宋体" w:eastAsia="宋体" w:cs="宋体"/>
                <w:color w:val="auto"/>
                <w:sz w:val="21"/>
                <w:szCs w:val="21"/>
                <w:highlight w:val="none"/>
                <w:lang w:val="zh-CN"/>
              </w:rPr>
              <w:t>参观</w:t>
            </w:r>
            <w:r>
              <w:rPr>
                <w:rFonts w:hint="eastAsia" w:ascii="宋体" w:hAnsi="宋体" w:eastAsia="宋体" w:cs="宋体"/>
                <w:color w:val="auto"/>
                <w:sz w:val="21"/>
                <w:szCs w:val="21"/>
                <w:highlight w:val="none"/>
                <w:lang w:val="zh-CN" w:eastAsia="zh-CN"/>
              </w:rPr>
              <w:t>导引</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财税历史文化资料</w:t>
            </w:r>
            <w:r>
              <w:rPr>
                <w:rFonts w:hint="eastAsia" w:ascii="宋体" w:hAnsi="宋体" w:eastAsia="宋体" w:cs="宋体"/>
                <w:color w:val="auto"/>
                <w:sz w:val="21"/>
                <w:szCs w:val="21"/>
                <w:highlight w:val="none"/>
                <w:lang w:val="zh-CN"/>
              </w:rPr>
              <w:t>翻译、</w:t>
            </w:r>
            <w:r>
              <w:rPr>
                <w:rFonts w:hint="eastAsia" w:ascii="宋体" w:hAnsi="宋体" w:eastAsia="宋体" w:cs="宋体"/>
                <w:color w:val="auto"/>
                <w:sz w:val="21"/>
                <w:szCs w:val="21"/>
                <w:highlight w:val="none"/>
                <w:lang w:val="zh-CN" w:eastAsia="zh-CN"/>
              </w:rPr>
              <w:t>英语展厅讲解（针对学生）、</w:t>
            </w:r>
            <w:r>
              <w:rPr>
                <w:rFonts w:hint="eastAsia" w:ascii="宋体" w:hAnsi="宋体" w:eastAsia="宋体" w:cs="宋体"/>
                <w:color w:val="auto"/>
                <w:sz w:val="21"/>
                <w:szCs w:val="21"/>
                <w:highlight w:val="none"/>
                <w:lang w:val="zh-CN"/>
              </w:rPr>
              <w:t>咨询、志愿者</w:t>
            </w:r>
            <w:r>
              <w:rPr>
                <w:rFonts w:hint="eastAsia" w:ascii="宋体" w:hAnsi="宋体" w:cs="宋体"/>
                <w:color w:val="auto"/>
                <w:sz w:val="21"/>
                <w:szCs w:val="21"/>
                <w:highlight w:val="none"/>
                <w:lang w:val="zh-CN"/>
              </w:rPr>
              <w:t>管理</w:t>
            </w:r>
            <w:r>
              <w:rPr>
                <w:rFonts w:hint="eastAsia" w:ascii="宋体" w:hAnsi="宋体" w:eastAsia="宋体" w:cs="宋体"/>
                <w:color w:val="auto"/>
                <w:sz w:val="21"/>
                <w:szCs w:val="21"/>
                <w:highlight w:val="none"/>
                <w:lang w:val="zh-CN"/>
              </w:rPr>
              <w:t>及</w:t>
            </w:r>
            <w:r>
              <w:rPr>
                <w:rFonts w:hint="eastAsia" w:ascii="宋体" w:hAnsi="宋体" w:eastAsia="宋体" w:cs="宋体"/>
                <w:color w:val="auto"/>
                <w:sz w:val="21"/>
                <w:szCs w:val="21"/>
                <w:highlight w:val="none"/>
                <w:lang w:val="zh-CN" w:eastAsia="zh-CN"/>
              </w:rPr>
              <w:t>各种</w:t>
            </w:r>
            <w:r>
              <w:rPr>
                <w:rFonts w:hint="eastAsia" w:ascii="宋体" w:hAnsi="宋体" w:eastAsia="宋体" w:cs="宋体"/>
                <w:color w:val="auto"/>
                <w:sz w:val="21"/>
                <w:szCs w:val="21"/>
                <w:highlight w:val="none"/>
                <w:lang w:val="zh-CN"/>
              </w:rPr>
              <w:t>应急</w:t>
            </w:r>
            <w:r>
              <w:rPr>
                <w:rFonts w:hint="eastAsia" w:ascii="宋体" w:hAnsi="宋体" w:eastAsia="宋体" w:cs="宋体"/>
                <w:color w:val="auto"/>
                <w:sz w:val="21"/>
                <w:szCs w:val="21"/>
                <w:highlight w:val="none"/>
                <w:lang w:val="zh-CN" w:eastAsia="zh-CN"/>
              </w:rPr>
              <w:t>事项</w:t>
            </w:r>
            <w:r>
              <w:rPr>
                <w:rFonts w:hint="eastAsia" w:ascii="宋体" w:hAnsi="宋体" w:eastAsia="宋体" w:cs="宋体"/>
                <w:color w:val="auto"/>
                <w:sz w:val="21"/>
                <w:szCs w:val="21"/>
                <w:highlight w:val="none"/>
                <w:lang w:val="zh-CN"/>
              </w:rPr>
              <w:t>处置等。</w:t>
            </w:r>
          </w:p>
        </w:tc>
      </w:tr>
    </w:tbl>
    <w:p w14:paraId="5653C8A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注：（1）以上岗位要求如突破，应书面报经甲方考核认可。（2）以上时间可因甲方工作时间变动而相应调整；服务单位也可因时因季因势作适当调整并报甲方认可，但总工作时间不得减少。</w:t>
      </w:r>
    </w:p>
    <w:bookmarkEnd w:id="39"/>
    <w:p w14:paraId="13A76C5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保安人员要求及作息制度。</w:t>
      </w:r>
    </w:p>
    <w:tbl>
      <w:tblPr>
        <w:tblStyle w:val="4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260"/>
        <w:gridCol w:w="1701"/>
        <w:gridCol w:w="1588"/>
      </w:tblGrid>
      <w:tr w14:paraId="716B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1D592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560" w:type="dxa"/>
            <w:vAlign w:val="center"/>
          </w:tcPr>
          <w:p w14:paraId="589BF5D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w:t>
            </w:r>
          </w:p>
        </w:tc>
        <w:tc>
          <w:tcPr>
            <w:tcW w:w="3260" w:type="dxa"/>
            <w:vAlign w:val="center"/>
          </w:tcPr>
          <w:p w14:paraId="61C8585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岗位要求</w:t>
            </w:r>
          </w:p>
        </w:tc>
        <w:tc>
          <w:tcPr>
            <w:tcW w:w="1701" w:type="dxa"/>
            <w:vAlign w:val="center"/>
          </w:tcPr>
          <w:p w14:paraId="76B3C82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作息时间</w:t>
            </w:r>
          </w:p>
        </w:tc>
        <w:tc>
          <w:tcPr>
            <w:tcW w:w="1588" w:type="dxa"/>
            <w:vAlign w:val="center"/>
          </w:tcPr>
          <w:p w14:paraId="4FB4DC2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tc>
      </w:tr>
      <w:tr w14:paraId="6DBC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E72F0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560" w:type="dxa"/>
            <w:vAlign w:val="center"/>
          </w:tcPr>
          <w:p w14:paraId="112E9FC3">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展厅岗、安检岗</w:t>
            </w:r>
          </w:p>
        </w:tc>
        <w:tc>
          <w:tcPr>
            <w:tcW w:w="3260" w:type="dxa"/>
            <w:vAlign w:val="center"/>
          </w:tcPr>
          <w:p w14:paraId="02B9FAE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年龄≯55，学历初中以上，持有保安员上岗证</w:t>
            </w:r>
          </w:p>
        </w:tc>
        <w:tc>
          <w:tcPr>
            <w:tcW w:w="1701" w:type="dxa"/>
            <w:vAlign w:val="center"/>
          </w:tcPr>
          <w:p w14:paraId="13CF6E4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做六休一</w:t>
            </w:r>
          </w:p>
          <w:p w14:paraId="6857E4E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8:30-11:00</w:t>
            </w:r>
          </w:p>
          <w:p w14:paraId="0314301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11:30-16:30</w:t>
            </w:r>
          </w:p>
        </w:tc>
        <w:tc>
          <w:tcPr>
            <w:tcW w:w="1588" w:type="dxa"/>
            <w:vMerge w:val="restart"/>
            <w:vAlign w:val="center"/>
          </w:tcPr>
          <w:p w14:paraId="4F2D787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就餐时间需安排值班，期间相近工种可互兼。</w:t>
            </w:r>
          </w:p>
          <w:p w14:paraId="2E60403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晚间就餐时间报甲方批准</w:t>
            </w:r>
          </w:p>
        </w:tc>
      </w:tr>
      <w:tr w14:paraId="0DC1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534A3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560" w:type="dxa"/>
            <w:vAlign w:val="center"/>
          </w:tcPr>
          <w:p w14:paraId="22AC0F5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东、西门岗、巡逻岗</w:t>
            </w:r>
          </w:p>
        </w:tc>
        <w:tc>
          <w:tcPr>
            <w:tcW w:w="3260" w:type="dxa"/>
            <w:vAlign w:val="center"/>
          </w:tcPr>
          <w:p w14:paraId="47C5C8C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男性，年龄≯55；学历初中以上，持有保安员上岗证</w:t>
            </w:r>
          </w:p>
        </w:tc>
        <w:tc>
          <w:tcPr>
            <w:tcW w:w="1701" w:type="dxa"/>
            <w:vMerge w:val="restart"/>
            <w:vAlign w:val="center"/>
          </w:tcPr>
          <w:p w14:paraId="001BFCC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全天候</w:t>
            </w:r>
          </w:p>
          <w:p w14:paraId="4341C3C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p w14:paraId="56896FD5">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11:30-15:50</w:t>
            </w:r>
          </w:p>
          <w:p w14:paraId="1A2B8532">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16:30-次日10:50</w:t>
            </w:r>
          </w:p>
          <w:p w14:paraId="1529B1E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p w14:paraId="6CF0E009">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其中正门8:00-18:00时间为形象岗，要求实行站立值勤</w:t>
            </w:r>
          </w:p>
        </w:tc>
        <w:tc>
          <w:tcPr>
            <w:tcW w:w="1588" w:type="dxa"/>
            <w:vMerge w:val="continue"/>
            <w:vAlign w:val="center"/>
          </w:tcPr>
          <w:p w14:paraId="6E225C8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r w14:paraId="0E4C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6F7874">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560" w:type="dxa"/>
            <w:vAlign w:val="center"/>
          </w:tcPr>
          <w:p w14:paraId="3787989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正门（形象岗）</w:t>
            </w:r>
          </w:p>
        </w:tc>
        <w:tc>
          <w:tcPr>
            <w:tcW w:w="3260" w:type="dxa"/>
            <w:vAlign w:val="center"/>
          </w:tcPr>
          <w:p w14:paraId="656DBEFB">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男性，年龄≯45；学历初中以上，持有保安员上岗证</w:t>
            </w:r>
          </w:p>
        </w:tc>
        <w:tc>
          <w:tcPr>
            <w:tcW w:w="1701" w:type="dxa"/>
            <w:vMerge w:val="continue"/>
            <w:vAlign w:val="center"/>
          </w:tcPr>
          <w:p w14:paraId="114E0B68">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c>
          <w:tcPr>
            <w:tcW w:w="1588" w:type="dxa"/>
            <w:vMerge w:val="continue"/>
            <w:vAlign w:val="center"/>
          </w:tcPr>
          <w:p w14:paraId="4BF4899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r w14:paraId="4F64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87307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560" w:type="dxa"/>
            <w:vAlign w:val="center"/>
          </w:tcPr>
          <w:p w14:paraId="51BB2C3D">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消防安全员</w:t>
            </w:r>
          </w:p>
        </w:tc>
        <w:tc>
          <w:tcPr>
            <w:tcW w:w="3260" w:type="dxa"/>
            <w:vAlign w:val="center"/>
          </w:tcPr>
          <w:p w14:paraId="49391237">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男性，年龄≯55，学历初中以上，持有保安员上岗证；《建筑物消防设施操作员证》等职业资格证，具有消防安全管理经验。</w:t>
            </w:r>
          </w:p>
        </w:tc>
        <w:tc>
          <w:tcPr>
            <w:tcW w:w="1701" w:type="dxa"/>
            <w:vMerge w:val="continue"/>
            <w:vAlign w:val="center"/>
          </w:tcPr>
          <w:p w14:paraId="7D99DE60">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c>
          <w:tcPr>
            <w:tcW w:w="1588" w:type="dxa"/>
            <w:vMerge w:val="continue"/>
            <w:vAlign w:val="center"/>
          </w:tcPr>
          <w:p w14:paraId="402D620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r w14:paraId="28C8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AC7F5F">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560" w:type="dxa"/>
            <w:vAlign w:val="center"/>
          </w:tcPr>
          <w:p w14:paraId="062FA2F8">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消（监）控室</w:t>
            </w:r>
          </w:p>
        </w:tc>
        <w:tc>
          <w:tcPr>
            <w:tcW w:w="3260" w:type="dxa"/>
            <w:vAlign w:val="center"/>
          </w:tcPr>
          <w:p w14:paraId="5B1F1AC6">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年龄≯55，学历初中以上，持有保安员上岗证；《建筑物消防设施操作员证》等职业资格证，具有消防安全管理经验。双人双岗值班。</w:t>
            </w:r>
          </w:p>
        </w:tc>
        <w:tc>
          <w:tcPr>
            <w:tcW w:w="1701" w:type="dxa"/>
            <w:vMerge w:val="continue"/>
            <w:vAlign w:val="center"/>
          </w:tcPr>
          <w:p w14:paraId="421B58CA">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c>
          <w:tcPr>
            <w:tcW w:w="1588" w:type="dxa"/>
            <w:vMerge w:val="continue"/>
            <w:vAlign w:val="center"/>
          </w:tcPr>
          <w:p w14:paraId="1107B0C1">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color w:val="auto"/>
                <w:sz w:val="21"/>
                <w:szCs w:val="21"/>
                <w:highlight w:val="none"/>
                <w:lang w:val="zh-CN"/>
              </w:rPr>
            </w:pPr>
          </w:p>
        </w:tc>
      </w:tr>
    </w:tbl>
    <w:p w14:paraId="0630A8F9">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1）以上岗位要求如突破，应书面报经甲方考核认可，复转军人可优先考虑。（2）以上时间可因甲方工作时间变动而相应调整，服务单位也可因时因季因势作适当调整并报甲方认可，但总工作时间不得减少。</w:t>
      </w:r>
    </w:p>
    <w:p w14:paraId="11CDE628">
      <w:pPr>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其他要求：</w:t>
      </w:r>
      <w:r>
        <w:rPr>
          <w:rFonts w:hint="eastAsia" w:ascii="宋体" w:hAnsi="宋体" w:eastAsia="宋体" w:cs="宋体"/>
          <w:color w:val="auto"/>
          <w:sz w:val="21"/>
          <w:szCs w:val="21"/>
          <w:highlight w:val="none"/>
          <w:lang w:val="zh-CN"/>
        </w:rPr>
        <w:t>中标人入驻前需提供书面的员工个人情况一览表交甲方留档，后期人员变更应提前3天提交人员变更表交甲方留档，特殊岗位需提前7天上报并经甲方认可。为保证人员稳定性，以项目实际工作人数为基数，全年人员变更不得超过50%。由于请假导致的顶班（原则上不超过7天）、新员工试用（原则上不超过1个月，试用期间新老员工合理交接期不得少于三天）可不计入，但需提交人员变更表。</w:t>
      </w:r>
      <w:r>
        <w:rPr>
          <w:rFonts w:hint="eastAsia" w:ascii="宋体" w:hAnsi="宋体" w:eastAsia="宋体" w:cs="宋体"/>
          <w:color w:val="auto"/>
          <w:sz w:val="21"/>
          <w:szCs w:val="21"/>
          <w:highlight w:val="none"/>
        </w:rPr>
        <w:t>消（监）控室人员需在岗工作满一年以上，其他队员需在岗工作满六个月以上要求，无特殊情况不得随意调换。</w:t>
      </w:r>
    </w:p>
    <w:p w14:paraId="0B2F5D8B">
      <w:pPr>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cs="宋体"/>
          <w:b w:val="0"/>
          <w:bCs/>
          <w:color w:val="auto"/>
          <w:sz w:val="21"/>
          <w:szCs w:val="21"/>
          <w:highlight w:val="none"/>
          <w:lang w:val="zh-CN"/>
        </w:rPr>
        <w:t>因工作环境限制，中标单位全体在岗人员的工作餐就餐需按照采购人要求管理。采购人</w:t>
      </w:r>
      <w:r>
        <w:rPr>
          <w:rFonts w:hint="eastAsia" w:ascii="宋体" w:hAnsi="宋体" w:eastAsia="宋体" w:cs="宋体"/>
          <w:b w:val="0"/>
          <w:bCs/>
          <w:color w:val="auto"/>
          <w:sz w:val="21"/>
          <w:szCs w:val="21"/>
          <w:highlight w:val="none"/>
          <w:lang w:val="zh-CN"/>
        </w:rPr>
        <w:t>可为中标单位</w:t>
      </w:r>
      <w:r>
        <w:rPr>
          <w:rFonts w:hint="eastAsia" w:ascii="宋体" w:hAnsi="宋体" w:cs="宋体"/>
          <w:b w:val="0"/>
          <w:bCs/>
          <w:color w:val="auto"/>
          <w:sz w:val="21"/>
          <w:szCs w:val="21"/>
          <w:highlight w:val="none"/>
          <w:lang w:val="zh-CN"/>
        </w:rPr>
        <w:t>全体</w:t>
      </w:r>
      <w:r>
        <w:rPr>
          <w:rFonts w:hint="eastAsia" w:ascii="宋体" w:hAnsi="宋体" w:eastAsia="宋体" w:cs="宋体"/>
          <w:b w:val="0"/>
          <w:bCs/>
          <w:color w:val="auto"/>
          <w:sz w:val="21"/>
          <w:szCs w:val="21"/>
          <w:highlight w:val="none"/>
          <w:lang w:val="zh-CN"/>
        </w:rPr>
        <w:t>在岗工作人员提供搭伙就餐服务，并收取相应的就餐费用。</w:t>
      </w:r>
    </w:p>
    <w:p w14:paraId="43D96D0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（二）岗位管理。</w:t>
      </w:r>
    </w:p>
    <w:p w14:paraId="6639824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要求岗位责任制全覆盖，建立运作规程、工作质量标准，认真做好工作日志、交接班记录、管理账册等，需做到字迹清晰、数据准确，定期对本项目服务管理进行监督，确保本项目所有服务达到应有的水平。投标单位需提供各项管理制度，详细岗位配备（含作息制度）、岗位职责、考核机制、工种操作规程等作为投标文件的重要组成部分，中标单位需提供以上材料供甲方审核认可。</w:t>
      </w:r>
    </w:p>
    <w:p w14:paraId="5BEF794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（三）内检管理。</w:t>
      </w:r>
    </w:p>
    <w:p w14:paraId="0B44410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按照管理内容编制检查表，每日进行检查，发现问题及时整改。坚持三查制度：</w:t>
      </w:r>
    </w:p>
    <w:p w14:paraId="327613A5">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员工自查：员工根据有关作业规程，对各自负责的工作进行自查，发现问题及时有效解决并做好记录。</w:t>
      </w:r>
    </w:p>
    <w:p w14:paraId="4829CC5F">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分项管理负责人巡查：分项管理负责人应把巡回检查作为自己的主要工作，对管理区域内所有部位进行巡回检查，每天不得少于四次并做好记录。</w:t>
      </w:r>
    </w:p>
    <w:p w14:paraId="78AFF9CF">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项目经理抽查：项目经理每日抽查不得少于一次；项目经理还应会同单位质量管理负责人（或陪同上级领导）每月二次联合检查并做好记录。</w:t>
      </w:r>
    </w:p>
    <w:p w14:paraId="13CEAAE7">
      <w:pPr>
        <w:pageBreakBefore w:val="0"/>
        <w:kinsoku/>
        <w:wordWrap/>
        <w:overflowPunct/>
        <w:topLinePunct w:val="0"/>
        <w:bidi w:val="0"/>
        <w:snapToGrid/>
        <w:spacing w:line="360" w:lineRule="auto"/>
        <w:ind w:left="0" w:right="0" w:rightChars="0" w:firstLine="275" w:firstLineChars="131"/>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定期向甲方提交当月工作报告和次月工作计划。</w:t>
      </w:r>
    </w:p>
    <w:p w14:paraId="08729C9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（四）业主管理。</w:t>
      </w:r>
    </w:p>
    <w:p w14:paraId="6734795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业主单位负责对保安服务项目进行日常监督和考核，随时可对各工作岗位情况进行抽查，发现问题及时通知整改，定期进行统计并参与综合评分。</w:t>
      </w:r>
    </w:p>
    <w:p w14:paraId="64D0F2B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业主单位可视情况向本单位部门人员发放“服务意见征询书”根据反馈意见进行综合评分，综合评分将作为业主单位支付服务费和续签合同的重要依据。</w:t>
      </w:r>
    </w:p>
    <w:p w14:paraId="12ADA9C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业主单位每一年应组织对本次标的范围内进行工作考核。考核标准参照《杭州市管理行业规范服务达标考核标准》结合日常考核记录打分，95分（含）以上为优秀，90分（含）以上为良好，85分（含）以上为合格，80分以下为不合格。如考核为合格，甲方有权利结合日常工作情况和核心项目考核数据决定是否续订合同。如考核不合格，业主单位将不予续订合同。</w:t>
      </w:r>
    </w:p>
    <w:p w14:paraId="5C4C672A">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（五）安全管理。</w:t>
      </w:r>
    </w:p>
    <w:p w14:paraId="3DEE187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中标单位应严格遵守安全制度和安全操作规程，采取所有必须的安全措施和人身保护措施，确保安全作业、文明施工，对工作中发生的一切事故负全部责任。</w:t>
      </w:r>
    </w:p>
    <w:p w14:paraId="2BE827F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（六）遵纪守法。</w:t>
      </w:r>
    </w:p>
    <w:p w14:paraId="1C24500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中标单位应严格遵守国家和地方法律法规，如有违反，应承担由此导致的全部责任。</w:t>
      </w:r>
    </w:p>
    <w:p w14:paraId="19D59008">
      <w:pPr>
        <w:pageBreakBefore w:val="0"/>
        <w:kinsoku/>
        <w:wordWrap/>
        <w:overflowPunct/>
        <w:topLinePunct w:val="0"/>
        <w:bidi w:val="0"/>
        <w:snapToGrid/>
        <w:spacing w:line="360" w:lineRule="auto"/>
        <w:ind w:left="0" w:right="0" w:rightChars="0" w:firstLine="373" w:firstLineChars="177"/>
        <w:textAlignment w:val="auto"/>
        <w:rPr>
          <w:rFonts w:hint="eastAsia" w:ascii="宋体" w:hAnsi="宋体" w:eastAsia="宋体" w:cs="宋体"/>
          <w:b/>
          <w:bCs/>
          <w:color w:val="auto"/>
          <w:sz w:val="21"/>
          <w:szCs w:val="21"/>
          <w:highlight w:val="none"/>
          <w:lang w:val="zh-CN"/>
        </w:rPr>
      </w:pPr>
    </w:p>
    <w:p w14:paraId="2483B92E">
      <w:pPr>
        <w:pageBreakBefore w:val="0"/>
        <w:kinsoku/>
        <w:wordWrap/>
        <w:overflowPunct/>
        <w:topLinePunct w:val="0"/>
        <w:bidi w:val="0"/>
        <w:snapToGrid/>
        <w:spacing w:line="360" w:lineRule="auto"/>
        <w:ind w:left="0" w:right="0" w:rightChars="0" w:firstLine="373" w:firstLineChars="177"/>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五、奖罚制度</w:t>
      </w:r>
    </w:p>
    <w:p w14:paraId="4FEA3763">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（一）奖励：</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lang w:val="zh-CN"/>
        </w:rPr>
        <w:t>获新闻媒体表扬的；2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获得行业主管部门表彰的；3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如遇有关部门各种检查且未失责任分的；4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工作中任劳任怨，尽职尽责，表现突出，服务热情周到并多次受到上级领导表扬的；5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发现并设法抓获在工作区域内的偷、抢等违法犯罪分子，表现突出的；6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积极参加抢险救灾，保卫生命财产安全有突出贡献的；7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见义勇为、拾金（物）不昧，为单位争得荣誉的；8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工作积极责任性强，敢于同违法犯罪行为作斗争的。</w:t>
      </w:r>
    </w:p>
    <w:p w14:paraId="4627D91C">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Cs/>
          <w:color w:val="auto"/>
          <w:sz w:val="21"/>
          <w:szCs w:val="21"/>
          <w:highlight w:val="none"/>
          <w:lang w:val="zh-CN"/>
        </w:rPr>
        <w:t>（二）处罚：1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涉外等重大事项处罚：</w:t>
      </w:r>
      <w:r>
        <w:rPr>
          <w:rFonts w:hint="eastAsia" w:ascii="宋体" w:hAnsi="宋体" w:eastAsia="宋体" w:cs="宋体"/>
          <w:color w:val="auto"/>
          <w:sz w:val="21"/>
          <w:szCs w:val="21"/>
          <w:highlight w:val="none"/>
          <w:lang w:val="zh-CN"/>
        </w:rPr>
        <w:t>（1）全国性检查失1分每分扣2000元；（2）省、市检查失1分每分扣1000元；（3）区、街道检查失1分每分扣500元；（4）新闻媒体批评及曝光1起每起扣5000元；（5）因自身原因造成文物等重大财产损失、人身伤害和公共卫生等安全事故，或其发生它造成恶劣影响的事故的，事故涉及的所有责任人均应处以每人不少于1000元的罚款直至开除的处罚，中标单位应处以10000元直至整个履约保证金全部扣除的处罚，下一年度合同不再续签；（6）按照国家和地方有关管理规范要求，被有关部门累计发出2次以上整改通知书且整改不到位的，在最后一次付款中扣除全部履约保证金，下一年度合同不再续签；（7）</w:t>
      </w:r>
      <w:r>
        <w:rPr>
          <w:rFonts w:hint="eastAsia" w:ascii="宋体" w:hAnsi="宋体" w:eastAsia="宋体" w:cs="宋体"/>
          <w:color w:val="auto"/>
          <w:sz w:val="21"/>
          <w:szCs w:val="21"/>
          <w:highlight w:val="none"/>
        </w:rPr>
        <w:t>对上级不礼貌、顶撞、辱骂、违背或不服从管理的每次罚款200元。</w:t>
      </w:r>
    </w:p>
    <w:p w14:paraId="7E23E9EA">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内部常规处罚：</w:t>
      </w:r>
      <w:r>
        <w:rPr>
          <w:rFonts w:hint="eastAsia" w:ascii="宋体" w:hAnsi="宋体" w:eastAsia="宋体" w:cs="宋体"/>
          <w:color w:val="auto"/>
          <w:sz w:val="21"/>
          <w:szCs w:val="21"/>
          <w:highlight w:val="none"/>
          <w:lang w:val="zh-CN"/>
        </w:rPr>
        <w:t>（1）工作日志、交接班记录、管理账册等记录等不到位，未填写甚至弄虚作假的，每发现一次扣200元；（2）检查制度流于形式或缺失的，每发现一次扣200元；（3）项目经理和分项管理负责人未经批准被发现兼任本项目外其它项目管理人员的，每发现一起扣500元；（4）未经批准发生迟到、早退、离岗等不在岗行为，项目经理每次扣300元，分项管理负责人每次扣200元，普通员工每次扣150元；（5）酒后上岗每次扣200元，上班时间喝酒每次扣300元；馆区内吸烟每次扣50元；（6）人员上岗未统一着装，着装不干净整治、无佩证上岗，上班时间打瞌睡、不按规定报岗、巡逻每次每项扣50元；（7）上班蹿岗、扎堆聊天每次扣20元。发生吵架和骂人事件每次扣100元，发生打架事件每次扣200元。情节严重的可对其作出开除处罚；（8）其他工作人员做与工作无关的事每次每项扣20元。</w:t>
      </w:r>
    </w:p>
    <w:p w14:paraId="5B3537EF">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清洁卫生处罚：</w:t>
      </w:r>
      <w:r>
        <w:rPr>
          <w:rFonts w:hint="eastAsia" w:ascii="宋体" w:hAnsi="宋体" w:eastAsia="宋体" w:cs="宋体"/>
          <w:color w:val="auto"/>
          <w:sz w:val="21"/>
          <w:szCs w:val="21"/>
          <w:highlight w:val="none"/>
          <w:lang w:val="zh-CN"/>
        </w:rPr>
        <w:t>（1）馆内保洁设施和保洁工具无序放置；保洁工具不清洁；果壳箱及垃圾桶内有隔夜垃圾、各类公共设施有蜘蛛网、积尘，地面及洗手盆有积水，30分钟内未清理完成，每次每项扣20元；（2）道路及绿化带内有色垃圾未定期清理完成的，每发现一次扣50元；（3）卫生间内有粪便、粪迹、污垢、积尘，地面及洗手盆有积水，30分钟内未清理完成，每次每项扣50元；（4）其它未达到卫生保洁岗位管理要求可口头警告一次，如仍未整改到位每次每项扣50元。</w:t>
      </w:r>
    </w:p>
    <w:p w14:paraId="2F9C4E99">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建筑、设施设备及水电等维护维修、高配管理处罚：</w:t>
      </w:r>
      <w:r>
        <w:rPr>
          <w:rFonts w:hint="eastAsia" w:ascii="宋体" w:hAnsi="宋体" w:eastAsia="宋体" w:cs="宋体"/>
          <w:color w:val="auto"/>
          <w:sz w:val="21"/>
          <w:szCs w:val="21"/>
          <w:highlight w:val="none"/>
          <w:lang w:val="zh-CN"/>
        </w:rPr>
        <w:t>（1）巡视记录及运行记录不齐全发现一次扣20元，导致不良后果的每次扣100元；（2）排水系统未及时检查清淤的，每发现一次扣50元；（3）简易的门窗、家具等设施维修不及时的每发现一次扣20元；（4）维修维护不到位不及时，导致设备无法正常启动，每次扣100元；（5）报修不及时或违规用火用电导致事故，维修不到位导致不良后果的，每发生一起扣500元；（6）发现明显的水电浪费现象的，每次扣50元。</w:t>
      </w:r>
    </w:p>
    <w:p w14:paraId="4A02CF97">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会务服务处罚：</w:t>
      </w:r>
      <w:r>
        <w:rPr>
          <w:rFonts w:hint="eastAsia" w:ascii="宋体" w:hAnsi="宋体" w:eastAsia="宋体" w:cs="宋体"/>
          <w:color w:val="auto"/>
          <w:sz w:val="21"/>
          <w:szCs w:val="21"/>
          <w:highlight w:val="none"/>
          <w:lang w:val="zh-CN"/>
        </w:rPr>
        <w:t>（1）会场布置或场所卫生不到位的，每发现一次,50元；（2）服务期间脱岗的，每发现一次扣50元；（3）会议及接待结束后未关闭设施设备的，每发现一次扣20元；（4）设备调整不到位的且造成不良后果的，每发现一起扣100元。</w:t>
      </w:r>
    </w:p>
    <w:p w14:paraId="0CBAC0AE">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6</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保安服务处罚：</w:t>
      </w:r>
      <w:r>
        <w:rPr>
          <w:rFonts w:hint="eastAsia" w:ascii="宋体" w:hAnsi="宋体" w:eastAsia="宋体" w:cs="宋体"/>
          <w:color w:val="auto"/>
          <w:sz w:val="21"/>
          <w:szCs w:val="21"/>
          <w:highlight w:val="none"/>
          <w:lang w:val="zh-CN"/>
        </w:rPr>
        <w:t>（1）对游客不礼貌、导致争吵或打架事件每次扣200元，情节严重的可对其作出开除处理；（2）对来访人员、车辆、信件快递收发等未按要求记录，每次扣100元；（3）未按规定对馆区消防设施灭火器或防火巡查检查登记，每次扣200元；（4）消（监）控室人员未按规定时间布防、撤防、检查登记，每次扣200元；（5）违反服务单位有关规章制度，经教育屡教不改的，每次扣200元；（6）玩忽职守，因工作失职导致财产损失及严重不良后果的，每次扣500元，情节严重的可对其作出开除处理。</w:t>
      </w:r>
    </w:p>
    <w:p w14:paraId="71644ACB">
      <w:pPr>
        <w:pageBreakBefore w:val="0"/>
        <w:kinsoku/>
        <w:wordWrap/>
        <w:overflowPunct/>
        <w:topLinePunct w:val="0"/>
        <w:bidi w:val="0"/>
        <w:snapToGrid/>
        <w:spacing w:line="360" w:lineRule="auto"/>
        <w:ind w:left="0" w:right="0" w:rightChars="0" w:firstLine="371" w:firstLineChars="177"/>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注：以上款项由业主单位每季度汇总，发函物业保安公司后直接从服务费中扣除。</w:t>
      </w:r>
    </w:p>
    <w:p w14:paraId="0110A975">
      <w:pPr>
        <w:pageBreakBefore w:val="0"/>
        <w:kinsoku/>
        <w:wordWrap/>
        <w:overflowPunct/>
        <w:topLinePunct w:val="0"/>
        <w:bidi w:val="0"/>
        <w:snapToGrid/>
        <w:spacing w:line="360" w:lineRule="auto"/>
        <w:ind w:left="0" w:right="0" w:rightChars="0"/>
        <w:textAlignment w:val="auto"/>
        <w:rPr>
          <w:rFonts w:hint="eastAsia" w:ascii="宋体" w:hAnsi="宋体" w:eastAsia="宋体" w:cs="宋体"/>
          <w:b/>
          <w:color w:val="auto"/>
          <w:sz w:val="21"/>
          <w:szCs w:val="21"/>
          <w:highlight w:val="none"/>
          <w:lang w:val="zh-CN"/>
        </w:rPr>
      </w:pPr>
    </w:p>
    <w:p w14:paraId="4ADA0F25">
      <w:pPr>
        <w:pageBreakBefore w:val="0"/>
        <w:kinsoku/>
        <w:wordWrap/>
        <w:overflowPunct/>
        <w:topLinePunct w:val="0"/>
        <w:bidi w:val="0"/>
        <w:snapToGrid/>
        <w:spacing w:line="360" w:lineRule="auto"/>
        <w:ind w:left="0" w:right="0" w:rightChars="0"/>
        <w:textAlignment w:val="auto"/>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六、其他要求</w:t>
      </w:r>
    </w:p>
    <w:p w14:paraId="5DEB72E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1.投标人具有有效期内的ISO质量管理体系认证证书、ISO14001环境管理体系认证证书、ISO45001职业健康安全管理体系认证证书、ISO27001信息安全管理体系认证证书，投标文件中提供相关证明材料。</w:t>
      </w:r>
    </w:p>
    <w:p w14:paraId="7030551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2.投标人2021年1月1日以来（以合同签订时间为准）承担过公益类场馆物业保安服务项目，投标文件中提供相关证明材料。</w:t>
      </w:r>
    </w:p>
    <w:p w14:paraId="60684ED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3.投标人对项目进行深入了解，可在投标文件中提出其他增值服务承诺。</w:t>
      </w:r>
    </w:p>
    <w:p w14:paraId="6564F7E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4.投标人具有智慧物业相关系统平台，投标文件中提供国家版权局颁发的计算机软件登记证书。</w:t>
      </w:r>
    </w:p>
    <w:p w14:paraId="7EAA1949">
      <w:pPr>
        <w:pageBreakBefore w:val="0"/>
        <w:kinsoku/>
        <w:wordWrap/>
        <w:overflowPunct/>
        <w:topLinePunct w:val="0"/>
        <w:bidi w:val="0"/>
        <w:snapToGrid/>
        <w:spacing w:line="360" w:lineRule="auto"/>
        <w:ind w:left="0" w:right="0" w:rightChars="0"/>
        <w:textAlignment w:val="auto"/>
        <w:rPr>
          <w:rFonts w:hint="eastAsia" w:ascii="宋体" w:hAnsi="宋体" w:cs="宋体"/>
          <w:b w:val="0"/>
          <w:bCs/>
          <w:color w:val="auto"/>
          <w:sz w:val="21"/>
          <w:szCs w:val="21"/>
          <w:highlight w:val="none"/>
          <w:lang w:val="en-US" w:eastAsia="zh-CN"/>
        </w:rPr>
      </w:pPr>
    </w:p>
    <w:p w14:paraId="1467577C">
      <w:pPr>
        <w:pageBreakBefore w:val="0"/>
        <w:kinsoku/>
        <w:wordWrap/>
        <w:overflowPunct/>
        <w:topLinePunct w:val="0"/>
        <w:bidi w:val="0"/>
        <w:snapToGrid/>
        <w:spacing w:line="360" w:lineRule="auto"/>
        <w:ind w:left="0" w:right="0" w:rightChars="0"/>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七、具体服务要求</w:t>
      </w:r>
    </w:p>
    <w:p w14:paraId="42108155">
      <w:pPr>
        <w:pageBreakBefore w:val="0"/>
        <w:kinsoku/>
        <w:wordWrap/>
        <w:overflowPunct/>
        <w:topLinePunct w:val="0"/>
        <w:autoSpaceDE w:val="0"/>
        <w:autoSpaceDN w:val="0"/>
        <w:bidi w:val="0"/>
        <w:adjustRightInd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卫生保洁及消杀服务</w:t>
      </w:r>
    </w:p>
    <w:p w14:paraId="2AFAE554">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一、工作内容</w:t>
      </w:r>
    </w:p>
    <w:p w14:paraId="4F0EA0E2">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项目占地总面积约27亩，建筑面积约12000㎡。卫生保洁及消杀范围包括主楼、学术楼、车库、观光塔、临建房和临用房等建筑。公共区域包括周界内区域及周界北侧连片覆盖绿化区域、水池、停车场等；业主单位指定的其它区域。</w:t>
      </w:r>
    </w:p>
    <w:p w14:paraId="4F3270D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馆区外围公共区域：台阶、雕塑、休息椅（石凳）、景观水池、游步道两侧和山体绿化、景观水池、广场、水沟、路边绿化、草坪、路灯、指示牌、说明牌、栏杆、果壳箱、屋顶清扫、停车场等外围公共区域涉及的清卫保洁服务。</w:t>
      </w:r>
    </w:p>
    <w:p w14:paraId="41E1094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展览区及观光塔：屋顶、展厅门框、墙面、包脚线、楼梯扶手、栏杆、展柜、玻璃幕墙（地面6米以下）、玻璃门、窗、地面、台阶、垃圾桶、天花板、格栅、灯孔、风口、消防设施表面、电梯轿厢内表面、自动扶梯、休闲服务区、公共设施、水池、厕所等展馆所涉及的清洁保洁服务，花岗岩、木地板和地毯清洁保养。</w:t>
      </w:r>
    </w:p>
    <w:p w14:paraId="504EE06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大厅、办公区及辅楼：家具、屋顶、墙面、地面、门框、包脚线、垃圾桶、天花板、风口、灯具、消防设施表面、楼梯扶手、栏杆、台阶、玻璃幕墙（地面6米以下）、厕所、会议室、报告厅、贵宾接待室、电梯轿厢内表面、仓库、外协单位食堂等涉及的清卫保洁服务。花岗岩、木地板和地毯清洁保养。</w:t>
      </w:r>
    </w:p>
    <w:p w14:paraId="1D5D55E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玻璃幕墙（地面6米以下）及玻璃顶棚的日常维护保养、清洁。</w:t>
      </w:r>
    </w:p>
    <w:p w14:paraId="144C88C4">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冬季及时抗雪，保证道路畅通，游步道无积雪、结冰、积水；夏秋季及时采取抗台风措施。</w:t>
      </w:r>
    </w:p>
    <w:p w14:paraId="069CB15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清扫保洁垃圾应指定放置处，保持垃圾桶及垃圾桶指定放置处的整洁，并保证垃圾每日清运。如无垃圾清运能力的，可以委托环卫所或其他专业单位。</w:t>
      </w:r>
    </w:p>
    <w:p w14:paraId="645B04A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遇重大节日、节庆活动、旅游旺季和突发事件时，及时增加卫生保洁人员，确保清扫保洁质量，增派人员的费用应考虑在总报价中。</w:t>
      </w:r>
    </w:p>
    <w:p w14:paraId="2AC16F69">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5B84D05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卫生保洁工作宜设置主管一名（或其它岗位人员兼），各岗位的设置及工作时间必须符合招标人的要求。工作人员应无犯罪记录、无不良嗜好，正确掌握相关专用设备使用。</w:t>
      </w:r>
    </w:p>
    <w:p w14:paraId="4CFCE39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要求持证上岗，做到四定（定人、定点、定范围、定责任），不得蹿岗，衔接好交接班。</w:t>
      </w:r>
    </w:p>
    <w:p w14:paraId="1F37E60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必须统一着装、佩证上岗，做到干净整洁、文明上岗、礼貌待人，不做与工作无关的事。</w:t>
      </w:r>
    </w:p>
    <w:p w14:paraId="62CADE9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在岗时间严禁喝酒、打瞌睡等严重违纪事件。</w:t>
      </w:r>
    </w:p>
    <w:p w14:paraId="0C584995">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三、保洁管理要求</w:t>
      </w:r>
    </w:p>
    <w:p w14:paraId="5BA1A1F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如遇重大活动和节庆活动时根据实际情况适时延长，每日要求在早上8：00时前完成对馆区所有办公室、卫生间等保洁。</w:t>
      </w:r>
    </w:p>
    <w:p w14:paraId="71675CE0">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rPr>
        <w:t>（一）馆舍室外绿地、园路、设施等。</w:t>
      </w:r>
    </w:p>
    <w:p w14:paraId="2D174BE2">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馆区范围内要求做到五无，即无积水和淤泥，无果壳和纸屑，无瓶罐和包装袋，无残花败叶，无隔夜垃圾。每天全面清扫并巡回保洁，及时清除保洁范围内的无主垃圾及废土等。</w:t>
      </w:r>
    </w:p>
    <w:p w14:paraId="2740C60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道路园路保洁：要求每天早上8：00之前完成对馆舍周围道路的清扫；路面清扫做到无遗留垃圾、无积泥、无积水、无窨井眼堵塞，不得将垃圾扫至角落。保洁区出现有色垃圾，要求在30分钟内完全清除，并定期对道路和园路进行冲洗。垃圾桶和果壳箱每天2次保洁，实行专人管理。垃圾桶要求摆放整齐、无残缺、破损，果壳箱内无隔夜垃圾，冲洗空桶内壁无异味；内外壁无明显积灰、污垢，及时协助做好垃圾清运工作；垃圾桶附近地面和墙面无污迹、粘附物，干净、干燥无异味。</w:t>
      </w:r>
    </w:p>
    <w:p w14:paraId="75EED52B">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城市道路保洁：指路牌、导游牌、告示牌、园椅、路灯、音响、泛光照明等园内设施要定期安排擦洗，保持外观干净整治，无积尘，无蜘蛛网、周围无有色垃圾，园椅及休息设施需定期擦洗，保持干净。</w:t>
      </w:r>
    </w:p>
    <w:p w14:paraId="351DC38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绿地保洁：绿化带、草皮保持清洁，做到范围内无白色污染垃圾、瓜皮、果壳和纸屑，无落叶及枯死枝堆积，道路落叶每天清扫干净，遇馆区大面积草坪滚剪，要及时协助清理修剪现场，清运相关垃圾。</w:t>
      </w:r>
    </w:p>
    <w:p w14:paraId="378455C2">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厕所保洁：</w:t>
      </w:r>
      <w:r>
        <w:rPr>
          <w:rFonts w:hint="eastAsia" w:ascii="宋体" w:hAnsi="宋体" w:eastAsia="宋体" w:cs="宋体"/>
          <w:color w:val="auto"/>
          <w:spacing w:val="-4"/>
          <w:sz w:val="21"/>
          <w:szCs w:val="21"/>
          <w:highlight w:val="none"/>
          <w:lang w:val="zh-CN"/>
        </w:rPr>
        <w:t>按照业主单位作息制度进行保洁；地面干净，无积水、垃圾、杂物、灰土、污渍、痰迹、烟蒂等脏物，室内无异味；大小便池等卫生洁具干净、光亮无污迹，不变色，无尿碱、无蛆虫、无大小便堆积及满溢；镜面干净光亮、无污迹；裙墙、隔离板、蹲台无粪迹；门窗、电灯、内外墙体无污斑、蛛网。电灯无残缺、不亮。视野环境无苍蝇、蜘蛛等昆虫，飞虫按规定时间进行消杀，公厕废弃物需袋装清运，雨、雪天需摆放醒目防滑告示牌及提醒游客注意安全，并加强地面拖扫，保持地面干燥。</w:t>
      </w:r>
    </w:p>
    <w:p w14:paraId="43CE982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垃圾清运：及时处理垃圾，废弃物分类按相关规定执行，实行日产日清。垃圾桶应实行密封管理，无吊挂物，保持垃圾箱外表干净无污迹无破损。收集的垃圾及时运至垃圾倾倒指定点。</w:t>
      </w:r>
    </w:p>
    <w:p w14:paraId="4C4153D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特殊天气应对：雨、雪、台风前做好相应防范工作，其后及时打扫园路、道路和各出入口台阶积水、积雪、泥沙、树枝落叶等。</w:t>
      </w:r>
    </w:p>
    <w:p w14:paraId="7C6BCD1A">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建筑物、构筑物外观无积尘，无污泥，无蛛网，无屋面草。</w:t>
      </w:r>
    </w:p>
    <w:p w14:paraId="24025467">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馆区范围内不准乱放保洁工具等。</w:t>
      </w:r>
    </w:p>
    <w:p w14:paraId="620D6AA5">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（二）建筑及建筑内部等。</w:t>
      </w:r>
    </w:p>
    <w:p w14:paraId="25BE1EF1">
      <w:pPr>
        <w:pageBreakBefore w:val="0"/>
        <w:tabs>
          <w:tab w:val="left" w:pos="98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大厅、展厅、体验馆、观众服务区等。</w:t>
      </w:r>
    </w:p>
    <w:p w14:paraId="15674BFC">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（1）每天巡回保洁要求：地面干净、干燥，无垃圾、杂物、污渍、灰土、痰迹、烟蒂，湿滑需摆放安全告示牌；展柜玻璃、镜面干净光亮，无污迹、灰尘、无水迹、手印迹；观众休息桌椅等干净、光亮无污迹。</w:t>
      </w:r>
    </w:p>
    <w:p w14:paraId="7193CB6E">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（2）每天1次保洁要求：照明外壳无积灰、污迹、蜘蛛网；金属件干净、光亮无污迹，不变色；观众活动设施表面干净、光亮无污迹。</w:t>
      </w:r>
    </w:p>
    <w:p w14:paraId="76A57C4D">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（3）门、窗每周1次保洁，要求干净无污渍、浮尘。展厅内的墙面、柱形及拐角储物装饰柜、玻璃门框、门标、开关和踢脚线要求每周一次保洁，要求清洁整齐，无污渍和浮尘。</w:t>
      </w:r>
    </w:p>
    <w:p w14:paraId="1D5AEBFA">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（4）石材、木地板地面要求每季打蜡不小于1次；墙面、天顶干净无污迹、浮尘、蜘蛛网，要求每月3次保洁。</w:t>
      </w:r>
    </w:p>
    <w:p w14:paraId="4C5879EC">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（5）宣传栏、布告栏框架干净无污迹，要求每周3次保洁。</w:t>
      </w:r>
    </w:p>
    <w:p w14:paraId="64A7AAC0">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（6）卫生间要求按（一）5标准巡回保洁，下水道要求畅通无堵塞。</w:t>
      </w:r>
    </w:p>
    <w:p w14:paraId="5496BF24">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（7）各类设施设备物品按指定位置摆放，整齐有序。</w:t>
      </w:r>
    </w:p>
    <w:p w14:paraId="3EF12D9B">
      <w:pPr>
        <w:pageBreakBefore w:val="0"/>
        <w:tabs>
          <w:tab w:val="left" w:pos="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办公区域、学术楼、传达室。</w:t>
      </w:r>
    </w:p>
    <w:p w14:paraId="08455D97">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办公室、贵宾室、接待室、会议室及学术楼：办公室、贵宾室、接待室、会议室及学术楼要求使用后及时清理。沙发、茶几、茶具每次使用前后清洁，且每周保洁1次，要求干净无污迹，光亮整洁。每天巡回保洁要求：地面（不含宿舍）干净、干燥，无垃圾、杂物、污渍、灰土、痰迹、烟蒂，湿滑需摆放安全告示牌；每天1次保洁要求：宿舍打扫，物品整理；照明外壳无积灰、污迹；金属件干净、光亮无污迹，不变色；桌椅、橱柜干净无污迹，光亮整洁；垃圾桶内无隔夜垃圾，无异味，内外壁无明显积灰和污垢。石材、木地板地面要求每季打蜡不小于1次；地毯每周吸尘不小于1次，每半年清洗1次。墙面、天顶干净无污迹、浮尘、蜘蛛网，要求每月3次保洁。公共文印区定时巡检和设备外壳清理。</w:t>
      </w:r>
    </w:p>
    <w:p w14:paraId="444CD430">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（2）走廊、通道、卫生间、下水道等：每天2次保洁要求：地面干净、干燥，无垃圾、杂物、污渍、灰土、痰迹、烟蒂，湿滑需摆放安全告示牌。卫生间要求按（一）5标准巡回保洁，下水道要求畅通无堵塞。</w:t>
      </w:r>
    </w:p>
    <w:p w14:paraId="2F128AB9">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（3）传达室：室内每天1次保洁，要求地面干净整洁无杂物；墙面和顶部每月1次保洁，要求墙面四周无污迹，顶部无蜘蛛网。</w:t>
      </w:r>
    </w:p>
    <w:p w14:paraId="7C000B66">
      <w:pPr>
        <w:pageBreakBefore w:val="0"/>
        <w:tabs>
          <w:tab w:val="left" w:pos="98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其它公共区域：公共通道、楼梯、客梯、自动扶梯（已停用）、电梯前室、卫生间、临建房和临用房等。</w:t>
      </w:r>
    </w:p>
    <w:p w14:paraId="32830A29">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公共通道、楼梯、电梯前室、临建房和临用房等：每天巡回保洁：地面干净、干燥，无垃圾、杂物、污渍、灰土、痰迹、烟蒂，湿滑需摆放安全告示牌；沙发、茶几无灰尘、污迹，光亮整洁。每天1次保洁要求：照明外壳无积灰、污迹、蜘蛛网；金属件干净、光亮无污迹，不变色；观众活动设施表面干净、光亮无污迹。门、窗每周1次保洁，要求干净无污渍、浮尘；墙面天顶每月2次保洁，要求墙面、天顶干净无脏污、无积灰、蜘蛛网。石材地面要求每季打蜡不小于1次。</w:t>
      </w:r>
    </w:p>
    <w:p w14:paraId="0B7B1F38">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客梯、自动扶梯（已停用）：每天巡回保洁要求：电梯轿厢干净无垃圾杂物，镜面（不锈钢面）无手印迹，门面光亮无灰尘、显示屏干净无灰尘；电梯轿厢每天1次保洁，要求内壁、门槽、顶部无积灰；扶手、栏梯、梯级每周1次保洁，要求干净无垃圾杂物、污迹、泥土。</w:t>
      </w:r>
    </w:p>
    <w:p w14:paraId="0B367F31">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（3）照明设施：每周1次保洁要求：绿地矮灯干净无积灰；灯杆无脏污、粘附物，灯罩无积灰。每月一次保洁要求：目视灯具、灯管无灰尘，灯具内无蚊虫，灯罩、灯盖无积灰。</w:t>
      </w:r>
    </w:p>
    <w:p w14:paraId="7544A358">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（4）果壳箱周边每天2次保洁，要求果壳箱要求摆放整齐、无残缺、破损，内部无隔夜垃圾，无异味；内外壁无明显积灰、污垢。</w:t>
      </w:r>
    </w:p>
    <w:p w14:paraId="44B12E85">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（5）天台、平台每周1次保洁，要求地面屋面无垃圾杂物，排水口畅通，无杂草。</w:t>
      </w:r>
    </w:p>
    <w:p w14:paraId="58127B44">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（6）走廊、通道、卫生间、下水道等：每天2次保洁要求：地面干净、干燥，无垃圾、杂物、污渍、灰土、痰迹、烟蒂，湿滑需摆放安全告示牌。卫生间要求按（一）5标准巡回保洁，下水道要求畅通无堵塞。</w:t>
      </w:r>
    </w:p>
    <w:p w14:paraId="07F5EFF0">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（7）排水沟要求每周1次保洁，要求排水畅通无堵塞，积水、味，目视干净无杂草、杂物。</w:t>
      </w:r>
    </w:p>
    <w:p w14:paraId="385C02FC">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（8）幕墙玻璃：玻璃顶要求每两周1次保洁；幕墙玻璃内外周1次保洁，要求立面6米以下无污垢。</w:t>
      </w:r>
    </w:p>
    <w:p w14:paraId="695CF3C6">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（9）开水炉每月清洗1－2次。</w:t>
      </w:r>
    </w:p>
    <w:p w14:paraId="23A10F62">
      <w:pPr>
        <w:pageBreakBefore w:val="0"/>
        <w:tabs>
          <w:tab w:val="left" w:pos="98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藏品中转区（含公共通道、鉴定室、预备间等）、文物文献库房、财务库房、人事档案室、弱电机房等。</w:t>
      </w:r>
    </w:p>
    <w:p w14:paraId="0D0FEFCB">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按照业主要求不定期保洁：要求地面干净无污渍、灰尘、痰迹；墙面、天顶干净无污迹、浮尘；照明外壳无积灰、污迹；金属件干净、光亮无污迹，不变色；目视标识、指示牌、管道无灰尘。</w:t>
      </w:r>
    </w:p>
    <w:p w14:paraId="5084C3E0">
      <w:pPr>
        <w:pageBreakBefore w:val="0"/>
        <w:tabs>
          <w:tab w:val="left" w:pos="98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消（监）控室机房设施设备。</w:t>
      </w:r>
    </w:p>
    <w:p w14:paraId="6F4B3E08">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消监控机房每天1次保洁，要求地面、墙面、天顶干净无脏污、无积灰、无蜘蛛网。每周1次保洁要求：监控探头镜头干净无积灰、浮尘；消防烟感器、指示灯、消防栓、消防箱内外无积灰，出风口无灰尘、污迹。</w:t>
      </w:r>
    </w:p>
    <w:p w14:paraId="33A0A61C">
      <w:pPr>
        <w:pageBreakBefore w:val="0"/>
        <w:tabs>
          <w:tab w:val="left" w:pos="980"/>
        </w:tabs>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设备间、观光塔及其连廊、其它库房等。</w:t>
      </w:r>
    </w:p>
    <w:p w14:paraId="1EFE5A2D">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每月两次保洁要求：要求地面干净无污渍、灰尘、痰迹；墙面、天顶干净无污迹、浮尘；照明外壳无积灰、污迹；金属件干净、光亮无污迹，不变色；目视标识、指示牌、管道无灰尘；观光塔内展柜玻璃、镜面干净光亮，无污迹、灰尘、无水迹、手印迹。</w:t>
      </w:r>
    </w:p>
    <w:p w14:paraId="3F1E51EA">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（三）消杀管理要求。</w:t>
      </w:r>
    </w:p>
    <w:p w14:paraId="2896599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四害和防白蚁蚊虫具体工作不是本次投标内容，但投标人应做好除四害和防白蚁蚊虫服务单位的下述内容的管理、检查和督促工作。需提前十天制定除害（蛇、鼠、蚊、蟑等）计划，详细表述时间地点和用药名称等，交管理人员认可。实施前一周应书面和口头通知相关单位和个人。除害原则上应在闭馆后进行，以降低出现意外事件概率。要求每半月对公共区域消杀1次，若有需要根据实际情况适当增减。每次消杀记录需经管理人员认可。防蛇要求：在馆内各楼层、草地一年两次施放硫磺粉、雄黄粉等放蛇药以防蛇患。如发现蛇出没，应采取安全措施及时捕杀。防鼠要求：每月施药灭鼠一次，如发现鼠患，及时处理并有明显效果。</w:t>
      </w:r>
    </w:p>
    <w:p w14:paraId="70EB112E">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p>
    <w:p w14:paraId="5D9A6225">
      <w:pPr>
        <w:pageBreakBefore w:val="0"/>
        <w:kinsoku/>
        <w:wordWrap/>
        <w:overflowPunct/>
        <w:topLinePunct w:val="0"/>
        <w:bidi w:val="0"/>
        <w:snapToGrid/>
        <w:spacing w:line="360" w:lineRule="auto"/>
        <w:ind w:left="0" w:right="0" w:rightChars="0"/>
        <w:textAlignment w:val="auto"/>
        <w:rPr>
          <w:rFonts w:hint="eastAsia" w:ascii="宋体" w:hAnsi="宋体" w:eastAsia="宋体" w:cs="宋体"/>
          <w:color w:val="auto"/>
          <w:sz w:val="21"/>
          <w:szCs w:val="21"/>
          <w:highlight w:val="none"/>
          <w:lang w:val="zh-CN"/>
        </w:rPr>
      </w:pPr>
    </w:p>
    <w:p w14:paraId="25F9DAC4">
      <w:pPr>
        <w:pageBreakBefore w:val="0"/>
        <w:kinsoku/>
        <w:wordWrap/>
        <w:overflowPunct/>
        <w:topLinePunct w:val="0"/>
        <w:autoSpaceDE w:val="0"/>
        <w:autoSpaceDN w:val="0"/>
        <w:bidi w:val="0"/>
        <w:adjustRightInd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第二部分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保安服务</w:t>
      </w:r>
    </w:p>
    <w:p w14:paraId="59CC6AD5">
      <w:pPr>
        <w:pStyle w:val="155"/>
        <w:pageBreakBefore w:val="0"/>
        <w:numPr>
          <w:ilvl w:val="0"/>
          <w:numId w:val="6"/>
        </w:numPr>
        <w:kinsoku/>
        <w:wordWrap/>
        <w:overflowPunct/>
        <w:topLinePunct w:val="0"/>
        <w:bidi w:val="0"/>
        <w:snapToGrid/>
        <w:spacing w:line="360" w:lineRule="auto"/>
        <w:ind w:left="0" w:right="0" w:rightChars="0" w:firstLineChars="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工作内容</w:t>
      </w:r>
    </w:p>
    <w:p w14:paraId="696CBFC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负责博物馆门岗、陈列展厅值勤、安全巡逻、防火巡查、消（监）控室值班、人员车辆及物品进出安全防护工作，消防设施灭火器材检查，微型消防站及防暴恐应急处置，确保博物馆人身财产安全和后勤保障服务。</w:t>
      </w:r>
    </w:p>
    <w:p w14:paraId="780A9615">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157D84FA">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文明用语、热情服务，精神饱满、姿态端正。</w:t>
      </w:r>
    </w:p>
    <w:p w14:paraId="50E9DD6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着装统一，佩戴工作牌，配置安全防护应急器材。</w:t>
      </w:r>
    </w:p>
    <w:p w14:paraId="31DD856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工作期间不追逐打闹或大声喧哗与工作无关的事宜。</w:t>
      </w:r>
    </w:p>
    <w:p w14:paraId="6A7DE92C">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不与他人发生争吵、打架或过激行为。</w:t>
      </w:r>
    </w:p>
    <w:p w14:paraId="0F6FE10B">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坚守本职岗位，不得擅自离岗、串岗或睡岗。</w:t>
      </w:r>
    </w:p>
    <w:p w14:paraId="425B5C9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禁止酒后值勤或在值勤中饮酒，馆区禁止吸烟。</w:t>
      </w:r>
    </w:p>
    <w:p w14:paraId="67EAFF49">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三、工作要求</w:t>
      </w:r>
    </w:p>
    <w:p w14:paraId="74B33B8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博物馆是社会公众开放性服务单位，展馆常年对外开放，每周一闭馆（法定假日除外），重要岗位实行全年24小时值班工作制。</w:t>
      </w:r>
    </w:p>
    <w:p w14:paraId="1245C38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每日实行人员到岗上报制度，中标单位需提供人员安排表提交甲方审核认可。</w:t>
      </w:r>
    </w:p>
    <w:p w14:paraId="19FA1CA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消（监）控室实行双人上岗值班管理，必须持有消防设施操作员（中级）证上岗，具有一定的文字能力及电脑基本操作，熟练掌握消防设备器材及灭火应急预案的实施操作，在服务合同任职期间消（监）控人员不得随意调换，必须征求甲方同意。</w:t>
      </w:r>
    </w:p>
    <w:p w14:paraId="7FC0C08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建立岗前培训和安全教育制度，制定防火、防暴恐应急方案，定期组织演练并建立台账。</w:t>
      </w:r>
    </w:p>
    <w:p w14:paraId="0BC3F91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制定保安人员管理制度、岗位职责、考核及奖惩细则等。</w:t>
      </w:r>
    </w:p>
    <w:p w14:paraId="7747FE1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按要求设定人员数量、作息时间，如人员调整补充因征得甲方同意。</w:t>
      </w:r>
    </w:p>
    <w:p w14:paraId="30D4136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保安人员上岗前需在公安机关进行查验备案，对有案底或有不良违法记录人员不得录用，正式录用需签订书面的保密协议，经甲方管理部门认可后才可上岗。</w:t>
      </w:r>
    </w:p>
    <w:p w14:paraId="657B4CB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对新进保安人员原则上不得少于一周的岗前培训（需持证上岗），由主管进行培训合格后，交由班长安排岗位并交代岗位工作要求。对已入职保安人员，需要定期对其进行培训，消监控、安检、形象岗等特殊岗位重点培训，加强夜间保安管理和工作要求，明确保安巡逻路线和次数，必须掌握应急处置操作方法和消防设施器材正确使用。针对性的定期开展培训考核，通过每月或季度考核来了解保安对岗位职责情况。</w:t>
      </w:r>
    </w:p>
    <w:p w14:paraId="1C3D1C2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博物馆红线范围以内进行24小时安全巡查，明确巡查工作内容并进行详细记录，巡查时必须配带巡更器、防护器材等装备进行定时打点；消（监）控室应保存巡更信息记录，夜间消安防设备报警时，应随时启动相应的应急处置，如需对展区、库房、办公室等，必须2人以上并携带应急装备进入警报区域巡查现场情况。</w:t>
      </w:r>
    </w:p>
    <w:p w14:paraId="6C19BCE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每日实行消防安全防火巡查打点，夜间保安人员实行定时报岗和巡查制度，各岗位每半小时至每一小时向消（监）控室报告现场情况，报岗人需指定在监控摄像机范围内进行报岗。</w:t>
      </w:r>
    </w:p>
    <w:p w14:paraId="1BC0EA2C">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bookmarkStart w:id="40" w:name="OLE_LINK5"/>
      <w:bookmarkStart w:id="41" w:name="OLE_LINK6"/>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按要求制订防火、防爆恐</w:t>
      </w:r>
      <w:bookmarkEnd w:id="40"/>
      <w:bookmarkEnd w:id="41"/>
      <w:r>
        <w:rPr>
          <w:rFonts w:hint="eastAsia" w:ascii="宋体" w:hAnsi="宋体" w:eastAsia="宋体" w:cs="宋体"/>
          <w:color w:val="auto"/>
          <w:sz w:val="21"/>
          <w:szCs w:val="21"/>
          <w:highlight w:val="none"/>
          <w:lang w:val="zh-CN"/>
        </w:rPr>
        <w:t>事件应急预案，每月组织不少于4次的突发事件应急演练，定期组织微型消防站人员进行实操演练，以“救早、灭小”为目的，必须达到“1分钟响应启动、3分钟到场扑救、5分钟协同作战”的要求。</w:t>
      </w:r>
    </w:p>
    <w:p w14:paraId="3BB0518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12.按照属地消防主管部门要求，做好博物馆消防安全重点单位的各项制度建设、培训演练、检查和应急处置工作。</w:t>
      </w:r>
    </w:p>
    <w:p w14:paraId="28937AB6">
      <w:pPr>
        <w:pStyle w:val="162"/>
        <w:pageBreakBefore w:val="0"/>
        <w:kinsoku/>
        <w:wordWrap/>
        <w:overflowPunct/>
        <w:topLinePunct w:val="0"/>
        <w:bidi w:val="0"/>
        <w:snapToGrid/>
        <w:spacing w:line="360" w:lineRule="auto"/>
        <w:ind w:left="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13.按照属地公安机关和反恐怖主管部门要求，做好博物馆反恐怖安全防范。</w:t>
      </w:r>
    </w:p>
    <w:p w14:paraId="00936E8E">
      <w:pPr>
        <w:pStyle w:val="162"/>
        <w:pageBreakBefore w:val="0"/>
        <w:kinsoku/>
        <w:wordWrap/>
        <w:overflowPunct/>
        <w:topLinePunct w:val="0"/>
        <w:bidi w:val="0"/>
        <w:snapToGrid/>
        <w:spacing w:line="360" w:lineRule="auto"/>
        <w:ind w:left="0" w:right="0" w:rightChars="0" w:firstLine="560"/>
        <w:textAlignment w:val="auto"/>
        <w:rPr>
          <w:rFonts w:hint="eastAsia" w:ascii="宋体" w:hAnsi="宋体" w:eastAsia="宋体" w:cs="宋体"/>
          <w:color w:val="auto"/>
          <w:sz w:val="21"/>
          <w:szCs w:val="21"/>
          <w:highlight w:val="none"/>
        </w:rPr>
      </w:pPr>
    </w:p>
    <w:p w14:paraId="7ACF3D38">
      <w:pPr>
        <w:pStyle w:val="162"/>
        <w:pageBreakBefore w:val="0"/>
        <w:kinsoku/>
        <w:wordWrap/>
        <w:overflowPunct/>
        <w:topLinePunct w:val="0"/>
        <w:bidi w:val="0"/>
        <w:snapToGrid/>
        <w:spacing w:line="360" w:lineRule="auto"/>
        <w:ind w:left="0" w:right="0" w:rightChars="0" w:firstLine="560"/>
        <w:textAlignment w:val="auto"/>
        <w:rPr>
          <w:rFonts w:hint="eastAsia" w:ascii="宋体" w:hAnsi="宋体" w:eastAsia="宋体" w:cs="宋体"/>
          <w:color w:val="auto"/>
          <w:sz w:val="21"/>
          <w:szCs w:val="21"/>
          <w:highlight w:val="none"/>
        </w:rPr>
      </w:pPr>
    </w:p>
    <w:p w14:paraId="446BAFB0">
      <w:pPr>
        <w:pageBreakBefore w:val="0"/>
        <w:kinsoku/>
        <w:wordWrap/>
        <w:overflowPunct/>
        <w:topLinePunct w:val="0"/>
        <w:autoSpaceDE w:val="0"/>
        <w:autoSpaceDN w:val="0"/>
        <w:bidi w:val="0"/>
        <w:adjustRightInd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第三部分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建筑、设施设备及水电维护维修服务</w:t>
      </w:r>
    </w:p>
    <w:p w14:paraId="44D36069">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一、工作内容</w:t>
      </w:r>
    </w:p>
    <w:p w14:paraId="0256ECD3">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包括主楼、学术楼、车库、观光塔、岗亭、临建房和临用房等建筑以及其内部的设施设备和水电系统；公共区域包括周界内区域及周界北侧连片覆盖绿化区域、水池、停车场等区域内设施设备及水电系统；其它业主单位指定的区域内的建筑、设施设备及水电维护维修等。</w:t>
      </w:r>
    </w:p>
    <w:p w14:paraId="25441647">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0177352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本部分工作岗位需设维修班长和维修电工，工作人员应熟悉业主单位的基本情况，持证上岗，具备和工作岗位相称的业务资质和专业技能，按照国家和地方规定定期接受培训。</w:t>
      </w:r>
    </w:p>
    <w:p w14:paraId="1757D31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各相关专业人员应配备齐全，岗位设置及工作时间须符合招标人的要求，做到四定（定人、定点、定范围、定责任）不蹿岗，衔接好交接班。特殊情况兼任需合理安排工作内容和工作时间并报请业主单位认可。</w:t>
      </w:r>
    </w:p>
    <w:p w14:paraId="011BD312">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无犯罪记录、无不良嗜好，具有一定的沟通能力。</w:t>
      </w:r>
    </w:p>
    <w:p w14:paraId="0A3962C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须统一着装、佩证上岗，做到干净整洁、文明上岗、礼貌待人。不扎堆聊天，不做与工作无关的事。</w:t>
      </w:r>
    </w:p>
    <w:p w14:paraId="368541C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在岗时间严禁喝酒、打瞌睡等严重违纪事件。</w:t>
      </w:r>
    </w:p>
    <w:p w14:paraId="105CE70E">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三、管理职责</w:t>
      </w:r>
    </w:p>
    <w:p w14:paraId="2EE1BC76">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负责馆区建筑的日常维修维护。</w:t>
      </w:r>
    </w:p>
    <w:p w14:paraId="77ACAF8B">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负责中央空调、恒温恒湿空调、VRV空调、分体式空调等系统的日常运行管理及检修维护。</w:t>
      </w:r>
    </w:p>
    <w:p w14:paraId="7564CD54">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负责5台电梯（不含已停用自动扶梯）设备的日常安全使用和维护管理等。</w:t>
      </w:r>
    </w:p>
    <w:p w14:paraId="68013B76">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负责常用设施设备的检修维护，保证设备正常运转使用，定期检查排查及时消除各类安全隐患。</w:t>
      </w:r>
    </w:p>
    <w:p w14:paraId="7FCBD75F">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负责灯光、会议音响等设备系统的运行管理及各种开关、插座调换，线路检修等日常用电维护以及简单的电路改造等。</w:t>
      </w:r>
    </w:p>
    <w:p w14:paraId="24BFF19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加强节能减排工作，按规定开关公共部位照明灯具，巡视设备密切监视运行情况，正确记录各项数据并填写报表，每月编制书面月度能耗分析报告。</w:t>
      </w:r>
    </w:p>
    <w:p w14:paraId="21A11C15">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负责对办公电话、通讯、电视等设备线路维修维护和简单的改造。</w:t>
      </w:r>
    </w:p>
    <w:p w14:paraId="56500B74">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负责消防设施设备日常安全运行巡查管理。</w:t>
      </w:r>
    </w:p>
    <w:p w14:paraId="60EA30DE">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负责给排水设备管网运行管理及维修，简单的水系统改造和下水管道维修疏通等。</w:t>
      </w:r>
    </w:p>
    <w:p w14:paraId="5D01B9F6">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定期对生活水箱、消防水箱、集水井、污水井设备检查和维修维护等。</w:t>
      </w:r>
    </w:p>
    <w:p w14:paraId="36BE3BC5">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对馆区的门、锁、抽屉、桌椅、灯具等设施提供维修服务。</w:t>
      </w:r>
    </w:p>
    <w:p w14:paraId="3CB15E6F">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及时巡查公用设施，对发生损坏现象及时上报，配合业主单位做好维修工作。</w:t>
      </w:r>
    </w:p>
    <w:p w14:paraId="0399F1AA">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如遇恶劣气候或自然灾害等突发事件，应积极对建筑、设施设备采取事前的预防措施、事中的抢救措施和事后的善后措施。</w:t>
      </w:r>
    </w:p>
    <w:p w14:paraId="774A0132">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14.其它建筑、设备和水电系统的维护维修。</w:t>
      </w:r>
    </w:p>
    <w:p w14:paraId="4B120326">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15.各电气设备、配电箱（柜）及其周围环境的清洁每月两次。</w:t>
      </w:r>
    </w:p>
    <w:p w14:paraId="236C0DAB">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16.定期提出备料计划，协助采购专业性较强的工具和零件。原则上维修中需要的材料（含耗材）、配件的费用均由业主单位支付，业主单位不再额外支付人工费用。</w:t>
      </w:r>
    </w:p>
    <w:p w14:paraId="04EAA3BF">
      <w:pPr>
        <w:pageBreakBefore w:val="0"/>
        <w:kinsoku/>
        <w:wordWrap/>
        <w:overflowPunct/>
        <w:topLinePunct w:val="0"/>
        <w:autoSpaceDE w:val="0"/>
        <w:autoSpaceDN w:val="0"/>
        <w:bidi w:val="0"/>
        <w:adjustRightInd w:val="0"/>
        <w:snapToGrid/>
        <w:spacing w:line="360" w:lineRule="auto"/>
        <w:ind w:left="0" w:right="0" w:rightChars="0"/>
        <w:textAlignment w:val="auto"/>
        <w:rPr>
          <w:rFonts w:hint="eastAsia" w:ascii="宋体" w:hAnsi="宋体" w:eastAsia="宋体" w:cs="宋体"/>
          <w:b/>
          <w:color w:val="auto"/>
          <w:sz w:val="21"/>
          <w:szCs w:val="21"/>
          <w:highlight w:val="none"/>
          <w:lang w:val="zh-CN"/>
        </w:rPr>
      </w:pPr>
    </w:p>
    <w:p w14:paraId="373C848F">
      <w:pPr>
        <w:pageBreakBefore w:val="0"/>
        <w:kinsoku/>
        <w:wordWrap/>
        <w:overflowPunct/>
        <w:topLinePunct w:val="0"/>
        <w:autoSpaceDE w:val="0"/>
        <w:autoSpaceDN w:val="0"/>
        <w:bidi w:val="0"/>
        <w:adjustRightInd w:val="0"/>
        <w:snapToGrid/>
        <w:spacing w:line="360" w:lineRule="auto"/>
        <w:ind w:left="0" w:right="0" w:rightChars="0"/>
        <w:textAlignment w:val="auto"/>
        <w:rPr>
          <w:rFonts w:hint="eastAsia" w:ascii="宋体" w:hAnsi="宋体" w:eastAsia="宋体" w:cs="宋体"/>
          <w:b/>
          <w:color w:val="auto"/>
          <w:sz w:val="21"/>
          <w:szCs w:val="21"/>
          <w:highlight w:val="none"/>
          <w:lang w:val="zh-CN"/>
        </w:rPr>
      </w:pPr>
    </w:p>
    <w:p w14:paraId="3EEB3128">
      <w:pPr>
        <w:pageBreakBefore w:val="0"/>
        <w:kinsoku/>
        <w:wordWrap/>
        <w:overflowPunct/>
        <w:topLinePunct w:val="0"/>
        <w:autoSpaceDE w:val="0"/>
        <w:autoSpaceDN w:val="0"/>
        <w:bidi w:val="0"/>
        <w:adjustRightInd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第四部分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高配值班管理服务</w:t>
      </w:r>
    </w:p>
    <w:p w14:paraId="4D8C6313">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一、工作内容</w:t>
      </w:r>
    </w:p>
    <w:p w14:paraId="72BF49B0">
      <w:pPr>
        <w:pageBreakBefore w:val="0"/>
        <w:tabs>
          <w:tab w:val="left" w:pos="980"/>
        </w:tabs>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主要负责供电设备运行操作、维修维护、巡查登记及其他维护服务工作等。</w:t>
      </w:r>
    </w:p>
    <w:p w14:paraId="6F1263AC">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5B4AB326">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值班人员应熟悉业主单位的基本情况，熟悉高压配电设备的工作原理和操作规程，具备相称的身体素质和专业技能，须持有高压电工作业或高压配电值班上岗证等技能证书，能正确使用相关专用设备和消防器材、救生设备等。各专业人员还应按照国家和地方规定定期接受培训。</w:t>
      </w:r>
    </w:p>
    <w:p w14:paraId="6C4847A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岗位设置及各岗位工作时间须符合相关法律法规和业主单位要求。与电工兼任时需合理安排工作内容和工作时间并报请业主单位认可。</w:t>
      </w:r>
    </w:p>
    <w:p w14:paraId="019E7B6B">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无犯罪记录、无不良嗜好，有一定沟通能力。</w:t>
      </w:r>
    </w:p>
    <w:p w14:paraId="2E5FF2C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须统一着装、佩证上岗，仪表整洁、文明上岗、礼貌待人。不酒后上岗，不扎堆聊天，不打闹、不做与工作无关的事。严格考勤制度，衔接好交接班。</w:t>
      </w:r>
    </w:p>
    <w:p w14:paraId="4F7BCB8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严禁在岗时间喝酒或酒后上岗值班，馆区禁止吸烟。</w:t>
      </w:r>
    </w:p>
    <w:p w14:paraId="1D0EF84F">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三、管理要求</w:t>
      </w:r>
    </w:p>
    <w:p w14:paraId="2BFC38DC">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必须贯彻“安全第一预防为主”的方针。坚持保人身、保电网、保设备的原则。严格遵守和执行国家电气安全操作规程。认真执行国家消防法规,机房内严禁吸烟,严禁动用明火,严禁闲杂人员入内或会客。</w:t>
      </w:r>
    </w:p>
    <w:p w14:paraId="53536AAB">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实行双岗全天负责制，严格考勤制度，认真做好交接班工作记录。</w:t>
      </w:r>
    </w:p>
    <w:p w14:paraId="2E26CAE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每日必须按规定时间段对高压设备进行检查、维护、抄表，并对各时段设备运行情况做好记录。</w:t>
      </w:r>
    </w:p>
    <w:p w14:paraId="7DB1A3E8">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认真履行高配值班职责，熟悉各应急预案处置并定期进行实际操作演习。</w:t>
      </w:r>
    </w:p>
    <w:p w14:paraId="049F73F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应密切监视设备运转，认真监护电压负荷的变化情况。定期清扫变压器、开关柜等,防止灰尘造成短路；雨季之前对避雷器进行检查；重大节假日和重大活动之前需对线路和设备作全面检修，做好日常维护以降低故障率。</w:t>
      </w:r>
    </w:p>
    <w:p w14:paraId="40A546FA">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发现存在故障或运行异常的可先行抢修，完成抢修工作后补填记录，遇有不安全或怀疑其安全的工作情况或环境时要及时报告,切勿自作主张违规操作或冒险施工。</w:t>
      </w:r>
    </w:p>
    <w:p w14:paraId="7848C700">
      <w:pPr>
        <w:pageBreakBefore w:val="0"/>
        <w:kinsoku/>
        <w:wordWrap/>
        <w:overflowPunct/>
        <w:topLinePunct w:val="0"/>
        <w:autoSpaceDE w:val="0"/>
        <w:autoSpaceDN w:val="0"/>
        <w:bidi w:val="0"/>
        <w:adjustRightInd w:val="0"/>
        <w:snapToGrid/>
        <w:spacing w:line="360" w:lineRule="auto"/>
        <w:ind w:left="0" w:right="0" w:rightChars="0"/>
        <w:textAlignment w:val="auto"/>
        <w:rPr>
          <w:rFonts w:hint="eastAsia" w:ascii="宋体" w:hAnsi="宋体" w:eastAsia="宋体" w:cs="宋体"/>
          <w:b/>
          <w:color w:val="auto"/>
          <w:sz w:val="21"/>
          <w:szCs w:val="21"/>
          <w:highlight w:val="none"/>
        </w:rPr>
      </w:pPr>
    </w:p>
    <w:p w14:paraId="32992307">
      <w:pPr>
        <w:pageBreakBefore w:val="0"/>
        <w:kinsoku/>
        <w:wordWrap/>
        <w:overflowPunct/>
        <w:topLinePunct w:val="0"/>
        <w:autoSpaceDE w:val="0"/>
        <w:autoSpaceDN w:val="0"/>
        <w:bidi w:val="0"/>
        <w:adjustRightInd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第五部分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前台、会务接待服务</w:t>
      </w:r>
    </w:p>
    <w:p w14:paraId="13CE3275">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一、工作内容</w:t>
      </w:r>
    </w:p>
    <w:p w14:paraId="24368ACC">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前台、会务接待服务（含信件</w:t>
      </w:r>
      <w:r>
        <w:rPr>
          <w:rFonts w:hint="eastAsia" w:ascii="宋体" w:hAnsi="宋体" w:cs="宋体"/>
          <w:color w:val="auto"/>
          <w:sz w:val="21"/>
          <w:szCs w:val="21"/>
          <w:highlight w:val="none"/>
          <w:lang w:val="zh-CN" w:eastAsia="zh-CN"/>
        </w:rPr>
        <w:t>、报刊和快递</w:t>
      </w:r>
      <w:r>
        <w:rPr>
          <w:rFonts w:hint="eastAsia" w:ascii="宋体" w:hAnsi="宋体" w:eastAsia="宋体" w:cs="宋体"/>
          <w:color w:val="auto"/>
          <w:sz w:val="21"/>
          <w:szCs w:val="21"/>
          <w:highlight w:val="none"/>
          <w:lang w:val="zh-CN"/>
        </w:rPr>
        <w:t>收发）</w:t>
      </w:r>
    </w:p>
    <w:p w14:paraId="377AF900">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0E3032C7">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相关人员应持合格有效卫生健康证上岗，定期体检，熟悉业主单位的基本情况，能正确使用相关专用设备。</w:t>
      </w:r>
    </w:p>
    <w:p w14:paraId="234F63F5">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要求形象端庄、普通话标准。佩证上岗、服务期间应着整洁干净工装、精神饱满，热情耐心、注意举止，要求操作轻、脚步轻。会务服务人员不得在服务场所使用移动电话，不得透露会议内容。</w:t>
      </w:r>
    </w:p>
    <w:p w14:paraId="732DEEC8">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上班时间不扎堆聊天，不蹿岗，不做与工作无关的事，衔接好交接班，严禁喝酒、打瞌睡。</w:t>
      </w:r>
    </w:p>
    <w:p w14:paraId="0B31F9AE">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无犯罪记录、无不良嗜好。</w:t>
      </w:r>
    </w:p>
    <w:p w14:paraId="691C5B15">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三、管理要求</w:t>
      </w:r>
    </w:p>
    <w:p w14:paraId="566F321D">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会议服务管理人员会前应充分了解会议及接待要求，了解使用部门（单位）、时间、人数，是否有其它服务要求，如话筒、投影仪（由专业维保单位负责，不在本次招标范围内）等。</w:t>
      </w:r>
    </w:p>
    <w:p w14:paraId="484823E4">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提前一小时布置好场地，检查照明、音响设备和桌椅等设施设备，打开空调。检查场所卫生情况、确保设施设备、地面、门窗干净整洁无卫生死角，各类强弱电线缆摆放整齐避免隐患，完成换气确保空气清新无异味。</w:t>
      </w:r>
    </w:p>
    <w:p w14:paraId="241A8FD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有桌牌位置应提前放好茶杯、纸巾等相关物品，如需纸笔等其它材料应提前一天领取。无桌牌位置需在会议开始前准备好茶杯等器具。</w:t>
      </w:r>
    </w:p>
    <w:p w14:paraId="416AB28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有桌牌位置待客人落座后方可添加茶水等，其它位置待客人到位后再有序安排。第一次续茶应在会议及接待开始20分钟左右，第二次起每隔30分钟左右进行一次。期间注意关注与会人员动态，观察空调温度及音响效果，做到眼快手快动作轻。</w:t>
      </w:r>
    </w:p>
    <w:p w14:paraId="280FEC93">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会议及接待过程中应积极配合投影设备、摄影摄像等其它服务人员。</w:t>
      </w:r>
    </w:p>
    <w:p w14:paraId="24B61060">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会议后检查与会者有无遗留物品，彻底打扫会议室卫生，整理桌椅，对各类器皿等清洗消毒，关闭设备设施、照明及门窗。</w:t>
      </w:r>
    </w:p>
    <w:p w14:paraId="2BA2337F">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重大会议及接待任务应严格按照业主单位的预案实施。</w:t>
      </w:r>
    </w:p>
    <w:p w14:paraId="4A0B08B8">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前台人员应做好访客人员的服务引导工作，负责每日信件、快递及报纸期刊等物品的收发工作。</w:t>
      </w:r>
    </w:p>
    <w:p w14:paraId="536176FE">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b/>
          <w:color w:val="auto"/>
          <w:sz w:val="21"/>
          <w:szCs w:val="21"/>
          <w:highlight w:val="none"/>
          <w:lang w:val="zh-CN"/>
        </w:rPr>
      </w:pPr>
    </w:p>
    <w:p w14:paraId="42E039CC">
      <w:pPr>
        <w:pageBreakBefore w:val="0"/>
        <w:kinsoku/>
        <w:wordWrap/>
        <w:overflowPunct/>
        <w:topLinePunct w:val="0"/>
        <w:bidi w:val="0"/>
        <w:snapToGrid/>
        <w:spacing w:line="360" w:lineRule="auto"/>
        <w:ind w:left="0" w:right="0" w:rightChars="0"/>
        <w:jc w:val="center"/>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lang w:val="zh-CN"/>
        </w:rPr>
        <w:t>第六部分</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pacing w:val="-6"/>
          <w:sz w:val="21"/>
          <w:szCs w:val="21"/>
          <w:highlight w:val="none"/>
        </w:rPr>
        <w:t>展厅综合服务管理</w:t>
      </w:r>
    </w:p>
    <w:p w14:paraId="185A5A71">
      <w:pPr>
        <w:pageBreakBefore w:val="0"/>
        <w:kinsoku/>
        <w:wordWrap/>
        <w:overflowPunct/>
        <w:topLinePunct w:val="0"/>
        <w:bidi w:val="0"/>
        <w:snapToGrid/>
        <w:spacing w:line="360" w:lineRule="auto"/>
        <w:ind w:left="0" w:right="0" w:rightChars="0"/>
        <w:jc w:val="left"/>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一、工作内容</w:t>
      </w:r>
    </w:p>
    <w:p w14:paraId="19523A01">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包括</w:t>
      </w:r>
      <w:r>
        <w:rPr>
          <w:rFonts w:hint="eastAsia" w:ascii="宋体" w:hAnsi="宋体" w:eastAsia="宋体" w:cs="宋体"/>
          <w:color w:val="auto"/>
          <w:sz w:val="21"/>
          <w:szCs w:val="21"/>
          <w:highlight w:val="none"/>
          <w:lang w:val="zh-CN" w:eastAsia="zh-CN"/>
        </w:rPr>
        <w:t>观众</w:t>
      </w:r>
      <w:r>
        <w:rPr>
          <w:rFonts w:hint="eastAsia" w:ascii="宋体" w:hAnsi="宋体" w:eastAsia="宋体" w:cs="宋体"/>
          <w:color w:val="auto"/>
          <w:sz w:val="21"/>
          <w:szCs w:val="21"/>
          <w:highlight w:val="none"/>
          <w:lang w:val="zh-CN"/>
        </w:rPr>
        <w:t>参观</w:t>
      </w:r>
      <w:r>
        <w:rPr>
          <w:rFonts w:hint="eastAsia" w:ascii="宋体" w:hAnsi="宋体" w:eastAsia="宋体" w:cs="宋体"/>
          <w:color w:val="auto"/>
          <w:sz w:val="21"/>
          <w:szCs w:val="21"/>
          <w:highlight w:val="none"/>
          <w:lang w:val="zh-CN" w:eastAsia="zh-CN"/>
        </w:rPr>
        <w:t>导引</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财税历史文化资料</w:t>
      </w:r>
      <w:r>
        <w:rPr>
          <w:rFonts w:hint="eastAsia" w:ascii="宋体" w:hAnsi="宋体" w:eastAsia="宋体" w:cs="宋体"/>
          <w:color w:val="auto"/>
          <w:sz w:val="21"/>
          <w:szCs w:val="21"/>
          <w:highlight w:val="none"/>
          <w:lang w:val="zh-CN"/>
        </w:rPr>
        <w:t>翻译、</w:t>
      </w:r>
      <w:r>
        <w:rPr>
          <w:rFonts w:hint="eastAsia" w:ascii="宋体" w:hAnsi="宋体" w:eastAsia="宋体" w:cs="宋体"/>
          <w:color w:val="auto"/>
          <w:sz w:val="21"/>
          <w:szCs w:val="21"/>
          <w:highlight w:val="none"/>
          <w:lang w:val="zh-CN" w:eastAsia="zh-CN"/>
        </w:rPr>
        <w:t>英语展厅讲解（针对学生）、</w:t>
      </w:r>
      <w:r>
        <w:rPr>
          <w:rFonts w:hint="eastAsia" w:ascii="宋体" w:hAnsi="宋体" w:eastAsia="宋体" w:cs="宋体"/>
          <w:color w:val="auto"/>
          <w:sz w:val="21"/>
          <w:szCs w:val="21"/>
          <w:highlight w:val="none"/>
          <w:lang w:val="zh-CN"/>
        </w:rPr>
        <w:t>咨询、志愿者</w:t>
      </w:r>
      <w:r>
        <w:rPr>
          <w:rFonts w:hint="eastAsia" w:ascii="宋体" w:hAnsi="宋体" w:cs="宋体"/>
          <w:color w:val="auto"/>
          <w:sz w:val="21"/>
          <w:szCs w:val="21"/>
          <w:highlight w:val="none"/>
          <w:lang w:val="zh-CN"/>
        </w:rPr>
        <w:t>管理</w:t>
      </w:r>
      <w:r>
        <w:rPr>
          <w:rFonts w:hint="eastAsia" w:ascii="宋体" w:hAnsi="宋体" w:eastAsia="宋体" w:cs="宋体"/>
          <w:color w:val="auto"/>
          <w:sz w:val="21"/>
          <w:szCs w:val="21"/>
          <w:highlight w:val="none"/>
          <w:lang w:val="zh-CN"/>
        </w:rPr>
        <w:t>及</w:t>
      </w:r>
      <w:r>
        <w:rPr>
          <w:rFonts w:hint="eastAsia" w:ascii="宋体" w:hAnsi="宋体" w:eastAsia="宋体" w:cs="宋体"/>
          <w:color w:val="auto"/>
          <w:sz w:val="21"/>
          <w:szCs w:val="21"/>
          <w:highlight w:val="none"/>
          <w:lang w:val="zh-CN" w:eastAsia="zh-CN"/>
        </w:rPr>
        <w:t>各种</w:t>
      </w:r>
      <w:r>
        <w:rPr>
          <w:rFonts w:hint="eastAsia" w:ascii="宋体" w:hAnsi="宋体" w:eastAsia="宋体" w:cs="宋体"/>
          <w:color w:val="auto"/>
          <w:sz w:val="21"/>
          <w:szCs w:val="21"/>
          <w:highlight w:val="none"/>
          <w:lang w:val="zh-CN"/>
        </w:rPr>
        <w:t>应急</w:t>
      </w:r>
      <w:r>
        <w:rPr>
          <w:rFonts w:hint="eastAsia" w:ascii="宋体" w:hAnsi="宋体" w:eastAsia="宋体" w:cs="宋体"/>
          <w:color w:val="auto"/>
          <w:sz w:val="21"/>
          <w:szCs w:val="21"/>
          <w:highlight w:val="none"/>
          <w:lang w:val="zh-CN" w:eastAsia="zh-CN"/>
        </w:rPr>
        <w:t>事项</w:t>
      </w:r>
      <w:r>
        <w:rPr>
          <w:rFonts w:hint="eastAsia" w:ascii="宋体" w:hAnsi="宋体" w:eastAsia="宋体" w:cs="宋体"/>
          <w:color w:val="auto"/>
          <w:sz w:val="21"/>
          <w:szCs w:val="21"/>
          <w:highlight w:val="none"/>
          <w:lang w:val="zh-CN"/>
        </w:rPr>
        <w:t>处置等。</w:t>
      </w:r>
    </w:p>
    <w:p w14:paraId="00E6BCD6">
      <w:pPr>
        <w:pageBreakBefore w:val="0"/>
        <w:kinsoku/>
        <w:wordWrap/>
        <w:overflowPunct/>
        <w:topLinePunct w:val="0"/>
        <w:bidi w:val="0"/>
        <w:snapToGrid/>
        <w:spacing w:line="360" w:lineRule="auto"/>
        <w:ind w:left="0" w:right="0" w:rightChars="0"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二、人员要求</w:t>
      </w:r>
    </w:p>
    <w:p w14:paraId="5F45D894">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相关人员应持有效学历证书和技能资格证上岗，有</w:t>
      </w:r>
      <w:r>
        <w:rPr>
          <w:rFonts w:hint="eastAsia" w:ascii="宋体" w:hAnsi="宋体" w:cs="宋体"/>
          <w:color w:val="auto"/>
          <w:sz w:val="21"/>
          <w:szCs w:val="21"/>
          <w:highlight w:val="none"/>
          <w:lang w:val="zh-CN"/>
        </w:rPr>
        <w:t>足够的专业</w:t>
      </w:r>
      <w:r>
        <w:rPr>
          <w:rFonts w:hint="eastAsia" w:ascii="宋体" w:hAnsi="宋体" w:eastAsia="宋体" w:cs="宋体"/>
          <w:color w:val="auto"/>
          <w:sz w:val="21"/>
          <w:szCs w:val="21"/>
          <w:highlight w:val="none"/>
          <w:lang w:val="zh-CN"/>
        </w:rPr>
        <w:t>能力完成业主单位交办的</w:t>
      </w:r>
      <w:r>
        <w:rPr>
          <w:rFonts w:hint="eastAsia" w:ascii="宋体" w:hAnsi="宋体" w:cs="宋体"/>
          <w:color w:val="auto"/>
          <w:sz w:val="21"/>
          <w:szCs w:val="21"/>
          <w:highlight w:val="none"/>
          <w:lang w:val="zh-CN"/>
        </w:rPr>
        <w:t>宣传和讲解</w:t>
      </w:r>
      <w:r>
        <w:rPr>
          <w:rFonts w:hint="eastAsia" w:ascii="宋体" w:hAnsi="宋体" w:eastAsia="宋体" w:cs="宋体"/>
          <w:color w:val="auto"/>
          <w:sz w:val="21"/>
          <w:szCs w:val="21"/>
          <w:highlight w:val="none"/>
          <w:lang w:val="zh-CN"/>
        </w:rPr>
        <w:t>任务，能正确使用相关讲解专用设备，具备相应专业技能，能准确、及时处理治安、消防和突发人身意外等事故，能适应周末轮班。</w:t>
      </w:r>
    </w:p>
    <w:p w14:paraId="7219704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形象端庄、普通话标准，</w:t>
      </w:r>
      <w:r>
        <w:rPr>
          <w:rFonts w:hint="eastAsia" w:ascii="宋体" w:hAnsi="宋体" w:cs="宋体"/>
          <w:color w:val="auto"/>
          <w:sz w:val="21"/>
          <w:szCs w:val="21"/>
          <w:highlight w:val="none"/>
          <w:lang w:val="zh-CN"/>
        </w:rPr>
        <w:t>为人亲和，能与中小学生有效交流。</w:t>
      </w:r>
      <w:r>
        <w:rPr>
          <w:rFonts w:hint="eastAsia" w:ascii="宋体" w:hAnsi="宋体" w:eastAsia="宋体" w:cs="宋体"/>
          <w:color w:val="auto"/>
          <w:sz w:val="21"/>
          <w:szCs w:val="21"/>
          <w:highlight w:val="none"/>
          <w:lang w:val="zh-CN"/>
        </w:rPr>
        <w:t>服务期间应着整洁干净工装、精神饱满，服务热情。</w:t>
      </w:r>
    </w:p>
    <w:p w14:paraId="5C746349">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上班时间不扎堆聊天，不蹿岗，不做与工作无关的事。</w:t>
      </w:r>
    </w:p>
    <w:p w14:paraId="13A54362">
      <w:pPr>
        <w:pageBreakBefore w:val="0"/>
        <w:kinsoku/>
        <w:wordWrap/>
        <w:overflowPunct/>
        <w:topLinePunct w:val="0"/>
        <w:bidi w:val="0"/>
        <w:snapToGrid/>
        <w:spacing w:line="360" w:lineRule="auto"/>
        <w:ind w:left="0" w:right="0" w:rightChars="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无犯罪记录、无不良嗜好。</w:t>
      </w:r>
    </w:p>
    <w:p w14:paraId="225ED3E8">
      <w:pPr>
        <w:rPr>
          <w:color w:val="auto"/>
          <w:highlight w:val="none"/>
        </w:rPr>
      </w:pPr>
      <w:r>
        <w:rPr>
          <w:color w:val="auto"/>
          <w:highlight w:val="none"/>
        </w:rPr>
        <w:br w:type="page"/>
      </w:r>
    </w:p>
    <w:p w14:paraId="34B72D83">
      <w:pPr>
        <w:pStyle w:val="5"/>
        <w:rPr>
          <w:color w:val="auto"/>
          <w:highlight w:val="none"/>
        </w:rPr>
      </w:pPr>
    </w:p>
    <w:p w14:paraId="51A7D432">
      <w:pPr>
        <w:pStyle w:val="53"/>
        <w:ind w:firstLine="0" w:firstLineChars="0"/>
        <w:jc w:val="center"/>
        <w:rPr>
          <w:rFonts w:ascii="宋体" w:hAnsi="宋体" w:cs="宋体"/>
          <w:b/>
          <w:color w:val="auto"/>
          <w:sz w:val="30"/>
          <w:szCs w:val="30"/>
          <w:highlight w:val="none"/>
        </w:rPr>
      </w:pPr>
      <w:bookmarkStart w:id="42" w:name="_Toc242012824"/>
      <w:bookmarkStart w:id="43" w:name="_Toc25387"/>
      <w:bookmarkStart w:id="44" w:name="_Toc19650"/>
      <w:r>
        <w:rPr>
          <w:rFonts w:hint="eastAsia" w:ascii="宋体" w:hAnsi="宋体" w:cs="宋体"/>
          <w:b/>
          <w:color w:val="auto"/>
          <w:sz w:val="30"/>
          <w:szCs w:val="30"/>
          <w:highlight w:val="none"/>
        </w:rPr>
        <w:t>第四部分  合同条款</w:t>
      </w:r>
      <w:bookmarkEnd w:id="42"/>
      <w:bookmarkEnd w:id="43"/>
      <w:bookmarkEnd w:id="44"/>
    </w:p>
    <w:p w14:paraId="77121216">
      <w:pPr>
        <w:autoSpaceDE w:val="0"/>
        <w:autoSpaceDN w:val="0"/>
        <w:adjustRightInd w:val="0"/>
        <w:snapToGrid w:val="0"/>
        <w:spacing w:line="360" w:lineRule="auto"/>
        <w:ind w:firstLine="646"/>
        <w:rPr>
          <w:rFonts w:hint="eastAsia" w:ascii="宋体" w:hAnsi="宋体" w:eastAsia="宋体" w:cs="宋体"/>
          <w:color w:val="auto"/>
          <w:szCs w:val="21"/>
          <w:highlight w:val="none"/>
          <w:lang w:eastAsia="zh-CN"/>
        </w:rPr>
      </w:pPr>
      <w:bookmarkStart w:id="45" w:name="_Toc251566661"/>
      <w:bookmarkStart w:id="46" w:name="_Toc249760790"/>
      <w:bookmarkStart w:id="47" w:name="_Toc14349"/>
      <w:bookmarkStart w:id="48" w:name="_Toc20087"/>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中国财税博物馆2024-2027年保安及物业管理服务采购项目</w:t>
      </w:r>
    </w:p>
    <w:p w14:paraId="7327143D">
      <w:pPr>
        <w:autoSpaceDE w:val="0"/>
        <w:autoSpaceDN w:val="0"/>
        <w:adjustRightInd w:val="0"/>
        <w:snapToGrid w:val="0"/>
        <w:spacing w:line="360" w:lineRule="auto"/>
        <w:ind w:firstLine="646"/>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1E799A46">
      <w:pPr>
        <w:autoSpaceDE w:val="0"/>
        <w:autoSpaceDN w:val="0"/>
        <w:adjustRightInd w:val="0"/>
        <w:snapToGrid w:val="0"/>
        <w:spacing w:line="360" w:lineRule="auto"/>
        <w:ind w:firstLine="646"/>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pacing w:val="-6"/>
          <w:szCs w:val="21"/>
          <w:highlight w:val="none"/>
        </w:rPr>
        <w:t>中国财税博物馆</w:t>
      </w:r>
    </w:p>
    <w:p w14:paraId="4CEF5CC7">
      <w:pPr>
        <w:autoSpaceDE w:val="0"/>
        <w:autoSpaceDN w:val="0"/>
        <w:adjustRightInd w:val="0"/>
        <w:snapToGrid w:val="0"/>
        <w:spacing w:line="360" w:lineRule="auto"/>
        <w:ind w:firstLine="646"/>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60AEC464">
      <w:pPr>
        <w:adjustRightInd w:val="0"/>
        <w:snapToGrid w:val="0"/>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合同将由中国财税博物馆（以下简称甲方）与经评审最终确定的中标人（以下简称乙方）结合本项目具体情况协商后签订。以下为采购人提出涉及乙方的主要条款，投标人在投标文件中应对其进行确认或拒绝。如投标人在其投标文件中未做拒绝或提出修改要求的，采购人将视作认同。</w:t>
      </w:r>
    </w:p>
    <w:p w14:paraId="084EC020">
      <w:pPr>
        <w:snapToGrid w:val="0"/>
        <w:spacing w:line="360" w:lineRule="auto"/>
        <w:rPr>
          <w:rFonts w:hint="eastAsia" w:ascii="宋体" w:hAnsi="宋体" w:eastAsia="宋体" w:cs="宋体"/>
          <w:b/>
          <w:bCs/>
          <w:color w:val="auto"/>
          <w:spacing w:val="-6"/>
          <w:szCs w:val="21"/>
          <w:highlight w:val="none"/>
        </w:rPr>
      </w:pPr>
    </w:p>
    <w:p w14:paraId="7696095A">
      <w:pPr>
        <w:snapToGrid w:val="0"/>
        <w:spacing w:line="360" w:lineRule="auto"/>
        <w:ind w:left="-178" w:leftChars="-85" w:right="23" w:rightChars="11"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甲、乙双方根据浙江国际招投标有限公司关于</w:t>
      </w:r>
      <w:r>
        <w:rPr>
          <w:rFonts w:hint="eastAsia" w:ascii="宋体" w:hAnsi="宋体" w:eastAsia="宋体" w:cs="宋体"/>
          <w:color w:val="auto"/>
          <w:spacing w:val="-6"/>
          <w:szCs w:val="21"/>
          <w:highlight w:val="none"/>
          <w:lang w:eastAsia="zh-CN"/>
        </w:rPr>
        <w:t>中国财税博物馆2024-2027年保安及物业管理服务采购项目</w:t>
      </w:r>
      <w:r>
        <w:rPr>
          <w:rFonts w:hint="eastAsia" w:ascii="宋体" w:hAnsi="宋体" w:eastAsia="宋体" w:cs="宋体"/>
          <w:color w:val="auto"/>
          <w:spacing w:val="-6"/>
          <w:szCs w:val="21"/>
          <w:highlight w:val="none"/>
        </w:rPr>
        <w:t>公开招标的结果，签署本合同。</w:t>
      </w:r>
    </w:p>
    <w:p w14:paraId="0CA63D4D">
      <w:pPr>
        <w:snapToGrid w:val="0"/>
        <w:spacing w:line="360"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第一条：采购清单及合同价格</w:t>
      </w:r>
    </w:p>
    <w:tbl>
      <w:tblPr>
        <w:tblStyle w:val="4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75"/>
        <w:gridCol w:w="2754"/>
        <w:gridCol w:w="689"/>
        <w:gridCol w:w="939"/>
        <w:gridCol w:w="948"/>
        <w:gridCol w:w="1551"/>
      </w:tblGrid>
      <w:tr w14:paraId="225C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90" w:type="dxa"/>
            <w:vAlign w:val="center"/>
          </w:tcPr>
          <w:p w14:paraId="0430F712">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4129" w:type="dxa"/>
            <w:gridSpan w:val="2"/>
            <w:vAlign w:val="center"/>
          </w:tcPr>
          <w:p w14:paraId="5B782023">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服务名称</w:t>
            </w:r>
          </w:p>
        </w:tc>
        <w:tc>
          <w:tcPr>
            <w:tcW w:w="689" w:type="dxa"/>
            <w:vAlign w:val="center"/>
          </w:tcPr>
          <w:p w14:paraId="59D3E420">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月份</w:t>
            </w:r>
          </w:p>
        </w:tc>
        <w:tc>
          <w:tcPr>
            <w:tcW w:w="939" w:type="dxa"/>
            <w:vAlign w:val="center"/>
          </w:tcPr>
          <w:p w14:paraId="1F18C6A9">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w:t>
            </w:r>
          </w:p>
        </w:tc>
        <w:tc>
          <w:tcPr>
            <w:tcW w:w="948" w:type="dxa"/>
            <w:vAlign w:val="center"/>
          </w:tcPr>
          <w:p w14:paraId="650481DE">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单价</w:t>
            </w:r>
          </w:p>
        </w:tc>
        <w:tc>
          <w:tcPr>
            <w:tcW w:w="1551" w:type="dxa"/>
            <w:vAlign w:val="center"/>
          </w:tcPr>
          <w:p w14:paraId="78D5F6EB">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总价</w:t>
            </w:r>
          </w:p>
        </w:tc>
      </w:tr>
      <w:tr w14:paraId="4057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690" w:type="dxa"/>
            <w:vAlign w:val="center"/>
          </w:tcPr>
          <w:p w14:paraId="3D57FA33">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4129" w:type="dxa"/>
            <w:gridSpan w:val="2"/>
            <w:vAlign w:val="center"/>
          </w:tcPr>
          <w:p w14:paraId="05197EB7">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保安管理服务</w:t>
            </w:r>
          </w:p>
        </w:tc>
        <w:tc>
          <w:tcPr>
            <w:tcW w:w="689" w:type="dxa"/>
            <w:vAlign w:val="center"/>
          </w:tcPr>
          <w:p w14:paraId="78BCED9D">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个月</w:t>
            </w:r>
          </w:p>
        </w:tc>
        <w:tc>
          <w:tcPr>
            <w:tcW w:w="939" w:type="dxa"/>
            <w:vAlign w:val="center"/>
          </w:tcPr>
          <w:p w14:paraId="480DF5AE">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元/人</w:t>
            </w:r>
          </w:p>
        </w:tc>
        <w:tc>
          <w:tcPr>
            <w:tcW w:w="948" w:type="dxa"/>
            <w:vAlign w:val="center"/>
          </w:tcPr>
          <w:p w14:paraId="0196BB88">
            <w:pPr>
              <w:snapToGrid w:val="0"/>
              <w:spacing w:line="360" w:lineRule="auto"/>
              <w:jc w:val="center"/>
              <w:rPr>
                <w:rFonts w:hint="eastAsia" w:ascii="宋体" w:hAnsi="宋体" w:eastAsia="宋体" w:cs="宋体"/>
                <w:color w:val="auto"/>
                <w:spacing w:val="-6"/>
                <w:szCs w:val="21"/>
                <w:highlight w:val="none"/>
              </w:rPr>
            </w:pPr>
          </w:p>
        </w:tc>
        <w:tc>
          <w:tcPr>
            <w:tcW w:w="1551" w:type="dxa"/>
            <w:vAlign w:val="center"/>
          </w:tcPr>
          <w:p w14:paraId="22DE050D">
            <w:pPr>
              <w:snapToGrid w:val="0"/>
              <w:spacing w:line="360" w:lineRule="auto"/>
              <w:rPr>
                <w:rFonts w:hint="eastAsia" w:ascii="宋体" w:hAnsi="宋体" w:eastAsia="宋体" w:cs="宋体"/>
                <w:color w:val="auto"/>
                <w:spacing w:val="-6"/>
                <w:szCs w:val="21"/>
                <w:highlight w:val="none"/>
              </w:rPr>
            </w:pPr>
          </w:p>
        </w:tc>
      </w:tr>
      <w:tr w14:paraId="0365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690" w:type="dxa"/>
            <w:vAlign w:val="center"/>
          </w:tcPr>
          <w:p w14:paraId="1E89AB12">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4129" w:type="dxa"/>
            <w:gridSpan w:val="2"/>
            <w:vAlign w:val="center"/>
          </w:tcPr>
          <w:p w14:paraId="464C22D8">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物业管理服务</w:t>
            </w:r>
          </w:p>
        </w:tc>
        <w:tc>
          <w:tcPr>
            <w:tcW w:w="689" w:type="dxa"/>
            <w:vAlign w:val="center"/>
          </w:tcPr>
          <w:p w14:paraId="157FA8AA">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个月</w:t>
            </w:r>
          </w:p>
        </w:tc>
        <w:tc>
          <w:tcPr>
            <w:tcW w:w="939" w:type="dxa"/>
            <w:vAlign w:val="center"/>
          </w:tcPr>
          <w:p w14:paraId="7D5392DD">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元</w:t>
            </w:r>
          </w:p>
        </w:tc>
        <w:tc>
          <w:tcPr>
            <w:tcW w:w="948" w:type="dxa"/>
            <w:vAlign w:val="center"/>
          </w:tcPr>
          <w:p w14:paraId="3C2EAA1B">
            <w:pPr>
              <w:snapToGrid w:val="0"/>
              <w:spacing w:line="360" w:lineRule="auto"/>
              <w:jc w:val="center"/>
              <w:rPr>
                <w:rFonts w:hint="eastAsia" w:ascii="宋体" w:hAnsi="宋体" w:eastAsia="宋体" w:cs="宋体"/>
                <w:color w:val="auto"/>
                <w:spacing w:val="-6"/>
                <w:szCs w:val="21"/>
                <w:highlight w:val="none"/>
              </w:rPr>
            </w:pPr>
          </w:p>
        </w:tc>
        <w:tc>
          <w:tcPr>
            <w:tcW w:w="1551" w:type="dxa"/>
            <w:vAlign w:val="center"/>
          </w:tcPr>
          <w:p w14:paraId="7A204369">
            <w:pPr>
              <w:snapToGrid w:val="0"/>
              <w:spacing w:line="360" w:lineRule="auto"/>
              <w:rPr>
                <w:rFonts w:hint="eastAsia" w:ascii="宋体" w:hAnsi="宋体" w:eastAsia="宋体" w:cs="宋体"/>
                <w:color w:val="auto"/>
                <w:spacing w:val="-6"/>
                <w:szCs w:val="21"/>
                <w:highlight w:val="none"/>
              </w:rPr>
            </w:pPr>
          </w:p>
        </w:tc>
      </w:tr>
      <w:tr w14:paraId="0D2B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065" w:type="dxa"/>
            <w:gridSpan w:val="2"/>
            <w:vAlign w:val="center"/>
          </w:tcPr>
          <w:p w14:paraId="63392038">
            <w:pPr>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合同总价（人民币）</w:t>
            </w:r>
          </w:p>
        </w:tc>
        <w:tc>
          <w:tcPr>
            <w:tcW w:w="6881" w:type="dxa"/>
            <w:gridSpan w:val="5"/>
            <w:tcBorders>
              <w:right w:val="single" w:color="auto" w:sz="4" w:space="0"/>
            </w:tcBorders>
            <w:vAlign w:val="center"/>
          </w:tcPr>
          <w:p w14:paraId="21E4C177">
            <w:pPr>
              <w:snapToGrid w:val="0"/>
              <w:spacing w:line="360" w:lineRule="auto"/>
              <w:jc w:val="center"/>
              <w:rPr>
                <w:rFonts w:hint="eastAsia" w:ascii="宋体" w:hAnsi="宋体" w:eastAsia="宋体" w:cs="宋体"/>
                <w:color w:val="auto"/>
                <w:spacing w:val="-6"/>
                <w:szCs w:val="21"/>
                <w:highlight w:val="none"/>
              </w:rPr>
            </w:pPr>
          </w:p>
        </w:tc>
      </w:tr>
    </w:tbl>
    <w:p w14:paraId="26ACB8D8">
      <w:pPr>
        <w:snapToGrid w:val="0"/>
        <w:spacing w:line="360"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备注：到期后经甲方考核服务质量合格可续签一年</w:t>
      </w:r>
    </w:p>
    <w:p w14:paraId="22135520">
      <w:pPr>
        <w:snapToGrid w:val="0"/>
        <w:spacing w:line="360"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第二条：服务内容</w:t>
      </w:r>
    </w:p>
    <w:p w14:paraId="12D8C2FB">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财税博物馆隶属于财政部和国家税务总局，地处吴山广场28号，占地27亩，建筑面积12000平方米，地上2层,地下1层。博物馆除主楼设有大厅、展区、办公区、库房及配套区等功能区外，还建有学术楼、车库、观光塔等永久建筑和少量临时用房。其中展区设5个永久展厅，1个临展厅和1个观众体验馆。</w:t>
      </w:r>
    </w:p>
    <w:p w14:paraId="058A5769">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（一）物业服务管理部分</w:t>
      </w:r>
    </w:p>
    <w:p w14:paraId="24FC27D8">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标的不包含消防系统、安防系统、智能化系统和电梯的维保，不含除四害和白蚁防治。除此之外相关区域内的建筑和公共区域的卫生保洁和垃圾清运；建筑主体维护以及小型建筑工程（另计费）等；会务服务；水电设备运行管理及维修维护；高配管理及值班；熟练掌握业主单位各项应急预案中的职责要求；业主单位交代的其它物业管理服务内容均应是中标单位的服务内容。</w:t>
      </w:r>
    </w:p>
    <w:p w14:paraId="5C560D0E">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（二）安保服务部分</w:t>
      </w:r>
    </w:p>
    <w:p w14:paraId="1B959AB7">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馆内各项制度及预案要求做好馆内所有区域防火、防盗、防破坏、防自然灾害等安全防护工作和应急处置工作，做好相关安全的巡查值勤（含设施设备维护）、消控室监控室监管、台账管理工作；负责人员物品及车辆进出、疫情防控等管理服务工作；完成交办的其它临时任务。</w:t>
      </w:r>
    </w:p>
    <w:p w14:paraId="545DFD2F">
      <w:pPr>
        <w:snapToGrid w:val="0"/>
        <w:spacing w:line="360"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第三条：服务费的支付</w:t>
      </w:r>
    </w:p>
    <w:p w14:paraId="2D54503F">
      <w:pPr>
        <w:pStyle w:val="3"/>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服务费用每季支付一次。每季届满后的第一个月15号前支付考核后当季实际服务费用（含基本工资和经考核后的考核奖励费用），费用支付严格执行奖惩规定。本合同执行中相关的一切税费均由乙方负担。</w:t>
      </w:r>
    </w:p>
    <w:p w14:paraId="49E91ACE">
      <w:pPr>
        <w:pStyle w:val="3"/>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甲方在收到乙方提供的等额正规发票后向乙方支付包括物业服务费、耗材费等费用，否则甲方有权拒绝付款，由此导致的延期付款责任由乙方承担。。</w:t>
      </w:r>
    </w:p>
    <w:p w14:paraId="51B6F90B">
      <w:pPr>
        <w:snapToGrid w:val="0"/>
        <w:spacing w:line="360" w:lineRule="auto"/>
        <w:ind w:right="-514" w:rightChars="-245"/>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第四条：违约责任</w:t>
      </w:r>
    </w:p>
    <w:p w14:paraId="4F7FC279">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1．乙方逾期履行合同的，自逾期之日起，向甲方每日偿付合同总价千分之五的滞纳金。</w:t>
      </w:r>
    </w:p>
    <w:p w14:paraId="7A947443">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2．甲方逾期支付货款的，自逾期之日起，向乙方每日偿付未付价款千分之五的滞纳金。</w:t>
      </w:r>
    </w:p>
    <w:p w14:paraId="1CA3074C">
      <w:pPr>
        <w:snapToGrid w:val="0"/>
        <w:spacing w:line="360" w:lineRule="auto"/>
        <w:ind w:right="-514" w:rightChars="-245"/>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第五条：争议解决</w:t>
      </w:r>
    </w:p>
    <w:p w14:paraId="4919D47A">
      <w:pPr>
        <w:snapToGrid w:val="0"/>
        <w:spacing w:line="360" w:lineRule="auto"/>
        <w:ind w:right="23" w:rightChars="11"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本合同未尽事宜由三方协商解决，如协商不成，三方同意将本合同引起的争议提交杭州仲裁委员会仲裁解决，仲裁为终局。</w:t>
      </w:r>
    </w:p>
    <w:p w14:paraId="57145591">
      <w:pPr>
        <w:snapToGrid w:val="0"/>
        <w:spacing w:line="360" w:lineRule="auto"/>
        <w:ind w:right="-514" w:rightChars="-245"/>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第六条：合同生效</w:t>
      </w:r>
    </w:p>
    <w:p w14:paraId="67071319">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1.合同经双方法定代表人或授权代表签字并加盖单位公章后生效。</w:t>
      </w:r>
    </w:p>
    <w:p w14:paraId="0009285F">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2.与本合同有关的招标文件、投标文件及评标过程中形成的文字资料、询标纪要（如有）等均作为本合同的组成部分，合同双方予以遵守。</w:t>
      </w:r>
    </w:p>
    <w:p w14:paraId="430AE0B1">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3.合同执行中涉及采购资金和采购内容修改或补充的，须经财政部门审批，并签书面补充协议报政府采购监督管理部门备案，方可作为主合同不可分割的一部分。</w:t>
      </w:r>
    </w:p>
    <w:p w14:paraId="720CCC6C">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4.本合同未尽事宜，遵照《民法典》有关条文执行。</w:t>
      </w:r>
    </w:p>
    <w:p w14:paraId="78458D54">
      <w:pPr>
        <w:snapToGri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5.本合同一式五份，乙方、采购代理机构各执一份，甲方执三份，经双方签字、盖公章并在乙方履约保证金到帐后生效。</w:t>
      </w:r>
    </w:p>
    <w:tbl>
      <w:tblPr>
        <w:tblStyle w:val="4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4595"/>
      </w:tblGrid>
      <w:tr w14:paraId="070B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51" w:type="dxa"/>
            <w:vAlign w:val="center"/>
          </w:tcPr>
          <w:p w14:paraId="34888816">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甲  方（盖章）：</w:t>
            </w:r>
          </w:p>
        </w:tc>
        <w:tc>
          <w:tcPr>
            <w:tcW w:w="4595" w:type="dxa"/>
            <w:vAlign w:val="center"/>
          </w:tcPr>
          <w:p w14:paraId="1158091D">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法定代表人或受委托人：(签字）</w:t>
            </w:r>
          </w:p>
        </w:tc>
      </w:tr>
      <w:tr w14:paraId="7C4F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51" w:type="dxa"/>
            <w:vAlign w:val="center"/>
          </w:tcPr>
          <w:p w14:paraId="4934056F">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地址：</w:t>
            </w:r>
          </w:p>
        </w:tc>
        <w:tc>
          <w:tcPr>
            <w:tcW w:w="4595" w:type="dxa"/>
            <w:vAlign w:val="center"/>
          </w:tcPr>
          <w:p w14:paraId="2EBC1B26">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邮编：</w:t>
            </w:r>
          </w:p>
        </w:tc>
      </w:tr>
      <w:tr w14:paraId="292E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51" w:type="dxa"/>
            <w:vAlign w:val="center"/>
          </w:tcPr>
          <w:p w14:paraId="31F5480F">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电话： </w:t>
            </w:r>
          </w:p>
        </w:tc>
        <w:tc>
          <w:tcPr>
            <w:tcW w:w="4595" w:type="dxa"/>
            <w:vAlign w:val="center"/>
          </w:tcPr>
          <w:p w14:paraId="407DD35A">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传真：</w:t>
            </w:r>
          </w:p>
        </w:tc>
      </w:tr>
      <w:tr w14:paraId="24C6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351" w:type="dxa"/>
            <w:vAlign w:val="center"/>
          </w:tcPr>
          <w:p w14:paraId="7E6AAB30">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开户银行：</w:t>
            </w:r>
          </w:p>
        </w:tc>
        <w:tc>
          <w:tcPr>
            <w:tcW w:w="4595" w:type="dxa"/>
            <w:vAlign w:val="center"/>
          </w:tcPr>
          <w:p w14:paraId="0A25AAFB">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帐号：</w:t>
            </w:r>
          </w:p>
        </w:tc>
      </w:tr>
      <w:tr w14:paraId="1C24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6" w:type="dxa"/>
            <w:gridSpan w:val="2"/>
            <w:vAlign w:val="center"/>
          </w:tcPr>
          <w:p w14:paraId="3CDA5A32">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签字日期：         年     月    日</w:t>
            </w:r>
          </w:p>
        </w:tc>
      </w:tr>
      <w:tr w14:paraId="1951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351" w:type="dxa"/>
            <w:vAlign w:val="center"/>
          </w:tcPr>
          <w:p w14:paraId="04E0BE03">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乙  方（盖章）：</w:t>
            </w:r>
          </w:p>
        </w:tc>
        <w:tc>
          <w:tcPr>
            <w:tcW w:w="4595" w:type="dxa"/>
            <w:vAlign w:val="center"/>
          </w:tcPr>
          <w:p w14:paraId="55BC1D0F">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法定代表人或受委托人：  （签字）</w:t>
            </w:r>
          </w:p>
        </w:tc>
      </w:tr>
      <w:tr w14:paraId="1E15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351" w:type="dxa"/>
            <w:vAlign w:val="center"/>
          </w:tcPr>
          <w:p w14:paraId="124E91C1">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地址： </w:t>
            </w:r>
          </w:p>
        </w:tc>
        <w:tc>
          <w:tcPr>
            <w:tcW w:w="4595" w:type="dxa"/>
            <w:vAlign w:val="center"/>
          </w:tcPr>
          <w:p w14:paraId="6C58ABC8">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邮编：</w:t>
            </w:r>
          </w:p>
        </w:tc>
      </w:tr>
      <w:tr w14:paraId="7F3A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51" w:type="dxa"/>
            <w:vAlign w:val="center"/>
          </w:tcPr>
          <w:p w14:paraId="19AB4F64">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电话：</w:t>
            </w:r>
          </w:p>
        </w:tc>
        <w:tc>
          <w:tcPr>
            <w:tcW w:w="4595" w:type="dxa"/>
            <w:vAlign w:val="center"/>
          </w:tcPr>
          <w:p w14:paraId="5982D780">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传真：</w:t>
            </w:r>
          </w:p>
        </w:tc>
      </w:tr>
      <w:tr w14:paraId="0C05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351" w:type="dxa"/>
            <w:vAlign w:val="center"/>
          </w:tcPr>
          <w:p w14:paraId="4779E50A">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开户银行：</w:t>
            </w:r>
          </w:p>
        </w:tc>
        <w:tc>
          <w:tcPr>
            <w:tcW w:w="4595" w:type="dxa"/>
            <w:vAlign w:val="center"/>
          </w:tcPr>
          <w:p w14:paraId="43605AA0">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帐号：</w:t>
            </w:r>
          </w:p>
        </w:tc>
      </w:tr>
      <w:tr w14:paraId="385D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946" w:type="dxa"/>
            <w:gridSpan w:val="2"/>
            <w:vAlign w:val="center"/>
          </w:tcPr>
          <w:p w14:paraId="2C3CE290">
            <w:pPr>
              <w:widowControl/>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签字日期：         年     月    日</w:t>
            </w:r>
          </w:p>
        </w:tc>
      </w:tr>
    </w:tbl>
    <w:p w14:paraId="351113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snapToGrid w:val="0"/>
          <w:color w:val="auto"/>
          <w:szCs w:val="21"/>
          <w:highlight w:val="none"/>
        </w:rPr>
        <w:t xml:space="preserve"> </w:t>
      </w:r>
    </w:p>
    <w:p w14:paraId="0463CD33">
      <w:pPr>
        <w:widowControl/>
        <w:spacing w:line="600" w:lineRule="auto"/>
        <w:ind w:firstLine="420" w:firstLineChars="200"/>
        <w:jc w:val="left"/>
        <w:rPr>
          <w:rFonts w:ascii="宋体" w:hAnsi="宋体" w:cs="宋体"/>
          <w:color w:val="auto"/>
          <w:szCs w:val="21"/>
          <w:highlight w:val="none"/>
          <w:lang w:bidi="zh-TW"/>
        </w:rPr>
      </w:pPr>
      <w:r>
        <w:rPr>
          <w:rFonts w:hint="eastAsia" w:ascii="宋体" w:hAnsi="宋体" w:eastAsia="宋体" w:cs="宋体"/>
          <w:color w:val="auto"/>
          <w:szCs w:val="21"/>
          <w:highlight w:val="none"/>
          <w:lang w:bidi="zh-TW"/>
        </w:rPr>
        <w:br w:type="page"/>
      </w:r>
    </w:p>
    <w:p w14:paraId="0952AD6F">
      <w:pPr>
        <w:adjustRightInd w:val="0"/>
        <w:snapToGrid w:val="0"/>
        <w:spacing w:before="120" w:beforeLines="50" w:after="120" w:afterLines="50" w:line="360" w:lineRule="auto"/>
        <w:jc w:val="center"/>
        <w:outlineLvl w:val="0"/>
        <w:rPr>
          <w:rFonts w:ascii="宋体" w:hAnsi="宋体" w:cs="宋体"/>
          <w:b/>
          <w:color w:val="auto"/>
          <w:sz w:val="30"/>
          <w:szCs w:val="30"/>
          <w:highlight w:val="none"/>
        </w:rPr>
      </w:pPr>
      <w:r>
        <w:rPr>
          <w:rFonts w:hint="eastAsia" w:ascii="宋体" w:hAnsi="宋体" w:cs="宋体"/>
          <w:b/>
          <w:color w:val="auto"/>
          <w:sz w:val="30"/>
          <w:szCs w:val="30"/>
          <w:highlight w:val="none"/>
        </w:rPr>
        <w:t>第五部分  评标办法（综合评分法）</w:t>
      </w:r>
      <w:bookmarkEnd w:id="45"/>
      <w:bookmarkEnd w:id="46"/>
      <w:bookmarkEnd w:id="47"/>
      <w:bookmarkEnd w:id="48"/>
    </w:p>
    <w:p w14:paraId="2CED43AD">
      <w:pPr>
        <w:tabs>
          <w:tab w:val="left" w:pos="73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根据《中华人民共和国政府采购法》、《中华人民共和国政府采购法实施条例》、《政府采购货物和服务招标投标管理办法》，参照《浙江省政府采购活动现场组织管理办法》等有关规定，结合本项目的实际情况，按照公平、公正、科学、择优的原则，制定本评标办法</w:t>
      </w:r>
      <w:r>
        <w:rPr>
          <w:rFonts w:hint="eastAsia" w:ascii="宋体" w:hAnsi="宋体" w:cs="宋体"/>
          <w:color w:val="auto"/>
          <w:szCs w:val="21"/>
          <w:highlight w:val="none"/>
        </w:rPr>
        <w:t>。</w:t>
      </w:r>
    </w:p>
    <w:p w14:paraId="7A308A23">
      <w:pPr>
        <w:pStyle w:val="8"/>
        <w:snapToGrid w:val="0"/>
        <w:spacing w:before="120" w:beforeLines="50" w:after="120" w:afterLines="50" w:line="360" w:lineRule="auto"/>
        <w:rPr>
          <w:rFonts w:ascii="宋体" w:hAnsi="宋体" w:eastAsia="宋体" w:cs="宋体"/>
          <w:color w:val="auto"/>
          <w:sz w:val="21"/>
          <w:szCs w:val="21"/>
          <w:highlight w:val="none"/>
        </w:rPr>
      </w:pPr>
      <w:bookmarkStart w:id="49" w:name="_Toc251566662"/>
      <w:bookmarkStart w:id="50" w:name="_Toc9435"/>
      <w:bookmarkStart w:id="51" w:name="_Toc249760791"/>
      <w:bookmarkStart w:id="52" w:name="_Toc13307"/>
      <w:r>
        <w:rPr>
          <w:rFonts w:hint="eastAsia" w:ascii="宋体" w:hAnsi="宋体" w:eastAsia="宋体" w:cs="宋体"/>
          <w:color w:val="auto"/>
          <w:sz w:val="21"/>
          <w:szCs w:val="21"/>
          <w:highlight w:val="none"/>
        </w:rPr>
        <w:t>一、总则</w:t>
      </w:r>
      <w:bookmarkEnd w:id="49"/>
      <w:bookmarkEnd w:id="50"/>
      <w:bookmarkEnd w:id="51"/>
      <w:bookmarkEnd w:id="52"/>
    </w:p>
    <w:p w14:paraId="2F85FE6A">
      <w:pPr>
        <w:adjustRightInd w:val="0"/>
        <w:snapToGrid w:val="0"/>
        <w:spacing w:line="360" w:lineRule="auto"/>
        <w:ind w:firstLine="420" w:firstLineChars="200"/>
        <w:rPr>
          <w:rFonts w:ascii="宋体" w:hAnsi="宋体" w:cs="宋体"/>
          <w:snapToGrid w:val="0"/>
          <w:color w:val="auto"/>
          <w:kern w:val="0"/>
          <w:szCs w:val="21"/>
          <w:highlight w:val="none"/>
        </w:rPr>
      </w:pPr>
      <w:bookmarkStart w:id="53" w:name="_Toc251566663"/>
      <w:bookmarkStart w:id="54" w:name="_Toc249760792"/>
      <w:r>
        <w:rPr>
          <w:rFonts w:hint="eastAsia" w:ascii="宋体" w:hAnsi="宋体" w:cs="宋体"/>
          <w:snapToGrid w:val="0"/>
          <w:color w:val="auto"/>
          <w:kern w:val="0"/>
          <w:szCs w:val="21"/>
          <w:highlight w:val="none"/>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投标人接触。</w:t>
      </w:r>
    </w:p>
    <w:p w14:paraId="2F3475C4">
      <w:pPr>
        <w:pStyle w:val="8"/>
        <w:snapToGrid w:val="0"/>
        <w:spacing w:before="120" w:beforeLines="50" w:after="120" w:afterLines="50" w:line="360" w:lineRule="auto"/>
        <w:rPr>
          <w:rFonts w:ascii="宋体" w:hAnsi="宋体" w:eastAsia="宋体" w:cs="宋体"/>
          <w:color w:val="auto"/>
          <w:sz w:val="21"/>
          <w:szCs w:val="21"/>
          <w:highlight w:val="none"/>
        </w:rPr>
      </w:pPr>
      <w:bookmarkStart w:id="55" w:name="_Toc22739"/>
      <w:bookmarkStart w:id="56" w:name="_Toc15057"/>
      <w:r>
        <w:rPr>
          <w:rFonts w:hint="eastAsia" w:ascii="宋体" w:hAnsi="宋体" w:eastAsia="宋体" w:cs="宋体"/>
          <w:color w:val="auto"/>
          <w:sz w:val="21"/>
          <w:szCs w:val="21"/>
          <w:highlight w:val="none"/>
        </w:rPr>
        <w:t>二、评标组织</w:t>
      </w:r>
      <w:bookmarkEnd w:id="53"/>
      <w:bookmarkEnd w:id="54"/>
      <w:bookmarkEnd w:id="55"/>
      <w:bookmarkEnd w:id="56"/>
    </w:p>
    <w:p w14:paraId="179EE3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评标委员会由采购人代表和评审专家组成，成员人数应当为 5 人（含）以上单数，其中评审专家不得少于成员总数的三分之二。评标委员会负责对投标文件进行审查、质询、评审等。</w:t>
      </w:r>
    </w:p>
    <w:p w14:paraId="674D594C">
      <w:pPr>
        <w:pStyle w:val="8"/>
        <w:snapToGrid w:val="0"/>
        <w:spacing w:before="120" w:beforeLines="50" w:after="120" w:afterLines="50" w:line="360" w:lineRule="auto"/>
        <w:rPr>
          <w:rFonts w:ascii="宋体" w:hAnsi="宋体" w:eastAsia="宋体" w:cs="宋体"/>
          <w:color w:val="auto"/>
          <w:sz w:val="21"/>
          <w:szCs w:val="21"/>
          <w:highlight w:val="none"/>
        </w:rPr>
      </w:pPr>
      <w:bookmarkStart w:id="57" w:name="_Toc31345"/>
      <w:bookmarkStart w:id="58" w:name="_Toc249760793"/>
      <w:bookmarkStart w:id="59" w:name="_Toc251566664"/>
      <w:bookmarkStart w:id="60" w:name="_Toc19149"/>
      <w:r>
        <w:rPr>
          <w:rFonts w:hint="eastAsia" w:ascii="宋体" w:hAnsi="宋体" w:eastAsia="宋体" w:cs="宋体"/>
          <w:color w:val="auto"/>
          <w:sz w:val="21"/>
          <w:szCs w:val="21"/>
          <w:highlight w:val="none"/>
        </w:rPr>
        <w:t>三、评标纪律</w:t>
      </w:r>
      <w:bookmarkEnd w:id="57"/>
      <w:bookmarkEnd w:id="58"/>
      <w:bookmarkEnd w:id="59"/>
      <w:bookmarkEnd w:id="60"/>
    </w:p>
    <w:p w14:paraId="25CBCBBC">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1．评标是招标工作的重要环节，评标工作在评标委员会内独立进行。评标委员会将按照评标原则的要求，公正、平等地对待所有投标人。</w:t>
      </w:r>
    </w:p>
    <w:p w14:paraId="7B23FD62">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2．所有评标人员应忠于职守、廉洁自律、秉公办事、不徇私情。</w:t>
      </w:r>
    </w:p>
    <w:p w14:paraId="11DACEDD">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3．评标人员不得接受或参加投标人或与投标有关的单位、组织或个人的有碍公务的宴请、娱乐活动等，不得以任何形式弄虚作假。</w:t>
      </w:r>
    </w:p>
    <w:p w14:paraId="133762CB">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4．评标期间，评标人员不得随意出入评标地点、与外界通讯、会客等。</w:t>
      </w:r>
    </w:p>
    <w:p w14:paraId="16AEAD2F">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5．在投标文件的审查、澄清、评价和比较以及授予合同的过程中，投标人对采购人、采购代理机构人员及评标委员会成员施加影响的任何行为，都将导致被取消投标资格。</w:t>
      </w:r>
    </w:p>
    <w:p w14:paraId="2C503358">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6．为保证评标的公正性，在评标过程中，评标委员会成员不得与投标人或与中标结果有利害关系的人进行私下接触。在评标工作结束后，凡与评标情况有接触的任何人，不得将评标情况扩散出评标委员会以外。</w:t>
      </w:r>
    </w:p>
    <w:p w14:paraId="3A9B0C13">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7．评标过程中，当发表结论性意见时，先听取专家评委意见，用户评委随后发表意见；评标专家对投标人的优劣情况，以及认为差异较大的情况等，应以书面意见作出真实、专业、诚恳负责的表述，不得违背客观、公正的原则。</w:t>
      </w:r>
    </w:p>
    <w:p w14:paraId="2C60D4E6">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8．评标结束后，各评标人员应将全部资料整理上交采购人，严禁将评标过程中的任何资料带出评标现场向投标人或其他单位提供。</w:t>
      </w:r>
    </w:p>
    <w:p w14:paraId="1DABC8E6">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9．在中标结果公布前应对评标委员会成员名单予以保密。</w:t>
      </w:r>
    </w:p>
    <w:p w14:paraId="3ADB71BA">
      <w:pPr>
        <w:adjustRightInd w:val="0"/>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10．评标委员会对各投标人的商业秘密予以保密。</w:t>
      </w:r>
    </w:p>
    <w:p w14:paraId="027DEA4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11．评标委员会成员应当客观、公正地履行职责，遵守职业道德，对所提出的评审意见承担个人责任。</w:t>
      </w:r>
    </w:p>
    <w:p w14:paraId="62A958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12．在整个评标过程中，投标人企图影响招标结果的任何活动，可能导致其投标失败。如有违法行为，将依法追究其法律责任。</w:t>
      </w:r>
    </w:p>
    <w:p w14:paraId="69D48045">
      <w:pPr>
        <w:pStyle w:val="8"/>
        <w:snapToGrid w:val="0"/>
        <w:spacing w:before="120" w:beforeLines="50" w:after="120" w:afterLines="50" w:line="360" w:lineRule="auto"/>
        <w:rPr>
          <w:rFonts w:ascii="宋体" w:hAnsi="宋体" w:eastAsia="宋体" w:cs="宋体"/>
          <w:b w:val="0"/>
          <w:color w:val="auto"/>
          <w:sz w:val="21"/>
          <w:szCs w:val="21"/>
          <w:highlight w:val="none"/>
        </w:rPr>
      </w:pPr>
      <w:bookmarkStart w:id="61" w:name="_Toc5524"/>
      <w:bookmarkStart w:id="62" w:name="_Toc249760794"/>
      <w:bookmarkStart w:id="63" w:name="_Toc5877"/>
      <w:bookmarkStart w:id="64" w:name="_Toc251566665"/>
      <w:r>
        <w:rPr>
          <w:rFonts w:hint="eastAsia" w:ascii="宋体" w:hAnsi="宋体" w:eastAsia="宋体" w:cs="宋体"/>
          <w:color w:val="auto"/>
          <w:sz w:val="21"/>
          <w:szCs w:val="21"/>
          <w:highlight w:val="none"/>
        </w:rPr>
        <w:t>四、评标程序</w:t>
      </w:r>
      <w:bookmarkEnd w:id="61"/>
      <w:bookmarkEnd w:id="62"/>
      <w:bookmarkEnd w:id="63"/>
      <w:bookmarkEnd w:id="64"/>
    </w:p>
    <w:p w14:paraId="79209C0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1．本项目采用不公开方式评标，评标的依据为招标文件和投标文件。</w:t>
      </w:r>
    </w:p>
    <w:p w14:paraId="55067C1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2．熟悉招标文件和评标办法。</w:t>
      </w:r>
    </w:p>
    <w:p w14:paraId="3958227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3．采购代理机构按照招标文件规定的时间、地点及程序组织评审。流程如下：</w:t>
      </w:r>
    </w:p>
    <w:p w14:paraId="6521BA5B">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开启评审场地的录音录像采集设备，并确保其正常运行。</w:t>
      </w:r>
    </w:p>
    <w:p w14:paraId="71A0B74D">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核验出席评审活动现场的评审小组各成员和相关监督人员身份，并要求其分别登记、签到，按规定统一收缴、保存其通讯工具，无关人员一律拒绝其进入评审现场。</w:t>
      </w:r>
    </w:p>
    <w:p w14:paraId="2BF8907E">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介绍评审现场的人员情况，宣布评审工作纪律，告知评审人员应当回避情形；组织推选评审小组组长。</w:t>
      </w:r>
    </w:p>
    <w:p w14:paraId="6A721FA7">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通报报名参加本项目采购的投标人名单及资格预审情况（如有），宣读最终提交采购响应文件的投标人名单，组织评审小组各位成员签订《政府采购评审人员廉洁自律承诺书》。</w:t>
      </w:r>
    </w:p>
    <w:p w14:paraId="3A756000">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根据需要简要介绍招标文件（含补充文件）制定及质疑答复情况、按书面陈述项目基本情况及评审工作需注意事项等。</w:t>
      </w:r>
    </w:p>
    <w:p w14:paraId="541FB483">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评审小组组长组织评审人员独立评审。</w:t>
      </w:r>
    </w:p>
    <w:p w14:paraId="0392AAB5">
      <w:pPr>
        <w:tabs>
          <w:tab w:val="left" w:pos="851"/>
          <w:tab w:val="left" w:pos="993"/>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小组对拟认定为采购响应文件无效、投标人资格不符合的，应组织相关投标人代表进行陈述、澄清或申辩；采购代理机构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14:paraId="20D067C8">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评审小组根据评审汇总情况和招标文件规定确定中标（成交）候选供应商排序名单。</w:t>
      </w:r>
    </w:p>
    <w:p w14:paraId="115F4807">
      <w:pPr>
        <w:numPr>
          <w:ilvl w:val="1"/>
          <w:numId w:val="7"/>
        </w:numPr>
        <w:tabs>
          <w:tab w:val="left" w:pos="851"/>
          <w:tab w:val="left" w:pos="993"/>
        </w:tabs>
        <w:adjustRightInd w:val="0"/>
        <w:snapToGrid w:val="0"/>
        <w:spacing w:line="360" w:lineRule="auto"/>
        <w:ind w:left="0" w:firstLine="426"/>
        <w:rPr>
          <w:rFonts w:ascii="宋体" w:hAnsi="宋体" w:cs="宋体"/>
          <w:color w:val="auto"/>
          <w:szCs w:val="21"/>
          <w:highlight w:val="none"/>
        </w:rPr>
      </w:pPr>
      <w:r>
        <w:rPr>
          <w:rFonts w:hint="eastAsia" w:ascii="宋体" w:hAnsi="宋体" w:cs="宋体"/>
          <w:color w:val="auto"/>
          <w:szCs w:val="21"/>
          <w:highlight w:val="none"/>
        </w:rPr>
        <w:t>起草评审报告，所有评审人员须在评审报告上签字确认。</w:t>
      </w:r>
    </w:p>
    <w:p w14:paraId="48A7631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人员对有关招标文件、投标文件、样品（如有）、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77E972D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评标报告是评标委员会根据全体评标成员签字的原始评标记录和评标结果编写的报告，其主要内容包括：</w:t>
      </w:r>
    </w:p>
    <w:p w14:paraId="11D9EC5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（1）采购公告刊登的媒体名称、开标日期和地点；</w:t>
      </w:r>
    </w:p>
    <w:p w14:paraId="1F8CEF4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（2）获取招标文件的投标人名单和评标委员会成员名单；</w:t>
      </w:r>
    </w:p>
    <w:p w14:paraId="3A2EFDA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（3）评标方法和标准；</w:t>
      </w:r>
    </w:p>
    <w:p w14:paraId="6CD676B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（4）开标记录和评标情况及说明，包括投标无效投标人名单及原因；</w:t>
      </w:r>
    </w:p>
    <w:p w14:paraId="2C1FA65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（5）评标结果和中标候选人排序；</w:t>
      </w:r>
    </w:p>
    <w:p w14:paraId="532EC1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（6）评标委员会的授标建议。</w:t>
      </w:r>
    </w:p>
    <w:p w14:paraId="13DCC114">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4.评标程序</w:t>
      </w:r>
    </w:p>
    <w:p w14:paraId="05B96B8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4.1投标文件初审。初审分为资格性检查和符合性检查。</w:t>
      </w:r>
    </w:p>
    <w:p w14:paraId="48C7A1D4">
      <w:pPr>
        <w:numPr>
          <w:ilvl w:val="0"/>
          <w:numId w:val="8"/>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资格性检查。</w:t>
      </w:r>
    </w:p>
    <w:p w14:paraId="570BB5FE">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开标后，采购人或采购代理机构将依据法律法规和本须知第9.1条规定对投标人的基本资格条件、特定资格条件进行审查。</w:t>
      </w:r>
    </w:p>
    <w:p w14:paraId="21A75059">
      <w:pPr>
        <w:numPr>
          <w:ilvl w:val="0"/>
          <w:numId w:val="8"/>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符合性检查。依据招标文件的规定，从投标文件的有效性、完整性和对招标文件的响应程度进行审查，以确定是否对招标文件的实质性要求作出响应。具体审查内容见“无效投标的认定”。</w:t>
      </w:r>
    </w:p>
    <w:p w14:paraId="50150980">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评标委员会决定投标文件的响应性只根据投标文件本身的内容，而不寻求外部证据。</w:t>
      </w:r>
    </w:p>
    <w:p w14:paraId="3496C238">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如果投标文件没有实质上响应招标文件的要求，评标委员会将判定无效，投标人不得通过修改或撤销不合要求的偏离或保留而使其投标成为实质性响应的投标。</w:t>
      </w:r>
    </w:p>
    <w:p w14:paraId="2F37A5B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澄清有关问题。在评标期间，对投标文件中含义不明确、同类问题表述不一致或者有明显文字和计算错误的内容，评标委员会可以书面形式（或有效电子数据电文）要求投标人作出必要的澄清、说明或者纠正。投标人的澄清、说明或者补正不得超出投标文件的范围或者改变投标文件的实质性内容。</w:t>
      </w:r>
    </w:p>
    <w:p w14:paraId="3B87A60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投标人的澄清、说明或者补正应当由法定代表人或其授权的代表签字（或加盖公章）后扫描上传提交。</w:t>
      </w:r>
    </w:p>
    <w:p w14:paraId="4741F96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授权代表对澄清、说明或者补正内容未签字确认的，将自行承担由此可能导致的对其不利的评审结果，评标委员会按少数服从多数原则对相关内容进行评判。</w:t>
      </w:r>
    </w:p>
    <w:p w14:paraId="371A8CF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除邮件交互外，如政采云平台提供信息发布、澄清说明、数据交换等操作方式的，或者政采云系统平台有新的操作流程的，按其规定。</w:t>
      </w:r>
    </w:p>
    <w:p w14:paraId="0F0418E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4.3修正原则</w:t>
      </w:r>
    </w:p>
    <w:p w14:paraId="1E08960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投标文件报价出现前后不一致的，按照下列规定修正：</w:t>
      </w:r>
    </w:p>
    <w:p w14:paraId="002BA168">
      <w:pPr>
        <w:numPr>
          <w:ilvl w:val="0"/>
          <w:numId w:val="9"/>
        </w:numPr>
        <w:tabs>
          <w:tab w:val="left" w:pos="630"/>
          <w:tab w:val="left" w:pos="840"/>
          <w:tab w:val="left" w:pos="1050"/>
        </w:tabs>
        <w:adjustRightInd w:val="0"/>
        <w:snapToGrid w:val="0"/>
        <w:spacing w:line="360" w:lineRule="auto"/>
        <w:ind w:left="5" w:firstLine="635"/>
        <w:jc w:val="left"/>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723A19E2">
      <w:pPr>
        <w:numPr>
          <w:ilvl w:val="0"/>
          <w:numId w:val="9"/>
        </w:numPr>
        <w:tabs>
          <w:tab w:val="left" w:pos="630"/>
          <w:tab w:val="left" w:pos="840"/>
          <w:tab w:val="left" w:pos="1050"/>
        </w:tabs>
        <w:adjustRightInd w:val="0"/>
        <w:snapToGrid w:val="0"/>
        <w:spacing w:line="360" w:lineRule="auto"/>
        <w:ind w:left="5" w:firstLine="635"/>
        <w:jc w:val="left"/>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43A76751">
      <w:pPr>
        <w:numPr>
          <w:ilvl w:val="0"/>
          <w:numId w:val="9"/>
        </w:numPr>
        <w:tabs>
          <w:tab w:val="left" w:pos="630"/>
          <w:tab w:val="left" w:pos="840"/>
          <w:tab w:val="left" w:pos="1050"/>
        </w:tabs>
        <w:adjustRightInd w:val="0"/>
        <w:snapToGrid w:val="0"/>
        <w:spacing w:line="360" w:lineRule="auto"/>
        <w:ind w:left="5" w:firstLine="635"/>
        <w:jc w:val="left"/>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406C89E1">
      <w:pPr>
        <w:numPr>
          <w:ilvl w:val="0"/>
          <w:numId w:val="9"/>
        </w:numPr>
        <w:tabs>
          <w:tab w:val="left" w:pos="630"/>
          <w:tab w:val="left" w:pos="840"/>
          <w:tab w:val="left" w:pos="1050"/>
        </w:tabs>
        <w:adjustRightInd w:val="0"/>
        <w:snapToGrid w:val="0"/>
        <w:spacing w:line="360" w:lineRule="auto"/>
        <w:ind w:left="5" w:firstLine="635"/>
        <w:jc w:val="left"/>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5FB123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46FB740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4.4比较与评价。</w:t>
      </w:r>
    </w:p>
    <w:p w14:paraId="3956F214">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按招标文件中规定的评标方法和标准，对资格性检查和符合性检查合格的投标文件进行商务和技术评估，综合比较与评价。</w:t>
      </w:r>
    </w:p>
    <w:p w14:paraId="14A7B4A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4.5按招标文件中规定的评标方法和标准，对投标人进行排序，并推荐中标候选人。</w:t>
      </w:r>
    </w:p>
    <w:p w14:paraId="3E302CD2">
      <w:pPr>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4.6编写评标报告</w:t>
      </w:r>
      <w:r>
        <w:rPr>
          <w:rFonts w:hint="eastAsia" w:ascii="宋体" w:hAnsi="宋体" w:cs="宋体"/>
          <w:b/>
          <w:color w:val="auto"/>
          <w:szCs w:val="21"/>
          <w:highlight w:val="none"/>
        </w:rPr>
        <w:t>。</w:t>
      </w:r>
    </w:p>
    <w:p w14:paraId="5736D1FF">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5．无效投标的认定</w:t>
      </w:r>
    </w:p>
    <w:p w14:paraId="52A87E8A">
      <w:pPr>
        <w:adjustRightInd w:val="0"/>
        <w:snapToGrid w:val="0"/>
        <w:spacing w:line="360" w:lineRule="auto"/>
        <w:ind w:firstLine="422" w:firstLineChars="200"/>
        <w:jc w:val="left"/>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5.1资格审查阶段</w:t>
      </w:r>
    </w:p>
    <w:p w14:paraId="6BDDE202">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投标人未按照招标文件投标须知9.1条要求提供与基本资格条件、特定资格条件相应的有效资格证明材料的，视为投标人不具备招标文件中规定的资格要求，其资格审查不通过。</w:t>
      </w:r>
    </w:p>
    <w:p w14:paraId="1551D8C7">
      <w:pPr>
        <w:adjustRightInd w:val="0"/>
        <w:snapToGrid w:val="0"/>
        <w:spacing w:line="360" w:lineRule="auto"/>
        <w:ind w:firstLine="422" w:firstLineChars="200"/>
        <w:jc w:val="left"/>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5.2商务和技术文件评审阶段</w:t>
      </w:r>
    </w:p>
    <w:p w14:paraId="1E8231FF">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审时，评标委员会将逐项对投标人的商务和技术文件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34A3055E">
      <w:pPr>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如发现下列情形之一的，投标文件将被视为无效投标：</w:t>
      </w:r>
    </w:p>
    <w:p w14:paraId="68CE5DBC">
      <w:pPr>
        <w:numPr>
          <w:ilvl w:val="0"/>
          <w:numId w:val="10"/>
        </w:numPr>
        <w:tabs>
          <w:tab w:val="left" w:pos="90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投标文件组成漏项或未按规定的格式编制或投标文件正、副本份数不足的；</w:t>
      </w:r>
    </w:p>
    <w:p w14:paraId="5657266D">
      <w:pPr>
        <w:numPr>
          <w:ilvl w:val="0"/>
          <w:numId w:val="10"/>
        </w:numPr>
        <w:tabs>
          <w:tab w:val="left" w:pos="90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投标文件中授权委托书所载内容与本项目内容有异的或者授权委托书未按照招标文件要求签署、盖章的；</w:t>
      </w:r>
    </w:p>
    <w:p w14:paraId="23107476">
      <w:pPr>
        <w:numPr>
          <w:ilvl w:val="0"/>
          <w:numId w:val="10"/>
        </w:numPr>
        <w:tabs>
          <w:tab w:val="left" w:pos="90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投标文件内容弄虚作假的；</w:t>
      </w:r>
    </w:p>
    <w:p w14:paraId="27FFE0FD">
      <w:pPr>
        <w:numPr>
          <w:ilvl w:val="0"/>
          <w:numId w:val="10"/>
        </w:numPr>
        <w:tabs>
          <w:tab w:val="left" w:pos="90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未按招标文件中明确的要求签署、盖章的；</w:t>
      </w:r>
    </w:p>
    <w:p w14:paraId="52FAF6B9">
      <w:pPr>
        <w:numPr>
          <w:ilvl w:val="0"/>
          <w:numId w:val="10"/>
        </w:numPr>
        <w:tabs>
          <w:tab w:val="left" w:pos="90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投标文件未采用胶装方式装订的；</w:t>
      </w:r>
    </w:p>
    <w:p w14:paraId="5539E666">
      <w:pPr>
        <w:numPr>
          <w:ilvl w:val="0"/>
          <w:numId w:val="10"/>
        </w:numPr>
        <w:tabs>
          <w:tab w:val="left" w:pos="900"/>
          <w:tab w:val="left" w:pos="1080"/>
          <w:tab w:val="clear" w:pos="1273"/>
        </w:tabs>
        <w:adjustRightInd w:val="0"/>
        <w:snapToGrid w:val="0"/>
        <w:spacing w:line="360" w:lineRule="auto"/>
        <w:ind w:left="0" w:firstLine="360"/>
        <w:jc w:val="left"/>
        <w:rPr>
          <w:rFonts w:ascii="宋体" w:hAnsi="宋体" w:cs="宋体"/>
          <w:b/>
          <w:snapToGrid w:val="0"/>
          <w:color w:val="auto"/>
          <w:kern w:val="0"/>
          <w:szCs w:val="21"/>
          <w:highlight w:val="none"/>
        </w:rPr>
      </w:pPr>
      <w:r>
        <w:rPr>
          <w:rFonts w:hint="eastAsia" w:ascii="宋体" w:hAnsi="宋体" w:cs="宋体"/>
          <w:b/>
          <w:bCs/>
          <w:color w:val="auto"/>
          <w:szCs w:val="21"/>
          <w:highlight w:val="none"/>
        </w:rPr>
        <w:t>不响应招标文件标注“▲”条款要求的；</w:t>
      </w:r>
    </w:p>
    <w:p w14:paraId="359F8AC8">
      <w:pPr>
        <w:numPr>
          <w:ilvl w:val="0"/>
          <w:numId w:val="10"/>
        </w:numPr>
        <w:tabs>
          <w:tab w:val="left" w:pos="900"/>
          <w:tab w:val="left" w:pos="1080"/>
          <w:tab w:val="clear" w:pos="1273"/>
        </w:tabs>
        <w:adjustRightInd w:val="0"/>
        <w:snapToGrid w:val="0"/>
        <w:spacing w:line="360" w:lineRule="auto"/>
        <w:ind w:left="0" w:firstLine="360"/>
        <w:jc w:val="left"/>
        <w:rPr>
          <w:rFonts w:ascii="宋体" w:hAnsi="宋体" w:cs="宋体"/>
          <w:b/>
          <w:bCs/>
          <w:color w:val="auto"/>
          <w:szCs w:val="21"/>
          <w:highlight w:val="none"/>
        </w:rPr>
      </w:pPr>
      <w:r>
        <w:rPr>
          <w:rFonts w:hint="eastAsia" w:ascii="宋体" w:hAnsi="宋体" w:cs="宋体"/>
          <w:b/>
          <w:bCs/>
          <w:color w:val="auto"/>
          <w:szCs w:val="21"/>
          <w:highlight w:val="none"/>
        </w:rPr>
        <w:t>投标有效期、服务期限、履约保证金等条款不能满足招标文件要求的；</w:t>
      </w:r>
    </w:p>
    <w:p w14:paraId="67430B76">
      <w:pPr>
        <w:numPr>
          <w:ilvl w:val="255"/>
          <w:numId w:val="0"/>
        </w:numPr>
        <w:tabs>
          <w:tab w:val="left" w:pos="900"/>
          <w:tab w:val="left" w:pos="1080"/>
        </w:tabs>
        <w:adjustRightInd w:val="0"/>
        <w:snapToGrid w:val="0"/>
        <w:spacing w:line="360" w:lineRule="auto"/>
        <w:ind w:left="360"/>
        <w:jc w:val="left"/>
        <w:rPr>
          <w:rFonts w:ascii="宋体" w:hAnsi="宋体" w:cs="宋体"/>
          <w:b/>
          <w:bCs/>
          <w:color w:val="auto"/>
          <w:szCs w:val="21"/>
          <w:highlight w:val="none"/>
        </w:rPr>
      </w:pPr>
      <w:r>
        <w:rPr>
          <w:rFonts w:hint="eastAsia" w:ascii="宋体" w:hAnsi="宋体" w:cs="宋体"/>
          <w:b/>
          <w:bCs/>
          <w:color w:val="auto"/>
          <w:szCs w:val="21"/>
          <w:highlight w:val="none"/>
        </w:rPr>
        <w:t>（8）存在法律、法规规定及招标文件规定的其它无效情形的。</w:t>
      </w:r>
    </w:p>
    <w:p w14:paraId="401E8E95">
      <w:pPr>
        <w:adjustRightInd w:val="0"/>
        <w:snapToGrid w:val="0"/>
        <w:spacing w:line="360" w:lineRule="auto"/>
        <w:ind w:firstLine="422" w:firstLineChars="200"/>
        <w:jc w:val="left"/>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5.3报价文件评审阶段</w:t>
      </w:r>
    </w:p>
    <w:p w14:paraId="11049F3D">
      <w:pPr>
        <w:tabs>
          <w:tab w:val="left" w:pos="900"/>
          <w:tab w:val="left" w:pos="1080"/>
        </w:tabs>
        <w:adjustRightInd w:val="0"/>
        <w:snapToGrid w:val="0"/>
        <w:spacing w:line="360" w:lineRule="auto"/>
        <w:ind w:left="360"/>
        <w:jc w:val="left"/>
        <w:rPr>
          <w:rFonts w:ascii="宋体" w:hAnsi="宋体" w:cs="宋体"/>
          <w:b/>
          <w:bCs/>
          <w:color w:val="auto"/>
          <w:szCs w:val="21"/>
          <w:highlight w:val="none"/>
        </w:rPr>
      </w:pPr>
      <w:r>
        <w:rPr>
          <w:rFonts w:hint="eastAsia" w:ascii="宋体" w:hAnsi="宋体" w:cs="宋体"/>
          <w:snapToGrid w:val="0"/>
          <w:color w:val="auto"/>
          <w:kern w:val="0"/>
          <w:szCs w:val="21"/>
          <w:highlight w:val="none"/>
        </w:rPr>
        <w:t>在报价评审时，如发现下列情形之一的，投标文件将被视为无效：</w:t>
      </w:r>
    </w:p>
    <w:p w14:paraId="28350CB2">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bCs/>
          <w:color w:val="auto"/>
          <w:szCs w:val="21"/>
          <w:highlight w:val="none"/>
        </w:rPr>
      </w:pPr>
      <w:r>
        <w:rPr>
          <w:rFonts w:hint="eastAsia" w:ascii="宋体" w:hAnsi="宋体" w:cs="宋体"/>
          <w:b/>
          <w:bCs/>
          <w:color w:val="auto"/>
          <w:szCs w:val="21"/>
          <w:highlight w:val="none"/>
        </w:rPr>
        <w:t>报价文件未按招标文件要求盖章的；</w:t>
      </w:r>
    </w:p>
    <w:p w14:paraId="256B0447">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bCs/>
          <w:color w:val="auto"/>
          <w:szCs w:val="21"/>
          <w:highlight w:val="none"/>
        </w:rPr>
      </w:pPr>
      <w:r>
        <w:rPr>
          <w:rFonts w:hint="eastAsia" w:ascii="宋体" w:hAnsi="宋体" w:cs="宋体"/>
          <w:b/>
          <w:bCs/>
          <w:color w:val="auto"/>
          <w:szCs w:val="21"/>
          <w:highlight w:val="none"/>
        </w:rPr>
        <w:t>开标一览表投标报价为零的（包括投标文件中标明：免费或赠予）或其报价（大写）无法按正常书写方式进行报价唱标的或无投标报价的；</w:t>
      </w:r>
    </w:p>
    <w:p w14:paraId="6D7038FB">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bCs/>
          <w:color w:val="auto"/>
          <w:szCs w:val="21"/>
          <w:highlight w:val="none"/>
        </w:rPr>
      </w:pPr>
      <w:r>
        <w:rPr>
          <w:rFonts w:hint="eastAsia" w:ascii="宋体" w:hAnsi="宋体" w:cs="宋体"/>
          <w:b/>
          <w:snapToGrid w:val="0"/>
          <w:color w:val="auto"/>
          <w:kern w:val="0"/>
          <w:highlight w:val="none"/>
        </w:rPr>
        <w:t>投标人提交两份或多份内容不同的报价响应文件，或在一份报价响应文件中对同一内容报有两个或多个报价，且未声明哪一个为最终报价的；</w:t>
      </w:r>
    </w:p>
    <w:p w14:paraId="2F8888CF">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t>投标人的报价明显低于其他通过符合性审查投标人的报价，有可能影响服务质量或者不能诚信履约，未能按评标委员会要求其在评标现场合理的时间内提供书面说明及相关证明材料以证明其报价合理性的；</w:t>
      </w:r>
    </w:p>
    <w:p w14:paraId="0C7E09A5">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t>投标报价超过招标文件中规定的预算金额（或最高限价）的；</w:t>
      </w:r>
    </w:p>
    <w:p w14:paraId="684E531B">
      <w:pPr>
        <w:numPr>
          <w:ilvl w:val="0"/>
          <w:numId w:val="11"/>
        </w:numPr>
        <w:tabs>
          <w:tab w:val="left" w:pos="900"/>
          <w:tab w:val="left" w:pos="1080"/>
          <w:tab w:val="clear" w:pos="1273"/>
        </w:tabs>
        <w:adjustRightInd w:val="0"/>
        <w:snapToGrid w:val="0"/>
        <w:spacing w:line="360" w:lineRule="auto"/>
        <w:ind w:left="0" w:firstLine="360"/>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t>存在法律、法规规定及招标文件规定的其它无效情形的。</w:t>
      </w:r>
    </w:p>
    <w:p w14:paraId="2B7EFF89">
      <w:pPr>
        <w:pStyle w:val="8"/>
        <w:snapToGrid w:val="0"/>
        <w:spacing w:before="120" w:beforeLines="50" w:after="120" w:afterLines="50" w:line="360" w:lineRule="auto"/>
        <w:rPr>
          <w:rFonts w:ascii="宋体" w:hAnsi="宋体" w:eastAsia="宋体" w:cs="宋体"/>
          <w:color w:val="auto"/>
          <w:sz w:val="21"/>
          <w:szCs w:val="21"/>
          <w:highlight w:val="none"/>
        </w:rPr>
      </w:pPr>
      <w:bookmarkStart w:id="65" w:name="_Toc249760795"/>
      <w:bookmarkStart w:id="66" w:name="_Toc251566666"/>
      <w:bookmarkStart w:id="67" w:name="_Toc20349"/>
      <w:bookmarkStart w:id="68" w:name="_Toc19580"/>
      <w:r>
        <w:rPr>
          <w:rFonts w:hint="eastAsia" w:ascii="宋体" w:hAnsi="宋体" w:eastAsia="宋体" w:cs="宋体"/>
          <w:color w:val="auto"/>
          <w:sz w:val="21"/>
          <w:szCs w:val="21"/>
          <w:highlight w:val="none"/>
        </w:rPr>
        <w:t>五、评标</w:t>
      </w:r>
      <w:bookmarkEnd w:id="65"/>
      <w:bookmarkEnd w:id="66"/>
      <w:r>
        <w:rPr>
          <w:rFonts w:hint="eastAsia" w:ascii="宋体" w:hAnsi="宋体" w:eastAsia="宋体" w:cs="宋体"/>
          <w:color w:val="auto"/>
          <w:sz w:val="21"/>
          <w:szCs w:val="21"/>
          <w:highlight w:val="none"/>
        </w:rPr>
        <w:t>细则及标准</w:t>
      </w:r>
      <w:bookmarkEnd w:id="67"/>
      <w:bookmarkEnd w:id="68"/>
    </w:p>
    <w:p w14:paraId="05C535EC">
      <w:pPr>
        <w:autoSpaceDE w:val="0"/>
        <w:autoSpaceDN w:val="0"/>
        <w:adjustRightInd w:val="0"/>
        <w:spacing w:line="360" w:lineRule="auto"/>
        <w:ind w:firstLine="480"/>
        <w:rPr>
          <w:rFonts w:cs="宋体"/>
          <w:color w:val="auto"/>
          <w:szCs w:val="21"/>
          <w:highlight w:val="none"/>
          <w:lang w:val="zh-CN"/>
        </w:rPr>
      </w:pPr>
      <w:r>
        <w:rPr>
          <w:rFonts w:hint="eastAsia" w:cs="宋体"/>
          <w:color w:val="auto"/>
          <w:szCs w:val="21"/>
          <w:highlight w:val="none"/>
          <w:lang w:val="zh-CN"/>
        </w:rPr>
        <w:t>评标委员会对各投标人的</w:t>
      </w:r>
      <w:r>
        <w:rPr>
          <w:rFonts w:hint="eastAsia" w:cs="宋体"/>
          <w:color w:val="auto"/>
          <w:szCs w:val="21"/>
          <w:highlight w:val="none"/>
        </w:rPr>
        <w:t>投标文件</w:t>
      </w:r>
      <w:r>
        <w:rPr>
          <w:rFonts w:hint="eastAsia" w:cs="宋体"/>
          <w:color w:val="auto"/>
          <w:szCs w:val="21"/>
          <w:highlight w:val="none"/>
          <w:lang w:val="zh-CN"/>
        </w:rPr>
        <w:t>充分审核、讨论及评议后，每人一份评分表，进行独自打分并签名。在统计得分时，如发现某一单项评分超过评分细则规定的分值范围，则该张评分表无效。投标人技术部分的得分为评标委员会各成员的有效评分的算术平均值。</w:t>
      </w:r>
    </w:p>
    <w:p w14:paraId="4D29817A">
      <w:pPr>
        <w:pStyle w:val="59"/>
        <w:numPr>
          <w:ilvl w:val="0"/>
          <w:numId w:val="12"/>
        </w:numPr>
        <w:spacing w:before="0" w:line="420" w:lineRule="exact"/>
        <w:ind w:firstLine="527" w:firstLineChars="250"/>
        <w:rPr>
          <w:rFonts w:ascii="宋体" w:hAnsi="宋体" w:cs="宋体"/>
          <w:b/>
          <w:color w:val="auto"/>
          <w:sz w:val="21"/>
          <w:szCs w:val="21"/>
          <w:highlight w:val="none"/>
        </w:rPr>
      </w:pPr>
      <w:r>
        <w:rPr>
          <w:rFonts w:hint="eastAsia" w:ascii="宋体" w:hAnsi="宋体" w:cs="宋体"/>
          <w:b/>
          <w:color w:val="auto"/>
          <w:sz w:val="21"/>
          <w:szCs w:val="21"/>
          <w:highlight w:val="none"/>
        </w:rPr>
        <w:t>商务和技术分（90分）：</w:t>
      </w:r>
    </w:p>
    <w:tbl>
      <w:tblPr>
        <w:tblStyle w:val="4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711"/>
        <w:gridCol w:w="703"/>
      </w:tblGrid>
      <w:tr w14:paraId="7F5B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bottom w:val="single" w:color="auto" w:sz="4" w:space="0"/>
            </w:tcBorders>
            <w:vAlign w:val="center"/>
          </w:tcPr>
          <w:p w14:paraId="7BFCB9BC">
            <w:pPr>
              <w:spacing w:line="360" w:lineRule="auto"/>
              <w:jc w:val="center"/>
              <w:rPr>
                <w:rFonts w:hint="eastAsia" w:ascii="宋体" w:hAnsi="宋体" w:eastAsia="宋体" w:cs="宋体"/>
                <w:b/>
                <w:bCs/>
                <w:color w:val="auto"/>
                <w:spacing w:val="-6"/>
                <w:kern w:val="0"/>
                <w:sz w:val="21"/>
                <w:szCs w:val="21"/>
                <w:highlight w:val="none"/>
              </w:rPr>
            </w:pPr>
            <w:bookmarkStart w:id="69" w:name="_Toc234764855"/>
            <w:bookmarkStart w:id="70" w:name="_Toc1306"/>
            <w:bookmarkStart w:id="71" w:name="_Toc249760797"/>
            <w:bookmarkStart w:id="72" w:name="_Toc251566668"/>
            <w:bookmarkStart w:id="73" w:name="_Toc21580"/>
            <w:r>
              <w:rPr>
                <w:rFonts w:hint="eastAsia" w:ascii="宋体" w:hAnsi="宋体" w:eastAsia="宋体" w:cs="宋体"/>
                <w:b/>
                <w:bCs/>
                <w:color w:val="auto"/>
                <w:spacing w:val="-6"/>
                <w:kern w:val="0"/>
                <w:sz w:val="21"/>
                <w:szCs w:val="21"/>
                <w:highlight w:val="none"/>
              </w:rPr>
              <w:t>序</w:t>
            </w:r>
          </w:p>
          <w:p w14:paraId="296E664C">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号</w:t>
            </w:r>
          </w:p>
        </w:tc>
        <w:tc>
          <w:tcPr>
            <w:tcW w:w="7711" w:type="dxa"/>
            <w:tcBorders>
              <w:bottom w:val="single" w:color="auto" w:sz="4" w:space="0"/>
            </w:tcBorders>
            <w:vAlign w:val="center"/>
          </w:tcPr>
          <w:p w14:paraId="0B5734F9">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评分内容及细则</w:t>
            </w:r>
          </w:p>
        </w:tc>
        <w:tc>
          <w:tcPr>
            <w:tcW w:w="703" w:type="dxa"/>
            <w:tcBorders>
              <w:bottom w:val="single" w:color="auto" w:sz="4" w:space="0"/>
            </w:tcBorders>
            <w:vAlign w:val="center"/>
          </w:tcPr>
          <w:p w14:paraId="2B97F340">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分值</w:t>
            </w:r>
          </w:p>
        </w:tc>
      </w:tr>
      <w:tr w14:paraId="4F17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shd w:val="clear" w:color="auto" w:fill="D8D8D8" w:themeFill="background1" w:themeFillShade="D9"/>
            <w:vAlign w:val="center"/>
          </w:tcPr>
          <w:p w14:paraId="782E9003">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w:t>
            </w:r>
          </w:p>
        </w:tc>
        <w:tc>
          <w:tcPr>
            <w:tcW w:w="7711" w:type="dxa"/>
            <w:shd w:val="clear" w:color="auto" w:fill="D8D8D8" w:themeFill="background1" w:themeFillShade="D9"/>
            <w:vAlign w:val="center"/>
          </w:tcPr>
          <w:p w14:paraId="2D57C9E3">
            <w:pPr>
              <w:spacing w:line="360" w:lineRule="auto"/>
              <w:jc w:val="center"/>
              <w:rPr>
                <w:rFonts w:hint="eastAsia" w:ascii="宋体" w:hAnsi="宋体" w:eastAsia="宋体" w:cs="宋体"/>
                <w:b/>
                <w:bCs/>
                <w:color w:val="auto"/>
                <w:spacing w:val="-6"/>
                <w:kern w:val="0"/>
                <w:sz w:val="21"/>
                <w:szCs w:val="21"/>
                <w:highlight w:val="none"/>
                <w:lang w:eastAsia="zh-CN"/>
              </w:rPr>
            </w:pPr>
            <w:r>
              <w:rPr>
                <w:rFonts w:hint="eastAsia" w:ascii="宋体" w:hAnsi="宋体" w:eastAsia="宋体" w:cs="宋体"/>
                <w:b/>
                <w:bCs/>
                <w:color w:val="auto"/>
                <w:spacing w:val="-6"/>
                <w:kern w:val="0"/>
                <w:sz w:val="21"/>
                <w:szCs w:val="21"/>
                <w:highlight w:val="none"/>
              </w:rPr>
              <w:t>服务方案</w:t>
            </w:r>
            <w:r>
              <w:rPr>
                <w:rFonts w:hint="eastAsia" w:ascii="宋体" w:hAnsi="宋体" w:eastAsia="宋体" w:cs="宋体"/>
                <w:b/>
                <w:bCs/>
                <w:color w:val="auto"/>
                <w:spacing w:val="-6"/>
                <w:kern w:val="0"/>
                <w:sz w:val="21"/>
                <w:szCs w:val="21"/>
                <w:highlight w:val="none"/>
                <w:lang w:eastAsia="zh-CN"/>
              </w:rPr>
              <w:t>（主观分）</w:t>
            </w:r>
          </w:p>
        </w:tc>
        <w:tc>
          <w:tcPr>
            <w:tcW w:w="703" w:type="dxa"/>
            <w:shd w:val="clear" w:color="auto" w:fill="D8D8D8" w:themeFill="background1" w:themeFillShade="D9"/>
            <w:vAlign w:val="center"/>
          </w:tcPr>
          <w:p w14:paraId="1BE8DA9D">
            <w:pPr>
              <w:spacing w:line="360" w:lineRule="auto"/>
              <w:jc w:val="center"/>
              <w:rPr>
                <w:rFonts w:hint="eastAsia" w:ascii="宋体" w:hAnsi="宋体" w:eastAsia="宋体" w:cs="宋体"/>
                <w:b/>
                <w:bCs/>
                <w:color w:val="auto"/>
                <w:spacing w:val="-6"/>
                <w:kern w:val="0"/>
                <w:sz w:val="21"/>
                <w:szCs w:val="21"/>
                <w:highlight w:val="none"/>
                <w:lang w:val="en-US" w:eastAsia="zh-CN"/>
              </w:rPr>
            </w:pPr>
            <w:r>
              <w:rPr>
                <w:rFonts w:hint="eastAsia" w:ascii="宋体" w:hAnsi="宋体" w:eastAsia="宋体" w:cs="宋体"/>
                <w:b/>
                <w:bCs/>
                <w:color w:val="auto"/>
                <w:spacing w:val="-6"/>
                <w:kern w:val="0"/>
                <w:sz w:val="21"/>
                <w:szCs w:val="21"/>
                <w:highlight w:val="none"/>
                <w:lang w:val="en-US" w:eastAsia="zh-CN"/>
              </w:rPr>
              <w:t>36</w:t>
            </w:r>
          </w:p>
        </w:tc>
      </w:tr>
      <w:tr w14:paraId="3991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54C99FCC">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1.1</w:t>
            </w:r>
          </w:p>
        </w:tc>
        <w:tc>
          <w:tcPr>
            <w:tcW w:w="7711" w:type="dxa"/>
            <w:vAlign w:val="center"/>
          </w:tcPr>
          <w:p w14:paraId="5604449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对博物馆项目的现场情况了解程度、物业（安保）管理情况分析、存在的问题等方面进行调查剖析，以及项目平稳过渡的措施计划，内容完善可行得3分；较完善可行得2分；完善性可行性一般得1分；未体现相关内容不得分；</w:t>
            </w:r>
          </w:p>
        </w:tc>
        <w:tc>
          <w:tcPr>
            <w:tcW w:w="703" w:type="dxa"/>
            <w:vAlign w:val="center"/>
          </w:tcPr>
          <w:p w14:paraId="7CC8AC92">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3.0</w:t>
            </w:r>
          </w:p>
        </w:tc>
      </w:tr>
      <w:tr w14:paraId="7790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185F8919">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1.2</w:t>
            </w:r>
          </w:p>
        </w:tc>
        <w:tc>
          <w:tcPr>
            <w:tcW w:w="7711" w:type="dxa"/>
            <w:vAlign w:val="center"/>
          </w:tcPr>
          <w:p w14:paraId="241B497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结合本项目的规划布局、建筑、软硬件设施配置、服务内容（保安、保洁、设备设施维护服务、工程服务，不含绿化）等特点，提出管理服务定位</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rPr>
              <w:t>目标，</w:t>
            </w:r>
            <w:r>
              <w:rPr>
                <w:rFonts w:hint="eastAsia" w:ascii="宋体" w:hAnsi="宋体" w:eastAsia="宋体" w:cs="宋体"/>
                <w:color w:val="auto"/>
                <w:kern w:val="0"/>
                <w:sz w:val="21"/>
                <w:szCs w:val="21"/>
                <w:highlight w:val="none"/>
                <w:lang w:val="en-US" w:eastAsia="zh-CN"/>
              </w:rPr>
              <w:t>同时</w:t>
            </w:r>
            <w:r>
              <w:rPr>
                <w:rFonts w:hint="eastAsia" w:ascii="宋体" w:hAnsi="宋体" w:eastAsia="宋体" w:cs="宋体"/>
                <w:color w:val="auto"/>
                <w:kern w:val="0"/>
                <w:sz w:val="21"/>
                <w:szCs w:val="21"/>
                <w:highlight w:val="none"/>
              </w:rPr>
              <w:t>针对管理重点难点进行分析</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rPr>
              <w:t>提出合理的、</w:t>
            </w:r>
            <w:r>
              <w:rPr>
                <w:rFonts w:hint="eastAsia" w:ascii="宋体" w:hAnsi="宋体" w:eastAsia="宋体" w:cs="宋体"/>
                <w:color w:val="auto"/>
                <w:kern w:val="0"/>
                <w:sz w:val="21"/>
                <w:szCs w:val="21"/>
                <w:highlight w:val="none"/>
                <w:lang w:val="en-US" w:eastAsia="zh-CN"/>
              </w:rPr>
              <w:t>有可行性</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改进</w:t>
            </w:r>
            <w:r>
              <w:rPr>
                <w:rFonts w:hint="eastAsia" w:ascii="宋体" w:hAnsi="宋体" w:eastAsia="宋体" w:cs="宋体"/>
                <w:color w:val="auto"/>
                <w:kern w:val="0"/>
                <w:sz w:val="21"/>
                <w:szCs w:val="21"/>
                <w:highlight w:val="none"/>
              </w:rPr>
              <w:t>措施方案：</w:t>
            </w:r>
          </w:p>
          <w:p w14:paraId="45DE3BB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kern w:val="0"/>
                <w:sz w:val="21"/>
                <w:szCs w:val="21"/>
                <w:highlight w:val="none"/>
                <w:lang w:val="en-US" w:eastAsia="zh-CN"/>
              </w:rPr>
              <w:t>提出管理服务定位和目标，改进措施方案合理且可行性高的，得3分</w:t>
            </w:r>
            <w:r>
              <w:rPr>
                <w:rFonts w:hint="eastAsia" w:ascii="宋体" w:hAnsi="宋体" w:eastAsia="宋体" w:cs="宋体"/>
                <w:color w:val="auto"/>
                <w:kern w:val="0"/>
                <w:sz w:val="21"/>
                <w:szCs w:val="21"/>
                <w:highlight w:val="none"/>
              </w:rPr>
              <w:t>；</w:t>
            </w:r>
          </w:p>
          <w:p w14:paraId="2744FCE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w:t>
            </w:r>
            <w:r>
              <w:rPr>
                <w:rFonts w:hint="eastAsia" w:ascii="宋体" w:hAnsi="宋体" w:eastAsia="宋体" w:cs="宋体"/>
                <w:color w:val="auto"/>
                <w:kern w:val="0"/>
                <w:sz w:val="21"/>
                <w:szCs w:val="21"/>
                <w:highlight w:val="none"/>
                <w:lang w:val="en-US" w:eastAsia="zh-CN"/>
              </w:rPr>
              <w:t>提出管理服务定位和目标，改进措施方案较合理且可行性一般的，得2分</w:t>
            </w:r>
            <w:r>
              <w:rPr>
                <w:rFonts w:hint="eastAsia" w:ascii="宋体" w:hAnsi="宋体" w:eastAsia="宋体" w:cs="宋体"/>
                <w:color w:val="auto"/>
                <w:kern w:val="0"/>
                <w:sz w:val="21"/>
                <w:szCs w:val="21"/>
                <w:highlight w:val="none"/>
              </w:rPr>
              <w:t>；</w:t>
            </w:r>
          </w:p>
          <w:p w14:paraId="1E49A12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w:t>
            </w:r>
            <w:r>
              <w:rPr>
                <w:rFonts w:hint="eastAsia" w:ascii="宋体" w:hAnsi="宋体" w:eastAsia="宋体" w:cs="宋体"/>
                <w:color w:val="auto"/>
                <w:kern w:val="0"/>
                <w:sz w:val="21"/>
                <w:szCs w:val="21"/>
                <w:highlight w:val="none"/>
                <w:lang w:val="en-US" w:eastAsia="zh-CN"/>
              </w:rPr>
              <w:t>提出管理服务定位和目标不完整（只有一项），改进措施方案合理性低且可行性较差的，得1分</w:t>
            </w:r>
            <w:r>
              <w:rPr>
                <w:rFonts w:hint="eastAsia" w:ascii="宋体" w:hAnsi="宋体" w:eastAsia="宋体" w:cs="宋体"/>
                <w:color w:val="auto"/>
                <w:kern w:val="0"/>
                <w:sz w:val="21"/>
                <w:szCs w:val="21"/>
                <w:highlight w:val="none"/>
              </w:rPr>
              <w:t>；</w:t>
            </w:r>
          </w:p>
          <w:p w14:paraId="5F7044B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未体现相关内容不得分。</w:t>
            </w:r>
          </w:p>
        </w:tc>
        <w:tc>
          <w:tcPr>
            <w:tcW w:w="703" w:type="dxa"/>
            <w:vAlign w:val="center"/>
          </w:tcPr>
          <w:p w14:paraId="7108BEE6">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3.0</w:t>
            </w:r>
          </w:p>
        </w:tc>
      </w:tr>
      <w:tr w14:paraId="757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7BBF9E08">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1.3</w:t>
            </w:r>
          </w:p>
        </w:tc>
        <w:tc>
          <w:tcPr>
            <w:tcW w:w="7711" w:type="dxa"/>
            <w:vAlign w:val="center"/>
          </w:tcPr>
          <w:p w14:paraId="011E9E5C">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安全保障和服务方案：物业管理区域内安保服务、秩序管理、人流车流物流管控和治安管理方案。</w:t>
            </w:r>
          </w:p>
          <w:p w14:paraId="0EADCFD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①门卫、安检、巡逻等安保岗位的检查、登记和管理等（1分）：措施可行、方案完整得1分；措施较可行、方案较完整得0.5分；未体现相关内容不得分；</w:t>
            </w:r>
          </w:p>
          <w:p w14:paraId="4E48A5D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②展厅等场馆开放的登记、管理和公共秩序维护等工作（1分）：措施可行、方案完整得1分；措施较可行、方案较完整得0.5分；未体现相关内容不得分；</w:t>
            </w:r>
          </w:p>
          <w:p w14:paraId="1A9C7CBC">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③防火、防盗、防破坏、防自然灾害、防治安保卫事件等的管理（1分）：措施可行、方案完整得1分；措施较可行、方案较完整得0.5分；未体现相关内容不得分；</w:t>
            </w:r>
          </w:p>
          <w:p w14:paraId="006A02C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④负责停车场管理、机动车和非机动车停放管理（1分）：措施可行、方案完整得1分；措施较可行、方案较完整得0.5分；未体现相关内容不得分；</w:t>
            </w:r>
          </w:p>
          <w:p w14:paraId="7DF954E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⑤观众、访客等来人来访的通报、证件检验、登记（1分）：措施可行、方案完整得1分；措施较可行、方案较完整得0.5分；未体现相关内容不得分；</w:t>
            </w:r>
          </w:p>
          <w:p w14:paraId="613AD5C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⑥协助布展撤展、配合维修维护、物品安装搬运等馆区内各类适度体力服务（1分）：措施可行、方案完整得1分；措施较可行、方案较完整得0.5分；未体现相关内容不得分。</w:t>
            </w:r>
          </w:p>
        </w:tc>
        <w:tc>
          <w:tcPr>
            <w:tcW w:w="703" w:type="dxa"/>
            <w:vAlign w:val="center"/>
          </w:tcPr>
          <w:p w14:paraId="2927C31B">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6.0</w:t>
            </w:r>
          </w:p>
        </w:tc>
      </w:tr>
      <w:tr w14:paraId="0C06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16964A99">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1.4</w:t>
            </w:r>
          </w:p>
        </w:tc>
        <w:tc>
          <w:tcPr>
            <w:tcW w:w="7711" w:type="dxa"/>
            <w:vAlign w:val="center"/>
          </w:tcPr>
          <w:p w14:paraId="1EB88502">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消监控管理方案：</w:t>
            </w:r>
          </w:p>
          <w:p w14:paraId="27D364C3">
            <w:pPr>
              <w:pStyle w:val="155"/>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①消防报警、监控设备运行管理（3分）：措施可行、方案完整得3分；措施较可行、方案较完整得2分；措施可行性、方案完整性一般得1分；未体现相关内容不得分；</w:t>
            </w:r>
          </w:p>
          <w:p w14:paraId="73CD47C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②消监控人员管理方案（1分）：措施可行、方案完整得1分；措施较可行、方案较完整得0.5分；未体现相关内容不得分。</w:t>
            </w:r>
          </w:p>
          <w:p w14:paraId="2548A82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消防和监控设备维修维保不属本次招标范围，但需中标单位统一管理。</w:t>
            </w:r>
          </w:p>
        </w:tc>
        <w:tc>
          <w:tcPr>
            <w:tcW w:w="703" w:type="dxa"/>
            <w:vAlign w:val="center"/>
          </w:tcPr>
          <w:p w14:paraId="6F6836AF">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4.0</w:t>
            </w:r>
          </w:p>
        </w:tc>
      </w:tr>
      <w:tr w14:paraId="06EF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7DC75CA7">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1.5</w:t>
            </w:r>
          </w:p>
        </w:tc>
        <w:tc>
          <w:tcPr>
            <w:tcW w:w="7711" w:type="dxa"/>
            <w:vAlign w:val="center"/>
          </w:tcPr>
          <w:p w14:paraId="643A7EC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日常保洁和专业清洁服务方案：</w:t>
            </w:r>
          </w:p>
          <w:p w14:paraId="331EB24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室内大厅、展厅、行政办公区域、库房、空置房、楼梯电梯、走廊、天台、卫生间、门窗、其他公共活动场所等所有公共部位（1分）：措施可行、方案完整得1分；措施较可行、方案较完整得0.5分；未体现相关内容不得分；</w:t>
            </w:r>
          </w:p>
          <w:p w14:paraId="3BA9E552">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②办公室、内家具、墙地面、门窗等（1分）：措施可行、方案完整得1分；措施较可行、方案较完整得0.5分；未体现相关内容不得分；</w:t>
            </w:r>
          </w:p>
          <w:p w14:paraId="7FCF55F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③内部和“门前三包”区域的道路、停车场（库、棚）、文化橱窗、雕塑等所有室外公共场地（1分）：措施可行、方案完整得1分；措施较可行、方案较完整得0.5分；未体现相关内容不得分；</w:t>
            </w:r>
          </w:p>
          <w:p w14:paraId="502233D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④垃圾收集分类及清运、废弃物清理、除四害及白蚁防治（1分）：措施可行、方案完整得1分；措施较可行、方案较完整得0.5分；未体现相关内容不得分；</w:t>
            </w:r>
          </w:p>
          <w:p w14:paraId="4B2B4E51">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⑤会议室、贵宾室、报告厅（</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分）：措施可行、方案完整得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分；措施较可行、方案较完整得0.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分；未体现相关内容不得分；</w:t>
            </w:r>
          </w:p>
          <w:p w14:paraId="57684E6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⑥室外门窗、6米下的玻璃幕墙、玻璃顶棚的清洁，室内石材、塑胶、瓷砖地面保养保洁（</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分）：措施可行、方案完整得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分；措施较可行、方案较完整得0.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分；未体现相关内容不得分。</w:t>
            </w:r>
          </w:p>
          <w:p w14:paraId="579451C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除四害和白蚁防治工作不属本次招标范围，但需中标单位统一管理。</w:t>
            </w:r>
          </w:p>
        </w:tc>
        <w:tc>
          <w:tcPr>
            <w:tcW w:w="703" w:type="dxa"/>
            <w:vAlign w:val="center"/>
          </w:tcPr>
          <w:p w14:paraId="70123E5E">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6</w:t>
            </w:r>
            <w:r>
              <w:rPr>
                <w:rFonts w:hint="eastAsia" w:ascii="宋体" w:hAnsi="宋体" w:eastAsia="宋体" w:cs="宋体"/>
                <w:b/>
                <w:bCs/>
                <w:color w:val="auto"/>
                <w:spacing w:val="-6"/>
                <w:kern w:val="0"/>
                <w:sz w:val="21"/>
                <w:szCs w:val="21"/>
                <w:highlight w:val="none"/>
              </w:rPr>
              <w:t>.0</w:t>
            </w:r>
          </w:p>
        </w:tc>
      </w:tr>
      <w:tr w14:paraId="31A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31A9F64E">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1.6</w:t>
            </w:r>
          </w:p>
        </w:tc>
        <w:tc>
          <w:tcPr>
            <w:tcW w:w="7711" w:type="dxa"/>
            <w:vAlign w:val="center"/>
          </w:tcPr>
          <w:p w14:paraId="605ADDE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设施设备的巡查及维修维护管理方案：</w:t>
            </w:r>
          </w:p>
          <w:p w14:paraId="190009B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①供电系统高、低压电器设备（1分）：措施可行、方案完整得1分；措施较可行、方案较完整得0.5分；未体现相关内容不得分；</w:t>
            </w:r>
          </w:p>
          <w:p w14:paraId="3182663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②集中空调、分体空调和恒温恒湿空调系统（1分）：措施可行、方案完整得1分；措施较可行、方案较完整得0.5分；未体现相关内容不得分；</w:t>
            </w:r>
          </w:p>
          <w:p w14:paraId="729700B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③给排水设施设备、消火栓，管道和终端设备（1分）：措施可行、方案完整得1分；措施较可行、方案较完整得0.5分；未体现相关内容不得分；</w:t>
            </w:r>
          </w:p>
          <w:p w14:paraId="2602B4E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④室内照明、室外亮灯工程、电线电缆（0.5分）：措施可行、方案</w:t>
            </w:r>
            <w:r>
              <w:rPr>
                <w:rFonts w:hint="eastAsia" w:ascii="宋体" w:hAnsi="宋体" w:eastAsia="宋体" w:cs="宋体"/>
                <w:color w:val="auto"/>
                <w:kern w:val="0"/>
                <w:sz w:val="21"/>
                <w:szCs w:val="21"/>
                <w:highlight w:val="none"/>
                <w:lang w:val="en-US" w:eastAsia="zh-CN"/>
              </w:rPr>
              <w:t>合适</w:t>
            </w:r>
            <w:r>
              <w:rPr>
                <w:rFonts w:hint="eastAsia" w:ascii="宋体" w:hAnsi="宋体" w:eastAsia="宋体" w:cs="宋体"/>
                <w:color w:val="auto"/>
                <w:kern w:val="0"/>
                <w:sz w:val="21"/>
                <w:szCs w:val="21"/>
                <w:highlight w:val="none"/>
              </w:rPr>
              <w:t>得0.5分；未体现相关内容不得分；</w:t>
            </w:r>
          </w:p>
          <w:p w14:paraId="50E224A2">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⑤室内外污水处理装置、卫生洁具、排水设施设透气管等设施设备（0.5分）：措施可行、方案</w:t>
            </w:r>
            <w:r>
              <w:rPr>
                <w:rFonts w:hint="eastAsia" w:ascii="宋体" w:hAnsi="宋体" w:eastAsia="宋体" w:cs="宋体"/>
                <w:color w:val="auto"/>
                <w:kern w:val="0"/>
                <w:sz w:val="21"/>
                <w:szCs w:val="21"/>
                <w:highlight w:val="none"/>
                <w:lang w:val="en-US" w:eastAsia="zh-CN"/>
              </w:rPr>
              <w:t>合适</w:t>
            </w:r>
            <w:r>
              <w:rPr>
                <w:rFonts w:hint="eastAsia" w:ascii="宋体" w:hAnsi="宋体" w:eastAsia="宋体" w:cs="宋体"/>
                <w:color w:val="auto"/>
                <w:kern w:val="0"/>
                <w:sz w:val="21"/>
                <w:szCs w:val="21"/>
                <w:highlight w:val="none"/>
              </w:rPr>
              <w:t>得0.5分；未体现相关内容不得分；</w:t>
            </w:r>
          </w:p>
          <w:p w14:paraId="0EA42F3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⑥高低压设备、电梯和空调的（机）房，强弱电井等（0.5分）：措施可行、方案</w:t>
            </w:r>
            <w:r>
              <w:rPr>
                <w:rFonts w:hint="eastAsia" w:ascii="宋体" w:hAnsi="宋体" w:eastAsia="宋体" w:cs="宋体"/>
                <w:color w:val="auto"/>
                <w:kern w:val="0"/>
                <w:sz w:val="21"/>
                <w:szCs w:val="21"/>
                <w:highlight w:val="none"/>
                <w:lang w:val="en-US" w:eastAsia="zh-CN"/>
              </w:rPr>
              <w:t>合适</w:t>
            </w:r>
            <w:r>
              <w:rPr>
                <w:rFonts w:hint="eastAsia" w:ascii="宋体" w:hAnsi="宋体" w:eastAsia="宋体" w:cs="宋体"/>
                <w:color w:val="auto"/>
                <w:kern w:val="0"/>
                <w:sz w:val="21"/>
                <w:szCs w:val="21"/>
                <w:highlight w:val="none"/>
              </w:rPr>
              <w:t>得0.5分；未体现相关内容不得分；</w:t>
            </w:r>
          </w:p>
          <w:p w14:paraId="4BB4656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⑦特种设备理（电梯维修维保不在本次招标范围内）（0.5分）：措施可行、方案</w:t>
            </w:r>
            <w:r>
              <w:rPr>
                <w:rFonts w:hint="eastAsia" w:ascii="宋体" w:hAnsi="宋体" w:eastAsia="宋体" w:cs="宋体"/>
                <w:color w:val="auto"/>
                <w:kern w:val="0"/>
                <w:sz w:val="21"/>
                <w:szCs w:val="21"/>
                <w:highlight w:val="none"/>
                <w:lang w:val="en-US" w:eastAsia="zh-CN"/>
              </w:rPr>
              <w:t>合适</w:t>
            </w:r>
            <w:r>
              <w:rPr>
                <w:rFonts w:hint="eastAsia" w:ascii="宋体" w:hAnsi="宋体" w:eastAsia="宋体" w:cs="宋体"/>
                <w:color w:val="auto"/>
                <w:kern w:val="0"/>
                <w:sz w:val="21"/>
                <w:szCs w:val="21"/>
                <w:highlight w:val="none"/>
              </w:rPr>
              <w:t>得0.5分；未体现相关内容不得分。</w:t>
            </w:r>
          </w:p>
        </w:tc>
        <w:tc>
          <w:tcPr>
            <w:tcW w:w="703" w:type="dxa"/>
            <w:vAlign w:val="center"/>
          </w:tcPr>
          <w:p w14:paraId="62A366D4">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5.0</w:t>
            </w:r>
          </w:p>
        </w:tc>
      </w:tr>
      <w:tr w14:paraId="5E74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48592044">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1.7</w:t>
            </w:r>
          </w:p>
        </w:tc>
        <w:tc>
          <w:tcPr>
            <w:tcW w:w="7711" w:type="dxa"/>
            <w:vAlign w:val="center"/>
          </w:tcPr>
          <w:p w14:paraId="1E37A4B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建（构）筑物、市政设施巡查及养护维护（修）方案：</w:t>
            </w:r>
          </w:p>
          <w:p w14:paraId="57B63241">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房屋屋面、地面、墙台面、室外管道、化粪池、岗亭、活动平台，地面及屋面雨水沟、玻璃雨棚、其他各类构筑物的巡查、养护及维护（1分）：措施可行、方案完整得1分；措施较可行、方案较完整得0.5分；未体现相关内容不得分；</w:t>
            </w:r>
          </w:p>
          <w:p w14:paraId="03B2CF8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②吊顶、门窗、楼梯、幕墙、通风道、道路路面等的日常巡查、养护及维护（1分）：措施可行、方案完整得1分；措施较可行、方案较完整得0.5分；未体现相关内容不得分；</w:t>
            </w:r>
          </w:p>
          <w:p w14:paraId="7DD0B87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③门窗、锁、家具的巡查、养护及维修（1分）：措施可行、方案完整得1分；措施较可行、方案较完整得0.5分；未体现相关内容不得分。</w:t>
            </w:r>
          </w:p>
        </w:tc>
        <w:tc>
          <w:tcPr>
            <w:tcW w:w="703" w:type="dxa"/>
            <w:vAlign w:val="center"/>
          </w:tcPr>
          <w:p w14:paraId="4B42D865">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3.0</w:t>
            </w:r>
          </w:p>
        </w:tc>
      </w:tr>
      <w:tr w14:paraId="2ABE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37BAF3A5">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1.8</w:t>
            </w:r>
          </w:p>
        </w:tc>
        <w:tc>
          <w:tcPr>
            <w:tcW w:w="7711" w:type="dxa"/>
            <w:vAlign w:val="center"/>
          </w:tcPr>
          <w:p w14:paraId="1A21C9B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会务及前台服务方案：</w:t>
            </w:r>
          </w:p>
          <w:p w14:paraId="1D4399D1">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①会务服务的管理方案（1分）：措施可行、方案完整得1分；措施较可行、方案较完整得0.5分；未体现相关内容不得分；</w:t>
            </w:r>
          </w:p>
          <w:p w14:paraId="4570ACD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②前台接待、收发服务方案（1分）：措施可行、方案完整得1分；措施较可行、方案较完整得0.5分；未体现相关内容不得分。</w:t>
            </w:r>
          </w:p>
        </w:tc>
        <w:tc>
          <w:tcPr>
            <w:tcW w:w="703" w:type="dxa"/>
            <w:vAlign w:val="center"/>
          </w:tcPr>
          <w:p w14:paraId="0EA35347">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2.0</w:t>
            </w:r>
          </w:p>
        </w:tc>
      </w:tr>
      <w:tr w14:paraId="0DA9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6C3AC97D">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1.9</w:t>
            </w:r>
          </w:p>
        </w:tc>
        <w:tc>
          <w:tcPr>
            <w:tcW w:w="7711" w:type="dxa"/>
            <w:vAlign w:val="center"/>
          </w:tcPr>
          <w:p w14:paraId="2650C29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重大活动保障方案：</w:t>
            </w:r>
          </w:p>
          <w:p w14:paraId="0344D56C">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对本项目庆典、节假日、旅游旺季及重大活动服务方案，方案内容包括协助人员值班、布置会场、绿化（盆景）摆设和保养、横幅悬挂、搬运器材、桌椅、音响、空调、水果、鲜花、会后清场等工作。措施可行、方案完整得2分；措施较可行、方案较完整得1分；措施可行性、方案完整性一般得0.5分；未体现相关内容不得分</w:t>
            </w:r>
          </w:p>
        </w:tc>
        <w:tc>
          <w:tcPr>
            <w:tcW w:w="703" w:type="dxa"/>
            <w:vAlign w:val="center"/>
          </w:tcPr>
          <w:p w14:paraId="02BC522D">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2.0</w:t>
            </w:r>
          </w:p>
        </w:tc>
      </w:tr>
      <w:tr w14:paraId="0B5F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bottom w:val="single" w:color="auto" w:sz="4" w:space="0"/>
            </w:tcBorders>
            <w:vAlign w:val="center"/>
          </w:tcPr>
          <w:p w14:paraId="2F8300AB">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1.10</w:t>
            </w:r>
          </w:p>
        </w:tc>
        <w:tc>
          <w:tcPr>
            <w:tcW w:w="7711" w:type="dxa"/>
            <w:tcBorders>
              <w:bottom w:val="single" w:color="auto" w:sz="4" w:space="0"/>
            </w:tcBorders>
            <w:vAlign w:val="center"/>
          </w:tcPr>
          <w:p w14:paraId="4FBD7F9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博物馆应急防控等措施；突发事件处理方案：各类突发事件应急预案和防恐紧急预案等：措施可行、方案完整得2分；措施较可行、方案较完整得1分；措施可行性、方案完整性一般得0.5分；未体现相关内容不得分。</w:t>
            </w:r>
          </w:p>
        </w:tc>
        <w:tc>
          <w:tcPr>
            <w:tcW w:w="703" w:type="dxa"/>
            <w:tcBorders>
              <w:bottom w:val="single" w:color="auto" w:sz="4" w:space="0"/>
            </w:tcBorders>
            <w:vAlign w:val="center"/>
          </w:tcPr>
          <w:p w14:paraId="33D4F24A">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2.0</w:t>
            </w:r>
          </w:p>
        </w:tc>
      </w:tr>
      <w:tr w14:paraId="28FC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shd w:val="clear" w:color="auto" w:fill="D8D8D8" w:themeFill="background1" w:themeFillShade="D9"/>
            <w:vAlign w:val="center"/>
          </w:tcPr>
          <w:p w14:paraId="7687C630">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w:t>
            </w:r>
          </w:p>
        </w:tc>
        <w:tc>
          <w:tcPr>
            <w:tcW w:w="7711" w:type="dxa"/>
            <w:shd w:val="clear" w:color="auto" w:fill="D8D8D8" w:themeFill="background1" w:themeFillShade="D9"/>
            <w:vAlign w:val="center"/>
          </w:tcPr>
          <w:p w14:paraId="51CB1500">
            <w:pPr>
              <w:spacing w:line="360" w:lineRule="auto"/>
              <w:jc w:val="center"/>
              <w:rPr>
                <w:rFonts w:hint="eastAsia" w:ascii="宋体" w:hAnsi="宋体" w:eastAsia="宋体" w:cs="宋体"/>
                <w:b/>
                <w:bCs/>
                <w:color w:val="auto"/>
                <w:spacing w:val="-6"/>
                <w:kern w:val="0"/>
                <w:sz w:val="21"/>
                <w:szCs w:val="21"/>
                <w:highlight w:val="none"/>
                <w:lang w:eastAsia="zh-CN"/>
              </w:rPr>
            </w:pPr>
            <w:r>
              <w:rPr>
                <w:rFonts w:hint="eastAsia" w:ascii="宋体" w:hAnsi="宋体" w:eastAsia="宋体" w:cs="宋体"/>
                <w:b/>
                <w:bCs/>
                <w:color w:val="auto"/>
                <w:spacing w:val="-6"/>
                <w:kern w:val="0"/>
                <w:sz w:val="21"/>
                <w:szCs w:val="21"/>
                <w:highlight w:val="none"/>
              </w:rPr>
              <w:t>派驻人员</w:t>
            </w:r>
            <w:r>
              <w:rPr>
                <w:rFonts w:hint="eastAsia" w:ascii="宋体" w:hAnsi="宋体" w:eastAsia="宋体" w:cs="宋体"/>
                <w:b/>
                <w:bCs/>
                <w:color w:val="auto"/>
                <w:spacing w:val="-6"/>
                <w:kern w:val="0"/>
                <w:sz w:val="21"/>
                <w:szCs w:val="21"/>
                <w:highlight w:val="none"/>
                <w:lang w:eastAsia="zh-CN"/>
              </w:rPr>
              <w:t>（客观分）</w:t>
            </w:r>
          </w:p>
        </w:tc>
        <w:tc>
          <w:tcPr>
            <w:tcW w:w="703" w:type="dxa"/>
            <w:shd w:val="clear" w:color="auto" w:fill="D8D8D8" w:themeFill="background1" w:themeFillShade="D9"/>
            <w:vAlign w:val="center"/>
          </w:tcPr>
          <w:p w14:paraId="76F17AB0">
            <w:pPr>
              <w:spacing w:line="360" w:lineRule="auto"/>
              <w:jc w:val="center"/>
              <w:rPr>
                <w:rFonts w:hint="eastAsia" w:ascii="宋体" w:hAnsi="宋体" w:eastAsia="宋体" w:cs="宋体"/>
                <w:b/>
                <w:bCs/>
                <w:color w:val="auto"/>
                <w:spacing w:val="-6"/>
                <w:kern w:val="0"/>
                <w:sz w:val="21"/>
                <w:szCs w:val="21"/>
                <w:highlight w:val="none"/>
                <w:lang w:val="en-US" w:eastAsia="zh-CN"/>
              </w:rPr>
            </w:pPr>
            <w:r>
              <w:rPr>
                <w:rFonts w:hint="eastAsia" w:ascii="宋体" w:hAnsi="宋体" w:eastAsia="宋体" w:cs="宋体"/>
                <w:b/>
                <w:bCs/>
                <w:color w:val="auto"/>
                <w:spacing w:val="-6"/>
                <w:kern w:val="0"/>
                <w:sz w:val="21"/>
                <w:szCs w:val="21"/>
                <w:highlight w:val="none"/>
                <w:lang w:val="en-US" w:eastAsia="zh-CN"/>
              </w:rPr>
              <w:t>51</w:t>
            </w:r>
          </w:p>
        </w:tc>
      </w:tr>
      <w:tr w14:paraId="62FA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7DFAE6E6">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2.1</w:t>
            </w:r>
          </w:p>
        </w:tc>
        <w:tc>
          <w:tcPr>
            <w:tcW w:w="7711" w:type="dxa"/>
            <w:vAlign w:val="center"/>
          </w:tcPr>
          <w:p w14:paraId="1D78F96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项目经理（年龄45周岁以下）：</w:t>
            </w:r>
          </w:p>
          <w:p w14:paraId="45046AA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①学历（2分）：全日制本科及以上得2分（提供证书复印件和学信网截图）；</w:t>
            </w:r>
          </w:p>
          <w:p w14:paraId="557BCBF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②具有人力资源和社会保障部门颁发的企业人力资源管理师证书，一级得3分，二级得2分，三级得1分（提供证书复印件及官方网页截图，协会网站不予认可）；</w:t>
            </w:r>
          </w:p>
          <w:p w14:paraId="094D0AB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③具有劳动关系协调能力（具有人力资源和社会保障部门颁发的劳动关系协调员证书），高级得3分，中级得2分，初级得1分（提供证书复印件及官方网页截图，协会网站不予认可）；</w:t>
            </w:r>
          </w:p>
          <w:p w14:paraId="6BA0E09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④工作经验（1分）：具有3年以上物业项目管理经验的1分（提供项目甲方（主管部门）开具的证明材料或其他证明文件）；</w:t>
            </w:r>
          </w:p>
          <w:p w14:paraId="15D550C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⑤中共党员（1分）：（提供证明材料）。</w:t>
            </w:r>
          </w:p>
          <w:p w14:paraId="3388E49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截至投标截止时间前近六个月在投标人单位的社保缴纳记录，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25B67030">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10.0</w:t>
            </w:r>
          </w:p>
        </w:tc>
      </w:tr>
      <w:tr w14:paraId="5C41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47D2A5C2">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2.2</w:t>
            </w:r>
          </w:p>
        </w:tc>
        <w:tc>
          <w:tcPr>
            <w:tcW w:w="7711" w:type="dxa"/>
            <w:vAlign w:val="center"/>
          </w:tcPr>
          <w:p w14:paraId="772DDFB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经理助理（年龄40周岁以下）：</w:t>
            </w:r>
          </w:p>
          <w:p w14:paraId="35EC39F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①学历（1分）：全日制大专及以上得1分（提供证书复印件和学信网截图）；</w:t>
            </w:r>
          </w:p>
          <w:p w14:paraId="42785B1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②职业技能（1分）：物业管理师证书（高级及以上）（提供证书复印件及官方网页截图，协会网站</w:t>
            </w:r>
            <w:r>
              <w:rPr>
                <w:rFonts w:hint="eastAsia" w:ascii="宋体" w:hAnsi="宋体" w:cs="宋体"/>
                <w:color w:val="auto"/>
                <w:kern w:val="0"/>
                <w:sz w:val="21"/>
                <w:szCs w:val="21"/>
                <w:highlight w:val="none"/>
                <w:lang w:eastAsia="zh-CN"/>
              </w:rPr>
              <w:t>颁发的</w:t>
            </w:r>
            <w:r>
              <w:rPr>
                <w:rFonts w:hint="eastAsia" w:ascii="宋体" w:hAnsi="宋体" w:eastAsia="宋体" w:cs="宋体"/>
                <w:color w:val="auto"/>
                <w:kern w:val="0"/>
                <w:sz w:val="21"/>
                <w:szCs w:val="21"/>
                <w:highlight w:val="none"/>
              </w:rPr>
              <w:t>不予认可）；</w:t>
            </w:r>
          </w:p>
          <w:p w14:paraId="1E4C9C6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③其他证书（</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分）：具有</w:t>
            </w:r>
            <w:r>
              <w:rPr>
                <w:rFonts w:hint="eastAsia" w:ascii="宋体" w:hAnsi="宋体" w:eastAsia="宋体" w:cs="宋体"/>
                <w:color w:val="auto"/>
                <w:kern w:val="0"/>
                <w:sz w:val="21"/>
                <w:szCs w:val="21"/>
                <w:highlight w:val="none"/>
                <w:lang w:eastAsia="zh-CN"/>
              </w:rPr>
              <w:t>安全生产管理员证得</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rPr>
              <w:t>、公安局核发的保安员证</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rPr>
              <w:t>、有效期内的红十字救护员证得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需</w:t>
            </w:r>
            <w:r>
              <w:rPr>
                <w:rFonts w:hint="eastAsia" w:ascii="宋体" w:hAnsi="宋体" w:eastAsia="宋体" w:cs="宋体"/>
                <w:color w:val="auto"/>
                <w:kern w:val="0"/>
                <w:sz w:val="21"/>
                <w:szCs w:val="21"/>
                <w:highlight w:val="none"/>
              </w:rPr>
              <w:t>提供证书复印件）；</w:t>
            </w:r>
          </w:p>
          <w:p w14:paraId="4992C95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④工作经验（1分）：具有1年以上物业项目管理经验的1分（提供项目甲方（主管部门）开具的证明材料或其他证明文件）；</w:t>
            </w:r>
          </w:p>
          <w:p w14:paraId="7C19546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⑤中共党员（1分）：（提供证明材料）。</w:t>
            </w:r>
          </w:p>
          <w:p w14:paraId="72C8526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截至投标截止时间前近六个月在投标人单位</w:t>
            </w:r>
            <w:r>
              <w:rPr>
                <w:rFonts w:hint="eastAsia" w:ascii="宋体" w:hAnsi="宋体" w:eastAsia="宋体" w:cs="宋体"/>
                <w:color w:val="auto"/>
                <w:kern w:val="0"/>
                <w:sz w:val="21"/>
                <w:szCs w:val="21"/>
                <w:highlight w:val="none"/>
              </w:rPr>
              <w:t>（含</w:t>
            </w:r>
            <w:r>
              <w:rPr>
                <w:rFonts w:hint="eastAsia" w:ascii="宋体" w:hAnsi="宋体" w:eastAsia="宋体" w:cs="宋体"/>
                <w:color w:val="auto"/>
                <w:sz w:val="21"/>
                <w:szCs w:val="21"/>
                <w:highlight w:val="none"/>
              </w:rPr>
              <w:t>签订分包意向协议的小微企业</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0A0E28D7">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7</w:t>
            </w:r>
            <w:r>
              <w:rPr>
                <w:rFonts w:hint="eastAsia" w:ascii="宋体" w:hAnsi="宋体" w:eastAsia="宋体" w:cs="宋体"/>
                <w:b/>
                <w:bCs/>
                <w:color w:val="auto"/>
                <w:spacing w:val="-6"/>
                <w:kern w:val="0"/>
                <w:sz w:val="21"/>
                <w:szCs w:val="21"/>
                <w:highlight w:val="none"/>
              </w:rPr>
              <w:t>.0</w:t>
            </w:r>
          </w:p>
        </w:tc>
      </w:tr>
      <w:tr w14:paraId="716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56916613">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2.3</w:t>
            </w:r>
          </w:p>
        </w:tc>
        <w:tc>
          <w:tcPr>
            <w:tcW w:w="7711" w:type="dxa"/>
            <w:vAlign w:val="center"/>
          </w:tcPr>
          <w:p w14:paraId="2305D02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安保主管（年龄55周岁以下）：</w:t>
            </w:r>
          </w:p>
          <w:p w14:paraId="3110300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①学历（1分）：大专及以上得1分（提供证书复印件和学信网截图）；</w:t>
            </w:r>
          </w:p>
          <w:p w14:paraId="55105D8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②职业（执业）资格（2分）：三级保安员（高级工）得1分，二级保安员（技师）及以上得2分（提供证书复印件）；</w:t>
            </w:r>
          </w:p>
          <w:p w14:paraId="6FE0F914">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③工作经验（1分）：具有3年以上物业或安保项目保安主管经验的1分（提供项目甲方开具的证明材料或其他证明文件）；</w:t>
            </w:r>
          </w:p>
          <w:p w14:paraId="24C069D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④中共党员（</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分）：（提供证明材料）；</w:t>
            </w:r>
          </w:p>
          <w:p w14:paraId="04A8C3B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⑤复转军人得（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分）（提供证书复印件）。</w:t>
            </w:r>
          </w:p>
          <w:p w14:paraId="5968BA7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截至投标截止时间前近三个月内任意一个月在投标人单位（含签订分包意向协议的小微企业）的社保缴纳记录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21C72F0B">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5</w:t>
            </w:r>
            <w:r>
              <w:rPr>
                <w:rFonts w:hint="eastAsia" w:ascii="宋体" w:hAnsi="宋体" w:eastAsia="宋体" w:cs="宋体"/>
                <w:b/>
                <w:bCs/>
                <w:color w:val="auto"/>
                <w:spacing w:val="-6"/>
                <w:kern w:val="0"/>
                <w:sz w:val="21"/>
                <w:szCs w:val="21"/>
                <w:highlight w:val="none"/>
              </w:rPr>
              <w:t>.0</w:t>
            </w:r>
          </w:p>
        </w:tc>
      </w:tr>
      <w:tr w14:paraId="57CA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3887A2C1">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2.4</w:t>
            </w:r>
          </w:p>
        </w:tc>
        <w:tc>
          <w:tcPr>
            <w:tcW w:w="7711" w:type="dxa"/>
            <w:vAlign w:val="center"/>
          </w:tcPr>
          <w:p w14:paraId="467B950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物业主管（年龄45周岁以下）:</w:t>
            </w:r>
          </w:p>
          <w:p w14:paraId="0E10783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①学历（1分）：大专及以上得1分（提供证书复印件和学信网查询截图）；</w:t>
            </w:r>
          </w:p>
          <w:p w14:paraId="28DFE36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②职业（执业）资格（1分）：具有物业管理相关岗位证书的得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分（提供证书复印件）；</w:t>
            </w:r>
          </w:p>
          <w:p w14:paraId="30243DC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③工作经验（1分）：具有3年以上物业项目负责人（或主管）经验的1分（提供项目甲方开具的证明材料或其他证明文件）。</w:t>
            </w:r>
          </w:p>
          <w:p w14:paraId="79623D0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截至投标截止时间前近三个月内任意一个月在投标人单位（含签订分包意向协议的小微企业）的社保缴纳记录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48CC118E">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3.0</w:t>
            </w:r>
          </w:p>
        </w:tc>
      </w:tr>
      <w:tr w14:paraId="7780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077FF9A7">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2.5</w:t>
            </w:r>
          </w:p>
        </w:tc>
        <w:tc>
          <w:tcPr>
            <w:tcW w:w="7711" w:type="dxa"/>
            <w:vAlign w:val="center"/>
          </w:tcPr>
          <w:p w14:paraId="53992E6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保洁主管（年龄45周岁以下）:</w:t>
            </w:r>
          </w:p>
          <w:p w14:paraId="3695B16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①学历：大专及以上得1分（提供证书复印件和学信网截图）；</w:t>
            </w:r>
          </w:p>
          <w:p w14:paraId="27C3BF0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②职业（执业）资格（1分）：具有保洁相关证的得1分（提供证书复印件）；</w:t>
            </w:r>
          </w:p>
          <w:p w14:paraId="1B83ED4C">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③工作经验（1分）：具有3年以上物业项目保洁主管经验的1分（提供项目甲方开具的证明材料或其他证明文件）。</w:t>
            </w:r>
          </w:p>
          <w:p w14:paraId="2F33453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截至投标截止时间前近三个月内任意一个月在投标人单位（含签订分包意向协议的小微企业）的社保缴纳记录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5CF32931">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3.0</w:t>
            </w:r>
          </w:p>
        </w:tc>
      </w:tr>
      <w:tr w14:paraId="3B10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0BF0B537">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2.6</w:t>
            </w:r>
          </w:p>
        </w:tc>
        <w:tc>
          <w:tcPr>
            <w:tcW w:w="7711" w:type="dxa"/>
            <w:vAlign w:val="center"/>
          </w:tcPr>
          <w:p w14:paraId="2C64A8D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设备主管（年龄45周岁以下）:</w:t>
            </w:r>
          </w:p>
          <w:p w14:paraId="2CAF14B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①学历：大专及以上得1分（提供证书复印件和学信网截图）；</w:t>
            </w:r>
          </w:p>
          <w:p w14:paraId="53BB19B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②职称/职业（执业）资格（3分）：具有低压电工作业操作证、高压电工作业操作证、特种设备安全管理和作业人员证的得3分（提供证书复印件）；</w:t>
            </w:r>
          </w:p>
          <w:p w14:paraId="4BD705E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③工作经验（1分）：具有3年以上物业项目设备主管经验的1分（提供项目甲方开具的证明材料或其他证明文件）。</w:t>
            </w:r>
          </w:p>
          <w:p w14:paraId="130B63F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截至投标截止时间前近三个月内任意一个月在投标人单位（含签订分包意向协议的小微企业）的社保缴纳记录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3707A34C">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5.0</w:t>
            </w:r>
          </w:p>
        </w:tc>
      </w:tr>
      <w:tr w14:paraId="186A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00EE75DA">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2.7</w:t>
            </w:r>
          </w:p>
        </w:tc>
        <w:tc>
          <w:tcPr>
            <w:tcW w:w="7711" w:type="dxa"/>
            <w:vAlign w:val="center"/>
          </w:tcPr>
          <w:p w14:paraId="572BD1E2">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会务/前台服务人员（年龄35周岁以下）:</w:t>
            </w:r>
          </w:p>
          <w:p w14:paraId="471FB2F4">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①学历（1分）：具有酒店管理或旅游管理专业全日制大专及以上得1分（提供证书复印件和学信网截图）；</w:t>
            </w:r>
          </w:p>
          <w:p w14:paraId="26211681">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②相关</w:t>
            </w:r>
            <w:r>
              <w:rPr>
                <w:rFonts w:hint="eastAsia" w:ascii="宋体" w:hAnsi="宋体" w:eastAsia="宋体" w:cs="宋体"/>
                <w:color w:val="auto"/>
                <w:kern w:val="0"/>
                <w:sz w:val="21"/>
                <w:szCs w:val="21"/>
                <w:highlight w:val="none"/>
                <w:lang w:eastAsia="zh-CN"/>
              </w:rPr>
              <w:t>资质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分）：普通话水平等级证书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健康证（</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lang w:eastAsia="zh-CN"/>
              </w:rPr>
              <w:t>），最高</w:t>
            </w:r>
            <w:r>
              <w:rPr>
                <w:rFonts w:hint="eastAsia" w:ascii="宋体" w:hAnsi="宋体" w:eastAsia="宋体" w:cs="宋体"/>
                <w:color w:val="auto"/>
                <w:kern w:val="0"/>
                <w:sz w:val="21"/>
                <w:szCs w:val="21"/>
                <w:highlight w:val="none"/>
                <w:lang w:val="en-US" w:eastAsia="zh-CN"/>
              </w:rPr>
              <w:t>2分。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需</w:t>
            </w:r>
            <w:r>
              <w:rPr>
                <w:rFonts w:hint="eastAsia" w:ascii="宋体" w:hAnsi="宋体" w:eastAsia="宋体" w:cs="宋体"/>
                <w:color w:val="auto"/>
                <w:kern w:val="0"/>
                <w:sz w:val="21"/>
                <w:szCs w:val="21"/>
                <w:highlight w:val="none"/>
              </w:rPr>
              <w:t>提供证书复印件）；</w:t>
            </w:r>
          </w:p>
          <w:p w14:paraId="47CD12C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③有效期内的红十字救护员证得1分（提供证书复印件）。</w:t>
            </w:r>
          </w:p>
          <w:p w14:paraId="021E9B8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截至投标截止时间前近三个月内任意一个月在投标人单位（含签订分包意向协议的小微企业）的社保缴纳记录</w:t>
            </w:r>
            <w:r>
              <w:rPr>
                <w:rFonts w:hint="eastAsia" w:ascii="宋体" w:hAnsi="宋体" w:eastAsia="宋体" w:cs="宋体"/>
                <w:color w:val="auto"/>
                <w:kern w:val="0"/>
                <w:sz w:val="21"/>
                <w:szCs w:val="21"/>
                <w:highlight w:val="none"/>
              </w:rPr>
              <w:t>，否则不得分。</w:t>
            </w:r>
          </w:p>
        </w:tc>
        <w:tc>
          <w:tcPr>
            <w:tcW w:w="703" w:type="dxa"/>
            <w:vAlign w:val="center"/>
          </w:tcPr>
          <w:p w14:paraId="6B402F7A">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4</w:t>
            </w:r>
            <w:r>
              <w:rPr>
                <w:rFonts w:hint="eastAsia" w:ascii="宋体" w:hAnsi="宋体" w:eastAsia="宋体" w:cs="宋体"/>
                <w:b/>
                <w:bCs/>
                <w:color w:val="auto"/>
                <w:spacing w:val="-6"/>
                <w:kern w:val="0"/>
                <w:sz w:val="21"/>
                <w:szCs w:val="21"/>
                <w:highlight w:val="none"/>
              </w:rPr>
              <w:t>.0</w:t>
            </w:r>
          </w:p>
        </w:tc>
      </w:tr>
      <w:tr w14:paraId="3219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bottom w:val="single" w:color="auto" w:sz="4" w:space="0"/>
            </w:tcBorders>
            <w:vAlign w:val="center"/>
          </w:tcPr>
          <w:p w14:paraId="3E69646E">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2.8</w:t>
            </w:r>
          </w:p>
        </w:tc>
        <w:tc>
          <w:tcPr>
            <w:tcW w:w="7711" w:type="dxa"/>
            <w:tcBorders>
              <w:bottom w:val="single" w:color="auto" w:sz="4" w:space="0"/>
            </w:tcBorders>
            <w:vAlign w:val="center"/>
          </w:tcPr>
          <w:p w14:paraId="6C3E949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展厅综合服务管理员（年龄35周岁以下）:</w:t>
            </w:r>
          </w:p>
          <w:p w14:paraId="37D773B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①学历（2分）：具有翻译专业全日制本科及以上得2分（提供证书复印件和学信网截图）；</w:t>
            </w:r>
          </w:p>
          <w:p w14:paraId="5F8028D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②相关能力（</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分）：普通话水平等级证书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、四级及以上消防设施操作员证书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1分</w:t>
            </w:r>
            <w:r>
              <w:rPr>
                <w:rFonts w:hint="eastAsia" w:ascii="宋体" w:hAnsi="宋体" w:eastAsia="宋体" w:cs="宋体"/>
                <w:color w:val="auto"/>
                <w:kern w:val="0"/>
                <w:sz w:val="21"/>
                <w:szCs w:val="21"/>
                <w:highlight w:val="none"/>
                <w:lang w:eastAsia="zh-CN"/>
              </w:rPr>
              <w:t>），最高</w:t>
            </w:r>
            <w:r>
              <w:rPr>
                <w:rFonts w:hint="eastAsia" w:ascii="宋体" w:hAnsi="宋体" w:eastAsia="宋体" w:cs="宋体"/>
                <w:color w:val="auto"/>
                <w:kern w:val="0"/>
                <w:sz w:val="21"/>
                <w:szCs w:val="21"/>
                <w:highlight w:val="none"/>
                <w:lang w:val="en-US" w:eastAsia="zh-CN"/>
              </w:rPr>
              <w:t>2分。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需</w:t>
            </w:r>
            <w:r>
              <w:rPr>
                <w:rFonts w:hint="eastAsia" w:ascii="宋体" w:hAnsi="宋体" w:eastAsia="宋体" w:cs="宋体"/>
                <w:color w:val="auto"/>
                <w:kern w:val="0"/>
                <w:sz w:val="21"/>
                <w:szCs w:val="21"/>
                <w:highlight w:val="none"/>
              </w:rPr>
              <w:t>提供证书复印件或提供有效期内的成绩合格电子凭证证明）；</w:t>
            </w:r>
          </w:p>
          <w:p w14:paraId="59118FF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③具有英语学科类教师资格证得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分（提供证书复印件）；</w:t>
            </w:r>
          </w:p>
          <w:p w14:paraId="52ABEB1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④有效期内的红十字救护员证得1分（提供证书复印件）。</w:t>
            </w:r>
          </w:p>
          <w:p w14:paraId="2866BE8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提供以上人员相关证明材料及</w:t>
            </w:r>
            <w:r>
              <w:rPr>
                <w:rFonts w:hint="eastAsia" w:ascii="宋体" w:hAnsi="宋体" w:eastAsia="宋体" w:cs="宋体"/>
                <w:color w:val="auto"/>
                <w:kern w:val="0"/>
                <w:sz w:val="21"/>
                <w:szCs w:val="21"/>
                <w:highlight w:val="none"/>
                <w:lang w:val="zh-CN"/>
              </w:rPr>
              <w:t>截至投标截止时间前近六个月在投标人单位</w:t>
            </w:r>
            <w:r>
              <w:rPr>
                <w:rFonts w:hint="eastAsia" w:ascii="宋体" w:hAnsi="宋体" w:eastAsia="宋体" w:cs="宋体"/>
                <w:color w:val="auto"/>
                <w:kern w:val="0"/>
                <w:sz w:val="21"/>
                <w:szCs w:val="21"/>
                <w:highlight w:val="none"/>
              </w:rPr>
              <w:t>（含</w:t>
            </w:r>
            <w:r>
              <w:rPr>
                <w:rFonts w:hint="eastAsia" w:ascii="宋体" w:hAnsi="宋体" w:eastAsia="宋体" w:cs="宋体"/>
                <w:color w:val="auto"/>
                <w:sz w:val="21"/>
                <w:szCs w:val="21"/>
                <w:highlight w:val="none"/>
              </w:rPr>
              <w:t>签订分包意向协议的小微企业</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的社保缴纳记录，</w:t>
            </w:r>
            <w:r>
              <w:rPr>
                <w:rFonts w:hint="eastAsia" w:ascii="宋体" w:hAnsi="宋体" w:eastAsia="宋体" w:cs="宋体"/>
                <w:color w:val="auto"/>
                <w:kern w:val="0"/>
                <w:sz w:val="21"/>
                <w:szCs w:val="21"/>
                <w:highlight w:val="none"/>
              </w:rPr>
              <w:t>否则不得分。</w:t>
            </w:r>
          </w:p>
        </w:tc>
        <w:tc>
          <w:tcPr>
            <w:tcW w:w="703" w:type="dxa"/>
            <w:tcBorders>
              <w:bottom w:val="single" w:color="auto" w:sz="4" w:space="0"/>
            </w:tcBorders>
            <w:vAlign w:val="center"/>
          </w:tcPr>
          <w:p w14:paraId="08A80D79">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8.0</w:t>
            </w:r>
          </w:p>
        </w:tc>
      </w:tr>
      <w:tr w14:paraId="5CD6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bottom w:val="single" w:color="auto" w:sz="4" w:space="0"/>
            </w:tcBorders>
            <w:vAlign w:val="center"/>
          </w:tcPr>
          <w:p w14:paraId="1B0C77E5">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2.9</w:t>
            </w:r>
          </w:p>
        </w:tc>
        <w:tc>
          <w:tcPr>
            <w:tcW w:w="7711" w:type="dxa"/>
            <w:tcBorders>
              <w:bottom w:val="single" w:color="auto" w:sz="4" w:space="0"/>
            </w:tcBorders>
            <w:vAlign w:val="center"/>
          </w:tcPr>
          <w:p w14:paraId="48603DB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派驻本项目的人员数量及班次安排方案。人员数量合理及各岗位、班次安排符合实际、完整得2分；人员数量、班次安排较为合理得1分；人员数量、班次安排一般得0.5分；未体现相关内容不得分。</w:t>
            </w:r>
          </w:p>
        </w:tc>
        <w:tc>
          <w:tcPr>
            <w:tcW w:w="703" w:type="dxa"/>
            <w:tcBorders>
              <w:bottom w:val="single" w:color="auto" w:sz="4" w:space="0"/>
            </w:tcBorders>
            <w:vAlign w:val="center"/>
          </w:tcPr>
          <w:p w14:paraId="2F2C9828">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2.0</w:t>
            </w:r>
          </w:p>
        </w:tc>
      </w:tr>
      <w:tr w14:paraId="6EE7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bottom w:val="single" w:color="auto" w:sz="4" w:space="0"/>
            </w:tcBorders>
            <w:vAlign w:val="center"/>
          </w:tcPr>
          <w:p w14:paraId="60960C7A">
            <w:pPr>
              <w:spacing w:line="360" w:lineRule="auto"/>
              <w:jc w:val="center"/>
              <w:rPr>
                <w:rFonts w:hint="eastAsia" w:ascii="宋体" w:hAnsi="宋体" w:eastAsia="宋体" w:cs="宋体"/>
                <w:b/>
                <w:bCs/>
                <w:color w:val="auto"/>
                <w:spacing w:val="-6"/>
                <w:kern w:val="0"/>
                <w:sz w:val="21"/>
                <w:szCs w:val="21"/>
                <w:highlight w:val="none"/>
                <w:lang w:val="en-US" w:eastAsia="zh-CN"/>
              </w:rPr>
            </w:pPr>
            <w:r>
              <w:rPr>
                <w:rFonts w:hint="eastAsia" w:ascii="宋体" w:hAnsi="宋体" w:eastAsia="宋体" w:cs="宋体"/>
                <w:b/>
                <w:bCs/>
                <w:color w:val="auto"/>
                <w:spacing w:val="-6"/>
                <w:kern w:val="0"/>
                <w:sz w:val="21"/>
                <w:szCs w:val="21"/>
                <w:highlight w:val="none"/>
                <w:lang w:val="en-US" w:eastAsia="zh-CN"/>
              </w:rPr>
              <w:t>2.10</w:t>
            </w:r>
          </w:p>
        </w:tc>
        <w:tc>
          <w:tcPr>
            <w:tcW w:w="7711" w:type="dxa"/>
            <w:tcBorders>
              <w:bottom w:val="single" w:color="auto" w:sz="4" w:space="0"/>
            </w:tcBorders>
            <w:vAlign w:val="center"/>
          </w:tcPr>
          <w:p w14:paraId="35D39358">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投标人对</w:t>
            </w: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项目进行深入了解</w:t>
            </w:r>
            <w:r>
              <w:rPr>
                <w:rFonts w:hint="eastAsia" w:ascii="宋体" w:hAnsi="宋体" w:eastAsia="宋体" w:cs="宋体"/>
                <w:color w:val="auto"/>
                <w:kern w:val="0"/>
                <w:sz w:val="21"/>
                <w:szCs w:val="21"/>
                <w:highlight w:val="none"/>
                <w:lang w:eastAsia="zh-CN"/>
              </w:rPr>
              <w:t>，响应采购需求</w:t>
            </w:r>
            <w:r>
              <w:rPr>
                <w:rFonts w:hint="eastAsia" w:ascii="宋体" w:hAnsi="宋体" w:eastAsia="宋体" w:cs="宋体"/>
                <w:color w:val="auto"/>
                <w:kern w:val="0"/>
                <w:sz w:val="21"/>
                <w:szCs w:val="21"/>
                <w:highlight w:val="none"/>
              </w:rPr>
              <w:t>并提出其他增值服务承诺</w:t>
            </w:r>
            <w:r>
              <w:rPr>
                <w:rFonts w:hint="eastAsia" w:ascii="宋体" w:hAnsi="宋体" w:eastAsia="宋体" w:cs="宋体"/>
                <w:color w:val="auto"/>
                <w:kern w:val="0"/>
                <w:sz w:val="21"/>
                <w:szCs w:val="21"/>
                <w:highlight w:val="none"/>
                <w:lang w:eastAsia="zh-CN"/>
              </w:rPr>
              <w:t>，经评标委员会一致认可</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每项得</w:t>
            </w:r>
            <w:r>
              <w:rPr>
                <w:rFonts w:hint="eastAsia" w:ascii="宋体" w:hAnsi="宋体" w:eastAsia="宋体" w:cs="宋体"/>
                <w:color w:val="auto"/>
                <w:kern w:val="0"/>
                <w:sz w:val="21"/>
                <w:szCs w:val="21"/>
                <w:highlight w:val="none"/>
                <w:lang w:val="en-US" w:eastAsia="zh-CN"/>
              </w:rPr>
              <w:t>1分，最高得4分</w:t>
            </w:r>
            <w:r>
              <w:rPr>
                <w:rFonts w:hint="eastAsia" w:ascii="宋体" w:hAnsi="宋体" w:eastAsia="宋体" w:cs="宋体"/>
                <w:color w:val="auto"/>
                <w:kern w:val="0"/>
                <w:sz w:val="21"/>
                <w:szCs w:val="21"/>
                <w:highlight w:val="none"/>
              </w:rPr>
              <w:t>。</w:t>
            </w:r>
          </w:p>
        </w:tc>
        <w:tc>
          <w:tcPr>
            <w:tcW w:w="703" w:type="dxa"/>
            <w:tcBorders>
              <w:bottom w:val="single" w:color="auto" w:sz="4" w:space="0"/>
            </w:tcBorders>
            <w:vAlign w:val="center"/>
          </w:tcPr>
          <w:p w14:paraId="45A0553D">
            <w:pPr>
              <w:spacing w:line="360" w:lineRule="auto"/>
              <w:jc w:val="center"/>
              <w:rPr>
                <w:rFonts w:hint="default" w:ascii="宋体" w:hAnsi="宋体" w:eastAsia="宋体" w:cs="宋体"/>
                <w:b/>
                <w:bCs/>
                <w:color w:val="auto"/>
                <w:spacing w:val="-6"/>
                <w:kern w:val="0"/>
                <w:sz w:val="21"/>
                <w:szCs w:val="21"/>
                <w:highlight w:val="none"/>
                <w:lang w:val="en-US" w:eastAsia="zh-CN"/>
              </w:rPr>
            </w:pPr>
            <w:r>
              <w:rPr>
                <w:rFonts w:hint="eastAsia" w:ascii="宋体" w:hAnsi="宋体" w:eastAsia="宋体" w:cs="宋体"/>
                <w:b/>
                <w:bCs/>
                <w:color w:val="auto"/>
                <w:spacing w:val="-6"/>
                <w:kern w:val="0"/>
                <w:sz w:val="21"/>
                <w:szCs w:val="21"/>
                <w:highlight w:val="none"/>
                <w:lang w:val="en-US" w:eastAsia="zh-CN"/>
              </w:rPr>
              <w:t>4.0</w:t>
            </w:r>
          </w:p>
        </w:tc>
      </w:tr>
      <w:tr w14:paraId="48AF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shd w:val="clear" w:color="auto" w:fill="D8D8D8" w:themeFill="background1" w:themeFillShade="D9"/>
            <w:vAlign w:val="center"/>
          </w:tcPr>
          <w:p w14:paraId="19FCECAC">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w:t>
            </w:r>
          </w:p>
        </w:tc>
        <w:tc>
          <w:tcPr>
            <w:tcW w:w="7711" w:type="dxa"/>
            <w:shd w:val="clear" w:color="auto" w:fill="D8D8D8" w:themeFill="background1" w:themeFillShade="D9"/>
            <w:vAlign w:val="center"/>
          </w:tcPr>
          <w:p w14:paraId="171036B6">
            <w:pPr>
              <w:spacing w:line="360" w:lineRule="auto"/>
              <w:jc w:val="center"/>
              <w:rPr>
                <w:rFonts w:hint="eastAsia" w:ascii="宋体" w:hAnsi="宋体" w:eastAsia="宋体" w:cs="宋体"/>
                <w:b/>
                <w:bCs/>
                <w:color w:val="auto"/>
                <w:spacing w:val="-6"/>
                <w:kern w:val="0"/>
                <w:sz w:val="21"/>
                <w:szCs w:val="21"/>
                <w:highlight w:val="none"/>
                <w:lang w:eastAsia="zh-CN"/>
              </w:rPr>
            </w:pPr>
            <w:r>
              <w:rPr>
                <w:rFonts w:hint="eastAsia" w:ascii="宋体" w:hAnsi="宋体" w:eastAsia="宋体" w:cs="宋体"/>
                <w:b/>
                <w:bCs/>
                <w:color w:val="auto"/>
                <w:spacing w:val="-6"/>
                <w:kern w:val="0"/>
                <w:sz w:val="21"/>
                <w:szCs w:val="21"/>
                <w:highlight w:val="none"/>
              </w:rPr>
              <w:t>资信业绩</w:t>
            </w:r>
            <w:r>
              <w:rPr>
                <w:rFonts w:hint="eastAsia" w:ascii="宋体" w:hAnsi="宋体" w:eastAsia="宋体" w:cs="宋体"/>
                <w:b/>
                <w:bCs/>
                <w:color w:val="auto"/>
                <w:spacing w:val="-6"/>
                <w:kern w:val="0"/>
                <w:sz w:val="21"/>
                <w:szCs w:val="21"/>
                <w:highlight w:val="none"/>
                <w:lang w:eastAsia="zh-CN"/>
              </w:rPr>
              <w:t>（</w:t>
            </w:r>
            <w:r>
              <w:rPr>
                <w:rFonts w:hint="eastAsia" w:ascii="宋体" w:hAnsi="宋体" w:eastAsia="宋体" w:cs="宋体"/>
                <w:b/>
                <w:bCs/>
                <w:color w:val="auto"/>
                <w:spacing w:val="-6"/>
                <w:kern w:val="0"/>
                <w:sz w:val="21"/>
                <w:szCs w:val="21"/>
                <w:highlight w:val="none"/>
                <w:lang w:val="en-US" w:eastAsia="zh-CN"/>
              </w:rPr>
              <w:t>客观分</w:t>
            </w:r>
            <w:r>
              <w:rPr>
                <w:rFonts w:hint="eastAsia" w:ascii="宋体" w:hAnsi="宋体" w:eastAsia="宋体" w:cs="宋体"/>
                <w:b/>
                <w:bCs/>
                <w:color w:val="auto"/>
                <w:spacing w:val="-6"/>
                <w:kern w:val="0"/>
                <w:sz w:val="21"/>
                <w:szCs w:val="21"/>
                <w:highlight w:val="none"/>
                <w:lang w:eastAsia="zh-CN"/>
              </w:rPr>
              <w:t>）</w:t>
            </w:r>
          </w:p>
        </w:tc>
        <w:tc>
          <w:tcPr>
            <w:tcW w:w="703" w:type="dxa"/>
            <w:shd w:val="clear" w:color="auto" w:fill="D8D8D8" w:themeFill="background1" w:themeFillShade="D9"/>
            <w:vAlign w:val="center"/>
          </w:tcPr>
          <w:p w14:paraId="640FAEBE">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3</w:t>
            </w:r>
            <w:r>
              <w:rPr>
                <w:rFonts w:hint="eastAsia" w:ascii="宋体" w:hAnsi="宋体" w:eastAsia="宋体" w:cs="宋体"/>
                <w:b/>
                <w:bCs/>
                <w:color w:val="auto"/>
                <w:spacing w:val="-6"/>
                <w:kern w:val="0"/>
                <w:sz w:val="21"/>
                <w:szCs w:val="21"/>
                <w:highlight w:val="none"/>
              </w:rPr>
              <w:t>.0</w:t>
            </w:r>
          </w:p>
        </w:tc>
      </w:tr>
      <w:tr w14:paraId="0E88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16639B6F">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3.1</w:t>
            </w:r>
          </w:p>
        </w:tc>
        <w:tc>
          <w:tcPr>
            <w:tcW w:w="7711" w:type="dxa"/>
            <w:vAlign w:val="center"/>
          </w:tcPr>
          <w:p w14:paraId="064EC03A">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具有有效期内的ISO</w:t>
            </w:r>
            <w:r>
              <w:rPr>
                <w:rFonts w:hint="eastAsia" w:ascii="宋体" w:hAnsi="宋体" w:eastAsia="宋体" w:cs="宋体"/>
                <w:color w:val="auto"/>
                <w:kern w:val="0"/>
                <w:sz w:val="21"/>
                <w:szCs w:val="21"/>
                <w:highlight w:val="none"/>
                <w:lang w:val="en-US" w:eastAsia="zh-CN"/>
              </w:rPr>
              <w:t>9001</w:t>
            </w:r>
            <w:r>
              <w:rPr>
                <w:rFonts w:hint="eastAsia" w:ascii="宋体" w:hAnsi="宋体" w:eastAsia="宋体" w:cs="宋体"/>
                <w:color w:val="auto"/>
                <w:kern w:val="0"/>
                <w:sz w:val="21"/>
                <w:szCs w:val="21"/>
                <w:highlight w:val="none"/>
              </w:rPr>
              <w:t>质量管理体系</w:t>
            </w:r>
            <w:r>
              <w:rPr>
                <w:rFonts w:hint="eastAsia" w:ascii="宋体" w:hAnsi="宋体" w:eastAsia="宋体" w:cs="宋体"/>
                <w:color w:val="auto"/>
                <w:kern w:val="0"/>
                <w:sz w:val="21"/>
                <w:szCs w:val="21"/>
                <w:highlight w:val="none"/>
                <w:lang w:eastAsia="zh-CN"/>
              </w:rPr>
              <w:t>认证证书</w:t>
            </w:r>
            <w:r>
              <w:rPr>
                <w:rFonts w:hint="eastAsia" w:ascii="宋体" w:hAnsi="宋体" w:eastAsia="宋体" w:cs="宋体"/>
                <w:color w:val="auto"/>
                <w:kern w:val="0"/>
                <w:sz w:val="21"/>
                <w:szCs w:val="21"/>
                <w:highlight w:val="none"/>
              </w:rPr>
              <w:t>、ISO</w:t>
            </w:r>
            <w:r>
              <w:rPr>
                <w:rFonts w:hint="eastAsia" w:ascii="宋体" w:hAnsi="宋体" w:eastAsia="宋体" w:cs="宋体"/>
                <w:color w:val="auto"/>
                <w:kern w:val="0"/>
                <w:sz w:val="21"/>
                <w:szCs w:val="21"/>
                <w:highlight w:val="none"/>
                <w:lang w:val="en-US" w:eastAsia="zh-CN"/>
              </w:rPr>
              <w:t>14001</w:t>
            </w:r>
            <w:r>
              <w:rPr>
                <w:rFonts w:hint="eastAsia" w:ascii="宋体" w:hAnsi="宋体" w:eastAsia="宋体" w:cs="宋体"/>
                <w:color w:val="auto"/>
                <w:kern w:val="0"/>
                <w:sz w:val="21"/>
                <w:szCs w:val="21"/>
                <w:highlight w:val="none"/>
              </w:rPr>
              <w:t>环境管理体系</w:t>
            </w:r>
            <w:r>
              <w:rPr>
                <w:rFonts w:hint="eastAsia" w:ascii="宋体" w:hAnsi="宋体" w:eastAsia="宋体" w:cs="宋体"/>
                <w:color w:val="auto"/>
                <w:kern w:val="0"/>
                <w:sz w:val="21"/>
                <w:szCs w:val="21"/>
                <w:highlight w:val="none"/>
                <w:lang w:eastAsia="zh-CN"/>
              </w:rPr>
              <w:t>认证证书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ISO45001</w:t>
            </w:r>
            <w:r>
              <w:rPr>
                <w:rFonts w:hint="eastAsia" w:ascii="宋体" w:hAnsi="宋体" w:eastAsia="宋体" w:cs="宋体"/>
                <w:color w:val="auto"/>
                <w:kern w:val="0"/>
                <w:sz w:val="21"/>
                <w:szCs w:val="21"/>
                <w:highlight w:val="none"/>
              </w:rPr>
              <w:t>职业健康安全管理体系</w:t>
            </w:r>
            <w:r>
              <w:rPr>
                <w:rFonts w:hint="eastAsia" w:ascii="宋体" w:hAnsi="宋体" w:eastAsia="宋体" w:cs="宋体"/>
                <w:color w:val="auto"/>
                <w:kern w:val="0"/>
                <w:sz w:val="21"/>
                <w:szCs w:val="21"/>
                <w:highlight w:val="none"/>
                <w:lang w:eastAsia="zh-CN"/>
              </w:rPr>
              <w:t>认证证书</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ISO</w:t>
            </w:r>
            <w:r>
              <w:rPr>
                <w:rFonts w:hint="eastAsia" w:ascii="宋体" w:hAnsi="宋体" w:eastAsia="宋体" w:cs="宋体"/>
                <w:color w:val="auto"/>
                <w:kern w:val="0"/>
                <w:sz w:val="21"/>
                <w:szCs w:val="21"/>
                <w:highlight w:val="none"/>
              </w:rPr>
              <w:t>27001信息安全管理体系</w:t>
            </w:r>
            <w:r>
              <w:rPr>
                <w:rFonts w:hint="eastAsia" w:ascii="宋体" w:hAnsi="宋体" w:cs="宋体"/>
                <w:color w:val="auto"/>
                <w:kern w:val="0"/>
                <w:sz w:val="21"/>
                <w:szCs w:val="21"/>
                <w:highlight w:val="none"/>
                <w:lang w:val="en-US" w:eastAsia="zh-CN"/>
              </w:rPr>
              <w:t>认证证书</w:t>
            </w:r>
            <w:r>
              <w:rPr>
                <w:rFonts w:hint="eastAsia" w:ascii="宋体" w:hAnsi="宋体" w:eastAsia="宋体" w:cs="宋体"/>
                <w:color w:val="auto"/>
                <w:kern w:val="0"/>
                <w:sz w:val="21"/>
                <w:szCs w:val="21"/>
                <w:highlight w:val="none"/>
              </w:rPr>
              <w:t>，每个得0.5分，</w:t>
            </w:r>
            <w:r>
              <w:rPr>
                <w:rFonts w:hint="eastAsia" w:ascii="宋体" w:hAnsi="宋体" w:eastAsia="宋体" w:cs="宋体"/>
                <w:color w:val="auto"/>
                <w:kern w:val="0"/>
                <w:sz w:val="21"/>
                <w:szCs w:val="21"/>
                <w:highlight w:val="none"/>
                <w:lang w:eastAsia="zh-CN"/>
              </w:rPr>
              <w:t>本项最高得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14:paraId="16312ED0">
            <w:pPr>
              <w:wordWrap w:val="0"/>
              <w:spacing w:line="360" w:lineRule="auto"/>
              <w:ind w:firstLine="420" w:firstLineChars="200"/>
              <w:rPr>
                <w:rFonts w:hint="eastAsia" w:ascii="宋体" w:hAnsi="宋体" w:eastAsia="宋体" w:cs="宋体"/>
                <w:color w:val="auto"/>
                <w:spacing w:val="-6"/>
                <w:kern w:val="0"/>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提供证书</w:t>
            </w:r>
            <w:r>
              <w:rPr>
                <w:rFonts w:hint="eastAsia" w:ascii="宋体" w:hAnsi="宋体" w:eastAsia="宋体" w:cs="宋体"/>
                <w:color w:val="auto"/>
                <w:kern w:val="0"/>
                <w:sz w:val="21"/>
                <w:szCs w:val="21"/>
                <w:highlight w:val="none"/>
                <w:lang w:eastAsia="zh-CN"/>
              </w:rPr>
              <w:t>复印件</w:t>
            </w:r>
            <w:r>
              <w:rPr>
                <w:rFonts w:hint="eastAsia" w:ascii="宋体" w:hAnsi="宋体" w:eastAsia="宋体" w:cs="宋体"/>
                <w:color w:val="auto"/>
                <w:kern w:val="0"/>
                <w:sz w:val="21"/>
                <w:szCs w:val="21"/>
                <w:highlight w:val="none"/>
              </w:rPr>
              <w:t>，全国认证认可信息公共服务平台http://cx.cnca.cn/CertECloud/result/skipResultList可查，附网页截图，否则不得分。</w:t>
            </w:r>
          </w:p>
        </w:tc>
        <w:tc>
          <w:tcPr>
            <w:tcW w:w="703" w:type="dxa"/>
            <w:vAlign w:val="center"/>
          </w:tcPr>
          <w:p w14:paraId="77DDAECF">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1</w:t>
            </w:r>
            <w:r>
              <w:rPr>
                <w:rFonts w:hint="eastAsia" w:ascii="宋体" w:hAnsi="宋体" w:eastAsia="宋体" w:cs="宋体"/>
                <w:b/>
                <w:bCs/>
                <w:color w:val="auto"/>
                <w:spacing w:val="-6"/>
                <w:kern w:val="0"/>
                <w:sz w:val="21"/>
                <w:szCs w:val="21"/>
                <w:highlight w:val="none"/>
              </w:rPr>
              <w:t>.0</w:t>
            </w:r>
          </w:p>
        </w:tc>
      </w:tr>
      <w:tr w14:paraId="7436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1CEB3E44">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3.2</w:t>
            </w:r>
          </w:p>
        </w:tc>
        <w:tc>
          <w:tcPr>
            <w:tcW w:w="7711" w:type="dxa"/>
            <w:vAlign w:val="center"/>
          </w:tcPr>
          <w:p w14:paraId="07C07A4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业绩：投标截止时间前三年内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2021年1月1日以来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有承担</w:t>
            </w:r>
            <w:r>
              <w:rPr>
                <w:rFonts w:hint="eastAsia" w:ascii="宋体" w:hAnsi="宋体" w:cs="宋体"/>
                <w:b w:val="0"/>
                <w:bCs/>
                <w:color w:val="auto"/>
                <w:sz w:val="21"/>
                <w:szCs w:val="21"/>
                <w:highlight w:val="none"/>
                <w:lang w:val="en-US" w:eastAsia="zh-CN"/>
              </w:rPr>
              <w:t>公益类场馆</w:t>
            </w:r>
            <w:r>
              <w:rPr>
                <w:rFonts w:hint="eastAsia" w:ascii="宋体" w:hAnsi="宋体" w:eastAsia="宋体" w:cs="宋体"/>
                <w:color w:val="auto"/>
                <w:kern w:val="0"/>
                <w:sz w:val="21"/>
                <w:szCs w:val="21"/>
                <w:highlight w:val="none"/>
                <w:lang w:eastAsia="zh-CN"/>
              </w:rPr>
              <w:t>物业管理服务</w:t>
            </w:r>
            <w:r>
              <w:rPr>
                <w:rFonts w:hint="eastAsia" w:ascii="宋体" w:hAnsi="宋体" w:eastAsia="宋体" w:cs="宋体"/>
                <w:color w:val="auto"/>
                <w:kern w:val="0"/>
                <w:sz w:val="21"/>
                <w:szCs w:val="21"/>
                <w:highlight w:val="none"/>
              </w:rPr>
              <w:t>项目情况，每一个案例得0.5分，最高1分。</w:t>
            </w:r>
          </w:p>
          <w:p w14:paraId="35C0CF7C">
            <w:pPr>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eastAsia="zh-CN"/>
              </w:rPr>
              <w:t>有甲乙双方盖章及具体签订日期的</w:t>
            </w:r>
            <w:r>
              <w:rPr>
                <w:rFonts w:hint="eastAsia" w:ascii="宋体" w:hAnsi="宋体" w:eastAsia="宋体" w:cs="宋体"/>
                <w:color w:val="auto"/>
                <w:kern w:val="0"/>
                <w:sz w:val="21"/>
                <w:szCs w:val="21"/>
                <w:highlight w:val="none"/>
              </w:rPr>
              <w:t>合同复印件</w:t>
            </w:r>
            <w:r>
              <w:rPr>
                <w:rFonts w:hint="eastAsia" w:ascii="宋体" w:hAnsi="宋体" w:eastAsia="宋体" w:cs="宋体"/>
                <w:color w:val="auto"/>
                <w:kern w:val="0"/>
                <w:sz w:val="21"/>
                <w:szCs w:val="21"/>
                <w:highlight w:val="none"/>
                <w:lang w:eastAsia="zh-CN"/>
              </w:rPr>
              <w:t>。</w:t>
            </w:r>
          </w:p>
          <w:p w14:paraId="1CF8609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备注：</w:t>
            </w:r>
            <w:r>
              <w:rPr>
                <w:rFonts w:hint="eastAsia" w:ascii="宋体" w:hAnsi="宋体" w:eastAsia="宋体" w:cs="宋体"/>
                <w:color w:val="auto"/>
                <w:kern w:val="0"/>
                <w:sz w:val="21"/>
                <w:szCs w:val="21"/>
                <w:highlight w:val="none"/>
              </w:rPr>
              <w:t>一个</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单位分年度</w:t>
            </w:r>
            <w:r>
              <w:rPr>
                <w:rFonts w:hint="eastAsia" w:ascii="宋体" w:hAnsi="宋体" w:eastAsia="宋体" w:cs="宋体"/>
                <w:color w:val="auto"/>
                <w:kern w:val="0"/>
                <w:sz w:val="21"/>
                <w:szCs w:val="21"/>
                <w:highlight w:val="none"/>
                <w:lang w:eastAsia="zh-CN"/>
              </w:rPr>
              <w:t>连续</w:t>
            </w:r>
            <w:r>
              <w:rPr>
                <w:rFonts w:hint="eastAsia" w:ascii="宋体" w:hAnsi="宋体" w:eastAsia="宋体" w:cs="宋体"/>
                <w:color w:val="auto"/>
                <w:kern w:val="0"/>
                <w:sz w:val="21"/>
                <w:szCs w:val="21"/>
                <w:highlight w:val="none"/>
              </w:rPr>
              <w:t>多次签订的案例，计入1个案例。</w:t>
            </w:r>
          </w:p>
        </w:tc>
        <w:tc>
          <w:tcPr>
            <w:tcW w:w="703" w:type="dxa"/>
            <w:vAlign w:val="center"/>
          </w:tcPr>
          <w:p w14:paraId="7F9E3A79">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1.0</w:t>
            </w:r>
          </w:p>
        </w:tc>
      </w:tr>
      <w:tr w14:paraId="7FEA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0F335FDF">
            <w:pPr>
              <w:spacing w:line="360" w:lineRule="auto"/>
              <w:jc w:val="center"/>
              <w:rPr>
                <w:rFonts w:hint="eastAsia" w:ascii="宋体" w:hAnsi="宋体" w:eastAsia="宋体" w:cs="宋体"/>
                <w:b/>
                <w:bCs/>
                <w:color w:val="auto"/>
                <w:spacing w:val="-6"/>
                <w:kern w:val="0"/>
                <w:sz w:val="21"/>
                <w:szCs w:val="21"/>
                <w:highlight w:val="none"/>
                <w:lang w:val="en-US" w:eastAsia="zh-CN"/>
              </w:rPr>
            </w:pPr>
            <w:r>
              <w:rPr>
                <w:rFonts w:hint="eastAsia" w:ascii="宋体" w:hAnsi="宋体" w:eastAsia="宋体" w:cs="宋体"/>
                <w:b/>
                <w:bCs/>
                <w:color w:val="auto"/>
                <w:spacing w:val="-6"/>
                <w:kern w:val="0"/>
                <w:sz w:val="21"/>
                <w:szCs w:val="21"/>
                <w:highlight w:val="none"/>
                <w:lang w:val="en-US" w:eastAsia="zh-CN"/>
              </w:rPr>
              <w:t>3</w:t>
            </w:r>
            <w:r>
              <w:rPr>
                <w:rFonts w:hint="eastAsia" w:ascii="宋体" w:hAnsi="宋体" w:eastAsia="宋体" w:cs="宋体"/>
                <w:b/>
                <w:bCs/>
                <w:color w:val="auto"/>
                <w:spacing w:val="-6"/>
                <w:kern w:val="0"/>
                <w:sz w:val="21"/>
                <w:szCs w:val="21"/>
                <w:highlight w:val="none"/>
              </w:rPr>
              <w:t>.</w:t>
            </w:r>
            <w:r>
              <w:rPr>
                <w:rFonts w:hint="eastAsia" w:ascii="宋体" w:hAnsi="宋体" w:eastAsia="宋体" w:cs="宋体"/>
                <w:b/>
                <w:bCs/>
                <w:color w:val="auto"/>
                <w:spacing w:val="-6"/>
                <w:kern w:val="0"/>
                <w:sz w:val="21"/>
                <w:szCs w:val="21"/>
                <w:highlight w:val="none"/>
                <w:lang w:val="en-US" w:eastAsia="zh-CN"/>
              </w:rPr>
              <w:t>3</w:t>
            </w:r>
          </w:p>
        </w:tc>
        <w:tc>
          <w:tcPr>
            <w:tcW w:w="7711" w:type="dxa"/>
            <w:vAlign w:val="center"/>
          </w:tcPr>
          <w:p w14:paraId="40F1A83B">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投标人具有智慧物业相关系统平台，并提供国家版权局颁发的计算机软件登记证书：每提供1个得0.5分，最高得1分。</w:t>
            </w:r>
          </w:p>
          <w:p w14:paraId="11CFBE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证明材料：</w:t>
            </w:r>
            <w:r>
              <w:rPr>
                <w:rFonts w:hint="eastAsia" w:ascii="宋体" w:hAnsi="宋体" w:eastAsia="宋体" w:cs="宋体"/>
                <w:color w:val="auto"/>
                <w:kern w:val="0"/>
                <w:sz w:val="21"/>
                <w:szCs w:val="21"/>
                <w:highlight w:val="none"/>
              </w:rPr>
              <w:t>提供计算机软件著作权登记证书</w:t>
            </w:r>
            <w:r>
              <w:rPr>
                <w:rFonts w:hint="eastAsia" w:ascii="宋体" w:hAnsi="宋体" w:eastAsia="宋体" w:cs="宋体"/>
                <w:color w:val="auto"/>
                <w:kern w:val="0"/>
                <w:sz w:val="21"/>
                <w:szCs w:val="21"/>
                <w:highlight w:val="none"/>
                <w:lang w:eastAsia="zh-CN"/>
              </w:rPr>
              <w:t>复印件</w:t>
            </w:r>
            <w:r>
              <w:rPr>
                <w:rFonts w:hint="eastAsia" w:ascii="宋体" w:hAnsi="宋体" w:eastAsia="宋体" w:cs="宋体"/>
                <w:color w:val="auto"/>
                <w:kern w:val="0"/>
                <w:sz w:val="21"/>
                <w:szCs w:val="21"/>
                <w:highlight w:val="none"/>
              </w:rPr>
              <w:t>，否则不得分。</w:t>
            </w:r>
          </w:p>
        </w:tc>
        <w:tc>
          <w:tcPr>
            <w:tcW w:w="703" w:type="dxa"/>
            <w:vAlign w:val="center"/>
          </w:tcPr>
          <w:p w14:paraId="69C9DB2D">
            <w:pPr>
              <w:spacing w:line="360" w:lineRule="auto"/>
              <w:jc w:val="center"/>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rPr>
              <w:t>1.0</w:t>
            </w:r>
          </w:p>
        </w:tc>
      </w:tr>
    </w:tbl>
    <w:p w14:paraId="3035F446">
      <w:pPr>
        <w:pStyle w:val="6"/>
        <w:rPr>
          <w:rFonts w:ascii="宋体" w:hAnsi="宋体" w:cs="宋体"/>
          <w:color w:val="auto"/>
          <w:szCs w:val="21"/>
          <w:highlight w:val="none"/>
          <w:lang w:val="zh-CN"/>
        </w:rPr>
      </w:pPr>
      <w:r>
        <w:rPr>
          <w:rFonts w:hint="eastAsia" w:ascii="宋体" w:hAnsi="宋体" w:cs="宋体"/>
          <w:color w:val="auto"/>
          <w:szCs w:val="21"/>
          <w:highlight w:val="none"/>
        </w:rPr>
        <w:t>备注：未按要求提供证明材料的，评审时不予认可。</w:t>
      </w:r>
    </w:p>
    <w:p w14:paraId="5A771076">
      <w:pPr>
        <w:pStyle w:val="59"/>
        <w:numPr>
          <w:ilvl w:val="0"/>
          <w:numId w:val="0"/>
        </w:numPr>
        <w:spacing w:before="0"/>
        <w:rPr>
          <w:rFonts w:hint="eastAsia" w:ascii="宋体" w:hAnsi="宋体" w:eastAsia="宋体" w:cs="宋体"/>
          <w:b/>
          <w:color w:val="auto"/>
          <w:sz w:val="21"/>
          <w:szCs w:val="21"/>
          <w:highlight w:val="none"/>
        </w:rPr>
      </w:pPr>
    </w:p>
    <w:p w14:paraId="638FC761">
      <w:pPr>
        <w:pStyle w:val="59"/>
        <w:numPr>
          <w:ilvl w:val="0"/>
          <w:numId w:val="0"/>
        </w:numPr>
        <w:spacing w:befor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价格分（10分）：</w:t>
      </w:r>
    </w:p>
    <w:p w14:paraId="1DE0CB3A">
      <w:pPr>
        <w:pStyle w:val="59"/>
        <w:spacing w:before="0"/>
        <w:ind w:firstLine="493" w:firstLineChars="23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评分将在审查合格的有效投标人范围内进行，最高得10分，最低得0分（小数点后保留二位小数，第三位四舍五入）。审查合格的有效投标人中最低的投标报价为评审基准价，投标人的价格分统一按照下列公式计算：</w:t>
      </w:r>
    </w:p>
    <w:p w14:paraId="53E134A1">
      <w:pPr>
        <w:pStyle w:val="59"/>
        <w:spacing w:before="0"/>
        <w:ind w:firstLine="493" w:firstLineChars="23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投标报价得分=（评审基准价／投标报价）×10</w:t>
      </w:r>
    </w:p>
    <w:p w14:paraId="01ACE60D">
      <w:pPr>
        <w:pStyle w:val="59"/>
        <w:numPr>
          <w:ilvl w:val="0"/>
          <w:numId w:val="12"/>
        </w:numPr>
        <w:spacing w:before="0"/>
        <w:ind w:firstLine="495" w:firstLineChars="2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w:t>
      </w:r>
    </w:p>
    <w:p w14:paraId="610220DD">
      <w:pPr>
        <w:pStyle w:val="59"/>
        <w:spacing w:before="0"/>
        <w:ind w:firstLine="493" w:firstLineChars="23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评分时保留小数点后1位小数，计算评分值时保留小数点后2位小数，由评标委员会当场统一计算。</w:t>
      </w:r>
    </w:p>
    <w:p w14:paraId="5078532D">
      <w:pPr>
        <w:pStyle w:val="59"/>
        <w:spacing w:before="0"/>
        <w:ind w:firstLine="493" w:firstLineChars="235"/>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投标人的最终总得分为商务和技术部分和报价部分二部分得分的总和。</w:t>
      </w:r>
    </w:p>
    <w:p w14:paraId="65B37D5C">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275A86A">
      <w:pPr>
        <w:adjustRightInd w:val="0"/>
        <w:snapToGrid w:val="0"/>
        <w:spacing w:before="120" w:beforeLines="50" w:after="120" w:afterLines="50" w:line="360" w:lineRule="auto"/>
        <w:jc w:val="center"/>
        <w:outlineLvl w:val="0"/>
        <w:rPr>
          <w:rFonts w:ascii="宋体" w:hAnsi="宋体" w:cs="宋体"/>
          <w:b/>
          <w:bCs/>
          <w:color w:val="auto"/>
          <w:sz w:val="32"/>
          <w:szCs w:val="32"/>
          <w:highlight w:val="none"/>
        </w:rPr>
      </w:pPr>
      <w:r>
        <w:rPr>
          <w:rFonts w:hint="eastAsia" w:ascii="宋体" w:hAnsi="宋体" w:cs="宋体"/>
          <w:b/>
          <w:color w:val="auto"/>
          <w:sz w:val="30"/>
          <w:szCs w:val="30"/>
          <w:highlight w:val="none"/>
        </w:rPr>
        <w:t>第六部分  投标文件格式</w:t>
      </w:r>
      <w:bookmarkEnd w:id="69"/>
      <w:bookmarkEnd w:id="70"/>
      <w:bookmarkEnd w:id="71"/>
      <w:bookmarkEnd w:id="72"/>
      <w:bookmarkEnd w:id="73"/>
    </w:p>
    <w:p w14:paraId="62173525">
      <w:pPr>
        <w:autoSpaceDE w:val="0"/>
        <w:autoSpaceDN w:val="0"/>
        <w:adjustRightInd w:val="0"/>
        <w:spacing w:line="360" w:lineRule="auto"/>
        <w:ind w:firstLine="480"/>
        <w:rPr>
          <w:rFonts w:ascii="宋体" w:hAnsi="宋体" w:cs="宋体"/>
          <w:color w:val="auto"/>
          <w:sz w:val="24"/>
          <w:highlight w:val="none"/>
        </w:rPr>
      </w:pPr>
    </w:p>
    <w:p w14:paraId="3858B9FC">
      <w:pPr>
        <w:pStyle w:val="26"/>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说明：</w:t>
      </w:r>
    </w:p>
    <w:p w14:paraId="3FA4E16C">
      <w:pPr>
        <w:pStyle w:val="26"/>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1．投标文件由投标人根据招标文件要求参照附件格式编制。</w:t>
      </w:r>
    </w:p>
    <w:p w14:paraId="08723BB5">
      <w:pPr>
        <w:pStyle w:val="26"/>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2．投标人根据实际情况填写。</w:t>
      </w:r>
    </w:p>
    <w:p w14:paraId="3851E5B7">
      <w:pPr>
        <w:pStyle w:val="26"/>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3．招标文件中没有参考格式的，投标人自行编制。</w:t>
      </w:r>
    </w:p>
    <w:p w14:paraId="7908603E">
      <w:pPr>
        <w:autoSpaceDE w:val="0"/>
        <w:autoSpaceDN w:val="0"/>
        <w:adjustRightInd w:val="0"/>
        <w:snapToGrid w:val="0"/>
        <w:spacing w:line="360" w:lineRule="auto"/>
        <w:outlineLvl w:val="1"/>
        <w:rPr>
          <w:rFonts w:ascii="宋体" w:hAnsi="宋体" w:cs="宋体"/>
          <w:bCs/>
          <w:snapToGrid w:val="0"/>
          <w:color w:val="auto"/>
          <w:kern w:val="0"/>
          <w:szCs w:val="21"/>
          <w:highlight w:val="none"/>
        </w:rPr>
      </w:pPr>
      <w:r>
        <w:rPr>
          <w:rFonts w:hint="eastAsia" w:ascii="宋体" w:hAnsi="宋体" w:cs="宋体"/>
          <w:b/>
          <w:bCs/>
          <w:color w:val="auto"/>
          <w:sz w:val="32"/>
          <w:szCs w:val="32"/>
          <w:highlight w:val="none"/>
        </w:rPr>
        <w:br w:type="page"/>
      </w:r>
      <w:bookmarkStart w:id="74" w:name="_Toc27220"/>
      <w:bookmarkStart w:id="75" w:name="_Toc1647"/>
      <w:bookmarkStart w:id="76" w:name="_Toc22468"/>
      <w:r>
        <w:rPr>
          <w:rFonts w:hint="eastAsia" w:ascii="宋体" w:hAnsi="宋体" w:cs="宋体"/>
          <w:bCs/>
          <w:snapToGrid w:val="0"/>
          <w:color w:val="auto"/>
          <w:kern w:val="0"/>
          <w:szCs w:val="21"/>
          <w:highlight w:val="none"/>
        </w:rPr>
        <w:t>一、</w:t>
      </w:r>
      <w:bookmarkEnd w:id="74"/>
      <w:bookmarkEnd w:id="75"/>
      <w:bookmarkStart w:id="77" w:name="_Toc32101"/>
      <w:bookmarkStart w:id="78" w:name="_Toc27346"/>
      <w:r>
        <w:rPr>
          <w:rFonts w:hint="eastAsia" w:ascii="宋体" w:hAnsi="宋体" w:cs="宋体"/>
          <w:bCs/>
          <w:snapToGrid w:val="0"/>
          <w:color w:val="auto"/>
          <w:kern w:val="0"/>
          <w:szCs w:val="21"/>
          <w:highlight w:val="none"/>
        </w:rPr>
        <w:t>投标文件封面（格式供参考）</w:t>
      </w:r>
      <w:bookmarkEnd w:id="76"/>
      <w:bookmarkEnd w:id="77"/>
      <w:bookmarkEnd w:id="78"/>
    </w:p>
    <w:p w14:paraId="19D2FA74">
      <w:pPr>
        <w:autoSpaceDE w:val="0"/>
        <w:autoSpaceDN w:val="0"/>
        <w:adjustRightInd w:val="0"/>
        <w:rPr>
          <w:rFonts w:ascii="宋体" w:hAnsi="宋体" w:cs="宋体"/>
          <w:bCs/>
          <w:color w:val="auto"/>
          <w:highlight w:val="none"/>
        </w:rPr>
      </w:pPr>
    </w:p>
    <w:p w14:paraId="3EA10BE2">
      <w:pPr>
        <w:autoSpaceDE w:val="0"/>
        <w:autoSpaceDN w:val="0"/>
        <w:adjustRightInd w:val="0"/>
        <w:snapToGrid w:val="0"/>
        <w:spacing w:line="360" w:lineRule="auto"/>
        <w:outlineLvl w:val="1"/>
        <w:rPr>
          <w:rFonts w:ascii="宋体" w:hAnsi="宋体"/>
          <w:bCs/>
          <w:snapToGrid w:val="0"/>
          <w:color w:val="auto"/>
          <w:kern w:val="0"/>
          <w:szCs w:val="21"/>
          <w:highlight w:val="none"/>
        </w:rPr>
      </w:pPr>
      <w:bookmarkStart w:id="79" w:name="_Toc454277135"/>
      <w:r>
        <w:rPr>
          <w:rFonts w:hint="eastAsia" w:ascii="宋体" w:hAnsi="宋体"/>
          <w:bCs/>
          <w:snapToGrid w:val="0"/>
          <w:color w:val="auto"/>
          <w:kern w:val="0"/>
          <w:szCs w:val="21"/>
          <w:highlight w:val="none"/>
        </w:rPr>
        <w:t>一、投标文件外层包装封面（格式供参考）</w:t>
      </w:r>
      <w:bookmarkEnd w:id="79"/>
    </w:p>
    <w:p w14:paraId="4E740CF6">
      <w:pPr>
        <w:spacing w:line="360" w:lineRule="atLeast"/>
        <w:rPr>
          <w:rFonts w:ascii="宋体" w:hAnsi="宋体"/>
          <w:color w:val="auto"/>
          <w:szCs w:val="21"/>
          <w:highlight w:val="none"/>
        </w:rPr>
      </w:pPr>
      <w:r>
        <w:rPr>
          <w:rFonts w:hint="eastAsia" w:ascii="宋体" w:hAnsi="宋体"/>
          <w:color w:val="auto"/>
          <w:szCs w:val="21"/>
          <w:highlight w:val="none"/>
        </w:rPr>
        <w:t>1. 资格响应文件、商务和技术响应文件外层包装</w:t>
      </w:r>
      <w:r>
        <w:rPr>
          <w:rFonts w:hint="eastAsia" w:ascii="宋体" w:hAnsi="宋体"/>
          <w:bCs/>
          <w:color w:val="auto"/>
          <w:szCs w:val="21"/>
          <w:highlight w:val="none"/>
        </w:rPr>
        <w:t>（密封袋）</w:t>
      </w:r>
      <w:r>
        <w:rPr>
          <w:rFonts w:hint="eastAsia" w:ascii="宋体" w:hAnsi="宋体"/>
          <w:color w:val="auto"/>
          <w:szCs w:val="21"/>
          <w:highlight w:val="none"/>
        </w:rPr>
        <w:t>封面</w:t>
      </w:r>
    </w:p>
    <w:p w14:paraId="2DCEAAC0">
      <w:pPr>
        <w:spacing w:line="360" w:lineRule="auto"/>
        <w:jc w:val="center"/>
        <w:rPr>
          <w:rFonts w:ascii="宋体" w:hAnsi="宋体"/>
          <w:b/>
          <w:color w:val="auto"/>
          <w:sz w:val="30"/>
          <w:szCs w:val="30"/>
          <w:highlight w:val="none"/>
        </w:rPr>
      </w:pPr>
    </w:p>
    <w:p w14:paraId="44ADE302">
      <w:pPr>
        <w:autoSpaceDE w:val="0"/>
        <w:autoSpaceDN w:val="0"/>
        <w:adjustRightInd w:val="0"/>
        <w:spacing w:line="360" w:lineRule="auto"/>
        <w:jc w:val="center"/>
        <w:rPr>
          <w:rFonts w:ascii="宋体" w:hAnsi="宋体"/>
          <w:b/>
          <w:color w:val="auto"/>
          <w:sz w:val="32"/>
          <w:szCs w:val="32"/>
          <w:highlight w:val="none"/>
        </w:rPr>
      </w:pPr>
    </w:p>
    <w:p w14:paraId="1CB4A912">
      <w:pPr>
        <w:spacing w:line="360" w:lineRule="auto"/>
        <w:jc w:val="center"/>
        <w:rPr>
          <w:rFonts w:hint="eastAsia" w:ascii="宋体" w:hAnsi="宋体" w:eastAsia="宋体" w:cs="宋体"/>
          <w:color w:val="auto"/>
          <w:spacing w:val="40"/>
          <w:w w:val="90"/>
          <w:sz w:val="96"/>
          <w:szCs w:val="96"/>
          <w:highlight w:val="none"/>
          <w:lang w:bidi="th-TH"/>
        </w:rPr>
      </w:pPr>
      <w:r>
        <w:rPr>
          <w:rFonts w:hint="eastAsia" w:ascii="宋体" w:hAnsi="宋体" w:eastAsia="宋体" w:cs="宋体"/>
          <w:color w:val="auto"/>
          <w:spacing w:val="40"/>
          <w:w w:val="90"/>
          <w:sz w:val="96"/>
          <w:szCs w:val="96"/>
          <w:highlight w:val="none"/>
          <w:lang w:bidi="th-TH"/>
        </w:rPr>
        <w:t>投 标 文 件</w:t>
      </w:r>
    </w:p>
    <w:p w14:paraId="6151E58C">
      <w:pPr>
        <w:autoSpaceDE w:val="0"/>
        <w:autoSpaceDN w:val="0"/>
        <w:adjustRightIn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（资格响应文件、商务和技术响应文件）</w:t>
      </w:r>
    </w:p>
    <w:p w14:paraId="45C15372">
      <w:pPr>
        <w:spacing w:line="360" w:lineRule="auto"/>
        <w:jc w:val="center"/>
        <w:rPr>
          <w:rFonts w:hint="eastAsia" w:ascii="宋体" w:hAnsi="宋体" w:eastAsia="宋体" w:cs="宋体"/>
          <w:b/>
          <w:color w:val="auto"/>
          <w:sz w:val="30"/>
          <w:szCs w:val="30"/>
          <w:highlight w:val="none"/>
        </w:rPr>
      </w:pPr>
      <w:bookmarkStart w:id="80" w:name="_Toc297472066"/>
      <w:r>
        <w:rPr>
          <w:rFonts w:hint="eastAsia" w:ascii="宋体" w:hAnsi="宋体" w:eastAsia="宋体" w:cs="宋体"/>
          <w:b/>
          <w:color w:val="auto"/>
          <w:sz w:val="30"/>
          <w:szCs w:val="30"/>
          <w:highlight w:val="none"/>
        </w:rPr>
        <w:t>【开标时启封</w:t>
      </w:r>
      <w:bookmarkEnd w:id="80"/>
      <w:r>
        <w:rPr>
          <w:rFonts w:hint="eastAsia" w:ascii="宋体" w:hAnsi="宋体" w:eastAsia="宋体" w:cs="宋体"/>
          <w:b/>
          <w:color w:val="auto"/>
          <w:sz w:val="30"/>
          <w:szCs w:val="30"/>
          <w:highlight w:val="none"/>
        </w:rPr>
        <w:t>】</w:t>
      </w:r>
    </w:p>
    <w:p w14:paraId="64621B92">
      <w:pPr>
        <w:autoSpaceDE w:val="0"/>
        <w:autoSpaceDN w:val="0"/>
        <w:adjustRightInd w:val="0"/>
        <w:spacing w:line="360" w:lineRule="auto"/>
        <w:rPr>
          <w:rFonts w:hint="eastAsia" w:ascii="宋体" w:hAnsi="宋体" w:eastAsia="宋体" w:cs="宋体"/>
          <w:b/>
          <w:color w:val="auto"/>
          <w:sz w:val="32"/>
          <w:szCs w:val="32"/>
          <w:highlight w:val="none"/>
        </w:rPr>
      </w:pPr>
    </w:p>
    <w:p w14:paraId="63435783">
      <w:pPr>
        <w:pStyle w:val="23"/>
        <w:spacing w:line="360" w:lineRule="auto"/>
        <w:ind w:left="0" w:rightChars="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single"/>
        </w:rPr>
        <w:t xml:space="preserve">  中国财税博物馆  </w:t>
      </w:r>
    </w:p>
    <w:p w14:paraId="66E00102">
      <w:pPr>
        <w:pStyle w:val="23"/>
        <w:spacing w:line="360" w:lineRule="auto"/>
        <w:ind w:left="0" w:rightChars="0" w:firstLine="640" w:firstLineChars="200"/>
        <w:rPr>
          <w:rFonts w:hint="eastAsia" w:ascii="宋体" w:hAnsi="宋体" w:eastAsia="宋体" w:cs="宋体"/>
          <w:color w:val="auto"/>
          <w:sz w:val="32"/>
          <w:szCs w:val="32"/>
          <w:highlight w:val="none"/>
        </w:rPr>
      </w:pPr>
    </w:p>
    <w:p w14:paraId="30507060">
      <w:pPr>
        <w:pStyle w:val="23"/>
        <w:spacing w:line="360" w:lineRule="auto"/>
        <w:ind w:left="0" w:rightChars="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投标人名称：</w:t>
      </w:r>
      <w:r>
        <w:rPr>
          <w:rFonts w:hint="eastAsia" w:ascii="宋体" w:hAnsi="宋体" w:eastAsia="宋体" w:cs="宋体"/>
          <w:color w:val="auto"/>
          <w:sz w:val="32"/>
          <w:szCs w:val="32"/>
          <w:highlight w:val="none"/>
          <w:u w:val="single"/>
        </w:rPr>
        <w:t xml:space="preserve">                               </w:t>
      </w:r>
    </w:p>
    <w:p w14:paraId="69D00680">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投标人地址：</w:t>
      </w:r>
      <w:r>
        <w:rPr>
          <w:rFonts w:hint="eastAsia" w:ascii="宋体" w:hAnsi="宋体" w:eastAsia="宋体" w:cs="宋体"/>
          <w:color w:val="auto"/>
          <w:sz w:val="32"/>
          <w:szCs w:val="32"/>
          <w:highlight w:val="none"/>
          <w:u w:val="single"/>
        </w:rPr>
        <w:t xml:space="preserve">                              </w:t>
      </w:r>
    </w:p>
    <w:p w14:paraId="7E8E8D39">
      <w:pPr>
        <w:pStyle w:val="23"/>
        <w:spacing w:line="360" w:lineRule="auto"/>
        <w:ind w:left="0" w:rightChars="0" w:firstLine="640" w:firstLineChars="200"/>
        <w:rPr>
          <w:rFonts w:hint="eastAsia" w:ascii="宋体" w:hAnsi="宋体" w:eastAsia="宋体" w:cs="宋体"/>
          <w:color w:val="auto"/>
          <w:sz w:val="32"/>
          <w:szCs w:val="32"/>
          <w:highlight w:val="none"/>
        </w:rPr>
      </w:pPr>
    </w:p>
    <w:p w14:paraId="4D07346A">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2022-2023年保安及物业管理服务采购项目</w:t>
      </w:r>
    </w:p>
    <w:p w14:paraId="5A16FAD7">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采购编号：</w:t>
      </w:r>
      <w:r>
        <w:rPr>
          <w:rFonts w:hint="eastAsia" w:ascii="宋体" w:hAnsi="宋体" w:eastAsia="宋体" w:cs="宋体"/>
          <w:color w:val="auto"/>
          <w:sz w:val="32"/>
          <w:szCs w:val="32"/>
          <w:highlight w:val="none"/>
          <w:u w:val="single"/>
        </w:rPr>
        <w:t xml:space="preserve">  ZJ-</w:t>
      </w:r>
      <w:r>
        <w:rPr>
          <w:rFonts w:hint="eastAsia" w:ascii="宋体" w:hAnsi="宋体" w:eastAsia="宋体" w:cs="宋体"/>
          <w:color w:val="auto"/>
          <w:sz w:val="32"/>
          <w:szCs w:val="32"/>
          <w:highlight w:val="none"/>
          <w:u w:val="single"/>
          <w:lang w:eastAsia="zh-CN"/>
        </w:rPr>
        <w:t>2412844</w:t>
      </w:r>
      <w:r>
        <w:rPr>
          <w:rFonts w:hint="eastAsia" w:ascii="宋体" w:hAnsi="宋体" w:eastAsia="宋体" w:cs="宋体"/>
          <w:color w:val="auto"/>
          <w:sz w:val="32"/>
          <w:szCs w:val="32"/>
          <w:highlight w:val="none"/>
          <w:u w:val="single"/>
        </w:rPr>
        <w:t xml:space="preserve">                      </w:t>
      </w:r>
    </w:p>
    <w:p w14:paraId="1E905D14">
      <w:pPr>
        <w:autoSpaceDE w:val="0"/>
        <w:autoSpaceDN w:val="0"/>
        <w:adjustRightInd w:val="0"/>
        <w:spacing w:line="360" w:lineRule="auto"/>
        <w:rPr>
          <w:rFonts w:hint="eastAsia" w:ascii="宋体" w:hAnsi="宋体" w:eastAsia="宋体" w:cs="宋体"/>
          <w:b/>
          <w:color w:val="auto"/>
          <w:sz w:val="32"/>
          <w:szCs w:val="32"/>
          <w:highlight w:val="none"/>
        </w:rPr>
      </w:pPr>
    </w:p>
    <w:p w14:paraId="21F9403F">
      <w:pPr>
        <w:autoSpaceDE w:val="0"/>
        <w:autoSpaceDN w:val="0"/>
        <w:adjustRightInd w:val="0"/>
        <w:spacing w:line="360" w:lineRule="auto"/>
        <w:rPr>
          <w:rFonts w:hint="eastAsia" w:ascii="宋体" w:hAnsi="宋体" w:eastAsia="宋体" w:cs="宋体"/>
          <w:b/>
          <w:color w:val="auto"/>
          <w:sz w:val="32"/>
          <w:szCs w:val="32"/>
          <w:highlight w:val="none"/>
        </w:rPr>
      </w:pPr>
    </w:p>
    <w:p w14:paraId="5FC509BC">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在</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时</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分之前不得启封</w:t>
      </w:r>
    </w:p>
    <w:p w14:paraId="5E28B8B4">
      <w:pPr>
        <w:spacing w:line="360" w:lineRule="atLeas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color w:val="auto"/>
          <w:szCs w:val="21"/>
          <w:highlight w:val="none"/>
        </w:rPr>
        <w:t>2. 报价文件外层包装（密封袋）封面</w:t>
      </w:r>
    </w:p>
    <w:p w14:paraId="6D939982">
      <w:pPr>
        <w:autoSpaceDE w:val="0"/>
        <w:autoSpaceDN w:val="0"/>
        <w:adjustRightInd w:val="0"/>
        <w:spacing w:line="360" w:lineRule="auto"/>
        <w:jc w:val="center"/>
        <w:rPr>
          <w:rFonts w:hint="eastAsia" w:ascii="宋体" w:hAnsi="宋体" w:eastAsia="宋体" w:cs="宋体"/>
          <w:b/>
          <w:color w:val="auto"/>
          <w:sz w:val="32"/>
          <w:szCs w:val="32"/>
          <w:highlight w:val="none"/>
        </w:rPr>
      </w:pPr>
      <w:bookmarkStart w:id="81" w:name="_Toc297472068"/>
    </w:p>
    <w:p w14:paraId="312C5123">
      <w:pPr>
        <w:spacing w:line="360" w:lineRule="auto"/>
        <w:jc w:val="center"/>
        <w:rPr>
          <w:rFonts w:hint="eastAsia" w:ascii="宋体" w:hAnsi="宋体" w:eastAsia="宋体" w:cs="宋体"/>
          <w:color w:val="auto"/>
          <w:spacing w:val="40"/>
          <w:w w:val="90"/>
          <w:sz w:val="96"/>
          <w:szCs w:val="96"/>
          <w:highlight w:val="none"/>
          <w:lang w:bidi="th-TH"/>
        </w:rPr>
      </w:pPr>
      <w:r>
        <w:rPr>
          <w:rFonts w:hint="eastAsia" w:ascii="宋体" w:hAnsi="宋体" w:eastAsia="宋体" w:cs="宋体"/>
          <w:color w:val="auto"/>
          <w:spacing w:val="40"/>
          <w:w w:val="90"/>
          <w:sz w:val="96"/>
          <w:szCs w:val="96"/>
          <w:highlight w:val="none"/>
          <w:lang w:bidi="th-TH"/>
        </w:rPr>
        <w:t>投 标 文 件</w:t>
      </w:r>
    </w:p>
    <w:p w14:paraId="294228B5">
      <w:pPr>
        <w:autoSpaceDE w:val="0"/>
        <w:autoSpaceDN w:val="0"/>
        <w:adjustRightIn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（报价文件）</w:t>
      </w:r>
    </w:p>
    <w:p w14:paraId="277FE531">
      <w:pPr>
        <w:spacing w:line="360" w:lineRule="auto"/>
        <w:jc w:val="center"/>
        <w:rPr>
          <w:rFonts w:hint="eastAsia" w:ascii="宋体" w:hAnsi="宋体" w:eastAsia="宋体" w:cs="宋体"/>
          <w:b/>
          <w:color w:val="auto"/>
          <w:sz w:val="30"/>
          <w:szCs w:val="30"/>
          <w:highlight w:val="none"/>
        </w:rPr>
      </w:pPr>
      <w:bookmarkStart w:id="82" w:name="_Toc297472069"/>
      <w:r>
        <w:rPr>
          <w:rFonts w:hint="eastAsia" w:ascii="宋体" w:hAnsi="宋体" w:eastAsia="宋体" w:cs="宋体"/>
          <w:b/>
          <w:color w:val="auto"/>
          <w:sz w:val="30"/>
          <w:szCs w:val="30"/>
          <w:highlight w:val="none"/>
        </w:rPr>
        <w:t>【第二阶段唱标时启封</w:t>
      </w:r>
      <w:bookmarkEnd w:id="82"/>
      <w:r>
        <w:rPr>
          <w:rFonts w:hint="eastAsia" w:ascii="宋体" w:hAnsi="宋体" w:eastAsia="宋体" w:cs="宋体"/>
          <w:b/>
          <w:color w:val="auto"/>
          <w:sz w:val="30"/>
          <w:szCs w:val="30"/>
          <w:highlight w:val="none"/>
        </w:rPr>
        <w:t>】</w:t>
      </w:r>
    </w:p>
    <w:p w14:paraId="218B921A">
      <w:pPr>
        <w:autoSpaceDE w:val="0"/>
        <w:autoSpaceDN w:val="0"/>
        <w:adjustRightInd w:val="0"/>
        <w:spacing w:line="360" w:lineRule="auto"/>
        <w:rPr>
          <w:rFonts w:hint="eastAsia" w:ascii="宋体" w:hAnsi="宋体" w:eastAsia="宋体" w:cs="宋体"/>
          <w:b/>
          <w:color w:val="auto"/>
          <w:sz w:val="32"/>
          <w:szCs w:val="32"/>
          <w:highlight w:val="none"/>
        </w:rPr>
      </w:pPr>
    </w:p>
    <w:p w14:paraId="7C5A8267">
      <w:pPr>
        <w:autoSpaceDE w:val="0"/>
        <w:autoSpaceDN w:val="0"/>
        <w:adjustRightInd w:val="0"/>
        <w:spacing w:line="360" w:lineRule="auto"/>
        <w:rPr>
          <w:rFonts w:hint="eastAsia" w:ascii="宋体" w:hAnsi="宋体" w:eastAsia="宋体" w:cs="宋体"/>
          <w:b/>
          <w:color w:val="auto"/>
          <w:sz w:val="32"/>
          <w:szCs w:val="32"/>
          <w:highlight w:val="none"/>
        </w:rPr>
      </w:pPr>
    </w:p>
    <w:p w14:paraId="0A03CAFE">
      <w:pPr>
        <w:autoSpaceDE w:val="0"/>
        <w:autoSpaceDN w:val="0"/>
        <w:adjustRightInd w:val="0"/>
        <w:spacing w:line="360" w:lineRule="auto"/>
        <w:rPr>
          <w:rFonts w:hint="eastAsia" w:ascii="宋体" w:hAnsi="宋体" w:eastAsia="宋体" w:cs="宋体"/>
          <w:b/>
          <w:color w:val="auto"/>
          <w:sz w:val="32"/>
          <w:szCs w:val="32"/>
          <w:highlight w:val="none"/>
        </w:rPr>
      </w:pPr>
    </w:p>
    <w:p w14:paraId="266ADC15">
      <w:pPr>
        <w:pStyle w:val="23"/>
        <w:spacing w:line="360" w:lineRule="auto"/>
        <w:ind w:left="0" w:rightChars="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single"/>
        </w:rPr>
        <w:t xml:space="preserve">  中国财税博物馆  </w:t>
      </w:r>
    </w:p>
    <w:p w14:paraId="3CB7A0C7">
      <w:pPr>
        <w:pStyle w:val="23"/>
        <w:spacing w:line="360" w:lineRule="auto"/>
        <w:ind w:left="0" w:rightChars="0" w:firstLine="640" w:firstLineChars="200"/>
        <w:rPr>
          <w:rFonts w:hint="eastAsia" w:ascii="宋体" w:hAnsi="宋体" w:eastAsia="宋体" w:cs="宋体"/>
          <w:color w:val="auto"/>
          <w:sz w:val="32"/>
          <w:szCs w:val="32"/>
          <w:highlight w:val="none"/>
        </w:rPr>
      </w:pPr>
    </w:p>
    <w:p w14:paraId="7A81B580">
      <w:pPr>
        <w:pStyle w:val="23"/>
        <w:spacing w:line="360" w:lineRule="auto"/>
        <w:ind w:left="0" w:rightChars="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投标人名称：</w:t>
      </w:r>
      <w:r>
        <w:rPr>
          <w:rFonts w:hint="eastAsia" w:ascii="宋体" w:hAnsi="宋体" w:eastAsia="宋体" w:cs="宋体"/>
          <w:color w:val="auto"/>
          <w:sz w:val="32"/>
          <w:szCs w:val="32"/>
          <w:highlight w:val="none"/>
          <w:u w:val="single"/>
        </w:rPr>
        <w:t xml:space="preserve">                               </w:t>
      </w:r>
    </w:p>
    <w:p w14:paraId="43668BA9">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投标人地址：</w:t>
      </w:r>
      <w:r>
        <w:rPr>
          <w:rFonts w:hint="eastAsia" w:ascii="宋体" w:hAnsi="宋体" w:eastAsia="宋体" w:cs="宋体"/>
          <w:color w:val="auto"/>
          <w:sz w:val="32"/>
          <w:szCs w:val="32"/>
          <w:highlight w:val="none"/>
          <w:u w:val="single"/>
        </w:rPr>
        <w:t xml:space="preserve">                              </w:t>
      </w:r>
    </w:p>
    <w:p w14:paraId="7366DF6F">
      <w:pPr>
        <w:pStyle w:val="23"/>
        <w:spacing w:line="360" w:lineRule="auto"/>
        <w:ind w:left="0" w:rightChars="0" w:firstLine="640" w:firstLineChars="200"/>
        <w:rPr>
          <w:rFonts w:hint="eastAsia" w:ascii="宋体" w:hAnsi="宋体" w:eastAsia="宋体" w:cs="宋体"/>
          <w:color w:val="auto"/>
          <w:sz w:val="32"/>
          <w:szCs w:val="32"/>
          <w:highlight w:val="none"/>
        </w:rPr>
      </w:pPr>
    </w:p>
    <w:p w14:paraId="583E2CB9">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2022-2023年保安及物业管理服务采购项目</w:t>
      </w:r>
    </w:p>
    <w:p w14:paraId="113FDE25">
      <w:pPr>
        <w:pStyle w:val="23"/>
        <w:spacing w:line="360" w:lineRule="auto"/>
        <w:ind w:lef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采购编号：</w:t>
      </w:r>
      <w:r>
        <w:rPr>
          <w:rFonts w:hint="eastAsia" w:ascii="宋体" w:hAnsi="宋体" w:eastAsia="宋体" w:cs="宋体"/>
          <w:color w:val="auto"/>
          <w:sz w:val="32"/>
          <w:szCs w:val="32"/>
          <w:highlight w:val="none"/>
          <w:u w:val="single"/>
        </w:rPr>
        <w:t xml:space="preserve">  ZJ-</w:t>
      </w:r>
      <w:r>
        <w:rPr>
          <w:rFonts w:hint="eastAsia" w:ascii="宋体" w:hAnsi="宋体" w:eastAsia="宋体" w:cs="宋体"/>
          <w:color w:val="auto"/>
          <w:sz w:val="32"/>
          <w:szCs w:val="32"/>
          <w:highlight w:val="none"/>
          <w:u w:val="single"/>
          <w:lang w:eastAsia="zh-CN"/>
        </w:rPr>
        <w:t>2412844</w:t>
      </w:r>
      <w:r>
        <w:rPr>
          <w:rFonts w:hint="eastAsia" w:ascii="宋体" w:hAnsi="宋体" w:eastAsia="宋体" w:cs="宋体"/>
          <w:color w:val="auto"/>
          <w:sz w:val="32"/>
          <w:szCs w:val="32"/>
          <w:highlight w:val="none"/>
          <w:u w:val="single"/>
        </w:rPr>
        <w:t xml:space="preserve">                      </w:t>
      </w:r>
    </w:p>
    <w:p w14:paraId="41762807">
      <w:pPr>
        <w:autoSpaceDE w:val="0"/>
        <w:autoSpaceDN w:val="0"/>
        <w:adjustRightInd w:val="0"/>
        <w:spacing w:line="360" w:lineRule="auto"/>
        <w:rPr>
          <w:rFonts w:hint="eastAsia" w:ascii="宋体" w:hAnsi="宋体" w:eastAsia="宋体" w:cs="宋体"/>
          <w:b/>
          <w:color w:val="auto"/>
          <w:sz w:val="32"/>
          <w:szCs w:val="32"/>
          <w:highlight w:val="none"/>
        </w:rPr>
      </w:pPr>
    </w:p>
    <w:p w14:paraId="39895C8A">
      <w:pPr>
        <w:autoSpaceDE w:val="0"/>
        <w:autoSpaceDN w:val="0"/>
        <w:adjustRightInd w:val="0"/>
        <w:spacing w:line="360" w:lineRule="auto"/>
        <w:rPr>
          <w:rFonts w:hint="eastAsia" w:ascii="宋体" w:hAnsi="宋体" w:eastAsia="宋体" w:cs="宋体"/>
          <w:b/>
          <w:color w:val="auto"/>
          <w:sz w:val="32"/>
          <w:szCs w:val="32"/>
          <w:highlight w:val="none"/>
        </w:rPr>
      </w:pPr>
    </w:p>
    <w:p w14:paraId="4D33338C">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在</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r>
        <w:rPr>
          <w:rFonts w:hint="eastAsia" w:ascii="宋体" w:hAnsi="宋体" w:eastAsia="宋体" w:cs="宋体"/>
          <w:b/>
          <w:color w:val="auto"/>
          <w:sz w:val="30"/>
          <w:szCs w:val="30"/>
          <w:highlight w:val="none"/>
          <w:u w:val="single"/>
        </w:rPr>
        <w:t>第二阶段</w:t>
      </w:r>
      <w:r>
        <w:rPr>
          <w:rFonts w:hint="eastAsia" w:ascii="宋体" w:hAnsi="宋体" w:eastAsia="宋体" w:cs="宋体"/>
          <w:b/>
          <w:color w:val="auto"/>
          <w:sz w:val="30"/>
          <w:szCs w:val="30"/>
          <w:highlight w:val="none"/>
        </w:rPr>
        <w:t>之前不得启封</w:t>
      </w:r>
      <w:bookmarkEnd w:id="81"/>
    </w:p>
    <w:p w14:paraId="46E79A66">
      <w:pPr>
        <w:autoSpaceDE w:val="0"/>
        <w:autoSpaceDN w:val="0"/>
        <w:adjustRightInd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E5581CF">
      <w:pPr>
        <w:autoSpaceDE w:val="0"/>
        <w:autoSpaceDN w:val="0"/>
        <w:adjustRightInd w:val="0"/>
        <w:snapToGrid w:val="0"/>
        <w:spacing w:line="360" w:lineRule="auto"/>
        <w:outlineLvl w:val="1"/>
        <w:rPr>
          <w:rFonts w:hint="eastAsia" w:ascii="宋体" w:hAnsi="宋体" w:eastAsia="宋体" w:cs="宋体"/>
          <w:bCs/>
          <w:snapToGrid w:val="0"/>
          <w:color w:val="auto"/>
          <w:kern w:val="0"/>
          <w:szCs w:val="21"/>
          <w:highlight w:val="none"/>
        </w:rPr>
      </w:pPr>
      <w:bookmarkStart w:id="83" w:name="_Toc454277136"/>
      <w:r>
        <w:rPr>
          <w:rFonts w:hint="eastAsia" w:ascii="宋体" w:hAnsi="宋体" w:eastAsia="宋体" w:cs="宋体"/>
          <w:bCs/>
          <w:snapToGrid w:val="0"/>
          <w:color w:val="auto"/>
          <w:kern w:val="0"/>
          <w:szCs w:val="21"/>
          <w:highlight w:val="none"/>
        </w:rPr>
        <w:t>二、投标文件封面（格式供参考）</w:t>
      </w:r>
      <w:bookmarkEnd w:id="83"/>
    </w:p>
    <w:p w14:paraId="101A69B7">
      <w:pPr>
        <w:autoSpaceDE w:val="0"/>
        <w:autoSpaceDN w:val="0"/>
        <w:adjustRightInd w:val="0"/>
        <w:rPr>
          <w:rFonts w:hint="eastAsia" w:ascii="宋体" w:hAnsi="宋体" w:eastAsia="宋体" w:cs="宋体"/>
          <w:bCs/>
          <w:color w:val="auto"/>
          <w:highlight w:val="none"/>
        </w:rPr>
      </w:pPr>
    </w:p>
    <w:p w14:paraId="27D09FFF">
      <w:pPr>
        <w:autoSpaceDE w:val="0"/>
        <w:autoSpaceDN w:val="0"/>
        <w:adjustRightInd w:val="0"/>
        <w:rPr>
          <w:rFonts w:hint="eastAsia" w:ascii="宋体" w:hAnsi="宋体" w:eastAsia="宋体" w:cs="宋体"/>
          <w:bCs/>
          <w:color w:val="auto"/>
          <w:highlight w:val="none"/>
        </w:rPr>
      </w:pPr>
      <w:r>
        <w:rPr>
          <w:rFonts w:hint="eastAsia" w:ascii="宋体" w:hAnsi="宋体" w:eastAsia="宋体" w:cs="宋体"/>
          <w:bCs/>
          <w:color w:val="auto"/>
          <w:highlight w:val="none"/>
        </w:rPr>
        <w:t>1.资格响应文件/商务和技术响应文件封面格式</w:t>
      </w:r>
    </w:p>
    <w:p w14:paraId="032F814B">
      <w:pPr>
        <w:autoSpaceDE w:val="0"/>
        <w:autoSpaceDN w:val="0"/>
        <w:adjustRightInd w:val="0"/>
        <w:rPr>
          <w:rFonts w:hint="eastAsia" w:ascii="宋体" w:hAnsi="宋体" w:eastAsia="宋体" w:cs="宋体"/>
          <w:b/>
          <w:bCs/>
          <w:color w:val="auto"/>
          <w:highlight w:val="none"/>
        </w:rPr>
      </w:pPr>
    </w:p>
    <w:p w14:paraId="2851F9AE">
      <w:pPr>
        <w:autoSpaceDE w:val="0"/>
        <w:autoSpaceDN w:val="0"/>
        <w:adjustRightInd w:val="0"/>
        <w:spacing w:line="360" w:lineRule="auto"/>
        <w:jc w:val="right"/>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28"/>
          <w:szCs w:val="28"/>
          <w:highlight w:val="none"/>
        </w:rPr>
        <w:t>正本/副本</w:t>
      </w:r>
    </w:p>
    <w:p w14:paraId="0B3D4314">
      <w:pPr>
        <w:autoSpaceDE w:val="0"/>
        <w:autoSpaceDN w:val="0"/>
        <w:adjustRightInd w:val="0"/>
        <w:spacing w:line="360" w:lineRule="auto"/>
        <w:jc w:val="center"/>
        <w:rPr>
          <w:rFonts w:hint="eastAsia" w:ascii="宋体" w:hAnsi="宋体" w:eastAsia="宋体" w:cs="宋体"/>
          <w:b/>
          <w:color w:val="auto"/>
          <w:sz w:val="32"/>
          <w:szCs w:val="32"/>
          <w:highlight w:val="none"/>
        </w:rPr>
      </w:pPr>
    </w:p>
    <w:p w14:paraId="556C95BF">
      <w:pPr>
        <w:autoSpaceDE w:val="0"/>
        <w:autoSpaceDN w:val="0"/>
        <w:adjustRightIn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2"/>
          <w:szCs w:val="32"/>
          <w:highlight w:val="none"/>
          <w:lang w:eastAsia="zh-CN"/>
        </w:rPr>
        <w:t>中国财税博物馆2024-2027年保安及物业管理服务采购项目</w:t>
      </w:r>
    </w:p>
    <w:p w14:paraId="3EC6D6C0">
      <w:pPr>
        <w:autoSpaceDE w:val="0"/>
        <w:autoSpaceDN w:val="0"/>
        <w:adjustRightInd w:val="0"/>
        <w:spacing w:line="360" w:lineRule="auto"/>
        <w:jc w:val="center"/>
        <w:rPr>
          <w:rFonts w:hint="eastAsia" w:ascii="宋体" w:hAnsi="宋体" w:eastAsia="宋体" w:cs="宋体"/>
          <w:color w:val="auto"/>
          <w:sz w:val="32"/>
          <w:szCs w:val="32"/>
          <w:highlight w:val="none"/>
          <w:u w:val="single"/>
        </w:rPr>
      </w:pPr>
    </w:p>
    <w:p w14:paraId="7EDAD05D">
      <w:pPr>
        <w:autoSpaceDE w:val="0"/>
        <w:autoSpaceDN w:val="0"/>
        <w:adjustRightInd w:val="0"/>
        <w:spacing w:line="360" w:lineRule="auto"/>
        <w:jc w:val="center"/>
        <w:rPr>
          <w:rFonts w:hint="eastAsia" w:ascii="宋体" w:hAnsi="宋体" w:eastAsia="宋体" w:cs="宋体"/>
          <w:b/>
          <w:color w:val="auto"/>
          <w:sz w:val="32"/>
          <w:szCs w:val="32"/>
          <w:highlight w:val="none"/>
        </w:rPr>
      </w:pPr>
    </w:p>
    <w:p w14:paraId="10FFE0C0">
      <w:pPr>
        <w:spacing w:line="360" w:lineRule="auto"/>
        <w:jc w:val="center"/>
        <w:rPr>
          <w:rFonts w:hint="eastAsia" w:ascii="宋体" w:hAnsi="宋体" w:eastAsia="宋体" w:cs="宋体"/>
          <w:color w:val="auto"/>
          <w:spacing w:val="40"/>
          <w:w w:val="90"/>
          <w:sz w:val="96"/>
          <w:szCs w:val="96"/>
          <w:highlight w:val="none"/>
          <w:lang w:bidi="th-TH"/>
        </w:rPr>
      </w:pPr>
      <w:r>
        <w:rPr>
          <w:rFonts w:hint="eastAsia" w:ascii="宋体" w:hAnsi="宋体" w:eastAsia="宋体" w:cs="宋体"/>
          <w:color w:val="auto"/>
          <w:spacing w:val="40"/>
          <w:w w:val="90"/>
          <w:sz w:val="96"/>
          <w:szCs w:val="96"/>
          <w:highlight w:val="none"/>
          <w:lang w:bidi="th-TH"/>
        </w:rPr>
        <w:t>投 标 文 件</w:t>
      </w:r>
    </w:p>
    <w:p w14:paraId="1824E08F">
      <w:pPr>
        <w:autoSpaceDE w:val="0"/>
        <w:autoSpaceDN w:val="0"/>
        <w:adjustRightIn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（资格响应文件/商务和技术响应文件）</w:t>
      </w:r>
    </w:p>
    <w:p w14:paraId="0CF7F3D8">
      <w:pPr>
        <w:autoSpaceDE w:val="0"/>
        <w:autoSpaceDN w:val="0"/>
        <w:adjustRightInd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采购编号：ZJ-</w:t>
      </w:r>
      <w:r>
        <w:rPr>
          <w:rFonts w:hint="eastAsia" w:ascii="宋体" w:hAnsi="宋体" w:eastAsia="宋体" w:cs="宋体"/>
          <w:b/>
          <w:color w:val="auto"/>
          <w:sz w:val="32"/>
          <w:szCs w:val="32"/>
          <w:highlight w:val="none"/>
          <w:lang w:eastAsia="zh-CN"/>
        </w:rPr>
        <w:t>2412844</w:t>
      </w:r>
    </w:p>
    <w:p w14:paraId="4F961F04">
      <w:pPr>
        <w:autoSpaceDE w:val="0"/>
        <w:autoSpaceDN w:val="0"/>
        <w:adjustRightInd w:val="0"/>
        <w:spacing w:line="360" w:lineRule="auto"/>
        <w:rPr>
          <w:rFonts w:hint="eastAsia" w:ascii="宋体" w:hAnsi="宋体" w:eastAsia="宋体" w:cs="宋体"/>
          <w:b/>
          <w:color w:val="auto"/>
          <w:sz w:val="32"/>
          <w:szCs w:val="32"/>
          <w:highlight w:val="none"/>
        </w:rPr>
      </w:pPr>
    </w:p>
    <w:p w14:paraId="0D841D14">
      <w:pPr>
        <w:autoSpaceDE w:val="0"/>
        <w:autoSpaceDN w:val="0"/>
        <w:adjustRightInd w:val="0"/>
        <w:spacing w:line="360" w:lineRule="auto"/>
        <w:rPr>
          <w:rFonts w:hint="eastAsia" w:ascii="宋体" w:hAnsi="宋体" w:eastAsia="宋体" w:cs="宋体"/>
          <w:b/>
          <w:color w:val="auto"/>
          <w:sz w:val="32"/>
          <w:szCs w:val="32"/>
          <w:highlight w:val="none"/>
        </w:rPr>
      </w:pPr>
    </w:p>
    <w:p w14:paraId="0B2248CF">
      <w:pPr>
        <w:autoSpaceDE w:val="0"/>
        <w:autoSpaceDN w:val="0"/>
        <w:adjustRightInd w:val="0"/>
        <w:spacing w:line="360" w:lineRule="auto"/>
        <w:rPr>
          <w:rFonts w:hint="eastAsia" w:ascii="宋体" w:hAnsi="宋体" w:eastAsia="宋体" w:cs="宋体"/>
          <w:b/>
          <w:color w:val="auto"/>
          <w:sz w:val="32"/>
          <w:szCs w:val="32"/>
          <w:highlight w:val="none"/>
        </w:rPr>
      </w:pPr>
    </w:p>
    <w:p w14:paraId="760F109D">
      <w:pPr>
        <w:autoSpaceDE w:val="0"/>
        <w:autoSpaceDN w:val="0"/>
        <w:adjustRightInd w:val="0"/>
        <w:spacing w:line="360" w:lineRule="auto"/>
        <w:rPr>
          <w:rFonts w:hint="eastAsia" w:ascii="宋体" w:hAnsi="宋体" w:eastAsia="宋体" w:cs="宋体"/>
          <w:b/>
          <w:color w:val="auto"/>
          <w:sz w:val="32"/>
          <w:szCs w:val="32"/>
          <w:highlight w:val="none"/>
        </w:rPr>
      </w:pPr>
    </w:p>
    <w:p w14:paraId="051A025E">
      <w:pPr>
        <w:autoSpaceDE w:val="0"/>
        <w:autoSpaceDN w:val="0"/>
        <w:adjustRightIn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投标人名称（盖章）：</w:t>
      </w:r>
    </w:p>
    <w:p w14:paraId="58772160">
      <w:pPr>
        <w:autoSpaceDE w:val="0"/>
        <w:autoSpaceDN w:val="0"/>
        <w:adjustRightInd w:val="0"/>
        <w:spacing w:line="360" w:lineRule="auto"/>
        <w:rPr>
          <w:rFonts w:hint="eastAsia" w:ascii="宋体" w:hAnsi="宋体" w:eastAsia="宋体" w:cs="宋体"/>
          <w:b/>
          <w:color w:val="auto"/>
          <w:sz w:val="32"/>
          <w:szCs w:val="32"/>
          <w:highlight w:val="none"/>
        </w:rPr>
      </w:pPr>
    </w:p>
    <w:p w14:paraId="32DF714E">
      <w:pPr>
        <w:autoSpaceDE w:val="0"/>
        <w:autoSpaceDN w:val="0"/>
        <w:adjustRightIn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法定代表人或授权代表(签字或盖章)： </w:t>
      </w:r>
    </w:p>
    <w:p w14:paraId="16F8F479">
      <w:pPr>
        <w:autoSpaceDE w:val="0"/>
        <w:autoSpaceDN w:val="0"/>
        <w:adjustRightInd w:val="0"/>
        <w:spacing w:line="360" w:lineRule="auto"/>
        <w:rPr>
          <w:rFonts w:hint="eastAsia" w:ascii="宋体" w:hAnsi="宋体" w:eastAsia="宋体" w:cs="宋体"/>
          <w:b/>
          <w:color w:val="auto"/>
          <w:sz w:val="32"/>
          <w:szCs w:val="32"/>
          <w:highlight w:val="none"/>
        </w:rPr>
      </w:pPr>
    </w:p>
    <w:p w14:paraId="76ACDEE8">
      <w:pPr>
        <w:autoSpaceDE w:val="0"/>
        <w:autoSpaceDN w:val="0"/>
        <w:adjustRightIn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时间：    年   月   日</w:t>
      </w:r>
    </w:p>
    <w:p w14:paraId="3483A531">
      <w:pPr>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br w:type="page"/>
      </w:r>
    </w:p>
    <w:p w14:paraId="23B81CAF">
      <w:pPr>
        <w:numPr>
          <w:ilvl w:val="0"/>
          <w:numId w:val="13"/>
        </w:numPr>
        <w:autoSpaceDE w:val="0"/>
        <w:autoSpaceDN w:val="0"/>
        <w:adjustRightInd w:val="0"/>
        <w:spacing w:line="360" w:lineRule="auto"/>
        <w:jc w:val="left"/>
        <w:rPr>
          <w:rFonts w:hint="eastAsia" w:ascii="宋体" w:hAnsi="宋体" w:eastAsia="宋体" w:cs="宋体"/>
          <w:bCs/>
          <w:color w:val="auto"/>
          <w:highlight w:val="none"/>
        </w:rPr>
      </w:pPr>
      <w:bookmarkStart w:id="84" w:name="_Toc31523"/>
      <w:bookmarkStart w:id="85" w:name="_Toc15653"/>
      <w:bookmarkStart w:id="86" w:name="_Toc22694"/>
      <w:r>
        <w:rPr>
          <w:rFonts w:hint="eastAsia" w:ascii="宋体" w:hAnsi="宋体" w:eastAsia="宋体" w:cs="宋体"/>
          <w:bCs/>
          <w:color w:val="auto"/>
          <w:highlight w:val="none"/>
        </w:rPr>
        <w:t>报价文件封面格式</w:t>
      </w:r>
    </w:p>
    <w:p w14:paraId="18B8A220">
      <w:pPr>
        <w:pStyle w:val="53"/>
        <w:ind w:firstLine="0" w:firstLineChars="0"/>
        <w:rPr>
          <w:rFonts w:hint="eastAsia" w:ascii="宋体" w:hAnsi="宋体" w:eastAsia="宋体" w:cs="宋体"/>
          <w:color w:val="auto"/>
          <w:highlight w:val="none"/>
        </w:rPr>
      </w:pPr>
    </w:p>
    <w:p w14:paraId="1A253681">
      <w:pPr>
        <w:autoSpaceDE w:val="0"/>
        <w:autoSpaceDN w:val="0"/>
        <w:adjustRightInd w:val="0"/>
        <w:spacing w:line="360" w:lineRule="auto"/>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28"/>
          <w:szCs w:val="28"/>
          <w:highlight w:val="none"/>
        </w:rPr>
        <w:t>正本/副本</w:t>
      </w:r>
    </w:p>
    <w:p w14:paraId="5B23CC10">
      <w:pPr>
        <w:autoSpaceDE w:val="0"/>
        <w:autoSpaceDN w:val="0"/>
        <w:adjustRightInd w:val="0"/>
        <w:spacing w:line="360" w:lineRule="auto"/>
        <w:jc w:val="center"/>
        <w:rPr>
          <w:rFonts w:hint="eastAsia" w:ascii="宋体" w:hAnsi="宋体" w:eastAsia="宋体" w:cs="宋体"/>
          <w:b/>
          <w:color w:val="auto"/>
          <w:sz w:val="32"/>
          <w:szCs w:val="32"/>
          <w:highlight w:val="none"/>
        </w:rPr>
      </w:pPr>
    </w:p>
    <w:p w14:paraId="46B58E93">
      <w:pPr>
        <w:autoSpaceDE w:val="0"/>
        <w:autoSpaceDN w:val="0"/>
        <w:adjustRightIn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2"/>
          <w:szCs w:val="32"/>
          <w:highlight w:val="none"/>
          <w:lang w:eastAsia="zh-CN"/>
        </w:rPr>
        <w:t>中国财税博物馆2024-2027年保安及物业管理服务采购项目</w:t>
      </w:r>
    </w:p>
    <w:p w14:paraId="471E856C">
      <w:pPr>
        <w:autoSpaceDE w:val="0"/>
        <w:autoSpaceDN w:val="0"/>
        <w:adjustRightInd w:val="0"/>
        <w:spacing w:line="360" w:lineRule="auto"/>
        <w:jc w:val="center"/>
        <w:rPr>
          <w:rFonts w:hint="eastAsia" w:ascii="宋体" w:hAnsi="宋体" w:eastAsia="宋体" w:cs="宋体"/>
          <w:color w:val="auto"/>
          <w:sz w:val="32"/>
          <w:szCs w:val="32"/>
          <w:highlight w:val="none"/>
          <w:u w:val="single"/>
        </w:rPr>
      </w:pPr>
    </w:p>
    <w:p w14:paraId="05C89F52">
      <w:pPr>
        <w:autoSpaceDE w:val="0"/>
        <w:autoSpaceDN w:val="0"/>
        <w:adjustRightInd w:val="0"/>
        <w:spacing w:line="360" w:lineRule="auto"/>
        <w:jc w:val="center"/>
        <w:rPr>
          <w:rFonts w:hint="eastAsia" w:ascii="宋体" w:hAnsi="宋体" w:eastAsia="宋体" w:cs="宋体"/>
          <w:b/>
          <w:color w:val="auto"/>
          <w:sz w:val="32"/>
          <w:szCs w:val="32"/>
          <w:highlight w:val="none"/>
        </w:rPr>
      </w:pPr>
    </w:p>
    <w:p w14:paraId="205BC5F5">
      <w:pPr>
        <w:spacing w:line="360" w:lineRule="auto"/>
        <w:jc w:val="center"/>
        <w:rPr>
          <w:rFonts w:hint="eastAsia" w:ascii="宋体" w:hAnsi="宋体" w:eastAsia="宋体" w:cs="宋体"/>
          <w:color w:val="auto"/>
          <w:spacing w:val="40"/>
          <w:w w:val="90"/>
          <w:sz w:val="96"/>
          <w:szCs w:val="96"/>
          <w:highlight w:val="none"/>
          <w:lang w:bidi="th-TH"/>
        </w:rPr>
      </w:pPr>
      <w:r>
        <w:rPr>
          <w:rFonts w:hint="eastAsia" w:ascii="宋体" w:hAnsi="宋体" w:eastAsia="宋体" w:cs="宋体"/>
          <w:color w:val="auto"/>
          <w:spacing w:val="40"/>
          <w:w w:val="90"/>
          <w:sz w:val="96"/>
          <w:szCs w:val="96"/>
          <w:highlight w:val="none"/>
          <w:lang w:bidi="th-TH"/>
        </w:rPr>
        <w:t>投 标 文 件</w:t>
      </w:r>
    </w:p>
    <w:p w14:paraId="1B8CB56E">
      <w:pPr>
        <w:autoSpaceDE w:val="0"/>
        <w:autoSpaceDN w:val="0"/>
        <w:adjustRightIn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（报价响应文件）</w:t>
      </w:r>
    </w:p>
    <w:p w14:paraId="34940908">
      <w:pPr>
        <w:autoSpaceDE w:val="0"/>
        <w:autoSpaceDN w:val="0"/>
        <w:adjustRightInd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采购编号：ZJ-</w:t>
      </w:r>
      <w:r>
        <w:rPr>
          <w:rFonts w:hint="eastAsia" w:ascii="宋体" w:hAnsi="宋体" w:eastAsia="宋体" w:cs="宋体"/>
          <w:b/>
          <w:color w:val="auto"/>
          <w:sz w:val="32"/>
          <w:szCs w:val="32"/>
          <w:highlight w:val="none"/>
          <w:lang w:eastAsia="zh-CN"/>
        </w:rPr>
        <w:t>2412844</w:t>
      </w:r>
    </w:p>
    <w:p w14:paraId="044DF241">
      <w:pPr>
        <w:autoSpaceDE w:val="0"/>
        <w:autoSpaceDN w:val="0"/>
        <w:adjustRightInd w:val="0"/>
        <w:spacing w:line="360" w:lineRule="auto"/>
        <w:rPr>
          <w:rFonts w:hint="eastAsia" w:ascii="宋体" w:hAnsi="宋体" w:eastAsia="宋体" w:cs="宋体"/>
          <w:b/>
          <w:color w:val="auto"/>
          <w:sz w:val="32"/>
          <w:szCs w:val="32"/>
          <w:highlight w:val="none"/>
        </w:rPr>
      </w:pPr>
    </w:p>
    <w:p w14:paraId="01AC5CBA">
      <w:pPr>
        <w:autoSpaceDE w:val="0"/>
        <w:autoSpaceDN w:val="0"/>
        <w:adjustRightInd w:val="0"/>
        <w:spacing w:line="360" w:lineRule="auto"/>
        <w:rPr>
          <w:rFonts w:hint="eastAsia" w:ascii="宋体" w:hAnsi="宋体" w:eastAsia="宋体" w:cs="宋体"/>
          <w:b/>
          <w:color w:val="auto"/>
          <w:sz w:val="32"/>
          <w:szCs w:val="32"/>
          <w:highlight w:val="none"/>
        </w:rPr>
      </w:pPr>
    </w:p>
    <w:p w14:paraId="18AD2A35">
      <w:pPr>
        <w:autoSpaceDE w:val="0"/>
        <w:autoSpaceDN w:val="0"/>
        <w:adjustRightInd w:val="0"/>
        <w:spacing w:line="360" w:lineRule="auto"/>
        <w:rPr>
          <w:rFonts w:hint="eastAsia" w:ascii="宋体" w:hAnsi="宋体" w:eastAsia="宋体" w:cs="宋体"/>
          <w:b/>
          <w:color w:val="auto"/>
          <w:sz w:val="32"/>
          <w:szCs w:val="32"/>
          <w:highlight w:val="none"/>
        </w:rPr>
      </w:pPr>
    </w:p>
    <w:p w14:paraId="4A67B3F6">
      <w:pPr>
        <w:autoSpaceDE w:val="0"/>
        <w:autoSpaceDN w:val="0"/>
        <w:adjustRightInd w:val="0"/>
        <w:spacing w:line="360" w:lineRule="auto"/>
        <w:rPr>
          <w:rFonts w:hint="eastAsia" w:ascii="宋体" w:hAnsi="宋体" w:eastAsia="宋体" w:cs="宋体"/>
          <w:b/>
          <w:color w:val="auto"/>
          <w:sz w:val="32"/>
          <w:szCs w:val="32"/>
          <w:highlight w:val="none"/>
        </w:rPr>
      </w:pPr>
    </w:p>
    <w:p w14:paraId="30AE696E">
      <w:pPr>
        <w:autoSpaceDE w:val="0"/>
        <w:autoSpaceDN w:val="0"/>
        <w:adjustRightIn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投标人名称（盖章）：</w:t>
      </w:r>
    </w:p>
    <w:p w14:paraId="4C75FBDF">
      <w:pPr>
        <w:autoSpaceDE w:val="0"/>
        <w:autoSpaceDN w:val="0"/>
        <w:adjustRightInd w:val="0"/>
        <w:spacing w:line="360" w:lineRule="auto"/>
        <w:rPr>
          <w:rFonts w:hint="eastAsia" w:ascii="宋体" w:hAnsi="宋体" w:eastAsia="宋体" w:cs="宋体"/>
          <w:b/>
          <w:color w:val="auto"/>
          <w:sz w:val="32"/>
          <w:szCs w:val="32"/>
          <w:highlight w:val="none"/>
        </w:rPr>
      </w:pPr>
    </w:p>
    <w:p w14:paraId="069CE849">
      <w:pPr>
        <w:autoSpaceDE w:val="0"/>
        <w:autoSpaceDN w:val="0"/>
        <w:adjustRightIn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法定代表人或授权代表(签字或盖章)： </w:t>
      </w:r>
    </w:p>
    <w:p w14:paraId="35A19D35">
      <w:pPr>
        <w:autoSpaceDE w:val="0"/>
        <w:autoSpaceDN w:val="0"/>
        <w:adjustRightInd w:val="0"/>
        <w:spacing w:line="360" w:lineRule="auto"/>
        <w:rPr>
          <w:rFonts w:hint="eastAsia" w:ascii="宋体" w:hAnsi="宋体" w:eastAsia="宋体" w:cs="宋体"/>
          <w:b/>
          <w:color w:val="auto"/>
          <w:sz w:val="32"/>
          <w:szCs w:val="32"/>
          <w:highlight w:val="none"/>
        </w:rPr>
      </w:pPr>
    </w:p>
    <w:p w14:paraId="676BAB1F">
      <w:pPr>
        <w:autoSpaceDE w:val="0"/>
        <w:autoSpaceDN w:val="0"/>
        <w:adjustRightIn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时间：    年   月   日</w:t>
      </w:r>
    </w:p>
    <w:p w14:paraId="4C1F70F9">
      <w:pPr>
        <w:autoSpaceDE w:val="0"/>
        <w:autoSpaceDN w:val="0"/>
        <w:adjustRightInd w:val="0"/>
        <w:spacing w:line="360" w:lineRule="auto"/>
        <w:rPr>
          <w:rFonts w:hint="eastAsia" w:ascii="宋体" w:hAnsi="宋体" w:eastAsia="宋体" w:cs="宋体"/>
          <w:color w:val="auto"/>
          <w:highlight w:val="none"/>
        </w:rPr>
      </w:pPr>
    </w:p>
    <w:p w14:paraId="4A4146AA">
      <w:pPr>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br w:type="page"/>
      </w:r>
    </w:p>
    <w:p w14:paraId="410FD2DE">
      <w:pPr>
        <w:rPr>
          <w:rFonts w:hint="eastAsia" w:ascii="宋体" w:hAnsi="宋体" w:eastAsia="宋体" w:cs="宋体"/>
          <w:b/>
          <w:bCs/>
          <w:color w:val="auto"/>
          <w:sz w:val="24"/>
          <w:highlight w:val="none"/>
        </w:rPr>
      </w:pPr>
    </w:p>
    <w:p w14:paraId="30C4457A">
      <w:pPr>
        <w:autoSpaceDE w:val="0"/>
        <w:autoSpaceDN w:val="0"/>
        <w:adjustRightInd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w:t>
      </w:r>
      <w:bookmarkEnd w:id="84"/>
      <w:bookmarkEnd w:id="85"/>
      <w:r>
        <w:rPr>
          <w:rFonts w:hint="eastAsia" w:ascii="宋体" w:hAnsi="宋体" w:eastAsia="宋体" w:cs="宋体"/>
          <w:b/>
          <w:bCs/>
          <w:color w:val="auto"/>
          <w:sz w:val="24"/>
          <w:highlight w:val="none"/>
        </w:rPr>
        <w:t>资格响应文件</w:t>
      </w:r>
      <w:bookmarkEnd w:id="86"/>
    </w:p>
    <w:p w14:paraId="0BE33199">
      <w:pPr>
        <w:autoSpaceDE w:val="0"/>
        <w:autoSpaceDN w:val="0"/>
        <w:adjustRightInd w:val="0"/>
        <w:snapToGrid w:val="0"/>
        <w:spacing w:line="360" w:lineRule="auto"/>
        <w:ind w:right="420"/>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1.资格审查需要的资料</w:t>
      </w:r>
    </w:p>
    <w:tbl>
      <w:tblPr>
        <w:tblStyle w:val="45"/>
        <w:tblW w:w="87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91"/>
        <w:gridCol w:w="4082"/>
        <w:gridCol w:w="1474"/>
      </w:tblGrid>
      <w:tr w14:paraId="741F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09E507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91" w:type="dxa"/>
            <w:vAlign w:val="center"/>
          </w:tcPr>
          <w:p w14:paraId="28940F13">
            <w:pPr>
              <w:ind w:left="344" w:leftChars="114" w:hanging="105" w:hanging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4082" w:type="dxa"/>
            <w:vAlign w:val="center"/>
          </w:tcPr>
          <w:p w14:paraId="114B23A5">
            <w:pPr>
              <w:ind w:lef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相关证明文件</w:t>
            </w:r>
          </w:p>
        </w:tc>
        <w:tc>
          <w:tcPr>
            <w:tcW w:w="1474" w:type="dxa"/>
            <w:vAlign w:val="center"/>
          </w:tcPr>
          <w:p w14:paraId="496CB201">
            <w:pPr>
              <w:ind w:lef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申请人达到程度</w:t>
            </w:r>
          </w:p>
        </w:tc>
      </w:tr>
      <w:tr w14:paraId="64E6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48" w:type="dxa"/>
            <w:vAlign w:val="center"/>
          </w:tcPr>
          <w:p w14:paraId="609E24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91" w:type="dxa"/>
            <w:vAlign w:val="center"/>
          </w:tcPr>
          <w:p w14:paraId="51073F57">
            <w:pPr>
              <w:widowControl/>
              <w:adjustRightInd w:val="0"/>
              <w:snapToGrid w:val="0"/>
              <w:jc w:val="left"/>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公开招标公告第二条要求</w:t>
            </w:r>
          </w:p>
        </w:tc>
        <w:tc>
          <w:tcPr>
            <w:tcW w:w="4082" w:type="dxa"/>
            <w:vAlign w:val="center"/>
          </w:tcPr>
          <w:p w14:paraId="76294133">
            <w:pPr>
              <w:tabs>
                <w:tab w:val="left" w:pos="720"/>
              </w:tabs>
              <w:adjustRightInd w:val="0"/>
              <w:snapToGrid w:val="0"/>
              <w:jc w:val="left"/>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招标文件前附表14条规定的资格响应文件相关资料</w:t>
            </w:r>
          </w:p>
        </w:tc>
        <w:tc>
          <w:tcPr>
            <w:tcW w:w="1474" w:type="dxa"/>
            <w:vAlign w:val="center"/>
          </w:tcPr>
          <w:p w14:paraId="539BDB3F">
            <w:pPr>
              <w:adjustRightInd w:val="0"/>
              <w:snapToGrid w:val="0"/>
              <w:jc w:val="left"/>
              <w:rPr>
                <w:rFonts w:hint="eastAsia" w:ascii="宋体" w:hAnsi="宋体" w:eastAsia="宋体" w:cs="宋体"/>
                <w:color w:val="auto"/>
                <w:szCs w:val="21"/>
                <w:highlight w:val="none"/>
              </w:rPr>
            </w:pPr>
          </w:p>
        </w:tc>
      </w:tr>
    </w:tbl>
    <w:p w14:paraId="2D61A6A2">
      <w:pPr>
        <w:tabs>
          <w:tab w:val="left" w:pos="735"/>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snapToGrid w:val="0"/>
          <w:color w:val="auto"/>
          <w:kern w:val="0"/>
          <w:szCs w:val="21"/>
          <w:highlight w:val="none"/>
        </w:rPr>
        <w:t>注：证明材料附后。</w:t>
      </w:r>
    </w:p>
    <w:p w14:paraId="7CFDBB52">
      <w:pPr>
        <w:autoSpaceDE w:val="0"/>
        <w:autoSpaceDN w:val="0"/>
        <w:snapToGrid w:val="0"/>
        <w:spacing w:line="40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84B64EF">
      <w:pPr>
        <w:pStyle w:val="42"/>
        <w:tabs>
          <w:tab w:val="left" w:pos="630"/>
          <w:tab w:val="left" w:pos="840"/>
          <w:tab w:val="left" w:pos="1050"/>
        </w:tabs>
        <w:adjustRightInd w:val="0"/>
        <w:snapToGrid w:val="0"/>
        <w:spacing w:before="0" w:beforeAutospacing="0" w:after="0" w:afterAutospacing="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2.基本资格条件相关证明材料</w:t>
      </w:r>
    </w:p>
    <w:p w14:paraId="1B92D4DA">
      <w:pPr>
        <w:autoSpaceDE w:val="0"/>
        <w:autoSpaceDN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a．具有独立承担民事责任能力的证明材料；</w:t>
      </w:r>
    </w:p>
    <w:p w14:paraId="73E0A448">
      <w:pPr>
        <w:autoSpaceDE w:val="0"/>
        <w:autoSpaceDN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投标人须在响应文件中出具符合以下情况的证明材料复印件（五选一）：</w:t>
      </w:r>
    </w:p>
    <w:p w14:paraId="7C987B3A">
      <w:pPr>
        <w:numPr>
          <w:ilvl w:val="0"/>
          <w:numId w:val="14"/>
        </w:numPr>
        <w:autoSpaceDE w:val="0"/>
        <w:autoSpaceDN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如投标人是企业（包括合伙企业），提供在工商部门注册的有效“企业法人营业执照”或“营业执照”；</w:t>
      </w:r>
    </w:p>
    <w:p w14:paraId="27B5D821">
      <w:pPr>
        <w:numPr>
          <w:ilvl w:val="0"/>
          <w:numId w:val="14"/>
        </w:numPr>
        <w:autoSpaceDE w:val="0"/>
        <w:autoSpaceDN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如投标人是事业单位，提供有效的“事业单位法人证书”；</w:t>
      </w:r>
    </w:p>
    <w:p w14:paraId="622C8084">
      <w:pPr>
        <w:numPr>
          <w:ilvl w:val="0"/>
          <w:numId w:val="14"/>
        </w:numPr>
        <w:autoSpaceDE w:val="0"/>
        <w:autoSpaceDN w:val="0"/>
        <w:snapToGri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如投标人是非企业专业服务机构的，提供执业许可证等证明文件；</w:t>
      </w:r>
    </w:p>
    <w:p w14:paraId="7EF18D8A">
      <w:pPr>
        <w:numPr>
          <w:ilvl w:val="0"/>
          <w:numId w:val="14"/>
        </w:numPr>
        <w:autoSpaceDE w:val="0"/>
        <w:autoSpaceDN w:val="0"/>
        <w:snapToGrid w:val="0"/>
        <w:spacing w:line="360" w:lineRule="auto"/>
        <w:textAlignment w:val="bottom"/>
        <w:rPr>
          <w:rFonts w:hint="eastAsia" w:ascii="宋体" w:hAnsi="宋体" w:eastAsia="宋体" w:cs="宋体"/>
          <w:color w:val="auto"/>
          <w:kern w:val="0"/>
          <w:highlight w:val="none"/>
        </w:rPr>
      </w:pPr>
      <w:r>
        <w:rPr>
          <w:rFonts w:hint="eastAsia" w:ascii="宋体" w:hAnsi="宋体" w:eastAsia="宋体" w:cs="宋体"/>
          <w:color w:val="auto"/>
          <w:highlight w:val="none"/>
        </w:rPr>
        <w:t>如投标人是个体工商户，提供有效的“个体工商户营业执照”；</w:t>
      </w:r>
    </w:p>
    <w:p w14:paraId="4A3F9187">
      <w:pPr>
        <w:numPr>
          <w:ilvl w:val="0"/>
          <w:numId w:val="14"/>
        </w:numPr>
        <w:autoSpaceDE w:val="0"/>
        <w:autoSpaceDN w:val="0"/>
        <w:snapToGrid w:val="0"/>
        <w:spacing w:line="360" w:lineRule="auto"/>
        <w:textAlignment w:val="bottom"/>
        <w:rPr>
          <w:rFonts w:hint="eastAsia" w:ascii="宋体" w:hAnsi="宋体" w:eastAsia="宋体" w:cs="宋体"/>
          <w:color w:val="auto"/>
          <w:kern w:val="0"/>
          <w:highlight w:val="none"/>
        </w:rPr>
      </w:pPr>
      <w:r>
        <w:rPr>
          <w:rFonts w:hint="eastAsia" w:ascii="宋体" w:hAnsi="宋体" w:eastAsia="宋体" w:cs="宋体"/>
          <w:color w:val="auto"/>
          <w:highlight w:val="none"/>
        </w:rPr>
        <w:t>如投标人是自然人，提供有效的自然人身份证明（居民身份证正反面或公安机关出具的临时居民身份证正反面或港澳台胞证或护照）。</w:t>
      </w:r>
    </w:p>
    <w:p w14:paraId="7189F26D">
      <w:pPr>
        <w:widowControl/>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r>
        <w:rPr>
          <w:rFonts w:hint="eastAsia" w:ascii="宋体" w:hAnsi="宋体" w:eastAsia="宋体" w:cs="宋体"/>
          <w:b/>
          <w:bCs/>
          <w:color w:val="auto"/>
          <w:szCs w:val="21"/>
          <w:highlight w:val="none"/>
        </w:rPr>
        <w:br w:type="page"/>
      </w:r>
    </w:p>
    <w:p w14:paraId="0C7A9A84">
      <w:pPr>
        <w:pStyle w:val="42"/>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b.符合参与政府采购活动资格条件的承诺函：</w:t>
      </w:r>
    </w:p>
    <w:p w14:paraId="795D996B">
      <w:pPr>
        <w:pStyle w:val="42"/>
        <w:adjustRightInd w:val="0"/>
        <w:snapToGrid w:val="0"/>
        <w:spacing w:before="0" w:beforeAutospacing="0" w:after="0" w:afterAutospacing="0" w:line="360" w:lineRule="auto"/>
        <w:ind w:left="420" w:leftChars="200"/>
        <w:rPr>
          <w:rFonts w:hint="eastAsia" w:ascii="宋体" w:hAnsi="宋体" w:eastAsia="宋体" w:cs="宋体"/>
          <w:b/>
          <w:bCs/>
          <w:color w:val="auto"/>
          <w:sz w:val="21"/>
          <w:szCs w:val="21"/>
          <w:highlight w:val="none"/>
        </w:rPr>
      </w:pPr>
    </w:p>
    <w:p w14:paraId="7924DB00">
      <w:pPr>
        <w:pStyle w:val="42"/>
        <w:tabs>
          <w:tab w:val="left" w:pos="630"/>
          <w:tab w:val="left" w:pos="840"/>
          <w:tab w:val="left" w:pos="1050"/>
        </w:tabs>
        <w:adjustRightInd w:val="0"/>
        <w:snapToGrid w:val="0"/>
        <w:spacing w:before="0" w:beforeAutospacing="0" w:after="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承诺函</w:t>
      </w:r>
    </w:p>
    <w:p w14:paraId="11DD22F8">
      <w:pPr>
        <w:spacing w:line="480" w:lineRule="auto"/>
        <w:rPr>
          <w:rFonts w:hint="eastAsia" w:ascii="宋体" w:hAnsi="宋体" w:eastAsia="宋体" w:cs="宋体"/>
          <w:color w:val="auto"/>
          <w:szCs w:val="21"/>
          <w:highlight w:val="none"/>
          <w:u w:val="single"/>
        </w:rPr>
      </w:pPr>
    </w:p>
    <w:p w14:paraId="067C78F2">
      <w:pPr>
        <w:snapToGrid w:val="0"/>
        <w:spacing w:line="360" w:lineRule="auto"/>
        <w:rPr>
          <w:rFonts w:hint="eastAsia" w:ascii="宋体" w:hAnsi="宋体" w:eastAsia="宋体" w:cs="宋体"/>
          <w:color w:val="auto"/>
          <w:szCs w:val="21"/>
          <w:highlight w:val="none"/>
        </w:rPr>
      </w:pPr>
      <w:bookmarkStart w:id="87" w:name="_Toc8909"/>
      <w:bookmarkStart w:id="88" w:name="_Toc3961"/>
      <w:r>
        <w:rPr>
          <w:rFonts w:hint="eastAsia" w:ascii="宋体" w:hAnsi="宋体" w:cs="宋体"/>
          <w:color w:val="auto"/>
          <w:szCs w:val="21"/>
          <w:highlight w:val="none"/>
          <w:u w:val="single"/>
          <w:lang w:eastAsia="zh-CN"/>
        </w:rPr>
        <w:t>中国财税博物馆</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浙江国际招投标有限公司</w:t>
      </w:r>
      <w:r>
        <w:rPr>
          <w:rFonts w:hint="eastAsia" w:ascii="宋体" w:hAnsi="宋体" w:eastAsia="宋体" w:cs="宋体"/>
          <w:color w:val="auto"/>
          <w:szCs w:val="21"/>
          <w:highlight w:val="none"/>
        </w:rPr>
        <w:t>：</w:t>
      </w:r>
    </w:p>
    <w:p w14:paraId="42F3CDA3">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我方参与中国财税博物馆2024-2027年保安及物业管理服务采购项目【招标编号：ZJ-2412844】政府采购活动，郑重承诺：</w:t>
      </w:r>
    </w:p>
    <w:p w14:paraId="06215E88">
      <w:pPr>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（一）具备《中华人民共和国政府采购法》第二十二条第一款规定的条件：</w:t>
      </w:r>
    </w:p>
    <w:p w14:paraId="62B5E8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164FE09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2、具有良好的商业信誉和健全的财务会计制度； </w:t>
      </w:r>
    </w:p>
    <w:p w14:paraId="4FD536E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58129C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373BCCA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5DDB49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6、具有法律、行政法规规定的其他条件。</w:t>
      </w:r>
    </w:p>
    <w:p w14:paraId="0F66012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（二）未被信用中国（www.creditchina.gov.cn)、中国政府采购网（www.ccgp.gov.cn）列入失信被执行人、重大税收违法案件当事人名单、政府采购严重违法失信行为记录名单。</w:t>
      </w:r>
    </w:p>
    <w:p w14:paraId="2883995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（三）不存在以下情况：</w:t>
      </w:r>
    </w:p>
    <w:p w14:paraId="3CC4F0A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1、单位负责人为同一人或者存在直接控股、管理关系的不同供应商参加同一合同项下的政府采购活动的；</w:t>
      </w:r>
    </w:p>
    <w:p w14:paraId="19B09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2、为采购项目提供整体设计、规范编制或者项目管理、监理、检测等服务后再参加该采购项目的其他采购活动的。</w:t>
      </w:r>
    </w:p>
    <w:p w14:paraId="464D7270">
      <w:pPr>
        <w:widowControl/>
        <w:jc w:val="left"/>
        <w:rPr>
          <w:rFonts w:hint="eastAsia" w:ascii="宋体" w:hAnsi="宋体" w:eastAsia="宋体" w:cs="宋体"/>
          <w:color w:val="auto"/>
          <w:sz w:val="24"/>
          <w:highlight w:val="none"/>
        </w:rPr>
      </w:pPr>
    </w:p>
    <w:p w14:paraId="373602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77EA2BC5">
      <w:pPr>
        <w:snapToGrid w:val="0"/>
        <w:spacing w:line="360" w:lineRule="auto"/>
        <w:ind w:firstLine="420" w:firstLineChars="200"/>
        <w:rPr>
          <w:rFonts w:hint="eastAsia" w:ascii="宋体" w:hAnsi="宋体" w:eastAsia="宋体" w:cs="宋体"/>
          <w:color w:val="auto"/>
          <w:szCs w:val="21"/>
          <w:highlight w:val="none"/>
        </w:rPr>
      </w:pPr>
    </w:p>
    <w:p w14:paraId="7DFA004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法定代表人或授权代表(签字或盖章)： </w:t>
      </w:r>
    </w:p>
    <w:p w14:paraId="3187BD22">
      <w:pPr>
        <w:snapToGrid w:val="0"/>
        <w:spacing w:line="360" w:lineRule="auto"/>
        <w:ind w:firstLine="420" w:firstLineChars="200"/>
        <w:rPr>
          <w:rFonts w:hint="eastAsia" w:ascii="宋体" w:hAnsi="宋体" w:eastAsia="宋体" w:cs="宋体"/>
          <w:color w:val="auto"/>
          <w:szCs w:val="21"/>
          <w:highlight w:val="none"/>
        </w:rPr>
      </w:pPr>
    </w:p>
    <w:p w14:paraId="660893B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    年   月   日</w:t>
      </w:r>
    </w:p>
    <w:p w14:paraId="1A585A47">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FBB516B">
      <w:pPr>
        <w:adjustRightInd w:val="0"/>
        <w:snapToGrid w:val="0"/>
        <w:spacing w:line="360" w:lineRule="auto"/>
        <w:ind w:left="20"/>
        <w:jc w:val="left"/>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3.落实政府采购政策需满足的资格要求所对应的证明材料：要求合同分包，提供分包意向协议和中小企业声明函。本项目预留不少于30%合同金额给小微企业。如果供应商本身提供所有标的均由小微企业制造、承建或承接，视同符合了资格条件，无需再进行分包，无需提供分包意向协议；</w:t>
      </w:r>
    </w:p>
    <w:p w14:paraId="32A155A0">
      <w:pPr>
        <w:rPr>
          <w:rFonts w:hint="eastAsia" w:ascii="宋体" w:hAnsi="宋体" w:eastAsia="宋体" w:cs="宋体"/>
          <w:color w:val="auto"/>
          <w:highlight w:val="none"/>
        </w:rPr>
      </w:pPr>
    </w:p>
    <w:p w14:paraId="5AE82F1D">
      <w:pPr>
        <w:spacing w:before="120" w:beforeLines="50" w:after="120" w:afterLines="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分包意向协议</w:t>
      </w:r>
    </w:p>
    <w:p w14:paraId="55E61F2B">
      <w:pPr>
        <w:widowControl/>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Cs w:val="21"/>
          <w:highlight w:val="none"/>
        </w:rPr>
        <w:t>）</w:t>
      </w:r>
    </w:p>
    <w:p w14:paraId="6B7E79B9">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lang w:val="zh-CN"/>
        </w:rPr>
        <w:t>若成为</w:t>
      </w:r>
      <w:r>
        <w:rPr>
          <w:rFonts w:hint="eastAsia" w:ascii="宋体" w:hAnsi="宋体" w:eastAsia="宋体" w:cs="宋体"/>
          <w:color w:val="auto"/>
          <w:szCs w:val="21"/>
          <w:highlight w:val="none"/>
        </w:rPr>
        <w:t>（项目名称）【招标编号：（采购编号）】</w:t>
      </w:r>
      <w:r>
        <w:rPr>
          <w:rFonts w:hint="eastAsia" w:ascii="宋体" w:hAnsi="宋体" w:eastAsia="宋体" w:cs="宋体"/>
          <w:color w:val="auto"/>
          <w:kern w:val="0"/>
          <w:szCs w:val="21"/>
          <w:highlight w:val="none"/>
          <w:lang w:val="zh-CN"/>
        </w:rPr>
        <w:t>的中标人，将依法采取分包方式履行合同。</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u w:val="single"/>
        </w:rPr>
        <w:t>（所有分包供应商名称）</w:t>
      </w:r>
      <w:r>
        <w:rPr>
          <w:rFonts w:hint="eastAsia" w:ascii="宋体" w:hAnsi="宋体" w:eastAsia="宋体" w:cs="宋体"/>
          <w:color w:val="auto"/>
          <w:kern w:val="0"/>
          <w:szCs w:val="21"/>
          <w:highlight w:val="none"/>
        </w:rPr>
        <w:t>达成分包意向协议</w:t>
      </w:r>
      <w:r>
        <w:rPr>
          <w:rFonts w:hint="eastAsia" w:ascii="宋体" w:hAnsi="宋体" w:eastAsia="宋体" w:cs="宋体"/>
          <w:color w:val="auto"/>
          <w:kern w:val="0"/>
          <w:szCs w:val="21"/>
          <w:highlight w:val="none"/>
          <w:lang w:val="zh-CN"/>
        </w:rPr>
        <w:t xml:space="preserve">。 </w:t>
      </w:r>
    </w:p>
    <w:p w14:paraId="012C980D">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一、分包标的及数量</w:t>
      </w:r>
    </w:p>
    <w:p w14:paraId="1480A113">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lang w:val="zh-CN"/>
        </w:rPr>
        <w:t>将</w:t>
      </w:r>
      <w:r>
        <w:rPr>
          <w:rFonts w:hint="eastAsia" w:ascii="宋体" w:hAnsi="宋体" w:eastAsia="宋体" w:cs="宋体"/>
          <w:color w:val="auto"/>
          <w:szCs w:val="21"/>
          <w:highlight w:val="none"/>
          <w:u w:val="single"/>
        </w:rPr>
        <w:t xml:space="preserve">   XX工作内容   </w:t>
      </w:r>
      <w:r>
        <w:rPr>
          <w:rFonts w:hint="eastAsia" w:ascii="宋体" w:hAnsi="宋体" w:eastAsia="宋体" w:cs="宋体"/>
          <w:color w:val="auto"/>
          <w:szCs w:val="21"/>
          <w:highlight w:val="none"/>
        </w:rPr>
        <w:t>分包给</w:t>
      </w:r>
      <w:r>
        <w:rPr>
          <w:rFonts w:hint="eastAsia" w:ascii="宋体" w:hAnsi="宋体" w:eastAsia="宋体" w:cs="宋体"/>
          <w:color w:val="auto"/>
          <w:kern w:val="0"/>
          <w:szCs w:val="21"/>
          <w:highlight w:val="none"/>
          <w:u w:val="single"/>
        </w:rPr>
        <w:t>（某分包供应商名称）</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u w:val="single"/>
        </w:rPr>
        <w:t>（某分包供应商名称），</w:t>
      </w:r>
      <w:r>
        <w:rPr>
          <w:rFonts w:hint="eastAsia" w:ascii="宋体" w:hAnsi="宋体" w:eastAsia="宋体" w:cs="宋体"/>
          <w:color w:val="auto"/>
          <w:kern w:val="0"/>
          <w:szCs w:val="21"/>
          <w:highlight w:val="none"/>
          <w:lang w:val="zh-CN"/>
        </w:rPr>
        <w:t>具备承</w:t>
      </w:r>
      <w:r>
        <w:rPr>
          <w:rFonts w:hint="eastAsia" w:ascii="宋体" w:hAnsi="宋体" w:eastAsia="宋体" w:cs="宋体"/>
          <w:color w:val="auto"/>
          <w:kern w:val="0"/>
          <w:szCs w:val="21"/>
          <w:highlight w:val="none"/>
        </w:rPr>
        <w:t>担</w:t>
      </w:r>
      <w:r>
        <w:rPr>
          <w:rFonts w:hint="eastAsia" w:ascii="宋体" w:hAnsi="宋体" w:eastAsia="宋体" w:cs="宋体"/>
          <w:color w:val="auto"/>
          <w:kern w:val="0"/>
          <w:szCs w:val="21"/>
          <w:highlight w:val="none"/>
          <w:u w:val="single"/>
          <w:lang w:val="zh-CN"/>
        </w:rPr>
        <w:t>XX工作内容</w:t>
      </w:r>
      <w:r>
        <w:rPr>
          <w:rFonts w:hint="eastAsia" w:ascii="宋体" w:hAnsi="宋体" w:eastAsia="宋体" w:cs="宋体"/>
          <w:color w:val="auto"/>
          <w:kern w:val="0"/>
          <w:szCs w:val="21"/>
          <w:highlight w:val="none"/>
          <w:lang w:val="zh-CN"/>
        </w:rPr>
        <w:t>相应资质条件且不得再次分包；</w:t>
      </w:r>
    </w:p>
    <w:p w14:paraId="26E633F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10861E5">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二、分包工作履行期限、地点、方式</w:t>
      </w:r>
    </w:p>
    <w:p w14:paraId="310D309E">
      <w:pPr>
        <w:adjustRightInd w:val="0"/>
        <w:snapToGrid w:val="0"/>
        <w:spacing w:line="360" w:lineRule="auto"/>
        <w:ind w:firstLine="576"/>
        <w:rPr>
          <w:rFonts w:hint="eastAsia" w:ascii="宋体" w:hAnsi="宋体" w:eastAsia="宋体" w:cs="宋体"/>
          <w:color w:val="auto"/>
          <w:sz w:val="18"/>
          <w:szCs w:val="21"/>
          <w:highlight w:val="none"/>
          <w:u w:val="single"/>
        </w:rPr>
      </w:pPr>
      <w:r>
        <w:rPr>
          <w:rFonts w:hint="eastAsia" w:ascii="宋体" w:hAnsi="宋体" w:eastAsia="宋体" w:cs="宋体"/>
          <w:color w:val="auto"/>
          <w:sz w:val="18"/>
          <w:szCs w:val="21"/>
          <w:highlight w:val="none"/>
          <w:u w:val="single"/>
        </w:rPr>
        <w:t xml:space="preserve">                                                                                  </w:t>
      </w:r>
    </w:p>
    <w:p w14:paraId="1F6DE4DC">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三、质量</w:t>
      </w:r>
    </w:p>
    <w:p w14:paraId="62CCE148">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sz w:val="18"/>
          <w:szCs w:val="21"/>
          <w:highlight w:val="none"/>
          <w:u w:val="single"/>
        </w:rPr>
        <w:t xml:space="preserve">                                                                                       </w:t>
      </w:r>
    </w:p>
    <w:p w14:paraId="404F428B">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四、价款或者报酬</w:t>
      </w:r>
    </w:p>
    <w:p w14:paraId="3B737F3B">
      <w:pPr>
        <w:adjustRightInd w:val="0"/>
        <w:snapToGrid w:val="0"/>
        <w:spacing w:line="360" w:lineRule="auto"/>
        <w:ind w:left="573" w:leftChars="273"/>
        <w:rPr>
          <w:rFonts w:hint="eastAsia" w:ascii="宋体" w:hAnsi="宋体" w:eastAsia="宋体" w:cs="宋体"/>
          <w:color w:val="auto"/>
          <w:kern w:val="0"/>
          <w:szCs w:val="21"/>
          <w:highlight w:val="none"/>
          <w:lang w:val="zh-CN"/>
        </w:rPr>
      </w:pPr>
      <w:r>
        <w:rPr>
          <w:rFonts w:hint="eastAsia" w:ascii="宋体" w:hAnsi="宋体" w:eastAsia="宋体" w:cs="宋体"/>
          <w:color w:val="auto"/>
          <w:sz w:val="18"/>
          <w:szCs w:val="21"/>
          <w:highlight w:val="none"/>
          <w:u w:val="single"/>
        </w:rPr>
        <w:t xml:space="preserve">                                                                                     </w:t>
      </w:r>
    </w:p>
    <w:p w14:paraId="461DB62B">
      <w:pPr>
        <w:adjustRightInd w:val="0"/>
        <w:snapToGrid w:val="0"/>
        <w:spacing w:line="360" w:lineRule="auto"/>
        <w:ind w:left="573" w:leftChars="273"/>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五、违约责任</w:t>
      </w:r>
    </w:p>
    <w:p w14:paraId="354B7504">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sz w:val="18"/>
          <w:szCs w:val="21"/>
          <w:highlight w:val="none"/>
          <w:u w:val="single"/>
        </w:rPr>
        <w:t xml:space="preserve">                                                                                     </w:t>
      </w:r>
    </w:p>
    <w:p w14:paraId="0BC2BE7A">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六、争议解决的办法</w:t>
      </w:r>
    </w:p>
    <w:p w14:paraId="1B035F06">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sz w:val="18"/>
          <w:szCs w:val="21"/>
          <w:highlight w:val="none"/>
          <w:u w:val="single"/>
        </w:rPr>
        <w:t xml:space="preserve">                                                                                  </w:t>
      </w:r>
    </w:p>
    <w:p w14:paraId="6EBE0A88">
      <w:pPr>
        <w:adjustRightInd w:val="0"/>
        <w:snapToGrid w:val="0"/>
        <w:spacing w:line="360" w:lineRule="auto"/>
        <w:ind w:firstLine="57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七、其他</w:t>
      </w:r>
    </w:p>
    <w:p w14:paraId="501C4A1D">
      <w:pPr>
        <w:adjustRightInd w:val="0"/>
        <w:snapToGrid w:val="0"/>
        <w:spacing w:line="360" w:lineRule="auto"/>
        <w:ind w:left="5128" w:leftChars="342" w:hanging="4410" w:hangingChars="21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中小企业合同金额达到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%，小微企业合同金额达到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zh-CN"/>
        </w:rPr>
        <w:t xml:space="preserve"> 。</w:t>
      </w:r>
    </w:p>
    <w:p w14:paraId="171A206B">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6385A1B5">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6B82AC63">
      <w:pPr>
        <w:widowControl/>
        <w:ind w:firstLine="4200" w:firstLineChars="20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032F4128">
      <w:pPr>
        <w:rPr>
          <w:rFonts w:hint="eastAsia" w:ascii="宋体" w:hAnsi="宋体" w:eastAsia="宋体" w:cs="宋体"/>
          <w:color w:val="auto"/>
          <w:highlight w:val="none"/>
        </w:rPr>
      </w:pPr>
    </w:p>
    <w:p w14:paraId="3F13549D">
      <w:pPr>
        <w:rPr>
          <w:rFonts w:hint="eastAsia" w:ascii="宋体" w:hAnsi="宋体" w:eastAsia="宋体" w:cs="宋体"/>
          <w:color w:val="auto"/>
          <w:szCs w:val="21"/>
          <w:highlight w:val="none"/>
        </w:rPr>
      </w:pPr>
    </w:p>
    <w:p w14:paraId="5A240E6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4BF11C">
      <w:pPr>
        <w:rPr>
          <w:rFonts w:hint="eastAsia" w:ascii="宋体" w:hAnsi="宋体" w:eastAsia="宋体" w:cs="宋体"/>
          <w:color w:val="auto"/>
          <w:highlight w:val="none"/>
        </w:rPr>
      </w:pPr>
    </w:p>
    <w:p w14:paraId="7287A805">
      <w:pPr>
        <w:pStyle w:val="42"/>
        <w:tabs>
          <w:tab w:val="left" w:pos="630"/>
          <w:tab w:val="left" w:pos="840"/>
          <w:tab w:val="left" w:pos="1050"/>
        </w:tabs>
        <w:adjustRightInd w:val="0"/>
        <w:snapToGrid w:val="0"/>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四、商务和技术响应文件部分格式</w:t>
      </w:r>
      <w:bookmarkEnd w:id="87"/>
      <w:bookmarkEnd w:id="88"/>
    </w:p>
    <w:p w14:paraId="0881241E">
      <w:p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（顺序不做强制；未提供各式的，可自行提供）</w:t>
      </w:r>
    </w:p>
    <w:p w14:paraId="7E745F48">
      <w:p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4.1评分索引表；</w:t>
      </w:r>
    </w:p>
    <w:p w14:paraId="1BD1830F">
      <w:pPr>
        <w:pStyle w:val="26"/>
        <w:snapToGrid w:val="0"/>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评分索引表</w:t>
      </w:r>
    </w:p>
    <w:tbl>
      <w:tblPr>
        <w:tblStyle w:val="45"/>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5033"/>
        <w:gridCol w:w="1134"/>
        <w:gridCol w:w="1082"/>
        <w:gridCol w:w="1044"/>
      </w:tblGrid>
      <w:tr w14:paraId="0D32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47E31AD0">
            <w:pPr>
              <w:adjustRightInd w:val="0"/>
              <w:snapToGrid w:val="0"/>
              <w:jc w:val="center"/>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序号</w:t>
            </w:r>
          </w:p>
        </w:tc>
        <w:tc>
          <w:tcPr>
            <w:tcW w:w="5033" w:type="dxa"/>
            <w:vAlign w:val="center"/>
          </w:tcPr>
          <w:p w14:paraId="3C727B56">
            <w:pPr>
              <w:adjustRightInd w:val="0"/>
              <w:snapToGrid w:val="0"/>
              <w:jc w:val="center"/>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评分细则内容</w:t>
            </w:r>
          </w:p>
        </w:tc>
        <w:tc>
          <w:tcPr>
            <w:tcW w:w="1134" w:type="dxa"/>
            <w:vAlign w:val="center"/>
          </w:tcPr>
          <w:p w14:paraId="2FB208DB">
            <w:pPr>
              <w:adjustRightInd w:val="0"/>
              <w:snapToGrid w:val="0"/>
              <w:jc w:val="center"/>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投标响应情况</w:t>
            </w:r>
          </w:p>
        </w:tc>
        <w:tc>
          <w:tcPr>
            <w:tcW w:w="1082" w:type="dxa"/>
            <w:vAlign w:val="center"/>
          </w:tcPr>
          <w:p w14:paraId="722F4EB9">
            <w:pPr>
              <w:adjustRightInd w:val="0"/>
              <w:snapToGrid w:val="0"/>
              <w:jc w:val="center"/>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证明材料所在页码</w:t>
            </w:r>
          </w:p>
        </w:tc>
        <w:tc>
          <w:tcPr>
            <w:tcW w:w="1044" w:type="dxa"/>
            <w:vAlign w:val="center"/>
          </w:tcPr>
          <w:p w14:paraId="0631A5BA">
            <w:pPr>
              <w:adjustRightInd w:val="0"/>
              <w:snapToGrid w:val="0"/>
              <w:jc w:val="center"/>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备注</w:t>
            </w:r>
          </w:p>
        </w:tc>
      </w:tr>
      <w:tr w14:paraId="1EBA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6AE98E57">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3CAD73D2">
            <w:pPr>
              <w:adjustRightInd w:val="0"/>
              <w:snapToGrid w:val="0"/>
              <w:rPr>
                <w:rFonts w:hint="eastAsia" w:ascii="宋体" w:hAnsi="宋体" w:eastAsia="宋体" w:cs="宋体"/>
                <w:snapToGrid w:val="0"/>
                <w:color w:val="auto"/>
                <w:kern w:val="0"/>
                <w:szCs w:val="21"/>
                <w:highlight w:val="none"/>
              </w:rPr>
            </w:pPr>
          </w:p>
        </w:tc>
        <w:tc>
          <w:tcPr>
            <w:tcW w:w="1134" w:type="dxa"/>
            <w:vAlign w:val="center"/>
          </w:tcPr>
          <w:p w14:paraId="3E885DCC">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4ACC3E7A">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22A11CD7">
            <w:pPr>
              <w:adjustRightInd w:val="0"/>
              <w:snapToGrid w:val="0"/>
              <w:jc w:val="center"/>
              <w:rPr>
                <w:rFonts w:hint="eastAsia" w:ascii="宋体" w:hAnsi="宋体" w:eastAsia="宋体" w:cs="宋体"/>
                <w:b/>
                <w:snapToGrid w:val="0"/>
                <w:color w:val="auto"/>
                <w:kern w:val="0"/>
                <w:szCs w:val="21"/>
                <w:highlight w:val="none"/>
              </w:rPr>
            </w:pPr>
          </w:p>
        </w:tc>
      </w:tr>
      <w:tr w14:paraId="7DD63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0B6089F7">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41FD6BFB">
            <w:pPr>
              <w:adjustRightInd w:val="0"/>
              <w:snapToGrid w:val="0"/>
              <w:rPr>
                <w:rFonts w:hint="eastAsia" w:ascii="宋体" w:hAnsi="宋体" w:eastAsia="宋体" w:cs="宋体"/>
                <w:color w:val="auto"/>
                <w:szCs w:val="21"/>
                <w:highlight w:val="none"/>
              </w:rPr>
            </w:pPr>
          </w:p>
        </w:tc>
        <w:tc>
          <w:tcPr>
            <w:tcW w:w="1134" w:type="dxa"/>
            <w:vAlign w:val="center"/>
          </w:tcPr>
          <w:p w14:paraId="02899349">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13B23D5B">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42FE7F2F">
            <w:pPr>
              <w:adjustRightInd w:val="0"/>
              <w:snapToGrid w:val="0"/>
              <w:jc w:val="center"/>
              <w:rPr>
                <w:rFonts w:hint="eastAsia" w:ascii="宋体" w:hAnsi="宋体" w:eastAsia="宋体" w:cs="宋体"/>
                <w:b/>
                <w:snapToGrid w:val="0"/>
                <w:color w:val="auto"/>
                <w:kern w:val="0"/>
                <w:szCs w:val="21"/>
                <w:highlight w:val="none"/>
              </w:rPr>
            </w:pPr>
          </w:p>
        </w:tc>
      </w:tr>
      <w:tr w14:paraId="68BF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56523695">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2C43DC46">
            <w:pPr>
              <w:adjustRightInd w:val="0"/>
              <w:snapToGrid w:val="0"/>
              <w:rPr>
                <w:rFonts w:hint="eastAsia" w:ascii="宋体" w:hAnsi="宋体" w:eastAsia="宋体" w:cs="宋体"/>
                <w:color w:val="auto"/>
                <w:szCs w:val="21"/>
                <w:highlight w:val="none"/>
              </w:rPr>
            </w:pPr>
          </w:p>
        </w:tc>
        <w:tc>
          <w:tcPr>
            <w:tcW w:w="1134" w:type="dxa"/>
            <w:vAlign w:val="center"/>
          </w:tcPr>
          <w:p w14:paraId="6AB2CB37">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55B8F417">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4F7CCA05">
            <w:pPr>
              <w:adjustRightInd w:val="0"/>
              <w:snapToGrid w:val="0"/>
              <w:jc w:val="center"/>
              <w:rPr>
                <w:rFonts w:hint="eastAsia" w:ascii="宋体" w:hAnsi="宋体" w:eastAsia="宋体" w:cs="宋体"/>
                <w:b/>
                <w:snapToGrid w:val="0"/>
                <w:color w:val="auto"/>
                <w:kern w:val="0"/>
                <w:szCs w:val="21"/>
                <w:highlight w:val="none"/>
              </w:rPr>
            </w:pPr>
          </w:p>
        </w:tc>
      </w:tr>
      <w:tr w14:paraId="2B8B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4F9022FD">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360F5ED9">
            <w:pPr>
              <w:adjustRightInd w:val="0"/>
              <w:snapToGrid w:val="0"/>
              <w:rPr>
                <w:rFonts w:hint="eastAsia" w:ascii="宋体" w:hAnsi="宋体" w:eastAsia="宋体" w:cs="宋体"/>
                <w:color w:val="auto"/>
                <w:szCs w:val="21"/>
                <w:highlight w:val="none"/>
              </w:rPr>
            </w:pPr>
          </w:p>
        </w:tc>
        <w:tc>
          <w:tcPr>
            <w:tcW w:w="1134" w:type="dxa"/>
            <w:vAlign w:val="center"/>
          </w:tcPr>
          <w:p w14:paraId="6CF79D9E">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2413D020">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678B5920">
            <w:pPr>
              <w:adjustRightInd w:val="0"/>
              <w:snapToGrid w:val="0"/>
              <w:jc w:val="center"/>
              <w:rPr>
                <w:rFonts w:hint="eastAsia" w:ascii="宋体" w:hAnsi="宋体" w:eastAsia="宋体" w:cs="宋体"/>
                <w:b/>
                <w:snapToGrid w:val="0"/>
                <w:color w:val="auto"/>
                <w:kern w:val="0"/>
                <w:szCs w:val="21"/>
                <w:highlight w:val="none"/>
              </w:rPr>
            </w:pPr>
          </w:p>
        </w:tc>
      </w:tr>
      <w:tr w14:paraId="0108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59717455">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714D1C18">
            <w:pPr>
              <w:adjustRightInd w:val="0"/>
              <w:snapToGrid w:val="0"/>
              <w:rPr>
                <w:rFonts w:hint="eastAsia" w:ascii="宋体" w:hAnsi="宋体" w:eastAsia="宋体" w:cs="宋体"/>
                <w:color w:val="auto"/>
                <w:szCs w:val="21"/>
                <w:highlight w:val="none"/>
              </w:rPr>
            </w:pPr>
          </w:p>
        </w:tc>
        <w:tc>
          <w:tcPr>
            <w:tcW w:w="1134" w:type="dxa"/>
            <w:vAlign w:val="center"/>
          </w:tcPr>
          <w:p w14:paraId="4488748F">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7B0CDEEF">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4E512DB8">
            <w:pPr>
              <w:adjustRightInd w:val="0"/>
              <w:snapToGrid w:val="0"/>
              <w:jc w:val="center"/>
              <w:rPr>
                <w:rFonts w:hint="eastAsia" w:ascii="宋体" w:hAnsi="宋体" w:eastAsia="宋体" w:cs="宋体"/>
                <w:b/>
                <w:snapToGrid w:val="0"/>
                <w:color w:val="auto"/>
                <w:kern w:val="0"/>
                <w:szCs w:val="21"/>
                <w:highlight w:val="none"/>
              </w:rPr>
            </w:pPr>
          </w:p>
        </w:tc>
      </w:tr>
      <w:tr w14:paraId="0AF0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38D8CBDF">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24CA7F32">
            <w:pPr>
              <w:adjustRightInd w:val="0"/>
              <w:snapToGrid w:val="0"/>
              <w:rPr>
                <w:rFonts w:hint="eastAsia" w:ascii="宋体" w:hAnsi="宋体" w:eastAsia="宋体" w:cs="宋体"/>
                <w:color w:val="auto"/>
                <w:szCs w:val="21"/>
                <w:highlight w:val="none"/>
              </w:rPr>
            </w:pPr>
          </w:p>
        </w:tc>
        <w:tc>
          <w:tcPr>
            <w:tcW w:w="1134" w:type="dxa"/>
            <w:vAlign w:val="center"/>
          </w:tcPr>
          <w:p w14:paraId="6ED2887A">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08A0900A">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1EF42C74">
            <w:pPr>
              <w:adjustRightInd w:val="0"/>
              <w:snapToGrid w:val="0"/>
              <w:jc w:val="center"/>
              <w:rPr>
                <w:rFonts w:hint="eastAsia" w:ascii="宋体" w:hAnsi="宋体" w:eastAsia="宋体" w:cs="宋体"/>
                <w:b/>
                <w:snapToGrid w:val="0"/>
                <w:color w:val="auto"/>
                <w:kern w:val="0"/>
                <w:szCs w:val="21"/>
                <w:highlight w:val="none"/>
              </w:rPr>
            </w:pPr>
          </w:p>
        </w:tc>
      </w:tr>
      <w:tr w14:paraId="609DD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68FE8F6E">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24383FFD">
            <w:pPr>
              <w:adjustRightInd w:val="0"/>
              <w:snapToGrid w:val="0"/>
              <w:rPr>
                <w:rFonts w:hint="eastAsia" w:ascii="宋体" w:hAnsi="宋体" w:eastAsia="宋体" w:cs="宋体"/>
                <w:color w:val="auto"/>
                <w:szCs w:val="21"/>
                <w:highlight w:val="none"/>
              </w:rPr>
            </w:pPr>
          </w:p>
        </w:tc>
        <w:tc>
          <w:tcPr>
            <w:tcW w:w="1134" w:type="dxa"/>
            <w:vAlign w:val="center"/>
          </w:tcPr>
          <w:p w14:paraId="61330D19">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103F4106">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046A619D">
            <w:pPr>
              <w:adjustRightInd w:val="0"/>
              <w:snapToGrid w:val="0"/>
              <w:jc w:val="center"/>
              <w:rPr>
                <w:rFonts w:hint="eastAsia" w:ascii="宋体" w:hAnsi="宋体" w:eastAsia="宋体" w:cs="宋体"/>
                <w:b/>
                <w:snapToGrid w:val="0"/>
                <w:color w:val="auto"/>
                <w:kern w:val="0"/>
                <w:szCs w:val="21"/>
                <w:highlight w:val="none"/>
              </w:rPr>
            </w:pPr>
          </w:p>
        </w:tc>
      </w:tr>
      <w:tr w14:paraId="77BF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0B75891F">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62365DCF">
            <w:pPr>
              <w:adjustRightInd w:val="0"/>
              <w:snapToGrid w:val="0"/>
              <w:rPr>
                <w:rFonts w:hint="eastAsia" w:ascii="宋体" w:hAnsi="宋体" w:eastAsia="宋体" w:cs="宋体"/>
                <w:color w:val="auto"/>
                <w:szCs w:val="21"/>
                <w:highlight w:val="none"/>
              </w:rPr>
            </w:pPr>
          </w:p>
        </w:tc>
        <w:tc>
          <w:tcPr>
            <w:tcW w:w="1134" w:type="dxa"/>
            <w:vAlign w:val="center"/>
          </w:tcPr>
          <w:p w14:paraId="7EFEC4D2">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0AD3A1C2">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719A5167">
            <w:pPr>
              <w:adjustRightInd w:val="0"/>
              <w:snapToGrid w:val="0"/>
              <w:jc w:val="center"/>
              <w:rPr>
                <w:rFonts w:hint="eastAsia" w:ascii="宋体" w:hAnsi="宋体" w:eastAsia="宋体" w:cs="宋体"/>
                <w:b/>
                <w:snapToGrid w:val="0"/>
                <w:color w:val="auto"/>
                <w:kern w:val="0"/>
                <w:szCs w:val="21"/>
                <w:highlight w:val="none"/>
              </w:rPr>
            </w:pPr>
          </w:p>
        </w:tc>
      </w:tr>
      <w:tr w14:paraId="137A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5E09EA19">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14DF27E0">
            <w:pPr>
              <w:adjustRightInd w:val="0"/>
              <w:snapToGrid w:val="0"/>
              <w:rPr>
                <w:rFonts w:hint="eastAsia" w:ascii="宋体" w:hAnsi="宋体" w:eastAsia="宋体" w:cs="宋体"/>
                <w:color w:val="auto"/>
                <w:szCs w:val="21"/>
                <w:highlight w:val="none"/>
              </w:rPr>
            </w:pPr>
          </w:p>
        </w:tc>
        <w:tc>
          <w:tcPr>
            <w:tcW w:w="1134" w:type="dxa"/>
            <w:vAlign w:val="center"/>
          </w:tcPr>
          <w:p w14:paraId="5B305CF7">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635C3C0D">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6C67694D">
            <w:pPr>
              <w:adjustRightInd w:val="0"/>
              <w:snapToGrid w:val="0"/>
              <w:jc w:val="center"/>
              <w:rPr>
                <w:rFonts w:hint="eastAsia" w:ascii="宋体" w:hAnsi="宋体" w:eastAsia="宋体" w:cs="宋体"/>
                <w:b/>
                <w:snapToGrid w:val="0"/>
                <w:color w:val="auto"/>
                <w:kern w:val="0"/>
                <w:szCs w:val="21"/>
                <w:highlight w:val="none"/>
              </w:rPr>
            </w:pPr>
          </w:p>
        </w:tc>
      </w:tr>
      <w:tr w14:paraId="0CFA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2DBFB631">
            <w:pPr>
              <w:adjustRightInd w:val="0"/>
              <w:snapToGrid w:val="0"/>
              <w:jc w:val="center"/>
              <w:rPr>
                <w:rFonts w:hint="eastAsia" w:ascii="宋体" w:hAnsi="宋体" w:eastAsia="宋体" w:cs="宋体"/>
                <w:snapToGrid w:val="0"/>
                <w:color w:val="auto"/>
                <w:kern w:val="0"/>
                <w:szCs w:val="21"/>
                <w:highlight w:val="none"/>
              </w:rPr>
            </w:pPr>
          </w:p>
        </w:tc>
        <w:tc>
          <w:tcPr>
            <w:tcW w:w="5033" w:type="dxa"/>
            <w:vAlign w:val="center"/>
          </w:tcPr>
          <w:p w14:paraId="1F7E2EE2">
            <w:pPr>
              <w:adjustRightInd w:val="0"/>
              <w:snapToGrid w:val="0"/>
              <w:rPr>
                <w:rFonts w:hint="eastAsia" w:ascii="宋体" w:hAnsi="宋体" w:eastAsia="宋体" w:cs="宋体"/>
                <w:color w:val="auto"/>
                <w:szCs w:val="21"/>
                <w:highlight w:val="none"/>
              </w:rPr>
            </w:pPr>
          </w:p>
        </w:tc>
        <w:tc>
          <w:tcPr>
            <w:tcW w:w="1134" w:type="dxa"/>
            <w:vAlign w:val="center"/>
          </w:tcPr>
          <w:p w14:paraId="4BE20919">
            <w:pPr>
              <w:adjustRightInd w:val="0"/>
              <w:snapToGrid w:val="0"/>
              <w:jc w:val="center"/>
              <w:rPr>
                <w:rFonts w:hint="eastAsia" w:ascii="宋体" w:hAnsi="宋体" w:eastAsia="宋体" w:cs="宋体"/>
                <w:b/>
                <w:snapToGrid w:val="0"/>
                <w:color w:val="auto"/>
                <w:kern w:val="0"/>
                <w:szCs w:val="21"/>
                <w:highlight w:val="none"/>
              </w:rPr>
            </w:pPr>
          </w:p>
        </w:tc>
        <w:tc>
          <w:tcPr>
            <w:tcW w:w="1082" w:type="dxa"/>
            <w:vAlign w:val="center"/>
          </w:tcPr>
          <w:p w14:paraId="6E033CDE">
            <w:pPr>
              <w:adjustRightInd w:val="0"/>
              <w:snapToGrid w:val="0"/>
              <w:jc w:val="center"/>
              <w:rPr>
                <w:rFonts w:hint="eastAsia" w:ascii="宋体" w:hAnsi="宋体" w:eastAsia="宋体" w:cs="宋体"/>
                <w:b/>
                <w:snapToGrid w:val="0"/>
                <w:color w:val="auto"/>
                <w:kern w:val="0"/>
                <w:szCs w:val="21"/>
                <w:highlight w:val="none"/>
              </w:rPr>
            </w:pPr>
          </w:p>
        </w:tc>
        <w:tc>
          <w:tcPr>
            <w:tcW w:w="1044" w:type="dxa"/>
            <w:vAlign w:val="center"/>
          </w:tcPr>
          <w:p w14:paraId="7FF2D9BB">
            <w:pPr>
              <w:adjustRightInd w:val="0"/>
              <w:snapToGrid w:val="0"/>
              <w:jc w:val="center"/>
              <w:rPr>
                <w:rFonts w:hint="eastAsia" w:ascii="宋体" w:hAnsi="宋体" w:eastAsia="宋体" w:cs="宋体"/>
                <w:b/>
                <w:snapToGrid w:val="0"/>
                <w:color w:val="auto"/>
                <w:kern w:val="0"/>
                <w:szCs w:val="21"/>
                <w:highlight w:val="none"/>
              </w:rPr>
            </w:pPr>
          </w:p>
        </w:tc>
      </w:tr>
    </w:tbl>
    <w:p w14:paraId="095A1DE1">
      <w:pPr>
        <w:autoSpaceDE w:val="0"/>
        <w:autoSpaceDN w:val="0"/>
        <w:adjustRightInd w:val="0"/>
        <w:spacing w:line="360" w:lineRule="auto"/>
        <w:rPr>
          <w:rFonts w:hint="eastAsia" w:ascii="宋体" w:hAnsi="宋体" w:eastAsia="宋体" w:cs="宋体"/>
          <w:b/>
          <w:color w:val="auto"/>
          <w:szCs w:val="21"/>
          <w:highlight w:val="none"/>
        </w:rPr>
        <w:sectPr>
          <w:footerReference r:id="rId5" w:type="default"/>
          <w:footerReference r:id="rId6" w:type="even"/>
          <w:pgSz w:w="11906" w:h="16838"/>
          <w:pgMar w:top="1247" w:right="1588" w:bottom="1089" w:left="1588" w:header="851" w:footer="992" w:gutter="0"/>
          <w:cols w:space="720" w:num="1"/>
          <w:docGrid w:linePitch="312" w:charSpace="0"/>
        </w:sectPr>
      </w:pPr>
    </w:p>
    <w:p w14:paraId="67E60EDC">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4.2投标函</w:t>
      </w:r>
    </w:p>
    <w:p w14:paraId="13F5A38A">
      <w:pPr>
        <w:pStyle w:val="26"/>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投标函</w:t>
      </w:r>
    </w:p>
    <w:p w14:paraId="6B0BFD24">
      <w:pPr>
        <w:pStyle w:val="26"/>
        <w:spacing w:line="360" w:lineRule="auto"/>
        <w:rPr>
          <w:rFonts w:hint="eastAsia" w:ascii="宋体" w:hAnsi="宋体" w:eastAsia="宋体" w:cs="宋体"/>
          <w:color w:val="auto"/>
          <w:highlight w:val="none"/>
          <w:u w:val="single"/>
        </w:rPr>
      </w:pP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u w:val="single"/>
          <w:lang w:eastAsia="zh-CN"/>
        </w:rPr>
        <w:t>中国财税博物馆</w:t>
      </w:r>
      <w:r>
        <w:rPr>
          <w:rFonts w:hint="eastAsia" w:ascii="宋体" w:hAnsi="宋体" w:eastAsia="宋体" w:cs="宋体"/>
          <w:snapToGrid w:val="0"/>
          <w:color w:val="auto"/>
          <w:kern w:val="0"/>
          <w:highlight w:val="none"/>
          <w:u w:val="single"/>
        </w:rPr>
        <w:t>、</w:t>
      </w:r>
      <w:r>
        <w:rPr>
          <w:rFonts w:hint="eastAsia" w:ascii="宋体" w:hAnsi="宋体" w:eastAsia="宋体" w:cs="宋体"/>
          <w:snapToGrid w:val="0"/>
          <w:color w:val="auto"/>
          <w:kern w:val="0"/>
          <w:highlight w:val="none"/>
          <w:u w:val="single"/>
          <w:lang w:eastAsia="zh-CN"/>
        </w:rPr>
        <w:t>浙江国际招投标有限公司</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color w:val="auto"/>
          <w:highlight w:val="none"/>
        </w:rPr>
        <w:t>：</w:t>
      </w:r>
    </w:p>
    <w:p w14:paraId="70C3F388">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(投标人全称)授权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(职务、职称)为全权代表，参加贵方组织的</w:t>
      </w:r>
      <w:r>
        <w:rPr>
          <w:rFonts w:hint="eastAsia" w:ascii="宋体" w:hAnsi="宋体" w:eastAsia="宋体" w:cs="宋体"/>
          <w:color w:val="auto"/>
          <w:highlight w:val="none"/>
          <w:u w:val="single"/>
        </w:rPr>
        <w:t>中国财税博物馆2024-2027年保安及物业管理服务采购项目</w:t>
      </w:r>
      <w:r>
        <w:rPr>
          <w:rFonts w:hint="eastAsia" w:ascii="宋体" w:hAnsi="宋体" w:eastAsia="宋体" w:cs="宋体"/>
          <w:color w:val="auto"/>
          <w:highlight w:val="none"/>
        </w:rPr>
        <w:t xml:space="preserve"> (采购编号：</w:t>
      </w:r>
      <w:r>
        <w:rPr>
          <w:rFonts w:hint="eastAsia" w:ascii="宋体" w:hAnsi="宋体" w:eastAsia="宋体" w:cs="宋体"/>
          <w:color w:val="auto"/>
          <w:highlight w:val="none"/>
          <w:u w:val="single"/>
        </w:rPr>
        <w:t>ZJ-2412844</w:t>
      </w:r>
      <w:r>
        <w:rPr>
          <w:rFonts w:hint="eastAsia" w:ascii="宋体" w:hAnsi="宋体" w:eastAsia="宋体" w:cs="宋体"/>
          <w:color w:val="auto"/>
          <w:highlight w:val="none"/>
        </w:rPr>
        <w:t>)的有关活动，并对此项目进行投标。为此：</w:t>
      </w:r>
    </w:p>
    <w:p w14:paraId="085DCCE9">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1、我方同意在投标人编制和提交投标文件须知规定的开标日期起遵守本投标书中的承诺且在投标有效期满之前均具有约束力。</w:t>
      </w:r>
    </w:p>
    <w:p w14:paraId="0A6FD165">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2、我方承诺已经具备《中华人民共和国政府采购法》中规定的参加政府采购活动的投标人应当具备的条件：</w:t>
      </w:r>
    </w:p>
    <w:p w14:paraId="46912BA6">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454FB13">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(2)遵守国家法律、行政法规，具有良好的信誉和商业道德；</w:t>
      </w:r>
    </w:p>
    <w:p w14:paraId="54D22AA3">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(3)具有履行合同的能力和良好的履行合同记录；</w:t>
      </w:r>
    </w:p>
    <w:p w14:paraId="7030D3BE">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(4)良好的资金、财务状况；</w:t>
      </w:r>
    </w:p>
    <w:p w14:paraId="4CB2E66B">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(5)没有违反政府采购法规、政策的记录；</w:t>
      </w:r>
    </w:p>
    <w:p w14:paraId="44CF2A03">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(6)没有发生重大经济纠纷和走私犯罪记录。</w:t>
      </w:r>
    </w:p>
    <w:p w14:paraId="08256E89">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3、提供编制和提交投标响应文件须知规定的全部投标响应文件，包括投标响应文件正本1份，副本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份。具体内容为：</w:t>
      </w:r>
    </w:p>
    <w:p w14:paraId="5C9375C5">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(1)资格响应文件、商务和技术响应文件，报价响应文件；</w:t>
      </w:r>
    </w:p>
    <w:p w14:paraId="0FA79BDC">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(2)编制和提交投标文件须知要求投标人提交的全部文件；</w:t>
      </w:r>
    </w:p>
    <w:p w14:paraId="48471F27">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(3)按招标文件要求提供和交付的货物和服务的投标报价详见开标一览表；</w:t>
      </w:r>
    </w:p>
    <w:p w14:paraId="0F0A1DF6">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(4)保证忠实地执行双方所签订的合同，并承担合同规定的责任和义务；</w:t>
      </w:r>
    </w:p>
    <w:p w14:paraId="43ED5530">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(5)保证遵守招标文件中的其他有关规定。</w:t>
      </w:r>
    </w:p>
    <w:p w14:paraId="3DE28D0A">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4、我方完全理解贵方不一定要接受最低价的投标。</w:t>
      </w:r>
    </w:p>
    <w:p w14:paraId="607CB08F">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5、我方愿意向贵方提供任何与该项投标有关的数据、情况和技术资料。若贵方需要，我方愿意提供我方作出的一切承诺的证明材料。</w:t>
      </w:r>
    </w:p>
    <w:p w14:paraId="6D96B5ED">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6、我方已详细审核全部招标文件，包括招标文件修改书(如果有)、参考资料及有关附件，确认无误。</w:t>
      </w:r>
    </w:p>
    <w:p w14:paraId="50235CE6">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53B0E17">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a)提供虚假材料谋取中标、成交的；</w:t>
      </w:r>
    </w:p>
    <w:p w14:paraId="0D3CD5C2">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b)采取不正当手段诋毁、排挤其他投标人的；</w:t>
      </w:r>
    </w:p>
    <w:p w14:paraId="4F818E30">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c)与采购人、其它投标人或者采购代理机构恶意串通的；</w:t>
      </w:r>
    </w:p>
    <w:p w14:paraId="74916945">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d)向采购人、采购代理机构行贿或者提供其他不正当利益的；</w:t>
      </w:r>
    </w:p>
    <w:p w14:paraId="64F7364C">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e)在招标采购过程中与采购人进行协商谈判的；</w:t>
      </w:r>
    </w:p>
    <w:p w14:paraId="5538BF50">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f)拒绝有关部门监督检查或提供虚假情况的。</w:t>
      </w:r>
    </w:p>
    <w:p w14:paraId="1ADC42F4">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投标人有前款第a)至e)项情形之一的，中标、成交无效。</w:t>
      </w:r>
    </w:p>
    <w:p w14:paraId="3BA9FF37">
      <w:pPr>
        <w:pStyle w:val="26"/>
        <w:spacing w:line="420" w:lineRule="exact"/>
        <w:ind w:firstLine="420" w:firstLineChars="200"/>
        <w:rPr>
          <w:rFonts w:hint="eastAsia" w:ascii="宋体" w:hAnsi="宋体" w:eastAsia="宋体" w:cs="宋体"/>
          <w:color w:val="auto"/>
          <w:highlight w:val="none"/>
        </w:rPr>
      </w:pPr>
    </w:p>
    <w:p w14:paraId="75E377EC">
      <w:pPr>
        <w:pStyle w:val="26"/>
        <w:spacing w:line="420" w:lineRule="exact"/>
        <w:ind w:firstLine="420" w:firstLineChars="200"/>
        <w:rPr>
          <w:rFonts w:hint="eastAsia" w:ascii="宋体" w:hAnsi="宋体" w:eastAsia="宋体" w:cs="宋体"/>
          <w:color w:val="auto"/>
          <w:highlight w:val="none"/>
        </w:rPr>
      </w:pPr>
    </w:p>
    <w:p w14:paraId="35A80488">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ab/>
      </w:r>
    </w:p>
    <w:p w14:paraId="6961FC3B">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授权委托人（签字）：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36D1DB6">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投标人（盖公章）：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C61D459">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u w:val="single"/>
        </w:rPr>
        <w:t xml:space="preserve">：                 </w:t>
      </w:r>
    </w:p>
    <w:p w14:paraId="306860F2">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750E914">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传真号码</w:t>
      </w:r>
      <w:r>
        <w:rPr>
          <w:rFonts w:hint="eastAsia" w:ascii="宋体" w:hAnsi="宋体" w:eastAsia="宋体" w:cs="宋体"/>
          <w:color w:val="auto"/>
          <w:highlight w:val="none"/>
          <w:u w:val="single"/>
        </w:rPr>
        <w:t xml:space="preserve">：                     </w:t>
      </w:r>
    </w:p>
    <w:p w14:paraId="4A8676F5">
      <w:pPr>
        <w:pStyle w:val="26"/>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14E04E4">
      <w:p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szCs w:val="21"/>
          <w:highlight w:val="none"/>
        </w:rPr>
        <w:t>4.3投标响应一览表</w:t>
      </w:r>
    </w:p>
    <w:p w14:paraId="044C6B78">
      <w:pPr>
        <w:pStyle w:val="26"/>
        <w:snapToGrid w:val="0"/>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投标响应一览表</w:t>
      </w:r>
    </w:p>
    <w:p w14:paraId="5829E181">
      <w:pPr>
        <w:adjustRightInd w:val="0"/>
        <w:snapToGrid w:val="0"/>
        <w:spacing w:line="360" w:lineRule="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项目名称：中国财税博物馆2024-2027年保安及物业管理服务采购项目</w:t>
      </w:r>
    </w:p>
    <w:p w14:paraId="4073A812">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采购编号：ZJ-2412844</w:t>
      </w:r>
    </w:p>
    <w:tbl>
      <w:tblPr>
        <w:tblStyle w:val="4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5271"/>
      </w:tblGrid>
      <w:tr w14:paraId="6885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2" w:type="dxa"/>
            <w:vAlign w:val="center"/>
          </w:tcPr>
          <w:p w14:paraId="1D7A16D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271" w:type="dxa"/>
            <w:vAlign w:val="center"/>
          </w:tcPr>
          <w:p w14:paraId="04731A0D">
            <w:pPr>
              <w:adjustRightInd w:val="0"/>
              <w:snapToGrid w:val="0"/>
              <w:spacing w:line="360" w:lineRule="auto"/>
              <w:jc w:val="center"/>
              <w:rPr>
                <w:rFonts w:hint="eastAsia" w:ascii="宋体" w:hAnsi="宋体" w:eastAsia="宋体" w:cs="宋体"/>
                <w:color w:val="auto"/>
                <w:szCs w:val="21"/>
                <w:highlight w:val="none"/>
              </w:rPr>
            </w:pPr>
          </w:p>
        </w:tc>
      </w:tr>
      <w:tr w14:paraId="5EB3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2" w:type="dxa"/>
            <w:vAlign w:val="center"/>
          </w:tcPr>
          <w:p w14:paraId="000B54E7">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拟派项目</w:t>
            </w:r>
            <w:r>
              <w:rPr>
                <w:rFonts w:hint="eastAsia" w:ascii="宋体" w:hAnsi="宋体" w:eastAsia="宋体" w:cs="宋体"/>
                <w:color w:val="auto"/>
                <w:szCs w:val="21"/>
                <w:highlight w:val="none"/>
                <w:lang w:val="en-US" w:eastAsia="zh-CN"/>
              </w:rPr>
              <w:t>经理</w:t>
            </w:r>
          </w:p>
        </w:tc>
        <w:tc>
          <w:tcPr>
            <w:tcW w:w="5271" w:type="dxa"/>
            <w:vAlign w:val="center"/>
          </w:tcPr>
          <w:p w14:paraId="6F0496E5">
            <w:pPr>
              <w:adjustRightInd w:val="0"/>
              <w:snapToGrid w:val="0"/>
              <w:spacing w:line="360" w:lineRule="auto"/>
              <w:jc w:val="center"/>
              <w:rPr>
                <w:rFonts w:hint="eastAsia" w:ascii="宋体" w:hAnsi="宋体" w:eastAsia="宋体" w:cs="宋体"/>
                <w:color w:val="auto"/>
                <w:szCs w:val="21"/>
                <w:highlight w:val="none"/>
              </w:rPr>
            </w:pPr>
          </w:p>
        </w:tc>
      </w:tr>
    </w:tbl>
    <w:p w14:paraId="677EC132">
      <w:pPr>
        <w:adjustRightInd w:val="0"/>
        <w:snapToGrid w:val="0"/>
        <w:spacing w:line="360" w:lineRule="auto"/>
        <w:jc w:val="left"/>
        <w:rPr>
          <w:rFonts w:hint="eastAsia" w:ascii="宋体" w:hAnsi="宋体" w:eastAsia="宋体" w:cs="宋体"/>
          <w:snapToGrid w:val="0"/>
          <w:color w:val="auto"/>
          <w:kern w:val="0"/>
          <w:szCs w:val="21"/>
          <w:highlight w:val="none"/>
        </w:rPr>
      </w:pPr>
    </w:p>
    <w:p w14:paraId="7D05D917">
      <w:pPr>
        <w:widowControl/>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p>
    <w:p w14:paraId="696B532C">
      <w:pPr>
        <w:adjustRightInd w:val="0"/>
        <w:snapToGrid w:val="0"/>
        <w:spacing w:line="360" w:lineRule="auto"/>
        <w:ind w:firstLine="4515" w:firstLineChars="2150"/>
        <w:rPr>
          <w:rFonts w:hint="eastAsia" w:ascii="宋体" w:hAnsi="宋体" w:eastAsia="宋体" w:cs="宋体"/>
          <w:snapToGrid w:val="0"/>
          <w:color w:val="auto"/>
          <w:kern w:val="0"/>
          <w:szCs w:val="21"/>
          <w:highlight w:val="none"/>
        </w:rPr>
      </w:pPr>
    </w:p>
    <w:p w14:paraId="34282181">
      <w:pPr>
        <w:adjustRightInd w:val="0"/>
        <w:snapToGrid w:val="0"/>
        <w:spacing w:line="360" w:lineRule="auto"/>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3722D7BD">
      <w:pPr>
        <w:adjustRightInd w:val="0"/>
        <w:snapToGrid w:val="0"/>
        <w:spacing w:line="360" w:lineRule="auto"/>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494CE138">
      <w:pPr>
        <w:adjustRightInd w:val="0"/>
        <w:snapToGrid w:val="0"/>
        <w:spacing w:line="360" w:lineRule="auto"/>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066C4056">
      <w:pPr>
        <w:pStyle w:val="6"/>
        <w:rPr>
          <w:rFonts w:hint="eastAsia" w:ascii="宋体" w:hAnsi="宋体" w:eastAsia="宋体" w:cs="宋体"/>
          <w:color w:val="auto"/>
          <w:highlight w:val="none"/>
        </w:rPr>
      </w:pPr>
    </w:p>
    <w:p w14:paraId="17776AE8">
      <w:pPr>
        <w:pStyle w:val="6"/>
        <w:rPr>
          <w:rFonts w:hint="eastAsia" w:ascii="宋体" w:hAnsi="宋体" w:eastAsia="宋体" w:cs="宋体"/>
          <w:color w:val="auto"/>
          <w:highlight w:val="none"/>
        </w:rPr>
      </w:pPr>
    </w:p>
    <w:p w14:paraId="46B82675">
      <w:pPr>
        <w:autoSpaceDE w:val="0"/>
        <w:autoSpaceDN w:val="0"/>
        <w:adjustRightInd w:val="0"/>
        <w:spacing w:line="360" w:lineRule="auto"/>
        <w:rPr>
          <w:rFonts w:hint="eastAsia" w:ascii="宋体" w:hAnsi="宋体" w:eastAsia="宋体" w:cs="宋体"/>
          <w:b/>
          <w:color w:val="auto"/>
          <w:szCs w:val="21"/>
          <w:highlight w:val="none"/>
        </w:rPr>
        <w:sectPr>
          <w:pgSz w:w="11906" w:h="16838"/>
          <w:pgMar w:top="1247" w:right="1588" w:bottom="1089" w:left="1588" w:header="851" w:footer="992" w:gutter="0"/>
          <w:cols w:space="720" w:num="1"/>
          <w:docGrid w:linePitch="312" w:charSpace="0"/>
        </w:sectPr>
      </w:pPr>
    </w:p>
    <w:p w14:paraId="05720103">
      <w:p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4.4投标人基本情况</w:t>
      </w:r>
    </w:p>
    <w:p w14:paraId="564C91BD">
      <w:pPr>
        <w:spacing w:line="24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投标人基本情况表</w:t>
      </w:r>
    </w:p>
    <w:p w14:paraId="46B0E649">
      <w:pPr>
        <w:spacing w:line="240" w:lineRule="atLeast"/>
        <w:ind w:firstLine="2233" w:firstLineChars="695"/>
        <w:rPr>
          <w:rFonts w:hint="eastAsia" w:ascii="宋体" w:hAnsi="宋体" w:eastAsia="宋体" w:cs="宋体"/>
          <w:b/>
          <w:color w:val="auto"/>
          <w:sz w:val="32"/>
          <w:szCs w:val="32"/>
          <w:highlight w:val="none"/>
        </w:rPr>
      </w:pPr>
    </w:p>
    <w:tbl>
      <w:tblPr>
        <w:tblStyle w:val="45"/>
        <w:tblW w:w="8848" w:type="dxa"/>
        <w:tblInd w:w="28" w:type="dxa"/>
        <w:tblLayout w:type="fixed"/>
        <w:tblCellMar>
          <w:top w:w="0" w:type="dxa"/>
          <w:left w:w="28" w:type="dxa"/>
          <w:bottom w:w="0" w:type="dxa"/>
          <w:right w:w="28" w:type="dxa"/>
        </w:tblCellMar>
      </w:tblPr>
      <w:tblGrid>
        <w:gridCol w:w="2368"/>
        <w:gridCol w:w="2490"/>
        <w:gridCol w:w="1575"/>
        <w:gridCol w:w="2415"/>
      </w:tblGrid>
      <w:tr w14:paraId="7A0E102C">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1C3476BC">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投标人全称</w:t>
            </w:r>
          </w:p>
        </w:tc>
        <w:tc>
          <w:tcPr>
            <w:tcW w:w="6480" w:type="dxa"/>
            <w:gridSpan w:val="3"/>
            <w:tcBorders>
              <w:top w:val="single" w:color="auto" w:sz="6" w:space="0"/>
              <w:left w:val="single" w:color="auto" w:sz="6" w:space="0"/>
              <w:bottom w:val="single" w:color="auto" w:sz="6" w:space="0"/>
              <w:right w:val="single" w:color="auto" w:sz="6" w:space="0"/>
            </w:tcBorders>
          </w:tcPr>
          <w:p w14:paraId="01BD407C">
            <w:pPr>
              <w:widowControl/>
              <w:autoSpaceDE w:val="0"/>
              <w:autoSpaceDN w:val="0"/>
              <w:spacing w:line="440" w:lineRule="atLeast"/>
              <w:textAlignment w:val="bottom"/>
              <w:rPr>
                <w:rFonts w:hint="eastAsia" w:ascii="宋体" w:hAnsi="宋体" w:eastAsia="宋体" w:cs="宋体"/>
                <w:color w:val="auto"/>
                <w:highlight w:val="none"/>
              </w:rPr>
            </w:pPr>
          </w:p>
        </w:tc>
      </w:tr>
      <w:tr w14:paraId="401BAAE9">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1E8FB217">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企业资质</w:t>
            </w:r>
          </w:p>
        </w:tc>
        <w:tc>
          <w:tcPr>
            <w:tcW w:w="6480" w:type="dxa"/>
            <w:gridSpan w:val="3"/>
            <w:tcBorders>
              <w:top w:val="single" w:color="auto" w:sz="6" w:space="0"/>
              <w:left w:val="single" w:color="auto" w:sz="6" w:space="0"/>
              <w:bottom w:val="single" w:color="auto" w:sz="6" w:space="0"/>
              <w:right w:val="single" w:color="auto" w:sz="6" w:space="0"/>
            </w:tcBorders>
          </w:tcPr>
          <w:p w14:paraId="00B45894">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 xml:space="preserve">1.等级:            2.证书号:       3.发证单位: </w:t>
            </w:r>
          </w:p>
        </w:tc>
      </w:tr>
      <w:tr w14:paraId="62959908">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7BD313C8">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6480" w:type="dxa"/>
            <w:gridSpan w:val="3"/>
            <w:tcBorders>
              <w:top w:val="single" w:color="auto" w:sz="6" w:space="0"/>
              <w:left w:val="single" w:color="auto" w:sz="6" w:space="0"/>
              <w:bottom w:val="single" w:color="auto" w:sz="6" w:space="0"/>
              <w:right w:val="single" w:color="auto" w:sz="6" w:space="0"/>
            </w:tcBorders>
          </w:tcPr>
          <w:p w14:paraId="071FBEFA">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 xml:space="preserve">1.编号:            2.营业范围:     3.发照单位: </w:t>
            </w:r>
          </w:p>
        </w:tc>
      </w:tr>
      <w:tr w14:paraId="4A5128E9">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6252A2D1">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建立日期</w:t>
            </w:r>
          </w:p>
        </w:tc>
        <w:tc>
          <w:tcPr>
            <w:tcW w:w="2490" w:type="dxa"/>
            <w:tcBorders>
              <w:top w:val="single" w:color="auto" w:sz="6" w:space="0"/>
              <w:left w:val="single" w:color="auto" w:sz="6" w:space="0"/>
              <w:bottom w:val="single" w:color="auto" w:sz="6" w:space="0"/>
              <w:right w:val="single" w:color="auto" w:sz="6" w:space="0"/>
            </w:tcBorders>
          </w:tcPr>
          <w:p w14:paraId="6C3DCE98">
            <w:pPr>
              <w:widowControl/>
              <w:autoSpaceDE w:val="0"/>
              <w:autoSpaceDN w:val="0"/>
              <w:spacing w:line="440" w:lineRule="atLeast"/>
              <w:textAlignment w:val="bottom"/>
              <w:rPr>
                <w:rFonts w:hint="eastAsia" w:ascii="宋体" w:hAnsi="宋体" w:eastAsia="宋体" w:cs="宋体"/>
                <w:color w:val="auto"/>
                <w:highlight w:val="none"/>
              </w:rPr>
            </w:pPr>
          </w:p>
        </w:tc>
        <w:tc>
          <w:tcPr>
            <w:tcW w:w="1575" w:type="dxa"/>
            <w:tcBorders>
              <w:top w:val="single" w:color="auto" w:sz="6" w:space="0"/>
              <w:left w:val="single" w:color="auto" w:sz="6" w:space="0"/>
              <w:bottom w:val="single" w:color="auto" w:sz="6" w:space="0"/>
              <w:right w:val="single" w:color="auto" w:sz="6" w:space="0"/>
            </w:tcBorders>
          </w:tcPr>
          <w:p w14:paraId="2B769814">
            <w:pPr>
              <w:widowControl/>
              <w:autoSpaceDE w:val="0"/>
              <w:autoSpaceDN w:val="0"/>
              <w:spacing w:line="440" w:lineRule="atLeast"/>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现有职工</w:t>
            </w:r>
          </w:p>
        </w:tc>
        <w:tc>
          <w:tcPr>
            <w:tcW w:w="2415" w:type="dxa"/>
            <w:tcBorders>
              <w:top w:val="single" w:color="auto" w:sz="6" w:space="0"/>
              <w:left w:val="single" w:color="auto" w:sz="6" w:space="0"/>
              <w:bottom w:val="single" w:color="auto" w:sz="6" w:space="0"/>
              <w:right w:val="single" w:color="auto" w:sz="6" w:space="0"/>
            </w:tcBorders>
          </w:tcPr>
          <w:p w14:paraId="2FE64E84">
            <w:pPr>
              <w:widowControl/>
              <w:autoSpaceDE w:val="0"/>
              <w:autoSpaceDN w:val="0"/>
              <w:spacing w:line="440" w:lineRule="atLeast"/>
              <w:textAlignment w:val="bottom"/>
              <w:rPr>
                <w:rFonts w:hint="eastAsia" w:ascii="宋体" w:hAnsi="宋体" w:eastAsia="宋体" w:cs="宋体"/>
                <w:color w:val="auto"/>
                <w:highlight w:val="none"/>
              </w:rPr>
            </w:pPr>
          </w:p>
        </w:tc>
      </w:tr>
      <w:tr w14:paraId="75D15043">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0313ECD1">
            <w:pPr>
              <w:widowControl/>
              <w:autoSpaceDE w:val="0"/>
              <w:autoSpaceDN w:val="0"/>
              <w:spacing w:line="440" w:lineRule="atLeast"/>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固定资产净值(万元)</w:t>
            </w:r>
          </w:p>
        </w:tc>
        <w:tc>
          <w:tcPr>
            <w:tcW w:w="6480" w:type="dxa"/>
            <w:gridSpan w:val="3"/>
            <w:tcBorders>
              <w:top w:val="single" w:color="auto" w:sz="6" w:space="0"/>
              <w:left w:val="single" w:color="auto" w:sz="6" w:space="0"/>
              <w:bottom w:val="single" w:color="auto" w:sz="6" w:space="0"/>
              <w:right w:val="single" w:color="auto" w:sz="6" w:space="0"/>
            </w:tcBorders>
          </w:tcPr>
          <w:p w14:paraId="43EBDE77">
            <w:pPr>
              <w:widowControl/>
              <w:autoSpaceDE w:val="0"/>
              <w:autoSpaceDN w:val="0"/>
              <w:spacing w:line="440" w:lineRule="atLeast"/>
              <w:textAlignment w:val="bottom"/>
              <w:rPr>
                <w:rFonts w:hint="eastAsia" w:ascii="宋体" w:hAnsi="宋体" w:eastAsia="宋体" w:cs="宋体"/>
                <w:color w:val="auto"/>
                <w:highlight w:val="none"/>
              </w:rPr>
            </w:pPr>
          </w:p>
        </w:tc>
      </w:tr>
      <w:tr w14:paraId="31F4245C">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65A32561">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行政负责人</w:t>
            </w:r>
          </w:p>
        </w:tc>
        <w:tc>
          <w:tcPr>
            <w:tcW w:w="6480" w:type="dxa"/>
            <w:gridSpan w:val="3"/>
            <w:tcBorders>
              <w:top w:val="single" w:color="auto" w:sz="6" w:space="0"/>
              <w:left w:val="single" w:color="auto" w:sz="6" w:space="0"/>
              <w:bottom w:val="single" w:color="auto" w:sz="6" w:space="0"/>
              <w:right w:val="single" w:color="auto" w:sz="6" w:space="0"/>
            </w:tcBorders>
          </w:tcPr>
          <w:p w14:paraId="1BB08EFD">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姓名:             职务:             职称:</w:t>
            </w:r>
          </w:p>
        </w:tc>
      </w:tr>
      <w:tr w14:paraId="4C210E10">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0674ADA9">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6480" w:type="dxa"/>
            <w:gridSpan w:val="3"/>
            <w:tcBorders>
              <w:top w:val="single" w:color="auto" w:sz="6" w:space="0"/>
              <w:left w:val="single" w:color="auto" w:sz="6" w:space="0"/>
              <w:bottom w:val="single" w:color="auto" w:sz="6" w:space="0"/>
              <w:right w:val="single" w:color="auto" w:sz="6" w:space="0"/>
            </w:tcBorders>
          </w:tcPr>
          <w:p w14:paraId="0E89EF8F">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姓名:             职务:             职称:</w:t>
            </w:r>
          </w:p>
        </w:tc>
      </w:tr>
      <w:tr w14:paraId="7B7FE273">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vAlign w:val="center"/>
          </w:tcPr>
          <w:p w14:paraId="7ABF7C0A">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6480" w:type="dxa"/>
            <w:gridSpan w:val="3"/>
            <w:tcBorders>
              <w:top w:val="single" w:color="auto" w:sz="6" w:space="0"/>
              <w:left w:val="single" w:color="auto" w:sz="6" w:space="0"/>
              <w:bottom w:val="single" w:color="auto" w:sz="6" w:space="0"/>
              <w:right w:val="single" w:color="auto" w:sz="6" w:space="0"/>
            </w:tcBorders>
          </w:tcPr>
          <w:p w14:paraId="77629016">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地址</w:t>
            </w:r>
          </w:p>
          <w:p w14:paraId="18E9F9A1">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邮编:</w:t>
            </w:r>
          </w:p>
          <w:p w14:paraId="25905832">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 xml:space="preserve">电话:  </w:t>
            </w:r>
          </w:p>
          <w:p w14:paraId="0248E983">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 xml:space="preserve">传真:       </w:t>
            </w:r>
          </w:p>
        </w:tc>
      </w:tr>
      <w:tr w14:paraId="4AF5608C">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7027A325">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6480" w:type="dxa"/>
            <w:gridSpan w:val="3"/>
            <w:tcBorders>
              <w:top w:val="single" w:color="auto" w:sz="6" w:space="0"/>
              <w:left w:val="single" w:color="auto" w:sz="6" w:space="0"/>
              <w:bottom w:val="single" w:color="auto" w:sz="6" w:space="0"/>
              <w:right w:val="single" w:color="auto" w:sz="6" w:space="0"/>
            </w:tcBorders>
          </w:tcPr>
          <w:p w14:paraId="5F87DF28">
            <w:pPr>
              <w:widowControl/>
              <w:autoSpaceDE w:val="0"/>
              <w:autoSpaceDN w:val="0"/>
              <w:spacing w:line="440" w:lineRule="atLeast"/>
              <w:textAlignment w:val="bottom"/>
              <w:rPr>
                <w:rFonts w:hint="eastAsia" w:ascii="宋体" w:hAnsi="宋体" w:eastAsia="宋体" w:cs="宋体"/>
                <w:color w:val="auto"/>
                <w:highlight w:val="none"/>
              </w:rPr>
            </w:pPr>
            <w:r>
              <w:rPr>
                <w:rFonts w:hint="eastAsia" w:ascii="宋体" w:hAnsi="宋体" w:eastAsia="宋体" w:cs="宋体"/>
                <w:color w:val="auto"/>
                <w:highlight w:val="none"/>
              </w:rPr>
              <w:t xml:space="preserve">名称:                      账号:          </w:t>
            </w:r>
          </w:p>
        </w:tc>
      </w:tr>
      <w:tr w14:paraId="560580EB">
        <w:tblPrEx>
          <w:tblCellMar>
            <w:top w:w="0" w:type="dxa"/>
            <w:left w:w="28" w:type="dxa"/>
            <w:bottom w:w="0" w:type="dxa"/>
            <w:right w:w="28" w:type="dxa"/>
          </w:tblCellMar>
        </w:tblPrEx>
        <w:trPr>
          <w:cantSplit/>
          <w:trHeight w:val="5279" w:hRule="atLeast"/>
        </w:trPr>
        <w:tc>
          <w:tcPr>
            <w:tcW w:w="2368" w:type="dxa"/>
            <w:tcBorders>
              <w:top w:val="single" w:color="auto" w:sz="6" w:space="0"/>
              <w:left w:val="single" w:color="auto" w:sz="6" w:space="0"/>
              <w:bottom w:val="single" w:color="auto" w:sz="6" w:space="0"/>
              <w:right w:val="single" w:color="auto" w:sz="6" w:space="0"/>
            </w:tcBorders>
          </w:tcPr>
          <w:p w14:paraId="19FA60F7">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60DF3D98">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67594CC3">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35588DD3">
            <w:pPr>
              <w:widowControl/>
              <w:autoSpaceDE w:val="0"/>
              <w:autoSpaceDN w:val="0"/>
              <w:spacing w:line="440" w:lineRule="atLeast"/>
              <w:textAlignment w:val="bottom"/>
              <w:rPr>
                <w:rFonts w:hint="eastAsia" w:ascii="宋体" w:hAnsi="宋体" w:eastAsia="宋体" w:cs="宋体"/>
                <w:color w:val="auto"/>
                <w:highlight w:val="none"/>
              </w:rPr>
            </w:pPr>
          </w:p>
          <w:p w14:paraId="6CAB9A4E">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35565C08">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5ED7D96C">
            <w:pPr>
              <w:widowControl/>
              <w:autoSpaceDE w:val="0"/>
              <w:autoSpaceDN w:val="0"/>
              <w:spacing w:line="440" w:lineRule="atLeast"/>
              <w:ind w:left="105"/>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w:t>组织机构框图</w:t>
            </w:r>
          </w:p>
          <w:p w14:paraId="0CF3B4C3">
            <w:pPr>
              <w:widowControl/>
              <w:autoSpaceDE w:val="0"/>
              <w:autoSpaceDN w:val="0"/>
              <w:spacing w:line="440" w:lineRule="atLeast"/>
              <w:ind w:left="105"/>
              <w:jc w:val="center"/>
              <w:textAlignment w:val="bottom"/>
              <w:rPr>
                <w:rFonts w:hint="eastAsia" w:ascii="宋体" w:hAnsi="宋体" w:eastAsia="宋体" w:cs="宋体"/>
                <w:color w:val="auto"/>
                <w:highlight w:val="none"/>
              </w:rPr>
            </w:pPr>
          </w:p>
          <w:p w14:paraId="0DF9653A">
            <w:pPr>
              <w:autoSpaceDE w:val="0"/>
              <w:autoSpaceDN w:val="0"/>
              <w:spacing w:line="440" w:lineRule="atLeast"/>
              <w:ind w:left="105"/>
              <w:textAlignment w:val="bottom"/>
              <w:rPr>
                <w:rFonts w:hint="eastAsia" w:ascii="宋体" w:hAnsi="宋体" w:eastAsia="宋体" w:cs="宋体"/>
                <w:color w:val="auto"/>
                <w:highlight w:val="none"/>
              </w:rPr>
            </w:pPr>
          </w:p>
        </w:tc>
        <w:tc>
          <w:tcPr>
            <w:tcW w:w="6480" w:type="dxa"/>
            <w:gridSpan w:val="3"/>
            <w:tcBorders>
              <w:top w:val="single" w:color="auto" w:sz="6" w:space="0"/>
              <w:left w:val="single" w:color="auto" w:sz="6" w:space="0"/>
              <w:bottom w:val="single" w:color="auto" w:sz="6" w:space="0"/>
              <w:right w:val="single" w:color="auto" w:sz="6" w:space="0"/>
            </w:tcBorders>
          </w:tcPr>
          <w:p w14:paraId="5487A1F7">
            <w:pPr>
              <w:widowControl/>
              <w:autoSpaceDE w:val="0"/>
              <w:autoSpaceDN w:val="0"/>
              <w:spacing w:line="440" w:lineRule="atLeast"/>
              <w:textAlignment w:val="bottom"/>
              <w:rPr>
                <w:rFonts w:hint="eastAsia" w:ascii="宋体" w:hAnsi="宋体" w:eastAsia="宋体" w:cs="宋体"/>
                <w:color w:val="auto"/>
                <w:highlight w:val="none"/>
              </w:rPr>
            </w:pPr>
          </w:p>
        </w:tc>
      </w:tr>
    </w:tbl>
    <w:p w14:paraId="60F4D070">
      <w:pPr>
        <w:spacing w:line="360" w:lineRule="auto"/>
        <w:ind w:left="630" w:hanging="630" w:hangingChars="300"/>
        <w:rPr>
          <w:rFonts w:hint="eastAsia" w:ascii="宋体" w:hAnsi="宋体" w:eastAsia="宋体" w:cs="宋体"/>
          <w:color w:val="auto"/>
          <w:highlight w:val="none"/>
        </w:rPr>
      </w:pPr>
    </w:p>
    <w:p w14:paraId="189536DF">
      <w:pPr>
        <w:adjustRightInd w:val="0"/>
        <w:snapToGrid w:val="0"/>
        <w:spacing w:before="120" w:beforeLines="50"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highlight w:val="none"/>
        </w:rPr>
        <w:t>4.5授权委托书</w:t>
      </w:r>
    </w:p>
    <w:p w14:paraId="2F08E410">
      <w:pPr>
        <w:adjustRightInd w:val="0"/>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授权委托书</w:t>
      </w:r>
    </w:p>
    <w:p w14:paraId="15AEA9B5">
      <w:pPr>
        <w:adjustRightInd w:val="0"/>
        <w:spacing w:line="360" w:lineRule="auto"/>
        <w:jc w:val="left"/>
        <w:rPr>
          <w:rFonts w:hint="eastAsia" w:ascii="宋体" w:hAnsi="宋体" w:eastAsia="宋体" w:cs="宋体"/>
          <w:b/>
          <w:snapToGrid w:val="0"/>
          <w:color w:val="auto"/>
          <w:kern w:val="0"/>
          <w:sz w:val="32"/>
          <w:szCs w:val="20"/>
          <w:highlight w:val="none"/>
        </w:rPr>
      </w:pPr>
    </w:p>
    <w:p w14:paraId="024BB16A">
      <w:pPr>
        <w:adjustRightInd w:val="0"/>
        <w:spacing w:line="480" w:lineRule="auto"/>
        <w:ind w:left="4" w:firstLine="455" w:firstLineChars="217"/>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我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（投标人名称），现授权委托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（姓名、身份证号）为我公司授权代表，以本公司的名义参</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中国财税博物馆</w:t>
      </w:r>
      <w:r>
        <w:rPr>
          <w:rFonts w:hint="eastAsia" w:ascii="宋体" w:hAnsi="宋体" w:cs="Arial"/>
          <w:color w:val="auto"/>
          <w:szCs w:val="21"/>
          <w:highlight w:val="none"/>
          <w:u w:val="single"/>
          <w:lang w:eastAsia="zh-CN"/>
        </w:rPr>
        <w:t>2024-2027年保安及物业管理服务采购</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项目</w:t>
      </w:r>
      <w:r>
        <w:rPr>
          <w:rFonts w:hint="eastAsia" w:ascii="宋体" w:hAnsi="宋体" w:cs="宋体"/>
          <w:snapToGrid w:val="0"/>
          <w:color w:val="auto"/>
          <w:kern w:val="0"/>
          <w:szCs w:val="21"/>
          <w:highlight w:val="none"/>
          <w:lang w:eastAsia="zh-CN"/>
        </w:rPr>
        <w:t>（采购编号：ZJ-2412844）</w:t>
      </w:r>
      <w:r>
        <w:rPr>
          <w:rFonts w:hint="eastAsia" w:ascii="宋体" w:hAnsi="宋体" w:eastAsia="宋体" w:cs="宋体"/>
          <w:snapToGrid w:val="0"/>
          <w:color w:val="auto"/>
          <w:kern w:val="0"/>
          <w:szCs w:val="21"/>
          <w:highlight w:val="none"/>
        </w:rPr>
        <w:t>的投标活动。授权代表在开标、评标、合同谈判过程中所签署的一切文件和处理与之有关的一切事务，我均予以承认。</w:t>
      </w:r>
    </w:p>
    <w:p w14:paraId="0DC6B5D2">
      <w:pPr>
        <w:adjustRightInd w:val="0"/>
        <w:spacing w:line="48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授权代表无权转委托。特此委托。</w:t>
      </w:r>
    </w:p>
    <w:p w14:paraId="4EEE0097">
      <w:pPr>
        <w:spacing w:line="360" w:lineRule="auto"/>
        <w:ind w:right="1800" w:firstLine="3570" w:firstLineChars="17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投标人：（盖公章）       </w:t>
      </w:r>
    </w:p>
    <w:p w14:paraId="388F8650">
      <w:pPr>
        <w:autoSpaceDE w:val="0"/>
        <w:autoSpaceDN w:val="0"/>
        <w:adjustRightInd w:val="0"/>
        <w:spacing w:line="360" w:lineRule="auto"/>
        <w:ind w:right="42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授权代表（签字或盖章） </w:t>
      </w:r>
    </w:p>
    <w:p w14:paraId="1DCA908E">
      <w:pPr>
        <w:autoSpaceDE w:val="0"/>
        <w:autoSpaceDN w:val="0"/>
        <w:adjustRightInd w:val="0"/>
        <w:spacing w:line="360" w:lineRule="auto"/>
        <w:ind w:right="42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授权代表身份证号码：</w:t>
      </w:r>
    </w:p>
    <w:p w14:paraId="1757ADB2">
      <w:pPr>
        <w:autoSpaceDE w:val="0"/>
        <w:autoSpaceDN w:val="0"/>
        <w:adjustRightInd w:val="0"/>
        <w:spacing w:line="360" w:lineRule="auto"/>
        <w:ind w:right="420"/>
        <w:rPr>
          <w:rFonts w:hint="eastAsia" w:ascii="宋体" w:hAnsi="宋体" w:eastAsia="宋体" w:cs="宋体"/>
          <w:snapToGrid w:val="0"/>
          <w:color w:val="auto"/>
          <w:kern w:val="0"/>
          <w:szCs w:val="21"/>
          <w:highlight w:val="none"/>
        </w:rPr>
      </w:pPr>
    </w:p>
    <w:p w14:paraId="59AA9DCA">
      <w:pPr>
        <w:autoSpaceDE w:val="0"/>
        <w:autoSpaceDN w:val="0"/>
        <w:adjustRightInd w:val="0"/>
        <w:spacing w:line="360" w:lineRule="auto"/>
        <w:ind w:right="42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年    月    日</w:t>
      </w:r>
    </w:p>
    <w:p w14:paraId="277C6650">
      <w:pPr>
        <w:autoSpaceDE w:val="0"/>
        <w:autoSpaceDN w:val="0"/>
        <w:adjustRightInd w:val="0"/>
        <w:snapToGrid w:val="0"/>
        <w:spacing w:line="360" w:lineRule="auto"/>
        <w:ind w:right="420"/>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附：授权代表的身份证复印件。（正反面）</w:t>
      </w:r>
    </w:p>
    <w:p w14:paraId="683FDBCC">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snapToGrid w:val="0"/>
          <w:color w:val="auto"/>
          <w:kern w:val="0"/>
          <w:szCs w:val="21"/>
          <w:highlight w:val="none"/>
        </w:rPr>
        <w:br w:type="page"/>
      </w:r>
      <w:r>
        <w:rPr>
          <w:rFonts w:hint="eastAsia" w:ascii="宋体" w:hAnsi="宋体" w:eastAsia="宋体" w:cs="宋体"/>
          <w:b/>
          <w:color w:val="auto"/>
          <w:highlight w:val="none"/>
        </w:rPr>
        <w:t>4.6政府采购供应商廉洁自律承诺书</w:t>
      </w:r>
    </w:p>
    <w:p w14:paraId="692E462C">
      <w:pPr>
        <w:autoSpaceDE w:val="0"/>
        <w:autoSpaceDN w:val="0"/>
        <w:adjustRightInd w:val="0"/>
        <w:spacing w:line="360" w:lineRule="auto"/>
        <w:rPr>
          <w:rFonts w:hint="eastAsia" w:ascii="宋体" w:hAnsi="宋体" w:eastAsia="宋体" w:cs="宋体"/>
          <w:b/>
          <w:color w:val="auto"/>
          <w:highlight w:val="none"/>
        </w:rPr>
      </w:pPr>
    </w:p>
    <w:p w14:paraId="4532F482">
      <w:pPr>
        <w:adjustRightInd w:val="0"/>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政府采购供应商廉洁自律承诺书</w:t>
      </w:r>
    </w:p>
    <w:p w14:paraId="220D4AE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3A17BA84">
      <w:pPr>
        <w:spacing w:line="42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eastAsia="zh-CN"/>
        </w:rPr>
        <w:t>中国财税博物馆</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浙江国际招投标有限公司</w:t>
      </w:r>
      <w:r>
        <w:rPr>
          <w:rFonts w:hint="eastAsia" w:ascii="宋体" w:hAnsi="宋体" w:eastAsia="宋体" w:cs="宋体"/>
          <w:color w:val="auto"/>
          <w:szCs w:val="21"/>
          <w:highlight w:val="none"/>
          <w:u w:val="single"/>
        </w:rPr>
        <w:t>：</w:t>
      </w:r>
    </w:p>
    <w:p w14:paraId="7D98806B">
      <w:pPr>
        <w:spacing w:line="420" w:lineRule="exact"/>
        <w:ind w:left="239" w:leftChars="114"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本单位合法参加</w:t>
      </w:r>
      <w:r>
        <w:rPr>
          <w:rFonts w:hint="eastAsia" w:ascii="宋体" w:hAnsi="宋体" w:eastAsia="宋体" w:cs="宋体"/>
          <w:color w:val="auto"/>
          <w:szCs w:val="21"/>
          <w:highlight w:val="none"/>
          <w:u w:val="single"/>
        </w:rPr>
        <w:t xml:space="preserve"> 中国财税博物馆2024-2027年保安及物业管理服务采购项目 </w:t>
      </w:r>
      <w:r>
        <w:rPr>
          <w:rFonts w:hint="eastAsia" w:ascii="宋体" w:hAnsi="宋体" w:eastAsia="宋体" w:cs="宋体"/>
          <w:color w:val="auto"/>
          <w:highlight w:val="none"/>
        </w:rPr>
        <w:t>(采购编号：</w:t>
      </w:r>
      <w:r>
        <w:rPr>
          <w:rFonts w:hint="eastAsia" w:ascii="宋体" w:hAnsi="宋体" w:eastAsia="宋体" w:cs="宋体"/>
          <w:color w:val="auto"/>
          <w:highlight w:val="none"/>
          <w:u w:val="single"/>
        </w:rPr>
        <w:t>ZJ-2412844</w:t>
      </w:r>
      <w:r>
        <w:rPr>
          <w:rFonts w:hint="eastAsia" w:ascii="宋体" w:hAnsi="宋体" w:eastAsia="宋体" w:cs="宋体"/>
          <w:color w:val="auto"/>
          <w:highlight w:val="none"/>
        </w:rPr>
        <w:t>)</w:t>
      </w:r>
      <w:r>
        <w:rPr>
          <w:rFonts w:hint="eastAsia" w:ascii="宋体" w:hAnsi="宋体" w:eastAsia="宋体" w:cs="宋体"/>
          <w:color w:val="auto"/>
          <w:szCs w:val="21"/>
          <w:highlight w:val="none"/>
        </w:rPr>
        <w:t>政府采购活动，就有关廉洁自律和公平竞争事项郑重声明如下：</w:t>
      </w:r>
    </w:p>
    <w:p w14:paraId="1606593E">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一、本单位与采购人之间不存在利害关系，不存在行贿、串通等违法行为。</w:t>
      </w:r>
    </w:p>
    <w:p w14:paraId="510F5261">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二、本单位与其他当事人之间不存在直接控股、管理关系等情况，不存在法定的不允许投标情形，不存在行贿、串通等违法行为。</w:t>
      </w:r>
    </w:p>
    <w:p w14:paraId="3C3BE10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三、本单位清楚知道并严格遵守政府采购法律法规、政策文件和相关纪律。</w:t>
      </w:r>
    </w:p>
    <w:p w14:paraId="446C3ED5">
      <w:pPr>
        <w:autoSpaceDE w:val="0"/>
        <w:autoSpaceDN w:val="0"/>
        <w:spacing w:line="420" w:lineRule="exact"/>
        <w:ind w:firstLine="4410" w:firstLineChars="2100"/>
        <w:jc w:val="left"/>
        <w:rPr>
          <w:rFonts w:hint="eastAsia" w:ascii="宋体" w:hAnsi="宋体" w:eastAsia="宋体" w:cs="宋体"/>
          <w:color w:val="auto"/>
          <w:kern w:val="0"/>
          <w:szCs w:val="21"/>
          <w:highlight w:val="none"/>
          <w:lang w:val="zh-CN"/>
        </w:rPr>
      </w:pPr>
    </w:p>
    <w:p w14:paraId="13DF3C5C">
      <w:pPr>
        <w:autoSpaceDE w:val="0"/>
        <w:autoSpaceDN w:val="0"/>
        <w:spacing w:line="420" w:lineRule="exact"/>
        <w:ind w:firstLine="4410" w:firstLineChars="2100"/>
        <w:jc w:val="left"/>
        <w:rPr>
          <w:rFonts w:hint="eastAsia" w:ascii="宋体" w:hAnsi="宋体" w:eastAsia="宋体" w:cs="宋体"/>
          <w:color w:val="auto"/>
          <w:kern w:val="0"/>
          <w:szCs w:val="21"/>
          <w:highlight w:val="none"/>
          <w:lang w:val="zh-CN"/>
        </w:rPr>
      </w:pPr>
    </w:p>
    <w:p w14:paraId="78ADDA64">
      <w:pPr>
        <w:adjustRightInd w:val="0"/>
        <w:snapToGrid w:val="0"/>
        <w:spacing w:line="420" w:lineRule="exact"/>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62AAF208">
      <w:pPr>
        <w:adjustRightInd w:val="0"/>
        <w:snapToGrid w:val="0"/>
        <w:spacing w:line="420" w:lineRule="exact"/>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04A29B9B">
      <w:pPr>
        <w:adjustRightInd w:val="0"/>
        <w:snapToGrid w:val="0"/>
        <w:spacing w:line="420" w:lineRule="exact"/>
        <w:ind w:firstLine="4515" w:firstLineChars="21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7592ED14">
      <w:pPr>
        <w:widowControl/>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0F344B5">
      <w:pPr>
        <w:autoSpaceDE w:val="0"/>
        <w:autoSpaceDN w:val="0"/>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highlight w:val="none"/>
        </w:rPr>
        <w:t>4.7廉政承诺书</w:t>
      </w:r>
    </w:p>
    <w:p w14:paraId="16D7E4A2">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 政 承 诺 书</w:t>
      </w:r>
    </w:p>
    <w:p w14:paraId="36B369DE">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cs="宋体"/>
          <w:snapToGrid w:val="0"/>
          <w:color w:val="auto"/>
          <w:kern w:val="0"/>
          <w:highlight w:val="none"/>
          <w:u w:val="single"/>
          <w:lang w:eastAsia="zh-CN"/>
        </w:rPr>
        <w:t>中国财税博物馆</w:t>
      </w:r>
      <w:r>
        <w:rPr>
          <w:rFonts w:hint="eastAsia" w:ascii="宋体" w:hAnsi="宋体" w:eastAsia="宋体" w:cs="宋体"/>
          <w:snapToGrid w:val="0"/>
          <w:color w:val="auto"/>
          <w:kern w:val="0"/>
          <w:highlight w:val="none"/>
          <w:u w:val="single"/>
        </w:rPr>
        <w:t>、</w:t>
      </w:r>
      <w:r>
        <w:rPr>
          <w:rFonts w:hint="eastAsia" w:ascii="宋体" w:hAnsi="宋体" w:cs="宋体"/>
          <w:snapToGrid w:val="0"/>
          <w:color w:val="auto"/>
          <w:kern w:val="0"/>
          <w:highlight w:val="none"/>
          <w:u w:val="single"/>
          <w:lang w:eastAsia="zh-CN"/>
        </w:rPr>
        <w:t>浙江国际招投标有限公司</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Cs/>
          <w:color w:val="auto"/>
          <w:szCs w:val="21"/>
          <w:highlight w:val="none"/>
        </w:rPr>
        <w:t>：</w:t>
      </w:r>
    </w:p>
    <w:p w14:paraId="1B96DE8F">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我单位响应你单位项目招标要求参加应标。在这次应标过程中和中标后，我们将严格遵守国家法律法规规定要求，并郑重承诺：</w:t>
      </w:r>
    </w:p>
    <w:p w14:paraId="2A4EFD99">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一、不向项目有关人员及部门赠送礼金礼物、有价证券、回扣以及中介费、介绍费、咨询费等好处费；</w:t>
      </w:r>
    </w:p>
    <w:p w14:paraId="6F87F3C2">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二、不为项目有关人员及部门报销应由你方单位或个人支付的费用；</w:t>
      </w:r>
    </w:p>
    <w:p w14:paraId="2C66F1B4">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三、不向项目有关人员及部门提供有可能影响公正执行公务的宴请和健身娱乐等活动；</w:t>
      </w:r>
    </w:p>
    <w:p w14:paraId="1194F586">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四、不为项目有关人员及部门出国（境）、旅游等提供方便；</w:t>
      </w:r>
    </w:p>
    <w:p w14:paraId="71B8120A">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五、不为项目有关人员个人装修住房、婚丧嫁娶、配偶子女工作安排等提供好处； </w:t>
      </w:r>
    </w:p>
    <w:p w14:paraId="391D1766">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六、严格遵守政府采购法、民法典等法律，诚实守信，合法经营，坚决抵制各种违法违纪行为。</w:t>
      </w:r>
    </w:p>
    <w:p w14:paraId="7D75D083">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如违反上述承诺，你单位有权立即取消我单位应标、中标或在建项目的资格，有权拒绝我单位在一定时期内进入你单位进行工程建设或其他经营活动，并通报市政府采购办。由此引起的相应损失均由我单位承担。</w:t>
      </w:r>
    </w:p>
    <w:p w14:paraId="1C282756">
      <w:pPr>
        <w:autoSpaceDE w:val="0"/>
        <w:autoSpaceDN w:val="0"/>
        <w:adjustRightInd w:val="0"/>
        <w:spacing w:line="360" w:lineRule="auto"/>
        <w:rPr>
          <w:rFonts w:hint="eastAsia" w:ascii="宋体" w:hAnsi="宋体" w:eastAsia="宋体" w:cs="宋体"/>
          <w:bCs/>
          <w:color w:val="auto"/>
          <w:szCs w:val="21"/>
          <w:highlight w:val="none"/>
        </w:rPr>
      </w:pPr>
    </w:p>
    <w:p w14:paraId="49318B6A">
      <w:pPr>
        <w:autoSpaceDE w:val="0"/>
        <w:autoSpaceDN w:val="0"/>
        <w:adjustRightInd w:val="0"/>
        <w:spacing w:line="360" w:lineRule="auto"/>
        <w:rPr>
          <w:rFonts w:hint="eastAsia" w:ascii="宋体" w:hAnsi="宋体" w:eastAsia="宋体" w:cs="宋体"/>
          <w:bCs/>
          <w:color w:val="auto"/>
          <w:szCs w:val="21"/>
          <w:highlight w:val="none"/>
        </w:rPr>
      </w:pPr>
    </w:p>
    <w:p w14:paraId="38056AFD">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投标人（盖公章）：                </w:t>
      </w:r>
    </w:p>
    <w:p w14:paraId="13B672CC">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法定代表人（签字或盖章）：                             </w:t>
      </w:r>
    </w:p>
    <w:p w14:paraId="6086FF39">
      <w:pPr>
        <w:autoSpaceDE w:val="0"/>
        <w:autoSpaceDN w:val="0"/>
        <w:adjustRightInd w:val="0"/>
        <w:spacing w:line="360" w:lineRule="auto"/>
        <w:rPr>
          <w:rFonts w:hint="eastAsia" w:ascii="宋体" w:hAnsi="宋体" w:eastAsia="宋体" w:cs="宋体"/>
          <w:bCs/>
          <w:color w:val="auto"/>
          <w:szCs w:val="21"/>
          <w:highlight w:val="none"/>
        </w:rPr>
      </w:pPr>
    </w:p>
    <w:p w14:paraId="2668711E">
      <w:pPr>
        <w:autoSpaceDE w:val="0"/>
        <w:autoSpaceDN w:val="0"/>
        <w:adjustRightInd w:val="0"/>
        <w:spacing w:line="360" w:lineRule="auto"/>
        <w:rPr>
          <w:rFonts w:hint="eastAsia" w:ascii="宋体" w:hAnsi="宋体" w:eastAsia="宋体" w:cs="宋体"/>
          <w:bCs/>
          <w:color w:val="auto"/>
          <w:szCs w:val="21"/>
          <w:highlight w:val="none"/>
        </w:rPr>
      </w:pPr>
    </w:p>
    <w:p w14:paraId="07F7738C">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pacing w:val="20"/>
          <w:highlight w:val="none"/>
        </w:rPr>
        <w:t xml:space="preserve">  </w:t>
      </w:r>
      <w:r>
        <w:rPr>
          <w:rFonts w:hint="eastAsia" w:ascii="宋体" w:hAnsi="宋体" w:eastAsia="宋体" w:cs="宋体"/>
          <w:color w:val="auto"/>
          <w:highlight w:val="none"/>
        </w:rPr>
        <w:t>年  月  日</w:t>
      </w:r>
    </w:p>
    <w:p w14:paraId="7A0073F2">
      <w:pPr>
        <w:adjustRightInd w:val="0"/>
        <w:spacing w:line="360" w:lineRule="auto"/>
        <w:jc w:val="center"/>
        <w:rPr>
          <w:rFonts w:hint="eastAsia" w:ascii="宋体" w:hAnsi="宋体" w:eastAsia="宋体" w:cs="宋体"/>
          <w:b/>
          <w:color w:val="auto"/>
          <w:sz w:val="24"/>
          <w:highlight w:val="none"/>
        </w:rPr>
      </w:pPr>
    </w:p>
    <w:p w14:paraId="2897E598">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4.8类似业绩</w:t>
      </w:r>
    </w:p>
    <w:p w14:paraId="45B73856">
      <w:pPr>
        <w:snapToGrid w:val="0"/>
        <w:spacing w:line="360" w:lineRule="auto"/>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投标人曾承担过的类似项目业绩一览表</w:t>
      </w:r>
    </w:p>
    <w:tbl>
      <w:tblPr>
        <w:tblStyle w:val="4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44"/>
        <w:gridCol w:w="1331"/>
        <w:gridCol w:w="1763"/>
        <w:gridCol w:w="2597"/>
      </w:tblGrid>
      <w:tr w14:paraId="72F0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Align w:val="center"/>
          </w:tcPr>
          <w:p w14:paraId="5C85AE0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 号</w:t>
            </w:r>
          </w:p>
        </w:tc>
        <w:tc>
          <w:tcPr>
            <w:tcW w:w="2344" w:type="dxa"/>
            <w:vAlign w:val="center"/>
          </w:tcPr>
          <w:p w14:paraId="57EA7AC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331" w:type="dxa"/>
            <w:vAlign w:val="center"/>
          </w:tcPr>
          <w:p w14:paraId="22DA699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合同签订时间</w:t>
            </w:r>
          </w:p>
        </w:tc>
        <w:tc>
          <w:tcPr>
            <w:tcW w:w="1763" w:type="dxa"/>
            <w:vAlign w:val="center"/>
          </w:tcPr>
          <w:p w14:paraId="3B1CA65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项目负责人</w:t>
            </w:r>
          </w:p>
        </w:tc>
        <w:tc>
          <w:tcPr>
            <w:tcW w:w="2597" w:type="dxa"/>
            <w:vAlign w:val="center"/>
          </w:tcPr>
          <w:p w14:paraId="134DE2A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业主单位全称/联系人/联系电话</w:t>
            </w:r>
          </w:p>
        </w:tc>
      </w:tr>
      <w:tr w14:paraId="460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5F43430">
            <w:pPr>
              <w:rPr>
                <w:rFonts w:hint="eastAsia" w:ascii="宋体" w:hAnsi="宋体" w:eastAsia="宋体" w:cs="宋体"/>
                <w:color w:val="auto"/>
                <w:szCs w:val="21"/>
                <w:highlight w:val="none"/>
              </w:rPr>
            </w:pPr>
          </w:p>
        </w:tc>
        <w:tc>
          <w:tcPr>
            <w:tcW w:w="2344" w:type="dxa"/>
            <w:vAlign w:val="center"/>
          </w:tcPr>
          <w:p w14:paraId="168A93D4">
            <w:pPr>
              <w:rPr>
                <w:rFonts w:hint="eastAsia" w:ascii="宋体" w:hAnsi="宋体" w:eastAsia="宋体" w:cs="宋体"/>
                <w:color w:val="auto"/>
                <w:szCs w:val="21"/>
                <w:highlight w:val="none"/>
              </w:rPr>
            </w:pPr>
          </w:p>
        </w:tc>
        <w:tc>
          <w:tcPr>
            <w:tcW w:w="1331" w:type="dxa"/>
            <w:vAlign w:val="center"/>
          </w:tcPr>
          <w:p w14:paraId="695EF157">
            <w:pPr>
              <w:rPr>
                <w:rFonts w:hint="eastAsia" w:ascii="宋体" w:hAnsi="宋体" w:eastAsia="宋体" w:cs="宋体"/>
                <w:color w:val="auto"/>
                <w:szCs w:val="21"/>
                <w:highlight w:val="none"/>
              </w:rPr>
            </w:pPr>
          </w:p>
        </w:tc>
        <w:tc>
          <w:tcPr>
            <w:tcW w:w="1763" w:type="dxa"/>
            <w:vAlign w:val="center"/>
          </w:tcPr>
          <w:p w14:paraId="6CB7119E">
            <w:pPr>
              <w:rPr>
                <w:rFonts w:hint="eastAsia" w:ascii="宋体" w:hAnsi="宋体" w:eastAsia="宋体" w:cs="宋体"/>
                <w:color w:val="auto"/>
                <w:szCs w:val="21"/>
                <w:highlight w:val="none"/>
              </w:rPr>
            </w:pPr>
          </w:p>
        </w:tc>
        <w:tc>
          <w:tcPr>
            <w:tcW w:w="2597" w:type="dxa"/>
            <w:vAlign w:val="center"/>
          </w:tcPr>
          <w:p w14:paraId="1A28FDD4">
            <w:pPr>
              <w:rPr>
                <w:rFonts w:hint="eastAsia" w:ascii="宋体" w:hAnsi="宋体" w:eastAsia="宋体" w:cs="宋体"/>
                <w:color w:val="auto"/>
                <w:szCs w:val="21"/>
                <w:highlight w:val="none"/>
              </w:rPr>
            </w:pPr>
          </w:p>
        </w:tc>
      </w:tr>
      <w:tr w14:paraId="5B22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1DCBE0A">
            <w:pPr>
              <w:rPr>
                <w:rFonts w:hint="eastAsia" w:ascii="宋体" w:hAnsi="宋体" w:eastAsia="宋体" w:cs="宋体"/>
                <w:color w:val="auto"/>
                <w:szCs w:val="21"/>
                <w:highlight w:val="none"/>
              </w:rPr>
            </w:pPr>
          </w:p>
        </w:tc>
        <w:tc>
          <w:tcPr>
            <w:tcW w:w="2344" w:type="dxa"/>
            <w:vAlign w:val="center"/>
          </w:tcPr>
          <w:p w14:paraId="0437FA9B">
            <w:pPr>
              <w:rPr>
                <w:rFonts w:hint="eastAsia" w:ascii="宋体" w:hAnsi="宋体" w:eastAsia="宋体" w:cs="宋体"/>
                <w:color w:val="auto"/>
                <w:szCs w:val="21"/>
                <w:highlight w:val="none"/>
              </w:rPr>
            </w:pPr>
          </w:p>
        </w:tc>
        <w:tc>
          <w:tcPr>
            <w:tcW w:w="1331" w:type="dxa"/>
            <w:vAlign w:val="center"/>
          </w:tcPr>
          <w:p w14:paraId="2600471A">
            <w:pPr>
              <w:rPr>
                <w:rFonts w:hint="eastAsia" w:ascii="宋体" w:hAnsi="宋体" w:eastAsia="宋体" w:cs="宋体"/>
                <w:color w:val="auto"/>
                <w:szCs w:val="21"/>
                <w:highlight w:val="none"/>
              </w:rPr>
            </w:pPr>
          </w:p>
        </w:tc>
        <w:tc>
          <w:tcPr>
            <w:tcW w:w="1763" w:type="dxa"/>
            <w:vAlign w:val="center"/>
          </w:tcPr>
          <w:p w14:paraId="635962AF">
            <w:pPr>
              <w:rPr>
                <w:rFonts w:hint="eastAsia" w:ascii="宋体" w:hAnsi="宋体" w:eastAsia="宋体" w:cs="宋体"/>
                <w:color w:val="auto"/>
                <w:szCs w:val="21"/>
                <w:highlight w:val="none"/>
              </w:rPr>
            </w:pPr>
          </w:p>
        </w:tc>
        <w:tc>
          <w:tcPr>
            <w:tcW w:w="2597" w:type="dxa"/>
            <w:vAlign w:val="center"/>
          </w:tcPr>
          <w:p w14:paraId="39681A0F">
            <w:pPr>
              <w:rPr>
                <w:rFonts w:hint="eastAsia" w:ascii="宋体" w:hAnsi="宋体" w:eastAsia="宋体" w:cs="宋体"/>
                <w:color w:val="auto"/>
                <w:szCs w:val="21"/>
                <w:highlight w:val="none"/>
              </w:rPr>
            </w:pPr>
          </w:p>
        </w:tc>
      </w:tr>
      <w:tr w14:paraId="56D0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A974B31">
            <w:pPr>
              <w:rPr>
                <w:rFonts w:hint="eastAsia" w:ascii="宋体" w:hAnsi="宋体" w:eastAsia="宋体" w:cs="宋体"/>
                <w:color w:val="auto"/>
                <w:szCs w:val="21"/>
                <w:highlight w:val="none"/>
              </w:rPr>
            </w:pPr>
          </w:p>
        </w:tc>
        <w:tc>
          <w:tcPr>
            <w:tcW w:w="2344" w:type="dxa"/>
            <w:vAlign w:val="center"/>
          </w:tcPr>
          <w:p w14:paraId="6A017ED7">
            <w:pPr>
              <w:rPr>
                <w:rFonts w:hint="eastAsia" w:ascii="宋体" w:hAnsi="宋体" w:eastAsia="宋体" w:cs="宋体"/>
                <w:color w:val="auto"/>
                <w:szCs w:val="21"/>
                <w:highlight w:val="none"/>
              </w:rPr>
            </w:pPr>
          </w:p>
        </w:tc>
        <w:tc>
          <w:tcPr>
            <w:tcW w:w="1331" w:type="dxa"/>
            <w:vAlign w:val="center"/>
          </w:tcPr>
          <w:p w14:paraId="2B9B4E41">
            <w:pPr>
              <w:rPr>
                <w:rFonts w:hint="eastAsia" w:ascii="宋体" w:hAnsi="宋体" w:eastAsia="宋体" w:cs="宋体"/>
                <w:color w:val="auto"/>
                <w:szCs w:val="21"/>
                <w:highlight w:val="none"/>
              </w:rPr>
            </w:pPr>
          </w:p>
        </w:tc>
        <w:tc>
          <w:tcPr>
            <w:tcW w:w="1763" w:type="dxa"/>
            <w:vAlign w:val="center"/>
          </w:tcPr>
          <w:p w14:paraId="4DF93758">
            <w:pPr>
              <w:rPr>
                <w:rFonts w:hint="eastAsia" w:ascii="宋体" w:hAnsi="宋体" w:eastAsia="宋体" w:cs="宋体"/>
                <w:color w:val="auto"/>
                <w:szCs w:val="21"/>
                <w:highlight w:val="none"/>
              </w:rPr>
            </w:pPr>
          </w:p>
        </w:tc>
        <w:tc>
          <w:tcPr>
            <w:tcW w:w="2597" w:type="dxa"/>
            <w:vAlign w:val="center"/>
          </w:tcPr>
          <w:p w14:paraId="5C127827">
            <w:pPr>
              <w:rPr>
                <w:rFonts w:hint="eastAsia" w:ascii="宋体" w:hAnsi="宋体" w:eastAsia="宋体" w:cs="宋体"/>
                <w:color w:val="auto"/>
                <w:szCs w:val="21"/>
                <w:highlight w:val="none"/>
              </w:rPr>
            </w:pPr>
          </w:p>
        </w:tc>
      </w:tr>
      <w:tr w14:paraId="4503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D7B7677">
            <w:pPr>
              <w:rPr>
                <w:rFonts w:hint="eastAsia" w:ascii="宋体" w:hAnsi="宋体" w:eastAsia="宋体" w:cs="宋体"/>
                <w:color w:val="auto"/>
                <w:szCs w:val="21"/>
                <w:highlight w:val="none"/>
              </w:rPr>
            </w:pPr>
          </w:p>
        </w:tc>
        <w:tc>
          <w:tcPr>
            <w:tcW w:w="2344" w:type="dxa"/>
            <w:vAlign w:val="center"/>
          </w:tcPr>
          <w:p w14:paraId="3D772935">
            <w:pPr>
              <w:rPr>
                <w:rFonts w:hint="eastAsia" w:ascii="宋体" w:hAnsi="宋体" w:eastAsia="宋体" w:cs="宋体"/>
                <w:color w:val="auto"/>
                <w:szCs w:val="21"/>
                <w:highlight w:val="none"/>
              </w:rPr>
            </w:pPr>
          </w:p>
        </w:tc>
        <w:tc>
          <w:tcPr>
            <w:tcW w:w="1331" w:type="dxa"/>
            <w:vAlign w:val="center"/>
          </w:tcPr>
          <w:p w14:paraId="03D30BB0">
            <w:pPr>
              <w:rPr>
                <w:rFonts w:hint="eastAsia" w:ascii="宋体" w:hAnsi="宋体" w:eastAsia="宋体" w:cs="宋体"/>
                <w:color w:val="auto"/>
                <w:szCs w:val="21"/>
                <w:highlight w:val="none"/>
              </w:rPr>
            </w:pPr>
          </w:p>
        </w:tc>
        <w:tc>
          <w:tcPr>
            <w:tcW w:w="1763" w:type="dxa"/>
            <w:vAlign w:val="center"/>
          </w:tcPr>
          <w:p w14:paraId="5189BB4B">
            <w:pPr>
              <w:rPr>
                <w:rFonts w:hint="eastAsia" w:ascii="宋体" w:hAnsi="宋体" w:eastAsia="宋体" w:cs="宋体"/>
                <w:color w:val="auto"/>
                <w:szCs w:val="21"/>
                <w:highlight w:val="none"/>
              </w:rPr>
            </w:pPr>
          </w:p>
        </w:tc>
        <w:tc>
          <w:tcPr>
            <w:tcW w:w="2597" w:type="dxa"/>
            <w:vAlign w:val="center"/>
          </w:tcPr>
          <w:p w14:paraId="7928CE3B">
            <w:pPr>
              <w:rPr>
                <w:rFonts w:hint="eastAsia" w:ascii="宋体" w:hAnsi="宋体" w:eastAsia="宋体" w:cs="宋体"/>
                <w:color w:val="auto"/>
                <w:szCs w:val="21"/>
                <w:highlight w:val="none"/>
              </w:rPr>
            </w:pPr>
          </w:p>
        </w:tc>
      </w:tr>
      <w:tr w14:paraId="523C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7563903">
            <w:pPr>
              <w:rPr>
                <w:rFonts w:hint="eastAsia" w:ascii="宋体" w:hAnsi="宋体" w:eastAsia="宋体" w:cs="宋体"/>
                <w:color w:val="auto"/>
                <w:szCs w:val="21"/>
                <w:highlight w:val="none"/>
              </w:rPr>
            </w:pPr>
          </w:p>
        </w:tc>
        <w:tc>
          <w:tcPr>
            <w:tcW w:w="2344" w:type="dxa"/>
            <w:vAlign w:val="center"/>
          </w:tcPr>
          <w:p w14:paraId="0A977C20">
            <w:pPr>
              <w:rPr>
                <w:rFonts w:hint="eastAsia" w:ascii="宋体" w:hAnsi="宋体" w:eastAsia="宋体" w:cs="宋体"/>
                <w:color w:val="auto"/>
                <w:szCs w:val="21"/>
                <w:highlight w:val="none"/>
              </w:rPr>
            </w:pPr>
          </w:p>
        </w:tc>
        <w:tc>
          <w:tcPr>
            <w:tcW w:w="1331" w:type="dxa"/>
            <w:vAlign w:val="center"/>
          </w:tcPr>
          <w:p w14:paraId="562C6FA9">
            <w:pPr>
              <w:rPr>
                <w:rFonts w:hint="eastAsia" w:ascii="宋体" w:hAnsi="宋体" w:eastAsia="宋体" w:cs="宋体"/>
                <w:color w:val="auto"/>
                <w:szCs w:val="21"/>
                <w:highlight w:val="none"/>
              </w:rPr>
            </w:pPr>
          </w:p>
        </w:tc>
        <w:tc>
          <w:tcPr>
            <w:tcW w:w="1763" w:type="dxa"/>
            <w:vAlign w:val="center"/>
          </w:tcPr>
          <w:p w14:paraId="102A9E5F">
            <w:pPr>
              <w:rPr>
                <w:rFonts w:hint="eastAsia" w:ascii="宋体" w:hAnsi="宋体" w:eastAsia="宋体" w:cs="宋体"/>
                <w:color w:val="auto"/>
                <w:szCs w:val="21"/>
                <w:highlight w:val="none"/>
              </w:rPr>
            </w:pPr>
          </w:p>
        </w:tc>
        <w:tc>
          <w:tcPr>
            <w:tcW w:w="2597" w:type="dxa"/>
            <w:vAlign w:val="center"/>
          </w:tcPr>
          <w:p w14:paraId="565B9295">
            <w:pPr>
              <w:rPr>
                <w:rFonts w:hint="eastAsia" w:ascii="宋体" w:hAnsi="宋体" w:eastAsia="宋体" w:cs="宋体"/>
                <w:color w:val="auto"/>
                <w:szCs w:val="21"/>
                <w:highlight w:val="none"/>
              </w:rPr>
            </w:pPr>
          </w:p>
        </w:tc>
      </w:tr>
      <w:tr w14:paraId="4C46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A6F89F1">
            <w:pPr>
              <w:rPr>
                <w:rFonts w:hint="eastAsia" w:ascii="宋体" w:hAnsi="宋体" w:eastAsia="宋体" w:cs="宋体"/>
                <w:color w:val="auto"/>
                <w:szCs w:val="21"/>
                <w:highlight w:val="none"/>
              </w:rPr>
            </w:pPr>
          </w:p>
        </w:tc>
        <w:tc>
          <w:tcPr>
            <w:tcW w:w="2344" w:type="dxa"/>
            <w:vAlign w:val="center"/>
          </w:tcPr>
          <w:p w14:paraId="2DDA7F94">
            <w:pPr>
              <w:rPr>
                <w:rFonts w:hint="eastAsia" w:ascii="宋体" w:hAnsi="宋体" w:eastAsia="宋体" w:cs="宋体"/>
                <w:color w:val="auto"/>
                <w:szCs w:val="21"/>
                <w:highlight w:val="none"/>
              </w:rPr>
            </w:pPr>
          </w:p>
        </w:tc>
        <w:tc>
          <w:tcPr>
            <w:tcW w:w="1331" w:type="dxa"/>
            <w:vAlign w:val="center"/>
          </w:tcPr>
          <w:p w14:paraId="3184F068">
            <w:pPr>
              <w:rPr>
                <w:rFonts w:hint="eastAsia" w:ascii="宋体" w:hAnsi="宋体" w:eastAsia="宋体" w:cs="宋体"/>
                <w:color w:val="auto"/>
                <w:szCs w:val="21"/>
                <w:highlight w:val="none"/>
              </w:rPr>
            </w:pPr>
          </w:p>
        </w:tc>
        <w:tc>
          <w:tcPr>
            <w:tcW w:w="1763" w:type="dxa"/>
            <w:vAlign w:val="center"/>
          </w:tcPr>
          <w:p w14:paraId="02650A24">
            <w:pPr>
              <w:rPr>
                <w:rFonts w:hint="eastAsia" w:ascii="宋体" w:hAnsi="宋体" w:eastAsia="宋体" w:cs="宋体"/>
                <w:color w:val="auto"/>
                <w:szCs w:val="21"/>
                <w:highlight w:val="none"/>
              </w:rPr>
            </w:pPr>
          </w:p>
        </w:tc>
        <w:tc>
          <w:tcPr>
            <w:tcW w:w="2597" w:type="dxa"/>
            <w:vAlign w:val="center"/>
          </w:tcPr>
          <w:p w14:paraId="0790D81E">
            <w:pPr>
              <w:rPr>
                <w:rFonts w:hint="eastAsia" w:ascii="宋体" w:hAnsi="宋体" w:eastAsia="宋体" w:cs="宋体"/>
                <w:color w:val="auto"/>
                <w:szCs w:val="21"/>
                <w:highlight w:val="none"/>
              </w:rPr>
            </w:pPr>
          </w:p>
        </w:tc>
      </w:tr>
      <w:tr w14:paraId="0930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7C68B68">
            <w:pPr>
              <w:rPr>
                <w:rFonts w:hint="eastAsia" w:ascii="宋体" w:hAnsi="宋体" w:eastAsia="宋体" w:cs="宋体"/>
                <w:color w:val="auto"/>
                <w:szCs w:val="21"/>
                <w:highlight w:val="none"/>
              </w:rPr>
            </w:pPr>
          </w:p>
        </w:tc>
        <w:tc>
          <w:tcPr>
            <w:tcW w:w="2344" w:type="dxa"/>
            <w:vAlign w:val="center"/>
          </w:tcPr>
          <w:p w14:paraId="2B633483">
            <w:pPr>
              <w:rPr>
                <w:rFonts w:hint="eastAsia" w:ascii="宋体" w:hAnsi="宋体" w:eastAsia="宋体" w:cs="宋体"/>
                <w:color w:val="auto"/>
                <w:szCs w:val="21"/>
                <w:highlight w:val="none"/>
              </w:rPr>
            </w:pPr>
          </w:p>
        </w:tc>
        <w:tc>
          <w:tcPr>
            <w:tcW w:w="1331" w:type="dxa"/>
            <w:vAlign w:val="center"/>
          </w:tcPr>
          <w:p w14:paraId="4B8BA6B5">
            <w:pPr>
              <w:rPr>
                <w:rFonts w:hint="eastAsia" w:ascii="宋体" w:hAnsi="宋体" w:eastAsia="宋体" w:cs="宋体"/>
                <w:color w:val="auto"/>
                <w:szCs w:val="21"/>
                <w:highlight w:val="none"/>
              </w:rPr>
            </w:pPr>
          </w:p>
        </w:tc>
        <w:tc>
          <w:tcPr>
            <w:tcW w:w="1763" w:type="dxa"/>
            <w:vAlign w:val="center"/>
          </w:tcPr>
          <w:p w14:paraId="34B2E7C5">
            <w:pPr>
              <w:rPr>
                <w:rFonts w:hint="eastAsia" w:ascii="宋体" w:hAnsi="宋体" w:eastAsia="宋体" w:cs="宋体"/>
                <w:color w:val="auto"/>
                <w:szCs w:val="21"/>
                <w:highlight w:val="none"/>
              </w:rPr>
            </w:pPr>
          </w:p>
        </w:tc>
        <w:tc>
          <w:tcPr>
            <w:tcW w:w="2597" w:type="dxa"/>
            <w:vAlign w:val="center"/>
          </w:tcPr>
          <w:p w14:paraId="1A2EA1BE">
            <w:pPr>
              <w:rPr>
                <w:rFonts w:hint="eastAsia" w:ascii="宋体" w:hAnsi="宋体" w:eastAsia="宋体" w:cs="宋体"/>
                <w:color w:val="auto"/>
                <w:szCs w:val="21"/>
                <w:highlight w:val="none"/>
              </w:rPr>
            </w:pPr>
          </w:p>
        </w:tc>
      </w:tr>
      <w:tr w14:paraId="1F38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EB8B5AC">
            <w:pPr>
              <w:rPr>
                <w:rFonts w:hint="eastAsia" w:ascii="宋体" w:hAnsi="宋体" w:eastAsia="宋体" w:cs="宋体"/>
                <w:color w:val="auto"/>
                <w:szCs w:val="21"/>
                <w:highlight w:val="none"/>
              </w:rPr>
            </w:pPr>
          </w:p>
        </w:tc>
        <w:tc>
          <w:tcPr>
            <w:tcW w:w="2344" w:type="dxa"/>
            <w:vAlign w:val="center"/>
          </w:tcPr>
          <w:p w14:paraId="17809466">
            <w:pPr>
              <w:rPr>
                <w:rFonts w:hint="eastAsia" w:ascii="宋体" w:hAnsi="宋体" w:eastAsia="宋体" w:cs="宋体"/>
                <w:color w:val="auto"/>
                <w:szCs w:val="21"/>
                <w:highlight w:val="none"/>
              </w:rPr>
            </w:pPr>
          </w:p>
        </w:tc>
        <w:tc>
          <w:tcPr>
            <w:tcW w:w="1331" w:type="dxa"/>
            <w:vAlign w:val="center"/>
          </w:tcPr>
          <w:p w14:paraId="2D41ED4D">
            <w:pPr>
              <w:rPr>
                <w:rFonts w:hint="eastAsia" w:ascii="宋体" w:hAnsi="宋体" w:eastAsia="宋体" w:cs="宋体"/>
                <w:color w:val="auto"/>
                <w:szCs w:val="21"/>
                <w:highlight w:val="none"/>
              </w:rPr>
            </w:pPr>
          </w:p>
        </w:tc>
        <w:tc>
          <w:tcPr>
            <w:tcW w:w="1763" w:type="dxa"/>
            <w:vAlign w:val="center"/>
          </w:tcPr>
          <w:p w14:paraId="0BE3FB93">
            <w:pPr>
              <w:rPr>
                <w:rFonts w:hint="eastAsia" w:ascii="宋体" w:hAnsi="宋体" w:eastAsia="宋体" w:cs="宋体"/>
                <w:color w:val="auto"/>
                <w:szCs w:val="21"/>
                <w:highlight w:val="none"/>
              </w:rPr>
            </w:pPr>
          </w:p>
        </w:tc>
        <w:tc>
          <w:tcPr>
            <w:tcW w:w="2597" w:type="dxa"/>
            <w:vAlign w:val="center"/>
          </w:tcPr>
          <w:p w14:paraId="3568FB5B">
            <w:pPr>
              <w:rPr>
                <w:rFonts w:hint="eastAsia" w:ascii="宋体" w:hAnsi="宋体" w:eastAsia="宋体" w:cs="宋体"/>
                <w:color w:val="auto"/>
                <w:szCs w:val="21"/>
                <w:highlight w:val="none"/>
              </w:rPr>
            </w:pPr>
          </w:p>
        </w:tc>
      </w:tr>
      <w:tr w14:paraId="5E6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4495170">
            <w:pPr>
              <w:rPr>
                <w:rFonts w:hint="eastAsia" w:ascii="宋体" w:hAnsi="宋体" w:eastAsia="宋体" w:cs="宋体"/>
                <w:color w:val="auto"/>
                <w:szCs w:val="21"/>
                <w:highlight w:val="none"/>
              </w:rPr>
            </w:pPr>
          </w:p>
        </w:tc>
        <w:tc>
          <w:tcPr>
            <w:tcW w:w="2344" w:type="dxa"/>
            <w:vAlign w:val="center"/>
          </w:tcPr>
          <w:p w14:paraId="66CB5828">
            <w:pPr>
              <w:rPr>
                <w:rFonts w:hint="eastAsia" w:ascii="宋体" w:hAnsi="宋体" w:eastAsia="宋体" w:cs="宋体"/>
                <w:color w:val="auto"/>
                <w:szCs w:val="21"/>
                <w:highlight w:val="none"/>
              </w:rPr>
            </w:pPr>
          </w:p>
        </w:tc>
        <w:tc>
          <w:tcPr>
            <w:tcW w:w="1331" w:type="dxa"/>
            <w:vAlign w:val="center"/>
          </w:tcPr>
          <w:p w14:paraId="30EB6974">
            <w:pPr>
              <w:rPr>
                <w:rFonts w:hint="eastAsia" w:ascii="宋体" w:hAnsi="宋体" w:eastAsia="宋体" w:cs="宋体"/>
                <w:color w:val="auto"/>
                <w:szCs w:val="21"/>
                <w:highlight w:val="none"/>
              </w:rPr>
            </w:pPr>
          </w:p>
        </w:tc>
        <w:tc>
          <w:tcPr>
            <w:tcW w:w="1763" w:type="dxa"/>
            <w:vAlign w:val="center"/>
          </w:tcPr>
          <w:p w14:paraId="254EA899">
            <w:pPr>
              <w:rPr>
                <w:rFonts w:hint="eastAsia" w:ascii="宋体" w:hAnsi="宋体" w:eastAsia="宋体" w:cs="宋体"/>
                <w:color w:val="auto"/>
                <w:szCs w:val="21"/>
                <w:highlight w:val="none"/>
              </w:rPr>
            </w:pPr>
          </w:p>
        </w:tc>
        <w:tc>
          <w:tcPr>
            <w:tcW w:w="2597" w:type="dxa"/>
            <w:vAlign w:val="center"/>
          </w:tcPr>
          <w:p w14:paraId="4F544F68">
            <w:pPr>
              <w:rPr>
                <w:rFonts w:hint="eastAsia" w:ascii="宋体" w:hAnsi="宋体" w:eastAsia="宋体" w:cs="宋体"/>
                <w:color w:val="auto"/>
                <w:szCs w:val="21"/>
                <w:highlight w:val="none"/>
              </w:rPr>
            </w:pPr>
          </w:p>
        </w:tc>
      </w:tr>
      <w:tr w14:paraId="754D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75009AF">
            <w:pPr>
              <w:rPr>
                <w:rFonts w:hint="eastAsia" w:ascii="宋体" w:hAnsi="宋体" w:eastAsia="宋体" w:cs="宋体"/>
                <w:color w:val="auto"/>
                <w:szCs w:val="21"/>
                <w:highlight w:val="none"/>
              </w:rPr>
            </w:pPr>
          </w:p>
        </w:tc>
        <w:tc>
          <w:tcPr>
            <w:tcW w:w="2344" w:type="dxa"/>
            <w:vAlign w:val="center"/>
          </w:tcPr>
          <w:p w14:paraId="53E9F6E0">
            <w:pPr>
              <w:rPr>
                <w:rFonts w:hint="eastAsia" w:ascii="宋体" w:hAnsi="宋体" w:eastAsia="宋体" w:cs="宋体"/>
                <w:color w:val="auto"/>
                <w:szCs w:val="21"/>
                <w:highlight w:val="none"/>
              </w:rPr>
            </w:pPr>
          </w:p>
        </w:tc>
        <w:tc>
          <w:tcPr>
            <w:tcW w:w="1331" w:type="dxa"/>
            <w:vAlign w:val="center"/>
          </w:tcPr>
          <w:p w14:paraId="249945B7">
            <w:pPr>
              <w:rPr>
                <w:rFonts w:hint="eastAsia" w:ascii="宋体" w:hAnsi="宋体" w:eastAsia="宋体" w:cs="宋体"/>
                <w:color w:val="auto"/>
                <w:szCs w:val="21"/>
                <w:highlight w:val="none"/>
              </w:rPr>
            </w:pPr>
          </w:p>
        </w:tc>
        <w:tc>
          <w:tcPr>
            <w:tcW w:w="1763" w:type="dxa"/>
            <w:vAlign w:val="center"/>
          </w:tcPr>
          <w:p w14:paraId="1217453B">
            <w:pPr>
              <w:rPr>
                <w:rFonts w:hint="eastAsia" w:ascii="宋体" w:hAnsi="宋体" w:eastAsia="宋体" w:cs="宋体"/>
                <w:color w:val="auto"/>
                <w:szCs w:val="21"/>
                <w:highlight w:val="none"/>
              </w:rPr>
            </w:pPr>
          </w:p>
        </w:tc>
        <w:tc>
          <w:tcPr>
            <w:tcW w:w="2597" w:type="dxa"/>
            <w:vAlign w:val="center"/>
          </w:tcPr>
          <w:p w14:paraId="2BFE0961">
            <w:pPr>
              <w:rPr>
                <w:rFonts w:hint="eastAsia" w:ascii="宋体" w:hAnsi="宋体" w:eastAsia="宋体" w:cs="宋体"/>
                <w:color w:val="auto"/>
                <w:szCs w:val="21"/>
                <w:highlight w:val="none"/>
              </w:rPr>
            </w:pPr>
          </w:p>
        </w:tc>
      </w:tr>
      <w:tr w14:paraId="0CE7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326868E">
            <w:pPr>
              <w:rPr>
                <w:rFonts w:hint="eastAsia" w:ascii="宋体" w:hAnsi="宋体" w:eastAsia="宋体" w:cs="宋体"/>
                <w:color w:val="auto"/>
                <w:szCs w:val="21"/>
                <w:highlight w:val="none"/>
              </w:rPr>
            </w:pPr>
          </w:p>
        </w:tc>
        <w:tc>
          <w:tcPr>
            <w:tcW w:w="2344" w:type="dxa"/>
            <w:vAlign w:val="center"/>
          </w:tcPr>
          <w:p w14:paraId="1BB070C5">
            <w:pPr>
              <w:rPr>
                <w:rFonts w:hint="eastAsia" w:ascii="宋体" w:hAnsi="宋体" w:eastAsia="宋体" w:cs="宋体"/>
                <w:color w:val="auto"/>
                <w:szCs w:val="21"/>
                <w:highlight w:val="none"/>
              </w:rPr>
            </w:pPr>
          </w:p>
        </w:tc>
        <w:tc>
          <w:tcPr>
            <w:tcW w:w="1331" w:type="dxa"/>
            <w:vAlign w:val="center"/>
          </w:tcPr>
          <w:p w14:paraId="45983664">
            <w:pPr>
              <w:rPr>
                <w:rFonts w:hint="eastAsia" w:ascii="宋体" w:hAnsi="宋体" w:eastAsia="宋体" w:cs="宋体"/>
                <w:color w:val="auto"/>
                <w:szCs w:val="21"/>
                <w:highlight w:val="none"/>
              </w:rPr>
            </w:pPr>
          </w:p>
        </w:tc>
        <w:tc>
          <w:tcPr>
            <w:tcW w:w="1763" w:type="dxa"/>
            <w:vAlign w:val="center"/>
          </w:tcPr>
          <w:p w14:paraId="3CE5AF01">
            <w:pPr>
              <w:rPr>
                <w:rFonts w:hint="eastAsia" w:ascii="宋体" w:hAnsi="宋体" w:eastAsia="宋体" w:cs="宋体"/>
                <w:color w:val="auto"/>
                <w:szCs w:val="21"/>
                <w:highlight w:val="none"/>
              </w:rPr>
            </w:pPr>
          </w:p>
        </w:tc>
        <w:tc>
          <w:tcPr>
            <w:tcW w:w="2597" w:type="dxa"/>
            <w:vAlign w:val="center"/>
          </w:tcPr>
          <w:p w14:paraId="292AE23E">
            <w:pPr>
              <w:rPr>
                <w:rFonts w:hint="eastAsia" w:ascii="宋体" w:hAnsi="宋体" w:eastAsia="宋体" w:cs="宋体"/>
                <w:color w:val="auto"/>
                <w:szCs w:val="21"/>
                <w:highlight w:val="none"/>
              </w:rPr>
            </w:pPr>
          </w:p>
        </w:tc>
      </w:tr>
      <w:tr w14:paraId="1EE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14:paraId="4CD6C8CB">
            <w:pPr>
              <w:rPr>
                <w:rFonts w:hint="eastAsia" w:ascii="宋体" w:hAnsi="宋体" w:eastAsia="宋体" w:cs="宋体"/>
                <w:color w:val="auto"/>
                <w:szCs w:val="21"/>
                <w:highlight w:val="none"/>
              </w:rPr>
            </w:pPr>
          </w:p>
        </w:tc>
        <w:tc>
          <w:tcPr>
            <w:tcW w:w="2344" w:type="dxa"/>
            <w:vAlign w:val="center"/>
          </w:tcPr>
          <w:p w14:paraId="3EDBBF14">
            <w:pPr>
              <w:rPr>
                <w:rFonts w:hint="eastAsia" w:ascii="宋体" w:hAnsi="宋体" w:eastAsia="宋体" w:cs="宋体"/>
                <w:color w:val="auto"/>
                <w:szCs w:val="21"/>
                <w:highlight w:val="none"/>
              </w:rPr>
            </w:pPr>
          </w:p>
        </w:tc>
        <w:tc>
          <w:tcPr>
            <w:tcW w:w="1331" w:type="dxa"/>
            <w:vAlign w:val="center"/>
          </w:tcPr>
          <w:p w14:paraId="6D91A44C">
            <w:pPr>
              <w:rPr>
                <w:rFonts w:hint="eastAsia" w:ascii="宋体" w:hAnsi="宋体" w:eastAsia="宋体" w:cs="宋体"/>
                <w:color w:val="auto"/>
                <w:szCs w:val="21"/>
                <w:highlight w:val="none"/>
              </w:rPr>
            </w:pPr>
          </w:p>
        </w:tc>
        <w:tc>
          <w:tcPr>
            <w:tcW w:w="1763" w:type="dxa"/>
            <w:vAlign w:val="center"/>
          </w:tcPr>
          <w:p w14:paraId="4C70F43C">
            <w:pPr>
              <w:rPr>
                <w:rFonts w:hint="eastAsia" w:ascii="宋体" w:hAnsi="宋体" w:eastAsia="宋体" w:cs="宋体"/>
                <w:color w:val="auto"/>
                <w:szCs w:val="21"/>
                <w:highlight w:val="none"/>
              </w:rPr>
            </w:pPr>
          </w:p>
        </w:tc>
        <w:tc>
          <w:tcPr>
            <w:tcW w:w="2597" w:type="dxa"/>
            <w:vAlign w:val="center"/>
          </w:tcPr>
          <w:p w14:paraId="247A0AF4">
            <w:pPr>
              <w:rPr>
                <w:rFonts w:hint="eastAsia" w:ascii="宋体" w:hAnsi="宋体" w:eastAsia="宋体" w:cs="宋体"/>
                <w:color w:val="auto"/>
                <w:szCs w:val="21"/>
                <w:highlight w:val="none"/>
              </w:rPr>
            </w:pPr>
          </w:p>
        </w:tc>
      </w:tr>
    </w:tbl>
    <w:p w14:paraId="14E2AFFF">
      <w:pPr>
        <w:tabs>
          <w:tab w:val="left" w:pos="744"/>
        </w:tabs>
        <w:spacing w:line="400" w:lineRule="exact"/>
        <w:ind w:firstLine="308" w:firstLineChars="147"/>
        <w:rPr>
          <w:rFonts w:hint="eastAsia" w:ascii="宋体" w:hAnsi="宋体" w:eastAsia="宋体" w:cs="宋体"/>
          <w:color w:val="auto"/>
          <w:highlight w:val="none"/>
        </w:rPr>
      </w:pPr>
      <w:r>
        <w:rPr>
          <w:rFonts w:hint="eastAsia" w:ascii="宋体" w:hAnsi="宋体" w:eastAsia="宋体" w:cs="宋体"/>
          <w:color w:val="auto"/>
          <w:highlight w:val="none"/>
        </w:rPr>
        <w:t>注：表中所列业绩如与评分有关的，出具的证明材料需满足评审依据，否则不予得分。</w:t>
      </w:r>
    </w:p>
    <w:p w14:paraId="1A3B5614">
      <w:pPr>
        <w:tabs>
          <w:tab w:val="left" w:pos="744"/>
        </w:tabs>
        <w:spacing w:line="400" w:lineRule="exact"/>
        <w:ind w:firstLine="308" w:firstLineChars="147"/>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687AD5E">
      <w:pPr>
        <w:rPr>
          <w:rFonts w:hint="eastAsia" w:ascii="宋体" w:hAnsi="宋体" w:eastAsia="宋体" w:cs="宋体"/>
          <w:color w:val="auto"/>
          <w:highlight w:val="none"/>
        </w:rPr>
      </w:pPr>
    </w:p>
    <w:p w14:paraId="49F0EB92">
      <w:pPr>
        <w:rPr>
          <w:rFonts w:hint="eastAsia" w:ascii="宋体" w:hAnsi="宋体" w:eastAsia="宋体" w:cs="宋体"/>
          <w:color w:val="auto"/>
          <w:highlight w:val="none"/>
        </w:rPr>
      </w:pPr>
    </w:p>
    <w:p w14:paraId="17CE14F9">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5DB3CDA1">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6A9D19FB">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48C320A1">
      <w:pPr>
        <w:widowControl/>
        <w:jc w:val="left"/>
        <w:rPr>
          <w:rFonts w:hint="eastAsia" w:ascii="宋体" w:hAnsi="宋体" w:eastAsia="宋体" w:cs="宋体"/>
          <w:b/>
          <w:bCs/>
          <w:color w:val="auto"/>
          <w:szCs w:val="21"/>
          <w:highlight w:val="none"/>
        </w:rPr>
      </w:pPr>
    </w:p>
    <w:p w14:paraId="277B1090">
      <w:pPr>
        <w:widowControl/>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2DA48406">
      <w:pPr>
        <w:adjustRightInd w:val="0"/>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Cs w:val="21"/>
          <w:highlight w:val="none"/>
        </w:rPr>
        <w:t>4.9合同条款偏离表/商务条款偏离表</w:t>
      </w:r>
    </w:p>
    <w:p w14:paraId="21C80F1E">
      <w:pPr>
        <w:adjustRightInd w:val="0"/>
        <w:spacing w:line="360" w:lineRule="auto"/>
        <w:jc w:val="center"/>
        <w:rPr>
          <w:rFonts w:hint="eastAsia" w:ascii="宋体" w:hAnsi="宋体" w:eastAsia="宋体" w:cs="宋体"/>
          <w:b/>
          <w:color w:val="auto"/>
          <w:sz w:val="32"/>
          <w:szCs w:val="32"/>
          <w:highlight w:val="none"/>
        </w:rPr>
      </w:pPr>
    </w:p>
    <w:p w14:paraId="1BC56BDF">
      <w:pPr>
        <w:adjustRightIn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合同条款偏离表/商务条款偏离表</w:t>
      </w:r>
    </w:p>
    <w:p w14:paraId="6FCE3C2B">
      <w:pPr>
        <w:adjustRightInd w:val="0"/>
        <w:spacing w:line="360" w:lineRule="auto"/>
        <w:ind w:firstLine="435"/>
        <w:jc w:val="left"/>
        <w:rPr>
          <w:rFonts w:hint="eastAsia" w:ascii="宋体" w:hAnsi="宋体" w:eastAsia="宋体" w:cs="宋体"/>
          <w:color w:val="auto"/>
          <w:sz w:val="18"/>
          <w:highlight w:val="none"/>
        </w:rPr>
      </w:pPr>
    </w:p>
    <w:tbl>
      <w:tblPr>
        <w:tblStyle w:val="4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2667"/>
        <w:gridCol w:w="3240"/>
        <w:gridCol w:w="1980"/>
      </w:tblGrid>
      <w:tr w14:paraId="4C4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21" w:type="dxa"/>
            <w:vAlign w:val="center"/>
          </w:tcPr>
          <w:p w14:paraId="2A6510F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67" w:type="dxa"/>
            <w:vAlign w:val="center"/>
          </w:tcPr>
          <w:p w14:paraId="1038D3C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3240" w:type="dxa"/>
            <w:vAlign w:val="center"/>
          </w:tcPr>
          <w:p w14:paraId="5E0896FC">
            <w:pPr>
              <w:widowControl/>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投标文件对应条款</w:t>
            </w:r>
          </w:p>
        </w:tc>
        <w:tc>
          <w:tcPr>
            <w:tcW w:w="1980" w:type="dxa"/>
            <w:vAlign w:val="center"/>
          </w:tcPr>
          <w:p w14:paraId="221E5F4C">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E8D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1" w:type="dxa"/>
          </w:tcPr>
          <w:p w14:paraId="1D0E9048">
            <w:pPr>
              <w:adjustRightInd w:val="0"/>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67" w:type="dxa"/>
            <w:vAlign w:val="center"/>
          </w:tcPr>
          <w:p w14:paraId="332CCBC5">
            <w:pPr>
              <w:adjustRightInd w:val="0"/>
              <w:spacing w:line="360" w:lineRule="auto"/>
              <w:jc w:val="center"/>
              <w:rPr>
                <w:rFonts w:hint="eastAsia" w:ascii="宋体" w:hAnsi="宋体" w:eastAsia="宋体" w:cs="宋体"/>
                <w:color w:val="auto"/>
                <w:szCs w:val="21"/>
                <w:highlight w:val="none"/>
              </w:rPr>
            </w:pPr>
          </w:p>
        </w:tc>
        <w:tc>
          <w:tcPr>
            <w:tcW w:w="3240" w:type="dxa"/>
            <w:vAlign w:val="center"/>
          </w:tcPr>
          <w:p w14:paraId="06551DFC">
            <w:pPr>
              <w:pStyle w:val="146"/>
              <w:spacing w:line="360" w:lineRule="auto"/>
              <w:rPr>
                <w:rFonts w:hint="eastAsia" w:ascii="宋体" w:hAnsi="宋体" w:eastAsia="宋体" w:cs="宋体"/>
                <w:color w:val="auto"/>
                <w:sz w:val="21"/>
                <w:szCs w:val="21"/>
                <w:highlight w:val="none"/>
              </w:rPr>
            </w:pPr>
          </w:p>
        </w:tc>
        <w:tc>
          <w:tcPr>
            <w:tcW w:w="1980" w:type="dxa"/>
          </w:tcPr>
          <w:p w14:paraId="5E611051">
            <w:pPr>
              <w:adjustRightInd w:val="0"/>
              <w:spacing w:line="360" w:lineRule="auto"/>
              <w:rPr>
                <w:rFonts w:hint="eastAsia" w:ascii="宋体" w:hAnsi="宋体" w:eastAsia="宋体" w:cs="宋体"/>
                <w:color w:val="auto"/>
                <w:szCs w:val="21"/>
                <w:highlight w:val="none"/>
              </w:rPr>
            </w:pPr>
          </w:p>
        </w:tc>
      </w:tr>
      <w:tr w14:paraId="423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1" w:type="dxa"/>
          </w:tcPr>
          <w:p w14:paraId="62ECBCAB">
            <w:pPr>
              <w:adjustRightInd w:val="0"/>
              <w:spacing w:line="360" w:lineRule="auto"/>
              <w:ind w:firstLine="435"/>
              <w:rPr>
                <w:rFonts w:hint="eastAsia" w:ascii="宋体" w:hAnsi="宋体" w:eastAsia="宋体" w:cs="宋体"/>
                <w:color w:val="auto"/>
                <w:szCs w:val="21"/>
                <w:highlight w:val="none"/>
              </w:rPr>
            </w:pPr>
          </w:p>
        </w:tc>
        <w:tc>
          <w:tcPr>
            <w:tcW w:w="2667" w:type="dxa"/>
            <w:vAlign w:val="center"/>
          </w:tcPr>
          <w:p w14:paraId="660F6476">
            <w:pPr>
              <w:adjustRightInd w:val="0"/>
              <w:spacing w:line="360" w:lineRule="auto"/>
              <w:jc w:val="center"/>
              <w:rPr>
                <w:rFonts w:hint="eastAsia" w:ascii="宋体" w:hAnsi="宋体" w:eastAsia="宋体" w:cs="宋体"/>
                <w:color w:val="auto"/>
                <w:szCs w:val="21"/>
                <w:highlight w:val="none"/>
              </w:rPr>
            </w:pPr>
          </w:p>
        </w:tc>
        <w:tc>
          <w:tcPr>
            <w:tcW w:w="3240" w:type="dxa"/>
            <w:vAlign w:val="center"/>
          </w:tcPr>
          <w:p w14:paraId="2A8229CC">
            <w:pPr>
              <w:adjustRightInd w:val="0"/>
              <w:spacing w:line="360" w:lineRule="auto"/>
              <w:jc w:val="center"/>
              <w:rPr>
                <w:rFonts w:hint="eastAsia" w:ascii="宋体" w:hAnsi="宋体" w:eastAsia="宋体" w:cs="宋体"/>
                <w:color w:val="auto"/>
                <w:szCs w:val="21"/>
                <w:highlight w:val="none"/>
              </w:rPr>
            </w:pPr>
          </w:p>
        </w:tc>
        <w:tc>
          <w:tcPr>
            <w:tcW w:w="1980" w:type="dxa"/>
          </w:tcPr>
          <w:p w14:paraId="6DA86CC2">
            <w:pPr>
              <w:adjustRightInd w:val="0"/>
              <w:spacing w:line="360" w:lineRule="auto"/>
              <w:rPr>
                <w:rFonts w:hint="eastAsia" w:ascii="宋体" w:hAnsi="宋体" w:eastAsia="宋体" w:cs="宋体"/>
                <w:color w:val="auto"/>
                <w:szCs w:val="21"/>
                <w:highlight w:val="none"/>
              </w:rPr>
            </w:pPr>
          </w:p>
        </w:tc>
      </w:tr>
      <w:tr w14:paraId="2358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1" w:type="dxa"/>
          </w:tcPr>
          <w:p w14:paraId="3D20E28E">
            <w:pPr>
              <w:adjustRightInd w:val="0"/>
              <w:spacing w:line="360" w:lineRule="auto"/>
              <w:ind w:firstLine="435"/>
              <w:rPr>
                <w:rFonts w:hint="eastAsia" w:ascii="宋体" w:hAnsi="宋体" w:eastAsia="宋体" w:cs="宋体"/>
                <w:color w:val="auto"/>
                <w:szCs w:val="21"/>
                <w:highlight w:val="none"/>
              </w:rPr>
            </w:pPr>
          </w:p>
        </w:tc>
        <w:tc>
          <w:tcPr>
            <w:tcW w:w="2667" w:type="dxa"/>
            <w:vAlign w:val="center"/>
          </w:tcPr>
          <w:p w14:paraId="30D64691">
            <w:pPr>
              <w:adjustRightInd w:val="0"/>
              <w:spacing w:line="360" w:lineRule="auto"/>
              <w:jc w:val="center"/>
              <w:rPr>
                <w:rFonts w:hint="eastAsia" w:ascii="宋体" w:hAnsi="宋体" w:eastAsia="宋体" w:cs="宋体"/>
                <w:color w:val="auto"/>
                <w:szCs w:val="21"/>
                <w:highlight w:val="none"/>
              </w:rPr>
            </w:pPr>
          </w:p>
        </w:tc>
        <w:tc>
          <w:tcPr>
            <w:tcW w:w="3240" w:type="dxa"/>
            <w:vAlign w:val="center"/>
          </w:tcPr>
          <w:p w14:paraId="4D4E15E9">
            <w:pPr>
              <w:adjustRightInd w:val="0"/>
              <w:spacing w:line="360" w:lineRule="auto"/>
              <w:jc w:val="center"/>
              <w:rPr>
                <w:rFonts w:hint="eastAsia" w:ascii="宋体" w:hAnsi="宋体" w:eastAsia="宋体" w:cs="宋体"/>
                <w:color w:val="auto"/>
                <w:szCs w:val="21"/>
                <w:highlight w:val="none"/>
              </w:rPr>
            </w:pPr>
          </w:p>
        </w:tc>
        <w:tc>
          <w:tcPr>
            <w:tcW w:w="1980" w:type="dxa"/>
          </w:tcPr>
          <w:p w14:paraId="5E56C15A">
            <w:pPr>
              <w:adjustRightInd w:val="0"/>
              <w:spacing w:line="360" w:lineRule="auto"/>
              <w:rPr>
                <w:rFonts w:hint="eastAsia" w:ascii="宋体" w:hAnsi="宋体" w:eastAsia="宋体" w:cs="宋体"/>
                <w:color w:val="auto"/>
                <w:szCs w:val="21"/>
                <w:highlight w:val="none"/>
              </w:rPr>
            </w:pPr>
          </w:p>
        </w:tc>
      </w:tr>
      <w:tr w14:paraId="676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1" w:type="dxa"/>
          </w:tcPr>
          <w:p w14:paraId="625A1544">
            <w:pPr>
              <w:adjustRightInd w:val="0"/>
              <w:spacing w:line="360" w:lineRule="auto"/>
              <w:ind w:firstLine="435"/>
              <w:rPr>
                <w:rFonts w:hint="eastAsia" w:ascii="宋体" w:hAnsi="宋体" w:eastAsia="宋体" w:cs="宋体"/>
                <w:color w:val="auto"/>
                <w:szCs w:val="21"/>
                <w:highlight w:val="none"/>
              </w:rPr>
            </w:pPr>
          </w:p>
        </w:tc>
        <w:tc>
          <w:tcPr>
            <w:tcW w:w="2667" w:type="dxa"/>
            <w:vAlign w:val="center"/>
          </w:tcPr>
          <w:p w14:paraId="4721D9E0">
            <w:pPr>
              <w:adjustRightInd w:val="0"/>
              <w:spacing w:line="360" w:lineRule="auto"/>
              <w:jc w:val="center"/>
              <w:rPr>
                <w:rFonts w:hint="eastAsia" w:ascii="宋体" w:hAnsi="宋体" w:eastAsia="宋体" w:cs="宋体"/>
                <w:color w:val="auto"/>
                <w:szCs w:val="21"/>
                <w:highlight w:val="none"/>
              </w:rPr>
            </w:pPr>
          </w:p>
        </w:tc>
        <w:tc>
          <w:tcPr>
            <w:tcW w:w="3240" w:type="dxa"/>
          </w:tcPr>
          <w:p w14:paraId="63B513E7">
            <w:pPr>
              <w:adjustRightInd w:val="0"/>
              <w:spacing w:line="360" w:lineRule="auto"/>
              <w:jc w:val="center"/>
              <w:rPr>
                <w:rFonts w:hint="eastAsia" w:ascii="宋体" w:hAnsi="宋体" w:eastAsia="宋体" w:cs="宋体"/>
                <w:color w:val="auto"/>
                <w:szCs w:val="21"/>
                <w:highlight w:val="none"/>
              </w:rPr>
            </w:pPr>
          </w:p>
        </w:tc>
        <w:tc>
          <w:tcPr>
            <w:tcW w:w="1980" w:type="dxa"/>
          </w:tcPr>
          <w:p w14:paraId="1999D7A2">
            <w:pPr>
              <w:adjustRightInd w:val="0"/>
              <w:spacing w:line="360" w:lineRule="auto"/>
              <w:rPr>
                <w:rFonts w:hint="eastAsia" w:ascii="宋体" w:hAnsi="宋体" w:eastAsia="宋体" w:cs="宋体"/>
                <w:color w:val="auto"/>
                <w:szCs w:val="21"/>
                <w:highlight w:val="none"/>
              </w:rPr>
            </w:pPr>
          </w:p>
        </w:tc>
      </w:tr>
      <w:tr w14:paraId="5D4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1" w:type="dxa"/>
          </w:tcPr>
          <w:p w14:paraId="62DC2EF6">
            <w:pPr>
              <w:adjustRightInd w:val="0"/>
              <w:spacing w:line="360" w:lineRule="auto"/>
              <w:ind w:firstLine="435"/>
              <w:rPr>
                <w:rFonts w:hint="eastAsia" w:ascii="宋体" w:hAnsi="宋体" w:eastAsia="宋体" w:cs="宋体"/>
                <w:color w:val="auto"/>
                <w:szCs w:val="21"/>
                <w:highlight w:val="none"/>
              </w:rPr>
            </w:pPr>
          </w:p>
        </w:tc>
        <w:tc>
          <w:tcPr>
            <w:tcW w:w="2667" w:type="dxa"/>
            <w:vAlign w:val="center"/>
          </w:tcPr>
          <w:p w14:paraId="34AE9AA2">
            <w:pPr>
              <w:adjustRightInd w:val="0"/>
              <w:spacing w:line="360" w:lineRule="auto"/>
              <w:jc w:val="center"/>
              <w:rPr>
                <w:rFonts w:hint="eastAsia" w:ascii="宋体" w:hAnsi="宋体" w:eastAsia="宋体" w:cs="宋体"/>
                <w:color w:val="auto"/>
                <w:szCs w:val="21"/>
                <w:highlight w:val="none"/>
              </w:rPr>
            </w:pPr>
          </w:p>
        </w:tc>
        <w:tc>
          <w:tcPr>
            <w:tcW w:w="3240" w:type="dxa"/>
          </w:tcPr>
          <w:p w14:paraId="1E2EF8FE">
            <w:pPr>
              <w:adjustRightInd w:val="0"/>
              <w:spacing w:line="360" w:lineRule="auto"/>
              <w:jc w:val="center"/>
              <w:rPr>
                <w:rFonts w:hint="eastAsia" w:ascii="宋体" w:hAnsi="宋体" w:eastAsia="宋体" w:cs="宋体"/>
                <w:color w:val="auto"/>
                <w:szCs w:val="21"/>
                <w:highlight w:val="none"/>
              </w:rPr>
            </w:pPr>
          </w:p>
        </w:tc>
        <w:tc>
          <w:tcPr>
            <w:tcW w:w="1980" w:type="dxa"/>
          </w:tcPr>
          <w:p w14:paraId="30D55E40">
            <w:pPr>
              <w:adjustRightInd w:val="0"/>
              <w:spacing w:line="360" w:lineRule="auto"/>
              <w:rPr>
                <w:rFonts w:hint="eastAsia" w:ascii="宋体" w:hAnsi="宋体" w:eastAsia="宋体" w:cs="宋体"/>
                <w:color w:val="auto"/>
                <w:szCs w:val="21"/>
                <w:highlight w:val="none"/>
              </w:rPr>
            </w:pPr>
          </w:p>
        </w:tc>
      </w:tr>
    </w:tbl>
    <w:p w14:paraId="2C012D5A">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注：1.若不填写或只填写“无”视作完全响应招标文件的要求;</w:t>
      </w:r>
    </w:p>
    <w:p w14:paraId="570725D2">
      <w:pPr>
        <w:spacing w:line="36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2.投标人若有好的建议可附建议书。</w:t>
      </w:r>
    </w:p>
    <w:p w14:paraId="68A2ACEC">
      <w:pPr>
        <w:spacing w:line="360" w:lineRule="atLeast"/>
        <w:rPr>
          <w:rFonts w:hint="eastAsia" w:ascii="宋体" w:hAnsi="宋体" w:eastAsia="宋体" w:cs="宋体"/>
          <w:color w:val="auto"/>
          <w:szCs w:val="21"/>
          <w:highlight w:val="none"/>
        </w:rPr>
      </w:pPr>
    </w:p>
    <w:p w14:paraId="5734C576">
      <w:pPr>
        <w:spacing w:line="360" w:lineRule="atLeast"/>
        <w:rPr>
          <w:rFonts w:hint="eastAsia" w:ascii="宋体" w:hAnsi="宋体" w:eastAsia="宋体" w:cs="宋体"/>
          <w:color w:val="auto"/>
          <w:szCs w:val="21"/>
          <w:highlight w:val="none"/>
        </w:rPr>
      </w:pPr>
    </w:p>
    <w:p w14:paraId="241378BD">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3A4DD6E8">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47DD11C5">
      <w:pPr>
        <w:jc w:val="center"/>
        <w:rPr>
          <w:rFonts w:hint="eastAsia" w:ascii="宋体" w:hAnsi="宋体" w:eastAsia="宋体" w:cs="宋体"/>
          <w:b/>
          <w:bCs/>
          <w:color w:val="auto"/>
          <w:szCs w:val="21"/>
          <w:highlight w:val="none"/>
        </w:rPr>
      </w:pPr>
      <w:r>
        <w:rPr>
          <w:rFonts w:hint="eastAsia" w:ascii="宋体" w:hAnsi="宋体" w:eastAsia="宋体" w:cs="宋体"/>
          <w:snapToGrid w:val="0"/>
          <w:color w:val="auto"/>
          <w:kern w:val="0"/>
          <w:szCs w:val="21"/>
          <w:highlight w:val="none"/>
        </w:rPr>
        <w:t xml:space="preserve"> 日期：</w:t>
      </w:r>
      <w:r>
        <w:rPr>
          <w:rFonts w:hint="eastAsia" w:ascii="宋体" w:hAnsi="宋体" w:eastAsia="宋体" w:cs="宋体"/>
          <w:color w:val="auto"/>
          <w:szCs w:val="21"/>
          <w:highlight w:val="none"/>
        </w:rPr>
        <w:t xml:space="preserve">                </w:t>
      </w:r>
    </w:p>
    <w:p w14:paraId="24BFCEC1">
      <w:pPr>
        <w:widowControl/>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17985600">
      <w:pPr>
        <w:rPr>
          <w:rFonts w:hint="eastAsia" w:ascii="宋体" w:hAnsi="宋体" w:eastAsia="宋体" w:cs="宋体"/>
          <w:b/>
          <w:snapToGrid w:val="0"/>
          <w:color w:val="auto"/>
          <w:kern w:val="0"/>
          <w:szCs w:val="21"/>
          <w:highlight w:val="none"/>
        </w:rPr>
      </w:pPr>
      <w:r>
        <w:rPr>
          <w:rFonts w:hint="eastAsia" w:ascii="宋体" w:hAnsi="宋体" w:eastAsia="宋体" w:cs="宋体"/>
          <w:b/>
          <w:bCs/>
          <w:color w:val="auto"/>
          <w:szCs w:val="21"/>
          <w:highlight w:val="none"/>
        </w:rPr>
        <w:t>4.10中标服务费支付承诺书</w:t>
      </w:r>
    </w:p>
    <w:p w14:paraId="6F86A3E1">
      <w:pPr>
        <w:adjustRightInd w:val="0"/>
        <w:spacing w:line="360" w:lineRule="auto"/>
        <w:rPr>
          <w:rFonts w:hint="eastAsia" w:ascii="宋体" w:hAnsi="宋体" w:eastAsia="宋体" w:cs="宋体"/>
          <w:b/>
          <w:snapToGrid w:val="0"/>
          <w:color w:val="auto"/>
          <w:kern w:val="0"/>
          <w:szCs w:val="21"/>
          <w:highlight w:val="none"/>
        </w:rPr>
      </w:pPr>
    </w:p>
    <w:p w14:paraId="1FE42069">
      <w:pPr>
        <w:pStyle w:val="6"/>
        <w:rPr>
          <w:rFonts w:hint="eastAsia" w:ascii="宋体" w:hAnsi="宋体" w:eastAsia="宋体" w:cs="宋体"/>
          <w:color w:val="auto"/>
          <w:szCs w:val="21"/>
          <w:highlight w:val="none"/>
        </w:rPr>
      </w:pPr>
    </w:p>
    <w:p w14:paraId="73CB3E17">
      <w:pPr>
        <w:pStyle w:val="6"/>
        <w:rPr>
          <w:rFonts w:hint="eastAsia" w:ascii="宋体" w:hAnsi="宋体" w:eastAsia="宋体" w:cs="宋体"/>
          <w:color w:val="auto"/>
          <w:szCs w:val="21"/>
          <w:highlight w:val="none"/>
        </w:rPr>
      </w:pPr>
    </w:p>
    <w:p w14:paraId="78CCF8AC">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中标服务费支付承诺书</w:t>
      </w:r>
    </w:p>
    <w:p w14:paraId="66F4C632">
      <w:pPr>
        <w:spacing w:line="600" w:lineRule="auto"/>
        <w:jc w:val="center"/>
        <w:rPr>
          <w:rFonts w:hint="eastAsia" w:ascii="宋体" w:hAnsi="宋体" w:eastAsia="宋体" w:cs="宋体"/>
          <w:b/>
          <w:color w:val="auto"/>
          <w:sz w:val="28"/>
          <w:szCs w:val="28"/>
          <w:highlight w:val="none"/>
        </w:rPr>
      </w:pPr>
    </w:p>
    <w:p w14:paraId="65366EEE">
      <w:pPr>
        <w:keepNext/>
        <w:keepLines/>
        <w:adjustRightInd w:val="0"/>
        <w:spacing w:line="6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浙江国际招投标有限公司：</w:t>
      </w:r>
    </w:p>
    <w:p w14:paraId="5B8B5C2F">
      <w:pPr>
        <w:keepNext/>
        <w:keepLines/>
        <w:adjustRightInd w:val="0"/>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本单位在此承诺：如在本项目中标，中标结果公示之日起5个工作日之内，向贵公司按招标文件约定支付中标服务费。</w:t>
      </w:r>
    </w:p>
    <w:p w14:paraId="1533B7B9">
      <w:pPr>
        <w:adjustRightInd w:val="0"/>
        <w:snapToGrid w:val="0"/>
        <w:spacing w:line="480" w:lineRule="auto"/>
        <w:ind w:firstLine="420" w:firstLineChars="200"/>
        <w:rPr>
          <w:rFonts w:hint="eastAsia" w:ascii="宋体" w:hAnsi="宋体" w:eastAsia="宋体" w:cs="宋体"/>
          <w:color w:val="auto"/>
          <w:szCs w:val="21"/>
          <w:highlight w:val="none"/>
        </w:rPr>
      </w:pPr>
    </w:p>
    <w:p w14:paraId="33E92C6C">
      <w:pPr>
        <w:adjustRightInd w:val="0"/>
        <w:snapToGrid w:val="0"/>
        <w:spacing w:line="480" w:lineRule="auto"/>
        <w:ind w:firstLine="420" w:firstLineChars="200"/>
        <w:rPr>
          <w:rFonts w:hint="eastAsia" w:ascii="宋体" w:hAnsi="宋体" w:eastAsia="宋体" w:cs="宋体"/>
          <w:color w:val="auto"/>
          <w:szCs w:val="21"/>
          <w:highlight w:val="none"/>
        </w:rPr>
      </w:pPr>
    </w:p>
    <w:p w14:paraId="5880CD89">
      <w:pPr>
        <w:rPr>
          <w:rFonts w:hint="eastAsia" w:ascii="宋体" w:hAnsi="宋体" w:eastAsia="宋体" w:cs="宋体"/>
          <w:color w:val="auto"/>
          <w:szCs w:val="21"/>
          <w:highlight w:val="none"/>
        </w:rPr>
      </w:pPr>
    </w:p>
    <w:p w14:paraId="4AEEE9DB">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02C800CF">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6A44BA13">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0B285D5A">
      <w:pPr>
        <w:adjustRightInd w:val="0"/>
        <w:spacing w:line="360" w:lineRule="auto"/>
        <w:rPr>
          <w:rFonts w:hint="eastAsia" w:ascii="宋体" w:hAnsi="宋体" w:eastAsia="宋体" w:cs="宋体"/>
          <w:b/>
          <w:bCs/>
          <w:color w:val="auto"/>
          <w:szCs w:val="21"/>
          <w:highlight w:val="none"/>
        </w:rPr>
      </w:pPr>
    </w:p>
    <w:p w14:paraId="79A3A043">
      <w:pPr>
        <w:keepNext/>
        <w:keepLines/>
        <w:adjustRightInd w:val="0"/>
        <w:snapToGrid w:val="0"/>
        <w:spacing w:line="48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0F1E98F9">
      <w:pPr>
        <w:keepNext/>
        <w:keepLines/>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收款单位（户名）:浙江国际招投标有限公司</w:t>
      </w:r>
    </w:p>
    <w:p w14:paraId="4CD4200B">
      <w:pPr>
        <w:keepNext/>
        <w:keepLines/>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开户银行：中国工商银行杭州武林支行</w:t>
      </w:r>
    </w:p>
    <w:p w14:paraId="5AA4A388">
      <w:pPr>
        <w:keepNext/>
        <w:keepLines/>
        <w:adjustRightInd w:val="0"/>
        <w:snapToGrid w:val="0"/>
        <w:spacing w:line="48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银行账号：1202021209906782015</w:t>
      </w:r>
    </w:p>
    <w:p w14:paraId="5CF104D7">
      <w:pPr>
        <w:widowControl/>
        <w:jc w:val="left"/>
        <w:rPr>
          <w:rFonts w:hint="eastAsia" w:ascii="宋体" w:hAnsi="宋体" w:eastAsia="宋体" w:cs="宋体"/>
          <w:b/>
          <w:bCs/>
          <w:color w:val="auto"/>
          <w:szCs w:val="21"/>
          <w:highlight w:val="none"/>
        </w:rPr>
      </w:pPr>
    </w:p>
    <w:p w14:paraId="56497AE8">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00C0EDE">
      <w:pPr>
        <w:rPr>
          <w:rFonts w:hint="eastAsia" w:ascii="宋体" w:hAnsi="宋体" w:eastAsia="宋体" w:cs="宋体"/>
          <w:color w:val="auto"/>
          <w:highlight w:val="none"/>
        </w:rPr>
      </w:pPr>
      <w:r>
        <w:rPr>
          <w:rFonts w:hint="eastAsia" w:ascii="宋体" w:hAnsi="宋体" w:eastAsia="宋体" w:cs="宋体"/>
          <w:b/>
          <w:bCs/>
          <w:color w:val="auto"/>
          <w:szCs w:val="21"/>
          <w:highlight w:val="none"/>
        </w:rPr>
        <w:t>4.11人员投入计划</w:t>
      </w:r>
    </w:p>
    <w:p w14:paraId="4942D730">
      <w:pPr>
        <w:pStyle w:val="26"/>
        <w:snapToGrid w:val="0"/>
        <w:spacing w:line="360" w:lineRule="auto"/>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（1）拟派项目团队配备情况表</w:t>
      </w:r>
    </w:p>
    <w:tbl>
      <w:tblPr>
        <w:tblStyle w:val="4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15"/>
        <w:gridCol w:w="1701"/>
        <w:gridCol w:w="749"/>
        <w:gridCol w:w="720"/>
        <w:gridCol w:w="720"/>
        <w:gridCol w:w="720"/>
        <w:gridCol w:w="1344"/>
        <w:gridCol w:w="1134"/>
      </w:tblGrid>
      <w:tr w14:paraId="5A8E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5FD12942">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15" w:type="dxa"/>
            <w:vAlign w:val="center"/>
          </w:tcPr>
          <w:p w14:paraId="7B3F1F44">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姓名</w:t>
            </w:r>
          </w:p>
        </w:tc>
        <w:tc>
          <w:tcPr>
            <w:tcW w:w="1701" w:type="dxa"/>
            <w:vAlign w:val="center"/>
          </w:tcPr>
          <w:p w14:paraId="14DA42F4">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本项目拟任岗位</w:t>
            </w:r>
          </w:p>
        </w:tc>
        <w:tc>
          <w:tcPr>
            <w:tcW w:w="749" w:type="dxa"/>
            <w:vAlign w:val="center"/>
          </w:tcPr>
          <w:p w14:paraId="054C63CA">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年龄</w:t>
            </w:r>
          </w:p>
        </w:tc>
        <w:tc>
          <w:tcPr>
            <w:tcW w:w="720" w:type="dxa"/>
            <w:vAlign w:val="center"/>
          </w:tcPr>
          <w:p w14:paraId="33D902FA">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性别</w:t>
            </w:r>
          </w:p>
        </w:tc>
        <w:tc>
          <w:tcPr>
            <w:tcW w:w="720" w:type="dxa"/>
            <w:vAlign w:val="center"/>
          </w:tcPr>
          <w:p w14:paraId="406EA446">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专业</w:t>
            </w:r>
          </w:p>
        </w:tc>
        <w:tc>
          <w:tcPr>
            <w:tcW w:w="720" w:type="dxa"/>
            <w:vAlign w:val="center"/>
          </w:tcPr>
          <w:p w14:paraId="58783865">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专业年限</w:t>
            </w:r>
          </w:p>
        </w:tc>
        <w:tc>
          <w:tcPr>
            <w:tcW w:w="1344" w:type="dxa"/>
            <w:vAlign w:val="center"/>
          </w:tcPr>
          <w:p w14:paraId="10D76BF2">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职务和职称</w:t>
            </w:r>
          </w:p>
        </w:tc>
        <w:tc>
          <w:tcPr>
            <w:tcW w:w="1134" w:type="dxa"/>
            <w:vAlign w:val="center"/>
          </w:tcPr>
          <w:p w14:paraId="399D6285">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tc>
      </w:tr>
      <w:tr w14:paraId="29D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7DCD9057">
            <w:pPr>
              <w:autoSpaceDE w:val="0"/>
              <w:autoSpaceDN w:val="0"/>
              <w:adjustRightInd w:val="0"/>
              <w:rPr>
                <w:rFonts w:hint="eastAsia" w:ascii="宋体" w:hAnsi="宋体" w:eastAsia="宋体" w:cs="宋体"/>
                <w:color w:val="auto"/>
                <w:szCs w:val="21"/>
                <w:highlight w:val="none"/>
              </w:rPr>
            </w:pPr>
          </w:p>
        </w:tc>
        <w:tc>
          <w:tcPr>
            <w:tcW w:w="1015" w:type="dxa"/>
          </w:tcPr>
          <w:p w14:paraId="4F439A96">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BC27D74">
            <w:pPr>
              <w:autoSpaceDE w:val="0"/>
              <w:autoSpaceDN w:val="0"/>
              <w:adjustRightInd w:val="0"/>
              <w:rPr>
                <w:rFonts w:hint="eastAsia" w:ascii="宋体" w:hAnsi="宋体" w:eastAsia="宋体" w:cs="宋体"/>
                <w:color w:val="auto"/>
                <w:szCs w:val="21"/>
                <w:highlight w:val="none"/>
              </w:rPr>
            </w:pPr>
          </w:p>
        </w:tc>
        <w:tc>
          <w:tcPr>
            <w:tcW w:w="749" w:type="dxa"/>
            <w:vAlign w:val="center"/>
          </w:tcPr>
          <w:p w14:paraId="0418EB0E">
            <w:pPr>
              <w:autoSpaceDE w:val="0"/>
              <w:autoSpaceDN w:val="0"/>
              <w:adjustRightInd w:val="0"/>
              <w:rPr>
                <w:rFonts w:hint="eastAsia" w:ascii="宋体" w:hAnsi="宋体" w:eastAsia="宋体" w:cs="宋体"/>
                <w:color w:val="auto"/>
                <w:szCs w:val="21"/>
                <w:highlight w:val="none"/>
              </w:rPr>
            </w:pPr>
          </w:p>
        </w:tc>
        <w:tc>
          <w:tcPr>
            <w:tcW w:w="720" w:type="dxa"/>
            <w:vAlign w:val="center"/>
          </w:tcPr>
          <w:p w14:paraId="11D11C88">
            <w:pPr>
              <w:autoSpaceDE w:val="0"/>
              <w:autoSpaceDN w:val="0"/>
              <w:adjustRightInd w:val="0"/>
              <w:rPr>
                <w:rFonts w:hint="eastAsia" w:ascii="宋体" w:hAnsi="宋体" w:eastAsia="宋体" w:cs="宋体"/>
                <w:color w:val="auto"/>
                <w:szCs w:val="21"/>
                <w:highlight w:val="none"/>
              </w:rPr>
            </w:pPr>
          </w:p>
        </w:tc>
        <w:tc>
          <w:tcPr>
            <w:tcW w:w="720" w:type="dxa"/>
            <w:vAlign w:val="center"/>
          </w:tcPr>
          <w:p w14:paraId="6AEADFAE">
            <w:pPr>
              <w:autoSpaceDE w:val="0"/>
              <w:autoSpaceDN w:val="0"/>
              <w:adjustRightInd w:val="0"/>
              <w:rPr>
                <w:rFonts w:hint="eastAsia" w:ascii="宋体" w:hAnsi="宋体" w:eastAsia="宋体" w:cs="宋体"/>
                <w:color w:val="auto"/>
                <w:szCs w:val="21"/>
                <w:highlight w:val="none"/>
              </w:rPr>
            </w:pPr>
          </w:p>
        </w:tc>
        <w:tc>
          <w:tcPr>
            <w:tcW w:w="720" w:type="dxa"/>
            <w:vAlign w:val="center"/>
          </w:tcPr>
          <w:p w14:paraId="54CB4B91">
            <w:pPr>
              <w:autoSpaceDE w:val="0"/>
              <w:autoSpaceDN w:val="0"/>
              <w:adjustRightInd w:val="0"/>
              <w:rPr>
                <w:rFonts w:hint="eastAsia" w:ascii="宋体" w:hAnsi="宋体" w:eastAsia="宋体" w:cs="宋体"/>
                <w:color w:val="auto"/>
                <w:szCs w:val="21"/>
                <w:highlight w:val="none"/>
              </w:rPr>
            </w:pPr>
          </w:p>
        </w:tc>
        <w:tc>
          <w:tcPr>
            <w:tcW w:w="1344" w:type="dxa"/>
            <w:vAlign w:val="center"/>
          </w:tcPr>
          <w:p w14:paraId="0DF5769E">
            <w:pPr>
              <w:autoSpaceDE w:val="0"/>
              <w:autoSpaceDN w:val="0"/>
              <w:adjustRightInd w:val="0"/>
              <w:ind w:left="5250"/>
              <w:rPr>
                <w:rFonts w:hint="eastAsia" w:ascii="宋体" w:hAnsi="宋体" w:eastAsia="宋体" w:cs="宋体"/>
                <w:color w:val="auto"/>
                <w:szCs w:val="21"/>
                <w:highlight w:val="none"/>
              </w:rPr>
            </w:pPr>
          </w:p>
        </w:tc>
        <w:tc>
          <w:tcPr>
            <w:tcW w:w="1134" w:type="dxa"/>
            <w:vAlign w:val="center"/>
          </w:tcPr>
          <w:p w14:paraId="05F0B614">
            <w:pPr>
              <w:autoSpaceDE w:val="0"/>
              <w:autoSpaceDN w:val="0"/>
              <w:adjustRightInd w:val="0"/>
              <w:rPr>
                <w:rFonts w:hint="eastAsia" w:ascii="宋体" w:hAnsi="宋体" w:eastAsia="宋体" w:cs="宋体"/>
                <w:color w:val="auto"/>
                <w:szCs w:val="21"/>
                <w:highlight w:val="none"/>
              </w:rPr>
            </w:pPr>
          </w:p>
        </w:tc>
      </w:tr>
      <w:tr w14:paraId="30D7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40A975FF">
            <w:pPr>
              <w:autoSpaceDE w:val="0"/>
              <w:autoSpaceDN w:val="0"/>
              <w:adjustRightInd w:val="0"/>
              <w:rPr>
                <w:rFonts w:hint="eastAsia" w:ascii="宋体" w:hAnsi="宋体" w:eastAsia="宋体" w:cs="宋体"/>
                <w:color w:val="auto"/>
                <w:szCs w:val="21"/>
                <w:highlight w:val="none"/>
              </w:rPr>
            </w:pPr>
          </w:p>
        </w:tc>
        <w:tc>
          <w:tcPr>
            <w:tcW w:w="1015" w:type="dxa"/>
          </w:tcPr>
          <w:p w14:paraId="660DFB9E">
            <w:pPr>
              <w:autoSpaceDE w:val="0"/>
              <w:autoSpaceDN w:val="0"/>
              <w:adjustRightInd w:val="0"/>
              <w:rPr>
                <w:rFonts w:hint="eastAsia" w:ascii="宋体" w:hAnsi="宋体" w:eastAsia="宋体" w:cs="宋体"/>
                <w:color w:val="auto"/>
                <w:szCs w:val="21"/>
                <w:highlight w:val="none"/>
              </w:rPr>
            </w:pPr>
          </w:p>
        </w:tc>
        <w:tc>
          <w:tcPr>
            <w:tcW w:w="1701" w:type="dxa"/>
            <w:vAlign w:val="center"/>
          </w:tcPr>
          <w:p w14:paraId="21A3FE01">
            <w:pPr>
              <w:autoSpaceDE w:val="0"/>
              <w:autoSpaceDN w:val="0"/>
              <w:adjustRightInd w:val="0"/>
              <w:rPr>
                <w:rFonts w:hint="eastAsia" w:ascii="宋体" w:hAnsi="宋体" w:eastAsia="宋体" w:cs="宋体"/>
                <w:color w:val="auto"/>
                <w:szCs w:val="21"/>
                <w:highlight w:val="none"/>
              </w:rPr>
            </w:pPr>
          </w:p>
        </w:tc>
        <w:tc>
          <w:tcPr>
            <w:tcW w:w="749" w:type="dxa"/>
            <w:vAlign w:val="center"/>
          </w:tcPr>
          <w:p w14:paraId="6E6F92A3">
            <w:pPr>
              <w:autoSpaceDE w:val="0"/>
              <w:autoSpaceDN w:val="0"/>
              <w:adjustRightInd w:val="0"/>
              <w:rPr>
                <w:rFonts w:hint="eastAsia" w:ascii="宋体" w:hAnsi="宋体" w:eastAsia="宋体" w:cs="宋体"/>
                <w:color w:val="auto"/>
                <w:szCs w:val="21"/>
                <w:highlight w:val="none"/>
              </w:rPr>
            </w:pPr>
          </w:p>
        </w:tc>
        <w:tc>
          <w:tcPr>
            <w:tcW w:w="720" w:type="dxa"/>
            <w:vAlign w:val="center"/>
          </w:tcPr>
          <w:p w14:paraId="03D4E949">
            <w:pPr>
              <w:autoSpaceDE w:val="0"/>
              <w:autoSpaceDN w:val="0"/>
              <w:adjustRightInd w:val="0"/>
              <w:rPr>
                <w:rFonts w:hint="eastAsia" w:ascii="宋体" w:hAnsi="宋体" w:eastAsia="宋体" w:cs="宋体"/>
                <w:color w:val="auto"/>
                <w:szCs w:val="21"/>
                <w:highlight w:val="none"/>
              </w:rPr>
            </w:pPr>
          </w:p>
        </w:tc>
        <w:tc>
          <w:tcPr>
            <w:tcW w:w="720" w:type="dxa"/>
            <w:vAlign w:val="center"/>
          </w:tcPr>
          <w:p w14:paraId="2FCE637A">
            <w:pPr>
              <w:autoSpaceDE w:val="0"/>
              <w:autoSpaceDN w:val="0"/>
              <w:adjustRightInd w:val="0"/>
              <w:rPr>
                <w:rFonts w:hint="eastAsia" w:ascii="宋体" w:hAnsi="宋体" w:eastAsia="宋体" w:cs="宋体"/>
                <w:color w:val="auto"/>
                <w:szCs w:val="21"/>
                <w:highlight w:val="none"/>
              </w:rPr>
            </w:pPr>
          </w:p>
        </w:tc>
        <w:tc>
          <w:tcPr>
            <w:tcW w:w="720" w:type="dxa"/>
            <w:vAlign w:val="center"/>
          </w:tcPr>
          <w:p w14:paraId="321E12F2">
            <w:pPr>
              <w:autoSpaceDE w:val="0"/>
              <w:autoSpaceDN w:val="0"/>
              <w:adjustRightInd w:val="0"/>
              <w:rPr>
                <w:rFonts w:hint="eastAsia" w:ascii="宋体" w:hAnsi="宋体" w:eastAsia="宋体" w:cs="宋体"/>
                <w:color w:val="auto"/>
                <w:szCs w:val="21"/>
                <w:highlight w:val="none"/>
              </w:rPr>
            </w:pPr>
          </w:p>
        </w:tc>
        <w:tc>
          <w:tcPr>
            <w:tcW w:w="1344" w:type="dxa"/>
            <w:vAlign w:val="center"/>
          </w:tcPr>
          <w:p w14:paraId="39A7374E">
            <w:pPr>
              <w:autoSpaceDE w:val="0"/>
              <w:autoSpaceDN w:val="0"/>
              <w:adjustRightInd w:val="0"/>
              <w:rPr>
                <w:rFonts w:hint="eastAsia" w:ascii="宋体" w:hAnsi="宋体" w:eastAsia="宋体" w:cs="宋体"/>
                <w:color w:val="auto"/>
                <w:szCs w:val="21"/>
                <w:highlight w:val="none"/>
              </w:rPr>
            </w:pPr>
          </w:p>
        </w:tc>
        <w:tc>
          <w:tcPr>
            <w:tcW w:w="1134" w:type="dxa"/>
            <w:vAlign w:val="center"/>
          </w:tcPr>
          <w:p w14:paraId="7510C3E3">
            <w:pPr>
              <w:autoSpaceDE w:val="0"/>
              <w:autoSpaceDN w:val="0"/>
              <w:adjustRightInd w:val="0"/>
              <w:ind w:left="5250"/>
              <w:rPr>
                <w:rFonts w:hint="eastAsia" w:ascii="宋体" w:hAnsi="宋体" w:eastAsia="宋体" w:cs="宋体"/>
                <w:color w:val="auto"/>
                <w:szCs w:val="21"/>
                <w:highlight w:val="none"/>
              </w:rPr>
            </w:pPr>
          </w:p>
        </w:tc>
      </w:tr>
      <w:tr w14:paraId="0B5F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732C5B8F">
            <w:pPr>
              <w:autoSpaceDE w:val="0"/>
              <w:autoSpaceDN w:val="0"/>
              <w:adjustRightInd w:val="0"/>
              <w:rPr>
                <w:rFonts w:hint="eastAsia" w:ascii="宋体" w:hAnsi="宋体" w:eastAsia="宋体" w:cs="宋体"/>
                <w:color w:val="auto"/>
                <w:szCs w:val="21"/>
                <w:highlight w:val="none"/>
              </w:rPr>
            </w:pPr>
          </w:p>
        </w:tc>
        <w:tc>
          <w:tcPr>
            <w:tcW w:w="1015" w:type="dxa"/>
          </w:tcPr>
          <w:p w14:paraId="2E2D9367">
            <w:pPr>
              <w:autoSpaceDE w:val="0"/>
              <w:autoSpaceDN w:val="0"/>
              <w:adjustRightInd w:val="0"/>
              <w:rPr>
                <w:rFonts w:hint="eastAsia" w:ascii="宋体" w:hAnsi="宋体" w:eastAsia="宋体" w:cs="宋体"/>
                <w:color w:val="auto"/>
                <w:szCs w:val="21"/>
                <w:highlight w:val="none"/>
              </w:rPr>
            </w:pPr>
          </w:p>
        </w:tc>
        <w:tc>
          <w:tcPr>
            <w:tcW w:w="1701" w:type="dxa"/>
            <w:vAlign w:val="center"/>
          </w:tcPr>
          <w:p w14:paraId="061BD8BC">
            <w:pPr>
              <w:autoSpaceDE w:val="0"/>
              <w:autoSpaceDN w:val="0"/>
              <w:adjustRightInd w:val="0"/>
              <w:rPr>
                <w:rFonts w:hint="eastAsia" w:ascii="宋体" w:hAnsi="宋体" w:eastAsia="宋体" w:cs="宋体"/>
                <w:color w:val="auto"/>
                <w:szCs w:val="21"/>
                <w:highlight w:val="none"/>
              </w:rPr>
            </w:pPr>
          </w:p>
        </w:tc>
        <w:tc>
          <w:tcPr>
            <w:tcW w:w="749" w:type="dxa"/>
            <w:vAlign w:val="center"/>
          </w:tcPr>
          <w:p w14:paraId="0467C981">
            <w:pPr>
              <w:autoSpaceDE w:val="0"/>
              <w:autoSpaceDN w:val="0"/>
              <w:adjustRightInd w:val="0"/>
              <w:rPr>
                <w:rFonts w:hint="eastAsia" w:ascii="宋体" w:hAnsi="宋体" w:eastAsia="宋体" w:cs="宋体"/>
                <w:color w:val="auto"/>
                <w:szCs w:val="21"/>
                <w:highlight w:val="none"/>
              </w:rPr>
            </w:pPr>
          </w:p>
        </w:tc>
        <w:tc>
          <w:tcPr>
            <w:tcW w:w="720" w:type="dxa"/>
            <w:vAlign w:val="center"/>
          </w:tcPr>
          <w:p w14:paraId="7C6FFA7F">
            <w:pPr>
              <w:autoSpaceDE w:val="0"/>
              <w:autoSpaceDN w:val="0"/>
              <w:adjustRightInd w:val="0"/>
              <w:rPr>
                <w:rFonts w:hint="eastAsia" w:ascii="宋体" w:hAnsi="宋体" w:eastAsia="宋体" w:cs="宋体"/>
                <w:color w:val="auto"/>
                <w:szCs w:val="21"/>
                <w:highlight w:val="none"/>
              </w:rPr>
            </w:pPr>
          </w:p>
        </w:tc>
        <w:tc>
          <w:tcPr>
            <w:tcW w:w="720" w:type="dxa"/>
            <w:vAlign w:val="center"/>
          </w:tcPr>
          <w:p w14:paraId="33310A26">
            <w:pPr>
              <w:autoSpaceDE w:val="0"/>
              <w:autoSpaceDN w:val="0"/>
              <w:adjustRightInd w:val="0"/>
              <w:rPr>
                <w:rFonts w:hint="eastAsia" w:ascii="宋体" w:hAnsi="宋体" w:eastAsia="宋体" w:cs="宋体"/>
                <w:color w:val="auto"/>
                <w:szCs w:val="21"/>
                <w:highlight w:val="none"/>
              </w:rPr>
            </w:pPr>
          </w:p>
        </w:tc>
        <w:tc>
          <w:tcPr>
            <w:tcW w:w="720" w:type="dxa"/>
            <w:vAlign w:val="center"/>
          </w:tcPr>
          <w:p w14:paraId="67F98773">
            <w:pPr>
              <w:autoSpaceDE w:val="0"/>
              <w:autoSpaceDN w:val="0"/>
              <w:adjustRightInd w:val="0"/>
              <w:rPr>
                <w:rFonts w:hint="eastAsia" w:ascii="宋体" w:hAnsi="宋体" w:eastAsia="宋体" w:cs="宋体"/>
                <w:color w:val="auto"/>
                <w:szCs w:val="21"/>
                <w:highlight w:val="none"/>
              </w:rPr>
            </w:pPr>
          </w:p>
        </w:tc>
        <w:tc>
          <w:tcPr>
            <w:tcW w:w="1344" w:type="dxa"/>
            <w:vAlign w:val="center"/>
          </w:tcPr>
          <w:p w14:paraId="49116E88">
            <w:pPr>
              <w:autoSpaceDE w:val="0"/>
              <w:autoSpaceDN w:val="0"/>
              <w:adjustRightInd w:val="0"/>
              <w:rPr>
                <w:rFonts w:hint="eastAsia" w:ascii="宋体" w:hAnsi="宋体" w:eastAsia="宋体" w:cs="宋体"/>
                <w:color w:val="auto"/>
                <w:szCs w:val="21"/>
                <w:highlight w:val="none"/>
              </w:rPr>
            </w:pPr>
          </w:p>
        </w:tc>
        <w:tc>
          <w:tcPr>
            <w:tcW w:w="1134" w:type="dxa"/>
            <w:vAlign w:val="center"/>
          </w:tcPr>
          <w:p w14:paraId="7BAA987E">
            <w:pPr>
              <w:autoSpaceDE w:val="0"/>
              <w:autoSpaceDN w:val="0"/>
              <w:adjustRightInd w:val="0"/>
              <w:rPr>
                <w:rFonts w:hint="eastAsia" w:ascii="宋体" w:hAnsi="宋体" w:eastAsia="宋体" w:cs="宋体"/>
                <w:color w:val="auto"/>
                <w:szCs w:val="21"/>
                <w:highlight w:val="none"/>
              </w:rPr>
            </w:pPr>
          </w:p>
        </w:tc>
      </w:tr>
      <w:tr w14:paraId="3EE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5AE13845">
            <w:pPr>
              <w:autoSpaceDE w:val="0"/>
              <w:autoSpaceDN w:val="0"/>
              <w:adjustRightInd w:val="0"/>
              <w:rPr>
                <w:rFonts w:hint="eastAsia" w:ascii="宋体" w:hAnsi="宋体" w:eastAsia="宋体" w:cs="宋体"/>
                <w:color w:val="auto"/>
                <w:szCs w:val="21"/>
                <w:highlight w:val="none"/>
              </w:rPr>
            </w:pPr>
          </w:p>
        </w:tc>
        <w:tc>
          <w:tcPr>
            <w:tcW w:w="1015" w:type="dxa"/>
          </w:tcPr>
          <w:p w14:paraId="10730278">
            <w:pPr>
              <w:autoSpaceDE w:val="0"/>
              <w:autoSpaceDN w:val="0"/>
              <w:adjustRightInd w:val="0"/>
              <w:rPr>
                <w:rFonts w:hint="eastAsia" w:ascii="宋体" w:hAnsi="宋体" w:eastAsia="宋体" w:cs="宋体"/>
                <w:color w:val="auto"/>
                <w:szCs w:val="21"/>
                <w:highlight w:val="none"/>
              </w:rPr>
            </w:pPr>
          </w:p>
        </w:tc>
        <w:tc>
          <w:tcPr>
            <w:tcW w:w="1701" w:type="dxa"/>
            <w:vAlign w:val="center"/>
          </w:tcPr>
          <w:p w14:paraId="2440848F">
            <w:pPr>
              <w:autoSpaceDE w:val="0"/>
              <w:autoSpaceDN w:val="0"/>
              <w:adjustRightInd w:val="0"/>
              <w:rPr>
                <w:rFonts w:hint="eastAsia" w:ascii="宋体" w:hAnsi="宋体" w:eastAsia="宋体" w:cs="宋体"/>
                <w:color w:val="auto"/>
                <w:szCs w:val="21"/>
                <w:highlight w:val="none"/>
              </w:rPr>
            </w:pPr>
          </w:p>
        </w:tc>
        <w:tc>
          <w:tcPr>
            <w:tcW w:w="749" w:type="dxa"/>
            <w:vAlign w:val="center"/>
          </w:tcPr>
          <w:p w14:paraId="51437AFD">
            <w:pPr>
              <w:autoSpaceDE w:val="0"/>
              <w:autoSpaceDN w:val="0"/>
              <w:adjustRightInd w:val="0"/>
              <w:rPr>
                <w:rFonts w:hint="eastAsia" w:ascii="宋体" w:hAnsi="宋体" w:eastAsia="宋体" w:cs="宋体"/>
                <w:color w:val="auto"/>
                <w:szCs w:val="21"/>
                <w:highlight w:val="none"/>
              </w:rPr>
            </w:pPr>
          </w:p>
        </w:tc>
        <w:tc>
          <w:tcPr>
            <w:tcW w:w="720" w:type="dxa"/>
            <w:vAlign w:val="center"/>
          </w:tcPr>
          <w:p w14:paraId="1363E221">
            <w:pPr>
              <w:autoSpaceDE w:val="0"/>
              <w:autoSpaceDN w:val="0"/>
              <w:adjustRightInd w:val="0"/>
              <w:rPr>
                <w:rFonts w:hint="eastAsia" w:ascii="宋体" w:hAnsi="宋体" w:eastAsia="宋体" w:cs="宋体"/>
                <w:color w:val="auto"/>
                <w:szCs w:val="21"/>
                <w:highlight w:val="none"/>
              </w:rPr>
            </w:pPr>
          </w:p>
        </w:tc>
        <w:tc>
          <w:tcPr>
            <w:tcW w:w="720" w:type="dxa"/>
            <w:vAlign w:val="center"/>
          </w:tcPr>
          <w:p w14:paraId="3961AAC6">
            <w:pPr>
              <w:autoSpaceDE w:val="0"/>
              <w:autoSpaceDN w:val="0"/>
              <w:adjustRightInd w:val="0"/>
              <w:rPr>
                <w:rFonts w:hint="eastAsia" w:ascii="宋体" w:hAnsi="宋体" w:eastAsia="宋体" w:cs="宋体"/>
                <w:color w:val="auto"/>
                <w:szCs w:val="21"/>
                <w:highlight w:val="none"/>
              </w:rPr>
            </w:pPr>
          </w:p>
        </w:tc>
        <w:tc>
          <w:tcPr>
            <w:tcW w:w="720" w:type="dxa"/>
            <w:vAlign w:val="center"/>
          </w:tcPr>
          <w:p w14:paraId="5B46C5FE">
            <w:pPr>
              <w:autoSpaceDE w:val="0"/>
              <w:autoSpaceDN w:val="0"/>
              <w:adjustRightInd w:val="0"/>
              <w:rPr>
                <w:rFonts w:hint="eastAsia" w:ascii="宋体" w:hAnsi="宋体" w:eastAsia="宋体" w:cs="宋体"/>
                <w:color w:val="auto"/>
                <w:szCs w:val="21"/>
                <w:highlight w:val="none"/>
              </w:rPr>
            </w:pPr>
          </w:p>
        </w:tc>
        <w:tc>
          <w:tcPr>
            <w:tcW w:w="1344" w:type="dxa"/>
            <w:vAlign w:val="center"/>
          </w:tcPr>
          <w:p w14:paraId="13772700">
            <w:pPr>
              <w:autoSpaceDE w:val="0"/>
              <w:autoSpaceDN w:val="0"/>
              <w:adjustRightInd w:val="0"/>
              <w:rPr>
                <w:rFonts w:hint="eastAsia" w:ascii="宋体" w:hAnsi="宋体" w:eastAsia="宋体" w:cs="宋体"/>
                <w:color w:val="auto"/>
                <w:szCs w:val="21"/>
                <w:highlight w:val="none"/>
              </w:rPr>
            </w:pPr>
          </w:p>
        </w:tc>
        <w:tc>
          <w:tcPr>
            <w:tcW w:w="1134" w:type="dxa"/>
            <w:vAlign w:val="center"/>
          </w:tcPr>
          <w:p w14:paraId="3A1AD4A4">
            <w:pPr>
              <w:autoSpaceDE w:val="0"/>
              <w:autoSpaceDN w:val="0"/>
              <w:adjustRightInd w:val="0"/>
              <w:rPr>
                <w:rFonts w:hint="eastAsia" w:ascii="宋体" w:hAnsi="宋体" w:eastAsia="宋体" w:cs="宋体"/>
                <w:color w:val="auto"/>
                <w:szCs w:val="21"/>
                <w:highlight w:val="none"/>
              </w:rPr>
            </w:pPr>
          </w:p>
        </w:tc>
      </w:tr>
      <w:tr w14:paraId="1EA4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376975DF">
            <w:pPr>
              <w:autoSpaceDE w:val="0"/>
              <w:autoSpaceDN w:val="0"/>
              <w:adjustRightInd w:val="0"/>
              <w:rPr>
                <w:rFonts w:hint="eastAsia" w:ascii="宋体" w:hAnsi="宋体" w:eastAsia="宋体" w:cs="宋体"/>
                <w:color w:val="auto"/>
                <w:szCs w:val="21"/>
                <w:highlight w:val="none"/>
              </w:rPr>
            </w:pPr>
          </w:p>
        </w:tc>
        <w:tc>
          <w:tcPr>
            <w:tcW w:w="1015" w:type="dxa"/>
          </w:tcPr>
          <w:p w14:paraId="63AFEBB4">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2E868E2">
            <w:pPr>
              <w:autoSpaceDE w:val="0"/>
              <w:autoSpaceDN w:val="0"/>
              <w:adjustRightInd w:val="0"/>
              <w:rPr>
                <w:rFonts w:hint="eastAsia" w:ascii="宋体" w:hAnsi="宋体" w:eastAsia="宋体" w:cs="宋体"/>
                <w:color w:val="auto"/>
                <w:szCs w:val="21"/>
                <w:highlight w:val="none"/>
              </w:rPr>
            </w:pPr>
          </w:p>
        </w:tc>
        <w:tc>
          <w:tcPr>
            <w:tcW w:w="749" w:type="dxa"/>
            <w:vAlign w:val="center"/>
          </w:tcPr>
          <w:p w14:paraId="63A62A69">
            <w:pPr>
              <w:autoSpaceDE w:val="0"/>
              <w:autoSpaceDN w:val="0"/>
              <w:adjustRightInd w:val="0"/>
              <w:rPr>
                <w:rFonts w:hint="eastAsia" w:ascii="宋体" w:hAnsi="宋体" w:eastAsia="宋体" w:cs="宋体"/>
                <w:color w:val="auto"/>
                <w:szCs w:val="21"/>
                <w:highlight w:val="none"/>
              </w:rPr>
            </w:pPr>
          </w:p>
        </w:tc>
        <w:tc>
          <w:tcPr>
            <w:tcW w:w="720" w:type="dxa"/>
            <w:vAlign w:val="center"/>
          </w:tcPr>
          <w:p w14:paraId="699078DF">
            <w:pPr>
              <w:autoSpaceDE w:val="0"/>
              <w:autoSpaceDN w:val="0"/>
              <w:adjustRightInd w:val="0"/>
              <w:rPr>
                <w:rFonts w:hint="eastAsia" w:ascii="宋体" w:hAnsi="宋体" w:eastAsia="宋体" w:cs="宋体"/>
                <w:color w:val="auto"/>
                <w:szCs w:val="21"/>
                <w:highlight w:val="none"/>
              </w:rPr>
            </w:pPr>
          </w:p>
        </w:tc>
        <w:tc>
          <w:tcPr>
            <w:tcW w:w="720" w:type="dxa"/>
            <w:vAlign w:val="center"/>
          </w:tcPr>
          <w:p w14:paraId="4CDB203C">
            <w:pPr>
              <w:autoSpaceDE w:val="0"/>
              <w:autoSpaceDN w:val="0"/>
              <w:adjustRightInd w:val="0"/>
              <w:rPr>
                <w:rFonts w:hint="eastAsia" w:ascii="宋体" w:hAnsi="宋体" w:eastAsia="宋体" w:cs="宋体"/>
                <w:color w:val="auto"/>
                <w:szCs w:val="21"/>
                <w:highlight w:val="none"/>
              </w:rPr>
            </w:pPr>
          </w:p>
        </w:tc>
        <w:tc>
          <w:tcPr>
            <w:tcW w:w="720" w:type="dxa"/>
            <w:vAlign w:val="center"/>
          </w:tcPr>
          <w:p w14:paraId="57A1227F">
            <w:pPr>
              <w:autoSpaceDE w:val="0"/>
              <w:autoSpaceDN w:val="0"/>
              <w:adjustRightInd w:val="0"/>
              <w:rPr>
                <w:rFonts w:hint="eastAsia" w:ascii="宋体" w:hAnsi="宋体" w:eastAsia="宋体" w:cs="宋体"/>
                <w:color w:val="auto"/>
                <w:szCs w:val="21"/>
                <w:highlight w:val="none"/>
              </w:rPr>
            </w:pPr>
          </w:p>
        </w:tc>
        <w:tc>
          <w:tcPr>
            <w:tcW w:w="1344" w:type="dxa"/>
            <w:vAlign w:val="center"/>
          </w:tcPr>
          <w:p w14:paraId="5B762ABA">
            <w:pPr>
              <w:autoSpaceDE w:val="0"/>
              <w:autoSpaceDN w:val="0"/>
              <w:adjustRightInd w:val="0"/>
              <w:rPr>
                <w:rFonts w:hint="eastAsia" w:ascii="宋体" w:hAnsi="宋体" w:eastAsia="宋体" w:cs="宋体"/>
                <w:color w:val="auto"/>
                <w:szCs w:val="21"/>
                <w:highlight w:val="none"/>
              </w:rPr>
            </w:pPr>
          </w:p>
        </w:tc>
        <w:tc>
          <w:tcPr>
            <w:tcW w:w="1134" w:type="dxa"/>
            <w:vAlign w:val="center"/>
          </w:tcPr>
          <w:p w14:paraId="44994CFA">
            <w:pPr>
              <w:autoSpaceDE w:val="0"/>
              <w:autoSpaceDN w:val="0"/>
              <w:adjustRightInd w:val="0"/>
              <w:rPr>
                <w:rFonts w:hint="eastAsia" w:ascii="宋体" w:hAnsi="宋体" w:eastAsia="宋体" w:cs="宋体"/>
                <w:color w:val="auto"/>
                <w:szCs w:val="21"/>
                <w:highlight w:val="none"/>
              </w:rPr>
            </w:pPr>
          </w:p>
        </w:tc>
      </w:tr>
      <w:tr w14:paraId="468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73D627D5">
            <w:pPr>
              <w:autoSpaceDE w:val="0"/>
              <w:autoSpaceDN w:val="0"/>
              <w:adjustRightInd w:val="0"/>
              <w:rPr>
                <w:rFonts w:hint="eastAsia" w:ascii="宋体" w:hAnsi="宋体" w:eastAsia="宋体" w:cs="宋体"/>
                <w:color w:val="auto"/>
                <w:szCs w:val="21"/>
                <w:highlight w:val="none"/>
              </w:rPr>
            </w:pPr>
          </w:p>
        </w:tc>
        <w:tc>
          <w:tcPr>
            <w:tcW w:w="1015" w:type="dxa"/>
          </w:tcPr>
          <w:p w14:paraId="5503AA06">
            <w:pPr>
              <w:autoSpaceDE w:val="0"/>
              <w:autoSpaceDN w:val="0"/>
              <w:adjustRightInd w:val="0"/>
              <w:rPr>
                <w:rFonts w:hint="eastAsia" w:ascii="宋体" w:hAnsi="宋体" w:eastAsia="宋体" w:cs="宋体"/>
                <w:color w:val="auto"/>
                <w:szCs w:val="21"/>
                <w:highlight w:val="none"/>
              </w:rPr>
            </w:pPr>
          </w:p>
        </w:tc>
        <w:tc>
          <w:tcPr>
            <w:tcW w:w="1701" w:type="dxa"/>
            <w:vAlign w:val="center"/>
          </w:tcPr>
          <w:p w14:paraId="3DA3629B">
            <w:pPr>
              <w:autoSpaceDE w:val="0"/>
              <w:autoSpaceDN w:val="0"/>
              <w:adjustRightInd w:val="0"/>
              <w:rPr>
                <w:rFonts w:hint="eastAsia" w:ascii="宋体" w:hAnsi="宋体" w:eastAsia="宋体" w:cs="宋体"/>
                <w:color w:val="auto"/>
                <w:szCs w:val="21"/>
                <w:highlight w:val="none"/>
              </w:rPr>
            </w:pPr>
          </w:p>
        </w:tc>
        <w:tc>
          <w:tcPr>
            <w:tcW w:w="749" w:type="dxa"/>
            <w:vAlign w:val="center"/>
          </w:tcPr>
          <w:p w14:paraId="075B8651">
            <w:pPr>
              <w:autoSpaceDE w:val="0"/>
              <w:autoSpaceDN w:val="0"/>
              <w:adjustRightInd w:val="0"/>
              <w:rPr>
                <w:rFonts w:hint="eastAsia" w:ascii="宋体" w:hAnsi="宋体" w:eastAsia="宋体" w:cs="宋体"/>
                <w:color w:val="auto"/>
                <w:szCs w:val="21"/>
                <w:highlight w:val="none"/>
              </w:rPr>
            </w:pPr>
          </w:p>
        </w:tc>
        <w:tc>
          <w:tcPr>
            <w:tcW w:w="720" w:type="dxa"/>
            <w:vAlign w:val="center"/>
          </w:tcPr>
          <w:p w14:paraId="4F70DFCC">
            <w:pPr>
              <w:autoSpaceDE w:val="0"/>
              <w:autoSpaceDN w:val="0"/>
              <w:adjustRightInd w:val="0"/>
              <w:rPr>
                <w:rFonts w:hint="eastAsia" w:ascii="宋体" w:hAnsi="宋体" w:eastAsia="宋体" w:cs="宋体"/>
                <w:color w:val="auto"/>
                <w:szCs w:val="21"/>
                <w:highlight w:val="none"/>
              </w:rPr>
            </w:pPr>
          </w:p>
        </w:tc>
        <w:tc>
          <w:tcPr>
            <w:tcW w:w="720" w:type="dxa"/>
            <w:vAlign w:val="center"/>
          </w:tcPr>
          <w:p w14:paraId="47D1EFB4">
            <w:pPr>
              <w:autoSpaceDE w:val="0"/>
              <w:autoSpaceDN w:val="0"/>
              <w:adjustRightInd w:val="0"/>
              <w:rPr>
                <w:rFonts w:hint="eastAsia" w:ascii="宋体" w:hAnsi="宋体" w:eastAsia="宋体" w:cs="宋体"/>
                <w:color w:val="auto"/>
                <w:szCs w:val="21"/>
                <w:highlight w:val="none"/>
              </w:rPr>
            </w:pPr>
          </w:p>
        </w:tc>
        <w:tc>
          <w:tcPr>
            <w:tcW w:w="720" w:type="dxa"/>
            <w:vAlign w:val="center"/>
          </w:tcPr>
          <w:p w14:paraId="5239D888">
            <w:pPr>
              <w:autoSpaceDE w:val="0"/>
              <w:autoSpaceDN w:val="0"/>
              <w:adjustRightInd w:val="0"/>
              <w:rPr>
                <w:rFonts w:hint="eastAsia" w:ascii="宋体" w:hAnsi="宋体" w:eastAsia="宋体" w:cs="宋体"/>
                <w:color w:val="auto"/>
                <w:szCs w:val="21"/>
                <w:highlight w:val="none"/>
              </w:rPr>
            </w:pPr>
          </w:p>
        </w:tc>
        <w:tc>
          <w:tcPr>
            <w:tcW w:w="1344" w:type="dxa"/>
            <w:vAlign w:val="center"/>
          </w:tcPr>
          <w:p w14:paraId="4064D301">
            <w:pPr>
              <w:autoSpaceDE w:val="0"/>
              <w:autoSpaceDN w:val="0"/>
              <w:adjustRightInd w:val="0"/>
              <w:rPr>
                <w:rFonts w:hint="eastAsia" w:ascii="宋体" w:hAnsi="宋体" w:eastAsia="宋体" w:cs="宋体"/>
                <w:color w:val="auto"/>
                <w:szCs w:val="21"/>
                <w:highlight w:val="none"/>
              </w:rPr>
            </w:pPr>
          </w:p>
        </w:tc>
        <w:tc>
          <w:tcPr>
            <w:tcW w:w="1134" w:type="dxa"/>
            <w:vAlign w:val="center"/>
          </w:tcPr>
          <w:p w14:paraId="6348E051">
            <w:pPr>
              <w:autoSpaceDE w:val="0"/>
              <w:autoSpaceDN w:val="0"/>
              <w:adjustRightInd w:val="0"/>
              <w:rPr>
                <w:rFonts w:hint="eastAsia" w:ascii="宋体" w:hAnsi="宋体" w:eastAsia="宋体" w:cs="宋体"/>
                <w:color w:val="auto"/>
                <w:szCs w:val="21"/>
                <w:highlight w:val="none"/>
              </w:rPr>
            </w:pPr>
          </w:p>
        </w:tc>
      </w:tr>
      <w:tr w14:paraId="134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61EDE7CC">
            <w:pPr>
              <w:autoSpaceDE w:val="0"/>
              <w:autoSpaceDN w:val="0"/>
              <w:adjustRightInd w:val="0"/>
              <w:rPr>
                <w:rFonts w:hint="eastAsia" w:ascii="宋体" w:hAnsi="宋体" w:eastAsia="宋体" w:cs="宋体"/>
                <w:color w:val="auto"/>
                <w:szCs w:val="21"/>
                <w:highlight w:val="none"/>
              </w:rPr>
            </w:pPr>
          </w:p>
        </w:tc>
        <w:tc>
          <w:tcPr>
            <w:tcW w:w="1015" w:type="dxa"/>
          </w:tcPr>
          <w:p w14:paraId="537E8A64">
            <w:pPr>
              <w:autoSpaceDE w:val="0"/>
              <w:autoSpaceDN w:val="0"/>
              <w:adjustRightInd w:val="0"/>
              <w:rPr>
                <w:rFonts w:hint="eastAsia" w:ascii="宋体" w:hAnsi="宋体" w:eastAsia="宋体" w:cs="宋体"/>
                <w:color w:val="auto"/>
                <w:szCs w:val="21"/>
                <w:highlight w:val="none"/>
              </w:rPr>
            </w:pPr>
          </w:p>
        </w:tc>
        <w:tc>
          <w:tcPr>
            <w:tcW w:w="1701" w:type="dxa"/>
            <w:vAlign w:val="center"/>
          </w:tcPr>
          <w:p w14:paraId="6E6A14E0">
            <w:pPr>
              <w:autoSpaceDE w:val="0"/>
              <w:autoSpaceDN w:val="0"/>
              <w:adjustRightInd w:val="0"/>
              <w:rPr>
                <w:rFonts w:hint="eastAsia" w:ascii="宋体" w:hAnsi="宋体" w:eastAsia="宋体" w:cs="宋体"/>
                <w:color w:val="auto"/>
                <w:szCs w:val="21"/>
                <w:highlight w:val="none"/>
              </w:rPr>
            </w:pPr>
          </w:p>
        </w:tc>
        <w:tc>
          <w:tcPr>
            <w:tcW w:w="749" w:type="dxa"/>
            <w:vAlign w:val="center"/>
          </w:tcPr>
          <w:p w14:paraId="0D779CA7">
            <w:pPr>
              <w:autoSpaceDE w:val="0"/>
              <w:autoSpaceDN w:val="0"/>
              <w:adjustRightInd w:val="0"/>
              <w:rPr>
                <w:rFonts w:hint="eastAsia" w:ascii="宋体" w:hAnsi="宋体" w:eastAsia="宋体" w:cs="宋体"/>
                <w:color w:val="auto"/>
                <w:szCs w:val="21"/>
                <w:highlight w:val="none"/>
              </w:rPr>
            </w:pPr>
          </w:p>
        </w:tc>
        <w:tc>
          <w:tcPr>
            <w:tcW w:w="720" w:type="dxa"/>
            <w:vAlign w:val="center"/>
          </w:tcPr>
          <w:p w14:paraId="25412871">
            <w:pPr>
              <w:autoSpaceDE w:val="0"/>
              <w:autoSpaceDN w:val="0"/>
              <w:adjustRightInd w:val="0"/>
              <w:rPr>
                <w:rFonts w:hint="eastAsia" w:ascii="宋体" w:hAnsi="宋体" w:eastAsia="宋体" w:cs="宋体"/>
                <w:color w:val="auto"/>
                <w:szCs w:val="21"/>
                <w:highlight w:val="none"/>
              </w:rPr>
            </w:pPr>
          </w:p>
        </w:tc>
        <w:tc>
          <w:tcPr>
            <w:tcW w:w="720" w:type="dxa"/>
            <w:vAlign w:val="center"/>
          </w:tcPr>
          <w:p w14:paraId="4DCDD264">
            <w:pPr>
              <w:autoSpaceDE w:val="0"/>
              <w:autoSpaceDN w:val="0"/>
              <w:adjustRightInd w:val="0"/>
              <w:rPr>
                <w:rFonts w:hint="eastAsia" w:ascii="宋体" w:hAnsi="宋体" w:eastAsia="宋体" w:cs="宋体"/>
                <w:color w:val="auto"/>
                <w:szCs w:val="21"/>
                <w:highlight w:val="none"/>
              </w:rPr>
            </w:pPr>
          </w:p>
        </w:tc>
        <w:tc>
          <w:tcPr>
            <w:tcW w:w="720" w:type="dxa"/>
            <w:vAlign w:val="center"/>
          </w:tcPr>
          <w:p w14:paraId="6C7C720B">
            <w:pPr>
              <w:autoSpaceDE w:val="0"/>
              <w:autoSpaceDN w:val="0"/>
              <w:adjustRightInd w:val="0"/>
              <w:rPr>
                <w:rFonts w:hint="eastAsia" w:ascii="宋体" w:hAnsi="宋体" w:eastAsia="宋体" w:cs="宋体"/>
                <w:color w:val="auto"/>
                <w:szCs w:val="21"/>
                <w:highlight w:val="none"/>
              </w:rPr>
            </w:pPr>
          </w:p>
        </w:tc>
        <w:tc>
          <w:tcPr>
            <w:tcW w:w="1344" w:type="dxa"/>
            <w:vAlign w:val="center"/>
          </w:tcPr>
          <w:p w14:paraId="187B280A">
            <w:pPr>
              <w:autoSpaceDE w:val="0"/>
              <w:autoSpaceDN w:val="0"/>
              <w:adjustRightInd w:val="0"/>
              <w:rPr>
                <w:rFonts w:hint="eastAsia" w:ascii="宋体" w:hAnsi="宋体" w:eastAsia="宋体" w:cs="宋体"/>
                <w:color w:val="auto"/>
                <w:szCs w:val="21"/>
                <w:highlight w:val="none"/>
              </w:rPr>
            </w:pPr>
          </w:p>
        </w:tc>
        <w:tc>
          <w:tcPr>
            <w:tcW w:w="1134" w:type="dxa"/>
            <w:vAlign w:val="center"/>
          </w:tcPr>
          <w:p w14:paraId="115EB5D6">
            <w:pPr>
              <w:autoSpaceDE w:val="0"/>
              <w:autoSpaceDN w:val="0"/>
              <w:adjustRightInd w:val="0"/>
              <w:rPr>
                <w:rFonts w:hint="eastAsia" w:ascii="宋体" w:hAnsi="宋体" w:eastAsia="宋体" w:cs="宋体"/>
                <w:color w:val="auto"/>
                <w:szCs w:val="21"/>
                <w:highlight w:val="none"/>
              </w:rPr>
            </w:pPr>
          </w:p>
        </w:tc>
      </w:tr>
      <w:tr w14:paraId="33AB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2E3A75A9">
            <w:pPr>
              <w:autoSpaceDE w:val="0"/>
              <w:autoSpaceDN w:val="0"/>
              <w:adjustRightInd w:val="0"/>
              <w:rPr>
                <w:rFonts w:hint="eastAsia" w:ascii="宋体" w:hAnsi="宋体" w:eastAsia="宋体" w:cs="宋体"/>
                <w:color w:val="auto"/>
                <w:szCs w:val="21"/>
                <w:highlight w:val="none"/>
              </w:rPr>
            </w:pPr>
          </w:p>
        </w:tc>
        <w:tc>
          <w:tcPr>
            <w:tcW w:w="1015" w:type="dxa"/>
          </w:tcPr>
          <w:p w14:paraId="79208E96">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9DC62B6">
            <w:pPr>
              <w:autoSpaceDE w:val="0"/>
              <w:autoSpaceDN w:val="0"/>
              <w:adjustRightInd w:val="0"/>
              <w:rPr>
                <w:rFonts w:hint="eastAsia" w:ascii="宋体" w:hAnsi="宋体" w:eastAsia="宋体" w:cs="宋体"/>
                <w:color w:val="auto"/>
                <w:szCs w:val="21"/>
                <w:highlight w:val="none"/>
              </w:rPr>
            </w:pPr>
          </w:p>
        </w:tc>
        <w:tc>
          <w:tcPr>
            <w:tcW w:w="749" w:type="dxa"/>
            <w:vAlign w:val="center"/>
          </w:tcPr>
          <w:p w14:paraId="0A3613EE">
            <w:pPr>
              <w:autoSpaceDE w:val="0"/>
              <w:autoSpaceDN w:val="0"/>
              <w:adjustRightInd w:val="0"/>
              <w:rPr>
                <w:rFonts w:hint="eastAsia" w:ascii="宋体" w:hAnsi="宋体" w:eastAsia="宋体" w:cs="宋体"/>
                <w:color w:val="auto"/>
                <w:szCs w:val="21"/>
                <w:highlight w:val="none"/>
              </w:rPr>
            </w:pPr>
          </w:p>
        </w:tc>
        <w:tc>
          <w:tcPr>
            <w:tcW w:w="720" w:type="dxa"/>
            <w:vAlign w:val="center"/>
          </w:tcPr>
          <w:p w14:paraId="70656A26">
            <w:pPr>
              <w:autoSpaceDE w:val="0"/>
              <w:autoSpaceDN w:val="0"/>
              <w:adjustRightInd w:val="0"/>
              <w:rPr>
                <w:rFonts w:hint="eastAsia" w:ascii="宋体" w:hAnsi="宋体" w:eastAsia="宋体" w:cs="宋体"/>
                <w:color w:val="auto"/>
                <w:szCs w:val="21"/>
                <w:highlight w:val="none"/>
              </w:rPr>
            </w:pPr>
          </w:p>
        </w:tc>
        <w:tc>
          <w:tcPr>
            <w:tcW w:w="720" w:type="dxa"/>
            <w:vAlign w:val="center"/>
          </w:tcPr>
          <w:p w14:paraId="73242556">
            <w:pPr>
              <w:autoSpaceDE w:val="0"/>
              <w:autoSpaceDN w:val="0"/>
              <w:adjustRightInd w:val="0"/>
              <w:rPr>
                <w:rFonts w:hint="eastAsia" w:ascii="宋体" w:hAnsi="宋体" w:eastAsia="宋体" w:cs="宋体"/>
                <w:color w:val="auto"/>
                <w:szCs w:val="21"/>
                <w:highlight w:val="none"/>
              </w:rPr>
            </w:pPr>
          </w:p>
        </w:tc>
        <w:tc>
          <w:tcPr>
            <w:tcW w:w="720" w:type="dxa"/>
            <w:vAlign w:val="center"/>
          </w:tcPr>
          <w:p w14:paraId="72A462FA">
            <w:pPr>
              <w:autoSpaceDE w:val="0"/>
              <w:autoSpaceDN w:val="0"/>
              <w:adjustRightInd w:val="0"/>
              <w:rPr>
                <w:rFonts w:hint="eastAsia" w:ascii="宋体" w:hAnsi="宋体" w:eastAsia="宋体" w:cs="宋体"/>
                <w:color w:val="auto"/>
                <w:szCs w:val="21"/>
                <w:highlight w:val="none"/>
              </w:rPr>
            </w:pPr>
          </w:p>
        </w:tc>
        <w:tc>
          <w:tcPr>
            <w:tcW w:w="1344" w:type="dxa"/>
            <w:vAlign w:val="center"/>
          </w:tcPr>
          <w:p w14:paraId="6BDC4E11">
            <w:pPr>
              <w:autoSpaceDE w:val="0"/>
              <w:autoSpaceDN w:val="0"/>
              <w:adjustRightInd w:val="0"/>
              <w:rPr>
                <w:rFonts w:hint="eastAsia" w:ascii="宋体" w:hAnsi="宋体" w:eastAsia="宋体" w:cs="宋体"/>
                <w:color w:val="auto"/>
                <w:szCs w:val="21"/>
                <w:highlight w:val="none"/>
              </w:rPr>
            </w:pPr>
          </w:p>
        </w:tc>
        <w:tc>
          <w:tcPr>
            <w:tcW w:w="1134" w:type="dxa"/>
            <w:vAlign w:val="center"/>
          </w:tcPr>
          <w:p w14:paraId="6A3D098F">
            <w:pPr>
              <w:autoSpaceDE w:val="0"/>
              <w:autoSpaceDN w:val="0"/>
              <w:adjustRightInd w:val="0"/>
              <w:rPr>
                <w:rFonts w:hint="eastAsia" w:ascii="宋体" w:hAnsi="宋体" w:eastAsia="宋体" w:cs="宋体"/>
                <w:color w:val="auto"/>
                <w:szCs w:val="21"/>
                <w:highlight w:val="none"/>
              </w:rPr>
            </w:pPr>
          </w:p>
        </w:tc>
      </w:tr>
      <w:tr w14:paraId="050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0D258D91">
            <w:pPr>
              <w:autoSpaceDE w:val="0"/>
              <w:autoSpaceDN w:val="0"/>
              <w:adjustRightInd w:val="0"/>
              <w:rPr>
                <w:rFonts w:hint="eastAsia" w:ascii="宋体" w:hAnsi="宋体" w:eastAsia="宋体" w:cs="宋体"/>
                <w:color w:val="auto"/>
                <w:szCs w:val="21"/>
                <w:highlight w:val="none"/>
              </w:rPr>
            </w:pPr>
          </w:p>
        </w:tc>
        <w:tc>
          <w:tcPr>
            <w:tcW w:w="1015" w:type="dxa"/>
          </w:tcPr>
          <w:p w14:paraId="300C528F">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A6B963B">
            <w:pPr>
              <w:autoSpaceDE w:val="0"/>
              <w:autoSpaceDN w:val="0"/>
              <w:adjustRightInd w:val="0"/>
              <w:rPr>
                <w:rFonts w:hint="eastAsia" w:ascii="宋体" w:hAnsi="宋体" w:eastAsia="宋体" w:cs="宋体"/>
                <w:color w:val="auto"/>
                <w:szCs w:val="21"/>
                <w:highlight w:val="none"/>
              </w:rPr>
            </w:pPr>
          </w:p>
        </w:tc>
        <w:tc>
          <w:tcPr>
            <w:tcW w:w="749" w:type="dxa"/>
            <w:vAlign w:val="center"/>
          </w:tcPr>
          <w:p w14:paraId="0AA62E7C">
            <w:pPr>
              <w:autoSpaceDE w:val="0"/>
              <w:autoSpaceDN w:val="0"/>
              <w:adjustRightInd w:val="0"/>
              <w:rPr>
                <w:rFonts w:hint="eastAsia" w:ascii="宋体" w:hAnsi="宋体" w:eastAsia="宋体" w:cs="宋体"/>
                <w:color w:val="auto"/>
                <w:szCs w:val="21"/>
                <w:highlight w:val="none"/>
              </w:rPr>
            </w:pPr>
          </w:p>
        </w:tc>
        <w:tc>
          <w:tcPr>
            <w:tcW w:w="720" w:type="dxa"/>
            <w:vAlign w:val="center"/>
          </w:tcPr>
          <w:p w14:paraId="38439A8F">
            <w:pPr>
              <w:autoSpaceDE w:val="0"/>
              <w:autoSpaceDN w:val="0"/>
              <w:adjustRightInd w:val="0"/>
              <w:rPr>
                <w:rFonts w:hint="eastAsia" w:ascii="宋体" w:hAnsi="宋体" w:eastAsia="宋体" w:cs="宋体"/>
                <w:color w:val="auto"/>
                <w:szCs w:val="21"/>
                <w:highlight w:val="none"/>
              </w:rPr>
            </w:pPr>
          </w:p>
        </w:tc>
        <w:tc>
          <w:tcPr>
            <w:tcW w:w="720" w:type="dxa"/>
            <w:vAlign w:val="center"/>
          </w:tcPr>
          <w:p w14:paraId="5CD3CFB5">
            <w:pPr>
              <w:autoSpaceDE w:val="0"/>
              <w:autoSpaceDN w:val="0"/>
              <w:adjustRightInd w:val="0"/>
              <w:rPr>
                <w:rFonts w:hint="eastAsia" w:ascii="宋体" w:hAnsi="宋体" w:eastAsia="宋体" w:cs="宋体"/>
                <w:color w:val="auto"/>
                <w:szCs w:val="21"/>
                <w:highlight w:val="none"/>
              </w:rPr>
            </w:pPr>
          </w:p>
        </w:tc>
        <w:tc>
          <w:tcPr>
            <w:tcW w:w="720" w:type="dxa"/>
            <w:vAlign w:val="center"/>
          </w:tcPr>
          <w:p w14:paraId="073B1FFE">
            <w:pPr>
              <w:autoSpaceDE w:val="0"/>
              <w:autoSpaceDN w:val="0"/>
              <w:adjustRightInd w:val="0"/>
              <w:rPr>
                <w:rFonts w:hint="eastAsia" w:ascii="宋体" w:hAnsi="宋体" w:eastAsia="宋体" w:cs="宋体"/>
                <w:color w:val="auto"/>
                <w:szCs w:val="21"/>
                <w:highlight w:val="none"/>
              </w:rPr>
            </w:pPr>
          </w:p>
        </w:tc>
        <w:tc>
          <w:tcPr>
            <w:tcW w:w="1344" w:type="dxa"/>
            <w:vAlign w:val="center"/>
          </w:tcPr>
          <w:p w14:paraId="15A23A8E">
            <w:pPr>
              <w:autoSpaceDE w:val="0"/>
              <w:autoSpaceDN w:val="0"/>
              <w:adjustRightInd w:val="0"/>
              <w:rPr>
                <w:rFonts w:hint="eastAsia" w:ascii="宋体" w:hAnsi="宋体" w:eastAsia="宋体" w:cs="宋体"/>
                <w:color w:val="auto"/>
                <w:szCs w:val="21"/>
                <w:highlight w:val="none"/>
              </w:rPr>
            </w:pPr>
          </w:p>
        </w:tc>
        <w:tc>
          <w:tcPr>
            <w:tcW w:w="1134" w:type="dxa"/>
            <w:vAlign w:val="center"/>
          </w:tcPr>
          <w:p w14:paraId="7C87D9E3">
            <w:pPr>
              <w:autoSpaceDE w:val="0"/>
              <w:autoSpaceDN w:val="0"/>
              <w:adjustRightInd w:val="0"/>
              <w:rPr>
                <w:rFonts w:hint="eastAsia" w:ascii="宋体" w:hAnsi="宋体" w:eastAsia="宋体" w:cs="宋体"/>
                <w:color w:val="auto"/>
                <w:szCs w:val="21"/>
                <w:highlight w:val="none"/>
              </w:rPr>
            </w:pPr>
          </w:p>
        </w:tc>
      </w:tr>
      <w:tr w14:paraId="245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50D75B40">
            <w:pPr>
              <w:autoSpaceDE w:val="0"/>
              <w:autoSpaceDN w:val="0"/>
              <w:adjustRightInd w:val="0"/>
              <w:rPr>
                <w:rFonts w:hint="eastAsia" w:ascii="宋体" w:hAnsi="宋体" w:eastAsia="宋体" w:cs="宋体"/>
                <w:color w:val="auto"/>
                <w:szCs w:val="21"/>
                <w:highlight w:val="none"/>
              </w:rPr>
            </w:pPr>
          </w:p>
        </w:tc>
        <w:tc>
          <w:tcPr>
            <w:tcW w:w="1015" w:type="dxa"/>
          </w:tcPr>
          <w:p w14:paraId="66E450D5">
            <w:pPr>
              <w:autoSpaceDE w:val="0"/>
              <w:autoSpaceDN w:val="0"/>
              <w:adjustRightInd w:val="0"/>
              <w:rPr>
                <w:rFonts w:hint="eastAsia" w:ascii="宋体" w:hAnsi="宋体" w:eastAsia="宋体" w:cs="宋体"/>
                <w:color w:val="auto"/>
                <w:szCs w:val="21"/>
                <w:highlight w:val="none"/>
              </w:rPr>
            </w:pPr>
          </w:p>
        </w:tc>
        <w:tc>
          <w:tcPr>
            <w:tcW w:w="1701" w:type="dxa"/>
            <w:vAlign w:val="center"/>
          </w:tcPr>
          <w:p w14:paraId="7CB19871">
            <w:pPr>
              <w:autoSpaceDE w:val="0"/>
              <w:autoSpaceDN w:val="0"/>
              <w:adjustRightInd w:val="0"/>
              <w:rPr>
                <w:rFonts w:hint="eastAsia" w:ascii="宋体" w:hAnsi="宋体" w:eastAsia="宋体" w:cs="宋体"/>
                <w:color w:val="auto"/>
                <w:szCs w:val="21"/>
                <w:highlight w:val="none"/>
              </w:rPr>
            </w:pPr>
          </w:p>
        </w:tc>
        <w:tc>
          <w:tcPr>
            <w:tcW w:w="749" w:type="dxa"/>
            <w:vAlign w:val="center"/>
          </w:tcPr>
          <w:p w14:paraId="27A87411">
            <w:pPr>
              <w:autoSpaceDE w:val="0"/>
              <w:autoSpaceDN w:val="0"/>
              <w:adjustRightInd w:val="0"/>
              <w:rPr>
                <w:rFonts w:hint="eastAsia" w:ascii="宋体" w:hAnsi="宋体" w:eastAsia="宋体" w:cs="宋体"/>
                <w:color w:val="auto"/>
                <w:szCs w:val="21"/>
                <w:highlight w:val="none"/>
              </w:rPr>
            </w:pPr>
          </w:p>
        </w:tc>
        <w:tc>
          <w:tcPr>
            <w:tcW w:w="720" w:type="dxa"/>
            <w:vAlign w:val="center"/>
          </w:tcPr>
          <w:p w14:paraId="69381C88">
            <w:pPr>
              <w:autoSpaceDE w:val="0"/>
              <w:autoSpaceDN w:val="0"/>
              <w:adjustRightInd w:val="0"/>
              <w:rPr>
                <w:rFonts w:hint="eastAsia" w:ascii="宋体" w:hAnsi="宋体" w:eastAsia="宋体" w:cs="宋体"/>
                <w:color w:val="auto"/>
                <w:szCs w:val="21"/>
                <w:highlight w:val="none"/>
              </w:rPr>
            </w:pPr>
          </w:p>
        </w:tc>
        <w:tc>
          <w:tcPr>
            <w:tcW w:w="720" w:type="dxa"/>
            <w:vAlign w:val="center"/>
          </w:tcPr>
          <w:p w14:paraId="61B80F44">
            <w:pPr>
              <w:autoSpaceDE w:val="0"/>
              <w:autoSpaceDN w:val="0"/>
              <w:adjustRightInd w:val="0"/>
              <w:rPr>
                <w:rFonts w:hint="eastAsia" w:ascii="宋体" w:hAnsi="宋体" w:eastAsia="宋体" w:cs="宋体"/>
                <w:color w:val="auto"/>
                <w:szCs w:val="21"/>
                <w:highlight w:val="none"/>
              </w:rPr>
            </w:pPr>
          </w:p>
        </w:tc>
        <w:tc>
          <w:tcPr>
            <w:tcW w:w="720" w:type="dxa"/>
            <w:vAlign w:val="center"/>
          </w:tcPr>
          <w:p w14:paraId="0E57C3FD">
            <w:pPr>
              <w:autoSpaceDE w:val="0"/>
              <w:autoSpaceDN w:val="0"/>
              <w:adjustRightInd w:val="0"/>
              <w:rPr>
                <w:rFonts w:hint="eastAsia" w:ascii="宋体" w:hAnsi="宋体" w:eastAsia="宋体" w:cs="宋体"/>
                <w:color w:val="auto"/>
                <w:szCs w:val="21"/>
                <w:highlight w:val="none"/>
              </w:rPr>
            </w:pPr>
          </w:p>
        </w:tc>
        <w:tc>
          <w:tcPr>
            <w:tcW w:w="1344" w:type="dxa"/>
            <w:vAlign w:val="center"/>
          </w:tcPr>
          <w:p w14:paraId="2D4AE625">
            <w:pPr>
              <w:autoSpaceDE w:val="0"/>
              <w:autoSpaceDN w:val="0"/>
              <w:adjustRightInd w:val="0"/>
              <w:rPr>
                <w:rFonts w:hint="eastAsia" w:ascii="宋体" w:hAnsi="宋体" w:eastAsia="宋体" w:cs="宋体"/>
                <w:color w:val="auto"/>
                <w:szCs w:val="21"/>
                <w:highlight w:val="none"/>
              </w:rPr>
            </w:pPr>
          </w:p>
        </w:tc>
        <w:tc>
          <w:tcPr>
            <w:tcW w:w="1134" w:type="dxa"/>
            <w:vAlign w:val="center"/>
          </w:tcPr>
          <w:p w14:paraId="1A0ECB6F">
            <w:pPr>
              <w:autoSpaceDE w:val="0"/>
              <w:autoSpaceDN w:val="0"/>
              <w:adjustRightInd w:val="0"/>
              <w:rPr>
                <w:rFonts w:hint="eastAsia" w:ascii="宋体" w:hAnsi="宋体" w:eastAsia="宋体" w:cs="宋体"/>
                <w:color w:val="auto"/>
                <w:szCs w:val="21"/>
                <w:highlight w:val="none"/>
              </w:rPr>
            </w:pPr>
          </w:p>
        </w:tc>
      </w:tr>
      <w:tr w14:paraId="3198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428A793D">
            <w:pPr>
              <w:autoSpaceDE w:val="0"/>
              <w:autoSpaceDN w:val="0"/>
              <w:adjustRightInd w:val="0"/>
              <w:rPr>
                <w:rFonts w:hint="eastAsia" w:ascii="宋体" w:hAnsi="宋体" w:eastAsia="宋体" w:cs="宋体"/>
                <w:color w:val="auto"/>
                <w:szCs w:val="21"/>
                <w:highlight w:val="none"/>
              </w:rPr>
            </w:pPr>
          </w:p>
        </w:tc>
        <w:tc>
          <w:tcPr>
            <w:tcW w:w="1015" w:type="dxa"/>
          </w:tcPr>
          <w:p w14:paraId="16BBF3B7">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2804546">
            <w:pPr>
              <w:autoSpaceDE w:val="0"/>
              <w:autoSpaceDN w:val="0"/>
              <w:adjustRightInd w:val="0"/>
              <w:rPr>
                <w:rFonts w:hint="eastAsia" w:ascii="宋体" w:hAnsi="宋体" w:eastAsia="宋体" w:cs="宋体"/>
                <w:color w:val="auto"/>
                <w:szCs w:val="21"/>
                <w:highlight w:val="none"/>
              </w:rPr>
            </w:pPr>
          </w:p>
        </w:tc>
        <w:tc>
          <w:tcPr>
            <w:tcW w:w="749" w:type="dxa"/>
            <w:vAlign w:val="center"/>
          </w:tcPr>
          <w:p w14:paraId="6E6DD7C1">
            <w:pPr>
              <w:autoSpaceDE w:val="0"/>
              <w:autoSpaceDN w:val="0"/>
              <w:adjustRightInd w:val="0"/>
              <w:rPr>
                <w:rFonts w:hint="eastAsia" w:ascii="宋体" w:hAnsi="宋体" w:eastAsia="宋体" w:cs="宋体"/>
                <w:color w:val="auto"/>
                <w:szCs w:val="21"/>
                <w:highlight w:val="none"/>
              </w:rPr>
            </w:pPr>
          </w:p>
        </w:tc>
        <w:tc>
          <w:tcPr>
            <w:tcW w:w="720" w:type="dxa"/>
            <w:vAlign w:val="center"/>
          </w:tcPr>
          <w:p w14:paraId="07BADEB1">
            <w:pPr>
              <w:autoSpaceDE w:val="0"/>
              <w:autoSpaceDN w:val="0"/>
              <w:adjustRightInd w:val="0"/>
              <w:rPr>
                <w:rFonts w:hint="eastAsia" w:ascii="宋体" w:hAnsi="宋体" w:eastAsia="宋体" w:cs="宋体"/>
                <w:color w:val="auto"/>
                <w:szCs w:val="21"/>
                <w:highlight w:val="none"/>
              </w:rPr>
            </w:pPr>
          </w:p>
        </w:tc>
        <w:tc>
          <w:tcPr>
            <w:tcW w:w="720" w:type="dxa"/>
            <w:vAlign w:val="center"/>
          </w:tcPr>
          <w:p w14:paraId="59919909">
            <w:pPr>
              <w:autoSpaceDE w:val="0"/>
              <w:autoSpaceDN w:val="0"/>
              <w:adjustRightInd w:val="0"/>
              <w:rPr>
                <w:rFonts w:hint="eastAsia" w:ascii="宋体" w:hAnsi="宋体" w:eastAsia="宋体" w:cs="宋体"/>
                <w:color w:val="auto"/>
                <w:szCs w:val="21"/>
                <w:highlight w:val="none"/>
              </w:rPr>
            </w:pPr>
          </w:p>
        </w:tc>
        <w:tc>
          <w:tcPr>
            <w:tcW w:w="720" w:type="dxa"/>
            <w:vAlign w:val="center"/>
          </w:tcPr>
          <w:p w14:paraId="37F2F6BB">
            <w:pPr>
              <w:autoSpaceDE w:val="0"/>
              <w:autoSpaceDN w:val="0"/>
              <w:adjustRightInd w:val="0"/>
              <w:rPr>
                <w:rFonts w:hint="eastAsia" w:ascii="宋体" w:hAnsi="宋体" w:eastAsia="宋体" w:cs="宋体"/>
                <w:color w:val="auto"/>
                <w:szCs w:val="21"/>
                <w:highlight w:val="none"/>
              </w:rPr>
            </w:pPr>
          </w:p>
        </w:tc>
        <w:tc>
          <w:tcPr>
            <w:tcW w:w="1344" w:type="dxa"/>
            <w:vAlign w:val="center"/>
          </w:tcPr>
          <w:p w14:paraId="5D16BFE7">
            <w:pPr>
              <w:autoSpaceDE w:val="0"/>
              <w:autoSpaceDN w:val="0"/>
              <w:adjustRightInd w:val="0"/>
              <w:rPr>
                <w:rFonts w:hint="eastAsia" w:ascii="宋体" w:hAnsi="宋体" w:eastAsia="宋体" w:cs="宋体"/>
                <w:color w:val="auto"/>
                <w:szCs w:val="21"/>
                <w:highlight w:val="none"/>
              </w:rPr>
            </w:pPr>
          </w:p>
        </w:tc>
        <w:tc>
          <w:tcPr>
            <w:tcW w:w="1134" w:type="dxa"/>
            <w:vAlign w:val="center"/>
          </w:tcPr>
          <w:p w14:paraId="04AD50D6">
            <w:pPr>
              <w:autoSpaceDE w:val="0"/>
              <w:autoSpaceDN w:val="0"/>
              <w:adjustRightInd w:val="0"/>
              <w:rPr>
                <w:rFonts w:hint="eastAsia" w:ascii="宋体" w:hAnsi="宋体" w:eastAsia="宋体" w:cs="宋体"/>
                <w:color w:val="auto"/>
                <w:szCs w:val="21"/>
                <w:highlight w:val="none"/>
              </w:rPr>
            </w:pPr>
          </w:p>
        </w:tc>
      </w:tr>
      <w:tr w14:paraId="00C7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1BAD3A0F">
            <w:pPr>
              <w:autoSpaceDE w:val="0"/>
              <w:autoSpaceDN w:val="0"/>
              <w:adjustRightInd w:val="0"/>
              <w:rPr>
                <w:rFonts w:hint="eastAsia" w:ascii="宋体" w:hAnsi="宋体" w:eastAsia="宋体" w:cs="宋体"/>
                <w:color w:val="auto"/>
                <w:szCs w:val="21"/>
                <w:highlight w:val="none"/>
              </w:rPr>
            </w:pPr>
          </w:p>
        </w:tc>
        <w:tc>
          <w:tcPr>
            <w:tcW w:w="1015" w:type="dxa"/>
          </w:tcPr>
          <w:p w14:paraId="1D875FA7">
            <w:pPr>
              <w:autoSpaceDE w:val="0"/>
              <w:autoSpaceDN w:val="0"/>
              <w:adjustRightInd w:val="0"/>
              <w:rPr>
                <w:rFonts w:hint="eastAsia" w:ascii="宋体" w:hAnsi="宋体" w:eastAsia="宋体" w:cs="宋体"/>
                <w:color w:val="auto"/>
                <w:szCs w:val="21"/>
                <w:highlight w:val="none"/>
              </w:rPr>
            </w:pPr>
          </w:p>
        </w:tc>
        <w:tc>
          <w:tcPr>
            <w:tcW w:w="1701" w:type="dxa"/>
            <w:vAlign w:val="center"/>
          </w:tcPr>
          <w:p w14:paraId="582F7EE1">
            <w:pPr>
              <w:autoSpaceDE w:val="0"/>
              <w:autoSpaceDN w:val="0"/>
              <w:adjustRightInd w:val="0"/>
              <w:rPr>
                <w:rFonts w:hint="eastAsia" w:ascii="宋体" w:hAnsi="宋体" w:eastAsia="宋体" w:cs="宋体"/>
                <w:color w:val="auto"/>
                <w:szCs w:val="21"/>
                <w:highlight w:val="none"/>
              </w:rPr>
            </w:pPr>
          </w:p>
        </w:tc>
        <w:tc>
          <w:tcPr>
            <w:tcW w:w="749" w:type="dxa"/>
            <w:vAlign w:val="center"/>
          </w:tcPr>
          <w:p w14:paraId="62C46CE9">
            <w:pPr>
              <w:autoSpaceDE w:val="0"/>
              <w:autoSpaceDN w:val="0"/>
              <w:adjustRightInd w:val="0"/>
              <w:rPr>
                <w:rFonts w:hint="eastAsia" w:ascii="宋体" w:hAnsi="宋体" w:eastAsia="宋体" w:cs="宋体"/>
                <w:color w:val="auto"/>
                <w:szCs w:val="21"/>
                <w:highlight w:val="none"/>
              </w:rPr>
            </w:pPr>
          </w:p>
        </w:tc>
        <w:tc>
          <w:tcPr>
            <w:tcW w:w="720" w:type="dxa"/>
            <w:vAlign w:val="center"/>
          </w:tcPr>
          <w:p w14:paraId="4580770A">
            <w:pPr>
              <w:autoSpaceDE w:val="0"/>
              <w:autoSpaceDN w:val="0"/>
              <w:adjustRightInd w:val="0"/>
              <w:rPr>
                <w:rFonts w:hint="eastAsia" w:ascii="宋体" w:hAnsi="宋体" w:eastAsia="宋体" w:cs="宋体"/>
                <w:color w:val="auto"/>
                <w:szCs w:val="21"/>
                <w:highlight w:val="none"/>
              </w:rPr>
            </w:pPr>
          </w:p>
        </w:tc>
        <w:tc>
          <w:tcPr>
            <w:tcW w:w="720" w:type="dxa"/>
            <w:vAlign w:val="center"/>
          </w:tcPr>
          <w:p w14:paraId="64CA680B">
            <w:pPr>
              <w:autoSpaceDE w:val="0"/>
              <w:autoSpaceDN w:val="0"/>
              <w:adjustRightInd w:val="0"/>
              <w:rPr>
                <w:rFonts w:hint="eastAsia" w:ascii="宋体" w:hAnsi="宋体" w:eastAsia="宋体" w:cs="宋体"/>
                <w:color w:val="auto"/>
                <w:szCs w:val="21"/>
                <w:highlight w:val="none"/>
              </w:rPr>
            </w:pPr>
          </w:p>
        </w:tc>
        <w:tc>
          <w:tcPr>
            <w:tcW w:w="720" w:type="dxa"/>
            <w:vAlign w:val="center"/>
          </w:tcPr>
          <w:p w14:paraId="49EDD710">
            <w:pPr>
              <w:autoSpaceDE w:val="0"/>
              <w:autoSpaceDN w:val="0"/>
              <w:adjustRightInd w:val="0"/>
              <w:rPr>
                <w:rFonts w:hint="eastAsia" w:ascii="宋体" w:hAnsi="宋体" w:eastAsia="宋体" w:cs="宋体"/>
                <w:color w:val="auto"/>
                <w:szCs w:val="21"/>
                <w:highlight w:val="none"/>
              </w:rPr>
            </w:pPr>
          </w:p>
        </w:tc>
        <w:tc>
          <w:tcPr>
            <w:tcW w:w="1344" w:type="dxa"/>
            <w:vAlign w:val="center"/>
          </w:tcPr>
          <w:p w14:paraId="72E816A5">
            <w:pPr>
              <w:autoSpaceDE w:val="0"/>
              <w:autoSpaceDN w:val="0"/>
              <w:adjustRightInd w:val="0"/>
              <w:rPr>
                <w:rFonts w:hint="eastAsia" w:ascii="宋体" w:hAnsi="宋体" w:eastAsia="宋体" w:cs="宋体"/>
                <w:color w:val="auto"/>
                <w:szCs w:val="21"/>
                <w:highlight w:val="none"/>
              </w:rPr>
            </w:pPr>
          </w:p>
        </w:tc>
        <w:tc>
          <w:tcPr>
            <w:tcW w:w="1134" w:type="dxa"/>
            <w:vAlign w:val="center"/>
          </w:tcPr>
          <w:p w14:paraId="2C0187C7">
            <w:pPr>
              <w:autoSpaceDE w:val="0"/>
              <w:autoSpaceDN w:val="0"/>
              <w:adjustRightInd w:val="0"/>
              <w:rPr>
                <w:rFonts w:hint="eastAsia" w:ascii="宋体" w:hAnsi="宋体" w:eastAsia="宋体" w:cs="宋体"/>
                <w:color w:val="auto"/>
                <w:szCs w:val="21"/>
                <w:highlight w:val="none"/>
              </w:rPr>
            </w:pPr>
          </w:p>
        </w:tc>
      </w:tr>
      <w:tr w14:paraId="57EE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502BD198">
            <w:pPr>
              <w:autoSpaceDE w:val="0"/>
              <w:autoSpaceDN w:val="0"/>
              <w:adjustRightInd w:val="0"/>
              <w:rPr>
                <w:rFonts w:hint="eastAsia" w:ascii="宋体" w:hAnsi="宋体" w:eastAsia="宋体" w:cs="宋体"/>
                <w:color w:val="auto"/>
                <w:szCs w:val="21"/>
                <w:highlight w:val="none"/>
              </w:rPr>
            </w:pPr>
          </w:p>
        </w:tc>
        <w:tc>
          <w:tcPr>
            <w:tcW w:w="1015" w:type="dxa"/>
          </w:tcPr>
          <w:p w14:paraId="47501C3C">
            <w:pPr>
              <w:autoSpaceDE w:val="0"/>
              <w:autoSpaceDN w:val="0"/>
              <w:adjustRightInd w:val="0"/>
              <w:rPr>
                <w:rFonts w:hint="eastAsia" w:ascii="宋体" w:hAnsi="宋体" w:eastAsia="宋体" w:cs="宋体"/>
                <w:color w:val="auto"/>
                <w:szCs w:val="21"/>
                <w:highlight w:val="none"/>
              </w:rPr>
            </w:pPr>
          </w:p>
        </w:tc>
        <w:tc>
          <w:tcPr>
            <w:tcW w:w="1701" w:type="dxa"/>
            <w:vAlign w:val="center"/>
          </w:tcPr>
          <w:p w14:paraId="3870122D">
            <w:pPr>
              <w:autoSpaceDE w:val="0"/>
              <w:autoSpaceDN w:val="0"/>
              <w:adjustRightInd w:val="0"/>
              <w:rPr>
                <w:rFonts w:hint="eastAsia" w:ascii="宋体" w:hAnsi="宋体" w:eastAsia="宋体" w:cs="宋体"/>
                <w:color w:val="auto"/>
                <w:szCs w:val="21"/>
                <w:highlight w:val="none"/>
              </w:rPr>
            </w:pPr>
          </w:p>
        </w:tc>
        <w:tc>
          <w:tcPr>
            <w:tcW w:w="749" w:type="dxa"/>
            <w:vAlign w:val="center"/>
          </w:tcPr>
          <w:p w14:paraId="5134342C">
            <w:pPr>
              <w:autoSpaceDE w:val="0"/>
              <w:autoSpaceDN w:val="0"/>
              <w:adjustRightInd w:val="0"/>
              <w:rPr>
                <w:rFonts w:hint="eastAsia" w:ascii="宋体" w:hAnsi="宋体" w:eastAsia="宋体" w:cs="宋体"/>
                <w:color w:val="auto"/>
                <w:szCs w:val="21"/>
                <w:highlight w:val="none"/>
              </w:rPr>
            </w:pPr>
          </w:p>
        </w:tc>
        <w:tc>
          <w:tcPr>
            <w:tcW w:w="720" w:type="dxa"/>
            <w:vAlign w:val="center"/>
          </w:tcPr>
          <w:p w14:paraId="28544C45">
            <w:pPr>
              <w:autoSpaceDE w:val="0"/>
              <w:autoSpaceDN w:val="0"/>
              <w:adjustRightInd w:val="0"/>
              <w:rPr>
                <w:rFonts w:hint="eastAsia" w:ascii="宋体" w:hAnsi="宋体" w:eastAsia="宋体" w:cs="宋体"/>
                <w:color w:val="auto"/>
                <w:szCs w:val="21"/>
                <w:highlight w:val="none"/>
              </w:rPr>
            </w:pPr>
          </w:p>
        </w:tc>
        <w:tc>
          <w:tcPr>
            <w:tcW w:w="720" w:type="dxa"/>
            <w:vAlign w:val="center"/>
          </w:tcPr>
          <w:p w14:paraId="40E1B301">
            <w:pPr>
              <w:autoSpaceDE w:val="0"/>
              <w:autoSpaceDN w:val="0"/>
              <w:adjustRightInd w:val="0"/>
              <w:rPr>
                <w:rFonts w:hint="eastAsia" w:ascii="宋体" w:hAnsi="宋体" w:eastAsia="宋体" w:cs="宋体"/>
                <w:color w:val="auto"/>
                <w:szCs w:val="21"/>
                <w:highlight w:val="none"/>
              </w:rPr>
            </w:pPr>
          </w:p>
        </w:tc>
        <w:tc>
          <w:tcPr>
            <w:tcW w:w="720" w:type="dxa"/>
            <w:vAlign w:val="center"/>
          </w:tcPr>
          <w:p w14:paraId="55A1F375">
            <w:pPr>
              <w:autoSpaceDE w:val="0"/>
              <w:autoSpaceDN w:val="0"/>
              <w:adjustRightInd w:val="0"/>
              <w:rPr>
                <w:rFonts w:hint="eastAsia" w:ascii="宋体" w:hAnsi="宋体" w:eastAsia="宋体" w:cs="宋体"/>
                <w:color w:val="auto"/>
                <w:szCs w:val="21"/>
                <w:highlight w:val="none"/>
              </w:rPr>
            </w:pPr>
          </w:p>
        </w:tc>
        <w:tc>
          <w:tcPr>
            <w:tcW w:w="1344" w:type="dxa"/>
            <w:vAlign w:val="center"/>
          </w:tcPr>
          <w:p w14:paraId="4F3CFC1F">
            <w:pPr>
              <w:autoSpaceDE w:val="0"/>
              <w:autoSpaceDN w:val="0"/>
              <w:adjustRightInd w:val="0"/>
              <w:rPr>
                <w:rFonts w:hint="eastAsia" w:ascii="宋体" w:hAnsi="宋体" w:eastAsia="宋体" w:cs="宋体"/>
                <w:color w:val="auto"/>
                <w:szCs w:val="21"/>
                <w:highlight w:val="none"/>
              </w:rPr>
            </w:pPr>
          </w:p>
        </w:tc>
        <w:tc>
          <w:tcPr>
            <w:tcW w:w="1134" w:type="dxa"/>
            <w:vAlign w:val="center"/>
          </w:tcPr>
          <w:p w14:paraId="72DE665A">
            <w:pPr>
              <w:autoSpaceDE w:val="0"/>
              <w:autoSpaceDN w:val="0"/>
              <w:adjustRightInd w:val="0"/>
              <w:rPr>
                <w:rFonts w:hint="eastAsia" w:ascii="宋体" w:hAnsi="宋体" w:eastAsia="宋体" w:cs="宋体"/>
                <w:color w:val="auto"/>
                <w:szCs w:val="21"/>
                <w:highlight w:val="none"/>
              </w:rPr>
            </w:pPr>
          </w:p>
        </w:tc>
      </w:tr>
      <w:tr w14:paraId="379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0C610901">
            <w:pPr>
              <w:autoSpaceDE w:val="0"/>
              <w:autoSpaceDN w:val="0"/>
              <w:adjustRightInd w:val="0"/>
              <w:rPr>
                <w:rFonts w:hint="eastAsia" w:ascii="宋体" w:hAnsi="宋体" w:eastAsia="宋体" w:cs="宋体"/>
                <w:color w:val="auto"/>
                <w:szCs w:val="21"/>
                <w:highlight w:val="none"/>
              </w:rPr>
            </w:pPr>
          </w:p>
        </w:tc>
        <w:tc>
          <w:tcPr>
            <w:tcW w:w="1015" w:type="dxa"/>
          </w:tcPr>
          <w:p w14:paraId="481502B1">
            <w:pPr>
              <w:autoSpaceDE w:val="0"/>
              <w:autoSpaceDN w:val="0"/>
              <w:adjustRightInd w:val="0"/>
              <w:rPr>
                <w:rFonts w:hint="eastAsia" w:ascii="宋体" w:hAnsi="宋体" w:eastAsia="宋体" w:cs="宋体"/>
                <w:color w:val="auto"/>
                <w:szCs w:val="21"/>
                <w:highlight w:val="none"/>
              </w:rPr>
            </w:pPr>
          </w:p>
        </w:tc>
        <w:tc>
          <w:tcPr>
            <w:tcW w:w="1701" w:type="dxa"/>
            <w:vAlign w:val="center"/>
          </w:tcPr>
          <w:p w14:paraId="62B080B3">
            <w:pPr>
              <w:autoSpaceDE w:val="0"/>
              <w:autoSpaceDN w:val="0"/>
              <w:adjustRightInd w:val="0"/>
              <w:rPr>
                <w:rFonts w:hint="eastAsia" w:ascii="宋体" w:hAnsi="宋体" w:eastAsia="宋体" w:cs="宋体"/>
                <w:color w:val="auto"/>
                <w:szCs w:val="21"/>
                <w:highlight w:val="none"/>
              </w:rPr>
            </w:pPr>
          </w:p>
        </w:tc>
        <w:tc>
          <w:tcPr>
            <w:tcW w:w="749" w:type="dxa"/>
            <w:vAlign w:val="center"/>
          </w:tcPr>
          <w:p w14:paraId="5C23F59E">
            <w:pPr>
              <w:autoSpaceDE w:val="0"/>
              <w:autoSpaceDN w:val="0"/>
              <w:adjustRightInd w:val="0"/>
              <w:rPr>
                <w:rFonts w:hint="eastAsia" w:ascii="宋体" w:hAnsi="宋体" w:eastAsia="宋体" w:cs="宋体"/>
                <w:color w:val="auto"/>
                <w:szCs w:val="21"/>
                <w:highlight w:val="none"/>
              </w:rPr>
            </w:pPr>
          </w:p>
        </w:tc>
        <w:tc>
          <w:tcPr>
            <w:tcW w:w="720" w:type="dxa"/>
            <w:vAlign w:val="center"/>
          </w:tcPr>
          <w:p w14:paraId="76BF606C">
            <w:pPr>
              <w:autoSpaceDE w:val="0"/>
              <w:autoSpaceDN w:val="0"/>
              <w:adjustRightInd w:val="0"/>
              <w:rPr>
                <w:rFonts w:hint="eastAsia" w:ascii="宋体" w:hAnsi="宋体" w:eastAsia="宋体" w:cs="宋体"/>
                <w:color w:val="auto"/>
                <w:szCs w:val="21"/>
                <w:highlight w:val="none"/>
              </w:rPr>
            </w:pPr>
          </w:p>
        </w:tc>
        <w:tc>
          <w:tcPr>
            <w:tcW w:w="720" w:type="dxa"/>
            <w:vAlign w:val="center"/>
          </w:tcPr>
          <w:p w14:paraId="13EA6C78">
            <w:pPr>
              <w:autoSpaceDE w:val="0"/>
              <w:autoSpaceDN w:val="0"/>
              <w:adjustRightInd w:val="0"/>
              <w:rPr>
                <w:rFonts w:hint="eastAsia" w:ascii="宋体" w:hAnsi="宋体" w:eastAsia="宋体" w:cs="宋体"/>
                <w:color w:val="auto"/>
                <w:szCs w:val="21"/>
                <w:highlight w:val="none"/>
              </w:rPr>
            </w:pPr>
          </w:p>
        </w:tc>
        <w:tc>
          <w:tcPr>
            <w:tcW w:w="720" w:type="dxa"/>
            <w:vAlign w:val="center"/>
          </w:tcPr>
          <w:p w14:paraId="063AE84C">
            <w:pPr>
              <w:autoSpaceDE w:val="0"/>
              <w:autoSpaceDN w:val="0"/>
              <w:adjustRightInd w:val="0"/>
              <w:rPr>
                <w:rFonts w:hint="eastAsia" w:ascii="宋体" w:hAnsi="宋体" w:eastAsia="宋体" w:cs="宋体"/>
                <w:color w:val="auto"/>
                <w:szCs w:val="21"/>
                <w:highlight w:val="none"/>
              </w:rPr>
            </w:pPr>
          </w:p>
        </w:tc>
        <w:tc>
          <w:tcPr>
            <w:tcW w:w="1344" w:type="dxa"/>
            <w:vAlign w:val="center"/>
          </w:tcPr>
          <w:p w14:paraId="104F2181">
            <w:pPr>
              <w:autoSpaceDE w:val="0"/>
              <w:autoSpaceDN w:val="0"/>
              <w:adjustRightInd w:val="0"/>
              <w:rPr>
                <w:rFonts w:hint="eastAsia" w:ascii="宋体" w:hAnsi="宋体" w:eastAsia="宋体" w:cs="宋体"/>
                <w:color w:val="auto"/>
                <w:szCs w:val="21"/>
                <w:highlight w:val="none"/>
              </w:rPr>
            </w:pPr>
          </w:p>
        </w:tc>
        <w:tc>
          <w:tcPr>
            <w:tcW w:w="1134" w:type="dxa"/>
            <w:vAlign w:val="center"/>
          </w:tcPr>
          <w:p w14:paraId="10B16B3B">
            <w:pPr>
              <w:autoSpaceDE w:val="0"/>
              <w:autoSpaceDN w:val="0"/>
              <w:adjustRightInd w:val="0"/>
              <w:rPr>
                <w:rFonts w:hint="eastAsia" w:ascii="宋体" w:hAnsi="宋体" w:eastAsia="宋体" w:cs="宋体"/>
                <w:color w:val="auto"/>
                <w:szCs w:val="21"/>
                <w:highlight w:val="none"/>
              </w:rPr>
            </w:pPr>
          </w:p>
        </w:tc>
      </w:tr>
      <w:tr w14:paraId="1110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5D3314E7">
            <w:pPr>
              <w:autoSpaceDE w:val="0"/>
              <w:autoSpaceDN w:val="0"/>
              <w:adjustRightInd w:val="0"/>
              <w:rPr>
                <w:rFonts w:hint="eastAsia" w:ascii="宋体" w:hAnsi="宋体" w:eastAsia="宋体" w:cs="宋体"/>
                <w:color w:val="auto"/>
                <w:szCs w:val="21"/>
                <w:highlight w:val="none"/>
              </w:rPr>
            </w:pPr>
          </w:p>
        </w:tc>
        <w:tc>
          <w:tcPr>
            <w:tcW w:w="1015" w:type="dxa"/>
          </w:tcPr>
          <w:p w14:paraId="15566B11">
            <w:pPr>
              <w:autoSpaceDE w:val="0"/>
              <w:autoSpaceDN w:val="0"/>
              <w:adjustRightInd w:val="0"/>
              <w:rPr>
                <w:rFonts w:hint="eastAsia" w:ascii="宋体" w:hAnsi="宋体" w:eastAsia="宋体" w:cs="宋体"/>
                <w:color w:val="auto"/>
                <w:szCs w:val="21"/>
                <w:highlight w:val="none"/>
              </w:rPr>
            </w:pPr>
          </w:p>
        </w:tc>
        <w:tc>
          <w:tcPr>
            <w:tcW w:w="1701" w:type="dxa"/>
            <w:vAlign w:val="center"/>
          </w:tcPr>
          <w:p w14:paraId="38EC87AE">
            <w:pPr>
              <w:autoSpaceDE w:val="0"/>
              <w:autoSpaceDN w:val="0"/>
              <w:adjustRightInd w:val="0"/>
              <w:rPr>
                <w:rFonts w:hint="eastAsia" w:ascii="宋体" w:hAnsi="宋体" w:eastAsia="宋体" w:cs="宋体"/>
                <w:color w:val="auto"/>
                <w:szCs w:val="21"/>
                <w:highlight w:val="none"/>
              </w:rPr>
            </w:pPr>
          </w:p>
        </w:tc>
        <w:tc>
          <w:tcPr>
            <w:tcW w:w="749" w:type="dxa"/>
            <w:vAlign w:val="center"/>
          </w:tcPr>
          <w:p w14:paraId="6EEC3EC9">
            <w:pPr>
              <w:autoSpaceDE w:val="0"/>
              <w:autoSpaceDN w:val="0"/>
              <w:adjustRightInd w:val="0"/>
              <w:rPr>
                <w:rFonts w:hint="eastAsia" w:ascii="宋体" w:hAnsi="宋体" w:eastAsia="宋体" w:cs="宋体"/>
                <w:color w:val="auto"/>
                <w:szCs w:val="21"/>
                <w:highlight w:val="none"/>
              </w:rPr>
            </w:pPr>
          </w:p>
        </w:tc>
        <w:tc>
          <w:tcPr>
            <w:tcW w:w="720" w:type="dxa"/>
            <w:vAlign w:val="center"/>
          </w:tcPr>
          <w:p w14:paraId="07F24CF8">
            <w:pPr>
              <w:autoSpaceDE w:val="0"/>
              <w:autoSpaceDN w:val="0"/>
              <w:adjustRightInd w:val="0"/>
              <w:rPr>
                <w:rFonts w:hint="eastAsia" w:ascii="宋体" w:hAnsi="宋体" w:eastAsia="宋体" w:cs="宋体"/>
                <w:color w:val="auto"/>
                <w:szCs w:val="21"/>
                <w:highlight w:val="none"/>
              </w:rPr>
            </w:pPr>
          </w:p>
        </w:tc>
        <w:tc>
          <w:tcPr>
            <w:tcW w:w="720" w:type="dxa"/>
            <w:vAlign w:val="center"/>
          </w:tcPr>
          <w:p w14:paraId="46383570">
            <w:pPr>
              <w:autoSpaceDE w:val="0"/>
              <w:autoSpaceDN w:val="0"/>
              <w:adjustRightInd w:val="0"/>
              <w:rPr>
                <w:rFonts w:hint="eastAsia" w:ascii="宋体" w:hAnsi="宋体" w:eastAsia="宋体" w:cs="宋体"/>
                <w:color w:val="auto"/>
                <w:szCs w:val="21"/>
                <w:highlight w:val="none"/>
              </w:rPr>
            </w:pPr>
          </w:p>
        </w:tc>
        <w:tc>
          <w:tcPr>
            <w:tcW w:w="720" w:type="dxa"/>
            <w:vAlign w:val="center"/>
          </w:tcPr>
          <w:p w14:paraId="687A4556">
            <w:pPr>
              <w:autoSpaceDE w:val="0"/>
              <w:autoSpaceDN w:val="0"/>
              <w:adjustRightInd w:val="0"/>
              <w:rPr>
                <w:rFonts w:hint="eastAsia" w:ascii="宋体" w:hAnsi="宋体" w:eastAsia="宋体" w:cs="宋体"/>
                <w:color w:val="auto"/>
                <w:szCs w:val="21"/>
                <w:highlight w:val="none"/>
              </w:rPr>
            </w:pPr>
          </w:p>
        </w:tc>
        <w:tc>
          <w:tcPr>
            <w:tcW w:w="1344" w:type="dxa"/>
            <w:vAlign w:val="center"/>
          </w:tcPr>
          <w:p w14:paraId="6E9A038C">
            <w:pPr>
              <w:autoSpaceDE w:val="0"/>
              <w:autoSpaceDN w:val="0"/>
              <w:adjustRightInd w:val="0"/>
              <w:rPr>
                <w:rFonts w:hint="eastAsia" w:ascii="宋体" w:hAnsi="宋体" w:eastAsia="宋体" w:cs="宋体"/>
                <w:color w:val="auto"/>
                <w:szCs w:val="21"/>
                <w:highlight w:val="none"/>
              </w:rPr>
            </w:pPr>
          </w:p>
        </w:tc>
        <w:tc>
          <w:tcPr>
            <w:tcW w:w="1134" w:type="dxa"/>
            <w:vAlign w:val="center"/>
          </w:tcPr>
          <w:p w14:paraId="2FC4B061">
            <w:pPr>
              <w:autoSpaceDE w:val="0"/>
              <w:autoSpaceDN w:val="0"/>
              <w:adjustRightInd w:val="0"/>
              <w:rPr>
                <w:rFonts w:hint="eastAsia" w:ascii="宋体" w:hAnsi="宋体" w:eastAsia="宋体" w:cs="宋体"/>
                <w:color w:val="auto"/>
                <w:szCs w:val="21"/>
                <w:highlight w:val="none"/>
              </w:rPr>
            </w:pPr>
          </w:p>
        </w:tc>
      </w:tr>
      <w:tr w14:paraId="0D1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8" w:type="dxa"/>
            <w:vAlign w:val="center"/>
          </w:tcPr>
          <w:p w14:paraId="392838B0">
            <w:pPr>
              <w:autoSpaceDE w:val="0"/>
              <w:autoSpaceDN w:val="0"/>
              <w:adjustRightInd w:val="0"/>
              <w:rPr>
                <w:rFonts w:hint="eastAsia" w:ascii="宋体" w:hAnsi="宋体" w:eastAsia="宋体" w:cs="宋体"/>
                <w:color w:val="auto"/>
                <w:szCs w:val="21"/>
                <w:highlight w:val="none"/>
              </w:rPr>
            </w:pPr>
          </w:p>
        </w:tc>
        <w:tc>
          <w:tcPr>
            <w:tcW w:w="1015" w:type="dxa"/>
          </w:tcPr>
          <w:p w14:paraId="5FCAF876">
            <w:pPr>
              <w:autoSpaceDE w:val="0"/>
              <w:autoSpaceDN w:val="0"/>
              <w:adjustRightInd w:val="0"/>
              <w:rPr>
                <w:rFonts w:hint="eastAsia" w:ascii="宋体" w:hAnsi="宋体" w:eastAsia="宋体" w:cs="宋体"/>
                <w:color w:val="auto"/>
                <w:szCs w:val="21"/>
                <w:highlight w:val="none"/>
              </w:rPr>
            </w:pPr>
          </w:p>
        </w:tc>
        <w:tc>
          <w:tcPr>
            <w:tcW w:w="1701" w:type="dxa"/>
            <w:vAlign w:val="center"/>
          </w:tcPr>
          <w:p w14:paraId="234A7196">
            <w:pPr>
              <w:autoSpaceDE w:val="0"/>
              <w:autoSpaceDN w:val="0"/>
              <w:adjustRightInd w:val="0"/>
              <w:rPr>
                <w:rFonts w:hint="eastAsia" w:ascii="宋体" w:hAnsi="宋体" w:eastAsia="宋体" w:cs="宋体"/>
                <w:color w:val="auto"/>
                <w:szCs w:val="21"/>
                <w:highlight w:val="none"/>
              </w:rPr>
            </w:pPr>
          </w:p>
        </w:tc>
        <w:tc>
          <w:tcPr>
            <w:tcW w:w="749" w:type="dxa"/>
            <w:vAlign w:val="center"/>
          </w:tcPr>
          <w:p w14:paraId="3D88C27F">
            <w:pPr>
              <w:autoSpaceDE w:val="0"/>
              <w:autoSpaceDN w:val="0"/>
              <w:adjustRightInd w:val="0"/>
              <w:rPr>
                <w:rFonts w:hint="eastAsia" w:ascii="宋体" w:hAnsi="宋体" w:eastAsia="宋体" w:cs="宋体"/>
                <w:color w:val="auto"/>
                <w:szCs w:val="21"/>
                <w:highlight w:val="none"/>
              </w:rPr>
            </w:pPr>
          </w:p>
        </w:tc>
        <w:tc>
          <w:tcPr>
            <w:tcW w:w="720" w:type="dxa"/>
            <w:vAlign w:val="center"/>
          </w:tcPr>
          <w:p w14:paraId="2D3F6A3D">
            <w:pPr>
              <w:autoSpaceDE w:val="0"/>
              <w:autoSpaceDN w:val="0"/>
              <w:adjustRightInd w:val="0"/>
              <w:rPr>
                <w:rFonts w:hint="eastAsia" w:ascii="宋体" w:hAnsi="宋体" w:eastAsia="宋体" w:cs="宋体"/>
                <w:color w:val="auto"/>
                <w:szCs w:val="21"/>
                <w:highlight w:val="none"/>
              </w:rPr>
            </w:pPr>
          </w:p>
        </w:tc>
        <w:tc>
          <w:tcPr>
            <w:tcW w:w="720" w:type="dxa"/>
            <w:vAlign w:val="center"/>
          </w:tcPr>
          <w:p w14:paraId="5A61A59D">
            <w:pPr>
              <w:autoSpaceDE w:val="0"/>
              <w:autoSpaceDN w:val="0"/>
              <w:adjustRightInd w:val="0"/>
              <w:rPr>
                <w:rFonts w:hint="eastAsia" w:ascii="宋体" w:hAnsi="宋体" w:eastAsia="宋体" w:cs="宋体"/>
                <w:color w:val="auto"/>
                <w:szCs w:val="21"/>
                <w:highlight w:val="none"/>
              </w:rPr>
            </w:pPr>
          </w:p>
        </w:tc>
        <w:tc>
          <w:tcPr>
            <w:tcW w:w="720" w:type="dxa"/>
            <w:vAlign w:val="center"/>
          </w:tcPr>
          <w:p w14:paraId="2D00968E">
            <w:pPr>
              <w:autoSpaceDE w:val="0"/>
              <w:autoSpaceDN w:val="0"/>
              <w:adjustRightInd w:val="0"/>
              <w:rPr>
                <w:rFonts w:hint="eastAsia" w:ascii="宋体" w:hAnsi="宋体" w:eastAsia="宋体" w:cs="宋体"/>
                <w:color w:val="auto"/>
                <w:szCs w:val="21"/>
                <w:highlight w:val="none"/>
              </w:rPr>
            </w:pPr>
          </w:p>
        </w:tc>
        <w:tc>
          <w:tcPr>
            <w:tcW w:w="1344" w:type="dxa"/>
            <w:vAlign w:val="center"/>
          </w:tcPr>
          <w:p w14:paraId="7280F9DF">
            <w:pPr>
              <w:autoSpaceDE w:val="0"/>
              <w:autoSpaceDN w:val="0"/>
              <w:adjustRightInd w:val="0"/>
              <w:rPr>
                <w:rFonts w:hint="eastAsia" w:ascii="宋体" w:hAnsi="宋体" w:eastAsia="宋体" w:cs="宋体"/>
                <w:color w:val="auto"/>
                <w:szCs w:val="21"/>
                <w:highlight w:val="none"/>
              </w:rPr>
            </w:pPr>
          </w:p>
        </w:tc>
        <w:tc>
          <w:tcPr>
            <w:tcW w:w="1134" w:type="dxa"/>
            <w:vAlign w:val="center"/>
          </w:tcPr>
          <w:p w14:paraId="3D01614B">
            <w:pPr>
              <w:autoSpaceDE w:val="0"/>
              <w:autoSpaceDN w:val="0"/>
              <w:adjustRightInd w:val="0"/>
              <w:rPr>
                <w:rFonts w:hint="eastAsia" w:ascii="宋体" w:hAnsi="宋体" w:eastAsia="宋体" w:cs="宋体"/>
                <w:color w:val="auto"/>
                <w:szCs w:val="21"/>
                <w:highlight w:val="none"/>
              </w:rPr>
            </w:pPr>
          </w:p>
        </w:tc>
      </w:tr>
    </w:tbl>
    <w:p w14:paraId="11EADE5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注：涉及评分项的其它证明材料附后。</w:t>
      </w:r>
    </w:p>
    <w:p w14:paraId="28C63B40">
      <w:pPr>
        <w:pStyle w:val="6"/>
        <w:rPr>
          <w:rFonts w:hint="eastAsia" w:ascii="宋体" w:hAnsi="宋体" w:eastAsia="宋体" w:cs="宋体"/>
          <w:color w:val="auto"/>
          <w:highlight w:val="none"/>
        </w:rPr>
      </w:pPr>
    </w:p>
    <w:p w14:paraId="2959F4C4">
      <w:pPr>
        <w:rPr>
          <w:rFonts w:hint="eastAsia" w:ascii="宋体" w:hAnsi="宋体" w:eastAsia="宋体" w:cs="宋体"/>
          <w:b/>
          <w:bCs/>
          <w:color w:val="auto"/>
          <w:highlight w:val="none"/>
        </w:rPr>
      </w:pPr>
    </w:p>
    <w:p w14:paraId="6D9D7380">
      <w:pPr>
        <w:rPr>
          <w:rFonts w:hint="eastAsia" w:ascii="宋体" w:hAnsi="宋体" w:eastAsia="宋体" w:cs="宋体"/>
          <w:b/>
          <w:bCs/>
          <w:color w:val="auto"/>
          <w:highlight w:val="none"/>
        </w:rPr>
      </w:pPr>
    </w:p>
    <w:p w14:paraId="3DF85347">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75E8A621">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6C52D045">
      <w:pPr>
        <w:wordWrap w:val="0"/>
        <w:spacing w:line="360" w:lineRule="atLeast"/>
        <w:ind w:firstLine="4095" w:firstLineChars="1950"/>
        <w:rPr>
          <w:rFonts w:hint="eastAsia" w:ascii="宋体" w:hAnsi="宋体" w:eastAsia="宋体" w:cs="宋体"/>
          <w:color w:val="auto"/>
          <w:sz w:val="24"/>
          <w:highlight w:val="none"/>
        </w:rPr>
      </w:pPr>
      <w:r>
        <w:rPr>
          <w:rFonts w:hint="eastAsia" w:ascii="宋体" w:hAnsi="宋体" w:eastAsia="宋体" w:cs="宋体"/>
          <w:snapToGrid w:val="0"/>
          <w:color w:val="auto"/>
          <w:kern w:val="0"/>
          <w:szCs w:val="21"/>
          <w:highlight w:val="none"/>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p w14:paraId="699A1D29">
      <w:pPr>
        <w:spacing w:line="360" w:lineRule="atLeast"/>
        <w:rPr>
          <w:rFonts w:hint="eastAsia" w:ascii="宋体" w:hAnsi="宋体" w:eastAsia="宋体" w:cs="宋体"/>
          <w:color w:val="auto"/>
          <w:sz w:val="24"/>
          <w:highlight w:val="none"/>
        </w:rPr>
      </w:pPr>
    </w:p>
    <w:p w14:paraId="6F58EF5F">
      <w:pPr>
        <w:pStyle w:val="26"/>
        <w:snapToGrid w:val="0"/>
        <w:spacing w:line="360" w:lineRule="auto"/>
        <w:jc w:val="center"/>
        <w:rPr>
          <w:rFonts w:hint="eastAsia" w:ascii="宋体" w:hAnsi="宋体" w:eastAsia="宋体" w:cs="宋体"/>
          <w:b/>
          <w:snapToGrid w:val="0"/>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snapToGrid w:val="0"/>
          <w:color w:val="auto"/>
          <w:sz w:val="28"/>
          <w:szCs w:val="28"/>
          <w:highlight w:val="none"/>
        </w:rPr>
        <w:t>（2）项目主要人员简历表</w:t>
      </w:r>
    </w:p>
    <w:tbl>
      <w:tblPr>
        <w:tblStyle w:val="45"/>
        <w:tblW w:w="864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
        <w:gridCol w:w="1389"/>
        <w:gridCol w:w="1155"/>
        <w:gridCol w:w="1050"/>
        <w:gridCol w:w="210"/>
        <w:gridCol w:w="1830"/>
        <w:gridCol w:w="262"/>
        <w:gridCol w:w="1270"/>
      </w:tblGrid>
      <w:tr w14:paraId="6221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6" w:hRule="atLeast"/>
        </w:trPr>
        <w:tc>
          <w:tcPr>
            <w:tcW w:w="1474" w:type="dxa"/>
            <w:gridSpan w:val="2"/>
            <w:vAlign w:val="center"/>
          </w:tcPr>
          <w:p w14:paraId="7186EEB4">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389" w:type="dxa"/>
            <w:vAlign w:val="center"/>
          </w:tcPr>
          <w:p w14:paraId="1CB966F2">
            <w:pPr>
              <w:snapToGrid w:val="0"/>
              <w:spacing w:line="320" w:lineRule="atLeast"/>
              <w:jc w:val="center"/>
              <w:rPr>
                <w:rFonts w:hint="eastAsia" w:ascii="宋体" w:hAnsi="宋体" w:eastAsia="宋体" w:cs="宋体"/>
                <w:color w:val="auto"/>
                <w:highlight w:val="none"/>
              </w:rPr>
            </w:pPr>
          </w:p>
        </w:tc>
        <w:tc>
          <w:tcPr>
            <w:tcW w:w="1155" w:type="dxa"/>
            <w:vAlign w:val="center"/>
          </w:tcPr>
          <w:p w14:paraId="62A6255D">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260" w:type="dxa"/>
            <w:gridSpan w:val="2"/>
            <w:vAlign w:val="center"/>
          </w:tcPr>
          <w:p w14:paraId="402FA176">
            <w:pPr>
              <w:snapToGrid w:val="0"/>
              <w:spacing w:line="320" w:lineRule="atLeast"/>
              <w:jc w:val="center"/>
              <w:rPr>
                <w:rFonts w:hint="eastAsia" w:ascii="宋体" w:hAnsi="宋体" w:eastAsia="宋体" w:cs="宋体"/>
                <w:color w:val="auto"/>
                <w:highlight w:val="none"/>
              </w:rPr>
            </w:pPr>
          </w:p>
        </w:tc>
        <w:tc>
          <w:tcPr>
            <w:tcW w:w="2092" w:type="dxa"/>
            <w:gridSpan w:val="2"/>
            <w:vAlign w:val="center"/>
          </w:tcPr>
          <w:p w14:paraId="772B729F">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专   业</w:t>
            </w:r>
          </w:p>
        </w:tc>
        <w:tc>
          <w:tcPr>
            <w:tcW w:w="1270" w:type="dxa"/>
            <w:vAlign w:val="center"/>
          </w:tcPr>
          <w:p w14:paraId="04DB4BEE">
            <w:pPr>
              <w:snapToGrid w:val="0"/>
              <w:spacing w:line="320" w:lineRule="atLeast"/>
              <w:jc w:val="center"/>
              <w:rPr>
                <w:rFonts w:hint="eastAsia" w:ascii="宋体" w:hAnsi="宋体" w:eastAsia="宋体" w:cs="宋体"/>
                <w:color w:val="auto"/>
                <w:highlight w:val="none"/>
              </w:rPr>
            </w:pPr>
          </w:p>
        </w:tc>
      </w:tr>
      <w:tr w14:paraId="752F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474" w:type="dxa"/>
            <w:gridSpan w:val="2"/>
            <w:vAlign w:val="center"/>
          </w:tcPr>
          <w:p w14:paraId="26796DB7">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389" w:type="dxa"/>
            <w:vAlign w:val="center"/>
          </w:tcPr>
          <w:p w14:paraId="3A38E49C">
            <w:pPr>
              <w:snapToGrid w:val="0"/>
              <w:spacing w:line="320" w:lineRule="atLeast"/>
              <w:jc w:val="center"/>
              <w:rPr>
                <w:rFonts w:hint="eastAsia" w:ascii="宋体" w:hAnsi="宋体" w:eastAsia="宋体" w:cs="宋体"/>
                <w:color w:val="auto"/>
                <w:highlight w:val="none"/>
              </w:rPr>
            </w:pPr>
          </w:p>
        </w:tc>
        <w:tc>
          <w:tcPr>
            <w:tcW w:w="1155" w:type="dxa"/>
            <w:vAlign w:val="center"/>
          </w:tcPr>
          <w:p w14:paraId="30C29BE3">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1260" w:type="dxa"/>
            <w:gridSpan w:val="2"/>
            <w:vAlign w:val="center"/>
          </w:tcPr>
          <w:p w14:paraId="6032935F">
            <w:pPr>
              <w:snapToGrid w:val="0"/>
              <w:spacing w:line="320" w:lineRule="atLeast"/>
              <w:jc w:val="center"/>
              <w:rPr>
                <w:rFonts w:hint="eastAsia" w:ascii="宋体" w:hAnsi="宋体" w:eastAsia="宋体" w:cs="宋体"/>
                <w:color w:val="auto"/>
                <w:highlight w:val="none"/>
              </w:rPr>
            </w:pPr>
          </w:p>
        </w:tc>
        <w:tc>
          <w:tcPr>
            <w:tcW w:w="2092" w:type="dxa"/>
            <w:gridSpan w:val="2"/>
            <w:vAlign w:val="center"/>
          </w:tcPr>
          <w:p w14:paraId="73255F80">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w:t>
            </w:r>
          </w:p>
          <w:p w14:paraId="59077B2D">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项目担任职务</w:t>
            </w:r>
          </w:p>
        </w:tc>
        <w:tc>
          <w:tcPr>
            <w:tcW w:w="1270" w:type="dxa"/>
            <w:vAlign w:val="center"/>
          </w:tcPr>
          <w:p w14:paraId="39F3BCD8">
            <w:pPr>
              <w:snapToGrid w:val="0"/>
              <w:spacing w:line="320" w:lineRule="atLeast"/>
              <w:jc w:val="center"/>
              <w:rPr>
                <w:rFonts w:hint="eastAsia" w:ascii="宋体" w:hAnsi="宋体" w:eastAsia="宋体" w:cs="宋体"/>
                <w:color w:val="auto"/>
                <w:highlight w:val="none"/>
              </w:rPr>
            </w:pPr>
          </w:p>
        </w:tc>
      </w:tr>
      <w:tr w14:paraId="1221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trPr>
        <w:tc>
          <w:tcPr>
            <w:tcW w:w="1474" w:type="dxa"/>
            <w:gridSpan w:val="2"/>
            <w:vAlign w:val="center"/>
          </w:tcPr>
          <w:p w14:paraId="4D26F8A2">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166" w:type="dxa"/>
            <w:gridSpan w:val="7"/>
            <w:vAlign w:val="center"/>
          </w:tcPr>
          <w:p w14:paraId="24E98D97">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月毕业于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学校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系(科)，学制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tc>
      </w:tr>
      <w:tr w14:paraId="3163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8640" w:type="dxa"/>
            <w:gridSpan w:val="9"/>
            <w:vAlign w:val="center"/>
          </w:tcPr>
          <w:p w14:paraId="4635DAC7">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经                        历</w:t>
            </w:r>
          </w:p>
        </w:tc>
      </w:tr>
      <w:tr w14:paraId="3DDD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1" w:hRule="atLeast"/>
        </w:trPr>
        <w:tc>
          <w:tcPr>
            <w:tcW w:w="1468" w:type="dxa"/>
            <w:vAlign w:val="center"/>
          </w:tcPr>
          <w:p w14:paraId="76766D9C">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年   月</w:t>
            </w:r>
          </w:p>
        </w:tc>
        <w:tc>
          <w:tcPr>
            <w:tcW w:w="3600" w:type="dxa"/>
            <w:gridSpan w:val="4"/>
            <w:vAlign w:val="center"/>
          </w:tcPr>
          <w:p w14:paraId="40859EF3">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工作经历</w:t>
            </w:r>
          </w:p>
        </w:tc>
        <w:tc>
          <w:tcPr>
            <w:tcW w:w="2040" w:type="dxa"/>
            <w:gridSpan w:val="2"/>
            <w:vAlign w:val="center"/>
          </w:tcPr>
          <w:p w14:paraId="17236759">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担 任 何 职</w:t>
            </w:r>
          </w:p>
        </w:tc>
        <w:tc>
          <w:tcPr>
            <w:tcW w:w="1532" w:type="dxa"/>
            <w:gridSpan w:val="2"/>
            <w:vAlign w:val="center"/>
          </w:tcPr>
          <w:p w14:paraId="16C4C4AA">
            <w:pPr>
              <w:snapToGrid w:val="0"/>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1466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38" w:hRule="atLeast"/>
        </w:trPr>
        <w:tc>
          <w:tcPr>
            <w:tcW w:w="1468" w:type="dxa"/>
            <w:vAlign w:val="center"/>
          </w:tcPr>
          <w:p w14:paraId="04589334">
            <w:pPr>
              <w:snapToGrid w:val="0"/>
              <w:spacing w:line="320" w:lineRule="atLeast"/>
              <w:jc w:val="center"/>
              <w:rPr>
                <w:rFonts w:hint="eastAsia" w:ascii="宋体" w:hAnsi="宋体" w:eastAsia="宋体" w:cs="宋体"/>
                <w:color w:val="auto"/>
                <w:highlight w:val="none"/>
              </w:rPr>
            </w:pPr>
          </w:p>
          <w:p w14:paraId="13555F67">
            <w:pPr>
              <w:snapToGrid w:val="0"/>
              <w:spacing w:line="320" w:lineRule="atLeast"/>
              <w:jc w:val="center"/>
              <w:rPr>
                <w:rFonts w:hint="eastAsia" w:ascii="宋体" w:hAnsi="宋体" w:eastAsia="宋体" w:cs="宋体"/>
                <w:color w:val="auto"/>
                <w:highlight w:val="none"/>
              </w:rPr>
            </w:pPr>
          </w:p>
          <w:p w14:paraId="1FB5532A">
            <w:pPr>
              <w:snapToGrid w:val="0"/>
              <w:spacing w:line="320" w:lineRule="atLeast"/>
              <w:jc w:val="center"/>
              <w:rPr>
                <w:rFonts w:hint="eastAsia" w:ascii="宋体" w:hAnsi="宋体" w:eastAsia="宋体" w:cs="宋体"/>
                <w:color w:val="auto"/>
                <w:highlight w:val="none"/>
              </w:rPr>
            </w:pPr>
          </w:p>
          <w:p w14:paraId="73873087">
            <w:pPr>
              <w:snapToGrid w:val="0"/>
              <w:spacing w:line="320" w:lineRule="atLeast"/>
              <w:jc w:val="center"/>
              <w:rPr>
                <w:rFonts w:hint="eastAsia" w:ascii="宋体" w:hAnsi="宋体" w:eastAsia="宋体" w:cs="宋体"/>
                <w:color w:val="auto"/>
                <w:highlight w:val="none"/>
              </w:rPr>
            </w:pPr>
          </w:p>
          <w:p w14:paraId="0600E429">
            <w:pPr>
              <w:snapToGrid w:val="0"/>
              <w:spacing w:line="320" w:lineRule="atLeast"/>
              <w:jc w:val="center"/>
              <w:rPr>
                <w:rFonts w:hint="eastAsia" w:ascii="宋体" w:hAnsi="宋体" w:eastAsia="宋体" w:cs="宋体"/>
                <w:color w:val="auto"/>
                <w:highlight w:val="none"/>
              </w:rPr>
            </w:pPr>
          </w:p>
          <w:p w14:paraId="10FA5EC8">
            <w:pPr>
              <w:snapToGrid w:val="0"/>
              <w:spacing w:line="320" w:lineRule="atLeast"/>
              <w:jc w:val="center"/>
              <w:rPr>
                <w:rFonts w:hint="eastAsia" w:ascii="宋体" w:hAnsi="宋体" w:eastAsia="宋体" w:cs="宋体"/>
                <w:color w:val="auto"/>
                <w:highlight w:val="none"/>
              </w:rPr>
            </w:pPr>
          </w:p>
          <w:p w14:paraId="3DFE677C">
            <w:pPr>
              <w:snapToGrid w:val="0"/>
              <w:spacing w:line="320" w:lineRule="atLeast"/>
              <w:jc w:val="center"/>
              <w:rPr>
                <w:rFonts w:hint="eastAsia" w:ascii="宋体" w:hAnsi="宋体" w:eastAsia="宋体" w:cs="宋体"/>
                <w:color w:val="auto"/>
                <w:highlight w:val="none"/>
              </w:rPr>
            </w:pPr>
          </w:p>
          <w:p w14:paraId="27F3B61C">
            <w:pPr>
              <w:snapToGrid w:val="0"/>
              <w:spacing w:line="320" w:lineRule="atLeast"/>
              <w:jc w:val="center"/>
              <w:rPr>
                <w:rFonts w:hint="eastAsia" w:ascii="宋体" w:hAnsi="宋体" w:eastAsia="宋体" w:cs="宋体"/>
                <w:color w:val="auto"/>
                <w:highlight w:val="none"/>
              </w:rPr>
            </w:pPr>
          </w:p>
        </w:tc>
        <w:tc>
          <w:tcPr>
            <w:tcW w:w="3600" w:type="dxa"/>
            <w:gridSpan w:val="4"/>
            <w:vAlign w:val="center"/>
          </w:tcPr>
          <w:p w14:paraId="5AAD42B6">
            <w:pPr>
              <w:snapToGrid w:val="0"/>
              <w:spacing w:line="320" w:lineRule="atLeast"/>
              <w:jc w:val="center"/>
              <w:rPr>
                <w:rFonts w:hint="eastAsia" w:ascii="宋体" w:hAnsi="宋体" w:eastAsia="宋体" w:cs="宋体"/>
                <w:color w:val="auto"/>
                <w:highlight w:val="none"/>
              </w:rPr>
            </w:pPr>
          </w:p>
        </w:tc>
        <w:tc>
          <w:tcPr>
            <w:tcW w:w="2040" w:type="dxa"/>
            <w:gridSpan w:val="2"/>
            <w:vAlign w:val="center"/>
          </w:tcPr>
          <w:p w14:paraId="7F5C41AB">
            <w:pPr>
              <w:snapToGrid w:val="0"/>
              <w:spacing w:line="320" w:lineRule="atLeast"/>
              <w:jc w:val="center"/>
              <w:rPr>
                <w:rFonts w:hint="eastAsia" w:ascii="宋体" w:hAnsi="宋体" w:eastAsia="宋体" w:cs="宋体"/>
                <w:color w:val="auto"/>
                <w:highlight w:val="none"/>
              </w:rPr>
            </w:pPr>
          </w:p>
        </w:tc>
        <w:tc>
          <w:tcPr>
            <w:tcW w:w="1532" w:type="dxa"/>
            <w:gridSpan w:val="2"/>
            <w:vAlign w:val="center"/>
          </w:tcPr>
          <w:p w14:paraId="0165991E">
            <w:pPr>
              <w:snapToGrid w:val="0"/>
              <w:spacing w:line="320" w:lineRule="atLeast"/>
              <w:jc w:val="center"/>
              <w:rPr>
                <w:rFonts w:hint="eastAsia" w:ascii="宋体" w:hAnsi="宋体" w:eastAsia="宋体" w:cs="宋体"/>
                <w:color w:val="auto"/>
                <w:highlight w:val="none"/>
              </w:rPr>
            </w:pPr>
          </w:p>
          <w:p w14:paraId="50E96247">
            <w:pPr>
              <w:snapToGrid w:val="0"/>
              <w:spacing w:line="320" w:lineRule="atLeast"/>
              <w:jc w:val="center"/>
              <w:rPr>
                <w:rFonts w:hint="eastAsia" w:ascii="宋体" w:hAnsi="宋体" w:eastAsia="宋体" w:cs="宋体"/>
                <w:color w:val="auto"/>
                <w:highlight w:val="none"/>
              </w:rPr>
            </w:pPr>
          </w:p>
          <w:p w14:paraId="179E72F9">
            <w:pPr>
              <w:snapToGrid w:val="0"/>
              <w:spacing w:line="320" w:lineRule="atLeast"/>
              <w:jc w:val="center"/>
              <w:rPr>
                <w:rFonts w:hint="eastAsia" w:ascii="宋体" w:hAnsi="宋体" w:eastAsia="宋体" w:cs="宋体"/>
                <w:color w:val="auto"/>
                <w:highlight w:val="none"/>
              </w:rPr>
            </w:pPr>
          </w:p>
          <w:p w14:paraId="338456E6">
            <w:pPr>
              <w:snapToGrid w:val="0"/>
              <w:spacing w:line="320" w:lineRule="atLeast"/>
              <w:jc w:val="center"/>
              <w:rPr>
                <w:rFonts w:hint="eastAsia" w:ascii="宋体" w:hAnsi="宋体" w:eastAsia="宋体" w:cs="宋体"/>
                <w:color w:val="auto"/>
                <w:highlight w:val="none"/>
              </w:rPr>
            </w:pPr>
          </w:p>
          <w:p w14:paraId="277A600B">
            <w:pPr>
              <w:snapToGrid w:val="0"/>
              <w:spacing w:line="320" w:lineRule="atLeast"/>
              <w:jc w:val="center"/>
              <w:rPr>
                <w:rFonts w:hint="eastAsia" w:ascii="宋体" w:hAnsi="宋体" w:eastAsia="宋体" w:cs="宋体"/>
                <w:color w:val="auto"/>
                <w:highlight w:val="none"/>
              </w:rPr>
            </w:pPr>
          </w:p>
        </w:tc>
      </w:tr>
    </w:tbl>
    <w:p w14:paraId="680F79D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注：涉及评分项的其它证明材料附后</w:t>
      </w:r>
      <w:r>
        <w:rPr>
          <w:rFonts w:hint="eastAsia" w:ascii="宋体" w:hAnsi="宋体" w:eastAsia="宋体" w:cs="宋体"/>
          <w:color w:val="auto"/>
          <w:highlight w:val="none"/>
        </w:rPr>
        <w:t>。</w:t>
      </w:r>
    </w:p>
    <w:p w14:paraId="16D79066">
      <w:pPr>
        <w:spacing w:line="360" w:lineRule="atLeast"/>
        <w:rPr>
          <w:rFonts w:hint="eastAsia" w:ascii="宋体" w:hAnsi="宋体" w:eastAsia="宋体" w:cs="宋体"/>
          <w:color w:val="auto"/>
          <w:sz w:val="24"/>
          <w:highlight w:val="none"/>
        </w:rPr>
      </w:pPr>
    </w:p>
    <w:p w14:paraId="0F34CA05">
      <w:pPr>
        <w:spacing w:line="360" w:lineRule="atLeast"/>
        <w:rPr>
          <w:rFonts w:hint="eastAsia" w:ascii="宋体" w:hAnsi="宋体" w:eastAsia="宋体" w:cs="宋体"/>
          <w:color w:val="auto"/>
          <w:sz w:val="24"/>
          <w:highlight w:val="none"/>
        </w:rPr>
      </w:pPr>
    </w:p>
    <w:p w14:paraId="5FE23ECF">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7471C17C">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209A2400">
      <w:pPr>
        <w:spacing w:line="360" w:lineRule="atLeast"/>
        <w:ind w:firstLine="4200" w:firstLineChars="2000"/>
        <w:rPr>
          <w:rFonts w:hint="eastAsia" w:ascii="宋体" w:hAnsi="宋体" w:eastAsia="宋体" w:cs="宋体"/>
          <w:color w:val="auto"/>
          <w:sz w:val="24"/>
          <w:highlight w:val="none"/>
        </w:rPr>
      </w:pPr>
      <w:r>
        <w:rPr>
          <w:rFonts w:hint="eastAsia" w:ascii="宋体" w:hAnsi="宋体" w:eastAsia="宋体" w:cs="宋体"/>
          <w:snapToGrid w:val="0"/>
          <w:color w:val="auto"/>
          <w:kern w:val="0"/>
          <w:szCs w:val="21"/>
          <w:highlight w:val="none"/>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p w14:paraId="6902021E">
      <w:pPr>
        <w:spacing w:line="360" w:lineRule="atLeast"/>
        <w:rPr>
          <w:rFonts w:hint="eastAsia" w:ascii="宋体" w:hAnsi="宋体" w:eastAsia="宋体" w:cs="宋体"/>
          <w:color w:val="auto"/>
          <w:sz w:val="24"/>
          <w:highlight w:val="none"/>
        </w:rPr>
      </w:pPr>
    </w:p>
    <w:p w14:paraId="11B6AFEE">
      <w:pPr>
        <w:spacing w:line="360" w:lineRule="atLeast"/>
        <w:rPr>
          <w:rFonts w:hint="eastAsia" w:ascii="宋体" w:hAnsi="宋体" w:eastAsia="宋体" w:cs="宋体"/>
          <w:color w:val="auto"/>
          <w:sz w:val="24"/>
          <w:highlight w:val="none"/>
        </w:rPr>
      </w:pPr>
    </w:p>
    <w:p w14:paraId="322EB5BF">
      <w:pPr>
        <w:rPr>
          <w:rFonts w:hint="eastAsia" w:ascii="宋体" w:hAnsi="宋体" w:eastAsia="宋体" w:cs="宋体"/>
          <w:color w:val="auto"/>
          <w:highlight w:val="none"/>
        </w:rPr>
      </w:pPr>
      <w:r>
        <w:rPr>
          <w:rFonts w:hint="eastAsia" w:ascii="宋体" w:hAnsi="宋体" w:eastAsia="宋体" w:cs="宋体"/>
          <w:b/>
          <w:bCs/>
          <w:color w:val="auto"/>
          <w:highlight w:val="none"/>
        </w:rPr>
        <w:br w:type="page"/>
      </w:r>
    </w:p>
    <w:p w14:paraId="0A42062B">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4.12技术偏离表</w:t>
      </w:r>
    </w:p>
    <w:p w14:paraId="11CF27DC">
      <w:pPr>
        <w:spacing w:before="120" w:beforeLines="50" w:after="120" w:afterLines="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技术偏离表</w:t>
      </w:r>
    </w:p>
    <w:tbl>
      <w:tblPr>
        <w:tblStyle w:val="45"/>
        <w:tblW w:w="9085" w:type="dxa"/>
        <w:tblInd w:w="0" w:type="dxa"/>
        <w:tblLayout w:type="fixed"/>
        <w:tblCellMar>
          <w:top w:w="0" w:type="dxa"/>
          <w:left w:w="108" w:type="dxa"/>
          <w:bottom w:w="0" w:type="dxa"/>
          <w:right w:w="108" w:type="dxa"/>
        </w:tblCellMar>
      </w:tblPr>
      <w:tblGrid>
        <w:gridCol w:w="648"/>
        <w:gridCol w:w="3374"/>
        <w:gridCol w:w="3670"/>
        <w:gridCol w:w="1393"/>
      </w:tblGrid>
      <w:tr w14:paraId="585B788D">
        <w:tblPrEx>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vAlign w:val="center"/>
          </w:tcPr>
          <w:p w14:paraId="134FE235">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74" w:type="dxa"/>
            <w:tcBorders>
              <w:top w:val="single" w:color="auto" w:sz="4" w:space="0"/>
              <w:left w:val="nil"/>
              <w:bottom w:val="single" w:color="auto" w:sz="4" w:space="0"/>
              <w:right w:val="single" w:color="auto" w:sz="4" w:space="0"/>
            </w:tcBorders>
            <w:vAlign w:val="center"/>
          </w:tcPr>
          <w:p w14:paraId="781E94F8">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招标文件技术要求</w:t>
            </w:r>
          </w:p>
        </w:tc>
        <w:tc>
          <w:tcPr>
            <w:tcW w:w="3670" w:type="dxa"/>
            <w:tcBorders>
              <w:top w:val="single" w:color="auto" w:sz="4" w:space="0"/>
              <w:left w:val="nil"/>
              <w:bottom w:val="nil"/>
              <w:right w:val="single" w:color="auto" w:sz="4" w:space="0"/>
            </w:tcBorders>
            <w:vAlign w:val="center"/>
          </w:tcPr>
          <w:p w14:paraId="3F265F05">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1393" w:type="dxa"/>
            <w:tcBorders>
              <w:top w:val="single" w:color="auto" w:sz="4" w:space="0"/>
              <w:left w:val="nil"/>
              <w:bottom w:val="nil"/>
              <w:right w:val="single" w:color="auto" w:sz="4" w:space="0"/>
            </w:tcBorders>
            <w:vAlign w:val="center"/>
          </w:tcPr>
          <w:p w14:paraId="4AA8D97C">
            <w:pPr>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正偏离或负偏离或响应</w:t>
            </w:r>
          </w:p>
        </w:tc>
      </w:tr>
      <w:tr w14:paraId="68333A11">
        <w:tblPrEx>
          <w:tblCellMar>
            <w:top w:w="0" w:type="dxa"/>
            <w:left w:w="108" w:type="dxa"/>
            <w:bottom w:w="0" w:type="dxa"/>
            <w:right w:w="108" w:type="dxa"/>
          </w:tblCellMar>
        </w:tblPrEx>
        <w:trPr>
          <w:cantSplit/>
          <w:trHeight w:val="360" w:hRule="atLeast"/>
        </w:trPr>
        <w:tc>
          <w:tcPr>
            <w:tcW w:w="648" w:type="dxa"/>
            <w:tcBorders>
              <w:top w:val="single" w:color="auto" w:sz="4" w:space="0"/>
              <w:left w:val="single" w:color="auto" w:sz="4" w:space="0"/>
              <w:bottom w:val="single" w:color="auto" w:sz="4" w:space="0"/>
              <w:right w:val="single" w:color="auto" w:sz="4" w:space="0"/>
            </w:tcBorders>
            <w:vAlign w:val="center"/>
          </w:tcPr>
          <w:p w14:paraId="1A16566A">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5E102FEE">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12F97000">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44D6741C">
            <w:pPr>
              <w:adjustRightInd w:val="0"/>
              <w:spacing w:line="360" w:lineRule="auto"/>
              <w:jc w:val="center"/>
              <w:rPr>
                <w:rFonts w:hint="eastAsia" w:ascii="宋体" w:hAnsi="宋体" w:eastAsia="宋体" w:cs="宋体"/>
                <w:color w:val="auto"/>
                <w:szCs w:val="21"/>
                <w:highlight w:val="none"/>
              </w:rPr>
            </w:pPr>
          </w:p>
        </w:tc>
      </w:tr>
      <w:tr w14:paraId="449FEEB7">
        <w:tblPrEx>
          <w:tblCellMar>
            <w:top w:w="0" w:type="dxa"/>
            <w:left w:w="108" w:type="dxa"/>
            <w:bottom w:w="0" w:type="dxa"/>
            <w:right w:w="108" w:type="dxa"/>
          </w:tblCellMar>
        </w:tblPrEx>
        <w:trPr>
          <w:cantSplit/>
          <w:trHeight w:val="360" w:hRule="atLeast"/>
        </w:trPr>
        <w:tc>
          <w:tcPr>
            <w:tcW w:w="648" w:type="dxa"/>
            <w:tcBorders>
              <w:top w:val="single" w:color="auto" w:sz="4" w:space="0"/>
              <w:left w:val="single" w:color="auto" w:sz="4" w:space="0"/>
              <w:bottom w:val="single" w:color="auto" w:sz="4" w:space="0"/>
              <w:right w:val="single" w:color="auto" w:sz="4" w:space="0"/>
            </w:tcBorders>
            <w:vAlign w:val="center"/>
          </w:tcPr>
          <w:p w14:paraId="3EC3D1F0">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49B36D10">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74A20995">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172361F0">
            <w:pPr>
              <w:adjustRightInd w:val="0"/>
              <w:spacing w:line="360" w:lineRule="auto"/>
              <w:jc w:val="center"/>
              <w:rPr>
                <w:rFonts w:hint="eastAsia" w:ascii="宋体" w:hAnsi="宋体" w:eastAsia="宋体" w:cs="宋体"/>
                <w:color w:val="auto"/>
                <w:szCs w:val="21"/>
                <w:highlight w:val="none"/>
              </w:rPr>
            </w:pPr>
          </w:p>
        </w:tc>
      </w:tr>
      <w:tr w14:paraId="6FBA76D0">
        <w:tblPrEx>
          <w:tblCellMar>
            <w:top w:w="0" w:type="dxa"/>
            <w:left w:w="108" w:type="dxa"/>
            <w:bottom w:w="0" w:type="dxa"/>
            <w:right w:w="108" w:type="dxa"/>
          </w:tblCellMar>
        </w:tblPrEx>
        <w:trPr>
          <w:cantSplit/>
          <w:trHeight w:val="210" w:hRule="atLeast"/>
        </w:trPr>
        <w:tc>
          <w:tcPr>
            <w:tcW w:w="648" w:type="dxa"/>
            <w:tcBorders>
              <w:top w:val="single" w:color="auto" w:sz="4" w:space="0"/>
              <w:left w:val="single" w:color="auto" w:sz="4" w:space="0"/>
              <w:bottom w:val="single" w:color="auto" w:sz="4" w:space="0"/>
              <w:right w:val="single" w:color="auto" w:sz="4" w:space="0"/>
            </w:tcBorders>
            <w:vAlign w:val="center"/>
          </w:tcPr>
          <w:p w14:paraId="12772E79">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471C8517">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091ED8C0">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1F9B47C3">
            <w:pPr>
              <w:adjustRightInd w:val="0"/>
              <w:spacing w:line="360" w:lineRule="auto"/>
              <w:jc w:val="center"/>
              <w:rPr>
                <w:rFonts w:hint="eastAsia" w:ascii="宋体" w:hAnsi="宋体" w:eastAsia="宋体" w:cs="宋体"/>
                <w:color w:val="auto"/>
                <w:szCs w:val="21"/>
                <w:highlight w:val="none"/>
              </w:rPr>
            </w:pPr>
          </w:p>
        </w:tc>
      </w:tr>
      <w:tr w14:paraId="2F116C52">
        <w:tblPrEx>
          <w:tblCellMar>
            <w:top w:w="0" w:type="dxa"/>
            <w:left w:w="108" w:type="dxa"/>
            <w:bottom w:w="0" w:type="dxa"/>
            <w:right w:w="108" w:type="dxa"/>
          </w:tblCellMar>
        </w:tblPrEx>
        <w:trPr>
          <w:cantSplit/>
          <w:trHeight w:val="74" w:hRule="atLeast"/>
        </w:trPr>
        <w:tc>
          <w:tcPr>
            <w:tcW w:w="648" w:type="dxa"/>
            <w:tcBorders>
              <w:top w:val="single" w:color="auto" w:sz="4" w:space="0"/>
              <w:left w:val="single" w:color="auto" w:sz="4" w:space="0"/>
              <w:bottom w:val="single" w:color="auto" w:sz="4" w:space="0"/>
              <w:right w:val="single" w:color="auto" w:sz="4" w:space="0"/>
            </w:tcBorders>
            <w:vAlign w:val="center"/>
          </w:tcPr>
          <w:p w14:paraId="0BA1B370">
            <w:pPr>
              <w:numPr>
                <w:ilvl w:val="0"/>
                <w:numId w:val="15"/>
              </w:numPr>
              <w:adjustRightInd w:val="0"/>
              <w:spacing w:line="360" w:lineRule="auto"/>
              <w:jc w:val="center"/>
              <w:rPr>
                <w:rFonts w:hint="eastAsia" w:ascii="宋体" w:hAnsi="宋体" w:eastAsia="宋体" w:cs="宋体"/>
                <w:color w:val="auto"/>
                <w:sz w:val="8"/>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52D120AC">
            <w:pPr>
              <w:adjustRightInd w:val="0"/>
              <w:spacing w:line="360" w:lineRule="auto"/>
              <w:jc w:val="center"/>
              <w:rPr>
                <w:rFonts w:hint="eastAsia" w:ascii="宋体" w:hAnsi="宋体" w:eastAsia="宋体" w:cs="宋体"/>
                <w:color w:val="auto"/>
                <w:sz w:val="8"/>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679A0FDA">
            <w:pPr>
              <w:adjustRightInd w:val="0"/>
              <w:spacing w:line="360" w:lineRule="auto"/>
              <w:jc w:val="center"/>
              <w:rPr>
                <w:rFonts w:hint="eastAsia" w:ascii="宋体" w:hAnsi="宋体" w:eastAsia="宋体" w:cs="宋体"/>
                <w:color w:val="auto"/>
                <w:sz w:val="8"/>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5D0DE79F">
            <w:pPr>
              <w:adjustRightInd w:val="0"/>
              <w:spacing w:line="360" w:lineRule="auto"/>
              <w:jc w:val="center"/>
              <w:rPr>
                <w:rFonts w:hint="eastAsia" w:ascii="宋体" w:hAnsi="宋体" w:eastAsia="宋体" w:cs="宋体"/>
                <w:color w:val="auto"/>
                <w:sz w:val="8"/>
                <w:szCs w:val="21"/>
                <w:highlight w:val="none"/>
              </w:rPr>
            </w:pPr>
          </w:p>
        </w:tc>
      </w:tr>
      <w:tr w14:paraId="48AE3AA6">
        <w:tblPrEx>
          <w:tblCellMar>
            <w:top w:w="0" w:type="dxa"/>
            <w:left w:w="108" w:type="dxa"/>
            <w:bottom w:w="0" w:type="dxa"/>
            <w:right w:w="108" w:type="dxa"/>
          </w:tblCellMar>
        </w:tblPrEx>
        <w:trPr>
          <w:cantSplit/>
          <w:trHeight w:val="74" w:hRule="atLeast"/>
        </w:trPr>
        <w:tc>
          <w:tcPr>
            <w:tcW w:w="648" w:type="dxa"/>
            <w:tcBorders>
              <w:top w:val="single" w:color="auto" w:sz="4" w:space="0"/>
              <w:left w:val="single" w:color="auto" w:sz="4" w:space="0"/>
              <w:bottom w:val="single" w:color="auto" w:sz="4" w:space="0"/>
              <w:right w:val="single" w:color="auto" w:sz="4" w:space="0"/>
            </w:tcBorders>
            <w:vAlign w:val="center"/>
          </w:tcPr>
          <w:p w14:paraId="24F978F3">
            <w:pPr>
              <w:numPr>
                <w:ilvl w:val="0"/>
                <w:numId w:val="15"/>
              </w:numPr>
              <w:adjustRightInd w:val="0"/>
              <w:spacing w:line="360" w:lineRule="auto"/>
              <w:jc w:val="center"/>
              <w:rPr>
                <w:rFonts w:hint="eastAsia" w:ascii="宋体" w:hAnsi="宋体" w:eastAsia="宋体" w:cs="宋体"/>
                <w:color w:val="auto"/>
                <w:sz w:val="8"/>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470D95E0">
            <w:pPr>
              <w:adjustRightInd w:val="0"/>
              <w:spacing w:line="360" w:lineRule="auto"/>
              <w:jc w:val="center"/>
              <w:rPr>
                <w:rFonts w:hint="eastAsia" w:ascii="宋体" w:hAnsi="宋体" w:eastAsia="宋体" w:cs="宋体"/>
                <w:color w:val="auto"/>
                <w:sz w:val="8"/>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385E6096">
            <w:pPr>
              <w:adjustRightInd w:val="0"/>
              <w:spacing w:line="360" w:lineRule="auto"/>
              <w:jc w:val="center"/>
              <w:rPr>
                <w:rFonts w:hint="eastAsia" w:ascii="宋体" w:hAnsi="宋体" w:eastAsia="宋体" w:cs="宋体"/>
                <w:color w:val="auto"/>
                <w:sz w:val="8"/>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67BBD4E2">
            <w:pPr>
              <w:adjustRightInd w:val="0"/>
              <w:spacing w:line="360" w:lineRule="auto"/>
              <w:jc w:val="center"/>
              <w:rPr>
                <w:rFonts w:hint="eastAsia" w:ascii="宋体" w:hAnsi="宋体" w:eastAsia="宋体" w:cs="宋体"/>
                <w:color w:val="auto"/>
                <w:sz w:val="8"/>
                <w:szCs w:val="21"/>
                <w:highlight w:val="none"/>
              </w:rPr>
            </w:pPr>
          </w:p>
        </w:tc>
      </w:tr>
      <w:tr w14:paraId="3AC255B6">
        <w:tblPrEx>
          <w:tblCellMar>
            <w:top w:w="0" w:type="dxa"/>
            <w:left w:w="108" w:type="dxa"/>
            <w:bottom w:w="0" w:type="dxa"/>
            <w:right w:w="108" w:type="dxa"/>
          </w:tblCellMar>
        </w:tblPrEx>
        <w:trPr>
          <w:trHeight w:val="223" w:hRule="atLeast"/>
        </w:trPr>
        <w:tc>
          <w:tcPr>
            <w:tcW w:w="648" w:type="dxa"/>
            <w:tcBorders>
              <w:top w:val="single" w:color="auto" w:sz="4" w:space="0"/>
              <w:left w:val="single" w:color="auto" w:sz="4" w:space="0"/>
              <w:bottom w:val="single" w:color="auto" w:sz="4" w:space="0"/>
              <w:right w:val="single" w:color="auto" w:sz="4" w:space="0"/>
            </w:tcBorders>
            <w:vAlign w:val="center"/>
          </w:tcPr>
          <w:p w14:paraId="39D51246">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1474B386">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6557EA95">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4C23A7F3">
            <w:pPr>
              <w:adjustRightInd w:val="0"/>
              <w:spacing w:line="360" w:lineRule="auto"/>
              <w:jc w:val="center"/>
              <w:rPr>
                <w:rFonts w:hint="eastAsia" w:ascii="宋体" w:hAnsi="宋体" w:eastAsia="宋体" w:cs="宋体"/>
                <w:color w:val="auto"/>
                <w:szCs w:val="21"/>
                <w:highlight w:val="none"/>
              </w:rPr>
            </w:pPr>
          </w:p>
        </w:tc>
      </w:tr>
      <w:tr w14:paraId="5646B767">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74771098">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4DFB01AC">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47698BD7">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47E42758">
            <w:pPr>
              <w:adjustRightInd w:val="0"/>
              <w:spacing w:line="360" w:lineRule="auto"/>
              <w:jc w:val="center"/>
              <w:rPr>
                <w:rFonts w:hint="eastAsia" w:ascii="宋体" w:hAnsi="宋体" w:eastAsia="宋体" w:cs="宋体"/>
                <w:color w:val="auto"/>
                <w:szCs w:val="21"/>
                <w:highlight w:val="none"/>
              </w:rPr>
            </w:pPr>
          </w:p>
        </w:tc>
      </w:tr>
      <w:tr w14:paraId="46BA9278">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1BF16A0C">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098128C5">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2192475B">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2BEC4F77">
            <w:pPr>
              <w:adjustRightInd w:val="0"/>
              <w:spacing w:line="360" w:lineRule="auto"/>
              <w:jc w:val="center"/>
              <w:rPr>
                <w:rFonts w:hint="eastAsia" w:ascii="宋体" w:hAnsi="宋体" w:eastAsia="宋体" w:cs="宋体"/>
                <w:color w:val="auto"/>
                <w:szCs w:val="21"/>
                <w:highlight w:val="none"/>
              </w:rPr>
            </w:pPr>
          </w:p>
        </w:tc>
      </w:tr>
      <w:tr w14:paraId="5CE838C1">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55D304DA">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3D2779ED">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3C89A5D4">
            <w:pPr>
              <w:adjustRightInd w:val="0"/>
              <w:spacing w:line="360" w:lineRule="auto"/>
              <w:jc w:val="center"/>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3A91BDDB">
            <w:pPr>
              <w:adjustRightInd w:val="0"/>
              <w:spacing w:line="360" w:lineRule="auto"/>
              <w:jc w:val="center"/>
              <w:rPr>
                <w:rFonts w:hint="eastAsia" w:ascii="宋体" w:hAnsi="宋体" w:eastAsia="宋体" w:cs="宋体"/>
                <w:color w:val="auto"/>
                <w:szCs w:val="21"/>
                <w:highlight w:val="none"/>
              </w:rPr>
            </w:pPr>
          </w:p>
        </w:tc>
      </w:tr>
      <w:tr w14:paraId="57A8B130">
        <w:tblPrEx>
          <w:tblCellMar>
            <w:top w:w="0" w:type="dxa"/>
            <w:left w:w="108" w:type="dxa"/>
            <w:bottom w:w="0" w:type="dxa"/>
            <w:right w:w="108" w:type="dxa"/>
          </w:tblCellMar>
        </w:tblPrEx>
        <w:trPr>
          <w:cantSplit/>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3B3EE63F">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1B7C3F91">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540EF500">
            <w:pPr>
              <w:adjustRightInd w:val="0"/>
              <w:spacing w:line="360" w:lineRule="auto"/>
              <w:ind w:firstLine="1890" w:firstLineChars="900"/>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170BB946">
            <w:pPr>
              <w:adjustRightInd w:val="0"/>
              <w:spacing w:line="360" w:lineRule="auto"/>
              <w:ind w:firstLine="1890" w:firstLineChars="900"/>
              <w:rPr>
                <w:rFonts w:hint="eastAsia" w:ascii="宋体" w:hAnsi="宋体" w:eastAsia="宋体" w:cs="宋体"/>
                <w:color w:val="auto"/>
                <w:szCs w:val="21"/>
                <w:highlight w:val="none"/>
              </w:rPr>
            </w:pPr>
          </w:p>
        </w:tc>
      </w:tr>
      <w:tr w14:paraId="1F044906">
        <w:tblPrEx>
          <w:tblCellMar>
            <w:top w:w="0" w:type="dxa"/>
            <w:left w:w="108" w:type="dxa"/>
            <w:bottom w:w="0" w:type="dxa"/>
            <w:right w:w="108" w:type="dxa"/>
          </w:tblCellMar>
        </w:tblPrEx>
        <w:trPr>
          <w:cantSplit/>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0886EB7B">
            <w:pPr>
              <w:numPr>
                <w:ilvl w:val="0"/>
                <w:numId w:val="15"/>
              </w:numPr>
              <w:adjustRightInd w:val="0"/>
              <w:spacing w:line="360" w:lineRule="auto"/>
              <w:jc w:val="center"/>
              <w:rPr>
                <w:rFonts w:hint="eastAsia" w:ascii="宋体" w:hAnsi="宋体" w:eastAsia="宋体" w:cs="宋体"/>
                <w:color w:val="auto"/>
                <w:szCs w:val="21"/>
                <w:highlight w:val="none"/>
              </w:rPr>
            </w:pPr>
          </w:p>
        </w:tc>
        <w:tc>
          <w:tcPr>
            <w:tcW w:w="3374" w:type="dxa"/>
            <w:tcBorders>
              <w:top w:val="single" w:color="auto" w:sz="4" w:space="0"/>
              <w:left w:val="nil"/>
              <w:bottom w:val="single" w:color="auto" w:sz="4" w:space="0"/>
              <w:right w:val="single" w:color="auto" w:sz="4" w:space="0"/>
            </w:tcBorders>
            <w:vAlign w:val="center"/>
          </w:tcPr>
          <w:p w14:paraId="016ACF0A">
            <w:pPr>
              <w:adjustRightInd w:val="0"/>
              <w:spacing w:line="360" w:lineRule="auto"/>
              <w:jc w:val="center"/>
              <w:rPr>
                <w:rFonts w:hint="eastAsia" w:ascii="宋体" w:hAnsi="宋体" w:eastAsia="宋体" w:cs="宋体"/>
                <w:color w:val="auto"/>
                <w:szCs w:val="21"/>
                <w:highlight w:val="none"/>
              </w:rPr>
            </w:pPr>
          </w:p>
        </w:tc>
        <w:tc>
          <w:tcPr>
            <w:tcW w:w="3670" w:type="dxa"/>
            <w:tcBorders>
              <w:top w:val="single" w:color="auto" w:sz="4" w:space="0"/>
              <w:left w:val="nil"/>
              <w:bottom w:val="single" w:color="auto" w:sz="4" w:space="0"/>
              <w:right w:val="single" w:color="auto" w:sz="4" w:space="0"/>
            </w:tcBorders>
            <w:vAlign w:val="center"/>
          </w:tcPr>
          <w:p w14:paraId="13BBAA92">
            <w:pPr>
              <w:adjustRightInd w:val="0"/>
              <w:spacing w:line="360" w:lineRule="auto"/>
              <w:ind w:firstLine="1890" w:firstLineChars="900"/>
              <w:rPr>
                <w:rFonts w:hint="eastAsia" w:ascii="宋体" w:hAnsi="宋体" w:eastAsia="宋体" w:cs="宋体"/>
                <w:color w:val="auto"/>
                <w:szCs w:val="21"/>
                <w:highlight w:val="none"/>
              </w:rPr>
            </w:pPr>
          </w:p>
        </w:tc>
        <w:tc>
          <w:tcPr>
            <w:tcW w:w="1393" w:type="dxa"/>
            <w:tcBorders>
              <w:top w:val="single" w:color="auto" w:sz="4" w:space="0"/>
              <w:left w:val="nil"/>
              <w:bottom w:val="single" w:color="auto" w:sz="4" w:space="0"/>
              <w:right w:val="single" w:color="auto" w:sz="4" w:space="0"/>
            </w:tcBorders>
            <w:vAlign w:val="center"/>
          </w:tcPr>
          <w:p w14:paraId="0C635A73">
            <w:pPr>
              <w:adjustRightInd w:val="0"/>
              <w:spacing w:line="360" w:lineRule="auto"/>
              <w:ind w:firstLine="1890" w:firstLineChars="900"/>
              <w:rPr>
                <w:rFonts w:hint="eastAsia" w:ascii="宋体" w:hAnsi="宋体" w:eastAsia="宋体" w:cs="宋体"/>
                <w:color w:val="auto"/>
                <w:szCs w:val="21"/>
                <w:highlight w:val="none"/>
              </w:rPr>
            </w:pPr>
          </w:p>
        </w:tc>
      </w:tr>
    </w:tbl>
    <w:p w14:paraId="36E7F18D">
      <w:pPr>
        <w:pStyle w:val="152"/>
        <w:spacing w:after="120"/>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注：投标人应按招标文件第三部分顺序和要求进行承诺：</w:t>
      </w:r>
    </w:p>
    <w:p w14:paraId="5F569813">
      <w:pPr>
        <w:pStyle w:val="152"/>
        <w:spacing w:after="120"/>
        <w:ind w:firstLine="420" w:firstLineChars="2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1.投标人应根据投标</w:t>
      </w:r>
      <w:r>
        <w:rPr>
          <w:rFonts w:hint="eastAsia" w:ascii="宋体" w:hAnsi="宋体" w:eastAsia="宋体" w:cs="宋体"/>
          <w:color w:val="auto"/>
          <w:szCs w:val="21"/>
          <w:highlight w:val="none"/>
        </w:rPr>
        <w:t>服务内容的实际情况</w:t>
      </w:r>
      <w:r>
        <w:rPr>
          <w:rFonts w:hint="eastAsia" w:ascii="宋体" w:hAnsi="宋体" w:eastAsia="宋体" w:cs="宋体"/>
          <w:color w:val="auto"/>
          <w:szCs w:val="21"/>
          <w:highlight w:val="none"/>
          <w:lang w:val="en-GB"/>
        </w:rPr>
        <w:t>，并对照招标文件要求真实、认真的填写本表。“偏离情况详细说明”栏注明详细的偏离指标及说明；“备注”栏注明此项偏离为“正偏离”或“负偏离”或“无偏离”；投标人应任何原因漏写或缺项或填写不正确的，后果由投标人自行承担。若不填写或只填写“无”视作完全响应招标文件的要求。</w:t>
      </w:r>
    </w:p>
    <w:p w14:paraId="773FCAF5">
      <w:pPr>
        <w:pStyle w:val="152"/>
        <w:tabs>
          <w:tab w:val="left" w:pos="1267"/>
        </w:tabs>
        <w:spacing w:after="120"/>
        <w:ind w:firstLine="420" w:firstLineChars="2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2.投标人真实填写本表，并对其真实性负责。</w:t>
      </w: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GB"/>
        </w:rPr>
        <w:t>将根据评审办法和细则进行打分。</w:t>
      </w:r>
    </w:p>
    <w:p w14:paraId="6A0AEFA1">
      <w:pPr>
        <w:pStyle w:val="152"/>
        <w:spacing w:after="120"/>
        <w:ind w:firstLine="420" w:firstLineChars="2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3.投标人注明的偏离情况只作为评审专家评定的参考，最终是否构成偏离或实质性偏离情况应由</w:t>
      </w: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GB"/>
        </w:rPr>
        <w:t>决定。</w:t>
      </w:r>
    </w:p>
    <w:p w14:paraId="21C780E0">
      <w:pPr>
        <w:pStyle w:val="152"/>
        <w:spacing w:after="1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GB"/>
        </w:rPr>
        <w:t>4.不允许存在实质性负偏离（招标文件中</w:t>
      </w:r>
      <w:r>
        <w:rPr>
          <w:rFonts w:hint="eastAsia" w:ascii="宋体" w:hAnsi="宋体" w:eastAsia="宋体" w:cs="宋体"/>
          <w:color w:val="auto"/>
          <w:szCs w:val="21"/>
          <w:highlight w:val="none"/>
        </w:rPr>
        <w:t>“▲”条款为实质性条款）。</w:t>
      </w:r>
    </w:p>
    <w:p w14:paraId="41E3A602">
      <w:pPr>
        <w:pStyle w:val="152"/>
        <w:spacing w:after="1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GB"/>
        </w:rPr>
        <w:t>5.投标</w:t>
      </w:r>
      <w:r>
        <w:rPr>
          <w:rFonts w:hint="eastAsia" w:ascii="宋体" w:hAnsi="宋体" w:eastAsia="宋体" w:cs="宋体"/>
          <w:color w:val="auto"/>
          <w:szCs w:val="21"/>
          <w:highlight w:val="none"/>
        </w:rPr>
        <w:t>服务内容</w:t>
      </w:r>
      <w:r>
        <w:rPr>
          <w:rFonts w:hint="eastAsia" w:ascii="宋体" w:hAnsi="宋体" w:eastAsia="宋体" w:cs="宋体"/>
          <w:color w:val="auto"/>
          <w:szCs w:val="21"/>
          <w:highlight w:val="none"/>
          <w:lang w:val="en-GB"/>
        </w:rPr>
        <w:t>的实际偏离情况以</w:t>
      </w: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GB"/>
        </w:rPr>
        <w:t>综合评价为准，</w:t>
      </w:r>
      <w:r>
        <w:rPr>
          <w:rFonts w:hint="eastAsia" w:ascii="宋体" w:hAnsi="宋体" w:eastAsia="宋体" w:cs="宋体"/>
          <w:bCs/>
          <w:color w:val="auto"/>
          <w:szCs w:val="21"/>
          <w:highlight w:val="none"/>
        </w:rPr>
        <w:t>解释权属</w:t>
      </w:r>
      <w:r>
        <w:rPr>
          <w:rFonts w:hint="eastAsia" w:ascii="宋体" w:hAnsi="宋体" w:eastAsia="宋体" w:cs="宋体"/>
          <w:color w:val="auto"/>
          <w:szCs w:val="21"/>
          <w:highlight w:val="none"/>
        </w:rPr>
        <w:t>评标委员会</w:t>
      </w:r>
      <w:r>
        <w:rPr>
          <w:rFonts w:hint="eastAsia" w:ascii="宋体" w:hAnsi="宋体" w:eastAsia="宋体" w:cs="宋体"/>
          <w:bCs/>
          <w:color w:val="auto"/>
          <w:szCs w:val="21"/>
          <w:highlight w:val="none"/>
        </w:rPr>
        <w:t>。</w:t>
      </w:r>
    </w:p>
    <w:p w14:paraId="599DEAF2">
      <w:pPr>
        <w:adjustRightInd w:val="0"/>
        <w:ind w:firstLine="4158" w:firstLineChars="1980"/>
        <w:rPr>
          <w:rFonts w:hint="eastAsia" w:ascii="宋体" w:hAnsi="宋体" w:eastAsia="宋体" w:cs="宋体"/>
          <w:color w:val="auto"/>
          <w:szCs w:val="21"/>
          <w:highlight w:val="none"/>
        </w:rPr>
      </w:pPr>
    </w:p>
    <w:p w14:paraId="10367B87">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投标人(盖公章)</w:t>
      </w:r>
    </w:p>
    <w:p w14:paraId="3E3F9FD1">
      <w:pPr>
        <w:adjustRightInd w:val="0"/>
        <w:snapToGrid w:val="0"/>
        <w:spacing w:line="360" w:lineRule="auto"/>
        <w:ind w:firstLine="4158" w:firstLineChars="198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法定代表人或授权代表(签字或盖章)</w:t>
      </w:r>
    </w:p>
    <w:p w14:paraId="630A4071">
      <w:pPr>
        <w:widowControl/>
        <w:ind w:firstLine="4200" w:firstLineChars="20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3D0AEA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F6320F">
      <w:pPr>
        <w:spacing w:line="360" w:lineRule="atLeast"/>
        <w:outlineLvl w:val="1"/>
        <w:rPr>
          <w:rFonts w:hint="eastAsia" w:ascii="宋体" w:hAnsi="宋体" w:eastAsia="宋体" w:cs="宋体"/>
          <w:color w:val="auto"/>
          <w:sz w:val="24"/>
          <w:highlight w:val="none"/>
        </w:rPr>
      </w:pPr>
      <w:bookmarkStart w:id="89" w:name="_Toc18332"/>
      <w:bookmarkStart w:id="90" w:name="_Toc28558"/>
      <w:r>
        <w:rPr>
          <w:rFonts w:hint="eastAsia" w:ascii="宋体" w:hAnsi="宋体" w:eastAsia="宋体" w:cs="宋体"/>
          <w:color w:val="auto"/>
          <w:sz w:val="24"/>
          <w:highlight w:val="none"/>
        </w:rPr>
        <w:t>五、报价响应文件部分格式</w:t>
      </w:r>
      <w:bookmarkEnd w:id="89"/>
      <w:bookmarkEnd w:id="90"/>
    </w:p>
    <w:p w14:paraId="334C58E5">
      <w:pPr>
        <w:autoSpaceDE w:val="0"/>
        <w:autoSpaceDN w:val="0"/>
        <w:adjustRightInd w:val="0"/>
        <w:spacing w:line="360" w:lineRule="auto"/>
        <w:rPr>
          <w:rFonts w:hint="eastAsia" w:ascii="宋体" w:hAnsi="宋体" w:eastAsia="宋体" w:cs="宋体"/>
          <w:b/>
          <w:bCs/>
          <w:color w:val="auto"/>
          <w:szCs w:val="21"/>
          <w:highlight w:val="none"/>
        </w:rPr>
      </w:pPr>
    </w:p>
    <w:p w14:paraId="06A47E3E">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5.1开标一览表</w:t>
      </w:r>
    </w:p>
    <w:p w14:paraId="233AA33E">
      <w:pPr>
        <w:pStyle w:val="3"/>
        <w:spacing w:line="600" w:lineRule="exact"/>
        <w:ind w:firstLine="0"/>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开标一览表</w:t>
      </w:r>
    </w:p>
    <w:p w14:paraId="0AAF0CA2">
      <w:pPr>
        <w:adjustRightInd w:val="0"/>
        <w:spacing w:line="360" w:lineRule="auto"/>
        <w:rPr>
          <w:rFonts w:hint="eastAsia" w:ascii="宋体" w:hAnsi="宋体" w:eastAsia="宋体" w:cs="宋体"/>
          <w:color w:val="auto"/>
          <w:szCs w:val="21"/>
          <w:highlight w:val="none"/>
        </w:rPr>
      </w:pPr>
    </w:p>
    <w:p w14:paraId="38E76CDF">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项目名称：中国财税博物馆2024-2027年保安及物业管理服务采购项目</w:t>
      </w:r>
    </w:p>
    <w:p w14:paraId="023A74EB">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采购编号：ZJ-2412844</w:t>
      </w:r>
    </w:p>
    <w:tbl>
      <w:tblPr>
        <w:tblStyle w:val="4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632"/>
        <w:gridCol w:w="899"/>
        <w:gridCol w:w="914"/>
        <w:gridCol w:w="3520"/>
      </w:tblGrid>
      <w:tr w14:paraId="547D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81" w:type="dxa"/>
            <w:noWrap/>
            <w:vAlign w:val="center"/>
          </w:tcPr>
          <w:p w14:paraId="7BAAE680">
            <w:pPr>
              <w:pStyle w:val="26"/>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32" w:type="dxa"/>
            <w:noWrap/>
            <w:vAlign w:val="center"/>
          </w:tcPr>
          <w:p w14:paraId="1A5B6883">
            <w:pPr>
              <w:pStyle w:val="26"/>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899" w:type="dxa"/>
            <w:noWrap/>
            <w:vAlign w:val="center"/>
          </w:tcPr>
          <w:p w14:paraId="6B38DF32">
            <w:pPr>
              <w:pStyle w:val="26"/>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14" w:type="dxa"/>
            <w:noWrap/>
            <w:vAlign w:val="center"/>
          </w:tcPr>
          <w:p w14:paraId="0CB97038">
            <w:pPr>
              <w:pStyle w:val="26"/>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3520" w:type="dxa"/>
            <w:noWrap/>
            <w:vAlign w:val="center"/>
          </w:tcPr>
          <w:p w14:paraId="3E9BA138">
            <w:pPr>
              <w:pStyle w:val="26"/>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r>
      <w:tr w14:paraId="54EC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81" w:type="dxa"/>
            <w:noWrap/>
            <w:vAlign w:val="center"/>
          </w:tcPr>
          <w:p w14:paraId="125943CB">
            <w:pPr>
              <w:spacing w:line="400" w:lineRule="exact"/>
              <w:ind w:left="62" w:right="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32" w:type="dxa"/>
            <w:noWrap/>
            <w:vAlign w:val="center"/>
          </w:tcPr>
          <w:p w14:paraId="7580EB8D">
            <w:pPr>
              <w:spacing w:line="400" w:lineRule="exact"/>
              <w:ind w:left="62" w:right="62"/>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中国财税博物馆2024-2027年保安及物业管理服务采购项目</w:t>
            </w:r>
          </w:p>
        </w:tc>
        <w:tc>
          <w:tcPr>
            <w:tcW w:w="899" w:type="dxa"/>
            <w:noWrap/>
            <w:vAlign w:val="center"/>
          </w:tcPr>
          <w:p w14:paraId="0F2A35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14" w:type="dxa"/>
            <w:noWrap/>
            <w:vAlign w:val="center"/>
          </w:tcPr>
          <w:p w14:paraId="1F8B0176">
            <w:pPr>
              <w:spacing w:line="400" w:lineRule="exact"/>
              <w:ind w:left="62" w:right="6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3520" w:type="dxa"/>
            <w:noWrap/>
            <w:vAlign w:val="center"/>
          </w:tcPr>
          <w:p w14:paraId="543AE6CC">
            <w:pPr>
              <w:pStyle w:val="26"/>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3A2FFB3A">
            <w:pPr>
              <w:pStyle w:val="2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bl>
    <w:p w14:paraId="38C2D1EA">
      <w:pPr>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注：本项目采购预算为人民币340.1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万元，超过此预算金额的报价将作无效标处理。</w:t>
      </w:r>
    </w:p>
    <w:p w14:paraId="5A1F8500">
      <w:pPr>
        <w:adjustRightInd w:val="0"/>
        <w:spacing w:line="360" w:lineRule="auto"/>
        <w:ind w:firstLine="420" w:firstLineChars="200"/>
        <w:rPr>
          <w:rFonts w:hint="eastAsia" w:ascii="宋体" w:hAnsi="宋体" w:eastAsia="宋体" w:cs="宋体"/>
          <w:color w:val="auto"/>
          <w:szCs w:val="21"/>
          <w:highlight w:val="none"/>
        </w:rPr>
      </w:pPr>
    </w:p>
    <w:p w14:paraId="76E7750F">
      <w:pPr>
        <w:adjustRightInd w:val="0"/>
        <w:spacing w:line="360" w:lineRule="auto"/>
        <w:ind w:firstLine="420" w:firstLineChars="200"/>
        <w:rPr>
          <w:rFonts w:hint="eastAsia" w:ascii="宋体" w:hAnsi="宋体" w:eastAsia="宋体" w:cs="宋体"/>
          <w:color w:val="auto"/>
          <w:szCs w:val="21"/>
          <w:highlight w:val="none"/>
        </w:rPr>
      </w:pPr>
    </w:p>
    <w:p w14:paraId="59C196E9">
      <w:pPr>
        <w:adjustRightInd w:val="0"/>
        <w:spacing w:line="360" w:lineRule="auto"/>
        <w:ind w:firstLine="420" w:firstLineChars="200"/>
        <w:rPr>
          <w:rFonts w:hint="eastAsia" w:ascii="宋体" w:hAnsi="宋体" w:eastAsia="宋体" w:cs="宋体"/>
          <w:color w:val="auto"/>
          <w:szCs w:val="21"/>
          <w:highlight w:val="none"/>
        </w:rPr>
      </w:pPr>
    </w:p>
    <w:p w14:paraId="57774642">
      <w:pPr>
        <w:adjustRightInd w:val="0"/>
        <w:spacing w:line="360" w:lineRule="auto"/>
        <w:ind w:firstLine="4515" w:firstLineChars="2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投标人(盖公章)</w:t>
      </w:r>
    </w:p>
    <w:p w14:paraId="4E7DADBE">
      <w:pPr>
        <w:adjustRightInd w:val="0"/>
        <w:spacing w:line="360" w:lineRule="auto"/>
        <w:ind w:firstLine="4515" w:firstLineChars="2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法定代表人或授权代表(签字或盖章)</w:t>
      </w:r>
    </w:p>
    <w:p w14:paraId="7D9CAF21">
      <w:pPr>
        <w:pStyle w:val="26"/>
        <w:spacing w:line="420" w:lineRule="exact"/>
        <w:ind w:firstLine="4515" w:firstLineChars="2150"/>
        <w:rPr>
          <w:rFonts w:hint="eastAsia" w:ascii="宋体" w:hAnsi="宋体" w:eastAsia="宋体" w:cs="宋体"/>
          <w:color w:val="auto"/>
          <w:highlight w:val="none"/>
        </w:rPr>
      </w:pPr>
      <w:r>
        <w:rPr>
          <w:rFonts w:hint="eastAsia" w:ascii="宋体" w:hAnsi="宋体" w:eastAsia="宋体" w:cs="宋体"/>
          <w:color w:val="auto"/>
          <w:highlight w:val="none"/>
        </w:rPr>
        <w:t>日     期：</w:t>
      </w:r>
    </w:p>
    <w:p w14:paraId="3DAC4D90">
      <w:pPr>
        <w:snapToGrid w:val="0"/>
        <w:spacing w:line="360" w:lineRule="auto"/>
        <w:rPr>
          <w:rFonts w:hint="eastAsia" w:ascii="宋体" w:hAnsi="宋体" w:eastAsia="宋体" w:cs="宋体"/>
          <w:color w:val="auto"/>
          <w:highlight w:val="none"/>
        </w:rPr>
        <w:sectPr>
          <w:pgSz w:w="11906" w:h="16838"/>
          <w:pgMar w:top="1247" w:right="1588" w:bottom="1089" w:left="1588" w:header="851" w:footer="992" w:gutter="0"/>
          <w:cols w:space="720" w:num="1"/>
          <w:docGrid w:linePitch="312" w:charSpace="0"/>
        </w:sectPr>
      </w:pPr>
    </w:p>
    <w:p w14:paraId="3EE32833">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highlight w:val="none"/>
        </w:rPr>
        <w:t>5</w:t>
      </w:r>
      <w:r>
        <w:rPr>
          <w:rFonts w:hint="eastAsia" w:ascii="宋体" w:hAnsi="宋体" w:eastAsia="宋体" w:cs="宋体"/>
          <w:b/>
          <w:bCs/>
          <w:color w:val="auto"/>
          <w:szCs w:val="21"/>
          <w:highlight w:val="none"/>
        </w:rPr>
        <w:t>.2投标报价明细表</w:t>
      </w:r>
    </w:p>
    <w:p w14:paraId="79B36337">
      <w:pPr>
        <w:snapToGrid w:val="0"/>
        <w:spacing w:line="360" w:lineRule="auto"/>
        <w:rPr>
          <w:rFonts w:hint="eastAsia" w:ascii="宋体" w:hAnsi="宋体" w:eastAsia="宋体" w:cs="宋体"/>
          <w:color w:val="auto"/>
          <w:sz w:val="24"/>
          <w:highlight w:val="none"/>
          <w:u w:val="single"/>
        </w:rPr>
      </w:pPr>
    </w:p>
    <w:p w14:paraId="0324C255">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szCs w:val="21"/>
          <w:highlight w:val="none"/>
          <w:u w:val="single"/>
          <w:lang w:eastAsia="zh-CN"/>
        </w:rPr>
        <w:t>中国财税博物馆</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浙江国际招投标有限公司</w:t>
      </w:r>
      <w:r>
        <w:rPr>
          <w:rFonts w:hint="eastAsia" w:ascii="宋体" w:hAnsi="宋体" w:eastAsia="宋体" w:cs="宋体"/>
          <w:color w:val="auto"/>
          <w:kern w:val="0"/>
          <w:szCs w:val="21"/>
          <w:highlight w:val="none"/>
          <w:lang w:val="zh-CN"/>
        </w:rPr>
        <w:t>：</w:t>
      </w:r>
    </w:p>
    <w:p w14:paraId="1A2588DD">
      <w:pPr>
        <w:snapToGrid w:val="0"/>
        <w:spacing w:line="360" w:lineRule="auto"/>
        <w:ind w:firstLine="48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按你方招标文件要求，我们，本投标文件签字方，谨此向你方发出要约如下：如你方接受本投标，我方承诺按照如下投标报价明细表的价格完成</w:t>
      </w:r>
      <w:r>
        <w:rPr>
          <w:rFonts w:hint="eastAsia" w:ascii="宋体" w:hAnsi="宋体" w:eastAsia="宋体" w:cs="宋体"/>
          <w:color w:val="auto"/>
          <w:szCs w:val="21"/>
          <w:highlight w:val="none"/>
        </w:rPr>
        <w:t>中国财税博物馆2024-2027年保安及物业管理服务采购项目</w:t>
      </w:r>
      <w:r>
        <w:rPr>
          <w:rFonts w:hint="eastAsia" w:ascii="宋体" w:hAnsi="宋体" w:eastAsia="宋体" w:cs="宋体"/>
          <w:color w:val="auto"/>
          <w:kern w:val="0"/>
          <w:szCs w:val="21"/>
          <w:highlight w:val="none"/>
          <w:lang w:val="zh-CN"/>
        </w:rPr>
        <w:t>【</w:t>
      </w:r>
      <w:r>
        <w:rPr>
          <w:rFonts w:hint="eastAsia" w:ascii="宋体" w:hAnsi="宋体" w:cs="宋体"/>
          <w:color w:val="auto"/>
          <w:kern w:val="0"/>
          <w:szCs w:val="21"/>
          <w:highlight w:val="none"/>
          <w:lang w:val="zh-CN"/>
        </w:rPr>
        <w:t>采购</w:t>
      </w:r>
      <w:r>
        <w:rPr>
          <w:rFonts w:hint="eastAsia" w:ascii="宋体" w:hAnsi="宋体" w:eastAsia="宋体" w:cs="宋体"/>
          <w:color w:val="auto"/>
          <w:kern w:val="0"/>
          <w:szCs w:val="21"/>
          <w:highlight w:val="none"/>
          <w:lang w:val="zh-CN"/>
        </w:rPr>
        <w:t>编号：</w:t>
      </w:r>
      <w:r>
        <w:rPr>
          <w:rFonts w:hint="eastAsia" w:ascii="宋体" w:hAnsi="宋体" w:eastAsia="宋体" w:cs="宋体"/>
          <w:color w:val="auto"/>
          <w:szCs w:val="21"/>
          <w:highlight w:val="none"/>
        </w:rPr>
        <w:t>ZJ-2412844】的实施</w:t>
      </w:r>
      <w:r>
        <w:rPr>
          <w:rFonts w:hint="eastAsia" w:ascii="宋体" w:hAnsi="宋体" w:eastAsia="宋体" w:cs="宋体"/>
          <w:color w:val="auto"/>
          <w:kern w:val="0"/>
          <w:szCs w:val="21"/>
          <w:highlight w:val="none"/>
          <w:lang w:val="zh-CN"/>
        </w:rPr>
        <w:t>。</w:t>
      </w:r>
    </w:p>
    <w:p w14:paraId="71CD4DD9">
      <w:pPr>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投标报价明细表(单位均为人民币元)</w:t>
      </w:r>
    </w:p>
    <w:tbl>
      <w:tblPr>
        <w:tblStyle w:val="45"/>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2719"/>
        <w:gridCol w:w="1392"/>
        <w:gridCol w:w="1559"/>
        <w:gridCol w:w="1984"/>
        <w:gridCol w:w="3119"/>
      </w:tblGrid>
      <w:tr w14:paraId="718A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4876D4EA">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17" w:type="dxa"/>
            <w:vAlign w:val="center"/>
          </w:tcPr>
          <w:p w14:paraId="108B3FB8">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1843" w:type="dxa"/>
            <w:vAlign w:val="center"/>
          </w:tcPr>
          <w:p w14:paraId="346922EB">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服务范围</w:t>
            </w:r>
          </w:p>
        </w:tc>
        <w:tc>
          <w:tcPr>
            <w:tcW w:w="2719" w:type="dxa"/>
            <w:vAlign w:val="center"/>
          </w:tcPr>
          <w:p w14:paraId="50188CDB">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服务要求</w:t>
            </w:r>
          </w:p>
        </w:tc>
        <w:tc>
          <w:tcPr>
            <w:tcW w:w="1392" w:type="dxa"/>
            <w:vAlign w:val="center"/>
          </w:tcPr>
          <w:p w14:paraId="1797143E">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服务时间</w:t>
            </w:r>
          </w:p>
        </w:tc>
        <w:tc>
          <w:tcPr>
            <w:tcW w:w="1559" w:type="dxa"/>
            <w:vAlign w:val="center"/>
          </w:tcPr>
          <w:p w14:paraId="113BB50B">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服务标准</w:t>
            </w:r>
          </w:p>
        </w:tc>
        <w:tc>
          <w:tcPr>
            <w:tcW w:w="1984" w:type="dxa"/>
            <w:vAlign w:val="center"/>
          </w:tcPr>
          <w:p w14:paraId="568947F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服务人数</w:t>
            </w:r>
          </w:p>
        </w:tc>
        <w:tc>
          <w:tcPr>
            <w:tcW w:w="3119" w:type="dxa"/>
            <w:vAlign w:val="center"/>
          </w:tcPr>
          <w:p w14:paraId="7FD33145">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备注（如果有）</w:t>
            </w:r>
          </w:p>
        </w:tc>
      </w:tr>
      <w:tr w14:paraId="243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01CE6B0E">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7" w:type="dxa"/>
            <w:vAlign w:val="center"/>
          </w:tcPr>
          <w:p w14:paraId="4926E57C">
            <w:pPr>
              <w:adjustRightInd w:val="0"/>
              <w:snapToGrid w:val="0"/>
              <w:spacing w:line="400" w:lineRule="exact"/>
              <w:jc w:val="center"/>
              <w:rPr>
                <w:rFonts w:ascii="宋体" w:hAnsi="宋体" w:cs="宋体"/>
                <w:color w:val="auto"/>
                <w:szCs w:val="21"/>
                <w:highlight w:val="none"/>
              </w:rPr>
            </w:pPr>
          </w:p>
        </w:tc>
        <w:tc>
          <w:tcPr>
            <w:tcW w:w="1843" w:type="dxa"/>
            <w:vAlign w:val="center"/>
          </w:tcPr>
          <w:p w14:paraId="30B5FBA5">
            <w:pPr>
              <w:adjustRightInd w:val="0"/>
              <w:snapToGrid w:val="0"/>
              <w:spacing w:line="400" w:lineRule="exact"/>
              <w:jc w:val="center"/>
              <w:rPr>
                <w:rFonts w:ascii="宋体" w:hAnsi="宋体" w:cs="宋体"/>
                <w:color w:val="auto"/>
                <w:szCs w:val="21"/>
                <w:highlight w:val="none"/>
              </w:rPr>
            </w:pPr>
          </w:p>
        </w:tc>
        <w:tc>
          <w:tcPr>
            <w:tcW w:w="2719" w:type="dxa"/>
            <w:vAlign w:val="center"/>
          </w:tcPr>
          <w:p w14:paraId="4BF5646C">
            <w:pPr>
              <w:adjustRightInd w:val="0"/>
              <w:snapToGrid w:val="0"/>
              <w:spacing w:line="400" w:lineRule="exact"/>
              <w:jc w:val="center"/>
              <w:rPr>
                <w:rFonts w:ascii="宋体" w:hAnsi="宋体" w:cs="宋体"/>
                <w:color w:val="auto"/>
                <w:szCs w:val="21"/>
                <w:highlight w:val="none"/>
              </w:rPr>
            </w:pPr>
          </w:p>
        </w:tc>
        <w:tc>
          <w:tcPr>
            <w:tcW w:w="1392" w:type="dxa"/>
            <w:vAlign w:val="center"/>
          </w:tcPr>
          <w:p w14:paraId="29F1AEE8">
            <w:pPr>
              <w:adjustRightInd w:val="0"/>
              <w:snapToGrid w:val="0"/>
              <w:spacing w:line="400" w:lineRule="exact"/>
              <w:jc w:val="center"/>
              <w:rPr>
                <w:rFonts w:ascii="宋体" w:hAnsi="宋体" w:cs="宋体"/>
                <w:color w:val="auto"/>
                <w:szCs w:val="21"/>
                <w:highlight w:val="none"/>
              </w:rPr>
            </w:pPr>
          </w:p>
        </w:tc>
        <w:tc>
          <w:tcPr>
            <w:tcW w:w="1559" w:type="dxa"/>
            <w:vAlign w:val="center"/>
          </w:tcPr>
          <w:p w14:paraId="7C368D1C">
            <w:pPr>
              <w:adjustRightInd w:val="0"/>
              <w:snapToGrid w:val="0"/>
              <w:spacing w:line="400" w:lineRule="exact"/>
              <w:jc w:val="center"/>
              <w:rPr>
                <w:rFonts w:ascii="宋体" w:hAnsi="宋体" w:cs="宋体"/>
                <w:color w:val="auto"/>
                <w:szCs w:val="21"/>
                <w:highlight w:val="none"/>
              </w:rPr>
            </w:pPr>
          </w:p>
        </w:tc>
        <w:tc>
          <w:tcPr>
            <w:tcW w:w="1984" w:type="dxa"/>
            <w:vAlign w:val="center"/>
          </w:tcPr>
          <w:p w14:paraId="24786293">
            <w:pPr>
              <w:adjustRightInd w:val="0"/>
              <w:snapToGrid w:val="0"/>
              <w:spacing w:line="400" w:lineRule="exact"/>
              <w:jc w:val="center"/>
              <w:rPr>
                <w:rFonts w:ascii="宋体" w:hAnsi="宋体" w:cs="宋体"/>
                <w:color w:val="auto"/>
                <w:szCs w:val="21"/>
                <w:highlight w:val="none"/>
              </w:rPr>
            </w:pPr>
          </w:p>
        </w:tc>
        <w:tc>
          <w:tcPr>
            <w:tcW w:w="3119" w:type="dxa"/>
            <w:vAlign w:val="center"/>
          </w:tcPr>
          <w:p w14:paraId="4E8ED2CE">
            <w:pPr>
              <w:adjustRightInd w:val="0"/>
              <w:snapToGrid w:val="0"/>
              <w:spacing w:line="400" w:lineRule="exact"/>
              <w:jc w:val="center"/>
              <w:rPr>
                <w:rFonts w:ascii="宋体" w:hAnsi="宋体" w:cs="宋体"/>
                <w:color w:val="auto"/>
                <w:szCs w:val="21"/>
                <w:highlight w:val="none"/>
              </w:rPr>
            </w:pPr>
          </w:p>
        </w:tc>
      </w:tr>
      <w:tr w14:paraId="73E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3B6542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7" w:type="dxa"/>
            <w:vAlign w:val="center"/>
          </w:tcPr>
          <w:p w14:paraId="5DC55615">
            <w:pPr>
              <w:adjustRightInd w:val="0"/>
              <w:snapToGrid w:val="0"/>
              <w:spacing w:line="400" w:lineRule="exact"/>
              <w:jc w:val="center"/>
              <w:rPr>
                <w:rFonts w:ascii="宋体" w:hAnsi="宋体" w:cs="宋体"/>
                <w:color w:val="auto"/>
                <w:szCs w:val="21"/>
                <w:highlight w:val="none"/>
              </w:rPr>
            </w:pPr>
          </w:p>
        </w:tc>
        <w:tc>
          <w:tcPr>
            <w:tcW w:w="1843" w:type="dxa"/>
            <w:vAlign w:val="center"/>
          </w:tcPr>
          <w:p w14:paraId="70C2F235">
            <w:pPr>
              <w:adjustRightInd w:val="0"/>
              <w:snapToGrid w:val="0"/>
              <w:spacing w:line="400" w:lineRule="exact"/>
              <w:jc w:val="center"/>
              <w:rPr>
                <w:rFonts w:ascii="宋体" w:hAnsi="宋体" w:cs="宋体"/>
                <w:color w:val="auto"/>
                <w:szCs w:val="21"/>
                <w:highlight w:val="none"/>
              </w:rPr>
            </w:pPr>
          </w:p>
        </w:tc>
        <w:tc>
          <w:tcPr>
            <w:tcW w:w="2719" w:type="dxa"/>
            <w:vAlign w:val="center"/>
          </w:tcPr>
          <w:p w14:paraId="04378F22">
            <w:pPr>
              <w:adjustRightInd w:val="0"/>
              <w:snapToGrid w:val="0"/>
              <w:spacing w:line="400" w:lineRule="exact"/>
              <w:jc w:val="center"/>
              <w:rPr>
                <w:rFonts w:ascii="宋体" w:hAnsi="宋体" w:cs="宋体"/>
                <w:color w:val="auto"/>
                <w:szCs w:val="21"/>
                <w:highlight w:val="none"/>
              </w:rPr>
            </w:pPr>
          </w:p>
        </w:tc>
        <w:tc>
          <w:tcPr>
            <w:tcW w:w="1392" w:type="dxa"/>
            <w:vAlign w:val="center"/>
          </w:tcPr>
          <w:p w14:paraId="7F3E5EE9">
            <w:pPr>
              <w:adjustRightInd w:val="0"/>
              <w:snapToGrid w:val="0"/>
              <w:spacing w:line="400" w:lineRule="exact"/>
              <w:jc w:val="center"/>
              <w:rPr>
                <w:rFonts w:ascii="宋体" w:hAnsi="宋体" w:cs="宋体"/>
                <w:color w:val="auto"/>
                <w:szCs w:val="21"/>
                <w:highlight w:val="none"/>
              </w:rPr>
            </w:pPr>
          </w:p>
        </w:tc>
        <w:tc>
          <w:tcPr>
            <w:tcW w:w="1559" w:type="dxa"/>
            <w:vAlign w:val="center"/>
          </w:tcPr>
          <w:p w14:paraId="5067A831">
            <w:pPr>
              <w:adjustRightInd w:val="0"/>
              <w:snapToGrid w:val="0"/>
              <w:spacing w:line="400" w:lineRule="exact"/>
              <w:jc w:val="center"/>
              <w:rPr>
                <w:rFonts w:ascii="宋体" w:hAnsi="宋体" w:cs="宋体"/>
                <w:color w:val="auto"/>
                <w:szCs w:val="21"/>
                <w:highlight w:val="none"/>
              </w:rPr>
            </w:pPr>
          </w:p>
        </w:tc>
        <w:tc>
          <w:tcPr>
            <w:tcW w:w="1984" w:type="dxa"/>
            <w:vAlign w:val="center"/>
          </w:tcPr>
          <w:p w14:paraId="64AC917D">
            <w:pPr>
              <w:adjustRightInd w:val="0"/>
              <w:snapToGrid w:val="0"/>
              <w:spacing w:line="400" w:lineRule="exact"/>
              <w:jc w:val="center"/>
              <w:rPr>
                <w:rFonts w:ascii="宋体" w:hAnsi="宋体" w:cs="宋体"/>
                <w:color w:val="auto"/>
                <w:szCs w:val="21"/>
                <w:highlight w:val="none"/>
              </w:rPr>
            </w:pPr>
          </w:p>
        </w:tc>
        <w:tc>
          <w:tcPr>
            <w:tcW w:w="3119" w:type="dxa"/>
            <w:vAlign w:val="center"/>
          </w:tcPr>
          <w:p w14:paraId="1D9F4A4A">
            <w:pPr>
              <w:adjustRightInd w:val="0"/>
              <w:snapToGrid w:val="0"/>
              <w:spacing w:line="400" w:lineRule="exact"/>
              <w:jc w:val="center"/>
              <w:rPr>
                <w:rFonts w:ascii="宋体" w:hAnsi="宋体" w:cs="宋体"/>
                <w:color w:val="auto"/>
                <w:szCs w:val="21"/>
                <w:highlight w:val="none"/>
              </w:rPr>
            </w:pPr>
          </w:p>
        </w:tc>
      </w:tr>
      <w:tr w14:paraId="1D4F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CFC1D8B">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417" w:type="dxa"/>
            <w:vAlign w:val="center"/>
          </w:tcPr>
          <w:p w14:paraId="6C4105A8">
            <w:pPr>
              <w:adjustRightInd w:val="0"/>
              <w:snapToGrid w:val="0"/>
              <w:spacing w:line="400" w:lineRule="exact"/>
              <w:jc w:val="center"/>
              <w:rPr>
                <w:rFonts w:ascii="宋体" w:hAnsi="宋体" w:cs="宋体"/>
                <w:color w:val="auto"/>
                <w:szCs w:val="21"/>
                <w:highlight w:val="none"/>
              </w:rPr>
            </w:pPr>
          </w:p>
        </w:tc>
        <w:tc>
          <w:tcPr>
            <w:tcW w:w="1843" w:type="dxa"/>
            <w:vAlign w:val="center"/>
          </w:tcPr>
          <w:p w14:paraId="0FEF49AA">
            <w:pPr>
              <w:adjustRightInd w:val="0"/>
              <w:snapToGrid w:val="0"/>
              <w:spacing w:line="400" w:lineRule="exact"/>
              <w:jc w:val="center"/>
              <w:rPr>
                <w:rFonts w:ascii="宋体" w:hAnsi="宋体" w:cs="宋体"/>
                <w:color w:val="auto"/>
                <w:szCs w:val="21"/>
                <w:highlight w:val="none"/>
              </w:rPr>
            </w:pPr>
          </w:p>
        </w:tc>
        <w:tc>
          <w:tcPr>
            <w:tcW w:w="2719" w:type="dxa"/>
            <w:vAlign w:val="center"/>
          </w:tcPr>
          <w:p w14:paraId="437A9418">
            <w:pPr>
              <w:adjustRightInd w:val="0"/>
              <w:snapToGrid w:val="0"/>
              <w:spacing w:line="400" w:lineRule="exact"/>
              <w:jc w:val="center"/>
              <w:rPr>
                <w:rFonts w:ascii="宋体" w:hAnsi="宋体" w:cs="宋体"/>
                <w:color w:val="auto"/>
                <w:szCs w:val="21"/>
                <w:highlight w:val="none"/>
              </w:rPr>
            </w:pPr>
          </w:p>
        </w:tc>
        <w:tc>
          <w:tcPr>
            <w:tcW w:w="1392" w:type="dxa"/>
            <w:vAlign w:val="center"/>
          </w:tcPr>
          <w:p w14:paraId="5E718527">
            <w:pPr>
              <w:adjustRightInd w:val="0"/>
              <w:snapToGrid w:val="0"/>
              <w:spacing w:line="400" w:lineRule="exact"/>
              <w:jc w:val="center"/>
              <w:rPr>
                <w:rFonts w:ascii="宋体" w:hAnsi="宋体" w:cs="宋体"/>
                <w:color w:val="auto"/>
                <w:szCs w:val="21"/>
                <w:highlight w:val="none"/>
              </w:rPr>
            </w:pPr>
          </w:p>
        </w:tc>
        <w:tc>
          <w:tcPr>
            <w:tcW w:w="1559" w:type="dxa"/>
            <w:vAlign w:val="center"/>
          </w:tcPr>
          <w:p w14:paraId="4620BD7A">
            <w:pPr>
              <w:adjustRightInd w:val="0"/>
              <w:snapToGrid w:val="0"/>
              <w:spacing w:line="400" w:lineRule="exact"/>
              <w:jc w:val="center"/>
              <w:rPr>
                <w:rFonts w:ascii="宋体" w:hAnsi="宋体" w:cs="宋体"/>
                <w:color w:val="auto"/>
                <w:szCs w:val="21"/>
                <w:highlight w:val="none"/>
              </w:rPr>
            </w:pPr>
          </w:p>
        </w:tc>
        <w:tc>
          <w:tcPr>
            <w:tcW w:w="1984" w:type="dxa"/>
            <w:vAlign w:val="center"/>
          </w:tcPr>
          <w:p w14:paraId="78C9C6B3">
            <w:pPr>
              <w:adjustRightInd w:val="0"/>
              <w:snapToGrid w:val="0"/>
              <w:spacing w:line="400" w:lineRule="exact"/>
              <w:jc w:val="center"/>
              <w:rPr>
                <w:rFonts w:ascii="宋体" w:hAnsi="宋体" w:cs="宋体"/>
                <w:color w:val="auto"/>
                <w:szCs w:val="21"/>
                <w:highlight w:val="none"/>
              </w:rPr>
            </w:pPr>
          </w:p>
        </w:tc>
        <w:tc>
          <w:tcPr>
            <w:tcW w:w="3119" w:type="dxa"/>
            <w:vAlign w:val="center"/>
          </w:tcPr>
          <w:p w14:paraId="17C4A486">
            <w:pPr>
              <w:adjustRightInd w:val="0"/>
              <w:snapToGrid w:val="0"/>
              <w:spacing w:line="400" w:lineRule="exact"/>
              <w:jc w:val="center"/>
              <w:rPr>
                <w:rFonts w:ascii="宋体" w:hAnsi="宋体" w:cs="宋体"/>
                <w:color w:val="auto"/>
                <w:szCs w:val="21"/>
                <w:highlight w:val="none"/>
              </w:rPr>
            </w:pPr>
          </w:p>
        </w:tc>
      </w:tr>
      <w:tr w14:paraId="16C8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F974D7F">
            <w:pPr>
              <w:adjustRightInd w:val="0"/>
              <w:snapToGrid w:val="0"/>
              <w:spacing w:line="400" w:lineRule="exact"/>
              <w:jc w:val="center"/>
              <w:rPr>
                <w:rFonts w:ascii="宋体" w:hAnsi="宋体" w:cs="宋体"/>
                <w:color w:val="auto"/>
                <w:szCs w:val="21"/>
                <w:highlight w:val="none"/>
              </w:rPr>
            </w:pPr>
          </w:p>
        </w:tc>
        <w:tc>
          <w:tcPr>
            <w:tcW w:w="1417" w:type="dxa"/>
            <w:vAlign w:val="center"/>
          </w:tcPr>
          <w:p w14:paraId="1D1D9AA3">
            <w:pPr>
              <w:adjustRightInd w:val="0"/>
              <w:snapToGrid w:val="0"/>
              <w:spacing w:line="400" w:lineRule="exact"/>
              <w:jc w:val="center"/>
              <w:rPr>
                <w:rFonts w:ascii="宋体" w:hAnsi="宋体" w:cs="宋体"/>
                <w:color w:val="auto"/>
                <w:szCs w:val="21"/>
                <w:highlight w:val="none"/>
              </w:rPr>
            </w:pPr>
          </w:p>
        </w:tc>
        <w:tc>
          <w:tcPr>
            <w:tcW w:w="1843" w:type="dxa"/>
            <w:vAlign w:val="center"/>
          </w:tcPr>
          <w:p w14:paraId="67977AC3">
            <w:pPr>
              <w:adjustRightInd w:val="0"/>
              <w:snapToGrid w:val="0"/>
              <w:spacing w:line="400" w:lineRule="exact"/>
              <w:jc w:val="center"/>
              <w:rPr>
                <w:rFonts w:ascii="宋体" w:hAnsi="宋体" w:cs="宋体"/>
                <w:color w:val="auto"/>
                <w:szCs w:val="21"/>
                <w:highlight w:val="none"/>
              </w:rPr>
            </w:pPr>
          </w:p>
        </w:tc>
        <w:tc>
          <w:tcPr>
            <w:tcW w:w="2719" w:type="dxa"/>
            <w:vAlign w:val="center"/>
          </w:tcPr>
          <w:p w14:paraId="55D6FFDE">
            <w:pPr>
              <w:adjustRightInd w:val="0"/>
              <w:snapToGrid w:val="0"/>
              <w:spacing w:line="400" w:lineRule="exact"/>
              <w:jc w:val="center"/>
              <w:rPr>
                <w:rFonts w:ascii="宋体" w:hAnsi="宋体" w:cs="宋体"/>
                <w:color w:val="auto"/>
                <w:szCs w:val="21"/>
                <w:highlight w:val="none"/>
              </w:rPr>
            </w:pPr>
          </w:p>
        </w:tc>
        <w:tc>
          <w:tcPr>
            <w:tcW w:w="1392" w:type="dxa"/>
            <w:vAlign w:val="center"/>
          </w:tcPr>
          <w:p w14:paraId="63A36AB5">
            <w:pPr>
              <w:adjustRightInd w:val="0"/>
              <w:snapToGrid w:val="0"/>
              <w:spacing w:line="400" w:lineRule="exact"/>
              <w:jc w:val="center"/>
              <w:rPr>
                <w:rFonts w:ascii="宋体" w:hAnsi="宋体" w:cs="宋体"/>
                <w:color w:val="auto"/>
                <w:szCs w:val="21"/>
                <w:highlight w:val="none"/>
              </w:rPr>
            </w:pPr>
          </w:p>
        </w:tc>
        <w:tc>
          <w:tcPr>
            <w:tcW w:w="1559" w:type="dxa"/>
            <w:vAlign w:val="center"/>
          </w:tcPr>
          <w:p w14:paraId="2C44015B">
            <w:pPr>
              <w:adjustRightInd w:val="0"/>
              <w:snapToGrid w:val="0"/>
              <w:spacing w:line="400" w:lineRule="exact"/>
              <w:jc w:val="center"/>
              <w:rPr>
                <w:rFonts w:ascii="宋体" w:hAnsi="宋体" w:cs="宋体"/>
                <w:color w:val="auto"/>
                <w:szCs w:val="21"/>
                <w:highlight w:val="none"/>
              </w:rPr>
            </w:pPr>
          </w:p>
        </w:tc>
        <w:tc>
          <w:tcPr>
            <w:tcW w:w="1984" w:type="dxa"/>
            <w:vAlign w:val="center"/>
          </w:tcPr>
          <w:p w14:paraId="3E7ED6D4">
            <w:pPr>
              <w:adjustRightInd w:val="0"/>
              <w:snapToGrid w:val="0"/>
              <w:spacing w:line="400" w:lineRule="exact"/>
              <w:jc w:val="center"/>
              <w:rPr>
                <w:rFonts w:ascii="宋体" w:hAnsi="宋体" w:cs="宋体"/>
                <w:color w:val="auto"/>
                <w:szCs w:val="21"/>
                <w:highlight w:val="none"/>
              </w:rPr>
            </w:pPr>
          </w:p>
        </w:tc>
        <w:tc>
          <w:tcPr>
            <w:tcW w:w="3119" w:type="dxa"/>
            <w:vAlign w:val="center"/>
          </w:tcPr>
          <w:p w14:paraId="6E0066DA">
            <w:pPr>
              <w:adjustRightInd w:val="0"/>
              <w:snapToGrid w:val="0"/>
              <w:spacing w:line="400" w:lineRule="exact"/>
              <w:jc w:val="center"/>
              <w:rPr>
                <w:rFonts w:ascii="宋体" w:hAnsi="宋体" w:cs="宋体"/>
                <w:color w:val="auto"/>
                <w:szCs w:val="21"/>
                <w:highlight w:val="none"/>
              </w:rPr>
            </w:pPr>
          </w:p>
        </w:tc>
      </w:tr>
      <w:tr w14:paraId="3FAA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598DE50">
            <w:pPr>
              <w:adjustRightInd w:val="0"/>
              <w:snapToGrid w:val="0"/>
              <w:spacing w:line="400" w:lineRule="exact"/>
              <w:jc w:val="center"/>
              <w:rPr>
                <w:rFonts w:ascii="宋体" w:hAnsi="宋体" w:cs="宋体"/>
                <w:color w:val="auto"/>
                <w:szCs w:val="21"/>
                <w:highlight w:val="none"/>
              </w:rPr>
            </w:pPr>
          </w:p>
        </w:tc>
        <w:tc>
          <w:tcPr>
            <w:tcW w:w="1417" w:type="dxa"/>
            <w:vAlign w:val="center"/>
          </w:tcPr>
          <w:p w14:paraId="3D677CA7">
            <w:pPr>
              <w:adjustRightInd w:val="0"/>
              <w:snapToGrid w:val="0"/>
              <w:spacing w:line="400" w:lineRule="exact"/>
              <w:jc w:val="center"/>
              <w:rPr>
                <w:rFonts w:ascii="宋体" w:hAnsi="宋体" w:cs="宋体"/>
                <w:color w:val="auto"/>
                <w:szCs w:val="21"/>
                <w:highlight w:val="none"/>
              </w:rPr>
            </w:pPr>
          </w:p>
        </w:tc>
        <w:tc>
          <w:tcPr>
            <w:tcW w:w="1843" w:type="dxa"/>
            <w:vAlign w:val="center"/>
          </w:tcPr>
          <w:p w14:paraId="2D1DEAF3">
            <w:pPr>
              <w:adjustRightInd w:val="0"/>
              <w:snapToGrid w:val="0"/>
              <w:spacing w:line="400" w:lineRule="exact"/>
              <w:jc w:val="center"/>
              <w:rPr>
                <w:rFonts w:ascii="宋体" w:hAnsi="宋体" w:cs="宋体"/>
                <w:color w:val="auto"/>
                <w:szCs w:val="21"/>
                <w:highlight w:val="none"/>
              </w:rPr>
            </w:pPr>
          </w:p>
        </w:tc>
        <w:tc>
          <w:tcPr>
            <w:tcW w:w="2719" w:type="dxa"/>
            <w:vAlign w:val="center"/>
          </w:tcPr>
          <w:p w14:paraId="0CD065CF">
            <w:pPr>
              <w:adjustRightInd w:val="0"/>
              <w:snapToGrid w:val="0"/>
              <w:spacing w:line="400" w:lineRule="exact"/>
              <w:jc w:val="center"/>
              <w:rPr>
                <w:rFonts w:ascii="宋体" w:hAnsi="宋体" w:cs="宋体"/>
                <w:color w:val="auto"/>
                <w:szCs w:val="21"/>
                <w:highlight w:val="none"/>
              </w:rPr>
            </w:pPr>
          </w:p>
        </w:tc>
        <w:tc>
          <w:tcPr>
            <w:tcW w:w="1392" w:type="dxa"/>
            <w:vAlign w:val="center"/>
          </w:tcPr>
          <w:p w14:paraId="0A7CAE85">
            <w:pPr>
              <w:adjustRightInd w:val="0"/>
              <w:snapToGrid w:val="0"/>
              <w:spacing w:line="400" w:lineRule="exact"/>
              <w:jc w:val="center"/>
              <w:rPr>
                <w:rFonts w:ascii="宋体" w:hAnsi="宋体" w:cs="宋体"/>
                <w:color w:val="auto"/>
                <w:szCs w:val="21"/>
                <w:highlight w:val="none"/>
              </w:rPr>
            </w:pPr>
          </w:p>
        </w:tc>
        <w:tc>
          <w:tcPr>
            <w:tcW w:w="1559" w:type="dxa"/>
            <w:vAlign w:val="center"/>
          </w:tcPr>
          <w:p w14:paraId="5F64F282">
            <w:pPr>
              <w:adjustRightInd w:val="0"/>
              <w:snapToGrid w:val="0"/>
              <w:spacing w:line="400" w:lineRule="exact"/>
              <w:jc w:val="center"/>
              <w:rPr>
                <w:rFonts w:ascii="宋体" w:hAnsi="宋体" w:cs="宋体"/>
                <w:color w:val="auto"/>
                <w:szCs w:val="21"/>
                <w:highlight w:val="none"/>
              </w:rPr>
            </w:pPr>
          </w:p>
        </w:tc>
        <w:tc>
          <w:tcPr>
            <w:tcW w:w="1984" w:type="dxa"/>
            <w:vAlign w:val="center"/>
          </w:tcPr>
          <w:p w14:paraId="63230F31">
            <w:pPr>
              <w:adjustRightInd w:val="0"/>
              <w:snapToGrid w:val="0"/>
              <w:spacing w:line="400" w:lineRule="exact"/>
              <w:jc w:val="center"/>
              <w:rPr>
                <w:rFonts w:ascii="宋体" w:hAnsi="宋体" w:cs="宋体"/>
                <w:color w:val="auto"/>
                <w:szCs w:val="21"/>
                <w:highlight w:val="none"/>
              </w:rPr>
            </w:pPr>
          </w:p>
        </w:tc>
        <w:tc>
          <w:tcPr>
            <w:tcW w:w="3119" w:type="dxa"/>
            <w:vAlign w:val="center"/>
          </w:tcPr>
          <w:p w14:paraId="3D7BD59A">
            <w:pPr>
              <w:adjustRightInd w:val="0"/>
              <w:snapToGrid w:val="0"/>
              <w:spacing w:line="400" w:lineRule="exact"/>
              <w:jc w:val="center"/>
              <w:rPr>
                <w:rFonts w:ascii="宋体" w:hAnsi="宋体" w:cs="宋体"/>
                <w:color w:val="auto"/>
                <w:szCs w:val="21"/>
                <w:highlight w:val="none"/>
              </w:rPr>
            </w:pPr>
          </w:p>
        </w:tc>
      </w:tr>
      <w:tr w14:paraId="3F86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13" w:type="dxa"/>
            <w:gridSpan w:val="4"/>
            <w:vAlign w:val="center"/>
          </w:tcPr>
          <w:p w14:paraId="347F5B5F">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投标报价（小写）</w:t>
            </w:r>
          </w:p>
        </w:tc>
        <w:tc>
          <w:tcPr>
            <w:tcW w:w="8054" w:type="dxa"/>
            <w:gridSpan w:val="4"/>
            <w:vAlign w:val="center"/>
          </w:tcPr>
          <w:p w14:paraId="68D593E9">
            <w:pPr>
              <w:adjustRightInd w:val="0"/>
              <w:snapToGrid w:val="0"/>
              <w:spacing w:line="400" w:lineRule="exact"/>
              <w:jc w:val="center"/>
              <w:rPr>
                <w:rFonts w:ascii="宋体" w:hAnsi="宋体" w:cs="宋体"/>
                <w:color w:val="auto"/>
                <w:szCs w:val="21"/>
                <w:highlight w:val="none"/>
              </w:rPr>
            </w:pPr>
          </w:p>
        </w:tc>
      </w:tr>
      <w:tr w14:paraId="779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13" w:type="dxa"/>
            <w:gridSpan w:val="4"/>
            <w:vAlign w:val="center"/>
          </w:tcPr>
          <w:p w14:paraId="590AC4E6">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投标报价（大写）</w:t>
            </w:r>
          </w:p>
        </w:tc>
        <w:tc>
          <w:tcPr>
            <w:tcW w:w="8054" w:type="dxa"/>
            <w:gridSpan w:val="4"/>
            <w:vAlign w:val="center"/>
          </w:tcPr>
          <w:p w14:paraId="3B746020">
            <w:pPr>
              <w:adjustRightInd w:val="0"/>
              <w:snapToGrid w:val="0"/>
              <w:spacing w:line="400" w:lineRule="exact"/>
              <w:jc w:val="center"/>
              <w:rPr>
                <w:rFonts w:ascii="宋体" w:hAnsi="宋体" w:cs="宋体"/>
                <w:color w:val="auto"/>
                <w:szCs w:val="21"/>
                <w:highlight w:val="none"/>
              </w:rPr>
            </w:pPr>
          </w:p>
        </w:tc>
      </w:tr>
    </w:tbl>
    <w:p w14:paraId="6700705D">
      <w:pPr>
        <w:adjustRightInd w:val="0"/>
        <w:snapToGrid w:val="0"/>
        <w:spacing w:line="360" w:lineRule="auto"/>
        <w:ind w:left="480"/>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w:t>
      </w:r>
    </w:p>
    <w:p w14:paraId="1B3F8A85">
      <w:pPr>
        <w:snapToGrid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bCs/>
          <w:color w:val="auto"/>
          <w:kern w:val="0"/>
          <w:sz w:val="21"/>
          <w:szCs w:val="21"/>
          <w:highlight w:val="none"/>
          <w:lang w:val="zh-CN"/>
        </w:rPr>
        <w:t>否则视为投标文件含有采购人不能接受的附加条件，投标无效</w:t>
      </w:r>
      <w:r>
        <w:rPr>
          <w:rFonts w:hint="eastAsia" w:ascii="宋体" w:hAnsi="宋体" w:eastAsia="宋体" w:cs="宋体"/>
          <w:color w:val="auto"/>
          <w:kern w:val="0"/>
          <w:sz w:val="21"/>
          <w:szCs w:val="21"/>
          <w:highlight w:val="none"/>
          <w:lang w:val="zh-CN"/>
        </w:rPr>
        <w:t>。</w:t>
      </w:r>
    </w:p>
    <w:p w14:paraId="092C6584">
      <w:pPr>
        <w:snapToGrid w:val="0"/>
        <w:spacing w:line="360" w:lineRule="auto"/>
        <w:ind w:firstLine="420" w:firstLineChars="200"/>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报价明细表中部分产品、服务单价为零的，视作已包含在总价中。采购内容未包含在《报价一览表》名称栏中，供应商不能作出合理解释的，视为投标文件含有采购人不能接受的附加条件的，响应无效</w:t>
      </w:r>
    </w:p>
    <w:p w14:paraId="52D25BFB">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zh-CN"/>
        </w:rPr>
        <w:t>报价低于项目预算50%的，应当在报价文件中详细阐述不影响产品质量或者诚信履约的具体原因。</w:t>
      </w:r>
    </w:p>
    <w:p w14:paraId="3F52053F">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zh-CN"/>
        </w:rPr>
        <w:t>、特别提示：采购代理机构将对项目名称和项目编号，中标供应商名称、地址和中标金额，主要中标标的名称、服务范围、服务要求、服务时间、服务标准等予以公示。</w:t>
      </w:r>
    </w:p>
    <w:p w14:paraId="736B005F">
      <w:pPr>
        <w:adjustRightInd w:val="0"/>
        <w:spacing w:line="360" w:lineRule="auto"/>
        <w:rPr>
          <w:rFonts w:hint="eastAsia" w:ascii="宋体" w:hAnsi="宋体" w:cs="宋体"/>
          <w:color w:val="auto"/>
          <w:szCs w:val="21"/>
          <w:highlight w:val="none"/>
        </w:rPr>
      </w:pPr>
    </w:p>
    <w:p w14:paraId="7FF19C47">
      <w:pPr>
        <w:adjustRightInd w:val="0"/>
        <w:spacing w:line="360" w:lineRule="auto"/>
        <w:rPr>
          <w:rFonts w:hint="eastAsia" w:ascii="宋体" w:hAnsi="宋体" w:cs="宋体"/>
          <w:color w:val="auto"/>
          <w:szCs w:val="21"/>
          <w:highlight w:val="none"/>
        </w:rPr>
      </w:pPr>
    </w:p>
    <w:p w14:paraId="31E6EE5A">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投标人(盖公章)</w:t>
      </w:r>
    </w:p>
    <w:p w14:paraId="554E6A27">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法定代表人或授权代表(签字或盖章)</w:t>
      </w:r>
    </w:p>
    <w:p w14:paraId="4813D1B5">
      <w:pPr>
        <w:widowControl/>
        <w:jc w:val="left"/>
        <w:rPr>
          <w:rFonts w:hint="eastAsia" w:ascii="宋体" w:hAnsi="宋体" w:cs="宋体"/>
          <w:color w:val="auto"/>
          <w:highlight w:val="none"/>
        </w:rPr>
      </w:pPr>
      <w:r>
        <w:rPr>
          <w:rFonts w:hint="eastAsia" w:ascii="宋体" w:hAnsi="宋体" w:cs="宋体"/>
          <w:color w:val="auto"/>
          <w:highlight w:val="none"/>
        </w:rPr>
        <w:t>日     期：</w:t>
      </w:r>
    </w:p>
    <w:p w14:paraId="039435CE">
      <w:pPr>
        <w:widowControl/>
        <w:jc w:val="left"/>
        <w:rPr>
          <w:rFonts w:hint="eastAsia" w:ascii="宋体" w:hAnsi="宋体" w:cs="宋体"/>
          <w:color w:val="auto"/>
          <w:highlight w:val="none"/>
        </w:rPr>
        <w:sectPr>
          <w:pgSz w:w="16838" w:h="11906" w:orient="landscape"/>
          <w:pgMar w:top="1588" w:right="1247" w:bottom="1588" w:left="1089" w:header="851" w:footer="992" w:gutter="0"/>
          <w:cols w:space="720" w:num="1"/>
          <w:docGrid w:linePitch="312" w:charSpace="0"/>
        </w:sectPr>
      </w:pPr>
    </w:p>
    <w:p w14:paraId="0C09EF94">
      <w:pPr>
        <w:spacing w:line="360" w:lineRule="auto"/>
        <w:jc w:val="center"/>
        <w:rPr>
          <w:rFonts w:hint="eastAsia" w:ascii="宋体" w:hAnsi="宋体" w:cs="宋体"/>
          <w:b/>
          <w:color w:val="auto"/>
          <w:sz w:val="24"/>
          <w:highlight w:val="none"/>
        </w:rPr>
      </w:pPr>
    </w:p>
    <w:p w14:paraId="5CBB09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中小企业声明函（服务）</w:t>
      </w:r>
    </w:p>
    <w:p w14:paraId="0B4F19F8">
      <w:pPr>
        <w:spacing w:line="360" w:lineRule="auto"/>
        <w:ind w:firstLine="315" w:firstLineChars="150"/>
        <w:jc w:val="left"/>
        <w:rPr>
          <w:rFonts w:hint="eastAsia" w:ascii="宋体" w:hAnsi="宋体" w:cs="宋体"/>
          <w:color w:val="auto"/>
          <w:szCs w:val="21"/>
          <w:highlight w:val="none"/>
        </w:rPr>
      </w:pPr>
    </w:p>
    <w:p w14:paraId="23C50623">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lang w:eastAsia="zh-CN"/>
        </w:rPr>
        <w:t>中国财税博物馆的2024-2027年保安及物业管理服务采购项目</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1BFCFE0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中国财税博物馆2024-2027年保安及物业管理服务</w:t>
      </w:r>
      <w:r>
        <w:rPr>
          <w:rFonts w:hint="eastAsia" w:ascii="宋体" w:hAnsi="宋体" w:cs="宋体"/>
          <w:color w:val="auto"/>
          <w:szCs w:val="21"/>
          <w:highlight w:val="none"/>
        </w:rPr>
        <w:t>，属于</w:t>
      </w:r>
      <w:r>
        <w:rPr>
          <w:rFonts w:hint="eastAsia" w:ascii="宋体" w:hAnsi="宋体" w:cs="宋体"/>
          <w:color w:val="auto"/>
          <w:szCs w:val="21"/>
          <w:highlight w:val="none"/>
          <w:u w:val="single"/>
        </w:rPr>
        <w:t>物业管理行业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填写</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 xml:space="preserve"> ，从业人员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填写</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u w:val="single"/>
          <w:lang w:eastAsia="zh-CN"/>
        </w:rPr>
        <w:t>其中一项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B847D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56E15D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FEC96FC">
      <w:pPr>
        <w:spacing w:line="360" w:lineRule="auto"/>
        <w:ind w:right="1760"/>
        <w:jc w:val="right"/>
        <w:rPr>
          <w:rFonts w:ascii="宋体" w:hAnsi="宋体" w:cs="宋体"/>
          <w:color w:val="auto"/>
          <w:szCs w:val="21"/>
          <w:highlight w:val="none"/>
        </w:rPr>
      </w:pPr>
    </w:p>
    <w:p w14:paraId="21CDB6CD">
      <w:pPr>
        <w:spacing w:line="360" w:lineRule="auto"/>
        <w:ind w:right="1760"/>
        <w:jc w:val="right"/>
        <w:rPr>
          <w:rFonts w:ascii="宋体" w:hAnsi="宋体" w:cs="宋体"/>
          <w:color w:val="auto"/>
          <w:szCs w:val="21"/>
          <w:highlight w:val="none"/>
        </w:rPr>
      </w:pPr>
      <w:r>
        <w:rPr>
          <w:rFonts w:hint="eastAsia" w:ascii="宋体" w:hAnsi="宋体" w:cs="宋体"/>
          <w:color w:val="auto"/>
          <w:szCs w:val="21"/>
          <w:highlight w:val="none"/>
        </w:rPr>
        <w:t>投标人（盖公章）：</w:t>
      </w:r>
    </w:p>
    <w:p w14:paraId="13A092C0">
      <w:pPr>
        <w:spacing w:line="360" w:lineRule="auto"/>
        <w:ind w:right="1120" w:firstLine="5145" w:firstLineChars="2450"/>
        <w:rPr>
          <w:rFonts w:ascii="宋体" w:hAnsi="宋体" w:cs="宋体"/>
          <w:color w:val="auto"/>
          <w:szCs w:val="21"/>
          <w:highlight w:val="none"/>
        </w:rPr>
      </w:pPr>
      <w:r>
        <w:rPr>
          <w:rFonts w:hint="eastAsia" w:ascii="宋体" w:hAnsi="宋体" w:cs="宋体"/>
          <w:color w:val="auto"/>
          <w:szCs w:val="21"/>
          <w:highlight w:val="none"/>
        </w:rPr>
        <w:t>日 期：</w:t>
      </w:r>
    </w:p>
    <w:p w14:paraId="6E442270">
      <w:pPr>
        <w:spacing w:line="360" w:lineRule="auto"/>
        <w:ind w:right="420"/>
        <w:rPr>
          <w:rFonts w:ascii="宋体" w:hAnsi="宋体" w:cs="宋体"/>
          <w:color w:val="auto"/>
          <w:szCs w:val="21"/>
          <w:highlight w:val="none"/>
        </w:rPr>
      </w:pPr>
    </w:p>
    <w:p w14:paraId="084E13FE">
      <w:pPr>
        <w:spacing w:line="360" w:lineRule="auto"/>
        <w:ind w:right="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注：</w:t>
      </w:r>
      <w:r>
        <w:rPr>
          <w:rFonts w:hint="eastAsia" w:ascii="宋体" w:hAnsi="宋体" w:cs="宋体"/>
          <w:b/>
          <w:bCs/>
          <w:color w:val="auto"/>
          <w:szCs w:val="21"/>
          <w:highlight w:val="none"/>
        </w:rPr>
        <w:t>1、填写要求：①“标的名称”、“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宋体" w:hAnsi="宋体" w:cs="宋体"/>
          <w:b/>
          <w:bCs/>
          <w:color w:val="auto"/>
          <w:szCs w:val="21"/>
          <w:highlight w:val="none"/>
          <w:lang w:eastAsia="zh-CN"/>
        </w:rPr>
        <w:t>。</w:t>
      </w:r>
    </w:p>
    <w:p w14:paraId="5A6D887B">
      <w:pPr>
        <w:spacing w:line="360" w:lineRule="auto"/>
        <w:ind w:right="420" w:firstLine="420" w:firstLineChars="200"/>
        <w:rPr>
          <w:rFonts w:ascii="宋体" w:hAnsi="宋体" w:cs="宋体"/>
          <w:color w:val="auto"/>
          <w:sz w:val="24"/>
          <w:highlight w:val="none"/>
        </w:rPr>
      </w:pPr>
      <w:r>
        <w:rPr>
          <w:rFonts w:hint="eastAsia" w:ascii="宋体" w:hAnsi="宋体" w:cs="宋体"/>
          <w:color w:val="auto"/>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4CFC2B2">
      <w:pPr>
        <w:rPr>
          <w:color w:val="auto"/>
          <w:highlight w:val="none"/>
        </w:rPr>
        <w:sectPr>
          <w:pgSz w:w="11906" w:h="16838"/>
          <w:pgMar w:top="1247" w:right="1588" w:bottom="1089" w:left="1588" w:header="851" w:footer="992" w:gutter="0"/>
          <w:cols w:space="720" w:num="1"/>
          <w:docGrid w:linePitch="312" w:charSpace="0"/>
        </w:sectPr>
      </w:pPr>
    </w:p>
    <w:p w14:paraId="7E48E89A">
      <w:pPr>
        <w:pStyle w:val="3"/>
        <w:ind w:firstLine="0"/>
        <w:rPr>
          <w:color w:val="auto"/>
          <w:highlight w:val="none"/>
        </w:rPr>
      </w:pPr>
      <w:r>
        <w:rPr>
          <w:color w:val="auto"/>
          <w:highlight w:val="none"/>
        </w:rPr>
        <w:drawing>
          <wp:inline distT="0" distB="0" distL="114300" distR="114300">
            <wp:extent cx="9091295" cy="5498465"/>
            <wp:effectExtent l="0" t="0" r="190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9091295" cy="5498465"/>
                    </a:xfrm>
                    <a:prstGeom prst="rect">
                      <a:avLst/>
                    </a:prstGeom>
                    <a:noFill/>
                    <a:ln>
                      <a:noFill/>
                    </a:ln>
                  </pic:spPr>
                </pic:pic>
              </a:graphicData>
            </a:graphic>
          </wp:inline>
        </w:drawing>
      </w:r>
    </w:p>
    <w:p w14:paraId="26D9A2C0">
      <w:pPr>
        <w:snapToGrid w:val="0"/>
        <w:spacing w:line="360" w:lineRule="auto"/>
        <w:rPr>
          <w:rFonts w:ascii="宋体" w:hAnsi="宋体" w:cs="宋体"/>
          <w:b/>
          <w:color w:val="auto"/>
          <w:szCs w:val="21"/>
          <w:highlight w:val="none"/>
        </w:rPr>
        <w:sectPr>
          <w:pgSz w:w="16838" w:h="11906" w:orient="landscape"/>
          <w:pgMar w:top="1587" w:right="1247" w:bottom="1587" w:left="1089" w:header="851" w:footer="992" w:gutter="0"/>
          <w:cols w:space="720" w:num="1"/>
          <w:docGrid w:linePitch="312" w:charSpace="0"/>
        </w:sectPr>
      </w:pPr>
    </w:p>
    <w:p w14:paraId="1BF7FA2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w:t>
      </w:r>
    </w:p>
    <w:p w14:paraId="6389C307">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残疾人福利性单位声明函</w:t>
      </w:r>
    </w:p>
    <w:p w14:paraId="477759BA">
      <w:pPr>
        <w:spacing w:line="360" w:lineRule="auto"/>
        <w:rPr>
          <w:rFonts w:ascii="宋体" w:hAnsi="宋体" w:cs="宋体"/>
          <w:b/>
          <w:color w:val="auto"/>
          <w:spacing w:val="6"/>
          <w:szCs w:val="21"/>
          <w:highlight w:val="none"/>
        </w:rPr>
      </w:pPr>
    </w:p>
    <w:p w14:paraId="7D27A4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8930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90D563A">
      <w:pPr>
        <w:spacing w:line="360" w:lineRule="auto"/>
        <w:ind w:firstLine="420" w:firstLineChars="200"/>
        <w:rPr>
          <w:rFonts w:ascii="宋体" w:hAnsi="宋体" w:cs="宋体"/>
          <w:color w:val="auto"/>
          <w:szCs w:val="21"/>
          <w:highlight w:val="none"/>
        </w:rPr>
      </w:pPr>
    </w:p>
    <w:p w14:paraId="5938300B">
      <w:pPr>
        <w:spacing w:line="360" w:lineRule="auto"/>
        <w:ind w:firstLine="420" w:firstLineChars="200"/>
        <w:rPr>
          <w:rFonts w:ascii="宋体" w:hAnsi="宋体" w:cs="宋体"/>
          <w:color w:val="auto"/>
          <w:szCs w:val="21"/>
          <w:highlight w:val="none"/>
        </w:rPr>
      </w:pPr>
    </w:p>
    <w:p w14:paraId="6EBC88BC">
      <w:pPr>
        <w:tabs>
          <w:tab w:val="left" w:pos="4860"/>
        </w:tabs>
        <w:spacing w:line="360" w:lineRule="auto"/>
        <w:ind w:right="1560"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w:t>
      </w:r>
      <w:r>
        <w:rPr>
          <w:rFonts w:hint="eastAsia" w:ascii="宋体" w:hAnsi="宋体" w:cs="宋体"/>
          <w:color w:val="auto"/>
          <w:kern w:val="0"/>
          <w:szCs w:val="21"/>
          <w:highlight w:val="none"/>
        </w:rPr>
        <w:t>盖公章</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w:t>
      </w:r>
    </w:p>
    <w:p w14:paraId="0396394D">
      <w:pPr>
        <w:tabs>
          <w:tab w:val="left" w:pos="4860"/>
        </w:tabs>
        <w:spacing w:line="360" w:lineRule="auto"/>
        <w:ind w:right="1560"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11DC91BC">
      <w:pPr>
        <w:rPr>
          <w:rFonts w:eastAsiaTheme="minorEastAsia"/>
          <w:color w:val="auto"/>
          <w:highlight w:val="none"/>
        </w:rPr>
      </w:pPr>
    </w:p>
    <w:p w14:paraId="61CCBD67">
      <w:pPr>
        <w:pStyle w:val="3"/>
        <w:rPr>
          <w:color w:val="auto"/>
          <w:highlight w:val="none"/>
        </w:rPr>
      </w:pPr>
    </w:p>
    <w:sectPr>
      <w:pgSz w:w="11906" w:h="16838"/>
      <w:pgMar w:top="1247" w:right="1588" w:bottom="1089"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Angsana New">
    <w:panose1 w:val="02020603050405020304"/>
    <w:charset w:val="00"/>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ˎ̥">
    <w:altName w:val="微软雅黑"/>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4900">
    <w:pPr>
      <w:pStyle w:val="31"/>
      <w:jc w:val="center"/>
    </w:pPr>
    <w:r>
      <w:fldChar w:fldCharType="begin"/>
    </w:r>
    <w:r>
      <w:rPr>
        <w:rStyle w:val="49"/>
      </w:rPr>
      <w:instrText xml:space="preserve"> PAGE </w:instrText>
    </w:r>
    <w:r>
      <w:fldChar w:fldCharType="separate"/>
    </w:r>
    <w:r>
      <w:rPr>
        <w:rStyle w:val="4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07A2">
    <w:pPr>
      <w:pStyle w:val="31"/>
      <w:tabs>
        <w:tab w:val="clear" w:pos="4153"/>
        <w:tab w:val="clear" w:pos="8306"/>
      </w:tabs>
      <w:jc w:val="center"/>
    </w:pPr>
    <w:r>
      <w:fldChar w:fldCharType="begin"/>
    </w:r>
    <w:r>
      <w:rPr>
        <w:rStyle w:val="49"/>
      </w:rPr>
      <w:instrText xml:space="preserve"> PAGE </w:instrText>
    </w:r>
    <w:r>
      <w:fldChar w:fldCharType="separate"/>
    </w:r>
    <w:r>
      <w:rPr>
        <w:rStyle w:val="49"/>
      </w:rPr>
      <w:t>53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0D0E">
    <w:pPr>
      <w:pStyle w:val="31"/>
      <w:framePr w:wrap="around" w:vAnchor="text" w:hAnchor="margin" w:xAlign="center" w:y="1"/>
      <w:rPr>
        <w:rStyle w:val="49"/>
      </w:rPr>
    </w:pPr>
    <w:r>
      <w:fldChar w:fldCharType="begin"/>
    </w:r>
    <w:r>
      <w:rPr>
        <w:rStyle w:val="49"/>
      </w:rPr>
      <w:instrText xml:space="preserve">PAGE  </w:instrText>
    </w:r>
    <w:r>
      <w:fldChar w:fldCharType="end"/>
    </w:r>
  </w:p>
  <w:p w14:paraId="09D9F1CA">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7384">
    <w:pPr>
      <w:pStyle w:val="33"/>
      <w:pBdr>
        <w:bottom w:val="single" w:color="auto" w:sz="6" w:space="0"/>
      </w:pBdr>
      <w:jc w:val="right"/>
      <w:rPr>
        <w:rFonts w:ascii="宋体" w:hAnsi="宋体" w:cs="宋体"/>
      </w:rPr>
    </w:pPr>
    <w:r>
      <w:rPr>
        <w:rFonts w:hint="eastAsia" w:ascii="宋体" w:hAnsi="宋体" w:cs="宋体"/>
        <w:lang w:eastAsia="zh-CN"/>
      </w:rPr>
      <w:t>中国财税博物馆2024-2027年保安及物业管理服务采购项目</w:t>
    </w:r>
    <w:r>
      <w:rPr>
        <w:rFonts w:hint="eastAsia" w:ascii="宋体" w:hAnsi="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3C1F7"/>
    <w:multiLevelType w:val="multilevel"/>
    <w:tmpl w:val="9443C1F7"/>
    <w:lvl w:ilvl="0" w:tentative="0">
      <w:start w:val="1"/>
      <w:numFmt w:val="decimal"/>
      <w:lvlText w:val="（%1）"/>
      <w:lvlJc w:val="left"/>
      <w:pPr>
        <w:tabs>
          <w:tab w:val="left" w:pos="1273"/>
        </w:tabs>
        <w:ind w:left="1262" w:hanging="500"/>
      </w:pPr>
      <w:rPr>
        <w:rFonts w:hint="eastAsia"/>
      </w:rPr>
    </w:lvl>
    <w:lvl w:ilvl="1" w:tentative="0">
      <w:start w:val="1"/>
      <w:numFmt w:val="japaneseCounting"/>
      <w:lvlText w:val="（%2）"/>
      <w:lvlJc w:val="left"/>
      <w:pPr>
        <w:ind w:left="1562" w:hanging="720"/>
      </w:pPr>
      <w:rPr>
        <w:rFonts w:hint="default"/>
      </w:r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
    <w:nsid w:val="98C19939"/>
    <w:multiLevelType w:val="singleLevel"/>
    <w:tmpl w:val="98C19939"/>
    <w:lvl w:ilvl="0" w:tentative="0">
      <w:start w:val="1"/>
      <w:numFmt w:val="decimal"/>
      <w:suff w:val="nothing"/>
      <w:lvlText w:val="（%1）"/>
      <w:lvlJc w:val="left"/>
    </w:lvl>
  </w:abstractNum>
  <w:abstractNum w:abstractNumId="2">
    <w:nsid w:val="A1045E4F"/>
    <w:multiLevelType w:val="singleLevel"/>
    <w:tmpl w:val="A1045E4F"/>
    <w:lvl w:ilvl="0" w:tentative="0">
      <w:start w:val="1"/>
      <w:numFmt w:val="chineseCounting"/>
      <w:suff w:val="nothing"/>
      <w:lvlText w:val="（%1）"/>
      <w:lvlJc w:val="left"/>
      <w:rPr>
        <w:rFonts w:hint="eastAsia"/>
      </w:rPr>
    </w:lvl>
  </w:abstractNum>
  <w:abstractNum w:abstractNumId="3">
    <w:nsid w:val="C8E4A651"/>
    <w:multiLevelType w:val="singleLevel"/>
    <w:tmpl w:val="C8E4A651"/>
    <w:lvl w:ilvl="0" w:tentative="0">
      <w:start w:val="1"/>
      <w:numFmt w:val="decimal"/>
      <w:lvlText w:val="(%1)"/>
      <w:lvlJc w:val="left"/>
      <w:pPr>
        <w:ind w:left="425" w:hanging="425"/>
      </w:pPr>
      <w:rPr>
        <w:rFonts w:hint="default"/>
      </w:rPr>
    </w:lvl>
  </w:abstractNum>
  <w:abstractNum w:abstractNumId="4">
    <w:nsid w:val="E2594467"/>
    <w:multiLevelType w:val="singleLevel"/>
    <w:tmpl w:val="E2594467"/>
    <w:lvl w:ilvl="0" w:tentative="0">
      <w:start w:val="2"/>
      <w:numFmt w:val="decimal"/>
      <w:suff w:val="space"/>
      <w:lvlText w:val="%1."/>
      <w:lvlJc w:val="left"/>
    </w:lvl>
  </w:abstractNum>
  <w:abstractNum w:abstractNumId="5">
    <w:nsid w:val="EA531826"/>
    <w:multiLevelType w:val="singleLevel"/>
    <w:tmpl w:val="EA531826"/>
    <w:lvl w:ilvl="0" w:tentative="0">
      <w:start w:val="1"/>
      <w:numFmt w:val="decimalEnclosedCircleChinese"/>
      <w:suff w:val="nothing"/>
      <w:lvlText w:val="%1　"/>
      <w:lvlJc w:val="left"/>
      <w:pPr>
        <w:ind w:left="0" w:firstLine="400"/>
      </w:pPr>
      <w:rPr>
        <w:rFonts w:hint="eastAsia"/>
      </w:rPr>
    </w:lvl>
  </w:abstractNum>
  <w:abstractNum w:abstractNumId="6">
    <w:nsid w:val="00000002"/>
    <w:multiLevelType w:val="singleLevel"/>
    <w:tmpl w:val="00000002"/>
    <w:lvl w:ilvl="0" w:tentative="0">
      <w:start w:val="1"/>
      <w:numFmt w:val="decimal"/>
      <w:lvlText w:val="%1."/>
      <w:lvlJc w:val="left"/>
      <w:pPr>
        <w:tabs>
          <w:tab w:val="left" w:pos="312"/>
        </w:tabs>
      </w:pPr>
    </w:lvl>
  </w:abstractNum>
  <w:abstractNum w:abstractNumId="7">
    <w:nsid w:val="00000008"/>
    <w:multiLevelType w:val="multilevel"/>
    <w:tmpl w:val="00000008"/>
    <w:lvl w:ilvl="0" w:tentative="0">
      <w:start w:val="1"/>
      <w:numFmt w:val="decimal"/>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8">
    <w:nsid w:val="0000000F"/>
    <w:multiLevelType w:val="singleLevel"/>
    <w:tmpl w:val="0000000F"/>
    <w:lvl w:ilvl="0" w:tentative="0">
      <w:start w:val="13"/>
      <w:numFmt w:val="decimal"/>
      <w:suff w:val="nothing"/>
      <w:lvlText w:val="%1．"/>
      <w:lvlJc w:val="left"/>
    </w:lvl>
  </w:abstractNum>
  <w:abstractNum w:abstractNumId="9">
    <w:nsid w:val="00000017"/>
    <w:multiLevelType w:val="multilevel"/>
    <w:tmpl w:val="0000001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AB90C6B"/>
    <w:multiLevelType w:val="multilevel"/>
    <w:tmpl w:val="0AB90C6B"/>
    <w:lvl w:ilvl="0" w:tentative="0">
      <w:start w:val="1"/>
      <w:numFmt w:val="decimal"/>
      <w:lvlText w:val="（%1）"/>
      <w:lvlJc w:val="left"/>
      <w:pPr>
        <w:tabs>
          <w:tab w:val="left" w:pos="1273"/>
        </w:tabs>
        <w:ind w:left="1262" w:hanging="500"/>
      </w:pPr>
      <w:rPr>
        <w:rFonts w:hint="eastAsia"/>
      </w:rPr>
    </w:lvl>
    <w:lvl w:ilvl="1" w:tentative="0">
      <w:start w:val="1"/>
      <w:numFmt w:val="japaneseCounting"/>
      <w:lvlText w:val="（%2）"/>
      <w:lvlJc w:val="left"/>
      <w:pPr>
        <w:ind w:left="1562" w:hanging="720"/>
      </w:pPr>
      <w:rPr>
        <w:rFonts w:hint="default"/>
      </w:r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1">
    <w:nsid w:val="172355DC"/>
    <w:multiLevelType w:val="multilevel"/>
    <w:tmpl w:val="172355DC"/>
    <w:lvl w:ilvl="0" w:tentative="0">
      <w:start w:val="1"/>
      <w:numFmt w:val="japaneseCounting"/>
      <w:lvlText w:val="%1、"/>
      <w:lvlJc w:val="left"/>
      <w:pPr>
        <w:ind w:left="1315" w:hanging="672"/>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2">
    <w:nsid w:val="33B306ED"/>
    <w:multiLevelType w:val="multilevel"/>
    <w:tmpl w:val="33B306ED"/>
    <w:lvl w:ilvl="0" w:tentative="0">
      <w:start w:val="1"/>
      <w:numFmt w:val="decimal"/>
      <w:lvlText w:val="%1"/>
      <w:lvlJc w:val="left"/>
      <w:pPr>
        <w:tabs>
          <w:tab w:val="left" w:pos="600"/>
        </w:tabs>
        <w:ind w:left="600" w:hanging="420"/>
      </w:pPr>
      <w:rPr>
        <w:rFonts w:hint="eastAsia" w:ascii="宋体" w:hAnsi="宋体" w:eastAsia="宋体"/>
        <w:sz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3">
    <w:nsid w:val="7CD11FCF"/>
    <w:multiLevelType w:val="singleLevel"/>
    <w:tmpl w:val="7CD11FCF"/>
    <w:lvl w:ilvl="0" w:tentative="0">
      <w:start w:val="1"/>
      <w:numFmt w:val="decimalEnclosedCircleChinese"/>
      <w:suff w:val="nothing"/>
      <w:lvlText w:val="%1　"/>
      <w:lvlJc w:val="left"/>
      <w:pPr>
        <w:ind w:left="0" w:firstLine="400"/>
      </w:pPr>
      <w:rPr>
        <w:rFonts w:hint="eastAsia"/>
      </w:rPr>
    </w:lvl>
  </w:abstractNum>
  <w:abstractNum w:abstractNumId="14">
    <w:nsid w:val="7D4C19BB"/>
    <w:multiLevelType w:val="multilevel"/>
    <w:tmpl w:val="7D4C19BB"/>
    <w:lvl w:ilvl="0" w:tentative="0">
      <w:start w:val="1"/>
      <w:numFmt w:val="decimal"/>
      <w:lvlText w:val="（%1）"/>
      <w:lvlJc w:val="left"/>
      <w:pPr>
        <w:ind w:left="1249" w:hanging="420"/>
      </w:pPr>
      <w:rPr>
        <w:rFonts w:hint="eastAsia"/>
      </w:rPr>
    </w:lvl>
    <w:lvl w:ilvl="1" w:tentative="0">
      <w:start w:val="1"/>
      <w:numFmt w:val="decimal"/>
      <w:lvlText w:val="（%2）"/>
      <w:lvlJc w:val="left"/>
      <w:pPr>
        <w:ind w:left="3398" w:hanging="420"/>
      </w:pPr>
      <w:rPr>
        <w:rFonts w:hint="eastAsia"/>
      </w:rPr>
    </w:lvl>
    <w:lvl w:ilvl="2" w:tentative="0">
      <w:start w:val="1"/>
      <w:numFmt w:val="lowerRoman"/>
      <w:lvlText w:val="%3."/>
      <w:lvlJc w:val="right"/>
      <w:pPr>
        <w:ind w:left="2089" w:hanging="420"/>
      </w:pPr>
    </w:lvl>
    <w:lvl w:ilvl="3" w:tentative="0">
      <w:start w:val="1"/>
      <w:numFmt w:val="decimal"/>
      <w:lvlText w:val="%4."/>
      <w:lvlJc w:val="left"/>
      <w:pPr>
        <w:ind w:left="2509" w:hanging="420"/>
      </w:pPr>
    </w:lvl>
    <w:lvl w:ilvl="4" w:tentative="0">
      <w:start w:val="1"/>
      <w:numFmt w:val="lowerLetter"/>
      <w:lvlText w:val="%5)"/>
      <w:lvlJc w:val="left"/>
      <w:pPr>
        <w:ind w:left="2929" w:hanging="420"/>
      </w:pPr>
    </w:lvl>
    <w:lvl w:ilvl="5" w:tentative="0">
      <w:start w:val="1"/>
      <w:numFmt w:val="lowerRoman"/>
      <w:lvlText w:val="%6."/>
      <w:lvlJc w:val="right"/>
      <w:pPr>
        <w:ind w:left="3349" w:hanging="420"/>
      </w:pPr>
    </w:lvl>
    <w:lvl w:ilvl="6" w:tentative="0">
      <w:start w:val="1"/>
      <w:numFmt w:val="decimal"/>
      <w:lvlText w:val="%7."/>
      <w:lvlJc w:val="left"/>
      <w:pPr>
        <w:ind w:left="3769" w:hanging="420"/>
      </w:pPr>
    </w:lvl>
    <w:lvl w:ilvl="7" w:tentative="0">
      <w:start w:val="1"/>
      <w:numFmt w:val="lowerLetter"/>
      <w:lvlText w:val="%8)"/>
      <w:lvlJc w:val="left"/>
      <w:pPr>
        <w:ind w:left="4189" w:hanging="420"/>
      </w:pPr>
    </w:lvl>
    <w:lvl w:ilvl="8" w:tentative="0">
      <w:start w:val="1"/>
      <w:numFmt w:val="lowerRoman"/>
      <w:lvlText w:val="%9."/>
      <w:lvlJc w:val="right"/>
      <w:pPr>
        <w:ind w:left="4609" w:hanging="420"/>
      </w:pPr>
    </w:lvl>
  </w:abstractNum>
  <w:num w:numId="1">
    <w:abstractNumId w:val="5"/>
  </w:num>
  <w:num w:numId="2">
    <w:abstractNumId w:val="6"/>
  </w:num>
  <w:num w:numId="3">
    <w:abstractNumId w:val="7"/>
  </w:num>
  <w:num w:numId="4">
    <w:abstractNumId w:val="9"/>
  </w:num>
  <w:num w:numId="5">
    <w:abstractNumId w:val="8"/>
  </w:num>
  <w:num w:numId="6">
    <w:abstractNumId w:val="11"/>
  </w:num>
  <w:num w:numId="7">
    <w:abstractNumId w:val="14"/>
  </w:num>
  <w:num w:numId="8">
    <w:abstractNumId w:val="1"/>
  </w:num>
  <w:num w:numId="9">
    <w:abstractNumId w:val="3"/>
  </w:num>
  <w:num w:numId="10">
    <w:abstractNumId w:val="10"/>
  </w:num>
  <w:num w:numId="11">
    <w:abstractNumId w:val="0"/>
  </w:num>
  <w:num w:numId="12">
    <w:abstractNumId w:val="2"/>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TY2Mzg3MjdjN2EwYzRhM2UwNzJmOGVjNWQyY2IifQ=="/>
  </w:docVars>
  <w:rsids>
    <w:rsidRoot w:val="000A0A4E"/>
    <w:rsid w:val="00010588"/>
    <w:rsid w:val="000154B5"/>
    <w:rsid w:val="00021F47"/>
    <w:rsid w:val="00033CB8"/>
    <w:rsid w:val="00034743"/>
    <w:rsid w:val="000347EB"/>
    <w:rsid w:val="00037017"/>
    <w:rsid w:val="00042E4C"/>
    <w:rsid w:val="00043DCB"/>
    <w:rsid w:val="00044B96"/>
    <w:rsid w:val="000465D9"/>
    <w:rsid w:val="00050D2F"/>
    <w:rsid w:val="00060E70"/>
    <w:rsid w:val="00066A51"/>
    <w:rsid w:val="00074914"/>
    <w:rsid w:val="0007638C"/>
    <w:rsid w:val="0008265F"/>
    <w:rsid w:val="00084DF1"/>
    <w:rsid w:val="000858A9"/>
    <w:rsid w:val="00092161"/>
    <w:rsid w:val="00096CC9"/>
    <w:rsid w:val="000A0A4E"/>
    <w:rsid w:val="000A27A9"/>
    <w:rsid w:val="000C09A2"/>
    <w:rsid w:val="000C4439"/>
    <w:rsid w:val="000D0070"/>
    <w:rsid w:val="000D1FC7"/>
    <w:rsid w:val="000D2D23"/>
    <w:rsid w:val="000D51A6"/>
    <w:rsid w:val="000E0D47"/>
    <w:rsid w:val="000E3330"/>
    <w:rsid w:val="000E3337"/>
    <w:rsid w:val="000F1426"/>
    <w:rsid w:val="000F20B0"/>
    <w:rsid w:val="000F51E4"/>
    <w:rsid w:val="00100D91"/>
    <w:rsid w:val="001133FB"/>
    <w:rsid w:val="00116EDC"/>
    <w:rsid w:val="00126D88"/>
    <w:rsid w:val="00126FBE"/>
    <w:rsid w:val="0013033A"/>
    <w:rsid w:val="00130BF3"/>
    <w:rsid w:val="001379B9"/>
    <w:rsid w:val="00142CB3"/>
    <w:rsid w:val="001433C8"/>
    <w:rsid w:val="00143A7F"/>
    <w:rsid w:val="00152A17"/>
    <w:rsid w:val="00170221"/>
    <w:rsid w:val="00171FC0"/>
    <w:rsid w:val="00181978"/>
    <w:rsid w:val="001908E0"/>
    <w:rsid w:val="00197058"/>
    <w:rsid w:val="001A010D"/>
    <w:rsid w:val="001B2D57"/>
    <w:rsid w:val="001B4969"/>
    <w:rsid w:val="001B49D8"/>
    <w:rsid w:val="001C5A3C"/>
    <w:rsid w:val="001C7495"/>
    <w:rsid w:val="001D600D"/>
    <w:rsid w:val="00201146"/>
    <w:rsid w:val="002251D2"/>
    <w:rsid w:val="00237564"/>
    <w:rsid w:val="00240C8B"/>
    <w:rsid w:val="0024618A"/>
    <w:rsid w:val="002501B6"/>
    <w:rsid w:val="00251311"/>
    <w:rsid w:val="002561DF"/>
    <w:rsid w:val="0025689E"/>
    <w:rsid w:val="00257320"/>
    <w:rsid w:val="00275DCB"/>
    <w:rsid w:val="00281307"/>
    <w:rsid w:val="002851C6"/>
    <w:rsid w:val="00286976"/>
    <w:rsid w:val="00293F9F"/>
    <w:rsid w:val="002A129C"/>
    <w:rsid w:val="002B18E6"/>
    <w:rsid w:val="002B6563"/>
    <w:rsid w:val="002C0D48"/>
    <w:rsid w:val="002D58CE"/>
    <w:rsid w:val="002E3134"/>
    <w:rsid w:val="002E6ABC"/>
    <w:rsid w:val="002E6BE4"/>
    <w:rsid w:val="002F56B0"/>
    <w:rsid w:val="00305ECC"/>
    <w:rsid w:val="00310E6F"/>
    <w:rsid w:val="00312293"/>
    <w:rsid w:val="00313145"/>
    <w:rsid w:val="00316D2C"/>
    <w:rsid w:val="00334307"/>
    <w:rsid w:val="00350405"/>
    <w:rsid w:val="00363B5C"/>
    <w:rsid w:val="00370F9A"/>
    <w:rsid w:val="00380906"/>
    <w:rsid w:val="00383434"/>
    <w:rsid w:val="00390BF0"/>
    <w:rsid w:val="003967DD"/>
    <w:rsid w:val="0039782B"/>
    <w:rsid w:val="003A0A2E"/>
    <w:rsid w:val="003A2B47"/>
    <w:rsid w:val="003B1A6F"/>
    <w:rsid w:val="003B2531"/>
    <w:rsid w:val="003B5E76"/>
    <w:rsid w:val="003C34DC"/>
    <w:rsid w:val="003E0BC6"/>
    <w:rsid w:val="003E2371"/>
    <w:rsid w:val="003E3F91"/>
    <w:rsid w:val="003F01E9"/>
    <w:rsid w:val="003F13B4"/>
    <w:rsid w:val="003F3143"/>
    <w:rsid w:val="00402D80"/>
    <w:rsid w:val="004048E9"/>
    <w:rsid w:val="00405277"/>
    <w:rsid w:val="00406C8F"/>
    <w:rsid w:val="0040724D"/>
    <w:rsid w:val="00411EC3"/>
    <w:rsid w:val="00415236"/>
    <w:rsid w:val="00425366"/>
    <w:rsid w:val="00437D78"/>
    <w:rsid w:val="0045538D"/>
    <w:rsid w:val="0045737B"/>
    <w:rsid w:val="00461F54"/>
    <w:rsid w:val="00463367"/>
    <w:rsid w:val="00464509"/>
    <w:rsid w:val="00471EE0"/>
    <w:rsid w:val="0047461C"/>
    <w:rsid w:val="00480196"/>
    <w:rsid w:val="004862FF"/>
    <w:rsid w:val="00487864"/>
    <w:rsid w:val="00493786"/>
    <w:rsid w:val="004B6E5D"/>
    <w:rsid w:val="004D2781"/>
    <w:rsid w:val="004E43C4"/>
    <w:rsid w:val="004F0BF5"/>
    <w:rsid w:val="004F3094"/>
    <w:rsid w:val="004F67DA"/>
    <w:rsid w:val="0050273D"/>
    <w:rsid w:val="00502874"/>
    <w:rsid w:val="00503195"/>
    <w:rsid w:val="00503A3D"/>
    <w:rsid w:val="00506B2F"/>
    <w:rsid w:val="00506C44"/>
    <w:rsid w:val="00510227"/>
    <w:rsid w:val="00520827"/>
    <w:rsid w:val="00521AEB"/>
    <w:rsid w:val="00525032"/>
    <w:rsid w:val="005277A8"/>
    <w:rsid w:val="00537D58"/>
    <w:rsid w:val="005437ED"/>
    <w:rsid w:val="0055142F"/>
    <w:rsid w:val="00565E83"/>
    <w:rsid w:val="00567EA1"/>
    <w:rsid w:val="005836B2"/>
    <w:rsid w:val="00587CDA"/>
    <w:rsid w:val="00592F2D"/>
    <w:rsid w:val="00593CB6"/>
    <w:rsid w:val="005A5664"/>
    <w:rsid w:val="005A5912"/>
    <w:rsid w:val="005B35D3"/>
    <w:rsid w:val="005B438B"/>
    <w:rsid w:val="005B456D"/>
    <w:rsid w:val="005B6CCE"/>
    <w:rsid w:val="005C48EA"/>
    <w:rsid w:val="005C6A20"/>
    <w:rsid w:val="005D2C0E"/>
    <w:rsid w:val="005D36E4"/>
    <w:rsid w:val="005E2954"/>
    <w:rsid w:val="005E34D3"/>
    <w:rsid w:val="005F6DE6"/>
    <w:rsid w:val="0060061E"/>
    <w:rsid w:val="00613B0A"/>
    <w:rsid w:val="00614E87"/>
    <w:rsid w:val="00624DBD"/>
    <w:rsid w:val="00625BC1"/>
    <w:rsid w:val="00637FD2"/>
    <w:rsid w:val="0064598A"/>
    <w:rsid w:val="00647507"/>
    <w:rsid w:val="00651B12"/>
    <w:rsid w:val="00653F7A"/>
    <w:rsid w:val="006555CB"/>
    <w:rsid w:val="006611C5"/>
    <w:rsid w:val="00666A1B"/>
    <w:rsid w:val="00671825"/>
    <w:rsid w:val="006749BA"/>
    <w:rsid w:val="00676B02"/>
    <w:rsid w:val="0068581F"/>
    <w:rsid w:val="00686183"/>
    <w:rsid w:val="00687286"/>
    <w:rsid w:val="00691479"/>
    <w:rsid w:val="006A1714"/>
    <w:rsid w:val="006A3EFA"/>
    <w:rsid w:val="006B697A"/>
    <w:rsid w:val="006C2F16"/>
    <w:rsid w:val="006C5B77"/>
    <w:rsid w:val="006C7F82"/>
    <w:rsid w:val="006D0175"/>
    <w:rsid w:val="006E0629"/>
    <w:rsid w:val="006E0F90"/>
    <w:rsid w:val="006E1AA4"/>
    <w:rsid w:val="006E1E2F"/>
    <w:rsid w:val="006E3535"/>
    <w:rsid w:val="006E4333"/>
    <w:rsid w:val="006E7208"/>
    <w:rsid w:val="00712DDF"/>
    <w:rsid w:val="007161F0"/>
    <w:rsid w:val="007231D9"/>
    <w:rsid w:val="007240BD"/>
    <w:rsid w:val="00741D01"/>
    <w:rsid w:val="007518A5"/>
    <w:rsid w:val="00753F66"/>
    <w:rsid w:val="00764FA8"/>
    <w:rsid w:val="007744D9"/>
    <w:rsid w:val="00790AF4"/>
    <w:rsid w:val="007A1BD1"/>
    <w:rsid w:val="007A290C"/>
    <w:rsid w:val="007A2DAC"/>
    <w:rsid w:val="007B012D"/>
    <w:rsid w:val="007B0A3B"/>
    <w:rsid w:val="007B4E12"/>
    <w:rsid w:val="007B5D6F"/>
    <w:rsid w:val="007B6D64"/>
    <w:rsid w:val="007C13C8"/>
    <w:rsid w:val="007D2220"/>
    <w:rsid w:val="007D36DD"/>
    <w:rsid w:val="007D3B09"/>
    <w:rsid w:val="007D3D34"/>
    <w:rsid w:val="007D7600"/>
    <w:rsid w:val="007E51EE"/>
    <w:rsid w:val="007F496C"/>
    <w:rsid w:val="00801795"/>
    <w:rsid w:val="00812122"/>
    <w:rsid w:val="00816474"/>
    <w:rsid w:val="00820092"/>
    <w:rsid w:val="00823DFC"/>
    <w:rsid w:val="00824409"/>
    <w:rsid w:val="008309F3"/>
    <w:rsid w:val="00837996"/>
    <w:rsid w:val="00840A00"/>
    <w:rsid w:val="008411C8"/>
    <w:rsid w:val="008443CD"/>
    <w:rsid w:val="00855011"/>
    <w:rsid w:val="00861260"/>
    <w:rsid w:val="00861AE4"/>
    <w:rsid w:val="008644B4"/>
    <w:rsid w:val="008856D6"/>
    <w:rsid w:val="00894872"/>
    <w:rsid w:val="00894B50"/>
    <w:rsid w:val="0089606B"/>
    <w:rsid w:val="008A5F66"/>
    <w:rsid w:val="008A6142"/>
    <w:rsid w:val="008C25FC"/>
    <w:rsid w:val="008D2111"/>
    <w:rsid w:val="008D59DF"/>
    <w:rsid w:val="008F0EC3"/>
    <w:rsid w:val="008F6A74"/>
    <w:rsid w:val="00900E4D"/>
    <w:rsid w:val="00905E17"/>
    <w:rsid w:val="00912A21"/>
    <w:rsid w:val="0091518F"/>
    <w:rsid w:val="00915934"/>
    <w:rsid w:val="00916024"/>
    <w:rsid w:val="009235EF"/>
    <w:rsid w:val="00923A3F"/>
    <w:rsid w:val="00926114"/>
    <w:rsid w:val="0092631F"/>
    <w:rsid w:val="00932B65"/>
    <w:rsid w:val="00935EB8"/>
    <w:rsid w:val="00946605"/>
    <w:rsid w:val="00952890"/>
    <w:rsid w:val="009539F4"/>
    <w:rsid w:val="00965AC0"/>
    <w:rsid w:val="009750A7"/>
    <w:rsid w:val="009863CA"/>
    <w:rsid w:val="009A1D39"/>
    <w:rsid w:val="009A2A23"/>
    <w:rsid w:val="009B2BFB"/>
    <w:rsid w:val="009D01E1"/>
    <w:rsid w:val="009E1060"/>
    <w:rsid w:val="009E4DF8"/>
    <w:rsid w:val="009F10EA"/>
    <w:rsid w:val="009F582A"/>
    <w:rsid w:val="009F5F54"/>
    <w:rsid w:val="009F67F0"/>
    <w:rsid w:val="00A1396E"/>
    <w:rsid w:val="00A14DCF"/>
    <w:rsid w:val="00A155BE"/>
    <w:rsid w:val="00A210C6"/>
    <w:rsid w:val="00A255F0"/>
    <w:rsid w:val="00A2652B"/>
    <w:rsid w:val="00A2797C"/>
    <w:rsid w:val="00A342C5"/>
    <w:rsid w:val="00A4127E"/>
    <w:rsid w:val="00A41371"/>
    <w:rsid w:val="00A42922"/>
    <w:rsid w:val="00A4392C"/>
    <w:rsid w:val="00A43D3E"/>
    <w:rsid w:val="00A50D19"/>
    <w:rsid w:val="00A56206"/>
    <w:rsid w:val="00A70E01"/>
    <w:rsid w:val="00A73161"/>
    <w:rsid w:val="00A74D86"/>
    <w:rsid w:val="00A76B46"/>
    <w:rsid w:val="00A8409F"/>
    <w:rsid w:val="00A937FD"/>
    <w:rsid w:val="00AA0260"/>
    <w:rsid w:val="00AA27C0"/>
    <w:rsid w:val="00AB31EC"/>
    <w:rsid w:val="00AB769C"/>
    <w:rsid w:val="00AD1944"/>
    <w:rsid w:val="00AD3FAA"/>
    <w:rsid w:val="00AD52E9"/>
    <w:rsid w:val="00AE0214"/>
    <w:rsid w:val="00AE2959"/>
    <w:rsid w:val="00AF1ADE"/>
    <w:rsid w:val="00B0238B"/>
    <w:rsid w:val="00B037F9"/>
    <w:rsid w:val="00B069D8"/>
    <w:rsid w:val="00B138EA"/>
    <w:rsid w:val="00B234AE"/>
    <w:rsid w:val="00B247E5"/>
    <w:rsid w:val="00B30E7D"/>
    <w:rsid w:val="00B3250F"/>
    <w:rsid w:val="00B423E1"/>
    <w:rsid w:val="00B435CB"/>
    <w:rsid w:val="00B44F12"/>
    <w:rsid w:val="00B4595B"/>
    <w:rsid w:val="00B5176F"/>
    <w:rsid w:val="00B6557E"/>
    <w:rsid w:val="00B753A3"/>
    <w:rsid w:val="00B767AD"/>
    <w:rsid w:val="00B801BD"/>
    <w:rsid w:val="00B829CC"/>
    <w:rsid w:val="00B8413F"/>
    <w:rsid w:val="00B93410"/>
    <w:rsid w:val="00B95738"/>
    <w:rsid w:val="00BA3C84"/>
    <w:rsid w:val="00BC0310"/>
    <w:rsid w:val="00BC1833"/>
    <w:rsid w:val="00BD0E1A"/>
    <w:rsid w:val="00BD3C61"/>
    <w:rsid w:val="00BE32CE"/>
    <w:rsid w:val="00BF68BF"/>
    <w:rsid w:val="00C04716"/>
    <w:rsid w:val="00C1025C"/>
    <w:rsid w:val="00C17D41"/>
    <w:rsid w:val="00C25470"/>
    <w:rsid w:val="00C27007"/>
    <w:rsid w:val="00C31F94"/>
    <w:rsid w:val="00C32BA1"/>
    <w:rsid w:val="00C358B1"/>
    <w:rsid w:val="00C37171"/>
    <w:rsid w:val="00C7028C"/>
    <w:rsid w:val="00C90622"/>
    <w:rsid w:val="00CA05C4"/>
    <w:rsid w:val="00CA2E78"/>
    <w:rsid w:val="00CC1DA8"/>
    <w:rsid w:val="00CC5654"/>
    <w:rsid w:val="00CF6F5F"/>
    <w:rsid w:val="00D134B7"/>
    <w:rsid w:val="00D14D87"/>
    <w:rsid w:val="00D22418"/>
    <w:rsid w:val="00D2612B"/>
    <w:rsid w:val="00D308D0"/>
    <w:rsid w:val="00D34093"/>
    <w:rsid w:val="00D5277C"/>
    <w:rsid w:val="00D52FA4"/>
    <w:rsid w:val="00D70484"/>
    <w:rsid w:val="00D70FED"/>
    <w:rsid w:val="00D72C1C"/>
    <w:rsid w:val="00D73549"/>
    <w:rsid w:val="00D7455C"/>
    <w:rsid w:val="00D763CD"/>
    <w:rsid w:val="00D91EE9"/>
    <w:rsid w:val="00DC1D54"/>
    <w:rsid w:val="00DC517E"/>
    <w:rsid w:val="00DC7076"/>
    <w:rsid w:val="00DD0011"/>
    <w:rsid w:val="00DD0ABA"/>
    <w:rsid w:val="00DD343D"/>
    <w:rsid w:val="00DD7774"/>
    <w:rsid w:val="00DE6135"/>
    <w:rsid w:val="00DF5090"/>
    <w:rsid w:val="00E17166"/>
    <w:rsid w:val="00E25177"/>
    <w:rsid w:val="00E3360B"/>
    <w:rsid w:val="00E47D82"/>
    <w:rsid w:val="00E5649C"/>
    <w:rsid w:val="00E61E14"/>
    <w:rsid w:val="00E6576C"/>
    <w:rsid w:val="00E67B88"/>
    <w:rsid w:val="00E84791"/>
    <w:rsid w:val="00E91C39"/>
    <w:rsid w:val="00E94B63"/>
    <w:rsid w:val="00E968C3"/>
    <w:rsid w:val="00EA2296"/>
    <w:rsid w:val="00EA6499"/>
    <w:rsid w:val="00EA738C"/>
    <w:rsid w:val="00EC140B"/>
    <w:rsid w:val="00ED66F6"/>
    <w:rsid w:val="00ED6755"/>
    <w:rsid w:val="00EE0379"/>
    <w:rsid w:val="00EF59FB"/>
    <w:rsid w:val="00F07330"/>
    <w:rsid w:val="00F14139"/>
    <w:rsid w:val="00F22331"/>
    <w:rsid w:val="00F33623"/>
    <w:rsid w:val="00F47307"/>
    <w:rsid w:val="00F64282"/>
    <w:rsid w:val="00F76AAA"/>
    <w:rsid w:val="00F775E3"/>
    <w:rsid w:val="00F7782D"/>
    <w:rsid w:val="00F821BE"/>
    <w:rsid w:val="00F8268C"/>
    <w:rsid w:val="00F86959"/>
    <w:rsid w:val="00F86FC5"/>
    <w:rsid w:val="00F952A4"/>
    <w:rsid w:val="00F95EE8"/>
    <w:rsid w:val="00F96F61"/>
    <w:rsid w:val="00FA073C"/>
    <w:rsid w:val="00FA5C41"/>
    <w:rsid w:val="00FB4D6F"/>
    <w:rsid w:val="00FC70CC"/>
    <w:rsid w:val="00FE29BD"/>
    <w:rsid w:val="00FE3FBC"/>
    <w:rsid w:val="00FE4978"/>
    <w:rsid w:val="00FE5EA7"/>
    <w:rsid w:val="01211379"/>
    <w:rsid w:val="021C2A9E"/>
    <w:rsid w:val="02206CB5"/>
    <w:rsid w:val="02644A12"/>
    <w:rsid w:val="02736CBD"/>
    <w:rsid w:val="02BF1C86"/>
    <w:rsid w:val="03095714"/>
    <w:rsid w:val="03163BD9"/>
    <w:rsid w:val="032B3E4A"/>
    <w:rsid w:val="033B56D0"/>
    <w:rsid w:val="03633764"/>
    <w:rsid w:val="03861F93"/>
    <w:rsid w:val="03890F3E"/>
    <w:rsid w:val="038E6C60"/>
    <w:rsid w:val="0397229D"/>
    <w:rsid w:val="03C11BC8"/>
    <w:rsid w:val="03CB12EC"/>
    <w:rsid w:val="03CC1B62"/>
    <w:rsid w:val="0404388D"/>
    <w:rsid w:val="04072DCB"/>
    <w:rsid w:val="04740D1C"/>
    <w:rsid w:val="04C444E7"/>
    <w:rsid w:val="05367D09"/>
    <w:rsid w:val="054A70B4"/>
    <w:rsid w:val="0564734A"/>
    <w:rsid w:val="061B1E67"/>
    <w:rsid w:val="06251FF4"/>
    <w:rsid w:val="06266199"/>
    <w:rsid w:val="06474D44"/>
    <w:rsid w:val="0654024A"/>
    <w:rsid w:val="068A49ED"/>
    <w:rsid w:val="06A225C5"/>
    <w:rsid w:val="072C4D9B"/>
    <w:rsid w:val="07386903"/>
    <w:rsid w:val="074158CC"/>
    <w:rsid w:val="07A83412"/>
    <w:rsid w:val="07D233F1"/>
    <w:rsid w:val="07DD28C2"/>
    <w:rsid w:val="07F11259"/>
    <w:rsid w:val="07FA3146"/>
    <w:rsid w:val="08110BBF"/>
    <w:rsid w:val="083D7467"/>
    <w:rsid w:val="08827127"/>
    <w:rsid w:val="08CF4DCC"/>
    <w:rsid w:val="08D32892"/>
    <w:rsid w:val="08E95E7A"/>
    <w:rsid w:val="091A0535"/>
    <w:rsid w:val="09B4084C"/>
    <w:rsid w:val="09D156AB"/>
    <w:rsid w:val="0A3E3EAB"/>
    <w:rsid w:val="0A711453"/>
    <w:rsid w:val="0B3712A8"/>
    <w:rsid w:val="0B3B71BE"/>
    <w:rsid w:val="0B6D7AB4"/>
    <w:rsid w:val="0B713967"/>
    <w:rsid w:val="0BB9775D"/>
    <w:rsid w:val="0BC72DF2"/>
    <w:rsid w:val="0BF81276"/>
    <w:rsid w:val="0C045FCA"/>
    <w:rsid w:val="0C7B26FB"/>
    <w:rsid w:val="0C8728D0"/>
    <w:rsid w:val="0D490CA0"/>
    <w:rsid w:val="0DCA6418"/>
    <w:rsid w:val="0E164E98"/>
    <w:rsid w:val="0EA242E9"/>
    <w:rsid w:val="0ED94953"/>
    <w:rsid w:val="0EF54D37"/>
    <w:rsid w:val="0F6265DF"/>
    <w:rsid w:val="0FAF2C80"/>
    <w:rsid w:val="0FE676EB"/>
    <w:rsid w:val="101F4BB9"/>
    <w:rsid w:val="102F1FAF"/>
    <w:rsid w:val="10422427"/>
    <w:rsid w:val="10714471"/>
    <w:rsid w:val="10B80387"/>
    <w:rsid w:val="10E36D58"/>
    <w:rsid w:val="12305A77"/>
    <w:rsid w:val="124A5F64"/>
    <w:rsid w:val="12A2529E"/>
    <w:rsid w:val="12E83359"/>
    <w:rsid w:val="14201ABD"/>
    <w:rsid w:val="14481179"/>
    <w:rsid w:val="145115EB"/>
    <w:rsid w:val="14B22A24"/>
    <w:rsid w:val="15130C06"/>
    <w:rsid w:val="153503FE"/>
    <w:rsid w:val="15541852"/>
    <w:rsid w:val="155B6876"/>
    <w:rsid w:val="15796911"/>
    <w:rsid w:val="15B47F81"/>
    <w:rsid w:val="15D5668D"/>
    <w:rsid w:val="16885A1C"/>
    <w:rsid w:val="17044517"/>
    <w:rsid w:val="17222676"/>
    <w:rsid w:val="173B7A6F"/>
    <w:rsid w:val="177F338D"/>
    <w:rsid w:val="1797527C"/>
    <w:rsid w:val="17EC6739"/>
    <w:rsid w:val="182A7D4A"/>
    <w:rsid w:val="182F221B"/>
    <w:rsid w:val="18BB169F"/>
    <w:rsid w:val="18D764D6"/>
    <w:rsid w:val="18F40827"/>
    <w:rsid w:val="19187857"/>
    <w:rsid w:val="194D5515"/>
    <w:rsid w:val="194E3687"/>
    <w:rsid w:val="196A58AD"/>
    <w:rsid w:val="199C08D9"/>
    <w:rsid w:val="19AC3992"/>
    <w:rsid w:val="19EC040D"/>
    <w:rsid w:val="1A4634A5"/>
    <w:rsid w:val="1A5C4CFA"/>
    <w:rsid w:val="1AB00624"/>
    <w:rsid w:val="1ADC4967"/>
    <w:rsid w:val="1B1C0D1C"/>
    <w:rsid w:val="1B37432B"/>
    <w:rsid w:val="1B4B48AE"/>
    <w:rsid w:val="1B510FDB"/>
    <w:rsid w:val="1B607CE1"/>
    <w:rsid w:val="1B6D2B8F"/>
    <w:rsid w:val="1B9C6259"/>
    <w:rsid w:val="1CC64101"/>
    <w:rsid w:val="1D2E5C94"/>
    <w:rsid w:val="1D4F35BB"/>
    <w:rsid w:val="1D795B53"/>
    <w:rsid w:val="1D82117E"/>
    <w:rsid w:val="1DB640CE"/>
    <w:rsid w:val="1DFB02BD"/>
    <w:rsid w:val="1E0016C9"/>
    <w:rsid w:val="1E4672A6"/>
    <w:rsid w:val="1E471A28"/>
    <w:rsid w:val="1E59131C"/>
    <w:rsid w:val="1E6E7DF0"/>
    <w:rsid w:val="1EA876AC"/>
    <w:rsid w:val="1F517E4B"/>
    <w:rsid w:val="1F5C5956"/>
    <w:rsid w:val="1F622FC0"/>
    <w:rsid w:val="1F721A21"/>
    <w:rsid w:val="1F86499F"/>
    <w:rsid w:val="1F9D2379"/>
    <w:rsid w:val="1FD73891"/>
    <w:rsid w:val="20083D21"/>
    <w:rsid w:val="200D1C1C"/>
    <w:rsid w:val="202C7818"/>
    <w:rsid w:val="20DA53AA"/>
    <w:rsid w:val="21160C2A"/>
    <w:rsid w:val="2138629C"/>
    <w:rsid w:val="21513803"/>
    <w:rsid w:val="21557FCA"/>
    <w:rsid w:val="215D4F60"/>
    <w:rsid w:val="219E64E6"/>
    <w:rsid w:val="21B736B2"/>
    <w:rsid w:val="21C25ED6"/>
    <w:rsid w:val="2232319B"/>
    <w:rsid w:val="22490AF8"/>
    <w:rsid w:val="22504B80"/>
    <w:rsid w:val="22516147"/>
    <w:rsid w:val="22C1067D"/>
    <w:rsid w:val="22E1431B"/>
    <w:rsid w:val="23004164"/>
    <w:rsid w:val="23073B84"/>
    <w:rsid w:val="23192F44"/>
    <w:rsid w:val="241712DE"/>
    <w:rsid w:val="242E3923"/>
    <w:rsid w:val="25090BDC"/>
    <w:rsid w:val="252D1700"/>
    <w:rsid w:val="252F213A"/>
    <w:rsid w:val="25683B98"/>
    <w:rsid w:val="25BA56FF"/>
    <w:rsid w:val="25BB58AE"/>
    <w:rsid w:val="25CE46D4"/>
    <w:rsid w:val="26030F79"/>
    <w:rsid w:val="2649605F"/>
    <w:rsid w:val="269E330E"/>
    <w:rsid w:val="26BF762F"/>
    <w:rsid w:val="26D31480"/>
    <w:rsid w:val="26F72690"/>
    <w:rsid w:val="270E55AD"/>
    <w:rsid w:val="2753577C"/>
    <w:rsid w:val="2828438A"/>
    <w:rsid w:val="28347CAB"/>
    <w:rsid w:val="28501B8E"/>
    <w:rsid w:val="28537A45"/>
    <w:rsid w:val="286728FE"/>
    <w:rsid w:val="286B0803"/>
    <w:rsid w:val="28715905"/>
    <w:rsid w:val="28F0787D"/>
    <w:rsid w:val="29010470"/>
    <w:rsid w:val="2956659F"/>
    <w:rsid w:val="29785A7E"/>
    <w:rsid w:val="2A26495A"/>
    <w:rsid w:val="2A374B67"/>
    <w:rsid w:val="2A6F29A5"/>
    <w:rsid w:val="2A992232"/>
    <w:rsid w:val="2A9C72BB"/>
    <w:rsid w:val="2ADD04AC"/>
    <w:rsid w:val="2AFB4C8E"/>
    <w:rsid w:val="2B0A253C"/>
    <w:rsid w:val="2BBD0BFC"/>
    <w:rsid w:val="2BC256FB"/>
    <w:rsid w:val="2C213F02"/>
    <w:rsid w:val="2C2B57B6"/>
    <w:rsid w:val="2C6E51DE"/>
    <w:rsid w:val="2CA17FAC"/>
    <w:rsid w:val="2CA76A08"/>
    <w:rsid w:val="2CAF211C"/>
    <w:rsid w:val="2CBB5A1C"/>
    <w:rsid w:val="2D8C4F98"/>
    <w:rsid w:val="2DEA06CF"/>
    <w:rsid w:val="2DF50C73"/>
    <w:rsid w:val="2E0F1ACE"/>
    <w:rsid w:val="2E102FF8"/>
    <w:rsid w:val="2E7E553B"/>
    <w:rsid w:val="2E827670"/>
    <w:rsid w:val="2EC8793B"/>
    <w:rsid w:val="2F08280F"/>
    <w:rsid w:val="2F244243"/>
    <w:rsid w:val="2F2F5154"/>
    <w:rsid w:val="2F3732A3"/>
    <w:rsid w:val="2F5024D4"/>
    <w:rsid w:val="2F6B056E"/>
    <w:rsid w:val="300F7EEA"/>
    <w:rsid w:val="304842BB"/>
    <w:rsid w:val="307F5098"/>
    <w:rsid w:val="30FC7E37"/>
    <w:rsid w:val="30FF0974"/>
    <w:rsid w:val="313F53D5"/>
    <w:rsid w:val="31557995"/>
    <w:rsid w:val="31B9202E"/>
    <w:rsid w:val="31BC755F"/>
    <w:rsid w:val="32104D51"/>
    <w:rsid w:val="323548B6"/>
    <w:rsid w:val="32A57FF7"/>
    <w:rsid w:val="32D578C0"/>
    <w:rsid w:val="32EB50C1"/>
    <w:rsid w:val="32EE243A"/>
    <w:rsid w:val="3313356C"/>
    <w:rsid w:val="331402CF"/>
    <w:rsid w:val="336C033A"/>
    <w:rsid w:val="340B0788"/>
    <w:rsid w:val="34402A57"/>
    <w:rsid w:val="34500DA4"/>
    <w:rsid w:val="34DA1700"/>
    <w:rsid w:val="35175A14"/>
    <w:rsid w:val="352232D2"/>
    <w:rsid w:val="353D4663"/>
    <w:rsid w:val="353F5F2E"/>
    <w:rsid w:val="35767FA2"/>
    <w:rsid w:val="35A12205"/>
    <w:rsid w:val="35B64B97"/>
    <w:rsid w:val="35B87DCF"/>
    <w:rsid w:val="35BD58D1"/>
    <w:rsid w:val="360F4B12"/>
    <w:rsid w:val="36161609"/>
    <w:rsid w:val="363D0678"/>
    <w:rsid w:val="3646059A"/>
    <w:rsid w:val="36C775A4"/>
    <w:rsid w:val="36D258E6"/>
    <w:rsid w:val="36E94DEA"/>
    <w:rsid w:val="37295A00"/>
    <w:rsid w:val="37426FB8"/>
    <w:rsid w:val="374D343D"/>
    <w:rsid w:val="38713641"/>
    <w:rsid w:val="392A7D81"/>
    <w:rsid w:val="397E67DB"/>
    <w:rsid w:val="39A4607D"/>
    <w:rsid w:val="39DF31EE"/>
    <w:rsid w:val="3A7D54D3"/>
    <w:rsid w:val="3AC241A2"/>
    <w:rsid w:val="3AC4761A"/>
    <w:rsid w:val="3B1752E7"/>
    <w:rsid w:val="3B256CD3"/>
    <w:rsid w:val="3B305DB1"/>
    <w:rsid w:val="3B4F2ECC"/>
    <w:rsid w:val="3B676496"/>
    <w:rsid w:val="3B860FE5"/>
    <w:rsid w:val="3BB95FFA"/>
    <w:rsid w:val="3C6901C4"/>
    <w:rsid w:val="3C703755"/>
    <w:rsid w:val="3C824685"/>
    <w:rsid w:val="3CBF3AED"/>
    <w:rsid w:val="3CF30C3F"/>
    <w:rsid w:val="3D017BB0"/>
    <w:rsid w:val="3D1D5297"/>
    <w:rsid w:val="3D2003B5"/>
    <w:rsid w:val="3DA262C3"/>
    <w:rsid w:val="3DAC20B9"/>
    <w:rsid w:val="3DD86812"/>
    <w:rsid w:val="3DF42623"/>
    <w:rsid w:val="3DF5589F"/>
    <w:rsid w:val="3E404294"/>
    <w:rsid w:val="3F2E3FDD"/>
    <w:rsid w:val="3F2F136E"/>
    <w:rsid w:val="3FA73B7E"/>
    <w:rsid w:val="40467B33"/>
    <w:rsid w:val="40627137"/>
    <w:rsid w:val="406B3E80"/>
    <w:rsid w:val="406D5628"/>
    <w:rsid w:val="40E02AF3"/>
    <w:rsid w:val="40E908A6"/>
    <w:rsid w:val="41074B1F"/>
    <w:rsid w:val="417F5EBB"/>
    <w:rsid w:val="41AD07B2"/>
    <w:rsid w:val="41F47A32"/>
    <w:rsid w:val="41F935AF"/>
    <w:rsid w:val="42251C57"/>
    <w:rsid w:val="425A1BA7"/>
    <w:rsid w:val="425D7555"/>
    <w:rsid w:val="42BB5C76"/>
    <w:rsid w:val="42D24401"/>
    <w:rsid w:val="42FC203D"/>
    <w:rsid w:val="432251D7"/>
    <w:rsid w:val="435915E2"/>
    <w:rsid w:val="436169D4"/>
    <w:rsid w:val="43942F5B"/>
    <w:rsid w:val="43B444B0"/>
    <w:rsid w:val="43ED7957"/>
    <w:rsid w:val="441606FD"/>
    <w:rsid w:val="44222587"/>
    <w:rsid w:val="4426016E"/>
    <w:rsid w:val="448D6E87"/>
    <w:rsid w:val="44C901A8"/>
    <w:rsid w:val="44CE6B7C"/>
    <w:rsid w:val="450C6194"/>
    <w:rsid w:val="45150ED2"/>
    <w:rsid w:val="451D2643"/>
    <w:rsid w:val="4552523B"/>
    <w:rsid w:val="459908C6"/>
    <w:rsid w:val="45A569B5"/>
    <w:rsid w:val="45BC769C"/>
    <w:rsid w:val="4628016A"/>
    <w:rsid w:val="46434746"/>
    <w:rsid w:val="467170D7"/>
    <w:rsid w:val="4678514A"/>
    <w:rsid w:val="46905DAD"/>
    <w:rsid w:val="469F03D9"/>
    <w:rsid w:val="46FC5383"/>
    <w:rsid w:val="47212D2B"/>
    <w:rsid w:val="47B72AD6"/>
    <w:rsid w:val="47D95B40"/>
    <w:rsid w:val="47E66407"/>
    <w:rsid w:val="48650F82"/>
    <w:rsid w:val="48B24AC4"/>
    <w:rsid w:val="48BF1820"/>
    <w:rsid w:val="48CF44E7"/>
    <w:rsid w:val="490115AC"/>
    <w:rsid w:val="490919B6"/>
    <w:rsid w:val="491969FE"/>
    <w:rsid w:val="491D1E84"/>
    <w:rsid w:val="495F2828"/>
    <w:rsid w:val="49A56924"/>
    <w:rsid w:val="49C34AD9"/>
    <w:rsid w:val="49E15038"/>
    <w:rsid w:val="4A1F279E"/>
    <w:rsid w:val="4A767978"/>
    <w:rsid w:val="4A9F41D5"/>
    <w:rsid w:val="4AE7607F"/>
    <w:rsid w:val="4B9A47CA"/>
    <w:rsid w:val="4B9A6D71"/>
    <w:rsid w:val="4B9E3ABA"/>
    <w:rsid w:val="4BCD1E4E"/>
    <w:rsid w:val="4C53356C"/>
    <w:rsid w:val="4CF86E6D"/>
    <w:rsid w:val="4D0B54D5"/>
    <w:rsid w:val="4D28689E"/>
    <w:rsid w:val="4D2C2D7D"/>
    <w:rsid w:val="4D433D09"/>
    <w:rsid w:val="4D5634F8"/>
    <w:rsid w:val="4D8D44FC"/>
    <w:rsid w:val="4DD92411"/>
    <w:rsid w:val="4E9A0BEB"/>
    <w:rsid w:val="4EDA5182"/>
    <w:rsid w:val="4F17379E"/>
    <w:rsid w:val="4F6053F0"/>
    <w:rsid w:val="4FC0424D"/>
    <w:rsid w:val="500800C7"/>
    <w:rsid w:val="5012784D"/>
    <w:rsid w:val="502E57D9"/>
    <w:rsid w:val="50A31EE4"/>
    <w:rsid w:val="50B042A3"/>
    <w:rsid w:val="51731745"/>
    <w:rsid w:val="51865E80"/>
    <w:rsid w:val="5194744B"/>
    <w:rsid w:val="51ED1C4A"/>
    <w:rsid w:val="51FC6365"/>
    <w:rsid w:val="524A39B9"/>
    <w:rsid w:val="52CC5CA2"/>
    <w:rsid w:val="53452FBB"/>
    <w:rsid w:val="53634C91"/>
    <w:rsid w:val="536A1421"/>
    <w:rsid w:val="53BB5B26"/>
    <w:rsid w:val="53F55B2C"/>
    <w:rsid w:val="543E0467"/>
    <w:rsid w:val="54D563AE"/>
    <w:rsid w:val="54F8005F"/>
    <w:rsid w:val="557C5EA8"/>
    <w:rsid w:val="55A22F34"/>
    <w:rsid w:val="55A922FD"/>
    <w:rsid w:val="55AF7059"/>
    <w:rsid w:val="55EA21A0"/>
    <w:rsid w:val="561F4A05"/>
    <w:rsid w:val="56291234"/>
    <w:rsid w:val="562C762A"/>
    <w:rsid w:val="56432A31"/>
    <w:rsid w:val="56DD3E78"/>
    <w:rsid w:val="572657DF"/>
    <w:rsid w:val="57A44E20"/>
    <w:rsid w:val="57D30B62"/>
    <w:rsid w:val="583D43A5"/>
    <w:rsid w:val="585C4E6E"/>
    <w:rsid w:val="586A0242"/>
    <w:rsid w:val="58764250"/>
    <w:rsid w:val="58E97AA8"/>
    <w:rsid w:val="59013F72"/>
    <w:rsid w:val="59026C15"/>
    <w:rsid w:val="59212886"/>
    <w:rsid w:val="59317C32"/>
    <w:rsid w:val="59B069E1"/>
    <w:rsid w:val="5A172C93"/>
    <w:rsid w:val="5A67140D"/>
    <w:rsid w:val="5AAB6A82"/>
    <w:rsid w:val="5AAC2C11"/>
    <w:rsid w:val="5AB038EB"/>
    <w:rsid w:val="5B193064"/>
    <w:rsid w:val="5B1F2404"/>
    <w:rsid w:val="5C24795D"/>
    <w:rsid w:val="5C515977"/>
    <w:rsid w:val="5C734A8A"/>
    <w:rsid w:val="5CBE2E8F"/>
    <w:rsid w:val="5CC0052A"/>
    <w:rsid w:val="5CDF4239"/>
    <w:rsid w:val="5D381863"/>
    <w:rsid w:val="5D427742"/>
    <w:rsid w:val="5D7A2F18"/>
    <w:rsid w:val="5DB0093E"/>
    <w:rsid w:val="5DBD36E4"/>
    <w:rsid w:val="5DEA23A1"/>
    <w:rsid w:val="5DF13905"/>
    <w:rsid w:val="5DF64195"/>
    <w:rsid w:val="5E093472"/>
    <w:rsid w:val="5E2358B2"/>
    <w:rsid w:val="5E3F5B09"/>
    <w:rsid w:val="5E552B1A"/>
    <w:rsid w:val="5E8C5D7D"/>
    <w:rsid w:val="5E9373C9"/>
    <w:rsid w:val="5E9819E8"/>
    <w:rsid w:val="5EB54DAB"/>
    <w:rsid w:val="5EDC630E"/>
    <w:rsid w:val="5F2D33BC"/>
    <w:rsid w:val="5F56076E"/>
    <w:rsid w:val="5F7B4E36"/>
    <w:rsid w:val="5FED3848"/>
    <w:rsid w:val="60800924"/>
    <w:rsid w:val="60975836"/>
    <w:rsid w:val="61070E5A"/>
    <w:rsid w:val="610E7495"/>
    <w:rsid w:val="611655E6"/>
    <w:rsid w:val="6149685A"/>
    <w:rsid w:val="61B64F19"/>
    <w:rsid w:val="62283213"/>
    <w:rsid w:val="622B4D2C"/>
    <w:rsid w:val="623F3BB3"/>
    <w:rsid w:val="62583A00"/>
    <w:rsid w:val="62726A4A"/>
    <w:rsid w:val="627F6FC8"/>
    <w:rsid w:val="62995357"/>
    <w:rsid w:val="62A17E4D"/>
    <w:rsid w:val="62F366BC"/>
    <w:rsid w:val="63446BC6"/>
    <w:rsid w:val="63455BF9"/>
    <w:rsid w:val="634847BC"/>
    <w:rsid w:val="634B2CB6"/>
    <w:rsid w:val="63E51B13"/>
    <w:rsid w:val="6465679F"/>
    <w:rsid w:val="64682077"/>
    <w:rsid w:val="64D421C2"/>
    <w:rsid w:val="64FE0ECD"/>
    <w:rsid w:val="653C25A7"/>
    <w:rsid w:val="66A361B9"/>
    <w:rsid w:val="66F81D1F"/>
    <w:rsid w:val="670D5AA8"/>
    <w:rsid w:val="676815E3"/>
    <w:rsid w:val="6775768E"/>
    <w:rsid w:val="67BD6138"/>
    <w:rsid w:val="68173046"/>
    <w:rsid w:val="68282AFF"/>
    <w:rsid w:val="698230DB"/>
    <w:rsid w:val="699F4E91"/>
    <w:rsid w:val="69CA1E64"/>
    <w:rsid w:val="6A0D679F"/>
    <w:rsid w:val="6A162581"/>
    <w:rsid w:val="6A1B268D"/>
    <w:rsid w:val="6A2D299D"/>
    <w:rsid w:val="6A3A59A3"/>
    <w:rsid w:val="6A723D94"/>
    <w:rsid w:val="6AB0288A"/>
    <w:rsid w:val="6AE310B3"/>
    <w:rsid w:val="6B2650CB"/>
    <w:rsid w:val="6B320B39"/>
    <w:rsid w:val="6B351EF9"/>
    <w:rsid w:val="6B60553B"/>
    <w:rsid w:val="6B6F6C40"/>
    <w:rsid w:val="6BC67CE1"/>
    <w:rsid w:val="6BD84BEA"/>
    <w:rsid w:val="6BE75C3A"/>
    <w:rsid w:val="6C056CDF"/>
    <w:rsid w:val="6CD146E2"/>
    <w:rsid w:val="6CD40125"/>
    <w:rsid w:val="6CED450B"/>
    <w:rsid w:val="6D381BE7"/>
    <w:rsid w:val="6D39748F"/>
    <w:rsid w:val="6D45772E"/>
    <w:rsid w:val="6E4E4AD1"/>
    <w:rsid w:val="6E60601D"/>
    <w:rsid w:val="6E697A1A"/>
    <w:rsid w:val="6E913664"/>
    <w:rsid w:val="6F605D4B"/>
    <w:rsid w:val="6F777D06"/>
    <w:rsid w:val="6F836263"/>
    <w:rsid w:val="6F9E120F"/>
    <w:rsid w:val="6FBE31B8"/>
    <w:rsid w:val="70947F37"/>
    <w:rsid w:val="709826C7"/>
    <w:rsid w:val="70E02966"/>
    <w:rsid w:val="71835D52"/>
    <w:rsid w:val="71AB25A9"/>
    <w:rsid w:val="71BB15E0"/>
    <w:rsid w:val="71FF5D1A"/>
    <w:rsid w:val="722725BB"/>
    <w:rsid w:val="72CE4243"/>
    <w:rsid w:val="73390CE1"/>
    <w:rsid w:val="739743BD"/>
    <w:rsid w:val="73B9458D"/>
    <w:rsid w:val="73E61103"/>
    <w:rsid w:val="744106C7"/>
    <w:rsid w:val="748C258E"/>
    <w:rsid w:val="748F2796"/>
    <w:rsid w:val="749E0491"/>
    <w:rsid w:val="74C72772"/>
    <w:rsid w:val="74E041C8"/>
    <w:rsid w:val="75313952"/>
    <w:rsid w:val="75577632"/>
    <w:rsid w:val="756C772E"/>
    <w:rsid w:val="75B673D5"/>
    <w:rsid w:val="75C92A65"/>
    <w:rsid w:val="762B648F"/>
    <w:rsid w:val="76330977"/>
    <w:rsid w:val="76457779"/>
    <w:rsid w:val="764F5138"/>
    <w:rsid w:val="76693CC9"/>
    <w:rsid w:val="76876819"/>
    <w:rsid w:val="769A5483"/>
    <w:rsid w:val="76A719DB"/>
    <w:rsid w:val="76D66DC3"/>
    <w:rsid w:val="76FA6CA0"/>
    <w:rsid w:val="771C4AE4"/>
    <w:rsid w:val="77293889"/>
    <w:rsid w:val="772E70F4"/>
    <w:rsid w:val="774C2549"/>
    <w:rsid w:val="778F1CC2"/>
    <w:rsid w:val="77BD77C7"/>
    <w:rsid w:val="77F61BEA"/>
    <w:rsid w:val="781E495D"/>
    <w:rsid w:val="78716ADB"/>
    <w:rsid w:val="78C077E6"/>
    <w:rsid w:val="78CC43CD"/>
    <w:rsid w:val="78E57BB2"/>
    <w:rsid w:val="78FE0568"/>
    <w:rsid w:val="792771D5"/>
    <w:rsid w:val="79897B3B"/>
    <w:rsid w:val="79C62236"/>
    <w:rsid w:val="7A3F6A5A"/>
    <w:rsid w:val="7A594DE4"/>
    <w:rsid w:val="7ACE512F"/>
    <w:rsid w:val="7B9A18B4"/>
    <w:rsid w:val="7B9F1713"/>
    <w:rsid w:val="7BEA0B2A"/>
    <w:rsid w:val="7BFE6134"/>
    <w:rsid w:val="7C930A71"/>
    <w:rsid w:val="7CBF727F"/>
    <w:rsid w:val="7D4E53EC"/>
    <w:rsid w:val="7D52701F"/>
    <w:rsid w:val="7DA22A2C"/>
    <w:rsid w:val="7DC07A43"/>
    <w:rsid w:val="7DD03538"/>
    <w:rsid w:val="7DE37A8F"/>
    <w:rsid w:val="7E2A0D4C"/>
    <w:rsid w:val="7E2E00BA"/>
    <w:rsid w:val="7E476756"/>
    <w:rsid w:val="7E504C82"/>
    <w:rsid w:val="7E717797"/>
    <w:rsid w:val="7ECF5758"/>
    <w:rsid w:val="7F297096"/>
    <w:rsid w:val="7F2C0780"/>
    <w:rsid w:val="7F764E1A"/>
    <w:rsid w:val="7FF65121"/>
    <w:rsid w:val="EFCF510F"/>
    <w:rsid w:val="FF6E20B5"/>
    <w:rsid w:val="FFFF5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7">
    <w:name w:val="heading 1"/>
    <w:basedOn w:val="1"/>
    <w:next w:val="1"/>
    <w:link w:val="74"/>
    <w:qFormat/>
    <w:uiPriority w:val="0"/>
    <w:pPr>
      <w:keepNext/>
      <w:keepLines/>
      <w:spacing w:before="340" w:after="330" w:line="578" w:lineRule="auto"/>
      <w:outlineLvl w:val="0"/>
    </w:pPr>
    <w:rPr>
      <w:rFonts w:eastAsia="Century Gothic"/>
      <w:b/>
      <w:bCs/>
      <w:kern w:val="44"/>
      <w:sz w:val="44"/>
      <w:szCs w:val="44"/>
    </w:rPr>
  </w:style>
  <w:style w:type="paragraph" w:styleId="8">
    <w:name w:val="heading 2"/>
    <w:basedOn w:val="1"/>
    <w:next w:val="1"/>
    <w:qFormat/>
    <w:uiPriority w:val="0"/>
    <w:pPr>
      <w:keepNext/>
      <w:keepLines/>
      <w:adjustRightInd w:val="0"/>
      <w:spacing w:before="260" w:after="260" w:line="415" w:lineRule="auto"/>
      <w:jc w:val="left"/>
      <w:outlineLvl w:val="1"/>
    </w:pPr>
    <w:rPr>
      <w:rFonts w:ascii="黑体" w:hAnsi="黑体" w:eastAsia="楷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1"/>
    <w:qFormat/>
    <w:uiPriority w:val="0"/>
    <w:pPr>
      <w:keepNext/>
      <w:widowControl/>
      <w:jc w:val="center"/>
      <w:outlineLvl w:val="3"/>
    </w:pPr>
    <w:rPr>
      <w:rFonts w:ascii="MS Sans Serif" w:hAnsi="仿宋_GB2312" w:eastAsia="MS Sans Serif"/>
      <w:snapToGrid w:val="0"/>
      <w:kern w:val="0"/>
      <w:sz w:val="24"/>
      <w:szCs w:val="20"/>
    </w:rPr>
  </w:style>
  <w:style w:type="paragraph" w:styleId="12">
    <w:name w:val="heading 5"/>
    <w:basedOn w:val="1"/>
    <w:next w:val="1"/>
    <w:qFormat/>
    <w:uiPriority w:val="0"/>
    <w:pPr>
      <w:widowControl/>
      <w:spacing w:before="240" w:after="60"/>
      <w:jc w:val="left"/>
      <w:outlineLvl w:val="4"/>
    </w:pPr>
    <w:rPr>
      <w:rFonts w:ascii="MS Sans Serif" w:eastAsia="MS Sans Serif"/>
      <w:kern w:val="0"/>
      <w:sz w:val="24"/>
      <w:szCs w:val="20"/>
    </w:rPr>
  </w:style>
  <w:style w:type="paragraph" w:styleId="13">
    <w:name w:val="heading 6"/>
    <w:basedOn w:val="1"/>
    <w:next w:val="11"/>
    <w:qFormat/>
    <w:uiPriority w:val="0"/>
    <w:pPr>
      <w:keepNext/>
      <w:keepLines/>
      <w:spacing w:before="240" w:after="64" w:line="320" w:lineRule="auto"/>
      <w:outlineLvl w:val="5"/>
    </w:pPr>
    <w:rPr>
      <w:rFonts w:ascii="黑体" w:hAnsi="黑体" w:eastAsia="楷体"/>
      <w:b/>
      <w:sz w:val="24"/>
      <w:szCs w:val="20"/>
    </w:rPr>
  </w:style>
  <w:style w:type="paragraph" w:styleId="14">
    <w:name w:val="heading 7"/>
    <w:basedOn w:val="1"/>
    <w:next w:val="11"/>
    <w:qFormat/>
    <w:uiPriority w:val="0"/>
    <w:pPr>
      <w:keepNext/>
      <w:keepLines/>
      <w:spacing w:before="240" w:after="64" w:line="320" w:lineRule="auto"/>
      <w:outlineLvl w:val="6"/>
    </w:pPr>
    <w:rPr>
      <w:b/>
      <w:sz w:val="24"/>
      <w:szCs w:val="20"/>
    </w:rPr>
  </w:style>
  <w:style w:type="paragraph" w:styleId="15">
    <w:name w:val="heading 8"/>
    <w:basedOn w:val="1"/>
    <w:next w:val="11"/>
    <w:qFormat/>
    <w:uiPriority w:val="0"/>
    <w:pPr>
      <w:keepNext/>
      <w:keepLines/>
      <w:spacing w:before="240" w:after="64" w:line="320" w:lineRule="auto"/>
      <w:outlineLvl w:val="7"/>
    </w:pPr>
    <w:rPr>
      <w:rFonts w:ascii="黑体" w:hAnsi="黑体" w:eastAsia="楷体"/>
      <w:sz w:val="24"/>
      <w:szCs w:val="20"/>
    </w:rPr>
  </w:style>
  <w:style w:type="paragraph" w:styleId="16">
    <w:name w:val="heading 9"/>
    <w:basedOn w:val="1"/>
    <w:next w:val="11"/>
    <w:qFormat/>
    <w:uiPriority w:val="0"/>
    <w:pPr>
      <w:keepNext/>
      <w:keepLines/>
      <w:spacing w:before="240" w:after="64" w:line="320" w:lineRule="auto"/>
      <w:outlineLvl w:val="8"/>
    </w:pPr>
    <w:rPr>
      <w:rFonts w:ascii="黑体" w:hAnsi="黑体" w:eastAsia="楷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adjustRightInd/>
      <w:spacing w:after="120" w:line="240" w:lineRule="auto"/>
      <w:ind w:left="420" w:leftChars="200" w:firstLine="210"/>
    </w:pPr>
    <w:rPr>
      <w:sz w:val="21"/>
    </w:rPr>
  </w:style>
  <w:style w:type="paragraph" w:styleId="3">
    <w:name w:val="Body Text Indent"/>
    <w:basedOn w:val="1"/>
    <w:next w:val="4"/>
    <w:link w:val="62"/>
    <w:qFormat/>
    <w:uiPriority w:val="99"/>
    <w:pPr>
      <w:adjustRightInd w:val="0"/>
      <w:spacing w:line="360" w:lineRule="auto"/>
      <w:ind w:firstLine="490"/>
      <w:jc w:val="left"/>
    </w:pPr>
    <w:rPr>
      <w:rFonts w:ascii="Century Gothic" w:hAnsi="Century Gothic" w:eastAsia="Century Gothic"/>
      <w:sz w:val="24"/>
      <w:szCs w:val="20"/>
    </w:rPr>
  </w:style>
  <w:style w:type="paragraph" w:customStyle="1" w:styleId="4">
    <w:name w:val="正文文本首行缩进 21"/>
    <w:basedOn w:val="3"/>
    <w:qFormat/>
    <w:uiPriority w:val="99"/>
    <w:pPr>
      <w:spacing w:line="200" w:lineRule="atLeast"/>
      <w:ind w:firstLine="420"/>
    </w:pPr>
    <w:rPr>
      <w:rFonts w:hAnsi="Courier New"/>
      <w:spacing w:val="-4"/>
      <w:sz w:val="18"/>
    </w:rPr>
  </w:style>
  <w:style w:type="paragraph" w:styleId="5">
    <w:name w:val="Body Text First Indent"/>
    <w:basedOn w:val="6"/>
    <w:next w:val="1"/>
    <w:link w:val="156"/>
    <w:qFormat/>
    <w:uiPriority w:val="0"/>
    <w:pPr>
      <w:ind w:firstLine="420"/>
    </w:pPr>
  </w:style>
  <w:style w:type="paragraph" w:styleId="6">
    <w:name w:val="Body Text"/>
    <w:basedOn w:val="1"/>
    <w:next w:val="5"/>
    <w:link w:val="150"/>
    <w:qFormat/>
    <w:uiPriority w:val="0"/>
    <w:pPr>
      <w:spacing w:after="120"/>
    </w:pPr>
  </w:style>
  <w:style w:type="paragraph" w:styleId="11">
    <w:name w:val="Normal Indent"/>
    <w:basedOn w:val="1"/>
    <w:next w:val="1"/>
    <w:link w:val="70"/>
    <w:qFormat/>
    <w:uiPriority w:val="0"/>
    <w:pPr>
      <w:widowControl/>
      <w:ind w:firstLine="420"/>
      <w:jc w:val="left"/>
    </w:pPr>
    <w:rPr>
      <w:rFonts w:ascii="Arial" w:hAnsi="Arial" w:cs="Arial"/>
      <w:kern w:val="0"/>
      <w:sz w:val="20"/>
      <w:szCs w:val="20"/>
    </w:rPr>
  </w:style>
  <w:style w:type="paragraph" w:styleId="17">
    <w:name w:val="toc 7"/>
    <w:basedOn w:val="1"/>
    <w:next w:val="1"/>
    <w:qFormat/>
    <w:uiPriority w:val="0"/>
    <w:pPr>
      <w:ind w:left="1260"/>
      <w:jc w:val="left"/>
    </w:pPr>
    <w:rPr>
      <w:sz w:val="18"/>
      <w:szCs w:val="18"/>
    </w:rPr>
  </w:style>
  <w:style w:type="paragraph" w:styleId="18">
    <w:name w:val="List Number"/>
    <w:basedOn w:val="1"/>
    <w:qFormat/>
    <w:uiPriority w:val="0"/>
    <w:pPr>
      <w:widowControl/>
      <w:tabs>
        <w:tab w:val="left" w:pos="420"/>
        <w:tab w:val="left" w:pos="454"/>
      </w:tabs>
      <w:spacing w:afterLines="50"/>
      <w:ind w:left="454" w:hanging="284"/>
      <w:jc w:val="left"/>
    </w:pPr>
    <w:rPr>
      <w:kern w:val="0"/>
      <w:sz w:val="24"/>
      <w:szCs w:val="20"/>
    </w:rPr>
  </w:style>
  <w:style w:type="paragraph" w:styleId="19">
    <w:name w:val="caption"/>
    <w:basedOn w:val="1"/>
    <w:next w:val="1"/>
    <w:qFormat/>
    <w:uiPriority w:val="0"/>
    <w:rPr>
      <w:rFonts w:ascii="黑体" w:hAnsi="黑体" w:eastAsia="楷体" w:cs="黑体"/>
      <w:sz w:val="20"/>
      <w:szCs w:val="20"/>
    </w:rPr>
  </w:style>
  <w:style w:type="paragraph" w:styleId="20">
    <w:name w:val="Document Map"/>
    <w:basedOn w:val="1"/>
    <w:qFormat/>
    <w:uiPriority w:val="0"/>
    <w:pPr>
      <w:shd w:val="clear" w:color="auto" w:fill="000080"/>
    </w:pPr>
  </w:style>
  <w:style w:type="paragraph" w:styleId="21">
    <w:name w:val="annotation text"/>
    <w:basedOn w:val="1"/>
    <w:qFormat/>
    <w:uiPriority w:val="0"/>
    <w:pPr>
      <w:jc w:val="left"/>
    </w:pPr>
  </w:style>
  <w:style w:type="paragraph" w:styleId="22">
    <w:name w:val="List Number 3"/>
    <w:basedOn w:val="1"/>
    <w:qFormat/>
    <w:uiPriority w:val="0"/>
    <w:pPr>
      <w:widowControl/>
      <w:tabs>
        <w:tab w:val="left" w:pos="482"/>
        <w:tab w:val="left" w:pos="1157"/>
      </w:tabs>
      <w:spacing w:afterLines="50"/>
      <w:ind w:left="482" w:hanging="340"/>
      <w:jc w:val="left"/>
    </w:pPr>
    <w:rPr>
      <w:kern w:val="0"/>
      <w:sz w:val="24"/>
      <w:szCs w:val="20"/>
    </w:rPr>
  </w:style>
  <w:style w:type="paragraph" w:styleId="23">
    <w:name w:val="Block Text"/>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67"/>
    <w:qFormat/>
    <w:uiPriority w:val="0"/>
    <w:rPr>
      <w:rFonts w:ascii="Century Gothic" w:hAnsi="楷体_GB2312" w:eastAsia="Century Gothic" w:cs="楷体_GB2312"/>
      <w:szCs w:val="21"/>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pPr>
      <w:ind w:left="100" w:leftChars="2500"/>
    </w:pPr>
  </w:style>
  <w:style w:type="paragraph" w:styleId="29">
    <w:name w:val="Body Text Indent 2"/>
    <w:basedOn w:val="1"/>
    <w:qFormat/>
    <w:uiPriority w:val="0"/>
    <w:pPr>
      <w:adjustRightInd w:val="0"/>
      <w:spacing w:line="360" w:lineRule="auto"/>
      <w:ind w:firstLine="504" w:firstLineChars="210"/>
      <w:jc w:val="left"/>
    </w:pPr>
    <w:rPr>
      <w:rFonts w:hint="eastAsia" w:ascii="Century Gothic" w:hAnsi="Century Gothic"/>
      <w:sz w:val="24"/>
      <w:szCs w:val="20"/>
    </w:rPr>
  </w:style>
  <w:style w:type="paragraph" w:styleId="30">
    <w:name w:val="Balloon Text"/>
    <w:basedOn w:val="1"/>
    <w:qFormat/>
    <w:uiPriority w:val="0"/>
    <w:rPr>
      <w:sz w:val="18"/>
      <w:szCs w:val="18"/>
    </w:rPr>
  </w:style>
  <w:style w:type="paragraph" w:styleId="31">
    <w:name w:val="footer"/>
    <w:basedOn w:val="1"/>
    <w:link w:val="60"/>
    <w:qFormat/>
    <w:uiPriority w:val="0"/>
    <w:pPr>
      <w:tabs>
        <w:tab w:val="center" w:pos="4153"/>
        <w:tab w:val="right" w:pos="8306"/>
      </w:tabs>
      <w:adjustRightInd w:val="0"/>
      <w:jc w:val="left"/>
    </w:pPr>
    <w:rPr>
      <w:rFonts w:eastAsia="Century Gothic"/>
      <w:sz w:val="18"/>
      <w:szCs w:val="20"/>
    </w:rPr>
  </w:style>
  <w:style w:type="paragraph" w:styleId="32">
    <w:name w:val="envelope return"/>
    <w:basedOn w:val="1"/>
    <w:qFormat/>
    <w:uiPriority w:val="99"/>
    <w:pPr>
      <w:snapToGrid w:val="0"/>
    </w:pPr>
    <w:rPr>
      <w:rFonts w:ascii="Arial" w:hAnsi="Arial" w:cs="Arial"/>
    </w:rPr>
  </w:style>
  <w:style w:type="paragraph" w:styleId="33">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34">
    <w:name w:val="toc 1"/>
    <w:basedOn w:val="1"/>
    <w:next w:val="1"/>
    <w:qFormat/>
    <w:uiPriority w:val="39"/>
    <w:pPr>
      <w:tabs>
        <w:tab w:val="right" w:leader="dot" w:pos="8720"/>
      </w:tabs>
      <w:spacing w:before="120" w:after="120"/>
      <w:jc w:val="left"/>
    </w:pPr>
    <w:rPr>
      <w:rFonts w:ascii="Century Gothic" w:hAnsi="Century Gothic"/>
      <w:bCs/>
      <w:caps/>
      <w:sz w:val="20"/>
      <w:szCs w:val="20"/>
    </w:rPr>
  </w:style>
  <w:style w:type="paragraph" w:styleId="35">
    <w:name w:val="toc 4"/>
    <w:basedOn w:val="1"/>
    <w:next w:val="1"/>
    <w:qFormat/>
    <w:uiPriority w:val="0"/>
    <w:pPr>
      <w:ind w:left="63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List 5"/>
    <w:basedOn w:val="1"/>
    <w:qFormat/>
    <w:uiPriority w:val="0"/>
    <w:pPr>
      <w:ind w:left="100" w:leftChars="800" w:hanging="200" w:hangingChars="200"/>
    </w:pPr>
    <w:rPr>
      <w:szCs w:val="20"/>
    </w:rPr>
  </w:style>
  <w:style w:type="paragraph" w:styleId="38">
    <w:name w:val="Body Text Indent 3"/>
    <w:basedOn w:val="1"/>
    <w:qFormat/>
    <w:uiPriority w:val="0"/>
    <w:pPr>
      <w:spacing w:after="120"/>
      <w:ind w:left="420" w:leftChars="200"/>
    </w:pPr>
    <w:rPr>
      <w:sz w:val="16"/>
      <w:szCs w:val="16"/>
    </w:rPr>
  </w:style>
  <w:style w:type="paragraph" w:styleId="39">
    <w:name w:val="toc 2"/>
    <w:basedOn w:val="1"/>
    <w:next w:val="1"/>
    <w:qFormat/>
    <w:uiPriority w:val="39"/>
    <w:pPr>
      <w:tabs>
        <w:tab w:val="right" w:leader="dot" w:pos="8720"/>
      </w:tabs>
      <w:adjustRightInd w:val="0"/>
      <w:snapToGrid w:val="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Body Text 2"/>
    <w:basedOn w:val="1"/>
    <w:qFormat/>
    <w:uiPriority w:val="0"/>
    <w:rPr>
      <w:sz w:val="24"/>
    </w:rPr>
  </w:style>
  <w:style w:type="paragraph" w:styleId="42">
    <w:name w:val="Normal (Web)"/>
    <w:basedOn w:val="1"/>
    <w:qFormat/>
    <w:uiPriority w:val="0"/>
    <w:pPr>
      <w:widowControl/>
      <w:shd w:val="clear" w:color="auto" w:fill="FFFFFF"/>
      <w:spacing w:before="100" w:beforeAutospacing="1" w:after="100" w:afterAutospacing="1"/>
      <w:jc w:val="left"/>
    </w:pPr>
    <w:rPr>
      <w:rFonts w:ascii="Century Gothic" w:hAnsi="Century Gothic"/>
      <w:kern w:val="0"/>
      <w:sz w:val="18"/>
      <w:szCs w:val="18"/>
    </w:rPr>
  </w:style>
  <w:style w:type="paragraph" w:styleId="43">
    <w:name w:val="Title"/>
    <w:basedOn w:val="1"/>
    <w:qFormat/>
    <w:uiPriority w:val="0"/>
    <w:pPr>
      <w:tabs>
        <w:tab w:val="left" w:pos="1200"/>
      </w:tabs>
      <w:spacing w:afterLines="200"/>
      <w:ind w:left="1440" w:hanging="720"/>
      <w:jc w:val="center"/>
    </w:pPr>
    <w:rPr>
      <w:b/>
      <w:bCs/>
      <w:spacing w:val="60"/>
      <w:sz w:val="32"/>
    </w:rPr>
  </w:style>
  <w:style w:type="paragraph" w:styleId="44">
    <w:name w:val="annotation subject"/>
    <w:basedOn w:val="21"/>
    <w:next w:val="21"/>
    <w:qFormat/>
    <w:uiPriority w:val="0"/>
    <w:rPr>
      <w:b/>
      <w:bC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basedOn w:val="47"/>
    <w:qFormat/>
    <w:uiPriority w:val="0"/>
    <w:rPr>
      <w:sz w:val="21"/>
      <w:szCs w:val="21"/>
    </w:rPr>
  </w:style>
  <w:style w:type="paragraph" w:customStyle="1" w:styleId="53">
    <w:name w:val="DAS正文"/>
    <w:basedOn w:val="1"/>
    <w:qFormat/>
    <w:uiPriority w:val="0"/>
    <w:pPr>
      <w:spacing w:line="360" w:lineRule="auto"/>
      <w:ind w:right="181" w:firstLine="480" w:firstLineChars="200"/>
    </w:pPr>
    <w:rPr>
      <w:rFonts w:ascii="Verdana" w:hAnsi="Verdana"/>
      <w:sz w:val="24"/>
    </w:rPr>
  </w:style>
  <w:style w:type="paragraph" w:customStyle="1" w:styleId="54">
    <w:name w:val="Default"/>
    <w:qFormat/>
    <w:uiPriority w:val="0"/>
    <w:pPr>
      <w:widowControl w:val="0"/>
      <w:autoSpaceDE w:val="0"/>
      <w:autoSpaceDN w:val="0"/>
      <w:adjustRightInd w:val="0"/>
    </w:pPr>
    <w:rPr>
      <w:rFonts w:ascii="楷体" w:hAnsi="Calibri" w:eastAsia="楷体" w:cs="Calibri"/>
      <w:color w:val="000000"/>
      <w:sz w:val="24"/>
      <w:szCs w:val="24"/>
      <w:lang w:val="en-US" w:eastAsia="zh-CN" w:bidi="ar-SA"/>
    </w:rPr>
  </w:style>
  <w:style w:type="paragraph" w:customStyle="1" w:styleId="55">
    <w:name w:val="Char"/>
    <w:basedOn w:val="1"/>
    <w:qFormat/>
    <w:uiPriority w:val="0"/>
    <w:pPr>
      <w:tabs>
        <w:tab w:val="left" w:pos="432"/>
      </w:tabs>
      <w:spacing w:beforeLines="50" w:afterLines="50"/>
      <w:ind w:left="432" w:hanging="432"/>
      <w:jc w:val="center"/>
    </w:pPr>
    <w:rPr>
      <w:sz w:val="24"/>
    </w:rPr>
  </w:style>
  <w:style w:type="character" w:customStyle="1" w:styleId="56">
    <w:name w:val="普通文字 Char Char1"/>
    <w:qFormat/>
    <w:uiPriority w:val="0"/>
    <w:rPr>
      <w:rFonts w:ascii="Century Gothic" w:hAnsi="楷体_GB2312" w:eastAsia="Century Gothic" w:cs="楷体_GB2312"/>
      <w:kern w:val="2"/>
      <w:sz w:val="21"/>
      <w:szCs w:val="21"/>
      <w:lang w:val="en-US" w:eastAsia="zh-CN" w:bidi="ar-SA"/>
    </w:rPr>
  </w:style>
  <w:style w:type="character" w:customStyle="1" w:styleId="57">
    <w:name w:val="zbggtop11 style5"/>
    <w:basedOn w:val="47"/>
    <w:qFormat/>
    <w:uiPriority w:val="0"/>
  </w:style>
  <w:style w:type="character" w:customStyle="1" w:styleId="58">
    <w:name w:val="正文2 Char"/>
    <w:link w:val="59"/>
    <w:qFormat/>
    <w:uiPriority w:val="0"/>
    <w:rPr>
      <w:rFonts w:eastAsia="宋体"/>
      <w:kern w:val="2"/>
      <w:sz w:val="24"/>
      <w:lang w:val="en-US" w:eastAsia="zh-CN" w:bidi="ar-SA"/>
    </w:rPr>
  </w:style>
  <w:style w:type="paragraph" w:customStyle="1" w:styleId="59">
    <w:name w:val="正文2"/>
    <w:basedOn w:val="1"/>
    <w:link w:val="58"/>
    <w:qFormat/>
    <w:uiPriority w:val="0"/>
    <w:pPr>
      <w:spacing w:before="156" w:line="360" w:lineRule="auto"/>
      <w:ind w:firstLine="510" w:firstLineChars="200"/>
    </w:pPr>
    <w:rPr>
      <w:sz w:val="24"/>
      <w:szCs w:val="20"/>
    </w:rPr>
  </w:style>
  <w:style w:type="character" w:customStyle="1" w:styleId="60">
    <w:name w:val="页脚 Char"/>
    <w:link w:val="31"/>
    <w:qFormat/>
    <w:uiPriority w:val="0"/>
    <w:rPr>
      <w:rFonts w:eastAsia="Century Gothic"/>
      <w:kern w:val="2"/>
      <w:sz w:val="18"/>
      <w:lang w:val="en-US" w:eastAsia="zh-CN" w:bidi="ar-SA"/>
    </w:rPr>
  </w:style>
  <w:style w:type="character" w:customStyle="1" w:styleId="61">
    <w:name w:val="bulletintext1"/>
    <w:qFormat/>
    <w:uiPriority w:val="0"/>
    <w:rPr>
      <w:color w:val="000000"/>
      <w:sz w:val="18"/>
    </w:rPr>
  </w:style>
  <w:style w:type="character" w:customStyle="1" w:styleId="62">
    <w:name w:val="正文文本缩进 Char"/>
    <w:link w:val="3"/>
    <w:qFormat/>
    <w:uiPriority w:val="99"/>
    <w:rPr>
      <w:rFonts w:ascii="Century Gothic" w:hAnsi="Century Gothic" w:eastAsia="Century Gothic"/>
      <w:kern w:val="2"/>
      <w:sz w:val="24"/>
      <w:lang w:val="en-US" w:eastAsia="zh-CN" w:bidi="ar-SA"/>
    </w:rPr>
  </w:style>
  <w:style w:type="character" w:customStyle="1" w:styleId="63">
    <w:name w:val="Char Char"/>
    <w:qFormat/>
    <w:uiPriority w:val="0"/>
    <w:rPr>
      <w:rFonts w:ascii="Courier New" w:eastAsia="Courier New"/>
      <w:color w:val="FF0000"/>
      <w:kern w:val="2"/>
      <w:sz w:val="24"/>
      <w:szCs w:val="24"/>
      <w:u w:val="single"/>
      <w:lang w:val="en-US" w:eastAsia="zh-CN" w:bidi="ar-SA"/>
    </w:rPr>
  </w:style>
  <w:style w:type="character" w:customStyle="1" w:styleId="64">
    <w:name w:val="zbggmain style9"/>
    <w:qFormat/>
    <w:uiPriority w:val="0"/>
    <w:rPr>
      <w:rFonts w:ascii="Courier New" w:eastAsia="Courier New"/>
      <w:b/>
      <w:kern w:val="2"/>
      <w:sz w:val="32"/>
      <w:szCs w:val="32"/>
      <w:lang w:val="en-US" w:eastAsia="zh-CN" w:bidi="ar-SA"/>
    </w:rPr>
  </w:style>
  <w:style w:type="character" w:customStyle="1" w:styleId="65">
    <w:name w:val="标准文本 Char"/>
    <w:link w:val="66"/>
    <w:qFormat/>
    <w:uiPriority w:val="0"/>
    <w:rPr>
      <w:rFonts w:eastAsia="宋体" w:cs="宋体"/>
      <w:kern w:val="2"/>
      <w:sz w:val="24"/>
      <w:lang w:val="en-US" w:eastAsia="zh-CN" w:bidi="ar-SA"/>
    </w:rPr>
  </w:style>
  <w:style w:type="paragraph" w:customStyle="1" w:styleId="66">
    <w:name w:val="标准文本"/>
    <w:basedOn w:val="1"/>
    <w:link w:val="65"/>
    <w:qFormat/>
    <w:uiPriority w:val="0"/>
    <w:pPr>
      <w:spacing w:line="360" w:lineRule="auto"/>
      <w:ind w:firstLine="480" w:firstLineChars="200"/>
    </w:pPr>
    <w:rPr>
      <w:rFonts w:cs="宋体"/>
      <w:sz w:val="24"/>
      <w:szCs w:val="20"/>
    </w:rPr>
  </w:style>
  <w:style w:type="character" w:customStyle="1" w:styleId="67">
    <w:name w:val="纯文本 Char"/>
    <w:link w:val="26"/>
    <w:qFormat/>
    <w:uiPriority w:val="0"/>
    <w:rPr>
      <w:rFonts w:ascii="Century Gothic" w:hAnsi="楷体_GB2312" w:eastAsia="Century Gothic" w:cs="楷体_GB2312"/>
      <w:kern w:val="2"/>
      <w:sz w:val="21"/>
      <w:szCs w:val="21"/>
      <w:lang w:val="en-US" w:eastAsia="zh-CN" w:bidi="ar-SA"/>
    </w:rPr>
  </w:style>
  <w:style w:type="character" w:customStyle="1" w:styleId="68">
    <w:name w:val="style1"/>
    <w:basedOn w:val="47"/>
    <w:qFormat/>
    <w:uiPriority w:val="0"/>
  </w:style>
  <w:style w:type="character" w:customStyle="1" w:styleId="69">
    <w:name w:val="highlight1"/>
    <w:qFormat/>
    <w:uiPriority w:val="0"/>
    <w:rPr>
      <w:sz w:val="22"/>
      <w:szCs w:val="22"/>
    </w:rPr>
  </w:style>
  <w:style w:type="character" w:customStyle="1" w:styleId="70">
    <w:name w:val="正文缩进 Char"/>
    <w:link w:val="11"/>
    <w:qFormat/>
    <w:uiPriority w:val="0"/>
    <w:rPr>
      <w:rFonts w:ascii="Arial" w:hAnsi="Arial" w:eastAsia="宋体" w:cs="Arial"/>
      <w:lang w:val="en-US" w:eastAsia="zh-CN" w:bidi="ar-SA"/>
    </w:rPr>
  </w:style>
  <w:style w:type="character" w:customStyle="1" w:styleId="71">
    <w:name w:val="Char Char21"/>
    <w:qFormat/>
    <w:uiPriority w:val="0"/>
    <w:rPr>
      <w:rFonts w:eastAsia="Century Gothic"/>
      <w:b/>
      <w:bCs/>
      <w:kern w:val="44"/>
      <w:sz w:val="32"/>
      <w:szCs w:val="44"/>
      <w:lang w:val="en-US" w:eastAsia="zh-CN" w:bidi="ar-SA"/>
    </w:rPr>
  </w:style>
  <w:style w:type="character" w:customStyle="1" w:styleId="72">
    <w:name w:val="tpc_content1"/>
    <w:qFormat/>
    <w:uiPriority w:val="0"/>
    <w:rPr>
      <w:sz w:val="20"/>
      <w:szCs w:val="20"/>
    </w:rPr>
  </w:style>
  <w:style w:type="character" w:customStyle="1" w:styleId="73">
    <w:name w:val="Char Char12"/>
    <w:qFormat/>
    <w:uiPriority w:val="0"/>
    <w:rPr>
      <w:rFonts w:ascii="Century Gothic" w:hAnsi="楷体_GB2312" w:eastAsia="Century Gothic" w:cs="楷体_GB2312"/>
      <w:kern w:val="2"/>
      <w:sz w:val="21"/>
      <w:szCs w:val="21"/>
      <w:lang w:val="en-US" w:eastAsia="zh-CN" w:bidi="ar-SA"/>
    </w:rPr>
  </w:style>
  <w:style w:type="character" w:customStyle="1" w:styleId="74">
    <w:name w:val="标题 1 Char"/>
    <w:link w:val="7"/>
    <w:qFormat/>
    <w:uiPriority w:val="0"/>
    <w:rPr>
      <w:rFonts w:eastAsia="Century Gothic"/>
      <w:b/>
      <w:bCs/>
      <w:kern w:val="44"/>
      <w:sz w:val="44"/>
      <w:szCs w:val="44"/>
      <w:lang w:val="en-US" w:eastAsia="zh-CN" w:bidi="ar-SA"/>
    </w:rPr>
  </w:style>
  <w:style w:type="paragraph" w:customStyle="1" w:styleId="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76">
    <w:name w:val="Char11"/>
    <w:basedOn w:val="1"/>
    <w:qFormat/>
    <w:uiPriority w:val="0"/>
  </w:style>
  <w:style w:type="paragraph" w:customStyle="1" w:styleId="77">
    <w:name w:val="列出段落1"/>
    <w:basedOn w:val="1"/>
    <w:qFormat/>
    <w:uiPriority w:val="0"/>
    <w:pPr>
      <w:ind w:firstLine="420" w:firstLineChars="200"/>
    </w:pPr>
    <w:rPr>
      <w:rFonts w:ascii="Times New Roman" w:hAnsi="Times New Roman" w:cs="Times New Roman"/>
    </w:rPr>
  </w:style>
  <w:style w:type="paragraph" w:customStyle="1" w:styleId="78">
    <w:name w:val="正文文本 21"/>
    <w:basedOn w:val="1"/>
    <w:qFormat/>
    <w:uiPriority w:val="0"/>
    <w:pPr>
      <w:adjustRightInd w:val="0"/>
      <w:spacing w:line="300" w:lineRule="auto"/>
      <w:jc w:val="center"/>
    </w:pPr>
    <w:rPr>
      <w:rFonts w:hint="eastAsia" w:ascii="Century Gothic" w:hAnsi="Century Gothic"/>
      <w:sz w:val="24"/>
      <w:szCs w:val="20"/>
    </w:rPr>
  </w:style>
  <w:style w:type="paragraph" w:customStyle="1" w:styleId="79">
    <w:name w:val="xl38"/>
    <w:basedOn w:val="1"/>
    <w:qFormat/>
    <w:uiPriority w:val="0"/>
    <w:pPr>
      <w:widowControl/>
      <w:spacing w:before="100" w:beforeAutospacing="1" w:after="100" w:afterAutospacing="1"/>
      <w:jc w:val="left"/>
    </w:pPr>
    <w:rPr>
      <w:rFonts w:ascii="Century Gothic" w:hAnsi="Century Gothic" w:cs="Century Gothic"/>
      <w:kern w:val="0"/>
      <w:sz w:val="18"/>
      <w:szCs w:val="18"/>
    </w:rPr>
  </w:style>
  <w:style w:type="paragraph" w:customStyle="1" w:styleId="80">
    <w:name w:val="正文1"/>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81">
    <w:name w:val="List Paragraph1"/>
    <w:basedOn w:val="1"/>
    <w:qFormat/>
    <w:uiPriority w:val="0"/>
    <w:pPr>
      <w:ind w:firstLine="420" w:firstLineChars="200"/>
    </w:p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8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84">
    <w:name w:val="Char1"/>
    <w:basedOn w:val="1"/>
    <w:qFormat/>
    <w:uiPriority w:val="0"/>
    <w:pPr>
      <w:widowControl/>
      <w:spacing w:after="160" w:line="240" w:lineRule="exact"/>
      <w:jc w:val="left"/>
    </w:pPr>
    <w:rPr>
      <w:szCs w:val="20"/>
    </w:rPr>
  </w:style>
  <w:style w:type="paragraph" w:customStyle="1" w:styleId="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7">
    <w:name w:val="p0"/>
    <w:basedOn w:val="1"/>
    <w:qFormat/>
    <w:uiPriority w:val="0"/>
    <w:pPr>
      <w:widowControl/>
    </w:pPr>
    <w:rPr>
      <w:rFonts w:hint="eastAsia"/>
    </w:rPr>
  </w:style>
  <w:style w:type="paragraph" w:customStyle="1" w:styleId="8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89">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90">
    <w:name w:val="表头"/>
    <w:basedOn w:val="1"/>
    <w:qFormat/>
    <w:uiPriority w:val="0"/>
    <w:pPr>
      <w:adjustRightInd w:val="0"/>
      <w:spacing w:before="60" w:after="60" w:line="420" w:lineRule="atLeast"/>
      <w:jc w:val="left"/>
      <w:textAlignment w:val="baseline"/>
    </w:pPr>
    <w:rPr>
      <w:rFonts w:ascii="黑体" w:hAnsi="Times New Roman" w:eastAsia="黑体" w:cs="Times New Roman"/>
      <w:b/>
      <w:kern w:val="0"/>
      <w:szCs w:val="20"/>
    </w:rPr>
  </w:style>
  <w:style w:type="paragraph" w:customStyle="1" w:styleId="91">
    <w:name w:val="标书标题4"/>
    <w:basedOn w:val="10"/>
    <w:qFormat/>
    <w:uiPriority w:val="0"/>
    <w:pPr>
      <w:widowControl w:val="0"/>
      <w:adjustRightInd w:val="0"/>
      <w:snapToGrid w:val="0"/>
      <w:spacing w:line="300" w:lineRule="auto"/>
      <w:jc w:val="both"/>
    </w:pPr>
    <w:rPr>
      <w:rFonts w:eastAsia="Courier New"/>
      <w:b/>
      <w:snapToGrid/>
      <w:color w:val="000000"/>
      <w:sz w:val="28"/>
      <w:szCs w:val="32"/>
    </w:rPr>
  </w:style>
  <w:style w:type="paragraph" w:customStyle="1" w:styleId="92">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93">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94">
    <w:name w:val="Char Char Char Char Char Char Char Char"/>
    <w:basedOn w:val="1"/>
    <w:qFormat/>
    <w:uiPriority w:val="0"/>
    <w:pPr>
      <w:tabs>
        <w:tab w:val="left" w:pos="360"/>
      </w:tabs>
    </w:pPr>
    <w:rPr>
      <w:rFonts w:cs="Times New Roman"/>
      <w:szCs w:val="20"/>
    </w:rPr>
  </w:style>
  <w:style w:type="paragraph" w:customStyle="1" w:styleId="95">
    <w:name w:val="小节"/>
    <w:basedOn w:val="9"/>
    <w:qFormat/>
    <w:uiPriority w:val="0"/>
    <w:pPr>
      <w:spacing w:before="200" w:after="200" w:line="560" w:lineRule="exact"/>
      <w:jc w:val="left"/>
    </w:pPr>
    <w:rPr>
      <w:rFonts w:ascii="Century Gothic" w:hAnsi="Century Gothic"/>
      <w:bCs w:val="0"/>
      <w:color w:val="000000"/>
      <w:spacing w:val="10"/>
      <w:kern w:val="24"/>
      <w:sz w:val="28"/>
    </w:rPr>
  </w:style>
  <w:style w:type="paragraph" w:customStyle="1" w:styleId="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97">
    <w:name w:val="纯文本1"/>
    <w:basedOn w:val="80"/>
    <w:qFormat/>
    <w:uiPriority w:val="0"/>
    <w:pPr>
      <w:widowControl/>
      <w:jc w:val="left"/>
    </w:pPr>
    <w:rPr>
      <w:rFonts w:ascii="宋体" w:hAnsi="Courier New"/>
    </w:rPr>
  </w:style>
  <w:style w:type="paragraph" w:customStyle="1" w:styleId="98">
    <w:name w:val="font5"/>
    <w:basedOn w:val="1"/>
    <w:qFormat/>
    <w:uiPriority w:val="0"/>
    <w:pPr>
      <w:widowControl/>
      <w:spacing w:before="100" w:beforeAutospacing="1" w:after="100" w:afterAutospacing="1"/>
      <w:jc w:val="left"/>
    </w:pPr>
    <w:rPr>
      <w:rFonts w:ascii="Century Gothic" w:hAnsi="Century Gothic" w:cs="Century Gothic"/>
      <w:kern w:val="0"/>
      <w:sz w:val="18"/>
      <w:szCs w:val="18"/>
    </w:rPr>
  </w:style>
  <w:style w:type="paragraph" w:customStyle="1" w:styleId="99">
    <w:name w:val="Char Char11 Char Char Char Char Char Char Char Char Char Char Char"/>
    <w:basedOn w:val="1"/>
    <w:qFormat/>
    <w:uiPriority w:val="0"/>
    <w:pPr>
      <w:spacing w:line="360" w:lineRule="auto"/>
    </w:pPr>
    <w:rPr>
      <w:rFonts w:eastAsia="黑体"/>
      <w:snapToGrid w:val="0"/>
      <w:kern w:val="0"/>
      <w:szCs w:val="21"/>
    </w:rPr>
  </w:style>
  <w:style w:type="paragraph" w:customStyle="1" w:styleId="10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01">
    <w:name w:val="标书标题2"/>
    <w:basedOn w:val="8"/>
    <w:qFormat/>
    <w:uiPriority w:val="0"/>
    <w:pPr>
      <w:keepLines w:val="0"/>
      <w:widowControl/>
      <w:tabs>
        <w:tab w:val="left" w:pos="1320"/>
      </w:tabs>
      <w:snapToGrid w:val="0"/>
      <w:spacing w:beforeLines="50" w:after="60" w:line="300" w:lineRule="auto"/>
      <w:ind w:left="1320" w:hanging="420"/>
      <w:jc w:val="both"/>
    </w:pPr>
    <w:rPr>
      <w:rFonts w:eastAsia="Courier New"/>
      <w:color w:val="000000"/>
      <w:kern w:val="0"/>
      <w:sz w:val="28"/>
      <w:szCs w:val="20"/>
    </w:rPr>
  </w:style>
  <w:style w:type="paragraph" w:customStyle="1" w:styleId="102">
    <w:name w:val="font1"/>
    <w:basedOn w:val="1"/>
    <w:qFormat/>
    <w:uiPriority w:val="0"/>
    <w:pPr>
      <w:widowControl/>
      <w:spacing w:before="100" w:beforeAutospacing="1" w:after="100" w:afterAutospacing="1"/>
      <w:jc w:val="left"/>
    </w:pPr>
    <w:rPr>
      <w:rFonts w:ascii="Century Gothic" w:hAnsi="Century Gothic"/>
      <w:kern w:val="0"/>
      <w:sz w:val="24"/>
      <w:szCs w:val="20"/>
    </w:rPr>
  </w:style>
  <w:style w:type="paragraph" w:customStyle="1" w:styleId="103">
    <w:name w:val="title11"/>
    <w:basedOn w:val="1"/>
    <w:qFormat/>
    <w:uiPriority w:val="0"/>
    <w:pPr>
      <w:spacing w:before="150"/>
      <w:jc w:val="left"/>
    </w:pPr>
    <w:rPr>
      <w:rFonts w:cs="Times New Roman"/>
      <w:b/>
      <w:kern w:val="0"/>
    </w:rPr>
  </w:style>
  <w:style w:type="paragraph" w:customStyle="1" w:styleId="104">
    <w:name w:val="Char Char Char Char"/>
    <w:basedOn w:val="1"/>
    <w:qFormat/>
    <w:uiPriority w:val="0"/>
    <w:rPr>
      <w:rFonts w:cs="Times New Roman"/>
      <w:szCs w:val="20"/>
    </w:rPr>
  </w:style>
  <w:style w:type="paragraph" w:customStyle="1" w:styleId="105">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06">
    <w:name w:val="节"/>
    <w:basedOn w:val="8"/>
    <w:qFormat/>
    <w:uiPriority w:val="0"/>
    <w:pPr>
      <w:adjustRightInd/>
      <w:spacing w:before="160" w:after="160" w:line="720" w:lineRule="exact"/>
      <w:jc w:val="center"/>
    </w:pPr>
    <w:rPr>
      <w:rFonts w:ascii="Arial" w:hAnsi="Arial"/>
      <w:b w:val="0"/>
      <w:color w:val="000000"/>
      <w:spacing w:val="14"/>
      <w:kern w:val="24"/>
      <w:sz w:val="28"/>
      <w:szCs w:val="20"/>
    </w:rPr>
  </w:style>
  <w:style w:type="paragraph" w:customStyle="1" w:styleId="107">
    <w:name w:val="Char Char Char Char Char"/>
    <w:basedOn w:val="1"/>
    <w:qFormat/>
    <w:uiPriority w:val="0"/>
    <w:pPr>
      <w:widowControl/>
      <w:spacing w:after="160" w:line="240" w:lineRule="exact"/>
      <w:jc w:val="left"/>
    </w:pPr>
    <w:rPr>
      <w:rFonts w:ascii="Verdana" w:hAnsi="Verdana" w:eastAsia="华文细黑" w:cs="Times New Roman"/>
    </w:rPr>
  </w:style>
  <w:style w:type="paragraph" w:customStyle="1" w:styleId="108">
    <w:name w:val="font6"/>
    <w:basedOn w:val="1"/>
    <w:qFormat/>
    <w:uiPriority w:val="0"/>
    <w:pPr>
      <w:widowControl/>
      <w:spacing w:before="100" w:beforeAutospacing="1" w:after="100" w:afterAutospacing="1"/>
      <w:jc w:val="left"/>
    </w:pPr>
    <w:rPr>
      <w:kern w:val="0"/>
      <w:sz w:val="18"/>
      <w:szCs w:val="18"/>
    </w:rPr>
  </w:style>
  <w:style w:type="paragraph" w:customStyle="1" w:styleId="109">
    <w:name w:val="正文文字格式"/>
    <w:basedOn w:val="1"/>
    <w:qFormat/>
    <w:uiPriority w:val="0"/>
    <w:pPr>
      <w:spacing w:line="460" w:lineRule="exact"/>
      <w:ind w:firstLine="505"/>
      <w:jc w:val="left"/>
    </w:pPr>
    <w:rPr>
      <w:rFonts w:ascii="Century Gothic"/>
      <w:kern w:val="24"/>
      <w:sz w:val="24"/>
      <w:szCs w:val="20"/>
    </w:rPr>
  </w:style>
  <w:style w:type="paragraph" w:customStyle="1" w:styleId="11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1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Times New Roman"/>
      <w:kern w:val="0"/>
      <w:sz w:val="24"/>
      <w:szCs w:val="20"/>
    </w:rPr>
  </w:style>
  <w:style w:type="paragraph" w:customStyle="1" w:styleId="113">
    <w:name w:val="Char3 Char Char Char"/>
    <w:basedOn w:val="1"/>
    <w:qFormat/>
    <w:uiPriority w:val="0"/>
    <w:pPr>
      <w:widowControl/>
      <w:spacing w:after="160" w:line="240" w:lineRule="exact"/>
      <w:jc w:val="left"/>
    </w:pPr>
    <w:rPr>
      <w:szCs w:val="20"/>
    </w:rPr>
  </w:style>
  <w:style w:type="paragraph" w:customStyle="1" w:styleId="114">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15">
    <w:name w:val="xl27"/>
    <w:basedOn w:val="1"/>
    <w:qFormat/>
    <w:uiPriority w:val="0"/>
    <w:pPr>
      <w:widowControl/>
      <w:pBdr>
        <w:bottom w:val="single" w:color="auto" w:sz="4" w:space="0"/>
      </w:pBdr>
      <w:spacing w:before="100" w:beforeAutospacing="1" w:after="100" w:afterAutospacing="1"/>
      <w:jc w:val="center"/>
      <w:textAlignment w:val="center"/>
    </w:pPr>
    <w:rPr>
      <w:rFonts w:ascii="Arial Narrow" w:hAnsi="Century Gothic" w:eastAsia="Arial Narrow" w:cs="Century Gothic"/>
      <w:kern w:val="0"/>
      <w:sz w:val="36"/>
      <w:szCs w:val="36"/>
    </w:rPr>
  </w:style>
  <w:style w:type="paragraph" w:customStyle="1" w:styleId="116">
    <w:name w:val="无间隔1"/>
    <w:qFormat/>
    <w:uiPriority w:val="0"/>
    <w:rPr>
      <w:rFonts w:ascii="Calibri" w:hAnsi="Calibri" w:eastAsia="宋体" w:cs="Calibri"/>
      <w:sz w:val="22"/>
      <w:szCs w:val="22"/>
      <w:lang w:val="en-US" w:eastAsia="en-US" w:bidi="ar-SA"/>
    </w:rPr>
  </w:style>
  <w:style w:type="paragraph" w:customStyle="1" w:styleId="117">
    <w:name w:val="标书标题3"/>
    <w:basedOn w:val="9"/>
    <w:qFormat/>
    <w:uiPriority w:val="0"/>
    <w:pPr>
      <w:keepLines w:val="0"/>
      <w:widowControl/>
      <w:adjustRightInd w:val="0"/>
      <w:snapToGrid w:val="0"/>
      <w:spacing w:before="120" w:after="60" w:line="300" w:lineRule="auto"/>
      <w:jc w:val="left"/>
    </w:pPr>
    <w:rPr>
      <w:rFonts w:eastAsia="Courier New"/>
      <w:b w:val="0"/>
      <w:bCs w:val="0"/>
      <w:color w:val="000000"/>
      <w:kern w:val="0"/>
      <w:sz w:val="28"/>
    </w:rPr>
  </w:style>
  <w:style w:type="paragraph" w:customStyle="1" w:styleId="118">
    <w:name w:val="正文段"/>
    <w:basedOn w:val="1"/>
    <w:qFormat/>
    <w:uiPriority w:val="0"/>
    <w:pPr>
      <w:widowControl/>
      <w:snapToGrid w:val="0"/>
      <w:spacing w:afterLines="50"/>
      <w:ind w:firstLine="200" w:firstLineChars="200"/>
    </w:pPr>
    <w:rPr>
      <w:kern w:val="0"/>
      <w:sz w:val="24"/>
      <w:szCs w:val="20"/>
    </w:rPr>
  </w:style>
  <w:style w:type="paragraph" w:customStyle="1" w:styleId="11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120">
    <w:name w:val="无间隔2"/>
    <w:qFormat/>
    <w:uiPriority w:val="0"/>
    <w:rPr>
      <w:rFonts w:ascii="Calibri" w:hAnsi="Calibri" w:eastAsia="宋体" w:cs="Calibri"/>
      <w:sz w:val="22"/>
      <w:szCs w:val="22"/>
      <w:lang w:val="en-US" w:eastAsia="en-US" w:bidi="ar-SA"/>
    </w:rPr>
  </w:style>
  <w:style w:type="paragraph" w:customStyle="1" w:styleId="121">
    <w:name w:val="样式5"/>
    <w:basedOn w:val="10"/>
    <w:qFormat/>
    <w:uiPriority w:val="0"/>
    <w:pPr>
      <w:keepLines/>
      <w:widowControl w:val="0"/>
      <w:spacing w:before="280" w:after="290" w:line="376" w:lineRule="auto"/>
    </w:pPr>
    <w:rPr>
      <w:rFonts w:ascii="Century Gothic" w:hAnsi="Century Gothic" w:eastAsia="Century Gothic"/>
      <w:b/>
      <w:bCs/>
      <w:snapToGrid/>
      <w:kern w:val="2"/>
      <w:sz w:val="32"/>
      <w:szCs w:val="32"/>
    </w:rPr>
  </w:style>
  <w:style w:type="paragraph" w:customStyle="1" w:styleId="122">
    <w:name w:val="Char2"/>
    <w:basedOn w:val="1"/>
    <w:qFormat/>
    <w:uiPriority w:val="0"/>
    <w:rPr>
      <w:rFonts w:ascii="Courier New" w:eastAsia="Courier New"/>
      <w:b/>
      <w:sz w:val="32"/>
      <w:szCs w:val="32"/>
    </w:rPr>
  </w:style>
  <w:style w:type="paragraph" w:customStyle="1" w:styleId="123">
    <w:name w:val="表格文字"/>
    <w:basedOn w:val="1"/>
    <w:next w:val="6"/>
    <w:qFormat/>
    <w:uiPriority w:val="0"/>
    <w:pPr>
      <w:adjustRightInd w:val="0"/>
      <w:spacing w:line="420" w:lineRule="atLeast"/>
      <w:jc w:val="left"/>
      <w:textAlignment w:val="baseline"/>
    </w:pPr>
    <w:rPr>
      <w:kern w:val="0"/>
      <w:sz w:val="24"/>
    </w:rPr>
  </w:style>
  <w:style w:type="paragraph" w:customStyle="1" w:styleId="124">
    <w:name w:val="样式"/>
    <w:basedOn w:val="1"/>
    <w:qFormat/>
    <w:uiPriority w:val="0"/>
    <w:pPr>
      <w:tabs>
        <w:tab w:val="left" w:pos="567"/>
      </w:tabs>
      <w:snapToGrid w:val="0"/>
      <w:spacing w:line="460" w:lineRule="atLeast"/>
    </w:pPr>
    <w:rPr>
      <w:rFonts w:ascii="Arial" w:hAnsi="Arial" w:cs="Times New Roman"/>
      <w:spacing w:val="6"/>
      <w:sz w:val="24"/>
      <w:szCs w:val="20"/>
    </w:rPr>
  </w:style>
  <w:style w:type="paragraph" w:customStyle="1" w:styleId="125">
    <w:name w:val="列出段落2"/>
    <w:basedOn w:val="1"/>
    <w:qFormat/>
    <w:uiPriority w:val="0"/>
    <w:pPr>
      <w:ind w:firstLine="420" w:firstLineChars="200"/>
    </w:pPr>
    <w:rPr>
      <w:kern w:val="0"/>
      <w:sz w:val="20"/>
    </w:rPr>
  </w:style>
  <w:style w:type="paragraph" w:customStyle="1" w:styleId="126">
    <w:name w:val="标题 3_0"/>
    <w:basedOn w:val="1"/>
    <w:next w:val="127"/>
    <w:qFormat/>
    <w:uiPriority w:val="0"/>
    <w:pPr>
      <w:tabs>
        <w:tab w:val="left" w:pos="851"/>
        <w:tab w:val="left" w:pos="1260"/>
      </w:tabs>
      <w:autoSpaceDE w:val="0"/>
      <w:autoSpaceDN w:val="0"/>
      <w:adjustRightInd w:val="0"/>
      <w:snapToGrid w:val="0"/>
      <w:spacing w:line="360" w:lineRule="auto"/>
      <w:outlineLvl w:val="2"/>
    </w:pPr>
    <w:rPr>
      <w:rFonts w:ascii="宋体"/>
      <w:b/>
      <w:kern w:val="0"/>
      <w:sz w:val="24"/>
      <w:szCs w:val="20"/>
    </w:rPr>
  </w:style>
  <w:style w:type="paragraph" w:customStyle="1" w:styleId="127">
    <w:name w:val="正文缩进_0"/>
    <w:basedOn w:val="1"/>
    <w:qFormat/>
    <w:uiPriority w:val="0"/>
    <w:pPr>
      <w:ind w:firstLine="420"/>
    </w:pPr>
    <w:rPr>
      <w:kern w:val="0"/>
      <w:sz w:val="24"/>
      <w:szCs w:val="20"/>
    </w:rPr>
  </w:style>
  <w:style w:type="paragraph" w:customStyle="1" w:styleId="12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new正文"/>
    <w:basedOn w:val="130"/>
    <w:qFormat/>
    <w:uiPriority w:val="0"/>
    <w:pPr>
      <w:spacing w:line="400" w:lineRule="exact"/>
      <w:ind w:right="-58" w:rightChars="-24" w:firstLine="480" w:firstLineChars="200"/>
    </w:pPr>
    <w:rPr>
      <w:rFonts w:ascii="宋体" w:hAnsi="宋体"/>
      <w:kern w:val="0"/>
      <w:sz w:val="20"/>
      <w:szCs w:val="24"/>
    </w:r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标题 4_0"/>
    <w:basedOn w:val="1"/>
    <w:next w:val="127"/>
    <w:qFormat/>
    <w:uiPriority w:val="0"/>
    <w:pPr>
      <w:autoSpaceDE w:val="0"/>
      <w:autoSpaceDN w:val="0"/>
      <w:adjustRightInd w:val="0"/>
      <w:snapToGrid w:val="0"/>
      <w:spacing w:before="100" w:beforeAutospacing="1" w:line="360" w:lineRule="auto"/>
      <w:outlineLvl w:val="3"/>
    </w:pPr>
    <w:rPr>
      <w:rFonts w:ascii="宋体" w:hAnsi="Arial"/>
      <w:b/>
      <w:color w:val="000000"/>
      <w:kern w:val="0"/>
      <w:sz w:val="24"/>
      <w:szCs w:val="20"/>
    </w:rPr>
  </w:style>
  <w:style w:type="paragraph" w:customStyle="1" w:styleId="132">
    <w:name w:val="0表头样式"/>
    <w:basedOn w:val="133"/>
    <w:qFormat/>
    <w:uiPriority w:val="0"/>
    <w:pPr>
      <w:jc w:val="center"/>
    </w:pPr>
    <w:rPr>
      <w:b/>
    </w:rPr>
  </w:style>
  <w:style w:type="paragraph" w:customStyle="1" w:styleId="133">
    <w:name w:val="0表格样式"/>
    <w:basedOn w:val="1"/>
    <w:qFormat/>
    <w:uiPriority w:val="0"/>
    <w:rPr>
      <w:rFonts w:ascii="Times New Roman" w:hAnsi="Times New Roman"/>
      <w:szCs w:val="21"/>
    </w:rPr>
  </w:style>
  <w:style w:type="paragraph" w:customStyle="1" w:styleId="134">
    <w:name w:val="111段落文字"/>
    <w:basedOn w:val="1"/>
    <w:qFormat/>
    <w:uiPriority w:val="0"/>
    <w:pPr>
      <w:spacing w:line="400" w:lineRule="exact"/>
      <w:ind w:firstLine="480" w:firstLineChars="200"/>
      <w:jc w:val="left"/>
    </w:pPr>
    <w:rPr>
      <w:rFonts w:ascii="Times New Roman" w:hAnsi="Times New Roman"/>
      <w:sz w:val="24"/>
      <w:szCs w:val="21"/>
    </w:rPr>
  </w:style>
  <w:style w:type="paragraph" w:customStyle="1" w:styleId="135">
    <w:name w:val="H表正"/>
    <w:basedOn w:val="1"/>
    <w:qFormat/>
    <w:uiPriority w:val="0"/>
    <w:pPr>
      <w:widowControl/>
    </w:pPr>
    <w:rPr>
      <w:rFonts w:ascii="宋体" w:hAnsi="宋体"/>
      <w:color w:val="000000"/>
      <w:kern w:val="0"/>
      <w:sz w:val="20"/>
      <w:szCs w:val="20"/>
    </w:rPr>
  </w:style>
  <w:style w:type="paragraph" w:customStyle="1" w:styleId="136">
    <w:name w:val="H正_1"/>
    <w:basedOn w:val="1"/>
    <w:qFormat/>
    <w:uiPriority w:val="0"/>
    <w:pPr>
      <w:spacing w:line="420" w:lineRule="auto"/>
      <w:ind w:firstLine="200" w:firstLineChars="200"/>
      <w:jc w:val="left"/>
    </w:pPr>
    <w:rPr>
      <w:rFonts w:ascii="Times New Roman" w:hAnsi="Times New Roman"/>
      <w:sz w:val="24"/>
    </w:rPr>
  </w:style>
  <w:style w:type="character" w:customStyle="1" w:styleId="137">
    <w:name w:val="10"/>
    <w:qFormat/>
    <w:uiPriority w:val="0"/>
    <w:rPr>
      <w:rFonts w:hint="default" w:ascii="Times New Roman" w:hAnsi="Times New Roman" w:cs="Times New Roman"/>
    </w:rPr>
  </w:style>
  <w:style w:type="paragraph" w:customStyle="1" w:styleId="138">
    <w:name w:val="H表_1"/>
    <w:basedOn w:val="1"/>
    <w:qFormat/>
    <w:uiPriority w:val="0"/>
    <w:pPr>
      <w:widowControl/>
      <w:jc w:val="center"/>
    </w:pPr>
    <w:rPr>
      <w:rFonts w:ascii="宋体" w:hAnsi="宋体"/>
      <w:kern w:val="0"/>
      <w:sz w:val="20"/>
      <w:szCs w:val="20"/>
    </w:rPr>
  </w:style>
  <w:style w:type="paragraph" w:customStyle="1" w:styleId="139">
    <w:name w:val="正文1111"/>
    <w:basedOn w:val="140"/>
    <w:qFormat/>
    <w:uiPriority w:val="0"/>
    <w:pPr>
      <w:spacing w:line="360" w:lineRule="auto"/>
      <w:ind w:firstLine="420"/>
    </w:pPr>
    <w:rPr>
      <w:rFonts w:ascii="仿宋_GB2312" w:eastAsia="仿宋_GB2312"/>
      <w:kern w:val="0"/>
      <w:sz w:val="24"/>
      <w:szCs w:val="24"/>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列出段落3"/>
    <w:basedOn w:val="1"/>
    <w:unhideWhenUsed/>
    <w:qFormat/>
    <w:uiPriority w:val="99"/>
    <w:pPr>
      <w:ind w:firstLine="420" w:firstLineChars="200"/>
    </w:pPr>
  </w:style>
  <w:style w:type="paragraph" w:customStyle="1" w:styleId="144">
    <w:name w:val="纯文本2"/>
    <w:basedOn w:val="145"/>
    <w:qFormat/>
    <w:uiPriority w:val="0"/>
    <w:pPr>
      <w:widowControl/>
      <w:jc w:val="left"/>
    </w:pPr>
    <w:rPr>
      <w:rFonts w:ascii="宋体" w:hAnsi="Courier New"/>
    </w:rPr>
  </w:style>
  <w:style w:type="paragraph" w:customStyle="1" w:styleId="145">
    <w:name w:val="正文3"/>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6">
    <w:name w:val="正文文本 22"/>
    <w:basedOn w:val="1"/>
    <w:qFormat/>
    <w:uiPriority w:val="0"/>
    <w:pPr>
      <w:adjustRightInd w:val="0"/>
      <w:spacing w:line="300" w:lineRule="auto"/>
      <w:jc w:val="center"/>
    </w:pPr>
    <w:rPr>
      <w:rFonts w:hint="eastAsia" w:ascii="宋体" w:hAnsi="宋体"/>
      <w:sz w:val="24"/>
    </w:rPr>
  </w:style>
  <w:style w:type="character" w:customStyle="1" w:styleId="147">
    <w:name w:val="font41"/>
    <w:basedOn w:val="47"/>
    <w:qFormat/>
    <w:uiPriority w:val="0"/>
    <w:rPr>
      <w:rFonts w:hint="eastAsia" w:ascii="楷体" w:hAnsi="楷体" w:eastAsia="楷体" w:cs="楷体"/>
      <w:color w:val="000000"/>
      <w:sz w:val="24"/>
      <w:szCs w:val="24"/>
      <w:u w:val="none"/>
    </w:rPr>
  </w:style>
  <w:style w:type="paragraph" w:customStyle="1" w:styleId="148">
    <w:name w:val="Char Char Char Char Char Char Char Char Char Char"/>
    <w:basedOn w:val="1"/>
    <w:qFormat/>
    <w:uiPriority w:val="0"/>
    <w:pPr>
      <w:adjustRightInd w:val="0"/>
      <w:spacing w:line="360" w:lineRule="auto"/>
    </w:pPr>
    <w:rPr>
      <w:kern w:val="0"/>
      <w:sz w:val="24"/>
      <w:szCs w:val="20"/>
    </w:rPr>
  </w:style>
  <w:style w:type="character" w:customStyle="1" w:styleId="149">
    <w:name w:val="font31"/>
    <w:basedOn w:val="47"/>
    <w:qFormat/>
    <w:uiPriority w:val="0"/>
    <w:rPr>
      <w:rFonts w:hint="eastAsia" w:ascii="楷体" w:hAnsi="楷体" w:eastAsia="楷体" w:cs="楷体"/>
      <w:color w:val="000000"/>
      <w:sz w:val="24"/>
      <w:szCs w:val="24"/>
      <w:u w:val="none"/>
    </w:rPr>
  </w:style>
  <w:style w:type="character" w:customStyle="1" w:styleId="150">
    <w:name w:val="正文文本 Char"/>
    <w:basedOn w:val="47"/>
    <w:link w:val="6"/>
    <w:qFormat/>
    <w:uiPriority w:val="0"/>
    <w:rPr>
      <w:rFonts w:ascii="Calibri" w:hAnsi="Calibri" w:cs="Calibri"/>
      <w:kern w:val="2"/>
      <w:sz w:val="21"/>
      <w:szCs w:val="24"/>
    </w:rPr>
  </w:style>
  <w:style w:type="paragraph" w:customStyle="1" w:styleId="151">
    <w:name w:val="BodyText1I"/>
    <w:basedOn w:val="1"/>
    <w:qFormat/>
    <w:uiPriority w:val="0"/>
    <w:pPr>
      <w:spacing w:after="120"/>
      <w:ind w:firstLine="420"/>
      <w:textAlignment w:val="baseline"/>
    </w:pPr>
    <w:rPr>
      <w:rFonts w:ascii="仿宋_GB2312" w:hAnsi="Times New Roman" w:eastAsia="仿宋_GB2312"/>
      <w:sz w:val="28"/>
      <w:lang w:val="zh-CN"/>
    </w:rPr>
  </w:style>
  <w:style w:type="paragraph" w:customStyle="1" w:styleId="15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首行缩进"/>
    <w:basedOn w:val="1"/>
    <w:qFormat/>
    <w:uiPriority w:val="0"/>
    <w:pPr>
      <w:spacing w:line="360" w:lineRule="auto"/>
      <w:ind w:firstLine="480" w:firstLineChars="200"/>
    </w:pPr>
    <w:rPr>
      <w:rFonts w:ascii="宋体"/>
      <w:sz w:val="24"/>
      <w:szCs w:val="20"/>
    </w:rPr>
  </w:style>
  <w:style w:type="paragraph" w:customStyle="1" w:styleId="154">
    <w:name w:val="合同条款1"/>
    <w:basedOn w:val="1"/>
    <w:qFormat/>
    <w:uiPriority w:val="0"/>
    <w:pPr>
      <w:spacing w:line="280" w:lineRule="exact"/>
      <w:outlineLvl w:val="0"/>
    </w:pPr>
    <w:rPr>
      <w:rFonts w:ascii="宋体" w:hAnsi="宋体"/>
      <w:bCs/>
      <w:szCs w:val="18"/>
    </w:rPr>
  </w:style>
  <w:style w:type="paragraph" w:styleId="155">
    <w:name w:val="List Paragraph"/>
    <w:basedOn w:val="1"/>
    <w:next w:val="1"/>
    <w:qFormat/>
    <w:uiPriority w:val="0"/>
    <w:pPr>
      <w:ind w:firstLine="420" w:firstLineChars="200"/>
    </w:pPr>
  </w:style>
  <w:style w:type="character" w:customStyle="1" w:styleId="156">
    <w:name w:val="正文首行缩进 Char"/>
    <w:basedOn w:val="150"/>
    <w:link w:val="5"/>
    <w:qFormat/>
    <w:uiPriority w:val="0"/>
    <w:rPr>
      <w:rFonts w:ascii="Calibri" w:hAnsi="Calibri" w:cs="Calibri"/>
      <w:kern w:val="2"/>
      <w:sz w:val="21"/>
      <w:szCs w:val="24"/>
    </w:rPr>
  </w:style>
  <w:style w:type="paragraph" w:customStyle="1" w:styleId="157">
    <w:name w:val="章正文"/>
    <w:basedOn w:val="1"/>
    <w:qFormat/>
    <w:uiPriority w:val="0"/>
    <w:pPr>
      <w:spacing w:beforeLines="50" w:line="300" w:lineRule="auto"/>
      <w:ind w:firstLine="480" w:firstLineChars="200"/>
    </w:pPr>
    <w:rPr>
      <w:rFonts w:ascii="Helvetica" w:hAnsi="Helvetica" w:eastAsia="仿宋_GB2312" w:cs="Times New Roman"/>
      <w:sz w:val="24"/>
    </w:rPr>
  </w:style>
  <w:style w:type="paragraph" w:customStyle="1" w:styleId="158">
    <w:name w:val="正文缩进1"/>
    <w:basedOn w:val="1"/>
    <w:next w:val="3"/>
    <w:qFormat/>
    <w:uiPriority w:val="0"/>
    <w:pPr>
      <w:ind w:firstLine="420" w:firstLineChars="200"/>
    </w:pPr>
    <w:rPr>
      <w:szCs w:val="20"/>
    </w:rPr>
  </w:style>
  <w:style w:type="character" w:customStyle="1" w:styleId="159">
    <w:name w:val="NormalCharacter"/>
    <w:link w:val="160"/>
    <w:qFormat/>
    <w:uiPriority w:val="0"/>
    <w:rPr>
      <w:rFonts w:ascii="Calibri" w:hAnsi="Calibri" w:eastAsia="宋体" w:cs="Times New Roman"/>
      <w:szCs w:val="22"/>
    </w:rPr>
  </w:style>
  <w:style w:type="paragraph" w:customStyle="1" w:styleId="160">
    <w:name w:val="UserStyle_26"/>
    <w:basedOn w:val="1"/>
    <w:link w:val="159"/>
    <w:qFormat/>
    <w:uiPriority w:val="0"/>
    <w:pPr>
      <w:textAlignment w:val="baseline"/>
    </w:pPr>
    <w:rPr>
      <w:rFonts w:cs="Times New Roman"/>
      <w:szCs w:val="22"/>
    </w:rPr>
  </w:style>
  <w:style w:type="paragraph" w:customStyle="1" w:styleId="161">
    <w:name w:val="样式 列表编号 + 段后: 0.5 行"/>
    <w:basedOn w:val="18"/>
    <w:qFormat/>
    <w:uiPriority w:val="0"/>
    <w:pPr>
      <w:tabs>
        <w:tab w:val="left" w:pos="360"/>
        <w:tab w:val="clear" w:pos="420"/>
        <w:tab w:val="clear" w:pos="454"/>
      </w:tabs>
      <w:spacing w:after="156"/>
      <w:ind w:left="360" w:hanging="360"/>
    </w:pPr>
  </w:style>
  <w:style w:type="paragraph" w:customStyle="1" w:styleId="162">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E4FF-0D1A-456D-900F-9F940C91D7B5}">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48488</Words>
  <Characters>50892</Characters>
  <Lines>398</Lines>
  <Paragraphs>112</Paragraphs>
  <TotalTime>13</TotalTime>
  <ScaleCrop>false</ScaleCrop>
  <LinksUpToDate>false</LinksUpToDate>
  <CharactersWithSpaces>52864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2022-09-30T09:50:00Z</dcterms:created>
  <dc:creator>admin</dc:creator>
  <cp:lastModifiedBy>陶云龙</cp:lastModifiedBy>
  <cp:lastPrinted>2024-10-18T00:54:00Z</cp:lastPrinted>
  <dcterms:modified xsi:type="dcterms:W3CDTF">2024-10-22T05:53:27Z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DF1166A014134DB289FBF83EA8E7AA8A_13</vt:lpwstr>
  </property>
</Properties>
</file>