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AE377">
      <w:pPr>
        <w:jc w:val="center"/>
        <w:rPr>
          <w:rFonts w:ascii="宋体" w:hAnsi="宋体" w:cs="宋体"/>
          <w:b/>
          <w:bCs/>
          <w:sz w:val="44"/>
          <w:szCs w:val="44"/>
        </w:rPr>
      </w:pPr>
    </w:p>
    <w:p w14:paraId="04BF6FFD">
      <w:pPr>
        <w:jc w:val="center"/>
        <w:rPr>
          <w:rFonts w:ascii="宋体" w:hAnsi="宋体" w:cs="宋体"/>
          <w:b/>
          <w:bCs/>
          <w:sz w:val="44"/>
          <w:szCs w:val="44"/>
        </w:rPr>
      </w:pPr>
      <w:r>
        <w:rPr>
          <w:rFonts w:hint="eastAsia" w:ascii="宋体" w:hAnsi="宋体" w:cs="宋体"/>
          <w:b/>
          <w:bCs/>
          <w:sz w:val="52"/>
          <w:szCs w:val="52"/>
        </w:rPr>
        <w:t>中华人民共和国南京海关</w:t>
      </w:r>
    </w:p>
    <w:p w14:paraId="71B90992">
      <w:pPr>
        <w:jc w:val="center"/>
        <w:rPr>
          <w:rFonts w:ascii="宋体" w:hAnsi="宋体" w:cs="宋体"/>
          <w:b/>
          <w:bCs/>
          <w:sz w:val="44"/>
          <w:szCs w:val="44"/>
          <w:u w:val="single"/>
        </w:rPr>
      </w:pPr>
    </w:p>
    <w:p w14:paraId="178F40B5">
      <w:pPr>
        <w:jc w:val="center"/>
        <w:rPr>
          <w:rFonts w:ascii="宋体" w:hAnsi="宋体" w:cs="宋体"/>
          <w:b/>
          <w:bCs/>
          <w:sz w:val="44"/>
          <w:szCs w:val="44"/>
        </w:rPr>
      </w:pPr>
      <w:r>
        <w:rPr>
          <w:rFonts w:hint="eastAsia" w:ascii="宋体" w:hAnsi="宋体" w:cs="宋体"/>
          <w:b/>
          <w:bCs/>
          <w:sz w:val="44"/>
          <w:szCs w:val="44"/>
          <w:u w:val="single"/>
        </w:rPr>
        <w:t>中国电子口岸运行保障运维服务</w:t>
      </w:r>
      <w:r>
        <w:rPr>
          <w:rFonts w:hint="eastAsia" w:ascii="宋体" w:hAnsi="宋体" w:cs="宋体"/>
          <w:b/>
          <w:bCs/>
          <w:sz w:val="44"/>
          <w:szCs w:val="44"/>
        </w:rPr>
        <w:t>采购项目</w:t>
      </w:r>
    </w:p>
    <w:p w14:paraId="4EC19DC1">
      <w:pPr>
        <w:jc w:val="center"/>
        <w:rPr>
          <w:rFonts w:ascii="宋体" w:hAnsi="宋体" w:cs="宋体"/>
          <w:b/>
          <w:bCs/>
          <w:sz w:val="44"/>
          <w:szCs w:val="44"/>
        </w:rPr>
      </w:pPr>
    </w:p>
    <w:p w14:paraId="2CD35D9F">
      <w:pPr>
        <w:jc w:val="center"/>
        <w:rPr>
          <w:rFonts w:ascii="宋体" w:hAnsi="宋体" w:cs="宋体"/>
          <w:b/>
          <w:bCs/>
          <w:snapToGrid w:val="0"/>
          <w:sz w:val="36"/>
        </w:rPr>
      </w:pPr>
    </w:p>
    <w:p w14:paraId="715255AA">
      <w:pPr>
        <w:jc w:val="center"/>
        <w:rPr>
          <w:rFonts w:ascii="宋体" w:hAnsi="宋体" w:cs="宋体"/>
          <w:b/>
          <w:bCs/>
          <w:snapToGrid w:val="0"/>
          <w:sz w:val="36"/>
        </w:rPr>
      </w:pPr>
    </w:p>
    <w:p w14:paraId="0C57F665">
      <w:pPr>
        <w:jc w:val="center"/>
        <w:rPr>
          <w:rFonts w:ascii="宋体" w:hAnsi="宋体" w:cs="宋体"/>
          <w:b/>
          <w:bCs/>
          <w:snapToGrid w:val="0"/>
          <w:sz w:val="36"/>
        </w:rPr>
      </w:pPr>
    </w:p>
    <w:p w14:paraId="4FCC0883">
      <w:pPr>
        <w:jc w:val="center"/>
        <w:rPr>
          <w:rFonts w:ascii="宋体" w:hAnsi="宋体" w:cs="宋体"/>
          <w:b/>
          <w:bCs/>
          <w:snapToGrid w:val="0"/>
          <w:sz w:val="96"/>
        </w:rPr>
      </w:pPr>
      <w:r>
        <w:rPr>
          <w:rFonts w:hint="eastAsia" w:ascii="宋体" w:hAnsi="宋体" w:cs="宋体"/>
          <w:b/>
          <w:bCs/>
          <w:sz w:val="96"/>
          <w:szCs w:val="72"/>
        </w:rPr>
        <w:t>招标文件</w:t>
      </w:r>
    </w:p>
    <w:p w14:paraId="64CC5D42">
      <w:pPr>
        <w:rPr>
          <w:rFonts w:ascii="宋体" w:hAnsi="宋体" w:cs="宋体"/>
          <w:b/>
          <w:bCs/>
          <w:sz w:val="36"/>
        </w:rPr>
      </w:pPr>
    </w:p>
    <w:p w14:paraId="253C1DF6">
      <w:pPr>
        <w:jc w:val="center"/>
        <w:rPr>
          <w:rFonts w:ascii="宋体" w:hAnsi="宋体" w:cs="宋体"/>
          <w:b/>
          <w:bCs/>
          <w:color w:val="0000FF"/>
          <w:sz w:val="36"/>
        </w:rPr>
      </w:pPr>
      <w:r>
        <w:rPr>
          <w:rFonts w:hint="eastAsia" w:ascii="宋体" w:hAnsi="宋体" w:cs="宋体"/>
          <w:b/>
          <w:bCs/>
          <w:color w:val="0000FF"/>
          <w:sz w:val="36"/>
        </w:rPr>
        <w:t>项目编号：1214-244209444LDY</w:t>
      </w:r>
    </w:p>
    <w:p w14:paraId="053FCFC8">
      <w:pPr>
        <w:jc w:val="center"/>
        <w:rPr>
          <w:rFonts w:ascii="宋体" w:hAnsi="宋体" w:cs="宋体"/>
          <w:b/>
          <w:bCs/>
          <w:color w:val="0000FF"/>
          <w:sz w:val="36"/>
        </w:rPr>
      </w:pPr>
    </w:p>
    <w:p w14:paraId="34D6189E">
      <w:pPr>
        <w:jc w:val="center"/>
        <w:rPr>
          <w:rFonts w:ascii="宋体" w:hAnsi="宋体" w:cs="宋体"/>
          <w:b/>
          <w:bCs/>
          <w:color w:val="0000FF"/>
          <w:sz w:val="36"/>
        </w:rPr>
      </w:pPr>
    </w:p>
    <w:p w14:paraId="67BC0870">
      <w:pPr>
        <w:rPr>
          <w:rFonts w:ascii="宋体" w:hAnsi="宋体" w:cs="宋体"/>
          <w:b/>
          <w:bCs/>
          <w:snapToGrid w:val="0"/>
          <w:sz w:val="36"/>
        </w:rPr>
      </w:pPr>
    </w:p>
    <w:p w14:paraId="28F76C30">
      <w:pPr>
        <w:rPr>
          <w:rFonts w:ascii="宋体" w:hAnsi="宋体" w:cs="宋体"/>
          <w:b/>
          <w:bCs/>
          <w:snapToGrid w:val="0"/>
          <w:sz w:val="36"/>
        </w:rPr>
      </w:pPr>
    </w:p>
    <w:p w14:paraId="2B7955E8">
      <w:pPr>
        <w:rPr>
          <w:rFonts w:ascii="宋体" w:hAnsi="宋体" w:cs="宋体"/>
          <w:b/>
          <w:bCs/>
          <w:snapToGrid w:val="0"/>
          <w:sz w:val="36"/>
        </w:rPr>
      </w:pPr>
    </w:p>
    <w:p w14:paraId="394BA0A7">
      <w:pPr>
        <w:rPr>
          <w:rFonts w:ascii="宋体" w:hAnsi="宋体" w:cs="宋体"/>
          <w:b/>
          <w:bCs/>
          <w:snapToGrid w:val="0"/>
          <w:sz w:val="36"/>
        </w:rPr>
      </w:pPr>
    </w:p>
    <w:p w14:paraId="5AA42A5B">
      <w:pPr>
        <w:jc w:val="center"/>
        <w:rPr>
          <w:rFonts w:ascii="宋体" w:hAnsi="宋体" w:cs="宋体"/>
          <w:b/>
          <w:sz w:val="36"/>
          <w:szCs w:val="30"/>
        </w:rPr>
      </w:pPr>
      <w:r>
        <w:rPr>
          <w:rFonts w:hint="eastAsia" w:ascii="宋体" w:hAnsi="宋体" w:cs="宋体"/>
          <w:b/>
          <w:sz w:val="36"/>
          <w:szCs w:val="30"/>
        </w:rPr>
        <w:t>江苏舜天高科有限责任公司</w:t>
      </w:r>
    </w:p>
    <w:p w14:paraId="6620E1EF">
      <w:pPr>
        <w:jc w:val="center"/>
        <w:rPr>
          <w:rFonts w:ascii="宋体" w:hAnsi="宋体" w:cs="宋体"/>
          <w:b/>
          <w:bCs/>
          <w:spacing w:val="40"/>
          <w:sz w:val="36"/>
          <w:szCs w:val="30"/>
        </w:rPr>
        <w:sectPr>
          <w:headerReference r:id="rId4" w:type="first"/>
          <w:headerReference r:id="rId3" w:type="default"/>
          <w:footerReference r:id="rId5" w:type="default"/>
          <w:pgSz w:w="11906" w:h="16838"/>
          <w:pgMar w:top="1134" w:right="1440" w:bottom="850" w:left="1440" w:header="850" w:footer="992" w:gutter="0"/>
          <w:cols w:space="0" w:num="1"/>
          <w:docGrid w:type="lines" w:linePitch="323" w:charSpace="0"/>
        </w:sectPr>
      </w:pPr>
      <w:r>
        <w:rPr>
          <w:rFonts w:hint="eastAsia" w:ascii="宋体" w:hAnsi="宋体" w:cs="宋体"/>
          <w:b/>
          <w:bCs/>
          <w:spacing w:val="40"/>
          <w:sz w:val="36"/>
          <w:szCs w:val="30"/>
        </w:rPr>
        <w:t>二○二四年九月</w:t>
      </w:r>
    </w:p>
    <w:p w14:paraId="53C5AF53">
      <w:pPr>
        <w:jc w:val="center"/>
        <w:outlineLvl w:val="0"/>
        <w:rPr>
          <w:rFonts w:ascii="宋体" w:hAnsi="宋体" w:cs="宋体"/>
          <w:sz w:val="32"/>
          <w:szCs w:val="32"/>
        </w:rPr>
      </w:pPr>
      <w:bookmarkStart w:id="0" w:name="_Toc21438"/>
      <w:bookmarkStart w:id="1" w:name="_Toc30861"/>
      <w:bookmarkStart w:id="2" w:name="_Toc19208"/>
      <w:bookmarkStart w:id="3" w:name="_Toc31602"/>
      <w:r>
        <w:rPr>
          <w:rFonts w:hint="eastAsia" w:ascii="宋体" w:hAnsi="宋体" w:cs="宋体"/>
          <w:b/>
          <w:sz w:val="32"/>
          <w:szCs w:val="32"/>
        </w:rPr>
        <w:t>目  录</w:t>
      </w:r>
      <w:bookmarkEnd w:id="0"/>
      <w:bookmarkEnd w:id="1"/>
      <w:bookmarkEnd w:id="2"/>
      <w:bookmarkEnd w:id="3"/>
    </w:p>
    <w:p w14:paraId="10B1F092">
      <w:pPr>
        <w:ind w:firstLine="422" w:firstLineChars="200"/>
        <w:rPr>
          <w:rFonts w:ascii="宋体" w:hAnsi="宋体" w:cs="宋体"/>
          <w:b/>
          <w:szCs w:val="20"/>
        </w:rPr>
      </w:pPr>
    </w:p>
    <w:sdt>
      <w:sdtPr>
        <w:rPr>
          <w:rFonts w:ascii="宋体" w:hAnsi="宋体"/>
        </w:rPr>
        <w:id w:val="147457285"/>
        <w:docPartObj>
          <w:docPartGallery w:val="Table of Contents"/>
          <w:docPartUnique/>
        </w:docPartObj>
      </w:sdtPr>
      <w:sdtEndPr>
        <w:rPr>
          <w:rFonts w:ascii="宋体" w:hAnsi="宋体" w:cs="宋体"/>
          <w:szCs w:val="20"/>
        </w:rPr>
      </w:sdtEndPr>
      <w:sdtContent>
        <w:p w14:paraId="11242BF6">
          <w:pPr>
            <w:jc w:val="center"/>
          </w:pPr>
          <w:r>
            <w:rPr>
              <w:rFonts w:ascii="宋体" w:hAnsi="宋体"/>
            </w:rPr>
            <w:t>目录</w:t>
          </w:r>
        </w:p>
        <w:p w14:paraId="0A00BBB5">
          <w:pPr>
            <w:pStyle w:val="21"/>
            <w:tabs>
              <w:tab w:val="right" w:leader="dot" w:pos="9026"/>
            </w:tabs>
          </w:pPr>
          <w:r>
            <w:rPr>
              <w:rFonts w:ascii="宋体" w:hAnsi="宋体" w:cs="宋体"/>
              <w:szCs w:val="20"/>
            </w:rPr>
            <w:fldChar w:fldCharType="begin"/>
          </w:r>
          <w:r>
            <w:rPr>
              <w:rFonts w:ascii="宋体" w:hAnsi="宋体" w:cs="宋体"/>
              <w:szCs w:val="20"/>
            </w:rPr>
            <w:instrText xml:space="preserve">TOC \o "1-3" \h \u </w:instrText>
          </w:r>
          <w:r>
            <w:rPr>
              <w:rFonts w:ascii="宋体" w:hAnsi="宋体" w:cs="宋体"/>
              <w:szCs w:val="20"/>
            </w:rPr>
            <w:fldChar w:fldCharType="separate"/>
          </w:r>
          <w:r>
            <w:rPr>
              <w:rFonts w:ascii="宋体" w:hAnsi="宋体" w:cs="宋体"/>
              <w:szCs w:val="20"/>
            </w:rPr>
            <w:fldChar w:fldCharType="begin"/>
          </w:r>
          <w:r>
            <w:rPr>
              <w:rFonts w:ascii="宋体" w:hAnsi="宋体" w:cs="宋体"/>
              <w:szCs w:val="20"/>
            </w:rPr>
            <w:instrText xml:space="preserve"> HYPERLINK \l _Toc19208 </w:instrText>
          </w:r>
          <w:r>
            <w:rPr>
              <w:rFonts w:ascii="宋体" w:hAnsi="宋体" w:cs="宋体"/>
              <w:szCs w:val="20"/>
            </w:rPr>
            <w:fldChar w:fldCharType="separate"/>
          </w:r>
          <w:r>
            <w:rPr>
              <w:rFonts w:hint="eastAsia" w:ascii="宋体" w:hAnsi="宋体" w:cs="宋体"/>
              <w:szCs w:val="32"/>
            </w:rPr>
            <w:t>目  录</w:t>
          </w:r>
          <w:r>
            <w:tab/>
          </w:r>
          <w:r>
            <w:fldChar w:fldCharType="begin"/>
          </w:r>
          <w:r>
            <w:instrText xml:space="preserve"> PAGEREF _Toc19208 \h </w:instrText>
          </w:r>
          <w:r>
            <w:fldChar w:fldCharType="separate"/>
          </w:r>
          <w:r>
            <w:t>2</w:t>
          </w:r>
          <w:r>
            <w:fldChar w:fldCharType="end"/>
          </w:r>
          <w:r>
            <w:rPr>
              <w:rFonts w:ascii="宋体" w:hAnsi="宋体" w:cs="宋体"/>
              <w:szCs w:val="20"/>
            </w:rPr>
            <w:fldChar w:fldCharType="end"/>
          </w:r>
        </w:p>
        <w:p w14:paraId="4E39C198">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_Toc25295 </w:instrText>
          </w:r>
          <w:r>
            <w:rPr>
              <w:rFonts w:ascii="宋体" w:hAnsi="宋体" w:cs="宋体"/>
              <w:szCs w:val="20"/>
            </w:rPr>
            <w:fldChar w:fldCharType="separate"/>
          </w:r>
          <w:r>
            <w:rPr>
              <w:rFonts w:hint="eastAsia" w:ascii="宋体" w:hAnsi="宋体" w:cs="宋体"/>
              <w:szCs w:val="32"/>
            </w:rPr>
            <w:t>第一部分：招标公告</w:t>
          </w:r>
          <w:r>
            <w:tab/>
          </w:r>
          <w:r>
            <w:fldChar w:fldCharType="begin"/>
          </w:r>
          <w:r>
            <w:instrText xml:space="preserve"> PAGEREF _Toc25295 \h </w:instrText>
          </w:r>
          <w:r>
            <w:fldChar w:fldCharType="separate"/>
          </w:r>
          <w:r>
            <w:t>4</w:t>
          </w:r>
          <w:r>
            <w:fldChar w:fldCharType="end"/>
          </w:r>
          <w:r>
            <w:rPr>
              <w:rFonts w:ascii="宋体" w:hAnsi="宋体" w:cs="宋体"/>
              <w:szCs w:val="20"/>
            </w:rPr>
            <w:fldChar w:fldCharType="end"/>
          </w:r>
        </w:p>
        <w:p w14:paraId="760355A5">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_Toc22404 </w:instrText>
          </w:r>
          <w:r>
            <w:rPr>
              <w:rFonts w:ascii="宋体" w:hAnsi="宋体" w:cs="宋体"/>
              <w:szCs w:val="20"/>
            </w:rPr>
            <w:fldChar w:fldCharType="separate"/>
          </w:r>
          <w:r>
            <w:rPr>
              <w:rFonts w:hint="eastAsia" w:ascii="宋体" w:hAnsi="宋体" w:cs="宋体"/>
              <w:szCs w:val="21"/>
            </w:rPr>
            <w:t>一、项目基本情况</w:t>
          </w:r>
          <w:r>
            <w:tab/>
          </w:r>
          <w:r>
            <w:fldChar w:fldCharType="begin"/>
          </w:r>
          <w:r>
            <w:instrText xml:space="preserve"> PAGEREF _Toc22404 \h </w:instrText>
          </w:r>
          <w:r>
            <w:fldChar w:fldCharType="separate"/>
          </w:r>
          <w:r>
            <w:t>4</w:t>
          </w:r>
          <w:r>
            <w:fldChar w:fldCharType="end"/>
          </w:r>
          <w:r>
            <w:rPr>
              <w:rFonts w:ascii="宋体" w:hAnsi="宋体" w:cs="宋体"/>
              <w:szCs w:val="20"/>
            </w:rPr>
            <w:fldChar w:fldCharType="end"/>
          </w:r>
        </w:p>
        <w:p w14:paraId="3016BEB3">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_Toc31992 </w:instrText>
          </w:r>
          <w:r>
            <w:rPr>
              <w:rFonts w:ascii="宋体" w:hAnsi="宋体" w:cs="宋体"/>
              <w:szCs w:val="20"/>
            </w:rPr>
            <w:fldChar w:fldCharType="separate"/>
          </w:r>
          <w:r>
            <w:rPr>
              <w:rFonts w:hint="eastAsia" w:ascii="宋体" w:hAnsi="宋体" w:cs="宋体"/>
              <w:szCs w:val="21"/>
            </w:rPr>
            <w:t>二、申请人的资格要求</w:t>
          </w:r>
          <w:r>
            <w:tab/>
          </w:r>
          <w:r>
            <w:fldChar w:fldCharType="begin"/>
          </w:r>
          <w:r>
            <w:instrText xml:space="preserve"> PAGEREF _Toc31992 \h </w:instrText>
          </w:r>
          <w:r>
            <w:fldChar w:fldCharType="separate"/>
          </w:r>
          <w:r>
            <w:t>4</w:t>
          </w:r>
          <w:r>
            <w:fldChar w:fldCharType="end"/>
          </w:r>
          <w:r>
            <w:rPr>
              <w:rFonts w:ascii="宋体" w:hAnsi="宋体" w:cs="宋体"/>
              <w:szCs w:val="20"/>
            </w:rPr>
            <w:fldChar w:fldCharType="end"/>
          </w:r>
        </w:p>
        <w:p w14:paraId="4AFFFF1A">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_Toc6870 </w:instrText>
          </w:r>
          <w:r>
            <w:rPr>
              <w:rFonts w:ascii="宋体" w:hAnsi="宋体" w:cs="宋体"/>
              <w:szCs w:val="20"/>
            </w:rPr>
            <w:fldChar w:fldCharType="separate"/>
          </w:r>
          <w:r>
            <w:rPr>
              <w:rFonts w:hint="eastAsia" w:ascii="宋体" w:hAnsi="宋体" w:cs="宋体"/>
              <w:szCs w:val="21"/>
            </w:rPr>
            <w:t>三、获取招标文件</w:t>
          </w:r>
          <w:r>
            <w:tab/>
          </w:r>
          <w:r>
            <w:fldChar w:fldCharType="begin"/>
          </w:r>
          <w:r>
            <w:instrText xml:space="preserve"> PAGEREF _Toc6870 \h </w:instrText>
          </w:r>
          <w:r>
            <w:fldChar w:fldCharType="separate"/>
          </w:r>
          <w:r>
            <w:t>4</w:t>
          </w:r>
          <w:r>
            <w:fldChar w:fldCharType="end"/>
          </w:r>
          <w:r>
            <w:rPr>
              <w:rFonts w:ascii="宋体" w:hAnsi="宋体" w:cs="宋体"/>
              <w:szCs w:val="20"/>
            </w:rPr>
            <w:fldChar w:fldCharType="end"/>
          </w:r>
        </w:p>
        <w:p w14:paraId="13D22FFC">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_Toc3001 </w:instrText>
          </w:r>
          <w:r>
            <w:rPr>
              <w:rFonts w:ascii="宋体" w:hAnsi="宋体" w:cs="宋体"/>
              <w:szCs w:val="20"/>
            </w:rPr>
            <w:fldChar w:fldCharType="separate"/>
          </w:r>
          <w:r>
            <w:rPr>
              <w:rFonts w:hint="eastAsia" w:ascii="宋体" w:hAnsi="宋体" w:cs="宋体"/>
              <w:szCs w:val="21"/>
            </w:rPr>
            <w:t>四、投标文件接收截止时间、开标时间和地点</w:t>
          </w:r>
          <w:r>
            <w:tab/>
          </w:r>
          <w:r>
            <w:fldChar w:fldCharType="begin"/>
          </w:r>
          <w:r>
            <w:instrText xml:space="preserve"> PAGEREF _Toc3001 \h </w:instrText>
          </w:r>
          <w:r>
            <w:fldChar w:fldCharType="separate"/>
          </w:r>
          <w:r>
            <w:t>5</w:t>
          </w:r>
          <w:r>
            <w:fldChar w:fldCharType="end"/>
          </w:r>
          <w:r>
            <w:rPr>
              <w:rFonts w:ascii="宋体" w:hAnsi="宋体" w:cs="宋体"/>
              <w:szCs w:val="20"/>
            </w:rPr>
            <w:fldChar w:fldCharType="end"/>
          </w:r>
        </w:p>
        <w:p w14:paraId="5A56E3D8">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_Toc14858 </w:instrText>
          </w:r>
          <w:r>
            <w:rPr>
              <w:rFonts w:ascii="宋体" w:hAnsi="宋体" w:cs="宋体"/>
              <w:szCs w:val="20"/>
            </w:rPr>
            <w:fldChar w:fldCharType="separate"/>
          </w:r>
          <w:r>
            <w:rPr>
              <w:rFonts w:hint="eastAsia" w:ascii="宋体" w:hAnsi="宋体" w:cs="宋体"/>
              <w:szCs w:val="21"/>
            </w:rPr>
            <w:t>五、公告期限</w:t>
          </w:r>
          <w:r>
            <w:tab/>
          </w:r>
          <w:r>
            <w:fldChar w:fldCharType="begin"/>
          </w:r>
          <w:r>
            <w:instrText xml:space="preserve"> PAGEREF _Toc14858 \h </w:instrText>
          </w:r>
          <w:r>
            <w:fldChar w:fldCharType="separate"/>
          </w:r>
          <w:r>
            <w:t>5</w:t>
          </w:r>
          <w:r>
            <w:fldChar w:fldCharType="end"/>
          </w:r>
          <w:r>
            <w:rPr>
              <w:rFonts w:ascii="宋体" w:hAnsi="宋体" w:cs="宋体"/>
              <w:szCs w:val="20"/>
            </w:rPr>
            <w:fldChar w:fldCharType="end"/>
          </w:r>
        </w:p>
        <w:p w14:paraId="06484FCF">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_Toc19166 </w:instrText>
          </w:r>
          <w:r>
            <w:rPr>
              <w:rFonts w:ascii="宋体" w:hAnsi="宋体" w:cs="宋体"/>
              <w:szCs w:val="20"/>
            </w:rPr>
            <w:fldChar w:fldCharType="separate"/>
          </w:r>
          <w:r>
            <w:rPr>
              <w:rFonts w:hint="eastAsia" w:ascii="宋体" w:hAnsi="宋体" w:cs="宋体"/>
              <w:szCs w:val="21"/>
            </w:rPr>
            <w:t>六、其他补充事宜</w:t>
          </w:r>
          <w:r>
            <w:tab/>
          </w:r>
          <w:r>
            <w:fldChar w:fldCharType="begin"/>
          </w:r>
          <w:r>
            <w:instrText xml:space="preserve"> PAGEREF _Toc19166 \h </w:instrText>
          </w:r>
          <w:r>
            <w:fldChar w:fldCharType="separate"/>
          </w:r>
          <w:r>
            <w:t>5</w:t>
          </w:r>
          <w:r>
            <w:fldChar w:fldCharType="end"/>
          </w:r>
          <w:r>
            <w:rPr>
              <w:rFonts w:ascii="宋体" w:hAnsi="宋体" w:cs="宋体"/>
              <w:szCs w:val="20"/>
            </w:rPr>
            <w:fldChar w:fldCharType="end"/>
          </w:r>
        </w:p>
        <w:p w14:paraId="6A3C8FF7">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_Toc10490 </w:instrText>
          </w:r>
          <w:r>
            <w:rPr>
              <w:rFonts w:ascii="宋体" w:hAnsi="宋体" w:cs="宋体"/>
              <w:szCs w:val="20"/>
            </w:rPr>
            <w:fldChar w:fldCharType="separate"/>
          </w:r>
          <w:r>
            <w:rPr>
              <w:rFonts w:hint="eastAsia" w:ascii="宋体" w:hAnsi="宋体" w:cs="宋体"/>
              <w:szCs w:val="21"/>
            </w:rPr>
            <w:t>七、对本次招标提出询问，请按以下方式联系</w:t>
          </w:r>
          <w:r>
            <w:tab/>
          </w:r>
          <w:r>
            <w:fldChar w:fldCharType="begin"/>
          </w:r>
          <w:r>
            <w:instrText xml:space="preserve"> PAGEREF _Toc10490 \h </w:instrText>
          </w:r>
          <w:r>
            <w:fldChar w:fldCharType="separate"/>
          </w:r>
          <w:r>
            <w:t>5</w:t>
          </w:r>
          <w:r>
            <w:fldChar w:fldCharType="end"/>
          </w:r>
          <w:r>
            <w:rPr>
              <w:rFonts w:ascii="宋体" w:hAnsi="宋体" w:cs="宋体"/>
              <w:szCs w:val="20"/>
            </w:rPr>
            <w:fldChar w:fldCharType="end"/>
          </w:r>
        </w:p>
        <w:p w14:paraId="2009743B">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_Toc28944 </w:instrText>
          </w:r>
          <w:r>
            <w:rPr>
              <w:rFonts w:ascii="宋体" w:hAnsi="宋体" w:cs="宋体"/>
              <w:szCs w:val="20"/>
            </w:rPr>
            <w:fldChar w:fldCharType="separate"/>
          </w:r>
          <w:r>
            <w:rPr>
              <w:rFonts w:hint="eastAsia" w:ascii="宋体" w:hAnsi="宋体" w:cs="宋体"/>
              <w:szCs w:val="32"/>
            </w:rPr>
            <w:t>第二部分：投标人须知</w:t>
          </w:r>
          <w:r>
            <w:tab/>
          </w:r>
          <w:r>
            <w:fldChar w:fldCharType="begin"/>
          </w:r>
          <w:r>
            <w:instrText xml:space="preserve"> PAGEREF _Toc28944 \h </w:instrText>
          </w:r>
          <w:r>
            <w:fldChar w:fldCharType="separate"/>
          </w:r>
          <w:r>
            <w:t>7</w:t>
          </w:r>
          <w:r>
            <w:fldChar w:fldCharType="end"/>
          </w:r>
          <w:r>
            <w:rPr>
              <w:rFonts w:ascii="宋体" w:hAnsi="宋体" w:cs="宋体"/>
              <w:szCs w:val="20"/>
            </w:rPr>
            <w:fldChar w:fldCharType="end"/>
          </w:r>
        </w:p>
        <w:p w14:paraId="0C54EE16">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_Toc29951 </w:instrText>
          </w:r>
          <w:r>
            <w:rPr>
              <w:rFonts w:ascii="宋体" w:hAnsi="宋体" w:cs="宋体"/>
              <w:szCs w:val="20"/>
            </w:rPr>
            <w:fldChar w:fldCharType="separate"/>
          </w:r>
          <w:r>
            <w:rPr>
              <w:rFonts w:hint="eastAsia" w:ascii="宋体" w:hAnsi="宋体" w:cs="宋体"/>
              <w:szCs w:val="21"/>
            </w:rPr>
            <w:t>一、总则</w:t>
          </w:r>
          <w:r>
            <w:tab/>
          </w:r>
          <w:r>
            <w:fldChar w:fldCharType="begin"/>
          </w:r>
          <w:r>
            <w:instrText xml:space="preserve"> PAGEREF _Toc29951 \h </w:instrText>
          </w:r>
          <w:r>
            <w:fldChar w:fldCharType="separate"/>
          </w:r>
          <w:r>
            <w:t>7</w:t>
          </w:r>
          <w:r>
            <w:fldChar w:fldCharType="end"/>
          </w:r>
          <w:r>
            <w:rPr>
              <w:rFonts w:ascii="宋体" w:hAnsi="宋体" w:cs="宋体"/>
              <w:szCs w:val="20"/>
            </w:rPr>
            <w:fldChar w:fldCharType="end"/>
          </w:r>
        </w:p>
        <w:p w14:paraId="1D652A28">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_Toc2637 </w:instrText>
          </w:r>
          <w:r>
            <w:rPr>
              <w:rFonts w:ascii="宋体" w:hAnsi="宋体" w:cs="宋体"/>
              <w:szCs w:val="20"/>
            </w:rPr>
            <w:fldChar w:fldCharType="separate"/>
          </w:r>
          <w:r>
            <w:rPr>
              <w:rFonts w:hint="eastAsia" w:ascii="宋体" w:hAnsi="宋体" w:cs="宋体"/>
              <w:szCs w:val="21"/>
            </w:rPr>
            <w:t>二、招标文件构成</w:t>
          </w:r>
          <w:r>
            <w:tab/>
          </w:r>
          <w:r>
            <w:fldChar w:fldCharType="begin"/>
          </w:r>
          <w:r>
            <w:instrText xml:space="preserve"> PAGEREF _Toc2637 \h </w:instrText>
          </w:r>
          <w:r>
            <w:fldChar w:fldCharType="separate"/>
          </w:r>
          <w:r>
            <w:t>7</w:t>
          </w:r>
          <w:r>
            <w:fldChar w:fldCharType="end"/>
          </w:r>
          <w:r>
            <w:rPr>
              <w:rFonts w:ascii="宋体" w:hAnsi="宋体" w:cs="宋体"/>
              <w:szCs w:val="20"/>
            </w:rPr>
            <w:fldChar w:fldCharType="end"/>
          </w:r>
        </w:p>
        <w:p w14:paraId="1E72B168">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_Toc1539 </w:instrText>
          </w:r>
          <w:r>
            <w:rPr>
              <w:rFonts w:ascii="宋体" w:hAnsi="宋体" w:cs="宋体"/>
              <w:szCs w:val="20"/>
            </w:rPr>
            <w:fldChar w:fldCharType="separate"/>
          </w:r>
          <w:r>
            <w:rPr>
              <w:rFonts w:hint="eastAsia" w:ascii="宋体" w:hAnsi="宋体" w:cs="宋体"/>
              <w:szCs w:val="21"/>
            </w:rPr>
            <w:t>三、投标文件的编制</w:t>
          </w:r>
          <w:r>
            <w:tab/>
          </w:r>
          <w:r>
            <w:fldChar w:fldCharType="begin"/>
          </w:r>
          <w:r>
            <w:instrText xml:space="preserve"> PAGEREF _Toc1539 \h </w:instrText>
          </w:r>
          <w:r>
            <w:fldChar w:fldCharType="separate"/>
          </w:r>
          <w:r>
            <w:t>8</w:t>
          </w:r>
          <w:r>
            <w:fldChar w:fldCharType="end"/>
          </w:r>
          <w:r>
            <w:rPr>
              <w:rFonts w:ascii="宋体" w:hAnsi="宋体" w:cs="宋体"/>
              <w:szCs w:val="20"/>
            </w:rPr>
            <w:fldChar w:fldCharType="end"/>
          </w:r>
        </w:p>
        <w:p w14:paraId="4BF1C315">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_Toc17202 </w:instrText>
          </w:r>
          <w:r>
            <w:rPr>
              <w:rFonts w:ascii="宋体" w:hAnsi="宋体" w:cs="宋体"/>
              <w:szCs w:val="20"/>
            </w:rPr>
            <w:fldChar w:fldCharType="separate"/>
          </w:r>
          <w:r>
            <w:rPr>
              <w:rFonts w:hint="eastAsia" w:ascii="宋体" w:hAnsi="宋体" w:cs="宋体"/>
              <w:szCs w:val="21"/>
            </w:rPr>
            <w:t>四、投标文件的递交</w:t>
          </w:r>
          <w:r>
            <w:tab/>
          </w:r>
          <w:r>
            <w:fldChar w:fldCharType="begin"/>
          </w:r>
          <w:r>
            <w:instrText xml:space="preserve"> PAGEREF _Toc17202 \h </w:instrText>
          </w:r>
          <w:r>
            <w:fldChar w:fldCharType="separate"/>
          </w:r>
          <w:r>
            <w:t>10</w:t>
          </w:r>
          <w:r>
            <w:fldChar w:fldCharType="end"/>
          </w:r>
          <w:r>
            <w:rPr>
              <w:rFonts w:ascii="宋体" w:hAnsi="宋体" w:cs="宋体"/>
              <w:szCs w:val="20"/>
            </w:rPr>
            <w:fldChar w:fldCharType="end"/>
          </w:r>
        </w:p>
        <w:p w14:paraId="0D56ADCC">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_Toc4382 </w:instrText>
          </w:r>
          <w:r>
            <w:rPr>
              <w:rFonts w:ascii="宋体" w:hAnsi="宋体" w:cs="宋体"/>
              <w:szCs w:val="20"/>
            </w:rPr>
            <w:fldChar w:fldCharType="separate"/>
          </w:r>
          <w:r>
            <w:rPr>
              <w:rFonts w:hint="eastAsia" w:ascii="宋体" w:hAnsi="宋体" w:cs="宋体"/>
              <w:szCs w:val="21"/>
            </w:rPr>
            <w:t>五、开标与评标</w:t>
          </w:r>
          <w:r>
            <w:tab/>
          </w:r>
          <w:r>
            <w:fldChar w:fldCharType="begin"/>
          </w:r>
          <w:r>
            <w:instrText xml:space="preserve"> PAGEREF _Toc4382 \h </w:instrText>
          </w:r>
          <w:r>
            <w:fldChar w:fldCharType="separate"/>
          </w:r>
          <w:r>
            <w:t>10</w:t>
          </w:r>
          <w:r>
            <w:fldChar w:fldCharType="end"/>
          </w:r>
          <w:r>
            <w:rPr>
              <w:rFonts w:ascii="宋体" w:hAnsi="宋体" w:cs="宋体"/>
              <w:szCs w:val="20"/>
            </w:rPr>
            <w:fldChar w:fldCharType="end"/>
          </w:r>
        </w:p>
        <w:p w14:paraId="17EDC5FE">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_Toc5026 </w:instrText>
          </w:r>
          <w:r>
            <w:rPr>
              <w:rFonts w:ascii="宋体" w:hAnsi="宋体" w:cs="宋体"/>
              <w:szCs w:val="20"/>
            </w:rPr>
            <w:fldChar w:fldCharType="separate"/>
          </w:r>
          <w:r>
            <w:rPr>
              <w:rFonts w:hint="eastAsia" w:ascii="宋体" w:hAnsi="宋体" w:cs="宋体"/>
              <w:szCs w:val="21"/>
            </w:rPr>
            <w:t>六、授予合同</w:t>
          </w:r>
          <w:r>
            <w:tab/>
          </w:r>
          <w:r>
            <w:fldChar w:fldCharType="begin"/>
          </w:r>
          <w:r>
            <w:instrText xml:space="preserve"> PAGEREF _Toc5026 \h </w:instrText>
          </w:r>
          <w:r>
            <w:fldChar w:fldCharType="separate"/>
          </w:r>
          <w:r>
            <w:t>12</w:t>
          </w:r>
          <w:r>
            <w:fldChar w:fldCharType="end"/>
          </w:r>
          <w:r>
            <w:rPr>
              <w:rFonts w:ascii="宋体" w:hAnsi="宋体" w:cs="宋体"/>
              <w:szCs w:val="20"/>
            </w:rPr>
            <w:fldChar w:fldCharType="end"/>
          </w:r>
        </w:p>
        <w:p w14:paraId="13768620">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_Toc4394 </w:instrText>
          </w:r>
          <w:r>
            <w:rPr>
              <w:rFonts w:ascii="宋体" w:hAnsi="宋体" w:cs="宋体"/>
              <w:szCs w:val="20"/>
            </w:rPr>
            <w:fldChar w:fldCharType="separate"/>
          </w:r>
          <w:r>
            <w:rPr>
              <w:rFonts w:hint="eastAsia" w:ascii="宋体" w:hAnsi="宋体" w:cs="宋体"/>
              <w:szCs w:val="21"/>
            </w:rPr>
            <w:t>七、质疑处理</w:t>
          </w:r>
          <w:r>
            <w:tab/>
          </w:r>
          <w:r>
            <w:fldChar w:fldCharType="begin"/>
          </w:r>
          <w:r>
            <w:instrText xml:space="preserve"> PAGEREF _Toc4394 \h </w:instrText>
          </w:r>
          <w:r>
            <w:fldChar w:fldCharType="separate"/>
          </w:r>
          <w:r>
            <w:t>12</w:t>
          </w:r>
          <w:r>
            <w:fldChar w:fldCharType="end"/>
          </w:r>
          <w:r>
            <w:rPr>
              <w:rFonts w:ascii="宋体" w:hAnsi="宋体" w:cs="宋体"/>
              <w:szCs w:val="20"/>
            </w:rPr>
            <w:fldChar w:fldCharType="end"/>
          </w:r>
        </w:p>
        <w:p w14:paraId="6D7ACDB6">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_Toc27530 </w:instrText>
          </w:r>
          <w:r>
            <w:rPr>
              <w:rFonts w:ascii="宋体" w:hAnsi="宋体" w:cs="宋体"/>
              <w:szCs w:val="20"/>
            </w:rPr>
            <w:fldChar w:fldCharType="separate"/>
          </w:r>
          <w:r>
            <w:rPr>
              <w:rFonts w:hint="eastAsia" w:ascii="宋体" w:hAnsi="宋体" w:cs="宋体"/>
              <w:szCs w:val="32"/>
            </w:rPr>
            <w:t>第三部分：采购需求</w:t>
          </w:r>
          <w:r>
            <w:tab/>
          </w:r>
          <w:r>
            <w:fldChar w:fldCharType="begin"/>
          </w:r>
          <w:r>
            <w:instrText xml:space="preserve"> PAGEREF _Toc27530 \h </w:instrText>
          </w:r>
          <w:r>
            <w:fldChar w:fldCharType="separate"/>
          </w:r>
          <w:r>
            <w:t>14</w:t>
          </w:r>
          <w:r>
            <w:fldChar w:fldCharType="end"/>
          </w:r>
          <w:r>
            <w:rPr>
              <w:rFonts w:ascii="宋体" w:hAnsi="宋体" w:cs="宋体"/>
              <w:szCs w:val="20"/>
            </w:rPr>
            <w:fldChar w:fldCharType="end"/>
          </w:r>
        </w:p>
        <w:p w14:paraId="51FA20E9">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_Toc31986 </w:instrText>
          </w:r>
          <w:r>
            <w:rPr>
              <w:rFonts w:ascii="宋体" w:hAnsi="宋体" w:cs="宋体"/>
              <w:szCs w:val="20"/>
            </w:rPr>
            <w:fldChar w:fldCharType="separate"/>
          </w:r>
          <w:r>
            <w:rPr>
              <w:rFonts w:hint="eastAsia" w:cs="宋体"/>
            </w:rPr>
            <w:t>一、 项目概况</w:t>
          </w:r>
          <w:r>
            <w:tab/>
          </w:r>
          <w:r>
            <w:fldChar w:fldCharType="begin"/>
          </w:r>
          <w:r>
            <w:instrText xml:space="preserve"> PAGEREF _Toc31986 \h </w:instrText>
          </w:r>
          <w:r>
            <w:fldChar w:fldCharType="separate"/>
          </w:r>
          <w:r>
            <w:t>14</w:t>
          </w:r>
          <w:r>
            <w:fldChar w:fldCharType="end"/>
          </w:r>
          <w:r>
            <w:rPr>
              <w:rFonts w:ascii="宋体" w:hAnsi="宋体" w:cs="宋体"/>
              <w:szCs w:val="20"/>
            </w:rPr>
            <w:fldChar w:fldCharType="end"/>
          </w:r>
        </w:p>
        <w:p w14:paraId="4939913E">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_Toc23246 </w:instrText>
          </w:r>
          <w:r>
            <w:rPr>
              <w:rFonts w:ascii="宋体" w:hAnsi="宋体" w:cs="宋体"/>
              <w:szCs w:val="20"/>
            </w:rPr>
            <w:fldChar w:fldCharType="separate"/>
          </w:r>
          <w:r>
            <w:rPr>
              <w:rFonts w:hint="eastAsia" w:cs="宋体"/>
            </w:rPr>
            <w:t>二、 招标要求</w:t>
          </w:r>
          <w:r>
            <w:tab/>
          </w:r>
          <w:r>
            <w:fldChar w:fldCharType="begin"/>
          </w:r>
          <w:r>
            <w:instrText xml:space="preserve"> PAGEREF _Toc23246 \h </w:instrText>
          </w:r>
          <w:r>
            <w:fldChar w:fldCharType="separate"/>
          </w:r>
          <w:r>
            <w:t>14</w:t>
          </w:r>
          <w:r>
            <w:fldChar w:fldCharType="end"/>
          </w:r>
          <w:r>
            <w:rPr>
              <w:rFonts w:ascii="宋体" w:hAnsi="宋体" w:cs="宋体"/>
              <w:szCs w:val="20"/>
            </w:rPr>
            <w:fldChar w:fldCharType="end"/>
          </w:r>
        </w:p>
        <w:p w14:paraId="440A22E5">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_Toc28653 </w:instrText>
          </w:r>
          <w:r>
            <w:rPr>
              <w:rFonts w:ascii="宋体" w:hAnsi="宋体" w:cs="宋体"/>
              <w:szCs w:val="20"/>
            </w:rPr>
            <w:fldChar w:fldCharType="separate"/>
          </w:r>
          <w:r>
            <w:rPr>
              <w:rFonts w:hint="eastAsia" w:ascii="宋体" w:hAnsi="宋体" w:cs="宋体"/>
              <w:szCs w:val="32"/>
            </w:rPr>
            <w:t>第四部分：合同条款</w:t>
          </w:r>
          <w:r>
            <w:tab/>
          </w:r>
          <w:r>
            <w:fldChar w:fldCharType="begin"/>
          </w:r>
          <w:r>
            <w:instrText xml:space="preserve"> PAGEREF _Toc28653 \h </w:instrText>
          </w:r>
          <w:r>
            <w:fldChar w:fldCharType="separate"/>
          </w:r>
          <w:r>
            <w:t>16</w:t>
          </w:r>
          <w:r>
            <w:fldChar w:fldCharType="end"/>
          </w:r>
          <w:r>
            <w:rPr>
              <w:rFonts w:ascii="宋体" w:hAnsi="宋体" w:cs="宋体"/>
              <w:szCs w:val="20"/>
            </w:rPr>
            <w:fldChar w:fldCharType="end"/>
          </w:r>
        </w:p>
        <w:p w14:paraId="48378B00">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_Toc13738 </w:instrText>
          </w:r>
          <w:r>
            <w:rPr>
              <w:rFonts w:ascii="宋体" w:hAnsi="宋体" w:cs="宋体"/>
              <w:szCs w:val="20"/>
            </w:rPr>
            <w:fldChar w:fldCharType="separate"/>
          </w:r>
          <w:r>
            <w:rPr>
              <w:rFonts w:hint="eastAsia" w:ascii="宋体" w:hAnsi="宋体" w:cs="宋体"/>
              <w:bCs/>
              <w:szCs w:val="72"/>
            </w:rPr>
            <w:t>技 术 服 务 合 同</w:t>
          </w:r>
          <w:r>
            <w:tab/>
          </w:r>
          <w:r>
            <w:fldChar w:fldCharType="begin"/>
          </w:r>
          <w:r>
            <w:instrText xml:space="preserve"> PAGEREF _Toc13738 \h </w:instrText>
          </w:r>
          <w:r>
            <w:fldChar w:fldCharType="separate"/>
          </w:r>
          <w:r>
            <w:t>16</w:t>
          </w:r>
          <w:r>
            <w:fldChar w:fldCharType="end"/>
          </w:r>
          <w:r>
            <w:rPr>
              <w:rFonts w:ascii="宋体" w:hAnsi="宋体" w:cs="宋体"/>
              <w:szCs w:val="20"/>
            </w:rPr>
            <w:fldChar w:fldCharType="end"/>
          </w:r>
        </w:p>
        <w:p w14:paraId="4DF20645">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_Toc24985 </w:instrText>
          </w:r>
          <w:r>
            <w:rPr>
              <w:rFonts w:ascii="宋体" w:hAnsi="宋体" w:cs="宋体"/>
              <w:szCs w:val="20"/>
            </w:rPr>
            <w:fldChar w:fldCharType="separate"/>
          </w:r>
          <w:r>
            <w:rPr>
              <w:rFonts w:hint="eastAsia" w:ascii="宋体" w:hAnsi="宋体" w:cs="宋体"/>
              <w:bCs/>
            </w:rPr>
            <w:t>附件1：</w:t>
          </w:r>
          <w:r>
            <w:tab/>
          </w:r>
          <w:r>
            <w:fldChar w:fldCharType="begin"/>
          </w:r>
          <w:r>
            <w:instrText xml:space="preserve"> PAGEREF _Toc24985 \h </w:instrText>
          </w:r>
          <w:r>
            <w:fldChar w:fldCharType="separate"/>
          </w:r>
          <w:r>
            <w:t>20</w:t>
          </w:r>
          <w:r>
            <w:fldChar w:fldCharType="end"/>
          </w:r>
          <w:r>
            <w:rPr>
              <w:rFonts w:ascii="宋体" w:hAnsi="宋体" w:cs="宋体"/>
              <w:szCs w:val="20"/>
            </w:rPr>
            <w:fldChar w:fldCharType="end"/>
          </w:r>
        </w:p>
        <w:p w14:paraId="7C6FE9CF">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_Toc264 </w:instrText>
          </w:r>
          <w:r>
            <w:rPr>
              <w:rFonts w:ascii="宋体" w:hAnsi="宋体" w:cs="宋体"/>
              <w:szCs w:val="20"/>
            </w:rPr>
            <w:fldChar w:fldCharType="separate"/>
          </w:r>
          <w:r>
            <w:rPr>
              <w:rFonts w:hint="eastAsia" w:ascii="宋体" w:hAnsi="宋体" w:cs="宋体"/>
              <w:bCs/>
            </w:rPr>
            <w:t>附件2：</w:t>
          </w:r>
          <w:r>
            <w:tab/>
          </w:r>
          <w:r>
            <w:fldChar w:fldCharType="begin"/>
          </w:r>
          <w:r>
            <w:instrText xml:space="preserve"> PAGEREF _Toc264 \h </w:instrText>
          </w:r>
          <w:r>
            <w:fldChar w:fldCharType="separate"/>
          </w:r>
          <w:r>
            <w:t>21</w:t>
          </w:r>
          <w:r>
            <w:fldChar w:fldCharType="end"/>
          </w:r>
          <w:r>
            <w:rPr>
              <w:rFonts w:ascii="宋体" w:hAnsi="宋体" w:cs="宋体"/>
              <w:szCs w:val="20"/>
            </w:rPr>
            <w:fldChar w:fldCharType="end"/>
          </w:r>
        </w:p>
        <w:p w14:paraId="496297C4">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_Toc10489 </w:instrText>
          </w:r>
          <w:r>
            <w:rPr>
              <w:rFonts w:ascii="宋体" w:hAnsi="宋体" w:cs="宋体"/>
              <w:szCs w:val="20"/>
            </w:rPr>
            <w:fldChar w:fldCharType="separate"/>
          </w:r>
          <w:r>
            <w:rPr>
              <w:rFonts w:hint="eastAsia" w:ascii="宋体" w:hAnsi="宋体" w:cs="宋体"/>
              <w:bCs/>
            </w:rPr>
            <w:t>附件3:</w:t>
          </w:r>
          <w:r>
            <w:tab/>
          </w:r>
          <w:r>
            <w:fldChar w:fldCharType="begin"/>
          </w:r>
          <w:r>
            <w:instrText xml:space="preserve"> PAGEREF _Toc10489 \h </w:instrText>
          </w:r>
          <w:r>
            <w:fldChar w:fldCharType="separate"/>
          </w:r>
          <w:r>
            <w:t>23</w:t>
          </w:r>
          <w:r>
            <w:fldChar w:fldCharType="end"/>
          </w:r>
          <w:r>
            <w:rPr>
              <w:rFonts w:ascii="宋体" w:hAnsi="宋体" w:cs="宋体"/>
              <w:szCs w:val="20"/>
            </w:rPr>
            <w:fldChar w:fldCharType="end"/>
          </w:r>
        </w:p>
        <w:p w14:paraId="10074C7F">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_Toc3738 </w:instrText>
          </w:r>
          <w:r>
            <w:rPr>
              <w:rFonts w:ascii="宋体" w:hAnsi="宋体" w:cs="宋体"/>
              <w:szCs w:val="20"/>
            </w:rPr>
            <w:fldChar w:fldCharType="separate"/>
          </w:r>
          <w:r>
            <w:rPr>
              <w:rFonts w:hint="eastAsia" w:ascii="宋体" w:hAnsi="宋体" w:cs="宋体"/>
              <w:szCs w:val="32"/>
            </w:rPr>
            <w:t>第五部分：评标办法</w:t>
          </w:r>
          <w:r>
            <w:tab/>
          </w:r>
          <w:r>
            <w:fldChar w:fldCharType="begin"/>
          </w:r>
          <w:r>
            <w:instrText xml:space="preserve"> PAGEREF _Toc3738 \h </w:instrText>
          </w:r>
          <w:r>
            <w:fldChar w:fldCharType="separate"/>
          </w:r>
          <w:r>
            <w:t>24</w:t>
          </w:r>
          <w:r>
            <w:fldChar w:fldCharType="end"/>
          </w:r>
          <w:r>
            <w:rPr>
              <w:rFonts w:ascii="宋体" w:hAnsi="宋体" w:cs="宋体"/>
              <w:szCs w:val="20"/>
            </w:rPr>
            <w:fldChar w:fldCharType="end"/>
          </w:r>
        </w:p>
        <w:p w14:paraId="5C73B3FC">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_Toc13511 </w:instrText>
          </w:r>
          <w:r>
            <w:rPr>
              <w:rFonts w:ascii="宋体" w:hAnsi="宋体" w:cs="宋体"/>
              <w:szCs w:val="20"/>
            </w:rPr>
            <w:fldChar w:fldCharType="separate"/>
          </w:r>
          <w:r>
            <w:rPr>
              <w:rFonts w:hint="eastAsia" w:ascii="宋体" w:hAnsi="宋体" w:cs="宋体"/>
              <w:szCs w:val="21"/>
            </w:rPr>
            <w:t>一、 资格审查标准</w:t>
          </w:r>
          <w:r>
            <w:tab/>
          </w:r>
          <w:r>
            <w:fldChar w:fldCharType="begin"/>
          </w:r>
          <w:r>
            <w:instrText xml:space="preserve"> PAGEREF _Toc13511 \h </w:instrText>
          </w:r>
          <w:r>
            <w:fldChar w:fldCharType="separate"/>
          </w:r>
          <w:r>
            <w:t>24</w:t>
          </w:r>
          <w:r>
            <w:fldChar w:fldCharType="end"/>
          </w:r>
          <w:r>
            <w:rPr>
              <w:rFonts w:ascii="宋体" w:hAnsi="宋体" w:cs="宋体"/>
              <w:szCs w:val="20"/>
            </w:rPr>
            <w:fldChar w:fldCharType="end"/>
          </w:r>
        </w:p>
        <w:p w14:paraId="7BA6CDCD">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_Toc11967 </w:instrText>
          </w:r>
          <w:r>
            <w:rPr>
              <w:rFonts w:ascii="宋体" w:hAnsi="宋体" w:cs="宋体"/>
              <w:szCs w:val="20"/>
            </w:rPr>
            <w:fldChar w:fldCharType="separate"/>
          </w:r>
          <w:r>
            <w:rPr>
              <w:rFonts w:hint="eastAsia" w:ascii="宋体" w:hAnsi="宋体" w:cs="宋体"/>
              <w:szCs w:val="21"/>
            </w:rPr>
            <w:t>二、 符合性审查标准</w:t>
          </w:r>
          <w:r>
            <w:tab/>
          </w:r>
          <w:r>
            <w:fldChar w:fldCharType="begin"/>
          </w:r>
          <w:r>
            <w:instrText xml:space="preserve"> PAGEREF _Toc11967 \h </w:instrText>
          </w:r>
          <w:r>
            <w:fldChar w:fldCharType="separate"/>
          </w:r>
          <w:r>
            <w:t>24</w:t>
          </w:r>
          <w:r>
            <w:fldChar w:fldCharType="end"/>
          </w:r>
          <w:r>
            <w:rPr>
              <w:rFonts w:ascii="宋体" w:hAnsi="宋体" w:cs="宋体"/>
              <w:szCs w:val="20"/>
            </w:rPr>
            <w:fldChar w:fldCharType="end"/>
          </w:r>
        </w:p>
        <w:p w14:paraId="6ECC3C4F">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_Toc26189 </w:instrText>
          </w:r>
          <w:r>
            <w:rPr>
              <w:rFonts w:ascii="宋体" w:hAnsi="宋体" w:cs="宋体"/>
              <w:szCs w:val="20"/>
            </w:rPr>
            <w:fldChar w:fldCharType="separate"/>
          </w:r>
          <w:r>
            <w:rPr>
              <w:rFonts w:hint="eastAsia" w:ascii="宋体" w:hAnsi="宋体" w:cs="宋体"/>
              <w:szCs w:val="21"/>
            </w:rPr>
            <w:t>三、 综合评分标准</w:t>
          </w:r>
          <w:r>
            <w:tab/>
          </w:r>
          <w:r>
            <w:fldChar w:fldCharType="begin"/>
          </w:r>
          <w:r>
            <w:instrText xml:space="preserve"> PAGEREF _Toc26189 \h </w:instrText>
          </w:r>
          <w:r>
            <w:fldChar w:fldCharType="separate"/>
          </w:r>
          <w:r>
            <w:t>25</w:t>
          </w:r>
          <w:r>
            <w:fldChar w:fldCharType="end"/>
          </w:r>
          <w:r>
            <w:rPr>
              <w:rFonts w:ascii="宋体" w:hAnsi="宋体" w:cs="宋体"/>
              <w:szCs w:val="20"/>
            </w:rPr>
            <w:fldChar w:fldCharType="end"/>
          </w:r>
        </w:p>
        <w:p w14:paraId="1084CC30">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_Toc20080 </w:instrText>
          </w:r>
          <w:r>
            <w:rPr>
              <w:rFonts w:ascii="宋体" w:hAnsi="宋体" w:cs="宋体"/>
              <w:szCs w:val="20"/>
            </w:rPr>
            <w:fldChar w:fldCharType="separate"/>
          </w:r>
          <w:r>
            <w:rPr>
              <w:rFonts w:hint="eastAsia" w:ascii="宋体" w:hAnsi="宋体" w:cs="宋体"/>
              <w:szCs w:val="21"/>
            </w:rPr>
            <w:t>四、 评审程序</w:t>
          </w:r>
          <w:r>
            <w:tab/>
          </w:r>
          <w:r>
            <w:fldChar w:fldCharType="begin"/>
          </w:r>
          <w:r>
            <w:instrText xml:space="preserve"> PAGEREF _Toc20080 \h </w:instrText>
          </w:r>
          <w:r>
            <w:fldChar w:fldCharType="separate"/>
          </w:r>
          <w:r>
            <w:t>26</w:t>
          </w:r>
          <w:r>
            <w:fldChar w:fldCharType="end"/>
          </w:r>
          <w:r>
            <w:rPr>
              <w:rFonts w:ascii="宋体" w:hAnsi="宋体" w:cs="宋体"/>
              <w:szCs w:val="20"/>
            </w:rPr>
            <w:fldChar w:fldCharType="end"/>
          </w:r>
        </w:p>
        <w:p w14:paraId="448A436F">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_Toc11278 </w:instrText>
          </w:r>
          <w:r>
            <w:rPr>
              <w:rFonts w:ascii="宋体" w:hAnsi="宋体" w:cs="宋体"/>
              <w:szCs w:val="20"/>
            </w:rPr>
            <w:fldChar w:fldCharType="separate"/>
          </w:r>
          <w:r>
            <w:rPr>
              <w:rFonts w:hint="eastAsia" w:ascii="宋体" w:hAnsi="宋体" w:cs="宋体"/>
              <w:szCs w:val="21"/>
            </w:rPr>
            <w:t>五、 同品牌产品（不适用）</w:t>
          </w:r>
          <w:r>
            <w:tab/>
          </w:r>
          <w:r>
            <w:fldChar w:fldCharType="begin"/>
          </w:r>
          <w:r>
            <w:instrText xml:space="preserve"> PAGEREF _Toc11278 \h </w:instrText>
          </w:r>
          <w:r>
            <w:fldChar w:fldCharType="separate"/>
          </w:r>
          <w:r>
            <w:t>27</w:t>
          </w:r>
          <w:r>
            <w:fldChar w:fldCharType="end"/>
          </w:r>
          <w:r>
            <w:rPr>
              <w:rFonts w:ascii="宋体" w:hAnsi="宋体" w:cs="宋体"/>
              <w:szCs w:val="20"/>
            </w:rPr>
            <w:fldChar w:fldCharType="end"/>
          </w:r>
        </w:p>
        <w:p w14:paraId="09AACF77">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_Toc18899 </w:instrText>
          </w:r>
          <w:r>
            <w:rPr>
              <w:rFonts w:ascii="宋体" w:hAnsi="宋体" w:cs="宋体"/>
              <w:szCs w:val="20"/>
            </w:rPr>
            <w:fldChar w:fldCharType="separate"/>
          </w:r>
          <w:r>
            <w:rPr>
              <w:rFonts w:hint="eastAsia" w:ascii="宋体" w:hAnsi="宋体" w:cs="宋体"/>
              <w:szCs w:val="21"/>
            </w:rPr>
            <w:t>六、 政府采购政策</w:t>
          </w:r>
          <w:r>
            <w:tab/>
          </w:r>
          <w:r>
            <w:fldChar w:fldCharType="begin"/>
          </w:r>
          <w:r>
            <w:instrText xml:space="preserve"> PAGEREF _Toc18899 \h </w:instrText>
          </w:r>
          <w:r>
            <w:fldChar w:fldCharType="separate"/>
          </w:r>
          <w:r>
            <w:t>27</w:t>
          </w:r>
          <w:r>
            <w:fldChar w:fldCharType="end"/>
          </w:r>
          <w:r>
            <w:rPr>
              <w:rFonts w:ascii="宋体" w:hAnsi="宋体" w:cs="宋体"/>
              <w:szCs w:val="20"/>
            </w:rPr>
            <w:fldChar w:fldCharType="end"/>
          </w:r>
        </w:p>
        <w:p w14:paraId="48889258">
          <w:pPr>
            <w:pStyle w:val="21"/>
            <w:tabs>
              <w:tab w:val="right" w:leader="dot" w:pos="9026"/>
            </w:tabs>
          </w:pPr>
          <w:r>
            <w:rPr>
              <w:rFonts w:ascii="宋体" w:hAnsi="宋体" w:cs="宋体"/>
              <w:szCs w:val="20"/>
            </w:rPr>
            <w:fldChar w:fldCharType="begin"/>
          </w:r>
          <w:r>
            <w:rPr>
              <w:rFonts w:ascii="宋体" w:hAnsi="宋体" w:cs="宋体"/>
              <w:szCs w:val="20"/>
            </w:rPr>
            <w:instrText xml:space="preserve"> HYPERLINK \l _Toc8861 </w:instrText>
          </w:r>
          <w:r>
            <w:rPr>
              <w:rFonts w:ascii="宋体" w:hAnsi="宋体" w:cs="宋体"/>
              <w:szCs w:val="20"/>
            </w:rPr>
            <w:fldChar w:fldCharType="separate"/>
          </w:r>
          <w:r>
            <w:rPr>
              <w:rFonts w:hint="eastAsia" w:ascii="宋体" w:hAnsi="宋体" w:cs="宋体"/>
              <w:szCs w:val="32"/>
            </w:rPr>
            <w:t>第六部分：投标文件组成</w:t>
          </w:r>
          <w:r>
            <w:tab/>
          </w:r>
          <w:r>
            <w:fldChar w:fldCharType="begin"/>
          </w:r>
          <w:r>
            <w:instrText xml:space="preserve"> PAGEREF _Toc8861 \h </w:instrText>
          </w:r>
          <w:r>
            <w:fldChar w:fldCharType="separate"/>
          </w:r>
          <w:r>
            <w:t>28</w:t>
          </w:r>
          <w:r>
            <w:fldChar w:fldCharType="end"/>
          </w:r>
          <w:r>
            <w:rPr>
              <w:rFonts w:ascii="宋体" w:hAnsi="宋体" w:cs="宋体"/>
              <w:szCs w:val="20"/>
            </w:rPr>
            <w:fldChar w:fldCharType="end"/>
          </w:r>
        </w:p>
        <w:p w14:paraId="09D4843C">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_Toc16417 </w:instrText>
          </w:r>
          <w:r>
            <w:rPr>
              <w:rFonts w:ascii="宋体" w:hAnsi="宋体" w:cs="宋体"/>
              <w:szCs w:val="20"/>
            </w:rPr>
            <w:fldChar w:fldCharType="separate"/>
          </w:r>
          <w:r>
            <w:rPr>
              <w:rFonts w:hint="eastAsia" w:ascii="宋体" w:hAnsi="宋体" w:cs="宋体"/>
              <w:bCs/>
              <w:szCs w:val="28"/>
            </w:rPr>
            <w:t>投标人提交投标文件须知</w:t>
          </w:r>
          <w:r>
            <w:tab/>
          </w:r>
          <w:r>
            <w:fldChar w:fldCharType="begin"/>
          </w:r>
          <w:r>
            <w:instrText xml:space="preserve"> PAGEREF _Toc16417 \h </w:instrText>
          </w:r>
          <w:r>
            <w:fldChar w:fldCharType="separate"/>
          </w:r>
          <w:r>
            <w:t>28</w:t>
          </w:r>
          <w:r>
            <w:fldChar w:fldCharType="end"/>
          </w:r>
          <w:r>
            <w:rPr>
              <w:rFonts w:ascii="宋体" w:hAnsi="宋体" w:cs="宋体"/>
              <w:szCs w:val="20"/>
            </w:rPr>
            <w:fldChar w:fldCharType="end"/>
          </w:r>
        </w:p>
        <w:p w14:paraId="536B9D76">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_Toc30044 </w:instrText>
          </w:r>
          <w:r>
            <w:rPr>
              <w:rFonts w:ascii="宋体" w:hAnsi="宋体" w:cs="宋体"/>
              <w:szCs w:val="20"/>
            </w:rPr>
            <w:fldChar w:fldCharType="separate"/>
          </w:r>
          <w:r>
            <w:rPr>
              <w:rFonts w:hint="eastAsia" w:ascii="宋体" w:hAnsi="宋体" w:cs="宋体"/>
              <w:szCs w:val="84"/>
            </w:rPr>
            <w:t>投标文件</w:t>
          </w:r>
          <w:r>
            <w:tab/>
          </w:r>
          <w:r>
            <w:fldChar w:fldCharType="begin"/>
          </w:r>
          <w:r>
            <w:instrText xml:space="preserve"> PAGEREF _Toc30044 \h </w:instrText>
          </w:r>
          <w:r>
            <w:fldChar w:fldCharType="separate"/>
          </w:r>
          <w:r>
            <w:t>29</w:t>
          </w:r>
          <w:r>
            <w:fldChar w:fldCharType="end"/>
          </w:r>
          <w:r>
            <w:rPr>
              <w:rFonts w:ascii="宋体" w:hAnsi="宋体" w:cs="宋体"/>
              <w:szCs w:val="20"/>
            </w:rPr>
            <w:fldChar w:fldCharType="end"/>
          </w:r>
        </w:p>
        <w:p w14:paraId="416616FC">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_Toc23556 </w:instrText>
          </w:r>
          <w:r>
            <w:rPr>
              <w:rFonts w:ascii="宋体" w:hAnsi="宋体" w:cs="宋体"/>
              <w:szCs w:val="20"/>
            </w:rPr>
            <w:fldChar w:fldCharType="separate"/>
          </w:r>
          <w:r>
            <w:rPr>
              <w:rFonts w:hint="eastAsia" w:ascii="宋体" w:hAnsi="宋体" w:cs="宋体"/>
              <w:szCs w:val="28"/>
              <w:lang w:val="zh-CN"/>
            </w:rPr>
            <w:t>资格审查响应对照表</w:t>
          </w:r>
          <w:r>
            <w:tab/>
          </w:r>
          <w:r>
            <w:fldChar w:fldCharType="begin"/>
          </w:r>
          <w:r>
            <w:instrText xml:space="preserve"> PAGEREF _Toc23556 \h </w:instrText>
          </w:r>
          <w:r>
            <w:fldChar w:fldCharType="separate"/>
          </w:r>
          <w:r>
            <w:t>30</w:t>
          </w:r>
          <w:r>
            <w:fldChar w:fldCharType="end"/>
          </w:r>
          <w:r>
            <w:rPr>
              <w:rFonts w:ascii="宋体" w:hAnsi="宋体" w:cs="宋体"/>
              <w:szCs w:val="20"/>
            </w:rPr>
            <w:fldChar w:fldCharType="end"/>
          </w:r>
        </w:p>
        <w:p w14:paraId="5DAD0438">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_Toc17908 </w:instrText>
          </w:r>
          <w:r>
            <w:rPr>
              <w:rFonts w:ascii="宋体" w:hAnsi="宋体" w:cs="宋体"/>
              <w:szCs w:val="20"/>
            </w:rPr>
            <w:fldChar w:fldCharType="separate"/>
          </w:r>
          <w:r>
            <w:rPr>
              <w:rFonts w:hint="eastAsia" w:ascii="宋体" w:hAnsi="宋体" w:cs="宋体"/>
              <w:szCs w:val="28"/>
              <w:lang w:val="zh-CN"/>
            </w:rPr>
            <w:t>符合性审查响应对照表</w:t>
          </w:r>
          <w:r>
            <w:tab/>
          </w:r>
          <w:r>
            <w:fldChar w:fldCharType="begin"/>
          </w:r>
          <w:r>
            <w:instrText xml:space="preserve"> PAGEREF _Toc17908 \h </w:instrText>
          </w:r>
          <w:r>
            <w:fldChar w:fldCharType="separate"/>
          </w:r>
          <w:r>
            <w:t>31</w:t>
          </w:r>
          <w:r>
            <w:fldChar w:fldCharType="end"/>
          </w:r>
          <w:r>
            <w:rPr>
              <w:rFonts w:ascii="宋体" w:hAnsi="宋体" w:cs="宋体"/>
              <w:szCs w:val="20"/>
            </w:rPr>
            <w:fldChar w:fldCharType="end"/>
          </w:r>
        </w:p>
        <w:p w14:paraId="50294C5E">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_Toc23447 </w:instrText>
          </w:r>
          <w:r>
            <w:rPr>
              <w:rFonts w:ascii="宋体" w:hAnsi="宋体" w:cs="宋体"/>
              <w:szCs w:val="20"/>
            </w:rPr>
            <w:fldChar w:fldCharType="separate"/>
          </w:r>
          <w:r>
            <w:rPr>
              <w:rFonts w:hint="eastAsia" w:ascii="宋体" w:hAnsi="宋体" w:cs="宋体"/>
              <w:szCs w:val="30"/>
            </w:rPr>
            <w:t>评分索引表</w:t>
          </w:r>
          <w:r>
            <w:tab/>
          </w:r>
          <w:r>
            <w:fldChar w:fldCharType="begin"/>
          </w:r>
          <w:r>
            <w:instrText xml:space="preserve"> PAGEREF _Toc23447 \h </w:instrText>
          </w:r>
          <w:r>
            <w:fldChar w:fldCharType="separate"/>
          </w:r>
          <w:r>
            <w:t>32</w:t>
          </w:r>
          <w:r>
            <w:fldChar w:fldCharType="end"/>
          </w:r>
          <w:r>
            <w:rPr>
              <w:rFonts w:ascii="宋体" w:hAnsi="宋体" w:cs="宋体"/>
              <w:szCs w:val="20"/>
            </w:rPr>
            <w:fldChar w:fldCharType="end"/>
          </w:r>
        </w:p>
        <w:p w14:paraId="40BE8622">
          <w:pPr>
            <w:pStyle w:val="24"/>
            <w:tabs>
              <w:tab w:val="right" w:leader="dot" w:pos="9026"/>
            </w:tabs>
          </w:pPr>
          <w:r>
            <w:rPr>
              <w:rFonts w:ascii="宋体" w:hAnsi="宋体" w:cs="宋体"/>
              <w:szCs w:val="20"/>
            </w:rPr>
            <w:fldChar w:fldCharType="begin"/>
          </w:r>
          <w:r>
            <w:rPr>
              <w:rFonts w:ascii="宋体" w:hAnsi="宋体" w:cs="宋体"/>
              <w:szCs w:val="20"/>
            </w:rPr>
            <w:instrText xml:space="preserve"> HYPERLINK \l _Toc22725 </w:instrText>
          </w:r>
          <w:r>
            <w:rPr>
              <w:rFonts w:ascii="宋体" w:hAnsi="宋体" w:cs="宋体"/>
              <w:szCs w:val="20"/>
            </w:rPr>
            <w:fldChar w:fldCharType="separate"/>
          </w:r>
          <w:r>
            <w:rPr>
              <w:rFonts w:hint="eastAsia" w:ascii="宋体" w:hAnsi="宋体" w:cs="宋体"/>
              <w:szCs w:val="28"/>
              <w:lang w:val="zh-CN"/>
            </w:rPr>
            <w:t>目  录</w:t>
          </w:r>
          <w:r>
            <w:tab/>
          </w:r>
          <w:r>
            <w:fldChar w:fldCharType="begin"/>
          </w:r>
          <w:r>
            <w:instrText xml:space="preserve"> PAGEREF _Toc22725 \h </w:instrText>
          </w:r>
          <w:r>
            <w:fldChar w:fldCharType="separate"/>
          </w:r>
          <w:r>
            <w:t>33</w:t>
          </w:r>
          <w:r>
            <w:fldChar w:fldCharType="end"/>
          </w:r>
          <w:r>
            <w:rPr>
              <w:rFonts w:ascii="宋体" w:hAnsi="宋体" w:cs="宋体"/>
              <w:szCs w:val="20"/>
            </w:rPr>
            <w:fldChar w:fldCharType="end"/>
          </w:r>
        </w:p>
        <w:p w14:paraId="4E62202B">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_Toc15787 </w:instrText>
          </w:r>
          <w:r>
            <w:rPr>
              <w:rFonts w:ascii="宋体" w:hAnsi="宋体" w:cs="宋体"/>
              <w:szCs w:val="20"/>
            </w:rPr>
            <w:fldChar w:fldCharType="separate"/>
          </w:r>
          <w:r>
            <w:rPr>
              <w:rFonts w:hint="eastAsia" w:ascii="宋体" w:hAnsi="宋体" w:cs="宋体"/>
              <w:szCs w:val="21"/>
            </w:rPr>
            <w:t>格式一、投标函</w:t>
          </w:r>
          <w:r>
            <w:tab/>
          </w:r>
          <w:r>
            <w:fldChar w:fldCharType="begin"/>
          </w:r>
          <w:r>
            <w:instrText xml:space="preserve"> PAGEREF _Toc15787 \h </w:instrText>
          </w:r>
          <w:r>
            <w:fldChar w:fldCharType="separate"/>
          </w:r>
          <w:r>
            <w:t>34</w:t>
          </w:r>
          <w:r>
            <w:fldChar w:fldCharType="end"/>
          </w:r>
          <w:r>
            <w:rPr>
              <w:rFonts w:ascii="宋体" w:hAnsi="宋体" w:cs="宋体"/>
              <w:szCs w:val="20"/>
            </w:rPr>
            <w:fldChar w:fldCharType="end"/>
          </w:r>
        </w:p>
        <w:p w14:paraId="20BE1C9A">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_Toc30110 </w:instrText>
          </w:r>
          <w:r>
            <w:rPr>
              <w:rFonts w:ascii="宋体" w:hAnsi="宋体" w:cs="宋体"/>
              <w:szCs w:val="20"/>
            </w:rPr>
            <w:fldChar w:fldCharType="separate"/>
          </w:r>
          <w:r>
            <w:rPr>
              <w:rFonts w:hint="eastAsia" w:ascii="宋体" w:hAnsi="宋体" w:cs="宋体"/>
              <w:bCs/>
            </w:rPr>
            <w:t>格式二、授权委托书</w:t>
          </w:r>
          <w:r>
            <w:tab/>
          </w:r>
          <w:r>
            <w:fldChar w:fldCharType="begin"/>
          </w:r>
          <w:r>
            <w:instrText xml:space="preserve"> PAGEREF _Toc30110 \h </w:instrText>
          </w:r>
          <w:r>
            <w:fldChar w:fldCharType="separate"/>
          </w:r>
          <w:r>
            <w:t>35</w:t>
          </w:r>
          <w:r>
            <w:fldChar w:fldCharType="end"/>
          </w:r>
          <w:r>
            <w:rPr>
              <w:rFonts w:ascii="宋体" w:hAnsi="宋体" w:cs="宋体"/>
              <w:szCs w:val="20"/>
            </w:rPr>
            <w:fldChar w:fldCharType="end"/>
          </w:r>
        </w:p>
        <w:p w14:paraId="3221A044">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_Toc26116 </w:instrText>
          </w:r>
          <w:r>
            <w:rPr>
              <w:rFonts w:ascii="宋体" w:hAnsi="宋体" w:cs="宋体"/>
              <w:szCs w:val="20"/>
            </w:rPr>
            <w:fldChar w:fldCharType="separate"/>
          </w:r>
          <w:r>
            <w:rPr>
              <w:rFonts w:hint="eastAsia" w:ascii="宋体" w:hAnsi="宋体" w:cs="宋体"/>
              <w:szCs w:val="21"/>
            </w:rPr>
            <w:t>格式三、开标一览表</w:t>
          </w:r>
          <w:r>
            <w:tab/>
          </w:r>
          <w:r>
            <w:fldChar w:fldCharType="begin"/>
          </w:r>
          <w:r>
            <w:instrText xml:space="preserve"> PAGEREF _Toc26116 \h </w:instrText>
          </w:r>
          <w:r>
            <w:fldChar w:fldCharType="separate"/>
          </w:r>
          <w:r>
            <w:t>36</w:t>
          </w:r>
          <w:r>
            <w:fldChar w:fldCharType="end"/>
          </w:r>
          <w:r>
            <w:rPr>
              <w:rFonts w:ascii="宋体" w:hAnsi="宋体" w:cs="宋体"/>
              <w:szCs w:val="20"/>
            </w:rPr>
            <w:fldChar w:fldCharType="end"/>
          </w:r>
        </w:p>
        <w:p w14:paraId="6AEA7823">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_Toc10114 </w:instrText>
          </w:r>
          <w:r>
            <w:rPr>
              <w:rFonts w:ascii="宋体" w:hAnsi="宋体" w:cs="宋体"/>
              <w:szCs w:val="20"/>
            </w:rPr>
            <w:fldChar w:fldCharType="separate"/>
          </w:r>
          <w:r>
            <w:rPr>
              <w:rFonts w:hint="eastAsia" w:ascii="宋体" w:hAnsi="宋体" w:cs="宋体"/>
              <w:szCs w:val="21"/>
            </w:rPr>
            <w:t>格式四、投标报价表</w:t>
          </w:r>
          <w:r>
            <w:tab/>
          </w:r>
          <w:r>
            <w:fldChar w:fldCharType="begin"/>
          </w:r>
          <w:r>
            <w:instrText xml:space="preserve"> PAGEREF _Toc10114 \h </w:instrText>
          </w:r>
          <w:r>
            <w:fldChar w:fldCharType="separate"/>
          </w:r>
          <w:r>
            <w:t>37</w:t>
          </w:r>
          <w:r>
            <w:fldChar w:fldCharType="end"/>
          </w:r>
          <w:r>
            <w:rPr>
              <w:rFonts w:ascii="宋体" w:hAnsi="宋体" w:cs="宋体"/>
              <w:szCs w:val="20"/>
            </w:rPr>
            <w:fldChar w:fldCharType="end"/>
          </w:r>
        </w:p>
        <w:p w14:paraId="025E28BC">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_Toc22696 </w:instrText>
          </w:r>
          <w:r>
            <w:rPr>
              <w:rFonts w:ascii="宋体" w:hAnsi="宋体" w:cs="宋体"/>
              <w:szCs w:val="20"/>
            </w:rPr>
            <w:fldChar w:fldCharType="separate"/>
          </w:r>
          <w:r>
            <w:rPr>
              <w:rFonts w:hint="eastAsia" w:ascii="宋体" w:hAnsi="宋体" w:cs="宋体"/>
              <w:szCs w:val="21"/>
            </w:rPr>
            <w:t>格式五、项目承诺书</w:t>
          </w:r>
          <w:r>
            <w:tab/>
          </w:r>
          <w:r>
            <w:fldChar w:fldCharType="begin"/>
          </w:r>
          <w:r>
            <w:instrText xml:space="preserve"> PAGEREF _Toc22696 \h </w:instrText>
          </w:r>
          <w:r>
            <w:fldChar w:fldCharType="separate"/>
          </w:r>
          <w:r>
            <w:t>38</w:t>
          </w:r>
          <w:r>
            <w:fldChar w:fldCharType="end"/>
          </w:r>
          <w:r>
            <w:rPr>
              <w:rFonts w:ascii="宋体" w:hAnsi="宋体" w:cs="宋体"/>
              <w:szCs w:val="20"/>
            </w:rPr>
            <w:fldChar w:fldCharType="end"/>
          </w:r>
        </w:p>
        <w:p w14:paraId="7C2C4925">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_Toc6981 </w:instrText>
          </w:r>
          <w:r>
            <w:rPr>
              <w:rFonts w:ascii="宋体" w:hAnsi="宋体" w:cs="宋体"/>
              <w:szCs w:val="20"/>
            </w:rPr>
            <w:fldChar w:fldCharType="separate"/>
          </w:r>
          <w:r>
            <w:rPr>
              <w:rFonts w:hint="eastAsia" w:ascii="宋体" w:hAnsi="宋体" w:cs="宋体"/>
              <w:szCs w:val="21"/>
            </w:rPr>
            <w:t>格式六、服务方案</w:t>
          </w:r>
          <w:r>
            <w:tab/>
          </w:r>
          <w:r>
            <w:fldChar w:fldCharType="begin"/>
          </w:r>
          <w:r>
            <w:instrText xml:space="preserve"> PAGEREF _Toc6981 \h </w:instrText>
          </w:r>
          <w:r>
            <w:fldChar w:fldCharType="separate"/>
          </w:r>
          <w:r>
            <w:t>39</w:t>
          </w:r>
          <w:r>
            <w:fldChar w:fldCharType="end"/>
          </w:r>
          <w:r>
            <w:rPr>
              <w:rFonts w:ascii="宋体" w:hAnsi="宋体" w:cs="宋体"/>
              <w:szCs w:val="20"/>
            </w:rPr>
            <w:fldChar w:fldCharType="end"/>
          </w:r>
        </w:p>
        <w:p w14:paraId="6AD9AB01">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_Toc27765 </w:instrText>
          </w:r>
          <w:r>
            <w:rPr>
              <w:rFonts w:ascii="宋体" w:hAnsi="宋体" w:cs="宋体"/>
              <w:szCs w:val="20"/>
            </w:rPr>
            <w:fldChar w:fldCharType="separate"/>
          </w:r>
          <w:r>
            <w:rPr>
              <w:rFonts w:hint="eastAsia" w:ascii="宋体" w:hAnsi="宋体" w:cs="宋体"/>
              <w:szCs w:val="21"/>
            </w:rPr>
            <w:t>格式七、</w:t>
          </w:r>
          <w:r>
            <w:rPr>
              <w:rFonts w:hint="eastAsia" w:ascii="宋体" w:hAnsi="宋体" w:cs="宋体"/>
              <w:bCs/>
              <w:szCs w:val="21"/>
            </w:rPr>
            <w:t>资格证明文件</w:t>
          </w:r>
          <w:r>
            <w:tab/>
          </w:r>
          <w:r>
            <w:fldChar w:fldCharType="begin"/>
          </w:r>
          <w:r>
            <w:instrText xml:space="preserve"> PAGEREF _Toc27765 \h </w:instrText>
          </w:r>
          <w:r>
            <w:fldChar w:fldCharType="separate"/>
          </w:r>
          <w:r>
            <w:t>40</w:t>
          </w:r>
          <w:r>
            <w:fldChar w:fldCharType="end"/>
          </w:r>
          <w:r>
            <w:rPr>
              <w:rFonts w:ascii="宋体" w:hAnsi="宋体" w:cs="宋体"/>
              <w:szCs w:val="20"/>
            </w:rPr>
            <w:fldChar w:fldCharType="end"/>
          </w:r>
        </w:p>
        <w:p w14:paraId="420A7816">
          <w:pPr>
            <w:pStyle w:val="14"/>
            <w:tabs>
              <w:tab w:val="right" w:leader="dot" w:pos="9026"/>
            </w:tabs>
          </w:pPr>
          <w:r>
            <w:rPr>
              <w:rFonts w:ascii="宋体" w:hAnsi="宋体" w:cs="宋体"/>
              <w:szCs w:val="20"/>
            </w:rPr>
            <w:fldChar w:fldCharType="begin"/>
          </w:r>
          <w:r>
            <w:rPr>
              <w:rFonts w:ascii="宋体" w:hAnsi="宋体" w:cs="宋体"/>
              <w:szCs w:val="20"/>
            </w:rPr>
            <w:instrText xml:space="preserve"> HYPERLINK \l _Toc7226 </w:instrText>
          </w:r>
          <w:r>
            <w:rPr>
              <w:rFonts w:ascii="宋体" w:hAnsi="宋体" w:cs="宋体"/>
              <w:szCs w:val="20"/>
            </w:rPr>
            <w:fldChar w:fldCharType="separate"/>
          </w:r>
          <w:r>
            <w:rPr>
              <w:rFonts w:hint="eastAsia" w:ascii="宋体" w:hAnsi="宋体" w:cs="宋体"/>
              <w:szCs w:val="21"/>
            </w:rPr>
            <w:t>格式八、其它</w:t>
          </w:r>
          <w:r>
            <w:tab/>
          </w:r>
          <w:r>
            <w:fldChar w:fldCharType="begin"/>
          </w:r>
          <w:r>
            <w:instrText xml:space="preserve"> PAGEREF _Toc7226 \h </w:instrText>
          </w:r>
          <w:r>
            <w:fldChar w:fldCharType="separate"/>
          </w:r>
          <w:r>
            <w:t>44</w:t>
          </w:r>
          <w:r>
            <w:fldChar w:fldCharType="end"/>
          </w:r>
          <w:r>
            <w:rPr>
              <w:rFonts w:ascii="宋体" w:hAnsi="宋体" w:cs="宋体"/>
              <w:szCs w:val="20"/>
            </w:rPr>
            <w:fldChar w:fldCharType="end"/>
          </w:r>
        </w:p>
        <w:p w14:paraId="1C589739">
          <w:pPr>
            <w:rPr>
              <w:rFonts w:ascii="宋体" w:hAnsi="宋体" w:cs="宋体"/>
              <w:szCs w:val="20"/>
            </w:rPr>
          </w:pPr>
          <w:r>
            <w:rPr>
              <w:rFonts w:ascii="宋体" w:hAnsi="宋体" w:cs="宋体"/>
              <w:szCs w:val="20"/>
            </w:rPr>
            <w:fldChar w:fldCharType="end"/>
          </w:r>
        </w:p>
      </w:sdtContent>
    </w:sdt>
    <w:p w14:paraId="50B8B298">
      <w:pPr>
        <w:rPr>
          <w:rFonts w:ascii="宋体" w:hAnsi="宋体" w:cs="宋体"/>
          <w:szCs w:val="20"/>
        </w:rPr>
      </w:pPr>
    </w:p>
    <w:p w14:paraId="097F35C4">
      <w:pPr>
        <w:ind w:firstLine="420" w:firstLineChars="200"/>
        <w:rPr>
          <w:rFonts w:ascii="宋体" w:hAnsi="宋体" w:cs="宋体"/>
          <w:szCs w:val="20"/>
        </w:rPr>
      </w:pPr>
    </w:p>
    <w:p w14:paraId="2A0229D6">
      <w:pPr>
        <w:ind w:firstLine="420" w:firstLineChars="200"/>
        <w:rPr>
          <w:rFonts w:ascii="宋体" w:hAnsi="宋体" w:cs="宋体"/>
          <w:szCs w:val="20"/>
        </w:rPr>
        <w:sectPr>
          <w:headerReference r:id="rId6" w:type="default"/>
          <w:footerReference r:id="rId7" w:type="default"/>
          <w:pgSz w:w="11906" w:h="16838"/>
          <w:pgMar w:top="1134" w:right="1440" w:bottom="850" w:left="1440" w:header="850" w:footer="992" w:gutter="0"/>
          <w:cols w:space="0" w:num="1"/>
          <w:docGrid w:type="lines" w:linePitch="323" w:charSpace="0"/>
        </w:sectPr>
      </w:pPr>
    </w:p>
    <w:p w14:paraId="771D6498">
      <w:pPr>
        <w:jc w:val="center"/>
        <w:outlineLvl w:val="0"/>
        <w:rPr>
          <w:rFonts w:ascii="宋体" w:hAnsi="宋体" w:cs="宋体"/>
          <w:b/>
          <w:sz w:val="32"/>
          <w:szCs w:val="32"/>
        </w:rPr>
      </w:pPr>
      <w:bookmarkStart w:id="4" w:name="_Toc20126"/>
      <w:bookmarkStart w:id="5" w:name="_Toc16875"/>
      <w:bookmarkStart w:id="6" w:name="_Toc13839"/>
      <w:bookmarkStart w:id="7" w:name="_Toc25295"/>
      <w:r>
        <w:rPr>
          <w:rFonts w:hint="eastAsia" w:ascii="宋体" w:hAnsi="宋体" w:cs="宋体"/>
          <w:b/>
          <w:sz w:val="32"/>
          <w:szCs w:val="32"/>
        </w:rPr>
        <w:t>第一部分：招标公告</w:t>
      </w:r>
      <w:bookmarkEnd w:id="4"/>
      <w:bookmarkEnd w:id="5"/>
      <w:bookmarkEnd w:id="6"/>
      <w:bookmarkEnd w:id="7"/>
    </w:p>
    <w:p w14:paraId="308E20F8">
      <w:pPr>
        <w:rPr>
          <w:rFonts w:ascii="宋体" w:hAnsi="宋体" w:cs="宋体"/>
          <w:szCs w:val="21"/>
        </w:rPr>
      </w:pPr>
    </w:p>
    <w:p w14:paraId="2FB7D207">
      <w:pPr>
        <w:pBdr>
          <w:top w:val="single" w:color="auto" w:sz="4" w:space="1"/>
          <w:left w:val="single" w:color="auto" w:sz="4" w:space="0"/>
          <w:bottom w:val="single" w:color="auto" w:sz="4" w:space="1"/>
          <w:right w:val="single" w:color="auto" w:sz="4" w:space="4"/>
        </w:pBdr>
        <w:ind w:firstLine="420" w:firstLineChars="200"/>
        <w:rPr>
          <w:rFonts w:ascii="宋体" w:hAnsi="宋体" w:cs="宋体"/>
          <w:szCs w:val="21"/>
        </w:rPr>
      </w:pPr>
      <w:r>
        <w:rPr>
          <w:rFonts w:hint="eastAsia" w:ascii="宋体" w:hAnsi="宋体" w:cs="宋体"/>
          <w:szCs w:val="21"/>
        </w:rPr>
        <w:t>项目概况：</w:t>
      </w:r>
      <w:r>
        <w:rPr>
          <w:rFonts w:hint="eastAsia" w:ascii="宋体" w:hAnsi="宋体" w:cs="宋体"/>
          <w:b/>
          <w:bCs/>
          <w:szCs w:val="21"/>
          <w:u w:val="single"/>
        </w:rPr>
        <w:t>中华人民共和国南京海关中国电子口岸运行保障运维服务</w:t>
      </w:r>
      <w:r>
        <w:rPr>
          <w:rFonts w:hint="eastAsia" w:ascii="宋体" w:hAnsi="宋体" w:cs="宋体"/>
          <w:szCs w:val="21"/>
        </w:rPr>
        <w:t>招标项目的潜在投标人应在</w:t>
      </w:r>
      <w:r>
        <w:rPr>
          <w:rFonts w:hint="eastAsia" w:ascii="宋体" w:hAnsi="宋体" w:cs="宋体"/>
          <w:b/>
          <w:bCs/>
          <w:szCs w:val="21"/>
          <w:u w:val="single"/>
        </w:rPr>
        <w:t>南京市雨花台区软件大道21号苏豪国际广场（北园）C座110室</w:t>
      </w:r>
      <w:r>
        <w:rPr>
          <w:rFonts w:hint="eastAsia" w:ascii="宋体" w:hAnsi="宋体" w:cs="宋体"/>
          <w:szCs w:val="21"/>
        </w:rPr>
        <w:t>获取招标文件，并于</w:t>
      </w:r>
      <w:r>
        <w:rPr>
          <w:rFonts w:hint="eastAsia" w:ascii="宋体" w:hAnsi="宋体" w:cs="宋体"/>
          <w:b/>
          <w:bCs/>
          <w:szCs w:val="21"/>
          <w:u w:val="single"/>
          <w:lang w:eastAsia="zh-CN"/>
        </w:rPr>
        <w:t>2024年11月12日10点00分</w:t>
      </w:r>
      <w:r>
        <w:rPr>
          <w:rFonts w:hint="eastAsia" w:ascii="宋体" w:hAnsi="宋体" w:cs="宋体"/>
          <w:b/>
          <w:bCs/>
          <w:szCs w:val="21"/>
        </w:rPr>
        <w:t>（北京时间）</w:t>
      </w:r>
      <w:r>
        <w:rPr>
          <w:rFonts w:hint="eastAsia" w:ascii="宋体" w:hAnsi="宋体" w:cs="宋体"/>
          <w:bCs/>
          <w:szCs w:val="21"/>
        </w:rPr>
        <w:t>前递交投标文件</w:t>
      </w:r>
      <w:r>
        <w:rPr>
          <w:rFonts w:hint="eastAsia" w:ascii="宋体" w:hAnsi="宋体" w:cs="宋体"/>
          <w:szCs w:val="21"/>
        </w:rPr>
        <w:t>。</w:t>
      </w:r>
    </w:p>
    <w:p w14:paraId="4FB8B3D5">
      <w:pPr>
        <w:rPr>
          <w:rFonts w:ascii="宋体" w:hAnsi="宋体" w:cs="宋体"/>
          <w:szCs w:val="21"/>
        </w:rPr>
      </w:pPr>
    </w:p>
    <w:p w14:paraId="4B951294">
      <w:pPr>
        <w:ind w:firstLine="422" w:firstLineChars="200"/>
        <w:outlineLvl w:val="1"/>
        <w:rPr>
          <w:rFonts w:ascii="宋体" w:hAnsi="宋体" w:cs="宋体"/>
          <w:b/>
          <w:szCs w:val="21"/>
        </w:rPr>
      </w:pPr>
      <w:bookmarkStart w:id="8" w:name="_Toc35393790"/>
      <w:bookmarkStart w:id="9" w:name="_Toc28359079"/>
      <w:bookmarkStart w:id="10" w:name="_Toc28359002"/>
      <w:bookmarkStart w:id="11" w:name="_Toc32085"/>
      <w:bookmarkStart w:id="12" w:name="_Toc22404"/>
      <w:bookmarkStart w:id="13" w:name="_Toc26734"/>
      <w:bookmarkStart w:id="14" w:name="_Toc13631"/>
      <w:bookmarkStart w:id="15" w:name="_Toc35393621"/>
      <w:bookmarkStart w:id="16" w:name="_Hlk24379207"/>
      <w:r>
        <w:rPr>
          <w:rFonts w:hint="eastAsia" w:ascii="宋体" w:hAnsi="宋体" w:cs="宋体"/>
          <w:b/>
          <w:szCs w:val="21"/>
        </w:rPr>
        <w:t>一、项目基本情况</w:t>
      </w:r>
      <w:bookmarkEnd w:id="8"/>
      <w:bookmarkEnd w:id="9"/>
      <w:bookmarkEnd w:id="10"/>
      <w:bookmarkEnd w:id="11"/>
      <w:bookmarkEnd w:id="12"/>
      <w:bookmarkEnd w:id="13"/>
      <w:bookmarkEnd w:id="14"/>
      <w:bookmarkEnd w:id="15"/>
    </w:p>
    <w:p w14:paraId="41A18FE3">
      <w:pPr>
        <w:ind w:firstLine="420" w:firstLineChars="200"/>
        <w:rPr>
          <w:rFonts w:ascii="宋体" w:hAnsi="宋体" w:cs="宋体"/>
          <w:color w:val="0000FF"/>
          <w:szCs w:val="21"/>
        </w:rPr>
      </w:pPr>
      <w:r>
        <w:rPr>
          <w:rFonts w:hint="eastAsia" w:ascii="宋体" w:hAnsi="宋体" w:cs="宋体"/>
          <w:szCs w:val="21"/>
        </w:rPr>
        <w:t>1、项目编号：1214-244209444LDY</w:t>
      </w:r>
    </w:p>
    <w:p w14:paraId="4C1E10ED">
      <w:pPr>
        <w:ind w:firstLine="420" w:firstLineChars="200"/>
        <w:rPr>
          <w:rFonts w:ascii="宋体" w:hAnsi="宋体" w:cs="宋体"/>
          <w:szCs w:val="21"/>
        </w:rPr>
      </w:pPr>
      <w:r>
        <w:rPr>
          <w:rFonts w:hint="eastAsia" w:ascii="宋体" w:hAnsi="宋体" w:cs="宋体"/>
          <w:szCs w:val="21"/>
        </w:rPr>
        <w:t>2、项目名称：中国电子口岸运行保障运维服务采购项目</w:t>
      </w:r>
    </w:p>
    <w:bookmarkEnd w:id="16"/>
    <w:p w14:paraId="7EE66B8A">
      <w:pPr>
        <w:ind w:firstLine="420" w:firstLineChars="200"/>
        <w:rPr>
          <w:rFonts w:ascii="宋体" w:hAnsi="宋体" w:cs="宋体"/>
          <w:szCs w:val="21"/>
        </w:rPr>
      </w:pPr>
      <w:r>
        <w:rPr>
          <w:rFonts w:hint="eastAsia" w:ascii="宋体" w:hAnsi="宋体" w:cs="宋体"/>
          <w:szCs w:val="21"/>
        </w:rPr>
        <w:t>3、预算金额：470万元人民币</w:t>
      </w:r>
    </w:p>
    <w:p w14:paraId="4780739E">
      <w:pPr>
        <w:tabs>
          <w:tab w:val="center" w:pos="4366"/>
        </w:tabs>
        <w:ind w:firstLine="420" w:firstLineChars="200"/>
        <w:rPr>
          <w:rFonts w:ascii="宋体" w:hAnsi="宋体" w:cs="宋体"/>
          <w:szCs w:val="21"/>
        </w:rPr>
      </w:pPr>
      <w:r>
        <w:rPr>
          <w:rFonts w:hint="eastAsia" w:ascii="宋体" w:hAnsi="宋体" w:cs="宋体"/>
          <w:szCs w:val="21"/>
        </w:rPr>
        <w:t>4、最高限价：470万元人民币</w:t>
      </w:r>
    </w:p>
    <w:p w14:paraId="67B075B7">
      <w:pPr>
        <w:ind w:firstLine="420" w:firstLineChars="200"/>
        <w:rPr>
          <w:rFonts w:ascii="宋体" w:hAnsi="宋体" w:cs="宋体"/>
          <w:szCs w:val="21"/>
        </w:rPr>
      </w:pPr>
      <w:r>
        <w:rPr>
          <w:rFonts w:hint="eastAsia" w:ascii="宋体" w:hAnsi="宋体" w:cs="宋体"/>
          <w:szCs w:val="21"/>
        </w:rPr>
        <w:t>5、采购需求：</w:t>
      </w:r>
    </w:p>
    <w:tbl>
      <w:tblPr>
        <w:tblStyle w:val="28"/>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64"/>
        <w:gridCol w:w="975"/>
        <w:gridCol w:w="1665"/>
        <w:gridCol w:w="1410"/>
        <w:gridCol w:w="1658"/>
      </w:tblGrid>
      <w:tr w14:paraId="3ED5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68" w:type="dxa"/>
            <w:vAlign w:val="center"/>
          </w:tcPr>
          <w:p w14:paraId="72DFA3B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序号</w:t>
            </w:r>
          </w:p>
        </w:tc>
        <w:tc>
          <w:tcPr>
            <w:tcW w:w="2464" w:type="dxa"/>
            <w:vAlign w:val="center"/>
          </w:tcPr>
          <w:p w14:paraId="57F9AE9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服务内容</w:t>
            </w:r>
          </w:p>
        </w:tc>
        <w:tc>
          <w:tcPr>
            <w:tcW w:w="975" w:type="dxa"/>
            <w:vAlign w:val="center"/>
          </w:tcPr>
          <w:p w14:paraId="35589451">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数量</w:t>
            </w:r>
          </w:p>
        </w:tc>
        <w:tc>
          <w:tcPr>
            <w:tcW w:w="1665" w:type="dxa"/>
            <w:vAlign w:val="center"/>
          </w:tcPr>
          <w:p w14:paraId="3535BB2B">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采购预算</w:t>
            </w:r>
          </w:p>
          <w:p w14:paraId="2B3127EE">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（万元人民币）</w:t>
            </w:r>
          </w:p>
        </w:tc>
        <w:tc>
          <w:tcPr>
            <w:tcW w:w="1410" w:type="dxa"/>
            <w:vAlign w:val="center"/>
          </w:tcPr>
          <w:p w14:paraId="236FFEFF">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服务地点</w:t>
            </w:r>
          </w:p>
        </w:tc>
        <w:tc>
          <w:tcPr>
            <w:tcW w:w="1658" w:type="dxa"/>
            <w:vAlign w:val="center"/>
          </w:tcPr>
          <w:p w14:paraId="7B2871AB">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服务要求</w:t>
            </w:r>
          </w:p>
        </w:tc>
      </w:tr>
      <w:tr w14:paraId="450F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D6201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w:t>
            </w:r>
          </w:p>
        </w:tc>
        <w:tc>
          <w:tcPr>
            <w:tcW w:w="2464" w:type="dxa"/>
            <w:vAlign w:val="center"/>
          </w:tcPr>
          <w:p w14:paraId="482D1653">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中国电子口岸运行保障运维服务</w:t>
            </w:r>
          </w:p>
        </w:tc>
        <w:tc>
          <w:tcPr>
            <w:tcW w:w="975" w:type="dxa"/>
            <w:vAlign w:val="center"/>
          </w:tcPr>
          <w:p w14:paraId="270CB379">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1项</w:t>
            </w:r>
          </w:p>
        </w:tc>
        <w:tc>
          <w:tcPr>
            <w:tcW w:w="1665" w:type="dxa"/>
            <w:vAlign w:val="center"/>
          </w:tcPr>
          <w:p w14:paraId="6365A628">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470</w:t>
            </w:r>
          </w:p>
        </w:tc>
        <w:tc>
          <w:tcPr>
            <w:tcW w:w="1410" w:type="dxa"/>
            <w:vAlign w:val="center"/>
          </w:tcPr>
          <w:p w14:paraId="68AD2A62">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采购人指定地点</w:t>
            </w:r>
          </w:p>
        </w:tc>
        <w:tc>
          <w:tcPr>
            <w:tcW w:w="1658" w:type="dxa"/>
            <w:vAlign w:val="center"/>
          </w:tcPr>
          <w:p w14:paraId="7F4522D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详见“第三部分：采购需求”</w:t>
            </w:r>
          </w:p>
        </w:tc>
      </w:tr>
    </w:tbl>
    <w:p w14:paraId="2B4DC041">
      <w:pPr>
        <w:ind w:firstLine="420" w:firstLineChars="200"/>
        <w:rPr>
          <w:rFonts w:ascii="宋体" w:hAnsi="宋体" w:cs="宋体"/>
          <w:bCs/>
          <w:szCs w:val="21"/>
        </w:rPr>
      </w:pPr>
      <w:r>
        <w:rPr>
          <w:rFonts w:hint="eastAsia" w:ascii="宋体" w:hAnsi="宋体" w:cs="宋体"/>
          <w:bCs/>
          <w:szCs w:val="21"/>
        </w:rPr>
        <w:t>6、合同履行期限：服务期限1年。</w:t>
      </w:r>
    </w:p>
    <w:p w14:paraId="05754780">
      <w:pPr>
        <w:ind w:firstLine="420" w:firstLineChars="200"/>
        <w:rPr>
          <w:rFonts w:ascii="宋体" w:hAnsi="宋体" w:cs="宋体"/>
          <w:szCs w:val="21"/>
        </w:rPr>
      </w:pPr>
      <w:r>
        <w:rPr>
          <w:rFonts w:hint="eastAsia" w:ascii="宋体" w:hAnsi="宋体" w:cs="宋体"/>
          <w:szCs w:val="21"/>
        </w:rPr>
        <w:t>7、本项目不接受联合体投标</w:t>
      </w:r>
    </w:p>
    <w:p w14:paraId="6A79FC7F">
      <w:pPr>
        <w:ind w:firstLine="420" w:firstLineChars="200"/>
        <w:rPr>
          <w:rFonts w:ascii="宋体" w:hAnsi="宋体" w:cs="宋体"/>
          <w:szCs w:val="21"/>
        </w:rPr>
      </w:pPr>
    </w:p>
    <w:p w14:paraId="00A4D7E0">
      <w:pPr>
        <w:ind w:firstLine="422" w:firstLineChars="200"/>
        <w:outlineLvl w:val="1"/>
        <w:rPr>
          <w:rFonts w:ascii="宋体" w:hAnsi="宋体" w:cs="宋体"/>
          <w:b/>
          <w:szCs w:val="21"/>
        </w:rPr>
      </w:pPr>
      <w:bookmarkStart w:id="17" w:name="_Toc35393791"/>
      <w:bookmarkStart w:id="18" w:name="_Toc28359080"/>
      <w:bookmarkStart w:id="19" w:name="_Toc31992"/>
      <w:bookmarkStart w:id="20" w:name="_Toc3718"/>
      <w:bookmarkStart w:id="21" w:name="_Toc13685"/>
      <w:bookmarkStart w:id="22" w:name="_Toc30948"/>
      <w:bookmarkStart w:id="23" w:name="_Toc35393622"/>
      <w:bookmarkStart w:id="24" w:name="_Toc28359003"/>
      <w:r>
        <w:rPr>
          <w:rFonts w:hint="eastAsia" w:ascii="宋体" w:hAnsi="宋体" w:cs="宋体"/>
          <w:b/>
          <w:szCs w:val="21"/>
        </w:rPr>
        <w:t>二、申请人的资格要求</w:t>
      </w:r>
      <w:bookmarkEnd w:id="17"/>
      <w:bookmarkEnd w:id="18"/>
      <w:bookmarkEnd w:id="19"/>
      <w:bookmarkEnd w:id="20"/>
      <w:bookmarkEnd w:id="21"/>
      <w:bookmarkEnd w:id="22"/>
      <w:bookmarkEnd w:id="23"/>
      <w:bookmarkEnd w:id="24"/>
    </w:p>
    <w:p w14:paraId="5AF7DD78">
      <w:pPr>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38804A8D">
      <w:pPr>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具有独立承担民事责任的能力（提供事业单位法人证书或者企业单位的营业执照；投标人为自然人的，提供其身份证）（复印件）；</w:t>
      </w:r>
    </w:p>
    <w:p w14:paraId="6934BF64">
      <w:pPr>
        <w:ind w:firstLine="420" w:firstLineChars="200"/>
        <w:rPr>
          <w:rFonts w:ascii="宋体" w:hAnsi="宋体" w:cs="宋体"/>
          <w:szCs w:val="21"/>
        </w:rPr>
      </w:pPr>
      <w:r>
        <w:rPr>
          <w:rFonts w:hint="eastAsia" w:ascii="宋体" w:hAnsi="宋体" w:cs="宋体"/>
          <w:szCs w:val="21"/>
        </w:rPr>
        <w:t>（2）</w:t>
      </w:r>
      <w:r>
        <w:rPr>
          <w:rFonts w:hint="eastAsia" w:ascii="宋体" w:hAnsi="宋体" w:cs="宋体"/>
          <w:bCs/>
          <w:szCs w:val="21"/>
        </w:rPr>
        <w:t>具有良好的商业信誉和健全的财务会计制度（提供2023年度经审计的财务报告，或</w:t>
      </w:r>
      <w:r>
        <w:rPr>
          <w:rFonts w:hint="eastAsia" w:ascii="宋体" w:hAnsi="宋体" w:cs="宋体"/>
          <w:bCs/>
          <w:color w:val="0000FF"/>
          <w:szCs w:val="21"/>
        </w:rPr>
        <w:t>开标日</w:t>
      </w:r>
      <w:r>
        <w:rPr>
          <w:rFonts w:hint="eastAsia" w:ascii="宋体" w:hAnsi="宋体" w:cs="宋体"/>
          <w:bCs/>
          <w:szCs w:val="21"/>
        </w:rPr>
        <w:t>前六个月内任一月份企业编制的会计报表（至少包括资产负债表和利润表）</w:t>
      </w:r>
      <w:r>
        <w:rPr>
          <w:rFonts w:hint="eastAsia" w:ascii="宋体" w:hAnsi="宋体" w:cs="宋体"/>
          <w:szCs w:val="21"/>
        </w:rPr>
        <w:t>，</w:t>
      </w:r>
      <w:r>
        <w:rPr>
          <w:rFonts w:hint="eastAsia" w:ascii="宋体" w:hAnsi="宋体" w:cs="宋体"/>
          <w:bCs/>
          <w:szCs w:val="21"/>
        </w:rPr>
        <w:t>或</w:t>
      </w:r>
      <w:r>
        <w:rPr>
          <w:rFonts w:hint="eastAsia" w:ascii="宋体" w:hAnsi="宋体" w:cs="宋体"/>
          <w:bCs/>
          <w:color w:val="0000FF"/>
          <w:szCs w:val="21"/>
        </w:rPr>
        <w:t>开标日前</w:t>
      </w:r>
      <w:r>
        <w:rPr>
          <w:rFonts w:hint="eastAsia" w:ascii="宋体" w:hAnsi="宋体" w:cs="宋体"/>
          <w:bCs/>
          <w:szCs w:val="21"/>
        </w:rPr>
        <w:t>六个月内银行出具的资信证明，</w:t>
      </w:r>
      <w:r>
        <w:rPr>
          <w:rFonts w:hint="eastAsia" w:ascii="宋体" w:hAnsi="宋体" w:cs="宋体"/>
          <w:szCs w:val="21"/>
        </w:rPr>
        <w:t>复印件加盖公章</w:t>
      </w:r>
      <w:r>
        <w:rPr>
          <w:rFonts w:hint="eastAsia" w:ascii="宋体" w:hAnsi="宋体" w:cs="宋体"/>
          <w:bCs/>
          <w:szCs w:val="21"/>
        </w:rPr>
        <w:t>）（</w:t>
      </w:r>
      <w:r>
        <w:rPr>
          <w:rFonts w:hint="eastAsia" w:ascii="宋体" w:hAnsi="宋体" w:cs="宋体"/>
          <w:bCs/>
          <w:color w:val="0000FF"/>
          <w:szCs w:val="21"/>
        </w:rPr>
        <w:t>投标人为参加本次政府采购活动前半年内注册的公司，无须提供</w:t>
      </w:r>
      <w:r>
        <w:rPr>
          <w:rFonts w:hint="eastAsia" w:ascii="宋体" w:hAnsi="宋体" w:cs="宋体"/>
          <w:bCs/>
          <w:szCs w:val="21"/>
        </w:rPr>
        <w:t>）</w:t>
      </w:r>
      <w:r>
        <w:rPr>
          <w:rFonts w:hint="eastAsia" w:ascii="宋体" w:hAnsi="宋体" w:cs="宋体"/>
          <w:szCs w:val="21"/>
        </w:rPr>
        <w:t>；</w:t>
      </w:r>
    </w:p>
    <w:p w14:paraId="179E1661">
      <w:pPr>
        <w:ind w:firstLine="420" w:firstLineChars="200"/>
        <w:rPr>
          <w:rFonts w:ascii="宋体" w:hAnsi="宋体" w:cs="宋体"/>
          <w:szCs w:val="21"/>
        </w:rPr>
      </w:pPr>
      <w:r>
        <w:rPr>
          <w:rFonts w:hint="eastAsia" w:ascii="宋体" w:hAnsi="宋体" w:cs="宋体"/>
          <w:szCs w:val="21"/>
        </w:rPr>
        <w:t>（3）</w:t>
      </w:r>
      <w:r>
        <w:rPr>
          <w:rFonts w:hint="eastAsia" w:ascii="宋体" w:hAnsi="宋体" w:cs="宋体"/>
          <w:bCs/>
          <w:szCs w:val="21"/>
        </w:rPr>
        <w:t>具有依法缴纳税收和社会保障资金的良好记录（提供</w:t>
      </w:r>
      <w:r>
        <w:rPr>
          <w:rFonts w:hint="eastAsia" w:ascii="宋体" w:hAnsi="宋体" w:cs="宋体"/>
          <w:bCs/>
          <w:color w:val="0000FF"/>
          <w:szCs w:val="21"/>
        </w:rPr>
        <w:t>开标日前</w:t>
      </w:r>
      <w:r>
        <w:rPr>
          <w:rFonts w:hint="eastAsia" w:ascii="宋体" w:hAnsi="宋体" w:cs="宋体"/>
          <w:bCs/>
          <w:szCs w:val="21"/>
        </w:rPr>
        <w:t>半年内至少一个月依法缴纳税收及缴纳社会保障资金的凭据，复印件加盖公章）</w:t>
      </w:r>
      <w:r>
        <w:rPr>
          <w:rFonts w:hint="eastAsia" w:ascii="宋体" w:hAnsi="宋体" w:cs="宋体"/>
          <w:bCs/>
          <w:color w:val="0000FF"/>
          <w:szCs w:val="21"/>
        </w:rPr>
        <w:t>（</w:t>
      </w:r>
      <w:r>
        <w:rPr>
          <w:rFonts w:hint="eastAsia" w:ascii="宋体" w:hAnsi="宋体" w:cs="宋体"/>
          <w:color w:val="0000FF"/>
          <w:szCs w:val="21"/>
        </w:rPr>
        <w:t>提供相关主管部门证明或银行代扣证明的复印件，根据国家相关政策免缴或迟缴的需提供相关证明材料</w:t>
      </w:r>
      <w:r>
        <w:rPr>
          <w:rFonts w:hint="eastAsia" w:ascii="宋体" w:hAnsi="宋体" w:cs="宋体"/>
          <w:bCs/>
          <w:color w:val="0000FF"/>
          <w:szCs w:val="21"/>
        </w:rPr>
        <w:t>）</w:t>
      </w:r>
      <w:r>
        <w:rPr>
          <w:rFonts w:hint="eastAsia" w:ascii="宋体" w:hAnsi="宋体" w:cs="宋体"/>
          <w:szCs w:val="21"/>
        </w:rPr>
        <w:t>；</w:t>
      </w:r>
    </w:p>
    <w:p w14:paraId="229650A6">
      <w:pPr>
        <w:ind w:firstLine="420" w:firstLineChars="200"/>
        <w:rPr>
          <w:rFonts w:ascii="宋体" w:hAnsi="宋体" w:cs="宋体"/>
          <w:szCs w:val="21"/>
        </w:rPr>
      </w:pPr>
      <w:r>
        <w:rPr>
          <w:rFonts w:hint="eastAsia" w:ascii="宋体" w:hAnsi="宋体" w:cs="宋体"/>
          <w:szCs w:val="21"/>
        </w:rPr>
        <w:t>（4）</w:t>
      </w:r>
      <w:r>
        <w:rPr>
          <w:rFonts w:hint="eastAsia" w:ascii="宋体" w:hAnsi="宋体" w:cs="宋体"/>
          <w:bCs/>
          <w:szCs w:val="21"/>
        </w:rPr>
        <w:t>具有履行合同所必需的设备和专业技术能力（提供</w:t>
      </w:r>
      <w:r>
        <w:rPr>
          <w:rFonts w:hint="eastAsia" w:ascii="宋体" w:hAnsi="宋体" w:cs="宋体"/>
          <w:szCs w:val="21"/>
        </w:rPr>
        <w:t>书面声明原件</w:t>
      </w:r>
      <w:r>
        <w:rPr>
          <w:rFonts w:hint="eastAsia" w:ascii="宋体" w:hAnsi="宋体" w:cs="宋体"/>
          <w:bCs/>
          <w:szCs w:val="21"/>
        </w:rPr>
        <w:t>）</w:t>
      </w:r>
      <w:r>
        <w:rPr>
          <w:rFonts w:hint="eastAsia" w:ascii="宋体" w:hAnsi="宋体" w:cs="宋体"/>
          <w:szCs w:val="21"/>
        </w:rPr>
        <w:t>；</w:t>
      </w:r>
    </w:p>
    <w:p w14:paraId="39B55904">
      <w:pPr>
        <w:ind w:firstLine="420" w:firstLineChars="200"/>
        <w:rPr>
          <w:rFonts w:ascii="宋体" w:hAnsi="宋体" w:cs="宋体"/>
          <w:szCs w:val="21"/>
        </w:rPr>
      </w:pPr>
      <w:r>
        <w:rPr>
          <w:rFonts w:hint="eastAsia" w:ascii="宋体" w:hAnsi="宋体" w:cs="宋体"/>
          <w:szCs w:val="21"/>
        </w:rPr>
        <w:t>（5）</w:t>
      </w:r>
      <w:r>
        <w:rPr>
          <w:rFonts w:hint="eastAsia" w:ascii="宋体" w:hAnsi="宋体" w:cs="宋体"/>
          <w:bCs/>
          <w:szCs w:val="21"/>
        </w:rPr>
        <w:t>参加政府采购活动前三年内，在经营活动中没有重大违法记录（提供书面声明原件）</w:t>
      </w:r>
      <w:r>
        <w:rPr>
          <w:rFonts w:hint="eastAsia" w:ascii="宋体" w:hAnsi="宋体" w:cs="宋体"/>
          <w:szCs w:val="21"/>
        </w:rPr>
        <w:t>；</w:t>
      </w:r>
    </w:p>
    <w:p w14:paraId="046DFD00">
      <w:pPr>
        <w:ind w:firstLine="420" w:firstLineChars="200"/>
      </w:pPr>
      <w:r>
        <w:rPr>
          <w:rFonts w:hint="eastAsia" w:ascii="宋体" w:hAnsi="宋体" w:cs="宋体"/>
          <w:szCs w:val="21"/>
        </w:rPr>
        <w:t>2、落实政府采购政策需满足的资格要求：</w:t>
      </w:r>
      <w:r>
        <w:rPr>
          <w:rFonts w:hint="eastAsia" w:ascii="宋体" w:hAnsi="宋体" w:cs="宋体"/>
          <w:i/>
          <w:iCs/>
          <w:szCs w:val="21"/>
          <w:u w:val="single"/>
          <w:lang w:bidi="ar"/>
        </w:rPr>
        <w:t>根据《政府采购促进中小企业发展管理办法》的规定，本项目专门面向中小企业采购，供应商投标响应时须提供《中小企业声明函》，《中小企业声明函》不符合要求或未提供的，投标文件无效。（行业类型：软件和信息技术服务业）</w:t>
      </w:r>
    </w:p>
    <w:p w14:paraId="1206DA91">
      <w:pPr>
        <w:ind w:firstLine="420" w:firstLineChars="200"/>
        <w:rPr>
          <w:rFonts w:ascii="宋体" w:hAnsi="宋体" w:cs="宋体"/>
          <w:szCs w:val="21"/>
        </w:rPr>
      </w:pPr>
      <w:r>
        <w:rPr>
          <w:rFonts w:hint="eastAsia" w:ascii="宋体" w:hAnsi="宋体" w:cs="宋体"/>
          <w:szCs w:val="21"/>
        </w:rPr>
        <w:t>3、本项目的特定资格要求：无</w:t>
      </w:r>
    </w:p>
    <w:p w14:paraId="5A05BC31">
      <w:pPr>
        <w:ind w:firstLine="420" w:firstLineChars="200"/>
        <w:rPr>
          <w:rFonts w:ascii="宋体" w:hAnsi="宋体" w:cs="宋体"/>
          <w:szCs w:val="21"/>
        </w:rPr>
      </w:pPr>
    </w:p>
    <w:p w14:paraId="72E8CA35">
      <w:pPr>
        <w:ind w:firstLine="422" w:firstLineChars="200"/>
        <w:outlineLvl w:val="1"/>
        <w:rPr>
          <w:rFonts w:ascii="宋体" w:hAnsi="宋体" w:cs="宋体"/>
          <w:b/>
          <w:szCs w:val="21"/>
        </w:rPr>
      </w:pPr>
      <w:bookmarkStart w:id="25" w:name="_Toc35393623"/>
      <w:bookmarkStart w:id="26" w:name="_Toc6512"/>
      <w:bookmarkStart w:id="27" w:name="_Toc22532"/>
      <w:bookmarkStart w:id="28" w:name="_Toc6870"/>
      <w:bookmarkStart w:id="29" w:name="_Toc35393792"/>
      <w:bookmarkStart w:id="30" w:name="_Toc4701"/>
      <w:bookmarkStart w:id="31" w:name="_Toc28359081"/>
      <w:bookmarkStart w:id="32" w:name="_Toc28359004"/>
      <w:r>
        <w:rPr>
          <w:rFonts w:hint="eastAsia" w:ascii="宋体" w:hAnsi="宋体" w:cs="宋体"/>
          <w:b/>
          <w:szCs w:val="21"/>
        </w:rPr>
        <w:t>三、获取招标文件</w:t>
      </w:r>
      <w:bookmarkEnd w:id="25"/>
      <w:bookmarkEnd w:id="26"/>
      <w:bookmarkEnd w:id="27"/>
      <w:bookmarkEnd w:id="28"/>
      <w:bookmarkEnd w:id="29"/>
      <w:bookmarkEnd w:id="30"/>
      <w:bookmarkEnd w:id="31"/>
      <w:bookmarkEnd w:id="32"/>
    </w:p>
    <w:p w14:paraId="4CA0CA1B">
      <w:pPr>
        <w:ind w:firstLine="420" w:firstLineChars="200"/>
        <w:rPr>
          <w:rFonts w:ascii="宋体" w:hAnsi="宋体" w:cs="宋体"/>
          <w:szCs w:val="21"/>
        </w:rPr>
      </w:pPr>
      <w:r>
        <w:rPr>
          <w:rFonts w:hint="eastAsia" w:ascii="宋体" w:hAnsi="宋体" w:cs="宋体"/>
          <w:szCs w:val="21"/>
        </w:rPr>
        <w:t>1、时间：</w:t>
      </w:r>
      <w:r>
        <w:rPr>
          <w:rFonts w:hint="eastAsia" w:ascii="宋体" w:hAnsi="宋体" w:cs="宋体"/>
          <w:color w:val="0000FF"/>
          <w:szCs w:val="21"/>
        </w:rPr>
        <w:t>2024年</w:t>
      </w:r>
      <w:r>
        <w:rPr>
          <w:rFonts w:hint="eastAsia" w:ascii="宋体" w:hAnsi="宋体" w:cs="宋体"/>
          <w:color w:val="0000FF"/>
          <w:szCs w:val="21"/>
          <w:lang w:val="en-US" w:eastAsia="zh-CN"/>
        </w:rPr>
        <w:t>10</w:t>
      </w:r>
      <w:r>
        <w:rPr>
          <w:rFonts w:hint="eastAsia" w:ascii="宋体" w:hAnsi="宋体" w:cs="宋体"/>
          <w:color w:val="0000FF"/>
          <w:szCs w:val="21"/>
        </w:rPr>
        <w:t>月</w:t>
      </w:r>
      <w:r>
        <w:rPr>
          <w:rFonts w:hint="eastAsia" w:ascii="宋体" w:hAnsi="宋体" w:cs="宋体"/>
          <w:color w:val="0000FF"/>
          <w:szCs w:val="21"/>
          <w:lang w:val="en-US" w:eastAsia="zh-CN"/>
        </w:rPr>
        <w:t>21</w:t>
      </w:r>
      <w:r>
        <w:rPr>
          <w:rFonts w:hint="eastAsia" w:ascii="宋体" w:hAnsi="宋体" w:cs="宋体"/>
          <w:color w:val="0000FF"/>
          <w:szCs w:val="21"/>
        </w:rPr>
        <w:t>日至2024年</w:t>
      </w:r>
      <w:r>
        <w:rPr>
          <w:rFonts w:hint="eastAsia" w:ascii="宋体" w:hAnsi="宋体" w:cs="宋体"/>
          <w:color w:val="0000FF"/>
          <w:szCs w:val="21"/>
          <w:lang w:val="en-US" w:eastAsia="zh-CN"/>
        </w:rPr>
        <w:t>10</w:t>
      </w:r>
      <w:r>
        <w:rPr>
          <w:rFonts w:hint="eastAsia" w:ascii="宋体" w:hAnsi="宋体" w:cs="宋体"/>
          <w:color w:val="0000FF"/>
          <w:szCs w:val="21"/>
        </w:rPr>
        <w:t>月</w:t>
      </w:r>
      <w:r>
        <w:rPr>
          <w:rFonts w:hint="eastAsia" w:ascii="宋体" w:hAnsi="宋体" w:cs="宋体"/>
          <w:color w:val="0000FF"/>
          <w:szCs w:val="21"/>
          <w:lang w:val="en-US" w:eastAsia="zh-CN"/>
        </w:rPr>
        <w:t>25</w:t>
      </w:r>
      <w:r>
        <w:rPr>
          <w:rFonts w:hint="eastAsia" w:ascii="宋体" w:hAnsi="宋体" w:cs="宋体"/>
          <w:color w:val="0000FF"/>
          <w:szCs w:val="21"/>
        </w:rPr>
        <w:t>日</w:t>
      </w:r>
      <w:r>
        <w:rPr>
          <w:rFonts w:hint="eastAsia" w:ascii="宋体" w:hAnsi="宋体" w:cs="宋体"/>
          <w:szCs w:val="21"/>
        </w:rPr>
        <w:t>，每天上午9点00分至11点30分，下午13点30分至17点00分（北京时间，法定节假日除外）</w:t>
      </w:r>
    </w:p>
    <w:p w14:paraId="6DFBA52E">
      <w:pPr>
        <w:ind w:firstLine="420" w:firstLineChars="200"/>
        <w:rPr>
          <w:rFonts w:ascii="宋体" w:hAnsi="宋体" w:cs="宋体"/>
          <w:color w:val="0000FF"/>
          <w:szCs w:val="21"/>
        </w:rPr>
      </w:pPr>
      <w:r>
        <w:rPr>
          <w:rFonts w:hint="eastAsia" w:ascii="宋体" w:hAnsi="宋体" w:cs="宋体"/>
          <w:szCs w:val="21"/>
        </w:rPr>
        <w:t>2、获取招标文件方式：</w:t>
      </w:r>
      <w:r>
        <w:rPr>
          <w:rFonts w:hint="eastAsia" w:ascii="宋体" w:hAnsi="宋体"/>
          <w:szCs w:val="21"/>
        </w:rPr>
        <w:t>供应商须以公对公形式办理汇款，并注明招标编号，同时</w:t>
      </w:r>
      <w:r>
        <w:rPr>
          <w:rFonts w:hint="eastAsia" w:ascii="宋体" w:hAnsi="宋体" w:cs="宋体"/>
          <w:color w:val="0000FF"/>
          <w:szCs w:val="21"/>
        </w:rPr>
        <w:t>须将报名资料（1.营业执照副本，2.汇款凭证）加盖公章扫描件，授权人联系方式发到liqinyuan@sumex.com.cn邮件，审核通过后可购标。</w:t>
      </w:r>
    </w:p>
    <w:p w14:paraId="645CCC68">
      <w:pPr>
        <w:ind w:firstLine="420" w:firstLineChars="200"/>
        <w:rPr>
          <w:rFonts w:asciiTheme="minorEastAsia" w:hAnsiTheme="minorEastAsia" w:eastAsiaTheme="minorEastAsia"/>
        </w:rPr>
      </w:pPr>
      <w:r>
        <w:rPr>
          <w:rFonts w:hint="eastAsia" w:asciiTheme="minorEastAsia" w:hAnsiTheme="minorEastAsia" w:eastAsiaTheme="minorEastAsia"/>
          <w:szCs w:val="21"/>
        </w:rPr>
        <w:t>3、联系人：李沁原，联系电话：</w:t>
      </w:r>
      <w:r>
        <w:rPr>
          <w:rFonts w:hint="eastAsia" w:cs="宋体" w:asciiTheme="minorEastAsia" w:hAnsiTheme="minorEastAsia" w:eastAsiaTheme="minorEastAsia"/>
          <w:szCs w:val="21"/>
        </w:rPr>
        <w:t>025-52875941</w:t>
      </w:r>
      <w:r>
        <w:rPr>
          <w:rFonts w:hint="eastAsia" w:asciiTheme="minorEastAsia" w:hAnsiTheme="minorEastAsia" w:eastAsiaTheme="minorEastAsia"/>
          <w:szCs w:val="21"/>
        </w:rPr>
        <w:t>，邮箱：</w:t>
      </w:r>
      <w:r>
        <w:rPr>
          <w:rFonts w:asciiTheme="minorEastAsia" w:hAnsiTheme="minorEastAsia" w:eastAsiaTheme="minorEastAsia"/>
          <w:szCs w:val="21"/>
        </w:rPr>
        <w:t>liqinyuan@sumex.com.cn</w:t>
      </w:r>
    </w:p>
    <w:p w14:paraId="7FAA0B48">
      <w:pPr>
        <w:ind w:firstLine="420" w:firstLineChars="200"/>
        <w:rPr>
          <w:rFonts w:ascii="宋体" w:hAnsi="宋体" w:cs="宋体"/>
          <w:szCs w:val="21"/>
        </w:rPr>
      </w:pPr>
      <w:bookmarkStart w:id="33" w:name="_Toc30984"/>
      <w:r>
        <w:rPr>
          <w:rFonts w:hint="eastAsia" w:ascii="宋体" w:hAnsi="宋体"/>
          <w:szCs w:val="21"/>
        </w:rPr>
        <w:t>4、售价：</w:t>
      </w:r>
      <w:r>
        <w:rPr>
          <w:rFonts w:hint="eastAsia" w:ascii="宋体" w:hAnsi="宋体" w:cs="宋体"/>
          <w:szCs w:val="21"/>
        </w:rPr>
        <w:t>500元人民币/包，售后不退</w:t>
      </w:r>
      <w:bookmarkEnd w:id="33"/>
    </w:p>
    <w:p w14:paraId="53FA00DC">
      <w:pPr>
        <w:ind w:firstLine="420" w:firstLineChars="200"/>
        <w:rPr>
          <w:rFonts w:ascii="宋体" w:hAnsi="宋体" w:cs="宋体"/>
          <w:szCs w:val="21"/>
        </w:rPr>
      </w:pPr>
      <w:r>
        <w:rPr>
          <w:rFonts w:ascii="宋体" w:hAnsi="宋体" w:cs="宋体"/>
          <w:szCs w:val="21"/>
        </w:rPr>
        <w:t>（</w:t>
      </w:r>
      <w:r>
        <w:rPr>
          <w:rFonts w:hint="eastAsia" w:ascii="宋体" w:hAnsi="宋体" w:cs="宋体"/>
          <w:szCs w:val="21"/>
        </w:rPr>
        <w:t>注：标书汇款信息经确认后由招标代理机构将招标文件以电子版形式向投标的投标人代表发出，投标人购买招标文件时需提供准确的电子邮箱，以便招标文件的获取。届时请投标的投标人代表及时查收并回复确认收到。获取电子版招标文件时如有问题须及时与代理公司联系。因投标人代表未提供有效的电子邮箱、未及时查看电子邮箱或投标人自身原因导致无法获取电子版招标文件的后果由投标人自行承担。</w:t>
      </w:r>
      <w:r>
        <w:rPr>
          <w:rFonts w:ascii="宋体" w:hAnsi="宋体" w:cs="宋体"/>
          <w:szCs w:val="21"/>
        </w:rPr>
        <w:t>）</w:t>
      </w:r>
    </w:p>
    <w:p w14:paraId="16779F96">
      <w:pPr>
        <w:ind w:firstLine="420" w:firstLineChars="200"/>
        <w:rPr>
          <w:rFonts w:ascii="宋体" w:hAnsi="宋体" w:cs="宋体"/>
          <w:szCs w:val="21"/>
        </w:rPr>
      </w:pPr>
    </w:p>
    <w:p w14:paraId="067A6CE5">
      <w:pPr>
        <w:ind w:firstLine="422" w:firstLineChars="200"/>
        <w:outlineLvl w:val="1"/>
        <w:rPr>
          <w:rFonts w:ascii="宋体" w:hAnsi="宋体" w:cs="宋体"/>
          <w:b/>
          <w:szCs w:val="21"/>
        </w:rPr>
      </w:pPr>
      <w:bookmarkStart w:id="34" w:name="_Toc9755"/>
      <w:bookmarkStart w:id="35" w:name="_Toc19085"/>
      <w:bookmarkStart w:id="36" w:name="_Toc3001"/>
      <w:bookmarkStart w:id="37" w:name="_Toc23369"/>
      <w:r>
        <w:rPr>
          <w:rFonts w:hint="eastAsia" w:ascii="宋体" w:hAnsi="宋体" w:cs="宋体"/>
          <w:b/>
          <w:szCs w:val="21"/>
        </w:rPr>
        <w:t>四、投标文件接收截止时间、开标时间和地点</w:t>
      </w:r>
      <w:bookmarkEnd w:id="34"/>
      <w:bookmarkEnd w:id="35"/>
      <w:bookmarkEnd w:id="36"/>
      <w:bookmarkEnd w:id="37"/>
    </w:p>
    <w:p w14:paraId="6CF6AAE7">
      <w:pPr>
        <w:ind w:firstLine="420" w:firstLineChars="200"/>
        <w:rPr>
          <w:rFonts w:ascii="宋体" w:hAnsi="宋体" w:cs="宋体"/>
          <w:iCs/>
          <w:szCs w:val="21"/>
        </w:rPr>
      </w:pPr>
      <w:r>
        <w:rPr>
          <w:rFonts w:hint="eastAsia" w:ascii="宋体" w:hAnsi="宋体" w:cs="宋体"/>
          <w:iCs/>
          <w:szCs w:val="21"/>
        </w:rPr>
        <w:t>1、</w:t>
      </w:r>
      <w:r>
        <w:rPr>
          <w:rFonts w:hint="eastAsia" w:ascii="宋体" w:hAnsi="宋体" w:cs="宋体"/>
          <w:bCs/>
          <w:szCs w:val="21"/>
        </w:rPr>
        <w:t>投标文件接收截止时间、开标时间：</w:t>
      </w:r>
      <w:r>
        <w:rPr>
          <w:rFonts w:hint="eastAsia" w:ascii="宋体" w:hAnsi="宋体" w:cs="宋体"/>
          <w:iCs/>
          <w:szCs w:val="21"/>
          <w:lang w:eastAsia="zh-CN"/>
        </w:rPr>
        <w:t>2024年11月12日10点00分</w:t>
      </w:r>
      <w:r>
        <w:rPr>
          <w:rFonts w:hint="eastAsia" w:ascii="宋体" w:hAnsi="宋体" w:cs="宋体"/>
          <w:iCs/>
          <w:szCs w:val="21"/>
        </w:rPr>
        <w:t>（北京时间）</w:t>
      </w:r>
    </w:p>
    <w:p w14:paraId="0EA199C4">
      <w:pPr>
        <w:ind w:firstLine="420" w:firstLineChars="200"/>
        <w:rPr>
          <w:rFonts w:ascii="宋体" w:hAnsi="宋体" w:cs="宋体"/>
          <w:iCs/>
          <w:szCs w:val="21"/>
        </w:rPr>
      </w:pPr>
      <w:r>
        <w:rPr>
          <w:rFonts w:hint="eastAsia" w:ascii="宋体" w:hAnsi="宋体" w:cs="宋体"/>
          <w:iCs/>
          <w:szCs w:val="21"/>
        </w:rPr>
        <w:t>2、</w:t>
      </w:r>
      <w:r>
        <w:rPr>
          <w:rFonts w:hint="eastAsia" w:ascii="宋体" w:hAnsi="宋体" w:cs="宋体"/>
          <w:szCs w:val="21"/>
        </w:rPr>
        <w:t>地点：南京市雨花台区软件大道21号苏豪国际广场（北园）C座103/105室</w:t>
      </w:r>
    </w:p>
    <w:p w14:paraId="61A03981">
      <w:pPr>
        <w:ind w:firstLine="420" w:firstLineChars="200"/>
        <w:rPr>
          <w:rFonts w:ascii="宋体" w:hAnsi="宋体" w:cs="宋体"/>
          <w:szCs w:val="21"/>
        </w:rPr>
      </w:pPr>
    </w:p>
    <w:p w14:paraId="76D8029D">
      <w:pPr>
        <w:ind w:firstLine="422" w:firstLineChars="200"/>
        <w:outlineLvl w:val="1"/>
        <w:rPr>
          <w:rFonts w:ascii="宋体" w:hAnsi="宋体" w:cs="宋体"/>
          <w:b/>
          <w:szCs w:val="21"/>
        </w:rPr>
      </w:pPr>
      <w:bookmarkStart w:id="38" w:name="_Toc32050"/>
      <w:bookmarkStart w:id="39" w:name="_Toc14560"/>
      <w:bookmarkStart w:id="40" w:name="_Toc14858"/>
      <w:bookmarkStart w:id="41" w:name="_Toc16097"/>
      <w:r>
        <w:rPr>
          <w:rFonts w:hint="eastAsia" w:ascii="宋体" w:hAnsi="宋体" w:cs="宋体"/>
          <w:b/>
          <w:szCs w:val="21"/>
        </w:rPr>
        <w:t>五、公告期限</w:t>
      </w:r>
      <w:bookmarkEnd w:id="38"/>
      <w:bookmarkEnd w:id="39"/>
      <w:bookmarkEnd w:id="40"/>
      <w:bookmarkEnd w:id="41"/>
    </w:p>
    <w:p w14:paraId="42643A06">
      <w:pPr>
        <w:ind w:firstLine="420" w:firstLineChars="200"/>
        <w:rPr>
          <w:rFonts w:ascii="宋体" w:hAnsi="宋体" w:cs="宋体"/>
          <w:szCs w:val="21"/>
        </w:rPr>
      </w:pPr>
      <w:r>
        <w:rPr>
          <w:rFonts w:hint="eastAsia" w:ascii="宋体" w:hAnsi="宋体" w:cs="宋体"/>
          <w:szCs w:val="21"/>
        </w:rPr>
        <w:t>自本公告发布之日起5个工作日</w:t>
      </w:r>
    </w:p>
    <w:p w14:paraId="4B9096E7">
      <w:pPr>
        <w:ind w:firstLine="420" w:firstLineChars="200"/>
        <w:rPr>
          <w:rFonts w:ascii="宋体" w:hAnsi="宋体" w:cs="宋体"/>
          <w:szCs w:val="21"/>
        </w:rPr>
      </w:pPr>
    </w:p>
    <w:p w14:paraId="6A8877B4">
      <w:pPr>
        <w:ind w:firstLine="422" w:firstLineChars="200"/>
        <w:outlineLvl w:val="1"/>
        <w:rPr>
          <w:rFonts w:ascii="宋体" w:hAnsi="宋体" w:cs="宋体"/>
          <w:b/>
          <w:szCs w:val="21"/>
        </w:rPr>
      </w:pPr>
      <w:bookmarkStart w:id="42" w:name="_Toc19411"/>
      <w:bookmarkStart w:id="43" w:name="_Toc5626"/>
      <w:bookmarkStart w:id="44" w:name="_Toc19166"/>
      <w:bookmarkStart w:id="45" w:name="_Toc19210"/>
      <w:r>
        <w:rPr>
          <w:rFonts w:hint="eastAsia" w:ascii="宋体" w:hAnsi="宋体" w:cs="宋体"/>
          <w:b/>
          <w:szCs w:val="21"/>
        </w:rPr>
        <w:t>六、其他补充事宜</w:t>
      </w:r>
      <w:bookmarkEnd w:id="42"/>
      <w:bookmarkEnd w:id="43"/>
      <w:bookmarkEnd w:id="44"/>
      <w:bookmarkEnd w:id="45"/>
    </w:p>
    <w:p w14:paraId="7DFA3E33">
      <w:pPr>
        <w:ind w:firstLine="420" w:firstLineChars="200"/>
        <w:rPr>
          <w:rFonts w:ascii="宋体" w:hAnsi="宋体" w:cs="宋体"/>
          <w:szCs w:val="21"/>
        </w:rPr>
      </w:pPr>
      <w:r>
        <w:rPr>
          <w:rFonts w:hint="eastAsia" w:ascii="宋体" w:hAnsi="宋体" w:cs="宋体"/>
          <w:szCs w:val="21"/>
        </w:rPr>
        <w:t>1、从采购代理机构处合法获得招标文件的供应商方可参与本项目投标</w:t>
      </w:r>
    </w:p>
    <w:p w14:paraId="298CCF14">
      <w:pPr>
        <w:ind w:firstLine="420" w:firstLineChars="200"/>
        <w:rPr>
          <w:rFonts w:ascii="宋体" w:hAnsi="宋体" w:cs="宋体"/>
          <w:strike/>
          <w:szCs w:val="21"/>
        </w:rPr>
      </w:pPr>
      <w:r>
        <w:rPr>
          <w:rFonts w:hint="eastAsia" w:ascii="宋体" w:hAnsi="宋体" w:cs="宋体"/>
          <w:szCs w:val="21"/>
        </w:rPr>
        <w:t>2、供应商须以公对公形式办理汇款，并备注招标编号，同时将汇款凭证及相关参与项目信息电邮至</w:t>
      </w:r>
      <w:r>
        <w:rPr>
          <w:rFonts w:hint="eastAsia" w:ascii="宋体" w:hAnsi="宋体" w:cs="宋体"/>
          <w:b/>
          <w:bCs/>
          <w:szCs w:val="21"/>
          <w:u w:val="single"/>
        </w:rPr>
        <w:t>liqinyuan@sumex.com.cn</w:t>
      </w:r>
      <w:r>
        <w:rPr>
          <w:rFonts w:hint="eastAsia" w:ascii="宋体" w:hAnsi="宋体" w:cs="宋体"/>
          <w:szCs w:val="21"/>
        </w:rPr>
        <w:t>，以便我司能及时登记领购信息。</w:t>
      </w:r>
    </w:p>
    <w:p w14:paraId="0B604E9A">
      <w:pPr>
        <w:ind w:firstLine="420" w:firstLineChars="200"/>
        <w:rPr>
          <w:rFonts w:ascii="宋体" w:hAnsi="宋体" w:cs="宋体"/>
          <w:szCs w:val="21"/>
        </w:rPr>
      </w:pPr>
      <w:r>
        <w:rPr>
          <w:rFonts w:hint="eastAsia" w:ascii="宋体" w:hAnsi="宋体" w:cs="宋体"/>
          <w:szCs w:val="21"/>
        </w:rPr>
        <w:t>3、购买采购文件款汇款地址：</w:t>
      </w:r>
    </w:p>
    <w:p w14:paraId="06296F07">
      <w:pPr>
        <w:ind w:firstLine="420" w:firstLineChars="200"/>
        <w:rPr>
          <w:rFonts w:ascii="宋体" w:hAnsi="宋体" w:cs="宋体"/>
          <w:szCs w:val="21"/>
        </w:rPr>
      </w:pPr>
      <w:r>
        <w:rPr>
          <w:rFonts w:hint="eastAsia" w:ascii="宋体" w:hAnsi="宋体" w:cs="宋体"/>
          <w:szCs w:val="21"/>
        </w:rPr>
        <w:t>（1）开户名：江苏舜天高科有限责任公司</w:t>
      </w:r>
    </w:p>
    <w:p w14:paraId="6556A1E5">
      <w:pPr>
        <w:ind w:firstLine="420" w:firstLineChars="200"/>
        <w:rPr>
          <w:rFonts w:ascii="宋体" w:hAnsi="宋体" w:cs="宋体"/>
          <w:szCs w:val="21"/>
        </w:rPr>
      </w:pPr>
      <w:r>
        <w:rPr>
          <w:rFonts w:hint="eastAsia" w:ascii="宋体" w:hAnsi="宋体" w:cs="宋体"/>
          <w:szCs w:val="21"/>
        </w:rPr>
        <w:t>（2）开户行：工行南京市白下支行</w:t>
      </w:r>
    </w:p>
    <w:p w14:paraId="636FF796">
      <w:pPr>
        <w:ind w:firstLine="420" w:firstLineChars="200"/>
        <w:rPr>
          <w:rFonts w:ascii="宋体" w:hAnsi="宋体" w:cs="宋体"/>
          <w:szCs w:val="21"/>
        </w:rPr>
      </w:pPr>
      <w:r>
        <w:rPr>
          <w:rFonts w:hint="eastAsia" w:ascii="宋体" w:hAnsi="宋体" w:cs="宋体"/>
          <w:szCs w:val="21"/>
        </w:rPr>
        <w:t>（3）账  号：4301013119100888895</w:t>
      </w:r>
    </w:p>
    <w:p w14:paraId="01BCA75D">
      <w:pPr>
        <w:ind w:firstLine="420" w:firstLineChars="200"/>
        <w:rPr>
          <w:rFonts w:ascii="宋体" w:hAnsi="宋体" w:cs="宋体"/>
          <w:szCs w:val="21"/>
        </w:rPr>
      </w:pPr>
      <w:r>
        <w:rPr>
          <w:rFonts w:hint="eastAsia" w:ascii="宋体" w:hAnsi="宋体" w:cs="宋体"/>
          <w:szCs w:val="21"/>
        </w:rPr>
        <w:t>4、本招标项目执行《中华人民共和国政府采购法》、《中华人民共和国政府采购法实施条例》、《中华人民共和国财政部令第87号》、《财库（2017）141号》、《财库（2014）68号》、《财库（2020）46号》、《财库（2004）185号》（节能环保）、《苏财购〔2022〕45号》</w:t>
      </w:r>
    </w:p>
    <w:p w14:paraId="1A17575D">
      <w:pPr>
        <w:ind w:firstLine="420" w:firstLineChars="200"/>
        <w:rPr>
          <w:rFonts w:ascii="宋体" w:hAnsi="宋体" w:cs="宋体"/>
          <w:szCs w:val="21"/>
        </w:rPr>
      </w:pPr>
      <w:r>
        <w:rPr>
          <w:rFonts w:hint="eastAsia" w:ascii="宋体" w:hAnsi="宋体" w:cs="宋体"/>
          <w:szCs w:val="21"/>
        </w:rPr>
        <w:t>5、本次招标项目投标供应商须提供纸质投标文件</w:t>
      </w:r>
      <w:r>
        <w:rPr>
          <w:rFonts w:hint="eastAsia" w:ascii="宋体" w:hAnsi="宋体" w:cs="宋体"/>
          <w:color w:val="0000FF"/>
          <w:szCs w:val="21"/>
        </w:rPr>
        <w:t>正本1份，副本4份</w:t>
      </w:r>
      <w:r>
        <w:rPr>
          <w:rFonts w:hint="eastAsia" w:ascii="宋体" w:hAnsi="宋体" w:cs="宋体"/>
          <w:szCs w:val="21"/>
        </w:rPr>
        <w:t>，同时提供电子介质文件1份（</w:t>
      </w:r>
      <w:r>
        <w:rPr>
          <w:rFonts w:hint="eastAsia" w:ascii="宋体" w:hAnsi="宋体" w:cs="宋体"/>
          <w:color w:val="0000FF"/>
          <w:szCs w:val="21"/>
        </w:rPr>
        <w:t>仅支持U盘形式，内容须为投标文件签字且盖公章（红章）正本的PDF扫描</w:t>
      </w:r>
      <w:r>
        <w:rPr>
          <w:rFonts w:hint="eastAsia" w:ascii="宋体" w:hAnsi="宋体" w:cs="宋体"/>
          <w:szCs w:val="21"/>
        </w:rPr>
        <w:t>），随纸质正本文件一并提交。当电子版文件和纸质正本文件不一致时，以纸质正本文件为准。电子版文件用于存档，投标人需承担前述不一致造成的不利后果，</w:t>
      </w:r>
      <w:r>
        <w:rPr>
          <w:rFonts w:hint="eastAsia" w:ascii="宋体" w:hAnsi="宋体" w:cs="宋体"/>
          <w:b/>
          <w:bCs/>
          <w:szCs w:val="21"/>
        </w:rPr>
        <w:t>未按要求提供的视为投标无效</w:t>
      </w:r>
      <w:r>
        <w:rPr>
          <w:rFonts w:hint="eastAsia" w:ascii="宋体" w:hAnsi="宋体" w:cs="宋体"/>
          <w:szCs w:val="21"/>
        </w:rPr>
        <w:t>。</w:t>
      </w:r>
    </w:p>
    <w:p w14:paraId="5F27AC10">
      <w:pPr>
        <w:ind w:firstLine="420" w:firstLineChars="200"/>
        <w:rPr>
          <w:rFonts w:ascii="宋体" w:hAnsi="宋体" w:cs="宋体"/>
          <w:szCs w:val="21"/>
        </w:rPr>
      </w:pPr>
    </w:p>
    <w:p w14:paraId="381081E3">
      <w:pPr>
        <w:ind w:firstLine="422" w:firstLineChars="200"/>
        <w:outlineLvl w:val="1"/>
        <w:rPr>
          <w:rFonts w:ascii="宋体" w:hAnsi="宋体" w:cs="宋体"/>
          <w:b/>
          <w:szCs w:val="21"/>
        </w:rPr>
      </w:pPr>
      <w:bookmarkStart w:id="46" w:name="_Toc62"/>
      <w:bookmarkStart w:id="47" w:name="_Toc17073"/>
      <w:bookmarkStart w:id="48" w:name="_Toc17491"/>
      <w:bookmarkStart w:id="49" w:name="_Toc10490"/>
      <w:r>
        <w:rPr>
          <w:rFonts w:hint="eastAsia" w:ascii="宋体" w:hAnsi="宋体" w:cs="宋体"/>
          <w:b/>
          <w:szCs w:val="21"/>
        </w:rPr>
        <w:t>七、对本次招标提出询问，请按以下方式联系</w:t>
      </w:r>
      <w:bookmarkEnd w:id="46"/>
      <w:bookmarkEnd w:id="47"/>
      <w:bookmarkEnd w:id="48"/>
      <w:bookmarkEnd w:id="49"/>
    </w:p>
    <w:p w14:paraId="3CB1C616">
      <w:pPr>
        <w:ind w:firstLine="420" w:firstLineChars="200"/>
        <w:rPr>
          <w:rFonts w:ascii="宋体" w:hAnsi="宋体" w:cs="宋体"/>
          <w:szCs w:val="21"/>
        </w:rPr>
      </w:pPr>
      <w:r>
        <w:rPr>
          <w:rFonts w:hint="eastAsia" w:ascii="宋体" w:hAnsi="宋体" w:cs="宋体"/>
          <w:szCs w:val="21"/>
        </w:rPr>
        <w:t>1、采购人信息</w:t>
      </w:r>
    </w:p>
    <w:p w14:paraId="0D7FE3FC">
      <w:pPr>
        <w:ind w:firstLine="420" w:firstLineChars="200"/>
        <w:rPr>
          <w:rFonts w:ascii="宋体" w:hAnsi="宋体" w:cs="宋体"/>
        </w:rPr>
      </w:pPr>
      <w:r>
        <w:rPr>
          <w:rFonts w:hint="eastAsia" w:ascii="宋体" w:hAnsi="宋体" w:cs="宋体"/>
        </w:rPr>
        <w:t>名    称：中华人民共和国南京海关</w:t>
      </w:r>
    </w:p>
    <w:p w14:paraId="03FB9C23">
      <w:pPr>
        <w:ind w:firstLine="420" w:firstLineChars="200"/>
        <w:rPr>
          <w:rFonts w:ascii="宋体" w:hAnsi="宋体" w:cs="宋体"/>
        </w:rPr>
      </w:pPr>
      <w:r>
        <w:rPr>
          <w:rFonts w:hint="eastAsia" w:ascii="宋体" w:hAnsi="宋体" w:cs="宋体"/>
        </w:rPr>
        <w:t>联系地址：中华路99号</w:t>
      </w:r>
    </w:p>
    <w:p w14:paraId="6F18E822">
      <w:pPr>
        <w:ind w:firstLine="420" w:firstLineChars="200"/>
        <w:rPr>
          <w:rFonts w:ascii="宋体" w:hAnsi="宋体" w:cs="宋体"/>
        </w:rPr>
      </w:pPr>
      <w:r>
        <w:rPr>
          <w:rFonts w:hint="eastAsia" w:ascii="宋体" w:hAnsi="宋体" w:cs="宋体"/>
        </w:rPr>
        <w:t>联 系 人：杨老师</w:t>
      </w:r>
    </w:p>
    <w:p w14:paraId="0FC292DD">
      <w:pPr>
        <w:ind w:firstLine="420" w:firstLineChars="200"/>
        <w:rPr>
          <w:rFonts w:ascii="宋体" w:hAnsi="宋体" w:cs="宋体"/>
        </w:rPr>
      </w:pPr>
      <w:r>
        <w:rPr>
          <w:rFonts w:hint="eastAsia" w:ascii="宋体" w:hAnsi="宋体" w:cs="宋体"/>
        </w:rPr>
        <w:t>联系电话：025-84423294</w:t>
      </w:r>
    </w:p>
    <w:p w14:paraId="36534152">
      <w:pPr>
        <w:spacing w:before="161" w:beforeLines="50"/>
        <w:ind w:firstLine="420" w:firstLineChars="200"/>
        <w:rPr>
          <w:rFonts w:ascii="宋体" w:hAnsi="宋体"/>
          <w:szCs w:val="21"/>
        </w:rPr>
      </w:pPr>
      <w:bookmarkStart w:id="50" w:name="_Toc32141"/>
      <w:r>
        <w:rPr>
          <w:rFonts w:hint="eastAsia" w:ascii="宋体" w:hAnsi="宋体"/>
          <w:szCs w:val="21"/>
        </w:rPr>
        <w:t>2、采购代理机构信息</w:t>
      </w:r>
      <w:bookmarkEnd w:id="50"/>
    </w:p>
    <w:p w14:paraId="47FFC9CA">
      <w:pPr>
        <w:ind w:firstLine="420" w:firstLineChars="200"/>
        <w:rPr>
          <w:rFonts w:ascii="宋体" w:hAnsi="宋体"/>
          <w:szCs w:val="21"/>
        </w:rPr>
      </w:pPr>
      <w:r>
        <w:rPr>
          <w:rFonts w:hint="eastAsia" w:ascii="宋体" w:hAnsi="宋体"/>
          <w:szCs w:val="21"/>
        </w:rPr>
        <w:t>采购代理机构：江苏舜天高科有限责任公司</w:t>
      </w:r>
    </w:p>
    <w:p w14:paraId="6A253C67">
      <w:pPr>
        <w:ind w:firstLine="420" w:firstLineChars="200"/>
        <w:rPr>
          <w:rFonts w:ascii="宋体" w:hAnsi="宋体"/>
          <w:szCs w:val="21"/>
        </w:rPr>
      </w:pPr>
      <w:r>
        <w:rPr>
          <w:rFonts w:hint="eastAsia" w:ascii="宋体" w:hAnsi="宋体"/>
          <w:szCs w:val="21"/>
        </w:rPr>
        <w:t>联系地址：南京市雨花台区软件大道21号苏豪国际广场（北园）C座110室</w:t>
      </w:r>
    </w:p>
    <w:p w14:paraId="549A6A5E">
      <w:pPr>
        <w:ind w:firstLine="420" w:firstLineChars="200"/>
        <w:rPr>
          <w:rFonts w:ascii="宋体" w:hAnsi="宋体"/>
          <w:szCs w:val="21"/>
        </w:rPr>
      </w:pPr>
      <w:r>
        <w:rPr>
          <w:rFonts w:hint="eastAsia" w:ascii="宋体" w:hAnsi="宋体"/>
          <w:szCs w:val="21"/>
        </w:rPr>
        <w:t>联 系 人：李沁原</w:t>
      </w:r>
    </w:p>
    <w:p w14:paraId="5CBBF9FD">
      <w:pPr>
        <w:ind w:firstLine="420" w:firstLineChars="200"/>
        <w:rPr>
          <w:rFonts w:ascii="宋体" w:hAnsi="宋体"/>
          <w:szCs w:val="21"/>
        </w:rPr>
      </w:pPr>
      <w:r>
        <w:rPr>
          <w:rFonts w:hint="eastAsia" w:ascii="宋体" w:hAnsi="宋体"/>
          <w:szCs w:val="21"/>
        </w:rPr>
        <w:t>联系电话：025-52875941</w:t>
      </w:r>
    </w:p>
    <w:p w14:paraId="5F8183F3">
      <w:pPr>
        <w:ind w:firstLine="420" w:firstLineChars="200"/>
        <w:rPr>
          <w:rFonts w:ascii="宋体" w:hAnsi="宋体"/>
          <w:szCs w:val="21"/>
        </w:rPr>
      </w:pPr>
      <w:r>
        <w:rPr>
          <w:rFonts w:hint="eastAsia" w:ascii="宋体" w:hAnsi="宋体"/>
          <w:szCs w:val="21"/>
        </w:rPr>
        <w:t>邮    箱：liqinyuan@sumex.com.cn</w:t>
      </w:r>
    </w:p>
    <w:p w14:paraId="1A07D40A">
      <w:pPr>
        <w:spacing w:before="161" w:beforeLines="50"/>
        <w:ind w:firstLine="420" w:firstLineChars="200"/>
        <w:rPr>
          <w:rFonts w:ascii="宋体" w:hAnsi="宋体"/>
          <w:szCs w:val="21"/>
        </w:rPr>
      </w:pPr>
      <w:bookmarkStart w:id="51" w:name="_Toc12669"/>
      <w:r>
        <w:rPr>
          <w:rFonts w:hint="eastAsia" w:ascii="宋体" w:hAnsi="宋体"/>
          <w:szCs w:val="21"/>
        </w:rPr>
        <w:t>3、项目联系方式</w:t>
      </w:r>
      <w:bookmarkEnd w:id="51"/>
    </w:p>
    <w:p w14:paraId="215BD59C">
      <w:pPr>
        <w:ind w:firstLine="420" w:firstLineChars="200"/>
        <w:rPr>
          <w:rFonts w:ascii="宋体" w:hAnsi="宋体"/>
          <w:szCs w:val="21"/>
        </w:rPr>
      </w:pPr>
      <w:r>
        <w:rPr>
          <w:rFonts w:hint="eastAsia" w:ascii="宋体" w:hAnsi="宋体"/>
          <w:szCs w:val="21"/>
        </w:rPr>
        <w:t>项目联系人：丁一</w:t>
      </w:r>
    </w:p>
    <w:p w14:paraId="0B536D5C">
      <w:pPr>
        <w:ind w:firstLine="420" w:firstLineChars="200"/>
        <w:rPr>
          <w:rFonts w:ascii="宋体" w:hAnsi="宋体" w:cs="宋体"/>
          <w:szCs w:val="21"/>
        </w:rPr>
      </w:pPr>
      <w:r>
        <w:rPr>
          <w:rFonts w:hint="eastAsia" w:ascii="宋体" w:hAnsi="宋体"/>
          <w:szCs w:val="21"/>
        </w:rPr>
        <w:t>联系电话：025-52875927</w:t>
      </w:r>
    </w:p>
    <w:p w14:paraId="41CA484E">
      <w:pPr>
        <w:ind w:firstLine="420" w:firstLineChars="200"/>
        <w:rPr>
          <w:rFonts w:ascii="宋体" w:hAnsi="宋体" w:cs="宋体"/>
          <w:szCs w:val="21"/>
        </w:rPr>
        <w:sectPr>
          <w:pgSz w:w="11906" w:h="16838"/>
          <w:pgMar w:top="1134" w:right="1440" w:bottom="850" w:left="1440" w:header="850" w:footer="992" w:gutter="0"/>
          <w:cols w:space="0" w:num="1"/>
          <w:docGrid w:type="lines" w:linePitch="323" w:charSpace="0"/>
        </w:sectPr>
      </w:pPr>
    </w:p>
    <w:p w14:paraId="7FDA583E">
      <w:pPr>
        <w:jc w:val="center"/>
        <w:outlineLvl w:val="0"/>
        <w:rPr>
          <w:rFonts w:ascii="宋体" w:hAnsi="宋体" w:cs="宋体"/>
          <w:b/>
          <w:sz w:val="32"/>
          <w:szCs w:val="32"/>
        </w:rPr>
      </w:pPr>
      <w:bookmarkStart w:id="52" w:name="_Toc13217"/>
      <w:bookmarkStart w:id="53" w:name="_Toc28944"/>
      <w:bookmarkStart w:id="54" w:name="_Toc23170"/>
      <w:bookmarkStart w:id="55" w:name="_Toc21289"/>
      <w:r>
        <w:rPr>
          <w:rFonts w:hint="eastAsia" w:ascii="宋体" w:hAnsi="宋体" w:cs="宋体"/>
          <w:b/>
          <w:sz w:val="32"/>
          <w:szCs w:val="32"/>
        </w:rPr>
        <w:t>第二部分：投标人须知</w:t>
      </w:r>
      <w:bookmarkEnd w:id="52"/>
      <w:bookmarkEnd w:id="53"/>
      <w:bookmarkEnd w:id="54"/>
      <w:bookmarkEnd w:id="55"/>
    </w:p>
    <w:p w14:paraId="1467C958">
      <w:pPr>
        <w:rPr>
          <w:rFonts w:ascii="宋体" w:hAnsi="宋体" w:cs="宋体"/>
          <w:szCs w:val="21"/>
        </w:rPr>
      </w:pPr>
    </w:p>
    <w:p w14:paraId="783A30B0">
      <w:pPr>
        <w:jc w:val="center"/>
        <w:outlineLvl w:val="1"/>
        <w:rPr>
          <w:rFonts w:ascii="宋体" w:hAnsi="宋体" w:cs="宋体"/>
          <w:b/>
          <w:szCs w:val="21"/>
        </w:rPr>
      </w:pPr>
      <w:bookmarkStart w:id="56" w:name="_Toc29951"/>
      <w:bookmarkStart w:id="57" w:name="_Toc8691"/>
      <w:bookmarkStart w:id="58" w:name="_Toc30444"/>
      <w:bookmarkStart w:id="59" w:name="_Toc28605"/>
      <w:r>
        <w:rPr>
          <w:rFonts w:hint="eastAsia" w:ascii="宋体" w:hAnsi="宋体" w:cs="宋体"/>
          <w:b/>
          <w:szCs w:val="21"/>
        </w:rPr>
        <w:t>一、总则</w:t>
      </w:r>
      <w:bookmarkEnd w:id="56"/>
      <w:bookmarkEnd w:id="57"/>
      <w:bookmarkEnd w:id="58"/>
      <w:bookmarkEnd w:id="59"/>
    </w:p>
    <w:p w14:paraId="21CF45EF">
      <w:pPr>
        <w:ind w:firstLine="422" w:firstLineChars="200"/>
        <w:rPr>
          <w:rFonts w:ascii="宋体" w:hAnsi="宋体" w:cs="宋体"/>
          <w:b/>
          <w:szCs w:val="21"/>
        </w:rPr>
      </w:pPr>
    </w:p>
    <w:p w14:paraId="64133F26">
      <w:pPr>
        <w:ind w:left="422"/>
        <w:rPr>
          <w:rFonts w:ascii="宋体" w:hAnsi="宋体" w:cs="宋体"/>
          <w:b/>
          <w:szCs w:val="21"/>
        </w:rPr>
      </w:pPr>
      <w:r>
        <w:rPr>
          <w:rFonts w:hint="eastAsia" w:ascii="宋体" w:hAnsi="宋体" w:cs="宋体"/>
          <w:b/>
          <w:szCs w:val="21"/>
        </w:rPr>
        <w:t>1、适用范围</w:t>
      </w:r>
    </w:p>
    <w:p w14:paraId="030648DB">
      <w:pPr>
        <w:ind w:firstLine="420" w:firstLineChars="200"/>
        <w:rPr>
          <w:rFonts w:ascii="宋体" w:hAnsi="宋体" w:cs="宋体"/>
          <w:szCs w:val="21"/>
        </w:rPr>
      </w:pPr>
      <w:r>
        <w:rPr>
          <w:rFonts w:hint="eastAsia" w:ascii="宋体" w:hAnsi="宋体" w:cs="宋体"/>
          <w:szCs w:val="21"/>
        </w:rPr>
        <w:t>本招标文件仅适用于本次招标公告中所述</w:t>
      </w:r>
      <w:r>
        <w:rPr>
          <w:rFonts w:hint="eastAsia" w:ascii="宋体" w:hAnsi="宋体" w:cs="宋体"/>
          <w:b/>
          <w:szCs w:val="21"/>
          <w:u w:val="single"/>
        </w:rPr>
        <w:t>中国电子口岸运行保障运维服务</w:t>
      </w:r>
      <w:r>
        <w:rPr>
          <w:rFonts w:hint="eastAsia" w:ascii="宋体" w:hAnsi="宋体" w:cs="宋体"/>
          <w:bCs/>
          <w:szCs w:val="21"/>
        </w:rPr>
        <w:t>采购项目</w:t>
      </w:r>
      <w:r>
        <w:rPr>
          <w:rFonts w:hint="eastAsia" w:ascii="宋体" w:hAnsi="宋体" w:cs="宋体"/>
          <w:szCs w:val="21"/>
        </w:rPr>
        <w:t>。</w:t>
      </w:r>
    </w:p>
    <w:p w14:paraId="5E518358">
      <w:pPr>
        <w:ind w:firstLine="420" w:firstLineChars="200"/>
        <w:rPr>
          <w:rFonts w:ascii="宋体" w:hAnsi="宋体" w:cs="宋体"/>
          <w:szCs w:val="21"/>
        </w:rPr>
      </w:pPr>
    </w:p>
    <w:p w14:paraId="17A77A80">
      <w:pPr>
        <w:ind w:firstLine="422" w:firstLineChars="200"/>
        <w:rPr>
          <w:rFonts w:ascii="宋体" w:hAnsi="宋体" w:cs="宋体"/>
          <w:b/>
          <w:szCs w:val="21"/>
        </w:rPr>
      </w:pPr>
      <w:r>
        <w:rPr>
          <w:rFonts w:hint="eastAsia" w:ascii="宋体" w:hAnsi="宋体" w:cs="宋体"/>
          <w:b/>
          <w:szCs w:val="21"/>
        </w:rPr>
        <w:t>2、合格的投标人</w:t>
      </w:r>
    </w:p>
    <w:p w14:paraId="1F276C89">
      <w:pPr>
        <w:ind w:firstLine="420" w:firstLineChars="200"/>
        <w:rPr>
          <w:rFonts w:ascii="宋体" w:hAnsi="宋体" w:cs="宋体"/>
          <w:szCs w:val="21"/>
        </w:rPr>
      </w:pPr>
      <w:r>
        <w:rPr>
          <w:rFonts w:hint="eastAsia" w:ascii="宋体" w:hAnsi="宋体" w:cs="宋体"/>
          <w:szCs w:val="21"/>
        </w:rPr>
        <w:t>2.1满足本招标文件《第一部分：招标公告》第二条“申请人的资格要求”。</w:t>
      </w:r>
    </w:p>
    <w:p w14:paraId="1180FB30">
      <w:pPr>
        <w:ind w:firstLine="420" w:firstLineChars="200"/>
        <w:rPr>
          <w:rFonts w:ascii="宋体" w:hAnsi="宋体" w:cs="宋体"/>
          <w:szCs w:val="21"/>
        </w:rPr>
      </w:pPr>
      <w:r>
        <w:rPr>
          <w:rFonts w:hint="eastAsia" w:ascii="宋体" w:hAnsi="宋体" w:cs="宋体"/>
          <w:szCs w:val="21"/>
        </w:rPr>
        <w:t>2.2满足本招标文件的实质性条款要求。</w:t>
      </w:r>
    </w:p>
    <w:p w14:paraId="6D89DB2C">
      <w:pPr>
        <w:ind w:firstLine="420" w:firstLineChars="200"/>
        <w:rPr>
          <w:rFonts w:ascii="宋体" w:hAnsi="宋体" w:cs="宋体"/>
          <w:szCs w:val="21"/>
        </w:rPr>
      </w:pPr>
      <w:bookmarkStart w:id="60" w:name="_Hlk154668741"/>
      <w:r>
        <w:rPr>
          <w:rFonts w:hint="eastAsia" w:ascii="宋体" w:hAnsi="宋体" w:cs="宋体"/>
          <w:szCs w:val="21"/>
        </w:rPr>
        <w:t>2.3拒绝下述供应商参加本次采购活动：</w:t>
      </w:r>
    </w:p>
    <w:p w14:paraId="6B87D486">
      <w:pPr>
        <w:ind w:firstLine="420" w:firstLineChars="200"/>
        <w:rPr>
          <w:rFonts w:ascii="宋体" w:hAnsi="宋体" w:cs="宋体"/>
          <w:szCs w:val="21"/>
        </w:rPr>
      </w:pPr>
      <w:r>
        <w:rPr>
          <w:rFonts w:hint="eastAsia" w:ascii="宋体" w:hAnsi="宋体" w:cs="宋体"/>
          <w:szCs w:val="21"/>
        </w:rPr>
        <w:t>2.3.1单位负责人为同一人或者存在直接控股、管理关系的不同供应商，不得参加同一合同项下的政府采购活动。</w:t>
      </w:r>
    </w:p>
    <w:p w14:paraId="4A284409">
      <w:pPr>
        <w:ind w:firstLine="420" w:firstLineChars="200"/>
        <w:rPr>
          <w:rFonts w:ascii="宋体" w:hAnsi="宋体" w:cs="宋体"/>
        </w:rPr>
      </w:pPr>
      <w:r>
        <w:rPr>
          <w:rFonts w:hint="eastAsia" w:ascii="宋体" w:hAnsi="宋体" w:cs="宋体"/>
          <w:szCs w:val="21"/>
        </w:rPr>
        <w:t>2.3.2凡为采购项目提供整体设计、规范编制或者项目管理、监理、检测等服务的供应商，不得再参加该项目的其他采购活动。</w:t>
      </w:r>
    </w:p>
    <w:p w14:paraId="3F5E7E86">
      <w:pPr>
        <w:ind w:firstLine="420" w:firstLineChars="200"/>
        <w:rPr>
          <w:rFonts w:ascii="宋体" w:hAnsi="宋体" w:cs="宋体"/>
          <w:szCs w:val="21"/>
          <w:u w:val="single"/>
        </w:rPr>
      </w:pPr>
      <w:r>
        <w:rPr>
          <w:rFonts w:hint="eastAsia" w:ascii="宋体" w:hAnsi="宋体" w:cs="宋体"/>
          <w:szCs w:val="21"/>
        </w:rPr>
        <w:t>2.3.3拒绝列入</w:t>
      </w:r>
      <w:r>
        <w:rPr>
          <w:rFonts w:hint="eastAsia" w:ascii="宋体" w:hAnsi="宋体" w:cs="宋体"/>
          <w:b/>
          <w:bCs/>
          <w:szCs w:val="21"/>
          <w:u w:val="single"/>
        </w:rPr>
        <w:t>失信被执行人</w:t>
      </w:r>
      <w:r>
        <w:rPr>
          <w:rFonts w:hint="eastAsia" w:ascii="宋体" w:hAnsi="宋体" w:cs="宋体"/>
          <w:szCs w:val="21"/>
        </w:rPr>
        <w:t>、</w:t>
      </w:r>
      <w:r>
        <w:rPr>
          <w:rFonts w:hint="eastAsia" w:ascii="宋体" w:hAnsi="宋体" w:cs="宋体"/>
          <w:b/>
          <w:bCs/>
          <w:szCs w:val="21"/>
          <w:u w:val="single"/>
        </w:rPr>
        <w:t>重大税收违法失信主体</w:t>
      </w:r>
      <w:r>
        <w:rPr>
          <w:rFonts w:hint="eastAsia" w:ascii="宋体" w:hAnsi="宋体" w:cs="宋体"/>
          <w:szCs w:val="21"/>
        </w:rPr>
        <w:t>、</w:t>
      </w:r>
      <w:r>
        <w:rPr>
          <w:rFonts w:hint="eastAsia" w:ascii="宋体" w:hAnsi="宋体" w:cs="宋体"/>
          <w:b/>
          <w:bCs/>
          <w:szCs w:val="21"/>
          <w:u w:val="single"/>
        </w:rPr>
        <w:t>严重失信主体名单</w:t>
      </w:r>
      <w:r>
        <w:rPr>
          <w:rFonts w:hint="eastAsia" w:ascii="宋体" w:hAnsi="宋体" w:cs="宋体"/>
          <w:szCs w:val="21"/>
        </w:rPr>
        <w:t>和</w:t>
      </w:r>
      <w:r>
        <w:rPr>
          <w:rFonts w:hint="eastAsia" w:ascii="宋体" w:hAnsi="宋体" w:cs="宋体"/>
          <w:b/>
          <w:bCs/>
          <w:szCs w:val="21"/>
          <w:u w:val="single"/>
        </w:rPr>
        <w:t>政府采购严重违法失信行为记录名单</w:t>
      </w:r>
      <w:r>
        <w:rPr>
          <w:rFonts w:hint="eastAsia" w:ascii="宋体" w:hAnsi="宋体" w:cs="宋体"/>
          <w:szCs w:val="21"/>
        </w:rPr>
        <w:t>中的供应商参加本项目的投标活动。</w:t>
      </w:r>
      <w:r>
        <w:rPr>
          <w:rFonts w:hint="eastAsia" w:ascii="宋体" w:hAnsi="宋体" w:cs="宋体"/>
          <w:szCs w:val="21"/>
          <w:u w:val="single"/>
        </w:rPr>
        <w:t>代理机构在评标时通过“信用中国”网站（www.creditchina.gov.cn）查询其信用记录</w:t>
      </w:r>
      <w:r>
        <w:rPr>
          <w:rFonts w:hint="eastAsia" w:ascii="宋体" w:hAnsi="宋体" w:cs="宋体"/>
          <w:color w:val="000000" w:themeColor="text1"/>
          <w:szCs w:val="21"/>
          <w:u w:val="single"/>
          <w14:textFill>
            <w14:solidFill>
              <w14:schemeClr w14:val="tx1"/>
            </w14:solidFill>
          </w14:textFill>
        </w:rPr>
        <w:t>。</w:t>
      </w:r>
    </w:p>
    <w:bookmarkEnd w:id="60"/>
    <w:p w14:paraId="6789E5B6">
      <w:pPr>
        <w:ind w:firstLine="422" w:firstLineChars="200"/>
        <w:rPr>
          <w:rFonts w:ascii="宋体" w:hAnsi="宋体" w:cs="宋体"/>
          <w:b/>
          <w:szCs w:val="21"/>
        </w:rPr>
      </w:pPr>
    </w:p>
    <w:p w14:paraId="6F6C2589">
      <w:pPr>
        <w:ind w:firstLine="422" w:firstLineChars="200"/>
        <w:rPr>
          <w:rFonts w:ascii="宋体" w:hAnsi="宋体" w:cs="宋体"/>
          <w:b/>
          <w:szCs w:val="21"/>
        </w:rPr>
      </w:pPr>
      <w:r>
        <w:rPr>
          <w:rFonts w:hint="eastAsia" w:ascii="宋体" w:hAnsi="宋体" w:cs="宋体"/>
          <w:b/>
          <w:szCs w:val="21"/>
        </w:rPr>
        <w:t>3、</w:t>
      </w:r>
      <w:r>
        <w:rPr>
          <w:rFonts w:hint="eastAsia" w:ascii="宋体" w:hAnsi="宋体" w:cs="宋体"/>
          <w:b/>
          <w:kern w:val="0"/>
          <w:szCs w:val="21"/>
        </w:rPr>
        <w:t>公平竞争原则</w:t>
      </w:r>
    </w:p>
    <w:p w14:paraId="35CB862D">
      <w:pPr>
        <w:ind w:firstLine="420" w:firstLineChars="200"/>
        <w:rPr>
          <w:rFonts w:ascii="宋体" w:hAnsi="宋体" w:cs="宋体"/>
          <w:b/>
          <w:szCs w:val="21"/>
        </w:rPr>
      </w:pPr>
      <w:r>
        <w:rPr>
          <w:rFonts w:hint="eastAsia" w:ascii="宋体" w:hAnsi="宋体" w:cs="宋体"/>
          <w:kern w:val="0"/>
          <w:szCs w:val="21"/>
        </w:rPr>
        <w:t>3.1投标人应当遵循公平竞争的原则，不得恶意串通，不得妨碍其他投标人的竞争行为，不得损害采购人或者其他投标人的合法权益。</w:t>
      </w:r>
    </w:p>
    <w:p w14:paraId="6C022919">
      <w:pPr>
        <w:ind w:firstLine="420" w:firstLineChars="200"/>
        <w:rPr>
          <w:rFonts w:ascii="宋体" w:hAnsi="宋体" w:cs="宋体"/>
          <w:b/>
          <w:szCs w:val="21"/>
        </w:rPr>
      </w:pPr>
      <w:r>
        <w:rPr>
          <w:rFonts w:hint="eastAsia" w:ascii="宋体" w:hAnsi="宋体" w:cs="宋体"/>
          <w:kern w:val="0"/>
          <w:szCs w:val="21"/>
        </w:rPr>
        <w:t>3.2</w:t>
      </w:r>
      <w:r>
        <w:rPr>
          <w:rFonts w:hint="eastAsia" w:ascii="宋体" w:hAnsi="宋体" w:cs="宋体"/>
          <w:b/>
          <w:i/>
          <w:kern w:val="0"/>
          <w:szCs w:val="21"/>
          <w:u w:val="single"/>
        </w:rPr>
        <w:t>有下列情形之一的，视为投标人串通投标，其投标无效：</w:t>
      </w:r>
    </w:p>
    <w:p w14:paraId="69D6DAC0">
      <w:pPr>
        <w:ind w:firstLine="420" w:firstLineChars="200"/>
        <w:rPr>
          <w:rFonts w:ascii="宋体" w:hAnsi="宋体" w:cs="宋体"/>
          <w:szCs w:val="21"/>
        </w:rPr>
      </w:pPr>
      <w:r>
        <w:rPr>
          <w:rFonts w:hint="eastAsia" w:ascii="宋体" w:hAnsi="宋体" w:cs="宋体"/>
          <w:szCs w:val="21"/>
        </w:rPr>
        <w:t>（1）不同投标人的投标文件由同一单位或者个人编制；</w:t>
      </w:r>
    </w:p>
    <w:p w14:paraId="618797C5">
      <w:pPr>
        <w:ind w:firstLine="420" w:firstLineChars="200"/>
        <w:rPr>
          <w:rFonts w:ascii="宋体" w:hAnsi="宋体" w:cs="宋体"/>
          <w:szCs w:val="21"/>
        </w:rPr>
      </w:pPr>
      <w:r>
        <w:rPr>
          <w:rFonts w:hint="eastAsia" w:ascii="宋体" w:hAnsi="宋体" w:cs="宋体"/>
          <w:szCs w:val="21"/>
        </w:rPr>
        <w:t>（2）不同投标人委托同一单位或者个人办理投标事宜；</w:t>
      </w:r>
    </w:p>
    <w:p w14:paraId="68187FFC">
      <w:pPr>
        <w:ind w:firstLine="420" w:firstLineChars="200"/>
        <w:rPr>
          <w:rFonts w:ascii="宋体" w:hAnsi="宋体" w:cs="宋体"/>
          <w:szCs w:val="21"/>
        </w:rPr>
      </w:pPr>
      <w:r>
        <w:rPr>
          <w:rFonts w:hint="eastAsia" w:ascii="宋体" w:hAnsi="宋体" w:cs="宋体"/>
          <w:szCs w:val="21"/>
        </w:rPr>
        <w:t>（3）不同投标人的投标文件载明的项目管理成员或者联系人员为同一人；</w:t>
      </w:r>
    </w:p>
    <w:p w14:paraId="5A558D8B">
      <w:pPr>
        <w:ind w:firstLine="420" w:firstLineChars="200"/>
        <w:rPr>
          <w:rFonts w:ascii="宋体" w:hAnsi="宋体" w:cs="宋体"/>
          <w:szCs w:val="21"/>
        </w:rPr>
      </w:pPr>
      <w:r>
        <w:rPr>
          <w:rFonts w:hint="eastAsia" w:ascii="宋体" w:hAnsi="宋体" w:cs="宋体"/>
          <w:szCs w:val="21"/>
        </w:rPr>
        <w:t>（4）不同投标人的投标文件异常一致或者投标报价呈规律性差异；</w:t>
      </w:r>
    </w:p>
    <w:p w14:paraId="6F977534">
      <w:pPr>
        <w:ind w:firstLine="420" w:firstLineChars="200"/>
        <w:rPr>
          <w:rFonts w:ascii="宋体" w:hAnsi="宋体" w:cs="宋体"/>
          <w:szCs w:val="21"/>
        </w:rPr>
      </w:pPr>
      <w:r>
        <w:rPr>
          <w:rFonts w:hint="eastAsia" w:ascii="宋体" w:hAnsi="宋体" w:cs="宋体"/>
          <w:szCs w:val="21"/>
        </w:rPr>
        <w:t>（5）不同投标人的投标文件相互混装；</w:t>
      </w:r>
    </w:p>
    <w:p w14:paraId="033C8CC5">
      <w:pPr>
        <w:ind w:firstLine="420" w:firstLineChars="200"/>
        <w:rPr>
          <w:rFonts w:ascii="宋体" w:hAnsi="宋体" w:cs="宋体"/>
          <w:szCs w:val="21"/>
        </w:rPr>
      </w:pPr>
      <w:r>
        <w:rPr>
          <w:rFonts w:hint="eastAsia" w:ascii="宋体" w:hAnsi="宋体" w:cs="宋体"/>
          <w:szCs w:val="21"/>
        </w:rPr>
        <w:t>（6）不同投标人的投标保证金从同一单位或者个人的账户转出。</w:t>
      </w:r>
    </w:p>
    <w:p w14:paraId="772C5B39">
      <w:pPr>
        <w:ind w:firstLine="420" w:firstLineChars="200"/>
        <w:rPr>
          <w:rFonts w:ascii="宋体" w:hAnsi="宋体" w:cs="宋体"/>
          <w:szCs w:val="21"/>
        </w:rPr>
      </w:pPr>
    </w:p>
    <w:p w14:paraId="12D4EF9D">
      <w:pPr>
        <w:ind w:firstLine="422" w:firstLineChars="200"/>
        <w:rPr>
          <w:rFonts w:ascii="宋体" w:hAnsi="宋体" w:cs="宋体"/>
          <w:b/>
          <w:szCs w:val="21"/>
        </w:rPr>
      </w:pPr>
      <w:r>
        <w:rPr>
          <w:rFonts w:hint="eastAsia" w:ascii="宋体" w:hAnsi="宋体" w:cs="宋体"/>
          <w:b/>
          <w:szCs w:val="21"/>
        </w:rPr>
        <w:t>4、投标费用</w:t>
      </w:r>
    </w:p>
    <w:p w14:paraId="57AC8D0A">
      <w:pPr>
        <w:ind w:firstLine="420" w:firstLineChars="200"/>
        <w:rPr>
          <w:rFonts w:ascii="宋体" w:hAnsi="宋体" w:cs="宋体"/>
          <w:szCs w:val="21"/>
        </w:rPr>
      </w:pPr>
      <w:r>
        <w:rPr>
          <w:rFonts w:hint="eastAsia" w:ascii="宋体" w:hAnsi="宋体" w:cs="宋体"/>
          <w:szCs w:val="21"/>
        </w:rPr>
        <w:t>投标人应自行承担所有与参加投标有关的费用。不论投标的结果如何，</w:t>
      </w:r>
      <w:r>
        <w:rPr>
          <w:rFonts w:hint="eastAsia" w:ascii="宋体" w:hAnsi="宋体" w:cs="宋体"/>
          <w:b/>
          <w:szCs w:val="21"/>
        </w:rPr>
        <w:t>中华人民共和国南京海关</w:t>
      </w:r>
      <w:r>
        <w:rPr>
          <w:rFonts w:hint="eastAsia" w:ascii="宋体" w:hAnsi="宋体" w:cs="宋体"/>
          <w:szCs w:val="21"/>
        </w:rPr>
        <w:t>（以下称为采购人）、</w:t>
      </w:r>
      <w:r>
        <w:rPr>
          <w:rFonts w:hint="eastAsia" w:ascii="宋体" w:hAnsi="宋体" w:cs="宋体"/>
          <w:b/>
        </w:rPr>
        <w:t>江苏舜天高科有限责任公司</w:t>
      </w:r>
      <w:r>
        <w:rPr>
          <w:rFonts w:hint="eastAsia" w:ascii="宋体" w:hAnsi="宋体" w:cs="宋体"/>
          <w:szCs w:val="21"/>
        </w:rPr>
        <w:t>（以下称为采购代理机构）在任何情况下均无义务和责任承担这些费用。</w:t>
      </w:r>
    </w:p>
    <w:p w14:paraId="6948344D">
      <w:pPr>
        <w:rPr>
          <w:rFonts w:ascii="宋体" w:hAnsi="宋体" w:cs="宋体"/>
          <w:szCs w:val="21"/>
        </w:rPr>
      </w:pPr>
    </w:p>
    <w:p w14:paraId="5D20DD17">
      <w:pPr>
        <w:jc w:val="center"/>
        <w:outlineLvl w:val="1"/>
        <w:rPr>
          <w:rFonts w:ascii="宋体" w:hAnsi="宋体" w:cs="宋体"/>
          <w:b/>
          <w:szCs w:val="21"/>
        </w:rPr>
      </w:pPr>
      <w:bookmarkStart w:id="61" w:name="_Toc10471"/>
      <w:bookmarkStart w:id="62" w:name="_Toc20826"/>
      <w:bookmarkStart w:id="63" w:name="_Toc25655"/>
      <w:bookmarkStart w:id="64" w:name="_Toc2637"/>
      <w:r>
        <w:rPr>
          <w:rFonts w:hint="eastAsia" w:ascii="宋体" w:hAnsi="宋体" w:cs="宋体"/>
          <w:b/>
          <w:szCs w:val="21"/>
        </w:rPr>
        <w:t>二、招标文件构成</w:t>
      </w:r>
      <w:bookmarkEnd w:id="61"/>
      <w:bookmarkEnd w:id="62"/>
      <w:bookmarkEnd w:id="63"/>
      <w:bookmarkEnd w:id="64"/>
    </w:p>
    <w:p w14:paraId="1BF151EF">
      <w:pPr>
        <w:rPr>
          <w:rFonts w:ascii="宋体" w:hAnsi="宋体" w:cs="宋体"/>
          <w:szCs w:val="21"/>
        </w:rPr>
      </w:pPr>
    </w:p>
    <w:p w14:paraId="52019A10">
      <w:pPr>
        <w:ind w:firstLine="422" w:firstLineChars="200"/>
        <w:rPr>
          <w:rFonts w:ascii="宋体" w:hAnsi="宋体" w:cs="宋体"/>
          <w:b/>
          <w:szCs w:val="21"/>
        </w:rPr>
      </w:pPr>
      <w:r>
        <w:rPr>
          <w:rFonts w:hint="eastAsia" w:ascii="宋体" w:hAnsi="宋体" w:cs="宋体"/>
          <w:b/>
          <w:szCs w:val="21"/>
        </w:rPr>
        <w:t>5、招标文件包括：</w:t>
      </w:r>
    </w:p>
    <w:p w14:paraId="127F6CFF">
      <w:pPr>
        <w:ind w:firstLine="420" w:firstLineChars="200"/>
        <w:rPr>
          <w:rFonts w:ascii="宋体" w:hAnsi="宋体" w:cs="宋体"/>
          <w:szCs w:val="21"/>
        </w:rPr>
      </w:pPr>
      <w:r>
        <w:rPr>
          <w:rFonts w:hint="eastAsia" w:ascii="宋体" w:hAnsi="宋体" w:cs="宋体"/>
          <w:szCs w:val="21"/>
        </w:rPr>
        <w:t>第一部分：招标公告</w:t>
      </w:r>
    </w:p>
    <w:p w14:paraId="22F5C189">
      <w:pPr>
        <w:ind w:firstLine="420" w:firstLineChars="200"/>
        <w:rPr>
          <w:rFonts w:ascii="宋体" w:hAnsi="宋体" w:cs="宋体"/>
          <w:szCs w:val="21"/>
        </w:rPr>
      </w:pPr>
      <w:r>
        <w:rPr>
          <w:rFonts w:hint="eastAsia" w:ascii="宋体" w:hAnsi="宋体" w:cs="宋体"/>
          <w:szCs w:val="21"/>
        </w:rPr>
        <w:t>第二部分：投标人须知</w:t>
      </w:r>
    </w:p>
    <w:p w14:paraId="74673B77">
      <w:pPr>
        <w:ind w:firstLine="420" w:firstLineChars="200"/>
        <w:rPr>
          <w:rFonts w:ascii="宋体" w:hAnsi="宋体" w:cs="宋体"/>
          <w:szCs w:val="21"/>
        </w:rPr>
      </w:pPr>
      <w:r>
        <w:rPr>
          <w:rFonts w:hint="eastAsia" w:ascii="宋体" w:hAnsi="宋体" w:cs="宋体"/>
          <w:szCs w:val="21"/>
        </w:rPr>
        <w:t>第三部分：采购需求</w:t>
      </w:r>
    </w:p>
    <w:p w14:paraId="6DE393C1">
      <w:pPr>
        <w:ind w:firstLine="420" w:firstLineChars="200"/>
        <w:rPr>
          <w:rFonts w:ascii="宋体" w:hAnsi="宋体" w:cs="宋体"/>
          <w:szCs w:val="21"/>
        </w:rPr>
      </w:pPr>
      <w:r>
        <w:rPr>
          <w:rFonts w:hint="eastAsia" w:ascii="宋体" w:hAnsi="宋体" w:cs="宋体"/>
          <w:szCs w:val="21"/>
        </w:rPr>
        <w:t>第四部分：合同条款</w:t>
      </w:r>
    </w:p>
    <w:p w14:paraId="47231D38">
      <w:pPr>
        <w:ind w:firstLine="420" w:firstLineChars="200"/>
        <w:rPr>
          <w:rFonts w:ascii="宋体" w:hAnsi="宋体" w:cs="宋体"/>
          <w:szCs w:val="21"/>
        </w:rPr>
      </w:pPr>
      <w:r>
        <w:rPr>
          <w:rFonts w:hint="eastAsia" w:ascii="宋体" w:hAnsi="宋体" w:cs="宋体"/>
          <w:szCs w:val="21"/>
        </w:rPr>
        <w:t>第五部分：评标办法</w:t>
      </w:r>
    </w:p>
    <w:p w14:paraId="35CD2D8A">
      <w:pPr>
        <w:ind w:firstLine="420" w:firstLineChars="200"/>
        <w:rPr>
          <w:rFonts w:ascii="宋体" w:hAnsi="宋体" w:cs="宋体"/>
          <w:szCs w:val="21"/>
        </w:rPr>
      </w:pPr>
      <w:r>
        <w:rPr>
          <w:rFonts w:hint="eastAsia" w:ascii="宋体" w:hAnsi="宋体" w:cs="宋体"/>
          <w:szCs w:val="21"/>
        </w:rPr>
        <w:t>第六部分：投标文件组成</w:t>
      </w:r>
    </w:p>
    <w:p w14:paraId="2CE56972">
      <w:pPr>
        <w:ind w:firstLine="420" w:firstLineChars="200"/>
        <w:rPr>
          <w:rFonts w:ascii="宋体" w:hAnsi="宋体" w:cs="宋体"/>
          <w:szCs w:val="21"/>
        </w:rPr>
      </w:pPr>
    </w:p>
    <w:p w14:paraId="0C9B4B0B">
      <w:pPr>
        <w:ind w:firstLine="422" w:firstLineChars="200"/>
        <w:rPr>
          <w:rFonts w:ascii="宋体" w:hAnsi="宋体" w:cs="宋体"/>
          <w:b/>
          <w:szCs w:val="21"/>
        </w:rPr>
      </w:pPr>
      <w:r>
        <w:rPr>
          <w:rFonts w:hint="eastAsia" w:ascii="宋体" w:hAnsi="宋体" w:cs="宋体"/>
          <w:b/>
          <w:szCs w:val="21"/>
        </w:rPr>
        <w:t>6、招标文件的询问或者质疑</w:t>
      </w:r>
    </w:p>
    <w:p w14:paraId="1D2F9D0E">
      <w:pPr>
        <w:ind w:firstLine="420" w:firstLineChars="200"/>
        <w:rPr>
          <w:rFonts w:ascii="宋体" w:hAnsi="宋体" w:cs="宋体"/>
          <w:szCs w:val="21"/>
        </w:rPr>
      </w:pPr>
      <w:r>
        <w:rPr>
          <w:rFonts w:hint="eastAsia" w:ascii="宋体" w:hAnsi="宋体" w:cs="宋体"/>
          <w:szCs w:val="18"/>
        </w:rPr>
        <w:t>6.1潜在供应商已依法获取招标文件的，</w:t>
      </w:r>
      <w:r>
        <w:rPr>
          <w:rFonts w:hint="eastAsia" w:ascii="宋体" w:hAnsi="宋体" w:cs="宋体"/>
        </w:rPr>
        <w:t>对该文件</w:t>
      </w:r>
      <w:r>
        <w:rPr>
          <w:rFonts w:hint="eastAsia" w:ascii="宋体" w:hAnsi="宋体" w:cs="宋体"/>
          <w:szCs w:val="18"/>
        </w:rPr>
        <w:t>可以向采购代理机构提出询问，采购代理机构应当及时作出答复，但答复的内容不得涉及商业秘密。</w:t>
      </w:r>
    </w:p>
    <w:p w14:paraId="4E59A6FA">
      <w:pPr>
        <w:ind w:firstLine="420" w:firstLineChars="200"/>
        <w:rPr>
          <w:rFonts w:ascii="宋体" w:hAnsi="宋体" w:cs="宋体"/>
          <w:szCs w:val="21"/>
        </w:rPr>
      </w:pPr>
      <w:r>
        <w:rPr>
          <w:rFonts w:hint="eastAsia" w:ascii="宋体" w:hAnsi="宋体" w:cs="宋体"/>
          <w:szCs w:val="21"/>
        </w:rPr>
        <w:t>6.2</w:t>
      </w:r>
      <w:r>
        <w:rPr>
          <w:rFonts w:hint="eastAsia" w:ascii="宋体" w:hAnsi="宋体" w:cs="宋体"/>
        </w:rPr>
        <w:t>潜在供应商已依法获取招标文件的，可以对该文件</w:t>
      </w:r>
      <w:r>
        <w:rPr>
          <w:rFonts w:hint="eastAsia" w:ascii="宋体" w:hAnsi="宋体" w:cs="宋体"/>
          <w:szCs w:val="18"/>
        </w:rPr>
        <w:t>向采购代理机构</w:t>
      </w:r>
      <w:r>
        <w:rPr>
          <w:rFonts w:hint="eastAsia" w:ascii="宋体" w:hAnsi="宋体" w:cs="宋体"/>
        </w:rPr>
        <w:t>提出质疑。对招标文件提出质疑的，应当在获取招标文件或者招标公告期限届满之日起7个工作日内一次性书面提出。采购代理机构不得拒收质疑供应商在法定质疑期内发出的质疑函，应当在收到质疑函后7个工作日内作出答复，并以书面形式通知质疑供应商和其他有关供应商。</w:t>
      </w:r>
    </w:p>
    <w:p w14:paraId="1A46C203">
      <w:pPr>
        <w:ind w:firstLine="420" w:firstLineChars="200"/>
        <w:rPr>
          <w:rFonts w:ascii="宋体" w:hAnsi="宋体" w:cs="宋体"/>
          <w:szCs w:val="21"/>
        </w:rPr>
      </w:pPr>
      <w:r>
        <w:rPr>
          <w:rFonts w:hint="eastAsia" w:ascii="宋体" w:hAnsi="宋体" w:cs="宋体"/>
          <w:szCs w:val="21"/>
        </w:rPr>
        <w:t>6.3由于潜在供应商所留联系方式有问题而导致采购代理机构无法通知的，其责任由潜在供应商自行承担。</w:t>
      </w:r>
    </w:p>
    <w:p w14:paraId="5EB4F4C1">
      <w:pPr>
        <w:ind w:firstLine="420" w:firstLineChars="200"/>
        <w:rPr>
          <w:rFonts w:ascii="宋体" w:hAnsi="宋体" w:cs="宋体"/>
          <w:szCs w:val="21"/>
        </w:rPr>
      </w:pPr>
    </w:p>
    <w:p w14:paraId="1E9D1BFC">
      <w:pPr>
        <w:ind w:firstLine="422" w:firstLineChars="200"/>
        <w:rPr>
          <w:rFonts w:ascii="宋体" w:hAnsi="宋体" w:cs="宋体"/>
          <w:b/>
          <w:szCs w:val="21"/>
        </w:rPr>
      </w:pPr>
      <w:r>
        <w:rPr>
          <w:rFonts w:hint="eastAsia" w:ascii="宋体" w:hAnsi="宋体" w:cs="宋体"/>
          <w:b/>
          <w:szCs w:val="21"/>
        </w:rPr>
        <w:t>7、招标文件的澄清或者修改</w:t>
      </w:r>
    </w:p>
    <w:p w14:paraId="0B9E3709">
      <w:pPr>
        <w:ind w:firstLine="420" w:firstLineChars="200"/>
        <w:rPr>
          <w:rFonts w:ascii="宋体" w:hAnsi="宋体" w:cs="宋体"/>
          <w:szCs w:val="21"/>
        </w:rPr>
      </w:pPr>
      <w:r>
        <w:rPr>
          <w:rFonts w:hint="eastAsia" w:ascii="宋体" w:hAnsi="宋体" w:cs="宋体"/>
          <w:szCs w:val="21"/>
        </w:rPr>
        <w:t>7.1采购代理机构可主动地或在解答投标人提出的询问、质疑时对招标文件进行</w:t>
      </w:r>
      <w:r>
        <w:rPr>
          <w:rFonts w:hint="eastAsia" w:ascii="宋体" w:hAnsi="宋体" w:cs="宋体"/>
          <w:kern w:val="0"/>
          <w:szCs w:val="21"/>
        </w:rPr>
        <w:t>澄清或者</w:t>
      </w:r>
      <w:r>
        <w:rPr>
          <w:rFonts w:hint="eastAsia" w:ascii="宋体" w:hAnsi="宋体" w:cs="宋体"/>
          <w:szCs w:val="21"/>
        </w:rPr>
        <w:t>修改。</w:t>
      </w:r>
      <w:r>
        <w:rPr>
          <w:rFonts w:hint="eastAsia" w:ascii="宋体" w:hAnsi="宋体" w:cs="宋体"/>
          <w:kern w:val="0"/>
          <w:szCs w:val="21"/>
        </w:rPr>
        <w:t>澄清或者修改的内容可能影响投标文件编制的，采购代理机构应当在投标截止时间至少15日前，以书面形式通知所有获取招标文件的潜在供应商；不足15日的，采购代理机构应当顺延提交投标文件的截止时间。</w:t>
      </w:r>
    </w:p>
    <w:p w14:paraId="7E4199F2">
      <w:pPr>
        <w:ind w:firstLine="420" w:firstLineChars="200"/>
        <w:rPr>
          <w:rFonts w:ascii="宋体" w:hAnsi="宋体" w:cs="宋体"/>
          <w:szCs w:val="21"/>
        </w:rPr>
      </w:pPr>
      <w:r>
        <w:rPr>
          <w:rFonts w:hint="eastAsia" w:ascii="宋体" w:hAnsi="宋体" w:cs="宋体"/>
          <w:szCs w:val="21"/>
        </w:rPr>
        <w:t>7.2招标文件的修改将以更正公告的方式在发布招标公告的同一媒体上发布，并及时通知所有购买招标文件的投标人查询相关内容。更正公告将作为招标文件的组成部分，对所有投标人都具有约束力。</w:t>
      </w:r>
    </w:p>
    <w:p w14:paraId="53EEB62C">
      <w:pPr>
        <w:ind w:firstLine="420" w:firstLineChars="200"/>
        <w:rPr>
          <w:rFonts w:ascii="宋体" w:hAnsi="宋体" w:cs="宋体"/>
          <w:szCs w:val="21"/>
        </w:rPr>
      </w:pPr>
      <w:r>
        <w:rPr>
          <w:rFonts w:hint="eastAsia" w:ascii="宋体" w:hAnsi="宋体" w:cs="宋体"/>
          <w:szCs w:val="21"/>
        </w:rPr>
        <w:t>7.3采购代理机构有权酌情推迟投标截止时间和开标日期，将以延期开标公告的方式在发布招标公告的同一媒体上发布，并及时通知所有购买招标文件的潜在供应商查询相关信息。</w:t>
      </w:r>
    </w:p>
    <w:p w14:paraId="771085D0">
      <w:pPr>
        <w:rPr>
          <w:rFonts w:ascii="宋体" w:hAnsi="宋体" w:cs="宋体"/>
          <w:szCs w:val="21"/>
        </w:rPr>
      </w:pPr>
    </w:p>
    <w:p w14:paraId="5DFA1DBE">
      <w:pPr>
        <w:jc w:val="center"/>
        <w:outlineLvl w:val="1"/>
        <w:rPr>
          <w:rFonts w:ascii="宋体" w:hAnsi="宋体" w:cs="宋体"/>
          <w:b/>
          <w:szCs w:val="21"/>
        </w:rPr>
      </w:pPr>
      <w:bookmarkStart w:id="65" w:name="_Toc1539"/>
      <w:bookmarkStart w:id="66" w:name="_Toc3407"/>
      <w:bookmarkStart w:id="67" w:name="_Toc7234"/>
      <w:bookmarkStart w:id="68" w:name="_Toc19387"/>
      <w:r>
        <w:rPr>
          <w:rFonts w:hint="eastAsia" w:ascii="宋体" w:hAnsi="宋体" w:cs="宋体"/>
          <w:b/>
          <w:szCs w:val="21"/>
        </w:rPr>
        <w:t>三、投标文件的编制</w:t>
      </w:r>
      <w:bookmarkEnd w:id="65"/>
      <w:bookmarkEnd w:id="66"/>
      <w:bookmarkEnd w:id="67"/>
      <w:bookmarkEnd w:id="68"/>
    </w:p>
    <w:p w14:paraId="26B84163">
      <w:pPr>
        <w:rPr>
          <w:rFonts w:ascii="宋体" w:hAnsi="宋体" w:cs="宋体"/>
          <w:szCs w:val="21"/>
        </w:rPr>
      </w:pPr>
    </w:p>
    <w:p w14:paraId="0E021349">
      <w:pPr>
        <w:ind w:firstLine="422" w:firstLineChars="200"/>
        <w:rPr>
          <w:rFonts w:ascii="宋体" w:hAnsi="宋体" w:cs="宋体"/>
          <w:b/>
          <w:szCs w:val="21"/>
        </w:rPr>
      </w:pPr>
      <w:r>
        <w:rPr>
          <w:rFonts w:hint="eastAsia" w:ascii="宋体" w:hAnsi="宋体" w:cs="宋体"/>
          <w:b/>
          <w:szCs w:val="21"/>
        </w:rPr>
        <w:t>8、投标内容</w:t>
      </w:r>
    </w:p>
    <w:p w14:paraId="619BE213">
      <w:pPr>
        <w:ind w:firstLine="420" w:firstLineChars="200"/>
        <w:rPr>
          <w:rFonts w:ascii="宋体" w:hAnsi="宋体" w:cs="宋体"/>
          <w:szCs w:val="21"/>
        </w:rPr>
      </w:pPr>
      <w:r>
        <w:rPr>
          <w:rFonts w:hint="eastAsia" w:ascii="宋体" w:hAnsi="宋体" w:cs="宋体"/>
          <w:szCs w:val="21"/>
        </w:rPr>
        <w:t>8.1 投标的最小单位是包。</w:t>
      </w:r>
    </w:p>
    <w:p w14:paraId="1F654D2A">
      <w:pPr>
        <w:ind w:firstLine="420" w:firstLineChars="200"/>
        <w:rPr>
          <w:rFonts w:ascii="宋体" w:hAnsi="宋体" w:cs="宋体"/>
          <w:szCs w:val="21"/>
        </w:rPr>
      </w:pPr>
      <w:r>
        <w:rPr>
          <w:rFonts w:hint="eastAsia" w:ascii="宋体" w:hAnsi="宋体" w:cs="宋体"/>
          <w:szCs w:val="21"/>
        </w:rPr>
        <w:t>8.2采购清单中如有多个分包的，投标人可以以包为单位部分或全部投标。</w:t>
      </w:r>
    </w:p>
    <w:p w14:paraId="689A8142">
      <w:pPr>
        <w:ind w:firstLine="422" w:firstLineChars="200"/>
        <w:rPr>
          <w:rFonts w:ascii="宋体" w:hAnsi="宋体" w:cs="宋体"/>
          <w:b/>
          <w:i/>
          <w:szCs w:val="21"/>
          <w:u w:val="single"/>
        </w:rPr>
      </w:pPr>
      <w:r>
        <w:rPr>
          <w:rFonts w:hint="eastAsia" w:ascii="宋体" w:hAnsi="宋体" w:cs="宋体"/>
          <w:b/>
          <w:i/>
          <w:szCs w:val="21"/>
          <w:u w:val="single"/>
        </w:rPr>
        <w:t>8.3如果包号项下有多个品目的，投标人必须对包号项下的所有品目进行投标，否则投标文件无效。</w:t>
      </w:r>
    </w:p>
    <w:p w14:paraId="5994293A">
      <w:pPr>
        <w:ind w:firstLine="420" w:firstLineChars="200"/>
        <w:rPr>
          <w:rFonts w:ascii="宋体" w:hAnsi="宋体" w:cs="宋体"/>
          <w:szCs w:val="21"/>
        </w:rPr>
      </w:pPr>
    </w:p>
    <w:p w14:paraId="74055461">
      <w:pPr>
        <w:ind w:firstLine="422" w:firstLineChars="200"/>
        <w:rPr>
          <w:rFonts w:ascii="宋体" w:hAnsi="宋体" w:cs="宋体"/>
          <w:b/>
          <w:szCs w:val="21"/>
        </w:rPr>
      </w:pPr>
      <w:r>
        <w:rPr>
          <w:rFonts w:hint="eastAsia" w:ascii="宋体" w:hAnsi="宋体" w:cs="宋体"/>
          <w:b/>
          <w:szCs w:val="21"/>
        </w:rPr>
        <w:t>9、投标文件的语言及计量单位</w:t>
      </w:r>
    </w:p>
    <w:p w14:paraId="18737A63">
      <w:pPr>
        <w:ind w:firstLine="420" w:firstLineChars="200"/>
        <w:rPr>
          <w:rFonts w:ascii="宋体" w:hAnsi="宋体" w:cs="宋体"/>
          <w:szCs w:val="21"/>
        </w:rPr>
      </w:pPr>
      <w:r>
        <w:rPr>
          <w:rFonts w:hint="eastAsia" w:ascii="宋体" w:hAnsi="宋体" w:cs="宋体"/>
          <w:szCs w:val="21"/>
        </w:rPr>
        <w:t>9.1投标人提交的投标文件以及投标人与采购代理机构就有关投标的所有来往函电均应使用简体中文。</w:t>
      </w:r>
    </w:p>
    <w:p w14:paraId="718B222C">
      <w:pPr>
        <w:ind w:firstLine="420" w:firstLineChars="200"/>
        <w:rPr>
          <w:rFonts w:ascii="宋体" w:hAnsi="宋体" w:cs="宋体"/>
          <w:szCs w:val="21"/>
        </w:rPr>
      </w:pPr>
      <w:r>
        <w:rPr>
          <w:rFonts w:hint="eastAsia" w:ascii="宋体" w:hAnsi="宋体" w:cs="宋体"/>
          <w:szCs w:val="21"/>
        </w:rPr>
        <w:t>9.2除招标文件中另有规定外，投标文件所使用的计量单位，均须采用国家法定计量单位。</w:t>
      </w:r>
    </w:p>
    <w:p w14:paraId="2D0A94E1">
      <w:pPr>
        <w:ind w:firstLine="420" w:firstLineChars="200"/>
        <w:rPr>
          <w:rFonts w:ascii="宋体" w:hAnsi="宋体" w:cs="宋体"/>
          <w:szCs w:val="21"/>
        </w:rPr>
      </w:pPr>
    </w:p>
    <w:p w14:paraId="7E608DB3">
      <w:pPr>
        <w:ind w:firstLine="422" w:firstLineChars="200"/>
        <w:rPr>
          <w:rFonts w:ascii="宋体" w:hAnsi="宋体" w:cs="宋体"/>
          <w:b/>
          <w:szCs w:val="21"/>
        </w:rPr>
      </w:pPr>
      <w:r>
        <w:rPr>
          <w:rFonts w:hint="eastAsia" w:ascii="宋体" w:hAnsi="宋体" w:cs="宋体"/>
          <w:b/>
          <w:szCs w:val="21"/>
        </w:rPr>
        <w:t>10、投标文件构成</w:t>
      </w:r>
    </w:p>
    <w:p w14:paraId="496E6288">
      <w:pPr>
        <w:ind w:firstLine="420" w:firstLineChars="200"/>
        <w:rPr>
          <w:rFonts w:ascii="宋体" w:hAnsi="宋体" w:cs="宋体"/>
          <w:szCs w:val="21"/>
        </w:rPr>
      </w:pPr>
      <w:r>
        <w:rPr>
          <w:rFonts w:hint="eastAsia" w:ascii="宋体" w:hAnsi="宋体" w:cs="宋体"/>
          <w:szCs w:val="21"/>
        </w:rPr>
        <w:t>10.1投标函格式；</w:t>
      </w:r>
    </w:p>
    <w:p w14:paraId="4F3EE707">
      <w:pPr>
        <w:ind w:firstLine="420" w:firstLineChars="200"/>
        <w:rPr>
          <w:rFonts w:ascii="宋体" w:hAnsi="宋体" w:cs="宋体"/>
          <w:szCs w:val="21"/>
        </w:rPr>
      </w:pPr>
      <w:r>
        <w:rPr>
          <w:rFonts w:hint="eastAsia" w:ascii="宋体" w:hAnsi="宋体" w:cs="宋体"/>
          <w:szCs w:val="21"/>
        </w:rPr>
        <w:t>10.2授权委托书；</w:t>
      </w:r>
    </w:p>
    <w:p w14:paraId="3F9B342B">
      <w:pPr>
        <w:ind w:firstLine="420" w:firstLineChars="200"/>
        <w:rPr>
          <w:rFonts w:ascii="宋体" w:hAnsi="宋体" w:cs="宋体"/>
          <w:szCs w:val="21"/>
        </w:rPr>
      </w:pPr>
      <w:r>
        <w:rPr>
          <w:rFonts w:hint="eastAsia" w:ascii="宋体" w:hAnsi="宋体" w:cs="宋体"/>
          <w:szCs w:val="21"/>
        </w:rPr>
        <w:t>10.3开标一览表；</w:t>
      </w:r>
    </w:p>
    <w:p w14:paraId="1F12346A">
      <w:pPr>
        <w:ind w:firstLine="420" w:firstLineChars="200"/>
        <w:rPr>
          <w:rFonts w:ascii="宋体" w:hAnsi="宋体" w:cs="宋体"/>
          <w:szCs w:val="21"/>
        </w:rPr>
      </w:pPr>
      <w:r>
        <w:rPr>
          <w:rFonts w:hint="eastAsia" w:ascii="宋体" w:hAnsi="宋体" w:cs="宋体"/>
          <w:szCs w:val="21"/>
        </w:rPr>
        <w:t>10.4投标报价表；</w:t>
      </w:r>
    </w:p>
    <w:p w14:paraId="6EA3F175">
      <w:pPr>
        <w:ind w:firstLine="420" w:firstLineChars="200"/>
        <w:rPr>
          <w:rFonts w:ascii="宋体" w:hAnsi="宋体" w:cs="宋体"/>
          <w:szCs w:val="21"/>
        </w:rPr>
      </w:pPr>
      <w:r>
        <w:rPr>
          <w:rFonts w:hint="eastAsia" w:ascii="宋体" w:hAnsi="宋体" w:cs="宋体"/>
          <w:szCs w:val="21"/>
        </w:rPr>
        <w:t>10.5项目承诺书；</w:t>
      </w:r>
    </w:p>
    <w:p w14:paraId="2028043D">
      <w:pPr>
        <w:ind w:firstLine="420" w:firstLineChars="200"/>
        <w:rPr>
          <w:rFonts w:ascii="宋体" w:hAnsi="宋体" w:cs="宋体"/>
          <w:szCs w:val="21"/>
        </w:rPr>
      </w:pPr>
      <w:r>
        <w:rPr>
          <w:rFonts w:hint="eastAsia" w:ascii="宋体" w:hAnsi="宋体" w:cs="宋体"/>
          <w:szCs w:val="21"/>
        </w:rPr>
        <w:t>10.6服务方案；</w:t>
      </w:r>
    </w:p>
    <w:p w14:paraId="661C1296">
      <w:pPr>
        <w:ind w:firstLine="420" w:firstLineChars="200"/>
        <w:rPr>
          <w:rFonts w:ascii="宋体" w:hAnsi="宋体" w:cs="宋体"/>
          <w:szCs w:val="21"/>
        </w:rPr>
      </w:pPr>
      <w:r>
        <w:rPr>
          <w:rFonts w:hint="eastAsia" w:ascii="宋体" w:hAnsi="宋体" w:cs="宋体"/>
          <w:szCs w:val="21"/>
        </w:rPr>
        <w:t>10.7资格证明文件；</w:t>
      </w:r>
    </w:p>
    <w:p w14:paraId="1B1F01B1">
      <w:pPr>
        <w:ind w:firstLine="420" w:firstLineChars="200"/>
        <w:rPr>
          <w:rFonts w:ascii="宋体" w:hAnsi="宋体" w:cs="宋体"/>
          <w:szCs w:val="21"/>
        </w:rPr>
      </w:pPr>
      <w:r>
        <w:rPr>
          <w:rFonts w:hint="eastAsia" w:ascii="宋体" w:hAnsi="宋体" w:cs="宋体"/>
          <w:szCs w:val="21"/>
        </w:rPr>
        <w:t>10.8其它（招标文件要求提供或者投标人认为需要提供的其它资料）；</w:t>
      </w:r>
    </w:p>
    <w:p w14:paraId="26CB9E07">
      <w:pPr>
        <w:ind w:firstLine="420" w:firstLineChars="200"/>
        <w:rPr>
          <w:rFonts w:ascii="宋体" w:hAnsi="宋体" w:cs="宋体"/>
          <w:szCs w:val="21"/>
        </w:rPr>
      </w:pPr>
    </w:p>
    <w:p w14:paraId="7AFF0DEF">
      <w:pPr>
        <w:ind w:firstLine="422" w:firstLineChars="200"/>
        <w:rPr>
          <w:rFonts w:ascii="宋体" w:hAnsi="宋体" w:cs="宋体"/>
          <w:b/>
          <w:szCs w:val="21"/>
        </w:rPr>
      </w:pPr>
      <w:r>
        <w:rPr>
          <w:rFonts w:hint="eastAsia" w:ascii="宋体" w:hAnsi="宋体" w:cs="宋体"/>
          <w:b/>
          <w:szCs w:val="21"/>
        </w:rPr>
        <w:t>11、开标一览表</w:t>
      </w:r>
    </w:p>
    <w:p w14:paraId="077D3DB0">
      <w:pPr>
        <w:ind w:firstLine="420" w:firstLineChars="200"/>
        <w:rPr>
          <w:rFonts w:ascii="宋体" w:hAnsi="宋体" w:cs="宋体"/>
          <w:szCs w:val="21"/>
        </w:rPr>
      </w:pPr>
      <w:r>
        <w:rPr>
          <w:rFonts w:hint="eastAsia" w:ascii="宋体" w:hAnsi="宋体" w:cs="宋体"/>
          <w:szCs w:val="21"/>
        </w:rPr>
        <w:t>11.1投标人必须按开标一览表的规定格式完整、清晰、正确填写，不得自行增减内容。</w:t>
      </w:r>
    </w:p>
    <w:p w14:paraId="4EDCCD67">
      <w:pPr>
        <w:ind w:firstLine="420" w:firstLineChars="200"/>
        <w:rPr>
          <w:rFonts w:ascii="宋体" w:hAnsi="宋体" w:cs="宋体"/>
          <w:szCs w:val="21"/>
        </w:rPr>
      </w:pPr>
      <w:r>
        <w:rPr>
          <w:rFonts w:hint="eastAsia" w:ascii="宋体" w:hAnsi="宋体" w:cs="宋体"/>
          <w:szCs w:val="21"/>
        </w:rPr>
        <w:t>11.2开标一览表中不得填报有选择性报价方案，表中内容应与投标文件中的内容完全一致，如不一致的，以开标一览表内容为准。</w:t>
      </w:r>
    </w:p>
    <w:p w14:paraId="4250791B">
      <w:pPr>
        <w:ind w:firstLine="420" w:firstLineChars="200"/>
        <w:rPr>
          <w:rFonts w:ascii="宋体" w:hAnsi="宋体" w:cs="宋体"/>
          <w:szCs w:val="21"/>
        </w:rPr>
      </w:pPr>
    </w:p>
    <w:p w14:paraId="742A7B5C">
      <w:pPr>
        <w:ind w:firstLine="422" w:firstLineChars="200"/>
        <w:rPr>
          <w:rFonts w:ascii="宋体" w:hAnsi="宋体" w:cs="宋体"/>
          <w:b/>
          <w:szCs w:val="21"/>
        </w:rPr>
      </w:pPr>
      <w:r>
        <w:rPr>
          <w:rFonts w:hint="eastAsia" w:ascii="宋体" w:hAnsi="宋体" w:cs="宋体"/>
          <w:b/>
          <w:szCs w:val="21"/>
        </w:rPr>
        <w:t>12、投标报价</w:t>
      </w:r>
    </w:p>
    <w:p w14:paraId="58071C5A">
      <w:pPr>
        <w:ind w:firstLine="420" w:firstLineChars="200"/>
        <w:rPr>
          <w:rFonts w:ascii="宋体" w:hAnsi="宋体" w:cs="宋体"/>
          <w:szCs w:val="21"/>
        </w:rPr>
      </w:pPr>
      <w:r>
        <w:rPr>
          <w:rFonts w:hint="eastAsia" w:ascii="宋体" w:hAnsi="宋体" w:cs="宋体"/>
          <w:szCs w:val="21"/>
        </w:rPr>
        <w:t>12.1投标人应在投标文件中的投标报价上标明本合同拟提供货物的单价和总价。任何有选择的报价将不予接受，每种规格货物只允许有一个报价。</w:t>
      </w:r>
    </w:p>
    <w:p w14:paraId="3806E87B">
      <w:pPr>
        <w:ind w:firstLine="420" w:firstLineChars="200"/>
        <w:rPr>
          <w:rFonts w:ascii="宋体" w:hAnsi="宋体" w:cs="宋体"/>
          <w:color w:val="FF0000"/>
          <w:szCs w:val="21"/>
          <w:highlight w:val="cyan"/>
        </w:rPr>
      </w:pPr>
      <w:r>
        <w:rPr>
          <w:rFonts w:hint="eastAsia" w:ascii="宋体" w:hAnsi="宋体" w:cs="宋体"/>
          <w:szCs w:val="21"/>
        </w:rPr>
        <w:t>12.2投标报价应包含与本次采购项目相关的所有费用（包括但不限于人员、设备、运行维护及伴随配套服务等所有含税费用。同时，还应包含支付给员工的工资和国家强制缴纳的各种社会保障资金，以及投标人认为需要的其他费用等。）</w:t>
      </w:r>
    </w:p>
    <w:p w14:paraId="797FCB6F">
      <w:pPr>
        <w:ind w:firstLine="420" w:firstLineChars="200"/>
        <w:rPr>
          <w:rFonts w:ascii="宋体" w:hAnsi="宋体" w:cs="宋体"/>
          <w:szCs w:val="21"/>
        </w:rPr>
      </w:pPr>
      <w:r>
        <w:rPr>
          <w:rFonts w:hint="eastAsia" w:ascii="宋体" w:hAnsi="宋体" w:cs="宋体"/>
          <w:szCs w:val="21"/>
        </w:rPr>
        <w:t>12.3报价应以人民币万元或者元为货币单位。</w:t>
      </w:r>
    </w:p>
    <w:p w14:paraId="5388B0F8">
      <w:pPr>
        <w:ind w:firstLine="422" w:firstLineChars="200"/>
        <w:rPr>
          <w:rFonts w:ascii="宋体" w:hAnsi="宋体" w:cs="宋体"/>
          <w:b/>
          <w:szCs w:val="21"/>
        </w:rPr>
      </w:pPr>
    </w:p>
    <w:p w14:paraId="47105E61">
      <w:pPr>
        <w:ind w:firstLine="422" w:firstLineChars="200"/>
        <w:rPr>
          <w:rFonts w:ascii="宋体" w:hAnsi="宋体"/>
          <w:b/>
          <w:szCs w:val="21"/>
        </w:rPr>
      </w:pPr>
      <w:r>
        <w:rPr>
          <w:rFonts w:hint="eastAsia" w:ascii="宋体" w:hAnsi="宋体" w:cs="宋体"/>
          <w:b/>
          <w:szCs w:val="21"/>
        </w:rPr>
        <w:t>13、</w:t>
      </w:r>
      <w:r>
        <w:rPr>
          <w:rFonts w:hint="eastAsia" w:ascii="宋体" w:hAnsi="宋体"/>
          <w:b/>
          <w:szCs w:val="21"/>
        </w:rPr>
        <w:t>项目承诺书</w:t>
      </w:r>
    </w:p>
    <w:p w14:paraId="4481B695">
      <w:pPr>
        <w:ind w:firstLine="420" w:firstLineChars="200"/>
        <w:rPr>
          <w:rFonts w:ascii="宋体" w:hAnsi="宋体"/>
          <w:szCs w:val="21"/>
        </w:rPr>
      </w:pPr>
      <w:r>
        <w:rPr>
          <w:rFonts w:ascii="宋体" w:hAnsi="宋体"/>
          <w:szCs w:val="21"/>
        </w:rPr>
        <w:t>1</w:t>
      </w:r>
      <w:r>
        <w:rPr>
          <w:rFonts w:hint="eastAsia" w:ascii="宋体" w:hAnsi="宋体"/>
          <w:szCs w:val="21"/>
        </w:rPr>
        <w:t>3</w:t>
      </w:r>
      <w:r>
        <w:rPr>
          <w:rFonts w:ascii="宋体" w:hAnsi="宋体"/>
          <w:szCs w:val="21"/>
        </w:rPr>
        <w:t>.1根据</w:t>
      </w:r>
      <w:r>
        <w:rPr>
          <w:rFonts w:hint="eastAsia" w:ascii="宋体" w:hAnsi="宋体"/>
          <w:szCs w:val="21"/>
        </w:rPr>
        <w:t>招标</w:t>
      </w:r>
      <w:r>
        <w:rPr>
          <w:rFonts w:ascii="宋体" w:hAnsi="宋体"/>
          <w:szCs w:val="21"/>
        </w:rPr>
        <w:t>文件</w:t>
      </w:r>
      <w:r>
        <w:rPr>
          <w:rFonts w:hint="eastAsia" w:ascii="宋体" w:hAnsi="宋体"/>
          <w:szCs w:val="21"/>
        </w:rPr>
        <w:t>《</w:t>
      </w:r>
      <w:r>
        <w:rPr>
          <w:rFonts w:ascii="宋体" w:hAnsi="宋体"/>
          <w:szCs w:val="21"/>
        </w:rPr>
        <w:t>第</w:t>
      </w:r>
      <w:r>
        <w:rPr>
          <w:rFonts w:hint="eastAsia" w:ascii="宋体" w:hAnsi="宋体"/>
          <w:szCs w:val="21"/>
        </w:rPr>
        <w:t>三</w:t>
      </w:r>
      <w:r>
        <w:rPr>
          <w:rFonts w:ascii="宋体" w:hAnsi="宋体"/>
          <w:szCs w:val="21"/>
        </w:rPr>
        <w:t>部分</w:t>
      </w:r>
      <w:r>
        <w:rPr>
          <w:rFonts w:hint="eastAsia" w:ascii="宋体" w:hAnsi="宋体"/>
          <w:szCs w:val="21"/>
        </w:rPr>
        <w:t>：采购需求》涉及的内容自行编制项目承诺书，承诺在项目执行过程中，将严格执行招标文件《</w:t>
      </w:r>
      <w:r>
        <w:rPr>
          <w:rFonts w:ascii="宋体" w:hAnsi="宋体"/>
          <w:szCs w:val="21"/>
        </w:rPr>
        <w:t>第</w:t>
      </w:r>
      <w:r>
        <w:rPr>
          <w:rFonts w:hint="eastAsia" w:ascii="宋体" w:hAnsi="宋体"/>
          <w:szCs w:val="21"/>
        </w:rPr>
        <w:t>三</w:t>
      </w:r>
      <w:r>
        <w:rPr>
          <w:rFonts w:ascii="宋体" w:hAnsi="宋体"/>
          <w:szCs w:val="21"/>
        </w:rPr>
        <w:t>部分</w:t>
      </w:r>
      <w:r>
        <w:rPr>
          <w:rFonts w:hint="eastAsia" w:ascii="宋体" w:hAnsi="宋体"/>
          <w:szCs w:val="21"/>
        </w:rPr>
        <w:t>：采购需求》的要求，遵守国家的有关法律法规，尊重并贯彻采购人的意见，维护采购人实际利益，与采购人密切配合，随时提供全过程、全方位的服务，保证项目顺利执行完成。</w:t>
      </w:r>
    </w:p>
    <w:p w14:paraId="17126CFD">
      <w:pPr>
        <w:ind w:firstLine="420" w:firstLineChars="200"/>
        <w:rPr>
          <w:rFonts w:ascii="宋体" w:hAnsi="宋体" w:cs="宋体"/>
          <w:szCs w:val="21"/>
        </w:rPr>
      </w:pPr>
    </w:p>
    <w:p w14:paraId="65FEF233">
      <w:pPr>
        <w:spacing w:before="161" w:beforeLines="50"/>
        <w:ind w:firstLine="422" w:firstLineChars="200"/>
        <w:rPr>
          <w:rFonts w:ascii="宋体" w:hAnsi="宋体" w:cs="宋体"/>
          <w:b/>
          <w:szCs w:val="21"/>
        </w:rPr>
      </w:pPr>
      <w:r>
        <w:rPr>
          <w:rFonts w:hint="eastAsia" w:ascii="宋体" w:hAnsi="宋体" w:cs="宋体"/>
          <w:b/>
          <w:szCs w:val="21"/>
        </w:rPr>
        <w:t>14、服务方案</w:t>
      </w:r>
    </w:p>
    <w:p w14:paraId="2D272D93">
      <w:pPr>
        <w:ind w:firstLine="420" w:firstLineChars="200"/>
        <w:rPr>
          <w:rFonts w:ascii="宋体" w:hAnsi="宋体"/>
          <w:szCs w:val="21"/>
        </w:rPr>
      </w:pPr>
      <w:r>
        <w:rPr>
          <w:rFonts w:hint="eastAsia" w:ascii="宋体" w:hAnsi="宋体"/>
          <w:szCs w:val="21"/>
        </w:rPr>
        <w:t>14.1投标人根据招标文件《</w:t>
      </w:r>
      <w:r>
        <w:rPr>
          <w:rFonts w:ascii="宋体" w:hAnsi="宋体"/>
          <w:szCs w:val="21"/>
        </w:rPr>
        <w:t>第</w:t>
      </w:r>
      <w:r>
        <w:rPr>
          <w:rFonts w:hint="eastAsia" w:ascii="宋体" w:hAnsi="宋体"/>
          <w:szCs w:val="21"/>
        </w:rPr>
        <w:t>三</w:t>
      </w:r>
      <w:r>
        <w:rPr>
          <w:rFonts w:ascii="宋体" w:hAnsi="宋体"/>
          <w:szCs w:val="21"/>
        </w:rPr>
        <w:t>部分</w:t>
      </w:r>
      <w:r>
        <w:rPr>
          <w:rFonts w:hint="eastAsia" w:ascii="宋体" w:hAnsi="宋体"/>
          <w:szCs w:val="21"/>
        </w:rPr>
        <w:t>：采购需求》和《第五部分：评审办法》中的要求自行编制服务方案</w:t>
      </w:r>
    </w:p>
    <w:p w14:paraId="2A0CB682">
      <w:pPr>
        <w:ind w:firstLine="420" w:firstLineChars="200"/>
        <w:rPr>
          <w:rFonts w:ascii="宋体" w:hAnsi="宋体" w:cs="宋体"/>
          <w:szCs w:val="21"/>
        </w:rPr>
      </w:pPr>
    </w:p>
    <w:p w14:paraId="1BB1D508">
      <w:pPr>
        <w:ind w:firstLine="422" w:firstLineChars="200"/>
        <w:rPr>
          <w:rFonts w:ascii="宋体" w:hAnsi="宋体" w:cs="宋体"/>
          <w:b/>
          <w:szCs w:val="21"/>
        </w:rPr>
      </w:pPr>
      <w:r>
        <w:rPr>
          <w:rFonts w:hint="eastAsia" w:ascii="宋体" w:hAnsi="宋体" w:cs="宋体"/>
          <w:b/>
          <w:szCs w:val="21"/>
        </w:rPr>
        <w:t>15、投标保证金</w:t>
      </w:r>
    </w:p>
    <w:p w14:paraId="00185FD4">
      <w:pPr>
        <w:ind w:firstLine="420" w:firstLineChars="200"/>
        <w:rPr>
          <w:rFonts w:ascii="宋体" w:hAnsi="宋体" w:cs="宋体"/>
          <w:szCs w:val="21"/>
        </w:rPr>
      </w:pPr>
      <w:r>
        <w:rPr>
          <w:rFonts w:hint="eastAsia" w:ascii="宋体" w:hAnsi="宋体" w:cs="宋体"/>
          <w:szCs w:val="21"/>
        </w:rPr>
        <w:t>本项目无需缴纳投标保证金。</w:t>
      </w:r>
    </w:p>
    <w:p w14:paraId="49480710">
      <w:pPr>
        <w:ind w:firstLine="420" w:firstLineChars="200"/>
        <w:rPr>
          <w:rFonts w:ascii="宋体" w:hAnsi="宋体" w:cs="宋体"/>
          <w:szCs w:val="21"/>
        </w:rPr>
      </w:pPr>
    </w:p>
    <w:p w14:paraId="095EBC79">
      <w:pPr>
        <w:ind w:firstLine="422" w:firstLineChars="200"/>
        <w:rPr>
          <w:rFonts w:ascii="宋体" w:hAnsi="宋体" w:cs="宋体"/>
          <w:b/>
          <w:szCs w:val="21"/>
        </w:rPr>
      </w:pPr>
      <w:r>
        <w:rPr>
          <w:rFonts w:hint="eastAsia" w:ascii="宋体" w:hAnsi="宋体" w:cs="宋体"/>
          <w:b/>
          <w:szCs w:val="21"/>
        </w:rPr>
        <w:t>16、招标服务费</w:t>
      </w:r>
    </w:p>
    <w:p w14:paraId="4E6C1C81">
      <w:pPr>
        <w:ind w:firstLine="420" w:firstLineChars="200"/>
        <w:rPr>
          <w:rFonts w:ascii="宋体" w:hAnsi="宋体" w:cs="宋体"/>
          <w:szCs w:val="21"/>
        </w:rPr>
      </w:pPr>
      <w:r>
        <w:rPr>
          <w:rFonts w:hint="eastAsia" w:ascii="宋体" w:hAnsi="宋体" w:cs="宋体"/>
          <w:szCs w:val="21"/>
        </w:rPr>
        <w:t>16.1 中标供应商在领取中标通知书时向采购代理机构一次性支付服务费。</w:t>
      </w:r>
    </w:p>
    <w:p w14:paraId="1ED3AF79">
      <w:pPr>
        <w:ind w:firstLine="420" w:firstLineChars="200"/>
        <w:rPr>
          <w:rFonts w:ascii="宋体" w:hAnsi="宋体" w:cs="宋体"/>
          <w:szCs w:val="21"/>
        </w:rPr>
      </w:pPr>
      <w:r>
        <w:rPr>
          <w:rFonts w:hint="eastAsia" w:ascii="宋体" w:hAnsi="宋体" w:cs="宋体"/>
          <w:szCs w:val="21"/>
        </w:rPr>
        <w:t>16.2 费用参照《招标代理服务费管理暂行办法》(国家发展计划委员会计价格【2002】1980号)</w:t>
      </w:r>
      <w:r>
        <w:rPr>
          <w:rFonts w:hint="eastAsia" w:ascii="宋体" w:hAnsi="宋体" w:cs="宋体"/>
          <w:szCs w:val="21"/>
          <w:u w:val="single"/>
        </w:rPr>
        <w:t>服务类</w:t>
      </w:r>
      <w:r>
        <w:rPr>
          <w:rFonts w:hint="eastAsia" w:ascii="宋体" w:hAnsi="宋体" w:cs="宋体"/>
          <w:szCs w:val="21"/>
        </w:rPr>
        <w:t>招标收费标准计算。</w:t>
      </w:r>
    </w:p>
    <w:p w14:paraId="1A2E2E3B">
      <w:pPr>
        <w:ind w:firstLine="422" w:firstLineChars="200"/>
        <w:rPr>
          <w:rFonts w:ascii="宋体" w:hAnsi="宋体" w:cs="宋体"/>
          <w:b/>
          <w:szCs w:val="21"/>
        </w:rPr>
      </w:pPr>
    </w:p>
    <w:p w14:paraId="209CF4AD">
      <w:pPr>
        <w:ind w:firstLine="422" w:firstLineChars="200"/>
        <w:rPr>
          <w:rFonts w:ascii="宋体" w:hAnsi="宋体" w:cs="宋体"/>
          <w:b/>
          <w:szCs w:val="21"/>
        </w:rPr>
      </w:pPr>
      <w:r>
        <w:rPr>
          <w:rFonts w:hint="eastAsia" w:ascii="宋体" w:hAnsi="宋体" w:cs="宋体"/>
          <w:b/>
          <w:szCs w:val="21"/>
        </w:rPr>
        <w:t>17、投标有效期</w:t>
      </w:r>
    </w:p>
    <w:p w14:paraId="7C56C1B8">
      <w:pPr>
        <w:ind w:firstLine="420" w:firstLineChars="200"/>
        <w:rPr>
          <w:rFonts w:ascii="宋体" w:hAnsi="宋体" w:cs="宋体"/>
          <w:szCs w:val="21"/>
        </w:rPr>
      </w:pPr>
      <w:r>
        <w:rPr>
          <w:rFonts w:hint="eastAsia" w:ascii="宋体" w:hAnsi="宋体" w:cs="宋体"/>
          <w:szCs w:val="21"/>
        </w:rPr>
        <w:t>17.1投标有效期为采购代理机构规定的开标之日后</w:t>
      </w:r>
      <w:r>
        <w:rPr>
          <w:rFonts w:hint="eastAsia" w:ascii="宋体" w:hAnsi="宋体" w:cs="宋体"/>
          <w:b/>
          <w:szCs w:val="21"/>
          <w:u w:val="single"/>
        </w:rPr>
        <w:t>九十天</w:t>
      </w:r>
      <w:r>
        <w:rPr>
          <w:rFonts w:hint="eastAsia" w:ascii="宋体" w:hAnsi="宋体" w:cs="宋体"/>
          <w:szCs w:val="21"/>
        </w:rPr>
        <w:t>。投标有效期比规定短的投标将按无效投标处理。</w:t>
      </w:r>
    </w:p>
    <w:p w14:paraId="431BC04F">
      <w:pPr>
        <w:ind w:firstLine="420" w:firstLineChars="200"/>
        <w:rPr>
          <w:rFonts w:ascii="宋体" w:hAnsi="宋体" w:cs="宋体"/>
          <w:szCs w:val="21"/>
        </w:rPr>
      </w:pPr>
      <w:r>
        <w:rPr>
          <w:rFonts w:hint="eastAsia" w:ascii="宋体" w:hAnsi="宋体" w:cs="宋体"/>
          <w:szCs w:val="21"/>
        </w:rPr>
        <w:t>17.2在特殊情况下，采购代理机构于原投标有效期满之前，可向投标人提出延长投标有效期的要求，这种要求与答复均应采用书面形式如信件、传真或电报等。投标人可以拒绝接受采购代理机构的这种要求而放弃投标。同意延长的投标人既不能要求也不允许修改其投标文件。</w:t>
      </w:r>
    </w:p>
    <w:p w14:paraId="070B65C5">
      <w:pPr>
        <w:ind w:firstLine="420" w:firstLineChars="200"/>
        <w:rPr>
          <w:rFonts w:ascii="宋体" w:hAnsi="宋体" w:cs="宋体"/>
          <w:szCs w:val="21"/>
        </w:rPr>
      </w:pPr>
    </w:p>
    <w:p w14:paraId="7AAFE595">
      <w:pPr>
        <w:ind w:firstLine="422" w:firstLineChars="200"/>
        <w:rPr>
          <w:rFonts w:ascii="宋体" w:hAnsi="宋体" w:cs="宋体"/>
          <w:b/>
          <w:szCs w:val="21"/>
        </w:rPr>
      </w:pPr>
      <w:r>
        <w:rPr>
          <w:rFonts w:hint="eastAsia" w:ascii="宋体" w:hAnsi="宋体" w:cs="宋体"/>
          <w:b/>
          <w:szCs w:val="21"/>
        </w:rPr>
        <w:t>18、投标文件份数和签署</w:t>
      </w:r>
    </w:p>
    <w:p w14:paraId="794ED866">
      <w:pPr>
        <w:ind w:firstLine="420" w:firstLineChars="200"/>
        <w:rPr>
          <w:rFonts w:ascii="宋体" w:hAnsi="宋体" w:cs="宋体"/>
          <w:color w:val="1F497D" w:themeColor="text2"/>
          <w:szCs w:val="21"/>
          <w14:textFill>
            <w14:solidFill>
              <w14:schemeClr w14:val="tx2"/>
            </w14:solidFill>
          </w14:textFill>
        </w:rPr>
      </w:pPr>
      <w:r>
        <w:rPr>
          <w:rFonts w:hint="eastAsia" w:ascii="宋体" w:hAnsi="宋体" w:cs="宋体"/>
          <w:szCs w:val="21"/>
        </w:rPr>
        <w:t>18.1投标人应按照上述第10条的要求，准备投标文件</w:t>
      </w:r>
      <w:r>
        <w:rPr>
          <w:rFonts w:hint="eastAsia" w:ascii="宋体" w:hAnsi="宋体" w:cs="宋体"/>
          <w:color w:val="0000FF"/>
          <w:szCs w:val="21"/>
        </w:rPr>
        <w:t>正本1份，副本4份</w:t>
      </w:r>
      <w:r>
        <w:rPr>
          <w:rFonts w:hint="eastAsia" w:ascii="宋体" w:hAnsi="宋体" w:cs="宋体"/>
          <w:kern w:val="0"/>
          <w:szCs w:val="21"/>
        </w:rPr>
        <w:t>，</w:t>
      </w:r>
      <w:r>
        <w:rPr>
          <w:rFonts w:hint="eastAsia" w:ascii="宋体" w:hAnsi="宋体" w:cs="宋体"/>
          <w:szCs w:val="21"/>
        </w:rPr>
        <w:t>正本和副本的封面右上角上应清楚地标记“正本”或“副本”的字样。当正本和副本不一致时，以正本文件为准；</w:t>
      </w:r>
      <w:r>
        <w:rPr>
          <w:rFonts w:hint="eastAsia" w:ascii="宋体" w:hAnsi="宋体" w:cs="宋体"/>
          <w:color w:val="0000FF"/>
          <w:szCs w:val="21"/>
        </w:rPr>
        <w:t>同时提供电子介质文件1份（仅支持U盘形式，内容须为投标文件签字且盖公章（红章）正本的PDF扫描），随纸质正本文件一并提交。当电子版文件和纸质正本文件不一致时，以纸质正本文件为准。</w:t>
      </w:r>
    </w:p>
    <w:p w14:paraId="7BEBB5B9">
      <w:pPr>
        <w:ind w:firstLine="420" w:firstLineChars="200"/>
        <w:rPr>
          <w:rFonts w:ascii="宋体" w:hAnsi="宋体" w:cs="宋体"/>
          <w:szCs w:val="21"/>
        </w:rPr>
      </w:pPr>
      <w:r>
        <w:rPr>
          <w:rFonts w:hint="eastAsia" w:ascii="宋体" w:hAnsi="宋体" w:cs="宋体"/>
          <w:szCs w:val="21"/>
        </w:rPr>
        <w:t>18.2投标文件的正本应用不褪色的材料书写或打印，且《第六部分：投标文件组成》相应格式中要求签字的字迹应清晰易于辨认并由投标人法定代表人或其授权委托人签字。</w:t>
      </w:r>
      <w:r>
        <w:rPr>
          <w:rFonts w:hint="eastAsia" w:ascii="宋体" w:hAnsi="宋体" w:cs="宋体"/>
          <w:b/>
          <w:i/>
          <w:szCs w:val="21"/>
          <w:u w:val="single"/>
        </w:rPr>
        <w:t>授权委托人签字的，</w:t>
      </w:r>
      <w:r>
        <w:rPr>
          <w:rFonts w:hint="eastAsia" w:ascii="宋体" w:hAnsi="宋体" w:cs="宋体"/>
          <w:b/>
          <w:i/>
          <w:u w:val="single"/>
        </w:rPr>
        <w:t>须在投标文件中提供法定代表人《授权委托书》。</w:t>
      </w:r>
    </w:p>
    <w:p w14:paraId="169F5964">
      <w:pPr>
        <w:ind w:firstLine="420" w:firstLineChars="200"/>
        <w:rPr>
          <w:rFonts w:ascii="宋体" w:hAnsi="宋体" w:cs="宋体"/>
          <w:szCs w:val="21"/>
        </w:rPr>
      </w:pPr>
      <w:r>
        <w:rPr>
          <w:rFonts w:hint="eastAsia" w:ascii="宋体" w:hAnsi="宋体" w:cs="宋体"/>
          <w:szCs w:val="21"/>
        </w:rPr>
        <w:t>18.3投标文件副本可以采用正本的复印件。</w:t>
      </w:r>
    </w:p>
    <w:p w14:paraId="7E201A5E">
      <w:pPr>
        <w:ind w:firstLine="420" w:firstLineChars="200"/>
        <w:rPr>
          <w:rFonts w:ascii="宋体" w:hAnsi="宋体" w:cs="宋体"/>
          <w:szCs w:val="21"/>
        </w:rPr>
      </w:pPr>
      <w:r>
        <w:rPr>
          <w:rFonts w:hint="eastAsia" w:ascii="宋体" w:hAnsi="宋体" w:cs="宋体"/>
          <w:szCs w:val="21"/>
        </w:rPr>
        <w:t>18.4投标文件应尽量避免涂改、行间插字或删除。如果出现上述情况，改动之处应由投标人的法定代表人或其授权的代理人签字或盖公章。</w:t>
      </w:r>
    </w:p>
    <w:p w14:paraId="7BA77C2D">
      <w:pPr>
        <w:rPr>
          <w:rFonts w:ascii="宋体" w:hAnsi="宋体" w:cs="宋体"/>
          <w:szCs w:val="21"/>
        </w:rPr>
      </w:pPr>
    </w:p>
    <w:p w14:paraId="5AF955FA">
      <w:pPr>
        <w:jc w:val="center"/>
        <w:outlineLvl w:val="1"/>
        <w:rPr>
          <w:rFonts w:ascii="宋体" w:hAnsi="宋体" w:cs="宋体"/>
          <w:b/>
          <w:szCs w:val="21"/>
        </w:rPr>
      </w:pPr>
      <w:bookmarkStart w:id="69" w:name="_Toc17202"/>
      <w:bookmarkStart w:id="70" w:name="_Toc25094"/>
      <w:bookmarkStart w:id="71" w:name="_Toc3876"/>
      <w:bookmarkStart w:id="72" w:name="_Toc17145"/>
      <w:r>
        <w:rPr>
          <w:rFonts w:hint="eastAsia" w:ascii="宋体" w:hAnsi="宋体" w:cs="宋体"/>
          <w:b/>
          <w:szCs w:val="21"/>
        </w:rPr>
        <w:t>四、投标文件的递交</w:t>
      </w:r>
      <w:bookmarkEnd w:id="69"/>
      <w:bookmarkEnd w:id="70"/>
      <w:bookmarkEnd w:id="71"/>
      <w:bookmarkEnd w:id="72"/>
    </w:p>
    <w:p w14:paraId="50C22F82">
      <w:pPr>
        <w:rPr>
          <w:rFonts w:ascii="宋体" w:hAnsi="宋体" w:cs="宋体"/>
          <w:szCs w:val="21"/>
        </w:rPr>
      </w:pPr>
    </w:p>
    <w:p w14:paraId="7042C5F8">
      <w:pPr>
        <w:ind w:firstLine="422" w:firstLineChars="200"/>
        <w:rPr>
          <w:rFonts w:ascii="宋体" w:hAnsi="宋体" w:cs="宋体"/>
          <w:b/>
          <w:szCs w:val="21"/>
        </w:rPr>
      </w:pPr>
      <w:r>
        <w:rPr>
          <w:rFonts w:hint="eastAsia" w:ascii="宋体" w:hAnsi="宋体" w:cs="宋体"/>
          <w:b/>
          <w:szCs w:val="21"/>
        </w:rPr>
        <w:t>19、投标文件的密封和标记</w:t>
      </w:r>
    </w:p>
    <w:p w14:paraId="21509BE3">
      <w:pPr>
        <w:ind w:firstLine="420" w:firstLineChars="200"/>
        <w:rPr>
          <w:rFonts w:ascii="宋体" w:hAnsi="宋体" w:cs="宋体"/>
          <w:szCs w:val="21"/>
        </w:rPr>
      </w:pPr>
      <w:r>
        <w:rPr>
          <w:rFonts w:hint="eastAsia" w:ascii="宋体" w:hAnsi="宋体" w:cs="宋体"/>
          <w:szCs w:val="21"/>
        </w:rPr>
        <w:t>19.1投标文件应密封包装，</w:t>
      </w:r>
      <w:r>
        <w:rPr>
          <w:rFonts w:hint="eastAsia" w:ascii="宋体" w:hAnsi="宋体" w:cs="宋体"/>
          <w:szCs w:val="21"/>
          <w:u w:val="single"/>
        </w:rPr>
        <w:t>并在封套的封口处加盖投标人公章或由投标人的法定代表人或其授权的代理人签字</w:t>
      </w:r>
      <w:r>
        <w:rPr>
          <w:rFonts w:hint="eastAsia" w:ascii="宋体" w:hAnsi="宋体" w:cs="宋体"/>
          <w:szCs w:val="21"/>
        </w:rPr>
        <w:t>。</w:t>
      </w:r>
    </w:p>
    <w:p w14:paraId="0B7F8D87">
      <w:pPr>
        <w:ind w:firstLine="420" w:firstLineChars="200"/>
        <w:rPr>
          <w:rFonts w:ascii="宋体" w:hAnsi="宋体" w:cs="宋体"/>
          <w:b/>
          <w:i/>
          <w:szCs w:val="21"/>
          <w:u w:val="single"/>
        </w:rPr>
      </w:pPr>
      <w:r>
        <w:rPr>
          <w:rFonts w:hint="eastAsia" w:ascii="宋体" w:hAnsi="宋体" w:cs="宋体"/>
        </w:rPr>
        <w:t>19.2</w:t>
      </w:r>
      <w:r>
        <w:rPr>
          <w:rFonts w:hint="eastAsia" w:ascii="宋体" w:hAnsi="宋体" w:cs="宋体"/>
          <w:b/>
          <w:i/>
          <w:u w:val="single"/>
        </w:rPr>
        <w:t>为便于开标，</w:t>
      </w:r>
      <w:r>
        <w:rPr>
          <w:rFonts w:hint="eastAsia" w:ascii="宋体" w:hAnsi="宋体" w:cs="宋体"/>
          <w:b/>
          <w:i/>
          <w:szCs w:val="21"/>
          <w:u w:val="single"/>
          <w:lang w:val="zh-CN"/>
        </w:rPr>
        <w:t>《开标一览表》一式两份，一份装订在投标文件中，另一份单独封装，并标明“开标一览表”字样，随投标文件一并递交，以便唱标时查找。</w:t>
      </w:r>
    </w:p>
    <w:p w14:paraId="4E7ABBF6">
      <w:pPr>
        <w:ind w:firstLine="420" w:firstLineChars="200"/>
        <w:rPr>
          <w:rFonts w:ascii="宋体" w:hAnsi="宋体" w:cs="宋体"/>
          <w:szCs w:val="21"/>
        </w:rPr>
      </w:pPr>
      <w:r>
        <w:rPr>
          <w:rFonts w:hint="eastAsia" w:ascii="宋体" w:hAnsi="宋体" w:cs="宋体"/>
          <w:szCs w:val="21"/>
        </w:rPr>
        <w:t>19.3投标文件封套上应注明</w:t>
      </w:r>
    </w:p>
    <w:p w14:paraId="7B7FB994">
      <w:pPr>
        <w:ind w:firstLine="420" w:firstLineChars="200"/>
        <w:rPr>
          <w:rFonts w:ascii="宋体" w:hAnsi="宋体" w:cs="宋体"/>
          <w:szCs w:val="21"/>
          <w:u w:val="single"/>
        </w:rPr>
      </w:pPr>
      <w:r>
        <w:rPr>
          <w:rFonts w:hint="eastAsia" w:ascii="宋体" w:hAnsi="宋体" w:cs="宋体"/>
          <w:szCs w:val="21"/>
        </w:rPr>
        <w:t>项目名称：</w:t>
      </w:r>
    </w:p>
    <w:p w14:paraId="61649F26">
      <w:pPr>
        <w:ind w:firstLine="420" w:firstLineChars="200"/>
        <w:rPr>
          <w:rFonts w:ascii="宋体" w:hAnsi="宋体" w:cs="宋体"/>
          <w:szCs w:val="21"/>
        </w:rPr>
      </w:pPr>
      <w:r>
        <w:rPr>
          <w:rFonts w:hint="eastAsia" w:ascii="宋体" w:hAnsi="宋体" w:cs="宋体"/>
          <w:szCs w:val="21"/>
        </w:rPr>
        <w:t>项目编号：</w:t>
      </w:r>
    </w:p>
    <w:p w14:paraId="693752AB">
      <w:pPr>
        <w:ind w:firstLine="420" w:firstLineChars="200"/>
        <w:rPr>
          <w:rFonts w:ascii="宋体" w:hAnsi="宋体" w:cs="宋体"/>
          <w:szCs w:val="21"/>
          <w:u w:val="single"/>
        </w:rPr>
      </w:pPr>
      <w:r>
        <w:rPr>
          <w:rFonts w:hint="eastAsia" w:ascii="宋体" w:hAnsi="宋体" w:cs="宋体"/>
          <w:szCs w:val="21"/>
        </w:rPr>
        <w:t>投标人名称：</w:t>
      </w:r>
    </w:p>
    <w:p w14:paraId="78C6F243">
      <w:pPr>
        <w:ind w:firstLine="420" w:firstLineChars="200"/>
        <w:rPr>
          <w:rFonts w:ascii="宋体" w:hAnsi="宋体" w:cs="宋体"/>
          <w:szCs w:val="21"/>
        </w:rPr>
      </w:pPr>
      <w:r>
        <w:rPr>
          <w:rFonts w:hint="eastAsia" w:ascii="宋体" w:hAnsi="宋体" w:cs="宋体"/>
          <w:szCs w:val="21"/>
        </w:rPr>
        <w:t>请勿在2024年XX月XX日XX点XX分（开标时间）之前启封</w:t>
      </w:r>
    </w:p>
    <w:p w14:paraId="090198DC">
      <w:pPr>
        <w:ind w:firstLine="420" w:firstLineChars="200"/>
        <w:rPr>
          <w:rFonts w:ascii="宋体" w:hAnsi="宋体" w:cs="宋体"/>
          <w:szCs w:val="21"/>
        </w:rPr>
      </w:pPr>
      <w:r>
        <w:rPr>
          <w:rFonts w:hint="eastAsia" w:ascii="宋体" w:hAnsi="宋体" w:cs="宋体"/>
          <w:szCs w:val="21"/>
        </w:rPr>
        <w:t>19.4未按上述第19.1条要求密封的投标文件，采购代理机构将予以拒收。</w:t>
      </w:r>
    </w:p>
    <w:p w14:paraId="02ACF1B2">
      <w:pPr>
        <w:ind w:firstLine="420" w:firstLineChars="200"/>
        <w:rPr>
          <w:rFonts w:ascii="宋体" w:hAnsi="宋体" w:cs="宋体"/>
          <w:szCs w:val="21"/>
        </w:rPr>
      </w:pPr>
    </w:p>
    <w:p w14:paraId="2068881D">
      <w:pPr>
        <w:ind w:firstLine="422" w:firstLineChars="200"/>
        <w:rPr>
          <w:rFonts w:ascii="宋体" w:hAnsi="宋体" w:cs="宋体"/>
          <w:b/>
          <w:szCs w:val="21"/>
        </w:rPr>
      </w:pPr>
      <w:r>
        <w:rPr>
          <w:rFonts w:hint="eastAsia" w:ascii="宋体" w:hAnsi="宋体" w:cs="宋体"/>
          <w:b/>
          <w:szCs w:val="21"/>
        </w:rPr>
        <w:t>20、投标截止日期</w:t>
      </w:r>
    </w:p>
    <w:p w14:paraId="4C2AA691">
      <w:pPr>
        <w:ind w:firstLine="420" w:firstLineChars="200"/>
        <w:rPr>
          <w:rFonts w:ascii="宋体" w:hAnsi="宋体" w:cs="宋体"/>
          <w:szCs w:val="21"/>
        </w:rPr>
      </w:pPr>
      <w:r>
        <w:rPr>
          <w:rFonts w:hint="eastAsia" w:ascii="宋体" w:hAnsi="宋体" w:cs="宋体"/>
          <w:szCs w:val="21"/>
        </w:rPr>
        <w:t>20.1采购代理机构收到投标文件的时间不得迟于招标公告中规定的截止时间。</w:t>
      </w:r>
    </w:p>
    <w:p w14:paraId="61A924D4">
      <w:pPr>
        <w:ind w:firstLine="420" w:firstLineChars="200"/>
        <w:rPr>
          <w:rFonts w:ascii="宋体" w:hAnsi="宋体" w:cs="宋体"/>
          <w:szCs w:val="21"/>
        </w:rPr>
      </w:pPr>
      <w:r>
        <w:rPr>
          <w:rFonts w:hint="eastAsia" w:ascii="宋体" w:hAnsi="宋体" w:cs="宋体"/>
          <w:szCs w:val="21"/>
        </w:rPr>
        <w:t>20.2采购代理机构可以按第6条规定，通过修改招标文件自行决定酌情延长投标截止时间。在此情况下，投标人的所有权利和义务以及受制的截止日期均应以延长后新的截止日期为准。</w:t>
      </w:r>
    </w:p>
    <w:p w14:paraId="14C13408">
      <w:pPr>
        <w:ind w:firstLine="420" w:firstLineChars="200"/>
        <w:rPr>
          <w:rFonts w:ascii="宋体" w:hAnsi="宋体" w:cs="宋体"/>
          <w:szCs w:val="21"/>
        </w:rPr>
      </w:pPr>
    </w:p>
    <w:p w14:paraId="70CC0156">
      <w:pPr>
        <w:ind w:firstLine="422" w:firstLineChars="200"/>
        <w:rPr>
          <w:rFonts w:ascii="宋体" w:hAnsi="宋体" w:cs="宋体"/>
          <w:b/>
          <w:szCs w:val="21"/>
        </w:rPr>
      </w:pPr>
      <w:r>
        <w:rPr>
          <w:rFonts w:hint="eastAsia" w:ascii="宋体" w:hAnsi="宋体" w:cs="宋体"/>
          <w:b/>
          <w:szCs w:val="21"/>
        </w:rPr>
        <w:t>21、迟交的投标文件</w:t>
      </w:r>
    </w:p>
    <w:p w14:paraId="4F57428C">
      <w:pPr>
        <w:ind w:firstLine="420" w:firstLineChars="200"/>
        <w:rPr>
          <w:rFonts w:ascii="宋体" w:hAnsi="宋体" w:cs="宋体"/>
          <w:szCs w:val="21"/>
        </w:rPr>
      </w:pPr>
      <w:r>
        <w:rPr>
          <w:rFonts w:hint="eastAsia" w:ascii="宋体" w:hAnsi="宋体" w:cs="宋体"/>
          <w:szCs w:val="21"/>
        </w:rPr>
        <w:t>采购代理机构将拒绝并原封退回在其规定的截止时间后收到的任何投标文件。</w:t>
      </w:r>
    </w:p>
    <w:p w14:paraId="27A077C4">
      <w:pPr>
        <w:ind w:firstLine="420" w:firstLineChars="200"/>
        <w:rPr>
          <w:rFonts w:ascii="宋体" w:hAnsi="宋体" w:cs="宋体"/>
          <w:szCs w:val="21"/>
        </w:rPr>
      </w:pPr>
    </w:p>
    <w:p w14:paraId="441B710E">
      <w:pPr>
        <w:ind w:firstLine="422" w:firstLineChars="200"/>
        <w:rPr>
          <w:rFonts w:ascii="宋体" w:hAnsi="宋体" w:cs="宋体"/>
          <w:b/>
          <w:szCs w:val="21"/>
        </w:rPr>
      </w:pPr>
      <w:r>
        <w:rPr>
          <w:rFonts w:hint="eastAsia" w:ascii="宋体" w:hAnsi="宋体" w:cs="宋体"/>
          <w:b/>
          <w:szCs w:val="21"/>
        </w:rPr>
        <w:t>22、投标文件的修改和撤回</w:t>
      </w:r>
    </w:p>
    <w:p w14:paraId="5D843BDF">
      <w:pPr>
        <w:ind w:firstLine="420" w:firstLineChars="200"/>
        <w:rPr>
          <w:rFonts w:ascii="宋体" w:hAnsi="宋体" w:cs="宋体"/>
          <w:szCs w:val="21"/>
        </w:rPr>
      </w:pPr>
      <w:r>
        <w:rPr>
          <w:rFonts w:hint="eastAsia" w:ascii="宋体" w:hAnsi="宋体" w:cs="宋体"/>
          <w:szCs w:val="21"/>
        </w:rPr>
        <w:t>22.1投标人在递交投标文件后，可以修改或撤回其投标文件，但这种修改和撤回，必须在规定的投标截止时间前，以书面形式通知采购代理机构。</w:t>
      </w:r>
    </w:p>
    <w:p w14:paraId="37A38580">
      <w:pPr>
        <w:ind w:firstLine="420" w:firstLineChars="200"/>
        <w:rPr>
          <w:rFonts w:ascii="宋体" w:hAnsi="宋体" w:cs="宋体"/>
          <w:szCs w:val="21"/>
        </w:rPr>
      </w:pPr>
      <w:r>
        <w:rPr>
          <w:rFonts w:hint="eastAsia" w:ascii="宋体" w:hAnsi="宋体" w:cs="宋体"/>
          <w:szCs w:val="21"/>
        </w:rPr>
        <w:t>22.2投标人的修改文件应按第18条的规定进行编制和签署，并按第19条的规定进行密封、标记，同时还应在封套上加注“修改”字样。修改文件同样必须在投标截止时间前送达投标文件接收地点。</w:t>
      </w:r>
    </w:p>
    <w:p w14:paraId="722B662A">
      <w:pPr>
        <w:ind w:firstLine="420" w:firstLineChars="200"/>
        <w:rPr>
          <w:rFonts w:ascii="宋体" w:hAnsi="宋体" w:cs="宋体"/>
          <w:szCs w:val="21"/>
        </w:rPr>
      </w:pPr>
      <w:r>
        <w:rPr>
          <w:rFonts w:hint="eastAsia" w:ascii="宋体" w:hAnsi="宋体" w:cs="宋体"/>
          <w:szCs w:val="21"/>
        </w:rPr>
        <w:t>22.3在投标截止时间之后，投标人不得对其投标文件做任何修改。</w:t>
      </w:r>
    </w:p>
    <w:p w14:paraId="161DAE84">
      <w:pPr>
        <w:rPr>
          <w:rFonts w:ascii="宋体" w:hAnsi="宋体" w:cs="宋体"/>
          <w:szCs w:val="21"/>
        </w:rPr>
      </w:pPr>
    </w:p>
    <w:p w14:paraId="716E569B">
      <w:pPr>
        <w:jc w:val="center"/>
        <w:outlineLvl w:val="1"/>
        <w:rPr>
          <w:rFonts w:ascii="宋体" w:hAnsi="宋体" w:cs="宋体"/>
          <w:b/>
          <w:szCs w:val="21"/>
        </w:rPr>
      </w:pPr>
      <w:bookmarkStart w:id="73" w:name="_Toc25149"/>
      <w:bookmarkStart w:id="74" w:name="_Toc9618"/>
      <w:bookmarkStart w:id="75" w:name="_Toc16425"/>
      <w:bookmarkStart w:id="76" w:name="_Toc4382"/>
      <w:r>
        <w:rPr>
          <w:rFonts w:hint="eastAsia" w:ascii="宋体" w:hAnsi="宋体" w:cs="宋体"/>
          <w:b/>
          <w:szCs w:val="21"/>
        </w:rPr>
        <w:t>五、开标与评标</w:t>
      </w:r>
      <w:bookmarkEnd w:id="73"/>
      <w:bookmarkEnd w:id="74"/>
      <w:bookmarkEnd w:id="75"/>
      <w:bookmarkEnd w:id="76"/>
    </w:p>
    <w:p w14:paraId="125F8DBC">
      <w:pPr>
        <w:rPr>
          <w:rFonts w:ascii="宋体" w:hAnsi="宋体" w:cs="宋体"/>
          <w:szCs w:val="21"/>
        </w:rPr>
      </w:pPr>
    </w:p>
    <w:p w14:paraId="5084A7E3">
      <w:pPr>
        <w:ind w:firstLine="422" w:firstLineChars="200"/>
        <w:rPr>
          <w:rFonts w:ascii="宋体" w:hAnsi="宋体" w:cs="宋体"/>
          <w:b/>
          <w:szCs w:val="21"/>
        </w:rPr>
      </w:pPr>
      <w:r>
        <w:rPr>
          <w:rFonts w:hint="eastAsia" w:ascii="宋体" w:hAnsi="宋体" w:cs="宋体"/>
          <w:b/>
          <w:szCs w:val="21"/>
        </w:rPr>
        <w:t>23、开标</w:t>
      </w:r>
    </w:p>
    <w:p w14:paraId="1FCC3906">
      <w:pPr>
        <w:ind w:firstLine="420" w:firstLineChars="200"/>
        <w:rPr>
          <w:rFonts w:ascii="宋体" w:hAnsi="宋体" w:cs="宋体"/>
          <w:szCs w:val="21"/>
        </w:rPr>
      </w:pPr>
      <w:r>
        <w:rPr>
          <w:rFonts w:hint="eastAsia" w:ascii="宋体" w:hAnsi="宋体" w:cs="宋体"/>
          <w:szCs w:val="21"/>
        </w:rPr>
        <w:t>23.1采购代理机构将在招标公告中规定的时间和地点组织公开开标。采购人、投标人应委派代表准时参加，有关部门可以视情况到现场监督开标活动。</w:t>
      </w:r>
      <w:r>
        <w:rPr>
          <w:rFonts w:hint="eastAsia" w:ascii="宋体" w:hAnsi="宋体" w:cs="宋体"/>
          <w:kern w:val="0"/>
          <w:szCs w:val="21"/>
        </w:rPr>
        <w:t>投标人未参加开标的，视同认可开标结果。</w:t>
      </w:r>
    </w:p>
    <w:p w14:paraId="5E53AEA2">
      <w:pPr>
        <w:ind w:firstLine="420" w:firstLineChars="200"/>
        <w:rPr>
          <w:rFonts w:ascii="宋体" w:hAnsi="宋体" w:cs="宋体"/>
          <w:szCs w:val="21"/>
        </w:rPr>
      </w:pPr>
      <w:r>
        <w:rPr>
          <w:rFonts w:hint="eastAsia" w:ascii="宋体" w:hAnsi="宋体" w:cs="宋体"/>
          <w:szCs w:val="21"/>
        </w:rPr>
        <w:t>23.2按照第21条规定，迟交的投标文件将不予开封。</w:t>
      </w:r>
    </w:p>
    <w:p w14:paraId="5705F418">
      <w:pPr>
        <w:ind w:firstLine="420" w:firstLineChars="200"/>
        <w:rPr>
          <w:rFonts w:ascii="宋体" w:hAnsi="宋体" w:cs="宋体"/>
          <w:szCs w:val="21"/>
        </w:rPr>
      </w:pPr>
      <w:r>
        <w:rPr>
          <w:rFonts w:hint="eastAsia" w:ascii="宋体" w:hAnsi="宋体" w:cs="宋体"/>
          <w:szCs w:val="21"/>
        </w:rPr>
        <w:t>23.3</w:t>
      </w:r>
      <w:r>
        <w:rPr>
          <w:rFonts w:hint="eastAsia" w:ascii="宋体" w:hAnsi="宋体" w:cs="宋体"/>
          <w:kern w:val="0"/>
          <w:szCs w:val="21"/>
        </w:rPr>
        <w:t>开标时，应当由投标人或者其推选的代表检查投标文件的密封情况；经确认无误后，由采购人或者采购代理机构工作人员当众拆封，宣布投标人名称、项目名称、投标价格、交货期和招标文件规定的需要宣布的其他内容。</w:t>
      </w:r>
    </w:p>
    <w:p w14:paraId="19AA3423">
      <w:pPr>
        <w:ind w:firstLine="420" w:firstLineChars="200"/>
        <w:rPr>
          <w:rFonts w:ascii="宋体" w:hAnsi="宋体" w:cs="宋体"/>
          <w:szCs w:val="21"/>
        </w:rPr>
      </w:pPr>
      <w:r>
        <w:rPr>
          <w:rFonts w:hint="eastAsia" w:ascii="宋体" w:hAnsi="宋体" w:cs="宋体"/>
          <w:szCs w:val="21"/>
        </w:rPr>
        <w:t>23.4采购代理机构将做开标记录，开标记录包括按第23.3条规定在开标时宣读的全部内容。</w:t>
      </w:r>
    </w:p>
    <w:p w14:paraId="7F44FED6">
      <w:pPr>
        <w:ind w:firstLine="420" w:firstLineChars="200"/>
        <w:rPr>
          <w:rFonts w:ascii="宋体" w:hAnsi="宋体" w:cs="宋体"/>
          <w:szCs w:val="21"/>
        </w:rPr>
      </w:pPr>
    </w:p>
    <w:p w14:paraId="587B90FD">
      <w:pPr>
        <w:ind w:firstLine="422" w:firstLineChars="200"/>
        <w:rPr>
          <w:rFonts w:ascii="宋体" w:hAnsi="宋体" w:cs="宋体"/>
          <w:b/>
          <w:szCs w:val="21"/>
        </w:rPr>
      </w:pPr>
      <w:r>
        <w:rPr>
          <w:rFonts w:hint="eastAsia" w:ascii="宋体" w:hAnsi="宋体" w:cs="宋体"/>
          <w:b/>
          <w:szCs w:val="21"/>
        </w:rPr>
        <w:t>24、评标委员会</w:t>
      </w:r>
    </w:p>
    <w:p w14:paraId="59DC32DF">
      <w:pPr>
        <w:ind w:firstLine="420" w:firstLineChars="200"/>
        <w:rPr>
          <w:rFonts w:ascii="宋体" w:hAnsi="宋体" w:cs="宋体"/>
          <w:szCs w:val="21"/>
        </w:rPr>
      </w:pPr>
      <w:r>
        <w:rPr>
          <w:rFonts w:hint="eastAsia" w:ascii="宋体" w:hAnsi="宋体" w:cs="宋体"/>
          <w:szCs w:val="21"/>
        </w:rPr>
        <w:t>24.1开标后，采购代理机构将立即组织评委会（以下简称评委会）进行评标。</w:t>
      </w:r>
    </w:p>
    <w:p w14:paraId="5B6BB938">
      <w:pPr>
        <w:ind w:firstLine="420" w:firstLineChars="200"/>
        <w:rPr>
          <w:rFonts w:ascii="宋体" w:hAnsi="宋体" w:cs="宋体"/>
          <w:szCs w:val="21"/>
        </w:rPr>
      </w:pPr>
      <w:r>
        <w:rPr>
          <w:rFonts w:hint="eastAsia" w:ascii="宋体" w:hAnsi="宋体" w:cs="宋体"/>
          <w:szCs w:val="21"/>
        </w:rPr>
        <w:t>24.2评委会由五人以上单数的行业专家、采购人代表组成。</w:t>
      </w:r>
    </w:p>
    <w:p w14:paraId="6BC7DCC9">
      <w:pPr>
        <w:ind w:firstLine="420" w:firstLineChars="200"/>
        <w:rPr>
          <w:rFonts w:ascii="宋体" w:hAnsi="宋体" w:cs="宋体"/>
          <w:szCs w:val="21"/>
        </w:rPr>
      </w:pPr>
      <w:r>
        <w:rPr>
          <w:rFonts w:hint="eastAsia" w:ascii="宋体" w:hAnsi="宋体" w:cs="宋体"/>
          <w:szCs w:val="21"/>
        </w:rPr>
        <w:t>24.3评委会独立开展工作，负责审议所有投标文件。</w:t>
      </w:r>
    </w:p>
    <w:p w14:paraId="3E01F27F">
      <w:pPr>
        <w:ind w:firstLine="420" w:firstLineChars="200"/>
        <w:rPr>
          <w:rFonts w:ascii="宋体" w:hAnsi="宋体" w:cs="宋体"/>
          <w:szCs w:val="21"/>
        </w:rPr>
      </w:pPr>
      <w:r>
        <w:rPr>
          <w:rFonts w:hint="eastAsia" w:ascii="宋体" w:hAnsi="宋体" w:cs="宋体"/>
          <w:szCs w:val="21"/>
        </w:rPr>
        <w:t>24.4评委会应对投标人的商业、技术秘密予以保密。</w:t>
      </w:r>
    </w:p>
    <w:p w14:paraId="124154FA">
      <w:pPr>
        <w:ind w:firstLine="420" w:firstLineChars="200"/>
        <w:rPr>
          <w:rFonts w:ascii="宋体" w:hAnsi="宋体" w:cs="宋体"/>
          <w:szCs w:val="21"/>
        </w:rPr>
      </w:pPr>
    </w:p>
    <w:p w14:paraId="2D20C365">
      <w:pPr>
        <w:ind w:firstLine="422" w:firstLineChars="200"/>
        <w:rPr>
          <w:rFonts w:ascii="宋体" w:hAnsi="宋体" w:cs="宋体"/>
          <w:b/>
          <w:szCs w:val="21"/>
        </w:rPr>
      </w:pPr>
      <w:r>
        <w:rPr>
          <w:rFonts w:hint="eastAsia" w:ascii="宋体" w:hAnsi="宋体" w:cs="宋体"/>
          <w:b/>
          <w:szCs w:val="21"/>
        </w:rPr>
        <w:t>25、评标过程的保密</w:t>
      </w:r>
    </w:p>
    <w:p w14:paraId="2C082D26">
      <w:pPr>
        <w:ind w:firstLine="420" w:firstLineChars="200"/>
        <w:rPr>
          <w:rFonts w:ascii="宋体" w:hAnsi="宋体" w:cs="宋体"/>
          <w:szCs w:val="21"/>
        </w:rPr>
      </w:pPr>
      <w:r>
        <w:rPr>
          <w:rFonts w:hint="eastAsia" w:ascii="宋体" w:hAnsi="宋体" w:cs="宋体"/>
          <w:szCs w:val="21"/>
        </w:rPr>
        <w:t>25.1开标后，直至向中标人授予合同时止，凡是与审查、澄清、评价和比较投标的有关资料以及授标建议等，均不得向任何投标人或与评标无关的其他人员透露。</w:t>
      </w:r>
    </w:p>
    <w:p w14:paraId="6B5C5A43">
      <w:pPr>
        <w:ind w:firstLine="420" w:firstLineChars="200"/>
        <w:rPr>
          <w:rFonts w:ascii="宋体" w:hAnsi="宋体" w:cs="宋体"/>
          <w:szCs w:val="21"/>
        </w:rPr>
      </w:pPr>
      <w:r>
        <w:rPr>
          <w:rFonts w:hint="eastAsia" w:ascii="宋体" w:hAnsi="宋体" w:cs="宋体"/>
          <w:szCs w:val="21"/>
        </w:rPr>
        <w:t>25.2在评标过程中，如果投标人试图向采购代理机构和参与评标的人员施加任何影响，都将会导致其投标被拒绝。</w:t>
      </w:r>
    </w:p>
    <w:p w14:paraId="6A74ECAA">
      <w:pPr>
        <w:ind w:firstLine="420" w:firstLineChars="200"/>
        <w:rPr>
          <w:rFonts w:ascii="宋体" w:hAnsi="宋体" w:cs="宋体"/>
          <w:szCs w:val="21"/>
        </w:rPr>
      </w:pPr>
      <w:r>
        <w:rPr>
          <w:rFonts w:hint="eastAsia" w:ascii="宋体" w:hAnsi="宋体" w:cs="宋体"/>
          <w:szCs w:val="21"/>
        </w:rPr>
        <w:t>25.3评委会名单应在开标前确定，并在招标结果确定前保密。</w:t>
      </w:r>
    </w:p>
    <w:p w14:paraId="4F9C3E8A">
      <w:pPr>
        <w:ind w:firstLine="420" w:firstLineChars="200"/>
        <w:rPr>
          <w:rFonts w:ascii="宋体" w:hAnsi="宋体" w:cs="宋体"/>
          <w:szCs w:val="21"/>
        </w:rPr>
      </w:pPr>
    </w:p>
    <w:p w14:paraId="76A06D7F">
      <w:pPr>
        <w:ind w:firstLine="422" w:firstLineChars="200"/>
        <w:rPr>
          <w:rFonts w:ascii="宋体" w:hAnsi="宋体" w:cs="宋体"/>
          <w:b/>
          <w:szCs w:val="21"/>
        </w:rPr>
      </w:pPr>
      <w:bookmarkStart w:id="77" w:name="_Toc250302656"/>
      <w:bookmarkStart w:id="78" w:name="_Toc250383305"/>
      <w:bookmarkStart w:id="79" w:name="_Toc250299235"/>
      <w:bookmarkStart w:id="80" w:name="_Toc250302848"/>
      <w:bookmarkStart w:id="81" w:name="_Toc250298875"/>
      <w:bookmarkStart w:id="82" w:name="_Toc250309754"/>
      <w:bookmarkStart w:id="83" w:name="_Toc250300113"/>
      <w:bookmarkStart w:id="84" w:name="_Toc250307592"/>
      <w:r>
        <w:rPr>
          <w:rFonts w:hint="eastAsia" w:ascii="宋体" w:hAnsi="宋体" w:cs="宋体"/>
          <w:b/>
          <w:szCs w:val="21"/>
        </w:rPr>
        <w:t>26、投标</w:t>
      </w:r>
      <w:bookmarkEnd w:id="77"/>
      <w:bookmarkEnd w:id="78"/>
      <w:bookmarkEnd w:id="79"/>
      <w:bookmarkEnd w:id="80"/>
      <w:bookmarkEnd w:id="81"/>
      <w:bookmarkEnd w:id="82"/>
      <w:bookmarkEnd w:id="83"/>
      <w:bookmarkEnd w:id="84"/>
      <w:r>
        <w:rPr>
          <w:rFonts w:hint="eastAsia" w:ascii="宋体" w:hAnsi="宋体" w:cs="宋体"/>
          <w:b/>
          <w:szCs w:val="21"/>
        </w:rPr>
        <w:t>人资格审查</w:t>
      </w:r>
    </w:p>
    <w:p w14:paraId="69C81C35">
      <w:pPr>
        <w:ind w:firstLine="420" w:firstLineChars="200"/>
        <w:rPr>
          <w:rFonts w:ascii="宋体" w:hAnsi="宋体" w:cs="宋体"/>
          <w:szCs w:val="21"/>
        </w:rPr>
      </w:pPr>
      <w:r>
        <w:rPr>
          <w:rFonts w:hint="eastAsia" w:ascii="宋体" w:hAnsi="宋体" w:cs="宋体"/>
          <w:szCs w:val="21"/>
        </w:rPr>
        <w:t>开标结束后，采购人或者采购代理机构应当依法对投标人的资格进行审查。资格审查标准详见招标文件《第五部分：评标办法》第一条。合格投标人不足3家的，不得评标。</w:t>
      </w:r>
    </w:p>
    <w:p w14:paraId="2DDAF16C">
      <w:pPr>
        <w:ind w:firstLine="420" w:firstLineChars="200"/>
        <w:rPr>
          <w:rFonts w:ascii="宋体" w:hAnsi="宋体" w:cs="宋体"/>
          <w:szCs w:val="21"/>
        </w:rPr>
      </w:pPr>
    </w:p>
    <w:p w14:paraId="44196675">
      <w:pPr>
        <w:ind w:firstLine="422" w:firstLineChars="200"/>
        <w:rPr>
          <w:rFonts w:ascii="宋体" w:hAnsi="宋体" w:cs="宋体"/>
          <w:b/>
          <w:szCs w:val="21"/>
        </w:rPr>
      </w:pPr>
      <w:r>
        <w:rPr>
          <w:rFonts w:hint="eastAsia" w:ascii="宋体" w:hAnsi="宋体" w:cs="宋体"/>
          <w:b/>
          <w:szCs w:val="21"/>
        </w:rPr>
        <w:t>27、投标文件符合性审查</w:t>
      </w:r>
    </w:p>
    <w:p w14:paraId="487E0F2C">
      <w:pPr>
        <w:ind w:firstLine="420" w:firstLineChars="200"/>
        <w:rPr>
          <w:rFonts w:ascii="宋体" w:hAnsi="宋体" w:cs="宋体"/>
          <w:kern w:val="0"/>
          <w:szCs w:val="21"/>
        </w:rPr>
      </w:pPr>
      <w:r>
        <w:rPr>
          <w:rFonts w:hint="eastAsia" w:ascii="宋体" w:hAnsi="宋体" w:cs="宋体"/>
          <w:szCs w:val="21"/>
        </w:rPr>
        <w:t>27.1在综合评审之前，</w:t>
      </w:r>
      <w:r>
        <w:rPr>
          <w:rFonts w:hint="eastAsia" w:ascii="宋体" w:hAnsi="宋体" w:cs="宋体"/>
          <w:kern w:val="0"/>
          <w:szCs w:val="21"/>
        </w:rPr>
        <w:t>评委会应当对通过资格审查的投标人的投标文件进行符合性审查；</w:t>
      </w:r>
      <w:r>
        <w:rPr>
          <w:rFonts w:hint="eastAsia" w:ascii="宋体" w:hAnsi="宋体" w:cs="宋体"/>
          <w:szCs w:val="21"/>
        </w:rPr>
        <w:t>符合性审查标准详见《第五部分：评标办法》第二条。合格投标人不足3家的，不进入综合评标。</w:t>
      </w:r>
    </w:p>
    <w:p w14:paraId="18E21898">
      <w:pPr>
        <w:ind w:firstLine="420" w:firstLineChars="200"/>
        <w:rPr>
          <w:rFonts w:ascii="宋体" w:hAnsi="宋体" w:cs="宋体"/>
          <w:szCs w:val="21"/>
        </w:rPr>
      </w:pPr>
      <w:r>
        <w:rPr>
          <w:rFonts w:hint="eastAsia" w:ascii="宋体" w:hAnsi="宋体" w:cs="宋体"/>
          <w:szCs w:val="21"/>
        </w:rPr>
        <w:t>27.2判断投标文件的响应与否只根据投标文件本身，而不寻找外部证据。</w:t>
      </w:r>
    </w:p>
    <w:p w14:paraId="3335F7D1">
      <w:pPr>
        <w:ind w:firstLine="420" w:firstLineChars="200"/>
        <w:rPr>
          <w:rFonts w:ascii="宋体" w:hAnsi="宋体" w:cs="宋体"/>
          <w:szCs w:val="21"/>
        </w:rPr>
      </w:pPr>
      <w:r>
        <w:rPr>
          <w:rFonts w:hint="eastAsia" w:ascii="宋体" w:hAnsi="宋体" w:cs="宋体"/>
          <w:szCs w:val="21"/>
        </w:rPr>
        <w:t>27.3如果投标文件实质上没有响应招标文件的要求，投标人不得通过补充、修改、替代、撤回或撤销不合要求的偏离或保留而使其投标成为响应性的投标。</w:t>
      </w:r>
    </w:p>
    <w:p w14:paraId="0CE3463F">
      <w:pPr>
        <w:ind w:firstLine="420" w:firstLineChars="200"/>
        <w:rPr>
          <w:rFonts w:ascii="宋体" w:hAnsi="宋体" w:cs="宋体"/>
          <w:szCs w:val="21"/>
        </w:rPr>
      </w:pPr>
    </w:p>
    <w:p w14:paraId="5590E75A">
      <w:pPr>
        <w:ind w:firstLine="422" w:firstLineChars="200"/>
        <w:rPr>
          <w:rFonts w:ascii="宋体" w:hAnsi="宋体" w:cs="宋体"/>
          <w:b/>
          <w:szCs w:val="21"/>
        </w:rPr>
      </w:pPr>
      <w:r>
        <w:rPr>
          <w:rFonts w:hint="eastAsia" w:ascii="宋体" w:hAnsi="宋体" w:cs="宋体"/>
          <w:b/>
          <w:szCs w:val="21"/>
        </w:rPr>
        <w:t>28、投标文件的澄清</w:t>
      </w:r>
    </w:p>
    <w:p w14:paraId="7664FEEF">
      <w:pPr>
        <w:ind w:firstLine="420" w:firstLineChars="200"/>
        <w:rPr>
          <w:rFonts w:ascii="宋体" w:hAnsi="宋体" w:cs="宋体"/>
          <w:szCs w:val="21"/>
        </w:rPr>
      </w:pPr>
      <w:r>
        <w:rPr>
          <w:rFonts w:hint="eastAsia" w:ascii="宋体" w:hAnsi="宋体" w:cs="宋体"/>
          <w:szCs w:val="21"/>
        </w:rPr>
        <w:t>投标文件澄清的条件和方法详见招标文件《第五部分：评标办法》第四条第3款。</w:t>
      </w:r>
    </w:p>
    <w:p w14:paraId="217D4E73">
      <w:pPr>
        <w:ind w:firstLine="420" w:firstLineChars="200"/>
        <w:rPr>
          <w:rFonts w:ascii="宋体" w:hAnsi="宋体" w:cs="宋体"/>
          <w:szCs w:val="21"/>
        </w:rPr>
      </w:pPr>
    </w:p>
    <w:p w14:paraId="5D026C0D">
      <w:pPr>
        <w:ind w:firstLine="422" w:firstLineChars="200"/>
        <w:rPr>
          <w:rFonts w:ascii="宋体" w:hAnsi="宋体" w:cs="宋体"/>
          <w:b/>
          <w:szCs w:val="21"/>
        </w:rPr>
      </w:pPr>
      <w:r>
        <w:rPr>
          <w:rFonts w:hint="eastAsia" w:ascii="宋体" w:hAnsi="宋体" w:cs="宋体"/>
          <w:b/>
          <w:szCs w:val="21"/>
        </w:rPr>
        <w:t>29、投标文件修正</w:t>
      </w:r>
    </w:p>
    <w:p w14:paraId="4B74CE64">
      <w:pPr>
        <w:ind w:firstLine="420" w:firstLineChars="200"/>
        <w:rPr>
          <w:rFonts w:ascii="宋体" w:hAnsi="宋体" w:cs="宋体"/>
          <w:szCs w:val="21"/>
        </w:rPr>
      </w:pPr>
      <w:r>
        <w:rPr>
          <w:rFonts w:hint="eastAsia" w:ascii="宋体" w:hAnsi="宋体" w:cs="宋体"/>
          <w:szCs w:val="21"/>
        </w:rPr>
        <w:t>29.1符合性审查合格的投标文件有技术参数引用错误及计算上或累加上的算术错误，修改错误的原则如下：</w:t>
      </w:r>
    </w:p>
    <w:p w14:paraId="22DAD87A">
      <w:pPr>
        <w:ind w:firstLine="420" w:firstLineChars="200"/>
        <w:rPr>
          <w:rFonts w:ascii="宋体" w:hAnsi="宋体" w:cs="宋体"/>
          <w:szCs w:val="21"/>
        </w:rPr>
      </w:pPr>
      <w:r>
        <w:rPr>
          <w:rFonts w:hint="eastAsia" w:ascii="宋体" w:hAnsi="宋体" w:cs="宋体"/>
          <w:szCs w:val="21"/>
        </w:rPr>
        <w:t>（1）如果投标文件中引用技术参数与其所附佐证材料中标明的参数不一致时，以佐证材料中标明的技术参数为准。</w:t>
      </w:r>
    </w:p>
    <w:p w14:paraId="694A641D">
      <w:pPr>
        <w:ind w:firstLine="420" w:firstLineChars="200"/>
        <w:rPr>
          <w:rFonts w:ascii="宋体" w:hAnsi="宋体" w:cs="宋体"/>
          <w:szCs w:val="21"/>
        </w:rPr>
      </w:pPr>
      <w:r>
        <w:rPr>
          <w:rFonts w:hint="eastAsia" w:ascii="宋体" w:hAnsi="宋体" w:cs="宋体"/>
          <w:szCs w:val="21"/>
        </w:rPr>
        <w:t>（2）如果大写（文字）金额与小写（数字）金额不一致时，以大写金额为准。</w:t>
      </w:r>
    </w:p>
    <w:p w14:paraId="120C3E1D">
      <w:pPr>
        <w:ind w:firstLine="420" w:firstLineChars="200"/>
        <w:rPr>
          <w:rFonts w:ascii="宋体" w:hAnsi="宋体" w:cs="宋体"/>
          <w:szCs w:val="21"/>
        </w:rPr>
      </w:pPr>
      <w:r>
        <w:rPr>
          <w:rFonts w:hint="eastAsia" w:ascii="宋体" w:hAnsi="宋体" w:cs="宋体"/>
          <w:szCs w:val="21"/>
        </w:rPr>
        <w:t>（3）如果单价与数量的乘积与总价不一致时，以单价为准修改总价，但单价金额的小数点有明显错误的，应以标出的总价为准，并修改单价。</w:t>
      </w:r>
    </w:p>
    <w:p w14:paraId="4856F277">
      <w:pPr>
        <w:ind w:firstLine="420" w:firstLineChars="200"/>
        <w:rPr>
          <w:rFonts w:ascii="宋体" w:hAnsi="宋体" w:cs="宋体"/>
          <w:szCs w:val="21"/>
        </w:rPr>
      </w:pPr>
      <w:r>
        <w:rPr>
          <w:rFonts w:hint="eastAsia" w:ascii="宋体" w:hAnsi="宋体" w:cs="宋体"/>
          <w:szCs w:val="21"/>
        </w:rPr>
        <w:t>29.2评委会将按上述修改错误的方法调整投标报价，投标人同意后，调整后的报价对投标人起约束作用。如果投标人不接受修改后的报价，则其投标将被拒绝。</w:t>
      </w:r>
    </w:p>
    <w:p w14:paraId="1944D78C">
      <w:pPr>
        <w:ind w:firstLine="420" w:firstLineChars="200"/>
        <w:rPr>
          <w:rFonts w:ascii="宋体" w:hAnsi="宋体" w:cs="宋体"/>
          <w:szCs w:val="21"/>
        </w:rPr>
      </w:pPr>
    </w:p>
    <w:p w14:paraId="2B6A1F4A">
      <w:pPr>
        <w:ind w:firstLine="422" w:firstLineChars="200"/>
        <w:rPr>
          <w:rFonts w:ascii="宋体" w:hAnsi="宋体" w:cs="宋体"/>
          <w:kern w:val="0"/>
          <w:szCs w:val="21"/>
        </w:rPr>
      </w:pPr>
      <w:r>
        <w:rPr>
          <w:rFonts w:hint="eastAsia" w:ascii="宋体" w:hAnsi="宋体" w:cs="宋体"/>
          <w:b/>
          <w:szCs w:val="21"/>
        </w:rPr>
        <w:t>30、对投标文件的综合评审</w:t>
      </w:r>
    </w:p>
    <w:p w14:paraId="63045E97">
      <w:pPr>
        <w:ind w:firstLine="420" w:firstLineChars="200"/>
        <w:rPr>
          <w:rFonts w:ascii="宋体" w:hAnsi="宋体" w:cs="宋体"/>
          <w:kern w:val="0"/>
          <w:szCs w:val="21"/>
        </w:rPr>
      </w:pPr>
      <w:r>
        <w:rPr>
          <w:rFonts w:hint="eastAsia" w:ascii="宋体" w:hAnsi="宋体" w:cs="宋体"/>
          <w:kern w:val="0"/>
          <w:szCs w:val="21"/>
        </w:rPr>
        <w:t>评委会按照招标文件</w:t>
      </w:r>
      <w:r>
        <w:rPr>
          <w:rFonts w:hint="eastAsia" w:ascii="宋体" w:hAnsi="宋体" w:cs="宋体"/>
          <w:szCs w:val="21"/>
        </w:rPr>
        <w:t>《第五部分：评标办法》第三条</w:t>
      </w:r>
      <w:r>
        <w:rPr>
          <w:rFonts w:hint="eastAsia" w:ascii="宋体" w:hAnsi="宋体" w:cs="宋体"/>
          <w:kern w:val="0"/>
          <w:szCs w:val="21"/>
        </w:rPr>
        <w:t>规定的评审因素和评审标准，对符合性审查合格的投标文件进行综合评分。</w:t>
      </w:r>
    </w:p>
    <w:p w14:paraId="6A576713">
      <w:pPr>
        <w:ind w:firstLine="420" w:firstLineChars="200"/>
        <w:rPr>
          <w:rFonts w:ascii="宋体" w:hAnsi="宋体" w:cs="宋体"/>
          <w:szCs w:val="21"/>
        </w:rPr>
      </w:pPr>
    </w:p>
    <w:p w14:paraId="06B772C6">
      <w:pPr>
        <w:ind w:firstLine="422" w:firstLineChars="200"/>
        <w:rPr>
          <w:rFonts w:ascii="宋体" w:hAnsi="宋体" w:cs="宋体"/>
          <w:b/>
          <w:szCs w:val="21"/>
        </w:rPr>
      </w:pPr>
      <w:r>
        <w:rPr>
          <w:rFonts w:hint="eastAsia" w:ascii="宋体" w:hAnsi="宋体" w:cs="宋体"/>
          <w:b/>
          <w:szCs w:val="21"/>
        </w:rPr>
        <w:t>31、废标</w:t>
      </w:r>
    </w:p>
    <w:p w14:paraId="319CF020">
      <w:pPr>
        <w:ind w:firstLine="420" w:firstLineChars="200"/>
        <w:rPr>
          <w:rFonts w:ascii="宋体" w:hAnsi="宋体" w:cs="宋体"/>
          <w:szCs w:val="21"/>
        </w:rPr>
      </w:pPr>
      <w:r>
        <w:rPr>
          <w:rFonts w:hint="eastAsia" w:ascii="宋体" w:hAnsi="宋体" w:cs="宋体"/>
          <w:szCs w:val="21"/>
        </w:rPr>
        <w:t>31.1 根据政府采购法第三十六条规定：在招标采购中，出现下列情形之一的，应予废标：</w:t>
      </w:r>
    </w:p>
    <w:p w14:paraId="0FDFCB97">
      <w:pPr>
        <w:ind w:firstLine="420" w:firstLineChars="200"/>
        <w:rPr>
          <w:rFonts w:ascii="宋体" w:hAnsi="宋体" w:cs="宋体"/>
          <w:szCs w:val="21"/>
        </w:rPr>
      </w:pPr>
      <w:r>
        <w:rPr>
          <w:rFonts w:hint="eastAsia" w:ascii="宋体" w:hAnsi="宋体" w:cs="宋体"/>
          <w:szCs w:val="21"/>
        </w:rPr>
        <w:t>（1）符合专业条件的供应商或者对招标文件作实质响应的供应商不足三家的；</w:t>
      </w:r>
    </w:p>
    <w:p w14:paraId="5563A9D6">
      <w:pPr>
        <w:ind w:firstLine="420" w:firstLineChars="200"/>
        <w:rPr>
          <w:rFonts w:ascii="宋体" w:hAnsi="宋体" w:cs="宋体"/>
          <w:szCs w:val="21"/>
        </w:rPr>
      </w:pPr>
      <w:r>
        <w:rPr>
          <w:rFonts w:hint="eastAsia" w:ascii="宋体" w:hAnsi="宋体" w:cs="宋体"/>
          <w:szCs w:val="21"/>
        </w:rPr>
        <w:t>（2）出现影响采购公正的违法、违规行为的；</w:t>
      </w:r>
    </w:p>
    <w:p w14:paraId="06966CA0">
      <w:pPr>
        <w:ind w:firstLine="420" w:firstLineChars="200"/>
        <w:rPr>
          <w:rFonts w:ascii="宋体" w:hAnsi="宋体" w:cs="宋体"/>
          <w:szCs w:val="21"/>
        </w:rPr>
      </w:pPr>
      <w:r>
        <w:rPr>
          <w:rFonts w:hint="eastAsia" w:ascii="宋体" w:hAnsi="宋体" w:cs="宋体"/>
          <w:szCs w:val="21"/>
        </w:rPr>
        <w:t>（3）投标人的报价均超过了采购预算，采购人不能支付的；</w:t>
      </w:r>
    </w:p>
    <w:p w14:paraId="0271ABFE">
      <w:pPr>
        <w:ind w:firstLine="420" w:firstLineChars="200"/>
        <w:rPr>
          <w:rFonts w:ascii="宋体" w:hAnsi="宋体" w:cs="宋体"/>
          <w:szCs w:val="21"/>
        </w:rPr>
      </w:pPr>
      <w:r>
        <w:rPr>
          <w:rFonts w:hint="eastAsia" w:ascii="宋体" w:hAnsi="宋体" w:cs="宋体"/>
          <w:szCs w:val="21"/>
        </w:rPr>
        <w:t>（4）因重大变故，采购任务取消的；</w:t>
      </w:r>
    </w:p>
    <w:p w14:paraId="125C2C13">
      <w:pPr>
        <w:ind w:firstLine="420" w:firstLineChars="200"/>
        <w:rPr>
          <w:rFonts w:ascii="宋体" w:hAnsi="宋体" w:cs="宋体"/>
          <w:szCs w:val="21"/>
        </w:rPr>
      </w:pPr>
      <w:r>
        <w:rPr>
          <w:rFonts w:hint="eastAsia" w:ascii="宋体" w:hAnsi="宋体" w:cs="宋体"/>
          <w:szCs w:val="21"/>
        </w:rPr>
        <w:t>31.2废标后，采购代理机构应当将废标理由通知所有投标人。</w:t>
      </w:r>
    </w:p>
    <w:p w14:paraId="2B177F4E">
      <w:pPr>
        <w:ind w:firstLine="420" w:firstLineChars="200"/>
        <w:rPr>
          <w:rFonts w:ascii="宋体" w:hAnsi="宋体" w:cs="宋体"/>
          <w:szCs w:val="21"/>
        </w:rPr>
      </w:pPr>
      <w:r>
        <w:rPr>
          <w:rFonts w:hint="eastAsia" w:ascii="宋体" w:hAnsi="宋体" w:cs="宋体"/>
          <w:szCs w:val="21"/>
        </w:rPr>
        <w:t>31.3废标后，除采购任务取消情形外，采购人应当重新组织招标。</w:t>
      </w:r>
    </w:p>
    <w:p w14:paraId="7057176D">
      <w:pPr>
        <w:rPr>
          <w:rFonts w:ascii="宋体" w:hAnsi="宋体" w:cs="宋体"/>
          <w:szCs w:val="21"/>
        </w:rPr>
      </w:pPr>
    </w:p>
    <w:p w14:paraId="09F51CEC">
      <w:pPr>
        <w:jc w:val="center"/>
        <w:outlineLvl w:val="1"/>
        <w:rPr>
          <w:rFonts w:ascii="宋体" w:hAnsi="宋体" w:cs="宋体"/>
          <w:b/>
          <w:szCs w:val="21"/>
        </w:rPr>
      </w:pPr>
      <w:bookmarkStart w:id="85" w:name="_Toc22925"/>
      <w:bookmarkStart w:id="86" w:name="_Toc12825"/>
      <w:bookmarkStart w:id="87" w:name="_Toc16599"/>
      <w:bookmarkStart w:id="88" w:name="_Toc5026"/>
      <w:r>
        <w:rPr>
          <w:rFonts w:hint="eastAsia" w:ascii="宋体" w:hAnsi="宋体" w:cs="宋体"/>
          <w:b/>
          <w:szCs w:val="21"/>
        </w:rPr>
        <w:t>六、授予合同</w:t>
      </w:r>
      <w:bookmarkEnd w:id="85"/>
      <w:bookmarkEnd w:id="86"/>
      <w:bookmarkEnd w:id="87"/>
      <w:bookmarkEnd w:id="88"/>
    </w:p>
    <w:p w14:paraId="7660A98A">
      <w:pPr>
        <w:rPr>
          <w:rFonts w:ascii="宋体" w:hAnsi="宋体" w:cs="宋体"/>
          <w:szCs w:val="21"/>
        </w:rPr>
      </w:pPr>
    </w:p>
    <w:p w14:paraId="2B671F4F">
      <w:pPr>
        <w:ind w:firstLine="422" w:firstLineChars="200"/>
        <w:rPr>
          <w:rFonts w:ascii="宋体" w:hAnsi="宋体" w:cs="宋体"/>
          <w:b/>
          <w:szCs w:val="21"/>
        </w:rPr>
      </w:pPr>
      <w:r>
        <w:rPr>
          <w:rFonts w:hint="eastAsia" w:ascii="宋体" w:hAnsi="宋体" w:cs="宋体"/>
          <w:b/>
          <w:szCs w:val="21"/>
        </w:rPr>
        <w:t>32、定标</w:t>
      </w:r>
    </w:p>
    <w:p w14:paraId="3490C039">
      <w:pPr>
        <w:ind w:firstLine="420" w:firstLineChars="200"/>
        <w:rPr>
          <w:rFonts w:ascii="宋体" w:hAnsi="宋体" w:cs="宋体"/>
          <w:szCs w:val="21"/>
        </w:rPr>
      </w:pPr>
      <w:r>
        <w:rPr>
          <w:rFonts w:hint="eastAsia" w:ascii="宋体" w:hAnsi="宋体" w:cs="宋体"/>
          <w:szCs w:val="21"/>
        </w:rPr>
        <w:t>32.1评委会按照综合评审得分由高到低的顺序推荐出1～3名中标候选人。</w:t>
      </w:r>
    </w:p>
    <w:p w14:paraId="3F5AB794">
      <w:pPr>
        <w:ind w:firstLine="420" w:firstLineChars="200"/>
        <w:rPr>
          <w:rFonts w:ascii="宋体" w:hAnsi="宋体" w:cs="宋体"/>
          <w:szCs w:val="21"/>
        </w:rPr>
      </w:pPr>
      <w:r>
        <w:rPr>
          <w:rFonts w:hint="eastAsia" w:ascii="宋体" w:hAnsi="宋体" w:cs="宋体"/>
          <w:szCs w:val="21"/>
        </w:rPr>
        <w:t>32.2</w:t>
      </w:r>
      <w:r>
        <w:rPr>
          <w:rFonts w:hint="eastAsia" w:ascii="宋体" w:hAnsi="宋体" w:cs="宋体"/>
          <w:kern w:val="0"/>
          <w:szCs w:val="21"/>
        </w:rPr>
        <w:t>采购代理机构应当在评标结束后2个工作日内将评标报告送采购人。</w:t>
      </w:r>
    </w:p>
    <w:p w14:paraId="1B0F394E">
      <w:pPr>
        <w:ind w:firstLine="420" w:firstLineChars="200"/>
        <w:rPr>
          <w:rFonts w:ascii="宋体" w:hAnsi="宋体" w:cs="宋体"/>
          <w:kern w:val="0"/>
          <w:szCs w:val="21"/>
        </w:rPr>
      </w:pPr>
      <w:r>
        <w:rPr>
          <w:rFonts w:hint="eastAsia" w:ascii="宋体" w:hAnsi="宋体" w:cs="宋体"/>
          <w:szCs w:val="21"/>
        </w:rPr>
        <w:t>32.3</w:t>
      </w:r>
      <w:r>
        <w:rPr>
          <w:rFonts w:hint="eastAsia" w:ascii="宋体" w:hAnsi="宋体" w:cs="宋体"/>
          <w:kern w:val="0"/>
          <w:szCs w:val="21"/>
        </w:rPr>
        <w:t>采购人应当自收到评标报告之日起5个工作日内，在评标报告确定的中标候选人名单中按顺序确定中标人。</w:t>
      </w:r>
    </w:p>
    <w:p w14:paraId="4FCFC15D">
      <w:pPr>
        <w:ind w:firstLine="420" w:firstLineChars="200"/>
        <w:rPr>
          <w:rFonts w:ascii="宋体" w:hAnsi="宋体" w:cs="宋体"/>
          <w:szCs w:val="21"/>
        </w:rPr>
      </w:pPr>
      <w:r>
        <w:rPr>
          <w:rFonts w:hint="eastAsia" w:ascii="宋体" w:hAnsi="宋体" w:cs="宋体"/>
          <w:kern w:val="0"/>
          <w:szCs w:val="21"/>
        </w:rPr>
        <w:t>32.4采购人在收到评标报告5个工作日内未按评标报告推荐的中标候选人顺序确定中标人，又不能说明合法理由的，视同按评标报告推荐的顺序确定排名第一的中标候选人为中标人。</w:t>
      </w:r>
    </w:p>
    <w:p w14:paraId="544BD71D">
      <w:pPr>
        <w:ind w:firstLine="420" w:firstLineChars="200"/>
        <w:rPr>
          <w:rFonts w:ascii="宋体" w:hAnsi="宋体" w:cs="宋体"/>
          <w:szCs w:val="21"/>
        </w:rPr>
      </w:pPr>
      <w:r>
        <w:rPr>
          <w:rFonts w:hint="eastAsia" w:ascii="宋体" w:hAnsi="宋体" w:cs="宋体"/>
          <w:szCs w:val="21"/>
        </w:rPr>
        <w:t>32.5评委会也可以根据采购人的要求直接确定综合评审得分最高的投标人为中标人。</w:t>
      </w:r>
    </w:p>
    <w:p w14:paraId="035FF22B">
      <w:pPr>
        <w:ind w:firstLine="420" w:firstLineChars="200"/>
        <w:rPr>
          <w:rFonts w:ascii="宋体" w:hAnsi="宋体" w:cs="宋体"/>
          <w:szCs w:val="21"/>
        </w:rPr>
      </w:pPr>
    </w:p>
    <w:p w14:paraId="595191C2">
      <w:pPr>
        <w:ind w:firstLine="422" w:firstLineChars="200"/>
        <w:rPr>
          <w:rFonts w:ascii="宋体" w:hAnsi="宋体" w:cs="宋体"/>
          <w:b/>
          <w:szCs w:val="21"/>
        </w:rPr>
      </w:pPr>
      <w:r>
        <w:rPr>
          <w:rFonts w:hint="eastAsia" w:ascii="宋体" w:hAnsi="宋体" w:cs="宋体"/>
          <w:b/>
          <w:szCs w:val="21"/>
        </w:rPr>
        <w:t>33、中标通知书</w:t>
      </w:r>
    </w:p>
    <w:p w14:paraId="78C55427">
      <w:pPr>
        <w:ind w:firstLine="420" w:firstLineChars="200"/>
        <w:rPr>
          <w:rFonts w:ascii="宋体" w:hAnsi="宋体" w:cs="宋体"/>
          <w:szCs w:val="21"/>
        </w:rPr>
      </w:pPr>
      <w:r>
        <w:rPr>
          <w:rFonts w:hint="eastAsia" w:ascii="宋体" w:hAnsi="宋体" w:cs="宋体"/>
          <w:kern w:val="0"/>
          <w:szCs w:val="21"/>
        </w:rPr>
        <w:t>33.1采购代理机构应当在发布公开招标公告的同一媒体上公告中标结果。</w:t>
      </w:r>
    </w:p>
    <w:p w14:paraId="1101BB3B">
      <w:pPr>
        <w:ind w:firstLine="420" w:firstLineChars="200"/>
        <w:rPr>
          <w:rFonts w:ascii="宋体" w:hAnsi="宋体" w:cs="宋体"/>
          <w:szCs w:val="21"/>
        </w:rPr>
      </w:pPr>
      <w:r>
        <w:rPr>
          <w:rFonts w:hint="eastAsia" w:ascii="宋体" w:hAnsi="宋体" w:cs="宋体"/>
          <w:szCs w:val="21"/>
        </w:rPr>
        <w:t>33.2</w:t>
      </w:r>
      <w:r>
        <w:rPr>
          <w:rFonts w:hint="eastAsia" w:ascii="宋体" w:hAnsi="宋体" w:cs="宋体"/>
          <w:kern w:val="0"/>
          <w:szCs w:val="21"/>
        </w:rPr>
        <w:t>在公告中标结果的同时，采购代理机构应当向中标人发出中标通知书；还应当告知未中标人本人的评审得分与排序。</w:t>
      </w:r>
    </w:p>
    <w:p w14:paraId="5959A9B1">
      <w:pPr>
        <w:ind w:firstLine="420" w:firstLineChars="200"/>
        <w:rPr>
          <w:rFonts w:ascii="宋体" w:hAnsi="宋体" w:cs="宋体"/>
          <w:szCs w:val="21"/>
        </w:rPr>
      </w:pPr>
    </w:p>
    <w:p w14:paraId="6CC4F376">
      <w:pPr>
        <w:ind w:firstLine="422" w:firstLineChars="200"/>
        <w:rPr>
          <w:rFonts w:ascii="宋体" w:hAnsi="宋体" w:cs="宋体"/>
          <w:b/>
          <w:szCs w:val="21"/>
        </w:rPr>
      </w:pPr>
      <w:r>
        <w:rPr>
          <w:rFonts w:hint="eastAsia" w:ascii="宋体" w:hAnsi="宋体" w:cs="宋体"/>
          <w:b/>
          <w:szCs w:val="21"/>
        </w:rPr>
        <w:t>34、签订合同</w:t>
      </w:r>
    </w:p>
    <w:p w14:paraId="57273378">
      <w:pPr>
        <w:ind w:firstLine="420" w:firstLineChars="200"/>
        <w:rPr>
          <w:rFonts w:ascii="宋体" w:hAnsi="宋体" w:cs="宋体"/>
          <w:kern w:val="0"/>
          <w:szCs w:val="21"/>
        </w:rPr>
      </w:pPr>
      <w:r>
        <w:rPr>
          <w:rFonts w:hint="eastAsia" w:ascii="宋体" w:hAnsi="宋体" w:cs="宋体"/>
          <w:szCs w:val="21"/>
        </w:rPr>
        <w:t>34.1</w:t>
      </w:r>
      <w:r>
        <w:rPr>
          <w:rFonts w:hint="eastAsia" w:ascii="宋体" w:hAnsi="宋体" w:cs="宋体"/>
          <w:kern w:val="0"/>
          <w:szCs w:val="21"/>
        </w:rPr>
        <w:t>采购人应当自中标通知书发出之日起</w:t>
      </w:r>
      <w:r>
        <w:rPr>
          <w:rFonts w:hint="eastAsia" w:ascii="宋体" w:hAnsi="宋体" w:cs="宋体"/>
          <w:b/>
          <w:bCs/>
          <w:color w:val="0000FF"/>
          <w:kern w:val="0"/>
          <w:szCs w:val="21"/>
        </w:rPr>
        <w:t>30</w:t>
      </w:r>
      <w:r>
        <w:rPr>
          <w:rFonts w:hint="eastAsia" w:ascii="宋体" w:hAnsi="宋体" w:cs="宋体"/>
          <w:kern w:val="0"/>
          <w:szCs w:val="21"/>
        </w:rPr>
        <w:t>日内，按照招标文件和中标人投标文件的规定，与中标人签订书面合同。所签订的合同不得对招标文件确定的事项和中标人投标文件作实质性修改。</w:t>
      </w:r>
    </w:p>
    <w:p w14:paraId="129EFFA6">
      <w:pPr>
        <w:ind w:firstLine="420" w:firstLineChars="200"/>
        <w:rPr>
          <w:rFonts w:ascii="宋体" w:hAnsi="宋体" w:cs="宋体"/>
          <w:kern w:val="0"/>
          <w:szCs w:val="21"/>
        </w:rPr>
      </w:pPr>
      <w:r>
        <w:rPr>
          <w:rFonts w:hint="eastAsia" w:ascii="宋体" w:hAnsi="宋体" w:cs="宋体"/>
          <w:kern w:val="0"/>
          <w:szCs w:val="21"/>
        </w:rPr>
        <w:t>34.2采购人不得向中标人提出任何不合理的要求作为签订合同的条件。</w:t>
      </w:r>
    </w:p>
    <w:p w14:paraId="56F5C0AA">
      <w:pPr>
        <w:ind w:firstLine="420" w:firstLineChars="200"/>
        <w:rPr>
          <w:rFonts w:ascii="宋体" w:hAnsi="宋体" w:cs="宋体"/>
          <w:kern w:val="0"/>
          <w:szCs w:val="21"/>
        </w:rPr>
      </w:pPr>
      <w:r>
        <w:rPr>
          <w:rFonts w:hint="eastAsia" w:ascii="宋体" w:hAnsi="宋体" w:cs="宋体"/>
          <w:kern w:val="0"/>
          <w:szCs w:val="21"/>
        </w:rPr>
        <w:t>34.3中标人拒绝与采购人签订合同的，采购人可以按照评审报告推荐的中标候选人名单排序，确定下一候选人为中标人，也可以重新开展政府采购活动。</w:t>
      </w:r>
    </w:p>
    <w:p w14:paraId="695126FE">
      <w:pPr>
        <w:ind w:firstLine="420" w:firstLineChars="200"/>
        <w:rPr>
          <w:rFonts w:ascii="宋体" w:hAnsi="宋体" w:cs="宋体"/>
          <w:szCs w:val="21"/>
        </w:rPr>
      </w:pPr>
    </w:p>
    <w:p w14:paraId="20628991">
      <w:pPr>
        <w:jc w:val="center"/>
        <w:outlineLvl w:val="1"/>
        <w:rPr>
          <w:rFonts w:ascii="宋体" w:hAnsi="宋体" w:cs="宋体"/>
          <w:b/>
          <w:szCs w:val="21"/>
        </w:rPr>
      </w:pPr>
      <w:bookmarkStart w:id="89" w:name="_Toc4394"/>
      <w:bookmarkStart w:id="90" w:name="_Toc4537"/>
      <w:bookmarkStart w:id="91" w:name="_Toc27578"/>
      <w:bookmarkStart w:id="92" w:name="_Toc11836"/>
      <w:r>
        <w:rPr>
          <w:rFonts w:hint="eastAsia" w:ascii="宋体" w:hAnsi="宋体" w:cs="宋体"/>
          <w:b/>
          <w:szCs w:val="21"/>
        </w:rPr>
        <w:t>七、质疑处理</w:t>
      </w:r>
      <w:bookmarkEnd w:id="89"/>
      <w:bookmarkEnd w:id="90"/>
      <w:bookmarkEnd w:id="91"/>
      <w:bookmarkEnd w:id="92"/>
    </w:p>
    <w:p w14:paraId="2C1F84DD">
      <w:pPr>
        <w:ind w:firstLine="420" w:firstLineChars="200"/>
        <w:rPr>
          <w:rFonts w:ascii="宋体" w:hAnsi="宋体" w:cs="宋体"/>
          <w:szCs w:val="21"/>
        </w:rPr>
      </w:pPr>
    </w:p>
    <w:p w14:paraId="732116ED">
      <w:pPr>
        <w:ind w:firstLine="422" w:firstLineChars="200"/>
        <w:rPr>
          <w:rFonts w:ascii="宋体" w:hAnsi="宋体" w:cs="宋体"/>
          <w:b/>
          <w:szCs w:val="21"/>
        </w:rPr>
      </w:pPr>
      <w:r>
        <w:rPr>
          <w:rFonts w:hint="eastAsia" w:ascii="宋体" w:hAnsi="宋体" w:cs="宋体"/>
          <w:b/>
          <w:szCs w:val="21"/>
        </w:rPr>
        <w:t>35、提出质疑</w:t>
      </w:r>
    </w:p>
    <w:p w14:paraId="43BB6840">
      <w:pPr>
        <w:ind w:firstLine="420" w:firstLineChars="200"/>
        <w:rPr>
          <w:rFonts w:ascii="宋体" w:hAnsi="宋体" w:cs="宋体"/>
          <w:szCs w:val="21"/>
        </w:rPr>
      </w:pPr>
      <w:r>
        <w:rPr>
          <w:rFonts w:hint="eastAsia" w:ascii="宋体" w:hAnsi="宋体" w:cs="宋体"/>
          <w:szCs w:val="21"/>
        </w:rPr>
        <w:t xml:space="preserve">35.1供应商认为招标过程和中标、成交结果使自己的权益受到损害的，可以在知道或者应知其权益受到损害之日起七个工作日内，以书面形式向采购代理机构提出质疑。非书面形式、七个工作日之外以及匿名的质疑将不予受理。  </w:t>
      </w:r>
    </w:p>
    <w:p w14:paraId="5E64FABE">
      <w:pPr>
        <w:ind w:firstLine="420" w:firstLineChars="200"/>
        <w:rPr>
          <w:rFonts w:ascii="宋体" w:hAnsi="宋体" w:cs="宋体"/>
          <w:szCs w:val="21"/>
        </w:rPr>
      </w:pPr>
      <w:r>
        <w:rPr>
          <w:rFonts w:hint="eastAsia" w:ascii="宋体" w:hAnsi="宋体" w:cs="宋体"/>
          <w:szCs w:val="21"/>
        </w:rPr>
        <w:t>35.2提出质疑的供应商应当是参与所质疑项目采购活动的供应商。并在法定质疑期内一次性提出针对同一招标程序环节的质疑。</w:t>
      </w:r>
    </w:p>
    <w:p w14:paraId="1A6E5191">
      <w:pPr>
        <w:ind w:firstLine="420" w:firstLineChars="200"/>
        <w:rPr>
          <w:rFonts w:ascii="宋体" w:hAnsi="宋体" w:cs="宋体"/>
          <w:szCs w:val="21"/>
        </w:rPr>
      </w:pPr>
      <w:r>
        <w:rPr>
          <w:rFonts w:hint="eastAsia" w:ascii="宋体" w:hAnsi="宋体" w:cs="宋体"/>
          <w:szCs w:val="21"/>
        </w:rPr>
        <w:t>35.3质疑必须由供应商的法定代表人或授权代表（投标文件中所确定的，如递交质疑者不是投标文件中确定的授权代表，须由供应商另行出具授权）以送达或邮寄的方式提交，未按上述要求提交的质疑函（含传真、电子邮件等）采购代理机构有权不予受理。</w:t>
      </w:r>
    </w:p>
    <w:p w14:paraId="44CDF831">
      <w:pPr>
        <w:ind w:firstLine="420" w:firstLineChars="200"/>
        <w:rPr>
          <w:rFonts w:ascii="宋体" w:hAnsi="宋体" w:cs="宋体"/>
          <w:szCs w:val="21"/>
        </w:rPr>
      </w:pPr>
      <w:r>
        <w:rPr>
          <w:rFonts w:hint="eastAsia" w:ascii="宋体" w:hAnsi="宋体" w:cs="宋体"/>
          <w:szCs w:val="21"/>
        </w:rPr>
        <w:t>35.4质疑函应当包括下列内容：</w:t>
      </w:r>
    </w:p>
    <w:p w14:paraId="4DBFE9B4">
      <w:pPr>
        <w:ind w:firstLine="420" w:firstLineChars="200"/>
        <w:rPr>
          <w:rFonts w:ascii="宋体" w:hAnsi="宋体" w:cs="宋体"/>
          <w:szCs w:val="21"/>
        </w:rPr>
      </w:pPr>
      <w:r>
        <w:rPr>
          <w:rFonts w:hint="eastAsia" w:ascii="宋体" w:hAnsi="宋体" w:cs="宋体"/>
          <w:szCs w:val="21"/>
        </w:rPr>
        <w:t>（1）供应商的姓名或者名称、地址、邮编、联系人及联系电话；</w:t>
      </w:r>
    </w:p>
    <w:p w14:paraId="674F8C41">
      <w:pPr>
        <w:ind w:firstLine="420" w:firstLineChars="200"/>
        <w:rPr>
          <w:rFonts w:ascii="宋体" w:hAnsi="宋体" w:cs="宋体"/>
          <w:szCs w:val="21"/>
        </w:rPr>
      </w:pPr>
      <w:r>
        <w:rPr>
          <w:rFonts w:hint="eastAsia" w:ascii="宋体" w:hAnsi="宋体" w:cs="宋体"/>
          <w:szCs w:val="21"/>
        </w:rPr>
        <w:t>（2）质疑项目的名称；</w:t>
      </w:r>
    </w:p>
    <w:p w14:paraId="08A5FAA1">
      <w:pPr>
        <w:ind w:firstLine="420" w:firstLineChars="200"/>
        <w:rPr>
          <w:rFonts w:ascii="宋体" w:hAnsi="宋体" w:cs="宋体"/>
          <w:szCs w:val="21"/>
        </w:rPr>
      </w:pPr>
      <w:r>
        <w:rPr>
          <w:rFonts w:hint="eastAsia" w:ascii="宋体" w:hAnsi="宋体" w:cs="宋体"/>
          <w:szCs w:val="21"/>
        </w:rPr>
        <w:t>（3）具体、明确的质疑事项和与质疑事项相关的请求；</w:t>
      </w:r>
    </w:p>
    <w:p w14:paraId="4F50B1EA">
      <w:pPr>
        <w:ind w:firstLine="420" w:firstLineChars="200"/>
        <w:rPr>
          <w:rFonts w:ascii="宋体" w:hAnsi="宋体" w:cs="宋体"/>
          <w:szCs w:val="21"/>
        </w:rPr>
      </w:pPr>
      <w:r>
        <w:rPr>
          <w:rFonts w:hint="eastAsia" w:ascii="宋体" w:hAnsi="宋体" w:cs="宋体"/>
          <w:szCs w:val="21"/>
        </w:rPr>
        <w:t>（4）事实依据；</w:t>
      </w:r>
    </w:p>
    <w:p w14:paraId="3A773C69">
      <w:pPr>
        <w:ind w:firstLine="420" w:firstLineChars="200"/>
        <w:rPr>
          <w:rFonts w:ascii="宋体" w:hAnsi="宋体" w:cs="宋体"/>
          <w:szCs w:val="21"/>
        </w:rPr>
      </w:pPr>
      <w:r>
        <w:rPr>
          <w:rFonts w:hint="eastAsia" w:ascii="宋体" w:hAnsi="宋体" w:cs="宋体"/>
          <w:szCs w:val="21"/>
        </w:rPr>
        <w:t>（5）必要的法律依据；</w:t>
      </w:r>
    </w:p>
    <w:p w14:paraId="7A603DBE">
      <w:pPr>
        <w:ind w:firstLine="420" w:firstLineChars="200"/>
        <w:rPr>
          <w:rFonts w:ascii="宋体" w:hAnsi="宋体" w:cs="宋体"/>
          <w:szCs w:val="21"/>
        </w:rPr>
      </w:pPr>
      <w:r>
        <w:rPr>
          <w:rFonts w:hint="eastAsia" w:ascii="宋体" w:hAnsi="宋体" w:cs="宋体"/>
          <w:szCs w:val="21"/>
        </w:rPr>
        <w:t>（6）提出质疑的日期。</w:t>
      </w:r>
    </w:p>
    <w:p w14:paraId="310B8162">
      <w:pPr>
        <w:ind w:firstLine="420" w:firstLineChars="200"/>
        <w:rPr>
          <w:rFonts w:ascii="宋体" w:hAnsi="宋体" w:cs="宋体"/>
          <w:szCs w:val="21"/>
        </w:rPr>
      </w:pPr>
      <w:r>
        <w:rPr>
          <w:rFonts w:hint="eastAsia" w:ascii="宋体" w:hAnsi="宋体" w:cs="宋体"/>
          <w:szCs w:val="21"/>
        </w:rPr>
        <w:t>35.5供应商为自然人的，应当由本人签字并附有效身份证明；供应商为法人或其他组织的，应当由法定代表人、主要负责人或者其授权代表签字或者盖章，并加盖公章。</w:t>
      </w:r>
    </w:p>
    <w:p w14:paraId="6D3A9C9B">
      <w:pPr>
        <w:ind w:firstLine="420" w:firstLineChars="200"/>
        <w:rPr>
          <w:rFonts w:ascii="宋体" w:hAnsi="宋体" w:cs="宋体"/>
          <w:szCs w:val="21"/>
        </w:rPr>
      </w:pPr>
      <w:r>
        <w:rPr>
          <w:rFonts w:hint="eastAsia" w:ascii="宋体" w:hAnsi="宋体" w:cs="宋体"/>
          <w:szCs w:val="21"/>
        </w:rPr>
        <w:t>35.6质疑人委托代理人质疑的，应当向招标方提交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95B673">
      <w:pPr>
        <w:ind w:firstLine="420" w:firstLineChars="200"/>
        <w:rPr>
          <w:rFonts w:ascii="宋体" w:hAnsi="宋体" w:cs="宋体"/>
          <w:szCs w:val="21"/>
        </w:rPr>
      </w:pPr>
    </w:p>
    <w:p w14:paraId="30E1EEDB">
      <w:pPr>
        <w:ind w:firstLine="422" w:firstLineChars="200"/>
        <w:rPr>
          <w:rFonts w:ascii="宋体" w:hAnsi="宋体" w:cs="宋体"/>
          <w:b/>
          <w:szCs w:val="21"/>
        </w:rPr>
      </w:pPr>
      <w:r>
        <w:rPr>
          <w:rFonts w:hint="eastAsia" w:ascii="宋体" w:hAnsi="宋体" w:cs="宋体"/>
          <w:b/>
          <w:szCs w:val="21"/>
        </w:rPr>
        <w:t>36、质疑答复</w:t>
      </w:r>
    </w:p>
    <w:p w14:paraId="4419009E">
      <w:pPr>
        <w:ind w:firstLine="420" w:firstLineChars="200"/>
        <w:rPr>
          <w:rFonts w:ascii="宋体" w:hAnsi="宋体" w:cs="宋体"/>
          <w:szCs w:val="21"/>
        </w:rPr>
      </w:pPr>
      <w:r>
        <w:rPr>
          <w:rFonts w:hint="eastAsia" w:ascii="宋体" w:hAnsi="宋体" w:cs="宋体"/>
          <w:szCs w:val="21"/>
        </w:rPr>
        <w:t>36.1采购代理机构收到质疑函后，将对质疑的形式和内容进行审查，如质疑函内容、格式不符合规定，采购代理机构将告知质疑人进行补正。</w:t>
      </w:r>
    </w:p>
    <w:p w14:paraId="26E433FA">
      <w:pPr>
        <w:ind w:firstLine="420" w:firstLineChars="200"/>
        <w:rPr>
          <w:rFonts w:ascii="宋体" w:hAnsi="宋体" w:cs="宋体"/>
          <w:szCs w:val="21"/>
        </w:rPr>
      </w:pPr>
      <w:r>
        <w:rPr>
          <w:rFonts w:hint="eastAsia" w:ascii="宋体" w:hAnsi="宋体" w:cs="宋体"/>
          <w:szCs w:val="21"/>
        </w:rPr>
        <w:t>36.2质疑人应当在法定质疑期限内进行补正并重新提交质疑函，拒不补正或者超过期限后未重新提交质疑函的，为无效质疑，采购代理机构有权不予受理。</w:t>
      </w:r>
    </w:p>
    <w:p w14:paraId="7E192C31">
      <w:pPr>
        <w:ind w:firstLine="420" w:firstLineChars="200"/>
        <w:rPr>
          <w:rFonts w:ascii="宋体" w:hAnsi="宋体" w:cs="宋体"/>
          <w:szCs w:val="21"/>
        </w:rPr>
      </w:pPr>
      <w:r>
        <w:rPr>
          <w:rFonts w:hint="eastAsia" w:ascii="宋体" w:hAnsi="宋体" w:cs="宋体"/>
          <w:szCs w:val="21"/>
        </w:rPr>
        <w:t>36.3对于内容、格式符合规定的质疑函，采购代理机构将在七个工作日内以书面形式作出答复，其内容不得泄露国家秘密、其他供应商商业机密和个人隐私。</w:t>
      </w:r>
    </w:p>
    <w:p w14:paraId="04AB9F86">
      <w:pPr>
        <w:ind w:firstLine="420" w:firstLineChars="200"/>
        <w:rPr>
          <w:rFonts w:ascii="宋体" w:hAnsi="宋体" w:cs="宋体"/>
          <w:szCs w:val="21"/>
        </w:rPr>
      </w:pPr>
    </w:p>
    <w:p w14:paraId="76305263">
      <w:pPr>
        <w:widowControl/>
        <w:jc w:val="center"/>
        <w:outlineLvl w:val="0"/>
        <w:rPr>
          <w:rFonts w:ascii="宋体" w:hAnsi="宋体" w:cs="宋体"/>
          <w:b/>
          <w:sz w:val="32"/>
          <w:szCs w:val="32"/>
        </w:rPr>
      </w:pPr>
      <w:r>
        <w:rPr>
          <w:rFonts w:hint="eastAsia" w:ascii="宋体" w:hAnsi="宋体" w:cs="宋体"/>
          <w:szCs w:val="21"/>
        </w:rPr>
        <w:br w:type="page"/>
      </w:r>
      <w:bookmarkStart w:id="93" w:name="_Toc9881"/>
      <w:bookmarkStart w:id="94" w:name="_Toc24861"/>
      <w:bookmarkStart w:id="95" w:name="_Toc31154"/>
      <w:bookmarkStart w:id="96" w:name="_Toc27530"/>
      <w:r>
        <w:rPr>
          <w:rFonts w:hint="eastAsia" w:ascii="宋体" w:hAnsi="宋体" w:cs="宋体"/>
          <w:b/>
          <w:sz w:val="32"/>
          <w:szCs w:val="32"/>
        </w:rPr>
        <w:t>第三部分：采购需求</w:t>
      </w:r>
      <w:bookmarkEnd w:id="93"/>
      <w:bookmarkEnd w:id="94"/>
      <w:bookmarkEnd w:id="95"/>
      <w:bookmarkEnd w:id="96"/>
    </w:p>
    <w:p w14:paraId="6568F9AF">
      <w:pPr>
        <w:tabs>
          <w:tab w:val="left" w:pos="6660"/>
        </w:tabs>
        <w:rPr>
          <w:rFonts w:ascii="宋体" w:hAnsi="宋体" w:cs="宋体"/>
          <w:szCs w:val="21"/>
        </w:rPr>
      </w:pPr>
    </w:p>
    <w:p w14:paraId="0343A4EB">
      <w:pPr>
        <w:pStyle w:val="100"/>
        <w:numPr>
          <w:ilvl w:val="0"/>
          <w:numId w:val="4"/>
        </w:numPr>
        <w:ind w:hanging="562"/>
        <w:outlineLvl w:val="1"/>
        <w:rPr>
          <w:rFonts w:cs="宋体"/>
        </w:rPr>
      </w:pPr>
      <w:bookmarkStart w:id="97" w:name="_Toc15480"/>
      <w:bookmarkStart w:id="98" w:name="_Toc21329"/>
      <w:bookmarkStart w:id="99" w:name="_Toc31986"/>
      <w:bookmarkStart w:id="100" w:name="_Toc10717"/>
      <w:r>
        <w:rPr>
          <w:rFonts w:hint="eastAsia" w:cs="宋体"/>
        </w:rPr>
        <w:t>项目概况</w:t>
      </w:r>
      <w:bookmarkEnd w:id="97"/>
      <w:bookmarkEnd w:id="98"/>
      <w:bookmarkEnd w:id="99"/>
      <w:bookmarkEnd w:id="100"/>
    </w:p>
    <w:p w14:paraId="19B64285">
      <w:pPr>
        <w:pStyle w:val="103"/>
        <w:numPr>
          <w:ilvl w:val="0"/>
          <w:numId w:val="5"/>
        </w:numPr>
        <w:tabs>
          <w:tab w:val="left" w:pos="851"/>
        </w:tabs>
        <w:ind w:left="851" w:hanging="851"/>
        <w:rPr>
          <w:rFonts w:cs="宋体"/>
        </w:rPr>
      </w:pPr>
      <w:r>
        <w:rPr>
          <w:rFonts w:hint="eastAsia" w:cs="宋体"/>
        </w:rPr>
        <w:t>采购清单</w:t>
      </w:r>
    </w:p>
    <w:tbl>
      <w:tblPr>
        <w:tblStyle w:val="2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445"/>
        <w:gridCol w:w="870"/>
        <w:gridCol w:w="1830"/>
        <w:gridCol w:w="1485"/>
        <w:gridCol w:w="1715"/>
      </w:tblGrid>
      <w:tr w14:paraId="1CEC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99" w:type="dxa"/>
            <w:vAlign w:val="center"/>
          </w:tcPr>
          <w:p w14:paraId="7F38AB51">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序号</w:t>
            </w:r>
          </w:p>
        </w:tc>
        <w:tc>
          <w:tcPr>
            <w:tcW w:w="2445" w:type="dxa"/>
            <w:vAlign w:val="center"/>
          </w:tcPr>
          <w:p w14:paraId="5AC8312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服务内容</w:t>
            </w:r>
          </w:p>
        </w:tc>
        <w:tc>
          <w:tcPr>
            <w:tcW w:w="870" w:type="dxa"/>
            <w:vAlign w:val="center"/>
          </w:tcPr>
          <w:p w14:paraId="1C7B689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数量</w:t>
            </w:r>
          </w:p>
        </w:tc>
        <w:tc>
          <w:tcPr>
            <w:tcW w:w="1830" w:type="dxa"/>
            <w:vAlign w:val="center"/>
          </w:tcPr>
          <w:p w14:paraId="2CBAB3F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采购预算</w:t>
            </w:r>
          </w:p>
          <w:p w14:paraId="381EC9A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（万元人民币）</w:t>
            </w:r>
          </w:p>
        </w:tc>
        <w:tc>
          <w:tcPr>
            <w:tcW w:w="1485" w:type="dxa"/>
            <w:vAlign w:val="center"/>
          </w:tcPr>
          <w:p w14:paraId="6113AFDA">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服务地点</w:t>
            </w:r>
          </w:p>
        </w:tc>
        <w:tc>
          <w:tcPr>
            <w:tcW w:w="1715" w:type="dxa"/>
            <w:vAlign w:val="center"/>
          </w:tcPr>
          <w:p w14:paraId="6B60F519">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服务要求</w:t>
            </w:r>
          </w:p>
        </w:tc>
      </w:tr>
      <w:tr w14:paraId="7F6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14:paraId="1AA52C4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w:t>
            </w:r>
          </w:p>
        </w:tc>
        <w:tc>
          <w:tcPr>
            <w:tcW w:w="2445" w:type="dxa"/>
            <w:vAlign w:val="center"/>
          </w:tcPr>
          <w:p w14:paraId="7AAC28BE">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中国电子口岸运行保障运维服务</w:t>
            </w:r>
          </w:p>
        </w:tc>
        <w:tc>
          <w:tcPr>
            <w:tcW w:w="870" w:type="dxa"/>
            <w:vAlign w:val="center"/>
          </w:tcPr>
          <w:p w14:paraId="47042774">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1项</w:t>
            </w:r>
          </w:p>
        </w:tc>
        <w:tc>
          <w:tcPr>
            <w:tcW w:w="1830" w:type="dxa"/>
            <w:vAlign w:val="center"/>
          </w:tcPr>
          <w:p w14:paraId="66FB65AE">
            <w:pPr>
              <w:keepNext w:val="0"/>
              <w:keepLines w:val="0"/>
              <w:widowControl/>
              <w:suppressLineNumbers w:val="0"/>
              <w:spacing w:before="0" w:beforeAutospacing="0" w:after="0" w:afterAutospacing="0"/>
              <w:ind w:left="0" w:right="0"/>
              <w:jc w:val="center"/>
              <w:textAlignment w:val="center"/>
              <w:rPr>
                <w:rFonts w:ascii="宋体" w:hAnsi="宋体" w:cs="宋体"/>
                <w:szCs w:val="21"/>
              </w:rPr>
            </w:pPr>
            <w:r>
              <w:rPr>
                <w:rFonts w:hint="eastAsia" w:ascii="宋体" w:hAnsi="宋体" w:cs="宋体"/>
                <w:szCs w:val="21"/>
              </w:rPr>
              <w:t>470</w:t>
            </w:r>
          </w:p>
        </w:tc>
        <w:tc>
          <w:tcPr>
            <w:tcW w:w="1485" w:type="dxa"/>
            <w:vAlign w:val="center"/>
          </w:tcPr>
          <w:p w14:paraId="220FD1D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采购人指定地点</w:t>
            </w:r>
          </w:p>
        </w:tc>
        <w:tc>
          <w:tcPr>
            <w:tcW w:w="1715" w:type="dxa"/>
            <w:vAlign w:val="center"/>
          </w:tcPr>
          <w:p w14:paraId="2C7D7F0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详见“第三部分：采购需求”</w:t>
            </w:r>
          </w:p>
        </w:tc>
      </w:tr>
    </w:tbl>
    <w:p w14:paraId="0325E134">
      <w:pPr>
        <w:pStyle w:val="103"/>
        <w:tabs>
          <w:tab w:val="left" w:pos="851"/>
        </w:tabs>
        <w:rPr>
          <w:rFonts w:cs="宋体"/>
        </w:rPr>
      </w:pPr>
    </w:p>
    <w:p w14:paraId="6ADA50F7">
      <w:pPr>
        <w:pStyle w:val="100"/>
        <w:numPr>
          <w:ilvl w:val="0"/>
          <w:numId w:val="4"/>
        </w:numPr>
        <w:ind w:hanging="562"/>
        <w:outlineLvl w:val="1"/>
        <w:rPr>
          <w:rFonts w:cs="宋体"/>
        </w:rPr>
      </w:pPr>
      <w:bookmarkStart w:id="101" w:name="_Toc14659"/>
      <w:bookmarkStart w:id="102" w:name="_Toc6689"/>
      <w:bookmarkStart w:id="103" w:name="_Toc23246"/>
      <w:bookmarkStart w:id="104" w:name="_Toc5976"/>
      <w:r>
        <w:rPr>
          <w:rFonts w:hint="eastAsia" w:cs="宋体"/>
        </w:rPr>
        <w:t>招标要求</w:t>
      </w:r>
      <w:bookmarkEnd w:id="101"/>
      <w:bookmarkEnd w:id="102"/>
      <w:bookmarkEnd w:id="103"/>
      <w:bookmarkEnd w:id="104"/>
    </w:p>
    <w:tbl>
      <w:tblPr>
        <w:tblStyle w:val="28"/>
        <w:tblW w:w="0" w:type="auto"/>
        <w:tblInd w:w="85" w:type="dxa"/>
        <w:tblLayout w:type="fixed"/>
        <w:tblCellMar>
          <w:top w:w="0" w:type="dxa"/>
          <w:left w:w="108" w:type="dxa"/>
          <w:bottom w:w="0" w:type="dxa"/>
          <w:right w:w="108" w:type="dxa"/>
        </w:tblCellMar>
      </w:tblPr>
      <w:tblGrid>
        <w:gridCol w:w="1188"/>
        <w:gridCol w:w="7866"/>
      </w:tblGrid>
      <w:tr w14:paraId="29F2F588">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vAlign w:val="center"/>
          </w:tcPr>
          <w:p w14:paraId="3AD3CC70">
            <w:pPr>
              <w:keepNext w:val="0"/>
              <w:keepLines w:val="0"/>
              <w:widowControl/>
              <w:suppressLineNumbers w:val="0"/>
              <w:spacing w:before="0" w:beforeAutospacing="0" w:after="0" w:afterAutospacing="0"/>
              <w:ind w:left="0" w:right="0"/>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序号</w:t>
            </w:r>
          </w:p>
        </w:tc>
        <w:tc>
          <w:tcPr>
            <w:tcW w:w="7866" w:type="dxa"/>
            <w:tcBorders>
              <w:top w:val="single" w:color="000000" w:sz="4" w:space="0"/>
              <w:left w:val="single" w:color="000000" w:sz="4" w:space="0"/>
              <w:bottom w:val="single" w:color="000000" w:sz="4" w:space="0"/>
              <w:right w:val="single" w:color="000000" w:sz="4" w:space="0"/>
            </w:tcBorders>
            <w:vAlign w:val="center"/>
          </w:tcPr>
          <w:p w14:paraId="7D330FAF">
            <w:pPr>
              <w:keepNext w:val="0"/>
              <w:keepLines w:val="0"/>
              <w:widowControl/>
              <w:suppressLineNumbers w:val="0"/>
              <w:spacing w:before="0" w:beforeAutospacing="0" w:after="0" w:afterAutospacing="0"/>
              <w:ind w:left="0" w:right="0"/>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招标具体要求</w:t>
            </w:r>
          </w:p>
        </w:tc>
      </w:tr>
      <w:tr w14:paraId="571FDDB6">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7E3AAB39">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2.1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05708333">
            <w:pPr>
              <w:keepNext w:val="0"/>
              <w:keepLines w:val="0"/>
              <w:suppressLineNumbers w:val="0"/>
              <w:spacing w:before="0" w:beforeAutospacing="0" w:after="0" w:afterAutospacing="0"/>
              <w:ind w:left="0" w:right="0"/>
              <w:jc w:val="left"/>
              <w:rPr>
                <w:rFonts w:ascii="宋体" w:hAnsi="宋体" w:cs="宋体"/>
                <w:b/>
                <w:bCs/>
                <w:szCs w:val="21"/>
              </w:rPr>
            </w:pPr>
            <w:r>
              <w:rPr>
                <w:rFonts w:hint="eastAsia" w:ascii="宋体" w:hAnsi="宋体" w:cs="宋体"/>
                <w:b/>
                <w:bCs/>
                <w:szCs w:val="21"/>
              </w:rPr>
              <w:t>项目主要内容</w:t>
            </w:r>
          </w:p>
        </w:tc>
      </w:tr>
      <w:tr w14:paraId="67AC1A2E">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916B4E2">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64346D4A">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保障江苏省内中国电子口岸系统正常运行，运维江苏省内中国电子口岸信息系统，向中国电子口岸用户提供入网、咨询、培训等服务。</w:t>
            </w:r>
          </w:p>
        </w:tc>
      </w:tr>
      <w:tr w14:paraId="65A8BC4B">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213BB20">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16765884">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保障江苏省内中国电子口岸专线服务及本地热线咨询畅通，为进出口企业提供业务操作指导和技术支持，对本地网络进行规划，日常巡检及故障排除等事项的处理，必须保障企业专线链路24小时正常通讯，5×8小时技术支持服务。</w:t>
            </w:r>
          </w:p>
        </w:tc>
      </w:tr>
      <w:tr w14:paraId="61147F99">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0CD5EDB1">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2.1.3</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D0075EC">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协调解决涉及江苏省内中国电子口岸有关信息系统的业务及技术问题，保证江苏省内中国电子口岸用户各项业务平台的正常使用。</w:t>
            </w:r>
          </w:p>
        </w:tc>
      </w:tr>
      <w:tr w14:paraId="2D72A0E5">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744C1604">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2.1.4</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744EA8BB">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平台运维及应急处置方面：参与电子口岸专网运维日常值班，包括硬件运维、虚拟化组件运维、业务系统运维。牵头运维服务团队及开发团队对平台疑难问题分析定位，通过增加资源、优化查询、代码修复等方式进行修复。做好江苏省内中国电子口岸专网网络运维工作，其主要包括网络设备、安全设备、服务器存储等硬件维保服务；网络及信息系统运行监控服务，及时收集、报告项目运行情况及各方面反映。</w:t>
            </w:r>
          </w:p>
        </w:tc>
      </w:tr>
      <w:tr w14:paraId="430C9BDA">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9D2DB80">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2.1.5</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70E12FD6">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网络和数据安全管理方面：参与电子口岸专网网络安全监控，使用主动安全防御平台、漏洞扫描设备等，掌握平台外部风险和内部安全漏洞情况。参与网络和数据安全服务团队的安全风险评估，与网络运维人员共同做好平台网络安全风险修复。</w:t>
            </w:r>
          </w:p>
        </w:tc>
      </w:tr>
      <w:tr w14:paraId="35585569">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5642BBA0">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2.1.6</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746FE225">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资产管理方面，配合采购人对电子口岸专网所有软硬件资产进行登记和管理，对新进资产进行登记，配合做好资产报废工作。</w:t>
            </w:r>
          </w:p>
        </w:tc>
      </w:tr>
      <w:tr w14:paraId="7C55FE37">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1DD81163">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2.2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77BCA46">
            <w:pPr>
              <w:keepNext w:val="0"/>
              <w:keepLines w:val="0"/>
              <w:suppressLineNumbers w:val="0"/>
              <w:spacing w:before="0" w:beforeAutospacing="0" w:after="0" w:afterAutospacing="0"/>
              <w:ind w:left="0" w:right="0"/>
              <w:jc w:val="left"/>
              <w:rPr>
                <w:rFonts w:ascii="宋体" w:hAnsi="宋体" w:cs="宋体"/>
                <w:b/>
                <w:bCs/>
                <w:szCs w:val="21"/>
              </w:rPr>
            </w:pPr>
            <w:r>
              <w:rPr>
                <w:rFonts w:hint="eastAsia" w:ascii="宋体" w:hAnsi="宋体" w:cs="宋体"/>
                <w:b/>
                <w:bCs/>
                <w:szCs w:val="21"/>
              </w:rPr>
              <w:t>项目服务方式和要求：</w:t>
            </w:r>
          </w:p>
        </w:tc>
      </w:tr>
      <w:tr w14:paraId="58FFEC34">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30D469CA">
            <w:pPr>
              <w:keepNext w:val="0"/>
              <w:keepLines w:val="0"/>
              <w:suppressLineNumbers w:val="0"/>
              <w:spacing w:before="0" w:beforeAutospacing="0" w:after="0" w:afterAutospacing="0"/>
              <w:ind w:left="0" w:right="0"/>
              <w:rPr>
                <w:rFonts w:ascii="宋体" w:hAnsi="宋体" w:cs="宋体"/>
                <w:color w:val="0000FF"/>
                <w:szCs w:val="21"/>
              </w:rPr>
            </w:pPr>
            <w:r>
              <w:rPr>
                <w:rFonts w:hint="eastAsia" w:ascii="宋体" w:hAnsi="宋体" w:cs="宋体"/>
                <w:color w:val="0000FF"/>
                <w:szCs w:val="21"/>
              </w:rPr>
              <w:t>2.2.1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1BF0EBB6">
            <w:pPr>
              <w:keepNext w:val="0"/>
              <w:keepLines w:val="0"/>
              <w:suppressLineNumbers w:val="0"/>
              <w:spacing w:before="0" w:beforeAutospacing="0" w:after="0" w:afterAutospacing="0"/>
              <w:ind w:left="0" w:right="0"/>
              <w:rPr>
                <w:rFonts w:ascii="宋体" w:hAnsi="宋体" w:cs="宋体"/>
                <w:color w:val="0000FF"/>
                <w:szCs w:val="21"/>
              </w:rPr>
            </w:pPr>
            <w:r>
              <w:rPr>
                <w:rFonts w:hint="eastAsia" w:ascii="宋体" w:hAnsi="宋体" w:cs="宋体"/>
                <w:color w:val="0000FF"/>
                <w:szCs w:val="21"/>
              </w:rPr>
              <w:t>供应商以人员外派方式提供本项目运行服务技术支持及服务，具体工作内容由采购人确定，包括但不限于：本运行保障运维服务项目所提出的具体需求内容，以及其它采购人要求从事的工作等，具体工作内容由采购人在执行合同过程中根据需要确定。本项目需委派人员并以外派驻场方式提供中国电子口岸建设运行保障运维服务。</w:t>
            </w:r>
          </w:p>
        </w:tc>
      </w:tr>
      <w:tr w14:paraId="1A69601B">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6D511724">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9D02053">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供应商应履行以下义务：</w:t>
            </w:r>
          </w:p>
        </w:tc>
      </w:tr>
      <w:tr w14:paraId="4778E5BB">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C72F86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1C781E25">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供应商应负责保障组织人员按采购人要求时间的及时到位，并按采购人要求调换现场服务人员；</w:t>
            </w:r>
          </w:p>
        </w:tc>
      </w:tr>
      <w:tr w14:paraId="3C60FB27">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6D45B191">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35F1CB4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如有人员离职的情况，供应商需提前一个月书面通知采购人，经采购人同意后，负责向采购人提供资质和经验不低于被更换人员的接替人员，并进行一个月的交接期。接替人员须通过采购人的试用考核，此外因交接期的影响，服务合同期限免费延长一个月，如因供应商原因导致人员变动给采购人造成损失的，供应商须赔偿采购人遭受的全部损失；</w:t>
            </w:r>
          </w:p>
        </w:tc>
      </w:tr>
      <w:tr w14:paraId="32D9B7D4">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68E7C60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2.2.2.3</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5B848D75">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供应商应就指派人员的薪酬体系设计征求采购人意见，并根据采购人对热线服务人员的考核情况，安排人员的奖惩措施；</w:t>
            </w:r>
          </w:p>
        </w:tc>
      </w:tr>
      <w:tr w14:paraId="684E9A28">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0AF022DA">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2.2.2.4</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A336B99">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供应商有责任对所提供人员进行相关的技术培训并取得相应的资质；</w:t>
            </w:r>
          </w:p>
        </w:tc>
      </w:tr>
      <w:tr w14:paraId="15ED5E45">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009A0B75">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2.2.2.5</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50BC0AF8">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供应商人员应接受采购人的领导，严格遵守采购人的各项纪律和制度，只承担采购人交办的各项工作，供应商人员不得从事未经采购人认可的任何工作；</w:t>
            </w:r>
          </w:p>
        </w:tc>
      </w:tr>
      <w:tr w14:paraId="32E8543E">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36A3B08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2.2.2.6</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40CD9709">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供应商人员无法按照采购人的要求完成工作内容时，供应商需在收到采购人通知后的7个工作日内协调本单位其它资源承担相应工作。</w:t>
            </w:r>
          </w:p>
        </w:tc>
      </w:tr>
      <w:tr w14:paraId="4AE1053A">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7D1C344D">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2.2.3</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08047D5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供应商提供的常驻服务人员应满足以下条件：</w:t>
            </w:r>
          </w:p>
        </w:tc>
      </w:tr>
      <w:tr w14:paraId="2985F706">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4795403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2.2.3.1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5931019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40周岁以下，大学本科以上学历，具有热线业务办理经验2年以上；或具有系统运维经验2年以上；</w:t>
            </w:r>
          </w:p>
        </w:tc>
      </w:tr>
      <w:tr w14:paraId="1ED45F88">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5D63616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2.2.3.2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4EC99522">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精通银河麒麟、linux、Windows平台系统维护，故障处理；熟悉达梦、ORACLE及SQL SERVER 数据库的各项技术，包括日常监控、故障诊断、数据处理、备份恢复、性能调优以及存储过程的编写等；熟悉MQ等数据传输软件、掌握面向服务架构（SOA），熟悉工作流、WCF、WebService、ESB中间件、消息中间件等技术优先；能够适应夜间及节假日加班。</w:t>
            </w:r>
          </w:p>
        </w:tc>
      </w:tr>
      <w:tr w14:paraId="53D3D603">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CF926B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2.2.3.3</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5444AADB">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吃苦耐劳，有较强的团队合作精神，具有良好的交流沟通能力；</w:t>
            </w:r>
          </w:p>
        </w:tc>
      </w:tr>
      <w:tr w14:paraId="02A84480">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50E65AF5">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2.2.3.4</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757DB10A">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熟悉中国电子口岸用户各项业务平台相关业务流程。</w:t>
            </w:r>
          </w:p>
        </w:tc>
      </w:tr>
      <w:tr w14:paraId="7159733C">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22255A94">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2.3</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1ED25F49">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其他要求</w:t>
            </w:r>
          </w:p>
        </w:tc>
      </w:tr>
      <w:tr w14:paraId="5A650F9E">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39624149">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2.3.1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07CBA766">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中标供应商应免费提供</w:t>
            </w:r>
            <w:r>
              <w:rPr>
                <w:rFonts w:hint="eastAsia" w:ascii="宋体" w:hAnsi="宋体" w:cs="宋体"/>
                <w:szCs w:val="21"/>
                <w:u w:val="single"/>
              </w:rPr>
              <w:t>1年7×24小时</w:t>
            </w:r>
            <w:r>
              <w:rPr>
                <w:rFonts w:hint="eastAsia" w:ascii="宋体" w:hAnsi="宋体" w:cs="宋体"/>
                <w:szCs w:val="21"/>
              </w:rPr>
              <w:t>的技术支持与售后服务，提供专线电话支持服务，2小时内响应，保证2小时内到达现场并解决故障，设备保修期时间从安装调试验收合格起计算。</w:t>
            </w:r>
          </w:p>
        </w:tc>
      </w:tr>
      <w:tr w14:paraId="1B1F00C9">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656BB645">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2.3.2</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0AEF6574">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供应商在采购人现场工作应服从采购人工作时间及工作规范的要求。</w:t>
            </w:r>
          </w:p>
        </w:tc>
      </w:tr>
      <w:tr w14:paraId="7FC6F2FD">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0888157D">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2.4</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85A1422">
            <w:pPr>
              <w:keepNext w:val="0"/>
              <w:keepLines w:val="0"/>
              <w:suppressLineNumbers w:val="0"/>
              <w:spacing w:before="0" w:beforeAutospacing="0" w:after="0" w:afterAutospacing="0"/>
              <w:ind w:left="0" w:right="0"/>
              <w:rPr>
                <w:rFonts w:ascii="宋体" w:hAnsi="宋体" w:cs="宋体"/>
                <w:b/>
                <w:bCs/>
                <w:szCs w:val="21"/>
              </w:rPr>
            </w:pPr>
            <w:r>
              <w:rPr>
                <w:rFonts w:hint="eastAsia" w:ascii="宋体" w:hAnsi="宋体" w:cs="宋体"/>
                <w:b/>
                <w:bCs/>
                <w:szCs w:val="21"/>
              </w:rPr>
              <w:t>付款方式</w:t>
            </w:r>
          </w:p>
        </w:tc>
      </w:tr>
      <w:tr w14:paraId="138BD675">
        <w:tblPrEx>
          <w:tblCellMar>
            <w:top w:w="0" w:type="dxa"/>
            <w:left w:w="108" w:type="dxa"/>
            <w:bottom w:w="0" w:type="dxa"/>
            <w:right w:w="108" w:type="dxa"/>
          </w:tblCellMar>
        </w:tblPrEx>
        <w:trPr>
          <w:trHeight w:val="567" w:hRule="atLeast"/>
        </w:trPr>
        <w:tc>
          <w:tcPr>
            <w:tcW w:w="1188" w:type="dxa"/>
            <w:tcBorders>
              <w:top w:val="single" w:color="000000" w:sz="4" w:space="0"/>
              <w:left w:val="single" w:color="000000" w:sz="4" w:space="0"/>
              <w:bottom w:val="single" w:color="000000" w:sz="4" w:space="0"/>
              <w:right w:val="single" w:color="000000" w:sz="4" w:space="0"/>
            </w:tcBorders>
            <w:noWrap/>
            <w:vAlign w:val="center"/>
          </w:tcPr>
          <w:p w14:paraId="1E92D35A">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2.4.1</w:t>
            </w:r>
          </w:p>
        </w:tc>
        <w:tc>
          <w:tcPr>
            <w:tcW w:w="7866" w:type="dxa"/>
            <w:tcBorders>
              <w:top w:val="single" w:color="000000" w:sz="4" w:space="0"/>
              <w:left w:val="single" w:color="000000" w:sz="4" w:space="0"/>
              <w:bottom w:val="single" w:color="000000" w:sz="4" w:space="0"/>
              <w:right w:val="single" w:color="000000" w:sz="4" w:space="0"/>
            </w:tcBorders>
            <w:noWrap/>
            <w:vAlign w:val="center"/>
          </w:tcPr>
          <w:p w14:paraId="2C230E5B">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color w:val="0000FF"/>
                <w:szCs w:val="21"/>
              </w:rPr>
              <w:t>服务期限为自合同签订之日起一年。乙方在本合同生效后【5】个工作日内向甲方提交合同总金额的【3】%作为履约保证金。合同签订后10个工作日内，甲方向乙方支付合同总金额的50%首付款。在乙方服务满一个月并经甲方确认合格后，甲方向乙方支付合同总金额的50%尾款。乙方完成全部合同义务后的【5】个工作日内，甲方将履约保证金无息退还乙方。</w:t>
            </w:r>
          </w:p>
        </w:tc>
      </w:tr>
      <w:tr w14:paraId="766A6591">
        <w:tblPrEx>
          <w:tblCellMar>
            <w:top w:w="0" w:type="dxa"/>
            <w:left w:w="108" w:type="dxa"/>
            <w:bottom w:w="0" w:type="dxa"/>
            <w:right w:w="108" w:type="dxa"/>
          </w:tblCellMar>
        </w:tblPrEx>
        <w:trPr>
          <w:trHeight w:val="567" w:hRule="atLeast"/>
        </w:trPr>
        <w:tc>
          <w:tcPr>
            <w:tcW w:w="9054" w:type="dxa"/>
            <w:gridSpan w:val="2"/>
            <w:tcBorders>
              <w:top w:val="single" w:color="000000" w:sz="4" w:space="0"/>
              <w:left w:val="single" w:color="000000" w:sz="4" w:space="0"/>
              <w:bottom w:val="single" w:color="000000" w:sz="4" w:space="0"/>
              <w:right w:val="single" w:color="000000" w:sz="4" w:space="0"/>
            </w:tcBorders>
            <w:noWrap/>
            <w:vAlign w:val="center"/>
          </w:tcPr>
          <w:p w14:paraId="2639048B">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b/>
                <w:bCs/>
                <w:szCs w:val="21"/>
              </w:rPr>
              <w:t>上述招标要求不接受任何一项的负偏离或者不满足，否则投标无效。</w:t>
            </w:r>
          </w:p>
        </w:tc>
      </w:tr>
    </w:tbl>
    <w:p w14:paraId="30BAF880">
      <w:pPr>
        <w:pStyle w:val="100"/>
        <w:ind w:left="0"/>
        <w:rPr>
          <w:rFonts w:cs="宋体"/>
          <w:b w:val="0"/>
        </w:rPr>
      </w:pPr>
    </w:p>
    <w:p w14:paraId="01CDEF6E">
      <w:pPr>
        <w:widowControl/>
        <w:jc w:val="center"/>
        <w:textAlignment w:val="bottom"/>
        <w:outlineLvl w:val="0"/>
        <w:rPr>
          <w:rFonts w:ascii="宋体" w:hAnsi="宋体" w:cs="宋体"/>
          <w:b/>
          <w:sz w:val="32"/>
          <w:szCs w:val="32"/>
        </w:rPr>
      </w:pPr>
      <w:r>
        <w:rPr>
          <w:rFonts w:hint="eastAsia" w:ascii="宋体" w:hAnsi="宋体" w:cs="宋体"/>
          <w:szCs w:val="21"/>
        </w:rPr>
        <w:br w:type="page"/>
      </w:r>
      <w:bookmarkStart w:id="105" w:name="_Toc29597"/>
      <w:bookmarkStart w:id="106" w:name="_Toc28653"/>
      <w:bookmarkStart w:id="107" w:name="_Toc8558"/>
      <w:bookmarkStart w:id="108" w:name="_Toc25293"/>
      <w:r>
        <w:rPr>
          <w:rFonts w:hint="eastAsia" w:ascii="宋体" w:hAnsi="宋体" w:cs="宋体"/>
          <w:b/>
          <w:sz w:val="32"/>
          <w:szCs w:val="32"/>
        </w:rPr>
        <w:t>第四部分：合同条款</w:t>
      </w:r>
      <w:bookmarkEnd w:id="105"/>
      <w:bookmarkEnd w:id="106"/>
      <w:bookmarkEnd w:id="107"/>
      <w:bookmarkEnd w:id="108"/>
    </w:p>
    <w:p w14:paraId="788349E2">
      <w:pPr>
        <w:jc w:val="center"/>
        <w:rPr>
          <w:b/>
          <w:bCs/>
          <w:szCs w:val="21"/>
        </w:rPr>
      </w:pPr>
    </w:p>
    <w:p w14:paraId="205DA13A">
      <w:pPr>
        <w:jc w:val="left"/>
        <w:rPr>
          <w:rFonts w:ascii="宋体" w:hAnsi="宋体" w:cs="宋体"/>
          <w:szCs w:val="21"/>
        </w:rPr>
      </w:pPr>
      <w:r>
        <w:rPr>
          <w:rFonts w:hint="eastAsia" w:ascii="宋体" w:hAnsi="宋体" w:cs="宋体"/>
          <w:b/>
          <w:bCs/>
          <w:szCs w:val="21"/>
          <w:u w:val="single"/>
        </w:rPr>
        <w:t>（本合同格式仅供参考，具体细节可在签订时由双方另行约定，但必须经采购人审核同意后方可签署。）</w:t>
      </w:r>
    </w:p>
    <w:p w14:paraId="702F2D34">
      <w:pPr>
        <w:ind w:firstLine="723" w:firstLineChars="200"/>
        <w:jc w:val="center"/>
        <w:outlineLvl w:val="1"/>
        <w:rPr>
          <w:rFonts w:ascii="宋体" w:hAnsi="宋体" w:cs="宋体"/>
          <w:b/>
          <w:bCs/>
          <w:sz w:val="36"/>
          <w:szCs w:val="72"/>
        </w:rPr>
      </w:pPr>
      <w:bookmarkStart w:id="109" w:name="_Toc13738"/>
      <w:r>
        <w:rPr>
          <w:rFonts w:hint="eastAsia" w:ascii="宋体" w:hAnsi="宋体" w:cs="宋体"/>
          <w:b/>
          <w:bCs/>
          <w:sz w:val="36"/>
          <w:szCs w:val="72"/>
        </w:rPr>
        <w:t>技 术 服 务 合 同</w:t>
      </w:r>
      <w:bookmarkEnd w:id="109"/>
    </w:p>
    <w:p w14:paraId="1A173D75">
      <w:pPr>
        <w:ind w:firstLine="723" w:firstLineChars="200"/>
        <w:jc w:val="center"/>
        <w:rPr>
          <w:rFonts w:ascii="宋体" w:hAnsi="宋体" w:cs="宋体"/>
          <w:b/>
          <w:bCs/>
          <w:sz w:val="36"/>
          <w:szCs w:val="72"/>
        </w:rPr>
      </w:pPr>
      <w:r>
        <w:rPr>
          <w:rFonts w:hint="eastAsia" w:ascii="宋体" w:hAnsi="宋体" w:cs="宋体"/>
          <w:b/>
          <w:bCs/>
          <w:i/>
          <w:iCs/>
          <w:color w:val="FF0000"/>
          <w:sz w:val="36"/>
          <w:szCs w:val="72"/>
        </w:rPr>
        <w:t>（示范文本）</w:t>
      </w:r>
    </w:p>
    <w:p w14:paraId="136319B2">
      <w:pPr>
        <w:ind w:firstLine="482" w:firstLineChars="200"/>
        <w:jc w:val="center"/>
        <w:rPr>
          <w:rFonts w:ascii="宋体" w:hAnsi="宋体" w:cs="宋体"/>
          <w:b/>
          <w:bCs/>
          <w:sz w:val="24"/>
        </w:rPr>
      </w:pPr>
    </w:p>
    <w:tbl>
      <w:tblPr>
        <w:tblStyle w:val="28"/>
        <w:tblW w:w="9055" w:type="dxa"/>
        <w:tblInd w:w="87"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4419"/>
        <w:gridCol w:w="4636"/>
      </w:tblGrid>
      <w:tr w14:paraId="5111A1A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488" w:hRule="atLeast"/>
        </w:trPr>
        <w:tc>
          <w:tcPr>
            <w:tcW w:w="4419" w:type="dxa"/>
            <w:shd w:val="clear" w:color="auto" w:fill="auto"/>
            <w:vAlign w:val="center"/>
          </w:tcPr>
          <w:p w14:paraId="52A3CE3A">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甲方(委托方)：中华人民共和国南京海关</w:t>
            </w:r>
          </w:p>
        </w:tc>
        <w:tc>
          <w:tcPr>
            <w:tcW w:w="4636" w:type="dxa"/>
            <w:shd w:val="clear" w:color="auto" w:fill="auto"/>
            <w:vAlign w:val="center"/>
          </w:tcPr>
          <w:p w14:paraId="18365473">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乙方（服务方）：</w:t>
            </w:r>
          </w:p>
        </w:tc>
      </w:tr>
      <w:tr w14:paraId="7804EFA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500" w:hRule="atLeast"/>
        </w:trPr>
        <w:tc>
          <w:tcPr>
            <w:tcW w:w="4419" w:type="dxa"/>
            <w:shd w:val="clear" w:color="auto" w:fill="auto"/>
            <w:vAlign w:val="center"/>
          </w:tcPr>
          <w:p w14:paraId="1B0CA4C7">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地址：</w:t>
            </w:r>
            <w:r>
              <w:rPr>
                <w:rFonts w:hint="eastAsia" w:ascii="宋体" w:hAnsi="宋体" w:cs="宋体"/>
                <w:color w:val="FF0000"/>
                <w:szCs w:val="21"/>
              </w:rPr>
              <w:t>江苏省南京市中华路99号</w:t>
            </w:r>
          </w:p>
        </w:tc>
        <w:tc>
          <w:tcPr>
            <w:tcW w:w="4636" w:type="dxa"/>
            <w:shd w:val="clear" w:color="auto" w:fill="auto"/>
            <w:vAlign w:val="center"/>
          </w:tcPr>
          <w:p w14:paraId="43707853">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地址：</w:t>
            </w:r>
          </w:p>
        </w:tc>
      </w:tr>
      <w:tr w14:paraId="4E674CA2">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488" w:hRule="atLeast"/>
        </w:trPr>
        <w:tc>
          <w:tcPr>
            <w:tcW w:w="4419" w:type="dxa"/>
            <w:shd w:val="clear" w:color="auto" w:fill="auto"/>
            <w:vAlign w:val="center"/>
          </w:tcPr>
          <w:p w14:paraId="45EAF08E">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联系人：</w:t>
            </w:r>
          </w:p>
        </w:tc>
        <w:tc>
          <w:tcPr>
            <w:tcW w:w="4636" w:type="dxa"/>
            <w:shd w:val="clear" w:color="auto" w:fill="auto"/>
            <w:vAlign w:val="center"/>
          </w:tcPr>
          <w:p w14:paraId="5B753927">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联系人：</w:t>
            </w:r>
          </w:p>
        </w:tc>
      </w:tr>
      <w:tr w14:paraId="56349EB1">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488" w:hRule="atLeast"/>
        </w:trPr>
        <w:tc>
          <w:tcPr>
            <w:tcW w:w="4419" w:type="dxa"/>
            <w:shd w:val="clear" w:color="auto" w:fill="auto"/>
            <w:vAlign w:val="center"/>
          </w:tcPr>
          <w:p w14:paraId="0FF117AA">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电话：</w:t>
            </w:r>
          </w:p>
        </w:tc>
        <w:tc>
          <w:tcPr>
            <w:tcW w:w="4636" w:type="dxa"/>
            <w:shd w:val="clear" w:color="auto" w:fill="auto"/>
            <w:vAlign w:val="center"/>
          </w:tcPr>
          <w:p w14:paraId="5262E936">
            <w:pPr>
              <w:keepNext w:val="0"/>
              <w:keepLines w:val="0"/>
              <w:suppressLineNumbers w:val="0"/>
              <w:wordWrap w:val="0"/>
              <w:spacing w:before="0" w:beforeAutospacing="0" w:after="0" w:afterAutospacing="0"/>
              <w:ind w:left="0" w:right="0"/>
              <w:rPr>
                <w:rFonts w:ascii="宋体" w:hAnsi="宋体" w:cs="宋体"/>
                <w:szCs w:val="21"/>
              </w:rPr>
            </w:pPr>
            <w:r>
              <w:rPr>
                <w:rFonts w:hint="eastAsia" w:ascii="宋体" w:hAnsi="宋体" w:cs="宋体"/>
                <w:szCs w:val="21"/>
              </w:rPr>
              <w:t xml:space="preserve">电话：  </w:t>
            </w:r>
          </w:p>
        </w:tc>
      </w:tr>
    </w:tbl>
    <w:p w14:paraId="4A4186CA">
      <w:pPr>
        <w:wordWrap w:val="0"/>
        <w:ind w:firstLine="480" w:firstLineChars="200"/>
        <w:rPr>
          <w:rFonts w:ascii="宋体" w:hAnsi="宋体" w:cs="宋体"/>
          <w:sz w:val="24"/>
        </w:rPr>
      </w:pPr>
    </w:p>
    <w:p w14:paraId="65BF003F">
      <w:pPr>
        <w:wordWrap w:val="0"/>
        <w:ind w:firstLine="420" w:firstLineChars="200"/>
        <w:rPr>
          <w:rFonts w:ascii="宋体" w:hAnsi="宋体" w:cs="宋体"/>
          <w:sz w:val="24"/>
        </w:rPr>
      </w:pPr>
      <w:r>
        <w:rPr>
          <w:rFonts w:hint="eastAsia" w:ascii="宋体" w:hAnsi="宋体" w:cs="宋体"/>
          <w:szCs w:val="21"/>
        </w:rPr>
        <w:t>甲乙双方根据政府采购程序确定的结果，依照《中华人民共和国民法典》《中华人民共和国政府采购法》及其他有关法律法规的规定，在平等自愿的基础上，就乙方接受甲方委托，向甲方提供本合同项下【       】（项目）技术服务等相关事宜，经协商达成一致，签订合同条款如下。</w:t>
      </w:r>
    </w:p>
    <w:p w14:paraId="03A3102E">
      <w:pPr>
        <w:ind w:firstLine="480" w:firstLineChars="200"/>
        <w:rPr>
          <w:rFonts w:ascii="宋体" w:hAnsi="宋体" w:cs="宋体"/>
          <w:sz w:val="24"/>
        </w:rPr>
      </w:pPr>
    </w:p>
    <w:p w14:paraId="3FDAEA23">
      <w:pPr>
        <w:ind w:firstLine="422" w:firstLineChars="200"/>
        <w:rPr>
          <w:rFonts w:ascii="宋体" w:hAnsi="宋体" w:cs="宋体"/>
          <w:szCs w:val="21"/>
        </w:rPr>
      </w:pPr>
      <w:r>
        <w:rPr>
          <w:rFonts w:hint="eastAsia" w:ascii="宋体" w:hAnsi="宋体" w:cs="宋体"/>
          <w:b/>
          <w:szCs w:val="21"/>
        </w:rPr>
        <w:t>第一条</w:t>
      </w:r>
      <w:r>
        <w:rPr>
          <w:rFonts w:hint="eastAsia" w:ascii="宋体" w:hAnsi="宋体" w:cs="宋体"/>
          <w:szCs w:val="21"/>
        </w:rPr>
        <w:t xml:space="preserve"> </w:t>
      </w:r>
      <w:r>
        <w:rPr>
          <w:rFonts w:hint="eastAsia" w:ascii="宋体" w:hAnsi="宋体" w:cs="宋体"/>
          <w:b/>
          <w:szCs w:val="21"/>
        </w:rPr>
        <w:t>服务范围及标准</w:t>
      </w:r>
    </w:p>
    <w:p w14:paraId="56077B5B">
      <w:pPr>
        <w:numPr>
          <w:ilvl w:val="0"/>
          <w:numId w:val="6"/>
        </w:numPr>
        <w:tabs>
          <w:tab w:val="clear" w:pos="0"/>
        </w:tabs>
        <w:ind w:left="0" w:firstLine="420" w:firstLineChars="200"/>
        <w:rPr>
          <w:rFonts w:ascii="宋体" w:hAnsi="宋体" w:cs="宋体"/>
          <w:szCs w:val="21"/>
        </w:rPr>
      </w:pPr>
      <w:r>
        <w:rPr>
          <w:rFonts w:hint="eastAsia" w:ascii="宋体" w:hAnsi="宋体" w:cs="宋体"/>
          <w:szCs w:val="21"/>
        </w:rPr>
        <w:t>服务项目名称：【         】。</w:t>
      </w:r>
    </w:p>
    <w:p w14:paraId="5473E68A">
      <w:pPr>
        <w:numPr>
          <w:ilvl w:val="0"/>
          <w:numId w:val="6"/>
        </w:numPr>
        <w:tabs>
          <w:tab w:val="clear" w:pos="0"/>
        </w:tabs>
        <w:ind w:left="0" w:firstLine="420" w:firstLineChars="200"/>
        <w:rPr>
          <w:rFonts w:ascii="宋体" w:hAnsi="宋体" w:cs="宋体"/>
          <w:szCs w:val="21"/>
        </w:rPr>
      </w:pPr>
      <w:r>
        <w:rPr>
          <w:rFonts w:hint="eastAsia" w:ascii="宋体" w:hAnsi="宋体" w:cs="宋体"/>
          <w:szCs w:val="21"/>
        </w:rPr>
        <w:t>服务内容、范围、质量及技术标准、服务方式、各阶段工作及成果：详见附件1《服务技术条款》。</w:t>
      </w:r>
    </w:p>
    <w:p w14:paraId="50CDC13F">
      <w:pPr>
        <w:numPr>
          <w:ilvl w:val="0"/>
          <w:numId w:val="6"/>
        </w:numPr>
        <w:tabs>
          <w:tab w:val="clear" w:pos="0"/>
        </w:tabs>
        <w:ind w:left="0" w:firstLine="420" w:firstLineChars="200"/>
        <w:rPr>
          <w:rFonts w:ascii="宋体" w:hAnsi="宋体" w:cs="宋体"/>
          <w:szCs w:val="21"/>
        </w:rPr>
      </w:pPr>
      <w:r>
        <w:rPr>
          <w:rFonts w:hint="eastAsia" w:ascii="宋体" w:hAnsi="宋体" w:cs="宋体"/>
          <w:szCs w:val="21"/>
        </w:rPr>
        <w:t>服务地点：甲方所在地或甲方指定的其他地点</w:t>
      </w:r>
      <w:r>
        <w:rPr>
          <w:rFonts w:ascii="宋体" w:hAnsi="宋体" w:cs="宋体"/>
          <w:color w:val="FF0000"/>
          <w:szCs w:val="21"/>
        </w:rPr>
        <w:t>[</w:t>
      </w:r>
      <w:r>
        <w:rPr>
          <w:rFonts w:hint="eastAsia" w:ascii="宋体" w:hAnsi="宋体" w:cs="宋体"/>
          <w:color w:val="FF0000"/>
          <w:szCs w:val="21"/>
        </w:rPr>
        <w:t>或根据实际情况填写服务地点</w:t>
      </w:r>
      <w:r>
        <w:rPr>
          <w:rFonts w:ascii="宋体" w:hAnsi="宋体" w:cs="宋体"/>
          <w:color w:val="FF0000"/>
          <w:szCs w:val="21"/>
        </w:rPr>
        <w:t>]</w:t>
      </w:r>
      <w:r>
        <w:rPr>
          <w:rFonts w:hint="eastAsia" w:ascii="宋体" w:hAnsi="宋体" w:cs="宋体"/>
          <w:szCs w:val="21"/>
        </w:rPr>
        <w:t>。</w:t>
      </w:r>
    </w:p>
    <w:p w14:paraId="0BFEF248">
      <w:pPr>
        <w:numPr>
          <w:ilvl w:val="0"/>
          <w:numId w:val="6"/>
        </w:numPr>
        <w:tabs>
          <w:tab w:val="clear" w:pos="0"/>
        </w:tabs>
        <w:ind w:left="0" w:firstLine="420" w:firstLineChars="200"/>
        <w:rPr>
          <w:rFonts w:ascii="宋体" w:hAnsi="宋体" w:cs="宋体"/>
          <w:szCs w:val="21"/>
        </w:rPr>
      </w:pPr>
      <w:r>
        <w:rPr>
          <w:rFonts w:hint="eastAsia" w:ascii="宋体" w:hAnsi="宋体" w:cs="宋体"/>
          <w:szCs w:val="21"/>
        </w:rPr>
        <w:t>服务期限：自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14:paraId="18FDC6EC">
      <w:pPr>
        <w:ind w:firstLine="480" w:firstLineChars="200"/>
        <w:rPr>
          <w:rFonts w:ascii="宋体" w:hAnsi="宋体" w:cs="宋体"/>
          <w:sz w:val="24"/>
        </w:rPr>
      </w:pPr>
    </w:p>
    <w:p w14:paraId="0DDBB60A">
      <w:pPr>
        <w:ind w:firstLine="422" w:firstLineChars="200"/>
        <w:rPr>
          <w:rFonts w:ascii="宋体" w:hAnsi="宋体" w:cs="宋体"/>
          <w:b/>
          <w:szCs w:val="21"/>
        </w:rPr>
      </w:pPr>
      <w:r>
        <w:rPr>
          <w:rFonts w:hint="eastAsia" w:ascii="宋体" w:hAnsi="宋体" w:cs="宋体"/>
          <w:b/>
          <w:szCs w:val="21"/>
        </w:rPr>
        <w:t>第二条 甲方的权利和义务</w:t>
      </w:r>
    </w:p>
    <w:p w14:paraId="168C1660">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1. 甲方有权要求乙方按本合同约定及时提供服务,对服务的各阶段及工作成果进行评估和确认，提出问题或改进意见。</w:t>
      </w:r>
    </w:p>
    <w:p w14:paraId="48069657">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2. 甲方应当向乙方提供下列工作条件和协作事项：提供固定的联系人与乙方服务人员对接，提供业务上的支持以及必要的工作条件等。</w:t>
      </w:r>
    </w:p>
    <w:p w14:paraId="127A6797">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3. 在乙方完成相应阶段工作并满足付款条件时，甲方应按照本合同的约定及时支付合同价款。</w:t>
      </w:r>
    </w:p>
    <w:p w14:paraId="4FC4B8DD">
      <w:pPr>
        <w:tabs>
          <w:tab w:val="left" w:pos="1575"/>
          <w:tab w:val="left" w:pos="1680"/>
          <w:tab w:val="left" w:pos="2205"/>
        </w:tabs>
        <w:ind w:firstLine="420" w:firstLineChars="200"/>
        <w:rPr>
          <w:rFonts w:ascii="宋体" w:hAnsi="宋体" w:cs="宋体"/>
          <w:bCs/>
          <w:color w:val="FF0000"/>
          <w:szCs w:val="21"/>
        </w:rPr>
      </w:pPr>
      <w:r>
        <w:rPr>
          <w:rFonts w:hint="eastAsia" w:ascii="宋体" w:hAnsi="宋体" w:cs="宋体"/>
          <w:bCs/>
          <w:color w:val="FF0000"/>
          <w:szCs w:val="21"/>
        </w:rPr>
        <w:t>4.[</w:t>
      </w:r>
      <w:r>
        <w:rPr>
          <w:rFonts w:hint="eastAsia" w:ascii="宋体" w:hAnsi="宋体" w:cs="宋体"/>
          <w:bCs/>
          <w:i/>
          <w:iCs/>
          <w:color w:val="FF0000"/>
          <w:szCs w:val="21"/>
        </w:rPr>
        <w:t>使用说明：如有其他需要补充的甲方权利义务，请在此处列明；若无补充，请删除</w:t>
      </w:r>
      <w:r>
        <w:rPr>
          <w:rFonts w:hint="eastAsia" w:ascii="宋体" w:hAnsi="宋体" w:cs="宋体"/>
          <w:bCs/>
          <w:color w:val="FF0000"/>
          <w:szCs w:val="21"/>
        </w:rPr>
        <w:t>]</w:t>
      </w:r>
    </w:p>
    <w:p w14:paraId="473C7E4F">
      <w:pPr>
        <w:tabs>
          <w:tab w:val="left" w:pos="945"/>
        </w:tabs>
        <w:ind w:firstLine="480" w:firstLineChars="200"/>
        <w:rPr>
          <w:rFonts w:ascii="宋体" w:hAnsi="宋体" w:cs="宋体"/>
          <w:sz w:val="24"/>
        </w:rPr>
      </w:pPr>
    </w:p>
    <w:p w14:paraId="49C739F6">
      <w:pPr>
        <w:ind w:firstLine="422" w:firstLineChars="200"/>
        <w:rPr>
          <w:rFonts w:ascii="宋体" w:hAnsi="宋体" w:cs="宋体"/>
          <w:b/>
          <w:szCs w:val="21"/>
        </w:rPr>
      </w:pPr>
      <w:r>
        <w:rPr>
          <w:rFonts w:hint="eastAsia" w:ascii="宋体" w:hAnsi="宋体" w:cs="宋体"/>
          <w:b/>
          <w:szCs w:val="21"/>
        </w:rPr>
        <w:t>第三条 乙方的权利和义务</w:t>
      </w:r>
    </w:p>
    <w:p w14:paraId="4C207266">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1. 乙方在履行本合同义务的情形下有权要求甲方按本合同约定支付服务费,乙方须向甲方提供支付服务价款的合法有效的等额发票。</w:t>
      </w:r>
    </w:p>
    <w:p w14:paraId="0179C609">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2. 乙方应按照本合同约定的服务内容、时间、地点及其他相关要求等，保质保量按时完成服务。</w:t>
      </w:r>
    </w:p>
    <w:p w14:paraId="2B1BB430">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3. 乙方在服务实施中应执行严格的质量管理，确保服务质量。乙方提供的服务及其配套设施、使用材料等应符合相关国家、地方或行业标准，符合相关安全、环保等要求。</w:t>
      </w:r>
    </w:p>
    <w:p w14:paraId="5061D293">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4. 乙方在服务过程中，应遵守甲方的相关管理制度，确保不影响甲方正常办公秩序，不损害甲方及其员工的财产、设备、文件、信息安全，不从事与本合同项下服务无关的任何活动。因乙方或其员工故意或过失导致自身或甲方及其员工、或第三方财产、人身损害或信息泄露的，乙方应当承担全部赔偿责任。</w:t>
      </w:r>
    </w:p>
    <w:p w14:paraId="23F932EB">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5. 乙方提供的服务须接受甲方定期或不定期的综合评定。</w:t>
      </w:r>
    </w:p>
    <w:p w14:paraId="5B1CECCE">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6. 除本合同另有约定外，未经甲方书面同意，乙方不得将本合同项下所包含的全部或部分服务分包、转包给第三方。</w:t>
      </w:r>
    </w:p>
    <w:p w14:paraId="7A29703A">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7. 乙方在提供服务过程中知悉的甲方的内部资料应予以保密，乙方承诺不向任何第三方泄露甲方的业务机密。</w:t>
      </w:r>
    </w:p>
    <w:p w14:paraId="341CB095">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8. 乙方提供服务中的易耗物品、所需工具、笔记本电脑、通讯工具、仪表、车辆、交通费、人工费等均由乙方自行负责。</w:t>
      </w:r>
    </w:p>
    <w:p w14:paraId="1CE6CDB0">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9. 对乙方提供服务人员进行技术培训及职业道德、保密等方面的培训，确保乙方人员具有符合合同要求的资质和能力，能按照甲方的要求完成各项工作任务，并遵守甲方的各项管理制度和工作要求。</w:t>
      </w:r>
    </w:p>
    <w:p w14:paraId="183B2926">
      <w:pPr>
        <w:tabs>
          <w:tab w:val="left" w:pos="1575"/>
          <w:tab w:val="left" w:pos="1680"/>
          <w:tab w:val="left" w:pos="2205"/>
        </w:tabs>
        <w:ind w:firstLine="420" w:firstLineChars="200"/>
        <w:rPr>
          <w:rFonts w:ascii="宋体" w:hAnsi="宋体" w:cs="宋体"/>
          <w:bCs/>
          <w:szCs w:val="21"/>
        </w:rPr>
      </w:pPr>
      <w:r>
        <w:rPr>
          <w:rFonts w:hint="eastAsia" w:ascii="宋体" w:hAnsi="宋体" w:cs="宋体"/>
          <w:bCs/>
          <w:szCs w:val="21"/>
        </w:rPr>
        <w:t>10. 乙方应根据我国相关劳动法律法规的规定与乙方提供服务的人员签订正式的劳动合同并依法为其缴纳相应的社会保险费用，依法发放劳动报酬，承担乙方员工可能产生的工伤、医疗、生育、失业等所有费用。</w:t>
      </w:r>
    </w:p>
    <w:p w14:paraId="2BB03BBC">
      <w:pPr>
        <w:ind w:firstLine="482" w:firstLineChars="200"/>
        <w:rPr>
          <w:rFonts w:ascii="宋体" w:hAnsi="宋体" w:cs="宋体"/>
          <w:b/>
          <w:sz w:val="24"/>
        </w:rPr>
      </w:pPr>
    </w:p>
    <w:p w14:paraId="52391827">
      <w:pPr>
        <w:ind w:firstLine="422" w:firstLineChars="200"/>
        <w:rPr>
          <w:rFonts w:ascii="宋体" w:hAnsi="宋体" w:cs="宋体"/>
          <w:b/>
          <w:szCs w:val="21"/>
        </w:rPr>
      </w:pPr>
      <w:r>
        <w:rPr>
          <w:rFonts w:hint="eastAsia" w:ascii="宋体" w:hAnsi="宋体" w:cs="宋体"/>
          <w:b/>
          <w:szCs w:val="21"/>
        </w:rPr>
        <w:t>第四条 合同总金额</w:t>
      </w:r>
    </w:p>
    <w:p w14:paraId="25F71B83">
      <w:pPr>
        <w:tabs>
          <w:tab w:val="left" w:pos="1575"/>
          <w:tab w:val="left" w:pos="1680"/>
          <w:tab w:val="left" w:pos="2205"/>
        </w:tabs>
        <w:ind w:firstLine="420" w:firstLineChars="200"/>
        <w:rPr>
          <w:rFonts w:ascii="宋体" w:hAnsi="宋体" w:cs="宋体"/>
          <w:szCs w:val="21"/>
        </w:rPr>
      </w:pPr>
      <w:r>
        <w:rPr>
          <w:rFonts w:hint="eastAsia" w:ascii="宋体" w:hAnsi="宋体" w:cs="宋体"/>
          <w:szCs w:val="21"/>
        </w:rPr>
        <w:t>1. 本合同项下的服务费用总金额为：【      】元（大写人民币【                】元）。该服务费用总金额已包括了乙方提供本合同项下服务、税金（包括但不限于增值税等其他各项税款及附加税金或费用）在内的所有费用；在本合同履行期间上述服务费不因材料、劳务成本等变动或其他任何原因而作调整。</w:t>
      </w:r>
    </w:p>
    <w:p w14:paraId="4977FD6D">
      <w:pPr>
        <w:tabs>
          <w:tab w:val="left" w:pos="1575"/>
          <w:tab w:val="left" w:pos="1680"/>
          <w:tab w:val="left" w:pos="2205"/>
        </w:tabs>
        <w:ind w:firstLine="420" w:firstLineChars="200"/>
        <w:rPr>
          <w:rFonts w:ascii="宋体" w:hAnsi="宋体" w:cs="宋体"/>
          <w:szCs w:val="21"/>
        </w:rPr>
      </w:pPr>
      <w:r>
        <w:rPr>
          <w:rFonts w:hint="eastAsia" w:ascii="宋体" w:hAnsi="宋体" w:cs="宋体"/>
          <w:szCs w:val="21"/>
        </w:rPr>
        <w:t>2. 本合同履行期内因工作量变化而引起的服务费用的变动，在双方事先协商一致的前提下应签订书面补充协议予以确认。</w:t>
      </w:r>
    </w:p>
    <w:p w14:paraId="6253826D">
      <w:pPr>
        <w:ind w:firstLine="482" w:firstLineChars="200"/>
        <w:rPr>
          <w:rFonts w:ascii="宋体" w:hAnsi="宋体" w:cs="宋体"/>
          <w:b/>
          <w:sz w:val="24"/>
        </w:rPr>
      </w:pPr>
    </w:p>
    <w:p w14:paraId="117CE879">
      <w:pPr>
        <w:ind w:firstLine="422" w:firstLineChars="200"/>
        <w:rPr>
          <w:rFonts w:ascii="宋体" w:hAnsi="宋体" w:cs="宋体"/>
          <w:b/>
          <w:szCs w:val="21"/>
        </w:rPr>
      </w:pPr>
      <w:r>
        <w:rPr>
          <w:rFonts w:hint="eastAsia" w:ascii="宋体" w:hAnsi="宋体" w:cs="宋体"/>
          <w:b/>
          <w:szCs w:val="21"/>
        </w:rPr>
        <w:t>第五条 支付方式</w:t>
      </w:r>
    </w:p>
    <w:p w14:paraId="713D1AE5">
      <w:pPr>
        <w:ind w:firstLine="420" w:firstLineChars="200"/>
        <w:rPr>
          <w:rFonts w:ascii="宋体" w:hAnsi="宋体" w:cs="宋体"/>
          <w:bCs/>
          <w:szCs w:val="21"/>
        </w:rPr>
      </w:pPr>
      <w:r>
        <w:rPr>
          <w:rFonts w:hint="eastAsia" w:ascii="宋体" w:hAnsi="宋体" w:cs="宋体"/>
          <w:bCs/>
          <w:szCs w:val="21"/>
        </w:rPr>
        <w:t xml:space="preserve">1. 本合同项下所有款项均以人民币支付。  </w:t>
      </w:r>
    </w:p>
    <w:p w14:paraId="09460750">
      <w:pPr>
        <w:snapToGrid w:val="0"/>
        <w:ind w:firstLine="420" w:firstLineChars="200"/>
        <w:rPr>
          <w:rFonts w:ascii="宋体" w:hAnsi="宋体" w:cs="宋体"/>
          <w:bCs/>
          <w:szCs w:val="21"/>
        </w:rPr>
      </w:pPr>
      <w:r>
        <w:rPr>
          <w:rFonts w:hint="eastAsia" w:ascii="宋体" w:hAnsi="宋体" w:cs="宋体"/>
          <w:bCs/>
          <w:szCs w:val="21"/>
        </w:rPr>
        <w:t>2. 具体支付方式和时间如下：</w:t>
      </w:r>
    </w:p>
    <w:p w14:paraId="2AEE74DB">
      <w:pPr>
        <w:ind w:firstLine="420" w:firstLineChars="200"/>
        <w:rPr>
          <w:rFonts w:ascii="宋体" w:hAnsi="宋体" w:cs="宋体"/>
          <w:bCs/>
          <w:color w:val="0000FF"/>
          <w:szCs w:val="21"/>
          <w:u w:val="single"/>
        </w:rPr>
      </w:pPr>
      <w:r>
        <w:rPr>
          <w:rFonts w:hint="eastAsia" w:ascii="宋体" w:hAnsi="宋体" w:cs="宋体"/>
          <w:bCs/>
          <w:color w:val="0000FF"/>
          <w:szCs w:val="21"/>
        </w:rPr>
        <w:t>本合同生效后，全部款项分[</w:t>
      </w:r>
      <w:r>
        <w:rPr>
          <w:rFonts w:hint="eastAsia" w:ascii="宋体" w:hAnsi="宋体" w:cs="宋体"/>
          <w:bCs/>
          <w:color w:val="0000FF"/>
          <w:szCs w:val="21"/>
          <w:lang w:val="en-US" w:eastAsia="zh-CN"/>
        </w:rPr>
        <w:t>2</w:t>
      </w:r>
      <w:r>
        <w:rPr>
          <w:rFonts w:hint="eastAsia" w:ascii="宋体" w:hAnsi="宋体" w:cs="宋体"/>
          <w:bCs/>
          <w:color w:val="0000FF"/>
          <w:szCs w:val="21"/>
        </w:rPr>
        <w:t>]次支付，具体支付时间、比例、金额、条件为：</w:t>
      </w:r>
    </w:p>
    <w:p w14:paraId="5D94DBE7">
      <w:pPr>
        <w:ind w:firstLine="420" w:firstLineChars="200"/>
        <w:rPr>
          <w:rFonts w:ascii="宋体" w:hAnsi="宋体" w:cs="宋体"/>
          <w:color w:val="0000FF"/>
          <w:szCs w:val="21"/>
        </w:rPr>
      </w:pPr>
      <w:r>
        <w:rPr>
          <w:rFonts w:hint="eastAsia" w:ascii="宋体" w:hAnsi="宋体" w:cs="宋体"/>
          <w:bCs/>
          <w:color w:val="0000FF"/>
          <w:szCs w:val="21"/>
        </w:rPr>
        <w:t>乙方在本合同生效后</w:t>
      </w:r>
      <w:r>
        <w:rPr>
          <w:rFonts w:hint="eastAsia" w:ascii="宋体" w:hAnsi="宋体" w:cs="宋体"/>
          <w:bCs/>
          <w:color w:val="0000FF"/>
          <w:szCs w:val="21"/>
          <w:lang w:val="en-US" w:eastAsia="zh-CN"/>
        </w:rPr>
        <w:t>5</w:t>
      </w:r>
      <w:r>
        <w:rPr>
          <w:rFonts w:hint="eastAsia" w:ascii="宋体" w:hAnsi="宋体" w:cs="宋体"/>
          <w:bCs/>
          <w:color w:val="0000FF"/>
          <w:szCs w:val="21"/>
        </w:rPr>
        <w:t>个工作日内向甲方提交合同总金额的</w:t>
      </w:r>
      <w:r>
        <w:rPr>
          <w:rFonts w:hint="eastAsia" w:ascii="宋体" w:hAnsi="宋体" w:cs="宋体"/>
          <w:bCs/>
          <w:color w:val="0000FF"/>
          <w:szCs w:val="21"/>
          <w:lang w:val="en-US" w:eastAsia="zh-CN"/>
        </w:rPr>
        <w:t>3%</w:t>
      </w:r>
      <w:r>
        <w:rPr>
          <w:rFonts w:hint="eastAsia" w:ascii="宋体" w:hAnsi="宋体" w:cs="宋体"/>
          <w:bCs/>
          <w:color w:val="0000FF"/>
          <w:szCs w:val="21"/>
        </w:rPr>
        <w:t>作为履约保证金</w:t>
      </w:r>
      <w:r>
        <w:rPr>
          <w:rFonts w:hint="eastAsia" w:ascii="宋体" w:hAnsi="宋体" w:cs="宋体"/>
          <w:color w:val="0000FF"/>
          <w:szCs w:val="21"/>
          <w:lang w:eastAsia="zh-CN"/>
        </w:rPr>
        <w:t>，</w:t>
      </w:r>
      <w:r>
        <w:rPr>
          <w:rFonts w:hint="eastAsia" w:ascii="宋体" w:hAnsi="宋体" w:cs="宋体"/>
          <w:color w:val="0000FF"/>
          <w:szCs w:val="21"/>
        </w:rPr>
        <w:t>金额_______元；</w:t>
      </w:r>
    </w:p>
    <w:p w14:paraId="12286066">
      <w:pPr>
        <w:ind w:firstLine="420" w:firstLineChars="200"/>
        <w:rPr>
          <w:rFonts w:ascii="宋体" w:hAnsi="宋体" w:cs="宋体"/>
          <w:color w:val="0000FF"/>
          <w:szCs w:val="21"/>
        </w:rPr>
      </w:pPr>
      <w:r>
        <w:rPr>
          <w:rFonts w:hint="eastAsia" w:ascii="宋体" w:hAnsi="宋体" w:cs="宋体"/>
          <w:color w:val="0000FF"/>
          <w:szCs w:val="21"/>
        </w:rPr>
        <w:t>第</w:t>
      </w:r>
      <w:r>
        <w:rPr>
          <w:rFonts w:hint="eastAsia" w:ascii="宋体" w:hAnsi="宋体" w:cs="宋体"/>
          <w:color w:val="0000FF"/>
          <w:szCs w:val="21"/>
          <w:lang w:eastAsia="zh-CN"/>
        </w:rPr>
        <w:t>一</w:t>
      </w:r>
      <w:r>
        <w:rPr>
          <w:rFonts w:hint="eastAsia" w:ascii="宋体" w:hAnsi="宋体" w:cs="宋体"/>
          <w:color w:val="0000FF"/>
          <w:szCs w:val="21"/>
        </w:rPr>
        <w:t>次支付：合同签订后10个工作日内，甲方向乙方支付合同总金额的50%首付款，金额_________元</w:t>
      </w:r>
      <w:r>
        <w:rPr>
          <w:rFonts w:hint="eastAsia" w:ascii="宋体" w:hAnsi="宋体" w:cs="宋体"/>
          <w:color w:val="0000FF"/>
          <w:szCs w:val="21"/>
          <w:lang w:eastAsia="zh-CN"/>
        </w:rPr>
        <w:t>；</w:t>
      </w:r>
    </w:p>
    <w:p w14:paraId="61666979">
      <w:pPr>
        <w:pStyle w:val="118"/>
        <w:rPr>
          <w:rFonts w:hint="eastAsia" w:ascii="宋体" w:hAnsi="宋体" w:cs="宋体"/>
          <w:color w:val="0000FF"/>
          <w:szCs w:val="21"/>
        </w:rPr>
      </w:pPr>
      <w:r>
        <w:rPr>
          <w:rFonts w:hint="eastAsia" w:ascii="宋体" w:hAnsi="宋体" w:cs="宋体"/>
          <w:color w:val="0000FF"/>
          <w:szCs w:val="21"/>
        </w:rPr>
        <w:t>第</w:t>
      </w:r>
      <w:r>
        <w:rPr>
          <w:rFonts w:hint="eastAsia" w:ascii="宋体" w:hAnsi="宋体" w:cs="宋体"/>
          <w:color w:val="0000FF"/>
          <w:szCs w:val="21"/>
          <w:lang w:eastAsia="zh-CN"/>
        </w:rPr>
        <w:t>二</w:t>
      </w:r>
      <w:r>
        <w:rPr>
          <w:rFonts w:hint="eastAsia" w:ascii="宋体" w:hAnsi="宋体" w:cs="宋体"/>
          <w:color w:val="0000FF"/>
          <w:szCs w:val="21"/>
        </w:rPr>
        <w:t>次支付：在乙方服务满一个月并经甲方确认合格后，甲方向乙方支付合同总金额的50%尾款，金额_________元；</w:t>
      </w:r>
    </w:p>
    <w:p w14:paraId="14DBDC09">
      <w:pPr>
        <w:pStyle w:val="61"/>
      </w:pPr>
      <w:r>
        <w:rPr>
          <w:rFonts w:hint="eastAsia" w:ascii="宋体" w:hAnsi="宋体" w:cs="宋体"/>
          <w:color w:val="0000FF"/>
          <w:szCs w:val="21"/>
        </w:rPr>
        <w:t>乙方完成全部合同义务后的</w:t>
      </w:r>
      <w:r>
        <w:rPr>
          <w:rFonts w:hint="eastAsia" w:ascii="宋体" w:hAnsi="宋体" w:cs="宋体"/>
          <w:color w:val="0000FF"/>
          <w:szCs w:val="21"/>
          <w:lang w:val="en-US" w:eastAsia="zh-CN"/>
        </w:rPr>
        <w:t>5</w:t>
      </w:r>
      <w:r>
        <w:rPr>
          <w:rFonts w:hint="eastAsia" w:ascii="宋体" w:hAnsi="宋体" w:cs="宋体"/>
          <w:color w:val="0000FF"/>
          <w:szCs w:val="21"/>
        </w:rPr>
        <w:t>个工作日内，甲方将履约保证金无息退还乙方</w:t>
      </w:r>
      <w:r>
        <w:rPr>
          <w:rFonts w:hint="eastAsia" w:ascii="宋体" w:hAnsi="宋体" w:cs="宋体"/>
          <w:color w:val="0000FF"/>
          <w:szCs w:val="21"/>
          <w:lang w:eastAsia="zh-CN"/>
        </w:rPr>
        <w:t>，</w:t>
      </w:r>
      <w:r>
        <w:rPr>
          <w:rFonts w:hint="eastAsia" w:ascii="宋体" w:hAnsi="宋体" w:cs="宋体"/>
          <w:color w:val="0000FF"/>
          <w:szCs w:val="21"/>
        </w:rPr>
        <w:t>金额_________元。</w:t>
      </w:r>
    </w:p>
    <w:p w14:paraId="5388F39C">
      <w:pPr>
        <w:ind w:firstLine="420" w:firstLineChars="200"/>
        <w:rPr>
          <w:rFonts w:ascii="宋体" w:hAnsi="宋体" w:cs="宋体"/>
          <w:szCs w:val="21"/>
        </w:rPr>
      </w:pPr>
      <w:r>
        <w:rPr>
          <w:rFonts w:hint="eastAsia" w:ascii="宋体" w:hAnsi="宋体" w:cs="宋体"/>
          <w:szCs w:val="21"/>
        </w:rPr>
        <w:t xml:space="preserve">3. 乙方户名、开户银行名称和账号为： </w:t>
      </w:r>
    </w:p>
    <w:p w14:paraId="41FBCADE">
      <w:pPr>
        <w:pStyle w:val="118"/>
        <w:rPr>
          <w:rFonts w:ascii="宋体" w:hAnsi="宋体" w:eastAsia="宋体" w:cs="宋体"/>
          <w:szCs w:val="21"/>
        </w:rPr>
      </w:pPr>
      <w:r>
        <w:rPr>
          <w:rFonts w:hint="eastAsia" w:ascii="宋体" w:hAnsi="宋体" w:eastAsia="宋体" w:cs="宋体"/>
          <w:szCs w:val="21"/>
        </w:rPr>
        <w:t xml:space="preserve">户  名:  </w:t>
      </w:r>
    </w:p>
    <w:p w14:paraId="5681C23B">
      <w:pPr>
        <w:pStyle w:val="118"/>
        <w:snapToGrid w:val="0"/>
        <w:rPr>
          <w:rFonts w:ascii="宋体" w:hAnsi="宋体" w:eastAsia="宋体" w:cs="宋体"/>
          <w:szCs w:val="21"/>
        </w:rPr>
      </w:pPr>
      <w:r>
        <w:rPr>
          <w:rFonts w:hint="eastAsia" w:ascii="宋体" w:hAnsi="宋体" w:eastAsia="宋体" w:cs="宋体"/>
          <w:szCs w:val="21"/>
        </w:rPr>
        <w:t xml:space="preserve">开户行:  </w:t>
      </w:r>
    </w:p>
    <w:p w14:paraId="55FB2929">
      <w:pPr>
        <w:pStyle w:val="118"/>
        <w:snapToGrid w:val="0"/>
        <w:rPr>
          <w:rFonts w:ascii="宋体" w:hAnsi="宋体" w:eastAsia="宋体" w:cs="宋体"/>
          <w:szCs w:val="21"/>
        </w:rPr>
      </w:pPr>
      <w:r>
        <w:rPr>
          <w:rFonts w:hint="eastAsia" w:ascii="宋体" w:hAnsi="宋体" w:eastAsia="宋体" w:cs="宋体"/>
          <w:szCs w:val="21"/>
        </w:rPr>
        <w:t xml:space="preserve">账  号:  </w:t>
      </w:r>
    </w:p>
    <w:p w14:paraId="2E624F77">
      <w:pPr>
        <w:pStyle w:val="118"/>
        <w:snapToGrid w:val="0"/>
        <w:rPr>
          <w:rFonts w:ascii="宋体" w:hAnsi="宋体" w:eastAsia="宋体" w:cs="宋体"/>
          <w:szCs w:val="21"/>
        </w:rPr>
      </w:pPr>
      <w:r>
        <w:rPr>
          <w:rFonts w:hint="eastAsia" w:ascii="宋体" w:hAnsi="宋体" w:eastAsia="宋体" w:cs="宋体"/>
          <w:szCs w:val="21"/>
        </w:rPr>
        <w:t>财务联系人及电话：</w:t>
      </w:r>
    </w:p>
    <w:p w14:paraId="57DF428D">
      <w:pPr>
        <w:snapToGrid w:val="0"/>
        <w:ind w:firstLine="420" w:firstLineChars="200"/>
        <w:rPr>
          <w:rFonts w:ascii="宋体" w:hAnsi="宋体" w:cs="宋体"/>
          <w:szCs w:val="21"/>
        </w:rPr>
      </w:pPr>
      <w:r>
        <w:rPr>
          <w:rFonts w:hint="eastAsia" w:ascii="宋体" w:hAnsi="宋体" w:cs="宋体"/>
          <w:szCs w:val="21"/>
        </w:rPr>
        <w:t>4. 发票：</w:t>
      </w:r>
      <w:r>
        <w:rPr>
          <w:rFonts w:hint="eastAsia" w:ascii="宋体" w:hAnsi="宋体" w:cs="宋体"/>
          <w:color w:val="000000"/>
          <w:szCs w:val="21"/>
        </w:rPr>
        <w:t>乙方在每次提出付款要求时应当按照每次付款金额向甲方开具正式、合法的发票，否则甲方有权拒绝支付相应的款项，并且不承担任何违约责任。</w:t>
      </w:r>
    </w:p>
    <w:p w14:paraId="28ABC234">
      <w:pPr>
        <w:snapToGrid w:val="0"/>
        <w:ind w:firstLine="420" w:firstLineChars="200"/>
        <w:rPr>
          <w:rFonts w:ascii="宋体" w:hAnsi="宋体" w:cs="宋体"/>
          <w:szCs w:val="21"/>
        </w:rPr>
      </w:pPr>
      <w:r>
        <w:rPr>
          <w:rFonts w:hint="eastAsia" w:ascii="宋体" w:hAnsi="宋体" w:cs="宋体"/>
          <w:szCs w:val="21"/>
        </w:rPr>
        <w:t>5. 本合同项下支付乙方的款项由甲方负责办理，因财务集中支付迟延等原因造成甲方未能按时付款的，由双方协商确定新的付款期限，甲方不承担任何迟延付款的违约责任。</w:t>
      </w:r>
    </w:p>
    <w:p w14:paraId="38C00107">
      <w:pPr>
        <w:snapToGrid w:val="0"/>
        <w:ind w:firstLine="422" w:firstLineChars="200"/>
        <w:rPr>
          <w:rFonts w:ascii="宋体" w:hAnsi="宋体" w:cs="宋体"/>
          <w:b/>
          <w:szCs w:val="21"/>
        </w:rPr>
      </w:pPr>
    </w:p>
    <w:p w14:paraId="08344109">
      <w:pPr>
        <w:ind w:firstLine="422" w:firstLineChars="200"/>
        <w:rPr>
          <w:rFonts w:ascii="宋体" w:hAnsi="宋体" w:cs="宋体"/>
          <w:b/>
          <w:szCs w:val="21"/>
        </w:rPr>
      </w:pPr>
      <w:r>
        <w:rPr>
          <w:rFonts w:hint="eastAsia" w:ascii="宋体" w:hAnsi="宋体" w:cs="宋体"/>
          <w:b/>
          <w:szCs w:val="21"/>
        </w:rPr>
        <w:t>第六条  验收</w:t>
      </w:r>
    </w:p>
    <w:p w14:paraId="62EE06F9">
      <w:pPr>
        <w:numPr>
          <w:ilvl w:val="255"/>
          <w:numId w:val="0"/>
        </w:numPr>
        <w:ind w:firstLine="420" w:firstLineChars="200"/>
        <w:rPr>
          <w:rFonts w:ascii="宋体" w:hAnsi="宋体" w:cs="宋体"/>
          <w:color w:val="FF0000"/>
          <w:szCs w:val="21"/>
        </w:rPr>
      </w:pPr>
      <w:r>
        <w:rPr>
          <w:rFonts w:hint="eastAsia" w:ascii="宋体" w:hAnsi="宋体" w:cs="宋体"/>
          <w:szCs w:val="21"/>
        </w:rPr>
        <w:t>合同执行期间，乙方需按照甲方指定的时间和内容完成相应的技术服务和支持，并保证服务效果良好；合同结束后，乙方应出具验收资料，评估工作绩效和合规性，甲方据此及工作实效出具验收意见。[</w:t>
      </w:r>
      <w:r>
        <w:rPr>
          <w:rFonts w:hint="eastAsia" w:ascii="宋体" w:hAnsi="宋体" w:cs="宋体"/>
          <w:i/>
          <w:color w:val="FF0000"/>
          <w:szCs w:val="21"/>
        </w:rPr>
        <w:t>使用说明：本条内容可以附件形式进行详细描述，如：验收时间、验收方式等；不涉及验收的，请注明（不适用）或删除本条款</w:t>
      </w:r>
      <w:r>
        <w:rPr>
          <w:rFonts w:hint="eastAsia" w:ascii="宋体" w:hAnsi="宋体" w:cs="宋体"/>
          <w:color w:val="FF0000"/>
          <w:szCs w:val="21"/>
        </w:rPr>
        <w:t>]</w:t>
      </w:r>
    </w:p>
    <w:p w14:paraId="077BE316">
      <w:pPr>
        <w:ind w:firstLine="480" w:firstLineChars="200"/>
        <w:rPr>
          <w:rFonts w:ascii="宋体" w:hAnsi="宋体" w:cs="宋体"/>
          <w:sz w:val="24"/>
        </w:rPr>
      </w:pPr>
    </w:p>
    <w:p w14:paraId="4D2778A7">
      <w:pPr>
        <w:ind w:firstLine="422" w:firstLineChars="200"/>
        <w:rPr>
          <w:rFonts w:ascii="宋体" w:hAnsi="宋体" w:cs="宋体"/>
          <w:b/>
          <w:szCs w:val="21"/>
        </w:rPr>
      </w:pPr>
      <w:r>
        <w:rPr>
          <w:rFonts w:hint="eastAsia" w:ascii="宋体" w:hAnsi="宋体" w:cs="宋体"/>
          <w:b/>
          <w:szCs w:val="21"/>
        </w:rPr>
        <w:t>第七条 知识产权</w:t>
      </w:r>
    </w:p>
    <w:p w14:paraId="5127936C">
      <w:pPr>
        <w:tabs>
          <w:tab w:val="left" w:pos="1365"/>
        </w:tabs>
        <w:ind w:firstLine="420" w:firstLineChars="200"/>
        <w:rPr>
          <w:rFonts w:ascii="宋体" w:hAnsi="宋体" w:cs="宋体"/>
          <w:bCs/>
          <w:szCs w:val="21"/>
        </w:rPr>
      </w:pPr>
      <w:r>
        <w:rPr>
          <w:rFonts w:hint="eastAsia" w:ascii="宋体" w:hAnsi="宋体" w:cs="宋体"/>
          <w:bCs/>
          <w:szCs w:val="21"/>
        </w:rPr>
        <w:t>1. 本合同项下服务成果的所有权及服务成果涉及的知识产权（包括但不限于著作权、专利权、商标权以及知识产权申请权等）归甲方所有。甲方利用乙方的服务成果所完成的新的技术成果的所有权利，归甲方所有。</w:t>
      </w:r>
    </w:p>
    <w:p w14:paraId="03708979">
      <w:pPr>
        <w:tabs>
          <w:tab w:val="left" w:pos="1365"/>
        </w:tabs>
        <w:ind w:firstLine="420" w:firstLineChars="200"/>
        <w:rPr>
          <w:rFonts w:ascii="宋体" w:hAnsi="宋体" w:cs="宋体"/>
          <w:bCs/>
          <w:szCs w:val="21"/>
        </w:rPr>
      </w:pPr>
      <w:r>
        <w:rPr>
          <w:rFonts w:hint="eastAsia" w:ascii="宋体" w:hAnsi="宋体" w:cs="宋体"/>
          <w:bCs/>
          <w:szCs w:val="21"/>
        </w:rPr>
        <w:t>2. 乙方保证所提供的服务或其任何一部分均不会侵犯任何第三方的专利权、商标权或著作权等合法权益。一旦出现侵权、索赔或诉讼，乙方应承担全部责任，与甲方无关，同时甲方有权要求乙方赔偿甲方因此而发生的一切经济及名誉等损失。乙方保证所提供的服务不存在危及人身及财产安全的隐患，不存在违反国家法规、法令、法律以及行业规范所要求的有关安全条款，否则应承担全部法律责任。</w:t>
      </w:r>
    </w:p>
    <w:p w14:paraId="3804F60D">
      <w:pPr>
        <w:tabs>
          <w:tab w:val="left" w:pos="1365"/>
        </w:tabs>
        <w:ind w:firstLine="420" w:firstLineChars="200"/>
        <w:rPr>
          <w:rFonts w:ascii="宋体" w:hAnsi="宋体" w:cs="宋体"/>
          <w:bCs/>
          <w:szCs w:val="21"/>
        </w:rPr>
      </w:pPr>
    </w:p>
    <w:p w14:paraId="593B731F">
      <w:pPr>
        <w:ind w:firstLine="422" w:firstLineChars="200"/>
        <w:rPr>
          <w:rFonts w:ascii="宋体" w:hAnsi="宋体" w:cs="宋体"/>
          <w:b/>
          <w:szCs w:val="21"/>
        </w:rPr>
      </w:pPr>
      <w:r>
        <w:rPr>
          <w:rFonts w:hint="eastAsia" w:ascii="宋体" w:hAnsi="宋体" w:cs="宋体"/>
          <w:b/>
          <w:szCs w:val="21"/>
        </w:rPr>
        <w:t>第八条 技术资料及保密</w:t>
      </w:r>
    </w:p>
    <w:p w14:paraId="62B21A84">
      <w:pPr>
        <w:tabs>
          <w:tab w:val="left" w:pos="1365"/>
        </w:tabs>
        <w:ind w:firstLine="420" w:firstLineChars="200"/>
        <w:rPr>
          <w:rFonts w:ascii="宋体" w:hAnsi="宋体" w:cs="宋体"/>
          <w:szCs w:val="21"/>
        </w:rPr>
      </w:pPr>
      <w:r>
        <w:rPr>
          <w:rFonts w:hint="eastAsia" w:ascii="宋体" w:hAnsi="宋体" w:cs="宋体"/>
          <w:szCs w:val="21"/>
        </w:rPr>
        <w:t>未经甲方事先书面同意，乙方不得将由甲方提供的有关合同或任何合同条文、规格、培训计划或资料提供给与履行本合同无关的任何其他人。即使向履行本合同有关的人员提供，也应注意保密并限于履行合同的必需范围。乙方承诺，上述保密义务延及其员工，其员工违反上述保密义务，乙方同样承担全部法律责任。</w:t>
      </w:r>
    </w:p>
    <w:p w14:paraId="2D403B06">
      <w:pPr>
        <w:ind w:firstLine="422" w:firstLineChars="200"/>
        <w:rPr>
          <w:rFonts w:ascii="宋体" w:hAnsi="宋体" w:cs="宋体"/>
          <w:b/>
          <w:szCs w:val="21"/>
        </w:rPr>
      </w:pPr>
    </w:p>
    <w:p w14:paraId="138700CB">
      <w:pPr>
        <w:ind w:firstLine="422" w:firstLineChars="200"/>
        <w:rPr>
          <w:rFonts w:ascii="宋体" w:hAnsi="宋体" w:cs="宋体"/>
          <w:b/>
          <w:szCs w:val="21"/>
        </w:rPr>
      </w:pPr>
      <w:r>
        <w:rPr>
          <w:rFonts w:hint="eastAsia" w:ascii="宋体" w:hAnsi="宋体" w:cs="宋体"/>
          <w:b/>
          <w:szCs w:val="21"/>
        </w:rPr>
        <w:t>第九条 不可抗力</w:t>
      </w:r>
    </w:p>
    <w:p w14:paraId="5BEB44E6">
      <w:pPr>
        <w:ind w:firstLine="420" w:firstLineChars="200"/>
        <w:rPr>
          <w:rFonts w:ascii="宋体" w:hAnsi="宋体" w:cs="宋体"/>
          <w:szCs w:val="21"/>
        </w:rPr>
      </w:pPr>
      <w:r>
        <w:rPr>
          <w:rFonts w:hint="eastAsia" w:ascii="宋体" w:hAnsi="宋体" w:cs="宋体"/>
          <w:szCs w:val="21"/>
        </w:rPr>
        <w:t>任何一方由于不可抗力原因不能履行合同时，应在不可抗力事件结束1日内向对方通报，以减轻可能给对方造成的损失，在取得有关权威政府机构的不可抗力证明或双方谅解确认后，允许延期履行或变更合同，并根据情况可部分或全部免于承担违约责任。</w:t>
      </w:r>
    </w:p>
    <w:p w14:paraId="1AB8DF28">
      <w:pPr>
        <w:ind w:firstLine="482" w:firstLineChars="200"/>
        <w:rPr>
          <w:rFonts w:ascii="宋体" w:hAnsi="宋体" w:cs="宋体"/>
          <w:b/>
          <w:sz w:val="24"/>
        </w:rPr>
      </w:pPr>
    </w:p>
    <w:p w14:paraId="70AD4F2E">
      <w:pPr>
        <w:ind w:firstLine="422" w:firstLineChars="200"/>
        <w:rPr>
          <w:rFonts w:ascii="宋体" w:hAnsi="宋体" w:cs="宋体"/>
          <w:b/>
          <w:szCs w:val="21"/>
        </w:rPr>
      </w:pPr>
      <w:r>
        <w:rPr>
          <w:rFonts w:hint="eastAsia" w:ascii="宋体" w:hAnsi="宋体" w:cs="宋体"/>
          <w:b/>
          <w:szCs w:val="21"/>
        </w:rPr>
        <w:t>第十条 违约责任</w:t>
      </w:r>
    </w:p>
    <w:p w14:paraId="77900522">
      <w:pPr>
        <w:ind w:firstLine="420" w:firstLineChars="200"/>
        <w:rPr>
          <w:rFonts w:ascii="宋体" w:hAnsi="宋体" w:cs="宋体"/>
          <w:bCs/>
          <w:szCs w:val="21"/>
        </w:rPr>
      </w:pPr>
      <w:r>
        <w:rPr>
          <w:rFonts w:hint="eastAsia" w:ascii="宋体" w:hAnsi="宋体" w:cs="宋体"/>
          <w:bCs/>
          <w:szCs w:val="21"/>
        </w:rPr>
        <w:t>1．本合同生效后，任何一方不履行或不完全履行本合同约定义务的，即构成违约，守约方有权要求违约方按照守约方遭受的全部损失承担赔偿责任，该损失包括但不限于，守约方为实现权利救济而支付的律师费、差旅费等。</w:t>
      </w:r>
    </w:p>
    <w:p w14:paraId="720EFFF8">
      <w:pPr>
        <w:ind w:firstLine="420" w:firstLineChars="200"/>
        <w:rPr>
          <w:rFonts w:ascii="宋体" w:hAnsi="宋体" w:cs="宋体"/>
          <w:bCs/>
          <w:szCs w:val="21"/>
        </w:rPr>
      </w:pPr>
      <w:r>
        <w:rPr>
          <w:rFonts w:hint="eastAsia" w:ascii="宋体" w:hAnsi="宋体" w:cs="宋体"/>
          <w:bCs/>
          <w:szCs w:val="21"/>
        </w:rPr>
        <w:t>2. 由于乙方原因造成其提供的服务不能满足合同中规定的要求，则甲方有权在书面通知乙方后，要求乙方按照以每例情事按合同总额3%的标准支付违约金，甲方有权在向乙方的任何应付款项中直接扣除该等违约金。服务期限内，上述情事累计发生超过3次的（包含3次），或因乙方有任何履行合同不符合约定的情形，经甲方以书面形式通知乙方，乙方在5日内未能予以补正和改进的，甲方有权解除本合同。甲方依法或依本合约约定行使合同解除权的，乙方须向甲方退还甲方已经支付的全部款项，并且乙方须按照合同总额20%的标准向甲方支付违约金，该等违约金不足以弥补甲方损失的，乙方须足额赔偿。</w:t>
      </w:r>
    </w:p>
    <w:p w14:paraId="43D624E6">
      <w:pPr>
        <w:ind w:firstLine="420" w:firstLineChars="200"/>
        <w:rPr>
          <w:rFonts w:ascii="宋体" w:hAnsi="宋体" w:cs="宋体"/>
          <w:bCs/>
          <w:szCs w:val="21"/>
        </w:rPr>
      </w:pPr>
      <w:r>
        <w:rPr>
          <w:rFonts w:hint="eastAsia" w:ascii="宋体" w:hAnsi="宋体" w:cs="宋体"/>
          <w:bCs/>
          <w:szCs w:val="21"/>
        </w:rPr>
        <w:t>3. 由于乙方原因造成其不能按时完成服务的，每逾期1个工作日，乙方向甲方支付合同总额的3‰的违约金，甲方有权在向乙方的任何应付款项中直接扣除该等违约金。乙方逾期履行超过5个工作日的，甲方有权解除本合同，乙方须向甲方退还甲方已经支付的全部款项，并且乙方须按照合同总额20%的标准向甲方支付违约金，该等违约金不足以弥补甲方损失的，乙方须足额赔偿。</w:t>
      </w:r>
    </w:p>
    <w:p w14:paraId="17CC388F">
      <w:pPr>
        <w:ind w:firstLine="420" w:firstLineChars="200"/>
        <w:rPr>
          <w:rFonts w:ascii="宋体" w:hAnsi="宋体" w:cs="宋体"/>
          <w:bCs/>
          <w:szCs w:val="21"/>
        </w:rPr>
      </w:pPr>
      <w:r>
        <w:rPr>
          <w:rFonts w:hint="eastAsia" w:ascii="宋体" w:hAnsi="宋体" w:cs="宋体"/>
          <w:bCs/>
          <w:szCs w:val="21"/>
        </w:rPr>
        <w:t>4.若乙方违反本合同约定保密事项条款，导致甲方的业务机密外泄，甲方可单方解除本合同，要求乙方退还甲方已支付的合同款项，并要求乙方支付合同总额20%的违约金，该违约金不足以弥补甲方全部损失的，乙方须足额赔偿。</w:t>
      </w:r>
    </w:p>
    <w:p w14:paraId="006659F0">
      <w:pPr>
        <w:ind w:firstLine="420" w:firstLineChars="200"/>
        <w:rPr>
          <w:rFonts w:ascii="宋体" w:hAnsi="宋体" w:cs="宋体"/>
          <w:bCs/>
          <w:szCs w:val="21"/>
        </w:rPr>
      </w:pPr>
      <w:r>
        <w:rPr>
          <w:rFonts w:hint="eastAsia" w:ascii="宋体" w:hAnsi="宋体" w:cs="宋体"/>
          <w:bCs/>
          <w:szCs w:val="21"/>
        </w:rPr>
        <w:t>5.</w:t>
      </w:r>
      <w:r>
        <w:rPr>
          <w:rFonts w:hint="eastAsia" w:ascii="宋体" w:hAnsi="宋体" w:cs="宋体"/>
          <w:bCs/>
          <w:color w:val="FF0000"/>
          <w:szCs w:val="21"/>
        </w:rPr>
        <w:t>[其他有关违约责任的约定]</w:t>
      </w:r>
      <w:r>
        <w:rPr>
          <w:rFonts w:hint="eastAsia" w:ascii="宋体" w:hAnsi="宋体" w:cs="宋体"/>
          <w:bCs/>
          <w:szCs w:val="21"/>
        </w:rPr>
        <w:t>。</w:t>
      </w:r>
    </w:p>
    <w:p w14:paraId="5AAB2A31">
      <w:pPr>
        <w:ind w:firstLine="420" w:firstLineChars="200"/>
        <w:rPr>
          <w:rFonts w:ascii="宋体" w:hAnsi="宋体" w:cs="宋体"/>
          <w:bCs/>
          <w:szCs w:val="21"/>
        </w:rPr>
      </w:pPr>
    </w:p>
    <w:p w14:paraId="5445E2D0">
      <w:pPr>
        <w:ind w:firstLine="422" w:firstLineChars="200"/>
        <w:rPr>
          <w:rFonts w:ascii="宋体" w:hAnsi="宋体" w:cs="宋体"/>
          <w:b/>
          <w:szCs w:val="21"/>
        </w:rPr>
      </w:pPr>
      <w:r>
        <w:rPr>
          <w:rFonts w:hint="eastAsia" w:ascii="宋体" w:hAnsi="宋体" w:cs="宋体"/>
          <w:b/>
          <w:szCs w:val="21"/>
        </w:rPr>
        <w:t>第十一条 法律适用与争议的解决</w:t>
      </w:r>
    </w:p>
    <w:p w14:paraId="71339A39">
      <w:pPr>
        <w:autoSpaceDE w:val="0"/>
        <w:autoSpaceDN w:val="0"/>
        <w:adjustRightInd w:val="0"/>
        <w:ind w:firstLine="420" w:firstLineChars="200"/>
        <w:jc w:val="left"/>
        <w:rPr>
          <w:rFonts w:ascii="宋体" w:hAnsi="宋体" w:cs="宋体"/>
          <w:bCs/>
          <w:kern w:val="0"/>
          <w:szCs w:val="21"/>
        </w:rPr>
      </w:pPr>
      <w:r>
        <w:rPr>
          <w:rFonts w:hint="eastAsia" w:ascii="宋体" w:hAnsi="宋体" w:cs="宋体"/>
          <w:bCs/>
          <w:kern w:val="0"/>
          <w:szCs w:val="21"/>
        </w:rPr>
        <w:t>1. 本合同适用中华人民共和国法律。</w:t>
      </w:r>
    </w:p>
    <w:p w14:paraId="64F79792">
      <w:pPr>
        <w:autoSpaceDE w:val="0"/>
        <w:autoSpaceDN w:val="0"/>
        <w:adjustRightInd w:val="0"/>
        <w:ind w:firstLine="420" w:firstLineChars="200"/>
        <w:jc w:val="left"/>
        <w:rPr>
          <w:rFonts w:ascii="宋体" w:hAnsi="宋体" w:cs="宋体"/>
          <w:bCs/>
          <w:kern w:val="0"/>
          <w:szCs w:val="21"/>
        </w:rPr>
      </w:pPr>
      <w:r>
        <w:rPr>
          <w:rFonts w:hint="eastAsia" w:ascii="宋体" w:hAnsi="宋体" w:cs="宋体"/>
          <w:bCs/>
          <w:kern w:val="0"/>
          <w:szCs w:val="21"/>
        </w:rPr>
        <w:t>2. 凡因本合同引起的或与本合同有关的任何争议，合同双方可通过协商解决，协商不成，任何一方均有权向甲方所在地有管辖权的人民法院提请诉讼解决。</w:t>
      </w:r>
    </w:p>
    <w:p w14:paraId="1A98F1DC">
      <w:pPr>
        <w:ind w:firstLine="422" w:firstLineChars="200"/>
        <w:rPr>
          <w:rFonts w:ascii="宋体" w:hAnsi="宋体" w:cs="宋体"/>
          <w:b/>
          <w:szCs w:val="21"/>
        </w:rPr>
      </w:pPr>
    </w:p>
    <w:p w14:paraId="7A4B5181">
      <w:pPr>
        <w:ind w:firstLine="422" w:firstLineChars="200"/>
        <w:rPr>
          <w:rFonts w:ascii="宋体" w:hAnsi="宋体" w:cs="宋体"/>
          <w:b/>
          <w:szCs w:val="21"/>
        </w:rPr>
      </w:pPr>
      <w:r>
        <w:rPr>
          <w:rFonts w:hint="eastAsia" w:ascii="宋体" w:hAnsi="宋体" w:cs="宋体"/>
          <w:b/>
          <w:szCs w:val="21"/>
        </w:rPr>
        <w:t>第十二条 其他约定</w:t>
      </w:r>
    </w:p>
    <w:p w14:paraId="73356BF6">
      <w:pPr>
        <w:autoSpaceDE w:val="0"/>
        <w:autoSpaceDN w:val="0"/>
        <w:adjustRightInd w:val="0"/>
        <w:ind w:firstLine="420" w:firstLineChars="200"/>
        <w:jc w:val="left"/>
        <w:rPr>
          <w:rFonts w:ascii="宋体" w:hAnsi="宋体" w:cs="宋体"/>
          <w:bCs/>
          <w:color w:val="FF0000"/>
          <w:szCs w:val="21"/>
        </w:rPr>
      </w:pPr>
      <w:r>
        <w:rPr>
          <w:rFonts w:ascii="宋体" w:hAnsi="宋体" w:cs="宋体"/>
          <w:bCs/>
          <w:color w:val="FF0000"/>
          <w:szCs w:val="21"/>
        </w:rPr>
        <w:t>[</w:t>
      </w:r>
      <w:r>
        <w:rPr>
          <w:rFonts w:hint="eastAsia" w:ascii="宋体" w:hAnsi="宋体" w:cs="宋体"/>
          <w:bCs/>
          <w:color w:val="FF0000"/>
          <w:szCs w:val="21"/>
        </w:rPr>
        <w:t>此处写明本合同文本中未能填入或需要补充表述的内容，附件服务技术条款中已经包括的内容可不在此处写入，如无其他约定内容，则写“无”或删除此条款</w:t>
      </w:r>
      <w:r>
        <w:rPr>
          <w:rFonts w:ascii="宋体" w:hAnsi="宋体" w:cs="宋体"/>
          <w:bCs/>
          <w:color w:val="FF0000"/>
          <w:szCs w:val="21"/>
        </w:rPr>
        <w:t>]</w:t>
      </w:r>
      <w:r>
        <w:rPr>
          <w:rFonts w:hint="eastAsia" w:ascii="宋体" w:hAnsi="宋体" w:cs="宋体"/>
          <w:bCs/>
          <w:color w:val="FF0000"/>
          <w:szCs w:val="21"/>
        </w:rPr>
        <w:t>。</w:t>
      </w:r>
    </w:p>
    <w:p w14:paraId="0EDBCFDC">
      <w:pPr>
        <w:autoSpaceDE w:val="0"/>
        <w:autoSpaceDN w:val="0"/>
        <w:adjustRightInd w:val="0"/>
        <w:ind w:firstLine="482" w:firstLineChars="200"/>
        <w:jc w:val="left"/>
        <w:rPr>
          <w:rFonts w:ascii="宋体" w:hAnsi="宋体" w:cs="宋体"/>
          <w:b/>
          <w:sz w:val="24"/>
        </w:rPr>
      </w:pPr>
    </w:p>
    <w:p w14:paraId="365D8618">
      <w:pPr>
        <w:autoSpaceDE w:val="0"/>
        <w:autoSpaceDN w:val="0"/>
        <w:adjustRightInd w:val="0"/>
        <w:ind w:firstLine="422" w:firstLineChars="200"/>
        <w:jc w:val="left"/>
        <w:rPr>
          <w:rFonts w:ascii="宋体" w:hAnsi="宋体" w:cs="宋体"/>
          <w:b/>
          <w:kern w:val="0"/>
          <w:szCs w:val="21"/>
        </w:rPr>
      </w:pPr>
      <w:r>
        <w:rPr>
          <w:rFonts w:hint="eastAsia" w:ascii="宋体" w:hAnsi="宋体" w:cs="宋体"/>
          <w:b/>
          <w:szCs w:val="21"/>
        </w:rPr>
        <w:t>第十三条</w:t>
      </w:r>
      <w:r>
        <w:rPr>
          <w:rFonts w:hint="eastAsia" w:ascii="宋体" w:hAnsi="宋体" w:cs="宋体"/>
          <w:b/>
          <w:kern w:val="0"/>
          <w:szCs w:val="21"/>
        </w:rPr>
        <w:t xml:space="preserve">  合同的生效、变更及合同份数</w:t>
      </w:r>
    </w:p>
    <w:p w14:paraId="29E796FD">
      <w:pPr>
        <w:pStyle w:val="118"/>
        <w:numPr>
          <w:ilvl w:val="0"/>
          <w:numId w:val="7"/>
        </w:numPr>
        <w:tabs>
          <w:tab w:val="clear" w:pos="0"/>
        </w:tabs>
        <w:ind w:left="0" w:firstLine="420"/>
        <w:rPr>
          <w:rFonts w:ascii="宋体" w:hAnsi="宋体" w:cs="宋体"/>
          <w:szCs w:val="21"/>
        </w:rPr>
      </w:pPr>
      <w:r>
        <w:rPr>
          <w:rFonts w:hint="eastAsia" w:ascii="宋体" w:hAnsi="宋体" w:cs="宋体"/>
          <w:szCs w:val="21"/>
        </w:rPr>
        <w:t>本合同自双方法定代表人或者委托代理人签字并加盖公章之日起生效。</w:t>
      </w:r>
    </w:p>
    <w:p w14:paraId="3FE288D1">
      <w:pPr>
        <w:ind w:firstLine="420" w:firstLineChars="200"/>
        <w:rPr>
          <w:rFonts w:ascii="宋体" w:hAnsi="宋体" w:cs="宋体"/>
          <w:szCs w:val="21"/>
        </w:rPr>
      </w:pPr>
      <w:r>
        <w:rPr>
          <w:rFonts w:hint="eastAsia" w:ascii="宋体" w:hAnsi="宋体" w:cs="宋体"/>
          <w:kern w:val="0"/>
          <w:szCs w:val="21"/>
        </w:rPr>
        <w:t>2. 本</w:t>
      </w:r>
      <w:r>
        <w:rPr>
          <w:rFonts w:hint="eastAsia" w:ascii="宋体" w:hAnsi="宋体" w:cs="宋体"/>
          <w:szCs w:val="21"/>
        </w:rPr>
        <w:t>合同履行期内，甲乙双方均不得随意变更或解除合同。未尽事宜，由双方共同协商达成补充协议解决。补充协议与本合同不一致的，以补充协议为准。</w:t>
      </w:r>
    </w:p>
    <w:p w14:paraId="5B338F47">
      <w:pPr>
        <w:ind w:firstLine="420" w:firstLineChars="200"/>
        <w:rPr>
          <w:rFonts w:ascii="宋体" w:hAnsi="宋体" w:cs="宋体"/>
          <w:szCs w:val="21"/>
        </w:rPr>
      </w:pPr>
      <w:r>
        <w:rPr>
          <w:rFonts w:hint="eastAsia" w:ascii="宋体" w:hAnsi="宋体" w:cs="宋体"/>
          <w:kern w:val="0"/>
          <w:szCs w:val="21"/>
        </w:rPr>
        <w:t xml:space="preserve">3. </w:t>
      </w: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份，甲乙双方各执</w:t>
      </w:r>
      <w:r>
        <w:rPr>
          <w:rFonts w:hint="eastAsia" w:ascii="宋体" w:hAnsi="宋体" w:cs="宋体"/>
          <w:szCs w:val="21"/>
          <w:u w:val="single"/>
        </w:rPr>
        <w:t xml:space="preserve">   </w:t>
      </w:r>
      <w:r>
        <w:rPr>
          <w:rFonts w:hint="eastAsia" w:ascii="宋体" w:hAnsi="宋体" w:cs="宋体"/>
          <w:szCs w:val="21"/>
        </w:rPr>
        <w:t>份，具有同等法律效力。本合同的所有附件均为本合同的一部分，与本合同具有同等法律效力。</w:t>
      </w:r>
    </w:p>
    <w:p w14:paraId="00EB0838">
      <w:pPr>
        <w:autoSpaceDE w:val="0"/>
        <w:autoSpaceDN w:val="0"/>
        <w:adjustRightInd w:val="0"/>
        <w:ind w:firstLine="422" w:firstLineChars="200"/>
        <w:jc w:val="left"/>
        <w:rPr>
          <w:rFonts w:ascii="宋体" w:hAnsi="宋体" w:cs="宋体"/>
          <w:b/>
          <w:szCs w:val="21"/>
        </w:rPr>
      </w:pPr>
    </w:p>
    <w:p w14:paraId="48149894">
      <w:pPr>
        <w:autoSpaceDE w:val="0"/>
        <w:autoSpaceDN w:val="0"/>
        <w:adjustRightInd w:val="0"/>
        <w:ind w:firstLine="422" w:firstLineChars="200"/>
        <w:jc w:val="left"/>
        <w:rPr>
          <w:rFonts w:ascii="宋体" w:hAnsi="宋体" w:cs="宋体"/>
          <w:b/>
          <w:szCs w:val="21"/>
        </w:rPr>
      </w:pPr>
      <w:r>
        <w:rPr>
          <w:rFonts w:hint="eastAsia" w:ascii="宋体" w:hAnsi="宋体" w:cs="宋体"/>
          <w:b/>
          <w:szCs w:val="21"/>
        </w:rPr>
        <w:t xml:space="preserve">第十四条 附件 </w:t>
      </w:r>
    </w:p>
    <w:p w14:paraId="6F695282">
      <w:pPr>
        <w:ind w:firstLine="420" w:firstLineChars="200"/>
        <w:rPr>
          <w:rFonts w:ascii="宋体" w:hAnsi="宋体" w:cs="宋体"/>
          <w:szCs w:val="21"/>
        </w:rPr>
      </w:pPr>
      <w:r>
        <w:rPr>
          <w:rFonts w:hint="eastAsia" w:ascii="宋体" w:hAnsi="宋体" w:cs="宋体"/>
          <w:szCs w:val="21"/>
        </w:rPr>
        <w:t>与履行本合同有关的下列附件文件，为本合同的组成部分，彼此相互解释，相互补充。</w:t>
      </w:r>
    </w:p>
    <w:p w14:paraId="4B83FC96">
      <w:pPr>
        <w:numPr>
          <w:ilvl w:val="0"/>
          <w:numId w:val="8"/>
        </w:numPr>
        <w:ind w:firstLine="420" w:firstLineChars="200"/>
        <w:rPr>
          <w:rFonts w:ascii="宋体" w:hAnsi="宋体" w:cs="宋体"/>
          <w:szCs w:val="21"/>
        </w:rPr>
      </w:pPr>
      <w:r>
        <w:rPr>
          <w:rFonts w:hint="eastAsia" w:ascii="宋体" w:hAnsi="宋体" w:cs="宋体"/>
          <w:szCs w:val="21"/>
        </w:rPr>
        <w:t>《服务技术条款》；</w:t>
      </w:r>
    </w:p>
    <w:p w14:paraId="2630A2D4">
      <w:pPr>
        <w:numPr>
          <w:ilvl w:val="0"/>
          <w:numId w:val="8"/>
        </w:numPr>
        <w:ind w:firstLine="420" w:firstLineChars="200"/>
        <w:rPr>
          <w:rFonts w:ascii="宋体" w:hAnsi="宋体" w:cs="宋体"/>
          <w:szCs w:val="21"/>
        </w:rPr>
      </w:pPr>
      <w:r>
        <w:rPr>
          <w:rFonts w:hint="eastAsia" w:ascii="宋体" w:hAnsi="宋体" w:cs="宋体"/>
          <w:szCs w:val="21"/>
        </w:rPr>
        <w:t>《海关信息安全与保密协议》；</w:t>
      </w:r>
    </w:p>
    <w:p w14:paraId="29244844">
      <w:pPr>
        <w:numPr>
          <w:ilvl w:val="0"/>
          <w:numId w:val="8"/>
        </w:numPr>
        <w:ind w:firstLine="420" w:firstLineChars="200"/>
        <w:rPr>
          <w:rFonts w:ascii="宋体" w:hAnsi="宋体" w:cs="宋体"/>
          <w:szCs w:val="21"/>
        </w:rPr>
      </w:pPr>
      <w:r>
        <w:rPr>
          <w:rFonts w:hint="eastAsia" w:ascii="宋体" w:hAnsi="宋体" w:cs="宋体"/>
          <w:szCs w:val="21"/>
        </w:rPr>
        <w:t>《员工服务承诺书》</w:t>
      </w:r>
      <w:r>
        <w:rPr>
          <w:rFonts w:hint="eastAsia" w:ascii="宋体" w:hAnsi="宋体" w:cs="宋体"/>
          <w:color w:val="FF0000"/>
          <w:szCs w:val="21"/>
        </w:rPr>
        <w:t>（根据项目需要签署或不签署该承诺书）</w:t>
      </w:r>
      <w:r>
        <w:rPr>
          <w:rFonts w:hint="eastAsia" w:ascii="宋体" w:hAnsi="宋体" w:cs="宋体"/>
          <w:szCs w:val="21"/>
        </w:rPr>
        <w:t>；</w:t>
      </w:r>
    </w:p>
    <w:p w14:paraId="46C380D4">
      <w:pPr>
        <w:numPr>
          <w:ilvl w:val="0"/>
          <w:numId w:val="8"/>
        </w:numPr>
        <w:ind w:firstLine="420" w:firstLineChars="200"/>
        <w:rPr>
          <w:rFonts w:ascii="宋体" w:hAnsi="宋体" w:cs="宋体"/>
          <w:color w:val="FF0000"/>
          <w:szCs w:val="21"/>
        </w:rPr>
      </w:pPr>
      <w:r>
        <w:rPr>
          <w:rFonts w:hint="eastAsia" w:ascii="宋体" w:hAnsi="宋体" w:cs="宋体"/>
          <w:color w:val="FF0000"/>
          <w:szCs w:val="21"/>
        </w:rPr>
        <w:t>[其他合同附件，根据需要确定]。</w:t>
      </w:r>
    </w:p>
    <w:p w14:paraId="38CD6E5D">
      <w:pPr>
        <w:numPr>
          <w:ilvl w:val="255"/>
          <w:numId w:val="0"/>
        </w:numPr>
        <w:ind w:firstLine="420" w:firstLineChars="200"/>
        <w:rPr>
          <w:rFonts w:ascii="宋体" w:hAnsi="宋体" w:cs="宋体"/>
          <w:szCs w:val="21"/>
        </w:rPr>
      </w:pPr>
      <w:r>
        <w:rPr>
          <w:rFonts w:hint="eastAsia" w:ascii="宋体" w:hAnsi="宋体" w:cs="宋体"/>
          <w:szCs w:val="21"/>
        </w:rPr>
        <w:t>[本页以下无正文]</w:t>
      </w:r>
    </w:p>
    <w:p w14:paraId="1F957AAA">
      <w:pPr>
        <w:ind w:firstLine="482" w:firstLineChars="200"/>
        <w:rPr>
          <w:rFonts w:ascii="宋体" w:hAnsi="宋体" w:cs="宋体"/>
          <w:b/>
          <w:kern w:val="0"/>
          <w:sz w:val="24"/>
        </w:rPr>
      </w:pPr>
    </w:p>
    <w:p w14:paraId="65A12B6B">
      <w:pPr>
        <w:ind w:firstLine="422" w:firstLineChars="200"/>
        <w:rPr>
          <w:rFonts w:ascii="宋体" w:hAnsi="宋体" w:cs="宋体"/>
          <w:b/>
          <w:kern w:val="0"/>
          <w:szCs w:val="21"/>
        </w:rPr>
      </w:pPr>
    </w:p>
    <w:p w14:paraId="2DCE9A00">
      <w:pPr>
        <w:ind w:firstLine="422" w:firstLineChars="200"/>
        <w:rPr>
          <w:rFonts w:ascii="宋体" w:hAnsi="宋体" w:cs="宋体"/>
          <w:b/>
          <w:kern w:val="0"/>
          <w:szCs w:val="21"/>
        </w:rPr>
      </w:pPr>
      <w:r>
        <w:rPr>
          <w:rFonts w:hint="eastAsia" w:ascii="宋体" w:hAnsi="宋体" w:cs="宋体"/>
          <w:b/>
          <w:kern w:val="0"/>
          <w:szCs w:val="21"/>
        </w:rPr>
        <w:t>【双方签字、盖章】</w:t>
      </w:r>
    </w:p>
    <w:p w14:paraId="771FD5C0">
      <w:pPr>
        <w:ind w:firstLine="420" w:firstLineChars="200"/>
        <w:rPr>
          <w:rFonts w:ascii="宋体" w:hAnsi="宋体" w:cs="宋体"/>
          <w:szCs w:val="21"/>
        </w:rPr>
      </w:pPr>
      <w:r>
        <w:rPr>
          <w:rFonts w:hint="eastAsia" w:ascii="宋体" w:hAnsi="宋体" w:cs="宋体"/>
          <w:szCs w:val="21"/>
        </w:rPr>
        <w:t>甲方：</w:t>
      </w:r>
      <w:r>
        <w:rPr>
          <w:rFonts w:hint="eastAsia" w:ascii="宋体" w:hAnsi="宋体" w:cs="宋体"/>
          <w:b/>
          <w:bCs/>
          <w:szCs w:val="21"/>
        </w:rPr>
        <w:t xml:space="preserve">中华人民共和国南京海关（盖章） </w:t>
      </w:r>
      <w:r>
        <w:rPr>
          <w:rFonts w:hint="eastAsia" w:ascii="宋体" w:hAnsi="宋体" w:cs="宋体"/>
          <w:szCs w:val="21"/>
        </w:rPr>
        <w:t xml:space="preserve">        乙方：                </w:t>
      </w:r>
      <w:r>
        <w:rPr>
          <w:rFonts w:hint="eastAsia" w:ascii="宋体" w:hAnsi="宋体" w:cs="宋体"/>
          <w:b/>
          <w:bCs/>
          <w:szCs w:val="21"/>
        </w:rPr>
        <w:t>（盖章）</w:t>
      </w:r>
    </w:p>
    <w:p w14:paraId="7FBC1B90">
      <w:pPr>
        <w:ind w:firstLine="420" w:firstLineChars="200"/>
        <w:rPr>
          <w:rFonts w:ascii="宋体" w:hAnsi="宋体" w:cs="宋体"/>
          <w:szCs w:val="21"/>
        </w:rPr>
      </w:pPr>
      <w:r>
        <w:rPr>
          <w:rFonts w:hint="eastAsia" w:ascii="宋体" w:hAnsi="宋体" w:cs="宋体"/>
          <w:szCs w:val="21"/>
        </w:rPr>
        <w:t xml:space="preserve">                     </w:t>
      </w:r>
    </w:p>
    <w:p w14:paraId="38FDBF37">
      <w:pPr>
        <w:ind w:firstLine="420" w:firstLineChars="200"/>
        <w:rPr>
          <w:rFonts w:ascii="宋体" w:hAnsi="宋体" w:cs="宋体"/>
          <w:szCs w:val="21"/>
        </w:rPr>
      </w:pPr>
      <w:r>
        <w:rPr>
          <w:rFonts w:hint="eastAsia" w:ascii="宋体" w:hAnsi="宋体" w:cs="宋体"/>
          <w:szCs w:val="21"/>
        </w:rPr>
        <w:t xml:space="preserve">法定代表人或委托代理人（签字）：             法定代表人或委托代理人（签字）：           </w:t>
      </w:r>
    </w:p>
    <w:p w14:paraId="687B8556">
      <w:pPr>
        <w:ind w:firstLine="420" w:firstLineChars="200"/>
        <w:rPr>
          <w:rFonts w:ascii="宋体" w:hAnsi="宋体" w:cs="宋体"/>
          <w:szCs w:val="21"/>
        </w:rPr>
      </w:pPr>
    </w:p>
    <w:p w14:paraId="22A92A38">
      <w:pPr>
        <w:ind w:firstLine="420" w:firstLineChars="200"/>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369470C8">
      <w:pPr>
        <w:rPr>
          <w:rFonts w:ascii="宋体" w:hAnsi="宋体" w:cs="宋体"/>
          <w:b/>
          <w:bCs/>
          <w:sz w:val="24"/>
        </w:rPr>
      </w:pPr>
      <w:r>
        <w:rPr>
          <w:rFonts w:hint="eastAsia" w:ascii="宋体" w:hAnsi="宋体" w:cs="宋体"/>
          <w:b/>
          <w:bCs/>
          <w:sz w:val="24"/>
        </w:rPr>
        <w:br w:type="page"/>
      </w:r>
    </w:p>
    <w:p w14:paraId="5150992E">
      <w:pPr>
        <w:spacing w:line="360" w:lineRule="auto"/>
        <w:outlineLvl w:val="1"/>
        <w:rPr>
          <w:rFonts w:ascii="宋体" w:hAnsi="宋体" w:cs="宋体"/>
          <w:b/>
          <w:bCs/>
          <w:sz w:val="24"/>
        </w:rPr>
      </w:pPr>
      <w:bookmarkStart w:id="110" w:name="_Toc24985"/>
      <w:r>
        <w:rPr>
          <w:rFonts w:hint="eastAsia" w:ascii="宋体" w:hAnsi="宋体" w:cs="宋体"/>
          <w:b/>
          <w:bCs/>
          <w:sz w:val="24"/>
        </w:rPr>
        <w:t>附件1：</w:t>
      </w:r>
      <w:bookmarkEnd w:id="110"/>
    </w:p>
    <w:p w14:paraId="122D5360">
      <w:pPr>
        <w:spacing w:line="360" w:lineRule="auto"/>
        <w:jc w:val="center"/>
        <w:rPr>
          <w:rFonts w:ascii="宋体" w:hAnsi="宋体" w:cs="宋体"/>
          <w:sz w:val="24"/>
        </w:rPr>
      </w:pPr>
      <w:r>
        <w:rPr>
          <w:rFonts w:hint="eastAsia" w:ascii="宋体" w:hAnsi="宋体" w:cs="宋体"/>
          <w:b/>
          <w:bCs/>
          <w:sz w:val="30"/>
          <w:szCs w:val="30"/>
        </w:rPr>
        <w:t>服务技术条款</w:t>
      </w:r>
    </w:p>
    <w:p w14:paraId="3F75FCB2">
      <w:pPr>
        <w:spacing w:line="360" w:lineRule="auto"/>
        <w:rPr>
          <w:rFonts w:ascii="宋体" w:hAnsi="宋体" w:cs="宋体"/>
          <w:color w:val="FF0000"/>
          <w:szCs w:val="21"/>
        </w:rPr>
      </w:pPr>
      <w:r>
        <w:rPr>
          <w:rFonts w:hint="eastAsia" w:ascii="宋体" w:hAnsi="宋体" w:cs="宋体"/>
          <w:szCs w:val="21"/>
        </w:rPr>
        <w:t>[</w:t>
      </w:r>
      <w:r>
        <w:rPr>
          <w:rFonts w:hint="eastAsia" w:ascii="宋体" w:hAnsi="宋体" w:cs="宋体"/>
          <w:i/>
          <w:color w:val="FF0000"/>
          <w:szCs w:val="21"/>
        </w:rPr>
        <w:t>使用说明：本服务协议为技术服务合同的附件，请根据实际项目情况填写，可包含：服务内容、范围、质量及技术标准、服务方式、各阶段工作及成果等各项内容，其内容应符合政府采购或招投标的结果及相关文件要求</w:t>
      </w:r>
      <w:r>
        <w:rPr>
          <w:rFonts w:hint="eastAsia" w:ascii="宋体" w:hAnsi="宋体" w:cs="宋体"/>
          <w:color w:val="FF0000"/>
          <w:szCs w:val="21"/>
        </w:rPr>
        <w:t>]</w:t>
      </w:r>
    </w:p>
    <w:p w14:paraId="7ACDD38D">
      <w:pPr>
        <w:spacing w:line="360" w:lineRule="auto"/>
        <w:rPr>
          <w:rFonts w:ascii="宋体" w:hAnsi="宋体" w:cs="宋体"/>
          <w:color w:val="FF0000"/>
          <w:szCs w:val="21"/>
        </w:rPr>
      </w:pPr>
      <w:r>
        <w:rPr>
          <w:rFonts w:hint="eastAsia" w:ascii="宋体" w:hAnsi="宋体" w:cs="宋体"/>
          <w:color w:val="FF0000"/>
          <w:szCs w:val="21"/>
        </w:rPr>
        <w:t>服务技术条款正文：</w:t>
      </w:r>
    </w:p>
    <w:p w14:paraId="3107489C">
      <w:pPr>
        <w:widowControl/>
        <w:jc w:val="left"/>
        <w:rPr>
          <w:rFonts w:ascii="宋体" w:hAnsi="宋体" w:cs="宋体"/>
        </w:rPr>
      </w:pPr>
      <w:r>
        <w:rPr>
          <w:rFonts w:hint="eastAsia" w:ascii="宋体" w:hAnsi="宋体" w:cs="宋体"/>
        </w:rPr>
        <w:br w:type="page"/>
      </w:r>
    </w:p>
    <w:p w14:paraId="5FFC3298">
      <w:pPr>
        <w:spacing w:line="360" w:lineRule="auto"/>
        <w:outlineLvl w:val="1"/>
        <w:rPr>
          <w:rFonts w:ascii="宋体" w:hAnsi="宋体" w:cs="宋体"/>
          <w:b/>
          <w:bCs/>
          <w:sz w:val="24"/>
        </w:rPr>
      </w:pPr>
      <w:bookmarkStart w:id="111" w:name="_Toc264"/>
      <w:r>
        <w:rPr>
          <w:rFonts w:hint="eastAsia" w:ascii="宋体" w:hAnsi="宋体" w:cs="宋体"/>
          <w:b/>
          <w:bCs/>
          <w:sz w:val="24"/>
        </w:rPr>
        <w:t>附件2：</w:t>
      </w:r>
      <w:bookmarkEnd w:id="111"/>
    </w:p>
    <w:p w14:paraId="09AB7CB1">
      <w:pPr>
        <w:snapToGrid w:val="0"/>
        <w:spacing w:line="700" w:lineRule="exact"/>
        <w:jc w:val="center"/>
        <w:rPr>
          <w:rFonts w:ascii="宋体" w:hAnsi="宋体" w:cs="宋体"/>
          <w:sz w:val="32"/>
          <w:szCs w:val="32"/>
        </w:rPr>
      </w:pPr>
      <w:r>
        <w:rPr>
          <w:rFonts w:hint="eastAsia" w:ascii="宋体" w:hAnsi="宋体" w:cs="宋体"/>
          <w:b/>
          <w:bCs/>
          <w:sz w:val="32"/>
          <w:szCs w:val="32"/>
        </w:rPr>
        <w:t>海关信息安全与保密协议</w:t>
      </w:r>
    </w:p>
    <w:p w14:paraId="682C1790">
      <w:pPr>
        <w:widowControl/>
        <w:snapToGrid w:val="0"/>
        <w:spacing w:line="700" w:lineRule="exact"/>
        <w:ind w:firstLine="420" w:firstLineChars="200"/>
        <w:rPr>
          <w:rFonts w:ascii="宋体" w:hAnsi="宋体" w:cs="宋体"/>
          <w:szCs w:val="21"/>
        </w:rPr>
      </w:pPr>
      <w:r>
        <w:rPr>
          <w:rFonts w:hint="eastAsia" w:ascii="宋体" w:hAnsi="宋体" w:cs="宋体"/>
          <w:szCs w:val="21"/>
        </w:rPr>
        <w:t>甲方：</w:t>
      </w:r>
      <w:r>
        <w:rPr>
          <w:rFonts w:hint="eastAsia" w:ascii="宋体" w:hAnsi="宋体" w:cs="宋体"/>
          <w:b/>
          <w:bCs/>
          <w:szCs w:val="21"/>
        </w:rPr>
        <w:t>中华人民共和国南京海关</w:t>
      </w:r>
    </w:p>
    <w:p w14:paraId="08EE4EC1">
      <w:pPr>
        <w:widowControl/>
        <w:snapToGrid w:val="0"/>
        <w:spacing w:line="500" w:lineRule="exact"/>
        <w:ind w:firstLine="420" w:firstLineChars="200"/>
        <w:rPr>
          <w:rFonts w:ascii="宋体" w:hAnsi="宋体" w:cs="宋体"/>
          <w:szCs w:val="21"/>
        </w:rPr>
      </w:pPr>
      <w:r>
        <w:rPr>
          <w:rFonts w:hint="eastAsia" w:ascii="宋体" w:hAnsi="宋体" w:cs="宋体"/>
          <w:szCs w:val="21"/>
        </w:rPr>
        <w:t xml:space="preserve">乙方： </w:t>
      </w:r>
    </w:p>
    <w:p w14:paraId="40EE79F9">
      <w:pPr>
        <w:widowControl/>
        <w:snapToGrid w:val="0"/>
        <w:spacing w:line="500" w:lineRule="exact"/>
        <w:ind w:firstLine="420" w:firstLineChars="200"/>
        <w:rPr>
          <w:rFonts w:ascii="宋体" w:hAnsi="宋体" w:cs="宋体"/>
          <w:szCs w:val="21"/>
        </w:rPr>
      </w:pPr>
      <w:r>
        <w:rPr>
          <w:rFonts w:hint="eastAsia" w:ascii="宋体" w:hAnsi="宋体" w:cs="宋体"/>
          <w:szCs w:val="21"/>
        </w:rPr>
        <w:t>根据《中华人民共和国民法典》等相关法律法规的规定，为了保护甲乙双方在合作过程中涉及到的海关信息及其他保密信息，经甲乙双方友好协商一致，签订如下保密协议条款：</w:t>
      </w:r>
    </w:p>
    <w:p w14:paraId="2A67E823">
      <w:pPr>
        <w:widowControl/>
        <w:snapToGrid w:val="0"/>
        <w:spacing w:line="500" w:lineRule="exact"/>
        <w:ind w:firstLine="422" w:firstLineChars="200"/>
        <w:rPr>
          <w:rFonts w:ascii="宋体" w:hAnsi="宋体" w:cs="宋体"/>
          <w:szCs w:val="21"/>
        </w:rPr>
      </w:pPr>
      <w:r>
        <w:rPr>
          <w:rFonts w:hint="eastAsia" w:ascii="宋体" w:hAnsi="宋体" w:cs="宋体"/>
          <w:b/>
          <w:bCs/>
          <w:szCs w:val="21"/>
        </w:rPr>
        <w:t>第一条</w:t>
      </w:r>
      <w:r>
        <w:rPr>
          <w:rFonts w:hint="eastAsia" w:ascii="宋体" w:hAnsi="宋体" w:cs="宋体"/>
          <w:szCs w:val="21"/>
        </w:rPr>
        <w:t xml:space="preserve">  本协议所称的“信息”是指海关的所有网络、各类系统软硬件信息、与系统相关的其他信息，即无论是书面的、口头的、图形的或其它任何形式的海关未公开发布过的信息。 </w:t>
      </w:r>
    </w:p>
    <w:p w14:paraId="3BAF9FCB">
      <w:pPr>
        <w:widowControl/>
        <w:snapToGrid w:val="0"/>
        <w:spacing w:line="500" w:lineRule="exact"/>
        <w:ind w:firstLine="422" w:firstLineChars="200"/>
        <w:rPr>
          <w:rFonts w:ascii="宋体" w:hAnsi="宋体" w:cs="宋体"/>
          <w:szCs w:val="21"/>
        </w:rPr>
      </w:pPr>
      <w:r>
        <w:rPr>
          <w:rFonts w:hint="eastAsia" w:ascii="宋体" w:hAnsi="宋体" w:cs="宋体"/>
          <w:b/>
          <w:bCs/>
          <w:szCs w:val="21"/>
        </w:rPr>
        <w:t>第二条</w:t>
      </w:r>
      <w:r>
        <w:rPr>
          <w:rFonts w:hint="eastAsia" w:ascii="宋体" w:hAnsi="宋体" w:cs="宋体"/>
          <w:szCs w:val="21"/>
        </w:rPr>
        <w:t xml:space="preserve">  乙方应当采取谨慎合理的保护措施来防止非授权披露、使用、复制甲方的信息。未经授权，乙方不得将甲方数据、程序等分发到甲方指定服务器外其它任何电脑及存储介质。乙方所采取的保护措施应当不得低于甲方对信息的保护程度和乙方保护自己的专有信息的保护程度。</w:t>
      </w:r>
    </w:p>
    <w:p w14:paraId="6CC3EAF7">
      <w:pPr>
        <w:widowControl/>
        <w:snapToGrid w:val="0"/>
        <w:spacing w:line="500" w:lineRule="exact"/>
        <w:ind w:firstLine="422" w:firstLineChars="200"/>
        <w:rPr>
          <w:rFonts w:ascii="宋体" w:hAnsi="宋体" w:cs="宋体"/>
          <w:szCs w:val="21"/>
        </w:rPr>
      </w:pPr>
      <w:r>
        <w:rPr>
          <w:rFonts w:hint="eastAsia" w:ascii="宋体" w:hAnsi="宋体" w:cs="宋体"/>
          <w:b/>
          <w:bCs/>
          <w:szCs w:val="21"/>
        </w:rPr>
        <w:t>第三条</w:t>
      </w:r>
      <w:r>
        <w:rPr>
          <w:rFonts w:hint="eastAsia" w:ascii="宋体" w:hAnsi="宋体" w:cs="宋体"/>
          <w:szCs w:val="21"/>
        </w:rPr>
        <w:t xml:space="preserve"> 乙方不得以任何方式将甲方的信息直接或间接用于谋取乙方或其他第三方的利益。 </w:t>
      </w:r>
    </w:p>
    <w:p w14:paraId="4BCA743E">
      <w:pPr>
        <w:widowControl/>
        <w:snapToGrid w:val="0"/>
        <w:spacing w:line="500" w:lineRule="exact"/>
        <w:ind w:firstLine="422" w:firstLineChars="200"/>
        <w:rPr>
          <w:rFonts w:ascii="宋体" w:hAnsi="宋体" w:cs="宋体"/>
          <w:szCs w:val="21"/>
        </w:rPr>
      </w:pPr>
      <w:r>
        <w:rPr>
          <w:rFonts w:hint="eastAsia" w:ascii="宋体" w:hAnsi="宋体" w:cs="宋体"/>
          <w:b/>
          <w:bCs/>
          <w:szCs w:val="21"/>
        </w:rPr>
        <w:t>第四条</w:t>
      </w:r>
      <w:r>
        <w:rPr>
          <w:rFonts w:hint="eastAsia" w:ascii="宋体" w:hAnsi="宋体" w:cs="宋体"/>
          <w:szCs w:val="21"/>
        </w:rPr>
        <w:t xml:space="preserve"> 乙方本着最小化原则在合作过程中尽量少了解海关的信息。乙方只能向乙方确有必要知道信息的雇员披露海关信息和资料。乙方应确保乙方知悉信息的所有雇员遵守本协议的规定，并签署与本协议内容一致的保密协议。若乙方雇员违反本协议规定则乙方应承担全部责任。</w:t>
      </w:r>
    </w:p>
    <w:p w14:paraId="75777339">
      <w:pPr>
        <w:widowControl/>
        <w:snapToGrid w:val="0"/>
        <w:spacing w:line="500" w:lineRule="exact"/>
        <w:ind w:firstLine="422" w:firstLineChars="200"/>
        <w:rPr>
          <w:rFonts w:ascii="宋体" w:hAnsi="宋体" w:cs="宋体"/>
          <w:szCs w:val="21"/>
        </w:rPr>
      </w:pPr>
      <w:r>
        <w:rPr>
          <w:rFonts w:hint="eastAsia" w:ascii="宋体" w:hAnsi="宋体" w:cs="宋体"/>
          <w:b/>
          <w:bCs/>
          <w:szCs w:val="21"/>
        </w:rPr>
        <w:t>第五条</w:t>
      </w:r>
      <w:r>
        <w:rPr>
          <w:rFonts w:hint="eastAsia" w:ascii="宋体" w:hAnsi="宋体" w:cs="宋体"/>
          <w:szCs w:val="21"/>
        </w:rPr>
        <w:tab/>
      </w:r>
      <w:r>
        <w:rPr>
          <w:rFonts w:hint="eastAsia" w:ascii="宋体" w:hAnsi="宋体" w:cs="宋体"/>
          <w:szCs w:val="21"/>
        </w:rPr>
        <w:t xml:space="preserve"> 乙方承担海关信息化项目建设、运维、咨询的人员应按海关要求，积极参加海关信息安全管理方面制度、规定、要求等的培训（所产生的交通、食宿费由乙方承担）；人员在项目各阶段均应遵守海关信息安全管理各项规定，如有违反，乙方应承担全部责任。</w:t>
      </w:r>
    </w:p>
    <w:p w14:paraId="74261854">
      <w:pPr>
        <w:widowControl/>
        <w:snapToGrid w:val="0"/>
        <w:spacing w:line="500" w:lineRule="exact"/>
        <w:ind w:firstLine="422" w:firstLineChars="200"/>
        <w:rPr>
          <w:rFonts w:ascii="宋体" w:hAnsi="宋体" w:cs="宋体"/>
          <w:szCs w:val="21"/>
        </w:rPr>
      </w:pPr>
      <w:r>
        <w:rPr>
          <w:rFonts w:hint="eastAsia" w:ascii="宋体" w:hAnsi="宋体" w:cs="宋体"/>
          <w:b/>
          <w:bCs/>
          <w:szCs w:val="21"/>
        </w:rPr>
        <w:t>第六条</w:t>
      </w:r>
      <w:r>
        <w:rPr>
          <w:rFonts w:hint="eastAsia" w:ascii="宋体" w:hAnsi="宋体" w:cs="宋体"/>
          <w:szCs w:val="21"/>
        </w:rPr>
        <w:tab/>
      </w:r>
      <w:r>
        <w:rPr>
          <w:rFonts w:hint="eastAsia" w:ascii="宋体" w:hAnsi="宋体" w:cs="宋体"/>
          <w:szCs w:val="21"/>
        </w:rPr>
        <w:t xml:space="preserve"> 未经甲方书面许可，乙方不得向其子公司、控股公司、分支机构、承包商、转包商、代理商、合伙人、客户及其他第三方披露任何甲方的信息。只有在乙方能向甲方证明该等披露为履行相关合同所必需、且需要获得信息的第三方以书面形式承诺遵守本协议的所有条款时，甲方才能向乙方授予此类披露许可。如果乙方在取得甲方书面许可之后使第三方知悉甲方的信息，则乙方与该第三方将对本协议所有条款向甲方承担连带责任。</w:t>
      </w:r>
    </w:p>
    <w:p w14:paraId="42BD07DE">
      <w:pPr>
        <w:widowControl/>
        <w:snapToGrid w:val="0"/>
        <w:spacing w:line="500" w:lineRule="exact"/>
        <w:ind w:firstLine="422" w:firstLineChars="200"/>
        <w:rPr>
          <w:rFonts w:ascii="宋体" w:hAnsi="宋体" w:cs="宋体"/>
          <w:szCs w:val="21"/>
        </w:rPr>
      </w:pPr>
      <w:r>
        <w:rPr>
          <w:rFonts w:hint="eastAsia" w:ascii="宋体" w:hAnsi="宋体" w:cs="宋体"/>
          <w:b/>
          <w:bCs/>
          <w:szCs w:val="21"/>
        </w:rPr>
        <w:t>第七条</w:t>
      </w:r>
      <w:r>
        <w:rPr>
          <w:rFonts w:hint="eastAsia" w:ascii="宋体" w:hAnsi="宋体" w:cs="宋体"/>
          <w:szCs w:val="21"/>
        </w:rPr>
        <w:t xml:space="preserve"> 如果依据法院判决、行政机构或其他政府机构的要求，乙方必须披露甲方信息的，乙方应在知悉命令或要求的当天将此事通知甲方，并妥善、及时采取各种保护性措施防止信息泄露。</w:t>
      </w:r>
    </w:p>
    <w:p w14:paraId="7D3AEFF4">
      <w:pPr>
        <w:widowControl/>
        <w:snapToGrid w:val="0"/>
        <w:spacing w:line="500" w:lineRule="exact"/>
        <w:ind w:firstLine="422" w:firstLineChars="200"/>
        <w:rPr>
          <w:rFonts w:ascii="宋体" w:hAnsi="宋体" w:cs="宋体"/>
          <w:szCs w:val="21"/>
        </w:rPr>
      </w:pPr>
      <w:r>
        <w:rPr>
          <w:rFonts w:hint="eastAsia" w:ascii="宋体" w:hAnsi="宋体" w:cs="宋体"/>
          <w:b/>
          <w:bCs/>
          <w:szCs w:val="21"/>
        </w:rPr>
        <w:t>第八条</w:t>
      </w:r>
      <w:r>
        <w:rPr>
          <w:rFonts w:hint="eastAsia" w:ascii="宋体" w:hAnsi="宋体" w:cs="宋体"/>
          <w:szCs w:val="21"/>
        </w:rPr>
        <w:t xml:space="preserve"> 如果乙方发现有第三方非法使用甲方的信息，应在发现的当天通知甲方，甲方将采取必要措施防止非法使用。</w:t>
      </w:r>
    </w:p>
    <w:p w14:paraId="752EDA37">
      <w:pPr>
        <w:widowControl/>
        <w:snapToGrid w:val="0"/>
        <w:spacing w:line="500" w:lineRule="exact"/>
        <w:ind w:firstLine="422" w:firstLineChars="200"/>
        <w:rPr>
          <w:rFonts w:ascii="宋体" w:hAnsi="宋体" w:cs="宋体"/>
          <w:szCs w:val="21"/>
        </w:rPr>
      </w:pPr>
      <w:r>
        <w:rPr>
          <w:rFonts w:hint="eastAsia" w:ascii="宋体" w:hAnsi="宋体" w:cs="宋体"/>
          <w:b/>
          <w:bCs/>
          <w:szCs w:val="21"/>
        </w:rPr>
        <w:t>第九条</w:t>
      </w:r>
      <w:r>
        <w:rPr>
          <w:rFonts w:hint="eastAsia" w:ascii="宋体" w:hAnsi="宋体" w:cs="宋体"/>
          <w:szCs w:val="21"/>
        </w:rPr>
        <w:t xml:space="preserve"> 如果乙方违约，则应当赔偿对甲方造成的所有直接及间接损失，同时应赔偿甲方因此已经产生或可能产生的诉讼费用和合理的律师费用。</w:t>
      </w:r>
    </w:p>
    <w:p w14:paraId="36FB2489">
      <w:pPr>
        <w:widowControl/>
        <w:snapToGrid w:val="0"/>
        <w:spacing w:line="500" w:lineRule="exact"/>
        <w:ind w:firstLine="422" w:firstLineChars="200"/>
        <w:rPr>
          <w:rFonts w:ascii="宋体" w:hAnsi="宋体" w:cs="宋体"/>
          <w:szCs w:val="21"/>
        </w:rPr>
      </w:pPr>
      <w:r>
        <w:rPr>
          <w:rFonts w:hint="eastAsia" w:ascii="宋体" w:hAnsi="宋体" w:cs="宋体"/>
          <w:b/>
          <w:bCs/>
          <w:szCs w:val="21"/>
        </w:rPr>
        <w:t>第十条</w:t>
      </w:r>
      <w:r>
        <w:rPr>
          <w:rFonts w:hint="eastAsia" w:ascii="宋体" w:hAnsi="宋体" w:cs="宋体"/>
          <w:szCs w:val="21"/>
        </w:rPr>
        <w:t xml:space="preserve"> 本协议自双方法定代表人或委托代理人签字并加盖公章之日起生效，对本协议的任何修改和变更，必须经双方书面同意，并由双方重新签章。本协议规定的保密责任期限自协议生效之日起至海关提供的信息失效止。乙方在签订本协议前同甲方发生的业务往来中有关信息的保密同样适用本协议。</w:t>
      </w:r>
    </w:p>
    <w:p w14:paraId="07707AB2">
      <w:pPr>
        <w:widowControl/>
        <w:snapToGrid w:val="0"/>
        <w:spacing w:line="500" w:lineRule="exact"/>
        <w:ind w:firstLine="422" w:firstLineChars="200"/>
        <w:rPr>
          <w:rFonts w:ascii="宋体" w:hAnsi="宋体" w:cs="宋体"/>
          <w:szCs w:val="21"/>
        </w:rPr>
      </w:pPr>
      <w:r>
        <w:rPr>
          <w:rFonts w:hint="eastAsia" w:ascii="宋体" w:hAnsi="宋体" w:cs="宋体"/>
          <w:b/>
          <w:bCs/>
          <w:szCs w:val="21"/>
        </w:rPr>
        <w:t>第十一条</w:t>
      </w:r>
      <w:r>
        <w:rPr>
          <w:rFonts w:hint="eastAsia" w:ascii="宋体" w:hAnsi="宋体" w:cs="宋体"/>
          <w:szCs w:val="21"/>
        </w:rPr>
        <w:t xml:space="preserve"> 乙方与甲方业务的终止并不解除甲乙双方就约定的保密事项履行保密义务。协议当事人的变更，如公司的合并、分立、法定代表人的更换等情况，并不导致任何一方权利和义务的增加和减少。</w:t>
      </w:r>
    </w:p>
    <w:p w14:paraId="4DFEDB0E">
      <w:pPr>
        <w:widowControl/>
        <w:snapToGrid w:val="0"/>
        <w:spacing w:line="500" w:lineRule="exact"/>
        <w:ind w:firstLine="422" w:firstLineChars="200"/>
        <w:rPr>
          <w:rFonts w:ascii="宋体" w:hAnsi="宋体" w:cs="宋体"/>
          <w:szCs w:val="21"/>
        </w:rPr>
      </w:pPr>
      <w:r>
        <w:rPr>
          <w:rFonts w:hint="eastAsia" w:ascii="宋体" w:hAnsi="宋体" w:cs="宋体"/>
          <w:b/>
          <w:bCs/>
          <w:szCs w:val="21"/>
        </w:rPr>
        <w:t>第十二条</w:t>
      </w:r>
      <w:r>
        <w:rPr>
          <w:rFonts w:hint="eastAsia" w:ascii="宋体" w:hAnsi="宋体" w:cs="宋体"/>
          <w:szCs w:val="21"/>
        </w:rPr>
        <w:t xml:space="preserve"> 本协议签订后，乙方与甲方签订或执行的所有项目均按照此协议执行。如有变更如补充需要的，应另行签订补充协议。</w:t>
      </w:r>
    </w:p>
    <w:p w14:paraId="68E9C0E8">
      <w:pPr>
        <w:widowControl/>
        <w:snapToGrid w:val="0"/>
        <w:spacing w:line="500" w:lineRule="exact"/>
        <w:ind w:firstLine="422" w:firstLineChars="200"/>
        <w:rPr>
          <w:rFonts w:ascii="宋体" w:hAnsi="宋体" w:cs="宋体"/>
          <w:szCs w:val="21"/>
        </w:rPr>
      </w:pPr>
      <w:r>
        <w:rPr>
          <w:rFonts w:hint="eastAsia" w:ascii="宋体" w:hAnsi="宋体" w:cs="宋体"/>
          <w:b/>
          <w:bCs/>
          <w:szCs w:val="21"/>
        </w:rPr>
        <w:t>第十三条</w:t>
      </w:r>
      <w:r>
        <w:rPr>
          <w:rFonts w:hint="eastAsia" w:ascii="宋体" w:hAnsi="宋体" w:cs="宋体"/>
          <w:szCs w:val="21"/>
        </w:rPr>
        <w:t xml:space="preserve"> 因本协议产生的一切争议由双方友好协商解决。协商不成，双方约定本协议纠纷的管辖法院为甲方所在地人民法院。</w:t>
      </w:r>
    </w:p>
    <w:p w14:paraId="26117B8D">
      <w:pPr>
        <w:widowControl/>
        <w:snapToGrid w:val="0"/>
        <w:spacing w:line="500" w:lineRule="exact"/>
        <w:ind w:firstLine="422" w:firstLineChars="200"/>
        <w:rPr>
          <w:rFonts w:ascii="宋体" w:hAnsi="宋体" w:cs="宋体"/>
          <w:szCs w:val="21"/>
        </w:rPr>
      </w:pPr>
      <w:r>
        <w:rPr>
          <w:rFonts w:hint="eastAsia" w:ascii="宋体" w:hAnsi="宋体" w:cs="宋体"/>
          <w:b/>
          <w:bCs/>
          <w:szCs w:val="21"/>
        </w:rPr>
        <w:t>第十四条</w:t>
      </w:r>
      <w:r>
        <w:rPr>
          <w:rFonts w:hint="eastAsia" w:ascii="宋体" w:hAnsi="宋体" w:cs="宋体"/>
          <w:szCs w:val="21"/>
        </w:rPr>
        <w:t xml:space="preserve">  本协议一式两份，甲方持一份，乙方持一份，具有同等法律效力。</w:t>
      </w:r>
    </w:p>
    <w:p w14:paraId="733A20D6">
      <w:pPr>
        <w:widowControl/>
        <w:snapToGrid w:val="0"/>
        <w:spacing w:line="500" w:lineRule="exact"/>
        <w:rPr>
          <w:rFonts w:ascii="宋体" w:hAnsi="宋体" w:cs="宋体"/>
          <w:b/>
          <w:bCs/>
          <w:sz w:val="24"/>
        </w:rPr>
      </w:pPr>
      <w:r>
        <w:rPr>
          <w:rFonts w:hint="eastAsia" w:ascii="宋体" w:hAnsi="宋体" w:cs="宋体"/>
          <w:b/>
          <w:bCs/>
          <w:szCs w:val="21"/>
        </w:rPr>
        <w:t>双方当事人签字、盖章：</w:t>
      </w:r>
    </w:p>
    <w:p w14:paraId="278FDD9C">
      <w:pPr>
        <w:widowControl/>
        <w:snapToGrid w:val="0"/>
        <w:spacing w:line="500" w:lineRule="exact"/>
        <w:rPr>
          <w:rFonts w:ascii="宋体" w:hAnsi="宋体" w:cs="宋体"/>
          <w:sz w:val="24"/>
        </w:rPr>
      </w:pPr>
    </w:p>
    <w:p w14:paraId="156F549D">
      <w:pPr>
        <w:widowControl/>
        <w:snapToGrid w:val="0"/>
        <w:spacing w:line="500" w:lineRule="exact"/>
        <w:rPr>
          <w:rFonts w:ascii="宋体" w:hAnsi="宋体" w:cs="宋体"/>
          <w:sz w:val="24"/>
        </w:rPr>
      </w:pPr>
    </w:p>
    <w:p w14:paraId="6954F50E">
      <w:pPr>
        <w:widowControl/>
        <w:snapToGrid w:val="0"/>
        <w:spacing w:line="500" w:lineRule="exact"/>
        <w:rPr>
          <w:rFonts w:ascii="宋体" w:hAnsi="宋体" w:cs="宋体"/>
          <w:szCs w:val="21"/>
        </w:rPr>
      </w:pPr>
    </w:p>
    <w:p w14:paraId="18163D6C">
      <w:pPr>
        <w:widowControl/>
        <w:snapToGrid w:val="0"/>
        <w:spacing w:line="500" w:lineRule="exact"/>
        <w:rPr>
          <w:rFonts w:ascii="宋体" w:hAnsi="宋体" w:cs="宋体"/>
          <w:szCs w:val="21"/>
        </w:rPr>
      </w:pPr>
    </w:p>
    <w:p w14:paraId="6496BCD3">
      <w:pPr>
        <w:widowControl/>
        <w:snapToGrid w:val="0"/>
        <w:spacing w:line="500" w:lineRule="exact"/>
        <w:rPr>
          <w:rFonts w:ascii="宋体" w:hAnsi="宋体" w:cs="宋体"/>
          <w:szCs w:val="21"/>
        </w:rPr>
      </w:pPr>
      <w:r>
        <w:rPr>
          <w:rFonts w:hint="eastAsia" w:ascii="宋体" w:hAnsi="宋体" w:cs="宋体"/>
          <w:szCs w:val="21"/>
        </w:rPr>
        <w:t>甲方：中华人民共和国南京海关（盖章）       乙方：            （盖章）</w:t>
      </w:r>
    </w:p>
    <w:p w14:paraId="27619F6D">
      <w:pPr>
        <w:widowControl/>
        <w:snapToGrid w:val="0"/>
        <w:spacing w:line="500" w:lineRule="exact"/>
        <w:rPr>
          <w:rFonts w:ascii="宋体" w:hAnsi="宋体" w:cs="宋体"/>
          <w:szCs w:val="21"/>
        </w:rPr>
      </w:pPr>
      <w:r>
        <w:rPr>
          <w:rFonts w:hint="eastAsia" w:ascii="宋体" w:hAnsi="宋体" w:cs="宋体"/>
          <w:szCs w:val="21"/>
        </w:rPr>
        <w:t xml:space="preserve">        </w:t>
      </w:r>
    </w:p>
    <w:p w14:paraId="65B02EED">
      <w:pPr>
        <w:widowControl/>
        <w:snapToGrid w:val="0"/>
        <w:spacing w:line="500" w:lineRule="exact"/>
        <w:rPr>
          <w:rFonts w:ascii="宋体" w:hAnsi="宋体" w:cs="宋体"/>
          <w:szCs w:val="21"/>
        </w:rPr>
      </w:pPr>
      <w:r>
        <w:rPr>
          <w:rFonts w:hint="eastAsia" w:ascii="宋体" w:hAnsi="宋体" w:cs="宋体"/>
          <w:szCs w:val="21"/>
        </w:rPr>
        <w:t>法定代表人或委托代理人（签字）：           法定代表人或委托代理人（签字）：</w:t>
      </w:r>
    </w:p>
    <w:p w14:paraId="59699EDE">
      <w:pPr>
        <w:widowControl/>
        <w:snapToGrid w:val="0"/>
        <w:spacing w:line="500" w:lineRule="exact"/>
        <w:rPr>
          <w:rFonts w:ascii="宋体" w:hAnsi="宋体" w:cs="宋体"/>
          <w:szCs w:val="21"/>
        </w:rPr>
      </w:pPr>
    </w:p>
    <w:p w14:paraId="67F012AE">
      <w:pPr>
        <w:widowControl/>
        <w:snapToGrid w:val="0"/>
        <w:spacing w:line="500" w:lineRule="exact"/>
        <w:rPr>
          <w:rFonts w:ascii="宋体" w:hAnsi="宋体" w:cs="宋体"/>
          <w:szCs w:val="21"/>
        </w:rPr>
      </w:pPr>
      <w:r>
        <w:rPr>
          <w:rFonts w:hint="eastAsia" w:ascii="宋体" w:hAnsi="宋体" w:cs="宋体"/>
          <w:szCs w:val="21"/>
        </w:rPr>
        <w:t>日期：                                     日期：</w:t>
      </w:r>
    </w:p>
    <w:p w14:paraId="25829FFE">
      <w:pPr>
        <w:spacing w:line="360" w:lineRule="auto"/>
        <w:rPr>
          <w:rFonts w:ascii="宋体" w:hAnsi="宋体" w:cs="宋体"/>
          <w:b/>
          <w:bCs/>
          <w:sz w:val="24"/>
        </w:rPr>
      </w:pPr>
    </w:p>
    <w:p w14:paraId="5681BBD5">
      <w:pPr>
        <w:spacing w:line="360" w:lineRule="auto"/>
        <w:rPr>
          <w:rFonts w:ascii="宋体" w:hAnsi="宋体" w:cs="宋体"/>
          <w:b/>
          <w:bCs/>
          <w:sz w:val="24"/>
        </w:rPr>
      </w:pPr>
    </w:p>
    <w:p w14:paraId="76BA449A">
      <w:pPr>
        <w:spacing w:line="360" w:lineRule="auto"/>
        <w:rPr>
          <w:rFonts w:ascii="宋体" w:hAnsi="宋体" w:cs="宋体"/>
          <w:b/>
          <w:bCs/>
          <w:sz w:val="24"/>
        </w:rPr>
      </w:pPr>
    </w:p>
    <w:p w14:paraId="32E27D76">
      <w:pPr>
        <w:spacing w:line="360" w:lineRule="auto"/>
        <w:rPr>
          <w:rFonts w:ascii="宋体" w:hAnsi="宋体" w:cs="宋体"/>
          <w:b/>
          <w:bCs/>
          <w:sz w:val="24"/>
        </w:rPr>
      </w:pPr>
    </w:p>
    <w:p w14:paraId="64F707D9">
      <w:pPr>
        <w:spacing w:line="360" w:lineRule="auto"/>
        <w:rPr>
          <w:rFonts w:ascii="宋体" w:hAnsi="宋体" w:cs="宋体"/>
          <w:b/>
          <w:bCs/>
          <w:sz w:val="24"/>
        </w:rPr>
      </w:pPr>
    </w:p>
    <w:p w14:paraId="480D66AD">
      <w:pPr>
        <w:spacing w:line="360" w:lineRule="auto"/>
        <w:outlineLvl w:val="1"/>
        <w:rPr>
          <w:rFonts w:ascii="宋体" w:hAnsi="宋体" w:cs="宋体"/>
          <w:b/>
          <w:bCs/>
          <w:sz w:val="24"/>
        </w:rPr>
      </w:pPr>
      <w:bookmarkStart w:id="112" w:name="_Toc10489"/>
      <w:r>
        <w:rPr>
          <w:rFonts w:hint="eastAsia" w:ascii="宋体" w:hAnsi="宋体" w:cs="宋体"/>
          <w:b/>
          <w:bCs/>
          <w:sz w:val="24"/>
        </w:rPr>
        <w:t>附件3:</w:t>
      </w:r>
      <w:bookmarkEnd w:id="112"/>
      <w:bookmarkStart w:id="113" w:name="_Toc16668"/>
      <w:bookmarkStart w:id="114" w:name="_Toc24735"/>
    </w:p>
    <w:p w14:paraId="600A6642">
      <w:pPr>
        <w:spacing w:line="360" w:lineRule="auto"/>
        <w:jc w:val="center"/>
        <w:rPr>
          <w:rFonts w:ascii="宋体" w:hAnsi="宋体" w:cs="宋体"/>
          <w:b/>
          <w:bCs/>
          <w:sz w:val="24"/>
        </w:rPr>
      </w:pPr>
      <w:r>
        <w:rPr>
          <w:rFonts w:hint="eastAsia" w:ascii="宋体" w:hAnsi="宋体" w:cs="宋体"/>
          <w:b/>
          <w:bCs/>
          <w:sz w:val="24"/>
        </w:rPr>
        <w:t>员工行为承诺书</w:t>
      </w:r>
      <w:bookmarkEnd w:id="113"/>
      <w:bookmarkEnd w:id="114"/>
    </w:p>
    <w:p w14:paraId="329DE52D">
      <w:pPr>
        <w:spacing w:line="360" w:lineRule="auto"/>
        <w:rPr>
          <w:rFonts w:ascii="宋体" w:hAnsi="宋体" w:cs="宋体"/>
          <w:szCs w:val="21"/>
        </w:rPr>
      </w:pPr>
      <w:r>
        <w:rPr>
          <w:rFonts w:hint="eastAsia" w:ascii="宋体" w:hAnsi="宋体" w:cs="宋体"/>
          <w:szCs w:val="21"/>
        </w:rPr>
        <w:t>南京海关：</w:t>
      </w:r>
    </w:p>
    <w:p w14:paraId="6E2A7BF1">
      <w:pPr>
        <w:spacing w:line="360" w:lineRule="auto"/>
        <w:ind w:firstLine="600"/>
        <w:rPr>
          <w:rFonts w:ascii="宋体" w:hAnsi="宋体" w:cs="宋体"/>
          <w:szCs w:val="21"/>
        </w:rPr>
      </w:pPr>
      <w:r>
        <w:rPr>
          <w:rFonts w:hint="eastAsia" w:ascii="宋体" w:hAnsi="宋体" w:cs="宋体"/>
          <w:szCs w:val="21"/>
        </w:rPr>
        <w:t>因工作需要，我司需派遣工作人员进入中国电子口岸区域进行相关工作，具体情况如下：</w:t>
      </w:r>
    </w:p>
    <w:tbl>
      <w:tblPr>
        <w:tblStyle w:val="28"/>
        <w:tblW w:w="9028" w:type="dxa"/>
        <w:tblInd w:w="125" w:type="dxa"/>
        <w:tblLayout w:type="autofit"/>
        <w:tblCellMar>
          <w:top w:w="0" w:type="dxa"/>
          <w:left w:w="108" w:type="dxa"/>
          <w:bottom w:w="0" w:type="dxa"/>
          <w:right w:w="108" w:type="dxa"/>
        </w:tblCellMar>
      </w:tblPr>
      <w:tblGrid>
        <w:gridCol w:w="2534"/>
        <w:gridCol w:w="4177"/>
        <w:gridCol w:w="2317"/>
      </w:tblGrid>
      <w:tr w14:paraId="4DF18843">
        <w:tblPrEx>
          <w:tblCellMar>
            <w:top w:w="0" w:type="dxa"/>
            <w:left w:w="108" w:type="dxa"/>
            <w:bottom w:w="0" w:type="dxa"/>
            <w:right w:w="108" w:type="dxa"/>
          </w:tblCellMar>
        </w:tblPrEx>
        <w:trPr>
          <w:trHeight w:val="850" w:hRule="atLeast"/>
        </w:trPr>
        <w:tc>
          <w:tcPr>
            <w:tcW w:w="2534" w:type="dxa"/>
            <w:tcBorders>
              <w:top w:val="single" w:color="auto" w:sz="4" w:space="0"/>
              <w:left w:val="single" w:color="auto" w:sz="4" w:space="0"/>
              <w:bottom w:val="single" w:color="auto" w:sz="4" w:space="0"/>
              <w:right w:val="single" w:color="auto" w:sz="4" w:space="0"/>
            </w:tcBorders>
            <w:vAlign w:val="center"/>
          </w:tcPr>
          <w:p w14:paraId="6617F794">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公司名称</w:t>
            </w:r>
          </w:p>
        </w:tc>
        <w:tc>
          <w:tcPr>
            <w:tcW w:w="6494" w:type="dxa"/>
            <w:gridSpan w:val="2"/>
            <w:tcBorders>
              <w:top w:val="single" w:color="auto" w:sz="4" w:space="0"/>
              <w:left w:val="nil"/>
              <w:bottom w:val="single" w:color="auto" w:sz="4" w:space="0"/>
              <w:right w:val="single" w:color="auto" w:sz="4" w:space="0"/>
            </w:tcBorders>
            <w:vAlign w:val="center"/>
          </w:tcPr>
          <w:p w14:paraId="6A722A7F">
            <w:pPr>
              <w:keepNext w:val="0"/>
              <w:keepLines w:val="0"/>
              <w:suppressLineNumbers w:val="0"/>
              <w:spacing w:before="0" w:beforeAutospacing="0" w:after="0" w:afterAutospacing="0" w:line="360" w:lineRule="auto"/>
              <w:ind w:left="0" w:right="0"/>
              <w:jc w:val="center"/>
              <w:rPr>
                <w:rFonts w:ascii="宋体" w:hAnsi="宋体" w:cs="宋体"/>
                <w:szCs w:val="21"/>
              </w:rPr>
            </w:pPr>
          </w:p>
        </w:tc>
      </w:tr>
      <w:tr w14:paraId="19F5F569">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3BEE49ED">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工作人员直接领导姓名</w:t>
            </w:r>
          </w:p>
        </w:tc>
        <w:tc>
          <w:tcPr>
            <w:tcW w:w="6494" w:type="dxa"/>
            <w:gridSpan w:val="2"/>
            <w:tcBorders>
              <w:top w:val="single" w:color="auto" w:sz="4" w:space="0"/>
              <w:left w:val="nil"/>
              <w:bottom w:val="single" w:color="auto" w:sz="4" w:space="0"/>
              <w:right w:val="single" w:color="000000" w:sz="4" w:space="0"/>
            </w:tcBorders>
            <w:vAlign w:val="center"/>
          </w:tcPr>
          <w:p w14:paraId="34AFC412">
            <w:pPr>
              <w:keepNext w:val="0"/>
              <w:keepLines w:val="0"/>
              <w:suppressLineNumbers w:val="0"/>
              <w:spacing w:before="0" w:beforeAutospacing="0" w:after="0" w:afterAutospacing="0" w:line="360" w:lineRule="auto"/>
              <w:ind w:left="0" w:right="0"/>
              <w:jc w:val="center"/>
              <w:rPr>
                <w:rFonts w:ascii="宋体" w:hAnsi="宋体" w:cs="宋体"/>
                <w:szCs w:val="21"/>
              </w:rPr>
            </w:pPr>
          </w:p>
        </w:tc>
      </w:tr>
      <w:tr w14:paraId="2573311B">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13E4585D">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工作人员直接领导</w:t>
            </w:r>
          </w:p>
          <w:p w14:paraId="1FB3F6B2">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联系电话</w:t>
            </w:r>
          </w:p>
        </w:tc>
        <w:tc>
          <w:tcPr>
            <w:tcW w:w="6494" w:type="dxa"/>
            <w:gridSpan w:val="2"/>
            <w:tcBorders>
              <w:top w:val="single" w:color="auto" w:sz="4" w:space="0"/>
              <w:left w:val="nil"/>
              <w:bottom w:val="single" w:color="auto" w:sz="4" w:space="0"/>
              <w:right w:val="single" w:color="000000" w:sz="4" w:space="0"/>
            </w:tcBorders>
            <w:vAlign w:val="center"/>
          </w:tcPr>
          <w:p w14:paraId="4A35E8BE">
            <w:pPr>
              <w:keepNext w:val="0"/>
              <w:keepLines w:val="0"/>
              <w:suppressLineNumbers w:val="0"/>
              <w:spacing w:before="0" w:beforeAutospacing="0" w:after="0" w:afterAutospacing="0" w:line="360" w:lineRule="auto"/>
              <w:ind w:left="0" w:right="0"/>
              <w:jc w:val="center"/>
              <w:rPr>
                <w:rFonts w:ascii="宋体" w:hAnsi="宋体" w:cs="宋体"/>
                <w:szCs w:val="21"/>
              </w:rPr>
            </w:pPr>
          </w:p>
        </w:tc>
      </w:tr>
      <w:tr w14:paraId="2ABE6251">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0C14E82A">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工作人员姓名</w:t>
            </w:r>
          </w:p>
        </w:tc>
        <w:tc>
          <w:tcPr>
            <w:tcW w:w="4177" w:type="dxa"/>
            <w:tcBorders>
              <w:top w:val="nil"/>
              <w:left w:val="nil"/>
              <w:bottom w:val="single" w:color="auto" w:sz="4" w:space="0"/>
              <w:right w:val="nil"/>
            </w:tcBorders>
            <w:vAlign w:val="center"/>
          </w:tcPr>
          <w:p w14:paraId="3FD41919">
            <w:pPr>
              <w:keepNext w:val="0"/>
              <w:keepLines w:val="0"/>
              <w:suppressLineNumbers w:val="0"/>
              <w:spacing w:before="0" w:beforeAutospacing="0" w:after="0" w:afterAutospacing="0" w:line="360" w:lineRule="auto"/>
              <w:ind w:left="0" w:right="0"/>
              <w:jc w:val="center"/>
              <w:rPr>
                <w:rFonts w:ascii="宋体" w:hAnsi="宋体" w:cs="宋体"/>
                <w:szCs w:val="21"/>
              </w:rPr>
            </w:pPr>
          </w:p>
        </w:tc>
        <w:tc>
          <w:tcPr>
            <w:tcW w:w="2317" w:type="dxa"/>
            <w:vMerge w:val="restart"/>
            <w:tcBorders>
              <w:top w:val="nil"/>
              <w:left w:val="single" w:color="auto" w:sz="4" w:space="0"/>
              <w:bottom w:val="single" w:color="auto" w:sz="4" w:space="0"/>
              <w:right w:val="single" w:color="auto" w:sz="4" w:space="0"/>
            </w:tcBorders>
            <w:vAlign w:val="center"/>
          </w:tcPr>
          <w:p w14:paraId="6434A8B0">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电子照片</w:t>
            </w:r>
          </w:p>
        </w:tc>
      </w:tr>
      <w:tr w14:paraId="1C061786">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734DC479">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工作人员岗位、</w:t>
            </w:r>
          </w:p>
          <w:p w14:paraId="5C41A41B">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工种及职务</w:t>
            </w:r>
          </w:p>
        </w:tc>
        <w:tc>
          <w:tcPr>
            <w:tcW w:w="4177" w:type="dxa"/>
            <w:tcBorders>
              <w:top w:val="nil"/>
              <w:left w:val="nil"/>
              <w:bottom w:val="single" w:color="auto" w:sz="4" w:space="0"/>
              <w:right w:val="nil"/>
            </w:tcBorders>
            <w:vAlign w:val="center"/>
          </w:tcPr>
          <w:p w14:paraId="0C3BB102">
            <w:pPr>
              <w:keepNext w:val="0"/>
              <w:keepLines w:val="0"/>
              <w:suppressLineNumbers w:val="0"/>
              <w:spacing w:before="0" w:beforeAutospacing="0" w:after="0" w:afterAutospacing="0" w:line="360" w:lineRule="auto"/>
              <w:ind w:left="0" w:right="0"/>
              <w:jc w:val="center"/>
              <w:rPr>
                <w:rFonts w:ascii="宋体" w:hAnsi="宋体" w:cs="宋体"/>
                <w:szCs w:val="21"/>
              </w:rPr>
            </w:pPr>
          </w:p>
        </w:tc>
        <w:tc>
          <w:tcPr>
            <w:tcW w:w="2317" w:type="dxa"/>
            <w:vMerge w:val="continue"/>
            <w:tcBorders>
              <w:top w:val="nil"/>
              <w:left w:val="single" w:color="auto" w:sz="4" w:space="0"/>
              <w:bottom w:val="single" w:color="auto" w:sz="4" w:space="0"/>
              <w:right w:val="single" w:color="auto" w:sz="4" w:space="0"/>
            </w:tcBorders>
            <w:vAlign w:val="center"/>
          </w:tcPr>
          <w:p w14:paraId="0E9D6DC4">
            <w:pPr>
              <w:keepNext w:val="0"/>
              <w:keepLines w:val="0"/>
              <w:suppressLineNumbers w:val="0"/>
              <w:spacing w:before="0" w:beforeAutospacing="0" w:after="0" w:afterAutospacing="0" w:line="360" w:lineRule="auto"/>
              <w:ind w:left="0" w:right="0"/>
              <w:rPr>
                <w:rFonts w:ascii="宋体" w:hAnsi="宋体" w:cs="宋体"/>
                <w:szCs w:val="21"/>
              </w:rPr>
            </w:pPr>
          </w:p>
        </w:tc>
      </w:tr>
      <w:tr w14:paraId="74A20552">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7AB8A4B6">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工作人员电话</w:t>
            </w:r>
          </w:p>
        </w:tc>
        <w:tc>
          <w:tcPr>
            <w:tcW w:w="4177" w:type="dxa"/>
            <w:tcBorders>
              <w:top w:val="nil"/>
              <w:left w:val="nil"/>
              <w:bottom w:val="single" w:color="auto" w:sz="4" w:space="0"/>
              <w:right w:val="nil"/>
            </w:tcBorders>
            <w:vAlign w:val="center"/>
          </w:tcPr>
          <w:p w14:paraId="16DC9CEC">
            <w:pPr>
              <w:keepNext w:val="0"/>
              <w:keepLines w:val="0"/>
              <w:suppressLineNumbers w:val="0"/>
              <w:spacing w:before="0" w:beforeAutospacing="0" w:after="0" w:afterAutospacing="0" w:line="360" w:lineRule="auto"/>
              <w:ind w:left="0" w:right="0"/>
              <w:jc w:val="center"/>
              <w:rPr>
                <w:rFonts w:ascii="宋体" w:hAnsi="宋体" w:cs="宋体"/>
                <w:szCs w:val="21"/>
              </w:rPr>
            </w:pPr>
          </w:p>
        </w:tc>
        <w:tc>
          <w:tcPr>
            <w:tcW w:w="2317" w:type="dxa"/>
            <w:vMerge w:val="continue"/>
            <w:tcBorders>
              <w:top w:val="nil"/>
              <w:left w:val="single" w:color="auto" w:sz="4" w:space="0"/>
              <w:bottom w:val="single" w:color="auto" w:sz="4" w:space="0"/>
              <w:right w:val="single" w:color="auto" w:sz="4" w:space="0"/>
            </w:tcBorders>
            <w:vAlign w:val="center"/>
          </w:tcPr>
          <w:p w14:paraId="611531A5">
            <w:pPr>
              <w:keepNext w:val="0"/>
              <w:keepLines w:val="0"/>
              <w:suppressLineNumbers w:val="0"/>
              <w:spacing w:before="0" w:beforeAutospacing="0" w:after="0" w:afterAutospacing="0" w:line="360" w:lineRule="auto"/>
              <w:ind w:left="0" w:right="0"/>
              <w:rPr>
                <w:rFonts w:ascii="宋体" w:hAnsi="宋体" w:cs="宋体"/>
                <w:szCs w:val="21"/>
              </w:rPr>
            </w:pPr>
          </w:p>
        </w:tc>
      </w:tr>
      <w:tr w14:paraId="16FD84AF">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7F4CCBBD">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工作人员身份证号</w:t>
            </w:r>
          </w:p>
        </w:tc>
        <w:tc>
          <w:tcPr>
            <w:tcW w:w="4177" w:type="dxa"/>
            <w:tcBorders>
              <w:top w:val="nil"/>
              <w:left w:val="nil"/>
              <w:bottom w:val="single" w:color="auto" w:sz="4" w:space="0"/>
              <w:right w:val="nil"/>
            </w:tcBorders>
            <w:vAlign w:val="center"/>
          </w:tcPr>
          <w:p w14:paraId="2BAEDCCB">
            <w:pPr>
              <w:keepNext w:val="0"/>
              <w:keepLines w:val="0"/>
              <w:suppressLineNumbers w:val="0"/>
              <w:spacing w:before="0" w:beforeAutospacing="0" w:after="0" w:afterAutospacing="0" w:line="360" w:lineRule="auto"/>
              <w:ind w:left="0" w:right="0"/>
              <w:jc w:val="center"/>
              <w:rPr>
                <w:rFonts w:ascii="宋体" w:hAnsi="宋体" w:cs="宋体"/>
                <w:szCs w:val="21"/>
              </w:rPr>
            </w:pPr>
          </w:p>
        </w:tc>
        <w:tc>
          <w:tcPr>
            <w:tcW w:w="2317" w:type="dxa"/>
            <w:vMerge w:val="continue"/>
            <w:tcBorders>
              <w:top w:val="nil"/>
              <w:left w:val="single" w:color="auto" w:sz="4" w:space="0"/>
              <w:bottom w:val="single" w:color="auto" w:sz="4" w:space="0"/>
              <w:right w:val="single" w:color="auto" w:sz="4" w:space="0"/>
            </w:tcBorders>
            <w:vAlign w:val="center"/>
          </w:tcPr>
          <w:p w14:paraId="3146F215">
            <w:pPr>
              <w:keepNext w:val="0"/>
              <w:keepLines w:val="0"/>
              <w:suppressLineNumbers w:val="0"/>
              <w:spacing w:before="0" w:beforeAutospacing="0" w:after="0" w:afterAutospacing="0" w:line="360" w:lineRule="auto"/>
              <w:ind w:left="0" w:right="0"/>
              <w:rPr>
                <w:rFonts w:ascii="宋体" w:hAnsi="宋体" w:cs="宋体"/>
                <w:szCs w:val="21"/>
              </w:rPr>
            </w:pPr>
          </w:p>
        </w:tc>
      </w:tr>
      <w:tr w14:paraId="42F76EAA">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18FF5C86">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进入原因及所从事的工作内容</w:t>
            </w:r>
          </w:p>
        </w:tc>
        <w:tc>
          <w:tcPr>
            <w:tcW w:w="6494" w:type="dxa"/>
            <w:gridSpan w:val="2"/>
            <w:tcBorders>
              <w:top w:val="single" w:color="auto" w:sz="4" w:space="0"/>
              <w:left w:val="nil"/>
              <w:bottom w:val="single" w:color="auto" w:sz="4" w:space="0"/>
              <w:right w:val="single" w:color="000000" w:sz="4" w:space="0"/>
            </w:tcBorders>
            <w:vAlign w:val="center"/>
          </w:tcPr>
          <w:p w14:paraId="34ABDA1D">
            <w:pPr>
              <w:keepNext w:val="0"/>
              <w:keepLines w:val="0"/>
              <w:suppressLineNumbers w:val="0"/>
              <w:spacing w:before="0" w:beforeAutospacing="0" w:after="0" w:afterAutospacing="0" w:line="360" w:lineRule="auto"/>
              <w:ind w:left="0" w:right="0"/>
              <w:jc w:val="center"/>
              <w:rPr>
                <w:rFonts w:ascii="宋体" w:hAnsi="宋体" w:cs="宋体"/>
                <w:szCs w:val="21"/>
              </w:rPr>
            </w:pPr>
          </w:p>
        </w:tc>
      </w:tr>
      <w:tr w14:paraId="59366E09">
        <w:tblPrEx>
          <w:tblCellMar>
            <w:top w:w="0" w:type="dxa"/>
            <w:left w:w="108" w:type="dxa"/>
            <w:bottom w:w="0" w:type="dxa"/>
            <w:right w:w="108" w:type="dxa"/>
          </w:tblCellMar>
        </w:tblPrEx>
        <w:trPr>
          <w:trHeight w:val="850" w:hRule="atLeast"/>
        </w:trPr>
        <w:tc>
          <w:tcPr>
            <w:tcW w:w="2534" w:type="dxa"/>
            <w:tcBorders>
              <w:top w:val="nil"/>
              <w:left w:val="single" w:color="auto" w:sz="4" w:space="0"/>
              <w:bottom w:val="single" w:color="auto" w:sz="4" w:space="0"/>
              <w:right w:val="single" w:color="auto" w:sz="4" w:space="0"/>
            </w:tcBorders>
            <w:vAlign w:val="center"/>
          </w:tcPr>
          <w:p w14:paraId="700B2B6C">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申请进出入时间</w:t>
            </w:r>
          </w:p>
        </w:tc>
        <w:tc>
          <w:tcPr>
            <w:tcW w:w="6494" w:type="dxa"/>
            <w:gridSpan w:val="2"/>
            <w:tcBorders>
              <w:top w:val="single" w:color="auto" w:sz="4" w:space="0"/>
              <w:left w:val="nil"/>
              <w:bottom w:val="single" w:color="auto" w:sz="4" w:space="0"/>
              <w:right w:val="single" w:color="000000" w:sz="4" w:space="0"/>
            </w:tcBorders>
            <w:vAlign w:val="center"/>
          </w:tcPr>
          <w:p w14:paraId="3C67224B">
            <w:pPr>
              <w:keepNext w:val="0"/>
              <w:keepLines w:val="0"/>
              <w:suppressLineNumbers w:val="0"/>
              <w:spacing w:before="0" w:beforeAutospacing="0" w:after="0" w:afterAutospacing="0" w:line="360" w:lineRule="auto"/>
              <w:ind w:left="0" w:right="0"/>
              <w:jc w:val="center"/>
              <w:rPr>
                <w:rFonts w:ascii="宋体" w:hAnsi="宋体" w:cs="宋体"/>
                <w:szCs w:val="21"/>
              </w:rPr>
            </w:pPr>
            <w:r>
              <w:rPr>
                <w:rFonts w:hint="eastAsia" w:ascii="宋体" w:hAnsi="宋体" w:cs="宋体"/>
                <w:szCs w:val="21"/>
              </w:rPr>
              <w:t>时长不超过一年，且截至日期限制在当年最后一天。</w:t>
            </w:r>
          </w:p>
        </w:tc>
      </w:tr>
    </w:tbl>
    <w:p w14:paraId="51A6D8E6">
      <w:pPr>
        <w:ind w:firstLine="601"/>
        <w:rPr>
          <w:rFonts w:ascii="宋体" w:hAnsi="宋体" w:cs="宋体"/>
          <w:szCs w:val="21"/>
        </w:rPr>
      </w:pPr>
      <w:r>
        <w:rPr>
          <w:rFonts w:hint="eastAsia" w:ascii="宋体" w:hAnsi="宋体" w:cs="宋体"/>
          <w:szCs w:val="21"/>
        </w:rPr>
        <w:t>我司对于所派遣的工作人员提供以下承诺：</w:t>
      </w:r>
    </w:p>
    <w:p w14:paraId="7ECA1B50">
      <w:pPr>
        <w:ind w:firstLine="601"/>
        <w:rPr>
          <w:rFonts w:ascii="宋体" w:hAnsi="宋体" w:cs="宋体"/>
          <w:szCs w:val="21"/>
        </w:rPr>
      </w:pPr>
      <w:r>
        <w:rPr>
          <w:rFonts w:hint="eastAsia" w:ascii="宋体" w:hAnsi="宋体" w:cs="宋体"/>
          <w:szCs w:val="21"/>
        </w:rPr>
        <w:t>工作人员如发生离职、退休、岗位调动、联系号码变更、工作内容变更等与该承诺书表格中所描述的内容不符或无法承担相关工作的情况时，我司将第一时间通知中国电子口岸。</w:t>
      </w:r>
    </w:p>
    <w:p w14:paraId="11DBF9FA">
      <w:pPr>
        <w:ind w:firstLine="601"/>
        <w:rPr>
          <w:rFonts w:ascii="宋体" w:hAnsi="宋体" w:cs="宋体"/>
          <w:szCs w:val="21"/>
        </w:rPr>
      </w:pPr>
      <w:r>
        <w:rPr>
          <w:rFonts w:hint="eastAsia" w:ascii="宋体" w:hAnsi="宋体" w:cs="宋体"/>
          <w:szCs w:val="21"/>
        </w:rPr>
        <w:t>如因维保合同到期或不再执行，或是其他原因导致我司不需要再派遣工作人员中国电子口岸区域进行相关工作时，我司将第一时间通知中国电子口岸数据中心。</w:t>
      </w:r>
    </w:p>
    <w:p w14:paraId="7A4603E8">
      <w:pPr>
        <w:ind w:firstLine="601"/>
        <w:rPr>
          <w:rFonts w:ascii="宋体" w:hAnsi="宋体" w:cs="宋体"/>
          <w:szCs w:val="21"/>
        </w:rPr>
      </w:pPr>
      <w:r>
        <w:rPr>
          <w:rFonts w:hint="eastAsia" w:ascii="宋体" w:hAnsi="宋体" w:cs="宋体"/>
          <w:szCs w:val="21"/>
        </w:rPr>
        <w:t>我司已告知工作人员：在中国电子口岸期间遵守中国电子口岸数据中心相关管理规定要求；不做与工作无关的事情；不接触与工作无关的设备和物品；严格按照工作规范和操作流程执行工作任务；对于所进行的工作、工作中的关键环节和工作中遇到问题及时与中国电子口岸数据中心的现场人员或已知联系人进行沟通、确认。</w:t>
      </w:r>
    </w:p>
    <w:p w14:paraId="65257CE5">
      <w:pPr>
        <w:ind w:firstLine="601"/>
        <w:rPr>
          <w:rFonts w:ascii="宋体" w:hAnsi="宋体" w:cs="宋体"/>
          <w:szCs w:val="21"/>
        </w:rPr>
      </w:pPr>
      <w:r>
        <w:rPr>
          <w:rFonts w:hint="eastAsia" w:ascii="宋体" w:hAnsi="宋体" w:cs="宋体"/>
          <w:szCs w:val="21"/>
        </w:rPr>
        <w:t>如因我司工作人员在中国电子口岸期间，给中国电子口岸数据中心造成了损失，我司负责进行赔偿。</w:t>
      </w:r>
    </w:p>
    <w:p w14:paraId="788B0662">
      <w:pPr>
        <w:spacing w:line="360" w:lineRule="auto"/>
        <w:ind w:firstLine="6686" w:firstLineChars="3184"/>
        <w:rPr>
          <w:rFonts w:ascii="宋体" w:hAnsi="宋体" w:cs="宋体"/>
          <w:sz w:val="24"/>
        </w:rPr>
      </w:pPr>
      <w:r>
        <w:rPr>
          <w:rFonts w:hint="eastAsia" w:ascii="宋体" w:hAnsi="宋体" w:cs="宋体"/>
          <w:szCs w:val="21"/>
        </w:rPr>
        <w:t>年    月    日</w:t>
      </w:r>
    </w:p>
    <w:p w14:paraId="3B91384A"/>
    <w:p w14:paraId="781D1B1A">
      <w:pPr>
        <w:jc w:val="center"/>
        <w:outlineLvl w:val="0"/>
        <w:rPr>
          <w:rFonts w:ascii="宋体" w:hAnsi="宋体" w:cs="宋体"/>
          <w:b/>
          <w:sz w:val="32"/>
          <w:szCs w:val="32"/>
        </w:rPr>
      </w:pPr>
      <w:bookmarkStart w:id="115" w:name="_Toc2769"/>
      <w:bookmarkStart w:id="116" w:name="_Toc30894"/>
      <w:bookmarkStart w:id="117" w:name="_Toc3738"/>
      <w:r>
        <w:rPr>
          <w:rFonts w:hint="eastAsia" w:ascii="宋体" w:hAnsi="宋体" w:cs="宋体"/>
          <w:b/>
          <w:sz w:val="32"/>
          <w:szCs w:val="32"/>
        </w:rPr>
        <w:t>第五部分：评标办法</w:t>
      </w:r>
      <w:bookmarkEnd w:id="115"/>
      <w:bookmarkEnd w:id="116"/>
      <w:bookmarkEnd w:id="117"/>
    </w:p>
    <w:p w14:paraId="1A57E195">
      <w:pPr>
        <w:rPr>
          <w:rFonts w:ascii="宋体" w:hAnsi="宋体" w:cs="宋体"/>
          <w:szCs w:val="21"/>
        </w:rPr>
      </w:pPr>
    </w:p>
    <w:p w14:paraId="5A5F9F2A">
      <w:pPr>
        <w:numPr>
          <w:ilvl w:val="0"/>
          <w:numId w:val="9"/>
        </w:numPr>
        <w:ind w:firstLine="422" w:firstLineChars="200"/>
        <w:outlineLvl w:val="1"/>
        <w:rPr>
          <w:rFonts w:ascii="宋体" w:hAnsi="宋体" w:cs="宋体"/>
          <w:b/>
          <w:szCs w:val="21"/>
        </w:rPr>
      </w:pPr>
      <w:bookmarkStart w:id="118" w:name="_Toc13511"/>
      <w:bookmarkStart w:id="119" w:name="_Toc29307"/>
      <w:bookmarkStart w:id="120" w:name="_Toc4583"/>
      <w:bookmarkStart w:id="121" w:name="_Toc8828"/>
      <w:r>
        <w:rPr>
          <w:rFonts w:hint="eastAsia" w:ascii="宋体" w:hAnsi="宋体" w:cs="宋体"/>
          <w:b/>
          <w:szCs w:val="21"/>
        </w:rPr>
        <w:t>资格审查标准</w:t>
      </w:r>
      <w:bookmarkEnd w:id="118"/>
      <w:bookmarkEnd w:id="119"/>
      <w:bookmarkEnd w:id="120"/>
      <w:bookmarkEnd w:id="121"/>
    </w:p>
    <w:tbl>
      <w:tblPr>
        <w:tblStyle w:val="28"/>
        <w:tblW w:w="898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7365"/>
      </w:tblGrid>
      <w:tr w14:paraId="51D8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Align w:val="center"/>
          </w:tcPr>
          <w:p w14:paraId="73D5D989">
            <w:pPr>
              <w:keepNext w:val="0"/>
              <w:keepLines w:val="0"/>
              <w:suppressLineNumbers w:val="0"/>
              <w:spacing w:before="0" w:beforeAutospacing="0" w:after="0" w:afterAutospacing="0"/>
              <w:ind w:left="420" w:right="0" w:hanging="420"/>
              <w:jc w:val="center"/>
              <w:rPr>
                <w:rFonts w:ascii="宋体" w:hAnsi="宋体" w:cs="宋体"/>
                <w:b/>
                <w:szCs w:val="21"/>
              </w:rPr>
            </w:pPr>
            <w:r>
              <w:rPr>
                <w:rFonts w:hint="eastAsia" w:ascii="宋体" w:hAnsi="宋体" w:cs="宋体"/>
                <w:b/>
                <w:szCs w:val="21"/>
              </w:rPr>
              <w:t>评审因素</w:t>
            </w:r>
          </w:p>
        </w:tc>
        <w:tc>
          <w:tcPr>
            <w:tcW w:w="7365" w:type="dxa"/>
            <w:vAlign w:val="center"/>
          </w:tcPr>
          <w:p w14:paraId="7FB84AE5">
            <w:pPr>
              <w:keepNext w:val="0"/>
              <w:keepLines w:val="0"/>
              <w:suppressLineNumbers w:val="0"/>
              <w:spacing w:before="0" w:beforeAutospacing="0" w:after="0" w:afterAutospacing="0"/>
              <w:ind w:left="420" w:right="0" w:hanging="420"/>
              <w:jc w:val="center"/>
              <w:rPr>
                <w:rFonts w:ascii="宋体" w:hAnsi="宋体" w:cs="宋体"/>
                <w:b/>
                <w:szCs w:val="21"/>
              </w:rPr>
            </w:pPr>
            <w:r>
              <w:rPr>
                <w:rFonts w:hint="eastAsia" w:ascii="宋体" w:hAnsi="宋体" w:cs="宋体"/>
                <w:b/>
                <w:szCs w:val="21"/>
              </w:rPr>
              <w:t>评审标准</w:t>
            </w:r>
          </w:p>
        </w:tc>
      </w:tr>
      <w:tr w14:paraId="3ECB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restart"/>
            <w:vAlign w:val="center"/>
          </w:tcPr>
          <w:p w14:paraId="62BEB4C1">
            <w:pPr>
              <w:keepNext w:val="0"/>
              <w:keepLines w:val="0"/>
              <w:suppressLineNumbers w:val="0"/>
              <w:spacing w:before="0" w:beforeAutospacing="0" w:after="0" w:afterAutospacing="0"/>
              <w:ind w:left="420" w:right="0" w:hanging="420"/>
              <w:jc w:val="center"/>
              <w:rPr>
                <w:rFonts w:ascii="宋体" w:hAnsi="宋体" w:cs="宋体"/>
                <w:b/>
                <w:szCs w:val="21"/>
              </w:rPr>
            </w:pPr>
            <w:r>
              <w:rPr>
                <w:rFonts w:hint="eastAsia" w:ascii="宋体" w:hAnsi="宋体" w:cs="宋体"/>
                <w:szCs w:val="21"/>
              </w:rPr>
              <w:t>资质要求</w:t>
            </w:r>
          </w:p>
        </w:tc>
        <w:tc>
          <w:tcPr>
            <w:tcW w:w="7365" w:type="dxa"/>
            <w:vAlign w:val="center"/>
          </w:tcPr>
          <w:p w14:paraId="6403FBA1">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1、具有独立承担民事责任的能力（提供事业单位法人证书或者企业单位的营业执照；投标人为自然人的，提供其身份证）（复印件）；</w:t>
            </w:r>
          </w:p>
        </w:tc>
      </w:tr>
      <w:tr w14:paraId="62CD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14259EEB">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64AB7D0F">
            <w:pPr>
              <w:keepNext w:val="0"/>
              <w:keepLines w:val="0"/>
              <w:suppressLineNumbers w:val="0"/>
              <w:spacing w:before="0" w:beforeAutospacing="0" w:after="0" w:afterAutospacing="0"/>
              <w:ind w:left="0" w:right="0"/>
              <w:rPr>
                <w:rFonts w:ascii="宋体" w:hAnsi="宋体" w:cs="宋体"/>
                <w:bCs/>
                <w:szCs w:val="21"/>
              </w:rPr>
            </w:pPr>
            <w:r>
              <w:rPr>
                <w:rFonts w:hint="eastAsia" w:ascii="宋体" w:hAnsi="宋体" w:cs="宋体"/>
                <w:bCs/>
                <w:szCs w:val="21"/>
              </w:rPr>
              <w:t>2、</w:t>
            </w:r>
            <w:r>
              <w:rPr>
                <w:rFonts w:hint="eastAsia" w:ascii="宋体" w:hAnsi="宋体"/>
                <w:bCs/>
                <w:szCs w:val="21"/>
                <w:lang w:bidi="ar"/>
              </w:rPr>
              <w:t>具有良好的商业信誉和健全的财务会计制度（提供2023年度经审计的财务报告，或</w:t>
            </w:r>
            <w:r>
              <w:rPr>
                <w:rFonts w:hint="eastAsia" w:ascii="宋体" w:hAnsi="宋体"/>
                <w:bCs/>
                <w:color w:val="0000FF"/>
                <w:szCs w:val="21"/>
                <w:lang w:bidi="ar"/>
              </w:rPr>
              <w:t>开标日</w:t>
            </w:r>
            <w:r>
              <w:rPr>
                <w:rFonts w:hint="eastAsia" w:ascii="宋体" w:hAnsi="宋体"/>
                <w:bCs/>
                <w:szCs w:val="21"/>
                <w:lang w:bidi="ar"/>
              </w:rPr>
              <w:t>前六个月内任一月份企业编制的会计报表（至少包括资产负债表和利润表）</w:t>
            </w:r>
            <w:r>
              <w:rPr>
                <w:rFonts w:hint="eastAsia" w:ascii="宋体" w:hAnsi="宋体"/>
                <w:szCs w:val="21"/>
                <w:lang w:bidi="ar"/>
              </w:rPr>
              <w:t>，</w:t>
            </w:r>
            <w:r>
              <w:rPr>
                <w:rFonts w:hint="eastAsia" w:ascii="宋体" w:hAnsi="宋体"/>
                <w:bCs/>
                <w:szCs w:val="21"/>
                <w:lang w:bidi="ar"/>
              </w:rPr>
              <w:t>或</w:t>
            </w:r>
            <w:r>
              <w:rPr>
                <w:rFonts w:hint="eastAsia" w:ascii="宋体" w:hAnsi="宋体"/>
                <w:bCs/>
                <w:color w:val="0000FF"/>
                <w:szCs w:val="21"/>
                <w:lang w:bidi="ar"/>
              </w:rPr>
              <w:t>开标日前</w:t>
            </w:r>
            <w:r>
              <w:rPr>
                <w:rFonts w:hint="eastAsia" w:ascii="宋体" w:hAnsi="宋体"/>
                <w:bCs/>
                <w:szCs w:val="21"/>
                <w:lang w:bidi="ar"/>
              </w:rPr>
              <w:t>六个月内银行出具的资信证明，</w:t>
            </w:r>
            <w:r>
              <w:rPr>
                <w:rFonts w:hint="eastAsia" w:ascii="宋体" w:hAnsi="宋体"/>
                <w:szCs w:val="21"/>
                <w:lang w:bidi="ar"/>
              </w:rPr>
              <w:t>复印件加盖公章</w:t>
            </w:r>
            <w:r>
              <w:rPr>
                <w:rFonts w:hint="eastAsia" w:ascii="宋体" w:hAnsi="宋体"/>
                <w:bCs/>
                <w:szCs w:val="21"/>
                <w:lang w:bidi="ar"/>
              </w:rPr>
              <w:t>）（</w:t>
            </w:r>
            <w:r>
              <w:rPr>
                <w:rFonts w:hint="eastAsia" w:ascii="宋体" w:hAnsi="宋体"/>
                <w:bCs/>
                <w:color w:val="0000FF"/>
                <w:szCs w:val="21"/>
                <w:lang w:bidi="ar"/>
              </w:rPr>
              <w:t>投标人为参加本次政府采购活动前半年内注册的公司，无须提供</w:t>
            </w:r>
            <w:r>
              <w:rPr>
                <w:rFonts w:hint="eastAsia" w:ascii="宋体" w:hAnsi="宋体"/>
                <w:bCs/>
                <w:szCs w:val="21"/>
                <w:lang w:bidi="ar"/>
              </w:rPr>
              <w:t>）</w:t>
            </w:r>
            <w:r>
              <w:rPr>
                <w:rFonts w:hint="eastAsia" w:ascii="宋体" w:hAnsi="宋体"/>
                <w:szCs w:val="21"/>
                <w:lang w:bidi="ar"/>
              </w:rPr>
              <w:t>；</w:t>
            </w:r>
          </w:p>
        </w:tc>
      </w:tr>
      <w:tr w14:paraId="7EB0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5962C8FE">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4A97D76B">
            <w:pPr>
              <w:keepNext w:val="0"/>
              <w:keepLines w:val="0"/>
              <w:suppressLineNumbers w:val="0"/>
              <w:spacing w:before="0" w:beforeAutospacing="0" w:after="0" w:afterAutospacing="0"/>
              <w:ind w:left="0" w:right="0"/>
              <w:rPr>
                <w:rFonts w:ascii="宋体" w:hAnsi="宋体" w:cs="宋体"/>
                <w:kern w:val="0"/>
                <w:szCs w:val="21"/>
              </w:rPr>
            </w:pPr>
            <w:r>
              <w:rPr>
                <w:rFonts w:hint="eastAsia" w:ascii="宋体" w:hAnsi="宋体" w:cs="宋体"/>
                <w:bCs/>
                <w:szCs w:val="21"/>
              </w:rPr>
              <w:t>3、</w:t>
            </w:r>
            <w:r>
              <w:rPr>
                <w:rFonts w:hint="eastAsia" w:ascii="宋体" w:hAnsi="宋体" w:cs="宋体"/>
                <w:bCs/>
                <w:szCs w:val="21"/>
                <w:lang w:bidi="ar"/>
              </w:rPr>
              <w:t>具有依法缴纳税收和社会保障资金的良好记录（提供</w:t>
            </w:r>
            <w:r>
              <w:rPr>
                <w:rFonts w:hint="eastAsia" w:ascii="宋体" w:hAnsi="宋体" w:cs="宋体"/>
                <w:bCs/>
                <w:color w:val="0000FF"/>
                <w:szCs w:val="21"/>
                <w:lang w:bidi="ar"/>
              </w:rPr>
              <w:t>开标日前</w:t>
            </w:r>
            <w:r>
              <w:rPr>
                <w:rFonts w:hint="eastAsia" w:ascii="宋体" w:hAnsi="宋体" w:cs="宋体"/>
                <w:bCs/>
                <w:szCs w:val="21"/>
                <w:lang w:bidi="ar"/>
              </w:rPr>
              <w:t>半年内至少一个月依法缴纳税收及缴纳社会保障资金的凭据，复印件加盖公章）</w:t>
            </w:r>
            <w:r>
              <w:rPr>
                <w:rFonts w:hint="eastAsia" w:ascii="宋体" w:hAnsi="宋体" w:cs="宋体"/>
                <w:bCs/>
                <w:color w:val="0000FF"/>
                <w:szCs w:val="21"/>
                <w:lang w:bidi="ar"/>
              </w:rPr>
              <w:t>（</w:t>
            </w:r>
            <w:r>
              <w:rPr>
                <w:rFonts w:hint="eastAsia" w:ascii="宋体" w:hAnsi="宋体" w:cs="宋体"/>
                <w:color w:val="0000FF"/>
                <w:szCs w:val="21"/>
                <w:lang w:bidi="ar"/>
              </w:rPr>
              <w:t>提供相关主管部门证明或银行代扣证明的复印件，根据国家相关政策免缴或迟缴的需提供相关证明材料</w:t>
            </w:r>
            <w:r>
              <w:rPr>
                <w:rFonts w:hint="eastAsia" w:ascii="宋体" w:hAnsi="宋体" w:cs="宋体"/>
                <w:bCs/>
                <w:color w:val="0000FF"/>
                <w:szCs w:val="21"/>
                <w:lang w:bidi="ar"/>
              </w:rPr>
              <w:t>）</w:t>
            </w:r>
            <w:r>
              <w:rPr>
                <w:rFonts w:hint="eastAsia" w:ascii="宋体" w:hAnsi="宋体" w:cs="宋体"/>
                <w:szCs w:val="21"/>
                <w:lang w:bidi="ar"/>
              </w:rPr>
              <w:t>；</w:t>
            </w:r>
          </w:p>
        </w:tc>
      </w:tr>
      <w:tr w14:paraId="4450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33CCA0B0">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2DF1792F">
            <w:pPr>
              <w:keepNext w:val="0"/>
              <w:keepLines w:val="0"/>
              <w:suppressLineNumbers w:val="0"/>
              <w:spacing w:before="0" w:beforeAutospacing="0" w:after="0" w:afterAutospacing="0"/>
              <w:ind w:left="0" w:right="0"/>
              <w:rPr>
                <w:rFonts w:ascii="宋体" w:hAnsi="宋体" w:cs="宋体"/>
                <w:kern w:val="0"/>
                <w:szCs w:val="21"/>
              </w:rPr>
            </w:pPr>
            <w:r>
              <w:rPr>
                <w:rFonts w:hint="eastAsia" w:ascii="宋体" w:hAnsi="宋体" w:cs="宋体"/>
                <w:kern w:val="0"/>
                <w:szCs w:val="21"/>
              </w:rPr>
              <w:t>4、具有履行合同所必需的设备和专业技术能力（提供书面声明原件）；</w:t>
            </w:r>
          </w:p>
        </w:tc>
      </w:tr>
      <w:tr w14:paraId="5FD5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59A4784F">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720068F1">
            <w:pPr>
              <w:keepNext w:val="0"/>
              <w:keepLines w:val="0"/>
              <w:suppressLineNumbers w:val="0"/>
              <w:spacing w:before="0" w:beforeAutospacing="0" w:after="0" w:afterAutospacing="0"/>
              <w:ind w:left="0" w:right="0"/>
              <w:rPr>
                <w:rFonts w:ascii="宋体" w:hAnsi="宋体" w:cs="宋体"/>
                <w:kern w:val="0"/>
                <w:szCs w:val="21"/>
              </w:rPr>
            </w:pPr>
            <w:r>
              <w:rPr>
                <w:rFonts w:hint="eastAsia" w:ascii="宋体" w:hAnsi="宋体" w:cs="宋体"/>
                <w:kern w:val="0"/>
                <w:szCs w:val="21"/>
              </w:rPr>
              <w:t>5、参加政府采购活动前三年内，在经营活动中没有重大违法记录（提供书面声明原件）；</w:t>
            </w:r>
          </w:p>
        </w:tc>
      </w:tr>
      <w:tr w14:paraId="3356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33852A74">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466E66A9">
            <w:pPr>
              <w:keepNext w:val="0"/>
              <w:keepLines w:val="0"/>
              <w:suppressLineNumbers w:val="0"/>
              <w:spacing w:before="0" w:beforeAutospacing="0" w:after="0" w:afterAutospacing="0"/>
              <w:ind w:left="0" w:right="0"/>
              <w:rPr>
                <w:rFonts w:ascii="宋体" w:hAnsi="宋体" w:cs="宋体"/>
                <w:kern w:val="0"/>
                <w:szCs w:val="21"/>
              </w:rPr>
            </w:pPr>
            <w:r>
              <w:rPr>
                <w:rFonts w:hint="eastAsia" w:ascii="宋体" w:hAnsi="宋体" w:cs="宋体"/>
                <w:kern w:val="0"/>
                <w:szCs w:val="21"/>
              </w:rPr>
              <w:t>6、《中小企业声明函》</w:t>
            </w:r>
          </w:p>
        </w:tc>
      </w:tr>
      <w:tr w14:paraId="6507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restart"/>
            <w:vAlign w:val="center"/>
          </w:tcPr>
          <w:p w14:paraId="3682FE0A">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投标人不存在被禁止投标的情形</w:t>
            </w:r>
          </w:p>
        </w:tc>
        <w:tc>
          <w:tcPr>
            <w:tcW w:w="7365" w:type="dxa"/>
            <w:vAlign w:val="center"/>
          </w:tcPr>
          <w:p w14:paraId="4104B21A">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单位负责人为同一人或者存在直接控股、管理关系的不同供应商，不得参加同一合同项下的政府采购活动</w:t>
            </w:r>
          </w:p>
        </w:tc>
      </w:tr>
      <w:tr w14:paraId="56E2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6BEF66F4">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11B0574B">
            <w:pPr>
              <w:keepNext w:val="0"/>
              <w:keepLines w:val="0"/>
              <w:suppressLineNumbers w:val="0"/>
              <w:spacing w:before="0" w:beforeAutospacing="0" w:after="0" w:afterAutospacing="0"/>
              <w:ind w:left="0" w:right="0"/>
              <w:rPr>
                <w:rFonts w:ascii="宋体" w:hAnsi="宋体" w:cs="宋体"/>
                <w:kern w:val="0"/>
                <w:szCs w:val="21"/>
              </w:rPr>
            </w:pPr>
            <w:r>
              <w:rPr>
                <w:rFonts w:hint="eastAsia" w:ascii="宋体" w:hAnsi="宋体" w:cs="宋体"/>
                <w:szCs w:val="21"/>
              </w:rPr>
              <w:t>凡为采购项目提供整体设计、规范编制或者项目管理、监理、检测等服务的供应商，不得再参加该项目的其他采购活动</w:t>
            </w:r>
          </w:p>
        </w:tc>
      </w:tr>
      <w:tr w14:paraId="111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22" w:type="dxa"/>
            <w:vMerge w:val="continue"/>
            <w:vAlign w:val="center"/>
          </w:tcPr>
          <w:p w14:paraId="39BCDBAD">
            <w:pPr>
              <w:keepNext w:val="0"/>
              <w:keepLines w:val="0"/>
              <w:suppressLineNumbers w:val="0"/>
              <w:spacing w:before="0" w:beforeAutospacing="0" w:after="0" w:afterAutospacing="0"/>
              <w:ind w:left="420" w:right="0" w:hanging="420"/>
              <w:jc w:val="center"/>
              <w:rPr>
                <w:rFonts w:ascii="宋体" w:hAnsi="宋体" w:cs="宋体"/>
                <w:szCs w:val="21"/>
              </w:rPr>
            </w:pPr>
          </w:p>
        </w:tc>
        <w:tc>
          <w:tcPr>
            <w:tcW w:w="7365" w:type="dxa"/>
            <w:vAlign w:val="center"/>
          </w:tcPr>
          <w:p w14:paraId="1F29174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拒绝列入</w:t>
            </w:r>
            <w:r>
              <w:rPr>
                <w:rFonts w:hint="eastAsia" w:ascii="宋体" w:hAnsi="宋体" w:cs="宋体"/>
                <w:szCs w:val="21"/>
                <w:u w:val="single"/>
              </w:rPr>
              <w:t>失信被执行人</w:t>
            </w:r>
            <w:r>
              <w:rPr>
                <w:rFonts w:hint="eastAsia" w:ascii="宋体" w:hAnsi="宋体" w:cs="宋体"/>
                <w:szCs w:val="21"/>
              </w:rPr>
              <w:t>、</w:t>
            </w:r>
            <w:r>
              <w:rPr>
                <w:rFonts w:hint="eastAsia" w:ascii="宋体" w:hAnsi="宋体" w:cs="宋体"/>
                <w:szCs w:val="21"/>
                <w:u w:val="single"/>
              </w:rPr>
              <w:t>重大税收违法失信主体</w:t>
            </w:r>
            <w:r>
              <w:rPr>
                <w:rFonts w:hint="eastAsia" w:ascii="宋体" w:hAnsi="宋体" w:cs="宋体"/>
                <w:szCs w:val="21"/>
              </w:rPr>
              <w:t>、</w:t>
            </w:r>
            <w:r>
              <w:rPr>
                <w:rFonts w:hint="eastAsia" w:ascii="宋体" w:hAnsi="宋体" w:cs="宋体"/>
                <w:szCs w:val="21"/>
                <w:u w:val="single"/>
              </w:rPr>
              <w:t>严重失信主体名单</w:t>
            </w:r>
            <w:r>
              <w:rPr>
                <w:rFonts w:hint="eastAsia" w:ascii="宋体" w:hAnsi="宋体" w:cs="宋体"/>
                <w:szCs w:val="21"/>
              </w:rPr>
              <w:t>和</w:t>
            </w:r>
            <w:r>
              <w:rPr>
                <w:rFonts w:hint="eastAsia" w:ascii="宋体" w:hAnsi="宋体" w:cs="宋体"/>
                <w:szCs w:val="21"/>
                <w:u w:val="single"/>
              </w:rPr>
              <w:t>政府采购严重违法失信行为记录名单</w:t>
            </w:r>
            <w:r>
              <w:rPr>
                <w:rFonts w:hint="eastAsia" w:ascii="宋体" w:hAnsi="宋体" w:cs="宋体"/>
                <w:szCs w:val="21"/>
              </w:rPr>
              <w:t>中的供应商参加本项目的投标活动。代理机构在评标时通过“信用中国”网站（www.creditchina.gov.cn）查询其信用记录</w:t>
            </w:r>
            <w:r>
              <w:rPr>
                <w:rFonts w:hint="eastAsia" w:ascii="宋体" w:hAnsi="宋体" w:cs="宋体"/>
                <w:color w:val="000000" w:themeColor="text1"/>
                <w:szCs w:val="21"/>
                <w14:textFill>
                  <w14:solidFill>
                    <w14:schemeClr w14:val="tx1"/>
                  </w14:solidFill>
                </w14:textFill>
              </w:rPr>
              <w:t>。</w:t>
            </w:r>
          </w:p>
        </w:tc>
      </w:tr>
    </w:tbl>
    <w:p w14:paraId="62D14EB3">
      <w:pPr>
        <w:rPr>
          <w:rFonts w:ascii="宋体" w:hAnsi="宋体" w:cs="宋体"/>
          <w:szCs w:val="21"/>
        </w:rPr>
      </w:pPr>
    </w:p>
    <w:p w14:paraId="7BF8CE16">
      <w:pPr>
        <w:numPr>
          <w:ilvl w:val="0"/>
          <w:numId w:val="9"/>
        </w:numPr>
        <w:ind w:firstLine="422" w:firstLineChars="200"/>
        <w:outlineLvl w:val="1"/>
        <w:rPr>
          <w:rFonts w:ascii="宋体" w:hAnsi="宋体" w:cs="宋体"/>
          <w:b/>
          <w:szCs w:val="21"/>
        </w:rPr>
      </w:pPr>
      <w:bookmarkStart w:id="122" w:name="_Toc13073"/>
      <w:bookmarkStart w:id="123" w:name="_Toc12163"/>
      <w:bookmarkStart w:id="124" w:name="_Toc11967"/>
      <w:bookmarkStart w:id="125" w:name="_Toc14837"/>
      <w:r>
        <w:rPr>
          <w:rFonts w:hint="eastAsia" w:ascii="宋体" w:hAnsi="宋体" w:cs="宋体"/>
          <w:b/>
          <w:szCs w:val="21"/>
        </w:rPr>
        <w:t>符合性审查标准</w:t>
      </w:r>
      <w:bookmarkEnd w:id="122"/>
      <w:bookmarkEnd w:id="123"/>
      <w:bookmarkEnd w:id="124"/>
      <w:bookmarkEnd w:id="125"/>
    </w:p>
    <w:tbl>
      <w:tblPr>
        <w:tblStyle w:val="28"/>
        <w:tblW w:w="8997"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7386"/>
      </w:tblGrid>
      <w:tr w14:paraId="534E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09DD0827">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评审因素</w:t>
            </w:r>
          </w:p>
        </w:tc>
        <w:tc>
          <w:tcPr>
            <w:tcW w:w="7386" w:type="dxa"/>
            <w:vAlign w:val="center"/>
          </w:tcPr>
          <w:p w14:paraId="03FB7DA2">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评审标准</w:t>
            </w:r>
          </w:p>
        </w:tc>
      </w:tr>
      <w:tr w14:paraId="572F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5B082B4F">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szCs w:val="21"/>
              </w:rPr>
              <w:t>投标人名称</w:t>
            </w:r>
          </w:p>
        </w:tc>
        <w:tc>
          <w:tcPr>
            <w:tcW w:w="7386" w:type="dxa"/>
            <w:vAlign w:val="center"/>
          </w:tcPr>
          <w:p w14:paraId="6D94BF3C">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与营业执照、资质证书一致</w:t>
            </w:r>
          </w:p>
        </w:tc>
      </w:tr>
      <w:tr w14:paraId="7CC0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195C00A1">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szCs w:val="21"/>
              </w:rPr>
              <w:t>投标文件签字、盖章</w:t>
            </w:r>
          </w:p>
        </w:tc>
        <w:tc>
          <w:tcPr>
            <w:tcW w:w="7386" w:type="dxa"/>
            <w:vAlign w:val="center"/>
          </w:tcPr>
          <w:p w14:paraId="03C9881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有法定代表人或其委托代理人签字并加盖单位章。由法定代表人签字的，应附法定代表人身份证明；由代理人签字的，应附授权委托书，身份证明。授权委托书应符合第六部分“投标文件组成”的相关规定</w:t>
            </w:r>
          </w:p>
        </w:tc>
      </w:tr>
      <w:tr w14:paraId="506E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00280B6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实质性条款</w:t>
            </w:r>
          </w:p>
        </w:tc>
        <w:tc>
          <w:tcPr>
            <w:tcW w:w="7386" w:type="dxa"/>
            <w:vAlign w:val="center"/>
          </w:tcPr>
          <w:p w14:paraId="0A40691D">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招标文件《第三部分：采购需求》中的招标要求不接受任何一项的负偏离或者不满足。</w:t>
            </w:r>
          </w:p>
        </w:tc>
      </w:tr>
      <w:tr w14:paraId="7846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30343834">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szCs w:val="21"/>
              </w:rPr>
              <w:t>投标文件格式</w:t>
            </w:r>
          </w:p>
        </w:tc>
        <w:tc>
          <w:tcPr>
            <w:tcW w:w="7386" w:type="dxa"/>
            <w:vAlign w:val="center"/>
          </w:tcPr>
          <w:p w14:paraId="220F35C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符合第六部分“投标文件组成”的规定</w:t>
            </w:r>
          </w:p>
        </w:tc>
      </w:tr>
      <w:tr w14:paraId="08A0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1507FE6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投标文件份数</w:t>
            </w:r>
          </w:p>
        </w:tc>
        <w:tc>
          <w:tcPr>
            <w:tcW w:w="7386" w:type="dxa"/>
            <w:vAlign w:val="center"/>
          </w:tcPr>
          <w:p w14:paraId="0F004F48">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正本1份，副本4份，电子版1份</w:t>
            </w:r>
          </w:p>
        </w:tc>
      </w:tr>
      <w:tr w14:paraId="33E1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0AA31D3E">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采购预算</w:t>
            </w:r>
          </w:p>
        </w:tc>
        <w:tc>
          <w:tcPr>
            <w:tcW w:w="7386" w:type="dxa"/>
            <w:vAlign w:val="center"/>
          </w:tcPr>
          <w:p w14:paraId="1B21DAD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
                <w:bCs/>
                <w:szCs w:val="21"/>
              </w:rPr>
              <w:t>470万元人民币，投标人的投标报价不得超过采购预算</w:t>
            </w:r>
          </w:p>
        </w:tc>
      </w:tr>
      <w:tr w14:paraId="6D0A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586DEDA7">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联合体投标人</w:t>
            </w:r>
          </w:p>
        </w:tc>
        <w:tc>
          <w:tcPr>
            <w:tcW w:w="7386" w:type="dxa"/>
            <w:vAlign w:val="center"/>
          </w:tcPr>
          <w:p w14:paraId="41E47795">
            <w:pPr>
              <w:keepNext w:val="0"/>
              <w:keepLines w:val="0"/>
              <w:suppressLineNumbers w:val="0"/>
              <w:spacing w:before="0" w:beforeAutospacing="0" w:after="0" w:afterAutospacing="0"/>
              <w:ind w:left="0" w:right="0"/>
              <w:jc w:val="left"/>
              <w:rPr>
                <w:rFonts w:ascii="宋体" w:hAnsi="宋体" w:cs="宋体"/>
                <w:szCs w:val="21"/>
              </w:rPr>
            </w:pPr>
            <w:r>
              <w:rPr>
                <w:rFonts w:hint="eastAsia" w:ascii="宋体" w:hAnsi="宋体" w:cs="宋体"/>
                <w:szCs w:val="21"/>
              </w:rPr>
              <w:t>不接受</w:t>
            </w:r>
          </w:p>
        </w:tc>
      </w:tr>
      <w:tr w14:paraId="4E7B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7D837D0F">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备选投标方案</w:t>
            </w:r>
          </w:p>
        </w:tc>
        <w:tc>
          <w:tcPr>
            <w:tcW w:w="7386" w:type="dxa"/>
            <w:vAlign w:val="center"/>
          </w:tcPr>
          <w:p w14:paraId="6D168B41">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不接受</w:t>
            </w:r>
          </w:p>
        </w:tc>
      </w:tr>
      <w:tr w14:paraId="1B1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1601E106">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附加条件</w:t>
            </w:r>
          </w:p>
        </w:tc>
        <w:tc>
          <w:tcPr>
            <w:tcW w:w="7386" w:type="dxa"/>
            <w:vAlign w:val="center"/>
          </w:tcPr>
          <w:p w14:paraId="2D09060B">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投标文件没有采购人不能接受的附加条件</w:t>
            </w:r>
          </w:p>
        </w:tc>
      </w:tr>
      <w:tr w14:paraId="0F94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3F8092E3">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串通投标</w:t>
            </w:r>
          </w:p>
        </w:tc>
        <w:tc>
          <w:tcPr>
            <w:tcW w:w="7386" w:type="dxa"/>
            <w:vAlign w:val="center"/>
          </w:tcPr>
          <w:p w14:paraId="471DC423">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投标文件没有招标文件《第二部分：投标人须知》3.2条串通投标的情形</w:t>
            </w:r>
          </w:p>
        </w:tc>
      </w:tr>
      <w:tr w14:paraId="3C90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611" w:type="dxa"/>
            <w:vAlign w:val="center"/>
          </w:tcPr>
          <w:p w14:paraId="20FB4D3C">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其他无效情形</w:t>
            </w:r>
          </w:p>
        </w:tc>
        <w:tc>
          <w:tcPr>
            <w:tcW w:w="7386" w:type="dxa"/>
            <w:vAlign w:val="center"/>
          </w:tcPr>
          <w:p w14:paraId="4E189A7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投标文件没有法律、法规和招标文件规定的其他无效情形</w:t>
            </w:r>
          </w:p>
        </w:tc>
      </w:tr>
    </w:tbl>
    <w:p w14:paraId="639CFFE4">
      <w:pPr>
        <w:rPr>
          <w:rFonts w:ascii="宋体" w:hAnsi="宋体" w:cs="宋体"/>
          <w:szCs w:val="21"/>
        </w:rPr>
      </w:pPr>
    </w:p>
    <w:p w14:paraId="341E9FAF">
      <w:pPr>
        <w:numPr>
          <w:ilvl w:val="0"/>
          <w:numId w:val="9"/>
        </w:numPr>
        <w:ind w:firstLine="422" w:firstLineChars="200"/>
        <w:outlineLvl w:val="1"/>
        <w:rPr>
          <w:rFonts w:ascii="宋体" w:hAnsi="宋体" w:cs="宋体"/>
          <w:b/>
          <w:szCs w:val="21"/>
        </w:rPr>
      </w:pPr>
      <w:bookmarkStart w:id="126" w:name="_Toc26189"/>
      <w:bookmarkStart w:id="127" w:name="_Toc12551"/>
      <w:bookmarkStart w:id="128" w:name="_Toc20311"/>
      <w:bookmarkStart w:id="129" w:name="_Toc13131"/>
      <w:r>
        <w:rPr>
          <w:rFonts w:hint="eastAsia" w:ascii="宋体" w:hAnsi="宋体" w:cs="宋体"/>
          <w:b/>
          <w:szCs w:val="21"/>
        </w:rPr>
        <w:t>综合评分标准</w:t>
      </w:r>
      <w:bookmarkEnd w:id="126"/>
      <w:bookmarkEnd w:id="127"/>
      <w:bookmarkEnd w:id="128"/>
      <w:bookmarkEnd w:id="129"/>
    </w:p>
    <w:tbl>
      <w:tblPr>
        <w:tblStyle w:val="28"/>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8"/>
        <w:gridCol w:w="6087"/>
        <w:gridCol w:w="1277"/>
      </w:tblGrid>
      <w:tr w14:paraId="284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tcBorders>
              <w:tl2br w:val="nil"/>
              <w:tr2bl w:val="nil"/>
            </w:tcBorders>
            <w:shd w:val="clear" w:color="auto" w:fill="auto"/>
            <w:vAlign w:val="center"/>
          </w:tcPr>
          <w:p w14:paraId="20F05B4D">
            <w:pPr>
              <w:pStyle w:val="119"/>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评审项目</w:t>
            </w:r>
          </w:p>
        </w:tc>
        <w:tc>
          <w:tcPr>
            <w:tcW w:w="6087" w:type="dxa"/>
            <w:tcBorders>
              <w:tl2br w:val="nil"/>
              <w:tr2bl w:val="nil"/>
            </w:tcBorders>
            <w:shd w:val="clear" w:color="auto" w:fill="auto"/>
            <w:vAlign w:val="center"/>
          </w:tcPr>
          <w:p w14:paraId="011E027C">
            <w:pPr>
              <w:pStyle w:val="120"/>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评分标准</w:t>
            </w:r>
          </w:p>
        </w:tc>
        <w:tc>
          <w:tcPr>
            <w:tcW w:w="1277" w:type="dxa"/>
            <w:tcBorders>
              <w:tl2br w:val="nil"/>
              <w:tr2bl w:val="nil"/>
            </w:tcBorders>
            <w:shd w:val="clear" w:color="auto" w:fill="auto"/>
            <w:vAlign w:val="center"/>
          </w:tcPr>
          <w:p w14:paraId="6E044F88">
            <w:pPr>
              <w:pStyle w:val="121"/>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分值</w:t>
            </w:r>
          </w:p>
        </w:tc>
      </w:tr>
      <w:tr w14:paraId="4D71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tcBorders>
              <w:tl2br w:val="nil"/>
              <w:tr2bl w:val="nil"/>
            </w:tcBorders>
            <w:shd w:val="clear" w:color="auto" w:fill="auto"/>
            <w:vAlign w:val="center"/>
          </w:tcPr>
          <w:p w14:paraId="4B67CFE0">
            <w:pPr>
              <w:pStyle w:val="122"/>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价格</w:t>
            </w:r>
          </w:p>
        </w:tc>
        <w:tc>
          <w:tcPr>
            <w:tcW w:w="6087" w:type="dxa"/>
            <w:tcBorders>
              <w:tl2br w:val="nil"/>
              <w:tr2bl w:val="nil"/>
            </w:tcBorders>
            <w:shd w:val="clear" w:color="auto" w:fill="auto"/>
            <w:vAlign w:val="center"/>
          </w:tcPr>
          <w:p w14:paraId="5320933B">
            <w:pPr>
              <w:pStyle w:val="123"/>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eastAsia="宋体" w:cs="宋体"/>
              </w:rPr>
              <w:t>满足招标文件要求且价格最低的投标价为基准价，其价格分为满分。其他投标人的价格分统一按照下列公式计算：投标报价得分</w:t>
            </w:r>
            <w:r>
              <w:rPr>
                <w:rFonts w:hint="eastAsia" w:ascii="宋体" w:hAnsi="宋体" w:eastAsia="宋体" w:cs="宋体"/>
                <w:lang w:val="en-US"/>
              </w:rPr>
              <w:t>=</w:t>
            </w:r>
            <w:r>
              <w:rPr>
                <w:rFonts w:hint="eastAsia" w:ascii="宋体" w:hAnsi="宋体" w:eastAsia="宋体" w:cs="宋体"/>
              </w:rPr>
              <w:t>（评标基准价</w:t>
            </w:r>
            <w:r>
              <w:rPr>
                <w:rFonts w:hint="eastAsia" w:ascii="宋体" w:hAnsi="宋体" w:eastAsia="宋体" w:cs="宋体"/>
                <w:lang w:val="en-US"/>
              </w:rPr>
              <w:t>/</w:t>
            </w:r>
            <w:r>
              <w:rPr>
                <w:rFonts w:hint="eastAsia" w:ascii="宋体" w:hAnsi="宋体" w:eastAsia="宋体" w:cs="宋体"/>
              </w:rPr>
              <w:t>投标报价）×</w:t>
            </w:r>
            <w:r>
              <w:rPr>
                <w:rFonts w:hint="eastAsia" w:ascii="宋体" w:hAnsi="宋体" w:cs="宋体"/>
                <w:lang w:val="en-US" w:eastAsia="zh-CN"/>
              </w:rPr>
              <w:t>2</w:t>
            </w:r>
            <w:r>
              <w:rPr>
                <w:rFonts w:hint="eastAsia" w:ascii="宋体" w:hAnsi="宋体" w:eastAsia="宋体" w:cs="宋体"/>
                <w:lang w:val="en-US"/>
              </w:rPr>
              <w:t>0</w:t>
            </w:r>
            <w:r>
              <w:rPr>
                <w:rFonts w:hint="eastAsia" w:ascii="宋体" w:hAnsi="宋体" w:eastAsia="宋体" w:cs="宋体"/>
              </w:rPr>
              <w:t>（该结果四舍五入，保留两位小数）</w:t>
            </w:r>
          </w:p>
        </w:tc>
        <w:tc>
          <w:tcPr>
            <w:tcW w:w="1277" w:type="dxa"/>
            <w:tcBorders>
              <w:tl2br w:val="nil"/>
              <w:tr2bl w:val="nil"/>
            </w:tcBorders>
            <w:shd w:val="clear" w:color="auto" w:fill="auto"/>
            <w:vAlign w:val="center"/>
          </w:tcPr>
          <w:p w14:paraId="7E81653C">
            <w:pPr>
              <w:pStyle w:val="124"/>
              <w:keepNext w:val="0"/>
              <w:keepLines w:val="0"/>
              <w:widowControl/>
              <w:suppressLineNumbers w:val="0"/>
              <w:adjustRightInd w:val="0"/>
              <w:snapToGrid w:val="0"/>
              <w:jc w:val="center"/>
              <w:rPr>
                <w:rFonts w:hint="eastAsia" w:ascii="宋体" w:hAnsi="宋体" w:eastAsia="宋体" w:cs="宋体"/>
                <w:color w:val="000000"/>
                <w:kern w:val="0"/>
                <w:lang w:val="en-US"/>
              </w:rPr>
            </w:pPr>
            <w:r>
              <w:rPr>
                <w:rFonts w:hint="eastAsia" w:ascii="宋体" w:hAnsi="宋体" w:cs="宋体"/>
                <w:color w:val="000000"/>
                <w:kern w:val="0"/>
                <w:lang w:val="en-US" w:eastAsia="zh-CN"/>
              </w:rPr>
              <w:t>2</w:t>
            </w:r>
            <w:r>
              <w:rPr>
                <w:rFonts w:hint="eastAsia" w:ascii="宋体" w:hAnsi="宋体" w:eastAsia="宋体" w:cs="宋体"/>
                <w:color w:val="000000"/>
                <w:kern w:val="0"/>
                <w:lang w:val="en-US"/>
              </w:rPr>
              <w:t>0</w:t>
            </w:r>
          </w:p>
        </w:tc>
      </w:tr>
      <w:tr w14:paraId="0988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vMerge w:val="restart"/>
            <w:tcBorders>
              <w:tl2br w:val="nil"/>
              <w:tr2bl w:val="nil"/>
            </w:tcBorders>
            <w:shd w:val="clear" w:color="auto" w:fill="auto"/>
            <w:vAlign w:val="center"/>
          </w:tcPr>
          <w:p w14:paraId="28412266">
            <w:pPr>
              <w:pStyle w:val="122"/>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履约能力</w:t>
            </w:r>
          </w:p>
        </w:tc>
        <w:tc>
          <w:tcPr>
            <w:tcW w:w="6087" w:type="dxa"/>
            <w:tcBorders>
              <w:tl2br w:val="nil"/>
              <w:tr2bl w:val="nil"/>
            </w:tcBorders>
            <w:shd w:val="clear" w:color="auto" w:fill="auto"/>
            <w:vAlign w:val="center"/>
          </w:tcPr>
          <w:p w14:paraId="7A64C6DC">
            <w:pPr>
              <w:pStyle w:val="123"/>
              <w:keepNext w:val="0"/>
              <w:keepLines w:val="0"/>
              <w:widowControl/>
              <w:suppressLineNumbers w:val="0"/>
              <w:adjustRightInd w:val="0"/>
              <w:snapToGrid w:val="0"/>
              <w:rPr>
                <w:rFonts w:hint="eastAsia" w:ascii="宋体" w:hAnsi="宋体" w:eastAsia="宋体" w:cs="宋体"/>
                <w:b/>
                <w:bCs/>
                <w:color w:val="000000"/>
                <w:kern w:val="0"/>
                <w:lang w:val="en-US"/>
              </w:rPr>
            </w:pPr>
            <w:r>
              <w:rPr>
                <w:rFonts w:hint="eastAsia" w:ascii="宋体" w:hAnsi="宋体" w:eastAsia="宋体" w:cs="宋体"/>
                <w:b/>
                <w:bCs/>
                <w:color w:val="000000"/>
                <w:kern w:val="0"/>
                <w:lang w:val="en-US"/>
              </w:rPr>
              <w:t>1</w:t>
            </w:r>
            <w:r>
              <w:rPr>
                <w:rFonts w:hint="eastAsia" w:ascii="宋体" w:hAnsi="宋体" w:eastAsia="宋体" w:cs="宋体"/>
                <w:b/>
                <w:bCs/>
                <w:color w:val="000000"/>
                <w:kern w:val="0"/>
              </w:rPr>
              <w:t>、软著证书</w:t>
            </w:r>
          </w:p>
          <w:p w14:paraId="7DC36143">
            <w:pPr>
              <w:pStyle w:val="123"/>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eastAsia="宋体" w:cs="宋体"/>
                <w:color w:val="000000"/>
                <w:kern w:val="0"/>
              </w:rPr>
              <w:t>供应商具有通关、数据可视化两种类型的计算机软件著作权登记证书，每提供的一个类型的证书得</w:t>
            </w:r>
            <w:r>
              <w:rPr>
                <w:rFonts w:hint="eastAsia" w:ascii="宋体" w:hAnsi="宋体" w:cs="宋体"/>
                <w:color w:val="000000"/>
                <w:kern w:val="0"/>
                <w:highlight w:val="yellow"/>
                <w:lang w:val="en-US" w:eastAsia="zh-CN"/>
              </w:rPr>
              <w:t>5</w:t>
            </w:r>
            <w:r>
              <w:rPr>
                <w:rFonts w:hint="eastAsia" w:ascii="宋体" w:hAnsi="宋体" w:eastAsia="宋体" w:cs="宋体"/>
                <w:color w:val="000000"/>
                <w:kern w:val="0"/>
              </w:rPr>
              <w:t>分，最高</w:t>
            </w:r>
            <w:r>
              <w:rPr>
                <w:rFonts w:hint="eastAsia" w:ascii="宋体" w:hAnsi="宋体" w:eastAsia="宋体" w:cs="宋体"/>
                <w:color w:val="000000"/>
                <w:kern w:val="0"/>
                <w:highlight w:val="yellow"/>
                <w:lang w:val="en-US" w:eastAsia="zh-CN"/>
              </w:rPr>
              <w:t>10</w:t>
            </w:r>
            <w:r>
              <w:rPr>
                <w:rFonts w:hint="eastAsia" w:ascii="宋体" w:hAnsi="宋体" w:eastAsia="宋体" w:cs="宋体"/>
                <w:color w:val="000000"/>
                <w:kern w:val="0"/>
              </w:rPr>
              <w:t>分（提供证书复印件加盖公章；若投标人提供的著作权名称表述与评分描述的关键字样不一致，而该投标文件中能证明投标人拥有的软件著作权具有相同或相似功能和效果，且评标委员会认可的，视同符合要求。）</w:t>
            </w:r>
          </w:p>
        </w:tc>
        <w:tc>
          <w:tcPr>
            <w:tcW w:w="1277" w:type="dxa"/>
            <w:tcBorders>
              <w:tl2br w:val="nil"/>
              <w:tr2bl w:val="nil"/>
            </w:tcBorders>
            <w:shd w:val="clear" w:color="auto" w:fill="auto"/>
            <w:vAlign w:val="center"/>
          </w:tcPr>
          <w:p w14:paraId="6F9E4B82">
            <w:pPr>
              <w:pStyle w:val="124"/>
              <w:keepNext w:val="0"/>
              <w:keepLines w:val="0"/>
              <w:widowControl/>
              <w:suppressLineNumbers w:val="0"/>
              <w:adjustRightInd w:val="0"/>
              <w:snapToGrid w:val="0"/>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r>
      <w:tr w14:paraId="428F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vMerge w:val="continue"/>
            <w:tcBorders>
              <w:tl2br w:val="nil"/>
              <w:tr2bl w:val="nil"/>
            </w:tcBorders>
            <w:shd w:val="clear" w:color="auto" w:fill="auto"/>
            <w:vAlign w:val="center"/>
          </w:tcPr>
          <w:p w14:paraId="30810EAC">
            <w:pPr>
              <w:keepNext w:val="0"/>
              <w:keepLines w:val="0"/>
              <w:suppressLineNumbers w:val="0"/>
              <w:spacing w:before="0" w:beforeAutospacing="0" w:after="0" w:afterAutospacing="0"/>
              <w:ind w:left="0" w:right="0"/>
              <w:rPr>
                <w:rFonts w:hint="eastAsia" w:ascii="宋体" w:hAnsi="宋体" w:eastAsia="宋体" w:cs="宋体"/>
                <w:kern w:val="2"/>
                <w:sz w:val="21"/>
                <w:szCs w:val="22"/>
              </w:rPr>
            </w:pPr>
          </w:p>
        </w:tc>
        <w:tc>
          <w:tcPr>
            <w:tcW w:w="6087" w:type="dxa"/>
            <w:tcBorders>
              <w:tl2br w:val="nil"/>
              <w:tr2bl w:val="nil"/>
            </w:tcBorders>
            <w:shd w:val="clear" w:color="auto" w:fill="auto"/>
            <w:vAlign w:val="center"/>
          </w:tcPr>
          <w:p w14:paraId="6B4774B5">
            <w:pPr>
              <w:pStyle w:val="123"/>
              <w:keepNext w:val="0"/>
              <w:keepLines w:val="0"/>
              <w:widowControl/>
              <w:numPr>
                <w:ilvl w:val="0"/>
                <w:numId w:val="10"/>
              </w:numPr>
              <w:suppressLineNumbers w:val="0"/>
              <w:adjustRightInd w:val="0"/>
              <w:snapToGrid w:val="0"/>
              <w:ind w:left="0" w:firstLine="0"/>
              <w:rPr>
                <w:rFonts w:hint="eastAsia" w:ascii="宋体" w:hAnsi="宋体" w:eastAsia="宋体" w:cs="宋体"/>
                <w:b/>
                <w:bCs/>
                <w:color w:val="000000"/>
                <w:kern w:val="0"/>
                <w:lang w:val="en-US"/>
              </w:rPr>
            </w:pPr>
            <w:r>
              <w:rPr>
                <w:rFonts w:hint="eastAsia" w:ascii="宋体" w:hAnsi="宋体" w:eastAsia="宋体" w:cs="宋体"/>
                <w:b/>
                <w:bCs/>
                <w:color w:val="000000"/>
                <w:kern w:val="0"/>
              </w:rPr>
              <w:t>项目组人员情况</w:t>
            </w:r>
          </w:p>
          <w:p w14:paraId="10544FE7">
            <w:pPr>
              <w:pStyle w:val="123"/>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eastAsia="宋体" w:cs="宋体"/>
                <w:color w:val="000000"/>
                <w:kern w:val="0"/>
              </w:rPr>
              <w:t>投标人提供拟投入本项目服务的专职人员岗位情况表及投标人为其缴纳的</w:t>
            </w:r>
            <w:r>
              <w:rPr>
                <w:rFonts w:hint="eastAsia" w:ascii="宋体" w:hAnsi="宋体" w:eastAsia="宋体" w:cs="宋体"/>
                <w:bCs/>
                <w:color w:val="000000"/>
                <w:kern w:val="0"/>
              </w:rPr>
              <w:t>开标日前</w:t>
            </w:r>
            <w:r>
              <w:rPr>
                <w:rFonts w:hint="eastAsia" w:ascii="宋体" w:hAnsi="宋体" w:eastAsia="宋体" w:cs="宋体"/>
                <w:color w:val="000000"/>
                <w:kern w:val="0"/>
              </w:rPr>
              <w:t>六个月内的</w:t>
            </w:r>
            <w:r>
              <w:rPr>
                <w:rFonts w:hint="eastAsia" w:ascii="宋体" w:hAnsi="宋体" w:eastAsia="宋体" w:cs="宋体"/>
                <w:color w:val="0000FF"/>
                <w:kern w:val="0"/>
              </w:rPr>
              <w:t>任一月份</w:t>
            </w:r>
            <w:r>
              <w:rPr>
                <w:rFonts w:hint="eastAsia" w:ascii="宋体" w:hAnsi="宋体" w:eastAsia="宋体" w:cs="宋体"/>
                <w:color w:val="000000"/>
                <w:kern w:val="0"/>
              </w:rPr>
              <w:t>社保缴纳证明材料（如为第三方代为缴纳，不予认可），未按要求提供不得分：</w:t>
            </w:r>
          </w:p>
          <w:p w14:paraId="22E78140">
            <w:pPr>
              <w:pStyle w:val="123"/>
              <w:keepNext w:val="0"/>
              <w:keepLines w:val="0"/>
              <w:widowControl/>
              <w:numPr>
                <w:ilvl w:val="0"/>
                <w:numId w:val="11"/>
              </w:numPr>
              <w:suppressLineNumbers w:val="0"/>
              <w:adjustRightInd w:val="0"/>
              <w:snapToGrid w:val="0"/>
              <w:ind w:left="0" w:firstLine="0"/>
              <w:rPr>
                <w:rFonts w:hint="eastAsia" w:ascii="宋体" w:hAnsi="宋体" w:eastAsia="宋体" w:cs="宋体"/>
                <w:color w:val="000000"/>
                <w:kern w:val="0"/>
                <w:lang w:val="en-US" w:eastAsia="zh-CN"/>
              </w:rPr>
            </w:pPr>
            <w:r>
              <w:rPr>
                <w:rFonts w:hint="eastAsia" w:ascii="宋体" w:hAnsi="宋体" w:eastAsia="宋体" w:cs="宋体"/>
                <w:color w:val="000000"/>
                <w:kern w:val="0"/>
                <w:lang w:eastAsia="zh-CN"/>
              </w:rPr>
              <w:t>提供＜</w:t>
            </w:r>
            <w:r>
              <w:rPr>
                <w:rFonts w:hint="eastAsia" w:ascii="宋体" w:hAnsi="宋体" w:eastAsia="宋体" w:cs="宋体"/>
                <w:color w:val="000000"/>
                <w:kern w:val="0"/>
                <w:lang w:val="en-US" w:eastAsia="zh-CN"/>
              </w:rPr>
              <w:t>5人的得0分</w:t>
            </w:r>
            <w:r>
              <w:rPr>
                <w:rFonts w:hint="eastAsia" w:ascii="宋体" w:hAnsi="宋体" w:eastAsia="宋体" w:cs="宋体"/>
                <w:color w:val="000000"/>
                <w:kern w:val="0"/>
                <w:lang w:eastAsia="zh-CN"/>
              </w:rPr>
              <w:t>；</w:t>
            </w:r>
          </w:p>
          <w:p w14:paraId="430761B6">
            <w:pPr>
              <w:pStyle w:val="123"/>
              <w:keepNext w:val="0"/>
              <w:keepLines w:val="0"/>
              <w:widowControl/>
              <w:numPr>
                <w:ilvl w:val="0"/>
                <w:numId w:val="11"/>
              </w:numPr>
              <w:suppressLineNumbers w:val="0"/>
              <w:adjustRightInd w:val="0"/>
              <w:snapToGrid w:val="0"/>
              <w:ind w:left="0" w:firstLine="0"/>
              <w:rPr>
                <w:rFonts w:hint="eastAsia" w:ascii="宋体" w:hAnsi="宋体" w:eastAsia="宋体" w:cs="宋体"/>
                <w:color w:val="000000"/>
                <w:kern w:val="0"/>
                <w:lang w:val="en-US" w:eastAsia="zh-CN"/>
              </w:rPr>
            </w:pPr>
            <w:r>
              <w:rPr>
                <w:rFonts w:hint="eastAsia" w:ascii="宋体" w:hAnsi="宋体" w:eastAsia="宋体" w:cs="宋体"/>
                <w:color w:val="000000"/>
                <w:kern w:val="0"/>
                <w:lang w:eastAsia="zh-CN"/>
              </w:rPr>
              <w:t>提供</w:t>
            </w:r>
            <w:r>
              <w:rPr>
                <w:rFonts w:hint="eastAsia" w:ascii="宋体" w:hAnsi="宋体" w:cs="宋体"/>
                <w:color w:val="000000"/>
                <w:kern w:val="0"/>
                <w:lang w:val="en-US" w:eastAsia="zh-CN"/>
              </w:rPr>
              <w:t>5</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10人的得2分；</w:t>
            </w:r>
          </w:p>
          <w:p w14:paraId="4FE2516F">
            <w:pPr>
              <w:pStyle w:val="123"/>
              <w:keepNext w:val="0"/>
              <w:keepLines w:val="0"/>
              <w:widowControl/>
              <w:numPr>
                <w:ilvl w:val="0"/>
                <w:numId w:val="11"/>
              </w:numPr>
              <w:suppressLineNumbers w:val="0"/>
              <w:adjustRightInd w:val="0"/>
              <w:snapToGrid w:val="0"/>
              <w:ind w:left="0" w:firstLine="0"/>
              <w:rPr>
                <w:rFonts w:hint="eastAsia" w:ascii="宋体" w:hAnsi="宋体" w:eastAsia="宋体" w:cs="宋体"/>
                <w:color w:val="000000"/>
                <w:kern w:val="0"/>
                <w:lang w:val="en-US" w:eastAsia="zh-CN"/>
              </w:rPr>
            </w:pPr>
            <w:r>
              <w:rPr>
                <w:rFonts w:hint="eastAsia" w:ascii="宋体" w:hAnsi="宋体" w:eastAsia="宋体" w:cs="宋体"/>
                <w:color w:val="000000"/>
                <w:kern w:val="0"/>
                <w:lang w:eastAsia="zh-CN"/>
              </w:rPr>
              <w:t>提供</w:t>
            </w:r>
            <w:r>
              <w:rPr>
                <w:rFonts w:hint="eastAsia" w:ascii="宋体" w:hAnsi="宋体" w:eastAsia="宋体" w:cs="宋体"/>
                <w:color w:val="000000"/>
                <w:kern w:val="0"/>
                <w:lang w:val="en-US" w:eastAsia="zh-CN"/>
              </w:rPr>
              <w:t>11</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15</w:t>
            </w:r>
            <w:r>
              <w:rPr>
                <w:rFonts w:hint="eastAsia" w:ascii="宋体" w:hAnsi="宋体" w:eastAsia="宋体" w:cs="宋体"/>
                <w:color w:val="000000"/>
                <w:kern w:val="0"/>
                <w:lang w:eastAsia="zh-CN"/>
              </w:rPr>
              <w:t>人的得</w:t>
            </w:r>
            <w:r>
              <w:rPr>
                <w:rFonts w:hint="eastAsia" w:ascii="宋体" w:hAnsi="宋体" w:eastAsia="宋体" w:cs="宋体"/>
                <w:color w:val="000000"/>
                <w:kern w:val="0"/>
                <w:lang w:val="en-US" w:eastAsia="zh-CN"/>
              </w:rPr>
              <w:t>4</w:t>
            </w:r>
            <w:r>
              <w:rPr>
                <w:rFonts w:hint="eastAsia" w:ascii="宋体" w:hAnsi="宋体" w:eastAsia="宋体" w:cs="宋体"/>
                <w:color w:val="000000"/>
                <w:kern w:val="0"/>
                <w:lang w:eastAsia="zh-CN"/>
              </w:rPr>
              <w:t>分；</w:t>
            </w:r>
          </w:p>
          <w:p w14:paraId="5FEE09F9">
            <w:pPr>
              <w:pStyle w:val="123"/>
              <w:keepNext w:val="0"/>
              <w:keepLines w:val="0"/>
              <w:widowControl/>
              <w:numPr>
                <w:ilvl w:val="0"/>
                <w:numId w:val="11"/>
              </w:numPr>
              <w:suppressLineNumbers w:val="0"/>
              <w:adjustRightInd w:val="0"/>
              <w:snapToGrid w:val="0"/>
              <w:ind w:left="0" w:firstLine="0"/>
              <w:rPr>
                <w:rFonts w:hint="eastAsia" w:ascii="宋体" w:hAnsi="宋体" w:eastAsia="宋体" w:cs="宋体"/>
                <w:color w:val="000000"/>
                <w:kern w:val="0"/>
                <w:lang w:val="en-US" w:eastAsia="zh-CN"/>
              </w:rPr>
            </w:pPr>
            <w:r>
              <w:rPr>
                <w:rFonts w:hint="eastAsia" w:ascii="宋体" w:hAnsi="宋体" w:eastAsia="宋体" w:cs="宋体"/>
                <w:color w:val="000000"/>
                <w:kern w:val="0"/>
                <w:lang w:eastAsia="zh-CN"/>
              </w:rPr>
              <w:t>提供</w:t>
            </w:r>
            <w:r>
              <w:rPr>
                <w:rFonts w:hint="eastAsia" w:ascii="宋体" w:hAnsi="宋体" w:eastAsia="宋体" w:cs="宋体"/>
                <w:color w:val="000000"/>
                <w:kern w:val="0"/>
                <w:lang w:val="en-US" w:eastAsia="zh-CN"/>
              </w:rPr>
              <w:t>16</w:t>
            </w:r>
            <w:r>
              <w:rPr>
                <w:rFonts w:hint="eastAsia" w:ascii="宋体" w:hAnsi="宋体" w:eastAsia="宋体" w:cs="宋体"/>
                <w:color w:val="000000"/>
                <w:kern w:val="0"/>
                <w:lang w:eastAsia="zh-CN"/>
              </w:rPr>
              <w:t>～</w:t>
            </w:r>
            <w:r>
              <w:rPr>
                <w:rFonts w:hint="eastAsia" w:ascii="宋体" w:hAnsi="宋体" w:eastAsia="宋体" w:cs="宋体"/>
                <w:color w:val="000000"/>
                <w:kern w:val="0"/>
                <w:lang w:val="en-US" w:eastAsia="zh-CN"/>
              </w:rPr>
              <w:t>20</w:t>
            </w:r>
            <w:r>
              <w:rPr>
                <w:rFonts w:hint="eastAsia" w:ascii="宋体" w:hAnsi="宋体" w:eastAsia="宋体" w:cs="宋体"/>
                <w:color w:val="000000"/>
                <w:kern w:val="0"/>
                <w:lang w:eastAsia="zh-CN"/>
              </w:rPr>
              <w:t>人的得</w:t>
            </w:r>
            <w:r>
              <w:rPr>
                <w:rFonts w:hint="eastAsia" w:ascii="宋体" w:hAnsi="宋体" w:eastAsia="宋体" w:cs="宋体"/>
                <w:color w:val="000000"/>
                <w:kern w:val="0"/>
                <w:lang w:val="en-US" w:eastAsia="zh-CN"/>
              </w:rPr>
              <w:t>6</w:t>
            </w:r>
            <w:r>
              <w:rPr>
                <w:rFonts w:hint="eastAsia" w:ascii="宋体" w:hAnsi="宋体" w:eastAsia="宋体" w:cs="宋体"/>
                <w:color w:val="000000"/>
                <w:kern w:val="0"/>
                <w:lang w:eastAsia="zh-CN"/>
              </w:rPr>
              <w:t>分；</w:t>
            </w:r>
          </w:p>
          <w:p w14:paraId="152F23ED">
            <w:pPr>
              <w:pStyle w:val="123"/>
              <w:keepNext w:val="0"/>
              <w:keepLines w:val="0"/>
              <w:widowControl/>
              <w:numPr>
                <w:ilvl w:val="0"/>
                <w:numId w:val="11"/>
              </w:numPr>
              <w:suppressLineNumbers w:val="0"/>
              <w:adjustRightInd w:val="0"/>
              <w:snapToGrid w:val="0"/>
              <w:ind w:left="0" w:firstLine="0"/>
              <w:rPr>
                <w:rFonts w:hint="eastAsia" w:ascii="宋体" w:hAnsi="宋体" w:eastAsia="宋体" w:cs="宋体"/>
                <w:color w:val="000000"/>
                <w:kern w:val="0"/>
                <w:lang w:val="en-US"/>
              </w:rPr>
            </w:pPr>
            <w:r>
              <w:rPr>
                <w:rFonts w:hint="eastAsia" w:ascii="宋体" w:hAnsi="宋体" w:eastAsia="宋体" w:cs="宋体"/>
                <w:color w:val="000000"/>
                <w:kern w:val="0"/>
                <w:lang w:eastAsia="zh-CN"/>
              </w:rPr>
              <w:t>提供＞</w:t>
            </w:r>
            <w:r>
              <w:rPr>
                <w:rFonts w:hint="eastAsia" w:ascii="宋体" w:hAnsi="宋体" w:eastAsia="宋体" w:cs="宋体"/>
                <w:color w:val="000000"/>
                <w:kern w:val="0"/>
                <w:lang w:val="en-US" w:eastAsia="zh-CN"/>
              </w:rPr>
              <w:t>20</w:t>
            </w:r>
            <w:r>
              <w:rPr>
                <w:rFonts w:hint="eastAsia" w:ascii="宋体" w:hAnsi="宋体" w:eastAsia="宋体" w:cs="宋体"/>
                <w:color w:val="000000"/>
                <w:kern w:val="0"/>
                <w:lang w:eastAsia="zh-CN"/>
              </w:rPr>
              <w:t>人的得</w:t>
            </w:r>
            <w:r>
              <w:rPr>
                <w:rFonts w:hint="eastAsia" w:ascii="宋体" w:hAnsi="宋体" w:eastAsia="宋体" w:cs="宋体"/>
                <w:color w:val="000000"/>
                <w:kern w:val="0"/>
                <w:lang w:val="en-US" w:eastAsia="zh-CN"/>
              </w:rPr>
              <w:t>8</w:t>
            </w:r>
            <w:r>
              <w:rPr>
                <w:rFonts w:hint="eastAsia" w:ascii="宋体" w:hAnsi="宋体" w:eastAsia="宋体" w:cs="宋体"/>
                <w:color w:val="000000"/>
                <w:kern w:val="0"/>
                <w:lang w:eastAsia="zh-CN"/>
              </w:rPr>
              <w:t>分</w:t>
            </w:r>
          </w:p>
        </w:tc>
        <w:tc>
          <w:tcPr>
            <w:tcW w:w="1277" w:type="dxa"/>
            <w:tcBorders>
              <w:tl2br w:val="nil"/>
              <w:tr2bl w:val="nil"/>
            </w:tcBorders>
            <w:shd w:val="clear" w:color="auto" w:fill="auto"/>
            <w:vAlign w:val="center"/>
          </w:tcPr>
          <w:p w14:paraId="32B0C62D">
            <w:pPr>
              <w:pStyle w:val="124"/>
              <w:keepNext w:val="0"/>
              <w:keepLines w:val="0"/>
              <w:widowControl/>
              <w:suppressLineNumbers w:val="0"/>
              <w:adjustRightInd w:val="0"/>
              <w:snapToGrid w:val="0"/>
              <w:jc w:val="center"/>
              <w:rPr>
                <w:rFonts w:hint="eastAsia" w:ascii="宋体" w:hAnsi="宋体" w:eastAsia="宋体" w:cs="宋体"/>
                <w:color w:val="000000"/>
                <w:kern w:val="0"/>
                <w:lang w:val="en-US"/>
              </w:rPr>
            </w:pPr>
            <w:r>
              <w:rPr>
                <w:rFonts w:hint="eastAsia" w:ascii="宋体" w:hAnsi="宋体" w:eastAsia="宋体" w:cs="宋体"/>
                <w:color w:val="000000"/>
                <w:kern w:val="0"/>
                <w:lang w:val="en-US"/>
              </w:rPr>
              <w:t>8</w:t>
            </w:r>
          </w:p>
        </w:tc>
      </w:tr>
      <w:tr w14:paraId="0FB5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vMerge w:val="restart"/>
            <w:tcBorders>
              <w:tl2br w:val="nil"/>
              <w:tr2bl w:val="nil"/>
            </w:tcBorders>
            <w:shd w:val="clear" w:color="auto" w:fill="auto"/>
            <w:vAlign w:val="center"/>
          </w:tcPr>
          <w:p w14:paraId="79B6EC72">
            <w:pPr>
              <w:pStyle w:val="122"/>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业绩</w:t>
            </w:r>
          </w:p>
        </w:tc>
        <w:tc>
          <w:tcPr>
            <w:tcW w:w="6087" w:type="dxa"/>
            <w:tcBorders>
              <w:tl2br w:val="nil"/>
              <w:tr2bl w:val="nil"/>
            </w:tcBorders>
            <w:shd w:val="clear" w:color="auto" w:fill="auto"/>
            <w:vAlign w:val="center"/>
          </w:tcPr>
          <w:p w14:paraId="14D702BA">
            <w:pPr>
              <w:pStyle w:val="123"/>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cs="宋体"/>
                <w:color w:val="000000"/>
                <w:lang w:val="en-US" w:eastAsia="zh-CN"/>
              </w:rPr>
              <w:t>1、</w:t>
            </w:r>
            <w:r>
              <w:rPr>
                <w:rFonts w:hint="eastAsia" w:ascii="宋体" w:hAnsi="宋体" w:eastAsia="宋体" w:cs="宋体"/>
                <w:color w:val="000000"/>
              </w:rPr>
              <w:t>供应商提供近</w:t>
            </w:r>
            <w:r>
              <w:rPr>
                <w:rFonts w:hint="eastAsia" w:ascii="宋体" w:hAnsi="宋体" w:eastAsia="宋体" w:cs="宋体"/>
                <w:color w:val="000000"/>
                <w:lang w:val="en-US"/>
              </w:rPr>
              <w:t>3</w:t>
            </w:r>
            <w:r>
              <w:rPr>
                <w:rFonts w:hint="eastAsia" w:ascii="宋体" w:hAnsi="宋体" w:eastAsia="宋体" w:cs="宋体"/>
                <w:color w:val="000000"/>
              </w:rPr>
              <w:t>年（</w:t>
            </w:r>
            <w:r>
              <w:rPr>
                <w:rFonts w:hint="eastAsia" w:ascii="宋体" w:hAnsi="宋体" w:eastAsia="宋体" w:cs="宋体"/>
                <w:color w:val="000000"/>
                <w:lang w:val="en-US"/>
              </w:rPr>
              <w:t>2021</w:t>
            </w:r>
            <w:r>
              <w:rPr>
                <w:rFonts w:hint="eastAsia" w:ascii="宋体" w:hAnsi="宋体" w:eastAsia="宋体" w:cs="宋体"/>
                <w:color w:val="000000"/>
              </w:rPr>
              <w:t>年</w:t>
            </w:r>
            <w:r>
              <w:rPr>
                <w:rFonts w:hint="eastAsia" w:ascii="宋体" w:hAnsi="宋体" w:eastAsia="宋体" w:cs="宋体"/>
                <w:color w:val="000000"/>
                <w:lang w:val="en-US"/>
              </w:rPr>
              <w:t>7</w:t>
            </w:r>
            <w:r>
              <w:rPr>
                <w:rFonts w:hint="eastAsia" w:ascii="宋体" w:hAnsi="宋体" w:eastAsia="宋体" w:cs="宋体"/>
                <w:color w:val="000000"/>
              </w:rPr>
              <w:t>月</w:t>
            </w:r>
            <w:r>
              <w:rPr>
                <w:rFonts w:hint="eastAsia" w:ascii="宋体" w:hAnsi="宋体" w:eastAsia="宋体" w:cs="宋体"/>
                <w:color w:val="000000"/>
                <w:lang w:val="en-US"/>
              </w:rPr>
              <w:t>1</w:t>
            </w:r>
            <w:r>
              <w:rPr>
                <w:rFonts w:hint="eastAsia" w:ascii="宋体" w:hAnsi="宋体" w:eastAsia="宋体" w:cs="宋体"/>
                <w:color w:val="000000"/>
              </w:rPr>
              <w:t>日以来，以合同签订日期为准）</w:t>
            </w:r>
            <w:r>
              <w:rPr>
                <w:rFonts w:hint="eastAsia" w:ascii="宋体" w:hAnsi="宋体" w:eastAsia="宋体" w:cs="宋体"/>
                <w:b/>
                <w:bCs/>
                <w:color w:val="000000"/>
              </w:rPr>
              <w:t>类似系统运维案例</w:t>
            </w:r>
            <w:r>
              <w:rPr>
                <w:rFonts w:hint="eastAsia" w:ascii="宋体" w:hAnsi="宋体" w:eastAsia="宋体" w:cs="宋体"/>
                <w:color w:val="000000"/>
              </w:rPr>
              <w:t>，每提供</w:t>
            </w:r>
            <w:r>
              <w:rPr>
                <w:rFonts w:hint="eastAsia" w:ascii="宋体" w:hAnsi="宋体" w:eastAsia="宋体" w:cs="宋体"/>
                <w:color w:val="000000"/>
                <w:lang w:val="en-US"/>
              </w:rPr>
              <w:t>1</w:t>
            </w:r>
            <w:r>
              <w:rPr>
                <w:rFonts w:hint="eastAsia" w:ascii="宋体" w:hAnsi="宋体" w:eastAsia="宋体" w:cs="宋体"/>
                <w:color w:val="000000"/>
              </w:rPr>
              <w:t>个业绩案例的得</w:t>
            </w:r>
            <w:r>
              <w:rPr>
                <w:rFonts w:hint="eastAsia" w:ascii="宋体" w:hAnsi="宋体" w:eastAsia="宋体" w:cs="宋体"/>
                <w:color w:val="000000"/>
                <w:highlight w:val="yellow"/>
                <w:lang w:val="en-US"/>
              </w:rPr>
              <w:t>2</w:t>
            </w:r>
            <w:r>
              <w:rPr>
                <w:rFonts w:hint="eastAsia" w:ascii="宋体" w:hAnsi="宋体" w:eastAsia="宋体" w:cs="宋体"/>
                <w:color w:val="000000"/>
              </w:rPr>
              <w:t>分，最高得</w:t>
            </w:r>
            <w:r>
              <w:rPr>
                <w:rFonts w:hint="eastAsia" w:ascii="宋体" w:hAnsi="宋体" w:eastAsia="宋体" w:cs="宋体"/>
                <w:color w:val="000000"/>
                <w:lang w:val="en-US"/>
              </w:rPr>
              <w:t>16</w:t>
            </w:r>
            <w:r>
              <w:rPr>
                <w:rFonts w:hint="eastAsia" w:ascii="宋体" w:hAnsi="宋体" w:eastAsia="宋体" w:cs="宋体"/>
                <w:color w:val="000000"/>
              </w:rPr>
              <w:t>分。（注：提供的合同或协议书需体现时间、具体内容页、双方签字盖章页，若提供的材料反映不出相关内容视为未提供，或提供的材料有缺漏项的不得分；业绩案例证明材料原件备查。）</w:t>
            </w:r>
          </w:p>
        </w:tc>
        <w:tc>
          <w:tcPr>
            <w:tcW w:w="1277" w:type="dxa"/>
            <w:tcBorders>
              <w:tl2br w:val="nil"/>
              <w:tr2bl w:val="nil"/>
            </w:tcBorders>
            <w:shd w:val="clear" w:color="auto" w:fill="auto"/>
            <w:vAlign w:val="center"/>
          </w:tcPr>
          <w:p w14:paraId="5AD4EC78">
            <w:pPr>
              <w:pStyle w:val="124"/>
              <w:keepNext w:val="0"/>
              <w:keepLines w:val="0"/>
              <w:widowControl/>
              <w:suppressLineNumbers w:val="0"/>
              <w:adjustRightInd w:val="0"/>
              <w:snapToGrid w:val="0"/>
              <w:jc w:val="center"/>
              <w:rPr>
                <w:rFonts w:hint="eastAsia" w:ascii="宋体" w:hAnsi="宋体" w:eastAsia="宋体" w:cs="宋体"/>
                <w:color w:val="000000"/>
                <w:kern w:val="0"/>
                <w:lang w:val="en-US"/>
              </w:rPr>
            </w:pPr>
            <w:r>
              <w:rPr>
                <w:rFonts w:hint="eastAsia" w:ascii="宋体" w:hAnsi="宋体" w:eastAsia="宋体" w:cs="宋体"/>
                <w:color w:val="000000"/>
                <w:kern w:val="0"/>
                <w:lang w:val="en-US"/>
              </w:rPr>
              <w:t>16</w:t>
            </w:r>
          </w:p>
        </w:tc>
      </w:tr>
      <w:tr w14:paraId="3B1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vMerge w:val="continue"/>
            <w:tcBorders>
              <w:tl2br w:val="nil"/>
              <w:tr2bl w:val="nil"/>
            </w:tcBorders>
            <w:shd w:val="clear" w:color="auto" w:fill="auto"/>
            <w:vAlign w:val="center"/>
          </w:tcPr>
          <w:p w14:paraId="495C995E">
            <w:pPr>
              <w:keepNext w:val="0"/>
              <w:keepLines w:val="0"/>
              <w:suppressLineNumbers w:val="0"/>
              <w:spacing w:before="0" w:beforeAutospacing="0" w:after="0" w:afterAutospacing="0"/>
              <w:ind w:left="0" w:right="0"/>
              <w:rPr>
                <w:rFonts w:hint="eastAsia" w:ascii="宋体" w:hAnsi="宋体" w:eastAsia="宋体" w:cs="宋体"/>
                <w:kern w:val="2"/>
                <w:sz w:val="21"/>
                <w:szCs w:val="22"/>
              </w:rPr>
            </w:pPr>
          </w:p>
        </w:tc>
        <w:tc>
          <w:tcPr>
            <w:tcW w:w="6087" w:type="dxa"/>
            <w:tcBorders>
              <w:tl2br w:val="nil"/>
              <w:tr2bl w:val="nil"/>
            </w:tcBorders>
            <w:shd w:val="clear" w:color="auto" w:fill="auto"/>
            <w:vAlign w:val="center"/>
          </w:tcPr>
          <w:p w14:paraId="5FF01742">
            <w:pPr>
              <w:pStyle w:val="123"/>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cs="宋体"/>
                <w:color w:val="000000"/>
                <w:lang w:val="en-US" w:eastAsia="zh-CN"/>
              </w:rPr>
              <w:t>2、</w:t>
            </w:r>
            <w:r>
              <w:rPr>
                <w:rFonts w:hint="eastAsia" w:ascii="宋体" w:hAnsi="宋体" w:eastAsia="宋体" w:cs="宋体"/>
                <w:color w:val="000000"/>
              </w:rPr>
              <w:t>供应商提供近</w:t>
            </w:r>
            <w:r>
              <w:rPr>
                <w:rFonts w:hint="eastAsia" w:ascii="宋体" w:hAnsi="宋体" w:eastAsia="宋体" w:cs="宋体"/>
                <w:color w:val="000000"/>
                <w:lang w:val="en-US"/>
              </w:rPr>
              <w:t>3</w:t>
            </w:r>
            <w:r>
              <w:rPr>
                <w:rFonts w:hint="eastAsia" w:ascii="宋体" w:hAnsi="宋体" w:eastAsia="宋体" w:cs="宋体"/>
                <w:color w:val="000000"/>
              </w:rPr>
              <w:t>年（</w:t>
            </w:r>
            <w:r>
              <w:rPr>
                <w:rFonts w:hint="eastAsia" w:ascii="宋体" w:hAnsi="宋体" w:eastAsia="宋体" w:cs="宋体"/>
                <w:color w:val="000000"/>
                <w:lang w:val="en-US"/>
              </w:rPr>
              <w:t>2021</w:t>
            </w:r>
            <w:r>
              <w:rPr>
                <w:rFonts w:hint="eastAsia" w:ascii="宋体" w:hAnsi="宋体" w:eastAsia="宋体" w:cs="宋体"/>
                <w:color w:val="000000"/>
              </w:rPr>
              <w:t>年</w:t>
            </w:r>
            <w:r>
              <w:rPr>
                <w:rFonts w:hint="eastAsia" w:ascii="宋体" w:hAnsi="宋体" w:eastAsia="宋体" w:cs="宋体"/>
                <w:color w:val="000000"/>
                <w:lang w:val="en-US"/>
              </w:rPr>
              <w:t>7</w:t>
            </w:r>
            <w:r>
              <w:rPr>
                <w:rFonts w:hint="eastAsia" w:ascii="宋体" w:hAnsi="宋体" w:eastAsia="宋体" w:cs="宋体"/>
                <w:color w:val="000000"/>
              </w:rPr>
              <w:t>月</w:t>
            </w:r>
            <w:r>
              <w:rPr>
                <w:rFonts w:hint="eastAsia" w:ascii="宋体" w:hAnsi="宋体" w:eastAsia="宋体" w:cs="宋体"/>
                <w:color w:val="000000"/>
                <w:lang w:val="en-US"/>
              </w:rPr>
              <w:t>1</w:t>
            </w:r>
            <w:r>
              <w:rPr>
                <w:rFonts w:hint="eastAsia" w:ascii="宋体" w:hAnsi="宋体" w:eastAsia="宋体" w:cs="宋体"/>
                <w:color w:val="000000"/>
              </w:rPr>
              <w:t>日以来，以合同签订日期为准）</w:t>
            </w:r>
            <w:r>
              <w:rPr>
                <w:rFonts w:hint="eastAsia" w:ascii="宋体" w:hAnsi="宋体" w:eastAsia="宋体" w:cs="宋体"/>
                <w:b/>
                <w:bCs w:val="0"/>
                <w:color w:val="000000"/>
              </w:rPr>
              <w:t>类似热线服务</w:t>
            </w:r>
            <w:r>
              <w:rPr>
                <w:rFonts w:hint="eastAsia" w:ascii="宋体" w:hAnsi="宋体" w:eastAsia="宋体" w:cs="宋体"/>
                <w:color w:val="000000"/>
              </w:rPr>
              <w:t>业绩证明，每提供一个业绩案例的得</w:t>
            </w:r>
            <w:r>
              <w:rPr>
                <w:rFonts w:hint="eastAsia" w:ascii="宋体" w:hAnsi="宋体" w:eastAsia="宋体" w:cs="宋体"/>
                <w:color w:val="000000"/>
                <w:highlight w:val="yellow"/>
                <w:lang w:val="en-US"/>
              </w:rPr>
              <w:t>4</w:t>
            </w:r>
            <w:r>
              <w:rPr>
                <w:rFonts w:hint="eastAsia" w:ascii="宋体" w:hAnsi="宋体" w:eastAsia="宋体" w:cs="宋体"/>
                <w:color w:val="000000"/>
              </w:rPr>
              <w:t>分，最高得</w:t>
            </w:r>
            <w:r>
              <w:rPr>
                <w:rFonts w:hint="eastAsia" w:ascii="宋体" w:hAnsi="宋体" w:eastAsia="宋体" w:cs="宋体"/>
                <w:color w:val="000000"/>
                <w:lang w:val="en-US"/>
              </w:rPr>
              <w:t>4</w:t>
            </w:r>
            <w:r>
              <w:rPr>
                <w:rFonts w:hint="eastAsia" w:ascii="宋体" w:hAnsi="宋体" w:eastAsia="宋体" w:cs="宋体"/>
                <w:color w:val="000000"/>
              </w:rPr>
              <w:t>分（注：提供得合同或协议书需体现时间、具体内容页、双方签字盖章页，若提供的材料反映不出相关内容视为未提供，或提供的材料有缺漏项的不得分；业绩案例证明材料原件备查。）</w:t>
            </w:r>
          </w:p>
        </w:tc>
        <w:tc>
          <w:tcPr>
            <w:tcW w:w="1277" w:type="dxa"/>
            <w:tcBorders>
              <w:tl2br w:val="nil"/>
              <w:tr2bl w:val="nil"/>
            </w:tcBorders>
            <w:shd w:val="clear" w:color="auto" w:fill="auto"/>
            <w:vAlign w:val="center"/>
          </w:tcPr>
          <w:p w14:paraId="0630D0CF">
            <w:pPr>
              <w:pStyle w:val="124"/>
              <w:keepNext w:val="0"/>
              <w:keepLines w:val="0"/>
              <w:widowControl/>
              <w:suppressLineNumbers w:val="0"/>
              <w:adjustRightInd w:val="0"/>
              <w:snapToGrid w:val="0"/>
              <w:jc w:val="center"/>
              <w:rPr>
                <w:rFonts w:hint="eastAsia" w:ascii="宋体" w:hAnsi="宋体" w:eastAsia="宋体" w:cs="宋体"/>
                <w:color w:val="000000"/>
                <w:kern w:val="0"/>
                <w:lang w:val="en-US"/>
              </w:rPr>
            </w:pPr>
            <w:r>
              <w:rPr>
                <w:rFonts w:hint="eastAsia" w:ascii="宋体" w:hAnsi="宋体" w:eastAsia="宋体" w:cs="宋体"/>
                <w:color w:val="000000"/>
                <w:kern w:val="0"/>
                <w:lang w:val="en-US"/>
              </w:rPr>
              <w:t>4</w:t>
            </w:r>
          </w:p>
        </w:tc>
      </w:tr>
      <w:tr w14:paraId="77B3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tcBorders>
              <w:tl2br w:val="nil"/>
              <w:tr2bl w:val="nil"/>
            </w:tcBorders>
            <w:shd w:val="clear" w:color="auto" w:fill="auto"/>
            <w:vAlign w:val="center"/>
          </w:tcPr>
          <w:p w14:paraId="2E73CA98">
            <w:pPr>
              <w:pStyle w:val="125"/>
              <w:keepNext w:val="0"/>
              <w:keepLines w:val="0"/>
              <w:widowControl/>
              <w:suppressLineNumbers w:val="0"/>
              <w:adjustRightInd w:val="0"/>
              <w:snapToGrid w:val="0"/>
              <w:jc w:val="center"/>
              <w:rPr>
                <w:rFonts w:hint="eastAsia" w:ascii="宋体" w:hAnsi="宋体" w:eastAsia="宋体" w:cs="宋体"/>
                <w:b/>
                <w:bCs w:val="0"/>
                <w:color w:val="000000"/>
                <w:kern w:val="0"/>
                <w:lang w:val="en-US"/>
              </w:rPr>
            </w:pPr>
            <w:r>
              <w:rPr>
                <w:rFonts w:hint="eastAsia" w:ascii="宋体" w:hAnsi="宋体" w:eastAsia="宋体" w:cs="宋体"/>
                <w:b/>
                <w:bCs w:val="0"/>
                <w:color w:val="000000"/>
                <w:kern w:val="0"/>
              </w:rPr>
              <w:t>系统演示</w:t>
            </w:r>
          </w:p>
        </w:tc>
        <w:tc>
          <w:tcPr>
            <w:tcW w:w="6087" w:type="dxa"/>
            <w:tcBorders>
              <w:tl2br w:val="nil"/>
              <w:tr2bl w:val="nil"/>
            </w:tcBorders>
            <w:shd w:val="clear" w:color="auto" w:fill="auto"/>
            <w:vAlign w:val="center"/>
          </w:tcPr>
          <w:p w14:paraId="75FFD72E">
            <w:pPr>
              <w:pStyle w:val="126"/>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eastAsia="宋体" w:cs="宋体"/>
                <w:color w:val="000000"/>
                <w:kern w:val="0"/>
              </w:rPr>
              <w:t>系统演示：系统演示电子口岸专网动环监控平台展示，能完全响应招标文件的要求，实现</w:t>
            </w:r>
            <w:r>
              <w:rPr>
                <w:rFonts w:hint="eastAsia" w:ascii="宋体" w:hAnsi="宋体" w:eastAsia="宋体" w:cs="宋体"/>
                <w:color w:val="000000"/>
                <w:kern w:val="0"/>
                <w:lang w:val="en-US"/>
              </w:rPr>
              <w:t>24</w:t>
            </w:r>
            <w:r>
              <w:rPr>
                <w:rFonts w:hint="eastAsia" w:ascii="宋体" w:hAnsi="宋体" w:eastAsia="宋体" w:cs="宋体"/>
                <w:color w:val="000000"/>
                <w:kern w:val="0"/>
              </w:rPr>
              <w:t>小时不间断监控，为机房提供稳定、安全的机房安全保障。</w:t>
            </w:r>
          </w:p>
          <w:p w14:paraId="064149F4">
            <w:pPr>
              <w:pStyle w:val="126"/>
              <w:keepNext w:val="0"/>
              <w:keepLines w:val="0"/>
              <w:widowControl/>
              <w:suppressLineNumbers w:val="0"/>
              <w:adjustRightInd w:val="0"/>
              <w:snapToGrid w:val="0"/>
              <w:rPr>
                <w:rFonts w:hint="eastAsia" w:ascii="宋体" w:hAnsi="宋体" w:eastAsia="宋体" w:cs="宋体"/>
                <w:color w:val="000000"/>
                <w:kern w:val="0"/>
                <w:lang w:val="en-US"/>
              </w:rPr>
            </w:pPr>
            <w:r>
              <w:rPr>
                <w:rFonts w:hint="eastAsia" w:ascii="宋体" w:hAnsi="宋体" w:eastAsia="宋体" w:cs="宋体"/>
                <w:color w:val="000000"/>
                <w:kern w:val="0"/>
              </w:rPr>
              <w:t>根据每个系统功能（共</w:t>
            </w:r>
            <w:r>
              <w:rPr>
                <w:rFonts w:hint="eastAsia" w:ascii="宋体" w:hAnsi="宋体" w:eastAsia="宋体" w:cs="宋体"/>
                <w:color w:val="000000"/>
                <w:kern w:val="0"/>
                <w:lang w:val="en-US"/>
              </w:rPr>
              <w:t>8</w:t>
            </w:r>
            <w:r>
              <w:rPr>
                <w:rFonts w:hint="eastAsia" w:ascii="宋体" w:hAnsi="宋体" w:eastAsia="宋体" w:cs="宋体"/>
                <w:color w:val="000000"/>
                <w:kern w:val="0"/>
              </w:rPr>
              <w:t>个）演示成果是否能响应本项目的需求进行评分，最高得</w:t>
            </w:r>
            <w:r>
              <w:rPr>
                <w:rFonts w:hint="eastAsia" w:ascii="宋体" w:hAnsi="宋体" w:cs="宋体"/>
                <w:color w:val="000000"/>
                <w:kern w:val="0"/>
                <w:highlight w:val="yellow"/>
                <w:lang w:val="en-US" w:eastAsia="zh-CN"/>
              </w:rPr>
              <w:t>32</w:t>
            </w:r>
            <w:r>
              <w:rPr>
                <w:rFonts w:hint="eastAsia" w:ascii="宋体" w:hAnsi="宋体" w:eastAsia="宋体" w:cs="宋体"/>
                <w:color w:val="000000"/>
                <w:kern w:val="0"/>
              </w:rPr>
              <w:t>分；</w:t>
            </w:r>
          </w:p>
          <w:p w14:paraId="303AB8D2">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配电系统，满足得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38B993E7">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UPS系统，满足得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05BC9789">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空调系统，满足得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65F3C66B">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温湿度监测系统，满足得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3553AF6F">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漏水监测系统，满足得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3F066F12">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烟雾探测系统，满足得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3CA4E982">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机房能耗等监测功能，满足得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p w14:paraId="5D25D98A">
            <w:pPr>
              <w:pStyle w:val="126"/>
              <w:keepNext w:val="0"/>
              <w:keepLines w:val="0"/>
              <w:widowControl/>
              <w:numPr>
                <w:ilvl w:val="0"/>
                <w:numId w:val="12"/>
              </w:numPr>
              <w:suppressLineNumbers w:val="0"/>
              <w:adjustRightInd w:val="0"/>
              <w:snapToGrid w:val="0"/>
              <w:ind w:left="0" w:firstLine="0"/>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电池监控系统，满足得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分，不满足不得分</w:t>
            </w:r>
          </w:p>
        </w:tc>
        <w:tc>
          <w:tcPr>
            <w:tcW w:w="1277" w:type="dxa"/>
            <w:tcBorders>
              <w:tl2br w:val="nil"/>
              <w:tr2bl w:val="nil"/>
            </w:tcBorders>
            <w:shd w:val="clear" w:color="auto" w:fill="auto"/>
            <w:vAlign w:val="center"/>
          </w:tcPr>
          <w:p w14:paraId="026CA2A9">
            <w:pPr>
              <w:pStyle w:val="127"/>
              <w:keepNext w:val="0"/>
              <w:keepLines w:val="0"/>
              <w:widowControl/>
              <w:suppressLineNumbers w:val="0"/>
              <w:adjustRightInd w:val="0"/>
              <w:snapToGrid w:val="0"/>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w:t>
            </w:r>
          </w:p>
        </w:tc>
      </w:tr>
      <w:tr w14:paraId="3765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598" w:type="dxa"/>
            <w:tcBorders>
              <w:tl2br w:val="nil"/>
              <w:tr2bl w:val="nil"/>
            </w:tcBorders>
            <w:shd w:val="clear" w:color="auto" w:fill="auto"/>
            <w:vAlign w:val="center"/>
          </w:tcPr>
          <w:p w14:paraId="18889F62">
            <w:pPr>
              <w:pStyle w:val="125"/>
              <w:keepNext w:val="0"/>
              <w:keepLines w:val="0"/>
              <w:widowControl/>
              <w:suppressLineNumbers w:val="0"/>
              <w:adjustRightInd w:val="0"/>
              <w:snapToGrid w:val="0"/>
              <w:jc w:val="center"/>
              <w:rPr>
                <w:rFonts w:hint="eastAsia" w:ascii="宋体" w:hAnsi="宋体" w:eastAsia="宋体" w:cs="宋体"/>
                <w:lang w:val="en-US"/>
              </w:rPr>
            </w:pPr>
            <w:r>
              <w:rPr>
                <w:rFonts w:hint="eastAsia" w:ascii="宋体" w:hAnsi="宋体" w:eastAsia="宋体" w:cs="宋体"/>
                <w:b/>
                <w:bCs w:val="0"/>
                <w:color w:val="000000"/>
                <w:kern w:val="0"/>
              </w:rPr>
              <w:t>服务方案</w:t>
            </w:r>
          </w:p>
        </w:tc>
        <w:tc>
          <w:tcPr>
            <w:tcW w:w="6087" w:type="dxa"/>
            <w:tcBorders>
              <w:tl2br w:val="nil"/>
              <w:tr2bl w:val="nil"/>
            </w:tcBorders>
            <w:shd w:val="clear" w:color="auto" w:fill="auto"/>
            <w:vAlign w:val="center"/>
          </w:tcPr>
          <w:p w14:paraId="61611109">
            <w:pPr>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电子口岸系统运维服务方案（</w:t>
            </w:r>
            <w:r>
              <w:rPr>
                <w:rFonts w:hint="eastAsia" w:ascii="宋体" w:hAnsi="宋体" w:eastAsia="宋体" w:cs="宋体"/>
                <w:color w:val="000000"/>
                <w:kern w:val="0"/>
                <w:sz w:val="21"/>
                <w:szCs w:val="21"/>
                <w:highlight w:val="yellow"/>
                <w:lang w:val="en-US" w:eastAsia="zh-CN" w:bidi="ar"/>
              </w:rPr>
              <w:t>10</w:t>
            </w:r>
            <w:r>
              <w:rPr>
                <w:rFonts w:hint="eastAsia" w:ascii="宋体" w:hAnsi="宋体" w:eastAsia="宋体" w:cs="宋体"/>
                <w:color w:val="000000"/>
                <w:kern w:val="0"/>
                <w:sz w:val="21"/>
                <w:szCs w:val="21"/>
                <w:lang w:val="en-US" w:eastAsia="zh-CN" w:bidi="ar"/>
              </w:rPr>
              <w:t>分）</w:t>
            </w:r>
          </w:p>
          <w:p w14:paraId="653E006B">
            <w:pPr>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color w:val="000000"/>
                <w:kern w:val="0"/>
                <w:lang w:val="en-US"/>
              </w:rPr>
            </w:pPr>
            <w:r>
              <w:rPr>
                <w:rFonts w:hint="eastAsia" w:ascii="宋体" w:hAnsi="宋体" w:eastAsia="宋体" w:cs="宋体"/>
                <w:color w:val="000000"/>
                <w:kern w:val="0"/>
                <w:sz w:val="21"/>
                <w:szCs w:val="21"/>
                <w:lang w:val="en-US" w:eastAsia="zh-CN" w:bidi="ar"/>
              </w:rPr>
              <w:t>投标人对电子口岸系统运维服务方案、服务内容（包括但不限于平台运维及应急处置、基础运行，软硬件调试、运行状态监控、系统升级、</w:t>
            </w:r>
            <w:r>
              <w:rPr>
                <w:rFonts w:hint="eastAsia" w:ascii="宋体" w:hAnsi="宋体" w:cs="宋体"/>
                <w:color w:val="000000" w:themeColor="text1"/>
                <w:kern w:val="0"/>
                <w:szCs w:val="21"/>
                <w14:textFill>
                  <w14:solidFill>
                    <w14:schemeClr w14:val="tx1"/>
                  </w14:solidFill>
                </w14:textFill>
              </w:rPr>
              <w:t>专线服务及本地热线</w:t>
            </w:r>
            <w:r>
              <w:rPr>
                <w:rFonts w:hint="eastAsia" w:ascii="宋体" w:hAnsi="宋体" w:cs="宋体"/>
                <w:color w:val="000000" w:themeColor="text1"/>
                <w:kern w:val="0"/>
                <w:szCs w:val="21"/>
                <w:lang w:eastAsia="zh-CN"/>
                <w14:textFill>
                  <w14:solidFill>
                    <w14:schemeClr w14:val="tx1"/>
                  </w14:solidFill>
                </w14:textFill>
              </w:rPr>
              <w:t>等</w:t>
            </w:r>
            <w:r>
              <w:rPr>
                <w:rFonts w:hint="eastAsia" w:ascii="宋体" w:hAnsi="宋体" w:eastAsia="宋体" w:cs="宋体"/>
                <w:color w:val="000000"/>
                <w:kern w:val="0"/>
                <w:sz w:val="21"/>
                <w:szCs w:val="21"/>
                <w:lang w:val="en-US" w:eastAsia="zh-CN" w:bidi="ar"/>
              </w:rPr>
              <w:t>）进行详细阐述：</w:t>
            </w:r>
          </w:p>
          <w:p w14:paraId="49C53CD9">
            <w:pPr>
              <w:keepNext w:val="0"/>
              <w:keepLines w:val="0"/>
              <w:widowControl/>
              <w:numPr>
                <w:ilvl w:val="0"/>
                <w:numId w:val="13"/>
              </w:numPr>
              <w:suppressLineNumbers w:val="0"/>
              <w:spacing w:before="0" w:beforeAutospacing="0" w:after="0" w:afterAutospacing="0"/>
              <w:ind w:left="0" w:right="0" w:firstLine="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完全契合项目需求实际，计划措施针对性可行性强，工作进度安排科学合理，完全契合项目设计要求、实施要求、实施进度要求等，得10分；</w:t>
            </w:r>
          </w:p>
          <w:p w14:paraId="59FBD4C4">
            <w:pPr>
              <w:keepNext w:val="0"/>
              <w:keepLines w:val="0"/>
              <w:widowControl/>
              <w:numPr>
                <w:ilvl w:val="0"/>
                <w:numId w:val="13"/>
              </w:numPr>
              <w:suppressLineNumbers w:val="0"/>
              <w:spacing w:before="0" w:beforeAutospacing="0" w:after="0" w:afterAutospacing="0"/>
              <w:ind w:left="0" w:right="0" w:firstLine="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基本满足项目需求实际，工作进度安排基本合理，可以满足项目设计要求、实施要求、实施进度要求等，得7分；</w:t>
            </w:r>
          </w:p>
          <w:p w14:paraId="36456D5D">
            <w:pPr>
              <w:keepNext w:val="0"/>
              <w:keepLines w:val="0"/>
              <w:widowControl/>
              <w:numPr>
                <w:ilvl w:val="0"/>
                <w:numId w:val="13"/>
              </w:numPr>
              <w:suppressLineNumbers w:val="0"/>
              <w:spacing w:before="0" w:beforeAutospacing="0" w:after="0" w:afterAutospacing="0"/>
              <w:ind w:left="0" w:right="0" w:firstLine="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rPr>
              <w:t>方案内容有漏项，未完全包含项目实施计划、项目实施进度及保障措施等内容，但方案有一定针对性可行性，得</w:t>
            </w:r>
            <w:r>
              <w:rPr>
                <w:rFonts w:hint="eastAsia" w:ascii="宋体" w:hAnsi="宋体" w:eastAsia="宋体" w:cs="宋体"/>
                <w:color w:val="000000"/>
                <w:kern w:val="0"/>
                <w:lang w:val="en-US" w:eastAsia="zh-CN"/>
              </w:rPr>
              <w:t>4</w:t>
            </w:r>
            <w:r>
              <w:rPr>
                <w:rFonts w:hint="eastAsia" w:ascii="宋体" w:hAnsi="宋体" w:eastAsia="宋体" w:cs="宋体"/>
                <w:color w:val="000000"/>
                <w:kern w:val="0"/>
                <w:lang w:val="en-US"/>
              </w:rPr>
              <w:t>分；</w:t>
            </w:r>
            <w:r>
              <w:rPr>
                <w:rFonts w:hint="eastAsia" w:ascii="宋体" w:hAnsi="宋体" w:eastAsia="宋体" w:cs="宋体"/>
                <w:color w:val="000000"/>
                <w:kern w:val="0"/>
                <w:lang w:val="en-US" w:eastAsia="zh-CN"/>
              </w:rPr>
              <w:t xml:space="preserve"> </w:t>
            </w:r>
          </w:p>
          <w:p w14:paraId="28D0E8AE">
            <w:pPr>
              <w:keepNext w:val="0"/>
              <w:keepLines w:val="0"/>
              <w:widowControl/>
              <w:numPr>
                <w:ilvl w:val="0"/>
                <w:numId w:val="13"/>
              </w:numPr>
              <w:suppressLineNumbers w:val="0"/>
              <w:spacing w:before="0" w:beforeAutospacing="0" w:after="0" w:afterAutospacing="0"/>
              <w:ind w:left="0" w:right="0" w:firstLine="0" w:firstLineChars="0"/>
              <w:jc w:val="both"/>
              <w:rPr>
                <w:rFonts w:hint="eastAsia" w:ascii="宋体" w:hAnsi="宋体" w:eastAsia="宋体" w:cs="宋体"/>
                <w:color w:val="000000"/>
                <w:kern w:val="0"/>
                <w:lang w:val="en-US" w:eastAsia="zh-CN"/>
              </w:rPr>
            </w:pPr>
            <w:r>
              <w:rPr>
                <w:rFonts w:hint="eastAsia" w:ascii="宋体" w:hAnsi="宋体" w:eastAsia="宋体" w:cs="宋体"/>
                <w:color w:val="000000"/>
                <w:kern w:val="0"/>
                <w:lang w:val="en-US"/>
              </w:rPr>
              <w:t>服务方案脱离项目实际，针对性可行性差距较大，得</w:t>
            </w:r>
            <w:r>
              <w:rPr>
                <w:rFonts w:hint="eastAsia" w:ascii="宋体" w:hAnsi="宋体" w:eastAsia="宋体" w:cs="宋体"/>
                <w:color w:val="000000"/>
                <w:kern w:val="0"/>
                <w:lang w:val="en-US" w:eastAsia="zh-CN"/>
              </w:rPr>
              <w:t>1</w:t>
            </w:r>
            <w:r>
              <w:rPr>
                <w:rFonts w:hint="eastAsia" w:ascii="宋体" w:hAnsi="宋体" w:eastAsia="宋体" w:cs="宋体"/>
                <w:color w:val="000000"/>
                <w:kern w:val="0"/>
                <w:lang w:val="en-US"/>
              </w:rPr>
              <w:t>分</w:t>
            </w:r>
            <w:r>
              <w:rPr>
                <w:rFonts w:hint="eastAsia" w:ascii="宋体" w:hAnsi="宋体" w:eastAsia="宋体" w:cs="宋体"/>
                <w:color w:val="000000"/>
                <w:kern w:val="0"/>
                <w:lang w:val="en-US" w:eastAsia="zh-CN"/>
              </w:rPr>
              <w:t>；</w:t>
            </w:r>
          </w:p>
          <w:p w14:paraId="3D845CB8">
            <w:pPr>
              <w:keepNext w:val="0"/>
              <w:keepLines w:val="0"/>
              <w:widowControl/>
              <w:numPr>
                <w:ilvl w:val="0"/>
                <w:numId w:val="13"/>
              </w:numPr>
              <w:suppressLineNumbers w:val="0"/>
              <w:spacing w:before="0" w:beforeAutospacing="0" w:after="0" w:afterAutospacing="0"/>
              <w:ind w:left="0" w:right="0" w:firstLine="0" w:firstLineChars="0"/>
              <w:jc w:val="both"/>
              <w:rPr>
                <w:rFonts w:hint="eastAsia" w:ascii="宋体" w:hAnsi="宋体" w:eastAsia="宋体" w:cs="宋体"/>
                <w:color w:val="000000"/>
                <w:kern w:val="0"/>
                <w:lang w:val="en-US"/>
              </w:rPr>
            </w:pPr>
            <w:r>
              <w:rPr>
                <w:rFonts w:hint="eastAsia" w:ascii="宋体" w:hAnsi="宋体" w:eastAsia="宋体" w:cs="宋体"/>
                <w:color w:val="000000"/>
                <w:kern w:val="0"/>
                <w:lang w:val="en-US" w:eastAsia="zh-CN"/>
              </w:rPr>
              <w:t>未提供的得0分</w:t>
            </w:r>
          </w:p>
        </w:tc>
        <w:tc>
          <w:tcPr>
            <w:tcW w:w="1277" w:type="dxa"/>
            <w:tcBorders>
              <w:tl2br w:val="nil"/>
              <w:tr2bl w:val="nil"/>
            </w:tcBorders>
            <w:shd w:val="clear" w:color="auto" w:fill="auto"/>
            <w:vAlign w:val="center"/>
          </w:tcPr>
          <w:p w14:paraId="1F9F9418">
            <w:pPr>
              <w:pStyle w:val="127"/>
              <w:keepNext w:val="0"/>
              <w:keepLines w:val="0"/>
              <w:widowControl/>
              <w:suppressLineNumbers w:val="0"/>
              <w:adjustRightInd w:val="0"/>
              <w:snapToGrid w:val="0"/>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w:t>
            </w:r>
          </w:p>
        </w:tc>
      </w:tr>
    </w:tbl>
    <w:p w14:paraId="12C198F8">
      <w:pPr>
        <w:pStyle w:val="39"/>
        <w:rPr>
          <w:rFonts w:ascii="宋体" w:hAnsi="宋体" w:cs="宋体"/>
          <w:b/>
          <w:szCs w:val="21"/>
        </w:rPr>
      </w:pPr>
    </w:p>
    <w:p w14:paraId="56872D9A">
      <w:pPr>
        <w:numPr>
          <w:ilvl w:val="0"/>
          <w:numId w:val="9"/>
        </w:numPr>
        <w:ind w:firstLine="422" w:firstLineChars="200"/>
        <w:outlineLvl w:val="1"/>
        <w:rPr>
          <w:rFonts w:ascii="宋体" w:hAnsi="宋体" w:cs="宋体"/>
          <w:b/>
          <w:szCs w:val="21"/>
        </w:rPr>
      </w:pPr>
      <w:bookmarkStart w:id="130" w:name="_Toc29323"/>
      <w:bookmarkStart w:id="131" w:name="_Toc20080"/>
      <w:bookmarkStart w:id="132" w:name="_Toc27759"/>
      <w:bookmarkStart w:id="133" w:name="_Toc10036"/>
      <w:r>
        <w:rPr>
          <w:rFonts w:hint="eastAsia" w:ascii="宋体" w:hAnsi="宋体" w:cs="宋体"/>
          <w:b/>
          <w:szCs w:val="21"/>
        </w:rPr>
        <w:t>评审程序</w:t>
      </w:r>
      <w:bookmarkEnd w:id="130"/>
      <w:bookmarkEnd w:id="131"/>
      <w:bookmarkEnd w:id="132"/>
      <w:bookmarkEnd w:id="133"/>
    </w:p>
    <w:p w14:paraId="6663F0E6">
      <w:pPr>
        <w:ind w:firstLine="420" w:firstLineChars="200"/>
        <w:rPr>
          <w:rFonts w:ascii="宋体" w:hAnsi="宋体" w:cs="宋体"/>
          <w:szCs w:val="21"/>
        </w:rPr>
      </w:pPr>
      <w:r>
        <w:rPr>
          <w:rFonts w:hint="eastAsia" w:ascii="宋体" w:hAnsi="宋体" w:cs="宋体"/>
          <w:szCs w:val="21"/>
        </w:rPr>
        <w:t>1、资格审查</w:t>
      </w:r>
    </w:p>
    <w:p w14:paraId="75ACC2B9">
      <w:pPr>
        <w:ind w:firstLine="420" w:firstLineChars="200"/>
        <w:rPr>
          <w:rFonts w:ascii="宋体" w:hAnsi="宋体" w:cs="宋体"/>
          <w:szCs w:val="21"/>
        </w:rPr>
      </w:pPr>
      <w:r>
        <w:rPr>
          <w:rFonts w:hint="eastAsia" w:ascii="宋体" w:hAnsi="宋体" w:cs="宋体"/>
          <w:szCs w:val="21"/>
        </w:rPr>
        <w:t>采购人或者采购代理机构依据本部分第一条规定的标准，对投标人的资格进行评审。有一项不符合评审标准的，采购人或者采购代理机构否决其投标。</w:t>
      </w:r>
    </w:p>
    <w:p w14:paraId="12E22F61">
      <w:pPr>
        <w:ind w:firstLine="420" w:firstLineChars="200"/>
        <w:rPr>
          <w:rFonts w:ascii="宋体" w:hAnsi="宋体" w:cs="宋体"/>
          <w:szCs w:val="21"/>
        </w:rPr>
      </w:pPr>
      <w:r>
        <w:rPr>
          <w:rFonts w:hint="eastAsia" w:ascii="宋体" w:hAnsi="宋体" w:cs="宋体"/>
          <w:szCs w:val="21"/>
        </w:rPr>
        <w:t>2、符合性审查</w:t>
      </w:r>
    </w:p>
    <w:p w14:paraId="4644B8A3">
      <w:pPr>
        <w:ind w:firstLine="420" w:firstLineChars="200"/>
        <w:rPr>
          <w:rFonts w:ascii="宋体" w:hAnsi="宋体" w:cs="宋体"/>
          <w:szCs w:val="21"/>
        </w:rPr>
      </w:pPr>
      <w:r>
        <w:rPr>
          <w:rFonts w:hint="eastAsia" w:ascii="宋体" w:hAnsi="宋体" w:cs="宋体"/>
          <w:szCs w:val="21"/>
        </w:rPr>
        <w:t>评标委</w:t>
      </w:r>
      <w:bookmarkStart w:id="200" w:name="_GoBack"/>
      <w:bookmarkEnd w:id="200"/>
      <w:r>
        <w:rPr>
          <w:rFonts w:hint="eastAsia" w:ascii="宋体" w:hAnsi="宋体" w:cs="宋体"/>
          <w:szCs w:val="21"/>
        </w:rPr>
        <w:t>员会依据本部分第二条规定的标准，对投标文件进行符合性审查。有一项不符合评审标准的，评标委员会应当否决其投标。</w:t>
      </w:r>
    </w:p>
    <w:p w14:paraId="15953834">
      <w:pPr>
        <w:ind w:firstLine="420" w:firstLineChars="200"/>
        <w:rPr>
          <w:rFonts w:ascii="宋体" w:hAnsi="宋体" w:cs="宋体"/>
          <w:szCs w:val="21"/>
        </w:rPr>
      </w:pPr>
      <w:r>
        <w:rPr>
          <w:rFonts w:hint="eastAsia" w:ascii="宋体" w:hAnsi="宋体" w:cs="宋体"/>
          <w:szCs w:val="21"/>
        </w:rPr>
        <w:t>3、投标文件的澄清</w:t>
      </w:r>
    </w:p>
    <w:p w14:paraId="5BC730E3">
      <w:pPr>
        <w:ind w:firstLine="420" w:firstLineChars="200"/>
        <w:rPr>
          <w:rFonts w:ascii="宋体" w:hAnsi="宋体" w:cs="宋体"/>
          <w:szCs w:val="21"/>
        </w:rPr>
      </w:pPr>
      <w:r>
        <w:rPr>
          <w:rFonts w:hint="eastAsia" w:ascii="宋体" w:hAnsi="宋体" w:cs="宋体"/>
          <w:szCs w:val="21"/>
        </w:rPr>
        <w:t>3.1在评审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26CC2EA">
      <w:pPr>
        <w:ind w:firstLine="420" w:firstLineChars="200"/>
        <w:rPr>
          <w:rFonts w:ascii="宋体" w:hAnsi="宋体" w:cs="宋体"/>
          <w:szCs w:val="21"/>
        </w:rPr>
      </w:pPr>
      <w:r>
        <w:rPr>
          <w:rFonts w:hint="eastAsia" w:ascii="宋体" w:hAnsi="宋体" w:cs="宋体"/>
          <w:szCs w:val="21"/>
        </w:rPr>
        <w:t>3.2澄清、说明或补正不得超出投标文件的范围且不得改变投标文件的实质性内容，并构成投标文件的组成部分。</w:t>
      </w:r>
    </w:p>
    <w:p w14:paraId="20F6FFAC">
      <w:pPr>
        <w:ind w:firstLine="420" w:firstLineChars="200"/>
        <w:rPr>
          <w:rFonts w:ascii="宋体" w:hAnsi="宋体" w:cs="宋体"/>
          <w:szCs w:val="21"/>
        </w:rPr>
      </w:pPr>
      <w:r>
        <w:rPr>
          <w:rFonts w:hint="eastAsia" w:ascii="宋体" w:hAnsi="宋体" w:cs="宋体"/>
          <w:szCs w:val="21"/>
        </w:rPr>
        <w:t>3.3评标委员会对投标人提交的澄清、说明或补正有疑问的，可以要求投标人进一步澄清、说明或补正，直至满足评标委员会的要求。</w:t>
      </w:r>
    </w:p>
    <w:p w14:paraId="640C376B">
      <w:pPr>
        <w:ind w:firstLine="420" w:firstLineChars="200"/>
        <w:rPr>
          <w:rFonts w:ascii="宋体" w:hAnsi="宋体" w:cs="宋体"/>
          <w:szCs w:val="21"/>
        </w:rPr>
      </w:pPr>
      <w:r>
        <w:rPr>
          <w:rFonts w:hint="eastAsia" w:ascii="宋体" w:hAnsi="宋体" w:cs="宋体"/>
          <w:szCs w:val="21"/>
        </w:rPr>
        <w:t>3.4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BC6D6C">
      <w:pPr>
        <w:ind w:firstLine="420" w:firstLineChars="200"/>
        <w:rPr>
          <w:rFonts w:ascii="宋体" w:hAnsi="宋体" w:cs="宋体"/>
          <w:szCs w:val="21"/>
        </w:rPr>
      </w:pPr>
      <w:r>
        <w:rPr>
          <w:rFonts w:hint="eastAsia" w:ascii="宋体" w:hAnsi="宋体" w:cs="宋体"/>
          <w:szCs w:val="21"/>
        </w:rPr>
        <w:t>4、综合评分</w:t>
      </w:r>
    </w:p>
    <w:p w14:paraId="2E67E19D">
      <w:pPr>
        <w:ind w:firstLine="420" w:firstLineChars="200"/>
        <w:rPr>
          <w:rFonts w:ascii="宋体" w:hAnsi="宋体" w:cs="宋体"/>
          <w:szCs w:val="21"/>
        </w:rPr>
      </w:pPr>
      <w:r>
        <w:rPr>
          <w:rFonts w:hint="eastAsia" w:ascii="宋体" w:hAnsi="宋体" w:cs="宋体"/>
          <w:szCs w:val="21"/>
        </w:rPr>
        <w:t>4.1评标委员会按本部分第三条规定的量化因素和分值进行打分，并计算出综合评估得分。</w:t>
      </w:r>
    </w:p>
    <w:p w14:paraId="66E5EA71">
      <w:pPr>
        <w:ind w:firstLine="420" w:firstLineChars="200"/>
        <w:rPr>
          <w:rFonts w:ascii="宋体" w:hAnsi="宋体" w:cs="宋体"/>
          <w:szCs w:val="21"/>
        </w:rPr>
      </w:pPr>
      <w:r>
        <w:rPr>
          <w:rFonts w:hint="eastAsia" w:ascii="宋体" w:hAnsi="宋体" w:cs="宋体"/>
          <w:szCs w:val="21"/>
        </w:rPr>
        <w:t>4.2评分分值计算保留小数点后两位，小数点后第三位“四舍五入”。</w:t>
      </w:r>
    </w:p>
    <w:p w14:paraId="739E677F">
      <w:pPr>
        <w:ind w:firstLine="420" w:firstLineChars="200"/>
        <w:rPr>
          <w:rFonts w:ascii="宋体" w:hAnsi="宋体" w:cs="宋体"/>
          <w:szCs w:val="21"/>
        </w:rPr>
      </w:pPr>
      <w:r>
        <w:rPr>
          <w:rFonts w:hint="eastAsia" w:ascii="宋体" w:hAnsi="宋体" w:cs="宋体"/>
          <w:szCs w:val="21"/>
        </w:rPr>
        <w:t>4.3投标人最终得分为所有评委综合评分的平均值。</w:t>
      </w:r>
    </w:p>
    <w:p w14:paraId="086AC762">
      <w:pPr>
        <w:ind w:firstLine="420" w:firstLineChars="200"/>
        <w:rPr>
          <w:rFonts w:ascii="宋体" w:hAnsi="宋体" w:cs="宋体"/>
          <w:szCs w:val="21"/>
        </w:rPr>
      </w:pPr>
      <w:r>
        <w:rPr>
          <w:rFonts w:hint="eastAsia" w:ascii="宋体" w:hAnsi="宋体" w:cs="宋体"/>
          <w:szCs w:val="21"/>
        </w:rPr>
        <w:t>5、评标结果</w:t>
      </w:r>
    </w:p>
    <w:p w14:paraId="5BC930D6">
      <w:pPr>
        <w:ind w:firstLine="420" w:firstLineChars="200"/>
        <w:rPr>
          <w:rFonts w:ascii="宋体" w:hAnsi="宋体" w:cs="宋体"/>
          <w:szCs w:val="21"/>
        </w:rPr>
      </w:pPr>
      <w:r>
        <w:rPr>
          <w:rFonts w:hint="eastAsia" w:ascii="宋体" w:hAnsi="宋体" w:cs="宋体"/>
          <w:szCs w:val="21"/>
        </w:rPr>
        <w:t>5.1评标委员会按照得分由高到低的顺序推荐3名中标候选人，并标明排序。若得分相同，按投标报价由低到高顺序排列，得分且投标报价相同的，按技术指标优劣顺序排列。</w:t>
      </w:r>
    </w:p>
    <w:p w14:paraId="1AF24FF1">
      <w:pPr>
        <w:ind w:firstLine="420" w:firstLineChars="200"/>
        <w:rPr>
          <w:rFonts w:ascii="宋体" w:hAnsi="宋体" w:cs="宋体"/>
          <w:szCs w:val="21"/>
        </w:rPr>
      </w:pPr>
      <w:r>
        <w:rPr>
          <w:rFonts w:hint="eastAsia" w:ascii="宋体" w:hAnsi="宋体" w:cs="宋体"/>
          <w:szCs w:val="21"/>
        </w:rPr>
        <w:t>5.2评标委员会完成评审后，应当向采购人提交书面评标报告和中标候选人名单。</w:t>
      </w:r>
    </w:p>
    <w:p w14:paraId="4E1167DF">
      <w:pPr>
        <w:ind w:firstLine="420" w:firstLineChars="200"/>
        <w:rPr>
          <w:rFonts w:ascii="宋体" w:hAnsi="宋体" w:cs="宋体"/>
          <w:szCs w:val="21"/>
        </w:rPr>
      </w:pPr>
    </w:p>
    <w:p w14:paraId="2CECB7B5">
      <w:pPr>
        <w:numPr>
          <w:ilvl w:val="0"/>
          <w:numId w:val="9"/>
        </w:numPr>
        <w:ind w:firstLine="422" w:firstLineChars="200"/>
        <w:outlineLvl w:val="1"/>
        <w:rPr>
          <w:rFonts w:ascii="宋体" w:hAnsi="宋体" w:cs="宋体"/>
          <w:b/>
          <w:szCs w:val="21"/>
        </w:rPr>
      </w:pPr>
      <w:bookmarkStart w:id="134" w:name="_Toc29620"/>
      <w:bookmarkStart w:id="135" w:name="_Toc23388"/>
      <w:bookmarkStart w:id="136" w:name="_Toc11278"/>
      <w:bookmarkStart w:id="137" w:name="_Toc14067"/>
      <w:r>
        <w:rPr>
          <w:rFonts w:hint="eastAsia" w:ascii="宋体" w:hAnsi="宋体" w:cs="宋体"/>
          <w:b/>
          <w:szCs w:val="21"/>
        </w:rPr>
        <w:t>同品牌产品（不适用）</w:t>
      </w:r>
      <w:bookmarkEnd w:id="134"/>
      <w:bookmarkEnd w:id="135"/>
      <w:bookmarkEnd w:id="136"/>
      <w:bookmarkEnd w:id="137"/>
    </w:p>
    <w:p w14:paraId="6BF439B4">
      <w:pPr>
        <w:ind w:firstLine="420" w:firstLineChars="200"/>
        <w:rPr>
          <w:rFonts w:ascii="宋体" w:hAnsi="宋体" w:cs="宋体"/>
          <w:szCs w:val="21"/>
        </w:rPr>
      </w:pPr>
      <w:r>
        <w:rPr>
          <w:rFonts w:hint="eastAsia" w:ascii="宋体" w:hAnsi="宋体" w:cs="宋体"/>
          <w:kern w:val="0"/>
          <w:szCs w:val="21"/>
        </w:rPr>
        <w:t>1、使用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cs="宋体"/>
          <w:szCs w:val="21"/>
        </w:rPr>
        <w:t>按投标报价由低到高顺序排列，得分且投标报价相同的，</w:t>
      </w:r>
      <w:r>
        <w:rPr>
          <w:rFonts w:hint="eastAsia" w:ascii="宋体" w:hAnsi="宋体" w:cs="宋体"/>
          <w:kern w:val="0"/>
          <w:szCs w:val="21"/>
        </w:rPr>
        <w:t>由采购人采取随机抽取方式确定，其他同品牌投标人不作为中标候选人。</w:t>
      </w:r>
    </w:p>
    <w:p w14:paraId="6CCBE93D">
      <w:pPr>
        <w:ind w:firstLine="420" w:firstLineChars="200"/>
        <w:rPr>
          <w:rFonts w:ascii="宋体" w:hAnsi="宋体" w:cs="宋体"/>
          <w:szCs w:val="21"/>
        </w:rPr>
      </w:pPr>
      <w:r>
        <w:rPr>
          <w:rFonts w:hint="eastAsia" w:ascii="宋体" w:hAnsi="宋体" w:cs="宋体"/>
          <w:szCs w:val="21"/>
        </w:rPr>
        <w:t>2、</w:t>
      </w:r>
      <w:r>
        <w:rPr>
          <w:rFonts w:hint="eastAsia" w:ascii="宋体" w:hAnsi="宋体" w:cs="宋体"/>
          <w:kern w:val="0"/>
          <w:szCs w:val="21"/>
        </w:rPr>
        <w:t>非单一产品采购项目，采购人应当根据采购项目技术构成、产品价格比重等合理确定核心产品，并在招标文件中载明。多家投标人提供的核心产品品牌相同的，按上述条款规定处理。</w:t>
      </w:r>
    </w:p>
    <w:p w14:paraId="1106ED81">
      <w:pPr>
        <w:rPr>
          <w:rFonts w:ascii="宋体" w:hAnsi="宋体" w:cs="宋体"/>
          <w:szCs w:val="21"/>
        </w:rPr>
      </w:pPr>
    </w:p>
    <w:p w14:paraId="7D7ACE2D">
      <w:pPr>
        <w:numPr>
          <w:ilvl w:val="0"/>
          <w:numId w:val="9"/>
        </w:numPr>
        <w:ind w:firstLine="422" w:firstLineChars="200"/>
        <w:outlineLvl w:val="1"/>
        <w:rPr>
          <w:rFonts w:ascii="宋体" w:hAnsi="宋体" w:cs="宋体"/>
          <w:b/>
          <w:szCs w:val="21"/>
        </w:rPr>
      </w:pPr>
      <w:bookmarkStart w:id="138" w:name="_Toc10643"/>
      <w:bookmarkStart w:id="139" w:name="_Toc18899"/>
      <w:bookmarkStart w:id="140" w:name="_Toc6000"/>
      <w:bookmarkStart w:id="141" w:name="_Toc25129"/>
      <w:r>
        <w:rPr>
          <w:rFonts w:hint="eastAsia" w:ascii="宋体" w:hAnsi="宋体" w:cs="宋体"/>
          <w:b/>
          <w:szCs w:val="21"/>
        </w:rPr>
        <w:t>政府采购政策</w:t>
      </w:r>
      <w:bookmarkEnd w:id="138"/>
      <w:bookmarkEnd w:id="139"/>
      <w:bookmarkEnd w:id="140"/>
      <w:bookmarkEnd w:id="141"/>
    </w:p>
    <w:p w14:paraId="2F7308EF">
      <w:pPr>
        <w:ind w:firstLine="420" w:firstLineChars="200"/>
        <w:rPr>
          <w:rFonts w:ascii="宋体" w:hAnsi="宋体" w:cs="宋体"/>
          <w:szCs w:val="21"/>
        </w:rPr>
      </w:pPr>
      <w:r>
        <w:rPr>
          <w:rFonts w:hint="eastAsia" w:ascii="宋体" w:hAnsi="宋体" w:cs="宋体"/>
          <w:szCs w:val="21"/>
        </w:rPr>
        <w:t>1、执行</w:t>
      </w:r>
      <w:r>
        <w:rPr>
          <w:rFonts w:hint="eastAsia" w:ascii="宋体" w:hAnsi="宋体" w:cs="宋体"/>
          <w:bCs/>
          <w:szCs w:val="21"/>
        </w:rPr>
        <w:t>（</w:t>
      </w:r>
      <w:r>
        <w:rPr>
          <w:rFonts w:hint="eastAsia" w:ascii="宋体" w:hAnsi="宋体" w:cs="宋体"/>
          <w:bCs/>
          <w:szCs w:val="21"/>
          <w:u w:val="single"/>
        </w:rPr>
        <w:t>苏财购〔2022〕45号</w:t>
      </w:r>
      <w:r>
        <w:rPr>
          <w:rFonts w:hint="eastAsia" w:ascii="宋体" w:hAnsi="宋体" w:cs="宋体"/>
          <w:bCs/>
          <w:szCs w:val="21"/>
        </w:rPr>
        <w:t>），</w:t>
      </w:r>
      <w:r>
        <w:rPr>
          <w:rFonts w:hint="eastAsia" w:ascii="宋体" w:hAnsi="宋体" w:cs="宋体"/>
          <w:szCs w:val="21"/>
        </w:rPr>
        <w:t>对符合</w:t>
      </w:r>
      <w:r>
        <w:rPr>
          <w:rFonts w:hint="eastAsia" w:ascii="宋体" w:hAnsi="宋体" w:cs="宋体"/>
          <w:bCs/>
          <w:szCs w:val="21"/>
        </w:rPr>
        <w:t>《政府采购促进中小企业发展管理办法》（财库【2020】46号文件）要求的</w:t>
      </w:r>
      <w:r>
        <w:rPr>
          <w:rFonts w:hint="eastAsia" w:ascii="宋体" w:hAnsi="宋体" w:cs="宋体"/>
          <w:szCs w:val="21"/>
        </w:rPr>
        <w:t>小型和微型企业，其产品的价格给予10%的扣除，用扣除后的价格参与评审。投标文件中必须按照</w:t>
      </w:r>
      <w:r>
        <w:rPr>
          <w:rFonts w:hint="eastAsia" w:ascii="宋体" w:hAnsi="宋体" w:cs="宋体"/>
          <w:bCs/>
          <w:szCs w:val="21"/>
        </w:rPr>
        <w:t>《政府采购促进中小企业发展管理办法》附件的要求提供《中小企业声明函（货物）》，否则不得享受相关中小企业扶持政策。</w:t>
      </w:r>
    </w:p>
    <w:p w14:paraId="610572D2">
      <w:pPr>
        <w:ind w:firstLine="420" w:firstLineChars="200"/>
        <w:rPr>
          <w:rFonts w:ascii="宋体" w:hAnsi="宋体" w:cs="宋体"/>
          <w:szCs w:val="21"/>
        </w:rPr>
      </w:pPr>
      <w:r>
        <w:rPr>
          <w:rFonts w:hint="eastAsia" w:ascii="宋体" w:hAnsi="宋体" w:cs="宋体"/>
          <w:szCs w:val="21"/>
        </w:rPr>
        <w:t>2、执行《关于政府采购支持监狱企业发展有关问题的通知》，对符合《关于政府采购支持监狱企业发展有关问题的通知》（财库【2014】68号文件）要求的监狱和戒毒企业视同小型、微型企业，其产品的价格给予10%的扣除，用扣除后的价格参与评审。投标文件中</w:t>
      </w:r>
      <w:r>
        <w:rPr>
          <w:rFonts w:hint="eastAsia" w:ascii="宋体" w:hAnsi="宋体" w:cs="宋体"/>
          <w:bCs/>
          <w:szCs w:val="21"/>
        </w:rPr>
        <w:t>应提供由省级以上监狱管理局、戒毒管理局（含新疆生产建设兵团）出具的属于监狱企业的证明文件。</w:t>
      </w:r>
    </w:p>
    <w:p w14:paraId="7F1B3AC7">
      <w:pPr>
        <w:ind w:firstLine="420" w:firstLineChars="200"/>
        <w:rPr>
          <w:rFonts w:ascii="宋体" w:hAnsi="宋体" w:cs="宋体"/>
          <w:szCs w:val="21"/>
        </w:rPr>
      </w:pPr>
      <w:r>
        <w:rPr>
          <w:rFonts w:hint="eastAsia" w:ascii="宋体" w:hAnsi="宋体" w:cs="宋体"/>
          <w:szCs w:val="21"/>
        </w:rPr>
        <w:t>3、执行《关于促进残疾人就业政府采购政策的通知》，对符合《关于促进残疾人就业政府采购政策的通知》（财库【2017】141号文件）要求的残疾人福利性单位视同小型、微型企业，其产品的价格给予10%的扣除，用扣除后的价格参与评审。投标文件中应提供</w:t>
      </w:r>
      <w:r>
        <w:rPr>
          <w:rFonts w:hint="eastAsia" w:ascii="宋体" w:hAnsi="宋体" w:cs="宋体"/>
          <w:bCs/>
          <w:szCs w:val="21"/>
        </w:rPr>
        <w:t>《残疾人福利性单位声明函》。</w:t>
      </w:r>
    </w:p>
    <w:p w14:paraId="77ABA946">
      <w:pPr>
        <w:ind w:firstLine="420" w:firstLineChars="200"/>
        <w:rPr>
          <w:rFonts w:ascii="宋体" w:hAnsi="宋体" w:cs="宋体"/>
          <w:szCs w:val="21"/>
        </w:rPr>
      </w:pPr>
      <w:r>
        <w:rPr>
          <w:rFonts w:hint="eastAsia" w:ascii="宋体" w:hAnsi="宋体" w:cs="宋体"/>
          <w:szCs w:val="21"/>
        </w:rPr>
        <w:t>4、执行《节能产品政府采购实施意见》，投标产品属于节能清单中产品时，在技术、服务等指标同等条件下，优先选择节能清单所列的节能产品。</w:t>
      </w:r>
    </w:p>
    <w:p w14:paraId="7109F3A4">
      <w:pPr>
        <w:ind w:firstLine="420" w:firstLineChars="200"/>
        <w:rPr>
          <w:rFonts w:ascii="宋体" w:hAnsi="宋体" w:cs="宋体"/>
          <w:szCs w:val="21"/>
        </w:rPr>
      </w:pPr>
      <w:r>
        <w:rPr>
          <w:rFonts w:hint="eastAsia" w:ascii="宋体" w:hAnsi="宋体" w:cs="宋体"/>
          <w:szCs w:val="21"/>
        </w:rPr>
        <w:t>5、执行《关于环境标志产品政府采购实施的意见》，投标产品属于“环境标志产品政府采购清单”中产品时，在技术、服务等指标同等条件下，优先选择“环境标志产品政府采购清单”所列的产品。</w:t>
      </w:r>
    </w:p>
    <w:p w14:paraId="30D44E9E">
      <w:pPr>
        <w:ind w:firstLine="422" w:firstLineChars="200"/>
        <w:rPr>
          <w:rFonts w:ascii="宋体" w:hAnsi="宋体" w:cs="宋体"/>
          <w:b/>
          <w:bCs/>
          <w:color w:val="0000FF"/>
          <w:szCs w:val="21"/>
        </w:rPr>
      </w:pPr>
      <w:r>
        <w:rPr>
          <w:rFonts w:hint="eastAsia" w:ascii="宋体" w:hAnsi="宋体" w:cs="宋体"/>
          <w:b/>
          <w:bCs/>
          <w:color w:val="0000FF"/>
          <w:szCs w:val="21"/>
        </w:rPr>
        <w:t>注：符合上述政策的，请在投标文件中按相关要求的规定自行说明，并提供相应的材料。</w:t>
      </w:r>
    </w:p>
    <w:p w14:paraId="5CB88EAE">
      <w:pPr>
        <w:ind w:firstLine="420" w:firstLineChars="200"/>
        <w:rPr>
          <w:rFonts w:ascii="宋体" w:hAnsi="宋体" w:cs="宋体"/>
          <w:szCs w:val="21"/>
        </w:rPr>
      </w:pPr>
    </w:p>
    <w:p w14:paraId="5C4366E7">
      <w:pPr>
        <w:widowControl/>
        <w:jc w:val="left"/>
        <w:rPr>
          <w:rFonts w:ascii="宋体" w:hAnsi="宋体" w:cs="宋体"/>
          <w:szCs w:val="21"/>
        </w:rPr>
      </w:pPr>
      <w:r>
        <w:rPr>
          <w:rFonts w:hint="eastAsia" w:ascii="宋体" w:hAnsi="宋体" w:cs="宋体"/>
          <w:szCs w:val="21"/>
        </w:rPr>
        <w:br w:type="page"/>
      </w:r>
    </w:p>
    <w:p w14:paraId="032A0C88">
      <w:pPr>
        <w:widowControl/>
        <w:jc w:val="center"/>
        <w:outlineLvl w:val="0"/>
        <w:rPr>
          <w:rFonts w:ascii="宋体" w:hAnsi="宋体" w:cs="宋体"/>
          <w:b/>
          <w:sz w:val="32"/>
          <w:szCs w:val="32"/>
        </w:rPr>
      </w:pPr>
      <w:bookmarkStart w:id="142" w:name="_Toc16909"/>
      <w:bookmarkStart w:id="143" w:name="_Toc8309"/>
      <w:bookmarkStart w:id="144" w:name="_Toc8861"/>
      <w:bookmarkStart w:id="145" w:name="_Toc19141"/>
      <w:r>
        <w:rPr>
          <w:rFonts w:hint="eastAsia" w:ascii="宋体" w:hAnsi="宋体" w:cs="宋体"/>
          <w:b/>
          <w:sz w:val="32"/>
          <w:szCs w:val="32"/>
        </w:rPr>
        <w:t>第六部分：投标文件组成</w:t>
      </w:r>
      <w:bookmarkEnd w:id="142"/>
      <w:bookmarkEnd w:id="143"/>
      <w:bookmarkEnd w:id="144"/>
      <w:bookmarkEnd w:id="145"/>
    </w:p>
    <w:p w14:paraId="2D67C31D">
      <w:pPr>
        <w:rPr>
          <w:rFonts w:ascii="宋体" w:hAnsi="宋体" w:cs="宋体"/>
          <w:szCs w:val="21"/>
        </w:rPr>
      </w:pPr>
    </w:p>
    <w:p w14:paraId="4462014A">
      <w:pPr>
        <w:jc w:val="center"/>
        <w:outlineLvl w:val="1"/>
        <w:rPr>
          <w:rFonts w:ascii="宋体" w:hAnsi="宋体" w:cs="宋体"/>
          <w:b/>
          <w:bCs/>
          <w:sz w:val="28"/>
          <w:szCs w:val="28"/>
        </w:rPr>
      </w:pPr>
      <w:bookmarkStart w:id="146" w:name="_Toc16417"/>
      <w:bookmarkStart w:id="147" w:name="_Toc22681"/>
      <w:bookmarkStart w:id="148" w:name="_Toc17707"/>
      <w:bookmarkStart w:id="149" w:name="_Toc26049"/>
      <w:r>
        <w:rPr>
          <w:rFonts w:hint="eastAsia" w:ascii="宋体" w:hAnsi="宋体" w:cs="宋体"/>
          <w:b/>
          <w:bCs/>
          <w:sz w:val="28"/>
          <w:szCs w:val="28"/>
        </w:rPr>
        <w:t>投标人提交投标文件须知</w:t>
      </w:r>
      <w:bookmarkEnd w:id="146"/>
      <w:bookmarkEnd w:id="147"/>
      <w:bookmarkEnd w:id="148"/>
      <w:bookmarkEnd w:id="149"/>
    </w:p>
    <w:p w14:paraId="48F506C6">
      <w:pPr>
        <w:ind w:firstLine="420" w:firstLineChars="200"/>
        <w:rPr>
          <w:rFonts w:ascii="宋体" w:hAnsi="宋体" w:cs="宋体"/>
          <w:bCs/>
          <w:szCs w:val="21"/>
        </w:rPr>
      </w:pPr>
    </w:p>
    <w:p w14:paraId="562120C0">
      <w:pPr>
        <w:ind w:firstLine="420" w:firstLineChars="200"/>
        <w:rPr>
          <w:rFonts w:ascii="宋体" w:hAnsi="宋体" w:cs="宋体"/>
          <w:bCs/>
          <w:szCs w:val="21"/>
        </w:rPr>
      </w:pPr>
      <w:r>
        <w:rPr>
          <w:rFonts w:hint="eastAsia" w:ascii="宋体" w:hAnsi="宋体" w:cs="宋体"/>
          <w:bCs/>
          <w:szCs w:val="21"/>
        </w:rPr>
        <w:t>1、投标人应严格按照以下顺序填写和提交下述规定的全部格式文件以及其他有关资料，混乱的编排导致投标文件被误读或评标委员会查找不到有效文件是投标人的风险。</w:t>
      </w:r>
    </w:p>
    <w:p w14:paraId="032483CC">
      <w:pPr>
        <w:ind w:firstLine="420" w:firstLineChars="200"/>
        <w:rPr>
          <w:rFonts w:ascii="宋体" w:hAnsi="宋体" w:cs="宋体"/>
          <w:bCs/>
          <w:szCs w:val="21"/>
        </w:rPr>
      </w:pPr>
      <w:r>
        <w:rPr>
          <w:rFonts w:hint="eastAsia" w:ascii="宋体" w:hAnsi="宋体" w:cs="宋体"/>
          <w:bCs/>
          <w:szCs w:val="21"/>
        </w:rPr>
        <w:t>2、所附表格中要求回答的全部问题和/或信息都必须正面回答。</w:t>
      </w:r>
    </w:p>
    <w:p w14:paraId="63876C99">
      <w:pPr>
        <w:ind w:firstLine="420" w:firstLineChars="200"/>
        <w:rPr>
          <w:rFonts w:ascii="宋体" w:hAnsi="宋体" w:cs="宋体"/>
          <w:bCs/>
          <w:szCs w:val="21"/>
        </w:rPr>
      </w:pPr>
      <w:r>
        <w:rPr>
          <w:rFonts w:hint="eastAsia" w:ascii="宋体" w:hAnsi="宋体" w:cs="宋体"/>
          <w:bCs/>
          <w:szCs w:val="21"/>
        </w:rPr>
        <w:t>3、本投标文件的签字人应保证全部声明和问题的回答是真实的和准确的。</w:t>
      </w:r>
    </w:p>
    <w:p w14:paraId="3BE25782">
      <w:pPr>
        <w:ind w:firstLine="420" w:firstLineChars="200"/>
        <w:rPr>
          <w:rFonts w:ascii="宋体" w:hAnsi="宋体" w:cs="宋体"/>
          <w:bCs/>
          <w:szCs w:val="21"/>
        </w:rPr>
      </w:pPr>
      <w:r>
        <w:rPr>
          <w:rFonts w:hint="eastAsia" w:ascii="宋体" w:hAnsi="宋体" w:cs="宋体"/>
          <w:bCs/>
          <w:szCs w:val="21"/>
        </w:rPr>
        <w:t>4、评标委员会将应用投标人提交的资料根据自己的判断和考虑决定投标人履行合同的合格性及能力。</w:t>
      </w:r>
    </w:p>
    <w:p w14:paraId="3C0D39F4">
      <w:pPr>
        <w:ind w:firstLine="420" w:firstLineChars="200"/>
        <w:rPr>
          <w:rFonts w:ascii="宋体" w:hAnsi="宋体" w:cs="宋体"/>
          <w:bCs/>
          <w:szCs w:val="21"/>
        </w:rPr>
      </w:pPr>
      <w:r>
        <w:rPr>
          <w:rFonts w:hint="eastAsia" w:ascii="宋体" w:hAnsi="宋体" w:cs="宋体"/>
          <w:bCs/>
          <w:szCs w:val="21"/>
        </w:rPr>
        <w:t>5、投标人提交的材料将在一定期限内被保密保存，但不退还。</w:t>
      </w:r>
    </w:p>
    <w:p w14:paraId="2A168FE7">
      <w:pPr>
        <w:ind w:firstLine="420" w:firstLineChars="200"/>
        <w:rPr>
          <w:rFonts w:ascii="宋体" w:hAnsi="宋体" w:cs="宋体"/>
          <w:bCs/>
          <w:szCs w:val="21"/>
        </w:rPr>
      </w:pPr>
      <w:r>
        <w:rPr>
          <w:rFonts w:hint="eastAsia" w:ascii="宋体" w:hAnsi="宋体" w:cs="宋体"/>
          <w:bCs/>
          <w:szCs w:val="21"/>
        </w:rPr>
        <w:t>6、全部文件应按投标人须知中规定的语言和份数提交。投标文件组成漏项或未按规定的格式编制或投标文件正、副本份数不足、内容不全或内容字迹模糊辨认不清的情况，将有可能被评标委员会认定为无效投标。</w:t>
      </w:r>
    </w:p>
    <w:p w14:paraId="7CDF0EFF">
      <w:pPr>
        <w:rPr>
          <w:rFonts w:ascii="宋体" w:hAnsi="宋体" w:cs="宋体"/>
          <w:szCs w:val="21"/>
        </w:rPr>
      </w:pPr>
    </w:p>
    <w:p w14:paraId="6BDA6614">
      <w:pPr>
        <w:rPr>
          <w:rFonts w:ascii="宋体" w:hAnsi="宋体" w:cs="宋体"/>
          <w:szCs w:val="21"/>
        </w:rPr>
      </w:pPr>
    </w:p>
    <w:p w14:paraId="4366066C">
      <w:pPr>
        <w:widowControl/>
        <w:jc w:val="left"/>
        <w:rPr>
          <w:rFonts w:ascii="宋体" w:hAnsi="宋体" w:cs="宋体"/>
          <w:szCs w:val="21"/>
        </w:rPr>
      </w:pPr>
      <w:r>
        <w:rPr>
          <w:rFonts w:hint="eastAsia" w:ascii="宋体" w:hAnsi="宋体" w:cs="宋体"/>
          <w:szCs w:val="21"/>
        </w:rPr>
        <w:br w:type="page"/>
      </w:r>
    </w:p>
    <w:p w14:paraId="006A8AE6">
      <w:pPr>
        <w:jc w:val="right"/>
        <w:rPr>
          <w:rFonts w:ascii="宋体" w:hAnsi="宋体" w:cs="宋体"/>
          <w:sz w:val="44"/>
          <w:szCs w:val="44"/>
        </w:rPr>
      </w:pPr>
      <w:r>
        <w:rPr>
          <w:rFonts w:hint="eastAsia" w:ascii="宋体" w:hAnsi="宋体" w:cs="宋体"/>
          <w:b/>
          <w:sz w:val="44"/>
          <w:szCs w:val="44"/>
        </w:rPr>
        <w:t>正本/副本</w:t>
      </w:r>
    </w:p>
    <w:p w14:paraId="43006140">
      <w:pPr>
        <w:rPr>
          <w:rFonts w:ascii="宋体" w:hAnsi="宋体" w:cs="宋体"/>
          <w:szCs w:val="21"/>
        </w:rPr>
      </w:pPr>
    </w:p>
    <w:p w14:paraId="1A125A44">
      <w:pPr>
        <w:rPr>
          <w:rFonts w:ascii="宋体" w:hAnsi="宋体" w:cs="宋体"/>
          <w:szCs w:val="21"/>
        </w:rPr>
      </w:pPr>
    </w:p>
    <w:p w14:paraId="5165946A">
      <w:pPr>
        <w:rPr>
          <w:rFonts w:ascii="宋体" w:hAnsi="宋体" w:cs="宋体"/>
          <w:szCs w:val="21"/>
        </w:rPr>
      </w:pPr>
    </w:p>
    <w:p w14:paraId="0E2A4D08">
      <w:pPr>
        <w:rPr>
          <w:rFonts w:ascii="宋体" w:hAnsi="宋体" w:cs="宋体"/>
          <w:szCs w:val="21"/>
        </w:rPr>
      </w:pPr>
    </w:p>
    <w:p w14:paraId="226A64D6">
      <w:pPr>
        <w:rPr>
          <w:rFonts w:ascii="宋体" w:hAnsi="宋体" w:cs="宋体"/>
          <w:szCs w:val="21"/>
        </w:rPr>
      </w:pPr>
    </w:p>
    <w:p w14:paraId="212A0C53">
      <w:pPr>
        <w:jc w:val="center"/>
        <w:outlineLvl w:val="1"/>
        <w:rPr>
          <w:rFonts w:ascii="宋体" w:hAnsi="宋体" w:cs="宋体"/>
          <w:b/>
          <w:sz w:val="96"/>
          <w:szCs w:val="84"/>
        </w:rPr>
      </w:pPr>
      <w:bookmarkStart w:id="150" w:name="_Toc14510"/>
      <w:bookmarkStart w:id="151" w:name="_Toc28972"/>
      <w:bookmarkStart w:id="152" w:name="_Toc27992"/>
      <w:bookmarkStart w:id="153" w:name="_Toc30044"/>
      <w:r>
        <w:rPr>
          <w:rFonts w:hint="eastAsia" w:ascii="宋体" w:hAnsi="宋体" w:cs="宋体"/>
          <w:b/>
          <w:sz w:val="96"/>
          <w:szCs w:val="84"/>
        </w:rPr>
        <w:t>投标文件</w:t>
      </w:r>
      <w:bookmarkEnd w:id="150"/>
      <w:bookmarkEnd w:id="151"/>
      <w:bookmarkEnd w:id="152"/>
      <w:bookmarkEnd w:id="153"/>
    </w:p>
    <w:p w14:paraId="3200E3EC">
      <w:pPr>
        <w:rPr>
          <w:rFonts w:ascii="宋体" w:hAnsi="宋体" w:cs="宋体"/>
          <w:sz w:val="44"/>
          <w:szCs w:val="44"/>
        </w:rPr>
      </w:pPr>
    </w:p>
    <w:p w14:paraId="6EA26925">
      <w:pPr>
        <w:rPr>
          <w:rFonts w:ascii="宋体" w:hAnsi="宋体" w:cs="宋体"/>
          <w:sz w:val="44"/>
          <w:szCs w:val="44"/>
        </w:rPr>
      </w:pPr>
    </w:p>
    <w:p w14:paraId="129964F5">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项目编号：1214-244209444LDY</w:t>
      </w:r>
    </w:p>
    <w:p w14:paraId="2B8FB294">
      <w:pPr>
        <w:jc w:val="center"/>
        <w:rPr>
          <w:rFonts w:ascii="宋体" w:hAnsi="宋体" w:cs="宋体"/>
          <w:b/>
          <w:color w:val="0000FF"/>
          <w:sz w:val="44"/>
          <w:szCs w:val="44"/>
        </w:rPr>
      </w:pPr>
      <w:r>
        <w:rPr>
          <w:rFonts w:hint="eastAsia" w:ascii="宋体" w:hAnsi="宋体" w:cs="宋体"/>
          <w:b/>
          <w:color w:val="0000FF"/>
          <w:sz w:val="44"/>
          <w:szCs w:val="44"/>
        </w:rPr>
        <w:t xml:space="preserve"> </w:t>
      </w:r>
    </w:p>
    <w:p w14:paraId="7FEEDDCA">
      <w:pPr>
        <w:jc w:val="center"/>
        <w:rPr>
          <w:rFonts w:ascii="宋体" w:hAnsi="宋体" w:cs="宋体"/>
          <w:b/>
          <w:bCs/>
          <w:snapToGrid w:val="0"/>
          <w:sz w:val="36"/>
          <w:szCs w:val="36"/>
        </w:rPr>
      </w:pPr>
    </w:p>
    <w:p w14:paraId="17BCF417">
      <w:pPr>
        <w:rPr>
          <w:rFonts w:ascii="宋体" w:hAnsi="宋体" w:cs="宋体"/>
          <w:b/>
          <w:sz w:val="44"/>
          <w:szCs w:val="44"/>
        </w:rPr>
      </w:pPr>
    </w:p>
    <w:tbl>
      <w:tblPr>
        <w:tblStyle w:val="2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6733"/>
      </w:tblGrid>
      <w:tr w14:paraId="72B1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80" w:type="dxa"/>
            <w:tcBorders>
              <w:top w:val="nil"/>
              <w:left w:val="nil"/>
              <w:bottom w:val="nil"/>
              <w:right w:val="nil"/>
            </w:tcBorders>
            <w:vAlign w:val="center"/>
          </w:tcPr>
          <w:p w14:paraId="03AE2955">
            <w:pPr>
              <w:keepNext w:val="0"/>
              <w:keepLines w:val="0"/>
              <w:suppressLineNumbers w:val="0"/>
              <w:tabs>
                <w:tab w:val="left" w:pos="2268"/>
              </w:tabs>
              <w:spacing w:before="0" w:beforeAutospacing="0" w:after="0" w:afterAutospacing="0" w:line="360" w:lineRule="auto"/>
              <w:ind w:left="0" w:right="0"/>
              <w:jc w:val="right"/>
              <w:rPr>
                <w:rFonts w:ascii="宋体" w:hAnsi="宋体" w:cs="宋体"/>
                <w:b/>
                <w:sz w:val="36"/>
                <w:szCs w:val="36"/>
              </w:rPr>
            </w:pPr>
            <w:r>
              <w:rPr>
                <w:rFonts w:hint="eastAsia" w:ascii="宋体" w:hAnsi="宋体" w:cs="宋体"/>
                <w:b/>
                <w:sz w:val="36"/>
                <w:szCs w:val="36"/>
              </w:rPr>
              <w:t>采 购 人：</w:t>
            </w:r>
          </w:p>
        </w:tc>
        <w:tc>
          <w:tcPr>
            <w:tcW w:w="6733" w:type="dxa"/>
            <w:tcBorders>
              <w:top w:val="nil"/>
              <w:left w:val="nil"/>
              <w:bottom w:val="nil"/>
              <w:right w:val="nil"/>
            </w:tcBorders>
            <w:vAlign w:val="center"/>
          </w:tcPr>
          <w:p w14:paraId="3D3E7388">
            <w:pPr>
              <w:keepNext w:val="0"/>
              <w:keepLines w:val="0"/>
              <w:suppressLineNumbers w:val="0"/>
              <w:tabs>
                <w:tab w:val="left" w:pos="2268"/>
              </w:tabs>
              <w:spacing w:before="0" w:beforeAutospacing="0" w:after="0" w:afterAutospacing="0" w:line="360" w:lineRule="auto"/>
              <w:ind w:left="0" w:right="0"/>
              <w:rPr>
                <w:rFonts w:ascii="宋体" w:hAnsi="宋体" w:cs="宋体"/>
                <w:b/>
                <w:sz w:val="36"/>
                <w:szCs w:val="36"/>
              </w:rPr>
            </w:pPr>
            <w:r>
              <w:rPr>
                <w:rFonts w:hint="eastAsia" w:ascii="宋体" w:hAnsi="宋体" w:cs="宋体"/>
                <w:b/>
                <w:sz w:val="36"/>
                <w:szCs w:val="36"/>
              </w:rPr>
              <w:t>中华人民共和国南京海关</w:t>
            </w:r>
          </w:p>
        </w:tc>
      </w:tr>
      <w:tr w14:paraId="2382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80" w:type="dxa"/>
            <w:tcBorders>
              <w:top w:val="nil"/>
              <w:left w:val="nil"/>
              <w:bottom w:val="nil"/>
              <w:right w:val="nil"/>
            </w:tcBorders>
            <w:vAlign w:val="center"/>
          </w:tcPr>
          <w:p w14:paraId="12C026F2">
            <w:pPr>
              <w:keepNext w:val="0"/>
              <w:keepLines w:val="0"/>
              <w:suppressLineNumbers w:val="0"/>
              <w:tabs>
                <w:tab w:val="left" w:pos="2268"/>
              </w:tabs>
              <w:spacing w:before="0" w:beforeAutospacing="0" w:after="0" w:afterAutospacing="0" w:line="360" w:lineRule="auto"/>
              <w:ind w:left="0" w:right="0"/>
              <w:jc w:val="right"/>
              <w:rPr>
                <w:rFonts w:ascii="宋体" w:hAnsi="宋体" w:cs="宋体"/>
                <w:b/>
                <w:sz w:val="36"/>
                <w:szCs w:val="36"/>
              </w:rPr>
            </w:pPr>
            <w:r>
              <w:rPr>
                <w:rFonts w:hint="eastAsia" w:ascii="宋体" w:hAnsi="宋体" w:cs="宋体"/>
                <w:b/>
                <w:sz w:val="36"/>
                <w:szCs w:val="36"/>
              </w:rPr>
              <w:t>项目名称：</w:t>
            </w:r>
          </w:p>
        </w:tc>
        <w:tc>
          <w:tcPr>
            <w:tcW w:w="6733" w:type="dxa"/>
            <w:tcBorders>
              <w:top w:val="nil"/>
              <w:left w:val="nil"/>
              <w:bottom w:val="nil"/>
              <w:right w:val="nil"/>
            </w:tcBorders>
            <w:vAlign w:val="center"/>
          </w:tcPr>
          <w:p w14:paraId="671D74D4">
            <w:pPr>
              <w:keepNext w:val="0"/>
              <w:keepLines w:val="0"/>
              <w:suppressLineNumbers w:val="0"/>
              <w:tabs>
                <w:tab w:val="left" w:pos="2268"/>
              </w:tabs>
              <w:spacing w:before="0" w:beforeAutospacing="0" w:after="0" w:afterAutospacing="0" w:line="360" w:lineRule="auto"/>
              <w:ind w:left="0" w:right="0"/>
              <w:rPr>
                <w:rFonts w:ascii="宋体" w:hAnsi="宋体" w:cs="宋体"/>
                <w:b/>
                <w:sz w:val="36"/>
                <w:szCs w:val="36"/>
              </w:rPr>
            </w:pPr>
            <w:r>
              <w:rPr>
                <w:rFonts w:hint="eastAsia" w:ascii="宋体" w:hAnsi="宋体" w:cs="宋体"/>
                <w:b/>
                <w:sz w:val="36"/>
                <w:szCs w:val="36"/>
              </w:rPr>
              <w:t>中国电子口岸运行保障运维服务采购项目</w:t>
            </w:r>
          </w:p>
        </w:tc>
      </w:tr>
      <w:tr w14:paraId="482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80" w:type="dxa"/>
            <w:tcBorders>
              <w:top w:val="nil"/>
              <w:left w:val="nil"/>
              <w:bottom w:val="nil"/>
              <w:right w:val="nil"/>
            </w:tcBorders>
            <w:vAlign w:val="center"/>
          </w:tcPr>
          <w:p w14:paraId="3B4125EA">
            <w:pPr>
              <w:keepNext w:val="0"/>
              <w:keepLines w:val="0"/>
              <w:suppressLineNumbers w:val="0"/>
              <w:tabs>
                <w:tab w:val="left" w:pos="2268"/>
              </w:tabs>
              <w:spacing w:before="0" w:beforeAutospacing="0" w:after="0" w:afterAutospacing="0" w:line="360" w:lineRule="auto"/>
              <w:ind w:left="0" w:right="0"/>
              <w:jc w:val="right"/>
              <w:rPr>
                <w:rFonts w:ascii="宋体" w:hAnsi="宋体" w:cs="宋体"/>
                <w:b/>
                <w:sz w:val="36"/>
                <w:szCs w:val="36"/>
              </w:rPr>
            </w:pPr>
            <w:r>
              <w:rPr>
                <w:rFonts w:hint="eastAsia" w:ascii="宋体" w:hAnsi="宋体" w:cs="宋体"/>
                <w:b/>
                <w:sz w:val="36"/>
                <w:szCs w:val="36"/>
              </w:rPr>
              <w:t>投 标 人：</w:t>
            </w:r>
          </w:p>
        </w:tc>
        <w:tc>
          <w:tcPr>
            <w:tcW w:w="6733" w:type="dxa"/>
            <w:tcBorders>
              <w:top w:val="nil"/>
              <w:left w:val="nil"/>
              <w:bottom w:val="nil"/>
              <w:right w:val="nil"/>
            </w:tcBorders>
            <w:vAlign w:val="center"/>
          </w:tcPr>
          <w:p w14:paraId="43A60753">
            <w:pPr>
              <w:keepNext w:val="0"/>
              <w:keepLines w:val="0"/>
              <w:suppressLineNumbers w:val="0"/>
              <w:tabs>
                <w:tab w:val="left" w:pos="2268"/>
              </w:tabs>
              <w:spacing w:before="0" w:beforeAutospacing="0" w:after="0" w:afterAutospacing="0" w:line="360" w:lineRule="auto"/>
              <w:ind w:left="0" w:right="0"/>
              <w:rPr>
                <w:rFonts w:ascii="宋体" w:hAnsi="宋体" w:cs="宋体"/>
                <w:b/>
                <w:sz w:val="36"/>
                <w:szCs w:val="36"/>
              </w:rPr>
            </w:pPr>
          </w:p>
        </w:tc>
      </w:tr>
      <w:tr w14:paraId="0853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80" w:type="dxa"/>
            <w:tcBorders>
              <w:top w:val="nil"/>
              <w:left w:val="nil"/>
              <w:bottom w:val="nil"/>
              <w:right w:val="nil"/>
            </w:tcBorders>
            <w:vAlign w:val="center"/>
          </w:tcPr>
          <w:p w14:paraId="0FD32E3E">
            <w:pPr>
              <w:keepNext w:val="0"/>
              <w:keepLines w:val="0"/>
              <w:suppressLineNumbers w:val="0"/>
              <w:spacing w:before="0" w:beforeAutospacing="0" w:after="0" w:afterAutospacing="0" w:line="360" w:lineRule="auto"/>
              <w:ind w:left="0" w:right="0"/>
              <w:jc w:val="right"/>
              <w:rPr>
                <w:rFonts w:ascii="宋体" w:hAnsi="宋体" w:cs="宋体"/>
                <w:b/>
                <w:sz w:val="36"/>
                <w:szCs w:val="36"/>
              </w:rPr>
            </w:pPr>
            <w:r>
              <w:rPr>
                <w:rFonts w:hint="eastAsia" w:ascii="宋体" w:hAnsi="宋体" w:cs="宋体"/>
                <w:b/>
                <w:sz w:val="36"/>
                <w:szCs w:val="36"/>
              </w:rPr>
              <w:t>联 系 人：</w:t>
            </w:r>
          </w:p>
        </w:tc>
        <w:tc>
          <w:tcPr>
            <w:tcW w:w="6733" w:type="dxa"/>
            <w:tcBorders>
              <w:top w:val="nil"/>
              <w:left w:val="nil"/>
              <w:bottom w:val="nil"/>
              <w:right w:val="nil"/>
            </w:tcBorders>
            <w:vAlign w:val="center"/>
          </w:tcPr>
          <w:p w14:paraId="3A5235E2">
            <w:pPr>
              <w:keepNext w:val="0"/>
              <w:keepLines w:val="0"/>
              <w:suppressLineNumbers w:val="0"/>
              <w:tabs>
                <w:tab w:val="left" w:pos="2268"/>
              </w:tabs>
              <w:spacing w:before="0" w:beforeAutospacing="0" w:after="0" w:afterAutospacing="0" w:line="360" w:lineRule="auto"/>
              <w:ind w:left="0" w:right="0"/>
              <w:rPr>
                <w:rFonts w:ascii="宋体" w:hAnsi="宋体" w:cs="宋体"/>
                <w:b/>
                <w:sz w:val="36"/>
                <w:szCs w:val="36"/>
              </w:rPr>
            </w:pPr>
          </w:p>
        </w:tc>
      </w:tr>
      <w:tr w14:paraId="2423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80" w:type="dxa"/>
            <w:tcBorders>
              <w:top w:val="nil"/>
              <w:left w:val="nil"/>
              <w:bottom w:val="nil"/>
              <w:right w:val="nil"/>
            </w:tcBorders>
            <w:vAlign w:val="center"/>
          </w:tcPr>
          <w:p w14:paraId="79610254">
            <w:pPr>
              <w:keepNext w:val="0"/>
              <w:keepLines w:val="0"/>
              <w:suppressLineNumbers w:val="0"/>
              <w:spacing w:before="0" w:beforeAutospacing="0" w:after="0" w:afterAutospacing="0" w:line="360" w:lineRule="auto"/>
              <w:ind w:left="0" w:right="0"/>
              <w:jc w:val="right"/>
              <w:rPr>
                <w:rFonts w:ascii="宋体" w:hAnsi="宋体" w:cs="宋体"/>
                <w:b/>
                <w:sz w:val="36"/>
                <w:szCs w:val="36"/>
              </w:rPr>
            </w:pPr>
            <w:r>
              <w:rPr>
                <w:rFonts w:hint="eastAsia" w:ascii="宋体" w:hAnsi="宋体" w:cs="宋体"/>
                <w:b/>
                <w:sz w:val="36"/>
                <w:szCs w:val="36"/>
              </w:rPr>
              <w:t>联系电话：</w:t>
            </w:r>
          </w:p>
        </w:tc>
        <w:tc>
          <w:tcPr>
            <w:tcW w:w="6733" w:type="dxa"/>
            <w:tcBorders>
              <w:top w:val="nil"/>
              <w:left w:val="nil"/>
              <w:bottom w:val="nil"/>
              <w:right w:val="nil"/>
            </w:tcBorders>
            <w:vAlign w:val="center"/>
          </w:tcPr>
          <w:p w14:paraId="7382959C">
            <w:pPr>
              <w:keepNext w:val="0"/>
              <w:keepLines w:val="0"/>
              <w:suppressLineNumbers w:val="0"/>
              <w:tabs>
                <w:tab w:val="left" w:pos="2268"/>
              </w:tabs>
              <w:spacing w:before="0" w:beforeAutospacing="0" w:after="0" w:afterAutospacing="0" w:line="360" w:lineRule="auto"/>
              <w:ind w:left="0" w:right="0"/>
              <w:rPr>
                <w:rFonts w:ascii="宋体" w:hAnsi="宋体" w:cs="宋体"/>
                <w:b/>
                <w:sz w:val="36"/>
                <w:szCs w:val="36"/>
              </w:rPr>
            </w:pPr>
            <w:r>
              <w:rPr>
                <w:rFonts w:hint="eastAsia" w:ascii="宋体" w:hAnsi="宋体" w:cs="宋体"/>
                <w:b/>
                <w:sz w:val="32"/>
                <w:szCs w:val="32"/>
              </w:rPr>
              <w:t>（请填写联系人手机号）</w:t>
            </w:r>
          </w:p>
        </w:tc>
      </w:tr>
    </w:tbl>
    <w:p w14:paraId="78AD8E2F">
      <w:pPr>
        <w:tabs>
          <w:tab w:val="left" w:pos="2268"/>
        </w:tabs>
        <w:spacing w:line="360" w:lineRule="auto"/>
        <w:rPr>
          <w:rFonts w:ascii="宋体" w:hAnsi="宋体" w:cs="宋体"/>
          <w:b/>
          <w:sz w:val="36"/>
          <w:szCs w:val="36"/>
        </w:rPr>
      </w:pPr>
    </w:p>
    <w:p w14:paraId="63C7A3D8">
      <w:pPr>
        <w:rPr>
          <w:rFonts w:ascii="宋体" w:hAnsi="宋体" w:cs="宋体"/>
        </w:rPr>
      </w:pPr>
    </w:p>
    <w:p w14:paraId="063AFAD7">
      <w:pPr>
        <w:jc w:val="center"/>
        <w:rPr>
          <w:rFonts w:ascii="宋体" w:hAnsi="宋体" w:cs="宋体"/>
          <w:b/>
          <w:sz w:val="44"/>
          <w:szCs w:val="44"/>
        </w:rPr>
      </w:pPr>
    </w:p>
    <w:p w14:paraId="35A4F44D">
      <w:pPr>
        <w:jc w:val="center"/>
        <w:rPr>
          <w:rFonts w:ascii="宋体" w:hAnsi="宋体" w:cs="宋体"/>
          <w:b/>
          <w:sz w:val="44"/>
          <w:szCs w:val="44"/>
        </w:rPr>
      </w:pPr>
      <w:r>
        <w:rPr>
          <w:rFonts w:hint="eastAsia" w:ascii="宋体" w:hAnsi="宋体" w:cs="宋体"/>
          <w:b/>
          <w:sz w:val="44"/>
          <w:szCs w:val="44"/>
        </w:rPr>
        <w:t>二0二四年</w:t>
      </w:r>
      <w:r>
        <w:rPr>
          <w:rFonts w:hint="eastAsia" w:ascii="宋体" w:hAnsi="宋体" w:cs="宋体"/>
          <w:b/>
          <w:sz w:val="44"/>
          <w:szCs w:val="44"/>
          <w:u w:val="single"/>
        </w:rPr>
        <w:t>XX</w:t>
      </w:r>
      <w:r>
        <w:rPr>
          <w:rFonts w:hint="eastAsia" w:ascii="宋体" w:hAnsi="宋体" w:cs="宋体"/>
          <w:b/>
          <w:sz w:val="44"/>
          <w:szCs w:val="44"/>
        </w:rPr>
        <w:t>月</w:t>
      </w:r>
      <w:r>
        <w:rPr>
          <w:rFonts w:hint="eastAsia" w:ascii="宋体" w:hAnsi="宋体" w:cs="宋体"/>
          <w:b/>
          <w:sz w:val="44"/>
          <w:szCs w:val="44"/>
          <w:u w:val="single"/>
        </w:rPr>
        <w:t>XX</w:t>
      </w:r>
      <w:r>
        <w:rPr>
          <w:rFonts w:hint="eastAsia" w:ascii="宋体" w:hAnsi="宋体" w:cs="宋体"/>
          <w:b/>
          <w:sz w:val="44"/>
          <w:szCs w:val="44"/>
        </w:rPr>
        <w:t>日</w:t>
      </w:r>
    </w:p>
    <w:p w14:paraId="1CFBB2A4">
      <w:pPr>
        <w:jc w:val="center"/>
        <w:rPr>
          <w:rFonts w:ascii="宋体" w:hAnsi="宋体" w:cs="宋体"/>
          <w:bCs/>
          <w:szCs w:val="21"/>
        </w:rPr>
      </w:pPr>
      <w:r>
        <w:rPr>
          <w:rFonts w:hint="eastAsia" w:ascii="宋体" w:hAnsi="宋体" w:cs="宋体"/>
          <w:b/>
          <w:sz w:val="44"/>
          <w:szCs w:val="44"/>
        </w:rPr>
        <w:br w:type="page"/>
      </w:r>
    </w:p>
    <w:p w14:paraId="10CAC020">
      <w:pPr>
        <w:widowControl/>
        <w:jc w:val="center"/>
        <w:outlineLvl w:val="1"/>
        <w:rPr>
          <w:rFonts w:ascii="宋体" w:hAnsi="宋体" w:cs="宋体"/>
          <w:sz w:val="28"/>
          <w:szCs w:val="28"/>
        </w:rPr>
      </w:pPr>
      <w:bookmarkStart w:id="154" w:name="_Toc23556"/>
      <w:bookmarkStart w:id="155" w:name="_Toc13694"/>
      <w:bookmarkStart w:id="156" w:name="_Toc13295"/>
      <w:bookmarkStart w:id="157" w:name="_Toc4954"/>
      <w:r>
        <w:rPr>
          <w:rFonts w:hint="eastAsia" w:ascii="宋体" w:hAnsi="宋体" w:cs="宋体"/>
          <w:b/>
          <w:sz w:val="28"/>
          <w:szCs w:val="28"/>
          <w:lang w:val="zh-CN"/>
        </w:rPr>
        <w:t>资格审查响应对照表</w:t>
      </w:r>
      <w:bookmarkEnd w:id="154"/>
      <w:bookmarkEnd w:id="155"/>
      <w:bookmarkEnd w:id="156"/>
      <w:bookmarkEnd w:id="157"/>
    </w:p>
    <w:p w14:paraId="05DEDE23">
      <w:pPr>
        <w:rPr>
          <w:rFonts w:ascii="宋体" w:hAnsi="宋体" w:cs="宋体"/>
          <w:b/>
          <w:szCs w:val="21"/>
          <w:lang w:val="zh-CN"/>
        </w:rPr>
      </w:pPr>
    </w:p>
    <w:p w14:paraId="415009A3">
      <w:pPr>
        <w:rPr>
          <w:rFonts w:ascii="宋体" w:hAnsi="宋体" w:cs="宋体"/>
          <w:szCs w:val="21"/>
        </w:rPr>
      </w:pPr>
      <w:r>
        <w:rPr>
          <w:rFonts w:hint="eastAsia" w:ascii="宋体" w:hAnsi="宋体" w:cs="宋体"/>
          <w:szCs w:val="21"/>
        </w:rPr>
        <w:t>项目编号：1214-244209444LDY</w:t>
      </w:r>
    </w:p>
    <w:p w14:paraId="73176FB1">
      <w:pPr>
        <w:rPr>
          <w:rFonts w:ascii="宋体" w:hAnsi="宋体" w:cs="宋体"/>
          <w:szCs w:val="21"/>
        </w:rPr>
      </w:pPr>
      <w:r>
        <w:rPr>
          <w:rFonts w:hint="eastAsia" w:ascii="宋体" w:hAnsi="宋体" w:cs="宋体"/>
          <w:szCs w:val="21"/>
        </w:rPr>
        <w:t>项目名称：中国电子口岸运行保障运维服务采购项目</w:t>
      </w:r>
    </w:p>
    <w:tbl>
      <w:tblPr>
        <w:tblStyle w:val="2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317"/>
        <w:gridCol w:w="1596"/>
        <w:gridCol w:w="1308"/>
      </w:tblGrid>
      <w:tr w14:paraId="6D8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587F710E">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序号</w:t>
            </w:r>
          </w:p>
        </w:tc>
        <w:tc>
          <w:tcPr>
            <w:tcW w:w="5317" w:type="dxa"/>
            <w:vAlign w:val="center"/>
          </w:tcPr>
          <w:p w14:paraId="6D99C70C">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资格审查内容</w:t>
            </w:r>
          </w:p>
        </w:tc>
        <w:tc>
          <w:tcPr>
            <w:tcW w:w="1596" w:type="dxa"/>
            <w:vAlign w:val="center"/>
          </w:tcPr>
          <w:p w14:paraId="5C12C6EB">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是否响应</w:t>
            </w:r>
          </w:p>
          <w:p w14:paraId="07DB0762">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（填是或者否）</w:t>
            </w:r>
          </w:p>
        </w:tc>
        <w:tc>
          <w:tcPr>
            <w:tcW w:w="1308" w:type="dxa"/>
            <w:vAlign w:val="center"/>
          </w:tcPr>
          <w:p w14:paraId="2C73D919">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投标文件中</w:t>
            </w:r>
          </w:p>
          <w:p w14:paraId="4571B1F0">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的页码位置</w:t>
            </w:r>
          </w:p>
        </w:tc>
      </w:tr>
      <w:tr w14:paraId="1C97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6179B5A4">
            <w:pPr>
              <w:keepNext w:val="0"/>
              <w:keepLines w:val="0"/>
              <w:suppressLineNumbers w:val="0"/>
              <w:spacing w:before="0" w:beforeAutospacing="0" w:after="0" w:afterAutospacing="0"/>
              <w:ind w:left="0" w:right="0"/>
              <w:jc w:val="center"/>
              <w:rPr>
                <w:rFonts w:ascii="宋体" w:hAnsi="宋体" w:cs="宋体"/>
                <w:bCs/>
                <w:szCs w:val="21"/>
              </w:rPr>
            </w:pPr>
            <w:r>
              <w:rPr>
                <w:rFonts w:hint="eastAsia" w:ascii="宋体" w:hAnsi="宋体" w:cs="宋体"/>
                <w:bCs/>
                <w:szCs w:val="21"/>
              </w:rPr>
              <w:t>1</w:t>
            </w:r>
          </w:p>
        </w:tc>
        <w:tc>
          <w:tcPr>
            <w:tcW w:w="5317" w:type="dxa"/>
            <w:vAlign w:val="center"/>
          </w:tcPr>
          <w:p w14:paraId="1C6A0F81">
            <w:pPr>
              <w:keepNext w:val="0"/>
              <w:keepLines w:val="0"/>
              <w:suppressLineNumbers w:val="0"/>
              <w:spacing w:before="0" w:beforeAutospacing="0" w:after="0" w:afterAutospacing="0"/>
              <w:ind w:left="0" w:right="0"/>
              <w:rPr>
                <w:rFonts w:ascii="宋体" w:hAnsi="宋体" w:cs="宋体"/>
                <w:bCs/>
                <w:szCs w:val="21"/>
              </w:rPr>
            </w:pPr>
            <w:r>
              <w:rPr>
                <w:rFonts w:hint="eastAsia" w:ascii="宋体" w:hAnsi="宋体" w:cs="宋体"/>
                <w:bCs/>
                <w:szCs w:val="21"/>
                <w:lang w:bidi="ar"/>
              </w:rPr>
              <w:t>具有独立承担民事责任的能力（提供事业单位法人证书或者企业单位的营业执照；投标人为自然人的，提供其身份证）（复印件）；</w:t>
            </w:r>
          </w:p>
        </w:tc>
        <w:tc>
          <w:tcPr>
            <w:tcW w:w="1596" w:type="dxa"/>
            <w:vAlign w:val="center"/>
          </w:tcPr>
          <w:p w14:paraId="58A268E4">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5CB07E2C">
            <w:pPr>
              <w:keepNext w:val="0"/>
              <w:keepLines w:val="0"/>
              <w:suppressLineNumbers w:val="0"/>
              <w:spacing w:before="0" w:beforeAutospacing="0" w:after="0" w:afterAutospacing="0"/>
              <w:ind w:left="0" w:right="0"/>
              <w:jc w:val="center"/>
              <w:rPr>
                <w:rFonts w:ascii="宋体" w:hAnsi="宋体" w:cs="宋体"/>
                <w:szCs w:val="21"/>
              </w:rPr>
            </w:pPr>
          </w:p>
        </w:tc>
      </w:tr>
      <w:tr w14:paraId="400B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4577DDB7">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2</w:t>
            </w:r>
          </w:p>
        </w:tc>
        <w:tc>
          <w:tcPr>
            <w:tcW w:w="5317" w:type="dxa"/>
            <w:vAlign w:val="center"/>
          </w:tcPr>
          <w:p w14:paraId="7FFBCD2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具有良好的商业信誉和健全的财务会计制度（提供2023年度经审计的财务报告，或</w:t>
            </w:r>
            <w:r>
              <w:rPr>
                <w:rFonts w:hint="eastAsia" w:ascii="宋体" w:hAnsi="宋体" w:cs="宋体"/>
                <w:bCs/>
                <w:color w:val="0000FF"/>
                <w:szCs w:val="21"/>
                <w:lang w:bidi="ar"/>
              </w:rPr>
              <w:t>开标日</w:t>
            </w:r>
            <w:r>
              <w:rPr>
                <w:rFonts w:hint="eastAsia" w:ascii="宋体" w:hAnsi="宋体" w:cs="宋体"/>
                <w:bCs/>
                <w:szCs w:val="21"/>
                <w:lang w:bidi="ar"/>
              </w:rPr>
              <w:t>前六个月内任一月份企业编制的会计报表（至少包括资产负债表和利润表）</w:t>
            </w:r>
            <w:r>
              <w:rPr>
                <w:rFonts w:hint="eastAsia" w:ascii="宋体" w:hAnsi="宋体" w:cs="宋体"/>
                <w:szCs w:val="21"/>
                <w:lang w:bidi="ar"/>
              </w:rPr>
              <w:t>，</w:t>
            </w:r>
            <w:r>
              <w:rPr>
                <w:rFonts w:hint="eastAsia" w:ascii="宋体" w:hAnsi="宋体" w:cs="宋体"/>
                <w:bCs/>
                <w:szCs w:val="21"/>
                <w:lang w:bidi="ar"/>
              </w:rPr>
              <w:t>或</w:t>
            </w:r>
            <w:r>
              <w:rPr>
                <w:rFonts w:hint="eastAsia" w:ascii="宋体" w:hAnsi="宋体" w:cs="宋体"/>
                <w:bCs/>
                <w:color w:val="0000FF"/>
                <w:szCs w:val="21"/>
                <w:lang w:bidi="ar"/>
              </w:rPr>
              <w:t>开标日前</w:t>
            </w:r>
            <w:r>
              <w:rPr>
                <w:rFonts w:hint="eastAsia" w:ascii="宋体" w:hAnsi="宋体" w:cs="宋体"/>
                <w:bCs/>
                <w:szCs w:val="21"/>
                <w:lang w:bidi="ar"/>
              </w:rPr>
              <w:t>六个月内银行出具的资信证明，</w:t>
            </w:r>
            <w:r>
              <w:rPr>
                <w:rFonts w:hint="eastAsia" w:ascii="宋体" w:hAnsi="宋体" w:cs="宋体"/>
                <w:szCs w:val="21"/>
                <w:lang w:bidi="ar"/>
              </w:rPr>
              <w:t>复印件加盖公章</w:t>
            </w:r>
            <w:r>
              <w:rPr>
                <w:rFonts w:hint="eastAsia" w:ascii="宋体" w:hAnsi="宋体" w:cs="宋体"/>
                <w:bCs/>
                <w:szCs w:val="21"/>
                <w:lang w:bidi="ar"/>
              </w:rPr>
              <w:t>）（</w:t>
            </w:r>
            <w:r>
              <w:rPr>
                <w:rFonts w:hint="eastAsia" w:ascii="宋体" w:hAnsi="宋体" w:cs="宋体"/>
                <w:bCs/>
                <w:color w:val="0000FF"/>
                <w:szCs w:val="21"/>
                <w:lang w:bidi="ar"/>
              </w:rPr>
              <w:t>投标人为参加本次政府采购活动前半年内注册的公司，无须提供</w:t>
            </w:r>
            <w:r>
              <w:rPr>
                <w:rFonts w:hint="eastAsia" w:ascii="宋体" w:hAnsi="宋体" w:cs="宋体"/>
                <w:bCs/>
                <w:szCs w:val="21"/>
                <w:lang w:bidi="ar"/>
              </w:rPr>
              <w:t>）</w:t>
            </w:r>
            <w:r>
              <w:rPr>
                <w:rFonts w:hint="eastAsia" w:ascii="宋体" w:hAnsi="宋体" w:cs="宋体"/>
                <w:szCs w:val="21"/>
                <w:lang w:bidi="ar"/>
              </w:rPr>
              <w:t>；</w:t>
            </w:r>
          </w:p>
        </w:tc>
        <w:tc>
          <w:tcPr>
            <w:tcW w:w="1596" w:type="dxa"/>
            <w:vAlign w:val="center"/>
          </w:tcPr>
          <w:p w14:paraId="4CBE8B35">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5FFB6459">
            <w:pPr>
              <w:keepNext w:val="0"/>
              <w:keepLines w:val="0"/>
              <w:suppressLineNumbers w:val="0"/>
              <w:spacing w:before="0" w:beforeAutospacing="0" w:after="0" w:afterAutospacing="0"/>
              <w:ind w:left="0" w:right="0"/>
              <w:jc w:val="center"/>
              <w:rPr>
                <w:rFonts w:ascii="宋体" w:hAnsi="宋体" w:cs="宋体"/>
                <w:szCs w:val="21"/>
              </w:rPr>
            </w:pPr>
          </w:p>
        </w:tc>
      </w:tr>
      <w:tr w14:paraId="512E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57C6F81E">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3</w:t>
            </w:r>
          </w:p>
        </w:tc>
        <w:tc>
          <w:tcPr>
            <w:tcW w:w="5317" w:type="dxa"/>
            <w:vAlign w:val="center"/>
          </w:tcPr>
          <w:p w14:paraId="351E7C19">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具有依法缴纳税收和社会保障资金的良好记录（提供</w:t>
            </w:r>
            <w:r>
              <w:rPr>
                <w:rFonts w:hint="eastAsia" w:ascii="宋体" w:hAnsi="宋体" w:cs="宋体"/>
                <w:bCs/>
                <w:color w:val="0000FF"/>
                <w:szCs w:val="21"/>
                <w:lang w:bidi="ar"/>
              </w:rPr>
              <w:t>开标日前</w:t>
            </w:r>
            <w:r>
              <w:rPr>
                <w:rFonts w:hint="eastAsia" w:ascii="宋体" w:hAnsi="宋体" w:cs="宋体"/>
                <w:bCs/>
                <w:szCs w:val="21"/>
                <w:lang w:bidi="ar"/>
              </w:rPr>
              <w:t>半年内至少一个月依法缴纳税收及缴纳社会保障资金的凭据，复印件加盖公章）</w:t>
            </w:r>
            <w:r>
              <w:rPr>
                <w:rFonts w:hint="eastAsia" w:ascii="宋体" w:hAnsi="宋体" w:cs="宋体"/>
                <w:bCs/>
                <w:color w:val="0000FF"/>
                <w:szCs w:val="21"/>
                <w:lang w:bidi="ar"/>
              </w:rPr>
              <w:t>（</w:t>
            </w:r>
            <w:r>
              <w:rPr>
                <w:rFonts w:hint="eastAsia" w:ascii="宋体" w:hAnsi="宋体" w:cs="宋体"/>
                <w:color w:val="0000FF"/>
                <w:szCs w:val="21"/>
                <w:lang w:bidi="ar"/>
              </w:rPr>
              <w:t>提供相关主管部门证明或银行代扣证明的复印件，根据国家相关政策免缴或迟缴的需提供相关证明材料</w:t>
            </w:r>
            <w:r>
              <w:rPr>
                <w:rFonts w:hint="eastAsia" w:ascii="宋体" w:hAnsi="宋体" w:cs="宋体"/>
                <w:bCs/>
                <w:color w:val="0000FF"/>
                <w:szCs w:val="21"/>
                <w:lang w:bidi="ar"/>
              </w:rPr>
              <w:t>）</w:t>
            </w:r>
            <w:r>
              <w:rPr>
                <w:rFonts w:hint="eastAsia" w:ascii="宋体" w:hAnsi="宋体" w:cs="宋体"/>
                <w:szCs w:val="21"/>
                <w:lang w:bidi="ar"/>
              </w:rPr>
              <w:t>；</w:t>
            </w:r>
          </w:p>
        </w:tc>
        <w:tc>
          <w:tcPr>
            <w:tcW w:w="1596" w:type="dxa"/>
            <w:vAlign w:val="center"/>
          </w:tcPr>
          <w:p w14:paraId="23ABF3F5">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7CE65515">
            <w:pPr>
              <w:keepNext w:val="0"/>
              <w:keepLines w:val="0"/>
              <w:suppressLineNumbers w:val="0"/>
              <w:spacing w:before="0" w:beforeAutospacing="0" w:after="0" w:afterAutospacing="0"/>
              <w:ind w:left="0" w:right="0"/>
              <w:jc w:val="center"/>
              <w:rPr>
                <w:rFonts w:ascii="宋体" w:hAnsi="宋体" w:cs="宋体"/>
                <w:szCs w:val="21"/>
              </w:rPr>
            </w:pPr>
          </w:p>
        </w:tc>
      </w:tr>
      <w:tr w14:paraId="35D2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7E67761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4</w:t>
            </w:r>
          </w:p>
        </w:tc>
        <w:tc>
          <w:tcPr>
            <w:tcW w:w="5317" w:type="dxa"/>
            <w:vAlign w:val="center"/>
          </w:tcPr>
          <w:p w14:paraId="79A88E5A">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kern w:val="0"/>
                <w:szCs w:val="21"/>
                <w:lang w:bidi="ar"/>
              </w:rPr>
              <w:t>具有履行合同所必需的设备和专业技术能力（提供书面声明原件）；</w:t>
            </w:r>
          </w:p>
        </w:tc>
        <w:tc>
          <w:tcPr>
            <w:tcW w:w="1596" w:type="dxa"/>
            <w:vAlign w:val="center"/>
          </w:tcPr>
          <w:p w14:paraId="15824EAD">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23E8EB01">
            <w:pPr>
              <w:keepNext w:val="0"/>
              <w:keepLines w:val="0"/>
              <w:suppressLineNumbers w:val="0"/>
              <w:spacing w:before="0" w:beforeAutospacing="0" w:after="0" w:afterAutospacing="0"/>
              <w:ind w:left="0" w:right="0"/>
              <w:jc w:val="center"/>
              <w:rPr>
                <w:rFonts w:ascii="宋体" w:hAnsi="宋体" w:cs="宋体"/>
                <w:szCs w:val="21"/>
              </w:rPr>
            </w:pPr>
          </w:p>
        </w:tc>
      </w:tr>
      <w:tr w14:paraId="5F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15ABF6A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5</w:t>
            </w:r>
          </w:p>
        </w:tc>
        <w:tc>
          <w:tcPr>
            <w:tcW w:w="5317" w:type="dxa"/>
            <w:vAlign w:val="center"/>
          </w:tcPr>
          <w:p w14:paraId="2BC288BC">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kern w:val="0"/>
                <w:szCs w:val="21"/>
                <w:lang w:bidi="ar"/>
              </w:rPr>
              <w:t>参加政府采购活动前三年内，在经营活动中没有重大违法记录（提供书面声明原件）；</w:t>
            </w:r>
          </w:p>
        </w:tc>
        <w:tc>
          <w:tcPr>
            <w:tcW w:w="1596" w:type="dxa"/>
            <w:vAlign w:val="center"/>
          </w:tcPr>
          <w:p w14:paraId="1E3CE682">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6FE5E466">
            <w:pPr>
              <w:keepNext w:val="0"/>
              <w:keepLines w:val="0"/>
              <w:suppressLineNumbers w:val="0"/>
              <w:spacing w:before="0" w:beforeAutospacing="0" w:after="0" w:afterAutospacing="0"/>
              <w:ind w:left="0" w:right="0"/>
              <w:jc w:val="center"/>
              <w:rPr>
                <w:rFonts w:ascii="宋体" w:hAnsi="宋体" w:cs="宋体"/>
                <w:szCs w:val="21"/>
              </w:rPr>
            </w:pPr>
          </w:p>
        </w:tc>
      </w:tr>
      <w:tr w14:paraId="53CF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shd w:val="clear" w:color="auto" w:fill="auto"/>
            <w:vAlign w:val="center"/>
          </w:tcPr>
          <w:p w14:paraId="0ECF859F">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6</w:t>
            </w:r>
          </w:p>
        </w:tc>
        <w:tc>
          <w:tcPr>
            <w:tcW w:w="5317" w:type="dxa"/>
            <w:vAlign w:val="center"/>
          </w:tcPr>
          <w:p w14:paraId="418FCC76">
            <w:pPr>
              <w:keepNext w:val="0"/>
              <w:keepLines w:val="0"/>
              <w:suppressLineNumbers w:val="0"/>
              <w:spacing w:before="0" w:beforeAutospacing="0" w:after="0" w:afterAutospacing="0"/>
              <w:ind w:left="0" w:right="0"/>
              <w:rPr>
                <w:rFonts w:ascii="宋体" w:hAnsi="宋体" w:cs="宋体"/>
                <w:kern w:val="0"/>
                <w:szCs w:val="21"/>
                <w:lang w:bidi="ar"/>
              </w:rPr>
            </w:pPr>
            <w:r>
              <w:rPr>
                <w:rFonts w:hint="eastAsia" w:ascii="宋体" w:hAnsi="宋体" w:cs="宋体"/>
                <w:kern w:val="0"/>
                <w:szCs w:val="21"/>
              </w:rPr>
              <w:t>《中小企业声明函》</w:t>
            </w:r>
          </w:p>
        </w:tc>
        <w:tc>
          <w:tcPr>
            <w:tcW w:w="1596" w:type="dxa"/>
            <w:vAlign w:val="center"/>
          </w:tcPr>
          <w:p w14:paraId="40F40261">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38BF1899">
            <w:pPr>
              <w:keepNext w:val="0"/>
              <w:keepLines w:val="0"/>
              <w:suppressLineNumbers w:val="0"/>
              <w:spacing w:before="0" w:beforeAutospacing="0" w:after="0" w:afterAutospacing="0"/>
              <w:ind w:left="0" w:right="0"/>
              <w:jc w:val="center"/>
              <w:rPr>
                <w:rFonts w:ascii="宋体" w:hAnsi="宋体" w:cs="宋体"/>
                <w:szCs w:val="21"/>
              </w:rPr>
            </w:pPr>
          </w:p>
        </w:tc>
      </w:tr>
      <w:tr w14:paraId="41DB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shd w:val="clear" w:color="auto" w:fill="auto"/>
            <w:vAlign w:val="center"/>
          </w:tcPr>
          <w:p w14:paraId="22FBA7E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7</w:t>
            </w:r>
          </w:p>
        </w:tc>
        <w:tc>
          <w:tcPr>
            <w:tcW w:w="5317" w:type="dxa"/>
            <w:vAlign w:val="center"/>
          </w:tcPr>
          <w:p w14:paraId="4A108614">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单位负责人为同一人或者存在直接控股、管理关系的不同供应商，不得参加同一合同项下的政府采购活动</w:t>
            </w:r>
          </w:p>
        </w:tc>
        <w:tc>
          <w:tcPr>
            <w:tcW w:w="1596" w:type="dxa"/>
            <w:vAlign w:val="center"/>
          </w:tcPr>
          <w:p w14:paraId="4A0EBAC6">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5FAD621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7744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shd w:val="clear" w:color="auto" w:fill="auto"/>
            <w:vAlign w:val="center"/>
          </w:tcPr>
          <w:p w14:paraId="7C74F00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8</w:t>
            </w:r>
          </w:p>
        </w:tc>
        <w:tc>
          <w:tcPr>
            <w:tcW w:w="5317" w:type="dxa"/>
            <w:vAlign w:val="center"/>
          </w:tcPr>
          <w:p w14:paraId="51518DF4">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凡为采购项目提供整体设计、规范编制或者项目管理、监理、检测等服务的供应商，不得再参加该项目的其他采购活动</w:t>
            </w:r>
          </w:p>
        </w:tc>
        <w:tc>
          <w:tcPr>
            <w:tcW w:w="1596" w:type="dxa"/>
            <w:vAlign w:val="center"/>
          </w:tcPr>
          <w:p w14:paraId="37F9A445">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1D7AE37B">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369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3E91C1F9">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9</w:t>
            </w:r>
          </w:p>
        </w:tc>
        <w:tc>
          <w:tcPr>
            <w:tcW w:w="5317" w:type="dxa"/>
            <w:vAlign w:val="center"/>
          </w:tcPr>
          <w:p w14:paraId="71B9937C">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szCs w:val="21"/>
                <w:lang w:bidi="ar"/>
              </w:rPr>
              <w:t>拒绝列入</w:t>
            </w:r>
            <w:r>
              <w:rPr>
                <w:rFonts w:hint="eastAsia" w:ascii="宋体" w:hAnsi="宋体"/>
                <w:szCs w:val="21"/>
                <w:u w:val="single"/>
                <w:lang w:bidi="ar"/>
              </w:rPr>
              <w:t>失信被执行人</w:t>
            </w:r>
            <w:r>
              <w:rPr>
                <w:rFonts w:hint="eastAsia" w:ascii="宋体" w:hAnsi="宋体"/>
                <w:szCs w:val="21"/>
                <w:lang w:bidi="ar"/>
              </w:rPr>
              <w:t>、</w:t>
            </w:r>
            <w:r>
              <w:rPr>
                <w:rFonts w:hint="eastAsia" w:ascii="宋体" w:hAnsi="宋体"/>
                <w:szCs w:val="21"/>
                <w:u w:val="single"/>
                <w:lang w:bidi="ar"/>
              </w:rPr>
              <w:t>重大税收违法失信主体</w:t>
            </w:r>
            <w:r>
              <w:rPr>
                <w:rFonts w:hint="eastAsia" w:ascii="宋体" w:hAnsi="宋体"/>
                <w:szCs w:val="21"/>
                <w:lang w:bidi="ar"/>
              </w:rPr>
              <w:t>、</w:t>
            </w:r>
            <w:r>
              <w:rPr>
                <w:rFonts w:hint="eastAsia" w:ascii="宋体" w:hAnsi="宋体"/>
                <w:szCs w:val="21"/>
                <w:u w:val="single"/>
                <w:lang w:bidi="ar"/>
              </w:rPr>
              <w:t>严重失信主体名单</w:t>
            </w:r>
            <w:r>
              <w:rPr>
                <w:rFonts w:hint="eastAsia" w:ascii="宋体" w:hAnsi="宋体"/>
                <w:szCs w:val="21"/>
                <w:lang w:bidi="ar"/>
              </w:rPr>
              <w:t>和</w:t>
            </w:r>
            <w:r>
              <w:rPr>
                <w:rFonts w:hint="eastAsia" w:ascii="宋体" w:hAnsi="宋体"/>
                <w:szCs w:val="21"/>
                <w:u w:val="single"/>
                <w:lang w:bidi="ar"/>
              </w:rPr>
              <w:t>政府采购严重违法失信行为记录名单</w:t>
            </w:r>
            <w:r>
              <w:rPr>
                <w:rFonts w:hint="eastAsia" w:ascii="宋体" w:hAnsi="宋体"/>
                <w:szCs w:val="21"/>
                <w:lang w:bidi="ar"/>
              </w:rPr>
              <w:t>中的供应商参加本项目的投标活动。代理机构在评标时通过“信用中国”网站（www.creditchina.gov.cn）查询其信用记录</w:t>
            </w:r>
            <w:r>
              <w:rPr>
                <w:rFonts w:hint="eastAsia" w:ascii="宋体" w:hAnsi="宋体"/>
                <w:color w:val="000000"/>
                <w:szCs w:val="21"/>
                <w:lang w:bidi="ar"/>
              </w:rPr>
              <w:t>。</w:t>
            </w:r>
          </w:p>
        </w:tc>
        <w:tc>
          <w:tcPr>
            <w:tcW w:w="1596" w:type="dxa"/>
            <w:vAlign w:val="center"/>
          </w:tcPr>
          <w:p w14:paraId="288F0D5A">
            <w:pPr>
              <w:keepNext w:val="0"/>
              <w:keepLines w:val="0"/>
              <w:suppressLineNumbers w:val="0"/>
              <w:spacing w:before="0" w:beforeAutospacing="0" w:after="0" w:afterAutospacing="0"/>
              <w:ind w:left="0" w:right="0"/>
              <w:jc w:val="center"/>
              <w:rPr>
                <w:rFonts w:ascii="宋体" w:hAnsi="宋体" w:cs="宋体"/>
                <w:b/>
                <w:szCs w:val="21"/>
              </w:rPr>
            </w:pPr>
          </w:p>
        </w:tc>
        <w:tc>
          <w:tcPr>
            <w:tcW w:w="1308" w:type="dxa"/>
            <w:vAlign w:val="center"/>
          </w:tcPr>
          <w:p w14:paraId="5A5F175E">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bl>
    <w:p w14:paraId="5FC24B5B">
      <w:pPr>
        <w:widowControl/>
        <w:jc w:val="left"/>
        <w:rPr>
          <w:rFonts w:ascii="宋体" w:hAnsi="宋体" w:cs="宋体"/>
          <w:szCs w:val="21"/>
        </w:rPr>
      </w:pPr>
    </w:p>
    <w:p w14:paraId="397D09C5">
      <w:pPr>
        <w:rPr>
          <w:rFonts w:ascii="宋体" w:hAnsi="宋体" w:cs="宋体"/>
          <w:b/>
          <w:sz w:val="28"/>
          <w:szCs w:val="28"/>
          <w:lang w:val="zh-CN"/>
        </w:rPr>
      </w:pPr>
      <w:r>
        <w:rPr>
          <w:rFonts w:hint="eastAsia" w:ascii="宋体" w:hAnsi="宋体" w:cs="宋体"/>
          <w:b/>
          <w:sz w:val="28"/>
          <w:szCs w:val="28"/>
          <w:lang w:val="zh-CN"/>
        </w:rPr>
        <w:br w:type="page"/>
      </w:r>
    </w:p>
    <w:p w14:paraId="49E631F2">
      <w:pPr>
        <w:widowControl/>
        <w:jc w:val="center"/>
        <w:outlineLvl w:val="1"/>
        <w:rPr>
          <w:rFonts w:ascii="宋体" w:hAnsi="宋体" w:cs="宋体"/>
          <w:sz w:val="28"/>
          <w:szCs w:val="28"/>
        </w:rPr>
      </w:pPr>
      <w:bookmarkStart w:id="158" w:name="_Toc3895"/>
      <w:bookmarkStart w:id="159" w:name="_Toc17908"/>
      <w:bookmarkStart w:id="160" w:name="_Toc6086"/>
      <w:bookmarkStart w:id="161" w:name="_Toc22471"/>
      <w:r>
        <w:rPr>
          <w:rFonts w:hint="eastAsia" w:ascii="宋体" w:hAnsi="宋体" w:cs="宋体"/>
          <w:b/>
          <w:sz w:val="28"/>
          <w:szCs w:val="28"/>
          <w:lang w:val="zh-CN"/>
        </w:rPr>
        <w:t>符合性审查响应对照表</w:t>
      </w:r>
      <w:bookmarkEnd w:id="158"/>
      <w:bookmarkEnd w:id="159"/>
      <w:bookmarkEnd w:id="160"/>
      <w:bookmarkEnd w:id="161"/>
    </w:p>
    <w:p w14:paraId="76477980">
      <w:pPr>
        <w:rPr>
          <w:rFonts w:ascii="宋体" w:hAnsi="宋体" w:cs="宋体"/>
          <w:b/>
          <w:szCs w:val="21"/>
          <w:lang w:val="zh-CN"/>
        </w:rPr>
      </w:pPr>
    </w:p>
    <w:p w14:paraId="03ED8C8F">
      <w:pPr>
        <w:rPr>
          <w:rFonts w:ascii="宋体" w:hAnsi="宋体" w:cs="宋体"/>
          <w:szCs w:val="21"/>
        </w:rPr>
      </w:pPr>
      <w:r>
        <w:rPr>
          <w:rFonts w:hint="eastAsia" w:ascii="宋体" w:hAnsi="宋体" w:cs="宋体"/>
          <w:szCs w:val="21"/>
        </w:rPr>
        <w:t>项目编号：1214-244209444LDY</w:t>
      </w:r>
    </w:p>
    <w:p w14:paraId="786F1D9E">
      <w:pPr>
        <w:rPr>
          <w:rFonts w:ascii="宋体" w:hAnsi="宋体" w:cs="宋体"/>
          <w:szCs w:val="21"/>
        </w:rPr>
      </w:pPr>
      <w:r>
        <w:rPr>
          <w:rFonts w:hint="eastAsia" w:ascii="宋体" w:hAnsi="宋体" w:cs="宋体"/>
          <w:szCs w:val="21"/>
        </w:rPr>
        <w:t>项目名称：中国电子口岸运行保障运维服务采购项目</w:t>
      </w:r>
    </w:p>
    <w:tbl>
      <w:tblPr>
        <w:tblStyle w:val="28"/>
        <w:tblW w:w="90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19"/>
        <w:gridCol w:w="1843"/>
        <w:gridCol w:w="1505"/>
      </w:tblGrid>
      <w:tr w14:paraId="0EA3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6F1E12F3">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序号</w:t>
            </w:r>
          </w:p>
        </w:tc>
        <w:tc>
          <w:tcPr>
            <w:tcW w:w="4819" w:type="dxa"/>
            <w:vAlign w:val="center"/>
          </w:tcPr>
          <w:p w14:paraId="2E09CFF8">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符合性审查内容</w:t>
            </w:r>
          </w:p>
        </w:tc>
        <w:tc>
          <w:tcPr>
            <w:tcW w:w="1843" w:type="dxa"/>
            <w:vAlign w:val="center"/>
          </w:tcPr>
          <w:p w14:paraId="1109EC2C">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是否响应</w:t>
            </w:r>
          </w:p>
          <w:p w14:paraId="6BF2A37F">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（填是或者否）</w:t>
            </w:r>
          </w:p>
        </w:tc>
        <w:tc>
          <w:tcPr>
            <w:tcW w:w="1505" w:type="dxa"/>
            <w:vAlign w:val="center"/>
          </w:tcPr>
          <w:p w14:paraId="785D1570">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投标文件中</w:t>
            </w:r>
          </w:p>
          <w:p w14:paraId="4CEE29E8">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szCs w:val="21"/>
              </w:rPr>
              <w:t>的页码位置</w:t>
            </w:r>
          </w:p>
        </w:tc>
      </w:tr>
      <w:tr w14:paraId="1D91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7F01448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w:t>
            </w:r>
          </w:p>
        </w:tc>
        <w:tc>
          <w:tcPr>
            <w:tcW w:w="4819" w:type="dxa"/>
            <w:vAlign w:val="center"/>
          </w:tcPr>
          <w:p w14:paraId="16AB31CD">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投标人名称：与营业执照、资质证书一致</w:t>
            </w:r>
          </w:p>
        </w:tc>
        <w:tc>
          <w:tcPr>
            <w:tcW w:w="1843" w:type="dxa"/>
            <w:vAlign w:val="center"/>
          </w:tcPr>
          <w:p w14:paraId="276C693B">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21937798">
            <w:pPr>
              <w:keepNext w:val="0"/>
              <w:keepLines w:val="0"/>
              <w:suppressLineNumbers w:val="0"/>
              <w:spacing w:before="0" w:beforeAutospacing="0" w:after="0" w:afterAutospacing="0"/>
              <w:ind w:left="0" w:right="0"/>
              <w:jc w:val="center"/>
              <w:rPr>
                <w:rFonts w:ascii="宋体" w:hAnsi="宋体" w:cs="宋体"/>
                <w:szCs w:val="21"/>
              </w:rPr>
            </w:pPr>
          </w:p>
        </w:tc>
      </w:tr>
      <w:tr w14:paraId="59A7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641E235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2</w:t>
            </w:r>
          </w:p>
        </w:tc>
        <w:tc>
          <w:tcPr>
            <w:tcW w:w="4819" w:type="dxa"/>
            <w:vAlign w:val="center"/>
          </w:tcPr>
          <w:p w14:paraId="480D1292">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签字、盖章：有法定代表人或其委托代理人签字并加盖单位章。由法定代表人签字的，应附法定代表人身份证明；由代理人签字的，应附授权委托书，身份证明。授权委托书应符合第六部分“投标文件组成”的相关规定</w:t>
            </w:r>
          </w:p>
        </w:tc>
        <w:tc>
          <w:tcPr>
            <w:tcW w:w="1843" w:type="dxa"/>
            <w:vAlign w:val="center"/>
          </w:tcPr>
          <w:p w14:paraId="7486D1B5">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652DF192">
            <w:pPr>
              <w:keepNext w:val="0"/>
              <w:keepLines w:val="0"/>
              <w:suppressLineNumbers w:val="0"/>
              <w:spacing w:before="0" w:beforeAutospacing="0" w:after="0" w:afterAutospacing="0"/>
              <w:ind w:left="0" w:right="0"/>
              <w:jc w:val="center"/>
              <w:rPr>
                <w:rFonts w:ascii="宋体" w:hAnsi="宋体" w:cs="宋体"/>
                <w:szCs w:val="21"/>
              </w:rPr>
            </w:pPr>
          </w:p>
        </w:tc>
      </w:tr>
      <w:tr w14:paraId="74E9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087EA03B">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3</w:t>
            </w:r>
          </w:p>
        </w:tc>
        <w:tc>
          <w:tcPr>
            <w:tcW w:w="4819" w:type="dxa"/>
            <w:vAlign w:val="center"/>
          </w:tcPr>
          <w:p w14:paraId="41CE230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实质性条款：</w:t>
            </w:r>
            <w:r>
              <w:rPr>
                <w:rFonts w:hint="eastAsia" w:ascii="宋体" w:hAnsi="宋体"/>
                <w:szCs w:val="21"/>
                <w:lang w:bidi="ar"/>
              </w:rPr>
              <w:t>招标文件《第三部分：采购需求》中的招标要求不接受任何一项的负偏离或者不满足。</w:t>
            </w:r>
          </w:p>
        </w:tc>
        <w:tc>
          <w:tcPr>
            <w:tcW w:w="1843" w:type="dxa"/>
            <w:vAlign w:val="center"/>
          </w:tcPr>
          <w:p w14:paraId="06DFBA97">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721B4717">
            <w:pPr>
              <w:keepNext w:val="0"/>
              <w:keepLines w:val="0"/>
              <w:suppressLineNumbers w:val="0"/>
              <w:spacing w:before="0" w:beforeAutospacing="0" w:after="0" w:afterAutospacing="0"/>
              <w:ind w:left="0" w:right="0"/>
              <w:jc w:val="center"/>
              <w:rPr>
                <w:rFonts w:ascii="宋体" w:hAnsi="宋体" w:cs="宋体"/>
                <w:szCs w:val="21"/>
              </w:rPr>
            </w:pPr>
          </w:p>
        </w:tc>
      </w:tr>
      <w:tr w14:paraId="7CBC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0A701F2A">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4</w:t>
            </w:r>
          </w:p>
        </w:tc>
        <w:tc>
          <w:tcPr>
            <w:tcW w:w="4819" w:type="dxa"/>
            <w:vAlign w:val="center"/>
          </w:tcPr>
          <w:p w14:paraId="4A6A8562">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投标文件格式：符合第六部分“投标文件组成”的规定</w:t>
            </w:r>
          </w:p>
        </w:tc>
        <w:tc>
          <w:tcPr>
            <w:tcW w:w="1843" w:type="dxa"/>
            <w:vAlign w:val="center"/>
          </w:tcPr>
          <w:p w14:paraId="341BEC90">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5AB5A831">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62F6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241C6E51">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5</w:t>
            </w:r>
          </w:p>
        </w:tc>
        <w:tc>
          <w:tcPr>
            <w:tcW w:w="4819" w:type="dxa"/>
            <w:vAlign w:val="center"/>
          </w:tcPr>
          <w:p w14:paraId="1D1BEEE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投标文件份数：正本1份，副本4份，电子版1份</w:t>
            </w:r>
          </w:p>
        </w:tc>
        <w:tc>
          <w:tcPr>
            <w:tcW w:w="1843" w:type="dxa"/>
            <w:vAlign w:val="center"/>
          </w:tcPr>
          <w:p w14:paraId="539291F3">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16F9CAA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096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77FEE2E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7</w:t>
            </w:r>
          </w:p>
        </w:tc>
        <w:tc>
          <w:tcPr>
            <w:tcW w:w="4819" w:type="dxa"/>
            <w:vAlign w:val="center"/>
          </w:tcPr>
          <w:p w14:paraId="0A5A0CD7">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采购预算：</w:t>
            </w:r>
            <w:r>
              <w:rPr>
                <w:rFonts w:hint="eastAsia" w:ascii="宋体" w:hAnsi="宋体" w:cs="宋体"/>
                <w:b/>
                <w:bCs/>
                <w:szCs w:val="21"/>
              </w:rPr>
              <w:t>470万元人民币，投标人的投标报价不得超过采购预算</w:t>
            </w:r>
          </w:p>
        </w:tc>
        <w:tc>
          <w:tcPr>
            <w:tcW w:w="1843" w:type="dxa"/>
            <w:vAlign w:val="center"/>
          </w:tcPr>
          <w:p w14:paraId="1DDDC4BF">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67C56A20">
            <w:pPr>
              <w:keepNext w:val="0"/>
              <w:keepLines w:val="0"/>
              <w:suppressLineNumbers w:val="0"/>
              <w:spacing w:before="0" w:beforeAutospacing="0" w:after="0" w:afterAutospacing="0"/>
              <w:ind w:left="0" w:right="0"/>
              <w:jc w:val="center"/>
              <w:rPr>
                <w:rFonts w:ascii="宋体" w:hAnsi="宋体" w:cs="宋体"/>
                <w:szCs w:val="21"/>
              </w:rPr>
            </w:pPr>
          </w:p>
        </w:tc>
      </w:tr>
      <w:tr w14:paraId="737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5F142EF4">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8</w:t>
            </w:r>
          </w:p>
        </w:tc>
        <w:tc>
          <w:tcPr>
            <w:tcW w:w="4819" w:type="dxa"/>
            <w:vAlign w:val="center"/>
          </w:tcPr>
          <w:p w14:paraId="69D5CF60">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本项目不接受联合体投标</w:t>
            </w:r>
          </w:p>
        </w:tc>
        <w:tc>
          <w:tcPr>
            <w:tcW w:w="1843" w:type="dxa"/>
            <w:vAlign w:val="center"/>
          </w:tcPr>
          <w:p w14:paraId="450BA2F4">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48948B85">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0A77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431D3F42">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9</w:t>
            </w:r>
          </w:p>
        </w:tc>
        <w:tc>
          <w:tcPr>
            <w:tcW w:w="4819" w:type="dxa"/>
            <w:vAlign w:val="center"/>
          </w:tcPr>
          <w:p w14:paraId="15529ADD">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本项目不接受备选投标方案</w:t>
            </w:r>
          </w:p>
        </w:tc>
        <w:tc>
          <w:tcPr>
            <w:tcW w:w="1843" w:type="dxa"/>
            <w:vAlign w:val="center"/>
          </w:tcPr>
          <w:p w14:paraId="647EA88C">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70E1A791">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5A1E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6F14A51A">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10</w:t>
            </w:r>
          </w:p>
        </w:tc>
        <w:tc>
          <w:tcPr>
            <w:tcW w:w="4819" w:type="dxa"/>
            <w:vAlign w:val="center"/>
          </w:tcPr>
          <w:p w14:paraId="4D1CFA06">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投标文件没有采购人不能接受的附加条件</w:t>
            </w:r>
          </w:p>
        </w:tc>
        <w:tc>
          <w:tcPr>
            <w:tcW w:w="1843" w:type="dxa"/>
            <w:vAlign w:val="center"/>
          </w:tcPr>
          <w:p w14:paraId="008C9741">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67CE2C13">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249C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6665CFC7">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11</w:t>
            </w:r>
          </w:p>
        </w:tc>
        <w:tc>
          <w:tcPr>
            <w:tcW w:w="4819" w:type="dxa"/>
            <w:vAlign w:val="center"/>
          </w:tcPr>
          <w:p w14:paraId="6F90CA1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串通投标：投标文件没有招标文件《第二部分：投标人须知》3.2条串通投标的情形</w:t>
            </w:r>
          </w:p>
        </w:tc>
        <w:tc>
          <w:tcPr>
            <w:tcW w:w="1843" w:type="dxa"/>
            <w:vAlign w:val="center"/>
          </w:tcPr>
          <w:p w14:paraId="05AD0F9E">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47453160">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r w14:paraId="1183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51" w:type="dxa"/>
            <w:vAlign w:val="center"/>
          </w:tcPr>
          <w:p w14:paraId="7418852E">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12</w:t>
            </w:r>
          </w:p>
        </w:tc>
        <w:tc>
          <w:tcPr>
            <w:tcW w:w="4819" w:type="dxa"/>
            <w:vAlign w:val="center"/>
          </w:tcPr>
          <w:p w14:paraId="024F935F">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szCs w:val="21"/>
              </w:rPr>
              <w:t>投标文件没有法律、法规和招标文件规定的其他无效情形</w:t>
            </w:r>
          </w:p>
        </w:tc>
        <w:tc>
          <w:tcPr>
            <w:tcW w:w="1843" w:type="dxa"/>
            <w:vAlign w:val="center"/>
          </w:tcPr>
          <w:p w14:paraId="56C4FC40">
            <w:pPr>
              <w:keepNext w:val="0"/>
              <w:keepLines w:val="0"/>
              <w:suppressLineNumbers w:val="0"/>
              <w:spacing w:before="0" w:beforeAutospacing="0" w:after="0" w:afterAutospacing="0"/>
              <w:ind w:left="0" w:right="0"/>
              <w:jc w:val="center"/>
              <w:rPr>
                <w:rFonts w:ascii="宋体" w:hAnsi="宋体" w:cs="宋体"/>
                <w:szCs w:val="21"/>
              </w:rPr>
            </w:pPr>
          </w:p>
        </w:tc>
        <w:tc>
          <w:tcPr>
            <w:tcW w:w="1505" w:type="dxa"/>
            <w:vAlign w:val="center"/>
          </w:tcPr>
          <w:p w14:paraId="00E4AE88">
            <w:pPr>
              <w:keepNext w:val="0"/>
              <w:keepLines w:val="0"/>
              <w:suppressLineNumbers w:val="0"/>
              <w:spacing w:before="0" w:beforeAutospacing="0" w:after="0" w:afterAutospacing="0"/>
              <w:ind w:left="0" w:right="0"/>
              <w:jc w:val="center"/>
              <w:rPr>
                <w:rFonts w:ascii="宋体" w:hAnsi="宋体" w:cs="宋体"/>
                <w:szCs w:val="21"/>
              </w:rPr>
            </w:pPr>
            <w:r>
              <w:rPr>
                <w:rFonts w:hint="eastAsia" w:ascii="宋体" w:hAnsi="宋体" w:cs="宋体"/>
                <w:szCs w:val="21"/>
              </w:rPr>
              <w:t>/</w:t>
            </w:r>
          </w:p>
        </w:tc>
      </w:tr>
    </w:tbl>
    <w:p w14:paraId="1BB9BA0B">
      <w:pPr>
        <w:jc w:val="left"/>
        <w:rPr>
          <w:rFonts w:ascii="宋体" w:hAnsi="宋体" w:cs="宋体"/>
          <w:szCs w:val="21"/>
        </w:rPr>
      </w:pPr>
    </w:p>
    <w:p w14:paraId="047EB7A1">
      <w:pPr>
        <w:jc w:val="left"/>
        <w:rPr>
          <w:rFonts w:ascii="宋体" w:hAnsi="宋体" w:cs="宋体"/>
          <w:szCs w:val="21"/>
        </w:rPr>
      </w:pPr>
    </w:p>
    <w:p w14:paraId="23A7B586">
      <w:pPr>
        <w:widowControl/>
        <w:jc w:val="left"/>
        <w:rPr>
          <w:rFonts w:ascii="宋体" w:hAnsi="宋体" w:cs="宋体"/>
          <w:szCs w:val="21"/>
        </w:rPr>
      </w:pPr>
      <w:r>
        <w:rPr>
          <w:rFonts w:hint="eastAsia" w:ascii="宋体" w:hAnsi="宋体" w:cs="宋体"/>
          <w:szCs w:val="21"/>
        </w:rPr>
        <w:br w:type="page"/>
      </w:r>
    </w:p>
    <w:p w14:paraId="7CD2A335">
      <w:pPr>
        <w:jc w:val="center"/>
        <w:outlineLvl w:val="1"/>
        <w:rPr>
          <w:rFonts w:ascii="宋体" w:hAnsi="宋体" w:cs="宋体"/>
          <w:b/>
          <w:sz w:val="30"/>
          <w:szCs w:val="30"/>
        </w:rPr>
      </w:pPr>
      <w:bookmarkStart w:id="162" w:name="_Toc32151"/>
      <w:bookmarkStart w:id="163" w:name="_Toc23447"/>
      <w:bookmarkStart w:id="164" w:name="_Toc9872"/>
      <w:bookmarkStart w:id="165" w:name="_Toc16062"/>
      <w:r>
        <w:rPr>
          <w:rFonts w:hint="eastAsia" w:ascii="宋体" w:hAnsi="宋体" w:cs="宋体"/>
          <w:b/>
          <w:sz w:val="30"/>
          <w:szCs w:val="30"/>
        </w:rPr>
        <w:t>评分索引表</w:t>
      </w:r>
      <w:bookmarkEnd w:id="162"/>
      <w:bookmarkEnd w:id="163"/>
      <w:bookmarkEnd w:id="164"/>
      <w:bookmarkEnd w:id="165"/>
    </w:p>
    <w:p w14:paraId="0BFEA641">
      <w:pPr>
        <w:rPr>
          <w:rFonts w:ascii="宋体" w:hAnsi="宋体" w:cs="宋体"/>
          <w:szCs w:val="21"/>
        </w:rPr>
      </w:pPr>
    </w:p>
    <w:p w14:paraId="215BE186">
      <w:pPr>
        <w:rPr>
          <w:rFonts w:ascii="宋体" w:hAnsi="宋体" w:cs="宋体"/>
          <w:color w:val="0000FF"/>
          <w:szCs w:val="21"/>
        </w:rPr>
      </w:pPr>
      <w:r>
        <w:rPr>
          <w:rFonts w:hint="eastAsia" w:ascii="宋体" w:hAnsi="宋体" w:cs="宋体"/>
          <w:color w:val="0000FF"/>
          <w:szCs w:val="21"/>
        </w:rPr>
        <w:t>项目编号：1214-244209444LDY</w:t>
      </w:r>
    </w:p>
    <w:p w14:paraId="11DA08F7">
      <w:pPr>
        <w:rPr>
          <w:rFonts w:ascii="宋体" w:hAnsi="宋体" w:cs="宋体"/>
          <w:szCs w:val="21"/>
        </w:rPr>
      </w:pPr>
      <w:r>
        <w:rPr>
          <w:rFonts w:hint="eastAsia" w:ascii="宋体" w:hAnsi="宋体" w:cs="宋体"/>
          <w:szCs w:val="21"/>
        </w:rPr>
        <w:t>项目名称：中国电子口岸运行保障运维服务采购项目</w:t>
      </w:r>
    </w:p>
    <w:tbl>
      <w:tblPr>
        <w:tblStyle w:val="2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8"/>
        <w:gridCol w:w="1843"/>
      </w:tblGrid>
      <w:tr w14:paraId="3342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015288C6">
            <w:pPr>
              <w:keepNext w:val="0"/>
              <w:keepLines w:val="0"/>
              <w:suppressLineNumbers w:val="0"/>
              <w:shd w:val="clear" w:color="auto" w:fill="FFFFFF"/>
              <w:spacing w:before="0" w:beforeAutospacing="0" w:after="0" w:afterAutospacing="0" w:line="265" w:lineRule="atLeast"/>
              <w:ind w:left="0" w:right="0"/>
              <w:jc w:val="center"/>
              <w:rPr>
                <w:rFonts w:ascii="宋体" w:hAnsi="宋体" w:cs="宋体"/>
                <w:b/>
                <w:bCs/>
                <w:szCs w:val="21"/>
              </w:rPr>
            </w:pPr>
            <w:r>
              <w:rPr>
                <w:rFonts w:hint="eastAsia" w:ascii="宋体" w:hAnsi="宋体" w:cs="宋体"/>
                <w:b/>
                <w:szCs w:val="21"/>
              </w:rPr>
              <w:t>综合评审因素佐证材料</w:t>
            </w:r>
          </w:p>
        </w:tc>
        <w:tc>
          <w:tcPr>
            <w:tcW w:w="1843" w:type="dxa"/>
            <w:vAlign w:val="center"/>
          </w:tcPr>
          <w:p w14:paraId="11E5F9CB">
            <w:pPr>
              <w:keepNext w:val="0"/>
              <w:keepLines w:val="0"/>
              <w:suppressLineNumbers w:val="0"/>
              <w:spacing w:before="0" w:beforeAutospacing="0" w:after="0" w:afterAutospacing="0"/>
              <w:ind w:left="0" w:right="0"/>
              <w:jc w:val="center"/>
              <w:rPr>
                <w:rFonts w:ascii="宋体" w:hAnsi="宋体" w:cs="宋体"/>
                <w:b/>
                <w:kern w:val="0"/>
                <w:szCs w:val="21"/>
                <w:lang w:bidi="en-US"/>
              </w:rPr>
            </w:pPr>
            <w:r>
              <w:rPr>
                <w:rFonts w:hint="eastAsia" w:ascii="宋体" w:hAnsi="宋体" w:cs="宋体"/>
                <w:b/>
                <w:kern w:val="0"/>
                <w:szCs w:val="21"/>
                <w:lang w:bidi="en-US"/>
              </w:rPr>
              <w:t>投标文件中</w:t>
            </w:r>
          </w:p>
          <w:p w14:paraId="6675592A">
            <w:pPr>
              <w:keepNext w:val="0"/>
              <w:keepLines w:val="0"/>
              <w:suppressLineNumbers w:val="0"/>
              <w:spacing w:before="0" w:beforeAutospacing="0" w:after="0" w:afterAutospacing="0"/>
              <w:ind w:left="0" w:right="0"/>
              <w:jc w:val="center"/>
              <w:rPr>
                <w:rFonts w:ascii="宋体" w:hAnsi="宋体" w:cs="宋体"/>
                <w:b/>
                <w:szCs w:val="21"/>
              </w:rPr>
            </w:pPr>
            <w:r>
              <w:rPr>
                <w:rFonts w:hint="eastAsia" w:ascii="宋体" w:hAnsi="宋体" w:cs="宋体"/>
                <w:b/>
                <w:kern w:val="0"/>
                <w:szCs w:val="21"/>
                <w:lang w:bidi="en-US"/>
              </w:rPr>
              <w:t>的页码位置</w:t>
            </w:r>
          </w:p>
        </w:tc>
      </w:tr>
      <w:tr w14:paraId="1055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56800650">
            <w:pPr>
              <w:keepNext w:val="0"/>
              <w:keepLines w:val="0"/>
              <w:suppressLineNumbers w:val="0"/>
              <w:shd w:val="clear" w:color="auto" w:fill="FFFFFF"/>
              <w:spacing w:before="0" w:beforeAutospacing="0" w:after="0" w:afterAutospacing="0" w:line="265" w:lineRule="atLeast"/>
              <w:ind w:left="0" w:right="0"/>
              <w:rPr>
                <w:rFonts w:ascii="宋体" w:hAnsi="宋体" w:cs="宋体"/>
                <w:szCs w:val="21"/>
              </w:rPr>
            </w:pPr>
            <w:r>
              <w:rPr>
                <w:rFonts w:hint="eastAsia" w:ascii="宋体" w:hAnsi="宋体" w:cs="宋体"/>
                <w:szCs w:val="21"/>
              </w:rPr>
              <w:t>投标报价</w:t>
            </w:r>
          </w:p>
        </w:tc>
        <w:tc>
          <w:tcPr>
            <w:tcW w:w="1843" w:type="dxa"/>
            <w:vAlign w:val="center"/>
          </w:tcPr>
          <w:p w14:paraId="41E3AAFF">
            <w:pPr>
              <w:keepNext w:val="0"/>
              <w:keepLines w:val="0"/>
              <w:suppressLineNumbers w:val="0"/>
              <w:spacing w:before="0" w:beforeAutospacing="0" w:after="0" w:afterAutospacing="0"/>
              <w:ind w:left="0" w:right="0"/>
              <w:jc w:val="center"/>
              <w:rPr>
                <w:rFonts w:ascii="宋体" w:hAnsi="宋体" w:cs="宋体"/>
                <w:szCs w:val="21"/>
              </w:rPr>
            </w:pPr>
          </w:p>
        </w:tc>
      </w:tr>
      <w:tr w14:paraId="3787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4C54547D">
            <w:pPr>
              <w:keepNext w:val="0"/>
              <w:keepLines w:val="0"/>
              <w:suppressLineNumbers w:val="0"/>
              <w:shd w:val="clear" w:color="auto" w:fill="FFFFFF"/>
              <w:spacing w:before="0" w:beforeAutospacing="0" w:after="0" w:afterAutospacing="0" w:line="265" w:lineRule="atLeast"/>
              <w:ind w:left="0" w:right="0"/>
              <w:rPr>
                <w:rFonts w:ascii="宋体" w:hAnsi="宋体" w:cs="宋体"/>
                <w:szCs w:val="21"/>
              </w:rPr>
            </w:pPr>
            <w:r>
              <w:rPr>
                <w:rFonts w:hint="eastAsia" w:ascii="宋体" w:hAnsi="宋体" w:cs="宋体"/>
                <w:szCs w:val="21"/>
                <w:lang w:val="en-US" w:eastAsia="zh-CN"/>
              </w:rPr>
              <w:t>履约能力</w:t>
            </w:r>
          </w:p>
        </w:tc>
        <w:tc>
          <w:tcPr>
            <w:tcW w:w="1843" w:type="dxa"/>
            <w:vAlign w:val="center"/>
          </w:tcPr>
          <w:p w14:paraId="1E29DE0A">
            <w:pPr>
              <w:keepNext w:val="0"/>
              <w:keepLines w:val="0"/>
              <w:suppressLineNumbers w:val="0"/>
              <w:spacing w:before="0" w:beforeAutospacing="0" w:after="0" w:afterAutospacing="0"/>
              <w:ind w:left="0" w:right="0"/>
              <w:jc w:val="center"/>
              <w:rPr>
                <w:rFonts w:ascii="宋体" w:hAnsi="宋体" w:cs="宋体"/>
                <w:szCs w:val="21"/>
              </w:rPr>
            </w:pPr>
          </w:p>
        </w:tc>
      </w:tr>
      <w:tr w14:paraId="0966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330FC389">
            <w:pPr>
              <w:keepNext w:val="0"/>
              <w:keepLines w:val="0"/>
              <w:suppressLineNumbers w:val="0"/>
              <w:shd w:val="clear" w:color="auto" w:fill="FFFFFF"/>
              <w:spacing w:before="0" w:beforeAutospacing="0" w:after="0" w:afterAutospacing="0" w:line="265" w:lineRule="atLeast"/>
              <w:ind w:left="0" w:right="0"/>
              <w:rPr>
                <w:rFonts w:ascii="宋体" w:hAnsi="宋体" w:cs="宋体"/>
                <w:szCs w:val="21"/>
              </w:rPr>
            </w:pPr>
            <w:r>
              <w:rPr>
                <w:rFonts w:hint="eastAsia" w:ascii="宋体" w:hAnsi="宋体" w:cs="宋体"/>
                <w:szCs w:val="21"/>
                <w:lang w:val="en-US" w:eastAsia="zh-CN"/>
              </w:rPr>
              <w:t>业绩</w:t>
            </w:r>
          </w:p>
        </w:tc>
        <w:tc>
          <w:tcPr>
            <w:tcW w:w="1843" w:type="dxa"/>
            <w:vAlign w:val="center"/>
          </w:tcPr>
          <w:p w14:paraId="7F252639">
            <w:pPr>
              <w:keepNext w:val="0"/>
              <w:keepLines w:val="0"/>
              <w:suppressLineNumbers w:val="0"/>
              <w:spacing w:before="0" w:beforeAutospacing="0" w:after="0" w:afterAutospacing="0"/>
              <w:ind w:left="0" w:right="0"/>
              <w:jc w:val="center"/>
              <w:rPr>
                <w:rFonts w:ascii="宋体" w:hAnsi="宋体" w:cs="宋体"/>
                <w:szCs w:val="21"/>
              </w:rPr>
            </w:pPr>
          </w:p>
        </w:tc>
      </w:tr>
      <w:tr w14:paraId="2F5A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5CAA7AE4">
            <w:pPr>
              <w:keepNext w:val="0"/>
              <w:keepLines w:val="0"/>
              <w:suppressLineNumbers w:val="0"/>
              <w:shd w:val="clear" w:color="auto" w:fill="FFFFFF"/>
              <w:spacing w:before="0" w:beforeAutospacing="0" w:after="0" w:afterAutospacing="0" w:line="265" w:lineRule="atLeast"/>
              <w:ind w:left="0" w:right="0"/>
              <w:rPr>
                <w:rFonts w:ascii="宋体" w:hAnsi="宋体" w:cs="宋体"/>
                <w:szCs w:val="21"/>
              </w:rPr>
            </w:pPr>
            <w:r>
              <w:rPr>
                <w:rFonts w:hint="eastAsia" w:ascii="宋体" w:hAnsi="宋体" w:cs="宋体"/>
                <w:szCs w:val="21"/>
                <w:lang w:val="en-US" w:eastAsia="zh-CN"/>
              </w:rPr>
              <w:t>系统演示</w:t>
            </w:r>
          </w:p>
        </w:tc>
        <w:tc>
          <w:tcPr>
            <w:tcW w:w="1843" w:type="dxa"/>
            <w:vAlign w:val="center"/>
          </w:tcPr>
          <w:p w14:paraId="3665ADEF">
            <w:pPr>
              <w:keepNext w:val="0"/>
              <w:keepLines w:val="0"/>
              <w:suppressLineNumbers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w:t>
            </w:r>
          </w:p>
        </w:tc>
      </w:tr>
      <w:tr w14:paraId="08F2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8" w:type="dxa"/>
            <w:vAlign w:val="center"/>
          </w:tcPr>
          <w:p w14:paraId="5148D3AE">
            <w:pPr>
              <w:keepNext w:val="0"/>
              <w:keepLines w:val="0"/>
              <w:suppressLineNumbers w:val="0"/>
              <w:shd w:val="clear" w:color="auto" w:fill="FFFFFF"/>
              <w:spacing w:before="0" w:beforeAutospacing="0" w:after="0" w:afterAutospacing="0" w:line="265" w:lineRule="atLeast"/>
              <w:ind w:left="0" w:right="0"/>
              <w:rPr>
                <w:rFonts w:ascii="宋体" w:hAnsi="宋体" w:cs="宋体"/>
                <w:szCs w:val="21"/>
              </w:rPr>
            </w:pPr>
            <w:r>
              <w:rPr>
                <w:rFonts w:hint="eastAsia" w:ascii="宋体" w:hAnsi="宋体" w:cs="宋体"/>
                <w:szCs w:val="21"/>
                <w:lang w:val="en-US" w:eastAsia="zh-CN"/>
              </w:rPr>
              <w:t>服务方案</w:t>
            </w:r>
          </w:p>
        </w:tc>
        <w:tc>
          <w:tcPr>
            <w:tcW w:w="1843" w:type="dxa"/>
            <w:vAlign w:val="center"/>
          </w:tcPr>
          <w:p w14:paraId="55CA13D9">
            <w:pPr>
              <w:keepNext w:val="0"/>
              <w:keepLines w:val="0"/>
              <w:suppressLineNumbers w:val="0"/>
              <w:spacing w:before="0" w:beforeAutospacing="0" w:after="0" w:afterAutospacing="0"/>
              <w:ind w:left="0" w:right="0"/>
              <w:jc w:val="center"/>
              <w:rPr>
                <w:rFonts w:ascii="宋体" w:hAnsi="宋体" w:cs="宋体"/>
                <w:szCs w:val="21"/>
              </w:rPr>
            </w:pPr>
          </w:p>
        </w:tc>
      </w:tr>
    </w:tbl>
    <w:p w14:paraId="5AB6BCB9">
      <w:pPr>
        <w:jc w:val="left"/>
        <w:rPr>
          <w:rFonts w:ascii="宋体" w:hAnsi="宋体" w:cs="宋体"/>
          <w:szCs w:val="21"/>
        </w:rPr>
      </w:pPr>
    </w:p>
    <w:p w14:paraId="7E4DFBE8">
      <w:pPr>
        <w:jc w:val="left"/>
        <w:rPr>
          <w:rFonts w:ascii="宋体" w:hAnsi="宋体" w:cs="宋体"/>
          <w:szCs w:val="21"/>
        </w:rPr>
      </w:pPr>
    </w:p>
    <w:p w14:paraId="7E49C62B">
      <w:pPr>
        <w:widowControl/>
        <w:jc w:val="left"/>
        <w:rPr>
          <w:rFonts w:ascii="宋体" w:hAnsi="宋体" w:cs="宋体"/>
          <w:szCs w:val="21"/>
        </w:rPr>
      </w:pPr>
      <w:r>
        <w:rPr>
          <w:rFonts w:hint="eastAsia" w:ascii="宋体" w:hAnsi="宋体" w:cs="宋体"/>
          <w:szCs w:val="21"/>
        </w:rPr>
        <w:br w:type="page"/>
      </w:r>
    </w:p>
    <w:p w14:paraId="6BC1D1E0">
      <w:pPr>
        <w:jc w:val="center"/>
        <w:outlineLvl w:val="1"/>
        <w:rPr>
          <w:rFonts w:ascii="宋体" w:hAnsi="宋体" w:cs="宋体"/>
          <w:b/>
          <w:sz w:val="28"/>
          <w:szCs w:val="28"/>
          <w:lang w:val="zh-CN"/>
        </w:rPr>
      </w:pPr>
      <w:bookmarkStart w:id="166" w:name="_Toc20274"/>
      <w:bookmarkStart w:id="167" w:name="_Toc12177"/>
      <w:bookmarkStart w:id="168" w:name="_Toc12927"/>
      <w:bookmarkStart w:id="169" w:name="_Toc22725"/>
      <w:r>
        <w:rPr>
          <w:rFonts w:hint="eastAsia" w:ascii="宋体" w:hAnsi="宋体" w:cs="宋体"/>
          <w:b/>
          <w:sz w:val="28"/>
          <w:szCs w:val="28"/>
          <w:lang w:val="zh-CN"/>
        </w:rPr>
        <w:t>目  录</w:t>
      </w:r>
      <w:bookmarkEnd w:id="166"/>
      <w:bookmarkEnd w:id="167"/>
      <w:bookmarkEnd w:id="168"/>
      <w:bookmarkEnd w:id="169"/>
    </w:p>
    <w:p w14:paraId="362E1828">
      <w:pPr>
        <w:jc w:val="left"/>
        <w:rPr>
          <w:rFonts w:ascii="宋体" w:hAnsi="宋体" w:cs="宋体"/>
          <w:szCs w:val="21"/>
          <w:lang w:val="zh-CN"/>
        </w:rPr>
      </w:pPr>
    </w:p>
    <w:p w14:paraId="751F27C3">
      <w:pPr>
        <w:ind w:firstLine="315" w:firstLineChars="150"/>
        <w:rPr>
          <w:rFonts w:ascii="宋体" w:hAnsi="宋体" w:cs="宋体"/>
          <w:kern w:val="0"/>
          <w:szCs w:val="21"/>
        </w:rPr>
      </w:pPr>
      <w:r>
        <w:rPr>
          <w:rFonts w:hint="eastAsia" w:ascii="宋体" w:hAnsi="宋体" w:cs="宋体"/>
          <w:szCs w:val="21"/>
        </w:rPr>
        <w:t>格式一、投标函</w:t>
      </w:r>
      <w:r>
        <w:rPr>
          <w:rFonts w:hint="eastAsia" w:ascii="宋体" w:hAnsi="宋体" w:cs="宋体"/>
          <w:kern w:val="0"/>
          <w:szCs w:val="21"/>
        </w:rPr>
        <w:t>…………………………………………………………（页码）</w:t>
      </w:r>
    </w:p>
    <w:p w14:paraId="5965118D">
      <w:pPr>
        <w:ind w:firstLine="315" w:firstLineChars="150"/>
        <w:rPr>
          <w:rFonts w:ascii="宋体" w:hAnsi="宋体" w:cs="宋体"/>
          <w:kern w:val="0"/>
          <w:szCs w:val="21"/>
        </w:rPr>
      </w:pPr>
      <w:r>
        <w:rPr>
          <w:rFonts w:hint="eastAsia" w:ascii="宋体" w:hAnsi="宋体" w:cs="宋体"/>
        </w:rPr>
        <w:t>格式二、授权委托书</w:t>
      </w:r>
      <w:r>
        <w:rPr>
          <w:rFonts w:hint="eastAsia" w:ascii="宋体" w:hAnsi="宋体" w:cs="宋体"/>
          <w:kern w:val="0"/>
          <w:szCs w:val="21"/>
        </w:rPr>
        <w:t>……………………………………………………（页码）</w:t>
      </w:r>
    </w:p>
    <w:p w14:paraId="475CF743">
      <w:pPr>
        <w:ind w:firstLine="315" w:firstLineChars="150"/>
        <w:rPr>
          <w:rFonts w:ascii="宋体" w:hAnsi="宋体" w:cs="宋体"/>
          <w:kern w:val="0"/>
          <w:szCs w:val="21"/>
        </w:rPr>
      </w:pPr>
      <w:r>
        <w:rPr>
          <w:rFonts w:hint="eastAsia" w:ascii="宋体" w:hAnsi="宋体" w:cs="宋体"/>
        </w:rPr>
        <w:t>格式三、开标一览表</w:t>
      </w:r>
      <w:r>
        <w:rPr>
          <w:rFonts w:hint="eastAsia" w:ascii="宋体" w:hAnsi="宋体" w:cs="宋体"/>
          <w:kern w:val="0"/>
          <w:szCs w:val="21"/>
        </w:rPr>
        <w:t>……………………………………………………（页码）</w:t>
      </w:r>
    </w:p>
    <w:p w14:paraId="7616256E">
      <w:pPr>
        <w:ind w:firstLine="315" w:firstLineChars="150"/>
        <w:rPr>
          <w:rFonts w:ascii="宋体" w:hAnsi="宋体" w:cs="宋体"/>
          <w:kern w:val="0"/>
          <w:szCs w:val="21"/>
        </w:rPr>
      </w:pPr>
      <w:r>
        <w:rPr>
          <w:rFonts w:hint="eastAsia" w:ascii="宋体" w:hAnsi="宋体" w:cs="宋体"/>
          <w:kern w:val="0"/>
          <w:szCs w:val="21"/>
        </w:rPr>
        <w:t>格式四、投标报价表……………………………………………………（页码）</w:t>
      </w:r>
    </w:p>
    <w:p w14:paraId="2BED14C5">
      <w:pPr>
        <w:ind w:firstLine="315" w:firstLineChars="150"/>
        <w:rPr>
          <w:rFonts w:ascii="宋体" w:hAnsi="宋体" w:cs="宋体"/>
          <w:kern w:val="0"/>
          <w:szCs w:val="21"/>
        </w:rPr>
      </w:pPr>
      <w:r>
        <w:rPr>
          <w:rFonts w:hint="eastAsia" w:ascii="宋体" w:hAnsi="宋体" w:cs="宋体"/>
          <w:kern w:val="0"/>
          <w:szCs w:val="21"/>
        </w:rPr>
        <w:t>格式五、项目承诺书………………………………………………… （页码）</w:t>
      </w:r>
    </w:p>
    <w:p w14:paraId="3ECBA63B">
      <w:pPr>
        <w:ind w:firstLine="315" w:firstLineChars="150"/>
        <w:rPr>
          <w:rFonts w:ascii="宋体" w:hAnsi="宋体" w:cs="宋体"/>
          <w:kern w:val="0"/>
          <w:szCs w:val="21"/>
        </w:rPr>
      </w:pPr>
      <w:r>
        <w:rPr>
          <w:rFonts w:hint="eastAsia" w:ascii="宋体" w:hAnsi="宋体" w:cs="宋体"/>
          <w:szCs w:val="21"/>
        </w:rPr>
        <w:t>格式六、</w:t>
      </w:r>
      <w:r>
        <w:rPr>
          <w:rFonts w:hint="eastAsia" w:ascii="宋体" w:hAnsi="宋体" w:cs="宋体"/>
          <w:kern w:val="0"/>
          <w:szCs w:val="21"/>
        </w:rPr>
        <w:t>服务方案…………………………………………………… （页码）</w:t>
      </w:r>
    </w:p>
    <w:p w14:paraId="6F5029C0">
      <w:pPr>
        <w:ind w:firstLine="315" w:firstLineChars="150"/>
        <w:rPr>
          <w:rFonts w:ascii="宋体" w:hAnsi="宋体" w:cs="宋体"/>
          <w:szCs w:val="21"/>
        </w:rPr>
      </w:pPr>
      <w:r>
        <w:rPr>
          <w:rFonts w:hint="eastAsia" w:ascii="宋体" w:hAnsi="宋体" w:cs="宋体"/>
          <w:szCs w:val="21"/>
        </w:rPr>
        <w:t>格式七、资格证明文件</w:t>
      </w:r>
      <w:r>
        <w:rPr>
          <w:rFonts w:hint="eastAsia" w:ascii="宋体" w:hAnsi="宋体" w:cs="宋体"/>
          <w:kern w:val="0"/>
          <w:szCs w:val="21"/>
        </w:rPr>
        <w:t>…………………………………………………（页码）</w:t>
      </w:r>
    </w:p>
    <w:p w14:paraId="107BC189">
      <w:pPr>
        <w:ind w:firstLine="315" w:firstLineChars="150"/>
        <w:rPr>
          <w:rFonts w:ascii="宋体" w:hAnsi="宋体" w:cs="宋体"/>
          <w:kern w:val="0"/>
          <w:szCs w:val="21"/>
        </w:rPr>
      </w:pPr>
      <w:r>
        <w:rPr>
          <w:rFonts w:hint="eastAsia" w:ascii="宋体" w:hAnsi="宋体" w:cs="宋体"/>
          <w:szCs w:val="21"/>
        </w:rPr>
        <w:t>格式八、其它</w:t>
      </w:r>
      <w:r>
        <w:rPr>
          <w:rFonts w:hint="eastAsia" w:ascii="宋体" w:hAnsi="宋体" w:cs="宋体"/>
          <w:kern w:val="0"/>
          <w:szCs w:val="21"/>
        </w:rPr>
        <w:t>……………………………………………………………（页码）</w:t>
      </w:r>
    </w:p>
    <w:p w14:paraId="58921E8C">
      <w:pPr>
        <w:jc w:val="left"/>
        <w:rPr>
          <w:rFonts w:ascii="宋体" w:hAnsi="宋体" w:cs="宋体"/>
          <w:szCs w:val="21"/>
        </w:rPr>
      </w:pPr>
    </w:p>
    <w:p w14:paraId="3321EA62">
      <w:pPr>
        <w:jc w:val="left"/>
        <w:rPr>
          <w:rFonts w:ascii="宋体" w:hAnsi="宋体" w:cs="宋体"/>
          <w:szCs w:val="21"/>
        </w:rPr>
      </w:pPr>
    </w:p>
    <w:p w14:paraId="2174514F">
      <w:pPr>
        <w:widowControl/>
        <w:jc w:val="left"/>
        <w:outlineLvl w:val="2"/>
        <w:rPr>
          <w:rFonts w:ascii="宋体" w:hAnsi="宋体" w:cs="宋体"/>
          <w:szCs w:val="21"/>
        </w:rPr>
      </w:pPr>
      <w:r>
        <w:rPr>
          <w:rFonts w:hint="eastAsia" w:ascii="宋体" w:hAnsi="宋体" w:cs="宋体"/>
          <w:szCs w:val="21"/>
        </w:rPr>
        <w:br w:type="page"/>
      </w:r>
      <w:bookmarkStart w:id="170" w:name="_Toc31062"/>
      <w:bookmarkStart w:id="171" w:name="_Toc15787"/>
      <w:bookmarkStart w:id="172" w:name="_Toc2686"/>
      <w:bookmarkStart w:id="173" w:name="_Toc26346"/>
      <w:r>
        <w:rPr>
          <w:rFonts w:hint="eastAsia" w:ascii="宋体" w:hAnsi="宋体" w:cs="宋体"/>
          <w:szCs w:val="21"/>
        </w:rPr>
        <w:t>格式一、投标函</w:t>
      </w:r>
      <w:bookmarkEnd w:id="170"/>
      <w:bookmarkEnd w:id="171"/>
      <w:bookmarkEnd w:id="172"/>
      <w:bookmarkEnd w:id="173"/>
    </w:p>
    <w:p w14:paraId="426BFBBA">
      <w:pPr>
        <w:widowControl/>
        <w:jc w:val="left"/>
        <w:rPr>
          <w:rFonts w:ascii="宋体" w:hAnsi="宋体" w:cs="宋体"/>
          <w:szCs w:val="21"/>
        </w:rPr>
      </w:pPr>
    </w:p>
    <w:p w14:paraId="2FA7B582">
      <w:pPr>
        <w:jc w:val="center"/>
        <w:rPr>
          <w:rFonts w:ascii="宋体" w:hAnsi="宋体" w:cs="宋体"/>
          <w:b/>
          <w:sz w:val="28"/>
          <w:szCs w:val="28"/>
        </w:rPr>
      </w:pPr>
      <w:r>
        <w:rPr>
          <w:rFonts w:hint="eastAsia" w:ascii="宋体" w:hAnsi="宋体" w:cs="宋体"/>
          <w:b/>
          <w:sz w:val="28"/>
          <w:szCs w:val="28"/>
        </w:rPr>
        <w:t>投标函</w:t>
      </w:r>
    </w:p>
    <w:p w14:paraId="547417B2">
      <w:pPr>
        <w:rPr>
          <w:rFonts w:ascii="宋体" w:hAnsi="宋体" w:cs="宋体"/>
          <w:szCs w:val="21"/>
        </w:rPr>
      </w:pPr>
    </w:p>
    <w:p w14:paraId="44450CD2">
      <w:pPr>
        <w:rPr>
          <w:rFonts w:ascii="宋体" w:hAnsi="宋体" w:cs="宋体"/>
          <w:szCs w:val="21"/>
        </w:rPr>
      </w:pPr>
      <w:r>
        <w:rPr>
          <w:rFonts w:hint="eastAsia" w:ascii="宋体" w:hAnsi="宋体" w:cs="宋体"/>
          <w:szCs w:val="21"/>
        </w:rPr>
        <w:t>致：江苏舜天高科有限责任公司</w:t>
      </w:r>
    </w:p>
    <w:p w14:paraId="5EB3F673">
      <w:pPr>
        <w:ind w:firstLine="420" w:firstLineChars="200"/>
        <w:rPr>
          <w:rFonts w:ascii="宋体" w:hAnsi="宋体" w:cs="宋体"/>
          <w:szCs w:val="21"/>
        </w:rPr>
      </w:pPr>
      <w:r>
        <w:rPr>
          <w:rFonts w:hint="eastAsia" w:ascii="宋体" w:hAnsi="宋体" w:cs="宋体"/>
          <w:szCs w:val="21"/>
        </w:rPr>
        <w:t>根据贵方编号为</w:t>
      </w:r>
      <w:r>
        <w:rPr>
          <w:rFonts w:hint="eastAsia" w:ascii="宋体" w:hAnsi="宋体" w:cs="宋体"/>
          <w:color w:val="0000FF"/>
          <w:szCs w:val="21"/>
          <w:u w:val="single"/>
        </w:rPr>
        <w:t>1214-244209444LDY</w:t>
      </w:r>
      <w:r>
        <w:rPr>
          <w:rFonts w:hint="eastAsia" w:ascii="宋体" w:hAnsi="宋体" w:cs="宋体"/>
          <w:szCs w:val="21"/>
        </w:rPr>
        <w:t>招标文件的邀请，我公司决定参加</w:t>
      </w:r>
      <w:r>
        <w:rPr>
          <w:rFonts w:hint="eastAsia" w:ascii="宋体" w:hAnsi="宋体" w:cs="宋体"/>
          <w:color w:val="0000FF"/>
          <w:szCs w:val="21"/>
          <w:u w:val="single"/>
        </w:rPr>
        <w:t>中华人民共和国南京海关中国电子口岸运行保障运维服务</w:t>
      </w:r>
      <w:r>
        <w:rPr>
          <w:rFonts w:hint="eastAsia" w:ascii="宋体" w:hAnsi="宋体" w:cs="宋体"/>
          <w:szCs w:val="21"/>
          <w:u w:val="single"/>
        </w:rPr>
        <w:t>采购项目</w:t>
      </w:r>
      <w:r>
        <w:rPr>
          <w:rFonts w:hint="eastAsia" w:ascii="宋体" w:hAnsi="宋体" w:cs="宋体"/>
          <w:szCs w:val="21"/>
        </w:rPr>
        <w:t>的公开招标。我公司现正式授权</w:t>
      </w:r>
      <w:r>
        <w:rPr>
          <w:rFonts w:hint="eastAsia" w:ascii="宋体" w:hAnsi="宋体" w:cs="宋体"/>
          <w:i/>
          <w:szCs w:val="21"/>
          <w:u w:val="single"/>
        </w:rPr>
        <w:t>(姓名和职务)</w:t>
      </w:r>
      <w:r>
        <w:rPr>
          <w:rFonts w:hint="eastAsia" w:ascii="宋体" w:hAnsi="宋体" w:cs="宋体"/>
          <w:szCs w:val="21"/>
        </w:rPr>
        <w:t>作为我公司</w:t>
      </w:r>
      <w:r>
        <w:rPr>
          <w:rFonts w:hint="eastAsia" w:ascii="宋体" w:hAnsi="宋体" w:cs="宋体"/>
          <w:i/>
          <w:szCs w:val="21"/>
          <w:u w:val="single"/>
        </w:rPr>
        <w:t>（投标人名称）</w:t>
      </w:r>
      <w:r>
        <w:rPr>
          <w:rFonts w:hint="eastAsia" w:ascii="宋体" w:hAnsi="宋体" w:cs="宋体"/>
          <w:szCs w:val="21"/>
        </w:rPr>
        <w:t>的全权代表前来参加此次招标并提交投标文件</w:t>
      </w:r>
      <w:r>
        <w:rPr>
          <w:rFonts w:hint="eastAsia" w:ascii="宋体" w:hAnsi="宋体" w:cs="宋体"/>
          <w:color w:val="0000FF"/>
          <w:szCs w:val="21"/>
        </w:rPr>
        <w:t>正本1份，副本4份，电子版1份</w:t>
      </w:r>
      <w:r>
        <w:rPr>
          <w:rFonts w:hint="eastAsia" w:ascii="宋体" w:hAnsi="宋体" w:cs="宋体"/>
          <w:szCs w:val="21"/>
        </w:rPr>
        <w:t>。</w:t>
      </w:r>
    </w:p>
    <w:p w14:paraId="3525E264">
      <w:pPr>
        <w:ind w:firstLine="420" w:firstLineChars="200"/>
        <w:rPr>
          <w:rFonts w:ascii="宋体" w:hAnsi="宋体" w:cs="宋体"/>
          <w:szCs w:val="21"/>
        </w:rPr>
      </w:pPr>
      <w:r>
        <w:rPr>
          <w:rFonts w:hint="eastAsia" w:ascii="宋体" w:hAnsi="宋体" w:cs="宋体"/>
          <w:szCs w:val="21"/>
        </w:rPr>
        <w:t>据此函，签字人兹宣布同意如下：</w:t>
      </w:r>
    </w:p>
    <w:p w14:paraId="42FAEBE3">
      <w:pPr>
        <w:ind w:firstLine="420" w:firstLineChars="200"/>
        <w:rPr>
          <w:rFonts w:ascii="宋体" w:hAnsi="宋体" w:cs="宋体"/>
          <w:szCs w:val="21"/>
        </w:rPr>
      </w:pPr>
      <w:r>
        <w:rPr>
          <w:rFonts w:hint="eastAsia" w:ascii="宋体" w:hAnsi="宋体" w:cs="宋体"/>
          <w:szCs w:val="21"/>
        </w:rPr>
        <w:t>（1）经研究招标文件的全部内容后，我方愿按招标文件的规定要求向采购人提供所需</w:t>
      </w:r>
      <w:r>
        <w:rPr>
          <w:rFonts w:hint="eastAsia" w:ascii="宋体" w:hAnsi="宋体" w:cs="宋体"/>
          <w:color w:val="0000FF"/>
          <w:szCs w:val="21"/>
          <w:u w:val="single"/>
        </w:rPr>
        <w:t>的相关服务</w:t>
      </w:r>
      <w:r>
        <w:rPr>
          <w:rFonts w:hint="eastAsia" w:ascii="宋体" w:hAnsi="宋体" w:cs="宋体"/>
          <w:szCs w:val="21"/>
        </w:rPr>
        <w:t>。总投标价为</w:t>
      </w:r>
      <w:r>
        <w:rPr>
          <w:rFonts w:hint="eastAsia" w:ascii="宋体" w:hAnsi="宋体" w:cs="宋体"/>
          <w:szCs w:val="21"/>
          <w:u w:val="single"/>
        </w:rPr>
        <w:t>XXXX</w:t>
      </w:r>
      <w:r>
        <w:rPr>
          <w:rFonts w:hint="eastAsia" w:ascii="宋体" w:hAnsi="宋体" w:cs="宋体"/>
          <w:szCs w:val="21"/>
        </w:rPr>
        <w:t>人民币（大写：</w:t>
      </w:r>
      <w:r>
        <w:rPr>
          <w:rFonts w:hint="eastAsia" w:ascii="宋体" w:hAnsi="宋体" w:cs="宋体"/>
          <w:szCs w:val="21"/>
          <w:u w:val="single"/>
        </w:rPr>
        <w:t>XXXX</w:t>
      </w:r>
      <w:r>
        <w:rPr>
          <w:rFonts w:hint="eastAsia" w:ascii="宋体" w:hAnsi="宋体" w:cs="宋体"/>
          <w:szCs w:val="21"/>
        </w:rPr>
        <w:t>）。</w:t>
      </w:r>
    </w:p>
    <w:p w14:paraId="6E437818">
      <w:pPr>
        <w:ind w:firstLine="420" w:firstLineChars="200"/>
        <w:rPr>
          <w:rFonts w:ascii="宋体" w:hAnsi="宋体" w:cs="宋体"/>
          <w:szCs w:val="21"/>
        </w:rPr>
      </w:pPr>
      <w:r>
        <w:rPr>
          <w:rFonts w:hint="eastAsia" w:ascii="宋体" w:hAnsi="宋体" w:cs="宋体"/>
          <w:szCs w:val="21"/>
        </w:rPr>
        <w:t>（2）我们完全理解贵方不一定要以最低报价确定中标。</w:t>
      </w:r>
    </w:p>
    <w:p w14:paraId="270D0D29">
      <w:pPr>
        <w:ind w:firstLine="420" w:firstLineChars="200"/>
        <w:rPr>
          <w:rFonts w:ascii="宋体" w:hAnsi="宋体" w:cs="宋体"/>
          <w:szCs w:val="21"/>
        </w:rPr>
      </w:pPr>
      <w:r>
        <w:rPr>
          <w:rFonts w:hint="eastAsia" w:ascii="宋体" w:hAnsi="宋体" w:cs="宋体"/>
          <w:szCs w:val="21"/>
        </w:rPr>
        <w:t>（3）我们已详细审核全部招标文件及其有效补充文件（如果有），我们知道必须放弃提出含糊不清或误解的问题的权利。提交投标文件后，</w:t>
      </w:r>
      <w:r>
        <w:rPr>
          <w:rFonts w:hint="eastAsia" w:ascii="宋体" w:hAnsi="宋体" w:cs="宋体"/>
          <w:b/>
          <w:szCs w:val="21"/>
        </w:rPr>
        <w:t>不对招标文件本身提出质疑</w:t>
      </w:r>
      <w:r>
        <w:rPr>
          <w:rFonts w:hint="eastAsia" w:ascii="宋体" w:hAnsi="宋体" w:cs="宋体"/>
          <w:szCs w:val="21"/>
        </w:rPr>
        <w:t>。否则，属于不诚信和故意扰乱采购活动行为，我们将无条件接受处罚。</w:t>
      </w:r>
    </w:p>
    <w:p w14:paraId="1B344B19">
      <w:pPr>
        <w:ind w:firstLine="420" w:firstLineChars="200"/>
        <w:rPr>
          <w:rFonts w:ascii="宋体" w:hAnsi="宋体" w:cs="宋体"/>
          <w:szCs w:val="21"/>
        </w:rPr>
      </w:pPr>
      <w:r>
        <w:rPr>
          <w:rFonts w:hint="eastAsia" w:ascii="宋体" w:hAnsi="宋体" w:cs="宋体"/>
          <w:szCs w:val="21"/>
        </w:rPr>
        <w:t>（4）我们同意从规定的开标日期起遵循本投标文件，并在规定的投标有效期期满之前均具有约束力。</w:t>
      </w:r>
    </w:p>
    <w:p w14:paraId="65F85E3E">
      <w:pPr>
        <w:ind w:firstLine="420" w:firstLineChars="200"/>
        <w:rPr>
          <w:rFonts w:ascii="宋体" w:hAnsi="宋体" w:cs="宋体"/>
          <w:szCs w:val="21"/>
        </w:rPr>
      </w:pPr>
      <w:r>
        <w:rPr>
          <w:rFonts w:hint="eastAsia" w:ascii="宋体" w:hAnsi="宋体" w:cs="宋体"/>
          <w:szCs w:val="21"/>
        </w:rPr>
        <w:t>（5）同意向贵方提供贵方可能要求的与投标有关的任何证据或资料。</w:t>
      </w:r>
    </w:p>
    <w:p w14:paraId="25B26C7A">
      <w:pPr>
        <w:ind w:firstLine="420" w:firstLineChars="200"/>
        <w:rPr>
          <w:rFonts w:ascii="宋体" w:hAnsi="宋体" w:cs="宋体"/>
          <w:szCs w:val="21"/>
        </w:rPr>
      </w:pPr>
      <w:r>
        <w:rPr>
          <w:rFonts w:hint="eastAsia" w:ascii="宋体" w:hAnsi="宋体" w:cs="宋体"/>
          <w:szCs w:val="21"/>
        </w:rPr>
        <w:t>（6）一旦我方中标，我方将根据招标文件的规定，严格按照《中华人民共和国民法典》履行自己的责任和义务，并保证于我方承诺的期限内完成项目规定的所有内容。</w:t>
      </w:r>
    </w:p>
    <w:p w14:paraId="0347F86D">
      <w:pPr>
        <w:ind w:firstLine="420" w:firstLineChars="200"/>
        <w:rPr>
          <w:rFonts w:ascii="宋体" w:hAnsi="宋体" w:cs="宋体"/>
          <w:szCs w:val="21"/>
        </w:rPr>
      </w:pPr>
      <w:r>
        <w:rPr>
          <w:rFonts w:hint="eastAsia" w:ascii="宋体" w:hAnsi="宋体" w:cs="宋体"/>
          <w:szCs w:val="21"/>
        </w:rPr>
        <w:t>（7）一旦我方中标，我方将按招标文件中规定的金额支付招标服务费。</w:t>
      </w:r>
    </w:p>
    <w:p w14:paraId="13E4EE42">
      <w:pPr>
        <w:ind w:firstLine="420" w:firstLineChars="200"/>
        <w:rPr>
          <w:rFonts w:ascii="宋体" w:hAnsi="宋体" w:cs="宋体"/>
          <w:szCs w:val="21"/>
        </w:rPr>
      </w:pPr>
      <w:r>
        <w:rPr>
          <w:rFonts w:hint="eastAsia" w:ascii="宋体" w:hAnsi="宋体" w:cs="宋体"/>
          <w:szCs w:val="21"/>
        </w:rPr>
        <w:t>（8）与本投标有关的正式通讯地址为：</w:t>
      </w:r>
    </w:p>
    <w:p w14:paraId="4F0FCC0F">
      <w:pPr>
        <w:ind w:firstLine="420" w:firstLineChars="200"/>
        <w:rPr>
          <w:rFonts w:ascii="宋体" w:hAnsi="宋体" w:cs="宋体"/>
          <w:szCs w:val="21"/>
        </w:rPr>
      </w:pPr>
    </w:p>
    <w:p w14:paraId="46E0DC3C">
      <w:pPr>
        <w:ind w:firstLine="420" w:firstLineChars="200"/>
        <w:rPr>
          <w:rFonts w:ascii="宋体" w:hAnsi="宋体" w:cs="宋体"/>
          <w:szCs w:val="21"/>
        </w:rPr>
      </w:pPr>
      <w:r>
        <w:rPr>
          <w:rFonts w:hint="eastAsia" w:ascii="宋体" w:hAnsi="宋体" w:cs="宋体"/>
          <w:szCs w:val="21"/>
        </w:rPr>
        <w:t>地址：</w:t>
      </w:r>
    </w:p>
    <w:p w14:paraId="0EEBB6D4">
      <w:pPr>
        <w:ind w:firstLine="420" w:firstLineChars="200"/>
        <w:rPr>
          <w:rFonts w:ascii="宋体" w:hAnsi="宋体" w:cs="宋体"/>
          <w:szCs w:val="21"/>
        </w:rPr>
      </w:pPr>
    </w:p>
    <w:p w14:paraId="32F7363D">
      <w:pPr>
        <w:ind w:firstLine="420" w:firstLineChars="200"/>
        <w:rPr>
          <w:rFonts w:ascii="宋体" w:hAnsi="宋体" w:cs="宋体"/>
          <w:szCs w:val="21"/>
        </w:rPr>
      </w:pPr>
      <w:r>
        <w:rPr>
          <w:rFonts w:hint="eastAsia" w:ascii="宋体" w:hAnsi="宋体" w:cs="宋体"/>
          <w:szCs w:val="21"/>
        </w:rPr>
        <w:t>邮编：</w:t>
      </w:r>
    </w:p>
    <w:p w14:paraId="00454E01">
      <w:pPr>
        <w:ind w:firstLine="420" w:firstLineChars="200"/>
        <w:rPr>
          <w:rFonts w:ascii="宋体" w:hAnsi="宋体" w:cs="宋体"/>
          <w:szCs w:val="21"/>
        </w:rPr>
      </w:pPr>
    </w:p>
    <w:p w14:paraId="7CBD5EB4">
      <w:pPr>
        <w:ind w:firstLine="420" w:firstLineChars="200"/>
        <w:rPr>
          <w:rFonts w:ascii="宋体" w:hAnsi="宋体" w:cs="宋体"/>
          <w:szCs w:val="21"/>
        </w:rPr>
      </w:pPr>
      <w:r>
        <w:rPr>
          <w:rFonts w:hint="eastAsia" w:ascii="宋体" w:hAnsi="宋体" w:cs="宋体"/>
          <w:szCs w:val="21"/>
        </w:rPr>
        <w:t>电话：</w:t>
      </w:r>
    </w:p>
    <w:p w14:paraId="0D623F3E">
      <w:pPr>
        <w:ind w:firstLine="420" w:firstLineChars="200"/>
        <w:rPr>
          <w:rFonts w:ascii="宋体" w:hAnsi="宋体" w:cs="宋体"/>
          <w:szCs w:val="21"/>
        </w:rPr>
      </w:pPr>
    </w:p>
    <w:p w14:paraId="744614FF">
      <w:pPr>
        <w:ind w:firstLine="420" w:firstLineChars="200"/>
        <w:rPr>
          <w:rFonts w:ascii="宋体" w:hAnsi="宋体" w:cs="宋体"/>
          <w:szCs w:val="21"/>
        </w:rPr>
      </w:pPr>
      <w:r>
        <w:rPr>
          <w:rFonts w:hint="eastAsia" w:ascii="宋体" w:hAnsi="宋体" w:cs="宋体"/>
          <w:szCs w:val="21"/>
        </w:rPr>
        <w:t>投标人名称（盖章）：</w:t>
      </w:r>
    </w:p>
    <w:p w14:paraId="1E1F1656">
      <w:pPr>
        <w:ind w:firstLine="420" w:firstLineChars="200"/>
        <w:rPr>
          <w:rFonts w:ascii="宋体" w:hAnsi="宋体" w:cs="宋体"/>
          <w:szCs w:val="21"/>
        </w:rPr>
      </w:pPr>
    </w:p>
    <w:p w14:paraId="379B3E5B">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54EF2BF7">
      <w:pPr>
        <w:ind w:firstLine="420" w:firstLineChars="200"/>
        <w:rPr>
          <w:rFonts w:ascii="宋体" w:hAnsi="宋体" w:cs="宋体"/>
          <w:szCs w:val="21"/>
        </w:rPr>
      </w:pPr>
    </w:p>
    <w:p w14:paraId="41102371">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3CB1A22A">
      <w:pPr>
        <w:rPr>
          <w:rFonts w:ascii="宋体" w:hAnsi="宋体" w:cs="宋体"/>
          <w:szCs w:val="21"/>
        </w:rPr>
      </w:pPr>
    </w:p>
    <w:p w14:paraId="75476147">
      <w:pPr>
        <w:rPr>
          <w:rFonts w:ascii="宋体" w:hAnsi="宋体" w:cs="宋体"/>
          <w:szCs w:val="21"/>
        </w:rPr>
        <w:sectPr>
          <w:headerReference r:id="rId8" w:type="default"/>
          <w:footerReference r:id="rId9" w:type="default"/>
          <w:pgSz w:w="11906" w:h="16838"/>
          <w:pgMar w:top="1134" w:right="1440" w:bottom="850" w:left="1440" w:header="850" w:footer="992" w:gutter="0"/>
          <w:cols w:space="0" w:num="1"/>
          <w:docGrid w:type="lines" w:linePitch="323" w:charSpace="0"/>
        </w:sectPr>
      </w:pPr>
    </w:p>
    <w:p w14:paraId="06FF0877">
      <w:pPr>
        <w:tabs>
          <w:tab w:val="left" w:pos="6660"/>
        </w:tabs>
        <w:outlineLvl w:val="2"/>
        <w:rPr>
          <w:rFonts w:ascii="宋体" w:hAnsi="宋体" w:cs="宋体"/>
          <w:bCs/>
        </w:rPr>
      </w:pPr>
      <w:bookmarkStart w:id="174" w:name="_Toc23668"/>
      <w:bookmarkStart w:id="175" w:name="_Toc5776"/>
      <w:bookmarkStart w:id="176" w:name="_Toc30110"/>
      <w:bookmarkStart w:id="177" w:name="_Toc24350"/>
      <w:r>
        <w:rPr>
          <w:rFonts w:hint="eastAsia" w:ascii="宋体" w:hAnsi="宋体" w:cs="宋体"/>
          <w:bCs/>
        </w:rPr>
        <w:t>格式二、授权委托书</w:t>
      </w:r>
      <w:bookmarkEnd w:id="174"/>
      <w:bookmarkEnd w:id="175"/>
      <w:bookmarkEnd w:id="176"/>
      <w:bookmarkEnd w:id="177"/>
    </w:p>
    <w:p w14:paraId="7F6959FF">
      <w:pPr>
        <w:tabs>
          <w:tab w:val="left" w:pos="6660"/>
        </w:tabs>
        <w:rPr>
          <w:rFonts w:ascii="宋体" w:hAnsi="宋体" w:cs="宋体"/>
        </w:rPr>
      </w:pPr>
    </w:p>
    <w:p w14:paraId="3D596BE3">
      <w:pPr>
        <w:tabs>
          <w:tab w:val="left" w:pos="6660"/>
        </w:tabs>
        <w:jc w:val="center"/>
        <w:rPr>
          <w:rFonts w:ascii="宋体" w:hAnsi="宋体" w:cs="宋体"/>
          <w:sz w:val="28"/>
          <w:szCs w:val="28"/>
        </w:rPr>
      </w:pPr>
      <w:r>
        <w:rPr>
          <w:rFonts w:hint="eastAsia" w:ascii="宋体" w:hAnsi="宋体" w:cs="宋体"/>
          <w:b/>
          <w:sz w:val="28"/>
          <w:szCs w:val="28"/>
        </w:rPr>
        <w:t>授权委托书</w:t>
      </w:r>
    </w:p>
    <w:p w14:paraId="209B4645">
      <w:pPr>
        <w:tabs>
          <w:tab w:val="left" w:pos="6660"/>
        </w:tabs>
        <w:ind w:firstLine="420" w:firstLineChars="200"/>
        <w:rPr>
          <w:rFonts w:ascii="宋体" w:hAnsi="宋体" w:cs="宋体"/>
        </w:rPr>
      </w:pPr>
    </w:p>
    <w:p w14:paraId="408704F0">
      <w:pPr>
        <w:tabs>
          <w:tab w:val="left" w:pos="6660"/>
        </w:tabs>
        <w:ind w:firstLine="420" w:firstLineChars="200"/>
        <w:rPr>
          <w:rFonts w:ascii="宋体" w:hAnsi="宋体" w:cs="宋体"/>
        </w:rPr>
      </w:pPr>
      <w:r>
        <w:rPr>
          <w:rFonts w:hint="eastAsia" w:ascii="宋体" w:hAnsi="宋体" w:cs="宋体"/>
        </w:rPr>
        <w:t>本授权委托书声明：本人</w:t>
      </w:r>
      <w:r>
        <w:rPr>
          <w:rFonts w:hint="eastAsia" w:ascii="宋体" w:hAnsi="宋体" w:cs="宋体"/>
          <w:i/>
          <w:iCs/>
          <w:u w:val="single"/>
        </w:rPr>
        <w:t>（姓名）</w:t>
      </w:r>
      <w:r>
        <w:rPr>
          <w:rFonts w:hint="eastAsia" w:ascii="宋体" w:hAnsi="宋体" w:cs="宋体"/>
        </w:rPr>
        <w:t>系</w:t>
      </w:r>
      <w:r>
        <w:rPr>
          <w:rFonts w:hint="eastAsia" w:ascii="宋体" w:hAnsi="宋体" w:cs="宋体"/>
          <w:i/>
          <w:iCs/>
          <w:u w:val="single"/>
        </w:rPr>
        <w:t>（投标单位全称）</w:t>
      </w:r>
      <w:r>
        <w:rPr>
          <w:rFonts w:hint="eastAsia" w:ascii="宋体" w:hAnsi="宋体" w:cs="宋体"/>
        </w:rPr>
        <w:t>的法定代表人，现代表本公司（工厂）授权我单位</w:t>
      </w:r>
      <w:r>
        <w:rPr>
          <w:rFonts w:hint="eastAsia" w:ascii="宋体" w:hAnsi="宋体" w:cs="宋体"/>
          <w:i/>
          <w:iCs/>
          <w:u w:val="single"/>
        </w:rPr>
        <w:t>（部门、职务、姓名）</w:t>
      </w:r>
      <w:r>
        <w:rPr>
          <w:rFonts w:hint="eastAsia" w:ascii="宋体" w:hAnsi="宋体" w:cs="宋体"/>
        </w:rPr>
        <w:t>作为本公司（工厂）的合法代理人，以</w:t>
      </w:r>
      <w:r>
        <w:rPr>
          <w:rFonts w:hint="eastAsia" w:ascii="宋体" w:hAnsi="宋体" w:cs="宋体"/>
          <w:i/>
          <w:iCs/>
          <w:u w:val="single"/>
        </w:rPr>
        <w:t>（投标单位名称）</w:t>
      </w:r>
      <w:r>
        <w:rPr>
          <w:rFonts w:hint="eastAsia" w:ascii="宋体" w:hAnsi="宋体" w:cs="宋体"/>
        </w:rPr>
        <w:t>的名义参加</w:t>
      </w:r>
      <w:r>
        <w:rPr>
          <w:rFonts w:hint="eastAsia" w:ascii="宋体" w:hAnsi="宋体" w:cs="宋体"/>
          <w:u w:val="single"/>
        </w:rPr>
        <w:t xml:space="preserve"> </w:t>
      </w:r>
      <w:r>
        <w:rPr>
          <w:rFonts w:hint="eastAsia" w:ascii="宋体" w:hAnsi="宋体" w:cs="宋体"/>
          <w:color w:val="0000FF"/>
          <w:szCs w:val="21"/>
          <w:u w:val="single"/>
        </w:rPr>
        <w:t xml:space="preserve">中华人民共和国南京海关 </w:t>
      </w:r>
      <w:r>
        <w:rPr>
          <w:rFonts w:hint="eastAsia" w:ascii="宋体" w:hAnsi="宋体" w:cs="宋体"/>
        </w:rPr>
        <w:t>的</w:t>
      </w:r>
      <w:r>
        <w:rPr>
          <w:rFonts w:hint="eastAsia" w:ascii="宋体" w:hAnsi="宋体" w:cs="宋体"/>
          <w:u w:val="single"/>
        </w:rPr>
        <w:t xml:space="preserve"> </w:t>
      </w:r>
      <w:r>
        <w:rPr>
          <w:rFonts w:hint="eastAsia" w:ascii="宋体" w:hAnsi="宋体" w:cs="宋体"/>
          <w:color w:val="0000FF"/>
          <w:szCs w:val="21"/>
          <w:u w:val="single"/>
        </w:rPr>
        <w:t xml:space="preserve">中国电子口岸运行保障运维服务 </w:t>
      </w:r>
      <w:r>
        <w:rPr>
          <w:rFonts w:hint="eastAsia" w:ascii="宋体" w:hAnsi="宋体" w:cs="宋体"/>
        </w:rPr>
        <w:t>投标。授权代表签署与本次招标相关的一切文件和处理与之有关的一切事务，本人均予以承认。</w:t>
      </w:r>
    </w:p>
    <w:p w14:paraId="7BD8396E">
      <w:pPr>
        <w:tabs>
          <w:tab w:val="left" w:pos="6660"/>
        </w:tabs>
        <w:ind w:firstLine="420" w:firstLineChars="200"/>
        <w:rPr>
          <w:rFonts w:ascii="宋体" w:hAnsi="宋体" w:cs="宋体"/>
        </w:rPr>
      </w:pPr>
      <w:r>
        <w:rPr>
          <w:rFonts w:hint="eastAsia" w:ascii="宋体" w:hAnsi="宋体" w:cs="宋体"/>
        </w:rPr>
        <w:t>授权委托人无转委托权。</w:t>
      </w:r>
    </w:p>
    <w:p w14:paraId="1A31786C">
      <w:pPr>
        <w:tabs>
          <w:tab w:val="left" w:pos="6660"/>
        </w:tabs>
        <w:ind w:firstLine="420" w:firstLineChars="200"/>
        <w:rPr>
          <w:rFonts w:ascii="宋体" w:hAnsi="宋体" w:cs="宋体"/>
        </w:rPr>
      </w:pPr>
      <w:r>
        <w:rPr>
          <w:rFonts w:hint="eastAsia" w:ascii="宋体" w:hAnsi="宋体" w:cs="宋体"/>
        </w:rPr>
        <w:t>本授权书于2024年</w:t>
      </w:r>
      <w:r>
        <w:rPr>
          <w:rFonts w:hint="eastAsia" w:ascii="宋体" w:hAnsi="宋体" w:cs="宋体"/>
          <w:u w:val="single"/>
        </w:rPr>
        <w:t>XX</w:t>
      </w:r>
      <w:r>
        <w:rPr>
          <w:rFonts w:hint="eastAsia" w:ascii="宋体" w:hAnsi="宋体" w:cs="宋体"/>
        </w:rPr>
        <w:t>月</w:t>
      </w:r>
      <w:r>
        <w:rPr>
          <w:rFonts w:hint="eastAsia" w:ascii="宋体" w:hAnsi="宋体" w:cs="宋体"/>
          <w:u w:val="single"/>
        </w:rPr>
        <w:t>XX</w:t>
      </w:r>
      <w:r>
        <w:rPr>
          <w:rFonts w:hint="eastAsia" w:ascii="宋体" w:hAnsi="宋体" w:cs="宋体"/>
        </w:rPr>
        <w:t>日签字或盖章后生效，特此声明。</w:t>
      </w:r>
    </w:p>
    <w:p w14:paraId="4B098FE1">
      <w:pPr>
        <w:tabs>
          <w:tab w:val="left" w:pos="6660"/>
        </w:tabs>
        <w:rPr>
          <w:rFonts w:ascii="宋体" w:hAnsi="宋体" w:cs="宋体"/>
        </w:rPr>
      </w:pPr>
    </w:p>
    <w:p w14:paraId="794647B2">
      <w:pPr>
        <w:tabs>
          <w:tab w:val="left" w:pos="6660"/>
        </w:tabs>
        <w:rPr>
          <w:rFonts w:ascii="宋体" w:hAnsi="宋体" w:cs="宋体"/>
        </w:rPr>
      </w:pPr>
    </w:p>
    <w:p w14:paraId="0786BB94">
      <w:pPr>
        <w:tabs>
          <w:tab w:val="left" w:pos="6660"/>
        </w:tabs>
        <w:spacing w:line="360" w:lineRule="auto"/>
        <w:ind w:firstLine="3360" w:firstLineChars="1600"/>
        <w:rPr>
          <w:rFonts w:ascii="宋体" w:hAnsi="宋体" w:cs="宋体"/>
          <w:u w:val="single"/>
        </w:rPr>
      </w:pPr>
      <w:r>
        <w:rPr>
          <w:rFonts w:hint="eastAsia" w:ascii="宋体" w:hAnsi="宋体" w:cs="宋体"/>
        </w:rPr>
        <w:t>授权委托人（签字）：</w:t>
      </w:r>
    </w:p>
    <w:p w14:paraId="024FB480">
      <w:pPr>
        <w:tabs>
          <w:tab w:val="left" w:pos="6660"/>
        </w:tabs>
        <w:spacing w:line="360" w:lineRule="auto"/>
        <w:ind w:firstLine="3360" w:firstLineChars="1600"/>
        <w:rPr>
          <w:rFonts w:ascii="宋体" w:hAnsi="宋体" w:cs="宋体"/>
        </w:rPr>
      </w:pPr>
      <w:r>
        <w:rPr>
          <w:rFonts w:hint="eastAsia" w:ascii="宋体" w:hAnsi="宋体" w:cs="宋体"/>
        </w:rPr>
        <w:t>性别：</w:t>
      </w:r>
      <w:r>
        <w:rPr>
          <w:rFonts w:hint="eastAsia" w:ascii="宋体" w:hAnsi="宋体" w:cs="宋体"/>
          <w:u w:val="single"/>
        </w:rPr>
        <w:t>XXXX</w:t>
      </w:r>
      <w:r>
        <w:rPr>
          <w:rFonts w:hint="eastAsia" w:ascii="宋体" w:hAnsi="宋体" w:cs="宋体"/>
        </w:rPr>
        <w:t xml:space="preserve">    年龄：</w:t>
      </w:r>
      <w:r>
        <w:rPr>
          <w:rFonts w:hint="eastAsia" w:ascii="宋体" w:hAnsi="宋体" w:cs="宋体"/>
          <w:u w:val="single"/>
        </w:rPr>
        <w:t>XXXX</w:t>
      </w:r>
    </w:p>
    <w:p w14:paraId="574F92F3">
      <w:pPr>
        <w:tabs>
          <w:tab w:val="left" w:pos="6660"/>
        </w:tabs>
        <w:spacing w:line="360" w:lineRule="auto"/>
        <w:ind w:firstLine="3360" w:firstLineChars="1600"/>
        <w:rPr>
          <w:rFonts w:ascii="宋体" w:hAnsi="宋体" w:cs="宋体"/>
        </w:rPr>
      </w:pPr>
      <w:r>
        <w:rPr>
          <w:rFonts w:hint="eastAsia" w:ascii="宋体" w:hAnsi="宋体" w:cs="宋体"/>
        </w:rPr>
        <w:t>部门：</w:t>
      </w:r>
      <w:r>
        <w:rPr>
          <w:rFonts w:hint="eastAsia" w:ascii="宋体" w:hAnsi="宋体" w:cs="宋体"/>
          <w:u w:val="single"/>
        </w:rPr>
        <w:t>XXXX</w:t>
      </w:r>
      <w:r>
        <w:rPr>
          <w:rFonts w:hint="eastAsia" w:ascii="宋体" w:hAnsi="宋体" w:cs="宋体"/>
        </w:rPr>
        <w:t xml:space="preserve">    职务：</w:t>
      </w:r>
      <w:r>
        <w:rPr>
          <w:rFonts w:hint="eastAsia" w:ascii="宋体" w:hAnsi="宋体" w:cs="宋体"/>
          <w:u w:val="single"/>
        </w:rPr>
        <w:t>XXXX</w:t>
      </w:r>
    </w:p>
    <w:p w14:paraId="5D19E808">
      <w:pPr>
        <w:tabs>
          <w:tab w:val="left" w:pos="6660"/>
        </w:tabs>
        <w:spacing w:line="360" w:lineRule="auto"/>
        <w:ind w:firstLine="3360" w:firstLineChars="1600"/>
        <w:rPr>
          <w:rFonts w:ascii="宋体" w:hAnsi="宋体" w:cs="宋体"/>
          <w:u w:val="single"/>
        </w:rPr>
      </w:pPr>
      <w:r>
        <w:rPr>
          <w:rFonts w:hint="eastAsia" w:ascii="宋体" w:hAnsi="宋体" w:cs="宋体"/>
        </w:rPr>
        <w:t>投标单位（公章）：</w:t>
      </w:r>
    </w:p>
    <w:p w14:paraId="417E5D73">
      <w:pPr>
        <w:tabs>
          <w:tab w:val="left" w:pos="6660"/>
        </w:tabs>
        <w:spacing w:line="360" w:lineRule="auto"/>
        <w:ind w:firstLine="3360" w:firstLineChars="1600"/>
        <w:rPr>
          <w:rFonts w:ascii="宋体" w:hAnsi="宋体" w:cs="宋体"/>
          <w:u w:val="single"/>
        </w:rPr>
      </w:pPr>
      <w:r>
        <w:rPr>
          <w:rFonts w:hint="eastAsia" w:ascii="宋体" w:hAnsi="宋体" w:cs="宋体"/>
        </w:rPr>
        <w:t>法定代表人（签字）：</w:t>
      </w:r>
    </w:p>
    <w:p w14:paraId="70E88518">
      <w:pPr>
        <w:tabs>
          <w:tab w:val="left" w:pos="6660"/>
        </w:tabs>
        <w:spacing w:line="360" w:lineRule="auto"/>
        <w:ind w:firstLine="3360" w:firstLineChars="1600"/>
        <w:rPr>
          <w:rFonts w:ascii="宋体" w:hAnsi="宋体" w:cs="宋体"/>
        </w:rPr>
      </w:pPr>
      <w:r>
        <w:rPr>
          <w:rFonts w:hint="eastAsia" w:ascii="宋体" w:hAnsi="宋体" w:cs="宋体"/>
        </w:rPr>
        <w:t>投标日期：2024年</w:t>
      </w:r>
      <w:r>
        <w:rPr>
          <w:rFonts w:hint="eastAsia" w:ascii="宋体" w:hAnsi="宋体" w:cs="宋体"/>
          <w:u w:val="single"/>
        </w:rPr>
        <w:t>XX</w:t>
      </w:r>
      <w:r>
        <w:rPr>
          <w:rFonts w:hint="eastAsia" w:ascii="宋体" w:hAnsi="宋体" w:cs="宋体"/>
        </w:rPr>
        <w:t>月</w:t>
      </w:r>
      <w:r>
        <w:rPr>
          <w:rFonts w:hint="eastAsia" w:ascii="宋体" w:hAnsi="宋体" w:cs="宋体"/>
          <w:u w:val="single"/>
        </w:rPr>
        <w:t>XX</w:t>
      </w:r>
      <w:r>
        <w:rPr>
          <w:rFonts w:hint="eastAsia" w:ascii="宋体" w:hAnsi="宋体" w:cs="宋体"/>
        </w:rPr>
        <w:t>日</w:t>
      </w:r>
    </w:p>
    <w:p w14:paraId="51A3DA9B">
      <w:pPr>
        <w:rPr>
          <w:rFonts w:ascii="宋体" w:hAnsi="宋体" w:cs="宋体"/>
          <w:szCs w:val="21"/>
        </w:rPr>
      </w:pPr>
    </w:p>
    <w:p w14:paraId="55859CF6">
      <w:pPr>
        <w:rPr>
          <w:rFonts w:ascii="宋体" w:hAnsi="宋体" w:cs="宋体"/>
          <w:szCs w:val="21"/>
        </w:rPr>
      </w:pPr>
    </w:p>
    <w:p w14:paraId="14B79786">
      <w:pPr>
        <w:rPr>
          <w:rFonts w:ascii="宋体" w:hAnsi="宋体" w:cs="宋体"/>
          <w:szCs w:val="21"/>
        </w:rPr>
      </w:pPr>
    </w:p>
    <w:p w14:paraId="2B462D58">
      <w:pPr>
        <w:rPr>
          <w:rFonts w:ascii="宋体" w:hAnsi="宋体" w:cs="宋体"/>
          <w:szCs w:val="21"/>
        </w:rPr>
      </w:pPr>
    </w:p>
    <w:p w14:paraId="3A991F22">
      <w:pPr>
        <w:rPr>
          <w:rFonts w:ascii="宋体" w:hAnsi="宋体" w:cs="宋体"/>
          <w:szCs w:val="21"/>
        </w:rPr>
      </w:pPr>
    </w:p>
    <w:p w14:paraId="3E680A79">
      <w:pPr>
        <w:rPr>
          <w:rFonts w:ascii="宋体" w:hAnsi="宋体" w:cs="宋体"/>
          <w:szCs w:val="21"/>
        </w:rPr>
      </w:pPr>
    </w:p>
    <w:p w14:paraId="1FCABCE2">
      <w:pPr>
        <w:rPr>
          <w:rFonts w:ascii="宋体" w:hAnsi="宋体" w:cs="宋体"/>
          <w:szCs w:val="21"/>
        </w:rPr>
      </w:pPr>
    </w:p>
    <w:p w14:paraId="43E0B7DC">
      <w:pPr>
        <w:ind w:firstLine="420" w:firstLineChars="200"/>
        <w:rPr>
          <w:rFonts w:ascii="宋体" w:hAnsi="宋体" w:cs="宋体"/>
          <w:szCs w:val="21"/>
        </w:rPr>
      </w:pPr>
      <w:r>
        <w:rPr>
          <w:rFonts w:hint="eastAsia" w:ascii="宋体" w:hAnsi="宋体" w:cs="宋体"/>
          <w:szCs w:val="21"/>
        </w:rPr>
        <w:t>说明：</w:t>
      </w:r>
    </w:p>
    <w:p w14:paraId="11164E0D">
      <w:pPr>
        <w:ind w:firstLine="420" w:firstLineChars="200"/>
        <w:rPr>
          <w:rFonts w:ascii="宋体" w:hAnsi="宋体" w:cs="宋体"/>
          <w:szCs w:val="21"/>
        </w:rPr>
      </w:pPr>
      <w:r>
        <w:rPr>
          <w:rFonts w:hint="eastAsia" w:ascii="宋体" w:hAnsi="宋体" w:cs="宋体"/>
          <w:szCs w:val="21"/>
        </w:rPr>
        <w:t>（1）本授权委托书之后需附上法定代表人、授权委托人身份证复印件（正反面）；</w:t>
      </w:r>
    </w:p>
    <w:p w14:paraId="07BD3B91">
      <w:pPr>
        <w:ind w:firstLine="420"/>
        <w:rPr>
          <w:rFonts w:ascii="宋体" w:hAnsi="宋体" w:cs="宋体"/>
          <w:szCs w:val="21"/>
        </w:rPr>
      </w:pPr>
      <w:r>
        <w:rPr>
          <w:rFonts w:hint="eastAsia" w:ascii="宋体" w:hAnsi="宋体" w:cs="宋体"/>
          <w:szCs w:val="21"/>
        </w:rPr>
        <w:t>（2）如果是法定代表人直接参与投标的可以不提供授权委托书；但必须在营业执照之后附上法定代表人身份证复印；</w:t>
      </w:r>
    </w:p>
    <w:p w14:paraId="77AD7C56">
      <w:pPr>
        <w:ind w:firstLine="420"/>
        <w:rPr>
          <w:rFonts w:ascii="宋体" w:hAnsi="宋体" w:cs="宋体"/>
          <w:szCs w:val="21"/>
        </w:rPr>
      </w:pPr>
      <w:r>
        <w:rPr>
          <w:rFonts w:hint="eastAsia" w:ascii="宋体" w:hAnsi="宋体" w:cs="宋体"/>
          <w:szCs w:val="21"/>
        </w:rPr>
        <w:t>（3）</w:t>
      </w:r>
      <w:r>
        <w:rPr>
          <w:rFonts w:hint="eastAsia" w:ascii="宋体" w:hAnsi="宋体" w:cs="宋体"/>
          <w:b/>
          <w:i/>
          <w:szCs w:val="21"/>
          <w:u w:val="single"/>
        </w:rPr>
        <w:t>未按上述规定随附身份证复印件的，投标无效。</w:t>
      </w:r>
    </w:p>
    <w:p w14:paraId="2A512C0F">
      <w:pPr>
        <w:jc w:val="left"/>
        <w:rPr>
          <w:rFonts w:ascii="宋体" w:hAnsi="宋体" w:cs="宋体"/>
          <w:szCs w:val="21"/>
        </w:rPr>
      </w:pPr>
    </w:p>
    <w:p w14:paraId="4B38850D">
      <w:pPr>
        <w:jc w:val="left"/>
        <w:rPr>
          <w:rFonts w:ascii="宋体" w:hAnsi="宋体" w:cs="宋体"/>
          <w:szCs w:val="21"/>
        </w:rPr>
      </w:pPr>
    </w:p>
    <w:p w14:paraId="4E36D257">
      <w:pPr>
        <w:widowControl/>
        <w:jc w:val="left"/>
        <w:rPr>
          <w:rFonts w:ascii="宋体" w:hAnsi="宋体" w:cs="宋体"/>
          <w:szCs w:val="21"/>
        </w:rPr>
      </w:pPr>
      <w:r>
        <w:rPr>
          <w:rFonts w:hint="eastAsia" w:ascii="宋体" w:hAnsi="宋体" w:cs="宋体"/>
          <w:szCs w:val="21"/>
        </w:rPr>
        <w:br w:type="page"/>
      </w:r>
    </w:p>
    <w:p w14:paraId="040F8ACE">
      <w:pPr>
        <w:jc w:val="left"/>
        <w:outlineLvl w:val="2"/>
        <w:rPr>
          <w:rFonts w:ascii="宋体" w:hAnsi="宋体" w:cs="宋体"/>
          <w:szCs w:val="21"/>
        </w:rPr>
      </w:pPr>
      <w:bookmarkStart w:id="178" w:name="_Toc32240"/>
      <w:bookmarkStart w:id="179" w:name="_Toc27935"/>
      <w:bookmarkStart w:id="180" w:name="_Toc26116"/>
      <w:bookmarkStart w:id="181" w:name="_Toc12469"/>
      <w:r>
        <w:rPr>
          <w:rFonts w:hint="eastAsia" w:ascii="宋体" w:hAnsi="宋体" w:cs="宋体"/>
          <w:szCs w:val="21"/>
        </w:rPr>
        <w:t>格式三、开标一览表</w:t>
      </w:r>
      <w:bookmarkEnd w:id="178"/>
      <w:bookmarkEnd w:id="179"/>
      <w:bookmarkEnd w:id="180"/>
      <w:bookmarkEnd w:id="181"/>
    </w:p>
    <w:p w14:paraId="55AC78F1">
      <w:pPr>
        <w:jc w:val="left"/>
        <w:rPr>
          <w:rFonts w:ascii="宋体" w:hAnsi="宋体" w:cs="宋体"/>
          <w:szCs w:val="21"/>
        </w:rPr>
      </w:pPr>
    </w:p>
    <w:p w14:paraId="4C6DF5DC">
      <w:pPr>
        <w:jc w:val="center"/>
        <w:rPr>
          <w:rFonts w:ascii="宋体" w:hAnsi="宋体" w:cs="宋体"/>
          <w:b/>
          <w:sz w:val="28"/>
          <w:szCs w:val="28"/>
        </w:rPr>
      </w:pPr>
      <w:r>
        <w:rPr>
          <w:rFonts w:hint="eastAsia" w:ascii="宋体" w:hAnsi="宋体" w:cs="宋体"/>
          <w:b/>
          <w:sz w:val="28"/>
          <w:szCs w:val="28"/>
        </w:rPr>
        <w:t>开标一览表</w:t>
      </w:r>
    </w:p>
    <w:p w14:paraId="2B8BE3E6">
      <w:pPr>
        <w:rPr>
          <w:rFonts w:ascii="宋体" w:hAnsi="宋体" w:cs="宋体"/>
          <w:b/>
          <w:szCs w:val="21"/>
        </w:rPr>
      </w:pPr>
    </w:p>
    <w:tbl>
      <w:tblPr>
        <w:tblStyle w:val="2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7"/>
      </w:tblGrid>
      <w:tr w14:paraId="45F7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Align w:val="center"/>
          </w:tcPr>
          <w:p w14:paraId="23DD517C">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采购人：</w:t>
            </w:r>
          </w:p>
        </w:tc>
        <w:tc>
          <w:tcPr>
            <w:tcW w:w="7087" w:type="dxa"/>
            <w:vAlign w:val="center"/>
          </w:tcPr>
          <w:p w14:paraId="7D65E1A2">
            <w:pPr>
              <w:keepNext w:val="0"/>
              <w:keepLines w:val="0"/>
              <w:suppressLineNumbers w:val="0"/>
              <w:spacing w:before="0" w:beforeAutospacing="0" w:after="0" w:afterAutospacing="0"/>
              <w:ind w:left="420" w:right="0" w:hanging="420"/>
              <w:rPr>
                <w:rFonts w:ascii="宋体" w:hAnsi="宋体"/>
                <w:szCs w:val="21"/>
              </w:rPr>
            </w:pPr>
            <w:r>
              <w:rPr>
                <w:rFonts w:hint="eastAsia" w:ascii="宋体" w:hAnsi="宋体"/>
                <w:szCs w:val="21"/>
              </w:rPr>
              <w:t>中华人民共和国南京海关</w:t>
            </w:r>
          </w:p>
        </w:tc>
      </w:tr>
      <w:tr w14:paraId="130A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Align w:val="center"/>
          </w:tcPr>
          <w:p w14:paraId="58C7C66D">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项目名称：</w:t>
            </w:r>
          </w:p>
        </w:tc>
        <w:tc>
          <w:tcPr>
            <w:tcW w:w="7087" w:type="dxa"/>
            <w:vAlign w:val="center"/>
          </w:tcPr>
          <w:p w14:paraId="6C8EE62C">
            <w:pPr>
              <w:keepNext w:val="0"/>
              <w:keepLines w:val="0"/>
              <w:suppressLineNumbers w:val="0"/>
              <w:spacing w:before="0" w:beforeAutospacing="0" w:after="0" w:afterAutospacing="0"/>
              <w:ind w:left="420" w:right="0" w:hanging="420"/>
              <w:rPr>
                <w:rFonts w:ascii="宋体" w:hAnsi="宋体"/>
                <w:szCs w:val="21"/>
              </w:rPr>
            </w:pPr>
            <w:r>
              <w:rPr>
                <w:rFonts w:hint="eastAsia" w:ascii="宋体" w:hAnsi="宋体"/>
                <w:szCs w:val="21"/>
              </w:rPr>
              <w:t>中国电子口岸运行保障运维服务采购项目</w:t>
            </w:r>
          </w:p>
        </w:tc>
      </w:tr>
      <w:tr w14:paraId="4AAC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Align w:val="center"/>
          </w:tcPr>
          <w:p w14:paraId="392241B7">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项目编号：</w:t>
            </w:r>
          </w:p>
        </w:tc>
        <w:tc>
          <w:tcPr>
            <w:tcW w:w="7087" w:type="dxa"/>
            <w:vAlign w:val="center"/>
          </w:tcPr>
          <w:p w14:paraId="71AE52E6">
            <w:pPr>
              <w:keepNext w:val="0"/>
              <w:keepLines w:val="0"/>
              <w:suppressLineNumbers w:val="0"/>
              <w:spacing w:before="0" w:beforeAutospacing="0" w:after="0" w:afterAutospacing="0"/>
              <w:ind w:left="420" w:right="0" w:hanging="420"/>
              <w:rPr>
                <w:rFonts w:ascii="宋体" w:hAnsi="宋体"/>
                <w:szCs w:val="21"/>
              </w:rPr>
            </w:pPr>
            <w:r>
              <w:rPr>
                <w:rFonts w:hint="eastAsia" w:ascii="宋体" w:hAnsi="宋体"/>
                <w:szCs w:val="21"/>
              </w:rPr>
              <w:t>1214-244209444LDY</w:t>
            </w:r>
          </w:p>
        </w:tc>
      </w:tr>
      <w:tr w14:paraId="0AC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Merge w:val="restart"/>
            <w:vAlign w:val="center"/>
          </w:tcPr>
          <w:p w14:paraId="1B2B262A">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投标总报价：</w:t>
            </w:r>
          </w:p>
        </w:tc>
        <w:tc>
          <w:tcPr>
            <w:tcW w:w="7087" w:type="dxa"/>
            <w:vAlign w:val="center"/>
          </w:tcPr>
          <w:p w14:paraId="4C4B25C4">
            <w:pPr>
              <w:keepNext w:val="0"/>
              <w:keepLines w:val="0"/>
              <w:suppressLineNumbers w:val="0"/>
              <w:spacing w:before="0" w:beforeAutospacing="0" w:after="0" w:afterAutospacing="0"/>
              <w:ind w:left="420" w:right="0" w:hanging="420"/>
              <w:rPr>
                <w:rFonts w:ascii="宋体" w:hAnsi="宋体"/>
                <w:szCs w:val="21"/>
              </w:rPr>
            </w:pPr>
            <w:r>
              <w:rPr>
                <w:rFonts w:hint="eastAsia" w:ascii="宋体" w:hAnsi="宋体"/>
                <w:szCs w:val="21"/>
              </w:rPr>
              <w:t>大写：</w:t>
            </w:r>
          </w:p>
        </w:tc>
      </w:tr>
      <w:tr w14:paraId="411F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Merge w:val="continue"/>
            <w:vAlign w:val="center"/>
          </w:tcPr>
          <w:p w14:paraId="31DB9206">
            <w:pPr>
              <w:keepNext w:val="0"/>
              <w:keepLines w:val="0"/>
              <w:suppressLineNumbers w:val="0"/>
              <w:spacing w:before="0" w:beforeAutospacing="0" w:after="0" w:afterAutospacing="0"/>
              <w:ind w:left="420" w:right="0" w:hanging="420"/>
              <w:jc w:val="center"/>
              <w:rPr>
                <w:rFonts w:ascii="宋体" w:hAnsi="宋体"/>
                <w:szCs w:val="21"/>
              </w:rPr>
            </w:pPr>
          </w:p>
        </w:tc>
        <w:tc>
          <w:tcPr>
            <w:tcW w:w="7087" w:type="dxa"/>
            <w:vAlign w:val="center"/>
          </w:tcPr>
          <w:p w14:paraId="3E7927D0">
            <w:pPr>
              <w:keepNext w:val="0"/>
              <w:keepLines w:val="0"/>
              <w:suppressLineNumbers w:val="0"/>
              <w:spacing w:before="0" w:beforeAutospacing="0" w:after="0" w:afterAutospacing="0"/>
              <w:ind w:left="420" w:right="0" w:hanging="420"/>
              <w:rPr>
                <w:rFonts w:ascii="宋体" w:hAnsi="宋体"/>
                <w:szCs w:val="21"/>
              </w:rPr>
            </w:pPr>
            <w:r>
              <w:rPr>
                <w:rFonts w:hint="eastAsia" w:ascii="宋体" w:hAnsi="宋体"/>
                <w:szCs w:val="21"/>
              </w:rPr>
              <w:t>小写：</w:t>
            </w:r>
          </w:p>
        </w:tc>
      </w:tr>
      <w:tr w14:paraId="5D81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Align w:val="center"/>
          </w:tcPr>
          <w:p w14:paraId="20E1AFC5">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服务期限：</w:t>
            </w:r>
          </w:p>
        </w:tc>
        <w:tc>
          <w:tcPr>
            <w:tcW w:w="7087" w:type="dxa"/>
            <w:vAlign w:val="center"/>
          </w:tcPr>
          <w:p w14:paraId="611EA70A">
            <w:pPr>
              <w:keepNext w:val="0"/>
              <w:keepLines w:val="0"/>
              <w:suppressLineNumbers w:val="0"/>
              <w:spacing w:before="0" w:beforeAutospacing="0" w:after="0" w:afterAutospacing="0"/>
              <w:ind w:left="420" w:right="0" w:hanging="420"/>
              <w:rPr>
                <w:rFonts w:ascii="宋体" w:hAnsi="宋体"/>
                <w:szCs w:val="21"/>
              </w:rPr>
            </w:pPr>
          </w:p>
        </w:tc>
      </w:tr>
      <w:tr w14:paraId="0B56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5" w:type="dxa"/>
            <w:vAlign w:val="center"/>
          </w:tcPr>
          <w:p w14:paraId="796CDF67">
            <w:pPr>
              <w:keepNext w:val="0"/>
              <w:keepLines w:val="0"/>
              <w:suppressLineNumbers w:val="0"/>
              <w:spacing w:before="0" w:beforeAutospacing="0" w:after="0" w:afterAutospacing="0"/>
              <w:ind w:left="420" w:right="0" w:hanging="420"/>
              <w:jc w:val="center"/>
              <w:rPr>
                <w:rFonts w:ascii="宋体" w:hAnsi="宋体"/>
                <w:szCs w:val="21"/>
              </w:rPr>
            </w:pPr>
            <w:r>
              <w:rPr>
                <w:rFonts w:hint="eastAsia" w:ascii="宋体" w:hAnsi="宋体"/>
                <w:szCs w:val="21"/>
              </w:rPr>
              <w:t>备注</w:t>
            </w:r>
          </w:p>
        </w:tc>
        <w:tc>
          <w:tcPr>
            <w:tcW w:w="7087" w:type="dxa"/>
            <w:vAlign w:val="center"/>
          </w:tcPr>
          <w:p w14:paraId="7E7C1DA8">
            <w:pPr>
              <w:keepNext w:val="0"/>
              <w:keepLines w:val="0"/>
              <w:suppressLineNumbers w:val="0"/>
              <w:spacing w:before="0" w:beforeAutospacing="0" w:after="0" w:afterAutospacing="0"/>
              <w:ind w:left="0" w:right="0"/>
              <w:rPr>
                <w:rFonts w:ascii="宋体" w:hAnsi="宋体"/>
                <w:szCs w:val="21"/>
              </w:rPr>
            </w:pPr>
          </w:p>
        </w:tc>
      </w:tr>
    </w:tbl>
    <w:p w14:paraId="060D391C">
      <w:pPr>
        <w:ind w:firstLine="420" w:firstLineChars="200"/>
        <w:rPr>
          <w:rFonts w:ascii="宋体" w:hAnsi="宋体" w:cs="宋体"/>
          <w:szCs w:val="21"/>
        </w:rPr>
      </w:pPr>
    </w:p>
    <w:p w14:paraId="7DE7B54D">
      <w:pPr>
        <w:pStyle w:val="57"/>
        <w:tabs>
          <w:tab w:val="clear" w:pos="1260"/>
        </w:tabs>
        <w:adjustRightInd/>
        <w:snapToGrid/>
        <w:spacing w:beforeLines="0"/>
        <w:outlineLvl w:val="9"/>
        <w:rPr>
          <w:rFonts w:ascii="宋体" w:hAnsi="宋体" w:eastAsia="宋体"/>
          <w:sz w:val="21"/>
          <w:szCs w:val="21"/>
        </w:rPr>
      </w:pPr>
    </w:p>
    <w:p w14:paraId="3275FC74">
      <w:pPr>
        <w:pStyle w:val="57"/>
        <w:tabs>
          <w:tab w:val="clear" w:pos="1260"/>
        </w:tabs>
        <w:adjustRightInd/>
        <w:snapToGrid/>
        <w:spacing w:beforeLines="0"/>
        <w:outlineLvl w:val="9"/>
        <w:rPr>
          <w:rFonts w:ascii="宋体" w:hAnsi="宋体" w:eastAsia="宋体"/>
          <w:sz w:val="21"/>
          <w:szCs w:val="21"/>
        </w:rPr>
      </w:pPr>
    </w:p>
    <w:p w14:paraId="00C59C0C">
      <w:pPr>
        <w:ind w:firstLine="420" w:firstLineChars="200"/>
        <w:rPr>
          <w:rFonts w:ascii="宋体" w:hAnsi="宋体" w:cs="宋体"/>
          <w:szCs w:val="21"/>
          <w:u w:val="single"/>
        </w:rPr>
      </w:pPr>
      <w:r>
        <w:rPr>
          <w:rFonts w:hint="eastAsia" w:ascii="宋体" w:hAnsi="宋体" w:cs="宋体"/>
          <w:szCs w:val="21"/>
        </w:rPr>
        <w:t>投标人名称（盖章）：</w:t>
      </w:r>
    </w:p>
    <w:p w14:paraId="0144DB6B">
      <w:pPr>
        <w:rPr>
          <w:rFonts w:ascii="宋体" w:hAnsi="宋体" w:cs="宋体"/>
          <w:szCs w:val="21"/>
        </w:rPr>
      </w:pPr>
    </w:p>
    <w:p w14:paraId="5ED845BA">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246A4DA1">
      <w:pPr>
        <w:rPr>
          <w:rFonts w:ascii="宋体" w:hAnsi="宋体" w:cs="宋体"/>
          <w:szCs w:val="21"/>
        </w:rPr>
      </w:pPr>
    </w:p>
    <w:p w14:paraId="33D9577A">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1527A855">
      <w:pPr>
        <w:rPr>
          <w:rFonts w:ascii="宋体" w:hAnsi="宋体" w:cs="宋体"/>
          <w:szCs w:val="21"/>
        </w:rPr>
      </w:pPr>
    </w:p>
    <w:p w14:paraId="6F70100B">
      <w:pPr>
        <w:rPr>
          <w:rFonts w:ascii="宋体" w:hAnsi="宋体" w:cs="宋体"/>
          <w:szCs w:val="21"/>
        </w:rPr>
      </w:pPr>
    </w:p>
    <w:p w14:paraId="48CBAC86">
      <w:pPr>
        <w:rPr>
          <w:rFonts w:ascii="宋体" w:hAnsi="宋体" w:cs="宋体"/>
          <w:b/>
          <w:i/>
          <w:szCs w:val="21"/>
          <w:u w:val="single"/>
        </w:rPr>
      </w:pPr>
      <w:r>
        <w:rPr>
          <w:rFonts w:hint="eastAsia" w:ascii="宋体" w:hAnsi="宋体" w:cs="宋体"/>
          <w:b/>
          <w:i/>
          <w:szCs w:val="21"/>
          <w:u w:val="single"/>
          <w:lang w:val="zh-CN"/>
        </w:rPr>
        <w:t>《开标一览表》一式两份，一份装订在投标文件中，另一份单独封装，并标明“开标一览表”字样，随投标文件一并递交，以便唱标时查找。两份《开标一览表》均须</w:t>
      </w:r>
      <w:r>
        <w:rPr>
          <w:rFonts w:hint="eastAsia" w:ascii="宋体" w:hAnsi="宋体" w:cs="宋体"/>
          <w:b/>
          <w:i/>
          <w:szCs w:val="21"/>
          <w:u w:val="single"/>
        </w:rPr>
        <w:t>按招标文件要求签署、盖章。</w:t>
      </w:r>
    </w:p>
    <w:p w14:paraId="0E5ACDC3">
      <w:pPr>
        <w:jc w:val="left"/>
        <w:rPr>
          <w:rFonts w:ascii="宋体" w:hAnsi="宋体" w:cs="宋体"/>
          <w:b/>
          <w:szCs w:val="21"/>
        </w:rPr>
      </w:pPr>
    </w:p>
    <w:p w14:paraId="4078DAB4">
      <w:pPr>
        <w:widowControl/>
        <w:jc w:val="left"/>
        <w:rPr>
          <w:rFonts w:ascii="宋体" w:hAnsi="宋体" w:cs="宋体"/>
          <w:szCs w:val="21"/>
        </w:rPr>
      </w:pPr>
      <w:r>
        <w:rPr>
          <w:rFonts w:hint="eastAsia" w:ascii="宋体" w:hAnsi="宋体" w:cs="宋体"/>
          <w:b/>
          <w:szCs w:val="21"/>
        </w:rPr>
        <w:br w:type="page"/>
      </w:r>
      <w:bookmarkStart w:id="182" w:name="_Toc157775468"/>
    </w:p>
    <w:p w14:paraId="356A875E">
      <w:pPr>
        <w:jc w:val="left"/>
        <w:outlineLvl w:val="2"/>
        <w:rPr>
          <w:rFonts w:ascii="宋体" w:hAnsi="宋体" w:cs="宋体"/>
          <w:szCs w:val="21"/>
        </w:rPr>
      </w:pPr>
      <w:bookmarkStart w:id="183" w:name="_Toc10114"/>
      <w:bookmarkStart w:id="184" w:name="_Toc19321"/>
      <w:bookmarkStart w:id="185" w:name="_Toc3013"/>
      <w:bookmarkStart w:id="186" w:name="_Toc19147"/>
      <w:r>
        <w:rPr>
          <w:rFonts w:hint="eastAsia" w:ascii="宋体" w:hAnsi="宋体" w:cs="宋体"/>
          <w:szCs w:val="21"/>
        </w:rPr>
        <w:t>格式四、投标报价表</w:t>
      </w:r>
      <w:bookmarkEnd w:id="183"/>
      <w:bookmarkEnd w:id="184"/>
      <w:bookmarkEnd w:id="185"/>
      <w:bookmarkEnd w:id="186"/>
    </w:p>
    <w:p w14:paraId="0C2A8207">
      <w:pPr>
        <w:jc w:val="left"/>
        <w:rPr>
          <w:rFonts w:ascii="宋体" w:hAnsi="宋体" w:cs="宋体"/>
          <w:szCs w:val="21"/>
        </w:rPr>
      </w:pPr>
    </w:p>
    <w:p w14:paraId="1C261462">
      <w:pPr>
        <w:jc w:val="center"/>
        <w:rPr>
          <w:rFonts w:ascii="宋体" w:hAnsi="宋体" w:cs="宋体"/>
          <w:b/>
          <w:sz w:val="28"/>
          <w:szCs w:val="28"/>
        </w:rPr>
      </w:pPr>
      <w:r>
        <w:rPr>
          <w:rFonts w:hint="eastAsia" w:ascii="宋体" w:hAnsi="宋体" w:cs="宋体"/>
          <w:b/>
          <w:sz w:val="28"/>
          <w:szCs w:val="28"/>
        </w:rPr>
        <w:t>投标报价表</w:t>
      </w:r>
    </w:p>
    <w:p w14:paraId="68DD1A3D">
      <w:pPr>
        <w:rPr>
          <w:rFonts w:ascii="宋体" w:hAnsi="宋体" w:cs="宋体"/>
          <w:szCs w:val="21"/>
        </w:rPr>
      </w:pPr>
    </w:p>
    <w:p w14:paraId="5CC9B4BD">
      <w:pPr>
        <w:rPr>
          <w:rFonts w:ascii="宋体" w:hAnsi="宋体" w:cs="宋体"/>
          <w:szCs w:val="21"/>
        </w:rPr>
      </w:pPr>
      <w:r>
        <w:rPr>
          <w:rFonts w:hint="eastAsia" w:ascii="宋体" w:hAnsi="宋体" w:cs="宋体"/>
          <w:szCs w:val="21"/>
        </w:rPr>
        <w:t>项目名称：中国电子口岸运行保障运维服务采购项目</w:t>
      </w:r>
    </w:p>
    <w:p w14:paraId="040149CA">
      <w:pPr>
        <w:rPr>
          <w:rFonts w:ascii="宋体" w:hAnsi="宋体" w:cs="宋体"/>
          <w:szCs w:val="21"/>
        </w:rPr>
      </w:pPr>
      <w:r>
        <w:rPr>
          <w:rFonts w:hint="eastAsia" w:ascii="宋体" w:hAnsi="宋体" w:cs="宋体"/>
          <w:szCs w:val="21"/>
        </w:rPr>
        <w:t>项目编号：1214-244209444LDY</w:t>
      </w:r>
    </w:p>
    <w:tbl>
      <w:tblPr>
        <w:tblStyle w:val="28"/>
        <w:tblW w:w="9072"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82"/>
        <w:gridCol w:w="3471"/>
        <w:gridCol w:w="1134"/>
        <w:gridCol w:w="1843"/>
        <w:gridCol w:w="1842"/>
      </w:tblGrid>
      <w:tr w14:paraId="009CA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82" w:type="dxa"/>
            <w:tcBorders>
              <w:top w:val="single" w:color="auto" w:sz="4" w:space="0"/>
              <w:bottom w:val="single" w:color="auto" w:sz="4" w:space="0"/>
              <w:right w:val="single" w:color="auto" w:sz="4" w:space="0"/>
            </w:tcBorders>
            <w:vAlign w:val="center"/>
          </w:tcPr>
          <w:p w14:paraId="4DCC1A3A">
            <w:pPr>
              <w:keepNext w:val="0"/>
              <w:keepLines w:val="0"/>
              <w:suppressLineNumbers w:val="0"/>
              <w:spacing w:before="0" w:beforeAutospacing="0" w:after="0" w:afterAutospacing="0"/>
              <w:ind w:left="0" w:right="0"/>
              <w:jc w:val="center"/>
              <w:rPr>
                <w:rFonts w:ascii="宋体"/>
                <w:szCs w:val="21"/>
              </w:rPr>
            </w:pPr>
            <w:r>
              <w:rPr>
                <w:rFonts w:hint="eastAsia" w:ascii="宋体" w:hAnsi="宋体"/>
                <w:szCs w:val="21"/>
              </w:rPr>
              <w:t>序号</w:t>
            </w:r>
          </w:p>
        </w:tc>
        <w:tc>
          <w:tcPr>
            <w:tcW w:w="3471" w:type="dxa"/>
            <w:tcBorders>
              <w:top w:val="single" w:color="auto" w:sz="4" w:space="0"/>
              <w:left w:val="single" w:color="auto" w:sz="4" w:space="0"/>
              <w:bottom w:val="single" w:color="auto" w:sz="4" w:space="0"/>
              <w:right w:val="single" w:color="auto" w:sz="4" w:space="0"/>
            </w:tcBorders>
            <w:vAlign w:val="center"/>
          </w:tcPr>
          <w:p w14:paraId="60D6A890">
            <w:pPr>
              <w:keepNext w:val="0"/>
              <w:keepLines w:val="0"/>
              <w:suppressLineNumbers w:val="0"/>
              <w:spacing w:before="0" w:beforeAutospacing="0" w:after="0" w:afterAutospacing="0"/>
              <w:ind w:left="0" w:right="0"/>
              <w:jc w:val="center"/>
              <w:rPr>
                <w:rFonts w:ascii="宋体"/>
                <w:szCs w:val="21"/>
              </w:rPr>
            </w:pPr>
            <w:r>
              <w:rPr>
                <w:rFonts w:ascii="宋体"/>
                <w:szCs w:val="21"/>
              </w:rPr>
              <w:t>服务项目名称</w:t>
            </w:r>
            <w:r>
              <w:rPr>
                <w:rFonts w:hint="eastAsia" w:ascii="宋体"/>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06503785">
            <w:pPr>
              <w:keepNext w:val="0"/>
              <w:keepLines w:val="0"/>
              <w:suppressLineNumbers w:val="0"/>
              <w:spacing w:before="0" w:beforeAutospacing="0" w:after="0" w:afterAutospacing="0"/>
              <w:ind w:left="0" w:right="0"/>
              <w:jc w:val="center"/>
              <w:rPr>
                <w:rFonts w:ascii="宋体"/>
                <w:szCs w:val="21"/>
              </w:rPr>
            </w:pPr>
            <w:r>
              <w:rPr>
                <w:rFonts w:ascii="宋体"/>
                <w:szCs w:val="21"/>
              </w:rPr>
              <w:t>数量</w:t>
            </w:r>
          </w:p>
        </w:tc>
        <w:tc>
          <w:tcPr>
            <w:tcW w:w="1843" w:type="dxa"/>
            <w:tcBorders>
              <w:top w:val="single" w:color="auto" w:sz="4" w:space="0"/>
              <w:left w:val="single" w:color="auto" w:sz="4" w:space="0"/>
              <w:bottom w:val="single" w:color="auto" w:sz="4" w:space="0"/>
            </w:tcBorders>
            <w:vAlign w:val="center"/>
          </w:tcPr>
          <w:p w14:paraId="35E8709D">
            <w:pPr>
              <w:keepNext w:val="0"/>
              <w:keepLines w:val="0"/>
              <w:suppressLineNumbers w:val="0"/>
              <w:spacing w:before="0" w:beforeAutospacing="0" w:after="0" w:afterAutospacing="0"/>
              <w:ind w:left="0" w:right="0"/>
              <w:jc w:val="center"/>
              <w:rPr>
                <w:rFonts w:ascii="宋体"/>
                <w:szCs w:val="21"/>
              </w:rPr>
            </w:pPr>
            <w:r>
              <w:rPr>
                <w:rFonts w:ascii="宋体"/>
                <w:szCs w:val="21"/>
              </w:rPr>
              <w:t>单价</w:t>
            </w:r>
          </w:p>
          <w:p w14:paraId="19728FDB">
            <w:pPr>
              <w:keepNext w:val="0"/>
              <w:keepLines w:val="0"/>
              <w:suppressLineNumbers w:val="0"/>
              <w:spacing w:before="0" w:beforeAutospacing="0" w:after="0" w:afterAutospacing="0"/>
              <w:ind w:left="0" w:right="0"/>
              <w:jc w:val="center"/>
              <w:rPr>
                <w:rFonts w:ascii="宋体"/>
                <w:szCs w:val="21"/>
              </w:rPr>
            </w:pPr>
            <w:r>
              <w:rPr>
                <w:rFonts w:hint="eastAsia" w:ascii="宋体"/>
                <w:szCs w:val="21"/>
              </w:rPr>
              <w:t>（元）</w:t>
            </w:r>
          </w:p>
        </w:tc>
        <w:tc>
          <w:tcPr>
            <w:tcW w:w="1842" w:type="dxa"/>
            <w:tcBorders>
              <w:top w:val="single" w:color="auto" w:sz="4" w:space="0"/>
              <w:left w:val="single" w:color="auto" w:sz="4" w:space="0"/>
              <w:bottom w:val="single" w:color="auto" w:sz="4" w:space="0"/>
            </w:tcBorders>
            <w:vAlign w:val="center"/>
          </w:tcPr>
          <w:p w14:paraId="5CADDAFE">
            <w:pPr>
              <w:keepNext w:val="0"/>
              <w:keepLines w:val="0"/>
              <w:suppressLineNumbers w:val="0"/>
              <w:spacing w:before="0" w:beforeAutospacing="0" w:after="0" w:afterAutospacing="0"/>
              <w:ind w:left="0" w:right="0"/>
              <w:jc w:val="center"/>
              <w:rPr>
                <w:rFonts w:ascii="宋体"/>
                <w:szCs w:val="21"/>
              </w:rPr>
            </w:pPr>
            <w:r>
              <w:rPr>
                <w:rFonts w:ascii="宋体"/>
                <w:szCs w:val="21"/>
              </w:rPr>
              <w:t>总价</w:t>
            </w:r>
          </w:p>
          <w:p w14:paraId="66600F4B">
            <w:pPr>
              <w:keepNext w:val="0"/>
              <w:keepLines w:val="0"/>
              <w:suppressLineNumbers w:val="0"/>
              <w:spacing w:before="0" w:beforeAutospacing="0" w:after="0" w:afterAutospacing="0"/>
              <w:ind w:left="0" w:right="0"/>
              <w:jc w:val="center"/>
              <w:rPr>
                <w:rFonts w:ascii="宋体"/>
                <w:szCs w:val="21"/>
              </w:rPr>
            </w:pPr>
            <w:r>
              <w:rPr>
                <w:rFonts w:hint="eastAsia" w:ascii="宋体"/>
                <w:szCs w:val="21"/>
              </w:rPr>
              <w:t>（元）</w:t>
            </w:r>
          </w:p>
        </w:tc>
      </w:tr>
      <w:tr w14:paraId="7E43D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82" w:type="dxa"/>
            <w:tcBorders>
              <w:top w:val="single" w:color="auto" w:sz="4" w:space="0"/>
              <w:bottom w:val="single" w:color="auto" w:sz="4" w:space="0"/>
              <w:right w:val="single" w:color="auto" w:sz="4" w:space="0"/>
            </w:tcBorders>
            <w:vAlign w:val="center"/>
          </w:tcPr>
          <w:p w14:paraId="104CF9BF">
            <w:pPr>
              <w:keepNext w:val="0"/>
              <w:keepLines w:val="0"/>
              <w:suppressLineNumbers w:val="0"/>
              <w:spacing w:before="0" w:beforeAutospacing="0" w:after="0" w:afterAutospacing="0"/>
              <w:ind w:left="0" w:right="0"/>
              <w:jc w:val="center"/>
              <w:rPr>
                <w:rFonts w:ascii="宋体"/>
                <w:szCs w:val="21"/>
              </w:rPr>
            </w:pPr>
            <w:r>
              <w:rPr>
                <w:rFonts w:hint="eastAsia" w:ascii="宋体"/>
                <w:szCs w:val="21"/>
              </w:rPr>
              <w:t>1</w:t>
            </w:r>
          </w:p>
        </w:tc>
        <w:tc>
          <w:tcPr>
            <w:tcW w:w="3471" w:type="dxa"/>
            <w:tcBorders>
              <w:top w:val="single" w:color="auto" w:sz="4" w:space="0"/>
              <w:left w:val="single" w:color="auto" w:sz="4" w:space="0"/>
              <w:bottom w:val="single" w:color="auto" w:sz="4" w:space="0"/>
              <w:right w:val="single" w:color="auto" w:sz="4" w:space="0"/>
            </w:tcBorders>
            <w:vAlign w:val="center"/>
          </w:tcPr>
          <w:p w14:paraId="3624465D">
            <w:pPr>
              <w:pStyle w:val="61"/>
              <w:keepNext w:val="0"/>
              <w:keepLines w:val="0"/>
              <w:suppressLineNumbers w:val="0"/>
              <w:spacing w:before="0" w:beforeAutospacing="0" w:after="0" w:afterAutospacing="0"/>
              <w:ind w:left="0" w:right="0" w:firstLine="0" w:firstLineChars="0"/>
              <w:jc w:val="center"/>
              <w:rPr>
                <w:rFonts w:ascii="宋体"/>
                <w:szCs w:val="21"/>
              </w:rPr>
            </w:pPr>
            <w:r>
              <w:rPr>
                <w:rFonts w:hint="eastAsia" w:ascii="宋体"/>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376072B2">
            <w:pPr>
              <w:pStyle w:val="61"/>
              <w:keepNext w:val="0"/>
              <w:keepLines w:val="0"/>
              <w:suppressLineNumbers w:val="0"/>
              <w:spacing w:before="0" w:beforeAutospacing="0" w:after="0" w:afterAutospacing="0"/>
              <w:ind w:left="0" w:right="0" w:firstLine="0" w:firstLineChars="0"/>
              <w:jc w:val="center"/>
              <w:rPr>
                <w:rFonts w:ascii="宋体"/>
                <w:szCs w:val="21"/>
              </w:rPr>
            </w:pPr>
          </w:p>
        </w:tc>
        <w:tc>
          <w:tcPr>
            <w:tcW w:w="1843" w:type="dxa"/>
            <w:tcBorders>
              <w:top w:val="single" w:color="auto" w:sz="4" w:space="0"/>
              <w:left w:val="single" w:color="auto" w:sz="4" w:space="0"/>
              <w:bottom w:val="single" w:color="auto" w:sz="4" w:space="0"/>
            </w:tcBorders>
            <w:vAlign w:val="center"/>
          </w:tcPr>
          <w:p w14:paraId="523A6358">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bottom w:val="single" w:color="auto" w:sz="4" w:space="0"/>
            </w:tcBorders>
            <w:vAlign w:val="center"/>
          </w:tcPr>
          <w:p w14:paraId="1911A329">
            <w:pPr>
              <w:keepNext w:val="0"/>
              <w:keepLines w:val="0"/>
              <w:suppressLineNumbers w:val="0"/>
              <w:spacing w:before="0" w:beforeAutospacing="0" w:after="0" w:afterAutospacing="0"/>
              <w:ind w:left="0" w:right="0"/>
              <w:jc w:val="center"/>
              <w:rPr>
                <w:rFonts w:ascii="宋体"/>
                <w:szCs w:val="21"/>
              </w:rPr>
            </w:pPr>
          </w:p>
        </w:tc>
      </w:tr>
      <w:tr w14:paraId="5B408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82" w:type="dxa"/>
            <w:tcBorders>
              <w:top w:val="single" w:color="auto" w:sz="4" w:space="0"/>
              <w:right w:val="single" w:color="auto" w:sz="4" w:space="0"/>
            </w:tcBorders>
            <w:vAlign w:val="center"/>
          </w:tcPr>
          <w:p w14:paraId="4FAA18B8">
            <w:pPr>
              <w:keepNext w:val="0"/>
              <w:keepLines w:val="0"/>
              <w:suppressLineNumbers w:val="0"/>
              <w:spacing w:before="0" w:beforeAutospacing="0" w:after="0" w:afterAutospacing="0"/>
              <w:ind w:left="0" w:right="0"/>
              <w:jc w:val="center"/>
              <w:rPr>
                <w:rFonts w:ascii="宋体"/>
                <w:szCs w:val="21"/>
              </w:rPr>
            </w:pPr>
            <w:r>
              <w:rPr>
                <w:rFonts w:hint="eastAsia" w:ascii="宋体"/>
                <w:szCs w:val="21"/>
              </w:rPr>
              <w:t>2</w:t>
            </w:r>
          </w:p>
        </w:tc>
        <w:tc>
          <w:tcPr>
            <w:tcW w:w="3471" w:type="dxa"/>
            <w:tcBorders>
              <w:top w:val="single" w:color="auto" w:sz="4" w:space="0"/>
              <w:left w:val="single" w:color="auto" w:sz="4" w:space="0"/>
              <w:right w:val="single" w:color="auto" w:sz="4" w:space="0"/>
            </w:tcBorders>
            <w:vAlign w:val="center"/>
          </w:tcPr>
          <w:p w14:paraId="0CD7BC5B">
            <w:pPr>
              <w:pStyle w:val="61"/>
              <w:keepNext w:val="0"/>
              <w:keepLines w:val="0"/>
              <w:suppressLineNumbers w:val="0"/>
              <w:spacing w:before="0" w:beforeAutospacing="0" w:after="0" w:afterAutospacing="0"/>
              <w:ind w:left="0" w:right="0" w:firstLine="0" w:firstLineChars="0"/>
              <w:jc w:val="center"/>
              <w:rPr>
                <w:rFonts w:ascii="宋体"/>
                <w:szCs w:val="21"/>
              </w:rPr>
            </w:pPr>
            <w:r>
              <w:rPr>
                <w:rFonts w:hint="eastAsia" w:ascii="宋体"/>
                <w:szCs w:val="21"/>
              </w:rPr>
              <w:t>.............</w:t>
            </w:r>
          </w:p>
        </w:tc>
        <w:tc>
          <w:tcPr>
            <w:tcW w:w="1134" w:type="dxa"/>
            <w:tcBorders>
              <w:top w:val="single" w:color="auto" w:sz="4" w:space="0"/>
              <w:left w:val="single" w:color="auto" w:sz="4" w:space="0"/>
              <w:right w:val="single" w:color="auto" w:sz="4" w:space="0"/>
            </w:tcBorders>
            <w:vAlign w:val="center"/>
          </w:tcPr>
          <w:p w14:paraId="1BE7D187">
            <w:pPr>
              <w:pStyle w:val="61"/>
              <w:keepNext w:val="0"/>
              <w:keepLines w:val="0"/>
              <w:suppressLineNumbers w:val="0"/>
              <w:spacing w:before="0" w:beforeAutospacing="0" w:after="0" w:afterAutospacing="0"/>
              <w:ind w:left="0" w:right="0" w:firstLine="0" w:firstLineChars="0"/>
              <w:jc w:val="center"/>
              <w:rPr>
                <w:rFonts w:ascii="宋体"/>
                <w:szCs w:val="21"/>
              </w:rPr>
            </w:pPr>
          </w:p>
        </w:tc>
        <w:tc>
          <w:tcPr>
            <w:tcW w:w="1843" w:type="dxa"/>
            <w:tcBorders>
              <w:top w:val="single" w:color="auto" w:sz="4" w:space="0"/>
              <w:left w:val="single" w:color="auto" w:sz="4" w:space="0"/>
            </w:tcBorders>
            <w:vAlign w:val="center"/>
          </w:tcPr>
          <w:p w14:paraId="1D5A4687">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tcBorders>
            <w:vAlign w:val="center"/>
          </w:tcPr>
          <w:p w14:paraId="267BA976">
            <w:pPr>
              <w:keepNext w:val="0"/>
              <w:keepLines w:val="0"/>
              <w:suppressLineNumbers w:val="0"/>
              <w:spacing w:before="0" w:beforeAutospacing="0" w:after="0" w:afterAutospacing="0"/>
              <w:ind w:left="0" w:right="0"/>
              <w:jc w:val="center"/>
              <w:rPr>
                <w:rFonts w:ascii="宋体"/>
                <w:szCs w:val="21"/>
              </w:rPr>
            </w:pPr>
          </w:p>
        </w:tc>
      </w:tr>
      <w:tr w14:paraId="7E5B2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82" w:type="dxa"/>
            <w:tcBorders>
              <w:top w:val="single" w:color="auto" w:sz="4" w:space="0"/>
              <w:right w:val="single" w:color="auto" w:sz="4" w:space="0"/>
            </w:tcBorders>
            <w:vAlign w:val="center"/>
          </w:tcPr>
          <w:p w14:paraId="4BAB567C">
            <w:pPr>
              <w:keepNext w:val="0"/>
              <w:keepLines w:val="0"/>
              <w:suppressLineNumbers w:val="0"/>
              <w:spacing w:before="0" w:beforeAutospacing="0" w:after="0" w:afterAutospacing="0"/>
              <w:ind w:left="0" w:right="0"/>
              <w:jc w:val="center"/>
              <w:rPr>
                <w:rFonts w:ascii="宋体"/>
                <w:szCs w:val="21"/>
              </w:rPr>
            </w:pPr>
            <w:r>
              <w:rPr>
                <w:rFonts w:hint="eastAsia" w:ascii="宋体"/>
                <w:szCs w:val="21"/>
              </w:rPr>
              <w:t>3</w:t>
            </w:r>
          </w:p>
        </w:tc>
        <w:tc>
          <w:tcPr>
            <w:tcW w:w="3471" w:type="dxa"/>
            <w:tcBorders>
              <w:top w:val="single" w:color="auto" w:sz="4" w:space="0"/>
              <w:left w:val="single" w:color="auto" w:sz="4" w:space="0"/>
              <w:right w:val="single" w:color="auto" w:sz="4" w:space="0"/>
            </w:tcBorders>
            <w:vAlign w:val="center"/>
          </w:tcPr>
          <w:p w14:paraId="5A6415EE">
            <w:pPr>
              <w:pStyle w:val="61"/>
              <w:keepNext w:val="0"/>
              <w:keepLines w:val="0"/>
              <w:suppressLineNumbers w:val="0"/>
              <w:spacing w:before="0" w:beforeAutospacing="0" w:after="0" w:afterAutospacing="0"/>
              <w:ind w:left="0" w:right="0" w:firstLine="0" w:firstLineChars="0"/>
              <w:jc w:val="center"/>
              <w:rPr>
                <w:rFonts w:ascii="宋体" w:hAnsi="宋体"/>
                <w:szCs w:val="21"/>
              </w:rPr>
            </w:pPr>
            <w:r>
              <w:rPr>
                <w:rFonts w:hint="eastAsia" w:ascii="宋体"/>
                <w:szCs w:val="21"/>
              </w:rPr>
              <w:t>.............</w:t>
            </w:r>
          </w:p>
        </w:tc>
        <w:tc>
          <w:tcPr>
            <w:tcW w:w="1134" w:type="dxa"/>
            <w:tcBorders>
              <w:top w:val="single" w:color="auto" w:sz="4" w:space="0"/>
              <w:left w:val="single" w:color="auto" w:sz="4" w:space="0"/>
              <w:right w:val="single" w:color="auto" w:sz="4" w:space="0"/>
            </w:tcBorders>
            <w:vAlign w:val="center"/>
          </w:tcPr>
          <w:p w14:paraId="7E293E6E">
            <w:pPr>
              <w:pStyle w:val="61"/>
              <w:keepNext w:val="0"/>
              <w:keepLines w:val="0"/>
              <w:suppressLineNumbers w:val="0"/>
              <w:spacing w:before="0" w:beforeAutospacing="0" w:after="0" w:afterAutospacing="0"/>
              <w:ind w:left="0" w:right="0" w:firstLine="0" w:firstLineChars="0"/>
              <w:jc w:val="center"/>
              <w:rPr>
                <w:rFonts w:ascii="宋体" w:hAnsi="宋体"/>
                <w:szCs w:val="21"/>
              </w:rPr>
            </w:pPr>
          </w:p>
        </w:tc>
        <w:tc>
          <w:tcPr>
            <w:tcW w:w="1843" w:type="dxa"/>
            <w:tcBorders>
              <w:top w:val="single" w:color="auto" w:sz="4" w:space="0"/>
              <w:left w:val="single" w:color="auto" w:sz="4" w:space="0"/>
            </w:tcBorders>
            <w:vAlign w:val="center"/>
          </w:tcPr>
          <w:p w14:paraId="07D5CBFC">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tcBorders>
            <w:vAlign w:val="center"/>
          </w:tcPr>
          <w:p w14:paraId="2FFAFFA9">
            <w:pPr>
              <w:keepNext w:val="0"/>
              <w:keepLines w:val="0"/>
              <w:suppressLineNumbers w:val="0"/>
              <w:spacing w:before="0" w:beforeAutospacing="0" w:after="0" w:afterAutospacing="0"/>
              <w:ind w:left="0" w:right="0"/>
              <w:jc w:val="center"/>
              <w:rPr>
                <w:rFonts w:ascii="宋体"/>
                <w:szCs w:val="21"/>
              </w:rPr>
            </w:pPr>
          </w:p>
        </w:tc>
      </w:tr>
      <w:tr w14:paraId="58A45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82" w:type="dxa"/>
            <w:tcBorders>
              <w:top w:val="single" w:color="auto" w:sz="4" w:space="0"/>
              <w:right w:val="single" w:color="auto" w:sz="4" w:space="0"/>
            </w:tcBorders>
            <w:vAlign w:val="center"/>
          </w:tcPr>
          <w:p w14:paraId="137DFE35">
            <w:pPr>
              <w:keepNext w:val="0"/>
              <w:keepLines w:val="0"/>
              <w:suppressLineNumbers w:val="0"/>
              <w:spacing w:before="0" w:beforeAutospacing="0" w:after="0" w:afterAutospacing="0"/>
              <w:ind w:left="0" w:right="0"/>
              <w:jc w:val="center"/>
              <w:rPr>
                <w:rFonts w:ascii="宋体"/>
                <w:szCs w:val="21"/>
              </w:rPr>
            </w:pPr>
            <w:r>
              <w:rPr>
                <w:rFonts w:hint="eastAsia" w:ascii="宋体"/>
                <w:szCs w:val="21"/>
              </w:rPr>
              <w:t>4</w:t>
            </w:r>
          </w:p>
        </w:tc>
        <w:tc>
          <w:tcPr>
            <w:tcW w:w="3471" w:type="dxa"/>
            <w:tcBorders>
              <w:top w:val="single" w:color="auto" w:sz="4" w:space="0"/>
              <w:left w:val="single" w:color="auto" w:sz="4" w:space="0"/>
              <w:right w:val="single" w:color="auto" w:sz="4" w:space="0"/>
            </w:tcBorders>
            <w:vAlign w:val="center"/>
          </w:tcPr>
          <w:p w14:paraId="110BAA90">
            <w:pPr>
              <w:pStyle w:val="61"/>
              <w:keepNext w:val="0"/>
              <w:keepLines w:val="0"/>
              <w:suppressLineNumbers w:val="0"/>
              <w:spacing w:before="0" w:beforeAutospacing="0" w:after="0" w:afterAutospacing="0"/>
              <w:ind w:left="0" w:right="0" w:firstLine="0" w:firstLineChars="0"/>
              <w:jc w:val="center"/>
              <w:rPr>
                <w:rFonts w:ascii="宋体" w:hAnsi="宋体"/>
                <w:szCs w:val="21"/>
              </w:rPr>
            </w:pPr>
          </w:p>
        </w:tc>
        <w:tc>
          <w:tcPr>
            <w:tcW w:w="1134" w:type="dxa"/>
            <w:tcBorders>
              <w:top w:val="single" w:color="auto" w:sz="4" w:space="0"/>
              <w:left w:val="single" w:color="auto" w:sz="4" w:space="0"/>
              <w:right w:val="single" w:color="auto" w:sz="4" w:space="0"/>
            </w:tcBorders>
            <w:vAlign w:val="center"/>
          </w:tcPr>
          <w:p w14:paraId="2C86E77C">
            <w:pPr>
              <w:pStyle w:val="61"/>
              <w:keepNext w:val="0"/>
              <w:keepLines w:val="0"/>
              <w:suppressLineNumbers w:val="0"/>
              <w:spacing w:before="0" w:beforeAutospacing="0" w:after="0" w:afterAutospacing="0"/>
              <w:ind w:left="0" w:right="0" w:firstLine="0" w:firstLineChars="0"/>
              <w:jc w:val="center"/>
              <w:rPr>
                <w:rFonts w:ascii="宋体" w:hAnsi="宋体"/>
                <w:szCs w:val="21"/>
              </w:rPr>
            </w:pPr>
          </w:p>
        </w:tc>
        <w:tc>
          <w:tcPr>
            <w:tcW w:w="1843" w:type="dxa"/>
            <w:tcBorders>
              <w:top w:val="single" w:color="auto" w:sz="4" w:space="0"/>
              <w:left w:val="single" w:color="auto" w:sz="4" w:space="0"/>
            </w:tcBorders>
            <w:vAlign w:val="center"/>
          </w:tcPr>
          <w:p w14:paraId="295F9625">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tcBorders>
            <w:vAlign w:val="center"/>
          </w:tcPr>
          <w:p w14:paraId="6C86CEE1">
            <w:pPr>
              <w:keepNext w:val="0"/>
              <w:keepLines w:val="0"/>
              <w:suppressLineNumbers w:val="0"/>
              <w:spacing w:before="0" w:beforeAutospacing="0" w:after="0" w:afterAutospacing="0"/>
              <w:ind w:left="0" w:right="0"/>
              <w:jc w:val="center"/>
              <w:rPr>
                <w:rFonts w:ascii="宋体"/>
                <w:szCs w:val="21"/>
              </w:rPr>
            </w:pPr>
          </w:p>
        </w:tc>
      </w:tr>
      <w:tr w14:paraId="2B9D2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82" w:type="dxa"/>
            <w:tcBorders>
              <w:top w:val="single" w:color="auto" w:sz="4" w:space="0"/>
              <w:bottom w:val="single" w:color="auto" w:sz="4" w:space="0"/>
              <w:right w:val="single" w:color="auto" w:sz="4" w:space="0"/>
            </w:tcBorders>
            <w:vAlign w:val="center"/>
          </w:tcPr>
          <w:p w14:paraId="618B31AD">
            <w:pPr>
              <w:keepNext w:val="0"/>
              <w:keepLines w:val="0"/>
              <w:suppressLineNumbers w:val="0"/>
              <w:spacing w:before="0" w:beforeAutospacing="0" w:after="0" w:afterAutospacing="0"/>
              <w:ind w:left="0" w:right="0"/>
              <w:jc w:val="center"/>
              <w:rPr>
                <w:rFonts w:ascii="宋体"/>
                <w:szCs w:val="21"/>
              </w:rPr>
            </w:pPr>
            <w:r>
              <w:rPr>
                <w:rFonts w:hint="eastAsia" w:ascii="宋体"/>
                <w:szCs w:val="21"/>
              </w:rPr>
              <w:t>5</w:t>
            </w:r>
          </w:p>
        </w:tc>
        <w:tc>
          <w:tcPr>
            <w:tcW w:w="3471" w:type="dxa"/>
            <w:tcBorders>
              <w:top w:val="single" w:color="auto" w:sz="4" w:space="0"/>
              <w:left w:val="single" w:color="auto" w:sz="4" w:space="0"/>
              <w:bottom w:val="single" w:color="auto" w:sz="4" w:space="0"/>
              <w:right w:val="single" w:color="auto" w:sz="4" w:space="0"/>
            </w:tcBorders>
            <w:vAlign w:val="center"/>
          </w:tcPr>
          <w:p w14:paraId="658A9C41">
            <w:pPr>
              <w:pStyle w:val="61"/>
              <w:keepNext w:val="0"/>
              <w:keepLines w:val="0"/>
              <w:suppressLineNumbers w:val="0"/>
              <w:spacing w:before="0" w:beforeAutospacing="0" w:after="0" w:afterAutospacing="0"/>
              <w:ind w:left="0" w:right="0" w:firstLine="0" w:firstLineChars="0"/>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B98749A">
            <w:pPr>
              <w:pStyle w:val="61"/>
              <w:keepNext w:val="0"/>
              <w:keepLines w:val="0"/>
              <w:suppressLineNumbers w:val="0"/>
              <w:spacing w:before="0" w:beforeAutospacing="0" w:after="0" w:afterAutospacing="0"/>
              <w:ind w:left="0" w:right="0" w:firstLine="0" w:firstLineChars="0"/>
              <w:jc w:val="center"/>
              <w:rPr>
                <w:rFonts w:ascii="宋体" w:hAnsi="宋体"/>
                <w:szCs w:val="21"/>
              </w:rPr>
            </w:pPr>
          </w:p>
        </w:tc>
        <w:tc>
          <w:tcPr>
            <w:tcW w:w="1843" w:type="dxa"/>
            <w:tcBorders>
              <w:top w:val="single" w:color="auto" w:sz="4" w:space="0"/>
              <w:left w:val="single" w:color="auto" w:sz="4" w:space="0"/>
              <w:bottom w:val="single" w:color="auto" w:sz="4" w:space="0"/>
            </w:tcBorders>
            <w:vAlign w:val="center"/>
          </w:tcPr>
          <w:p w14:paraId="5F82EF6E">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bottom w:val="single" w:color="auto" w:sz="4" w:space="0"/>
            </w:tcBorders>
            <w:vAlign w:val="center"/>
          </w:tcPr>
          <w:p w14:paraId="2154E9A1">
            <w:pPr>
              <w:keepNext w:val="0"/>
              <w:keepLines w:val="0"/>
              <w:suppressLineNumbers w:val="0"/>
              <w:spacing w:before="0" w:beforeAutospacing="0" w:after="0" w:afterAutospacing="0"/>
              <w:ind w:left="0" w:right="0"/>
              <w:jc w:val="center"/>
              <w:rPr>
                <w:rFonts w:ascii="宋体"/>
                <w:szCs w:val="21"/>
              </w:rPr>
            </w:pPr>
          </w:p>
        </w:tc>
      </w:tr>
      <w:tr w14:paraId="39166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82" w:type="dxa"/>
            <w:tcBorders>
              <w:top w:val="single" w:color="auto" w:sz="4" w:space="0"/>
              <w:bottom w:val="single" w:color="auto" w:sz="4" w:space="0"/>
              <w:right w:val="single" w:color="auto" w:sz="4" w:space="0"/>
            </w:tcBorders>
            <w:vAlign w:val="center"/>
          </w:tcPr>
          <w:p w14:paraId="17E1E830">
            <w:pPr>
              <w:keepNext w:val="0"/>
              <w:keepLines w:val="0"/>
              <w:suppressLineNumbers w:val="0"/>
              <w:spacing w:before="0" w:beforeAutospacing="0" w:after="0" w:afterAutospacing="0"/>
              <w:ind w:left="0" w:right="0"/>
              <w:jc w:val="center"/>
              <w:rPr>
                <w:rFonts w:ascii="宋体"/>
                <w:szCs w:val="21"/>
              </w:rPr>
            </w:pPr>
            <w:r>
              <w:rPr>
                <w:rFonts w:hint="eastAsia" w:ascii="宋体"/>
                <w:szCs w:val="21"/>
              </w:rPr>
              <w:t>6</w:t>
            </w:r>
          </w:p>
        </w:tc>
        <w:tc>
          <w:tcPr>
            <w:tcW w:w="3471" w:type="dxa"/>
            <w:tcBorders>
              <w:top w:val="single" w:color="auto" w:sz="4" w:space="0"/>
              <w:left w:val="single" w:color="auto" w:sz="4" w:space="0"/>
              <w:bottom w:val="single" w:color="auto" w:sz="4" w:space="0"/>
              <w:right w:val="single" w:color="auto" w:sz="4" w:space="0"/>
            </w:tcBorders>
            <w:vAlign w:val="center"/>
          </w:tcPr>
          <w:p w14:paraId="2CF0786B">
            <w:pPr>
              <w:keepNext w:val="0"/>
              <w:keepLines w:val="0"/>
              <w:suppressLineNumbers w:val="0"/>
              <w:spacing w:before="0" w:beforeAutospacing="0" w:after="0" w:afterAutospacing="0"/>
              <w:ind w:left="0" w:right="0"/>
              <w:jc w:val="center"/>
              <w:rPr>
                <w:rFonts w:asci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770D8BE">
            <w:pPr>
              <w:keepNext w:val="0"/>
              <w:keepLines w:val="0"/>
              <w:suppressLineNumbers w:val="0"/>
              <w:spacing w:before="0" w:beforeAutospacing="0" w:after="0" w:afterAutospacing="0"/>
              <w:ind w:left="0" w:right="0"/>
              <w:jc w:val="center"/>
              <w:rPr>
                <w:rFonts w:ascii="宋体"/>
                <w:szCs w:val="21"/>
              </w:rPr>
            </w:pPr>
          </w:p>
        </w:tc>
        <w:tc>
          <w:tcPr>
            <w:tcW w:w="1843" w:type="dxa"/>
            <w:tcBorders>
              <w:top w:val="single" w:color="auto" w:sz="4" w:space="0"/>
              <w:left w:val="single" w:color="auto" w:sz="4" w:space="0"/>
              <w:bottom w:val="single" w:color="auto" w:sz="4" w:space="0"/>
            </w:tcBorders>
            <w:vAlign w:val="center"/>
          </w:tcPr>
          <w:p w14:paraId="6EBEF195">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bottom w:val="single" w:color="auto" w:sz="4" w:space="0"/>
            </w:tcBorders>
            <w:vAlign w:val="center"/>
          </w:tcPr>
          <w:p w14:paraId="69CBAE1B">
            <w:pPr>
              <w:keepNext w:val="0"/>
              <w:keepLines w:val="0"/>
              <w:suppressLineNumbers w:val="0"/>
              <w:spacing w:before="0" w:beforeAutospacing="0" w:after="0" w:afterAutospacing="0"/>
              <w:ind w:left="0" w:right="0"/>
              <w:jc w:val="center"/>
              <w:rPr>
                <w:rFonts w:ascii="宋体"/>
                <w:szCs w:val="21"/>
              </w:rPr>
            </w:pPr>
          </w:p>
        </w:tc>
      </w:tr>
      <w:tr w14:paraId="66FE4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82" w:type="dxa"/>
            <w:tcBorders>
              <w:top w:val="single" w:color="auto" w:sz="4" w:space="0"/>
              <w:bottom w:val="single" w:color="auto" w:sz="4" w:space="0"/>
              <w:right w:val="single" w:color="auto" w:sz="4" w:space="0"/>
            </w:tcBorders>
            <w:vAlign w:val="center"/>
          </w:tcPr>
          <w:p w14:paraId="7F9817CB">
            <w:pPr>
              <w:keepNext w:val="0"/>
              <w:keepLines w:val="0"/>
              <w:suppressLineNumbers w:val="0"/>
              <w:spacing w:before="0" w:beforeAutospacing="0" w:after="0" w:afterAutospacing="0"/>
              <w:ind w:left="0" w:right="0"/>
              <w:jc w:val="center"/>
              <w:rPr>
                <w:rFonts w:ascii="宋体"/>
                <w:szCs w:val="21"/>
              </w:rPr>
            </w:pPr>
            <w:r>
              <w:rPr>
                <w:rFonts w:hint="eastAsia" w:ascii="宋体"/>
                <w:szCs w:val="21"/>
              </w:rPr>
              <w:t>7</w:t>
            </w:r>
          </w:p>
        </w:tc>
        <w:tc>
          <w:tcPr>
            <w:tcW w:w="3471" w:type="dxa"/>
            <w:tcBorders>
              <w:top w:val="single" w:color="auto" w:sz="4" w:space="0"/>
              <w:left w:val="single" w:color="auto" w:sz="4" w:space="0"/>
              <w:bottom w:val="single" w:color="auto" w:sz="4" w:space="0"/>
              <w:right w:val="single" w:color="auto" w:sz="4" w:space="0"/>
            </w:tcBorders>
            <w:vAlign w:val="center"/>
          </w:tcPr>
          <w:p w14:paraId="64A7424C">
            <w:pPr>
              <w:keepNext w:val="0"/>
              <w:keepLines w:val="0"/>
              <w:suppressLineNumbers w:val="0"/>
              <w:spacing w:before="0" w:beforeAutospacing="0" w:after="0" w:afterAutospacing="0"/>
              <w:ind w:left="0" w:right="0"/>
              <w:jc w:val="center"/>
              <w:rPr>
                <w:rFonts w:asci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3FA4D6">
            <w:pPr>
              <w:keepNext w:val="0"/>
              <w:keepLines w:val="0"/>
              <w:suppressLineNumbers w:val="0"/>
              <w:spacing w:before="0" w:beforeAutospacing="0" w:after="0" w:afterAutospacing="0"/>
              <w:ind w:left="0" w:right="0"/>
              <w:jc w:val="center"/>
              <w:rPr>
                <w:rFonts w:ascii="宋体"/>
                <w:szCs w:val="21"/>
              </w:rPr>
            </w:pPr>
          </w:p>
        </w:tc>
        <w:tc>
          <w:tcPr>
            <w:tcW w:w="1843" w:type="dxa"/>
            <w:tcBorders>
              <w:top w:val="single" w:color="auto" w:sz="4" w:space="0"/>
              <w:left w:val="single" w:color="auto" w:sz="4" w:space="0"/>
              <w:bottom w:val="single" w:color="auto" w:sz="4" w:space="0"/>
            </w:tcBorders>
            <w:vAlign w:val="center"/>
          </w:tcPr>
          <w:p w14:paraId="03468318">
            <w:pPr>
              <w:keepNext w:val="0"/>
              <w:keepLines w:val="0"/>
              <w:suppressLineNumbers w:val="0"/>
              <w:spacing w:before="0" w:beforeAutospacing="0" w:after="0" w:afterAutospacing="0"/>
              <w:ind w:left="0" w:right="0"/>
              <w:jc w:val="center"/>
              <w:rPr>
                <w:rFonts w:ascii="宋体"/>
                <w:szCs w:val="21"/>
              </w:rPr>
            </w:pPr>
          </w:p>
        </w:tc>
        <w:tc>
          <w:tcPr>
            <w:tcW w:w="1842" w:type="dxa"/>
            <w:tcBorders>
              <w:top w:val="single" w:color="auto" w:sz="4" w:space="0"/>
              <w:left w:val="single" w:color="auto" w:sz="4" w:space="0"/>
              <w:bottom w:val="single" w:color="auto" w:sz="4" w:space="0"/>
            </w:tcBorders>
            <w:vAlign w:val="center"/>
          </w:tcPr>
          <w:p w14:paraId="74044E16">
            <w:pPr>
              <w:keepNext w:val="0"/>
              <w:keepLines w:val="0"/>
              <w:suppressLineNumbers w:val="0"/>
              <w:spacing w:before="0" w:beforeAutospacing="0" w:after="0" w:afterAutospacing="0"/>
              <w:ind w:left="0" w:right="0"/>
              <w:jc w:val="center"/>
              <w:rPr>
                <w:rFonts w:ascii="宋体"/>
                <w:szCs w:val="21"/>
              </w:rPr>
            </w:pPr>
          </w:p>
        </w:tc>
      </w:tr>
      <w:tr w14:paraId="1CDFF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82" w:type="dxa"/>
            <w:tcBorders>
              <w:top w:val="single" w:color="auto" w:sz="4" w:space="0"/>
              <w:bottom w:val="single" w:color="auto" w:sz="4" w:space="0"/>
              <w:right w:val="single" w:color="auto" w:sz="4" w:space="0"/>
            </w:tcBorders>
            <w:vAlign w:val="center"/>
          </w:tcPr>
          <w:p w14:paraId="6FCD0049">
            <w:pPr>
              <w:keepNext w:val="0"/>
              <w:keepLines w:val="0"/>
              <w:suppressLineNumbers w:val="0"/>
              <w:spacing w:before="0" w:beforeAutospacing="0" w:after="0" w:afterAutospacing="0"/>
              <w:ind w:left="0" w:right="0"/>
              <w:jc w:val="center"/>
              <w:rPr>
                <w:rFonts w:ascii="宋体"/>
                <w:szCs w:val="21"/>
              </w:rPr>
            </w:pPr>
          </w:p>
        </w:tc>
        <w:tc>
          <w:tcPr>
            <w:tcW w:w="8290" w:type="dxa"/>
            <w:gridSpan w:val="4"/>
            <w:tcBorders>
              <w:top w:val="single" w:color="auto" w:sz="4" w:space="0"/>
              <w:left w:val="single" w:color="auto" w:sz="4" w:space="0"/>
              <w:bottom w:val="single" w:color="auto" w:sz="4" w:space="0"/>
            </w:tcBorders>
            <w:vAlign w:val="center"/>
          </w:tcPr>
          <w:p w14:paraId="347F2946">
            <w:pPr>
              <w:keepNext w:val="0"/>
              <w:keepLines w:val="0"/>
              <w:suppressLineNumbers w:val="0"/>
              <w:spacing w:before="0" w:beforeAutospacing="0" w:after="0" w:afterAutospacing="0"/>
              <w:ind w:left="0" w:right="0" w:firstLine="2100" w:firstLineChars="1000"/>
              <w:rPr>
                <w:rFonts w:ascii="宋体"/>
                <w:szCs w:val="21"/>
              </w:rPr>
            </w:pPr>
            <w:r>
              <w:rPr>
                <w:rFonts w:ascii="宋体"/>
                <w:szCs w:val="21"/>
              </w:rPr>
              <w:t>总计</w:t>
            </w:r>
            <w:r>
              <w:rPr>
                <w:rFonts w:hint="eastAsia" w:ascii="宋体"/>
                <w:szCs w:val="21"/>
              </w:rPr>
              <w:t>（含税）：</w:t>
            </w:r>
          </w:p>
        </w:tc>
      </w:tr>
    </w:tbl>
    <w:p w14:paraId="6EB77FBF">
      <w:pPr>
        <w:ind w:firstLine="420" w:firstLineChars="200"/>
        <w:rPr>
          <w:rFonts w:ascii="宋体" w:hAnsi="宋体" w:cs="宋体"/>
          <w:szCs w:val="21"/>
        </w:rPr>
      </w:pPr>
    </w:p>
    <w:p w14:paraId="7603842B">
      <w:pPr>
        <w:ind w:firstLine="420" w:firstLineChars="200"/>
        <w:rPr>
          <w:rFonts w:ascii="宋体" w:hAnsi="宋体" w:cs="宋体"/>
          <w:szCs w:val="21"/>
        </w:rPr>
      </w:pPr>
    </w:p>
    <w:p w14:paraId="7AE43A08">
      <w:pPr>
        <w:ind w:firstLine="420" w:firstLineChars="200"/>
        <w:rPr>
          <w:rFonts w:ascii="宋体" w:hAnsi="宋体" w:cs="宋体"/>
          <w:szCs w:val="21"/>
          <w:u w:val="single"/>
        </w:rPr>
      </w:pPr>
      <w:r>
        <w:rPr>
          <w:rFonts w:hint="eastAsia" w:ascii="宋体" w:hAnsi="宋体" w:cs="宋体"/>
          <w:szCs w:val="21"/>
        </w:rPr>
        <w:t>投标人名称（盖章）：</w:t>
      </w:r>
    </w:p>
    <w:p w14:paraId="47558733">
      <w:pPr>
        <w:ind w:firstLine="420" w:firstLineChars="200"/>
        <w:rPr>
          <w:rFonts w:ascii="宋体" w:hAnsi="宋体" w:cs="宋体"/>
          <w:szCs w:val="21"/>
        </w:rPr>
      </w:pPr>
    </w:p>
    <w:p w14:paraId="356E277B">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24CB32C7">
      <w:pPr>
        <w:rPr>
          <w:rFonts w:ascii="宋体" w:hAnsi="宋体" w:cs="宋体"/>
          <w:szCs w:val="21"/>
        </w:rPr>
      </w:pPr>
    </w:p>
    <w:p w14:paraId="68DB7A57">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122E0D52">
      <w:pPr>
        <w:jc w:val="left"/>
        <w:rPr>
          <w:rFonts w:ascii="宋体" w:hAnsi="宋体" w:cs="宋体"/>
          <w:szCs w:val="21"/>
        </w:rPr>
      </w:pPr>
    </w:p>
    <w:p w14:paraId="598777AF">
      <w:pPr>
        <w:widowControl/>
        <w:jc w:val="left"/>
        <w:rPr>
          <w:rFonts w:ascii="宋体" w:hAnsi="宋体" w:cs="宋体"/>
          <w:szCs w:val="21"/>
        </w:rPr>
      </w:pPr>
      <w:r>
        <w:rPr>
          <w:rFonts w:hint="eastAsia" w:ascii="宋体" w:hAnsi="宋体" w:cs="宋体"/>
          <w:szCs w:val="21"/>
        </w:rPr>
        <w:br w:type="page"/>
      </w:r>
    </w:p>
    <w:p w14:paraId="7D210208">
      <w:pPr>
        <w:outlineLvl w:val="2"/>
        <w:rPr>
          <w:rFonts w:ascii="宋体" w:hAnsi="宋体" w:cs="宋体"/>
          <w:szCs w:val="21"/>
        </w:rPr>
      </w:pPr>
      <w:bookmarkStart w:id="187" w:name="_Toc22696"/>
      <w:r>
        <w:rPr>
          <w:rFonts w:hint="eastAsia" w:ascii="宋体" w:hAnsi="宋体" w:cs="宋体"/>
          <w:szCs w:val="21"/>
        </w:rPr>
        <w:t>格式五、项目承诺书</w:t>
      </w:r>
      <w:bookmarkEnd w:id="187"/>
    </w:p>
    <w:p w14:paraId="5BD722EE">
      <w:pPr>
        <w:ind w:firstLine="420" w:firstLineChars="200"/>
        <w:rPr>
          <w:rFonts w:ascii="宋体" w:hAnsi="宋体" w:cs="宋体"/>
          <w:szCs w:val="21"/>
        </w:rPr>
      </w:pPr>
    </w:p>
    <w:p w14:paraId="54BAFD60">
      <w:pPr>
        <w:ind w:firstLine="281" w:firstLineChars="100"/>
        <w:jc w:val="center"/>
        <w:rPr>
          <w:rFonts w:ascii="宋体" w:hAnsi="宋体" w:cs="宋体"/>
          <w:b/>
          <w:sz w:val="28"/>
          <w:szCs w:val="28"/>
        </w:rPr>
      </w:pPr>
      <w:r>
        <w:rPr>
          <w:rFonts w:hint="eastAsia" w:ascii="宋体" w:hAnsi="宋体" w:cs="宋体"/>
          <w:b/>
          <w:sz w:val="28"/>
          <w:szCs w:val="28"/>
        </w:rPr>
        <w:t>项目承诺书</w:t>
      </w:r>
    </w:p>
    <w:p w14:paraId="2457F287">
      <w:pPr>
        <w:ind w:firstLine="211" w:firstLineChars="100"/>
        <w:jc w:val="center"/>
        <w:rPr>
          <w:rFonts w:ascii="宋体"/>
          <w:b/>
          <w:szCs w:val="21"/>
        </w:rPr>
      </w:pPr>
      <w:r>
        <w:rPr>
          <w:rFonts w:hint="eastAsia" w:ascii="宋体"/>
          <w:b/>
          <w:szCs w:val="21"/>
        </w:rPr>
        <w:t>（以下内容供参考，投标人格式自拟）</w:t>
      </w:r>
    </w:p>
    <w:p w14:paraId="16E02581">
      <w:pPr>
        <w:ind w:firstLine="420" w:firstLineChars="200"/>
        <w:rPr>
          <w:rFonts w:ascii="宋体" w:hAnsi="宋体"/>
          <w:szCs w:val="21"/>
        </w:rPr>
      </w:pPr>
    </w:p>
    <w:p w14:paraId="6CDD5DEE">
      <w:pPr>
        <w:ind w:firstLine="420" w:firstLineChars="200"/>
        <w:rPr>
          <w:rFonts w:ascii="宋体" w:hAnsi="宋体" w:cs="仿宋_GB2312"/>
          <w:kern w:val="0"/>
          <w:szCs w:val="21"/>
          <w:lang w:val="zh-CN"/>
        </w:rPr>
      </w:pPr>
      <w:r>
        <w:rPr>
          <w:rFonts w:ascii="宋体" w:hAnsi="宋体"/>
          <w:szCs w:val="21"/>
        </w:rPr>
        <w:t>根据</w:t>
      </w:r>
      <w:r>
        <w:rPr>
          <w:rFonts w:hint="eastAsia" w:ascii="宋体" w:hAnsi="宋体"/>
          <w:szCs w:val="21"/>
        </w:rPr>
        <w:t>招标</w:t>
      </w:r>
      <w:r>
        <w:rPr>
          <w:rFonts w:ascii="宋体" w:hAnsi="宋体"/>
          <w:szCs w:val="21"/>
        </w:rPr>
        <w:t>文件</w:t>
      </w:r>
      <w:r>
        <w:rPr>
          <w:rFonts w:hint="eastAsia" w:ascii="宋体" w:hAnsi="宋体"/>
          <w:szCs w:val="21"/>
        </w:rPr>
        <w:t>《</w:t>
      </w:r>
      <w:r>
        <w:rPr>
          <w:rFonts w:ascii="宋体" w:hAnsi="宋体"/>
          <w:szCs w:val="21"/>
        </w:rPr>
        <w:t>第</w:t>
      </w:r>
      <w:r>
        <w:rPr>
          <w:rFonts w:hint="eastAsia" w:ascii="宋体" w:hAnsi="宋体"/>
          <w:szCs w:val="21"/>
        </w:rPr>
        <w:t>三</w:t>
      </w:r>
      <w:r>
        <w:rPr>
          <w:rFonts w:ascii="宋体" w:hAnsi="宋体"/>
          <w:szCs w:val="21"/>
        </w:rPr>
        <w:t>部分</w:t>
      </w:r>
      <w:r>
        <w:rPr>
          <w:rFonts w:hint="eastAsia" w:ascii="宋体" w:hAnsi="宋体"/>
          <w:szCs w:val="21"/>
        </w:rPr>
        <w:t>：采购需求》涉及的内容自行编制项目承诺书，承诺在项目执行过程中，将严格执行招标文件《</w:t>
      </w:r>
      <w:r>
        <w:rPr>
          <w:rFonts w:ascii="宋体" w:hAnsi="宋体"/>
          <w:szCs w:val="21"/>
        </w:rPr>
        <w:t>第</w:t>
      </w:r>
      <w:r>
        <w:rPr>
          <w:rFonts w:hint="eastAsia" w:ascii="宋体" w:hAnsi="宋体"/>
          <w:szCs w:val="21"/>
        </w:rPr>
        <w:t>三</w:t>
      </w:r>
      <w:r>
        <w:rPr>
          <w:rFonts w:ascii="宋体" w:hAnsi="宋体"/>
          <w:szCs w:val="21"/>
        </w:rPr>
        <w:t>部分</w:t>
      </w:r>
      <w:r>
        <w:rPr>
          <w:rFonts w:hint="eastAsia" w:ascii="宋体" w:hAnsi="宋体"/>
          <w:szCs w:val="21"/>
        </w:rPr>
        <w:t>：采购需求》的要求，遵守国家的有关法律法规，尊重并贯彻采购人的意见，维护采购人实际利益，与采购人密切配合，随时提供全过程、全方位的服务，保证项目顺利执行完成。</w:t>
      </w:r>
    </w:p>
    <w:p w14:paraId="670599AD">
      <w:pPr>
        <w:ind w:firstLine="420" w:firstLineChars="200"/>
        <w:rPr>
          <w:rFonts w:ascii="宋体"/>
          <w:szCs w:val="21"/>
        </w:rPr>
      </w:pPr>
    </w:p>
    <w:p w14:paraId="3B5158FE">
      <w:pPr>
        <w:ind w:firstLine="420" w:firstLineChars="200"/>
        <w:rPr>
          <w:rFonts w:ascii="宋体" w:hAnsi="宋体" w:cs="宋体"/>
          <w:szCs w:val="21"/>
        </w:rPr>
      </w:pPr>
    </w:p>
    <w:p w14:paraId="446B9589">
      <w:pPr>
        <w:ind w:firstLine="420" w:firstLineChars="200"/>
        <w:rPr>
          <w:rFonts w:ascii="宋体" w:hAnsi="宋体" w:cs="宋体"/>
          <w:szCs w:val="21"/>
          <w:u w:val="single"/>
        </w:rPr>
      </w:pPr>
      <w:r>
        <w:rPr>
          <w:rFonts w:hint="eastAsia" w:ascii="宋体" w:hAnsi="宋体" w:cs="宋体"/>
          <w:szCs w:val="21"/>
        </w:rPr>
        <w:t>投标人名称（盖章）：</w:t>
      </w:r>
    </w:p>
    <w:p w14:paraId="5A962A43">
      <w:pPr>
        <w:rPr>
          <w:rFonts w:ascii="宋体" w:hAnsi="宋体" w:cs="宋体"/>
          <w:szCs w:val="21"/>
        </w:rPr>
      </w:pPr>
    </w:p>
    <w:p w14:paraId="7C897A1B">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5975FA73">
      <w:pPr>
        <w:rPr>
          <w:rFonts w:ascii="宋体" w:hAnsi="宋体" w:cs="宋体"/>
          <w:szCs w:val="21"/>
        </w:rPr>
      </w:pPr>
    </w:p>
    <w:p w14:paraId="57639467">
      <w:pPr>
        <w:ind w:firstLine="420" w:firstLineChars="200"/>
        <w:rPr>
          <w:rFonts w:ascii="宋体" w:hAnsi="宋体" w:cs="宋体"/>
          <w:szCs w:val="21"/>
        </w:rPr>
      </w:pPr>
      <w:r>
        <w:rPr>
          <w:rFonts w:hint="eastAsia" w:ascii="宋体" w:hAnsi="宋体" w:cs="宋体"/>
          <w:szCs w:val="21"/>
        </w:rPr>
        <w:t>投标日期：2023年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1986400B">
      <w:pPr>
        <w:ind w:firstLine="420" w:firstLineChars="200"/>
        <w:rPr>
          <w:rFonts w:ascii="宋体" w:hAnsi="宋体" w:cs="宋体"/>
          <w:szCs w:val="21"/>
        </w:rPr>
      </w:pPr>
    </w:p>
    <w:p w14:paraId="03485331">
      <w:pPr>
        <w:ind w:firstLine="420" w:firstLineChars="200"/>
        <w:rPr>
          <w:rFonts w:ascii="宋体" w:hAnsi="宋体" w:cs="宋体"/>
          <w:szCs w:val="21"/>
        </w:rPr>
      </w:pPr>
    </w:p>
    <w:p w14:paraId="2D77CAC6">
      <w:pPr>
        <w:ind w:firstLine="420" w:firstLineChars="200"/>
        <w:rPr>
          <w:rFonts w:ascii="宋体" w:hAnsi="宋体" w:cs="宋体"/>
          <w:szCs w:val="21"/>
        </w:rPr>
      </w:pPr>
    </w:p>
    <w:p w14:paraId="22A13ACD">
      <w:pPr>
        <w:widowControl/>
        <w:jc w:val="left"/>
        <w:rPr>
          <w:rFonts w:ascii="宋体" w:hAnsi="宋体" w:cs="宋体"/>
          <w:szCs w:val="21"/>
        </w:rPr>
      </w:pPr>
      <w:r>
        <w:rPr>
          <w:rFonts w:hint="eastAsia" w:ascii="宋体" w:hAnsi="宋体" w:cs="宋体"/>
          <w:szCs w:val="21"/>
        </w:rPr>
        <w:br w:type="page"/>
      </w:r>
    </w:p>
    <w:bookmarkEnd w:id="182"/>
    <w:p w14:paraId="3E847A99">
      <w:pPr>
        <w:jc w:val="left"/>
        <w:outlineLvl w:val="2"/>
        <w:rPr>
          <w:rFonts w:ascii="宋体" w:hAnsi="宋体" w:cs="宋体"/>
          <w:szCs w:val="21"/>
        </w:rPr>
      </w:pPr>
      <w:bookmarkStart w:id="188" w:name="_Toc21946"/>
      <w:bookmarkStart w:id="189" w:name="_Toc22146"/>
      <w:bookmarkStart w:id="190" w:name="_Toc14705"/>
      <w:bookmarkStart w:id="191" w:name="_Toc6981"/>
      <w:r>
        <w:rPr>
          <w:rFonts w:hint="eastAsia" w:ascii="宋体" w:hAnsi="宋体" w:cs="宋体"/>
          <w:szCs w:val="21"/>
        </w:rPr>
        <w:t>格式六、服务方案</w:t>
      </w:r>
      <w:bookmarkEnd w:id="188"/>
      <w:bookmarkEnd w:id="189"/>
      <w:bookmarkEnd w:id="190"/>
      <w:bookmarkEnd w:id="191"/>
    </w:p>
    <w:p w14:paraId="5209DFDB">
      <w:pPr>
        <w:jc w:val="left"/>
        <w:rPr>
          <w:rFonts w:ascii="宋体" w:hAnsi="宋体" w:cs="宋体"/>
          <w:szCs w:val="21"/>
        </w:rPr>
      </w:pPr>
    </w:p>
    <w:p w14:paraId="643D0A48">
      <w:pPr>
        <w:ind w:firstLine="281" w:firstLineChars="100"/>
        <w:jc w:val="center"/>
        <w:rPr>
          <w:rFonts w:ascii="宋体" w:hAnsi="宋体" w:cs="宋体"/>
          <w:b/>
          <w:sz w:val="28"/>
          <w:szCs w:val="28"/>
        </w:rPr>
      </w:pPr>
      <w:r>
        <w:rPr>
          <w:rFonts w:hint="eastAsia" w:ascii="宋体" w:hAnsi="宋体" w:cs="宋体"/>
          <w:b/>
          <w:sz w:val="28"/>
          <w:szCs w:val="28"/>
        </w:rPr>
        <w:t>服务方案</w:t>
      </w:r>
    </w:p>
    <w:p w14:paraId="31023867">
      <w:pPr>
        <w:jc w:val="center"/>
        <w:rPr>
          <w:rFonts w:ascii="宋体" w:hAnsi="宋体" w:cs="宋体"/>
          <w:szCs w:val="21"/>
        </w:rPr>
      </w:pPr>
    </w:p>
    <w:p w14:paraId="362CBBB3">
      <w:pPr>
        <w:jc w:val="center"/>
        <w:rPr>
          <w:rFonts w:ascii="宋体" w:hAnsi="宋体" w:cs="宋体"/>
          <w:szCs w:val="21"/>
        </w:rPr>
      </w:pPr>
      <w:r>
        <w:rPr>
          <w:rFonts w:hint="eastAsia" w:ascii="宋体" w:hAnsi="宋体" w:cs="宋体"/>
          <w:szCs w:val="21"/>
        </w:rPr>
        <w:t>（投标人根据招标文件《第三部分：采购需求》和《第五部分：评审办法》中的要求自行编制服务方案，格式自拟）</w:t>
      </w:r>
    </w:p>
    <w:p w14:paraId="0320C745">
      <w:pPr>
        <w:rPr>
          <w:rFonts w:ascii="宋体" w:hAnsi="宋体" w:cs="宋体"/>
          <w:szCs w:val="21"/>
        </w:rPr>
      </w:pPr>
    </w:p>
    <w:p w14:paraId="5DA68E2B">
      <w:pPr>
        <w:ind w:firstLine="420" w:firstLineChars="200"/>
        <w:rPr>
          <w:rFonts w:ascii="宋体" w:hAnsi="宋体" w:cs="宋体"/>
          <w:szCs w:val="21"/>
        </w:rPr>
      </w:pPr>
    </w:p>
    <w:p w14:paraId="3C77D7C0">
      <w:pPr>
        <w:ind w:firstLine="420" w:firstLineChars="200"/>
        <w:rPr>
          <w:rFonts w:ascii="宋体" w:hAnsi="宋体" w:cs="宋体"/>
          <w:szCs w:val="21"/>
        </w:rPr>
      </w:pPr>
    </w:p>
    <w:p w14:paraId="53BF1D37">
      <w:pPr>
        <w:ind w:firstLine="420" w:firstLineChars="200"/>
        <w:rPr>
          <w:rFonts w:ascii="宋体" w:hAnsi="宋体" w:cs="宋体"/>
          <w:szCs w:val="21"/>
          <w:u w:val="single"/>
        </w:rPr>
      </w:pPr>
      <w:r>
        <w:rPr>
          <w:rFonts w:hint="eastAsia" w:ascii="宋体" w:hAnsi="宋体" w:cs="宋体"/>
          <w:szCs w:val="21"/>
        </w:rPr>
        <w:t>投标人名称（盖章）：</w:t>
      </w:r>
    </w:p>
    <w:p w14:paraId="6941356D">
      <w:pPr>
        <w:rPr>
          <w:rFonts w:ascii="宋体" w:hAnsi="宋体" w:cs="宋体"/>
          <w:szCs w:val="21"/>
        </w:rPr>
      </w:pPr>
    </w:p>
    <w:p w14:paraId="08758555">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5E1BB684">
      <w:pPr>
        <w:rPr>
          <w:rFonts w:ascii="宋体" w:hAnsi="宋体" w:cs="宋体"/>
          <w:szCs w:val="21"/>
        </w:rPr>
      </w:pPr>
    </w:p>
    <w:p w14:paraId="5189F0F0">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7A6492F8">
      <w:pPr>
        <w:jc w:val="left"/>
        <w:rPr>
          <w:rFonts w:ascii="宋体" w:hAnsi="宋体" w:cs="宋体"/>
          <w:szCs w:val="21"/>
        </w:rPr>
      </w:pPr>
    </w:p>
    <w:p w14:paraId="60A6A1FC">
      <w:pPr>
        <w:widowControl/>
        <w:jc w:val="left"/>
        <w:rPr>
          <w:rFonts w:ascii="宋体" w:hAnsi="宋体" w:cs="宋体"/>
          <w:szCs w:val="21"/>
        </w:rPr>
      </w:pPr>
      <w:r>
        <w:rPr>
          <w:rFonts w:hint="eastAsia" w:ascii="宋体" w:hAnsi="宋体" w:cs="宋体"/>
          <w:szCs w:val="21"/>
        </w:rPr>
        <w:br w:type="page"/>
      </w:r>
    </w:p>
    <w:p w14:paraId="62136E95">
      <w:pPr>
        <w:widowControl/>
        <w:jc w:val="left"/>
        <w:outlineLvl w:val="2"/>
        <w:rPr>
          <w:rFonts w:ascii="宋体" w:hAnsi="宋体" w:cs="宋体"/>
          <w:szCs w:val="21"/>
        </w:rPr>
      </w:pPr>
      <w:bookmarkStart w:id="192" w:name="_Toc16304"/>
      <w:bookmarkStart w:id="193" w:name="_Toc21841"/>
      <w:bookmarkStart w:id="194" w:name="_Toc1697"/>
      <w:bookmarkStart w:id="195" w:name="_Toc27765"/>
      <w:r>
        <w:rPr>
          <w:rFonts w:hint="eastAsia" w:ascii="宋体" w:hAnsi="宋体" w:cs="宋体"/>
          <w:szCs w:val="21"/>
        </w:rPr>
        <w:t>格式七、</w:t>
      </w:r>
      <w:r>
        <w:rPr>
          <w:rFonts w:hint="eastAsia" w:ascii="宋体" w:hAnsi="宋体" w:cs="宋体"/>
          <w:bCs/>
          <w:szCs w:val="21"/>
        </w:rPr>
        <w:t>资格证明文件</w:t>
      </w:r>
      <w:bookmarkEnd w:id="192"/>
      <w:bookmarkEnd w:id="193"/>
      <w:bookmarkEnd w:id="194"/>
      <w:bookmarkEnd w:id="195"/>
    </w:p>
    <w:p w14:paraId="0AB05793">
      <w:pPr>
        <w:jc w:val="left"/>
        <w:rPr>
          <w:rFonts w:ascii="宋体" w:hAnsi="宋体" w:cs="宋体"/>
          <w:b/>
          <w:szCs w:val="21"/>
        </w:rPr>
      </w:pPr>
    </w:p>
    <w:p w14:paraId="512A6AEB">
      <w:pPr>
        <w:jc w:val="center"/>
        <w:rPr>
          <w:rFonts w:ascii="宋体" w:hAnsi="宋体" w:cs="宋体"/>
          <w:b/>
          <w:sz w:val="28"/>
          <w:szCs w:val="28"/>
        </w:rPr>
      </w:pPr>
      <w:r>
        <w:rPr>
          <w:rFonts w:hint="eastAsia" w:ascii="宋体" w:hAnsi="宋体" w:cs="宋体"/>
          <w:b/>
          <w:bCs/>
          <w:sz w:val="28"/>
          <w:szCs w:val="28"/>
        </w:rPr>
        <w:t>资格证明文件</w:t>
      </w:r>
    </w:p>
    <w:tbl>
      <w:tblPr>
        <w:tblStyle w:val="2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7350"/>
      </w:tblGrid>
      <w:tr w14:paraId="720E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05D65C9C">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格式七（1）</w:t>
            </w:r>
          </w:p>
        </w:tc>
        <w:tc>
          <w:tcPr>
            <w:tcW w:w="7350" w:type="dxa"/>
            <w:vAlign w:val="center"/>
          </w:tcPr>
          <w:p w14:paraId="5BCB7A73">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bCs/>
                <w:szCs w:val="21"/>
                <w:lang w:bidi="ar"/>
              </w:rPr>
              <w:t>具有独立承担民事责任的能力（提供事业单位法人证书或者企业单位的营业执照；投标人为自然人的，提供其身份证）（复印件）；</w:t>
            </w:r>
          </w:p>
        </w:tc>
      </w:tr>
      <w:tr w14:paraId="5156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34207A80">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格式七（2）</w:t>
            </w:r>
          </w:p>
        </w:tc>
        <w:tc>
          <w:tcPr>
            <w:tcW w:w="7350" w:type="dxa"/>
            <w:vAlign w:val="center"/>
          </w:tcPr>
          <w:p w14:paraId="2B1FD7F6">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bCs/>
                <w:szCs w:val="21"/>
                <w:lang w:bidi="ar"/>
              </w:rPr>
              <w:t>具有良好的商业信誉和健全的财务会计制度（提供2023年度经审计的财务报告，或</w:t>
            </w:r>
            <w:r>
              <w:rPr>
                <w:rFonts w:hint="eastAsia" w:ascii="宋体" w:hAnsi="宋体"/>
                <w:bCs/>
                <w:color w:val="0000FF"/>
                <w:szCs w:val="21"/>
                <w:lang w:bidi="ar"/>
              </w:rPr>
              <w:t>开标日</w:t>
            </w:r>
            <w:r>
              <w:rPr>
                <w:rFonts w:hint="eastAsia" w:ascii="宋体" w:hAnsi="宋体"/>
                <w:bCs/>
                <w:szCs w:val="21"/>
                <w:lang w:bidi="ar"/>
              </w:rPr>
              <w:t>前六个月内任一月份企业编制的会计报表（至少包括资产负债表和利润表）</w:t>
            </w:r>
            <w:r>
              <w:rPr>
                <w:rFonts w:hint="eastAsia" w:ascii="宋体" w:hAnsi="宋体"/>
                <w:szCs w:val="21"/>
                <w:lang w:bidi="ar"/>
              </w:rPr>
              <w:t>，</w:t>
            </w:r>
            <w:r>
              <w:rPr>
                <w:rFonts w:hint="eastAsia" w:ascii="宋体" w:hAnsi="宋体"/>
                <w:bCs/>
                <w:szCs w:val="21"/>
                <w:lang w:bidi="ar"/>
              </w:rPr>
              <w:t>或</w:t>
            </w:r>
            <w:r>
              <w:rPr>
                <w:rFonts w:hint="eastAsia" w:ascii="宋体" w:hAnsi="宋体"/>
                <w:bCs/>
                <w:color w:val="0000FF"/>
                <w:szCs w:val="21"/>
                <w:lang w:bidi="ar"/>
              </w:rPr>
              <w:t>开标日前</w:t>
            </w:r>
            <w:r>
              <w:rPr>
                <w:rFonts w:hint="eastAsia" w:ascii="宋体" w:hAnsi="宋体"/>
                <w:bCs/>
                <w:szCs w:val="21"/>
                <w:lang w:bidi="ar"/>
              </w:rPr>
              <w:t>六个月内银行出具的资信证明，</w:t>
            </w:r>
            <w:r>
              <w:rPr>
                <w:rFonts w:hint="eastAsia" w:ascii="宋体" w:hAnsi="宋体"/>
                <w:szCs w:val="21"/>
                <w:lang w:bidi="ar"/>
              </w:rPr>
              <w:t>复印件加盖公章</w:t>
            </w:r>
            <w:r>
              <w:rPr>
                <w:rFonts w:hint="eastAsia" w:ascii="宋体" w:hAnsi="宋体"/>
                <w:bCs/>
                <w:szCs w:val="21"/>
                <w:lang w:bidi="ar"/>
              </w:rPr>
              <w:t>）（</w:t>
            </w:r>
            <w:r>
              <w:rPr>
                <w:rFonts w:hint="eastAsia" w:ascii="宋体" w:hAnsi="宋体"/>
                <w:bCs/>
                <w:color w:val="0000FF"/>
                <w:szCs w:val="21"/>
                <w:lang w:bidi="ar"/>
              </w:rPr>
              <w:t>投标人为参加本次政府采购活动前半年内注册的公司，无须提供</w:t>
            </w:r>
            <w:r>
              <w:rPr>
                <w:rFonts w:hint="eastAsia" w:ascii="宋体" w:hAnsi="宋体"/>
                <w:bCs/>
                <w:szCs w:val="21"/>
                <w:lang w:bidi="ar"/>
              </w:rPr>
              <w:t>）</w:t>
            </w:r>
            <w:r>
              <w:rPr>
                <w:rFonts w:hint="eastAsia" w:ascii="宋体" w:hAnsi="宋体"/>
                <w:szCs w:val="21"/>
                <w:lang w:bidi="ar"/>
              </w:rPr>
              <w:t>；</w:t>
            </w:r>
          </w:p>
        </w:tc>
      </w:tr>
      <w:tr w14:paraId="10B1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08DD87C3">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格式七（3）</w:t>
            </w:r>
          </w:p>
        </w:tc>
        <w:tc>
          <w:tcPr>
            <w:tcW w:w="7350" w:type="dxa"/>
            <w:vAlign w:val="center"/>
          </w:tcPr>
          <w:p w14:paraId="121F533C">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具有依法缴纳税收和社会保障资金的良好记录（提供</w:t>
            </w:r>
            <w:r>
              <w:rPr>
                <w:rFonts w:hint="eastAsia" w:ascii="宋体" w:hAnsi="宋体" w:cs="宋体"/>
                <w:bCs/>
                <w:color w:val="0000FF"/>
                <w:szCs w:val="21"/>
                <w:lang w:bidi="ar"/>
              </w:rPr>
              <w:t>开标日前</w:t>
            </w:r>
            <w:r>
              <w:rPr>
                <w:rFonts w:hint="eastAsia" w:ascii="宋体" w:hAnsi="宋体" w:cs="宋体"/>
                <w:bCs/>
                <w:szCs w:val="21"/>
                <w:lang w:bidi="ar"/>
              </w:rPr>
              <w:t>半年内至少一个月依法缴纳税收及缴纳社会保障资金的凭据，复印件加盖公章）</w:t>
            </w:r>
            <w:r>
              <w:rPr>
                <w:rFonts w:hint="eastAsia" w:ascii="宋体" w:hAnsi="宋体" w:cs="宋体"/>
                <w:bCs/>
                <w:color w:val="0000FF"/>
                <w:szCs w:val="21"/>
                <w:lang w:bidi="ar"/>
              </w:rPr>
              <w:t>（</w:t>
            </w:r>
            <w:r>
              <w:rPr>
                <w:rFonts w:hint="eastAsia" w:ascii="宋体" w:hAnsi="宋体" w:cs="宋体"/>
                <w:color w:val="0000FF"/>
                <w:szCs w:val="21"/>
                <w:lang w:bidi="ar"/>
              </w:rPr>
              <w:t>提供相关主管部门证明或银行代扣证明的复印件，根据国家相关政策免缴或迟缴的需提供相关证明材料</w:t>
            </w:r>
            <w:r>
              <w:rPr>
                <w:rFonts w:hint="eastAsia" w:ascii="宋体" w:hAnsi="宋体" w:cs="宋体"/>
                <w:bCs/>
                <w:color w:val="0000FF"/>
                <w:szCs w:val="21"/>
                <w:lang w:bidi="ar"/>
              </w:rPr>
              <w:t>）</w:t>
            </w:r>
            <w:r>
              <w:rPr>
                <w:rFonts w:hint="eastAsia" w:ascii="宋体" w:hAnsi="宋体" w:cs="宋体"/>
                <w:szCs w:val="21"/>
                <w:lang w:bidi="ar"/>
              </w:rPr>
              <w:t>；</w:t>
            </w:r>
          </w:p>
        </w:tc>
      </w:tr>
      <w:tr w14:paraId="2742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0AC46A96">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格式七（4）</w:t>
            </w:r>
          </w:p>
        </w:tc>
        <w:tc>
          <w:tcPr>
            <w:tcW w:w="7350" w:type="dxa"/>
            <w:vAlign w:val="center"/>
          </w:tcPr>
          <w:p w14:paraId="1692C48E">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具有履行合同所必需的设备和专业技术能力（提供</w:t>
            </w:r>
            <w:r>
              <w:rPr>
                <w:rFonts w:hint="eastAsia" w:ascii="宋体" w:hAnsi="宋体" w:cs="宋体"/>
                <w:szCs w:val="21"/>
                <w:lang w:bidi="ar"/>
              </w:rPr>
              <w:t>书面声明原件</w:t>
            </w:r>
            <w:r>
              <w:rPr>
                <w:rFonts w:hint="eastAsia" w:ascii="宋体" w:hAnsi="宋体" w:cs="宋体"/>
                <w:bCs/>
                <w:szCs w:val="21"/>
                <w:lang w:bidi="ar"/>
              </w:rPr>
              <w:t>）</w:t>
            </w:r>
            <w:r>
              <w:rPr>
                <w:rFonts w:hint="eastAsia" w:ascii="宋体" w:hAnsi="宋体" w:cs="宋体"/>
                <w:szCs w:val="21"/>
                <w:lang w:bidi="ar"/>
              </w:rPr>
              <w:t>；</w:t>
            </w:r>
          </w:p>
        </w:tc>
      </w:tr>
      <w:tr w14:paraId="3305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707059B4">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格式七（5）</w:t>
            </w:r>
          </w:p>
        </w:tc>
        <w:tc>
          <w:tcPr>
            <w:tcW w:w="7350" w:type="dxa"/>
            <w:vAlign w:val="center"/>
          </w:tcPr>
          <w:p w14:paraId="25F170C3">
            <w:pPr>
              <w:keepNext w:val="0"/>
              <w:keepLines w:val="0"/>
              <w:suppressLineNumbers w:val="0"/>
              <w:spacing w:before="0" w:beforeAutospacing="0" w:after="0" w:afterAutospacing="0"/>
              <w:ind w:left="0" w:right="0"/>
              <w:rPr>
                <w:rFonts w:ascii="宋体" w:hAnsi="宋体" w:cs="宋体"/>
                <w:szCs w:val="21"/>
              </w:rPr>
            </w:pPr>
            <w:r>
              <w:rPr>
                <w:rFonts w:hint="eastAsia" w:ascii="宋体" w:hAnsi="宋体" w:cs="宋体"/>
                <w:bCs/>
                <w:szCs w:val="21"/>
                <w:lang w:bidi="ar"/>
              </w:rPr>
              <w:t>参加政府采购活动前三年内，在经营活动中没有重大违法记录（提供书面声明原件）</w:t>
            </w:r>
            <w:r>
              <w:rPr>
                <w:rFonts w:hint="eastAsia" w:ascii="宋体" w:hAnsi="宋体" w:cs="宋体"/>
                <w:szCs w:val="21"/>
                <w:lang w:bidi="ar"/>
              </w:rPr>
              <w:t>；</w:t>
            </w:r>
          </w:p>
        </w:tc>
      </w:tr>
      <w:tr w14:paraId="3C1A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37" w:type="dxa"/>
            <w:vAlign w:val="center"/>
          </w:tcPr>
          <w:p w14:paraId="53E0C4AA">
            <w:pPr>
              <w:keepNext w:val="0"/>
              <w:keepLines w:val="0"/>
              <w:suppressLineNumbers w:val="0"/>
              <w:spacing w:before="0" w:beforeAutospacing="0" w:after="0" w:afterAutospacing="0"/>
              <w:ind w:left="420" w:right="0" w:hanging="420"/>
              <w:rPr>
                <w:rFonts w:ascii="宋体" w:hAnsi="宋体" w:cs="宋体"/>
                <w:szCs w:val="21"/>
              </w:rPr>
            </w:pPr>
            <w:r>
              <w:rPr>
                <w:rFonts w:hint="eastAsia" w:ascii="宋体" w:hAnsi="宋体" w:cs="宋体"/>
                <w:szCs w:val="21"/>
              </w:rPr>
              <w:t>格式七（6）</w:t>
            </w:r>
          </w:p>
        </w:tc>
        <w:tc>
          <w:tcPr>
            <w:tcW w:w="7350" w:type="dxa"/>
            <w:vAlign w:val="center"/>
          </w:tcPr>
          <w:p w14:paraId="7BD2B385">
            <w:pPr>
              <w:keepNext w:val="0"/>
              <w:keepLines w:val="0"/>
              <w:suppressLineNumbers w:val="0"/>
              <w:spacing w:before="0" w:beforeAutospacing="0" w:after="0" w:afterAutospacing="0"/>
              <w:ind w:left="0" w:right="0"/>
              <w:rPr>
                <w:rFonts w:ascii="宋体" w:hAnsi="宋体" w:cs="宋体"/>
                <w:bCs/>
                <w:szCs w:val="21"/>
                <w:lang w:bidi="ar"/>
              </w:rPr>
            </w:pPr>
            <w:r>
              <w:rPr>
                <w:rFonts w:hint="eastAsia" w:ascii="宋体" w:hAnsi="宋体" w:cs="宋体"/>
                <w:kern w:val="0"/>
                <w:szCs w:val="21"/>
              </w:rPr>
              <w:t>《中小企业声明函》</w:t>
            </w:r>
          </w:p>
        </w:tc>
      </w:tr>
    </w:tbl>
    <w:p w14:paraId="516C95AB">
      <w:pPr>
        <w:rPr>
          <w:rFonts w:ascii="宋体" w:hAnsi="宋体" w:cs="宋体"/>
        </w:rPr>
      </w:pPr>
    </w:p>
    <w:p w14:paraId="6DFAB213">
      <w:pPr>
        <w:widowControl/>
        <w:jc w:val="left"/>
        <w:rPr>
          <w:rFonts w:ascii="宋体" w:hAnsi="宋体" w:cs="宋体"/>
          <w:szCs w:val="21"/>
        </w:rPr>
      </w:pPr>
      <w:r>
        <w:rPr>
          <w:rFonts w:hint="eastAsia" w:ascii="宋体" w:hAnsi="宋体" w:cs="宋体"/>
          <w:szCs w:val="21"/>
        </w:rPr>
        <w:br w:type="page"/>
      </w:r>
      <w:r>
        <w:rPr>
          <w:rFonts w:hint="eastAsia" w:ascii="宋体" w:hAnsi="宋体" w:cs="宋体"/>
          <w:szCs w:val="21"/>
        </w:rPr>
        <w:t>格式七（4）</w:t>
      </w:r>
    </w:p>
    <w:p w14:paraId="357ADE10">
      <w:pPr>
        <w:widowControl/>
        <w:jc w:val="left"/>
        <w:rPr>
          <w:rFonts w:ascii="宋体" w:hAnsi="宋体" w:cs="宋体"/>
          <w:szCs w:val="21"/>
        </w:rPr>
      </w:pPr>
    </w:p>
    <w:p w14:paraId="51CB70AC">
      <w:pPr>
        <w:jc w:val="center"/>
        <w:rPr>
          <w:rFonts w:ascii="宋体" w:hAnsi="宋体" w:cs="宋体"/>
          <w:b/>
          <w:sz w:val="28"/>
          <w:szCs w:val="28"/>
        </w:rPr>
      </w:pPr>
      <w:r>
        <w:rPr>
          <w:rFonts w:hint="eastAsia" w:ascii="宋体" w:hAnsi="宋体" w:cs="宋体"/>
          <w:b/>
          <w:sz w:val="28"/>
          <w:szCs w:val="28"/>
        </w:rPr>
        <w:t>具有履行合同所必需的设备和专业技术能力的声明</w:t>
      </w:r>
    </w:p>
    <w:p w14:paraId="639D8F74">
      <w:pPr>
        <w:jc w:val="center"/>
        <w:rPr>
          <w:rFonts w:ascii="宋体" w:hAnsi="宋体" w:cs="宋体"/>
          <w:szCs w:val="21"/>
        </w:rPr>
      </w:pPr>
      <w:r>
        <w:rPr>
          <w:rFonts w:hint="eastAsia" w:ascii="宋体" w:hAnsi="宋体" w:cs="宋体"/>
          <w:szCs w:val="21"/>
        </w:rPr>
        <w:t>（原件）</w:t>
      </w:r>
    </w:p>
    <w:p w14:paraId="7546D2E2">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 xml:space="preserve">    致：中华人民共和国南京海关</w:t>
      </w:r>
    </w:p>
    <w:p w14:paraId="35CD44C8">
      <w:pPr>
        <w:ind w:firstLine="420" w:firstLineChars="200"/>
        <w:rPr>
          <w:rFonts w:ascii="宋体" w:hAnsi="宋体" w:cs="宋体"/>
          <w:kern w:val="0"/>
          <w:szCs w:val="21"/>
        </w:rPr>
      </w:pPr>
      <w:r>
        <w:rPr>
          <w:rFonts w:hint="eastAsia" w:ascii="宋体" w:hAnsi="宋体" w:cs="宋体"/>
          <w:kern w:val="0"/>
          <w:szCs w:val="21"/>
        </w:rPr>
        <w:t>我公司郑重声明：具有履行编号为</w:t>
      </w:r>
      <w:r>
        <w:rPr>
          <w:rFonts w:hint="eastAsia" w:ascii="宋体" w:hAnsi="宋体" w:cs="宋体"/>
          <w:b/>
          <w:bCs/>
          <w:color w:val="0000FF"/>
          <w:szCs w:val="21"/>
          <w:u w:val="single"/>
        </w:rPr>
        <w:t>1214-244209444LDY</w:t>
      </w:r>
      <w:r>
        <w:rPr>
          <w:rFonts w:hint="eastAsia" w:ascii="宋体" w:hAnsi="宋体" w:cs="宋体"/>
          <w:szCs w:val="21"/>
        </w:rPr>
        <w:t>招标项下</w:t>
      </w:r>
      <w:r>
        <w:rPr>
          <w:rFonts w:hint="eastAsia" w:ascii="宋体" w:hAnsi="宋体" w:cs="宋体"/>
          <w:b/>
          <w:bCs/>
          <w:color w:val="0000FF"/>
          <w:szCs w:val="21"/>
          <w:u w:val="single"/>
        </w:rPr>
        <w:t>中国电子口岸运行保障运维服务</w:t>
      </w:r>
      <w:r>
        <w:rPr>
          <w:rFonts w:hint="eastAsia" w:ascii="宋体" w:hAnsi="宋体" w:cs="宋体"/>
          <w:szCs w:val="21"/>
        </w:rPr>
        <w:t>采购项目合同的设备和专业技术能力。</w:t>
      </w:r>
    </w:p>
    <w:p w14:paraId="02842655">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14:paraId="530482E9">
      <w:pPr>
        <w:autoSpaceDE w:val="0"/>
        <w:autoSpaceDN w:val="0"/>
        <w:adjustRightInd w:val="0"/>
        <w:spacing w:line="720" w:lineRule="exact"/>
        <w:rPr>
          <w:rFonts w:ascii="宋体" w:hAnsi="宋体" w:cs="宋体"/>
          <w:kern w:val="0"/>
          <w:szCs w:val="21"/>
        </w:rPr>
      </w:pPr>
    </w:p>
    <w:p w14:paraId="3431AFFB">
      <w:pPr>
        <w:ind w:firstLine="420" w:firstLineChars="200"/>
        <w:rPr>
          <w:rFonts w:ascii="宋体" w:hAnsi="宋体" w:cs="宋体"/>
          <w:szCs w:val="21"/>
          <w:u w:val="single"/>
        </w:rPr>
      </w:pPr>
      <w:r>
        <w:rPr>
          <w:rFonts w:hint="eastAsia" w:ascii="宋体" w:hAnsi="宋体" w:cs="宋体"/>
          <w:szCs w:val="21"/>
        </w:rPr>
        <w:t>投标人名称（盖章）：</w:t>
      </w:r>
    </w:p>
    <w:p w14:paraId="68DAC6F2">
      <w:pPr>
        <w:rPr>
          <w:rFonts w:ascii="宋体" w:hAnsi="宋体" w:cs="宋体"/>
          <w:szCs w:val="21"/>
        </w:rPr>
      </w:pPr>
    </w:p>
    <w:p w14:paraId="518ACC19">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542CAA82">
      <w:pPr>
        <w:rPr>
          <w:rFonts w:ascii="宋体" w:hAnsi="宋体" w:cs="宋体"/>
          <w:szCs w:val="21"/>
        </w:rPr>
      </w:pPr>
    </w:p>
    <w:p w14:paraId="30258398">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0DAAE849">
      <w:pPr>
        <w:autoSpaceDE w:val="0"/>
        <w:autoSpaceDN w:val="0"/>
        <w:adjustRightInd w:val="0"/>
        <w:spacing w:line="720" w:lineRule="exact"/>
        <w:ind w:firstLine="420" w:firstLineChars="200"/>
        <w:jc w:val="left"/>
        <w:rPr>
          <w:rFonts w:ascii="宋体" w:hAnsi="宋体" w:cs="宋体"/>
          <w:kern w:val="0"/>
          <w:szCs w:val="21"/>
        </w:rPr>
      </w:pPr>
    </w:p>
    <w:p w14:paraId="7163F167">
      <w:pPr>
        <w:rPr>
          <w:rFonts w:ascii="宋体" w:hAnsi="宋体" w:cs="宋体"/>
          <w:szCs w:val="21"/>
        </w:rPr>
      </w:pPr>
    </w:p>
    <w:p w14:paraId="1EBCF1AD">
      <w:pPr>
        <w:widowControl/>
        <w:jc w:val="left"/>
        <w:rPr>
          <w:rFonts w:ascii="宋体" w:hAnsi="宋体" w:cs="宋体"/>
          <w:szCs w:val="21"/>
        </w:rPr>
      </w:pPr>
      <w:r>
        <w:rPr>
          <w:rFonts w:hint="eastAsia" w:ascii="宋体" w:hAnsi="宋体" w:cs="宋体"/>
          <w:szCs w:val="21"/>
        </w:rPr>
        <w:br w:type="page"/>
      </w:r>
      <w:r>
        <w:rPr>
          <w:rFonts w:hint="eastAsia" w:ascii="宋体" w:hAnsi="宋体" w:cs="宋体"/>
          <w:szCs w:val="21"/>
        </w:rPr>
        <w:t>格式七（5）</w:t>
      </w:r>
    </w:p>
    <w:p w14:paraId="35F34C03">
      <w:pPr>
        <w:rPr>
          <w:rFonts w:ascii="宋体" w:hAnsi="宋体" w:cs="宋体"/>
          <w:szCs w:val="21"/>
        </w:rPr>
      </w:pPr>
    </w:p>
    <w:p w14:paraId="33A28405">
      <w:pPr>
        <w:jc w:val="center"/>
        <w:rPr>
          <w:rFonts w:ascii="宋体" w:hAnsi="宋体" w:cs="宋体"/>
          <w:b/>
          <w:sz w:val="28"/>
          <w:szCs w:val="28"/>
        </w:rPr>
      </w:pPr>
      <w:r>
        <w:rPr>
          <w:rFonts w:hint="eastAsia" w:ascii="宋体" w:hAnsi="宋体" w:cs="宋体"/>
          <w:b/>
          <w:sz w:val="28"/>
          <w:szCs w:val="28"/>
        </w:rPr>
        <w:t>参加政府采购活动前三年内在经营活动中没有重大违法记录的书面声明</w:t>
      </w:r>
    </w:p>
    <w:p w14:paraId="7D5710BE">
      <w:pPr>
        <w:jc w:val="center"/>
        <w:rPr>
          <w:rFonts w:ascii="宋体" w:hAnsi="宋体" w:cs="宋体"/>
          <w:szCs w:val="21"/>
        </w:rPr>
      </w:pPr>
      <w:r>
        <w:rPr>
          <w:rFonts w:hint="eastAsia" w:ascii="宋体" w:hAnsi="宋体" w:cs="宋体"/>
          <w:szCs w:val="21"/>
        </w:rPr>
        <w:t>（原件）</w:t>
      </w:r>
    </w:p>
    <w:p w14:paraId="06DB3DF7">
      <w:pPr>
        <w:rPr>
          <w:rFonts w:ascii="宋体" w:hAnsi="宋体" w:cs="宋体"/>
          <w:szCs w:val="21"/>
        </w:rPr>
      </w:pPr>
    </w:p>
    <w:p w14:paraId="4F13F157">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我公司郑重声明：参加本次政府采购活动前三年内，我公司在经营活动中没有因违法经营受到刑事处罚或者责令停产停业、吊销许可证或者执照、较大数额罚款等行政处罚。</w:t>
      </w:r>
    </w:p>
    <w:p w14:paraId="626AF003">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14:paraId="4BC4D01B">
      <w:pPr>
        <w:autoSpaceDE w:val="0"/>
        <w:autoSpaceDN w:val="0"/>
        <w:adjustRightInd w:val="0"/>
        <w:spacing w:line="720" w:lineRule="exact"/>
        <w:ind w:firstLine="420" w:firstLineChars="200"/>
        <w:jc w:val="left"/>
        <w:rPr>
          <w:rFonts w:ascii="宋体" w:hAnsi="宋体" w:cs="宋体"/>
          <w:kern w:val="0"/>
          <w:szCs w:val="21"/>
        </w:rPr>
      </w:pPr>
    </w:p>
    <w:p w14:paraId="18D06A3A">
      <w:pPr>
        <w:ind w:firstLine="420" w:firstLineChars="200"/>
        <w:rPr>
          <w:rFonts w:ascii="宋体" w:hAnsi="宋体" w:cs="宋体"/>
          <w:szCs w:val="21"/>
          <w:u w:val="single"/>
        </w:rPr>
      </w:pPr>
      <w:r>
        <w:rPr>
          <w:rFonts w:hint="eastAsia" w:ascii="宋体" w:hAnsi="宋体" w:cs="宋体"/>
          <w:szCs w:val="21"/>
        </w:rPr>
        <w:t>投标人名称（盖章）：</w:t>
      </w:r>
    </w:p>
    <w:p w14:paraId="2C6665C7">
      <w:pPr>
        <w:rPr>
          <w:rFonts w:ascii="宋体" w:hAnsi="宋体" w:cs="宋体"/>
          <w:szCs w:val="21"/>
        </w:rPr>
      </w:pPr>
    </w:p>
    <w:p w14:paraId="6E4B4198">
      <w:pPr>
        <w:ind w:firstLine="420" w:firstLineChars="200"/>
        <w:rPr>
          <w:rFonts w:ascii="宋体" w:hAnsi="宋体" w:cs="宋体"/>
          <w:szCs w:val="21"/>
          <w:u w:val="single"/>
        </w:rPr>
      </w:pPr>
      <w:r>
        <w:rPr>
          <w:rFonts w:hint="eastAsia" w:ascii="宋体" w:hAnsi="宋体" w:cs="宋体"/>
          <w:szCs w:val="21"/>
        </w:rPr>
        <w:t>法定代表人（或</w:t>
      </w:r>
      <w:r>
        <w:rPr>
          <w:rFonts w:hint="eastAsia" w:ascii="宋体" w:hAnsi="宋体" w:cs="宋体"/>
        </w:rPr>
        <w:t>授权委托人</w:t>
      </w:r>
      <w:r>
        <w:rPr>
          <w:rFonts w:hint="eastAsia" w:ascii="宋体" w:hAnsi="宋体" w:cs="宋体"/>
          <w:szCs w:val="21"/>
        </w:rPr>
        <w:t>）签字：</w:t>
      </w:r>
    </w:p>
    <w:p w14:paraId="63807B79">
      <w:pPr>
        <w:rPr>
          <w:rFonts w:ascii="宋体" w:hAnsi="宋体" w:cs="宋体"/>
          <w:szCs w:val="21"/>
        </w:rPr>
      </w:pPr>
    </w:p>
    <w:p w14:paraId="7D3F548C">
      <w:pPr>
        <w:ind w:firstLine="420" w:firstLineChars="200"/>
        <w:rPr>
          <w:rFonts w:ascii="宋体" w:hAnsi="宋体" w:cs="宋体"/>
          <w:szCs w:val="21"/>
        </w:rPr>
      </w:pPr>
      <w:r>
        <w:rPr>
          <w:rFonts w:hint="eastAsia" w:ascii="宋体" w:hAnsi="宋体" w:cs="宋体"/>
          <w:szCs w:val="21"/>
        </w:rPr>
        <w:t>投标日期：2024年</w:t>
      </w:r>
      <w:r>
        <w:rPr>
          <w:rFonts w:hint="eastAsia" w:ascii="宋体" w:hAnsi="宋体" w:cs="宋体"/>
          <w:szCs w:val="21"/>
          <w:u w:val="single"/>
        </w:rPr>
        <w:t>XX</w:t>
      </w:r>
      <w:r>
        <w:rPr>
          <w:rFonts w:hint="eastAsia" w:ascii="宋体" w:hAnsi="宋体" w:cs="宋体"/>
          <w:szCs w:val="21"/>
        </w:rPr>
        <w:t>月</w:t>
      </w:r>
      <w:r>
        <w:rPr>
          <w:rFonts w:hint="eastAsia" w:ascii="宋体" w:hAnsi="宋体" w:cs="宋体"/>
          <w:szCs w:val="21"/>
          <w:u w:val="single"/>
        </w:rPr>
        <w:t>XX</w:t>
      </w:r>
      <w:r>
        <w:rPr>
          <w:rFonts w:hint="eastAsia" w:ascii="宋体" w:hAnsi="宋体" w:cs="宋体"/>
          <w:szCs w:val="21"/>
        </w:rPr>
        <w:t>日</w:t>
      </w:r>
    </w:p>
    <w:p w14:paraId="5FA820FE">
      <w:pPr>
        <w:rPr>
          <w:rFonts w:ascii="宋体" w:hAnsi="宋体" w:cs="宋体"/>
          <w:szCs w:val="21"/>
        </w:rPr>
      </w:pPr>
    </w:p>
    <w:p w14:paraId="114F45F1">
      <w:pPr>
        <w:rPr>
          <w:rFonts w:ascii="宋体" w:hAnsi="宋体" w:cs="宋体"/>
          <w:szCs w:val="21"/>
        </w:rPr>
      </w:pPr>
    </w:p>
    <w:p w14:paraId="4A691104">
      <w:pPr>
        <w:rPr>
          <w:rFonts w:ascii="宋体" w:hAnsi="宋体" w:cs="宋体"/>
          <w:szCs w:val="21"/>
        </w:rPr>
      </w:pPr>
    </w:p>
    <w:p w14:paraId="74C83F9F">
      <w:pPr>
        <w:rPr>
          <w:rFonts w:ascii="宋体" w:hAnsi="宋体" w:cs="宋体"/>
          <w:szCs w:val="21"/>
        </w:rPr>
      </w:pPr>
    </w:p>
    <w:p w14:paraId="2F782EBC">
      <w:pPr>
        <w:rPr>
          <w:rFonts w:ascii="宋体" w:hAnsi="宋体" w:cs="宋体"/>
          <w:szCs w:val="21"/>
        </w:rPr>
      </w:pPr>
      <w:r>
        <w:rPr>
          <w:rFonts w:hint="eastAsia" w:ascii="宋体" w:hAnsi="宋体" w:cs="宋体"/>
          <w:szCs w:val="21"/>
        </w:rPr>
        <w:br w:type="page"/>
      </w:r>
    </w:p>
    <w:p w14:paraId="47A1F2AD">
      <w:pPr>
        <w:rPr>
          <w:rFonts w:ascii="宋体" w:hAnsi="宋体" w:cs="宋体"/>
          <w:szCs w:val="21"/>
        </w:rPr>
      </w:pPr>
      <w:r>
        <w:rPr>
          <w:rFonts w:hint="eastAsia" w:ascii="宋体" w:hAnsi="宋体" w:cs="宋体"/>
          <w:szCs w:val="21"/>
        </w:rPr>
        <w:t>格式七（6）</w:t>
      </w:r>
    </w:p>
    <w:p w14:paraId="15B4FCD3">
      <w:pPr>
        <w:jc w:val="center"/>
        <w:rPr>
          <w:rFonts w:ascii="宋体" w:hAnsi="宋体" w:cs="宋体"/>
          <w:b/>
          <w:sz w:val="28"/>
          <w:szCs w:val="28"/>
        </w:rPr>
      </w:pPr>
      <w:r>
        <w:rPr>
          <w:rFonts w:hint="eastAsia" w:ascii="宋体" w:hAnsi="宋体" w:cs="宋体"/>
          <w:b/>
          <w:sz w:val="28"/>
          <w:szCs w:val="28"/>
        </w:rPr>
        <w:t>中小企业声明函（服务）</w:t>
      </w:r>
    </w:p>
    <w:p w14:paraId="5501039E">
      <w:pPr>
        <w:autoSpaceDE w:val="0"/>
        <w:autoSpaceDN w:val="0"/>
        <w:adjustRightInd w:val="0"/>
        <w:spacing w:line="360" w:lineRule="auto"/>
        <w:ind w:firstLine="420" w:firstLineChars="200"/>
        <w:jc w:val="left"/>
        <w:rPr>
          <w:rFonts w:ascii="宋体" w:hAnsi="宋体" w:cs="宋体"/>
          <w:kern w:val="0"/>
          <w:szCs w:val="21"/>
        </w:rPr>
      </w:pPr>
    </w:p>
    <w:p w14:paraId="003A34F0">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本公司（联合体）郑重声明，根据《政府采购促进中小企业发展管理办法》（财库﹝2020﹞46 号）的规定，本公司 （联合体）参加（单位名称）的（项目名称）采购活动，服务全部由符合政策要求的中小企业承接。相关企业（含联合体中的中小企业、签订分包意向协议的中小企业）的具体情况如下：</w:t>
      </w:r>
    </w:p>
    <w:p w14:paraId="705F198F">
      <w:pPr>
        <w:autoSpaceDE w:val="0"/>
        <w:autoSpaceDN w:val="0"/>
        <w:adjustRightInd w:val="0"/>
        <w:spacing w:line="360" w:lineRule="auto"/>
        <w:ind w:firstLine="210" w:firstLineChars="100"/>
        <w:jc w:val="left"/>
        <w:rPr>
          <w:rFonts w:ascii="宋体" w:hAnsi="宋体" w:cs="宋体"/>
          <w:kern w:val="0"/>
          <w:szCs w:val="21"/>
        </w:rPr>
      </w:pPr>
      <w:r>
        <w:rPr>
          <w:rFonts w:hint="eastAsia" w:ascii="宋体" w:hAnsi="宋体" w:cs="宋体"/>
          <w:kern w:val="0"/>
          <w:szCs w:val="21"/>
        </w:rPr>
        <w:t xml:space="preserve"> 1.</w:t>
      </w:r>
      <w:r>
        <w:rPr>
          <w:rFonts w:hint="eastAsia" w:ascii="宋体" w:hAnsi="宋体" w:cs="宋体"/>
          <w:kern w:val="0"/>
          <w:szCs w:val="21"/>
          <w:u w:val="single"/>
        </w:rPr>
        <w:t>（标的名称）</w:t>
      </w:r>
      <w:r>
        <w:rPr>
          <w:rFonts w:hint="eastAsia" w:ascii="宋体" w:hAnsi="宋体" w:cs="宋体"/>
          <w:kern w:val="0"/>
          <w:szCs w:val="21"/>
        </w:rPr>
        <w:t xml:space="preserve"> ，属于</w:t>
      </w:r>
      <w:r>
        <w:rPr>
          <w:rFonts w:hint="eastAsia" w:ascii="宋体" w:hAnsi="宋体" w:cs="宋体"/>
          <w:b/>
          <w:bCs/>
          <w:kern w:val="0"/>
          <w:szCs w:val="21"/>
          <w:u w:val="single"/>
        </w:rPr>
        <w:t>软件和信息技术服务业</w:t>
      </w:r>
      <w:r>
        <w:rPr>
          <w:rFonts w:hint="eastAsia" w:ascii="宋体" w:hAnsi="宋体" w:cs="宋体"/>
          <w:kern w:val="0"/>
          <w:szCs w:val="21"/>
        </w:rPr>
        <w:t>；承建（承接）企业为</w:t>
      </w:r>
      <w:r>
        <w:rPr>
          <w:rFonts w:hint="eastAsia" w:ascii="宋体" w:hAnsi="宋体" w:cs="宋体"/>
          <w:kern w:val="0"/>
          <w:szCs w:val="21"/>
          <w:u w:val="single"/>
        </w:rPr>
        <w:t>（企业名称）</w:t>
      </w:r>
      <w:r>
        <w:rPr>
          <w:rFonts w:hint="eastAsia" w:ascii="宋体" w:hAnsi="宋体" w:cs="宋体"/>
          <w:kern w:val="0"/>
          <w:szCs w:val="21"/>
        </w:rPr>
        <w:t>，从业人员</w:t>
      </w:r>
      <w:r>
        <w:rPr>
          <w:rFonts w:hint="eastAsia" w:ascii="宋体" w:hAnsi="宋体" w:cs="宋体"/>
          <w:i/>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（中型企业、小型企业、微型企业）</w:t>
      </w:r>
      <w:r>
        <w:rPr>
          <w:rFonts w:hint="eastAsia" w:ascii="宋体" w:hAnsi="宋体" w:cs="宋体"/>
          <w:kern w:val="0"/>
          <w:szCs w:val="21"/>
        </w:rPr>
        <w:t>；</w:t>
      </w:r>
    </w:p>
    <w:p w14:paraId="09E58695">
      <w:pPr>
        <w:autoSpaceDE w:val="0"/>
        <w:autoSpaceDN w:val="0"/>
        <w:adjustRightInd w:val="0"/>
        <w:spacing w:line="360" w:lineRule="auto"/>
        <w:ind w:firstLine="210" w:firstLineChars="100"/>
        <w:jc w:val="left"/>
        <w:rPr>
          <w:rFonts w:ascii="宋体" w:hAnsi="宋体" w:cs="宋体"/>
          <w:kern w:val="0"/>
          <w:szCs w:val="21"/>
        </w:rPr>
      </w:pPr>
      <w:r>
        <w:rPr>
          <w:rFonts w:hint="eastAsia" w:ascii="宋体" w:hAnsi="宋体" w:cs="宋体"/>
          <w:kern w:val="0"/>
          <w:szCs w:val="21"/>
        </w:rPr>
        <w:t xml:space="preserve"> 2.</w:t>
      </w:r>
      <w:r>
        <w:rPr>
          <w:rFonts w:hint="eastAsia" w:ascii="宋体" w:hAnsi="宋体" w:cs="宋体"/>
          <w:kern w:val="0"/>
          <w:szCs w:val="21"/>
          <w:u w:val="single"/>
        </w:rPr>
        <w:t>（标的名称）</w:t>
      </w:r>
      <w:r>
        <w:rPr>
          <w:rFonts w:hint="eastAsia" w:ascii="宋体" w:hAnsi="宋体" w:cs="宋体"/>
          <w:kern w:val="0"/>
          <w:szCs w:val="21"/>
        </w:rPr>
        <w:t xml:space="preserve"> ，属于</w:t>
      </w:r>
      <w:r>
        <w:rPr>
          <w:rFonts w:hint="eastAsia" w:ascii="宋体" w:hAnsi="宋体" w:cs="宋体"/>
          <w:b/>
          <w:bCs/>
          <w:kern w:val="0"/>
          <w:szCs w:val="21"/>
          <w:u w:val="single"/>
        </w:rPr>
        <w:t>软件和信息技术服务业</w:t>
      </w:r>
      <w:r>
        <w:rPr>
          <w:rFonts w:hint="eastAsia" w:ascii="宋体" w:hAnsi="宋体" w:cs="宋体"/>
          <w:kern w:val="0"/>
          <w:szCs w:val="21"/>
        </w:rPr>
        <w:t>；承建（承接）企业为</w:t>
      </w:r>
      <w:r>
        <w:rPr>
          <w:rFonts w:hint="eastAsia" w:ascii="宋体" w:hAnsi="宋体" w:cs="宋体"/>
          <w:kern w:val="0"/>
          <w:szCs w:val="21"/>
          <w:u w:val="single"/>
        </w:rPr>
        <w:t>（企业名称）</w:t>
      </w:r>
      <w:r>
        <w:rPr>
          <w:rFonts w:hint="eastAsia" w:ascii="宋体" w:hAnsi="宋体" w:cs="宋体"/>
          <w:kern w:val="0"/>
          <w:szCs w:val="21"/>
        </w:rPr>
        <w:t>，从业人员</w:t>
      </w:r>
      <w:r>
        <w:rPr>
          <w:rFonts w:hint="eastAsia" w:ascii="宋体" w:hAnsi="宋体" w:cs="宋体"/>
          <w:i/>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（中型企业、小型企业、微型企业）</w:t>
      </w:r>
      <w:r>
        <w:rPr>
          <w:rFonts w:hint="eastAsia" w:ascii="宋体" w:hAnsi="宋体" w:cs="宋体"/>
          <w:kern w:val="0"/>
          <w:szCs w:val="21"/>
        </w:rPr>
        <w:t>；</w:t>
      </w:r>
    </w:p>
    <w:p w14:paraId="6F51617B">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w:t>
      </w:r>
    </w:p>
    <w:p w14:paraId="7181E19C">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742FBE1C">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本企业对上述声明内容的真实性负责。如有虚假，将依法承担相应责任。</w:t>
      </w:r>
    </w:p>
    <w:p w14:paraId="56ACBBF4">
      <w:pPr>
        <w:autoSpaceDE w:val="0"/>
        <w:autoSpaceDN w:val="0"/>
        <w:adjustRightInd w:val="0"/>
        <w:spacing w:line="360" w:lineRule="auto"/>
        <w:jc w:val="right"/>
        <w:rPr>
          <w:rFonts w:ascii="宋体" w:hAnsi="宋体" w:cs="宋体"/>
          <w:kern w:val="0"/>
          <w:szCs w:val="21"/>
        </w:rPr>
      </w:pPr>
    </w:p>
    <w:p w14:paraId="6A166490">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 xml:space="preserve">                                    企业名称（盖章）：</w:t>
      </w:r>
    </w:p>
    <w:p w14:paraId="6772FED5">
      <w:pPr>
        <w:wordWrap w:val="0"/>
        <w:spacing w:line="360" w:lineRule="auto"/>
        <w:jc w:val="center"/>
        <w:rPr>
          <w:rFonts w:ascii="宋体" w:hAnsi="宋体" w:cs="宋体"/>
          <w:kern w:val="0"/>
          <w:szCs w:val="21"/>
        </w:rPr>
      </w:pPr>
      <w:r>
        <w:rPr>
          <w:rFonts w:hint="eastAsia" w:ascii="宋体" w:hAnsi="宋体" w:cs="宋体"/>
          <w:kern w:val="0"/>
          <w:szCs w:val="21"/>
        </w:rPr>
        <w:t xml:space="preserve">                                                 日期： </w:t>
      </w:r>
    </w:p>
    <w:p w14:paraId="6B1E5813">
      <w:pPr>
        <w:wordWrap w:val="0"/>
        <w:spacing w:line="360" w:lineRule="auto"/>
        <w:jc w:val="center"/>
        <w:rPr>
          <w:rFonts w:ascii="宋体" w:hAnsi="宋体" w:cs="宋体"/>
          <w:kern w:val="0"/>
          <w:sz w:val="24"/>
        </w:rPr>
      </w:pPr>
    </w:p>
    <w:p w14:paraId="212AC91B">
      <w:pPr>
        <w:rPr>
          <w:rFonts w:ascii="宋体" w:hAnsi="宋体" w:cs="宋体"/>
          <w:szCs w:val="21"/>
        </w:rPr>
      </w:pPr>
      <w:r>
        <w:rPr>
          <w:rFonts w:hint="eastAsia" w:ascii="Calibri" w:hAnsi="Calibri"/>
          <w:szCs w:val="22"/>
          <w:lang w:bidi="ar"/>
        </w:rPr>
        <w:t>注：从业人员、营业收入、资产总额填报上一年度数据，无上一年度数据的新成立企业可不填报。</w:t>
      </w:r>
    </w:p>
    <w:p w14:paraId="10B0F39F">
      <w:pPr>
        <w:rPr>
          <w:rFonts w:ascii="宋体" w:hAnsi="宋体" w:cs="宋体"/>
          <w:szCs w:val="21"/>
        </w:rPr>
      </w:pPr>
    </w:p>
    <w:p w14:paraId="6C1FB6C2">
      <w:pPr>
        <w:spacing w:line="360" w:lineRule="auto"/>
        <w:jc w:val="center"/>
        <w:rPr>
          <w:rStyle w:val="31"/>
          <w:rFonts w:ascii="宋体" w:hAnsi="宋体" w:cs="仿宋"/>
          <w:color w:val="000000" w:themeColor="text1"/>
          <w:sz w:val="28"/>
          <w:szCs w:val="28"/>
          <w14:textFill>
            <w14:solidFill>
              <w14:schemeClr w14:val="tx1"/>
            </w14:solidFill>
          </w14:textFill>
        </w:rPr>
      </w:pPr>
    </w:p>
    <w:p w14:paraId="6340C3DC">
      <w:pPr>
        <w:spacing w:line="360" w:lineRule="auto"/>
        <w:jc w:val="center"/>
        <w:rPr>
          <w:rStyle w:val="31"/>
          <w:rFonts w:ascii="宋体" w:hAnsi="宋体" w:cs="仿宋"/>
          <w:color w:val="000000" w:themeColor="text1"/>
          <w:sz w:val="28"/>
          <w:szCs w:val="28"/>
          <w14:textFill>
            <w14:solidFill>
              <w14:schemeClr w14:val="tx1"/>
            </w14:solidFill>
          </w14:textFill>
        </w:rPr>
      </w:pPr>
    </w:p>
    <w:p w14:paraId="4B5418DD">
      <w:pPr>
        <w:spacing w:line="360" w:lineRule="auto"/>
        <w:jc w:val="center"/>
        <w:rPr>
          <w:rStyle w:val="31"/>
          <w:rFonts w:ascii="宋体" w:hAnsi="宋体" w:cs="仿宋"/>
          <w:color w:val="000000" w:themeColor="text1"/>
          <w:sz w:val="28"/>
          <w:szCs w:val="28"/>
          <w14:textFill>
            <w14:solidFill>
              <w14:schemeClr w14:val="tx1"/>
            </w14:solidFill>
          </w14:textFill>
        </w:rPr>
      </w:pPr>
    </w:p>
    <w:p w14:paraId="6B2927CF">
      <w:pPr>
        <w:spacing w:line="360" w:lineRule="auto"/>
        <w:jc w:val="center"/>
        <w:rPr>
          <w:rStyle w:val="31"/>
          <w:rFonts w:ascii="宋体" w:hAnsi="宋体" w:cs="仿宋"/>
          <w:color w:val="000000" w:themeColor="text1"/>
          <w:szCs w:val="21"/>
          <w14:textFill>
            <w14:solidFill>
              <w14:schemeClr w14:val="tx1"/>
            </w14:solidFill>
          </w14:textFill>
        </w:rPr>
      </w:pPr>
      <w:r>
        <w:rPr>
          <w:rStyle w:val="31"/>
          <w:rFonts w:hint="eastAsia" w:ascii="宋体" w:hAnsi="宋体" w:cs="仿宋"/>
          <w:color w:val="000000" w:themeColor="text1"/>
          <w:sz w:val="28"/>
          <w:szCs w:val="28"/>
          <w14:textFill>
            <w14:solidFill>
              <w14:schemeClr w14:val="tx1"/>
            </w14:solidFill>
          </w14:textFill>
        </w:rPr>
        <w:t>中小微企业划型标准</w:t>
      </w:r>
    </w:p>
    <w:tbl>
      <w:tblPr>
        <w:tblStyle w:val="28"/>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701"/>
        <w:gridCol w:w="1134"/>
        <w:gridCol w:w="1777"/>
        <w:gridCol w:w="1650"/>
        <w:gridCol w:w="967"/>
      </w:tblGrid>
      <w:tr w14:paraId="0A27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6" w:type="dxa"/>
            <w:tcBorders>
              <w:tl2br w:val="nil"/>
              <w:tr2bl w:val="nil"/>
            </w:tcBorders>
            <w:shd w:val="clear" w:color="auto" w:fill="auto"/>
            <w:noWrap/>
            <w:vAlign w:val="center"/>
          </w:tcPr>
          <w:p w14:paraId="11C15232">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行业名称</w:t>
            </w:r>
          </w:p>
        </w:tc>
        <w:tc>
          <w:tcPr>
            <w:tcW w:w="1701" w:type="dxa"/>
            <w:tcBorders>
              <w:tl2br w:val="nil"/>
              <w:tr2bl w:val="nil"/>
            </w:tcBorders>
            <w:shd w:val="clear" w:color="auto" w:fill="auto"/>
            <w:noWrap/>
            <w:vAlign w:val="center"/>
          </w:tcPr>
          <w:p w14:paraId="156786D1">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指标名称</w:t>
            </w:r>
          </w:p>
        </w:tc>
        <w:tc>
          <w:tcPr>
            <w:tcW w:w="1134" w:type="dxa"/>
            <w:tcBorders>
              <w:tl2br w:val="nil"/>
              <w:tr2bl w:val="nil"/>
            </w:tcBorders>
            <w:shd w:val="clear" w:color="auto" w:fill="auto"/>
            <w:noWrap/>
            <w:vAlign w:val="center"/>
          </w:tcPr>
          <w:p w14:paraId="422FB324">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计量单位</w:t>
            </w:r>
          </w:p>
        </w:tc>
        <w:tc>
          <w:tcPr>
            <w:tcW w:w="1777" w:type="dxa"/>
            <w:tcBorders>
              <w:tl2br w:val="nil"/>
              <w:tr2bl w:val="nil"/>
            </w:tcBorders>
            <w:shd w:val="clear" w:color="auto" w:fill="auto"/>
            <w:noWrap/>
            <w:vAlign w:val="center"/>
          </w:tcPr>
          <w:p w14:paraId="6849CB68">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中型</w:t>
            </w:r>
          </w:p>
        </w:tc>
        <w:tc>
          <w:tcPr>
            <w:tcW w:w="1650" w:type="dxa"/>
            <w:tcBorders>
              <w:tl2br w:val="nil"/>
              <w:tr2bl w:val="nil"/>
            </w:tcBorders>
            <w:shd w:val="clear" w:color="auto" w:fill="auto"/>
            <w:noWrap/>
            <w:vAlign w:val="center"/>
          </w:tcPr>
          <w:p w14:paraId="0D1A06BE">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小型</w:t>
            </w:r>
          </w:p>
        </w:tc>
        <w:tc>
          <w:tcPr>
            <w:tcW w:w="967" w:type="dxa"/>
            <w:tcBorders>
              <w:tl2br w:val="nil"/>
              <w:tr2bl w:val="nil"/>
            </w:tcBorders>
            <w:shd w:val="clear" w:color="auto" w:fill="auto"/>
            <w:noWrap/>
            <w:vAlign w:val="center"/>
          </w:tcPr>
          <w:p w14:paraId="51710667">
            <w:pPr>
              <w:keepNext w:val="0"/>
              <w:keepLines w:val="0"/>
              <w:widowControl/>
              <w:suppressLineNumbers w:val="0"/>
              <w:spacing w:before="0" w:beforeAutospacing="0" w:after="0" w:afterAutospacing="0"/>
              <w:ind w:left="0" w:right="0"/>
              <w:jc w:val="center"/>
              <w:rPr>
                <w:rFonts w:ascii="宋体" w:hAnsi="宋体" w:cs="宋体"/>
                <w:b/>
                <w:color w:val="000000"/>
                <w:kern w:val="0"/>
                <w:szCs w:val="21"/>
              </w:rPr>
            </w:pPr>
            <w:r>
              <w:rPr>
                <w:rFonts w:hint="eastAsia" w:ascii="宋体" w:hAnsi="宋体" w:cs="宋体"/>
                <w:b/>
                <w:color w:val="000000"/>
                <w:kern w:val="0"/>
                <w:szCs w:val="21"/>
              </w:rPr>
              <w:t>微型</w:t>
            </w:r>
          </w:p>
        </w:tc>
      </w:tr>
      <w:tr w14:paraId="4AE3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6" w:type="dxa"/>
            <w:vMerge w:val="restart"/>
            <w:tcBorders>
              <w:tl2br w:val="nil"/>
              <w:tr2bl w:val="nil"/>
            </w:tcBorders>
            <w:shd w:val="clear" w:color="auto" w:fill="auto"/>
            <w:noWrap/>
            <w:vAlign w:val="center"/>
          </w:tcPr>
          <w:p w14:paraId="02180B5B">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软件和信息技术服务　</w:t>
            </w:r>
          </w:p>
        </w:tc>
        <w:tc>
          <w:tcPr>
            <w:tcW w:w="1701" w:type="dxa"/>
            <w:tcBorders>
              <w:tl2br w:val="nil"/>
              <w:tr2bl w:val="nil"/>
            </w:tcBorders>
            <w:shd w:val="clear" w:color="auto" w:fill="auto"/>
            <w:noWrap/>
            <w:vAlign w:val="center"/>
          </w:tcPr>
          <w:p w14:paraId="6B2ABDB9">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从业人员（X）</w:t>
            </w:r>
          </w:p>
        </w:tc>
        <w:tc>
          <w:tcPr>
            <w:tcW w:w="1134" w:type="dxa"/>
            <w:tcBorders>
              <w:tl2br w:val="nil"/>
              <w:tr2bl w:val="nil"/>
            </w:tcBorders>
            <w:shd w:val="clear" w:color="auto" w:fill="auto"/>
            <w:noWrap/>
            <w:vAlign w:val="center"/>
          </w:tcPr>
          <w:p w14:paraId="30B34ED9">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人</w:t>
            </w:r>
          </w:p>
        </w:tc>
        <w:tc>
          <w:tcPr>
            <w:tcW w:w="1777" w:type="dxa"/>
            <w:tcBorders>
              <w:tl2br w:val="nil"/>
              <w:tr2bl w:val="nil"/>
            </w:tcBorders>
            <w:shd w:val="clear" w:color="auto" w:fill="auto"/>
            <w:noWrap/>
            <w:vAlign w:val="center"/>
          </w:tcPr>
          <w:p w14:paraId="56614C66">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100≤X＜300</w:t>
            </w:r>
          </w:p>
        </w:tc>
        <w:tc>
          <w:tcPr>
            <w:tcW w:w="1650" w:type="dxa"/>
            <w:tcBorders>
              <w:tl2br w:val="nil"/>
              <w:tr2bl w:val="nil"/>
            </w:tcBorders>
            <w:shd w:val="clear" w:color="auto" w:fill="auto"/>
            <w:noWrap/>
            <w:vAlign w:val="center"/>
          </w:tcPr>
          <w:p w14:paraId="2D6F8E2D">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10≤X＜100</w:t>
            </w:r>
          </w:p>
        </w:tc>
        <w:tc>
          <w:tcPr>
            <w:tcW w:w="967" w:type="dxa"/>
            <w:tcBorders>
              <w:tl2br w:val="nil"/>
              <w:tr2bl w:val="nil"/>
            </w:tcBorders>
            <w:shd w:val="clear" w:color="auto" w:fill="auto"/>
            <w:noWrap/>
            <w:vAlign w:val="center"/>
          </w:tcPr>
          <w:p w14:paraId="1261F4A1">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X＜10</w:t>
            </w:r>
          </w:p>
        </w:tc>
      </w:tr>
      <w:tr w14:paraId="0365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26" w:type="dxa"/>
            <w:vMerge w:val="continue"/>
            <w:tcBorders>
              <w:tl2br w:val="nil"/>
              <w:tr2bl w:val="nil"/>
            </w:tcBorders>
            <w:shd w:val="clear" w:color="auto" w:fill="auto"/>
            <w:noWrap/>
            <w:vAlign w:val="center"/>
          </w:tcPr>
          <w:p w14:paraId="1422C8C4">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p>
        </w:tc>
        <w:tc>
          <w:tcPr>
            <w:tcW w:w="1701" w:type="dxa"/>
            <w:tcBorders>
              <w:tl2br w:val="nil"/>
              <w:tr2bl w:val="nil"/>
            </w:tcBorders>
            <w:shd w:val="clear" w:color="auto" w:fill="auto"/>
            <w:noWrap/>
            <w:vAlign w:val="center"/>
          </w:tcPr>
          <w:p w14:paraId="732CDE06">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营业收入（Y）</w:t>
            </w:r>
          </w:p>
        </w:tc>
        <w:tc>
          <w:tcPr>
            <w:tcW w:w="1134" w:type="dxa"/>
            <w:tcBorders>
              <w:tl2br w:val="nil"/>
              <w:tr2bl w:val="nil"/>
            </w:tcBorders>
            <w:shd w:val="clear" w:color="auto" w:fill="auto"/>
            <w:noWrap/>
            <w:vAlign w:val="center"/>
          </w:tcPr>
          <w:p w14:paraId="0FCD02F8">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万元</w:t>
            </w:r>
          </w:p>
        </w:tc>
        <w:tc>
          <w:tcPr>
            <w:tcW w:w="1777" w:type="dxa"/>
            <w:tcBorders>
              <w:tl2br w:val="nil"/>
              <w:tr2bl w:val="nil"/>
            </w:tcBorders>
            <w:shd w:val="clear" w:color="auto" w:fill="auto"/>
            <w:noWrap/>
            <w:vAlign w:val="center"/>
          </w:tcPr>
          <w:p w14:paraId="5B2A8F84">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1000≤Y＜10000</w:t>
            </w:r>
          </w:p>
        </w:tc>
        <w:tc>
          <w:tcPr>
            <w:tcW w:w="1650" w:type="dxa"/>
            <w:tcBorders>
              <w:tl2br w:val="nil"/>
              <w:tr2bl w:val="nil"/>
            </w:tcBorders>
            <w:shd w:val="clear" w:color="auto" w:fill="auto"/>
            <w:noWrap/>
            <w:vAlign w:val="center"/>
          </w:tcPr>
          <w:p w14:paraId="771E3F1E">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50≤Y＜1000</w:t>
            </w:r>
          </w:p>
        </w:tc>
        <w:tc>
          <w:tcPr>
            <w:tcW w:w="967" w:type="dxa"/>
            <w:tcBorders>
              <w:tl2br w:val="nil"/>
              <w:tr2bl w:val="nil"/>
            </w:tcBorders>
            <w:shd w:val="clear" w:color="auto" w:fill="auto"/>
            <w:noWrap/>
            <w:vAlign w:val="center"/>
          </w:tcPr>
          <w:p w14:paraId="3F2EEF94">
            <w:pPr>
              <w:keepNext w:val="0"/>
              <w:keepLines w:val="0"/>
              <w:widowControl/>
              <w:suppressLineNumbers w:val="0"/>
              <w:spacing w:before="0" w:beforeAutospacing="0" w:after="0" w:afterAutospacing="0"/>
              <w:ind w:left="0" w:right="0"/>
              <w:jc w:val="left"/>
              <w:rPr>
                <w:rFonts w:ascii="宋体" w:hAnsi="宋体" w:cs="宋体"/>
                <w:color w:val="000000"/>
                <w:kern w:val="0"/>
                <w:szCs w:val="21"/>
              </w:rPr>
            </w:pPr>
            <w:r>
              <w:rPr>
                <w:rFonts w:hint="eastAsia" w:ascii="宋体" w:hAnsi="宋体" w:cs="宋体"/>
                <w:color w:val="000000"/>
                <w:kern w:val="0"/>
                <w:szCs w:val="21"/>
              </w:rPr>
              <w:t>Y＜50</w:t>
            </w:r>
          </w:p>
        </w:tc>
      </w:tr>
    </w:tbl>
    <w:p w14:paraId="00658F05">
      <w:pPr>
        <w:jc w:val="left"/>
        <w:rPr>
          <w:rFonts w:ascii="宋体" w:hAnsi="宋体" w:cs="宋体"/>
          <w:szCs w:val="21"/>
        </w:rPr>
      </w:pPr>
      <w:r>
        <w:rPr>
          <w:rStyle w:val="31"/>
          <w:rFonts w:hint="eastAsia" w:ascii="宋体" w:hAnsi="宋体" w:cs="仿宋"/>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32123F1D">
      <w:pPr>
        <w:rPr>
          <w:rFonts w:ascii="宋体" w:hAnsi="宋体" w:cs="宋体"/>
          <w:szCs w:val="21"/>
        </w:rPr>
        <w:sectPr>
          <w:pgSz w:w="11906" w:h="16838"/>
          <w:pgMar w:top="1134" w:right="1440" w:bottom="850" w:left="1440" w:header="850" w:footer="992" w:gutter="0"/>
          <w:cols w:space="0" w:num="1"/>
          <w:docGrid w:type="lines" w:linePitch="323" w:charSpace="0"/>
        </w:sectPr>
      </w:pPr>
    </w:p>
    <w:p w14:paraId="4FABA912">
      <w:pPr>
        <w:widowControl/>
        <w:jc w:val="left"/>
        <w:outlineLvl w:val="2"/>
        <w:rPr>
          <w:rFonts w:ascii="宋体" w:hAnsi="宋体" w:cs="宋体"/>
          <w:szCs w:val="21"/>
        </w:rPr>
      </w:pPr>
      <w:bookmarkStart w:id="196" w:name="_Toc13356"/>
      <w:bookmarkStart w:id="197" w:name="_Toc7226"/>
      <w:bookmarkStart w:id="198" w:name="_Toc25159"/>
      <w:bookmarkStart w:id="199" w:name="_Toc21435"/>
      <w:r>
        <w:rPr>
          <w:rFonts w:hint="eastAsia" w:ascii="宋体" w:hAnsi="宋体" w:cs="宋体"/>
          <w:szCs w:val="21"/>
        </w:rPr>
        <w:t>格式八、其它</w:t>
      </w:r>
      <w:bookmarkEnd w:id="196"/>
      <w:bookmarkEnd w:id="197"/>
      <w:bookmarkEnd w:id="198"/>
      <w:bookmarkEnd w:id="199"/>
    </w:p>
    <w:p w14:paraId="555D53EE">
      <w:pPr>
        <w:rPr>
          <w:rFonts w:ascii="宋体" w:hAnsi="宋体" w:cs="宋体"/>
          <w:szCs w:val="21"/>
        </w:rPr>
      </w:pPr>
    </w:p>
    <w:p w14:paraId="2328F2FE">
      <w:pPr>
        <w:jc w:val="center"/>
        <w:rPr>
          <w:rFonts w:ascii="宋体" w:hAnsi="宋体" w:cs="宋体"/>
          <w:b/>
          <w:sz w:val="28"/>
          <w:szCs w:val="28"/>
        </w:rPr>
      </w:pPr>
      <w:r>
        <w:rPr>
          <w:rFonts w:hint="eastAsia" w:ascii="宋体" w:hAnsi="宋体" w:cs="宋体"/>
          <w:b/>
          <w:sz w:val="28"/>
          <w:szCs w:val="28"/>
        </w:rPr>
        <w:t>招标文件要求提供或者投标人认为需要提供的其它资料</w:t>
      </w:r>
    </w:p>
    <w:p w14:paraId="08270E58">
      <w:pPr>
        <w:rPr>
          <w:rFonts w:ascii="宋体" w:hAnsi="宋体" w:cs="宋体"/>
        </w:rPr>
      </w:pPr>
      <w:r>
        <w:rPr>
          <w:rFonts w:hint="eastAsia" w:ascii="宋体" w:hAnsi="宋体" w:cs="宋体"/>
        </w:rPr>
        <w:t>列如：</w:t>
      </w:r>
    </w:p>
    <w:p w14:paraId="6745EE5C">
      <w:pPr>
        <w:ind w:firstLine="420" w:firstLineChars="200"/>
        <w:rPr>
          <w:rFonts w:ascii="宋体" w:hAnsi="宋体" w:cs="宋体"/>
          <w:szCs w:val="21"/>
        </w:rPr>
      </w:pPr>
      <w:r>
        <w:rPr>
          <w:rFonts w:hint="eastAsia" w:ascii="宋体" w:hAnsi="宋体" w:cs="宋体"/>
          <w:szCs w:val="21"/>
        </w:rPr>
        <w:t>1、评分标准中涉及的材料（如</w:t>
      </w:r>
      <w:r>
        <w:rPr>
          <w:rFonts w:hint="eastAsia" w:ascii="宋体" w:hAnsi="宋体" w:cs="宋体"/>
          <w:color w:val="0000FF"/>
          <w:szCs w:val="21"/>
        </w:rPr>
        <w:t>证书</w:t>
      </w:r>
      <w:r>
        <w:rPr>
          <w:rFonts w:hint="eastAsia" w:ascii="宋体" w:hAnsi="宋体" w:cs="宋体"/>
          <w:color w:val="0000FF"/>
          <w:szCs w:val="21"/>
          <w:lang w:eastAsia="zh-CN"/>
        </w:rPr>
        <w:t>、人员情况</w:t>
      </w:r>
      <w:r>
        <w:rPr>
          <w:rFonts w:hint="eastAsia" w:ascii="宋体" w:hAnsi="宋体" w:cs="宋体"/>
          <w:color w:val="0000FF"/>
          <w:szCs w:val="21"/>
        </w:rPr>
        <w:t>、业绩证明材料</w:t>
      </w:r>
      <w:r>
        <w:rPr>
          <w:rFonts w:hint="eastAsia" w:ascii="宋体" w:hAnsi="宋体" w:cs="宋体"/>
          <w:szCs w:val="21"/>
        </w:rPr>
        <w:t>等）</w:t>
      </w:r>
    </w:p>
    <w:p w14:paraId="0DD7002C">
      <w:pPr>
        <w:ind w:firstLine="420" w:firstLineChars="200"/>
        <w:rPr>
          <w:rFonts w:ascii="宋体" w:hAnsi="宋体" w:cs="宋体"/>
          <w:szCs w:val="21"/>
        </w:rPr>
      </w:pPr>
      <w:r>
        <w:rPr>
          <w:rFonts w:hint="eastAsia" w:ascii="宋体" w:hAnsi="宋体" w:cs="宋体"/>
          <w:szCs w:val="21"/>
        </w:rPr>
        <w:t>2、投标人认为需要提供的其它资料</w:t>
      </w:r>
    </w:p>
    <w:p w14:paraId="2C6D4835">
      <w:pPr>
        <w:jc w:val="center"/>
        <w:rPr>
          <w:rFonts w:ascii="宋体" w:hAnsi="宋体" w:cs="宋体"/>
          <w:b/>
          <w:szCs w:val="21"/>
        </w:rPr>
      </w:pPr>
    </w:p>
    <w:p w14:paraId="015D51E4">
      <w:pPr>
        <w:jc w:val="center"/>
        <w:rPr>
          <w:rFonts w:ascii="宋体" w:hAnsi="宋体" w:cs="宋体"/>
          <w:b/>
          <w:szCs w:val="21"/>
        </w:rPr>
      </w:pPr>
    </w:p>
    <w:p w14:paraId="428F1F00">
      <w:pPr>
        <w:pStyle w:val="10"/>
        <w:rPr>
          <w:rFonts w:ascii="宋体" w:hAnsi="宋体" w:cs="宋体"/>
        </w:rPr>
      </w:pPr>
    </w:p>
    <w:sectPr>
      <w:pgSz w:w="11906" w:h="16838"/>
      <w:pgMar w:top="1134" w:right="1440" w:bottom="850" w:left="1440" w:header="850"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Batang">
    <w:panose1 w:val="02030600000101010101"/>
    <w:charset w:val="81"/>
    <w:family w:val="auto"/>
    <w:pitch w:val="default"/>
    <w:sig w:usb0="B00002AF" w:usb1="69D77CFB" w:usb2="00000030" w:usb3="00000000" w:csb0="4008009F" w:csb1="DFD70000"/>
  </w:font>
  <w:font w:name="长城大标宋体">
    <w:altName w:val="Calibri"/>
    <w:panose1 w:val="00000000000000000000"/>
    <w:charset w:val="52"/>
    <w:family w:val="auto"/>
    <w:pitch w:val="default"/>
    <w:sig w:usb0="00000000" w:usb1="00000000" w:usb2="00000000" w:usb3="00000000" w:csb0="0000009F" w:csb1="00000000"/>
  </w:font>
  <w:font w:name="FrutBold">
    <w:altName w:val="Times New Roman"/>
    <w:panose1 w:val="00000000000000000000"/>
    <w:charset w:val="00"/>
    <w:family w:val="auto"/>
    <w:pitch w:val="default"/>
    <w:sig w:usb0="00000000" w:usb1="00000000" w:usb2="00000000" w:usb3="00000000" w:csb0="0000001B"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7BF08">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0C85">
    <w:pPr>
      <w:pStyle w:val="19"/>
      <w:jc w:val="center"/>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0C8A6">
                          <w:pPr>
                            <w:pStyle w:val="1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t xml:space="preserve"> /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44</w:t>
                          </w:r>
                          <w:r>
                            <w:rPr>
                              <w:rFonts w:hint="eastAsia"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A50C8A6">
                    <w:pPr>
                      <w:pStyle w:val="19"/>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3</w:t>
                    </w:r>
                    <w:r>
                      <w:rPr>
                        <w:rFonts w:hint="eastAsia" w:ascii="宋体" w:hAnsi="宋体" w:cs="宋体"/>
                        <w:sz w:val="21"/>
                        <w:szCs w:val="21"/>
                      </w:rPr>
                      <w:fldChar w:fldCharType="end"/>
                    </w:r>
                    <w:r>
                      <w:rPr>
                        <w:rFonts w:hint="eastAsia" w:ascii="宋体" w:hAnsi="宋体" w:cs="宋体"/>
                        <w:sz w:val="21"/>
                        <w:szCs w:val="21"/>
                      </w:rPr>
                      <w:t xml:space="preserve"> / </w:t>
                    </w:r>
                    <w:r>
                      <w:rPr>
                        <w:rFonts w:hint="eastAsia" w:ascii="宋体" w:hAnsi="宋体" w:cs="宋体"/>
                        <w:sz w:val="21"/>
                        <w:szCs w:val="21"/>
                      </w:rPr>
                      <w:fldChar w:fldCharType="begin"/>
                    </w:r>
                    <w:r>
                      <w:rPr>
                        <w:rFonts w:hint="eastAsia" w:ascii="宋体" w:hAnsi="宋体" w:cs="宋体"/>
                        <w:sz w:val="21"/>
                        <w:szCs w:val="21"/>
                      </w:rPr>
                      <w:instrText xml:space="preserve"> NUMPAGES  \* MERGEFORMAT </w:instrText>
                    </w:r>
                    <w:r>
                      <w:rPr>
                        <w:rFonts w:hint="eastAsia" w:ascii="宋体" w:hAnsi="宋体" w:cs="宋体"/>
                        <w:sz w:val="21"/>
                        <w:szCs w:val="21"/>
                      </w:rPr>
                      <w:fldChar w:fldCharType="separate"/>
                    </w:r>
                    <w:r>
                      <w:rPr>
                        <w:rFonts w:ascii="宋体" w:hAnsi="宋体" w:cs="宋体"/>
                        <w:sz w:val="21"/>
                        <w:szCs w:val="21"/>
                      </w:rPr>
                      <w:t>44</w:t>
                    </w:r>
                    <w:r>
                      <w:rPr>
                        <w:rFonts w:hint="eastAsia" w:ascii="宋体" w:hAnsi="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84E6">
    <w:pPr>
      <w:pStyle w:val="19"/>
      <w:jc w:val="center"/>
    </w:pPr>
    <w:r>
      <w:rPr>
        <w:rFonts w:hint="eastAsia"/>
      </w:rPr>
      <w:t>第</w:t>
    </w:r>
    <w:r>
      <w:fldChar w:fldCharType="begin"/>
    </w:r>
    <w:r>
      <w:rPr>
        <w:rStyle w:val="32"/>
      </w:rPr>
      <w:instrText xml:space="preserve"> PAGE </w:instrText>
    </w:r>
    <w:r>
      <w:fldChar w:fldCharType="separate"/>
    </w:r>
    <w:r>
      <w:rPr>
        <w:rStyle w:val="32"/>
      </w:rPr>
      <w:t>23</w:t>
    </w:r>
    <w:r>
      <w:fldChar w:fldCharType="end"/>
    </w:r>
    <w:r>
      <w:rPr>
        <w:rStyle w:val="32"/>
        <w:rFonts w:hint="eastAsia"/>
      </w:rPr>
      <w:t>页，共</w:t>
    </w:r>
    <w:r>
      <w:fldChar w:fldCharType="begin"/>
    </w:r>
    <w:r>
      <w:rPr>
        <w:rStyle w:val="32"/>
      </w:rPr>
      <w:instrText xml:space="preserve"> NUMPAGES </w:instrText>
    </w:r>
    <w:r>
      <w:fldChar w:fldCharType="separate"/>
    </w:r>
    <w:r>
      <w:rPr>
        <w:rStyle w:val="32"/>
      </w:rPr>
      <w:t>44</w:t>
    </w:r>
    <w:r>
      <w:fldChar w:fldCharType="end"/>
    </w:r>
    <w:r>
      <w:rPr>
        <w:rStyle w:val="32"/>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2A2D">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C82F">
    <w:pPr>
      <w:pStyle w:val="20"/>
    </w:pPr>
    <w:r>
      <w:rPr>
        <w:rFonts w:hint="eastAsia" w:eastAsia="华文行楷"/>
        <w:sz w:val="24"/>
      </w:rPr>
      <w:t>江苏海事大厦智能化系统招标文件</w:t>
    </w:r>
  </w:p>
  <w:p w14:paraId="595BCD2C">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B461">
    <w:pPr>
      <w:pStyle w:val="20"/>
    </w:pPr>
    <w:r>
      <w:rPr>
        <w:rFonts w:hint="eastAsia"/>
        <w:b/>
        <w:bCs/>
        <w:i/>
        <w:iCs/>
        <w:sz w:val="21"/>
        <w:szCs w:val="21"/>
        <w:lang w:bidi="ar"/>
      </w:rPr>
      <w:t>南京海关 电子口岸运维服务采购项目</w:t>
    </w:r>
    <w:r>
      <w:rPr>
        <w:b/>
        <w:bCs/>
        <w:i/>
        <w:iCs/>
        <w:sz w:val="21"/>
        <w:szCs w:val="21"/>
        <w:lang w:bidi="ar"/>
      </w:rPr>
      <w:t xml:space="preserve">  </w:t>
    </w:r>
    <w:r>
      <w:rPr>
        <w:rFonts w:hint="eastAsia"/>
        <w:b/>
        <w:bCs/>
        <w:i/>
        <w:iCs/>
        <w:sz w:val="21"/>
        <w:szCs w:val="21"/>
        <w:lang w:bidi="ar"/>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1E43">
    <w:pPr>
      <w:pStyle w:val="20"/>
      <w:spacing w:line="4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8DE20"/>
    <w:multiLevelType w:val="singleLevel"/>
    <w:tmpl w:val="80B8DE20"/>
    <w:lvl w:ilvl="0" w:tentative="0">
      <w:start w:val="1"/>
      <w:numFmt w:val="chineseCounting"/>
      <w:suff w:val="nothing"/>
      <w:lvlText w:val="%1、"/>
      <w:lvlJc w:val="left"/>
      <w:rPr>
        <w:rFonts w:hint="eastAsia"/>
      </w:rPr>
    </w:lvl>
  </w:abstractNum>
  <w:abstractNum w:abstractNumId="1">
    <w:nsid w:val="8173236F"/>
    <w:multiLevelType w:val="singleLevel"/>
    <w:tmpl w:val="8173236F"/>
    <w:lvl w:ilvl="0" w:tentative="0">
      <w:start w:val="1"/>
      <w:numFmt w:val="decimal"/>
      <w:suff w:val="nothing"/>
      <w:lvlText w:val="（%1）"/>
      <w:lvlJc w:val="left"/>
    </w:lvl>
  </w:abstractNum>
  <w:abstractNum w:abstractNumId="2">
    <w:nsid w:val="8B3500A5"/>
    <w:multiLevelType w:val="multilevel"/>
    <w:tmpl w:val="8B3500A5"/>
    <w:lvl w:ilvl="0" w:tentative="0">
      <w:start w:val="2"/>
      <w:numFmt w:val="decimal"/>
      <w:suff w:val="nothing"/>
      <w:lvlText w:val="%1、"/>
      <w:lvlJc w:val="left"/>
      <w:pPr>
        <w:ind w:left="0" w:firstLine="0"/>
      </w:pPr>
      <w:rPr>
        <w:rFonts w:hint="default" w:asciiTheme="minorEastAsia" w:hAnsiTheme="minorEastAsia" w:eastAsiaTheme="minorEastAsia" w:cstheme="minor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D1E6D253"/>
    <w:multiLevelType w:val="singleLevel"/>
    <w:tmpl w:val="D1E6D253"/>
    <w:lvl w:ilvl="0" w:tentative="0">
      <w:start w:val="1"/>
      <w:numFmt w:val="decimal"/>
      <w:lvlText w:val="%1."/>
      <w:lvlJc w:val="left"/>
      <w:pPr>
        <w:tabs>
          <w:tab w:val="left" w:pos="312"/>
        </w:tabs>
      </w:pPr>
    </w:lvl>
  </w:abstractNum>
  <w:abstractNum w:abstractNumId="4">
    <w:nsid w:val="E128FED3"/>
    <w:multiLevelType w:val="multilevel"/>
    <w:tmpl w:val="E128FED3"/>
    <w:lvl w:ilvl="0" w:tentative="0">
      <w:start w:val="1"/>
      <w:numFmt w:val="decimal"/>
      <w:suff w:val="nothing"/>
      <w:lvlText w:val="（%1）"/>
      <w:lvlJc w:val="left"/>
      <w:pPr>
        <w:ind w:left="0" w:firstLine="0"/>
      </w:pPr>
      <w:rPr>
        <w:rFonts w:hint="default" w:ascii="宋体" w:hAnsi="宋体" w:eastAsia="宋体" w:cs="宋体"/>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5"/>
    <w:multiLevelType w:val="multilevel"/>
    <w:tmpl w:val="00000005"/>
    <w:lvl w:ilvl="0" w:tentative="0">
      <w:start w:val="1"/>
      <w:numFmt w:val="chineseCountingThousand"/>
      <w:lvlText w:val="%1、"/>
      <w:lvlJc w:val="left"/>
      <w:pPr>
        <w:ind w:left="562" w:hanging="420"/>
      </w:pPr>
      <w:rPr>
        <w:rFonts w:hint="eastAsia"/>
      </w:rPr>
    </w:lvl>
    <w:lvl w:ilvl="1" w:tentative="0">
      <w:start w:val="1"/>
      <w:numFmt w:val="lowerLetter"/>
      <w:pStyle w:val="41"/>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080C17"/>
    <w:multiLevelType w:val="singleLevel"/>
    <w:tmpl w:val="06080C17"/>
    <w:lvl w:ilvl="0" w:tentative="0">
      <w:start w:val="5"/>
      <w:numFmt w:val="upperLetter"/>
      <w:pStyle w:val="2"/>
      <w:lvlText w:val="%1．"/>
      <w:lvlJc w:val="left"/>
      <w:pPr>
        <w:tabs>
          <w:tab w:val="left" w:pos="396"/>
        </w:tabs>
        <w:ind w:left="396" w:hanging="396"/>
      </w:pPr>
      <w:rPr>
        <w:rFonts w:hint="eastAsia" w:cs="Times New Roman"/>
      </w:rPr>
    </w:lvl>
  </w:abstractNum>
  <w:abstractNum w:abstractNumId="7">
    <w:nsid w:val="55612306"/>
    <w:multiLevelType w:val="multilevel"/>
    <w:tmpl w:val="55612306"/>
    <w:lvl w:ilvl="0" w:tentative="0">
      <w:start w:val="1"/>
      <w:numFmt w:val="decimal"/>
      <w:lvlText w:val="%1."/>
      <w:lvlJc w:val="left"/>
      <w:pPr>
        <w:tabs>
          <w:tab w:val="left" w:pos="0"/>
        </w:tabs>
        <w:ind w:left="780" w:hanging="360"/>
      </w:pPr>
      <w:rPr>
        <w:rFonts w:hint="default" w:ascii="宋体" w:hAnsi="宋体" w:eastAsia="宋体" w:cs="宋体"/>
        <w:b w:val="0"/>
        <w:bCs/>
        <w:color w:val="000000"/>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8">
    <w:nsid w:val="65672743"/>
    <w:multiLevelType w:val="multilevel"/>
    <w:tmpl w:val="65672743"/>
    <w:lvl w:ilvl="0" w:tentative="0">
      <w:start w:val="1"/>
      <w:numFmt w:val="decimal"/>
      <w:suff w:val="nothing"/>
      <w:lvlText w:val="（%1）"/>
      <w:lvlJc w:val="left"/>
      <w:pPr>
        <w:ind w:left="0" w:firstLine="0"/>
      </w:pPr>
      <w:rPr>
        <w:rFonts w:hint="default" w:ascii="宋体" w:hAnsi="宋体" w:eastAsia="宋体" w:cs="宋体"/>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D134F0A"/>
    <w:multiLevelType w:val="multilevel"/>
    <w:tmpl w:val="6D134F0A"/>
    <w:lvl w:ilvl="0" w:tentative="0">
      <w:start w:val="1"/>
      <w:numFmt w:val="decimal"/>
      <w:lvlText w:val="%1."/>
      <w:lvlJc w:val="left"/>
      <w:pPr>
        <w:tabs>
          <w:tab w:val="left" w:pos="0"/>
        </w:tabs>
        <w:ind w:left="720" w:hanging="360"/>
      </w:pPr>
      <w:rPr>
        <w:rFonts w:hint="default" w:ascii="宋体" w:hAnsi="宋体" w:eastAsia="宋体" w:cs="宋体"/>
        <w:b w:val="0"/>
        <w:bCs/>
        <w:i w:val="0"/>
        <w:color w:val="auto"/>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10">
    <w:nsid w:val="78214F3B"/>
    <w:multiLevelType w:val="multilevel"/>
    <w:tmpl w:val="78214F3B"/>
    <w:lvl w:ilvl="0" w:tentative="0">
      <w:start w:val="1"/>
      <w:numFmt w:val="decimal"/>
      <w:lvlText w:val="1.%1"/>
      <w:lvlJc w:val="left"/>
      <w:pPr>
        <w:ind w:left="42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9325848"/>
    <w:multiLevelType w:val="multilevel"/>
    <w:tmpl w:val="79325848"/>
    <w:lvl w:ilvl="0" w:tentative="0">
      <w:start w:val="1"/>
      <w:numFmt w:val="chineseCountingThousand"/>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BBD47F9"/>
    <w:multiLevelType w:val="multilevel"/>
    <w:tmpl w:val="7BBD47F9"/>
    <w:lvl w:ilvl="0" w:tentative="0">
      <w:start w:val="1"/>
      <w:numFmt w:val="decimal"/>
      <w:lvlText w:val="%1."/>
      <w:lvlJc w:val="left"/>
      <w:pPr>
        <w:tabs>
          <w:tab w:val="left" w:pos="425"/>
        </w:tabs>
        <w:ind w:left="425" w:hanging="425"/>
      </w:pPr>
      <w:rPr>
        <w:rFonts w:cs="Times New Roman"/>
      </w:rPr>
    </w:lvl>
    <w:lvl w:ilvl="1" w:tentative="0">
      <w:start w:val="1"/>
      <w:numFmt w:val="decimal"/>
      <w:pStyle w:val="3"/>
      <w:lvlText w:val="%1.%2."/>
      <w:lvlJc w:val="left"/>
      <w:pPr>
        <w:tabs>
          <w:tab w:val="left" w:pos="747"/>
        </w:tabs>
        <w:ind w:left="747" w:hanging="567"/>
      </w:pPr>
      <w:rPr>
        <w:rFonts w:cs="Times New Roman"/>
      </w:rPr>
    </w:lvl>
    <w:lvl w:ilvl="2" w:tentative="0">
      <w:start w:val="1"/>
      <w:numFmt w:val="decimal"/>
      <w:pStyle w:val="4"/>
      <w:lvlText w:val="%1.%2.%3."/>
      <w:lvlJc w:val="left"/>
      <w:pPr>
        <w:tabs>
          <w:tab w:val="left" w:pos="1429"/>
        </w:tabs>
        <w:ind w:left="142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6"/>
  </w:num>
  <w:num w:numId="2">
    <w:abstractNumId w:val="12"/>
  </w:num>
  <w:num w:numId="3">
    <w:abstractNumId w:val="5"/>
  </w:num>
  <w:num w:numId="4">
    <w:abstractNumId w:val="11"/>
  </w:num>
  <w:num w:numId="5">
    <w:abstractNumId w:val="10"/>
  </w:num>
  <w:num w:numId="6">
    <w:abstractNumId w:val="9"/>
  </w:num>
  <w:num w:numId="7">
    <w:abstractNumId w:val="7"/>
  </w:num>
  <w:num w:numId="8">
    <w:abstractNumId w:val="3"/>
  </w:num>
  <w:num w:numId="9">
    <w:abstractNumId w:val="0"/>
  </w:num>
  <w:num w:numId="10">
    <w:abstractNumId w:val="2"/>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6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ZGI1M2ZlYzY4NWZjNmZkZDhmOWY3ZDgzNTBiNDEifQ=="/>
  </w:docVars>
  <w:rsids>
    <w:rsidRoot w:val="001C4DCC"/>
    <w:rsid w:val="000009B6"/>
    <w:rsid w:val="00001D77"/>
    <w:rsid w:val="000023F8"/>
    <w:rsid w:val="000024F9"/>
    <w:rsid w:val="0000264F"/>
    <w:rsid w:val="000029F6"/>
    <w:rsid w:val="00002E1F"/>
    <w:rsid w:val="00002FB6"/>
    <w:rsid w:val="00004FF6"/>
    <w:rsid w:val="000060BB"/>
    <w:rsid w:val="0000626B"/>
    <w:rsid w:val="00006968"/>
    <w:rsid w:val="00006EC0"/>
    <w:rsid w:val="00007471"/>
    <w:rsid w:val="00010685"/>
    <w:rsid w:val="000107C9"/>
    <w:rsid w:val="000108E3"/>
    <w:rsid w:val="0001183F"/>
    <w:rsid w:val="00012038"/>
    <w:rsid w:val="0001205C"/>
    <w:rsid w:val="00012D9A"/>
    <w:rsid w:val="00012E2D"/>
    <w:rsid w:val="00012EDF"/>
    <w:rsid w:val="0001418C"/>
    <w:rsid w:val="0001464C"/>
    <w:rsid w:val="000146B9"/>
    <w:rsid w:val="00014CB8"/>
    <w:rsid w:val="00014DDA"/>
    <w:rsid w:val="00015954"/>
    <w:rsid w:val="00016D0A"/>
    <w:rsid w:val="00017450"/>
    <w:rsid w:val="00023D27"/>
    <w:rsid w:val="000249D3"/>
    <w:rsid w:val="00024C02"/>
    <w:rsid w:val="00025A50"/>
    <w:rsid w:val="00025E5B"/>
    <w:rsid w:val="00026AA2"/>
    <w:rsid w:val="00026AE1"/>
    <w:rsid w:val="00026BF7"/>
    <w:rsid w:val="00026D1B"/>
    <w:rsid w:val="00027522"/>
    <w:rsid w:val="00027CAB"/>
    <w:rsid w:val="0003066D"/>
    <w:rsid w:val="00030ED8"/>
    <w:rsid w:val="000310A1"/>
    <w:rsid w:val="000310BB"/>
    <w:rsid w:val="00032A68"/>
    <w:rsid w:val="00032D7C"/>
    <w:rsid w:val="00032F7B"/>
    <w:rsid w:val="00033905"/>
    <w:rsid w:val="00033BC1"/>
    <w:rsid w:val="000345B6"/>
    <w:rsid w:val="00035F9F"/>
    <w:rsid w:val="00036DF9"/>
    <w:rsid w:val="00037C2E"/>
    <w:rsid w:val="000404FA"/>
    <w:rsid w:val="00040A5E"/>
    <w:rsid w:val="00040F09"/>
    <w:rsid w:val="000418AE"/>
    <w:rsid w:val="00041C7C"/>
    <w:rsid w:val="0004251B"/>
    <w:rsid w:val="000433CB"/>
    <w:rsid w:val="000435DF"/>
    <w:rsid w:val="00043C70"/>
    <w:rsid w:val="00044402"/>
    <w:rsid w:val="00044503"/>
    <w:rsid w:val="00044798"/>
    <w:rsid w:val="0004488B"/>
    <w:rsid w:val="000453B1"/>
    <w:rsid w:val="000464D7"/>
    <w:rsid w:val="00046D7E"/>
    <w:rsid w:val="000474F4"/>
    <w:rsid w:val="000508C0"/>
    <w:rsid w:val="0005093B"/>
    <w:rsid w:val="00050963"/>
    <w:rsid w:val="000509AA"/>
    <w:rsid w:val="00050D77"/>
    <w:rsid w:val="00051560"/>
    <w:rsid w:val="000527D3"/>
    <w:rsid w:val="00053C95"/>
    <w:rsid w:val="00053DC8"/>
    <w:rsid w:val="000545EE"/>
    <w:rsid w:val="00054D95"/>
    <w:rsid w:val="00055B3C"/>
    <w:rsid w:val="0005622D"/>
    <w:rsid w:val="000563E5"/>
    <w:rsid w:val="0005779B"/>
    <w:rsid w:val="00057B2D"/>
    <w:rsid w:val="00060CE3"/>
    <w:rsid w:val="00060E4C"/>
    <w:rsid w:val="0006192B"/>
    <w:rsid w:val="00063037"/>
    <w:rsid w:val="000632A3"/>
    <w:rsid w:val="00063E14"/>
    <w:rsid w:val="0006401C"/>
    <w:rsid w:val="00064035"/>
    <w:rsid w:val="00064332"/>
    <w:rsid w:val="00064BE3"/>
    <w:rsid w:val="000651C2"/>
    <w:rsid w:val="000658E1"/>
    <w:rsid w:val="00065BD3"/>
    <w:rsid w:val="00066290"/>
    <w:rsid w:val="00066358"/>
    <w:rsid w:val="0006688A"/>
    <w:rsid w:val="000670AE"/>
    <w:rsid w:val="000678F1"/>
    <w:rsid w:val="00067D50"/>
    <w:rsid w:val="00067E1E"/>
    <w:rsid w:val="00067F67"/>
    <w:rsid w:val="00070167"/>
    <w:rsid w:val="00071122"/>
    <w:rsid w:val="00071EA2"/>
    <w:rsid w:val="00071EC9"/>
    <w:rsid w:val="00072123"/>
    <w:rsid w:val="0007272A"/>
    <w:rsid w:val="00073371"/>
    <w:rsid w:val="000746EE"/>
    <w:rsid w:val="00075070"/>
    <w:rsid w:val="00075CE1"/>
    <w:rsid w:val="0008024F"/>
    <w:rsid w:val="000806E1"/>
    <w:rsid w:val="000818CB"/>
    <w:rsid w:val="0008224D"/>
    <w:rsid w:val="000833C0"/>
    <w:rsid w:val="00084CF3"/>
    <w:rsid w:val="00085F2C"/>
    <w:rsid w:val="000863ED"/>
    <w:rsid w:val="000866B5"/>
    <w:rsid w:val="00086D93"/>
    <w:rsid w:val="000872B0"/>
    <w:rsid w:val="00090B89"/>
    <w:rsid w:val="00090CB0"/>
    <w:rsid w:val="00090D5D"/>
    <w:rsid w:val="0009145B"/>
    <w:rsid w:val="0009188D"/>
    <w:rsid w:val="0009394B"/>
    <w:rsid w:val="00094E3C"/>
    <w:rsid w:val="0009513F"/>
    <w:rsid w:val="00095AAB"/>
    <w:rsid w:val="00095F41"/>
    <w:rsid w:val="000972D4"/>
    <w:rsid w:val="00097402"/>
    <w:rsid w:val="000A0D0E"/>
    <w:rsid w:val="000A123B"/>
    <w:rsid w:val="000A18AC"/>
    <w:rsid w:val="000A30E2"/>
    <w:rsid w:val="000A3995"/>
    <w:rsid w:val="000A3E16"/>
    <w:rsid w:val="000A482E"/>
    <w:rsid w:val="000A4908"/>
    <w:rsid w:val="000A592B"/>
    <w:rsid w:val="000A6238"/>
    <w:rsid w:val="000A722B"/>
    <w:rsid w:val="000B094F"/>
    <w:rsid w:val="000B1047"/>
    <w:rsid w:val="000B1651"/>
    <w:rsid w:val="000B1883"/>
    <w:rsid w:val="000B2632"/>
    <w:rsid w:val="000B513F"/>
    <w:rsid w:val="000B5C17"/>
    <w:rsid w:val="000B7DF3"/>
    <w:rsid w:val="000C02BF"/>
    <w:rsid w:val="000C0765"/>
    <w:rsid w:val="000C0C32"/>
    <w:rsid w:val="000C0EBC"/>
    <w:rsid w:val="000C1E04"/>
    <w:rsid w:val="000C1F71"/>
    <w:rsid w:val="000C3125"/>
    <w:rsid w:val="000C403F"/>
    <w:rsid w:val="000C4097"/>
    <w:rsid w:val="000C4407"/>
    <w:rsid w:val="000C451E"/>
    <w:rsid w:val="000C48DB"/>
    <w:rsid w:val="000C5190"/>
    <w:rsid w:val="000C5FC7"/>
    <w:rsid w:val="000C6023"/>
    <w:rsid w:val="000C660C"/>
    <w:rsid w:val="000C6AF7"/>
    <w:rsid w:val="000C7B52"/>
    <w:rsid w:val="000D0304"/>
    <w:rsid w:val="000D061D"/>
    <w:rsid w:val="000D1804"/>
    <w:rsid w:val="000D2970"/>
    <w:rsid w:val="000D37CF"/>
    <w:rsid w:val="000D3CF0"/>
    <w:rsid w:val="000D3ED0"/>
    <w:rsid w:val="000D43C5"/>
    <w:rsid w:val="000D4FAB"/>
    <w:rsid w:val="000D509A"/>
    <w:rsid w:val="000D5BE3"/>
    <w:rsid w:val="000D5FEB"/>
    <w:rsid w:val="000D6478"/>
    <w:rsid w:val="000D6673"/>
    <w:rsid w:val="000D7207"/>
    <w:rsid w:val="000D75EF"/>
    <w:rsid w:val="000D7660"/>
    <w:rsid w:val="000D76B4"/>
    <w:rsid w:val="000E0AA7"/>
    <w:rsid w:val="000E1B6C"/>
    <w:rsid w:val="000E257A"/>
    <w:rsid w:val="000E28E4"/>
    <w:rsid w:val="000E290E"/>
    <w:rsid w:val="000E3436"/>
    <w:rsid w:val="000E3EB6"/>
    <w:rsid w:val="000E5990"/>
    <w:rsid w:val="000E62FB"/>
    <w:rsid w:val="000E72C9"/>
    <w:rsid w:val="000E792E"/>
    <w:rsid w:val="000F043C"/>
    <w:rsid w:val="000F07A9"/>
    <w:rsid w:val="000F2741"/>
    <w:rsid w:val="000F2B6A"/>
    <w:rsid w:val="000F30FA"/>
    <w:rsid w:val="000F564D"/>
    <w:rsid w:val="000F5A48"/>
    <w:rsid w:val="000F5C88"/>
    <w:rsid w:val="000F658A"/>
    <w:rsid w:val="000F6FAF"/>
    <w:rsid w:val="00100744"/>
    <w:rsid w:val="001009C1"/>
    <w:rsid w:val="00100D88"/>
    <w:rsid w:val="00100FEA"/>
    <w:rsid w:val="00101665"/>
    <w:rsid w:val="00101B15"/>
    <w:rsid w:val="001027D0"/>
    <w:rsid w:val="00102D18"/>
    <w:rsid w:val="00103706"/>
    <w:rsid w:val="001037DD"/>
    <w:rsid w:val="001059E5"/>
    <w:rsid w:val="00105F51"/>
    <w:rsid w:val="00106387"/>
    <w:rsid w:val="00106582"/>
    <w:rsid w:val="0010672D"/>
    <w:rsid w:val="00107AFA"/>
    <w:rsid w:val="00107C26"/>
    <w:rsid w:val="00107DE4"/>
    <w:rsid w:val="00107EEC"/>
    <w:rsid w:val="0011040C"/>
    <w:rsid w:val="0011195C"/>
    <w:rsid w:val="0011314E"/>
    <w:rsid w:val="0011529F"/>
    <w:rsid w:val="0011610F"/>
    <w:rsid w:val="0011658E"/>
    <w:rsid w:val="00120DDD"/>
    <w:rsid w:val="001214AB"/>
    <w:rsid w:val="00121DC8"/>
    <w:rsid w:val="001220AB"/>
    <w:rsid w:val="001228D5"/>
    <w:rsid w:val="00123DDE"/>
    <w:rsid w:val="00123E0E"/>
    <w:rsid w:val="001245F8"/>
    <w:rsid w:val="00124F53"/>
    <w:rsid w:val="00126B3E"/>
    <w:rsid w:val="00127268"/>
    <w:rsid w:val="00132441"/>
    <w:rsid w:val="0013347D"/>
    <w:rsid w:val="001334D3"/>
    <w:rsid w:val="001336A7"/>
    <w:rsid w:val="00133DE6"/>
    <w:rsid w:val="0013420E"/>
    <w:rsid w:val="00136B2B"/>
    <w:rsid w:val="00136B6B"/>
    <w:rsid w:val="00136FE8"/>
    <w:rsid w:val="001379E5"/>
    <w:rsid w:val="0014094B"/>
    <w:rsid w:val="001412F1"/>
    <w:rsid w:val="00142993"/>
    <w:rsid w:val="00142B78"/>
    <w:rsid w:val="00142CBD"/>
    <w:rsid w:val="001432E1"/>
    <w:rsid w:val="00143325"/>
    <w:rsid w:val="00144151"/>
    <w:rsid w:val="00144286"/>
    <w:rsid w:val="0014461D"/>
    <w:rsid w:val="00144A5E"/>
    <w:rsid w:val="001456D5"/>
    <w:rsid w:val="00146D3B"/>
    <w:rsid w:val="00147972"/>
    <w:rsid w:val="00147C08"/>
    <w:rsid w:val="00150A27"/>
    <w:rsid w:val="00150BCD"/>
    <w:rsid w:val="00150C83"/>
    <w:rsid w:val="00151028"/>
    <w:rsid w:val="0015154E"/>
    <w:rsid w:val="001517C5"/>
    <w:rsid w:val="00152613"/>
    <w:rsid w:val="00153780"/>
    <w:rsid w:val="00153B18"/>
    <w:rsid w:val="001547A7"/>
    <w:rsid w:val="00154943"/>
    <w:rsid w:val="001549A0"/>
    <w:rsid w:val="00154C28"/>
    <w:rsid w:val="00154C9D"/>
    <w:rsid w:val="00155FE2"/>
    <w:rsid w:val="00156995"/>
    <w:rsid w:val="00156D44"/>
    <w:rsid w:val="001577B6"/>
    <w:rsid w:val="00157AFC"/>
    <w:rsid w:val="00160021"/>
    <w:rsid w:val="001604C8"/>
    <w:rsid w:val="00160666"/>
    <w:rsid w:val="00160A85"/>
    <w:rsid w:val="00160F0F"/>
    <w:rsid w:val="00161E12"/>
    <w:rsid w:val="00162D70"/>
    <w:rsid w:val="00162F32"/>
    <w:rsid w:val="00163499"/>
    <w:rsid w:val="00163ABD"/>
    <w:rsid w:val="00163B5D"/>
    <w:rsid w:val="00163FA0"/>
    <w:rsid w:val="00164738"/>
    <w:rsid w:val="00164C4C"/>
    <w:rsid w:val="00164F5B"/>
    <w:rsid w:val="0016515A"/>
    <w:rsid w:val="00165F47"/>
    <w:rsid w:val="00167164"/>
    <w:rsid w:val="001674C8"/>
    <w:rsid w:val="001676B9"/>
    <w:rsid w:val="001702C7"/>
    <w:rsid w:val="001716BF"/>
    <w:rsid w:val="00172700"/>
    <w:rsid w:val="00173DD5"/>
    <w:rsid w:val="00173F6F"/>
    <w:rsid w:val="0017455F"/>
    <w:rsid w:val="001747F3"/>
    <w:rsid w:val="00174AB5"/>
    <w:rsid w:val="00174DC1"/>
    <w:rsid w:val="0017546A"/>
    <w:rsid w:val="00175581"/>
    <w:rsid w:val="0017599D"/>
    <w:rsid w:val="00175B2A"/>
    <w:rsid w:val="00176A15"/>
    <w:rsid w:val="00180862"/>
    <w:rsid w:val="00180C58"/>
    <w:rsid w:val="00181B1A"/>
    <w:rsid w:val="00183131"/>
    <w:rsid w:val="00183BB4"/>
    <w:rsid w:val="00184C88"/>
    <w:rsid w:val="00185E08"/>
    <w:rsid w:val="0018651B"/>
    <w:rsid w:val="00186B27"/>
    <w:rsid w:val="00187885"/>
    <w:rsid w:val="0019010A"/>
    <w:rsid w:val="001907D3"/>
    <w:rsid w:val="00191230"/>
    <w:rsid w:val="001918D1"/>
    <w:rsid w:val="00191B38"/>
    <w:rsid w:val="001923DD"/>
    <w:rsid w:val="0019295B"/>
    <w:rsid w:val="0019324F"/>
    <w:rsid w:val="00193A23"/>
    <w:rsid w:val="00193F20"/>
    <w:rsid w:val="00194982"/>
    <w:rsid w:val="001949C8"/>
    <w:rsid w:val="00195066"/>
    <w:rsid w:val="00196151"/>
    <w:rsid w:val="0019640C"/>
    <w:rsid w:val="00196835"/>
    <w:rsid w:val="001976E7"/>
    <w:rsid w:val="00197D05"/>
    <w:rsid w:val="00197F8F"/>
    <w:rsid w:val="001A00E1"/>
    <w:rsid w:val="001A1296"/>
    <w:rsid w:val="001A17F4"/>
    <w:rsid w:val="001A26A1"/>
    <w:rsid w:val="001A31AD"/>
    <w:rsid w:val="001A3537"/>
    <w:rsid w:val="001A5487"/>
    <w:rsid w:val="001A696B"/>
    <w:rsid w:val="001A6C14"/>
    <w:rsid w:val="001A74D8"/>
    <w:rsid w:val="001A78DE"/>
    <w:rsid w:val="001A7AC9"/>
    <w:rsid w:val="001B1B62"/>
    <w:rsid w:val="001B1B7F"/>
    <w:rsid w:val="001B1DD3"/>
    <w:rsid w:val="001B1E83"/>
    <w:rsid w:val="001B2D83"/>
    <w:rsid w:val="001B5EF9"/>
    <w:rsid w:val="001B68D5"/>
    <w:rsid w:val="001B6C85"/>
    <w:rsid w:val="001B7AC0"/>
    <w:rsid w:val="001C13D9"/>
    <w:rsid w:val="001C1536"/>
    <w:rsid w:val="001C2427"/>
    <w:rsid w:val="001C2FF6"/>
    <w:rsid w:val="001C3875"/>
    <w:rsid w:val="001C3BC0"/>
    <w:rsid w:val="001C3CCC"/>
    <w:rsid w:val="001C4A4C"/>
    <w:rsid w:val="001C4B60"/>
    <w:rsid w:val="001C4DCC"/>
    <w:rsid w:val="001C6837"/>
    <w:rsid w:val="001C6B5A"/>
    <w:rsid w:val="001D02EF"/>
    <w:rsid w:val="001D0D68"/>
    <w:rsid w:val="001D1CC0"/>
    <w:rsid w:val="001D1E16"/>
    <w:rsid w:val="001D3045"/>
    <w:rsid w:val="001D3996"/>
    <w:rsid w:val="001D3EE6"/>
    <w:rsid w:val="001D5474"/>
    <w:rsid w:val="001D5E10"/>
    <w:rsid w:val="001D604B"/>
    <w:rsid w:val="001D7237"/>
    <w:rsid w:val="001D7882"/>
    <w:rsid w:val="001D7D2D"/>
    <w:rsid w:val="001E00DB"/>
    <w:rsid w:val="001E0448"/>
    <w:rsid w:val="001E0D34"/>
    <w:rsid w:val="001E1D9B"/>
    <w:rsid w:val="001E285A"/>
    <w:rsid w:val="001E45CD"/>
    <w:rsid w:val="001E48CC"/>
    <w:rsid w:val="001E664C"/>
    <w:rsid w:val="001E6E33"/>
    <w:rsid w:val="001E7EB1"/>
    <w:rsid w:val="001F049E"/>
    <w:rsid w:val="001F076F"/>
    <w:rsid w:val="001F0B1A"/>
    <w:rsid w:val="001F1200"/>
    <w:rsid w:val="001F1CD1"/>
    <w:rsid w:val="001F468E"/>
    <w:rsid w:val="001F5006"/>
    <w:rsid w:val="001F571E"/>
    <w:rsid w:val="001F6597"/>
    <w:rsid w:val="001F7417"/>
    <w:rsid w:val="001F7B81"/>
    <w:rsid w:val="001F7ECF"/>
    <w:rsid w:val="00200BD5"/>
    <w:rsid w:val="00202918"/>
    <w:rsid w:val="00202B66"/>
    <w:rsid w:val="00202CC5"/>
    <w:rsid w:val="0020317B"/>
    <w:rsid w:val="002035F4"/>
    <w:rsid w:val="00203D1E"/>
    <w:rsid w:val="0020457C"/>
    <w:rsid w:val="00204CB1"/>
    <w:rsid w:val="00205467"/>
    <w:rsid w:val="002058C4"/>
    <w:rsid w:val="00206573"/>
    <w:rsid w:val="0020697F"/>
    <w:rsid w:val="00207BCF"/>
    <w:rsid w:val="00207D7A"/>
    <w:rsid w:val="00210EA8"/>
    <w:rsid w:val="0021109D"/>
    <w:rsid w:val="00211D69"/>
    <w:rsid w:val="00212409"/>
    <w:rsid w:val="00212F4D"/>
    <w:rsid w:val="00213440"/>
    <w:rsid w:val="00214598"/>
    <w:rsid w:val="002146E2"/>
    <w:rsid w:val="00214AD1"/>
    <w:rsid w:val="00214FD9"/>
    <w:rsid w:val="00215004"/>
    <w:rsid w:val="0021590C"/>
    <w:rsid w:val="00220400"/>
    <w:rsid w:val="002212EB"/>
    <w:rsid w:val="00221536"/>
    <w:rsid w:val="0022189B"/>
    <w:rsid w:val="00221EB7"/>
    <w:rsid w:val="00222062"/>
    <w:rsid w:val="002229D5"/>
    <w:rsid w:val="00225974"/>
    <w:rsid w:val="00226163"/>
    <w:rsid w:val="002279DE"/>
    <w:rsid w:val="00230C80"/>
    <w:rsid w:val="002323D9"/>
    <w:rsid w:val="00232E69"/>
    <w:rsid w:val="00234091"/>
    <w:rsid w:val="0023437C"/>
    <w:rsid w:val="00235BEF"/>
    <w:rsid w:val="00235E6D"/>
    <w:rsid w:val="0023749E"/>
    <w:rsid w:val="00237695"/>
    <w:rsid w:val="00237FE1"/>
    <w:rsid w:val="00240755"/>
    <w:rsid w:val="00240BEA"/>
    <w:rsid w:val="00240DF0"/>
    <w:rsid w:val="0024113D"/>
    <w:rsid w:val="00241563"/>
    <w:rsid w:val="00241ABF"/>
    <w:rsid w:val="00241D06"/>
    <w:rsid w:val="00241E8B"/>
    <w:rsid w:val="002422D5"/>
    <w:rsid w:val="00242E49"/>
    <w:rsid w:val="00244ACB"/>
    <w:rsid w:val="00245375"/>
    <w:rsid w:val="00245693"/>
    <w:rsid w:val="00245845"/>
    <w:rsid w:val="00245FBE"/>
    <w:rsid w:val="00246CB6"/>
    <w:rsid w:val="00247856"/>
    <w:rsid w:val="00247DD5"/>
    <w:rsid w:val="002506E4"/>
    <w:rsid w:val="00251B34"/>
    <w:rsid w:val="002523E0"/>
    <w:rsid w:val="00253E5B"/>
    <w:rsid w:val="002542E3"/>
    <w:rsid w:val="0025446A"/>
    <w:rsid w:val="0025447C"/>
    <w:rsid w:val="00255F13"/>
    <w:rsid w:val="002565D6"/>
    <w:rsid w:val="00256CD1"/>
    <w:rsid w:val="002572C0"/>
    <w:rsid w:val="00257FBF"/>
    <w:rsid w:val="0026138C"/>
    <w:rsid w:val="00261840"/>
    <w:rsid w:val="00263013"/>
    <w:rsid w:val="0026349A"/>
    <w:rsid w:val="002634A9"/>
    <w:rsid w:val="002641CA"/>
    <w:rsid w:val="0026444D"/>
    <w:rsid w:val="00264EAA"/>
    <w:rsid w:val="0026581C"/>
    <w:rsid w:val="00265CC5"/>
    <w:rsid w:val="00267066"/>
    <w:rsid w:val="002700CF"/>
    <w:rsid w:val="00270982"/>
    <w:rsid w:val="002709A9"/>
    <w:rsid w:val="00270E96"/>
    <w:rsid w:val="00271764"/>
    <w:rsid w:val="00271799"/>
    <w:rsid w:val="00273BAF"/>
    <w:rsid w:val="00274B66"/>
    <w:rsid w:val="00275144"/>
    <w:rsid w:val="002752F0"/>
    <w:rsid w:val="0027663A"/>
    <w:rsid w:val="002772BD"/>
    <w:rsid w:val="002772C6"/>
    <w:rsid w:val="002775F0"/>
    <w:rsid w:val="0028002D"/>
    <w:rsid w:val="00280626"/>
    <w:rsid w:val="00281A19"/>
    <w:rsid w:val="00282BD5"/>
    <w:rsid w:val="002836F8"/>
    <w:rsid w:val="0028399F"/>
    <w:rsid w:val="00285275"/>
    <w:rsid w:val="00285E16"/>
    <w:rsid w:val="00287872"/>
    <w:rsid w:val="002878A2"/>
    <w:rsid w:val="00287CC2"/>
    <w:rsid w:val="00287CD1"/>
    <w:rsid w:val="00291E8D"/>
    <w:rsid w:val="00292665"/>
    <w:rsid w:val="002927ED"/>
    <w:rsid w:val="00292B09"/>
    <w:rsid w:val="00292B8A"/>
    <w:rsid w:val="00292DCC"/>
    <w:rsid w:val="00293664"/>
    <w:rsid w:val="0029376C"/>
    <w:rsid w:val="00293C4A"/>
    <w:rsid w:val="0029459F"/>
    <w:rsid w:val="0029503D"/>
    <w:rsid w:val="0029538C"/>
    <w:rsid w:val="00295725"/>
    <w:rsid w:val="00296C88"/>
    <w:rsid w:val="002979B7"/>
    <w:rsid w:val="002A387D"/>
    <w:rsid w:val="002A3987"/>
    <w:rsid w:val="002A3C8E"/>
    <w:rsid w:val="002A3E6C"/>
    <w:rsid w:val="002A3F53"/>
    <w:rsid w:val="002A4E6B"/>
    <w:rsid w:val="002A5B1A"/>
    <w:rsid w:val="002A718D"/>
    <w:rsid w:val="002B015D"/>
    <w:rsid w:val="002B0E62"/>
    <w:rsid w:val="002B16FA"/>
    <w:rsid w:val="002B3ECB"/>
    <w:rsid w:val="002B3F4A"/>
    <w:rsid w:val="002B4846"/>
    <w:rsid w:val="002B4D9C"/>
    <w:rsid w:val="002B521B"/>
    <w:rsid w:val="002B53B6"/>
    <w:rsid w:val="002B5479"/>
    <w:rsid w:val="002B5B1D"/>
    <w:rsid w:val="002B709F"/>
    <w:rsid w:val="002B7F30"/>
    <w:rsid w:val="002C0191"/>
    <w:rsid w:val="002C0791"/>
    <w:rsid w:val="002C1769"/>
    <w:rsid w:val="002C1D8A"/>
    <w:rsid w:val="002C2112"/>
    <w:rsid w:val="002C3309"/>
    <w:rsid w:val="002C354B"/>
    <w:rsid w:val="002C35BC"/>
    <w:rsid w:val="002C3661"/>
    <w:rsid w:val="002C3F42"/>
    <w:rsid w:val="002C3FCB"/>
    <w:rsid w:val="002C51FE"/>
    <w:rsid w:val="002C524A"/>
    <w:rsid w:val="002C53C4"/>
    <w:rsid w:val="002C57C4"/>
    <w:rsid w:val="002C6FD1"/>
    <w:rsid w:val="002C7C0A"/>
    <w:rsid w:val="002C7C72"/>
    <w:rsid w:val="002D00E5"/>
    <w:rsid w:val="002D018A"/>
    <w:rsid w:val="002D1652"/>
    <w:rsid w:val="002D28AF"/>
    <w:rsid w:val="002D3460"/>
    <w:rsid w:val="002D4B72"/>
    <w:rsid w:val="002D4E92"/>
    <w:rsid w:val="002D59FC"/>
    <w:rsid w:val="002D5FF1"/>
    <w:rsid w:val="002E0651"/>
    <w:rsid w:val="002E0F69"/>
    <w:rsid w:val="002E10E3"/>
    <w:rsid w:val="002E1841"/>
    <w:rsid w:val="002E1B28"/>
    <w:rsid w:val="002E2632"/>
    <w:rsid w:val="002E2759"/>
    <w:rsid w:val="002E2FA1"/>
    <w:rsid w:val="002E3B9E"/>
    <w:rsid w:val="002E3D11"/>
    <w:rsid w:val="002E3D43"/>
    <w:rsid w:val="002E408D"/>
    <w:rsid w:val="002E4899"/>
    <w:rsid w:val="002E4FEE"/>
    <w:rsid w:val="002E6184"/>
    <w:rsid w:val="002E6287"/>
    <w:rsid w:val="002E6540"/>
    <w:rsid w:val="002E755A"/>
    <w:rsid w:val="002E7B19"/>
    <w:rsid w:val="002F08CB"/>
    <w:rsid w:val="002F0ABA"/>
    <w:rsid w:val="002F248E"/>
    <w:rsid w:val="002F2949"/>
    <w:rsid w:val="002F2C2B"/>
    <w:rsid w:val="002F461C"/>
    <w:rsid w:val="002F4DFC"/>
    <w:rsid w:val="002F4F2B"/>
    <w:rsid w:val="002F65DF"/>
    <w:rsid w:val="002F6891"/>
    <w:rsid w:val="002F6E6E"/>
    <w:rsid w:val="002F7022"/>
    <w:rsid w:val="0030086C"/>
    <w:rsid w:val="0030096A"/>
    <w:rsid w:val="0030122C"/>
    <w:rsid w:val="0030152C"/>
    <w:rsid w:val="00301F4D"/>
    <w:rsid w:val="00302EAA"/>
    <w:rsid w:val="00304F95"/>
    <w:rsid w:val="0030520B"/>
    <w:rsid w:val="00305E87"/>
    <w:rsid w:val="00306252"/>
    <w:rsid w:val="003062BA"/>
    <w:rsid w:val="00306A45"/>
    <w:rsid w:val="003076A0"/>
    <w:rsid w:val="00307F37"/>
    <w:rsid w:val="0031048C"/>
    <w:rsid w:val="0031084F"/>
    <w:rsid w:val="00311748"/>
    <w:rsid w:val="00311A8B"/>
    <w:rsid w:val="0031271E"/>
    <w:rsid w:val="00312F1A"/>
    <w:rsid w:val="0031354C"/>
    <w:rsid w:val="00313795"/>
    <w:rsid w:val="00313806"/>
    <w:rsid w:val="00313AEF"/>
    <w:rsid w:val="00313C91"/>
    <w:rsid w:val="00313CE6"/>
    <w:rsid w:val="00317289"/>
    <w:rsid w:val="0031771F"/>
    <w:rsid w:val="00317804"/>
    <w:rsid w:val="00321435"/>
    <w:rsid w:val="00321CBE"/>
    <w:rsid w:val="00321CDD"/>
    <w:rsid w:val="0032210B"/>
    <w:rsid w:val="00322B67"/>
    <w:rsid w:val="00322C99"/>
    <w:rsid w:val="00323323"/>
    <w:rsid w:val="00323BEE"/>
    <w:rsid w:val="00323FD8"/>
    <w:rsid w:val="00324175"/>
    <w:rsid w:val="003241C4"/>
    <w:rsid w:val="00324769"/>
    <w:rsid w:val="00324D11"/>
    <w:rsid w:val="00324F92"/>
    <w:rsid w:val="00325989"/>
    <w:rsid w:val="00325B0E"/>
    <w:rsid w:val="00325F0B"/>
    <w:rsid w:val="003262F6"/>
    <w:rsid w:val="00326425"/>
    <w:rsid w:val="003271B7"/>
    <w:rsid w:val="0032783B"/>
    <w:rsid w:val="00327B13"/>
    <w:rsid w:val="00327B23"/>
    <w:rsid w:val="0033109A"/>
    <w:rsid w:val="00331611"/>
    <w:rsid w:val="003335D0"/>
    <w:rsid w:val="00334158"/>
    <w:rsid w:val="00334578"/>
    <w:rsid w:val="00334B24"/>
    <w:rsid w:val="0033516B"/>
    <w:rsid w:val="0033517D"/>
    <w:rsid w:val="00335265"/>
    <w:rsid w:val="00335A07"/>
    <w:rsid w:val="00337823"/>
    <w:rsid w:val="003379CC"/>
    <w:rsid w:val="00337E53"/>
    <w:rsid w:val="003415E2"/>
    <w:rsid w:val="00341D3C"/>
    <w:rsid w:val="00342A37"/>
    <w:rsid w:val="00343E27"/>
    <w:rsid w:val="00343ED0"/>
    <w:rsid w:val="0034442E"/>
    <w:rsid w:val="00344D5B"/>
    <w:rsid w:val="003456C0"/>
    <w:rsid w:val="00345AF9"/>
    <w:rsid w:val="00345C18"/>
    <w:rsid w:val="00346278"/>
    <w:rsid w:val="0034651D"/>
    <w:rsid w:val="00346E9E"/>
    <w:rsid w:val="00347A40"/>
    <w:rsid w:val="0035046A"/>
    <w:rsid w:val="003506F8"/>
    <w:rsid w:val="00350E42"/>
    <w:rsid w:val="00351C63"/>
    <w:rsid w:val="00352230"/>
    <w:rsid w:val="00353852"/>
    <w:rsid w:val="00353D2A"/>
    <w:rsid w:val="00354287"/>
    <w:rsid w:val="003547D2"/>
    <w:rsid w:val="0035493B"/>
    <w:rsid w:val="0035505F"/>
    <w:rsid w:val="00355154"/>
    <w:rsid w:val="0035530A"/>
    <w:rsid w:val="00355438"/>
    <w:rsid w:val="00356864"/>
    <w:rsid w:val="003568FC"/>
    <w:rsid w:val="00357389"/>
    <w:rsid w:val="003573F9"/>
    <w:rsid w:val="003578EE"/>
    <w:rsid w:val="003579B7"/>
    <w:rsid w:val="00357DE5"/>
    <w:rsid w:val="003602DA"/>
    <w:rsid w:val="0036096C"/>
    <w:rsid w:val="00361C23"/>
    <w:rsid w:val="00362635"/>
    <w:rsid w:val="00362BA8"/>
    <w:rsid w:val="003634E3"/>
    <w:rsid w:val="00364B74"/>
    <w:rsid w:val="003658E4"/>
    <w:rsid w:val="00365A48"/>
    <w:rsid w:val="0036647C"/>
    <w:rsid w:val="003664E5"/>
    <w:rsid w:val="003666F2"/>
    <w:rsid w:val="003669D1"/>
    <w:rsid w:val="00366D33"/>
    <w:rsid w:val="00366F3D"/>
    <w:rsid w:val="00367C09"/>
    <w:rsid w:val="00370C2A"/>
    <w:rsid w:val="00370F9D"/>
    <w:rsid w:val="0037126B"/>
    <w:rsid w:val="003714A1"/>
    <w:rsid w:val="00371A5D"/>
    <w:rsid w:val="00371B80"/>
    <w:rsid w:val="00372AD6"/>
    <w:rsid w:val="0037302E"/>
    <w:rsid w:val="00373C00"/>
    <w:rsid w:val="00373CCC"/>
    <w:rsid w:val="00373F25"/>
    <w:rsid w:val="0037400F"/>
    <w:rsid w:val="00375FE8"/>
    <w:rsid w:val="00376C1D"/>
    <w:rsid w:val="00376F42"/>
    <w:rsid w:val="003777C1"/>
    <w:rsid w:val="003779DA"/>
    <w:rsid w:val="003809BD"/>
    <w:rsid w:val="00381231"/>
    <w:rsid w:val="0038165C"/>
    <w:rsid w:val="00381D31"/>
    <w:rsid w:val="003825CA"/>
    <w:rsid w:val="0038339A"/>
    <w:rsid w:val="00383600"/>
    <w:rsid w:val="00383AC6"/>
    <w:rsid w:val="0038430E"/>
    <w:rsid w:val="00384EA0"/>
    <w:rsid w:val="00385250"/>
    <w:rsid w:val="003860C2"/>
    <w:rsid w:val="00386883"/>
    <w:rsid w:val="003873B5"/>
    <w:rsid w:val="0038750E"/>
    <w:rsid w:val="003901CB"/>
    <w:rsid w:val="00390BF8"/>
    <w:rsid w:val="00391402"/>
    <w:rsid w:val="003919A3"/>
    <w:rsid w:val="003926C9"/>
    <w:rsid w:val="003939E8"/>
    <w:rsid w:val="00393F05"/>
    <w:rsid w:val="0039563A"/>
    <w:rsid w:val="00396CAF"/>
    <w:rsid w:val="00396DC7"/>
    <w:rsid w:val="00397229"/>
    <w:rsid w:val="00397401"/>
    <w:rsid w:val="00397BE6"/>
    <w:rsid w:val="003A192F"/>
    <w:rsid w:val="003A2010"/>
    <w:rsid w:val="003A369D"/>
    <w:rsid w:val="003A37B1"/>
    <w:rsid w:val="003A4312"/>
    <w:rsid w:val="003A496A"/>
    <w:rsid w:val="003A649D"/>
    <w:rsid w:val="003A6CEF"/>
    <w:rsid w:val="003A7852"/>
    <w:rsid w:val="003B0D6D"/>
    <w:rsid w:val="003B11E1"/>
    <w:rsid w:val="003B12FB"/>
    <w:rsid w:val="003B17FF"/>
    <w:rsid w:val="003B1EFA"/>
    <w:rsid w:val="003B2256"/>
    <w:rsid w:val="003B29E0"/>
    <w:rsid w:val="003B3702"/>
    <w:rsid w:val="003B5D8A"/>
    <w:rsid w:val="003B5E5E"/>
    <w:rsid w:val="003B6B45"/>
    <w:rsid w:val="003B715B"/>
    <w:rsid w:val="003B736B"/>
    <w:rsid w:val="003C02BE"/>
    <w:rsid w:val="003C08BE"/>
    <w:rsid w:val="003C11D6"/>
    <w:rsid w:val="003C1CD1"/>
    <w:rsid w:val="003C1E38"/>
    <w:rsid w:val="003C1F13"/>
    <w:rsid w:val="003C212F"/>
    <w:rsid w:val="003C2CB3"/>
    <w:rsid w:val="003C4701"/>
    <w:rsid w:val="003C4818"/>
    <w:rsid w:val="003C5D44"/>
    <w:rsid w:val="003C6819"/>
    <w:rsid w:val="003C7EAC"/>
    <w:rsid w:val="003D076C"/>
    <w:rsid w:val="003D106A"/>
    <w:rsid w:val="003D14AB"/>
    <w:rsid w:val="003D1BE3"/>
    <w:rsid w:val="003D2AC4"/>
    <w:rsid w:val="003D2FD4"/>
    <w:rsid w:val="003D32CC"/>
    <w:rsid w:val="003D4203"/>
    <w:rsid w:val="003D495C"/>
    <w:rsid w:val="003D4A11"/>
    <w:rsid w:val="003D6512"/>
    <w:rsid w:val="003D6979"/>
    <w:rsid w:val="003D69BA"/>
    <w:rsid w:val="003D722E"/>
    <w:rsid w:val="003D72ED"/>
    <w:rsid w:val="003D73B2"/>
    <w:rsid w:val="003D767A"/>
    <w:rsid w:val="003E0E14"/>
    <w:rsid w:val="003E245A"/>
    <w:rsid w:val="003E2F4E"/>
    <w:rsid w:val="003E32CE"/>
    <w:rsid w:val="003E428C"/>
    <w:rsid w:val="003E53BC"/>
    <w:rsid w:val="003E5D37"/>
    <w:rsid w:val="003E60C2"/>
    <w:rsid w:val="003E6E1D"/>
    <w:rsid w:val="003E6EC9"/>
    <w:rsid w:val="003E7546"/>
    <w:rsid w:val="003E78CD"/>
    <w:rsid w:val="003F08EE"/>
    <w:rsid w:val="003F183C"/>
    <w:rsid w:val="003F211B"/>
    <w:rsid w:val="003F2500"/>
    <w:rsid w:val="003F2753"/>
    <w:rsid w:val="003F3468"/>
    <w:rsid w:val="003F3FD5"/>
    <w:rsid w:val="003F4D76"/>
    <w:rsid w:val="003F55A6"/>
    <w:rsid w:val="003F5870"/>
    <w:rsid w:val="003F5EA1"/>
    <w:rsid w:val="003F7682"/>
    <w:rsid w:val="0040084E"/>
    <w:rsid w:val="0040098C"/>
    <w:rsid w:val="004020B2"/>
    <w:rsid w:val="00402925"/>
    <w:rsid w:val="004029AF"/>
    <w:rsid w:val="00403539"/>
    <w:rsid w:val="0040353E"/>
    <w:rsid w:val="004039BC"/>
    <w:rsid w:val="00403F68"/>
    <w:rsid w:val="0040490D"/>
    <w:rsid w:val="004058E1"/>
    <w:rsid w:val="00405E1A"/>
    <w:rsid w:val="00407CC7"/>
    <w:rsid w:val="004105CB"/>
    <w:rsid w:val="00410BDA"/>
    <w:rsid w:val="00410DEB"/>
    <w:rsid w:val="00411045"/>
    <w:rsid w:val="0041161E"/>
    <w:rsid w:val="00411ACD"/>
    <w:rsid w:val="00412549"/>
    <w:rsid w:val="0041270A"/>
    <w:rsid w:val="00413B1B"/>
    <w:rsid w:val="00413EFE"/>
    <w:rsid w:val="0041400F"/>
    <w:rsid w:val="00414F81"/>
    <w:rsid w:val="00414FBB"/>
    <w:rsid w:val="0041524B"/>
    <w:rsid w:val="00415A69"/>
    <w:rsid w:val="00421918"/>
    <w:rsid w:val="004222A2"/>
    <w:rsid w:val="0042287D"/>
    <w:rsid w:val="00423981"/>
    <w:rsid w:val="00423AB1"/>
    <w:rsid w:val="00424BC3"/>
    <w:rsid w:val="00424C0E"/>
    <w:rsid w:val="00425C6F"/>
    <w:rsid w:val="0042706F"/>
    <w:rsid w:val="0042785F"/>
    <w:rsid w:val="004311DD"/>
    <w:rsid w:val="0043161D"/>
    <w:rsid w:val="00431888"/>
    <w:rsid w:val="004318AC"/>
    <w:rsid w:val="00432287"/>
    <w:rsid w:val="00432B42"/>
    <w:rsid w:val="00432BC3"/>
    <w:rsid w:val="00433456"/>
    <w:rsid w:val="00435CA4"/>
    <w:rsid w:val="004369AF"/>
    <w:rsid w:val="00436B38"/>
    <w:rsid w:val="00440384"/>
    <w:rsid w:val="00441807"/>
    <w:rsid w:val="00441AE5"/>
    <w:rsid w:val="004427E2"/>
    <w:rsid w:val="00442C34"/>
    <w:rsid w:val="0044346F"/>
    <w:rsid w:val="00443609"/>
    <w:rsid w:val="00444563"/>
    <w:rsid w:val="004445E7"/>
    <w:rsid w:val="004452C2"/>
    <w:rsid w:val="00446886"/>
    <w:rsid w:val="004475DE"/>
    <w:rsid w:val="00447765"/>
    <w:rsid w:val="00447ED7"/>
    <w:rsid w:val="00450757"/>
    <w:rsid w:val="00450F15"/>
    <w:rsid w:val="00451504"/>
    <w:rsid w:val="00451B35"/>
    <w:rsid w:val="00451D4C"/>
    <w:rsid w:val="00451DEE"/>
    <w:rsid w:val="00451F64"/>
    <w:rsid w:val="00452AC9"/>
    <w:rsid w:val="00452D30"/>
    <w:rsid w:val="00453064"/>
    <w:rsid w:val="00454007"/>
    <w:rsid w:val="00454DC4"/>
    <w:rsid w:val="0045556D"/>
    <w:rsid w:val="004567A8"/>
    <w:rsid w:val="004567DD"/>
    <w:rsid w:val="004568B5"/>
    <w:rsid w:val="00457963"/>
    <w:rsid w:val="00457B4C"/>
    <w:rsid w:val="00457D16"/>
    <w:rsid w:val="00460566"/>
    <w:rsid w:val="004608B0"/>
    <w:rsid w:val="00460A3F"/>
    <w:rsid w:val="00462594"/>
    <w:rsid w:val="004640E8"/>
    <w:rsid w:val="00464170"/>
    <w:rsid w:val="00464231"/>
    <w:rsid w:val="00464922"/>
    <w:rsid w:val="004651BA"/>
    <w:rsid w:val="00465765"/>
    <w:rsid w:val="00466270"/>
    <w:rsid w:val="00467015"/>
    <w:rsid w:val="00467350"/>
    <w:rsid w:val="00467381"/>
    <w:rsid w:val="00467433"/>
    <w:rsid w:val="004679EE"/>
    <w:rsid w:val="00467F29"/>
    <w:rsid w:val="00470813"/>
    <w:rsid w:val="00470CEE"/>
    <w:rsid w:val="00470F04"/>
    <w:rsid w:val="00471014"/>
    <w:rsid w:val="0047139E"/>
    <w:rsid w:val="00471607"/>
    <w:rsid w:val="004718E5"/>
    <w:rsid w:val="00471B13"/>
    <w:rsid w:val="00471EF1"/>
    <w:rsid w:val="00472D88"/>
    <w:rsid w:val="00473233"/>
    <w:rsid w:val="004735C9"/>
    <w:rsid w:val="00475328"/>
    <w:rsid w:val="00475595"/>
    <w:rsid w:val="00475596"/>
    <w:rsid w:val="0047716F"/>
    <w:rsid w:val="00477F8C"/>
    <w:rsid w:val="0048007F"/>
    <w:rsid w:val="00480293"/>
    <w:rsid w:val="00481A91"/>
    <w:rsid w:val="00483C74"/>
    <w:rsid w:val="00483FA9"/>
    <w:rsid w:val="00484B09"/>
    <w:rsid w:val="004855F7"/>
    <w:rsid w:val="00485689"/>
    <w:rsid w:val="00486368"/>
    <w:rsid w:val="004867CE"/>
    <w:rsid w:val="0048778C"/>
    <w:rsid w:val="00487DB3"/>
    <w:rsid w:val="004907D2"/>
    <w:rsid w:val="00490A66"/>
    <w:rsid w:val="00490F78"/>
    <w:rsid w:val="004912A7"/>
    <w:rsid w:val="004917A8"/>
    <w:rsid w:val="00491E96"/>
    <w:rsid w:val="00492ACE"/>
    <w:rsid w:val="00492F40"/>
    <w:rsid w:val="004937CF"/>
    <w:rsid w:val="00493AC0"/>
    <w:rsid w:val="00493EEA"/>
    <w:rsid w:val="004948C8"/>
    <w:rsid w:val="00494D5A"/>
    <w:rsid w:val="00494F8A"/>
    <w:rsid w:val="004951A6"/>
    <w:rsid w:val="0049540F"/>
    <w:rsid w:val="004962B8"/>
    <w:rsid w:val="00496A06"/>
    <w:rsid w:val="00497245"/>
    <w:rsid w:val="0049731A"/>
    <w:rsid w:val="00497FAC"/>
    <w:rsid w:val="004A06F6"/>
    <w:rsid w:val="004A098A"/>
    <w:rsid w:val="004A0DAF"/>
    <w:rsid w:val="004A12D6"/>
    <w:rsid w:val="004A1569"/>
    <w:rsid w:val="004A2823"/>
    <w:rsid w:val="004A3153"/>
    <w:rsid w:val="004A441F"/>
    <w:rsid w:val="004A5077"/>
    <w:rsid w:val="004A5174"/>
    <w:rsid w:val="004A5E13"/>
    <w:rsid w:val="004A5F9C"/>
    <w:rsid w:val="004A6949"/>
    <w:rsid w:val="004A7B08"/>
    <w:rsid w:val="004B01B1"/>
    <w:rsid w:val="004B070A"/>
    <w:rsid w:val="004B09CD"/>
    <w:rsid w:val="004B10A8"/>
    <w:rsid w:val="004B11A7"/>
    <w:rsid w:val="004B2496"/>
    <w:rsid w:val="004B2C34"/>
    <w:rsid w:val="004B35F6"/>
    <w:rsid w:val="004B3876"/>
    <w:rsid w:val="004B3C8C"/>
    <w:rsid w:val="004B465C"/>
    <w:rsid w:val="004B4AC8"/>
    <w:rsid w:val="004B50AD"/>
    <w:rsid w:val="004B5FFE"/>
    <w:rsid w:val="004B681A"/>
    <w:rsid w:val="004C0009"/>
    <w:rsid w:val="004C0308"/>
    <w:rsid w:val="004C09B8"/>
    <w:rsid w:val="004C0ADE"/>
    <w:rsid w:val="004C1229"/>
    <w:rsid w:val="004C3634"/>
    <w:rsid w:val="004C3A94"/>
    <w:rsid w:val="004C3AAB"/>
    <w:rsid w:val="004C3D1A"/>
    <w:rsid w:val="004C4BFD"/>
    <w:rsid w:val="004C5233"/>
    <w:rsid w:val="004C5E5F"/>
    <w:rsid w:val="004D1290"/>
    <w:rsid w:val="004D12B4"/>
    <w:rsid w:val="004D33F6"/>
    <w:rsid w:val="004D364D"/>
    <w:rsid w:val="004D5476"/>
    <w:rsid w:val="004D5CFB"/>
    <w:rsid w:val="004D71F8"/>
    <w:rsid w:val="004E0C52"/>
    <w:rsid w:val="004E0EBE"/>
    <w:rsid w:val="004E109B"/>
    <w:rsid w:val="004E1748"/>
    <w:rsid w:val="004E36B2"/>
    <w:rsid w:val="004E39BB"/>
    <w:rsid w:val="004E3E99"/>
    <w:rsid w:val="004E44DF"/>
    <w:rsid w:val="004E4663"/>
    <w:rsid w:val="004E5142"/>
    <w:rsid w:val="004E53FB"/>
    <w:rsid w:val="004E57F0"/>
    <w:rsid w:val="004E58AE"/>
    <w:rsid w:val="004E5B83"/>
    <w:rsid w:val="004E6551"/>
    <w:rsid w:val="004E736A"/>
    <w:rsid w:val="004F0296"/>
    <w:rsid w:val="004F11E3"/>
    <w:rsid w:val="004F15FE"/>
    <w:rsid w:val="004F2732"/>
    <w:rsid w:val="004F38E0"/>
    <w:rsid w:val="004F39E2"/>
    <w:rsid w:val="004F3B99"/>
    <w:rsid w:val="004F4793"/>
    <w:rsid w:val="004F486B"/>
    <w:rsid w:val="004F4A7D"/>
    <w:rsid w:val="004F6B92"/>
    <w:rsid w:val="004F75FE"/>
    <w:rsid w:val="004F7DD5"/>
    <w:rsid w:val="0050019A"/>
    <w:rsid w:val="00500203"/>
    <w:rsid w:val="005006DF"/>
    <w:rsid w:val="00500A71"/>
    <w:rsid w:val="005012BC"/>
    <w:rsid w:val="00501A7C"/>
    <w:rsid w:val="005031DB"/>
    <w:rsid w:val="005035CF"/>
    <w:rsid w:val="0050373E"/>
    <w:rsid w:val="00504B3D"/>
    <w:rsid w:val="00504CAF"/>
    <w:rsid w:val="0050502C"/>
    <w:rsid w:val="005051E9"/>
    <w:rsid w:val="005058D1"/>
    <w:rsid w:val="00505DC2"/>
    <w:rsid w:val="00506860"/>
    <w:rsid w:val="005069A9"/>
    <w:rsid w:val="00506E8A"/>
    <w:rsid w:val="0050754D"/>
    <w:rsid w:val="00507BDE"/>
    <w:rsid w:val="005105FB"/>
    <w:rsid w:val="00510B0E"/>
    <w:rsid w:val="005113EE"/>
    <w:rsid w:val="005123C1"/>
    <w:rsid w:val="00512A31"/>
    <w:rsid w:val="00512EC2"/>
    <w:rsid w:val="0051379F"/>
    <w:rsid w:val="0051489C"/>
    <w:rsid w:val="005160FB"/>
    <w:rsid w:val="005162B2"/>
    <w:rsid w:val="00517601"/>
    <w:rsid w:val="00517961"/>
    <w:rsid w:val="00517A23"/>
    <w:rsid w:val="00520218"/>
    <w:rsid w:val="00521232"/>
    <w:rsid w:val="00521436"/>
    <w:rsid w:val="00522479"/>
    <w:rsid w:val="00522A80"/>
    <w:rsid w:val="00522A95"/>
    <w:rsid w:val="00522CDB"/>
    <w:rsid w:val="005236E7"/>
    <w:rsid w:val="00523795"/>
    <w:rsid w:val="0052485F"/>
    <w:rsid w:val="005248CF"/>
    <w:rsid w:val="00524FF1"/>
    <w:rsid w:val="005265CC"/>
    <w:rsid w:val="00526E02"/>
    <w:rsid w:val="005278E3"/>
    <w:rsid w:val="00530364"/>
    <w:rsid w:val="0053181D"/>
    <w:rsid w:val="00531948"/>
    <w:rsid w:val="00531E5E"/>
    <w:rsid w:val="005324B7"/>
    <w:rsid w:val="005325BA"/>
    <w:rsid w:val="0053380B"/>
    <w:rsid w:val="00533C71"/>
    <w:rsid w:val="00534336"/>
    <w:rsid w:val="005351AD"/>
    <w:rsid w:val="005364DA"/>
    <w:rsid w:val="00536D41"/>
    <w:rsid w:val="005379BB"/>
    <w:rsid w:val="00540157"/>
    <w:rsid w:val="00541EBB"/>
    <w:rsid w:val="00542869"/>
    <w:rsid w:val="00542D38"/>
    <w:rsid w:val="0054326D"/>
    <w:rsid w:val="00546BFE"/>
    <w:rsid w:val="00547553"/>
    <w:rsid w:val="0054765E"/>
    <w:rsid w:val="005500AE"/>
    <w:rsid w:val="0055060D"/>
    <w:rsid w:val="00550664"/>
    <w:rsid w:val="00550815"/>
    <w:rsid w:val="00551660"/>
    <w:rsid w:val="00551837"/>
    <w:rsid w:val="00551B43"/>
    <w:rsid w:val="00551F58"/>
    <w:rsid w:val="00552017"/>
    <w:rsid w:val="00552982"/>
    <w:rsid w:val="005534A4"/>
    <w:rsid w:val="005535E0"/>
    <w:rsid w:val="00553F54"/>
    <w:rsid w:val="00554D3A"/>
    <w:rsid w:val="0055501D"/>
    <w:rsid w:val="00555104"/>
    <w:rsid w:val="00555295"/>
    <w:rsid w:val="0055639C"/>
    <w:rsid w:val="00557B1F"/>
    <w:rsid w:val="00557E7A"/>
    <w:rsid w:val="0056045E"/>
    <w:rsid w:val="005615AE"/>
    <w:rsid w:val="00562B73"/>
    <w:rsid w:val="005642D9"/>
    <w:rsid w:val="00565D04"/>
    <w:rsid w:val="00565E3E"/>
    <w:rsid w:val="0056630C"/>
    <w:rsid w:val="0057043A"/>
    <w:rsid w:val="00570F87"/>
    <w:rsid w:val="00571A7F"/>
    <w:rsid w:val="00571C10"/>
    <w:rsid w:val="00572050"/>
    <w:rsid w:val="0057275E"/>
    <w:rsid w:val="005727CA"/>
    <w:rsid w:val="005727F0"/>
    <w:rsid w:val="00573545"/>
    <w:rsid w:val="00573CD4"/>
    <w:rsid w:val="00574CAF"/>
    <w:rsid w:val="00576DC5"/>
    <w:rsid w:val="00576FBF"/>
    <w:rsid w:val="005802A8"/>
    <w:rsid w:val="00580573"/>
    <w:rsid w:val="0058090F"/>
    <w:rsid w:val="00581348"/>
    <w:rsid w:val="005813B0"/>
    <w:rsid w:val="00581F60"/>
    <w:rsid w:val="00582089"/>
    <w:rsid w:val="0058237C"/>
    <w:rsid w:val="00582629"/>
    <w:rsid w:val="00582A53"/>
    <w:rsid w:val="0058385A"/>
    <w:rsid w:val="00584948"/>
    <w:rsid w:val="00584C5A"/>
    <w:rsid w:val="005858EC"/>
    <w:rsid w:val="005863EC"/>
    <w:rsid w:val="00586DE9"/>
    <w:rsid w:val="005871A4"/>
    <w:rsid w:val="005871C9"/>
    <w:rsid w:val="005875EB"/>
    <w:rsid w:val="00587B5F"/>
    <w:rsid w:val="00592C8F"/>
    <w:rsid w:val="005930C9"/>
    <w:rsid w:val="00593334"/>
    <w:rsid w:val="0059360F"/>
    <w:rsid w:val="00594456"/>
    <w:rsid w:val="00594B76"/>
    <w:rsid w:val="005950BB"/>
    <w:rsid w:val="0059583E"/>
    <w:rsid w:val="005A05CA"/>
    <w:rsid w:val="005A20F2"/>
    <w:rsid w:val="005A29E0"/>
    <w:rsid w:val="005A4139"/>
    <w:rsid w:val="005A4248"/>
    <w:rsid w:val="005A42A7"/>
    <w:rsid w:val="005A60EE"/>
    <w:rsid w:val="005A63FF"/>
    <w:rsid w:val="005A661B"/>
    <w:rsid w:val="005A696F"/>
    <w:rsid w:val="005A6DA9"/>
    <w:rsid w:val="005A6DDE"/>
    <w:rsid w:val="005A724A"/>
    <w:rsid w:val="005A76A3"/>
    <w:rsid w:val="005A791C"/>
    <w:rsid w:val="005B0837"/>
    <w:rsid w:val="005B0B6C"/>
    <w:rsid w:val="005B0E37"/>
    <w:rsid w:val="005B2951"/>
    <w:rsid w:val="005B30C5"/>
    <w:rsid w:val="005B462B"/>
    <w:rsid w:val="005B587A"/>
    <w:rsid w:val="005B6693"/>
    <w:rsid w:val="005B6D47"/>
    <w:rsid w:val="005B728E"/>
    <w:rsid w:val="005B756F"/>
    <w:rsid w:val="005B77B1"/>
    <w:rsid w:val="005C0981"/>
    <w:rsid w:val="005C0A34"/>
    <w:rsid w:val="005C1060"/>
    <w:rsid w:val="005C14A4"/>
    <w:rsid w:val="005C204D"/>
    <w:rsid w:val="005C2AE8"/>
    <w:rsid w:val="005C37E3"/>
    <w:rsid w:val="005C4E33"/>
    <w:rsid w:val="005C6A0C"/>
    <w:rsid w:val="005C7094"/>
    <w:rsid w:val="005C71D5"/>
    <w:rsid w:val="005C7DBC"/>
    <w:rsid w:val="005C7EC5"/>
    <w:rsid w:val="005D044E"/>
    <w:rsid w:val="005D16C9"/>
    <w:rsid w:val="005D2200"/>
    <w:rsid w:val="005D264A"/>
    <w:rsid w:val="005D308D"/>
    <w:rsid w:val="005D4169"/>
    <w:rsid w:val="005D426F"/>
    <w:rsid w:val="005D4E9B"/>
    <w:rsid w:val="005D7845"/>
    <w:rsid w:val="005E1822"/>
    <w:rsid w:val="005E3945"/>
    <w:rsid w:val="005E3CA7"/>
    <w:rsid w:val="005E3E40"/>
    <w:rsid w:val="005E65D5"/>
    <w:rsid w:val="005E7E1A"/>
    <w:rsid w:val="005F0C6D"/>
    <w:rsid w:val="005F1828"/>
    <w:rsid w:val="005F2572"/>
    <w:rsid w:val="005F28FB"/>
    <w:rsid w:val="005F3429"/>
    <w:rsid w:val="005F44A2"/>
    <w:rsid w:val="005F4924"/>
    <w:rsid w:val="005F6FBE"/>
    <w:rsid w:val="005F70E7"/>
    <w:rsid w:val="00600097"/>
    <w:rsid w:val="00600C72"/>
    <w:rsid w:val="00602114"/>
    <w:rsid w:val="0060391E"/>
    <w:rsid w:val="00606F60"/>
    <w:rsid w:val="006073ED"/>
    <w:rsid w:val="00607722"/>
    <w:rsid w:val="006077CD"/>
    <w:rsid w:val="006079BD"/>
    <w:rsid w:val="00607CD5"/>
    <w:rsid w:val="00610046"/>
    <w:rsid w:val="006111E3"/>
    <w:rsid w:val="006112C8"/>
    <w:rsid w:val="006114A5"/>
    <w:rsid w:val="00611660"/>
    <w:rsid w:val="006128B5"/>
    <w:rsid w:val="00613672"/>
    <w:rsid w:val="0061379E"/>
    <w:rsid w:val="006140CA"/>
    <w:rsid w:val="00617162"/>
    <w:rsid w:val="0062048F"/>
    <w:rsid w:val="00620894"/>
    <w:rsid w:val="0062235C"/>
    <w:rsid w:val="006231D5"/>
    <w:rsid w:val="006233FE"/>
    <w:rsid w:val="00624258"/>
    <w:rsid w:val="0062465A"/>
    <w:rsid w:val="0062519D"/>
    <w:rsid w:val="006251E1"/>
    <w:rsid w:val="0062580F"/>
    <w:rsid w:val="00626120"/>
    <w:rsid w:val="006267AD"/>
    <w:rsid w:val="00626941"/>
    <w:rsid w:val="00626B2A"/>
    <w:rsid w:val="006313FD"/>
    <w:rsid w:val="0063272F"/>
    <w:rsid w:val="006328A5"/>
    <w:rsid w:val="00632912"/>
    <w:rsid w:val="0063471F"/>
    <w:rsid w:val="006351B0"/>
    <w:rsid w:val="006351D2"/>
    <w:rsid w:val="006367CD"/>
    <w:rsid w:val="006368BA"/>
    <w:rsid w:val="00637518"/>
    <w:rsid w:val="00637819"/>
    <w:rsid w:val="006419E1"/>
    <w:rsid w:val="006419EB"/>
    <w:rsid w:val="0064284C"/>
    <w:rsid w:val="00643E35"/>
    <w:rsid w:val="006443A6"/>
    <w:rsid w:val="0064472C"/>
    <w:rsid w:val="00645163"/>
    <w:rsid w:val="00645CAD"/>
    <w:rsid w:val="006464C2"/>
    <w:rsid w:val="0064682E"/>
    <w:rsid w:val="00646849"/>
    <w:rsid w:val="00646FEA"/>
    <w:rsid w:val="00647ADB"/>
    <w:rsid w:val="00647B41"/>
    <w:rsid w:val="00647BB9"/>
    <w:rsid w:val="00647BD4"/>
    <w:rsid w:val="00650CF5"/>
    <w:rsid w:val="00650E01"/>
    <w:rsid w:val="00651B28"/>
    <w:rsid w:val="006528FC"/>
    <w:rsid w:val="006531FE"/>
    <w:rsid w:val="00655C66"/>
    <w:rsid w:val="00656EE8"/>
    <w:rsid w:val="006572F4"/>
    <w:rsid w:val="006573EF"/>
    <w:rsid w:val="00661494"/>
    <w:rsid w:val="00661777"/>
    <w:rsid w:val="006622AA"/>
    <w:rsid w:val="0066265E"/>
    <w:rsid w:val="00662685"/>
    <w:rsid w:val="00662865"/>
    <w:rsid w:val="00662D25"/>
    <w:rsid w:val="006634B8"/>
    <w:rsid w:val="00663BB9"/>
    <w:rsid w:val="00664149"/>
    <w:rsid w:val="006654CF"/>
    <w:rsid w:val="00666125"/>
    <w:rsid w:val="006665D6"/>
    <w:rsid w:val="0066699F"/>
    <w:rsid w:val="00667968"/>
    <w:rsid w:val="00667D46"/>
    <w:rsid w:val="006704B9"/>
    <w:rsid w:val="00670BCA"/>
    <w:rsid w:val="006714DF"/>
    <w:rsid w:val="00671882"/>
    <w:rsid w:val="006718C1"/>
    <w:rsid w:val="00671C3A"/>
    <w:rsid w:val="00671D11"/>
    <w:rsid w:val="00673C11"/>
    <w:rsid w:val="00674033"/>
    <w:rsid w:val="006753E5"/>
    <w:rsid w:val="0067570D"/>
    <w:rsid w:val="0067635A"/>
    <w:rsid w:val="00676FF8"/>
    <w:rsid w:val="00677B2C"/>
    <w:rsid w:val="00677C9B"/>
    <w:rsid w:val="006800D1"/>
    <w:rsid w:val="006802B5"/>
    <w:rsid w:val="00680A98"/>
    <w:rsid w:val="00680B4A"/>
    <w:rsid w:val="00680E53"/>
    <w:rsid w:val="00681263"/>
    <w:rsid w:val="006816C6"/>
    <w:rsid w:val="0068182B"/>
    <w:rsid w:val="0068252C"/>
    <w:rsid w:val="00682C77"/>
    <w:rsid w:val="00683006"/>
    <w:rsid w:val="00683AA2"/>
    <w:rsid w:val="00683D07"/>
    <w:rsid w:val="00683D2C"/>
    <w:rsid w:val="00684355"/>
    <w:rsid w:val="0068443C"/>
    <w:rsid w:val="0068517C"/>
    <w:rsid w:val="00685237"/>
    <w:rsid w:val="00685445"/>
    <w:rsid w:val="006861ED"/>
    <w:rsid w:val="00686951"/>
    <w:rsid w:val="006877EE"/>
    <w:rsid w:val="006878B7"/>
    <w:rsid w:val="00687DB7"/>
    <w:rsid w:val="006901F7"/>
    <w:rsid w:val="006911D9"/>
    <w:rsid w:val="0069154A"/>
    <w:rsid w:val="006915EE"/>
    <w:rsid w:val="00691905"/>
    <w:rsid w:val="00691BC7"/>
    <w:rsid w:val="0069339B"/>
    <w:rsid w:val="0069371E"/>
    <w:rsid w:val="00693955"/>
    <w:rsid w:val="00693A1C"/>
    <w:rsid w:val="00694729"/>
    <w:rsid w:val="006949F6"/>
    <w:rsid w:val="0069506B"/>
    <w:rsid w:val="006960AF"/>
    <w:rsid w:val="006963D2"/>
    <w:rsid w:val="00696538"/>
    <w:rsid w:val="006965F4"/>
    <w:rsid w:val="00696609"/>
    <w:rsid w:val="00696BF6"/>
    <w:rsid w:val="006A10C7"/>
    <w:rsid w:val="006A1170"/>
    <w:rsid w:val="006A1342"/>
    <w:rsid w:val="006A13B8"/>
    <w:rsid w:val="006A1679"/>
    <w:rsid w:val="006A1C6A"/>
    <w:rsid w:val="006A23B7"/>
    <w:rsid w:val="006A2EF6"/>
    <w:rsid w:val="006A2F20"/>
    <w:rsid w:val="006A2FF9"/>
    <w:rsid w:val="006A304E"/>
    <w:rsid w:val="006A3582"/>
    <w:rsid w:val="006A4D60"/>
    <w:rsid w:val="006A64EC"/>
    <w:rsid w:val="006A725C"/>
    <w:rsid w:val="006A7514"/>
    <w:rsid w:val="006A79C2"/>
    <w:rsid w:val="006A7AD2"/>
    <w:rsid w:val="006B1136"/>
    <w:rsid w:val="006B11A5"/>
    <w:rsid w:val="006B150A"/>
    <w:rsid w:val="006B1631"/>
    <w:rsid w:val="006B209C"/>
    <w:rsid w:val="006B3134"/>
    <w:rsid w:val="006B3633"/>
    <w:rsid w:val="006B3C1A"/>
    <w:rsid w:val="006B4733"/>
    <w:rsid w:val="006B49FA"/>
    <w:rsid w:val="006B4CCE"/>
    <w:rsid w:val="006B5815"/>
    <w:rsid w:val="006B716A"/>
    <w:rsid w:val="006B71FC"/>
    <w:rsid w:val="006B7533"/>
    <w:rsid w:val="006C00E0"/>
    <w:rsid w:val="006C0B56"/>
    <w:rsid w:val="006C21DC"/>
    <w:rsid w:val="006C243A"/>
    <w:rsid w:val="006C2463"/>
    <w:rsid w:val="006C2C34"/>
    <w:rsid w:val="006C30FE"/>
    <w:rsid w:val="006C445F"/>
    <w:rsid w:val="006C4601"/>
    <w:rsid w:val="006C4DFD"/>
    <w:rsid w:val="006C4F5A"/>
    <w:rsid w:val="006C5DDD"/>
    <w:rsid w:val="006C6AAF"/>
    <w:rsid w:val="006C6E52"/>
    <w:rsid w:val="006C6FF6"/>
    <w:rsid w:val="006C73A0"/>
    <w:rsid w:val="006C7F39"/>
    <w:rsid w:val="006D01DF"/>
    <w:rsid w:val="006D0D42"/>
    <w:rsid w:val="006D321B"/>
    <w:rsid w:val="006D33EB"/>
    <w:rsid w:val="006D4235"/>
    <w:rsid w:val="006D4417"/>
    <w:rsid w:val="006D5AEC"/>
    <w:rsid w:val="006D6B44"/>
    <w:rsid w:val="006D6B4B"/>
    <w:rsid w:val="006D73B3"/>
    <w:rsid w:val="006D7CFC"/>
    <w:rsid w:val="006E1297"/>
    <w:rsid w:val="006E21AD"/>
    <w:rsid w:val="006E24EC"/>
    <w:rsid w:val="006E35DE"/>
    <w:rsid w:val="006E5AC5"/>
    <w:rsid w:val="006E5EA6"/>
    <w:rsid w:val="006E6A1A"/>
    <w:rsid w:val="006E6B6C"/>
    <w:rsid w:val="006E7A4A"/>
    <w:rsid w:val="006E7E49"/>
    <w:rsid w:val="006E7E4D"/>
    <w:rsid w:val="006E7EF3"/>
    <w:rsid w:val="006F02E5"/>
    <w:rsid w:val="006F0A42"/>
    <w:rsid w:val="006F0D7C"/>
    <w:rsid w:val="006F1E26"/>
    <w:rsid w:val="006F2A04"/>
    <w:rsid w:val="006F2D0C"/>
    <w:rsid w:val="006F35D0"/>
    <w:rsid w:val="006F3AC9"/>
    <w:rsid w:val="006F49C6"/>
    <w:rsid w:val="006F5A4F"/>
    <w:rsid w:val="006F64E0"/>
    <w:rsid w:val="006F7094"/>
    <w:rsid w:val="006F7399"/>
    <w:rsid w:val="006F7402"/>
    <w:rsid w:val="007009E8"/>
    <w:rsid w:val="00700DF6"/>
    <w:rsid w:val="00700E45"/>
    <w:rsid w:val="00700F4E"/>
    <w:rsid w:val="0070140F"/>
    <w:rsid w:val="0070156A"/>
    <w:rsid w:val="0070402F"/>
    <w:rsid w:val="00705591"/>
    <w:rsid w:val="007067C7"/>
    <w:rsid w:val="00706972"/>
    <w:rsid w:val="0070714B"/>
    <w:rsid w:val="00707789"/>
    <w:rsid w:val="00710141"/>
    <w:rsid w:val="007110C0"/>
    <w:rsid w:val="007115FF"/>
    <w:rsid w:val="007117BC"/>
    <w:rsid w:val="00711B9B"/>
    <w:rsid w:val="00711DB6"/>
    <w:rsid w:val="007133E8"/>
    <w:rsid w:val="00714435"/>
    <w:rsid w:val="0071499B"/>
    <w:rsid w:val="007153CC"/>
    <w:rsid w:val="0071581D"/>
    <w:rsid w:val="007161E7"/>
    <w:rsid w:val="0071691F"/>
    <w:rsid w:val="00716F03"/>
    <w:rsid w:val="00717A3A"/>
    <w:rsid w:val="00717D7C"/>
    <w:rsid w:val="00720AF8"/>
    <w:rsid w:val="0072339F"/>
    <w:rsid w:val="00724050"/>
    <w:rsid w:val="00724385"/>
    <w:rsid w:val="007244E5"/>
    <w:rsid w:val="007257EC"/>
    <w:rsid w:val="00725EF4"/>
    <w:rsid w:val="00727029"/>
    <w:rsid w:val="00727A52"/>
    <w:rsid w:val="00727F97"/>
    <w:rsid w:val="007301A7"/>
    <w:rsid w:val="00730409"/>
    <w:rsid w:val="007315D7"/>
    <w:rsid w:val="00731F9F"/>
    <w:rsid w:val="007325C9"/>
    <w:rsid w:val="007325F3"/>
    <w:rsid w:val="00734437"/>
    <w:rsid w:val="007347EC"/>
    <w:rsid w:val="0073726D"/>
    <w:rsid w:val="007372DE"/>
    <w:rsid w:val="00737419"/>
    <w:rsid w:val="00737439"/>
    <w:rsid w:val="007413B8"/>
    <w:rsid w:val="007421B3"/>
    <w:rsid w:val="00743213"/>
    <w:rsid w:val="00743EE8"/>
    <w:rsid w:val="00744957"/>
    <w:rsid w:val="007450EB"/>
    <w:rsid w:val="00745B9B"/>
    <w:rsid w:val="00745E06"/>
    <w:rsid w:val="0074667D"/>
    <w:rsid w:val="00751012"/>
    <w:rsid w:val="007511C3"/>
    <w:rsid w:val="007518C5"/>
    <w:rsid w:val="00751ABE"/>
    <w:rsid w:val="00752159"/>
    <w:rsid w:val="0075235D"/>
    <w:rsid w:val="007528F0"/>
    <w:rsid w:val="007532C9"/>
    <w:rsid w:val="00753373"/>
    <w:rsid w:val="00753AF5"/>
    <w:rsid w:val="0075401B"/>
    <w:rsid w:val="00754D22"/>
    <w:rsid w:val="007550DB"/>
    <w:rsid w:val="00755843"/>
    <w:rsid w:val="00755EF0"/>
    <w:rsid w:val="0075605D"/>
    <w:rsid w:val="00756169"/>
    <w:rsid w:val="00757100"/>
    <w:rsid w:val="0075751C"/>
    <w:rsid w:val="0076014F"/>
    <w:rsid w:val="00760F96"/>
    <w:rsid w:val="00761160"/>
    <w:rsid w:val="007618C8"/>
    <w:rsid w:val="007618F7"/>
    <w:rsid w:val="00761E64"/>
    <w:rsid w:val="007644C6"/>
    <w:rsid w:val="007645FB"/>
    <w:rsid w:val="0076492E"/>
    <w:rsid w:val="00764940"/>
    <w:rsid w:val="007655E6"/>
    <w:rsid w:val="00766059"/>
    <w:rsid w:val="00766E80"/>
    <w:rsid w:val="007670F7"/>
    <w:rsid w:val="0076733E"/>
    <w:rsid w:val="007674D6"/>
    <w:rsid w:val="0077014F"/>
    <w:rsid w:val="00770706"/>
    <w:rsid w:val="00770BEA"/>
    <w:rsid w:val="00771123"/>
    <w:rsid w:val="00772241"/>
    <w:rsid w:val="00773223"/>
    <w:rsid w:val="007736BC"/>
    <w:rsid w:val="00773B85"/>
    <w:rsid w:val="00774DF3"/>
    <w:rsid w:val="007756A7"/>
    <w:rsid w:val="00776490"/>
    <w:rsid w:val="007768C9"/>
    <w:rsid w:val="00776975"/>
    <w:rsid w:val="0077735A"/>
    <w:rsid w:val="007803F5"/>
    <w:rsid w:val="0078170F"/>
    <w:rsid w:val="007830FD"/>
    <w:rsid w:val="00783532"/>
    <w:rsid w:val="00785CD5"/>
    <w:rsid w:val="00785F5E"/>
    <w:rsid w:val="00786BE8"/>
    <w:rsid w:val="00786C5F"/>
    <w:rsid w:val="00786EF1"/>
    <w:rsid w:val="00787162"/>
    <w:rsid w:val="007875CF"/>
    <w:rsid w:val="00787B25"/>
    <w:rsid w:val="00787B6E"/>
    <w:rsid w:val="00787C6A"/>
    <w:rsid w:val="0079197F"/>
    <w:rsid w:val="0079206D"/>
    <w:rsid w:val="00792404"/>
    <w:rsid w:val="007925E0"/>
    <w:rsid w:val="00792C82"/>
    <w:rsid w:val="00793DC3"/>
    <w:rsid w:val="007943BC"/>
    <w:rsid w:val="0079465E"/>
    <w:rsid w:val="00794AFE"/>
    <w:rsid w:val="007961A8"/>
    <w:rsid w:val="0079722C"/>
    <w:rsid w:val="007972DF"/>
    <w:rsid w:val="00797B0A"/>
    <w:rsid w:val="007A09B1"/>
    <w:rsid w:val="007A0B50"/>
    <w:rsid w:val="007A0E8F"/>
    <w:rsid w:val="007A349E"/>
    <w:rsid w:val="007A37D1"/>
    <w:rsid w:val="007A3B02"/>
    <w:rsid w:val="007A58A1"/>
    <w:rsid w:val="007A59DA"/>
    <w:rsid w:val="007A5B01"/>
    <w:rsid w:val="007A5C1D"/>
    <w:rsid w:val="007A5F79"/>
    <w:rsid w:val="007A6065"/>
    <w:rsid w:val="007A688A"/>
    <w:rsid w:val="007A7073"/>
    <w:rsid w:val="007A7942"/>
    <w:rsid w:val="007B028B"/>
    <w:rsid w:val="007B1F33"/>
    <w:rsid w:val="007B1FE9"/>
    <w:rsid w:val="007B2297"/>
    <w:rsid w:val="007B26A6"/>
    <w:rsid w:val="007B26F4"/>
    <w:rsid w:val="007B284D"/>
    <w:rsid w:val="007B328E"/>
    <w:rsid w:val="007B4B9F"/>
    <w:rsid w:val="007B534E"/>
    <w:rsid w:val="007B5F10"/>
    <w:rsid w:val="007B67A9"/>
    <w:rsid w:val="007B6C8E"/>
    <w:rsid w:val="007B70A9"/>
    <w:rsid w:val="007B7606"/>
    <w:rsid w:val="007C0A67"/>
    <w:rsid w:val="007C0CFD"/>
    <w:rsid w:val="007C0E74"/>
    <w:rsid w:val="007C0FA5"/>
    <w:rsid w:val="007C167E"/>
    <w:rsid w:val="007C3172"/>
    <w:rsid w:val="007C32B0"/>
    <w:rsid w:val="007C338C"/>
    <w:rsid w:val="007C3828"/>
    <w:rsid w:val="007C3B35"/>
    <w:rsid w:val="007C4F5F"/>
    <w:rsid w:val="007C533D"/>
    <w:rsid w:val="007C5CF9"/>
    <w:rsid w:val="007C6566"/>
    <w:rsid w:val="007C7703"/>
    <w:rsid w:val="007D01B7"/>
    <w:rsid w:val="007D0C74"/>
    <w:rsid w:val="007D1315"/>
    <w:rsid w:val="007D14AA"/>
    <w:rsid w:val="007D14DA"/>
    <w:rsid w:val="007D27F6"/>
    <w:rsid w:val="007D35A1"/>
    <w:rsid w:val="007D3859"/>
    <w:rsid w:val="007D41C7"/>
    <w:rsid w:val="007D4362"/>
    <w:rsid w:val="007D55D3"/>
    <w:rsid w:val="007D65E4"/>
    <w:rsid w:val="007D69D5"/>
    <w:rsid w:val="007D6B20"/>
    <w:rsid w:val="007E0F5A"/>
    <w:rsid w:val="007E151C"/>
    <w:rsid w:val="007E1D34"/>
    <w:rsid w:val="007E2870"/>
    <w:rsid w:val="007E2AD9"/>
    <w:rsid w:val="007E326F"/>
    <w:rsid w:val="007E3B46"/>
    <w:rsid w:val="007E3D23"/>
    <w:rsid w:val="007E3E74"/>
    <w:rsid w:val="007E40A9"/>
    <w:rsid w:val="007E46A2"/>
    <w:rsid w:val="007E4B31"/>
    <w:rsid w:val="007E4C0B"/>
    <w:rsid w:val="007E4F7F"/>
    <w:rsid w:val="007E5A3E"/>
    <w:rsid w:val="007E5B99"/>
    <w:rsid w:val="007E5DF6"/>
    <w:rsid w:val="007E67BF"/>
    <w:rsid w:val="007E7776"/>
    <w:rsid w:val="007F019D"/>
    <w:rsid w:val="007F0993"/>
    <w:rsid w:val="007F1039"/>
    <w:rsid w:val="007F1E21"/>
    <w:rsid w:val="007F2A29"/>
    <w:rsid w:val="007F388B"/>
    <w:rsid w:val="007F3A20"/>
    <w:rsid w:val="007F3A49"/>
    <w:rsid w:val="007F5E90"/>
    <w:rsid w:val="007F68D2"/>
    <w:rsid w:val="007F6B22"/>
    <w:rsid w:val="007F75D8"/>
    <w:rsid w:val="007F794F"/>
    <w:rsid w:val="00800DD8"/>
    <w:rsid w:val="0080214F"/>
    <w:rsid w:val="0080236D"/>
    <w:rsid w:val="00802B81"/>
    <w:rsid w:val="0080326D"/>
    <w:rsid w:val="00803326"/>
    <w:rsid w:val="008035E1"/>
    <w:rsid w:val="008037E8"/>
    <w:rsid w:val="00803BCC"/>
    <w:rsid w:val="00803FCA"/>
    <w:rsid w:val="008040AA"/>
    <w:rsid w:val="008047A2"/>
    <w:rsid w:val="0080521F"/>
    <w:rsid w:val="00805B96"/>
    <w:rsid w:val="00805BE2"/>
    <w:rsid w:val="0080617C"/>
    <w:rsid w:val="0080663A"/>
    <w:rsid w:val="00807336"/>
    <w:rsid w:val="00807EFB"/>
    <w:rsid w:val="008105DF"/>
    <w:rsid w:val="00810CAC"/>
    <w:rsid w:val="0081171F"/>
    <w:rsid w:val="008126CD"/>
    <w:rsid w:val="00813701"/>
    <w:rsid w:val="00814089"/>
    <w:rsid w:val="00814387"/>
    <w:rsid w:val="008144DB"/>
    <w:rsid w:val="00814596"/>
    <w:rsid w:val="00814DEB"/>
    <w:rsid w:val="0081565F"/>
    <w:rsid w:val="0081614E"/>
    <w:rsid w:val="008167DF"/>
    <w:rsid w:val="00817917"/>
    <w:rsid w:val="00820DE0"/>
    <w:rsid w:val="008216DA"/>
    <w:rsid w:val="008227C1"/>
    <w:rsid w:val="00822B6E"/>
    <w:rsid w:val="00822DF8"/>
    <w:rsid w:val="00823075"/>
    <w:rsid w:val="008230E1"/>
    <w:rsid w:val="008236BE"/>
    <w:rsid w:val="0082374B"/>
    <w:rsid w:val="00826F10"/>
    <w:rsid w:val="0082733D"/>
    <w:rsid w:val="00827639"/>
    <w:rsid w:val="008305CF"/>
    <w:rsid w:val="00830C4D"/>
    <w:rsid w:val="00830EF4"/>
    <w:rsid w:val="0083101F"/>
    <w:rsid w:val="0083152A"/>
    <w:rsid w:val="008315B5"/>
    <w:rsid w:val="00831753"/>
    <w:rsid w:val="00831942"/>
    <w:rsid w:val="00831BA0"/>
    <w:rsid w:val="00832D06"/>
    <w:rsid w:val="0083335C"/>
    <w:rsid w:val="008337D7"/>
    <w:rsid w:val="00833C72"/>
    <w:rsid w:val="00834A70"/>
    <w:rsid w:val="008352A0"/>
    <w:rsid w:val="00835365"/>
    <w:rsid w:val="00835429"/>
    <w:rsid w:val="0083725B"/>
    <w:rsid w:val="0083764E"/>
    <w:rsid w:val="008405F7"/>
    <w:rsid w:val="008409E9"/>
    <w:rsid w:val="0084190F"/>
    <w:rsid w:val="008433DF"/>
    <w:rsid w:val="00843DD5"/>
    <w:rsid w:val="00844353"/>
    <w:rsid w:val="00844EEE"/>
    <w:rsid w:val="008456F4"/>
    <w:rsid w:val="008457AA"/>
    <w:rsid w:val="0084588C"/>
    <w:rsid w:val="00845D22"/>
    <w:rsid w:val="00845F21"/>
    <w:rsid w:val="00846592"/>
    <w:rsid w:val="008465C7"/>
    <w:rsid w:val="008516BE"/>
    <w:rsid w:val="0085189D"/>
    <w:rsid w:val="0085222F"/>
    <w:rsid w:val="00852540"/>
    <w:rsid w:val="00852801"/>
    <w:rsid w:val="008530BC"/>
    <w:rsid w:val="0085351E"/>
    <w:rsid w:val="00853CC2"/>
    <w:rsid w:val="00854A50"/>
    <w:rsid w:val="0085509A"/>
    <w:rsid w:val="00855DB0"/>
    <w:rsid w:val="008565AB"/>
    <w:rsid w:val="00856E2E"/>
    <w:rsid w:val="0085725E"/>
    <w:rsid w:val="00857424"/>
    <w:rsid w:val="00857BFC"/>
    <w:rsid w:val="00860ABF"/>
    <w:rsid w:val="00860F10"/>
    <w:rsid w:val="00860F6D"/>
    <w:rsid w:val="008619EB"/>
    <w:rsid w:val="00862743"/>
    <w:rsid w:val="008638D0"/>
    <w:rsid w:val="0086425D"/>
    <w:rsid w:val="0086452B"/>
    <w:rsid w:val="00864892"/>
    <w:rsid w:val="00864971"/>
    <w:rsid w:val="00864B95"/>
    <w:rsid w:val="00866590"/>
    <w:rsid w:val="008670B6"/>
    <w:rsid w:val="00870933"/>
    <w:rsid w:val="00870C85"/>
    <w:rsid w:val="00870E88"/>
    <w:rsid w:val="00870F80"/>
    <w:rsid w:val="00871095"/>
    <w:rsid w:val="00871368"/>
    <w:rsid w:val="00871692"/>
    <w:rsid w:val="0087169C"/>
    <w:rsid w:val="00871935"/>
    <w:rsid w:val="00871C97"/>
    <w:rsid w:val="00872F29"/>
    <w:rsid w:val="00873721"/>
    <w:rsid w:val="00873760"/>
    <w:rsid w:val="00874C0F"/>
    <w:rsid w:val="00875F44"/>
    <w:rsid w:val="00876890"/>
    <w:rsid w:val="00877027"/>
    <w:rsid w:val="008773B5"/>
    <w:rsid w:val="0088025D"/>
    <w:rsid w:val="0088092F"/>
    <w:rsid w:val="00880AD3"/>
    <w:rsid w:val="00880BA5"/>
    <w:rsid w:val="0088106F"/>
    <w:rsid w:val="008825F2"/>
    <w:rsid w:val="008842B7"/>
    <w:rsid w:val="008846E9"/>
    <w:rsid w:val="0088530D"/>
    <w:rsid w:val="00885371"/>
    <w:rsid w:val="00885E1B"/>
    <w:rsid w:val="0088744D"/>
    <w:rsid w:val="00887EE6"/>
    <w:rsid w:val="00887F8A"/>
    <w:rsid w:val="00890919"/>
    <w:rsid w:val="00890936"/>
    <w:rsid w:val="00890CD5"/>
    <w:rsid w:val="00891FD1"/>
    <w:rsid w:val="0089259F"/>
    <w:rsid w:val="00893280"/>
    <w:rsid w:val="008932E8"/>
    <w:rsid w:val="00893AAC"/>
    <w:rsid w:val="00893DB6"/>
    <w:rsid w:val="00894878"/>
    <w:rsid w:val="00895348"/>
    <w:rsid w:val="008956A4"/>
    <w:rsid w:val="00895CDD"/>
    <w:rsid w:val="00895CFE"/>
    <w:rsid w:val="00896853"/>
    <w:rsid w:val="00897761"/>
    <w:rsid w:val="008A06F4"/>
    <w:rsid w:val="008A099C"/>
    <w:rsid w:val="008A13D3"/>
    <w:rsid w:val="008A1416"/>
    <w:rsid w:val="008A1747"/>
    <w:rsid w:val="008A20BD"/>
    <w:rsid w:val="008A2253"/>
    <w:rsid w:val="008A2C2C"/>
    <w:rsid w:val="008A2DAD"/>
    <w:rsid w:val="008A39A1"/>
    <w:rsid w:val="008A3F6F"/>
    <w:rsid w:val="008A49E5"/>
    <w:rsid w:val="008A504E"/>
    <w:rsid w:val="008A52DB"/>
    <w:rsid w:val="008A613E"/>
    <w:rsid w:val="008A68B5"/>
    <w:rsid w:val="008A6D17"/>
    <w:rsid w:val="008A7871"/>
    <w:rsid w:val="008B0FDE"/>
    <w:rsid w:val="008B18F6"/>
    <w:rsid w:val="008B1A59"/>
    <w:rsid w:val="008B2785"/>
    <w:rsid w:val="008B295B"/>
    <w:rsid w:val="008B2E7D"/>
    <w:rsid w:val="008B2EFB"/>
    <w:rsid w:val="008B5889"/>
    <w:rsid w:val="008B5C12"/>
    <w:rsid w:val="008B7EA9"/>
    <w:rsid w:val="008C018B"/>
    <w:rsid w:val="008C1BE2"/>
    <w:rsid w:val="008C2E88"/>
    <w:rsid w:val="008C315A"/>
    <w:rsid w:val="008C32D1"/>
    <w:rsid w:val="008C4A52"/>
    <w:rsid w:val="008C4CAD"/>
    <w:rsid w:val="008C5CD9"/>
    <w:rsid w:val="008C73E3"/>
    <w:rsid w:val="008C7D47"/>
    <w:rsid w:val="008C7DCD"/>
    <w:rsid w:val="008D048D"/>
    <w:rsid w:val="008D049C"/>
    <w:rsid w:val="008D0A4B"/>
    <w:rsid w:val="008D1081"/>
    <w:rsid w:val="008D1257"/>
    <w:rsid w:val="008D1E81"/>
    <w:rsid w:val="008D2067"/>
    <w:rsid w:val="008D3993"/>
    <w:rsid w:val="008D3A5A"/>
    <w:rsid w:val="008D4B1A"/>
    <w:rsid w:val="008D5C9B"/>
    <w:rsid w:val="008D6DA2"/>
    <w:rsid w:val="008D6F9F"/>
    <w:rsid w:val="008D7097"/>
    <w:rsid w:val="008D730D"/>
    <w:rsid w:val="008D7CFD"/>
    <w:rsid w:val="008E0A27"/>
    <w:rsid w:val="008E24A1"/>
    <w:rsid w:val="008E3834"/>
    <w:rsid w:val="008E4795"/>
    <w:rsid w:val="008E5F66"/>
    <w:rsid w:val="008E6F99"/>
    <w:rsid w:val="008E7CDA"/>
    <w:rsid w:val="008F02EA"/>
    <w:rsid w:val="008F14D9"/>
    <w:rsid w:val="008F2AF9"/>
    <w:rsid w:val="008F2E25"/>
    <w:rsid w:val="008F5C5B"/>
    <w:rsid w:val="008F5EB8"/>
    <w:rsid w:val="008F703D"/>
    <w:rsid w:val="008F7665"/>
    <w:rsid w:val="008F7DF4"/>
    <w:rsid w:val="00900EB6"/>
    <w:rsid w:val="00901779"/>
    <w:rsid w:val="00902795"/>
    <w:rsid w:val="00902853"/>
    <w:rsid w:val="00902891"/>
    <w:rsid w:val="00902A19"/>
    <w:rsid w:val="00902CD8"/>
    <w:rsid w:val="00902F07"/>
    <w:rsid w:val="009030C3"/>
    <w:rsid w:val="00903A4E"/>
    <w:rsid w:val="00905B7C"/>
    <w:rsid w:val="00905F40"/>
    <w:rsid w:val="00906815"/>
    <w:rsid w:val="00906A9E"/>
    <w:rsid w:val="00906AE1"/>
    <w:rsid w:val="00906C76"/>
    <w:rsid w:val="00907A8D"/>
    <w:rsid w:val="0091006C"/>
    <w:rsid w:val="00910625"/>
    <w:rsid w:val="00911223"/>
    <w:rsid w:val="00911841"/>
    <w:rsid w:val="00911E2B"/>
    <w:rsid w:val="00912A25"/>
    <w:rsid w:val="00912ADE"/>
    <w:rsid w:val="0091332B"/>
    <w:rsid w:val="00913506"/>
    <w:rsid w:val="00913872"/>
    <w:rsid w:val="00914306"/>
    <w:rsid w:val="00914510"/>
    <w:rsid w:val="009147DC"/>
    <w:rsid w:val="0091488E"/>
    <w:rsid w:val="00914971"/>
    <w:rsid w:val="00914CA1"/>
    <w:rsid w:val="00915AA0"/>
    <w:rsid w:val="00916719"/>
    <w:rsid w:val="0091748F"/>
    <w:rsid w:val="00917C6B"/>
    <w:rsid w:val="0092099D"/>
    <w:rsid w:val="009211D4"/>
    <w:rsid w:val="0092151A"/>
    <w:rsid w:val="00922E1E"/>
    <w:rsid w:val="0092395F"/>
    <w:rsid w:val="00923D68"/>
    <w:rsid w:val="0092476D"/>
    <w:rsid w:val="00925256"/>
    <w:rsid w:val="009256A3"/>
    <w:rsid w:val="00926316"/>
    <w:rsid w:val="00926EF0"/>
    <w:rsid w:val="00926F7F"/>
    <w:rsid w:val="009274DC"/>
    <w:rsid w:val="00927A83"/>
    <w:rsid w:val="0093007B"/>
    <w:rsid w:val="00930342"/>
    <w:rsid w:val="0093110B"/>
    <w:rsid w:val="009311FC"/>
    <w:rsid w:val="009317B4"/>
    <w:rsid w:val="009318D4"/>
    <w:rsid w:val="009324F1"/>
    <w:rsid w:val="00932E6E"/>
    <w:rsid w:val="009347BC"/>
    <w:rsid w:val="00934AD6"/>
    <w:rsid w:val="00934CB1"/>
    <w:rsid w:val="0093514D"/>
    <w:rsid w:val="009351AF"/>
    <w:rsid w:val="00935A3A"/>
    <w:rsid w:val="009362E3"/>
    <w:rsid w:val="0093638C"/>
    <w:rsid w:val="0093724C"/>
    <w:rsid w:val="0093782B"/>
    <w:rsid w:val="00937A51"/>
    <w:rsid w:val="00937F0E"/>
    <w:rsid w:val="009401DB"/>
    <w:rsid w:val="00940476"/>
    <w:rsid w:val="009405C0"/>
    <w:rsid w:val="009410BE"/>
    <w:rsid w:val="00942672"/>
    <w:rsid w:val="009428E8"/>
    <w:rsid w:val="00942A13"/>
    <w:rsid w:val="00943029"/>
    <w:rsid w:val="00943CC5"/>
    <w:rsid w:val="00944F55"/>
    <w:rsid w:val="0094520C"/>
    <w:rsid w:val="009454CF"/>
    <w:rsid w:val="0094553C"/>
    <w:rsid w:val="00945E0C"/>
    <w:rsid w:val="009464DC"/>
    <w:rsid w:val="00946788"/>
    <w:rsid w:val="00946DCA"/>
    <w:rsid w:val="009476BE"/>
    <w:rsid w:val="00950049"/>
    <w:rsid w:val="009500D3"/>
    <w:rsid w:val="0095040F"/>
    <w:rsid w:val="009508DF"/>
    <w:rsid w:val="00951079"/>
    <w:rsid w:val="009521D6"/>
    <w:rsid w:val="009530B8"/>
    <w:rsid w:val="0095366D"/>
    <w:rsid w:val="0095376B"/>
    <w:rsid w:val="00954BA7"/>
    <w:rsid w:val="00955232"/>
    <w:rsid w:val="009552DA"/>
    <w:rsid w:val="0095598A"/>
    <w:rsid w:val="0095632D"/>
    <w:rsid w:val="00956FAC"/>
    <w:rsid w:val="00957206"/>
    <w:rsid w:val="0095776B"/>
    <w:rsid w:val="009579C2"/>
    <w:rsid w:val="00957B6C"/>
    <w:rsid w:val="00960031"/>
    <w:rsid w:val="00960981"/>
    <w:rsid w:val="009610F8"/>
    <w:rsid w:val="0096229B"/>
    <w:rsid w:val="00962619"/>
    <w:rsid w:val="00962E2D"/>
    <w:rsid w:val="00962ED4"/>
    <w:rsid w:val="009631FB"/>
    <w:rsid w:val="00963D3E"/>
    <w:rsid w:val="009642F1"/>
    <w:rsid w:val="00964ACD"/>
    <w:rsid w:val="009652F7"/>
    <w:rsid w:val="00965E9A"/>
    <w:rsid w:val="009660DC"/>
    <w:rsid w:val="00966802"/>
    <w:rsid w:val="00967094"/>
    <w:rsid w:val="009701F7"/>
    <w:rsid w:val="009705D0"/>
    <w:rsid w:val="009717DC"/>
    <w:rsid w:val="00971974"/>
    <w:rsid w:val="00971A0E"/>
    <w:rsid w:val="00972035"/>
    <w:rsid w:val="009721C2"/>
    <w:rsid w:val="009725E6"/>
    <w:rsid w:val="0097360A"/>
    <w:rsid w:val="00973FF4"/>
    <w:rsid w:val="00974469"/>
    <w:rsid w:val="00974FCC"/>
    <w:rsid w:val="00975006"/>
    <w:rsid w:val="00975140"/>
    <w:rsid w:val="0097578B"/>
    <w:rsid w:val="00976BC6"/>
    <w:rsid w:val="009771F4"/>
    <w:rsid w:val="0098008D"/>
    <w:rsid w:val="00980D37"/>
    <w:rsid w:val="00981B6A"/>
    <w:rsid w:val="00982CE6"/>
    <w:rsid w:val="0098387A"/>
    <w:rsid w:val="00983DAB"/>
    <w:rsid w:val="0098497F"/>
    <w:rsid w:val="00985145"/>
    <w:rsid w:val="009855C4"/>
    <w:rsid w:val="009867CE"/>
    <w:rsid w:val="00986996"/>
    <w:rsid w:val="00987AC7"/>
    <w:rsid w:val="009917DE"/>
    <w:rsid w:val="00992CBE"/>
    <w:rsid w:val="00993054"/>
    <w:rsid w:val="0099405E"/>
    <w:rsid w:val="0099445F"/>
    <w:rsid w:val="009962F1"/>
    <w:rsid w:val="009970E5"/>
    <w:rsid w:val="00997830"/>
    <w:rsid w:val="00997974"/>
    <w:rsid w:val="00997A0E"/>
    <w:rsid w:val="00997A6C"/>
    <w:rsid w:val="00997BDF"/>
    <w:rsid w:val="009A0605"/>
    <w:rsid w:val="009A0EEA"/>
    <w:rsid w:val="009A3CF7"/>
    <w:rsid w:val="009A468A"/>
    <w:rsid w:val="009A4974"/>
    <w:rsid w:val="009A6612"/>
    <w:rsid w:val="009A66B5"/>
    <w:rsid w:val="009A6D88"/>
    <w:rsid w:val="009A7136"/>
    <w:rsid w:val="009A7634"/>
    <w:rsid w:val="009B06A9"/>
    <w:rsid w:val="009B0984"/>
    <w:rsid w:val="009B0BA4"/>
    <w:rsid w:val="009B1454"/>
    <w:rsid w:val="009B32BC"/>
    <w:rsid w:val="009B3C7F"/>
    <w:rsid w:val="009B520B"/>
    <w:rsid w:val="009B55D8"/>
    <w:rsid w:val="009B59BE"/>
    <w:rsid w:val="009B6103"/>
    <w:rsid w:val="009B6669"/>
    <w:rsid w:val="009B6B4C"/>
    <w:rsid w:val="009B7E54"/>
    <w:rsid w:val="009C0AE4"/>
    <w:rsid w:val="009C2206"/>
    <w:rsid w:val="009C2349"/>
    <w:rsid w:val="009C2B72"/>
    <w:rsid w:val="009C30C7"/>
    <w:rsid w:val="009C4371"/>
    <w:rsid w:val="009C45C5"/>
    <w:rsid w:val="009C48A0"/>
    <w:rsid w:val="009C5799"/>
    <w:rsid w:val="009C5A6F"/>
    <w:rsid w:val="009C67A3"/>
    <w:rsid w:val="009C710F"/>
    <w:rsid w:val="009D0717"/>
    <w:rsid w:val="009D0B43"/>
    <w:rsid w:val="009D1109"/>
    <w:rsid w:val="009D12BA"/>
    <w:rsid w:val="009D19D0"/>
    <w:rsid w:val="009D2039"/>
    <w:rsid w:val="009D3398"/>
    <w:rsid w:val="009D33DB"/>
    <w:rsid w:val="009D4592"/>
    <w:rsid w:val="009D4B53"/>
    <w:rsid w:val="009D5561"/>
    <w:rsid w:val="009D60F2"/>
    <w:rsid w:val="009D6E82"/>
    <w:rsid w:val="009D776C"/>
    <w:rsid w:val="009E0522"/>
    <w:rsid w:val="009E12F2"/>
    <w:rsid w:val="009E1682"/>
    <w:rsid w:val="009E1F05"/>
    <w:rsid w:val="009E21FF"/>
    <w:rsid w:val="009E22DB"/>
    <w:rsid w:val="009E2413"/>
    <w:rsid w:val="009E26F4"/>
    <w:rsid w:val="009E3B84"/>
    <w:rsid w:val="009E40EE"/>
    <w:rsid w:val="009E4666"/>
    <w:rsid w:val="009E51CA"/>
    <w:rsid w:val="009E5DE2"/>
    <w:rsid w:val="009F0431"/>
    <w:rsid w:val="009F0758"/>
    <w:rsid w:val="009F1A07"/>
    <w:rsid w:val="009F1D36"/>
    <w:rsid w:val="009F1F73"/>
    <w:rsid w:val="009F2170"/>
    <w:rsid w:val="009F3375"/>
    <w:rsid w:val="009F4339"/>
    <w:rsid w:val="009F4369"/>
    <w:rsid w:val="009F4C09"/>
    <w:rsid w:val="009F50CD"/>
    <w:rsid w:val="009F523A"/>
    <w:rsid w:val="009F5791"/>
    <w:rsid w:val="009F6151"/>
    <w:rsid w:val="009F6E7E"/>
    <w:rsid w:val="009F7572"/>
    <w:rsid w:val="009F7AD6"/>
    <w:rsid w:val="00A00143"/>
    <w:rsid w:val="00A002D9"/>
    <w:rsid w:val="00A0144B"/>
    <w:rsid w:val="00A01DE5"/>
    <w:rsid w:val="00A01F66"/>
    <w:rsid w:val="00A020BC"/>
    <w:rsid w:val="00A02956"/>
    <w:rsid w:val="00A029C6"/>
    <w:rsid w:val="00A02E27"/>
    <w:rsid w:val="00A047D8"/>
    <w:rsid w:val="00A04EE5"/>
    <w:rsid w:val="00A0627A"/>
    <w:rsid w:val="00A062DD"/>
    <w:rsid w:val="00A07776"/>
    <w:rsid w:val="00A07781"/>
    <w:rsid w:val="00A07B0B"/>
    <w:rsid w:val="00A1006A"/>
    <w:rsid w:val="00A10126"/>
    <w:rsid w:val="00A1042C"/>
    <w:rsid w:val="00A10601"/>
    <w:rsid w:val="00A10A3A"/>
    <w:rsid w:val="00A1136A"/>
    <w:rsid w:val="00A11904"/>
    <w:rsid w:val="00A11A35"/>
    <w:rsid w:val="00A11D36"/>
    <w:rsid w:val="00A12A57"/>
    <w:rsid w:val="00A12CA6"/>
    <w:rsid w:val="00A148DE"/>
    <w:rsid w:val="00A151F1"/>
    <w:rsid w:val="00A15351"/>
    <w:rsid w:val="00A1568D"/>
    <w:rsid w:val="00A1584A"/>
    <w:rsid w:val="00A15B6F"/>
    <w:rsid w:val="00A15D9D"/>
    <w:rsid w:val="00A16294"/>
    <w:rsid w:val="00A16781"/>
    <w:rsid w:val="00A16E30"/>
    <w:rsid w:val="00A170EF"/>
    <w:rsid w:val="00A173BE"/>
    <w:rsid w:val="00A204A4"/>
    <w:rsid w:val="00A20DBF"/>
    <w:rsid w:val="00A21B04"/>
    <w:rsid w:val="00A22567"/>
    <w:rsid w:val="00A22897"/>
    <w:rsid w:val="00A22D33"/>
    <w:rsid w:val="00A23146"/>
    <w:rsid w:val="00A2319E"/>
    <w:rsid w:val="00A240B5"/>
    <w:rsid w:val="00A24914"/>
    <w:rsid w:val="00A24980"/>
    <w:rsid w:val="00A25526"/>
    <w:rsid w:val="00A2598F"/>
    <w:rsid w:val="00A25EC3"/>
    <w:rsid w:val="00A26584"/>
    <w:rsid w:val="00A26E51"/>
    <w:rsid w:val="00A27439"/>
    <w:rsid w:val="00A27A67"/>
    <w:rsid w:val="00A27BAD"/>
    <w:rsid w:val="00A30E6E"/>
    <w:rsid w:val="00A30F48"/>
    <w:rsid w:val="00A31748"/>
    <w:rsid w:val="00A31877"/>
    <w:rsid w:val="00A3215D"/>
    <w:rsid w:val="00A3285C"/>
    <w:rsid w:val="00A337BE"/>
    <w:rsid w:val="00A3653D"/>
    <w:rsid w:val="00A37AB7"/>
    <w:rsid w:val="00A40327"/>
    <w:rsid w:val="00A406D1"/>
    <w:rsid w:val="00A40AF4"/>
    <w:rsid w:val="00A40D34"/>
    <w:rsid w:val="00A41D7D"/>
    <w:rsid w:val="00A41E35"/>
    <w:rsid w:val="00A422D9"/>
    <w:rsid w:val="00A426C3"/>
    <w:rsid w:val="00A43808"/>
    <w:rsid w:val="00A43923"/>
    <w:rsid w:val="00A43A95"/>
    <w:rsid w:val="00A43AE0"/>
    <w:rsid w:val="00A43E29"/>
    <w:rsid w:val="00A44546"/>
    <w:rsid w:val="00A4474E"/>
    <w:rsid w:val="00A44CBE"/>
    <w:rsid w:val="00A45882"/>
    <w:rsid w:val="00A45F82"/>
    <w:rsid w:val="00A469AE"/>
    <w:rsid w:val="00A469C4"/>
    <w:rsid w:val="00A4795C"/>
    <w:rsid w:val="00A50F42"/>
    <w:rsid w:val="00A51B06"/>
    <w:rsid w:val="00A5323B"/>
    <w:rsid w:val="00A53A73"/>
    <w:rsid w:val="00A5458E"/>
    <w:rsid w:val="00A55020"/>
    <w:rsid w:val="00A574B4"/>
    <w:rsid w:val="00A57E50"/>
    <w:rsid w:val="00A6008C"/>
    <w:rsid w:val="00A610DB"/>
    <w:rsid w:val="00A61565"/>
    <w:rsid w:val="00A616D4"/>
    <w:rsid w:val="00A61B30"/>
    <w:rsid w:val="00A63A12"/>
    <w:rsid w:val="00A64C6C"/>
    <w:rsid w:val="00A64DEE"/>
    <w:rsid w:val="00A65BF7"/>
    <w:rsid w:val="00A65F14"/>
    <w:rsid w:val="00A66CF6"/>
    <w:rsid w:val="00A67150"/>
    <w:rsid w:val="00A67A58"/>
    <w:rsid w:val="00A67EA3"/>
    <w:rsid w:val="00A71F85"/>
    <w:rsid w:val="00A72766"/>
    <w:rsid w:val="00A73123"/>
    <w:rsid w:val="00A73DD6"/>
    <w:rsid w:val="00A73EA8"/>
    <w:rsid w:val="00A75239"/>
    <w:rsid w:val="00A766BB"/>
    <w:rsid w:val="00A768E8"/>
    <w:rsid w:val="00A769CF"/>
    <w:rsid w:val="00A76F62"/>
    <w:rsid w:val="00A80673"/>
    <w:rsid w:val="00A80FE0"/>
    <w:rsid w:val="00A82CA1"/>
    <w:rsid w:val="00A83689"/>
    <w:rsid w:val="00A83770"/>
    <w:rsid w:val="00A84063"/>
    <w:rsid w:val="00A84A96"/>
    <w:rsid w:val="00A84B4D"/>
    <w:rsid w:val="00A84F00"/>
    <w:rsid w:val="00A85221"/>
    <w:rsid w:val="00A8554E"/>
    <w:rsid w:val="00A85BE6"/>
    <w:rsid w:val="00A85FC4"/>
    <w:rsid w:val="00A86041"/>
    <w:rsid w:val="00A867DB"/>
    <w:rsid w:val="00A869B7"/>
    <w:rsid w:val="00A86C68"/>
    <w:rsid w:val="00A870B8"/>
    <w:rsid w:val="00A87399"/>
    <w:rsid w:val="00A87ADC"/>
    <w:rsid w:val="00A9044E"/>
    <w:rsid w:val="00A93729"/>
    <w:rsid w:val="00A9410E"/>
    <w:rsid w:val="00A95327"/>
    <w:rsid w:val="00A958C2"/>
    <w:rsid w:val="00A95C5E"/>
    <w:rsid w:val="00A9619D"/>
    <w:rsid w:val="00A9655B"/>
    <w:rsid w:val="00A96937"/>
    <w:rsid w:val="00A97132"/>
    <w:rsid w:val="00AA0D9C"/>
    <w:rsid w:val="00AA1C39"/>
    <w:rsid w:val="00AA20F7"/>
    <w:rsid w:val="00AA231A"/>
    <w:rsid w:val="00AA23F5"/>
    <w:rsid w:val="00AA250A"/>
    <w:rsid w:val="00AA2CED"/>
    <w:rsid w:val="00AA3229"/>
    <w:rsid w:val="00AA38C6"/>
    <w:rsid w:val="00AA41CC"/>
    <w:rsid w:val="00AA478E"/>
    <w:rsid w:val="00AA4A88"/>
    <w:rsid w:val="00AA519D"/>
    <w:rsid w:val="00AA5570"/>
    <w:rsid w:val="00AA591E"/>
    <w:rsid w:val="00AA743D"/>
    <w:rsid w:val="00AA7A57"/>
    <w:rsid w:val="00AB172E"/>
    <w:rsid w:val="00AB1907"/>
    <w:rsid w:val="00AB2A2E"/>
    <w:rsid w:val="00AB2AEA"/>
    <w:rsid w:val="00AB2B9B"/>
    <w:rsid w:val="00AB3E0F"/>
    <w:rsid w:val="00AB4A5A"/>
    <w:rsid w:val="00AB5351"/>
    <w:rsid w:val="00AB6912"/>
    <w:rsid w:val="00AB72E2"/>
    <w:rsid w:val="00AB75BF"/>
    <w:rsid w:val="00AB7C3E"/>
    <w:rsid w:val="00AC0764"/>
    <w:rsid w:val="00AC0BBA"/>
    <w:rsid w:val="00AC126B"/>
    <w:rsid w:val="00AC1828"/>
    <w:rsid w:val="00AC1CD5"/>
    <w:rsid w:val="00AC2715"/>
    <w:rsid w:val="00AC51AF"/>
    <w:rsid w:val="00AC548B"/>
    <w:rsid w:val="00AC578E"/>
    <w:rsid w:val="00AC7FB3"/>
    <w:rsid w:val="00AD1C96"/>
    <w:rsid w:val="00AD1E04"/>
    <w:rsid w:val="00AD3D8E"/>
    <w:rsid w:val="00AD40AF"/>
    <w:rsid w:val="00AD460E"/>
    <w:rsid w:val="00AD5568"/>
    <w:rsid w:val="00AD5D0D"/>
    <w:rsid w:val="00AD66C2"/>
    <w:rsid w:val="00AD7173"/>
    <w:rsid w:val="00AD7677"/>
    <w:rsid w:val="00AD79C6"/>
    <w:rsid w:val="00AD7ADF"/>
    <w:rsid w:val="00AD7D41"/>
    <w:rsid w:val="00AE08BE"/>
    <w:rsid w:val="00AE12CB"/>
    <w:rsid w:val="00AE1390"/>
    <w:rsid w:val="00AE1816"/>
    <w:rsid w:val="00AE1C36"/>
    <w:rsid w:val="00AE2134"/>
    <w:rsid w:val="00AE227A"/>
    <w:rsid w:val="00AE368D"/>
    <w:rsid w:val="00AE3D00"/>
    <w:rsid w:val="00AE3DE7"/>
    <w:rsid w:val="00AE687A"/>
    <w:rsid w:val="00AE6C12"/>
    <w:rsid w:val="00AE7F7B"/>
    <w:rsid w:val="00AF1524"/>
    <w:rsid w:val="00AF23F5"/>
    <w:rsid w:val="00AF29F7"/>
    <w:rsid w:val="00AF2E41"/>
    <w:rsid w:val="00AF497B"/>
    <w:rsid w:val="00AF5852"/>
    <w:rsid w:val="00AF6164"/>
    <w:rsid w:val="00AF7351"/>
    <w:rsid w:val="00B0166B"/>
    <w:rsid w:val="00B0188D"/>
    <w:rsid w:val="00B026EC"/>
    <w:rsid w:val="00B05200"/>
    <w:rsid w:val="00B0550E"/>
    <w:rsid w:val="00B055BD"/>
    <w:rsid w:val="00B0582E"/>
    <w:rsid w:val="00B05920"/>
    <w:rsid w:val="00B061EF"/>
    <w:rsid w:val="00B06A31"/>
    <w:rsid w:val="00B07106"/>
    <w:rsid w:val="00B10535"/>
    <w:rsid w:val="00B10814"/>
    <w:rsid w:val="00B108FA"/>
    <w:rsid w:val="00B11B26"/>
    <w:rsid w:val="00B12417"/>
    <w:rsid w:val="00B127D1"/>
    <w:rsid w:val="00B13C64"/>
    <w:rsid w:val="00B13F53"/>
    <w:rsid w:val="00B14582"/>
    <w:rsid w:val="00B14AEF"/>
    <w:rsid w:val="00B15627"/>
    <w:rsid w:val="00B15A4F"/>
    <w:rsid w:val="00B16962"/>
    <w:rsid w:val="00B16E5D"/>
    <w:rsid w:val="00B17702"/>
    <w:rsid w:val="00B17C29"/>
    <w:rsid w:val="00B20666"/>
    <w:rsid w:val="00B20760"/>
    <w:rsid w:val="00B20D0F"/>
    <w:rsid w:val="00B21280"/>
    <w:rsid w:val="00B2237C"/>
    <w:rsid w:val="00B22AD9"/>
    <w:rsid w:val="00B255C7"/>
    <w:rsid w:val="00B26335"/>
    <w:rsid w:val="00B26439"/>
    <w:rsid w:val="00B26A80"/>
    <w:rsid w:val="00B26D74"/>
    <w:rsid w:val="00B277A7"/>
    <w:rsid w:val="00B27CD5"/>
    <w:rsid w:val="00B30006"/>
    <w:rsid w:val="00B302F9"/>
    <w:rsid w:val="00B30ED6"/>
    <w:rsid w:val="00B315E2"/>
    <w:rsid w:val="00B31874"/>
    <w:rsid w:val="00B31DC6"/>
    <w:rsid w:val="00B32811"/>
    <w:rsid w:val="00B32CBC"/>
    <w:rsid w:val="00B33EC6"/>
    <w:rsid w:val="00B341EE"/>
    <w:rsid w:val="00B35237"/>
    <w:rsid w:val="00B36BAD"/>
    <w:rsid w:val="00B37F14"/>
    <w:rsid w:val="00B40599"/>
    <w:rsid w:val="00B4068C"/>
    <w:rsid w:val="00B41486"/>
    <w:rsid w:val="00B4169A"/>
    <w:rsid w:val="00B422AA"/>
    <w:rsid w:val="00B42763"/>
    <w:rsid w:val="00B42DF8"/>
    <w:rsid w:val="00B43EB4"/>
    <w:rsid w:val="00B4489E"/>
    <w:rsid w:val="00B44C49"/>
    <w:rsid w:val="00B45170"/>
    <w:rsid w:val="00B455C4"/>
    <w:rsid w:val="00B45972"/>
    <w:rsid w:val="00B45C8A"/>
    <w:rsid w:val="00B4622D"/>
    <w:rsid w:val="00B4713B"/>
    <w:rsid w:val="00B474F6"/>
    <w:rsid w:val="00B502A8"/>
    <w:rsid w:val="00B50476"/>
    <w:rsid w:val="00B50F2D"/>
    <w:rsid w:val="00B51B43"/>
    <w:rsid w:val="00B51CD6"/>
    <w:rsid w:val="00B52540"/>
    <w:rsid w:val="00B53586"/>
    <w:rsid w:val="00B53621"/>
    <w:rsid w:val="00B53BDF"/>
    <w:rsid w:val="00B53F15"/>
    <w:rsid w:val="00B54326"/>
    <w:rsid w:val="00B55797"/>
    <w:rsid w:val="00B5588D"/>
    <w:rsid w:val="00B56939"/>
    <w:rsid w:val="00B56BD6"/>
    <w:rsid w:val="00B56C7B"/>
    <w:rsid w:val="00B5710A"/>
    <w:rsid w:val="00B57271"/>
    <w:rsid w:val="00B579CC"/>
    <w:rsid w:val="00B57EC2"/>
    <w:rsid w:val="00B600F9"/>
    <w:rsid w:val="00B61C10"/>
    <w:rsid w:val="00B61FD0"/>
    <w:rsid w:val="00B62112"/>
    <w:rsid w:val="00B62151"/>
    <w:rsid w:val="00B6224D"/>
    <w:rsid w:val="00B625A0"/>
    <w:rsid w:val="00B62DD4"/>
    <w:rsid w:val="00B634B4"/>
    <w:rsid w:val="00B63DE6"/>
    <w:rsid w:val="00B664B8"/>
    <w:rsid w:val="00B66BFC"/>
    <w:rsid w:val="00B6703E"/>
    <w:rsid w:val="00B6730F"/>
    <w:rsid w:val="00B70757"/>
    <w:rsid w:val="00B70B4D"/>
    <w:rsid w:val="00B70BE9"/>
    <w:rsid w:val="00B70CC8"/>
    <w:rsid w:val="00B715D0"/>
    <w:rsid w:val="00B71EFE"/>
    <w:rsid w:val="00B72969"/>
    <w:rsid w:val="00B7367C"/>
    <w:rsid w:val="00B7552C"/>
    <w:rsid w:val="00B75625"/>
    <w:rsid w:val="00B76097"/>
    <w:rsid w:val="00B77C19"/>
    <w:rsid w:val="00B77F32"/>
    <w:rsid w:val="00B804E6"/>
    <w:rsid w:val="00B824CF"/>
    <w:rsid w:val="00B82F20"/>
    <w:rsid w:val="00B836A7"/>
    <w:rsid w:val="00B838C8"/>
    <w:rsid w:val="00B83C2E"/>
    <w:rsid w:val="00B84818"/>
    <w:rsid w:val="00B84902"/>
    <w:rsid w:val="00B86116"/>
    <w:rsid w:val="00B8671F"/>
    <w:rsid w:val="00B87354"/>
    <w:rsid w:val="00B90E6A"/>
    <w:rsid w:val="00B91F84"/>
    <w:rsid w:val="00B925C1"/>
    <w:rsid w:val="00B93D8E"/>
    <w:rsid w:val="00B94AC3"/>
    <w:rsid w:val="00B94C40"/>
    <w:rsid w:val="00B95530"/>
    <w:rsid w:val="00B9556C"/>
    <w:rsid w:val="00B963A7"/>
    <w:rsid w:val="00B9659D"/>
    <w:rsid w:val="00B973E6"/>
    <w:rsid w:val="00B97A65"/>
    <w:rsid w:val="00B97C8E"/>
    <w:rsid w:val="00BA0FF9"/>
    <w:rsid w:val="00BA19C0"/>
    <w:rsid w:val="00BA23C9"/>
    <w:rsid w:val="00BA31AC"/>
    <w:rsid w:val="00BA3B1F"/>
    <w:rsid w:val="00BA3F0D"/>
    <w:rsid w:val="00BA453A"/>
    <w:rsid w:val="00BA5C98"/>
    <w:rsid w:val="00BA6065"/>
    <w:rsid w:val="00BA73CC"/>
    <w:rsid w:val="00BA79FF"/>
    <w:rsid w:val="00BA7CFD"/>
    <w:rsid w:val="00BB062B"/>
    <w:rsid w:val="00BB13CD"/>
    <w:rsid w:val="00BB15C0"/>
    <w:rsid w:val="00BB1CBB"/>
    <w:rsid w:val="00BB2469"/>
    <w:rsid w:val="00BB3213"/>
    <w:rsid w:val="00BB407F"/>
    <w:rsid w:val="00BB4773"/>
    <w:rsid w:val="00BB4AB5"/>
    <w:rsid w:val="00BB5A5D"/>
    <w:rsid w:val="00BB7871"/>
    <w:rsid w:val="00BB7A1E"/>
    <w:rsid w:val="00BB7E04"/>
    <w:rsid w:val="00BC070E"/>
    <w:rsid w:val="00BC1D8E"/>
    <w:rsid w:val="00BC1EB5"/>
    <w:rsid w:val="00BC2E8D"/>
    <w:rsid w:val="00BC2FA7"/>
    <w:rsid w:val="00BC300B"/>
    <w:rsid w:val="00BC3175"/>
    <w:rsid w:val="00BC3331"/>
    <w:rsid w:val="00BC3826"/>
    <w:rsid w:val="00BC4394"/>
    <w:rsid w:val="00BC4F59"/>
    <w:rsid w:val="00BC59F6"/>
    <w:rsid w:val="00BC5B87"/>
    <w:rsid w:val="00BC5F2A"/>
    <w:rsid w:val="00BC6184"/>
    <w:rsid w:val="00BC61C4"/>
    <w:rsid w:val="00BC628A"/>
    <w:rsid w:val="00BC6BD3"/>
    <w:rsid w:val="00BC74EB"/>
    <w:rsid w:val="00BC7661"/>
    <w:rsid w:val="00BC76E4"/>
    <w:rsid w:val="00BC7D53"/>
    <w:rsid w:val="00BD025F"/>
    <w:rsid w:val="00BD0272"/>
    <w:rsid w:val="00BD064A"/>
    <w:rsid w:val="00BD18F2"/>
    <w:rsid w:val="00BD382F"/>
    <w:rsid w:val="00BD3DE1"/>
    <w:rsid w:val="00BD4786"/>
    <w:rsid w:val="00BD4AF4"/>
    <w:rsid w:val="00BD4DC8"/>
    <w:rsid w:val="00BD50C7"/>
    <w:rsid w:val="00BD55ED"/>
    <w:rsid w:val="00BD61D9"/>
    <w:rsid w:val="00BD6242"/>
    <w:rsid w:val="00BD6C33"/>
    <w:rsid w:val="00BD6C8B"/>
    <w:rsid w:val="00BD7E9D"/>
    <w:rsid w:val="00BE0503"/>
    <w:rsid w:val="00BE06A4"/>
    <w:rsid w:val="00BE095B"/>
    <w:rsid w:val="00BE1154"/>
    <w:rsid w:val="00BE163A"/>
    <w:rsid w:val="00BE1CB1"/>
    <w:rsid w:val="00BE1FD3"/>
    <w:rsid w:val="00BE2A1F"/>
    <w:rsid w:val="00BE2A25"/>
    <w:rsid w:val="00BE2AD5"/>
    <w:rsid w:val="00BE2F71"/>
    <w:rsid w:val="00BE3723"/>
    <w:rsid w:val="00BE4F8A"/>
    <w:rsid w:val="00BE5BD1"/>
    <w:rsid w:val="00BE7E18"/>
    <w:rsid w:val="00BF05E4"/>
    <w:rsid w:val="00BF0D15"/>
    <w:rsid w:val="00BF1609"/>
    <w:rsid w:val="00BF1A70"/>
    <w:rsid w:val="00BF2757"/>
    <w:rsid w:val="00BF3389"/>
    <w:rsid w:val="00BF33EA"/>
    <w:rsid w:val="00BF3488"/>
    <w:rsid w:val="00BF349D"/>
    <w:rsid w:val="00BF34F7"/>
    <w:rsid w:val="00BF39D1"/>
    <w:rsid w:val="00BF4805"/>
    <w:rsid w:val="00BF4EE9"/>
    <w:rsid w:val="00BF5014"/>
    <w:rsid w:val="00BF5458"/>
    <w:rsid w:val="00BF5DE6"/>
    <w:rsid w:val="00BF5F00"/>
    <w:rsid w:val="00BF5F88"/>
    <w:rsid w:val="00BF748F"/>
    <w:rsid w:val="00BF7740"/>
    <w:rsid w:val="00C00BBB"/>
    <w:rsid w:val="00C00D7F"/>
    <w:rsid w:val="00C00F22"/>
    <w:rsid w:val="00C01009"/>
    <w:rsid w:val="00C0158C"/>
    <w:rsid w:val="00C01A45"/>
    <w:rsid w:val="00C01DB8"/>
    <w:rsid w:val="00C03E99"/>
    <w:rsid w:val="00C04EDF"/>
    <w:rsid w:val="00C0500B"/>
    <w:rsid w:val="00C052E8"/>
    <w:rsid w:val="00C05560"/>
    <w:rsid w:val="00C060F6"/>
    <w:rsid w:val="00C061A3"/>
    <w:rsid w:val="00C06A5C"/>
    <w:rsid w:val="00C06F99"/>
    <w:rsid w:val="00C07601"/>
    <w:rsid w:val="00C077DC"/>
    <w:rsid w:val="00C10347"/>
    <w:rsid w:val="00C10BE0"/>
    <w:rsid w:val="00C114EA"/>
    <w:rsid w:val="00C11ADD"/>
    <w:rsid w:val="00C11DD1"/>
    <w:rsid w:val="00C1224F"/>
    <w:rsid w:val="00C12B07"/>
    <w:rsid w:val="00C1300F"/>
    <w:rsid w:val="00C13584"/>
    <w:rsid w:val="00C13817"/>
    <w:rsid w:val="00C13C33"/>
    <w:rsid w:val="00C1442F"/>
    <w:rsid w:val="00C14945"/>
    <w:rsid w:val="00C14AE9"/>
    <w:rsid w:val="00C154D7"/>
    <w:rsid w:val="00C15E4B"/>
    <w:rsid w:val="00C160AC"/>
    <w:rsid w:val="00C168BA"/>
    <w:rsid w:val="00C16D83"/>
    <w:rsid w:val="00C16FE1"/>
    <w:rsid w:val="00C1707D"/>
    <w:rsid w:val="00C17E0A"/>
    <w:rsid w:val="00C17E26"/>
    <w:rsid w:val="00C20F4A"/>
    <w:rsid w:val="00C224B1"/>
    <w:rsid w:val="00C22F63"/>
    <w:rsid w:val="00C241DB"/>
    <w:rsid w:val="00C24695"/>
    <w:rsid w:val="00C24712"/>
    <w:rsid w:val="00C25199"/>
    <w:rsid w:val="00C2696D"/>
    <w:rsid w:val="00C26C8F"/>
    <w:rsid w:val="00C3005E"/>
    <w:rsid w:val="00C3018A"/>
    <w:rsid w:val="00C30611"/>
    <w:rsid w:val="00C30D40"/>
    <w:rsid w:val="00C30F20"/>
    <w:rsid w:val="00C310EC"/>
    <w:rsid w:val="00C31195"/>
    <w:rsid w:val="00C314D0"/>
    <w:rsid w:val="00C32AA4"/>
    <w:rsid w:val="00C33239"/>
    <w:rsid w:val="00C33F20"/>
    <w:rsid w:val="00C33F94"/>
    <w:rsid w:val="00C34283"/>
    <w:rsid w:val="00C345A9"/>
    <w:rsid w:val="00C347CD"/>
    <w:rsid w:val="00C35CDB"/>
    <w:rsid w:val="00C36FF9"/>
    <w:rsid w:val="00C376CA"/>
    <w:rsid w:val="00C37E4D"/>
    <w:rsid w:val="00C411C0"/>
    <w:rsid w:val="00C41565"/>
    <w:rsid w:val="00C419EA"/>
    <w:rsid w:val="00C41A2B"/>
    <w:rsid w:val="00C442BB"/>
    <w:rsid w:val="00C44546"/>
    <w:rsid w:val="00C44556"/>
    <w:rsid w:val="00C44E3F"/>
    <w:rsid w:val="00C458D0"/>
    <w:rsid w:val="00C47F1A"/>
    <w:rsid w:val="00C500DE"/>
    <w:rsid w:val="00C502DC"/>
    <w:rsid w:val="00C50C21"/>
    <w:rsid w:val="00C5106F"/>
    <w:rsid w:val="00C518C0"/>
    <w:rsid w:val="00C51980"/>
    <w:rsid w:val="00C51B17"/>
    <w:rsid w:val="00C51F2C"/>
    <w:rsid w:val="00C53CA5"/>
    <w:rsid w:val="00C54066"/>
    <w:rsid w:val="00C542F8"/>
    <w:rsid w:val="00C5436C"/>
    <w:rsid w:val="00C545D6"/>
    <w:rsid w:val="00C55BCB"/>
    <w:rsid w:val="00C56141"/>
    <w:rsid w:val="00C561D8"/>
    <w:rsid w:val="00C56472"/>
    <w:rsid w:val="00C56CDB"/>
    <w:rsid w:val="00C56DFE"/>
    <w:rsid w:val="00C57D43"/>
    <w:rsid w:val="00C57F09"/>
    <w:rsid w:val="00C605D7"/>
    <w:rsid w:val="00C61B85"/>
    <w:rsid w:val="00C633DB"/>
    <w:rsid w:val="00C6410F"/>
    <w:rsid w:val="00C655D3"/>
    <w:rsid w:val="00C66089"/>
    <w:rsid w:val="00C66156"/>
    <w:rsid w:val="00C673FA"/>
    <w:rsid w:val="00C70563"/>
    <w:rsid w:val="00C70699"/>
    <w:rsid w:val="00C73B4D"/>
    <w:rsid w:val="00C73B89"/>
    <w:rsid w:val="00C73C6A"/>
    <w:rsid w:val="00C7547B"/>
    <w:rsid w:val="00C7606E"/>
    <w:rsid w:val="00C7635D"/>
    <w:rsid w:val="00C769BA"/>
    <w:rsid w:val="00C805A0"/>
    <w:rsid w:val="00C825E5"/>
    <w:rsid w:val="00C82F0C"/>
    <w:rsid w:val="00C8385A"/>
    <w:rsid w:val="00C851DC"/>
    <w:rsid w:val="00C85403"/>
    <w:rsid w:val="00C85991"/>
    <w:rsid w:val="00C8633F"/>
    <w:rsid w:val="00C901D0"/>
    <w:rsid w:val="00C90251"/>
    <w:rsid w:val="00C90798"/>
    <w:rsid w:val="00C90E42"/>
    <w:rsid w:val="00C91651"/>
    <w:rsid w:val="00C91BB6"/>
    <w:rsid w:val="00C91C4D"/>
    <w:rsid w:val="00C91CFF"/>
    <w:rsid w:val="00C92278"/>
    <w:rsid w:val="00C93972"/>
    <w:rsid w:val="00C939C8"/>
    <w:rsid w:val="00C950D0"/>
    <w:rsid w:val="00C97BC1"/>
    <w:rsid w:val="00C97C79"/>
    <w:rsid w:val="00C97EC8"/>
    <w:rsid w:val="00CA20B0"/>
    <w:rsid w:val="00CA291C"/>
    <w:rsid w:val="00CA46AC"/>
    <w:rsid w:val="00CA4F4A"/>
    <w:rsid w:val="00CA573C"/>
    <w:rsid w:val="00CA5919"/>
    <w:rsid w:val="00CA5970"/>
    <w:rsid w:val="00CA6298"/>
    <w:rsid w:val="00CA7268"/>
    <w:rsid w:val="00CA7270"/>
    <w:rsid w:val="00CA776B"/>
    <w:rsid w:val="00CA7C20"/>
    <w:rsid w:val="00CB1DC7"/>
    <w:rsid w:val="00CB23B2"/>
    <w:rsid w:val="00CB3775"/>
    <w:rsid w:val="00CB3DED"/>
    <w:rsid w:val="00CB46AE"/>
    <w:rsid w:val="00CB4A48"/>
    <w:rsid w:val="00CB4CCD"/>
    <w:rsid w:val="00CB6CD0"/>
    <w:rsid w:val="00CB6F28"/>
    <w:rsid w:val="00CB7C4D"/>
    <w:rsid w:val="00CB7D50"/>
    <w:rsid w:val="00CC0B4C"/>
    <w:rsid w:val="00CC1523"/>
    <w:rsid w:val="00CC2FE6"/>
    <w:rsid w:val="00CC4192"/>
    <w:rsid w:val="00CC4352"/>
    <w:rsid w:val="00CC5C15"/>
    <w:rsid w:val="00CC5D9B"/>
    <w:rsid w:val="00CC7DB9"/>
    <w:rsid w:val="00CC7F4B"/>
    <w:rsid w:val="00CD0BC7"/>
    <w:rsid w:val="00CD0D22"/>
    <w:rsid w:val="00CD134A"/>
    <w:rsid w:val="00CD164B"/>
    <w:rsid w:val="00CD1DF8"/>
    <w:rsid w:val="00CD20E9"/>
    <w:rsid w:val="00CD2238"/>
    <w:rsid w:val="00CD3E28"/>
    <w:rsid w:val="00CD402C"/>
    <w:rsid w:val="00CD4D52"/>
    <w:rsid w:val="00CD4E3E"/>
    <w:rsid w:val="00CD511E"/>
    <w:rsid w:val="00CD5DE1"/>
    <w:rsid w:val="00CD6E9E"/>
    <w:rsid w:val="00CD6F88"/>
    <w:rsid w:val="00CD723F"/>
    <w:rsid w:val="00CD7A06"/>
    <w:rsid w:val="00CE0553"/>
    <w:rsid w:val="00CE072B"/>
    <w:rsid w:val="00CE07D6"/>
    <w:rsid w:val="00CE0BB4"/>
    <w:rsid w:val="00CE1A6A"/>
    <w:rsid w:val="00CE1CC8"/>
    <w:rsid w:val="00CE2DB6"/>
    <w:rsid w:val="00CE2E0C"/>
    <w:rsid w:val="00CE513F"/>
    <w:rsid w:val="00CE5DA5"/>
    <w:rsid w:val="00CE69ED"/>
    <w:rsid w:val="00CE747A"/>
    <w:rsid w:val="00CE7875"/>
    <w:rsid w:val="00CE79D9"/>
    <w:rsid w:val="00CF05B0"/>
    <w:rsid w:val="00CF0EE8"/>
    <w:rsid w:val="00CF12B5"/>
    <w:rsid w:val="00CF187E"/>
    <w:rsid w:val="00CF1AFB"/>
    <w:rsid w:val="00CF1CA8"/>
    <w:rsid w:val="00CF1EB9"/>
    <w:rsid w:val="00CF26CA"/>
    <w:rsid w:val="00CF2B92"/>
    <w:rsid w:val="00CF3E36"/>
    <w:rsid w:val="00CF48F5"/>
    <w:rsid w:val="00CF4D6F"/>
    <w:rsid w:val="00CF4F3F"/>
    <w:rsid w:val="00CF5AC5"/>
    <w:rsid w:val="00CF5F9D"/>
    <w:rsid w:val="00CF6150"/>
    <w:rsid w:val="00CF628D"/>
    <w:rsid w:val="00CF655E"/>
    <w:rsid w:val="00D00465"/>
    <w:rsid w:val="00D0052C"/>
    <w:rsid w:val="00D00993"/>
    <w:rsid w:val="00D00B2B"/>
    <w:rsid w:val="00D011B0"/>
    <w:rsid w:val="00D01643"/>
    <w:rsid w:val="00D017B1"/>
    <w:rsid w:val="00D021EB"/>
    <w:rsid w:val="00D02356"/>
    <w:rsid w:val="00D02BCB"/>
    <w:rsid w:val="00D02D04"/>
    <w:rsid w:val="00D02D95"/>
    <w:rsid w:val="00D03202"/>
    <w:rsid w:val="00D036EB"/>
    <w:rsid w:val="00D03F68"/>
    <w:rsid w:val="00D05512"/>
    <w:rsid w:val="00D060D7"/>
    <w:rsid w:val="00D107DF"/>
    <w:rsid w:val="00D109B6"/>
    <w:rsid w:val="00D1180B"/>
    <w:rsid w:val="00D11BE2"/>
    <w:rsid w:val="00D11CF5"/>
    <w:rsid w:val="00D12054"/>
    <w:rsid w:val="00D12A8B"/>
    <w:rsid w:val="00D136AD"/>
    <w:rsid w:val="00D137EF"/>
    <w:rsid w:val="00D14E72"/>
    <w:rsid w:val="00D15ED0"/>
    <w:rsid w:val="00D16E80"/>
    <w:rsid w:val="00D1731E"/>
    <w:rsid w:val="00D17362"/>
    <w:rsid w:val="00D17DE2"/>
    <w:rsid w:val="00D204F9"/>
    <w:rsid w:val="00D20588"/>
    <w:rsid w:val="00D20622"/>
    <w:rsid w:val="00D21311"/>
    <w:rsid w:val="00D22853"/>
    <w:rsid w:val="00D22AB1"/>
    <w:rsid w:val="00D22CBD"/>
    <w:rsid w:val="00D2318F"/>
    <w:rsid w:val="00D238D0"/>
    <w:rsid w:val="00D23D60"/>
    <w:rsid w:val="00D2469A"/>
    <w:rsid w:val="00D252D1"/>
    <w:rsid w:val="00D253A5"/>
    <w:rsid w:val="00D26486"/>
    <w:rsid w:val="00D26A1A"/>
    <w:rsid w:val="00D26BAA"/>
    <w:rsid w:val="00D276FA"/>
    <w:rsid w:val="00D278D8"/>
    <w:rsid w:val="00D3060D"/>
    <w:rsid w:val="00D30695"/>
    <w:rsid w:val="00D30921"/>
    <w:rsid w:val="00D309DC"/>
    <w:rsid w:val="00D31435"/>
    <w:rsid w:val="00D32112"/>
    <w:rsid w:val="00D32E37"/>
    <w:rsid w:val="00D32FE9"/>
    <w:rsid w:val="00D33211"/>
    <w:rsid w:val="00D338B7"/>
    <w:rsid w:val="00D33A91"/>
    <w:rsid w:val="00D33C18"/>
    <w:rsid w:val="00D34B27"/>
    <w:rsid w:val="00D34F09"/>
    <w:rsid w:val="00D3632F"/>
    <w:rsid w:val="00D36EF9"/>
    <w:rsid w:val="00D378D6"/>
    <w:rsid w:val="00D379C6"/>
    <w:rsid w:val="00D379E1"/>
    <w:rsid w:val="00D37A0E"/>
    <w:rsid w:val="00D37F68"/>
    <w:rsid w:val="00D4018B"/>
    <w:rsid w:val="00D40586"/>
    <w:rsid w:val="00D4076E"/>
    <w:rsid w:val="00D407E1"/>
    <w:rsid w:val="00D41F20"/>
    <w:rsid w:val="00D42930"/>
    <w:rsid w:val="00D42AC0"/>
    <w:rsid w:val="00D438FF"/>
    <w:rsid w:val="00D43BC0"/>
    <w:rsid w:val="00D43D3D"/>
    <w:rsid w:val="00D45024"/>
    <w:rsid w:val="00D452DA"/>
    <w:rsid w:val="00D46540"/>
    <w:rsid w:val="00D46C07"/>
    <w:rsid w:val="00D50439"/>
    <w:rsid w:val="00D50592"/>
    <w:rsid w:val="00D50B4C"/>
    <w:rsid w:val="00D51F36"/>
    <w:rsid w:val="00D52BCA"/>
    <w:rsid w:val="00D53813"/>
    <w:rsid w:val="00D53CE7"/>
    <w:rsid w:val="00D54369"/>
    <w:rsid w:val="00D54460"/>
    <w:rsid w:val="00D551FA"/>
    <w:rsid w:val="00D55383"/>
    <w:rsid w:val="00D56979"/>
    <w:rsid w:val="00D60354"/>
    <w:rsid w:val="00D607C9"/>
    <w:rsid w:val="00D60BCB"/>
    <w:rsid w:val="00D614D0"/>
    <w:rsid w:val="00D61B6A"/>
    <w:rsid w:val="00D61F96"/>
    <w:rsid w:val="00D62050"/>
    <w:rsid w:val="00D62118"/>
    <w:rsid w:val="00D63D83"/>
    <w:rsid w:val="00D648BF"/>
    <w:rsid w:val="00D64BC0"/>
    <w:rsid w:val="00D65033"/>
    <w:rsid w:val="00D652E0"/>
    <w:rsid w:val="00D65AC1"/>
    <w:rsid w:val="00D66D48"/>
    <w:rsid w:val="00D66EB2"/>
    <w:rsid w:val="00D67F3E"/>
    <w:rsid w:val="00D71AC9"/>
    <w:rsid w:val="00D71AF7"/>
    <w:rsid w:val="00D722D9"/>
    <w:rsid w:val="00D729EA"/>
    <w:rsid w:val="00D7302C"/>
    <w:rsid w:val="00D7344E"/>
    <w:rsid w:val="00D73700"/>
    <w:rsid w:val="00D738A1"/>
    <w:rsid w:val="00D73A7A"/>
    <w:rsid w:val="00D74277"/>
    <w:rsid w:val="00D74947"/>
    <w:rsid w:val="00D755BC"/>
    <w:rsid w:val="00D7574D"/>
    <w:rsid w:val="00D75C48"/>
    <w:rsid w:val="00D766A4"/>
    <w:rsid w:val="00D77454"/>
    <w:rsid w:val="00D776D2"/>
    <w:rsid w:val="00D80A87"/>
    <w:rsid w:val="00D80C2A"/>
    <w:rsid w:val="00D817E3"/>
    <w:rsid w:val="00D819C7"/>
    <w:rsid w:val="00D82FBB"/>
    <w:rsid w:val="00D83557"/>
    <w:rsid w:val="00D83A6D"/>
    <w:rsid w:val="00D8473E"/>
    <w:rsid w:val="00D851A0"/>
    <w:rsid w:val="00D855B1"/>
    <w:rsid w:val="00D85687"/>
    <w:rsid w:val="00D878E9"/>
    <w:rsid w:val="00D879F5"/>
    <w:rsid w:val="00D904AF"/>
    <w:rsid w:val="00D90C1B"/>
    <w:rsid w:val="00D9100D"/>
    <w:rsid w:val="00D9170F"/>
    <w:rsid w:val="00D91BAB"/>
    <w:rsid w:val="00D91F93"/>
    <w:rsid w:val="00D92478"/>
    <w:rsid w:val="00D92E9C"/>
    <w:rsid w:val="00D932ED"/>
    <w:rsid w:val="00D933D5"/>
    <w:rsid w:val="00D939ED"/>
    <w:rsid w:val="00D95110"/>
    <w:rsid w:val="00D9699E"/>
    <w:rsid w:val="00D97276"/>
    <w:rsid w:val="00D97457"/>
    <w:rsid w:val="00DA0144"/>
    <w:rsid w:val="00DA1341"/>
    <w:rsid w:val="00DA1385"/>
    <w:rsid w:val="00DA140E"/>
    <w:rsid w:val="00DA239F"/>
    <w:rsid w:val="00DA2FF5"/>
    <w:rsid w:val="00DA308C"/>
    <w:rsid w:val="00DA3492"/>
    <w:rsid w:val="00DA433B"/>
    <w:rsid w:val="00DA449F"/>
    <w:rsid w:val="00DA4ED7"/>
    <w:rsid w:val="00DA6BAF"/>
    <w:rsid w:val="00DB2164"/>
    <w:rsid w:val="00DB2EC3"/>
    <w:rsid w:val="00DB3C2B"/>
    <w:rsid w:val="00DB3DFD"/>
    <w:rsid w:val="00DB42BC"/>
    <w:rsid w:val="00DB4F70"/>
    <w:rsid w:val="00DB57B3"/>
    <w:rsid w:val="00DB69AE"/>
    <w:rsid w:val="00DB6CA6"/>
    <w:rsid w:val="00DB6DAF"/>
    <w:rsid w:val="00DB6F5E"/>
    <w:rsid w:val="00DB700C"/>
    <w:rsid w:val="00DB771F"/>
    <w:rsid w:val="00DB77A2"/>
    <w:rsid w:val="00DB7F49"/>
    <w:rsid w:val="00DC058B"/>
    <w:rsid w:val="00DC0A27"/>
    <w:rsid w:val="00DC0ECB"/>
    <w:rsid w:val="00DC1383"/>
    <w:rsid w:val="00DC1397"/>
    <w:rsid w:val="00DC356E"/>
    <w:rsid w:val="00DC3C2D"/>
    <w:rsid w:val="00DC4BE9"/>
    <w:rsid w:val="00DC5087"/>
    <w:rsid w:val="00DC5210"/>
    <w:rsid w:val="00DC59B6"/>
    <w:rsid w:val="00DC5C22"/>
    <w:rsid w:val="00DC5FFF"/>
    <w:rsid w:val="00DC66B9"/>
    <w:rsid w:val="00DC74A2"/>
    <w:rsid w:val="00DC7A47"/>
    <w:rsid w:val="00DD0368"/>
    <w:rsid w:val="00DD349F"/>
    <w:rsid w:val="00DD3D3A"/>
    <w:rsid w:val="00DD4039"/>
    <w:rsid w:val="00DD40BF"/>
    <w:rsid w:val="00DD4840"/>
    <w:rsid w:val="00DD4D00"/>
    <w:rsid w:val="00DD541B"/>
    <w:rsid w:val="00DD58C9"/>
    <w:rsid w:val="00DD5BE8"/>
    <w:rsid w:val="00DD5EC3"/>
    <w:rsid w:val="00DD6515"/>
    <w:rsid w:val="00DD7147"/>
    <w:rsid w:val="00DD72B8"/>
    <w:rsid w:val="00DD72D8"/>
    <w:rsid w:val="00DE005A"/>
    <w:rsid w:val="00DE0AE4"/>
    <w:rsid w:val="00DE0DBF"/>
    <w:rsid w:val="00DE1562"/>
    <w:rsid w:val="00DE1B9C"/>
    <w:rsid w:val="00DE22CE"/>
    <w:rsid w:val="00DE23A2"/>
    <w:rsid w:val="00DE49B2"/>
    <w:rsid w:val="00DE4FF1"/>
    <w:rsid w:val="00DE5601"/>
    <w:rsid w:val="00DE6821"/>
    <w:rsid w:val="00DF055A"/>
    <w:rsid w:val="00DF05F8"/>
    <w:rsid w:val="00DF0FD6"/>
    <w:rsid w:val="00DF12CD"/>
    <w:rsid w:val="00DF2084"/>
    <w:rsid w:val="00DF2F88"/>
    <w:rsid w:val="00DF4669"/>
    <w:rsid w:val="00DF4D25"/>
    <w:rsid w:val="00DF53FB"/>
    <w:rsid w:val="00DF548E"/>
    <w:rsid w:val="00DF604D"/>
    <w:rsid w:val="00DF6E13"/>
    <w:rsid w:val="00DF7346"/>
    <w:rsid w:val="00DF7CDA"/>
    <w:rsid w:val="00E0078C"/>
    <w:rsid w:val="00E00FBD"/>
    <w:rsid w:val="00E01383"/>
    <w:rsid w:val="00E02438"/>
    <w:rsid w:val="00E03063"/>
    <w:rsid w:val="00E037A7"/>
    <w:rsid w:val="00E03A60"/>
    <w:rsid w:val="00E03BF2"/>
    <w:rsid w:val="00E043E5"/>
    <w:rsid w:val="00E0489C"/>
    <w:rsid w:val="00E059EE"/>
    <w:rsid w:val="00E0651F"/>
    <w:rsid w:val="00E07476"/>
    <w:rsid w:val="00E07F92"/>
    <w:rsid w:val="00E10B84"/>
    <w:rsid w:val="00E10C62"/>
    <w:rsid w:val="00E1223E"/>
    <w:rsid w:val="00E122DF"/>
    <w:rsid w:val="00E12C72"/>
    <w:rsid w:val="00E13099"/>
    <w:rsid w:val="00E13BFA"/>
    <w:rsid w:val="00E14A03"/>
    <w:rsid w:val="00E156F0"/>
    <w:rsid w:val="00E1619B"/>
    <w:rsid w:val="00E1748B"/>
    <w:rsid w:val="00E17AEE"/>
    <w:rsid w:val="00E17D01"/>
    <w:rsid w:val="00E20787"/>
    <w:rsid w:val="00E22D9E"/>
    <w:rsid w:val="00E24177"/>
    <w:rsid w:val="00E24E4E"/>
    <w:rsid w:val="00E25436"/>
    <w:rsid w:val="00E255F2"/>
    <w:rsid w:val="00E25C6A"/>
    <w:rsid w:val="00E26148"/>
    <w:rsid w:val="00E268DB"/>
    <w:rsid w:val="00E26CCF"/>
    <w:rsid w:val="00E26E42"/>
    <w:rsid w:val="00E275B8"/>
    <w:rsid w:val="00E27C5F"/>
    <w:rsid w:val="00E31759"/>
    <w:rsid w:val="00E31D4E"/>
    <w:rsid w:val="00E32511"/>
    <w:rsid w:val="00E3297E"/>
    <w:rsid w:val="00E331A8"/>
    <w:rsid w:val="00E34558"/>
    <w:rsid w:val="00E34C34"/>
    <w:rsid w:val="00E34E57"/>
    <w:rsid w:val="00E35B1E"/>
    <w:rsid w:val="00E35D77"/>
    <w:rsid w:val="00E35E25"/>
    <w:rsid w:val="00E36237"/>
    <w:rsid w:val="00E36409"/>
    <w:rsid w:val="00E3710E"/>
    <w:rsid w:val="00E3711E"/>
    <w:rsid w:val="00E37528"/>
    <w:rsid w:val="00E379A2"/>
    <w:rsid w:val="00E41137"/>
    <w:rsid w:val="00E4173A"/>
    <w:rsid w:val="00E420AF"/>
    <w:rsid w:val="00E421C7"/>
    <w:rsid w:val="00E42A1C"/>
    <w:rsid w:val="00E43082"/>
    <w:rsid w:val="00E43383"/>
    <w:rsid w:val="00E43902"/>
    <w:rsid w:val="00E440FE"/>
    <w:rsid w:val="00E449C3"/>
    <w:rsid w:val="00E45EFD"/>
    <w:rsid w:val="00E45F8D"/>
    <w:rsid w:val="00E4607A"/>
    <w:rsid w:val="00E47972"/>
    <w:rsid w:val="00E47C10"/>
    <w:rsid w:val="00E518AD"/>
    <w:rsid w:val="00E5343C"/>
    <w:rsid w:val="00E544A1"/>
    <w:rsid w:val="00E548BE"/>
    <w:rsid w:val="00E55E8C"/>
    <w:rsid w:val="00E56A14"/>
    <w:rsid w:val="00E5733C"/>
    <w:rsid w:val="00E616C2"/>
    <w:rsid w:val="00E62A5A"/>
    <w:rsid w:val="00E62F83"/>
    <w:rsid w:val="00E6348B"/>
    <w:rsid w:val="00E64925"/>
    <w:rsid w:val="00E64DAE"/>
    <w:rsid w:val="00E6526B"/>
    <w:rsid w:val="00E65B5A"/>
    <w:rsid w:val="00E65CD4"/>
    <w:rsid w:val="00E66EB4"/>
    <w:rsid w:val="00E706F1"/>
    <w:rsid w:val="00E7075B"/>
    <w:rsid w:val="00E70B34"/>
    <w:rsid w:val="00E70B6D"/>
    <w:rsid w:val="00E71042"/>
    <w:rsid w:val="00E725C8"/>
    <w:rsid w:val="00E72D55"/>
    <w:rsid w:val="00E72FB3"/>
    <w:rsid w:val="00E73CA5"/>
    <w:rsid w:val="00E745C5"/>
    <w:rsid w:val="00E74766"/>
    <w:rsid w:val="00E758BB"/>
    <w:rsid w:val="00E764A2"/>
    <w:rsid w:val="00E765F9"/>
    <w:rsid w:val="00E77574"/>
    <w:rsid w:val="00E7794D"/>
    <w:rsid w:val="00E77BA0"/>
    <w:rsid w:val="00E77C1B"/>
    <w:rsid w:val="00E77EB3"/>
    <w:rsid w:val="00E8107F"/>
    <w:rsid w:val="00E812C6"/>
    <w:rsid w:val="00E81703"/>
    <w:rsid w:val="00E829BB"/>
    <w:rsid w:val="00E82A09"/>
    <w:rsid w:val="00E82E7C"/>
    <w:rsid w:val="00E83020"/>
    <w:rsid w:val="00E841DF"/>
    <w:rsid w:val="00E84FDF"/>
    <w:rsid w:val="00E85A88"/>
    <w:rsid w:val="00E85B33"/>
    <w:rsid w:val="00E867CD"/>
    <w:rsid w:val="00E86887"/>
    <w:rsid w:val="00E86C86"/>
    <w:rsid w:val="00E86E20"/>
    <w:rsid w:val="00E873DF"/>
    <w:rsid w:val="00E9205E"/>
    <w:rsid w:val="00E926E5"/>
    <w:rsid w:val="00E9279B"/>
    <w:rsid w:val="00E92D08"/>
    <w:rsid w:val="00E92E7B"/>
    <w:rsid w:val="00E93357"/>
    <w:rsid w:val="00E937CD"/>
    <w:rsid w:val="00E93D69"/>
    <w:rsid w:val="00E93D91"/>
    <w:rsid w:val="00E97CD8"/>
    <w:rsid w:val="00E97EBD"/>
    <w:rsid w:val="00EA0055"/>
    <w:rsid w:val="00EA0AA6"/>
    <w:rsid w:val="00EA0EC9"/>
    <w:rsid w:val="00EA3F81"/>
    <w:rsid w:val="00EA4B2A"/>
    <w:rsid w:val="00EA5021"/>
    <w:rsid w:val="00EA5112"/>
    <w:rsid w:val="00EA6875"/>
    <w:rsid w:val="00EA7D60"/>
    <w:rsid w:val="00EB0ECC"/>
    <w:rsid w:val="00EB11EA"/>
    <w:rsid w:val="00EB1EBA"/>
    <w:rsid w:val="00EB2282"/>
    <w:rsid w:val="00EB22E6"/>
    <w:rsid w:val="00EB3367"/>
    <w:rsid w:val="00EB344C"/>
    <w:rsid w:val="00EB3E17"/>
    <w:rsid w:val="00EB4140"/>
    <w:rsid w:val="00EB483E"/>
    <w:rsid w:val="00EB4BC0"/>
    <w:rsid w:val="00EB5C0C"/>
    <w:rsid w:val="00EB6689"/>
    <w:rsid w:val="00EB72C7"/>
    <w:rsid w:val="00EB773D"/>
    <w:rsid w:val="00EB7AFF"/>
    <w:rsid w:val="00EC043D"/>
    <w:rsid w:val="00EC07F1"/>
    <w:rsid w:val="00EC0C95"/>
    <w:rsid w:val="00EC0E97"/>
    <w:rsid w:val="00EC0F49"/>
    <w:rsid w:val="00EC144C"/>
    <w:rsid w:val="00EC3598"/>
    <w:rsid w:val="00EC3905"/>
    <w:rsid w:val="00EC3A03"/>
    <w:rsid w:val="00EC3CA2"/>
    <w:rsid w:val="00EC4647"/>
    <w:rsid w:val="00EC55E3"/>
    <w:rsid w:val="00EC5D33"/>
    <w:rsid w:val="00EC699F"/>
    <w:rsid w:val="00EC6C18"/>
    <w:rsid w:val="00EC73C8"/>
    <w:rsid w:val="00ED0387"/>
    <w:rsid w:val="00ED0B56"/>
    <w:rsid w:val="00ED29B6"/>
    <w:rsid w:val="00ED3118"/>
    <w:rsid w:val="00ED316A"/>
    <w:rsid w:val="00ED406A"/>
    <w:rsid w:val="00ED4E2C"/>
    <w:rsid w:val="00ED5817"/>
    <w:rsid w:val="00ED5B91"/>
    <w:rsid w:val="00ED5CBE"/>
    <w:rsid w:val="00ED5E80"/>
    <w:rsid w:val="00ED6663"/>
    <w:rsid w:val="00ED694D"/>
    <w:rsid w:val="00ED6AD3"/>
    <w:rsid w:val="00ED7299"/>
    <w:rsid w:val="00ED7CE4"/>
    <w:rsid w:val="00EE029A"/>
    <w:rsid w:val="00EE0599"/>
    <w:rsid w:val="00EE06BD"/>
    <w:rsid w:val="00EE0767"/>
    <w:rsid w:val="00EE09D1"/>
    <w:rsid w:val="00EE10C0"/>
    <w:rsid w:val="00EE123D"/>
    <w:rsid w:val="00EE19A1"/>
    <w:rsid w:val="00EE1BB6"/>
    <w:rsid w:val="00EE1E4E"/>
    <w:rsid w:val="00EE2BD1"/>
    <w:rsid w:val="00EE2BDD"/>
    <w:rsid w:val="00EE3058"/>
    <w:rsid w:val="00EE3391"/>
    <w:rsid w:val="00EE5349"/>
    <w:rsid w:val="00EE699E"/>
    <w:rsid w:val="00EF17F1"/>
    <w:rsid w:val="00EF227B"/>
    <w:rsid w:val="00EF2A15"/>
    <w:rsid w:val="00EF2DC5"/>
    <w:rsid w:val="00EF2E16"/>
    <w:rsid w:val="00EF2FE9"/>
    <w:rsid w:val="00EF31DE"/>
    <w:rsid w:val="00EF4898"/>
    <w:rsid w:val="00EF5504"/>
    <w:rsid w:val="00EF6DFD"/>
    <w:rsid w:val="00EF742D"/>
    <w:rsid w:val="00EF7D7C"/>
    <w:rsid w:val="00F00146"/>
    <w:rsid w:val="00F01293"/>
    <w:rsid w:val="00F01838"/>
    <w:rsid w:val="00F02725"/>
    <w:rsid w:val="00F02BBE"/>
    <w:rsid w:val="00F02C26"/>
    <w:rsid w:val="00F036BA"/>
    <w:rsid w:val="00F03C74"/>
    <w:rsid w:val="00F03F91"/>
    <w:rsid w:val="00F04A7A"/>
    <w:rsid w:val="00F0551E"/>
    <w:rsid w:val="00F05C4D"/>
    <w:rsid w:val="00F05DC5"/>
    <w:rsid w:val="00F05EB8"/>
    <w:rsid w:val="00F06C20"/>
    <w:rsid w:val="00F06EA5"/>
    <w:rsid w:val="00F1016E"/>
    <w:rsid w:val="00F107FA"/>
    <w:rsid w:val="00F10F70"/>
    <w:rsid w:val="00F12C4A"/>
    <w:rsid w:val="00F12D12"/>
    <w:rsid w:val="00F14B7D"/>
    <w:rsid w:val="00F15C9D"/>
    <w:rsid w:val="00F16153"/>
    <w:rsid w:val="00F16AAE"/>
    <w:rsid w:val="00F16EF4"/>
    <w:rsid w:val="00F17014"/>
    <w:rsid w:val="00F21194"/>
    <w:rsid w:val="00F21F04"/>
    <w:rsid w:val="00F22685"/>
    <w:rsid w:val="00F22F24"/>
    <w:rsid w:val="00F22FDB"/>
    <w:rsid w:val="00F241E3"/>
    <w:rsid w:val="00F248B0"/>
    <w:rsid w:val="00F2556E"/>
    <w:rsid w:val="00F25B5A"/>
    <w:rsid w:val="00F25C5D"/>
    <w:rsid w:val="00F267BF"/>
    <w:rsid w:val="00F26D9A"/>
    <w:rsid w:val="00F2769F"/>
    <w:rsid w:val="00F27781"/>
    <w:rsid w:val="00F27941"/>
    <w:rsid w:val="00F27F95"/>
    <w:rsid w:val="00F31955"/>
    <w:rsid w:val="00F329CC"/>
    <w:rsid w:val="00F334BF"/>
    <w:rsid w:val="00F3382F"/>
    <w:rsid w:val="00F340A6"/>
    <w:rsid w:val="00F34D29"/>
    <w:rsid w:val="00F35E95"/>
    <w:rsid w:val="00F3683A"/>
    <w:rsid w:val="00F36945"/>
    <w:rsid w:val="00F36F4E"/>
    <w:rsid w:val="00F37ED8"/>
    <w:rsid w:val="00F40253"/>
    <w:rsid w:val="00F40796"/>
    <w:rsid w:val="00F40A0F"/>
    <w:rsid w:val="00F40AB2"/>
    <w:rsid w:val="00F416A1"/>
    <w:rsid w:val="00F42D68"/>
    <w:rsid w:val="00F43A80"/>
    <w:rsid w:val="00F43F22"/>
    <w:rsid w:val="00F445F7"/>
    <w:rsid w:val="00F46176"/>
    <w:rsid w:val="00F46210"/>
    <w:rsid w:val="00F46798"/>
    <w:rsid w:val="00F47AE1"/>
    <w:rsid w:val="00F47EA2"/>
    <w:rsid w:val="00F51853"/>
    <w:rsid w:val="00F5299D"/>
    <w:rsid w:val="00F5301E"/>
    <w:rsid w:val="00F5304E"/>
    <w:rsid w:val="00F5339F"/>
    <w:rsid w:val="00F537F8"/>
    <w:rsid w:val="00F53CA5"/>
    <w:rsid w:val="00F5458E"/>
    <w:rsid w:val="00F54C71"/>
    <w:rsid w:val="00F5517D"/>
    <w:rsid w:val="00F559D2"/>
    <w:rsid w:val="00F56458"/>
    <w:rsid w:val="00F5675F"/>
    <w:rsid w:val="00F56BF2"/>
    <w:rsid w:val="00F56DE7"/>
    <w:rsid w:val="00F56ED6"/>
    <w:rsid w:val="00F57068"/>
    <w:rsid w:val="00F57286"/>
    <w:rsid w:val="00F57659"/>
    <w:rsid w:val="00F61B71"/>
    <w:rsid w:val="00F6214E"/>
    <w:rsid w:val="00F63511"/>
    <w:rsid w:val="00F6351C"/>
    <w:rsid w:val="00F675BF"/>
    <w:rsid w:val="00F67E9E"/>
    <w:rsid w:val="00F70A91"/>
    <w:rsid w:val="00F70AF3"/>
    <w:rsid w:val="00F70E39"/>
    <w:rsid w:val="00F70FA6"/>
    <w:rsid w:val="00F712D8"/>
    <w:rsid w:val="00F713DA"/>
    <w:rsid w:val="00F71690"/>
    <w:rsid w:val="00F71801"/>
    <w:rsid w:val="00F731AD"/>
    <w:rsid w:val="00F7416F"/>
    <w:rsid w:val="00F74F1A"/>
    <w:rsid w:val="00F7510F"/>
    <w:rsid w:val="00F75142"/>
    <w:rsid w:val="00F75501"/>
    <w:rsid w:val="00F76769"/>
    <w:rsid w:val="00F76B6A"/>
    <w:rsid w:val="00F76E46"/>
    <w:rsid w:val="00F778F3"/>
    <w:rsid w:val="00F77EF1"/>
    <w:rsid w:val="00F8033A"/>
    <w:rsid w:val="00F804B2"/>
    <w:rsid w:val="00F807B1"/>
    <w:rsid w:val="00F820C8"/>
    <w:rsid w:val="00F824A5"/>
    <w:rsid w:val="00F825A0"/>
    <w:rsid w:val="00F83105"/>
    <w:rsid w:val="00F83941"/>
    <w:rsid w:val="00F83CBF"/>
    <w:rsid w:val="00F85C3D"/>
    <w:rsid w:val="00F8796C"/>
    <w:rsid w:val="00F90CB0"/>
    <w:rsid w:val="00F90CB3"/>
    <w:rsid w:val="00F92496"/>
    <w:rsid w:val="00F927DA"/>
    <w:rsid w:val="00F92843"/>
    <w:rsid w:val="00F93508"/>
    <w:rsid w:val="00F93D7F"/>
    <w:rsid w:val="00F94835"/>
    <w:rsid w:val="00F94C88"/>
    <w:rsid w:val="00F94E59"/>
    <w:rsid w:val="00F95318"/>
    <w:rsid w:val="00F953B0"/>
    <w:rsid w:val="00F95861"/>
    <w:rsid w:val="00F95AC4"/>
    <w:rsid w:val="00F9740D"/>
    <w:rsid w:val="00F976C2"/>
    <w:rsid w:val="00FA0B16"/>
    <w:rsid w:val="00FA1D1B"/>
    <w:rsid w:val="00FA298B"/>
    <w:rsid w:val="00FA3238"/>
    <w:rsid w:val="00FA342D"/>
    <w:rsid w:val="00FA34DE"/>
    <w:rsid w:val="00FA4075"/>
    <w:rsid w:val="00FA4925"/>
    <w:rsid w:val="00FA4B06"/>
    <w:rsid w:val="00FA5877"/>
    <w:rsid w:val="00FB00E4"/>
    <w:rsid w:val="00FB1680"/>
    <w:rsid w:val="00FB21D8"/>
    <w:rsid w:val="00FB2B18"/>
    <w:rsid w:val="00FB2BA3"/>
    <w:rsid w:val="00FB2C09"/>
    <w:rsid w:val="00FB385A"/>
    <w:rsid w:val="00FB4381"/>
    <w:rsid w:val="00FB4D72"/>
    <w:rsid w:val="00FB5019"/>
    <w:rsid w:val="00FB5685"/>
    <w:rsid w:val="00FB5D13"/>
    <w:rsid w:val="00FB6CBC"/>
    <w:rsid w:val="00FB73CB"/>
    <w:rsid w:val="00FB7589"/>
    <w:rsid w:val="00FC0226"/>
    <w:rsid w:val="00FC08A3"/>
    <w:rsid w:val="00FC0F9F"/>
    <w:rsid w:val="00FC160E"/>
    <w:rsid w:val="00FC1A65"/>
    <w:rsid w:val="00FC266D"/>
    <w:rsid w:val="00FC288D"/>
    <w:rsid w:val="00FC2DC1"/>
    <w:rsid w:val="00FC33C1"/>
    <w:rsid w:val="00FC3C70"/>
    <w:rsid w:val="00FC3D21"/>
    <w:rsid w:val="00FC5BE3"/>
    <w:rsid w:val="00FC62FD"/>
    <w:rsid w:val="00FC6C44"/>
    <w:rsid w:val="00FC7E88"/>
    <w:rsid w:val="00FC7F34"/>
    <w:rsid w:val="00FD0019"/>
    <w:rsid w:val="00FD1137"/>
    <w:rsid w:val="00FD1384"/>
    <w:rsid w:val="00FD19F7"/>
    <w:rsid w:val="00FD1E9A"/>
    <w:rsid w:val="00FD2BF6"/>
    <w:rsid w:val="00FD2DD8"/>
    <w:rsid w:val="00FD381F"/>
    <w:rsid w:val="00FD3F97"/>
    <w:rsid w:val="00FD485E"/>
    <w:rsid w:val="00FD5304"/>
    <w:rsid w:val="00FD6AE8"/>
    <w:rsid w:val="00FD7459"/>
    <w:rsid w:val="00FD7D70"/>
    <w:rsid w:val="00FE09F2"/>
    <w:rsid w:val="00FE0CE8"/>
    <w:rsid w:val="00FE1272"/>
    <w:rsid w:val="00FE2517"/>
    <w:rsid w:val="00FE2655"/>
    <w:rsid w:val="00FE2BE7"/>
    <w:rsid w:val="00FE31FC"/>
    <w:rsid w:val="00FE3A5F"/>
    <w:rsid w:val="00FE53C8"/>
    <w:rsid w:val="00FE57BE"/>
    <w:rsid w:val="00FE6960"/>
    <w:rsid w:val="00FF0176"/>
    <w:rsid w:val="00FF0C1F"/>
    <w:rsid w:val="00FF15B4"/>
    <w:rsid w:val="00FF181A"/>
    <w:rsid w:val="00FF1FD2"/>
    <w:rsid w:val="00FF2019"/>
    <w:rsid w:val="00FF242E"/>
    <w:rsid w:val="00FF268F"/>
    <w:rsid w:val="00FF2A21"/>
    <w:rsid w:val="00FF2EE4"/>
    <w:rsid w:val="00FF34BC"/>
    <w:rsid w:val="00FF54F8"/>
    <w:rsid w:val="00FF6994"/>
    <w:rsid w:val="0101600F"/>
    <w:rsid w:val="023D471D"/>
    <w:rsid w:val="025C49EE"/>
    <w:rsid w:val="043570E3"/>
    <w:rsid w:val="047E3006"/>
    <w:rsid w:val="04D316C9"/>
    <w:rsid w:val="05151950"/>
    <w:rsid w:val="05330914"/>
    <w:rsid w:val="0749719D"/>
    <w:rsid w:val="07EF0236"/>
    <w:rsid w:val="099E3CC2"/>
    <w:rsid w:val="09F35B14"/>
    <w:rsid w:val="0A310FDA"/>
    <w:rsid w:val="0A3603E3"/>
    <w:rsid w:val="0B8C2ED6"/>
    <w:rsid w:val="0BE7084D"/>
    <w:rsid w:val="0BFB24CA"/>
    <w:rsid w:val="0C2C1A40"/>
    <w:rsid w:val="0E89124A"/>
    <w:rsid w:val="1034053F"/>
    <w:rsid w:val="103B6CA0"/>
    <w:rsid w:val="11CC15E8"/>
    <w:rsid w:val="12312651"/>
    <w:rsid w:val="12E93F3E"/>
    <w:rsid w:val="12ED25FC"/>
    <w:rsid w:val="12ED5625"/>
    <w:rsid w:val="131B2827"/>
    <w:rsid w:val="132152F6"/>
    <w:rsid w:val="13E85E3E"/>
    <w:rsid w:val="15A5419D"/>
    <w:rsid w:val="15BC3852"/>
    <w:rsid w:val="16E53901"/>
    <w:rsid w:val="17327E28"/>
    <w:rsid w:val="17895B2C"/>
    <w:rsid w:val="17D82A95"/>
    <w:rsid w:val="18285F1D"/>
    <w:rsid w:val="183C1DD9"/>
    <w:rsid w:val="18725B6E"/>
    <w:rsid w:val="18F11606"/>
    <w:rsid w:val="190E40C6"/>
    <w:rsid w:val="19156B47"/>
    <w:rsid w:val="19E53CC1"/>
    <w:rsid w:val="1A820675"/>
    <w:rsid w:val="1B057F61"/>
    <w:rsid w:val="1B787AA1"/>
    <w:rsid w:val="1B98057A"/>
    <w:rsid w:val="1C5D5AE3"/>
    <w:rsid w:val="1C6B5A93"/>
    <w:rsid w:val="1DA069AB"/>
    <w:rsid w:val="1DA84CB7"/>
    <w:rsid w:val="1E8F5E77"/>
    <w:rsid w:val="1EA97D8F"/>
    <w:rsid w:val="1EAB0F03"/>
    <w:rsid w:val="1EB226E0"/>
    <w:rsid w:val="1F69295D"/>
    <w:rsid w:val="20224105"/>
    <w:rsid w:val="20383D9C"/>
    <w:rsid w:val="20F22167"/>
    <w:rsid w:val="218B6BBF"/>
    <w:rsid w:val="22F0069A"/>
    <w:rsid w:val="22FF5139"/>
    <w:rsid w:val="251F46C3"/>
    <w:rsid w:val="26242544"/>
    <w:rsid w:val="26592EEA"/>
    <w:rsid w:val="27AD33F2"/>
    <w:rsid w:val="28195A2E"/>
    <w:rsid w:val="281D6F4D"/>
    <w:rsid w:val="29A155BC"/>
    <w:rsid w:val="2AE62313"/>
    <w:rsid w:val="2AF91E06"/>
    <w:rsid w:val="2CD57BE6"/>
    <w:rsid w:val="2D647F8E"/>
    <w:rsid w:val="30032221"/>
    <w:rsid w:val="308A2D68"/>
    <w:rsid w:val="31121186"/>
    <w:rsid w:val="31767019"/>
    <w:rsid w:val="334868C9"/>
    <w:rsid w:val="3396251D"/>
    <w:rsid w:val="33B50474"/>
    <w:rsid w:val="33BF7090"/>
    <w:rsid w:val="346F03FF"/>
    <w:rsid w:val="34EE34A0"/>
    <w:rsid w:val="354A0CD7"/>
    <w:rsid w:val="35505F08"/>
    <w:rsid w:val="35E30B2B"/>
    <w:rsid w:val="35F43525"/>
    <w:rsid w:val="36511F38"/>
    <w:rsid w:val="37922808"/>
    <w:rsid w:val="398F2711"/>
    <w:rsid w:val="39B47AE6"/>
    <w:rsid w:val="39B76556"/>
    <w:rsid w:val="3A085004"/>
    <w:rsid w:val="3A6E46E1"/>
    <w:rsid w:val="3AFA1FC4"/>
    <w:rsid w:val="3B8C31AB"/>
    <w:rsid w:val="3BA050D7"/>
    <w:rsid w:val="3C6E77BC"/>
    <w:rsid w:val="3CFF2D9A"/>
    <w:rsid w:val="3E2D5039"/>
    <w:rsid w:val="3E5B58BB"/>
    <w:rsid w:val="3E9026C3"/>
    <w:rsid w:val="3ECA5C4A"/>
    <w:rsid w:val="3F5C2528"/>
    <w:rsid w:val="3F984734"/>
    <w:rsid w:val="40944A28"/>
    <w:rsid w:val="41CA0DF1"/>
    <w:rsid w:val="421C254F"/>
    <w:rsid w:val="43213566"/>
    <w:rsid w:val="43866B0E"/>
    <w:rsid w:val="44114AB5"/>
    <w:rsid w:val="45263428"/>
    <w:rsid w:val="453018B3"/>
    <w:rsid w:val="45B84CA3"/>
    <w:rsid w:val="462E414C"/>
    <w:rsid w:val="46805B8E"/>
    <w:rsid w:val="46874604"/>
    <w:rsid w:val="46A83402"/>
    <w:rsid w:val="46D17C8A"/>
    <w:rsid w:val="472A0CE4"/>
    <w:rsid w:val="481E7A60"/>
    <w:rsid w:val="483E4B03"/>
    <w:rsid w:val="486006E2"/>
    <w:rsid w:val="49DA4239"/>
    <w:rsid w:val="49E74547"/>
    <w:rsid w:val="4B3B2DE9"/>
    <w:rsid w:val="4B5F43AC"/>
    <w:rsid w:val="4BB63B5B"/>
    <w:rsid w:val="4C016803"/>
    <w:rsid w:val="4C0C7A97"/>
    <w:rsid w:val="4CFA2007"/>
    <w:rsid w:val="4D3B5F1F"/>
    <w:rsid w:val="4D5953BB"/>
    <w:rsid w:val="4D5C27F9"/>
    <w:rsid w:val="4F42290E"/>
    <w:rsid w:val="4F870321"/>
    <w:rsid w:val="502F427C"/>
    <w:rsid w:val="50536245"/>
    <w:rsid w:val="505521CD"/>
    <w:rsid w:val="50B05E59"/>
    <w:rsid w:val="51065140"/>
    <w:rsid w:val="514711E7"/>
    <w:rsid w:val="537D5F16"/>
    <w:rsid w:val="53CD3498"/>
    <w:rsid w:val="53E8588C"/>
    <w:rsid w:val="55231264"/>
    <w:rsid w:val="55711857"/>
    <w:rsid w:val="55894DF3"/>
    <w:rsid w:val="56865479"/>
    <w:rsid w:val="56DA55B8"/>
    <w:rsid w:val="56ED7603"/>
    <w:rsid w:val="57125052"/>
    <w:rsid w:val="577D7B30"/>
    <w:rsid w:val="579D4B86"/>
    <w:rsid w:val="58A40196"/>
    <w:rsid w:val="59233F27"/>
    <w:rsid w:val="598A7445"/>
    <w:rsid w:val="59F12E36"/>
    <w:rsid w:val="5A205A6E"/>
    <w:rsid w:val="5A5007B6"/>
    <w:rsid w:val="5A556207"/>
    <w:rsid w:val="5AFA2856"/>
    <w:rsid w:val="5B144D1E"/>
    <w:rsid w:val="5BB530BF"/>
    <w:rsid w:val="5BE26FCC"/>
    <w:rsid w:val="5CF32EA1"/>
    <w:rsid w:val="5E671A49"/>
    <w:rsid w:val="5EB77DC3"/>
    <w:rsid w:val="5F72671D"/>
    <w:rsid w:val="5FF97102"/>
    <w:rsid w:val="607928AB"/>
    <w:rsid w:val="612B02EF"/>
    <w:rsid w:val="61854ED9"/>
    <w:rsid w:val="619D35E7"/>
    <w:rsid w:val="620D153D"/>
    <w:rsid w:val="627E1A1E"/>
    <w:rsid w:val="62D059D6"/>
    <w:rsid w:val="62D268BD"/>
    <w:rsid w:val="62D33B51"/>
    <w:rsid w:val="630B4459"/>
    <w:rsid w:val="639D1A83"/>
    <w:rsid w:val="65520DE7"/>
    <w:rsid w:val="65F20792"/>
    <w:rsid w:val="66C739CD"/>
    <w:rsid w:val="683F7FBE"/>
    <w:rsid w:val="68702E63"/>
    <w:rsid w:val="68DC5CC3"/>
    <w:rsid w:val="698D63E3"/>
    <w:rsid w:val="69B02BE2"/>
    <w:rsid w:val="69CB0240"/>
    <w:rsid w:val="69E51C4B"/>
    <w:rsid w:val="6A5D3356"/>
    <w:rsid w:val="6B6E35F2"/>
    <w:rsid w:val="6B8754D9"/>
    <w:rsid w:val="6C601B62"/>
    <w:rsid w:val="6C702411"/>
    <w:rsid w:val="6CB01A34"/>
    <w:rsid w:val="6CB945D2"/>
    <w:rsid w:val="6DFC3908"/>
    <w:rsid w:val="6F7915DC"/>
    <w:rsid w:val="6FB71BD3"/>
    <w:rsid w:val="6FCD0999"/>
    <w:rsid w:val="709A1EA8"/>
    <w:rsid w:val="721A4443"/>
    <w:rsid w:val="72D5042B"/>
    <w:rsid w:val="73603ECF"/>
    <w:rsid w:val="736E08C7"/>
    <w:rsid w:val="74094463"/>
    <w:rsid w:val="74CC0400"/>
    <w:rsid w:val="74E25752"/>
    <w:rsid w:val="75451350"/>
    <w:rsid w:val="75A86778"/>
    <w:rsid w:val="76481D09"/>
    <w:rsid w:val="77796C42"/>
    <w:rsid w:val="78145F95"/>
    <w:rsid w:val="783E7867"/>
    <w:rsid w:val="789B1B18"/>
    <w:rsid w:val="78C5525D"/>
    <w:rsid w:val="78C837FC"/>
    <w:rsid w:val="79EA2DC2"/>
    <w:rsid w:val="7AF661D7"/>
    <w:rsid w:val="7B5714D4"/>
    <w:rsid w:val="7BA6526A"/>
    <w:rsid w:val="7BB36C63"/>
    <w:rsid w:val="7C9378C3"/>
    <w:rsid w:val="7D3C0E62"/>
    <w:rsid w:val="7DC355E5"/>
    <w:rsid w:val="7E453031"/>
    <w:rsid w:val="7F2D5BA8"/>
    <w:rsid w:val="7F966C81"/>
    <w:rsid w:val="7FCC5FAB"/>
    <w:rsid w:val="7FF459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99"/>
    <w:pPr>
      <w:keepNext/>
      <w:numPr>
        <w:ilvl w:val="0"/>
        <w:numId w:val="1"/>
      </w:numPr>
      <w:outlineLvl w:val="0"/>
    </w:pPr>
    <w:rPr>
      <w:rFonts w:eastAsia="黑体"/>
      <w:b/>
      <w:sz w:val="28"/>
      <w:szCs w:val="20"/>
    </w:rPr>
  </w:style>
  <w:style w:type="paragraph" w:styleId="3">
    <w:name w:val="heading 2"/>
    <w:basedOn w:val="1"/>
    <w:next w:val="1"/>
    <w:link w:val="37"/>
    <w:autoRedefine/>
    <w:qFormat/>
    <w:uiPriority w:val="99"/>
    <w:pPr>
      <w:keepNext/>
      <w:keepLines/>
      <w:numPr>
        <w:ilvl w:val="1"/>
        <w:numId w:val="2"/>
      </w:numPr>
      <w:spacing w:before="260" w:after="260" w:line="416" w:lineRule="auto"/>
      <w:outlineLvl w:val="1"/>
    </w:pPr>
    <w:rPr>
      <w:rFonts w:ascii="Arial" w:hAnsi="Arial" w:eastAsia="黑体"/>
      <w:sz w:val="24"/>
      <w:szCs w:val="20"/>
    </w:rPr>
  </w:style>
  <w:style w:type="paragraph" w:styleId="4">
    <w:name w:val="heading 3"/>
    <w:basedOn w:val="1"/>
    <w:next w:val="5"/>
    <w:link w:val="38"/>
    <w:autoRedefine/>
    <w:qFormat/>
    <w:uiPriority w:val="99"/>
    <w:pPr>
      <w:keepNext/>
      <w:numPr>
        <w:ilvl w:val="2"/>
        <w:numId w:val="2"/>
      </w:numPr>
      <w:spacing w:line="400" w:lineRule="exact"/>
      <w:jc w:val="center"/>
      <w:outlineLvl w:val="2"/>
    </w:pPr>
    <w:rPr>
      <w:rFonts w:ascii="仿宋_GB2312" w:eastAsia="仿宋_GB2312"/>
      <w:sz w:val="32"/>
      <w:szCs w:val="20"/>
    </w:rPr>
  </w:style>
  <w:style w:type="paragraph" w:styleId="6">
    <w:name w:val="heading 4"/>
    <w:basedOn w:val="1"/>
    <w:next w:val="1"/>
    <w:link w:val="44"/>
    <w:autoRedefine/>
    <w:qFormat/>
    <w:uiPriority w:val="99"/>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45"/>
    <w:autoRedefine/>
    <w:qFormat/>
    <w:uiPriority w:val="99"/>
    <w:pPr>
      <w:keepNext/>
      <w:keepLines/>
      <w:spacing w:before="280" w:after="290" w:line="376" w:lineRule="auto"/>
      <w:outlineLvl w:val="4"/>
    </w:pPr>
    <w:rPr>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5">
    <w:name w:val="Normal Indent"/>
    <w:basedOn w:val="1"/>
    <w:autoRedefine/>
    <w:qFormat/>
    <w:uiPriority w:val="99"/>
    <w:pPr>
      <w:widowControl/>
      <w:ind w:firstLine="420"/>
      <w:jc w:val="left"/>
    </w:pPr>
    <w:rPr>
      <w:kern w:val="0"/>
      <w:sz w:val="20"/>
      <w:szCs w:val="20"/>
    </w:rPr>
  </w:style>
  <w:style w:type="paragraph" w:styleId="8">
    <w:name w:val="annotation text"/>
    <w:basedOn w:val="1"/>
    <w:link w:val="111"/>
    <w:autoRedefine/>
    <w:unhideWhenUsed/>
    <w:qFormat/>
    <w:uiPriority w:val="99"/>
    <w:pPr>
      <w:jc w:val="left"/>
    </w:pPr>
  </w:style>
  <w:style w:type="paragraph" w:styleId="9">
    <w:name w:val="Body Text 3"/>
    <w:basedOn w:val="1"/>
    <w:link w:val="47"/>
    <w:autoRedefine/>
    <w:qFormat/>
    <w:uiPriority w:val="99"/>
    <w:pPr>
      <w:widowControl/>
      <w:adjustRightInd w:val="0"/>
      <w:snapToGrid w:val="0"/>
      <w:spacing w:line="300" w:lineRule="auto"/>
      <w:jc w:val="left"/>
    </w:pPr>
    <w:rPr>
      <w:kern w:val="0"/>
      <w:sz w:val="16"/>
      <w:szCs w:val="16"/>
    </w:rPr>
  </w:style>
  <w:style w:type="paragraph" w:styleId="10">
    <w:name w:val="Body Text"/>
    <w:basedOn w:val="1"/>
    <w:next w:val="1"/>
    <w:link w:val="59"/>
    <w:autoRedefine/>
    <w:qFormat/>
    <w:uiPriority w:val="99"/>
    <w:pPr>
      <w:spacing w:after="120"/>
    </w:pPr>
    <w:rPr>
      <w:kern w:val="0"/>
      <w:sz w:val="24"/>
    </w:rPr>
  </w:style>
  <w:style w:type="paragraph" w:styleId="11">
    <w:name w:val="Body Text Indent"/>
    <w:basedOn w:val="1"/>
    <w:link w:val="51"/>
    <w:autoRedefine/>
    <w:qFormat/>
    <w:uiPriority w:val="99"/>
    <w:pPr>
      <w:ind w:firstLine="420" w:firstLineChars="200"/>
    </w:pPr>
    <w:rPr>
      <w:kern w:val="0"/>
      <w:sz w:val="24"/>
      <w:shd w:val="pct10" w:color="auto" w:fill="FFFFFF"/>
    </w:rPr>
  </w:style>
  <w:style w:type="paragraph" w:styleId="12">
    <w:name w:val="Block Text"/>
    <w:basedOn w:val="1"/>
    <w:autoRedefine/>
    <w:qFormat/>
    <w:uiPriority w:val="99"/>
    <w:pPr>
      <w:ind w:left="113" w:right="113"/>
      <w:jc w:val="center"/>
    </w:pPr>
    <w:rPr>
      <w:b/>
      <w:bCs/>
      <w:sz w:val="18"/>
      <w:szCs w:val="20"/>
    </w:rPr>
  </w:style>
  <w:style w:type="paragraph" w:styleId="13">
    <w:name w:val="index 4"/>
    <w:basedOn w:val="1"/>
    <w:next w:val="1"/>
    <w:autoRedefine/>
    <w:unhideWhenUsed/>
    <w:qFormat/>
    <w:uiPriority w:val="99"/>
    <w:pPr>
      <w:ind w:left="600" w:leftChars="600"/>
    </w:pPr>
    <w:rPr>
      <w:rFonts w:asciiTheme="minorHAnsi" w:hAnsiTheme="minorHAnsi" w:eastAsiaTheme="minorEastAsia" w:cstheme="minorBidi"/>
      <w:szCs w:val="22"/>
    </w:rPr>
  </w:style>
  <w:style w:type="paragraph" w:styleId="14">
    <w:name w:val="toc 3"/>
    <w:basedOn w:val="1"/>
    <w:next w:val="1"/>
    <w:qFormat/>
    <w:locked/>
    <w:uiPriority w:val="0"/>
    <w:pPr>
      <w:ind w:left="840" w:leftChars="400"/>
    </w:pPr>
  </w:style>
  <w:style w:type="paragraph" w:styleId="15">
    <w:name w:val="Plain Text"/>
    <w:basedOn w:val="1"/>
    <w:link w:val="46"/>
    <w:autoRedefine/>
    <w:qFormat/>
    <w:uiPriority w:val="99"/>
    <w:rPr>
      <w:rFonts w:ascii="宋体" w:hAnsi="Courier New"/>
      <w:szCs w:val="21"/>
    </w:rPr>
  </w:style>
  <w:style w:type="paragraph" w:styleId="16">
    <w:name w:val="Date"/>
    <w:basedOn w:val="1"/>
    <w:next w:val="1"/>
    <w:link w:val="58"/>
    <w:autoRedefine/>
    <w:qFormat/>
    <w:uiPriority w:val="99"/>
    <w:pPr>
      <w:ind w:left="100" w:leftChars="2500"/>
    </w:pPr>
    <w:rPr>
      <w:kern w:val="0"/>
      <w:sz w:val="24"/>
    </w:rPr>
  </w:style>
  <w:style w:type="paragraph" w:styleId="17">
    <w:name w:val="Body Text Indent 2"/>
    <w:basedOn w:val="1"/>
    <w:link w:val="53"/>
    <w:autoRedefine/>
    <w:qFormat/>
    <w:uiPriority w:val="99"/>
    <w:pPr>
      <w:spacing w:after="120" w:line="480" w:lineRule="auto"/>
      <w:ind w:left="420" w:leftChars="200"/>
    </w:pPr>
    <w:rPr>
      <w:kern w:val="0"/>
      <w:sz w:val="24"/>
    </w:rPr>
  </w:style>
  <w:style w:type="paragraph" w:styleId="18">
    <w:name w:val="Balloon Text"/>
    <w:basedOn w:val="1"/>
    <w:link w:val="86"/>
    <w:autoRedefine/>
    <w:qFormat/>
    <w:uiPriority w:val="99"/>
    <w:rPr>
      <w:sz w:val="18"/>
      <w:szCs w:val="18"/>
    </w:rPr>
  </w:style>
  <w:style w:type="paragraph" w:styleId="19">
    <w:name w:val="footer"/>
    <w:basedOn w:val="1"/>
    <w:link w:val="48"/>
    <w:autoRedefine/>
    <w:qFormat/>
    <w:uiPriority w:val="0"/>
    <w:pPr>
      <w:widowControl/>
      <w:tabs>
        <w:tab w:val="center" w:pos="4153"/>
        <w:tab w:val="right" w:pos="8306"/>
      </w:tabs>
      <w:snapToGrid w:val="0"/>
      <w:jc w:val="left"/>
    </w:pPr>
    <w:rPr>
      <w:kern w:val="0"/>
      <w:sz w:val="18"/>
      <w:szCs w:val="18"/>
    </w:rPr>
  </w:style>
  <w:style w:type="paragraph" w:styleId="20">
    <w:name w:val="header"/>
    <w:basedOn w:val="1"/>
    <w:link w:val="49"/>
    <w:autoRedefine/>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locked/>
    <w:uiPriority w:val="0"/>
  </w:style>
  <w:style w:type="paragraph" w:styleId="22">
    <w:name w:val="toc 4"/>
    <w:basedOn w:val="1"/>
    <w:next w:val="1"/>
    <w:qFormat/>
    <w:locked/>
    <w:uiPriority w:val="0"/>
    <w:pPr>
      <w:ind w:left="630"/>
      <w:jc w:val="left"/>
    </w:pPr>
    <w:rPr>
      <w:rFonts w:ascii="等线" w:eastAsia="等线"/>
      <w:sz w:val="18"/>
      <w:szCs w:val="18"/>
    </w:rPr>
  </w:style>
  <w:style w:type="paragraph" w:styleId="23">
    <w:name w:val="Body Text Indent 3"/>
    <w:basedOn w:val="1"/>
    <w:link w:val="55"/>
    <w:autoRedefine/>
    <w:qFormat/>
    <w:uiPriority w:val="99"/>
    <w:pPr>
      <w:ind w:firstLine="412" w:firstLineChars="196"/>
    </w:pPr>
    <w:rPr>
      <w:kern w:val="0"/>
      <w:sz w:val="16"/>
      <w:szCs w:val="16"/>
    </w:rPr>
  </w:style>
  <w:style w:type="paragraph" w:styleId="24">
    <w:name w:val="toc 2"/>
    <w:basedOn w:val="1"/>
    <w:next w:val="1"/>
    <w:qFormat/>
    <w:locked/>
    <w:uiPriority w:val="0"/>
    <w:pPr>
      <w:ind w:left="420" w:leftChars="200"/>
    </w:p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autoRedefine/>
    <w:qFormat/>
    <w:locked/>
    <w:uiPriority w:val="0"/>
    <w:pPr>
      <w:spacing w:before="240" w:after="60"/>
      <w:jc w:val="center"/>
      <w:outlineLvl w:val="0"/>
    </w:pPr>
    <w:rPr>
      <w:rFonts w:asciiTheme="majorHAnsi" w:hAnsiTheme="majorHAnsi" w:eastAsiaTheme="majorEastAsia" w:cstheme="majorBidi"/>
      <w:b/>
      <w:bCs/>
      <w:sz w:val="32"/>
      <w:szCs w:val="32"/>
    </w:rPr>
  </w:style>
  <w:style w:type="paragraph" w:styleId="27">
    <w:name w:val="annotation subject"/>
    <w:basedOn w:val="8"/>
    <w:next w:val="8"/>
    <w:link w:val="112"/>
    <w:semiHidden/>
    <w:unhideWhenUsed/>
    <w:qFormat/>
    <w:uiPriority w:val="99"/>
    <w:rPr>
      <w:b/>
      <w:bCs/>
    </w:rPr>
  </w:style>
  <w:style w:type="table" w:styleId="29">
    <w:name w:val="Table Grid"/>
    <w:basedOn w:val="2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locked/>
    <w:uiPriority w:val="0"/>
    <w:rPr>
      <w:b/>
      <w:bCs/>
    </w:rPr>
  </w:style>
  <w:style w:type="character" w:styleId="32">
    <w:name w:val="page number"/>
    <w:basedOn w:val="30"/>
    <w:autoRedefine/>
    <w:qFormat/>
    <w:uiPriority w:val="0"/>
    <w:rPr>
      <w:rFonts w:cs="Times New Roman"/>
    </w:rPr>
  </w:style>
  <w:style w:type="character" w:styleId="33">
    <w:name w:val="Emphasis"/>
    <w:autoRedefine/>
    <w:qFormat/>
    <w:locked/>
    <w:uiPriority w:val="0"/>
    <w:rPr>
      <w:i/>
    </w:rPr>
  </w:style>
  <w:style w:type="character" w:styleId="34">
    <w:name w:val="Hyperlink"/>
    <w:autoRedefine/>
    <w:unhideWhenUsed/>
    <w:qFormat/>
    <w:uiPriority w:val="99"/>
    <w:rPr>
      <w:color w:val="0000FF"/>
      <w:u w:val="single"/>
    </w:rPr>
  </w:style>
  <w:style w:type="character" w:styleId="35">
    <w:name w:val="annotation reference"/>
    <w:basedOn w:val="30"/>
    <w:autoRedefine/>
    <w:semiHidden/>
    <w:unhideWhenUsed/>
    <w:qFormat/>
    <w:uiPriority w:val="99"/>
    <w:rPr>
      <w:sz w:val="21"/>
      <w:szCs w:val="21"/>
    </w:rPr>
  </w:style>
  <w:style w:type="character" w:customStyle="1" w:styleId="36">
    <w:name w:val="标题 1 Char"/>
    <w:link w:val="2"/>
    <w:autoRedefine/>
    <w:qFormat/>
    <w:locked/>
    <w:uiPriority w:val="99"/>
    <w:rPr>
      <w:rFonts w:eastAsia="黑体"/>
      <w:b/>
      <w:kern w:val="2"/>
      <w:sz w:val="28"/>
    </w:rPr>
  </w:style>
  <w:style w:type="character" w:customStyle="1" w:styleId="37">
    <w:name w:val="标题 2 Char"/>
    <w:link w:val="3"/>
    <w:autoRedefine/>
    <w:qFormat/>
    <w:locked/>
    <w:uiPriority w:val="99"/>
    <w:rPr>
      <w:rFonts w:ascii="Arial" w:hAnsi="Arial" w:eastAsia="黑体"/>
      <w:kern w:val="2"/>
      <w:sz w:val="24"/>
    </w:rPr>
  </w:style>
  <w:style w:type="character" w:customStyle="1" w:styleId="38">
    <w:name w:val="标题 3 Char"/>
    <w:link w:val="4"/>
    <w:autoRedefine/>
    <w:qFormat/>
    <w:locked/>
    <w:uiPriority w:val="99"/>
    <w:rPr>
      <w:rFonts w:ascii="仿宋_GB2312" w:eastAsia="仿宋_GB2312"/>
      <w:kern w:val="2"/>
      <w:sz w:val="32"/>
    </w:rPr>
  </w:style>
  <w:style w:type="paragraph" w:customStyle="1" w:styleId="39">
    <w:name w:val="Default"/>
    <w:autoRedefine/>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0">
    <w:name w:val="索引 41"/>
    <w:basedOn w:val="1"/>
    <w:next w:val="1"/>
    <w:autoRedefine/>
    <w:qFormat/>
    <w:uiPriority w:val="99"/>
    <w:pPr>
      <w:ind w:left="600"/>
    </w:pPr>
    <w:rPr>
      <w:szCs w:val="20"/>
    </w:rPr>
  </w:style>
  <w:style w:type="paragraph" w:customStyle="1" w:styleId="41">
    <w:name w:val="一级条标题"/>
    <w:basedOn w:val="42"/>
    <w:next w:val="43"/>
    <w:autoRedefine/>
    <w:qFormat/>
    <w:uiPriority w:val="0"/>
    <w:pPr>
      <w:numPr>
        <w:ilvl w:val="1"/>
        <w:numId w:val="3"/>
      </w:numPr>
      <w:tabs>
        <w:tab w:val="left" w:pos="810"/>
        <w:tab w:val="left" w:pos="1265"/>
      </w:tabs>
      <w:spacing w:beforeLines="50" w:afterLines="50"/>
      <w:outlineLvl w:val="2"/>
    </w:pPr>
    <w:rPr>
      <w:rFonts w:hAnsi="Times New Roman" w:cstheme="minorBidi"/>
      <w:szCs w:val="21"/>
    </w:rPr>
  </w:style>
  <w:style w:type="paragraph" w:customStyle="1" w:styleId="42">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43">
    <w:name w:val="段"/>
    <w:basedOn w:val="1"/>
    <w:next w:val="1"/>
    <w:autoRedefine/>
    <w:qFormat/>
    <w:uiPriority w:val="0"/>
    <w:pPr>
      <w:widowControl/>
      <w:autoSpaceDE w:val="0"/>
      <w:autoSpaceDN w:val="0"/>
      <w:ind w:firstLine="200" w:firstLineChars="200"/>
    </w:pPr>
    <w:rPr>
      <w:rFonts w:hint="eastAsia" w:ascii="宋体"/>
      <w:kern w:val="0"/>
      <w:szCs w:val="20"/>
    </w:rPr>
  </w:style>
  <w:style w:type="character" w:customStyle="1" w:styleId="44">
    <w:name w:val="标题 4 Char"/>
    <w:link w:val="6"/>
    <w:autoRedefine/>
    <w:semiHidden/>
    <w:qFormat/>
    <w:locked/>
    <w:uiPriority w:val="99"/>
    <w:rPr>
      <w:rFonts w:ascii="Cambria" w:hAnsi="Cambria" w:eastAsia="宋体" w:cs="Times New Roman"/>
      <w:b/>
      <w:bCs/>
      <w:sz w:val="28"/>
      <w:szCs w:val="28"/>
    </w:rPr>
  </w:style>
  <w:style w:type="character" w:customStyle="1" w:styleId="45">
    <w:name w:val="标题 5 Char"/>
    <w:link w:val="7"/>
    <w:autoRedefine/>
    <w:semiHidden/>
    <w:qFormat/>
    <w:locked/>
    <w:uiPriority w:val="99"/>
    <w:rPr>
      <w:rFonts w:cs="Times New Roman"/>
      <w:b/>
      <w:bCs/>
      <w:sz w:val="28"/>
      <w:szCs w:val="28"/>
    </w:rPr>
  </w:style>
  <w:style w:type="character" w:customStyle="1" w:styleId="46">
    <w:name w:val="纯文本 Char"/>
    <w:link w:val="15"/>
    <w:autoRedefine/>
    <w:qFormat/>
    <w:locked/>
    <w:uiPriority w:val="99"/>
    <w:rPr>
      <w:rFonts w:ascii="宋体" w:hAnsi="Courier New" w:eastAsia="宋体" w:cs="Times New Roman"/>
      <w:kern w:val="2"/>
      <w:sz w:val="21"/>
      <w:szCs w:val="21"/>
      <w:lang w:val="en-US" w:eastAsia="zh-CN" w:bidi="ar-SA"/>
    </w:rPr>
  </w:style>
  <w:style w:type="character" w:customStyle="1" w:styleId="47">
    <w:name w:val="正文文本 3 Char"/>
    <w:link w:val="9"/>
    <w:autoRedefine/>
    <w:semiHidden/>
    <w:qFormat/>
    <w:locked/>
    <w:uiPriority w:val="99"/>
    <w:rPr>
      <w:rFonts w:cs="Times New Roman"/>
      <w:sz w:val="16"/>
      <w:szCs w:val="16"/>
    </w:rPr>
  </w:style>
  <w:style w:type="character" w:customStyle="1" w:styleId="48">
    <w:name w:val="页脚 Char"/>
    <w:link w:val="19"/>
    <w:autoRedefine/>
    <w:semiHidden/>
    <w:qFormat/>
    <w:locked/>
    <w:uiPriority w:val="99"/>
    <w:rPr>
      <w:rFonts w:cs="Times New Roman"/>
      <w:sz w:val="18"/>
      <w:szCs w:val="18"/>
    </w:rPr>
  </w:style>
  <w:style w:type="character" w:customStyle="1" w:styleId="49">
    <w:name w:val="页眉 Char"/>
    <w:link w:val="20"/>
    <w:autoRedefine/>
    <w:semiHidden/>
    <w:qFormat/>
    <w:locked/>
    <w:uiPriority w:val="99"/>
    <w:rPr>
      <w:rFonts w:cs="Times New Roman"/>
      <w:sz w:val="18"/>
      <w:szCs w:val="18"/>
    </w:rPr>
  </w:style>
  <w:style w:type="character" w:customStyle="1" w:styleId="50">
    <w:name w:val="px121"/>
    <w:autoRedefine/>
    <w:qFormat/>
    <w:uiPriority w:val="99"/>
    <w:rPr>
      <w:rFonts w:cs="Times New Roman"/>
      <w:spacing w:val="312"/>
    </w:rPr>
  </w:style>
  <w:style w:type="character" w:customStyle="1" w:styleId="51">
    <w:name w:val="正文文本缩进 Char"/>
    <w:link w:val="11"/>
    <w:autoRedefine/>
    <w:semiHidden/>
    <w:qFormat/>
    <w:locked/>
    <w:uiPriority w:val="99"/>
    <w:rPr>
      <w:rFonts w:cs="Times New Roman"/>
      <w:sz w:val="24"/>
      <w:szCs w:val="24"/>
    </w:rPr>
  </w:style>
  <w:style w:type="paragraph" w:customStyle="1" w:styleId="52">
    <w:name w:val="表格文字"/>
    <w:basedOn w:val="1"/>
    <w:autoRedefine/>
    <w:qFormat/>
    <w:uiPriority w:val="99"/>
    <w:pPr>
      <w:snapToGrid w:val="0"/>
      <w:spacing w:before="120"/>
    </w:pPr>
    <w:rPr>
      <w:rFonts w:ascii="Arial Narrow" w:hAnsi="Arial Narrow" w:eastAsia="仿宋_GB2312"/>
      <w:sz w:val="24"/>
      <w:szCs w:val="20"/>
    </w:rPr>
  </w:style>
  <w:style w:type="character" w:customStyle="1" w:styleId="53">
    <w:name w:val="正文文本缩进 2 Char"/>
    <w:link w:val="17"/>
    <w:autoRedefine/>
    <w:semiHidden/>
    <w:qFormat/>
    <w:locked/>
    <w:uiPriority w:val="99"/>
    <w:rPr>
      <w:rFonts w:cs="Times New Roman"/>
      <w:sz w:val="24"/>
      <w:szCs w:val="24"/>
    </w:rPr>
  </w:style>
  <w:style w:type="character" w:customStyle="1" w:styleId="54">
    <w:name w:val="Char Char3"/>
    <w:autoRedefine/>
    <w:qFormat/>
    <w:uiPriority w:val="99"/>
    <w:rPr>
      <w:rFonts w:ascii="宋体" w:hAnsi="Courier New" w:eastAsia="宋体" w:cs="Times New Roman"/>
      <w:kern w:val="2"/>
      <w:sz w:val="21"/>
      <w:szCs w:val="21"/>
      <w:lang w:val="en-US" w:eastAsia="zh-CN" w:bidi="ar-SA"/>
    </w:rPr>
  </w:style>
  <w:style w:type="character" w:customStyle="1" w:styleId="55">
    <w:name w:val="正文文本缩进 3 Char"/>
    <w:link w:val="23"/>
    <w:autoRedefine/>
    <w:semiHidden/>
    <w:qFormat/>
    <w:locked/>
    <w:uiPriority w:val="99"/>
    <w:rPr>
      <w:rFonts w:cs="Times New Roman"/>
      <w:sz w:val="16"/>
      <w:szCs w:val="16"/>
    </w:rPr>
  </w:style>
  <w:style w:type="paragraph" w:customStyle="1" w:styleId="56">
    <w:name w:val="Char1"/>
    <w:basedOn w:val="1"/>
    <w:autoRedefine/>
    <w:qFormat/>
    <w:uiPriority w:val="99"/>
    <w:rPr>
      <w:sz w:val="24"/>
    </w:rPr>
  </w:style>
  <w:style w:type="paragraph" w:customStyle="1" w:styleId="57">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58">
    <w:name w:val="日期 Char"/>
    <w:link w:val="16"/>
    <w:autoRedefine/>
    <w:semiHidden/>
    <w:qFormat/>
    <w:locked/>
    <w:uiPriority w:val="99"/>
    <w:rPr>
      <w:rFonts w:cs="Times New Roman"/>
      <w:sz w:val="24"/>
      <w:szCs w:val="24"/>
    </w:rPr>
  </w:style>
  <w:style w:type="character" w:customStyle="1" w:styleId="59">
    <w:name w:val="正文文本 Char"/>
    <w:link w:val="10"/>
    <w:autoRedefine/>
    <w:semiHidden/>
    <w:qFormat/>
    <w:locked/>
    <w:uiPriority w:val="99"/>
    <w:rPr>
      <w:rFonts w:cs="Times New Roman"/>
      <w:sz w:val="24"/>
      <w:szCs w:val="24"/>
    </w:rPr>
  </w:style>
  <w:style w:type="paragraph" w:customStyle="1" w:styleId="60">
    <w:name w:val="报告正文"/>
    <w:basedOn w:val="1"/>
    <w:autoRedefine/>
    <w:qFormat/>
    <w:uiPriority w:val="99"/>
    <w:pPr>
      <w:ind w:firstLine="567"/>
    </w:pPr>
    <w:rPr>
      <w:rFonts w:ascii="Arial Narrow" w:hAnsi="Arial Narrow" w:eastAsia="仿宋_GB2312"/>
      <w:kern w:val="0"/>
      <w:sz w:val="28"/>
      <w:szCs w:val="20"/>
    </w:rPr>
  </w:style>
  <w:style w:type="paragraph" w:styleId="61">
    <w:name w:val="List Paragraph"/>
    <w:basedOn w:val="1"/>
    <w:autoRedefine/>
    <w:qFormat/>
    <w:uiPriority w:val="34"/>
    <w:pPr>
      <w:ind w:firstLine="420" w:firstLineChars="200"/>
    </w:pPr>
    <w:rPr>
      <w:rFonts w:ascii="Calibri" w:hAnsi="Calibri"/>
      <w:szCs w:val="22"/>
    </w:rPr>
  </w:style>
  <w:style w:type="paragraph" w:customStyle="1" w:styleId="62">
    <w:name w:val="List Paragraph1"/>
    <w:basedOn w:val="1"/>
    <w:autoRedefine/>
    <w:qFormat/>
    <w:uiPriority w:val="99"/>
    <w:pPr>
      <w:ind w:firstLine="420" w:firstLineChars="200"/>
    </w:pPr>
    <w:rPr>
      <w:rFonts w:ascii="Calibri" w:hAnsi="Calibri"/>
      <w:szCs w:val="22"/>
    </w:rPr>
  </w:style>
  <w:style w:type="paragraph" w:customStyle="1" w:styleId="63">
    <w:name w:val="列出段落1"/>
    <w:autoRedefine/>
    <w:qFormat/>
    <w:uiPriority w:val="99"/>
    <w:pPr>
      <w:ind w:firstLine="420"/>
    </w:pPr>
    <w:rPr>
      <w:rFonts w:ascii="Times New Roman" w:hAnsi="Times New Roman" w:eastAsia="宋体" w:cs="Times New Roman"/>
      <w:lang w:val="en-US" w:eastAsia="zh-CN" w:bidi="ar-SA"/>
    </w:rPr>
  </w:style>
  <w:style w:type="paragraph" w:customStyle="1" w:styleId="64">
    <w:name w:val="列出段落11"/>
    <w:autoRedefine/>
    <w:qFormat/>
    <w:uiPriority w:val="99"/>
    <w:pPr>
      <w:ind w:firstLine="420"/>
    </w:pPr>
    <w:rPr>
      <w:rFonts w:ascii="Times New Roman" w:hAnsi="Times New Roman" w:eastAsia="宋体" w:cs="Times New Roman"/>
      <w:lang w:val="en-US" w:eastAsia="zh-CN" w:bidi="ar-SA"/>
    </w:rPr>
  </w:style>
  <w:style w:type="paragraph" w:styleId="65">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CharAttribute2"/>
    <w:autoRedefine/>
    <w:qFormat/>
    <w:uiPriority w:val="99"/>
    <w:rPr>
      <w:rFonts w:ascii="Times New Roman" w:eastAsia="宋体"/>
      <w:b/>
      <w:sz w:val="21"/>
    </w:rPr>
  </w:style>
  <w:style w:type="paragraph" w:customStyle="1" w:styleId="67">
    <w:name w:val="Char"/>
    <w:basedOn w:val="1"/>
    <w:autoRedefine/>
    <w:qFormat/>
    <w:uiPriority w:val="99"/>
    <w:rPr>
      <w:sz w:val="30"/>
    </w:rPr>
  </w:style>
  <w:style w:type="paragraph" w:customStyle="1" w:styleId="6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6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7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7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7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7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74">
    <w:name w:val="CharAttribute4"/>
    <w:autoRedefine/>
    <w:qFormat/>
    <w:uiPriority w:val="99"/>
    <w:rPr>
      <w:rFonts w:ascii="Arial Narrow" w:eastAsia="仿宋_GB2312"/>
      <w:sz w:val="21"/>
    </w:rPr>
  </w:style>
  <w:style w:type="character" w:customStyle="1" w:styleId="75">
    <w:name w:val="CharAttribute7"/>
    <w:autoRedefine/>
    <w:qFormat/>
    <w:uiPriority w:val="99"/>
    <w:rPr>
      <w:rFonts w:ascii="Times New Roman" w:eastAsia="宋体"/>
      <w:sz w:val="21"/>
    </w:rPr>
  </w:style>
  <w:style w:type="character" w:customStyle="1" w:styleId="76">
    <w:name w:val="CharAttribute9"/>
    <w:autoRedefine/>
    <w:qFormat/>
    <w:uiPriority w:val="99"/>
    <w:rPr>
      <w:rFonts w:ascii="Arial" w:eastAsia="宋体"/>
      <w:sz w:val="21"/>
    </w:rPr>
  </w:style>
  <w:style w:type="character" w:customStyle="1" w:styleId="77">
    <w:name w:val="CharAttribute11"/>
    <w:autoRedefine/>
    <w:qFormat/>
    <w:uiPriority w:val="99"/>
    <w:rPr>
      <w:rFonts w:ascii="长城大标宋体" w:eastAsia="Times New Roman"/>
      <w:sz w:val="21"/>
    </w:rPr>
  </w:style>
  <w:style w:type="character" w:customStyle="1" w:styleId="78">
    <w:name w:val="CharAttribute12"/>
    <w:autoRedefine/>
    <w:qFormat/>
    <w:uiPriority w:val="99"/>
    <w:rPr>
      <w:rFonts w:ascii="Arial Narrow" w:eastAsia="Times New Roman"/>
      <w:sz w:val="21"/>
    </w:rPr>
  </w:style>
  <w:style w:type="character" w:customStyle="1" w:styleId="79">
    <w:name w:val="CharAttribute14"/>
    <w:autoRedefine/>
    <w:qFormat/>
    <w:uiPriority w:val="99"/>
    <w:rPr>
      <w:rFonts w:ascii="仿宋_GB2312" w:eastAsia="仿宋_GB2312"/>
      <w:sz w:val="21"/>
    </w:rPr>
  </w:style>
  <w:style w:type="character" w:customStyle="1" w:styleId="80">
    <w:name w:val="CharAttribute18"/>
    <w:autoRedefine/>
    <w:qFormat/>
    <w:uiPriority w:val="99"/>
    <w:rPr>
      <w:rFonts w:ascii="仿宋_GB2312" w:eastAsia="仿宋_GB2312"/>
      <w:sz w:val="24"/>
    </w:rPr>
  </w:style>
  <w:style w:type="character" w:customStyle="1" w:styleId="81">
    <w:name w:val="MAICO Bold Zchn"/>
    <w:link w:val="82"/>
    <w:autoRedefine/>
    <w:qFormat/>
    <w:locked/>
    <w:uiPriority w:val="99"/>
    <w:rPr>
      <w:rFonts w:ascii="FrutBold" w:hAnsi="FrutBold" w:cs="Times New Roman"/>
      <w:kern w:val="2"/>
      <w:sz w:val="28"/>
      <w:szCs w:val="28"/>
      <w:lang w:val="en-GB"/>
    </w:rPr>
  </w:style>
  <w:style w:type="paragraph" w:customStyle="1" w:styleId="82">
    <w:name w:val="MAICO Bold"/>
    <w:basedOn w:val="1"/>
    <w:link w:val="81"/>
    <w:autoRedefine/>
    <w:qFormat/>
    <w:uiPriority w:val="99"/>
    <w:pPr>
      <w:widowControl/>
      <w:tabs>
        <w:tab w:val="left" w:pos="709"/>
        <w:tab w:val="right" w:pos="1701"/>
      </w:tabs>
      <w:ind w:right="112"/>
      <w:jc w:val="left"/>
    </w:pPr>
    <w:rPr>
      <w:rFonts w:ascii="FrutBold" w:hAnsi="FrutBold"/>
      <w:sz w:val="28"/>
      <w:szCs w:val="28"/>
      <w:lang w:val="en-GB"/>
    </w:rPr>
  </w:style>
  <w:style w:type="character" w:customStyle="1" w:styleId="83">
    <w:name w:val="MAICO light Zchn"/>
    <w:link w:val="84"/>
    <w:autoRedefine/>
    <w:qFormat/>
    <w:locked/>
    <w:uiPriority w:val="99"/>
    <w:rPr>
      <w:rFonts w:ascii="华文仿宋" w:hAnsi="华文仿宋" w:eastAsia="华文仿宋" w:cs="Times New Roman"/>
      <w:b/>
      <w:kern w:val="2"/>
      <w:sz w:val="28"/>
      <w:szCs w:val="28"/>
      <w:lang w:val="en-GB"/>
    </w:rPr>
  </w:style>
  <w:style w:type="paragraph" w:customStyle="1" w:styleId="84">
    <w:name w:val="MAICO light"/>
    <w:basedOn w:val="1"/>
    <w:link w:val="83"/>
    <w:autoRedefine/>
    <w:qFormat/>
    <w:uiPriority w:val="99"/>
    <w:pPr>
      <w:widowControl/>
      <w:spacing w:line="360" w:lineRule="auto"/>
      <w:ind w:firstLine="561" w:firstLineChars="200"/>
    </w:pPr>
    <w:rPr>
      <w:rFonts w:ascii="华文仿宋" w:hAnsi="华文仿宋" w:eastAsia="华文仿宋"/>
      <w:b/>
      <w:sz w:val="28"/>
      <w:szCs w:val="28"/>
      <w:lang w:val="en-GB"/>
    </w:rPr>
  </w:style>
  <w:style w:type="paragraph" w:customStyle="1" w:styleId="85">
    <w:name w:val="p22"/>
    <w:basedOn w:val="1"/>
    <w:autoRedefine/>
    <w:qFormat/>
    <w:uiPriority w:val="99"/>
    <w:pPr>
      <w:widowControl/>
      <w:spacing w:line="360" w:lineRule="auto"/>
      <w:ind w:left="720"/>
      <w:jc w:val="left"/>
    </w:pPr>
    <w:rPr>
      <w:rFonts w:ascii="Verdana" w:hAnsi="Verdana" w:cs="宋体"/>
      <w:kern w:val="0"/>
      <w:sz w:val="24"/>
    </w:rPr>
  </w:style>
  <w:style w:type="character" w:customStyle="1" w:styleId="86">
    <w:name w:val="批注框文本 Char"/>
    <w:link w:val="18"/>
    <w:autoRedefine/>
    <w:qFormat/>
    <w:locked/>
    <w:uiPriority w:val="99"/>
    <w:rPr>
      <w:rFonts w:cs="Times New Roman"/>
      <w:kern w:val="2"/>
      <w:sz w:val="18"/>
      <w:szCs w:val="18"/>
    </w:rPr>
  </w:style>
  <w:style w:type="paragraph" w:customStyle="1" w:styleId="87">
    <w:name w:val="Char Char3 Char Char"/>
    <w:basedOn w:val="1"/>
    <w:autoRedefine/>
    <w:qFormat/>
    <w:uiPriority w:val="99"/>
    <w:rPr>
      <w:rFonts w:ascii="Tahoma" w:hAnsi="Tahoma"/>
      <w:sz w:val="24"/>
      <w:szCs w:val="20"/>
    </w:rPr>
  </w:style>
  <w:style w:type="paragraph" w:customStyle="1" w:styleId="88">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89">
    <w:name w:val="默认段落字体 Para Char Char Char Char"/>
    <w:basedOn w:val="1"/>
    <w:autoRedefine/>
    <w:qFormat/>
    <w:uiPriority w:val="99"/>
    <w:rPr>
      <w:szCs w:val="21"/>
    </w:rPr>
  </w:style>
  <w:style w:type="paragraph" w:customStyle="1" w:styleId="90">
    <w:name w:val="p0"/>
    <w:autoRedefine/>
    <w:qFormat/>
    <w:uiPriority w:val="0"/>
    <w:rPr>
      <w:rFonts w:ascii="Times New Roman" w:hAnsi="Times New Roman" w:eastAsia="宋体" w:cs="Times New Roman"/>
      <w:szCs w:val="21"/>
      <w:lang w:val="en-US" w:eastAsia="zh-CN" w:bidi="ar-SA"/>
    </w:rPr>
  </w:style>
  <w:style w:type="character" w:customStyle="1" w:styleId="91">
    <w:name w:val="mark"/>
    <w:basedOn w:val="30"/>
    <w:autoRedefine/>
    <w:qFormat/>
    <w:uiPriority w:val="0"/>
  </w:style>
  <w:style w:type="paragraph" w:customStyle="1" w:styleId="92">
    <w:name w:val="ITB-0"/>
    <w:basedOn w:val="1"/>
    <w:autoRedefine/>
    <w:qFormat/>
    <w:uiPriority w:val="0"/>
    <w:pPr>
      <w:adjustRightInd w:val="0"/>
      <w:jc w:val="center"/>
      <w:textAlignment w:val="baseline"/>
    </w:pPr>
    <w:rPr>
      <w:b/>
      <w:sz w:val="32"/>
      <w:szCs w:val="20"/>
    </w:rPr>
  </w:style>
  <w:style w:type="character" w:customStyle="1" w:styleId="93">
    <w:name w:val="bot_zi"/>
    <w:basedOn w:val="30"/>
    <w:autoRedefine/>
    <w:qFormat/>
    <w:uiPriority w:val="0"/>
  </w:style>
  <w:style w:type="character" w:customStyle="1" w:styleId="94">
    <w:name w:val="font31"/>
    <w:autoRedefine/>
    <w:qFormat/>
    <w:uiPriority w:val="0"/>
    <w:rPr>
      <w:rFonts w:hint="eastAsia" w:ascii="宋体" w:hAnsi="宋体" w:eastAsia="宋体" w:cs="宋体"/>
      <w:color w:val="000000"/>
      <w:sz w:val="24"/>
      <w:szCs w:val="24"/>
      <w:u w:val="none"/>
    </w:rPr>
  </w:style>
  <w:style w:type="paragraph" w:customStyle="1" w:styleId="95">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6">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7">
    <w:name w:val="bumpedfont15"/>
    <w:basedOn w:val="30"/>
    <w:autoRedefine/>
    <w:qFormat/>
    <w:uiPriority w:val="0"/>
  </w:style>
  <w:style w:type="character" w:customStyle="1" w:styleId="98">
    <w:name w:val="bumpedfont20"/>
    <w:basedOn w:val="30"/>
    <w:autoRedefine/>
    <w:qFormat/>
    <w:uiPriority w:val="0"/>
  </w:style>
  <w:style w:type="character" w:customStyle="1" w:styleId="99">
    <w:name w:val="标题一级 Char"/>
    <w:link w:val="100"/>
    <w:autoRedefine/>
    <w:qFormat/>
    <w:uiPriority w:val="0"/>
    <w:rPr>
      <w:rFonts w:ascii="宋体" w:hAnsi="宋体"/>
      <w:b/>
      <w:kern w:val="2"/>
      <w:sz w:val="21"/>
      <w:szCs w:val="21"/>
    </w:rPr>
  </w:style>
  <w:style w:type="paragraph" w:customStyle="1" w:styleId="100">
    <w:name w:val="标题一级"/>
    <w:basedOn w:val="1"/>
    <w:link w:val="99"/>
    <w:autoRedefine/>
    <w:qFormat/>
    <w:uiPriority w:val="0"/>
    <w:pPr>
      <w:ind w:left="422"/>
    </w:pPr>
    <w:rPr>
      <w:rFonts w:ascii="宋体" w:hAnsi="宋体"/>
      <w:b/>
      <w:szCs w:val="21"/>
    </w:rPr>
  </w:style>
  <w:style w:type="character" w:styleId="101">
    <w:name w:val="Placeholder Text"/>
    <w:autoRedefine/>
    <w:semiHidden/>
    <w:qFormat/>
    <w:uiPriority w:val="99"/>
    <w:rPr>
      <w:color w:val="808080"/>
    </w:rPr>
  </w:style>
  <w:style w:type="table" w:customStyle="1" w:styleId="102">
    <w:name w:val="网格型1"/>
    <w:basedOn w:val="2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标题二级"/>
    <w:basedOn w:val="1"/>
    <w:autoRedefine/>
    <w:qFormat/>
    <w:uiPriority w:val="0"/>
    <w:rPr>
      <w:rFonts w:ascii="宋体" w:hAnsi="宋体"/>
      <w:szCs w:val="21"/>
    </w:rPr>
  </w:style>
  <w:style w:type="character" w:customStyle="1" w:styleId="104">
    <w:name w:val="font01"/>
    <w:basedOn w:val="30"/>
    <w:autoRedefine/>
    <w:qFormat/>
    <w:uiPriority w:val="0"/>
    <w:rPr>
      <w:rFonts w:hint="eastAsia" w:ascii="宋体" w:hAnsi="宋体" w:eastAsia="宋体" w:cs="宋体"/>
      <w:color w:val="000000"/>
      <w:sz w:val="22"/>
      <w:szCs w:val="22"/>
      <w:u w:val="none"/>
    </w:rPr>
  </w:style>
  <w:style w:type="character" w:customStyle="1" w:styleId="105">
    <w:name w:val="font21"/>
    <w:basedOn w:val="30"/>
    <w:autoRedefine/>
    <w:qFormat/>
    <w:uiPriority w:val="0"/>
    <w:rPr>
      <w:rFonts w:hint="eastAsia" w:ascii="宋体" w:hAnsi="宋体" w:eastAsia="宋体" w:cs="宋体"/>
      <w:color w:val="0000FF"/>
      <w:sz w:val="21"/>
      <w:szCs w:val="21"/>
      <w:u w:val="none"/>
    </w:rPr>
  </w:style>
  <w:style w:type="character" w:customStyle="1" w:styleId="106">
    <w:name w:val="font11"/>
    <w:basedOn w:val="30"/>
    <w:autoRedefine/>
    <w:qFormat/>
    <w:uiPriority w:val="0"/>
    <w:rPr>
      <w:rFonts w:hint="eastAsia" w:ascii="宋体" w:hAnsi="宋体" w:eastAsia="宋体" w:cs="宋体"/>
      <w:color w:val="000000"/>
      <w:sz w:val="21"/>
      <w:szCs w:val="21"/>
      <w:u w:val="none"/>
    </w:rPr>
  </w:style>
  <w:style w:type="character" w:customStyle="1" w:styleId="107">
    <w:name w:val="font41"/>
    <w:basedOn w:val="30"/>
    <w:autoRedefine/>
    <w:qFormat/>
    <w:uiPriority w:val="0"/>
    <w:rPr>
      <w:rFonts w:hint="eastAsia" w:ascii="宋体" w:hAnsi="宋体" w:eastAsia="宋体" w:cs="宋体"/>
      <w:color w:val="FF0000"/>
      <w:sz w:val="22"/>
      <w:szCs w:val="22"/>
      <w:u w:val="none"/>
    </w:rPr>
  </w:style>
  <w:style w:type="character" w:customStyle="1" w:styleId="108">
    <w:name w:val="font61"/>
    <w:basedOn w:val="30"/>
    <w:autoRedefine/>
    <w:qFormat/>
    <w:uiPriority w:val="0"/>
    <w:rPr>
      <w:rFonts w:hint="eastAsia" w:ascii="宋体" w:hAnsi="宋体" w:eastAsia="宋体" w:cs="宋体"/>
      <w:color w:val="000000"/>
      <w:sz w:val="24"/>
      <w:szCs w:val="24"/>
      <w:u w:val="none"/>
    </w:rPr>
  </w:style>
  <w:style w:type="character" w:customStyle="1" w:styleId="109">
    <w:name w:val="font51"/>
    <w:basedOn w:val="30"/>
    <w:autoRedefine/>
    <w:qFormat/>
    <w:uiPriority w:val="0"/>
    <w:rPr>
      <w:rFonts w:ascii="Calibri" w:hAnsi="Calibri" w:cs="Calibri"/>
      <w:color w:val="000000"/>
      <w:sz w:val="24"/>
      <w:szCs w:val="24"/>
      <w:u w:val="none"/>
    </w:rPr>
  </w:style>
  <w:style w:type="character" w:customStyle="1" w:styleId="110">
    <w:name w:val="font71"/>
    <w:basedOn w:val="30"/>
    <w:autoRedefine/>
    <w:qFormat/>
    <w:uiPriority w:val="0"/>
    <w:rPr>
      <w:rFonts w:hint="eastAsia" w:ascii="宋体" w:hAnsi="宋体" w:eastAsia="宋体" w:cs="宋体"/>
      <w:color w:val="000000"/>
      <w:sz w:val="18"/>
      <w:szCs w:val="18"/>
      <w:u w:val="none"/>
    </w:rPr>
  </w:style>
  <w:style w:type="character" w:customStyle="1" w:styleId="111">
    <w:name w:val="批注文字 Char"/>
    <w:basedOn w:val="30"/>
    <w:link w:val="8"/>
    <w:qFormat/>
    <w:uiPriority w:val="99"/>
    <w:rPr>
      <w:kern w:val="2"/>
      <w:sz w:val="21"/>
      <w:szCs w:val="24"/>
    </w:rPr>
  </w:style>
  <w:style w:type="character" w:customStyle="1" w:styleId="112">
    <w:name w:val="批注主题 Char"/>
    <w:basedOn w:val="111"/>
    <w:link w:val="27"/>
    <w:semiHidden/>
    <w:qFormat/>
    <w:uiPriority w:val="99"/>
    <w:rPr>
      <w:b/>
      <w:bCs/>
      <w:kern w:val="2"/>
      <w:sz w:val="21"/>
      <w:szCs w:val="24"/>
    </w:rPr>
  </w:style>
  <w:style w:type="character" w:customStyle="1" w:styleId="113">
    <w:name w:val="font81"/>
    <w:basedOn w:val="30"/>
    <w:qFormat/>
    <w:uiPriority w:val="0"/>
    <w:rPr>
      <w:rFonts w:hint="default" w:ascii="Calibri" w:hAnsi="Calibri" w:cs="Calibri"/>
      <w:color w:val="000000"/>
      <w:sz w:val="22"/>
      <w:szCs w:val="22"/>
      <w:u w:val="none"/>
    </w:rPr>
  </w:style>
  <w:style w:type="paragraph" w:customStyle="1" w:styleId="114">
    <w:name w:val="样式 5 10 磅"/>
    <w:next w:val="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样式 样式 (西文) 宋体 首行缩进:  2.57 字符 + 首行缩进:  2.57 字符_0"/>
    <w:qFormat/>
    <w:uiPriority w:val="0"/>
    <w:pPr>
      <w:widowControl w:val="0"/>
      <w:spacing w:line="360" w:lineRule="auto"/>
      <w:ind w:firstLine="257"/>
      <w:jc w:val="both"/>
    </w:pPr>
    <w:rPr>
      <w:rFonts w:ascii="宋体" w:hAnsi="宋体" w:eastAsia="方正黑体_GBK" w:cs="宋体"/>
      <w:kern w:val="2"/>
      <w:sz w:val="24"/>
      <w:szCs w:val="28"/>
      <w:lang w:val="en-US" w:eastAsia="en-US" w:bidi="ar-SA"/>
    </w:rPr>
  </w:style>
  <w:style w:type="paragraph" w:customStyle="1" w:styleId="116">
    <w:name w:val="样式 6 10 磅"/>
    <w:next w:val="22"/>
    <w:qFormat/>
    <w:uiPriority w:val="0"/>
    <w:rPr>
      <w:rFonts w:ascii="Times New Roman" w:hAnsi="Times New Roman" w:eastAsia="宋体" w:cs="Times New Roman"/>
      <w:lang w:val="en-US" w:eastAsia="zh-CN" w:bidi="ar-SA"/>
    </w:rPr>
  </w:style>
  <w:style w:type="paragraph" w:customStyle="1" w:styleId="117">
    <w:name w:val="样式 1 10 磅"/>
    <w:qFormat/>
    <w:uiPriority w:val="0"/>
    <w:pPr>
      <w:widowControl w:val="0"/>
      <w:jc w:val="both"/>
    </w:pPr>
    <w:rPr>
      <w:rFonts w:ascii="Calibri" w:hAnsi="Calibri" w:eastAsia="宋体" w:cs="Arial"/>
      <w:kern w:val="2"/>
      <w:sz w:val="21"/>
      <w:szCs w:val="22"/>
      <w:lang w:val="en-US" w:eastAsia="zh-CN" w:bidi="ar-SA"/>
    </w:rPr>
  </w:style>
  <w:style w:type="paragraph" w:customStyle="1" w:styleId="118">
    <w:name w:val="_Style 29"/>
    <w:basedOn w:val="1"/>
    <w:next w:val="61"/>
    <w:qFormat/>
    <w:uiPriority w:val="34"/>
    <w:pPr>
      <w:ind w:firstLine="420" w:firstLineChars="200"/>
    </w:pPr>
    <w:rPr>
      <w:rFonts w:eastAsiaTheme="minorEastAsia" w:cstheme="minorBidi"/>
    </w:rPr>
  </w:style>
  <w:style w:type="paragraph" w:customStyle="1" w:styleId="119">
    <w:name w:val="样式 1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样式 1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样式 1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样式 1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样式 1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样式 1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样式 1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15"/>
    <w:basedOn w:val="3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DB42B-B90C-4978-A576-E733075E27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15558</Words>
  <Characters>16429</Characters>
  <Lines>218</Lines>
  <Paragraphs>61</Paragraphs>
  <TotalTime>7</TotalTime>
  <ScaleCrop>false</ScaleCrop>
  <LinksUpToDate>false</LinksUpToDate>
  <CharactersWithSpaces>16954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2021-07-24T01:27:00Z</dcterms:created>
  <dc:creator>yaoyi</dc:creator>
  <cp:lastModifiedBy>Pajamas</cp:lastModifiedBy>
  <cp:lastPrinted>2024-10-18T01:23:00Z</cp:lastPrinted>
  <dcterms:modified xsi:type="dcterms:W3CDTF">2024-10-28T07:52:07Z</dcterms:modified>
  <dc:title>江苏舜天高科招标文件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F3A5E17CDA814F0CAA5B90586C4962E5_13</vt:lpwstr>
  </property>
</Properties>
</file>