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4EBEE">
      <w:pPr>
        <w:pStyle w:val="209"/>
        <w:jc w:val="center"/>
        <w:rPr>
          <w:rFonts w:hint="eastAsia" w:ascii="宋体" w:hAnsi="宋体" w:eastAsia="宋体" w:cs="宋体"/>
          <w:b/>
          <w:bCs/>
          <w:sz w:val="56"/>
          <w:szCs w:val="56"/>
          <w:highlight w:val="none"/>
        </w:rPr>
      </w:pPr>
    </w:p>
    <w:p w14:paraId="01ABC3E9">
      <w:pPr>
        <w:pStyle w:val="209"/>
        <w:jc w:val="center"/>
        <w:rPr>
          <w:rFonts w:hint="eastAsia" w:ascii="宋体" w:hAnsi="宋体" w:eastAsia="宋体" w:cs="宋体"/>
          <w:b/>
          <w:bCs/>
          <w:sz w:val="48"/>
          <w:szCs w:val="48"/>
          <w:highlight w:val="none"/>
        </w:rPr>
      </w:pPr>
      <w:r>
        <w:rPr>
          <w:rFonts w:hint="eastAsia" w:ascii="宋体" w:hAnsi="宋体" w:eastAsia="宋体" w:cs="宋体"/>
          <w:b/>
          <w:bCs/>
          <w:sz w:val="48"/>
          <w:szCs w:val="48"/>
          <w:highlight w:val="none"/>
        </w:rPr>
        <w:t>浈江产业园（犁市片区）基础设施建设项目（土方工程、道路及边坡工程、管线工程）设计</w:t>
      </w:r>
    </w:p>
    <w:p w14:paraId="358768D5">
      <w:pPr>
        <w:pStyle w:val="209"/>
        <w:jc w:val="center"/>
        <w:rPr>
          <w:rFonts w:hint="eastAsia" w:ascii="宋体" w:hAnsi="宋体" w:eastAsia="宋体" w:cs="宋体"/>
          <w:b/>
          <w:bCs/>
          <w:spacing w:val="28"/>
          <w:sz w:val="56"/>
          <w:szCs w:val="56"/>
          <w:highlight w:val="none"/>
        </w:rPr>
      </w:pPr>
    </w:p>
    <w:p w14:paraId="26CD8D26">
      <w:pPr>
        <w:pStyle w:val="209"/>
        <w:jc w:val="center"/>
        <w:rPr>
          <w:rFonts w:hint="eastAsia" w:ascii="宋体" w:hAnsi="宋体" w:eastAsia="宋体" w:cs="宋体"/>
          <w:b/>
          <w:bCs/>
          <w:spacing w:val="28"/>
          <w:sz w:val="56"/>
          <w:szCs w:val="56"/>
          <w:highlight w:val="none"/>
        </w:rPr>
      </w:pPr>
    </w:p>
    <w:p w14:paraId="36ACA626">
      <w:pPr>
        <w:pStyle w:val="209"/>
        <w:jc w:val="center"/>
        <w:rPr>
          <w:rFonts w:hint="eastAsia" w:ascii="宋体" w:hAnsi="宋体" w:eastAsia="宋体" w:cs="宋体"/>
          <w:b/>
          <w:bCs/>
          <w:spacing w:val="26"/>
          <w:sz w:val="72"/>
          <w:szCs w:val="72"/>
          <w:highlight w:val="none"/>
        </w:rPr>
      </w:pPr>
      <w:r>
        <w:rPr>
          <w:rFonts w:hint="eastAsia" w:ascii="宋体" w:hAnsi="宋体" w:eastAsia="宋体" w:cs="宋体"/>
          <w:b/>
          <w:bCs/>
          <w:spacing w:val="28"/>
          <w:sz w:val="72"/>
          <w:szCs w:val="72"/>
          <w:highlight w:val="none"/>
        </w:rPr>
        <w:t>招标文件</w:t>
      </w:r>
    </w:p>
    <w:p w14:paraId="186ED440">
      <w:pPr>
        <w:pStyle w:val="209"/>
        <w:spacing w:line="360" w:lineRule="auto"/>
        <w:rPr>
          <w:rFonts w:hint="eastAsia" w:ascii="宋体" w:hAnsi="宋体" w:eastAsia="宋体" w:cs="宋体"/>
          <w:b/>
          <w:bCs/>
          <w:spacing w:val="26"/>
          <w:sz w:val="48"/>
          <w:szCs w:val="48"/>
          <w:highlight w:val="none"/>
        </w:rPr>
      </w:pPr>
    </w:p>
    <w:p w14:paraId="6ED169EC">
      <w:pPr>
        <w:pStyle w:val="209"/>
        <w:spacing w:line="360" w:lineRule="auto"/>
        <w:rPr>
          <w:rFonts w:hint="eastAsia" w:ascii="宋体" w:hAnsi="宋体" w:eastAsia="宋体" w:cs="宋体"/>
          <w:b/>
          <w:bCs/>
          <w:spacing w:val="26"/>
          <w:sz w:val="48"/>
          <w:szCs w:val="48"/>
          <w:highlight w:val="none"/>
        </w:rPr>
      </w:pPr>
    </w:p>
    <w:p w14:paraId="72D9784B">
      <w:pPr>
        <w:pStyle w:val="209"/>
        <w:spacing w:line="360" w:lineRule="auto"/>
        <w:rPr>
          <w:rFonts w:hint="eastAsia" w:ascii="宋体" w:hAnsi="宋体" w:eastAsia="宋体" w:cs="宋体"/>
          <w:b/>
          <w:bCs/>
          <w:spacing w:val="26"/>
          <w:sz w:val="48"/>
          <w:szCs w:val="48"/>
          <w:highlight w:val="none"/>
        </w:rPr>
      </w:pPr>
    </w:p>
    <w:p w14:paraId="1BE8D54D">
      <w:pPr>
        <w:pStyle w:val="209"/>
        <w:spacing w:line="360" w:lineRule="auto"/>
        <w:rPr>
          <w:rFonts w:hint="eastAsia" w:ascii="宋体" w:hAnsi="宋体" w:eastAsia="宋体" w:cs="宋体"/>
          <w:b/>
          <w:bCs/>
          <w:spacing w:val="26"/>
          <w:sz w:val="48"/>
          <w:szCs w:val="48"/>
          <w:highlight w:val="none"/>
        </w:rPr>
      </w:pPr>
    </w:p>
    <w:tbl>
      <w:tblPr>
        <w:tblStyle w:val="33"/>
        <w:tblpPr w:leftFromText="180" w:rightFromText="180" w:vertAnchor="text" w:horzAnchor="page" w:tblpX="1312" w:tblpY="423"/>
        <w:tblOverlap w:val="never"/>
        <w:tblW w:w="10367" w:type="dxa"/>
        <w:tblInd w:w="0" w:type="dxa"/>
        <w:tblLayout w:type="fixed"/>
        <w:tblCellMar>
          <w:top w:w="0" w:type="dxa"/>
          <w:left w:w="0" w:type="dxa"/>
          <w:bottom w:w="0" w:type="dxa"/>
          <w:right w:w="0" w:type="dxa"/>
        </w:tblCellMar>
      </w:tblPr>
      <w:tblGrid>
        <w:gridCol w:w="4817"/>
        <w:gridCol w:w="5550"/>
      </w:tblGrid>
      <w:tr w14:paraId="01F20856">
        <w:tblPrEx>
          <w:tblCellMar>
            <w:top w:w="0" w:type="dxa"/>
            <w:left w:w="0" w:type="dxa"/>
            <w:bottom w:w="0" w:type="dxa"/>
            <w:right w:w="0" w:type="dxa"/>
          </w:tblCellMar>
        </w:tblPrEx>
        <w:trPr>
          <w:trHeight w:val="845" w:hRule="atLeast"/>
        </w:trPr>
        <w:tc>
          <w:tcPr>
            <w:tcW w:w="4817" w:type="dxa"/>
            <w:vAlign w:val="center"/>
          </w:tcPr>
          <w:p w14:paraId="4E4BAEC8">
            <w:pPr>
              <w:pStyle w:val="136"/>
              <w:spacing w:line="240" w:lineRule="auto"/>
              <w:ind w:firstLine="140" w:firstLineChars="50"/>
              <w:rPr>
                <w:rFonts w:hint="eastAsia" w:hAnsi="宋体" w:cs="宋体"/>
                <w:sz w:val="28"/>
                <w:szCs w:val="28"/>
                <w:highlight w:val="none"/>
              </w:rPr>
            </w:pPr>
            <w:r>
              <w:rPr>
                <w:rFonts w:hint="eastAsia" w:hAnsi="宋体" w:cs="宋体"/>
                <w:sz w:val="28"/>
                <w:szCs w:val="28"/>
                <w:highlight w:val="none"/>
              </w:rPr>
              <w:t>招         标        人（盖 章）：</w:t>
            </w:r>
          </w:p>
        </w:tc>
        <w:tc>
          <w:tcPr>
            <w:tcW w:w="5550" w:type="dxa"/>
            <w:vAlign w:val="center"/>
          </w:tcPr>
          <w:p w14:paraId="487D1742">
            <w:pPr>
              <w:pStyle w:val="136"/>
              <w:spacing w:line="240" w:lineRule="auto"/>
              <w:rPr>
                <w:rFonts w:hint="eastAsia" w:hAnsi="宋体" w:cs="宋体"/>
                <w:sz w:val="28"/>
                <w:szCs w:val="28"/>
                <w:highlight w:val="none"/>
              </w:rPr>
            </w:pPr>
            <w:r>
              <w:rPr>
                <w:rFonts w:hint="eastAsia" w:hAnsi="宋体" w:cs="宋体"/>
                <w:sz w:val="28"/>
                <w:szCs w:val="28"/>
                <w:highlight w:val="none"/>
              </w:rPr>
              <w:t>东莞（韶关）浈江产业转移工业园管理委员会</w:t>
            </w:r>
          </w:p>
        </w:tc>
      </w:tr>
      <w:tr w14:paraId="6DF92A13">
        <w:tblPrEx>
          <w:tblCellMar>
            <w:top w:w="0" w:type="dxa"/>
            <w:left w:w="0" w:type="dxa"/>
            <w:bottom w:w="0" w:type="dxa"/>
            <w:right w:w="0" w:type="dxa"/>
          </w:tblCellMar>
        </w:tblPrEx>
        <w:trPr>
          <w:trHeight w:val="845" w:hRule="atLeast"/>
        </w:trPr>
        <w:tc>
          <w:tcPr>
            <w:tcW w:w="4817" w:type="dxa"/>
            <w:vAlign w:val="center"/>
          </w:tcPr>
          <w:p w14:paraId="3D36780D">
            <w:pPr>
              <w:pStyle w:val="136"/>
              <w:spacing w:line="240" w:lineRule="auto"/>
              <w:jc w:val="left"/>
              <w:rPr>
                <w:rFonts w:hint="eastAsia" w:hAnsi="宋体" w:cs="宋体"/>
                <w:sz w:val="28"/>
                <w:highlight w:val="none"/>
              </w:rPr>
            </w:pPr>
            <w:r>
              <w:rPr>
                <w:rFonts w:hint="eastAsia" w:hAnsi="宋体" w:cs="宋体"/>
                <w:sz w:val="28"/>
                <w:highlight w:val="none"/>
              </w:rPr>
              <w:t xml:space="preserve"> 招标人工作领导小组负责人（签字）：</w:t>
            </w:r>
          </w:p>
        </w:tc>
        <w:tc>
          <w:tcPr>
            <w:tcW w:w="5550" w:type="dxa"/>
            <w:vAlign w:val="center"/>
          </w:tcPr>
          <w:p w14:paraId="6DA85607">
            <w:pPr>
              <w:pStyle w:val="136"/>
              <w:spacing w:line="240" w:lineRule="auto"/>
              <w:rPr>
                <w:rFonts w:hint="eastAsia" w:hAnsi="宋体" w:cs="宋体"/>
                <w:sz w:val="28"/>
                <w:szCs w:val="28"/>
                <w:highlight w:val="none"/>
              </w:rPr>
            </w:pPr>
          </w:p>
        </w:tc>
      </w:tr>
      <w:tr w14:paraId="1E2E9AB0">
        <w:tblPrEx>
          <w:tblCellMar>
            <w:top w:w="0" w:type="dxa"/>
            <w:left w:w="0" w:type="dxa"/>
            <w:bottom w:w="0" w:type="dxa"/>
            <w:right w:w="0" w:type="dxa"/>
          </w:tblCellMar>
        </w:tblPrEx>
        <w:trPr>
          <w:trHeight w:val="829" w:hRule="atLeast"/>
        </w:trPr>
        <w:tc>
          <w:tcPr>
            <w:tcW w:w="4817" w:type="dxa"/>
            <w:vAlign w:val="center"/>
          </w:tcPr>
          <w:p w14:paraId="0AD00B86">
            <w:pPr>
              <w:pStyle w:val="136"/>
              <w:spacing w:line="240" w:lineRule="auto"/>
              <w:jc w:val="left"/>
              <w:rPr>
                <w:rFonts w:hint="eastAsia" w:hAnsi="宋体" w:cs="宋体"/>
                <w:sz w:val="28"/>
                <w:highlight w:val="none"/>
              </w:rPr>
            </w:pPr>
            <w:r>
              <w:rPr>
                <w:rFonts w:hint="eastAsia" w:hAnsi="宋体" w:cs="宋体"/>
                <w:sz w:val="28"/>
                <w:highlight w:val="none"/>
              </w:rPr>
              <w:t xml:space="preserve"> 招  标  代  理  机  构 （盖 章）：</w:t>
            </w:r>
          </w:p>
        </w:tc>
        <w:tc>
          <w:tcPr>
            <w:tcW w:w="5550" w:type="dxa"/>
            <w:vAlign w:val="center"/>
          </w:tcPr>
          <w:p w14:paraId="6A56C774">
            <w:pPr>
              <w:pStyle w:val="136"/>
              <w:spacing w:line="240" w:lineRule="auto"/>
              <w:rPr>
                <w:rFonts w:hint="eastAsia" w:hAnsi="宋体" w:cs="宋体"/>
                <w:sz w:val="28"/>
                <w:szCs w:val="28"/>
                <w:highlight w:val="none"/>
              </w:rPr>
            </w:pPr>
            <w:r>
              <w:rPr>
                <w:rFonts w:hint="eastAsia" w:hAnsi="宋体" w:cs="宋体"/>
                <w:sz w:val="28"/>
                <w:szCs w:val="28"/>
                <w:highlight w:val="none"/>
              </w:rPr>
              <w:t>广东方川工程咨询有限公司</w:t>
            </w:r>
          </w:p>
        </w:tc>
      </w:tr>
      <w:tr w14:paraId="2ED15BD5">
        <w:tblPrEx>
          <w:tblCellMar>
            <w:top w:w="0" w:type="dxa"/>
            <w:left w:w="0" w:type="dxa"/>
            <w:bottom w:w="0" w:type="dxa"/>
            <w:right w:w="0" w:type="dxa"/>
          </w:tblCellMar>
        </w:tblPrEx>
        <w:trPr>
          <w:trHeight w:val="898" w:hRule="atLeast"/>
        </w:trPr>
        <w:tc>
          <w:tcPr>
            <w:tcW w:w="4817" w:type="dxa"/>
            <w:vAlign w:val="center"/>
          </w:tcPr>
          <w:p w14:paraId="7CF11AD7">
            <w:pPr>
              <w:pStyle w:val="136"/>
              <w:spacing w:line="240" w:lineRule="auto"/>
              <w:jc w:val="left"/>
              <w:rPr>
                <w:rFonts w:hint="eastAsia" w:hAnsi="宋体" w:cs="宋体"/>
                <w:sz w:val="28"/>
                <w:highlight w:val="none"/>
              </w:rPr>
            </w:pPr>
            <w:r>
              <w:rPr>
                <w:rFonts w:hint="eastAsia" w:hAnsi="宋体" w:cs="宋体"/>
                <w:sz w:val="28"/>
                <w:highlight w:val="none"/>
              </w:rPr>
              <w:t xml:space="preserve"> 招  标  文  件  编 制 人（签字）：</w:t>
            </w:r>
          </w:p>
        </w:tc>
        <w:tc>
          <w:tcPr>
            <w:tcW w:w="5550" w:type="dxa"/>
            <w:vAlign w:val="center"/>
          </w:tcPr>
          <w:p w14:paraId="489FA031">
            <w:pPr>
              <w:pStyle w:val="136"/>
              <w:spacing w:line="240" w:lineRule="auto"/>
              <w:jc w:val="left"/>
              <w:rPr>
                <w:rFonts w:hint="eastAsia" w:hAnsi="宋体" w:cs="宋体"/>
                <w:sz w:val="28"/>
                <w:szCs w:val="28"/>
                <w:highlight w:val="none"/>
              </w:rPr>
            </w:pPr>
          </w:p>
        </w:tc>
      </w:tr>
      <w:tr w14:paraId="02C28F62">
        <w:tblPrEx>
          <w:tblCellMar>
            <w:top w:w="0" w:type="dxa"/>
            <w:left w:w="0" w:type="dxa"/>
            <w:bottom w:w="0" w:type="dxa"/>
            <w:right w:w="0" w:type="dxa"/>
          </w:tblCellMar>
        </w:tblPrEx>
        <w:trPr>
          <w:trHeight w:val="829" w:hRule="atLeast"/>
        </w:trPr>
        <w:tc>
          <w:tcPr>
            <w:tcW w:w="4817" w:type="dxa"/>
            <w:vAlign w:val="center"/>
          </w:tcPr>
          <w:p w14:paraId="30BCC0AA">
            <w:pPr>
              <w:pStyle w:val="136"/>
              <w:wordWrap w:val="0"/>
              <w:spacing w:line="240" w:lineRule="auto"/>
              <w:jc w:val="left"/>
              <w:rPr>
                <w:rFonts w:hint="eastAsia" w:hAnsi="宋体" w:cs="宋体"/>
                <w:sz w:val="28"/>
                <w:highlight w:val="none"/>
              </w:rPr>
            </w:pPr>
            <w:r>
              <w:rPr>
                <w:rFonts w:hint="eastAsia" w:hAnsi="宋体" w:cs="宋体"/>
                <w:sz w:val="28"/>
                <w:highlight w:val="none"/>
              </w:rPr>
              <w:t xml:space="preserve"> 招标代理机构项目负责人 （签字）：</w:t>
            </w:r>
          </w:p>
        </w:tc>
        <w:tc>
          <w:tcPr>
            <w:tcW w:w="5550" w:type="dxa"/>
            <w:vAlign w:val="center"/>
          </w:tcPr>
          <w:p w14:paraId="5437FBC5">
            <w:pPr>
              <w:pStyle w:val="136"/>
              <w:spacing w:line="240" w:lineRule="auto"/>
              <w:rPr>
                <w:rFonts w:hint="eastAsia" w:hAnsi="宋体" w:cs="宋体"/>
                <w:sz w:val="28"/>
                <w:szCs w:val="28"/>
                <w:highlight w:val="none"/>
              </w:rPr>
            </w:pPr>
          </w:p>
        </w:tc>
      </w:tr>
      <w:tr w14:paraId="4DD36D58">
        <w:tblPrEx>
          <w:tblCellMar>
            <w:top w:w="0" w:type="dxa"/>
            <w:left w:w="0" w:type="dxa"/>
            <w:bottom w:w="0" w:type="dxa"/>
            <w:right w:w="0" w:type="dxa"/>
          </w:tblCellMar>
        </w:tblPrEx>
        <w:trPr>
          <w:trHeight w:val="830" w:hRule="atLeast"/>
        </w:trPr>
        <w:tc>
          <w:tcPr>
            <w:tcW w:w="4817" w:type="dxa"/>
            <w:vAlign w:val="center"/>
          </w:tcPr>
          <w:p w14:paraId="7D035BC5">
            <w:pPr>
              <w:pStyle w:val="136"/>
              <w:wordWrap w:val="0"/>
              <w:spacing w:line="240" w:lineRule="auto"/>
              <w:jc w:val="left"/>
              <w:rPr>
                <w:rFonts w:hint="eastAsia" w:hAnsi="宋体" w:cs="宋体"/>
                <w:sz w:val="28"/>
                <w:highlight w:val="none"/>
              </w:rPr>
            </w:pPr>
            <w:r>
              <w:rPr>
                <w:rFonts w:hint="eastAsia" w:hAnsi="宋体" w:cs="宋体"/>
                <w:sz w:val="28"/>
                <w:highlight w:val="none"/>
              </w:rPr>
              <w:t xml:space="preserve"> 招  标  文  件  编  制  日  期 ：</w:t>
            </w:r>
          </w:p>
        </w:tc>
        <w:tc>
          <w:tcPr>
            <w:tcW w:w="5550" w:type="dxa"/>
            <w:vAlign w:val="center"/>
          </w:tcPr>
          <w:p w14:paraId="04E4851D">
            <w:pPr>
              <w:pStyle w:val="136"/>
              <w:spacing w:line="240" w:lineRule="auto"/>
              <w:rPr>
                <w:rFonts w:hint="eastAsia" w:hAnsi="宋体" w:cs="宋体"/>
                <w:sz w:val="28"/>
                <w:highlight w:val="none"/>
              </w:rPr>
            </w:pPr>
            <w:r>
              <w:rPr>
                <w:rFonts w:hint="eastAsia" w:hAnsi="宋体" w:cs="宋体"/>
                <w:sz w:val="28"/>
                <w:highlight w:val="none"/>
              </w:rPr>
              <w:t>2024年 11月</w:t>
            </w:r>
          </w:p>
        </w:tc>
      </w:tr>
    </w:tbl>
    <w:p w14:paraId="6BD1DE57">
      <w:pPr>
        <w:pStyle w:val="212"/>
        <w:snapToGrid w:val="0"/>
        <w:spacing w:line="288" w:lineRule="auto"/>
        <w:ind w:left="0"/>
        <w:jc w:val="center"/>
        <w:rPr>
          <w:rFonts w:hint="eastAsia" w:hAnsi="宋体" w:cs="宋体"/>
          <w:b/>
          <w:sz w:val="28"/>
          <w:szCs w:val="28"/>
          <w:highlight w:val="none"/>
        </w:rPr>
        <w:sectPr>
          <w:footerReference r:id="rId3" w:type="default"/>
          <w:endnotePr>
            <w:numFmt w:val="decimal"/>
          </w:endnotePr>
          <w:pgSz w:w="11906" w:h="16838"/>
          <w:pgMar w:top="1440" w:right="1080" w:bottom="1440" w:left="1080" w:header="850" w:footer="992" w:gutter="0"/>
          <w:pgNumType w:start="0"/>
          <w:cols w:space="720" w:num="1"/>
          <w:docGrid w:linePitch="327" w:charSpace="0"/>
        </w:sectPr>
      </w:pPr>
    </w:p>
    <w:p w14:paraId="5D4B0A5F">
      <w:pPr>
        <w:pStyle w:val="212"/>
        <w:tabs>
          <w:tab w:val="right" w:leader="dot" w:pos="9736"/>
        </w:tabs>
        <w:snapToGrid w:val="0"/>
        <w:spacing w:line="288" w:lineRule="auto"/>
        <w:ind w:left="0"/>
        <w:jc w:val="center"/>
        <w:rPr>
          <w:rFonts w:hint="eastAsia" w:hAnsi="宋体" w:cs="宋体"/>
          <w:b/>
          <w:sz w:val="40"/>
          <w:szCs w:val="40"/>
          <w:highlight w:val="none"/>
        </w:rPr>
      </w:pPr>
    </w:p>
    <w:p w14:paraId="7FEA5A09">
      <w:pPr>
        <w:pStyle w:val="212"/>
        <w:tabs>
          <w:tab w:val="right" w:leader="dot" w:pos="9736"/>
        </w:tabs>
        <w:snapToGrid w:val="0"/>
        <w:spacing w:line="288" w:lineRule="auto"/>
        <w:ind w:left="0"/>
        <w:jc w:val="center"/>
        <w:rPr>
          <w:rFonts w:hint="eastAsia" w:hAnsi="宋体" w:cs="宋体"/>
          <w:b/>
          <w:sz w:val="40"/>
          <w:szCs w:val="40"/>
          <w:highlight w:val="none"/>
        </w:rPr>
      </w:pPr>
    </w:p>
    <w:p w14:paraId="4B179776">
      <w:pPr>
        <w:pStyle w:val="212"/>
        <w:tabs>
          <w:tab w:val="right" w:leader="dot" w:pos="9736"/>
        </w:tabs>
        <w:snapToGrid w:val="0"/>
        <w:spacing w:line="288" w:lineRule="auto"/>
        <w:ind w:left="0"/>
        <w:jc w:val="center"/>
        <w:rPr>
          <w:rFonts w:hint="eastAsia" w:hAnsi="宋体" w:cs="宋体"/>
          <w:b/>
          <w:sz w:val="40"/>
          <w:szCs w:val="40"/>
          <w:highlight w:val="none"/>
        </w:rPr>
      </w:pPr>
    </w:p>
    <w:p w14:paraId="5787ED64">
      <w:pPr>
        <w:pStyle w:val="212"/>
        <w:tabs>
          <w:tab w:val="right" w:leader="dot" w:pos="9736"/>
        </w:tabs>
        <w:snapToGrid w:val="0"/>
        <w:spacing w:line="288" w:lineRule="auto"/>
        <w:ind w:left="0"/>
        <w:jc w:val="center"/>
        <w:rPr>
          <w:rFonts w:hint="eastAsia" w:hAnsi="宋体" w:cs="宋体"/>
          <w:b/>
          <w:sz w:val="40"/>
          <w:szCs w:val="40"/>
          <w:highlight w:val="none"/>
        </w:rPr>
      </w:pPr>
    </w:p>
    <w:p w14:paraId="2202F1F0">
      <w:pPr>
        <w:pStyle w:val="212"/>
        <w:tabs>
          <w:tab w:val="right" w:leader="dot" w:pos="9736"/>
        </w:tabs>
        <w:snapToGrid w:val="0"/>
        <w:spacing w:line="288" w:lineRule="auto"/>
        <w:ind w:left="0"/>
        <w:jc w:val="center"/>
        <w:rPr>
          <w:rFonts w:hint="eastAsia" w:hAnsi="宋体" w:cs="宋体"/>
          <w:b/>
          <w:sz w:val="40"/>
          <w:szCs w:val="40"/>
          <w:highlight w:val="none"/>
        </w:rPr>
      </w:pPr>
    </w:p>
    <w:p w14:paraId="02050A0B">
      <w:pPr>
        <w:pStyle w:val="212"/>
        <w:tabs>
          <w:tab w:val="right" w:leader="dot" w:pos="9736"/>
        </w:tabs>
        <w:snapToGrid w:val="0"/>
        <w:spacing w:line="288" w:lineRule="auto"/>
        <w:ind w:left="0"/>
        <w:jc w:val="center"/>
        <w:rPr>
          <w:rFonts w:hint="eastAsia" w:hAnsi="宋体" w:cs="宋体"/>
          <w:b/>
          <w:sz w:val="40"/>
          <w:szCs w:val="40"/>
          <w:highlight w:val="none"/>
        </w:rPr>
      </w:pPr>
    </w:p>
    <w:p w14:paraId="135E9C01">
      <w:pPr>
        <w:pStyle w:val="212"/>
        <w:tabs>
          <w:tab w:val="right" w:leader="dot" w:pos="9736"/>
        </w:tabs>
        <w:snapToGrid w:val="0"/>
        <w:spacing w:line="288" w:lineRule="auto"/>
        <w:ind w:left="0"/>
        <w:jc w:val="center"/>
        <w:rPr>
          <w:rFonts w:hint="eastAsia" w:hAnsi="宋体" w:cs="宋体"/>
          <w:b/>
          <w:sz w:val="40"/>
          <w:szCs w:val="40"/>
          <w:highlight w:val="none"/>
        </w:rPr>
      </w:pPr>
    </w:p>
    <w:p w14:paraId="44CBBDCA">
      <w:pPr>
        <w:pStyle w:val="212"/>
        <w:tabs>
          <w:tab w:val="right" w:leader="dot" w:pos="9736"/>
        </w:tabs>
        <w:snapToGrid w:val="0"/>
        <w:spacing w:line="288" w:lineRule="auto"/>
        <w:ind w:left="0"/>
        <w:jc w:val="center"/>
        <w:rPr>
          <w:rFonts w:hint="eastAsia" w:hAnsi="宋体" w:cs="宋体"/>
          <w:b/>
          <w:sz w:val="40"/>
          <w:szCs w:val="40"/>
          <w:highlight w:val="none"/>
        </w:rPr>
      </w:pPr>
    </w:p>
    <w:p w14:paraId="000F40A8">
      <w:pPr>
        <w:pStyle w:val="212"/>
        <w:tabs>
          <w:tab w:val="right" w:leader="dot" w:pos="9736"/>
        </w:tabs>
        <w:snapToGrid w:val="0"/>
        <w:spacing w:line="288" w:lineRule="auto"/>
        <w:ind w:left="0"/>
        <w:jc w:val="center"/>
        <w:rPr>
          <w:rFonts w:hint="eastAsia" w:hAnsi="宋体" w:cs="宋体"/>
          <w:b/>
          <w:sz w:val="40"/>
          <w:szCs w:val="40"/>
          <w:highlight w:val="none"/>
        </w:rPr>
      </w:pPr>
    </w:p>
    <w:p w14:paraId="1827A282">
      <w:pPr>
        <w:pStyle w:val="212"/>
        <w:tabs>
          <w:tab w:val="right" w:leader="dot" w:pos="9736"/>
        </w:tabs>
        <w:snapToGrid w:val="0"/>
        <w:spacing w:line="288" w:lineRule="auto"/>
        <w:ind w:left="0"/>
        <w:jc w:val="center"/>
        <w:rPr>
          <w:rFonts w:hint="eastAsia" w:hAnsi="宋体" w:cs="宋体"/>
          <w:b/>
          <w:sz w:val="40"/>
          <w:szCs w:val="40"/>
          <w:highlight w:val="none"/>
        </w:rPr>
      </w:pPr>
    </w:p>
    <w:p w14:paraId="6D6E9002">
      <w:pPr>
        <w:pStyle w:val="212"/>
        <w:tabs>
          <w:tab w:val="right" w:leader="dot" w:pos="9736"/>
        </w:tabs>
        <w:snapToGrid w:val="0"/>
        <w:spacing w:line="288" w:lineRule="auto"/>
        <w:ind w:left="0"/>
        <w:jc w:val="center"/>
        <w:rPr>
          <w:rFonts w:hint="eastAsia" w:hAnsi="宋体" w:cs="宋体"/>
          <w:b/>
          <w:sz w:val="40"/>
          <w:szCs w:val="40"/>
          <w:highlight w:val="none"/>
        </w:rPr>
      </w:pPr>
    </w:p>
    <w:p w14:paraId="6193A405">
      <w:pPr>
        <w:pStyle w:val="212"/>
        <w:tabs>
          <w:tab w:val="right" w:leader="dot" w:pos="9736"/>
        </w:tabs>
        <w:snapToGrid w:val="0"/>
        <w:spacing w:line="288" w:lineRule="auto"/>
        <w:ind w:left="0"/>
        <w:jc w:val="center"/>
        <w:rPr>
          <w:rFonts w:hint="eastAsia" w:hAnsi="宋体" w:cs="宋体"/>
          <w:b/>
          <w:sz w:val="40"/>
          <w:szCs w:val="40"/>
          <w:highlight w:val="none"/>
        </w:rPr>
      </w:pPr>
    </w:p>
    <w:p w14:paraId="426C5251">
      <w:pPr>
        <w:pStyle w:val="212"/>
        <w:tabs>
          <w:tab w:val="right" w:leader="dot" w:pos="9736"/>
        </w:tabs>
        <w:snapToGrid w:val="0"/>
        <w:spacing w:line="288" w:lineRule="auto"/>
        <w:ind w:left="0"/>
        <w:jc w:val="center"/>
        <w:rPr>
          <w:rFonts w:hint="eastAsia" w:hAnsi="宋体" w:cs="宋体"/>
          <w:b/>
          <w:sz w:val="40"/>
          <w:szCs w:val="40"/>
          <w:highlight w:val="none"/>
        </w:rPr>
      </w:pPr>
    </w:p>
    <w:p w14:paraId="6833246D">
      <w:pPr>
        <w:pStyle w:val="212"/>
        <w:tabs>
          <w:tab w:val="right" w:leader="dot" w:pos="9736"/>
        </w:tabs>
        <w:snapToGrid w:val="0"/>
        <w:spacing w:line="288" w:lineRule="auto"/>
        <w:ind w:left="0"/>
        <w:jc w:val="center"/>
        <w:rPr>
          <w:rFonts w:hint="eastAsia" w:hAnsi="宋体" w:cs="宋体"/>
          <w:b/>
          <w:sz w:val="40"/>
          <w:szCs w:val="40"/>
          <w:highlight w:val="none"/>
        </w:rPr>
      </w:pPr>
    </w:p>
    <w:p w14:paraId="58D6A78E">
      <w:pPr>
        <w:pStyle w:val="212"/>
        <w:tabs>
          <w:tab w:val="right" w:leader="dot" w:pos="9736"/>
        </w:tabs>
        <w:snapToGrid w:val="0"/>
        <w:spacing w:line="288" w:lineRule="auto"/>
        <w:ind w:left="0"/>
        <w:jc w:val="center"/>
        <w:rPr>
          <w:rFonts w:hint="eastAsia" w:hAnsi="宋体" w:cs="宋体"/>
          <w:b/>
          <w:sz w:val="40"/>
          <w:szCs w:val="40"/>
          <w:highlight w:val="none"/>
        </w:rPr>
      </w:pPr>
    </w:p>
    <w:p w14:paraId="6C10AEAD">
      <w:pPr>
        <w:pStyle w:val="212"/>
        <w:tabs>
          <w:tab w:val="right" w:leader="dot" w:pos="9736"/>
        </w:tabs>
        <w:snapToGrid w:val="0"/>
        <w:spacing w:line="288" w:lineRule="auto"/>
        <w:ind w:left="0"/>
        <w:jc w:val="center"/>
        <w:rPr>
          <w:rFonts w:hint="eastAsia" w:hAnsi="宋体" w:cs="宋体"/>
          <w:b/>
          <w:sz w:val="40"/>
          <w:szCs w:val="40"/>
          <w:highlight w:val="none"/>
        </w:rPr>
      </w:pPr>
    </w:p>
    <w:p w14:paraId="2F543C43">
      <w:pPr>
        <w:pStyle w:val="212"/>
        <w:tabs>
          <w:tab w:val="right" w:leader="dot" w:pos="9736"/>
        </w:tabs>
        <w:snapToGrid w:val="0"/>
        <w:spacing w:line="288" w:lineRule="auto"/>
        <w:ind w:left="0"/>
        <w:jc w:val="center"/>
        <w:rPr>
          <w:rFonts w:hint="eastAsia" w:hAnsi="宋体" w:cs="宋体"/>
          <w:b/>
          <w:sz w:val="40"/>
          <w:szCs w:val="40"/>
          <w:highlight w:val="none"/>
        </w:rPr>
      </w:pPr>
    </w:p>
    <w:p w14:paraId="4182139A">
      <w:pPr>
        <w:pStyle w:val="212"/>
        <w:tabs>
          <w:tab w:val="right" w:leader="dot" w:pos="9736"/>
        </w:tabs>
        <w:snapToGrid w:val="0"/>
        <w:spacing w:line="288" w:lineRule="auto"/>
        <w:ind w:left="0"/>
        <w:jc w:val="center"/>
        <w:rPr>
          <w:rFonts w:hint="eastAsia" w:hAnsi="宋体" w:cs="宋体"/>
          <w:b/>
          <w:sz w:val="40"/>
          <w:szCs w:val="40"/>
          <w:highlight w:val="none"/>
        </w:rPr>
      </w:pPr>
    </w:p>
    <w:p w14:paraId="0D474305">
      <w:pPr>
        <w:pStyle w:val="212"/>
        <w:tabs>
          <w:tab w:val="right" w:leader="dot" w:pos="9736"/>
        </w:tabs>
        <w:snapToGrid w:val="0"/>
        <w:spacing w:line="288" w:lineRule="auto"/>
        <w:ind w:left="0"/>
        <w:jc w:val="center"/>
        <w:rPr>
          <w:rFonts w:hint="eastAsia" w:hAnsi="宋体" w:cs="宋体"/>
          <w:b/>
          <w:sz w:val="40"/>
          <w:szCs w:val="40"/>
          <w:highlight w:val="none"/>
        </w:rPr>
      </w:pPr>
    </w:p>
    <w:p w14:paraId="5B2CBCD0">
      <w:pPr>
        <w:pStyle w:val="212"/>
        <w:tabs>
          <w:tab w:val="right" w:leader="dot" w:pos="9736"/>
        </w:tabs>
        <w:snapToGrid w:val="0"/>
        <w:spacing w:line="288" w:lineRule="auto"/>
        <w:ind w:left="0"/>
        <w:jc w:val="center"/>
        <w:rPr>
          <w:rFonts w:hint="eastAsia" w:hAnsi="宋体" w:cs="宋体"/>
          <w:b/>
          <w:sz w:val="40"/>
          <w:szCs w:val="40"/>
          <w:highlight w:val="none"/>
        </w:rPr>
      </w:pPr>
    </w:p>
    <w:p w14:paraId="4398EC07">
      <w:pPr>
        <w:pStyle w:val="212"/>
        <w:tabs>
          <w:tab w:val="right" w:leader="dot" w:pos="9736"/>
        </w:tabs>
        <w:snapToGrid w:val="0"/>
        <w:spacing w:line="288" w:lineRule="auto"/>
        <w:ind w:left="0"/>
        <w:jc w:val="center"/>
        <w:rPr>
          <w:rFonts w:hint="eastAsia" w:hAnsi="宋体" w:cs="宋体"/>
          <w:b/>
          <w:sz w:val="40"/>
          <w:szCs w:val="40"/>
          <w:highlight w:val="none"/>
        </w:rPr>
      </w:pPr>
    </w:p>
    <w:p w14:paraId="0E756B09">
      <w:pPr>
        <w:pStyle w:val="212"/>
        <w:tabs>
          <w:tab w:val="right" w:leader="dot" w:pos="9736"/>
        </w:tabs>
        <w:snapToGrid w:val="0"/>
        <w:spacing w:line="288" w:lineRule="auto"/>
        <w:ind w:left="0"/>
        <w:jc w:val="center"/>
        <w:rPr>
          <w:rFonts w:hint="eastAsia" w:hAnsi="宋体" w:cs="宋体"/>
          <w:b/>
          <w:sz w:val="40"/>
          <w:szCs w:val="40"/>
          <w:highlight w:val="none"/>
        </w:rPr>
      </w:pPr>
    </w:p>
    <w:p w14:paraId="58A6F765">
      <w:pPr>
        <w:pStyle w:val="212"/>
        <w:tabs>
          <w:tab w:val="right" w:leader="dot" w:pos="9736"/>
        </w:tabs>
        <w:snapToGrid w:val="0"/>
        <w:spacing w:line="288" w:lineRule="auto"/>
        <w:ind w:left="0"/>
        <w:jc w:val="center"/>
        <w:rPr>
          <w:rFonts w:hint="eastAsia" w:hAnsi="宋体" w:cs="宋体"/>
          <w:b/>
          <w:sz w:val="40"/>
          <w:szCs w:val="40"/>
          <w:highlight w:val="none"/>
        </w:rPr>
      </w:pPr>
      <w:r>
        <w:rPr>
          <w:rFonts w:hint="eastAsia" w:hAnsi="宋体" w:cs="宋体"/>
          <w:b/>
          <w:sz w:val="40"/>
          <w:szCs w:val="40"/>
          <w:highlight w:val="none"/>
        </w:rPr>
        <w:t>目   录</w:t>
      </w:r>
      <w:bookmarkStart w:id="0" w:name="_Hlt69333523"/>
      <w:bookmarkStart w:id="1" w:name="_Hlt68775471"/>
    </w:p>
    <w:p w14:paraId="186DB0DD">
      <w:pPr>
        <w:pStyle w:val="22"/>
        <w:tabs>
          <w:tab w:val="right" w:leader="dot" w:pos="9746"/>
        </w:tabs>
        <w:spacing w:line="360" w:lineRule="auto"/>
        <w:rPr>
          <w:sz w:val="24"/>
          <w:szCs w:val="22"/>
          <w:highlight w:val="none"/>
        </w:rPr>
      </w:pPr>
      <w:r>
        <w:rPr>
          <w:rFonts w:hint="eastAsia" w:hAnsi="宋体" w:cs="宋体"/>
          <w:sz w:val="24"/>
          <w:szCs w:val="32"/>
          <w:highlight w:val="none"/>
        </w:rPr>
        <w:fldChar w:fldCharType="begin"/>
      </w:r>
      <w:r>
        <w:rPr>
          <w:rFonts w:hint="eastAsia" w:hAnsi="宋体" w:cs="宋体"/>
          <w:sz w:val="24"/>
          <w:szCs w:val="32"/>
          <w:highlight w:val="none"/>
        </w:rPr>
        <w:instrText xml:space="preserve"> TOC \o "1-4" \h \z </w:instrText>
      </w:r>
      <w:r>
        <w:rPr>
          <w:rFonts w:hint="eastAsia" w:hAnsi="宋体" w:cs="宋体"/>
          <w:sz w:val="24"/>
          <w:szCs w:val="32"/>
          <w:highlight w:val="none"/>
        </w:rPr>
        <w:fldChar w:fldCharType="separate"/>
      </w:r>
      <w:r>
        <w:rPr>
          <w:highlight w:val="none"/>
        </w:rPr>
        <w:fldChar w:fldCharType="begin"/>
      </w:r>
      <w:r>
        <w:rPr>
          <w:highlight w:val="none"/>
        </w:rPr>
        <w:instrText xml:space="preserve"> HYPERLINK \l "_Toc32277" </w:instrText>
      </w:r>
      <w:r>
        <w:rPr>
          <w:highlight w:val="none"/>
        </w:rPr>
        <w:fldChar w:fldCharType="separate"/>
      </w:r>
      <w:r>
        <w:rPr>
          <w:rFonts w:hint="eastAsia" w:hAnsi="宋体" w:cs="宋体"/>
          <w:kern w:val="44"/>
          <w:sz w:val="24"/>
          <w:szCs w:val="28"/>
          <w:highlight w:val="none"/>
        </w:rPr>
        <w:t>第一章 投标人须知</w:t>
      </w:r>
      <w:r>
        <w:rPr>
          <w:sz w:val="24"/>
          <w:szCs w:val="22"/>
          <w:highlight w:val="none"/>
        </w:rPr>
        <w:tab/>
      </w:r>
      <w:r>
        <w:rPr>
          <w:sz w:val="24"/>
          <w:szCs w:val="22"/>
          <w:highlight w:val="none"/>
        </w:rPr>
        <w:fldChar w:fldCharType="begin"/>
      </w:r>
      <w:r>
        <w:rPr>
          <w:sz w:val="24"/>
          <w:szCs w:val="22"/>
          <w:highlight w:val="none"/>
        </w:rPr>
        <w:instrText xml:space="preserve"> PAGEREF _Toc32277 \h </w:instrText>
      </w:r>
      <w:r>
        <w:rPr>
          <w:sz w:val="24"/>
          <w:szCs w:val="22"/>
          <w:highlight w:val="none"/>
        </w:rPr>
        <w:fldChar w:fldCharType="separate"/>
      </w:r>
      <w:r>
        <w:rPr>
          <w:sz w:val="24"/>
          <w:szCs w:val="22"/>
          <w:highlight w:val="none"/>
        </w:rPr>
        <w:t>1</w:t>
      </w:r>
      <w:r>
        <w:rPr>
          <w:sz w:val="24"/>
          <w:szCs w:val="22"/>
          <w:highlight w:val="none"/>
        </w:rPr>
        <w:fldChar w:fldCharType="end"/>
      </w:r>
      <w:r>
        <w:rPr>
          <w:sz w:val="24"/>
          <w:szCs w:val="22"/>
          <w:highlight w:val="none"/>
        </w:rPr>
        <w:fldChar w:fldCharType="end"/>
      </w:r>
    </w:p>
    <w:p w14:paraId="4326D997">
      <w:pPr>
        <w:pStyle w:val="25"/>
        <w:tabs>
          <w:tab w:val="right" w:leader="dot" w:pos="9746"/>
        </w:tabs>
        <w:spacing w:line="360" w:lineRule="auto"/>
        <w:rPr>
          <w:sz w:val="24"/>
          <w:szCs w:val="22"/>
          <w:highlight w:val="none"/>
        </w:rPr>
      </w:pPr>
      <w:r>
        <w:rPr>
          <w:highlight w:val="none"/>
        </w:rPr>
        <w:fldChar w:fldCharType="begin"/>
      </w:r>
      <w:r>
        <w:rPr>
          <w:highlight w:val="none"/>
        </w:rPr>
        <w:instrText xml:space="preserve"> HYPERLINK \l "_Toc2571" </w:instrText>
      </w:r>
      <w:r>
        <w:rPr>
          <w:highlight w:val="none"/>
        </w:rPr>
        <w:fldChar w:fldCharType="separate"/>
      </w:r>
      <w:r>
        <w:rPr>
          <w:rFonts w:hint="eastAsia" w:ascii="宋体" w:hAnsi="宋体" w:cs="宋体"/>
          <w:sz w:val="24"/>
          <w:szCs w:val="22"/>
          <w:highlight w:val="none"/>
        </w:rPr>
        <w:t>第一节 投标人须知前附表</w:t>
      </w:r>
      <w:r>
        <w:rPr>
          <w:sz w:val="24"/>
          <w:szCs w:val="22"/>
          <w:highlight w:val="none"/>
        </w:rPr>
        <w:tab/>
      </w:r>
      <w:r>
        <w:rPr>
          <w:sz w:val="24"/>
          <w:szCs w:val="22"/>
          <w:highlight w:val="none"/>
        </w:rPr>
        <w:fldChar w:fldCharType="begin"/>
      </w:r>
      <w:r>
        <w:rPr>
          <w:sz w:val="24"/>
          <w:szCs w:val="22"/>
          <w:highlight w:val="none"/>
        </w:rPr>
        <w:instrText xml:space="preserve"> PAGEREF _Toc2571 \h </w:instrText>
      </w:r>
      <w:r>
        <w:rPr>
          <w:sz w:val="24"/>
          <w:szCs w:val="22"/>
          <w:highlight w:val="none"/>
        </w:rPr>
        <w:fldChar w:fldCharType="separate"/>
      </w:r>
      <w:r>
        <w:rPr>
          <w:sz w:val="24"/>
          <w:szCs w:val="22"/>
          <w:highlight w:val="none"/>
        </w:rPr>
        <w:t>1</w:t>
      </w:r>
      <w:r>
        <w:rPr>
          <w:sz w:val="24"/>
          <w:szCs w:val="22"/>
          <w:highlight w:val="none"/>
        </w:rPr>
        <w:fldChar w:fldCharType="end"/>
      </w:r>
      <w:r>
        <w:rPr>
          <w:sz w:val="24"/>
          <w:szCs w:val="22"/>
          <w:highlight w:val="none"/>
        </w:rPr>
        <w:fldChar w:fldCharType="end"/>
      </w:r>
    </w:p>
    <w:p w14:paraId="44763E63">
      <w:pPr>
        <w:pStyle w:val="25"/>
        <w:tabs>
          <w:tab w:val="right" w:leader="dot" w:pos="9746"/>
        </w:tabs>
        <w:spacing w:line="360" w:lineRule="auto"/>
        <w:rPr>
          <w:sz w:val="24"/>
          <w:szCs w:val="22"/>
          <w:highlight w:val="none"/>
        </w:rPr>
      </w:pPr>
      <w:r>
        <w:rPr>
          <w:highlight w:val="none"/>
        </w:rPr>
        <w:fldChar w:fldCharType="begin"/>
      </w:r>
      <w:r>
        <w:rPr>
          <w:highlight w:val="none"/>
        </w:rPr>
        <w:instrText xml:space="preserve"> HYPERLINK \l "_Toc6677" </w:instrText>
      </w:r>
      <w:r>
        <w:rPr>
          <w:highlight w:val="none"/>
        </w:rPr>
        <w:fldChar w:fldCharType="separate"/>
      </w:r>
      <w:r>
        <w:rPr>
          <w:rFonts w:hint="eastAsia" w:ascii="宋体" w:hAnsi="宋体" w:cs="宋体"/>
          <w:sz w:val="24"/>
          <w:szCs w:val="22"/>
          <w:highlight w:val="none"/>
        </w:rPr>
        <w:t xml:space="preserve">第二节 </w:t>
      </w:r>
      <w:r>
        <w:rPr>
          <w:rFonts w:hint="eastAsia" w:ascii="宋体" w:hAnsi="宋体" w:cs="宋体"/>
          <w:bCs/>
          <w:sz w:val="24"/>
          <w:szCs w:val="22"/>
          <w:highlight w:val="none"/>
        </w:rPr>
        <w:t>重要事项时间地点一览表</w:t>
      </w:r>
      <w:r>
        <w:rPr>
          <w:sz w:val="24"/>
          <w:szCs w:val="22"/>
          <w:highlight w:val="none"/>
        </w:rPr>
        <w:tab/>
      </w:r>
      <w:r>
        <w:rPr>
          <w:sz w:val="24"/>
          <w:szCs w:val="22"/>
          <w:highlight w:val="none"/>
        </w:rPr>
        <w:fldChar w:fldCharType="begin"/>
      </w:r>
      <w:r>
        <w:rPr>
          <w:sz w:val="24"/>
          <w:szCs w:val="22"/>
          <w:highlight w:val="none"/>
        </w:rPr>
        <w:instrText xml:space="preserve"> PAGEREF _Toc6677 \h </w:instrText>
      </w:r>
      <w:r>
        <w:rPr>
          <w:sz w:val="24"/>
          <w:szCs w:val="22"/>
          <w:highlight w:val="none"/>
        </w:rPr>
        <w:fldChar w:fldCharType="separate"/>
      </w:r>
      <w:r>
        <w:rPr>
          <w:sz w:val="24"/>
          <w:szCs w:val="22"/>
          <w:highlight w:val="none"/>
        </w:rPr>
        <w:t>6</w:t>
      </w:r>
      <w:r>
        <w:rPr>
          <w:sz w:val="24"/>
          <w:szCs w:val="22"/>
          <w:highlight w:val="none"/>
        </w:rPr>
        <w:fldChar w:fldCharType="end"/>
      </w:r>
      <w:r>
        <w:rPr>
          <w:sz w:val="24"/>
          <w:szCs w:val="22"/>
          <w:highlight w:val="none"/>
        </w:rPr>
        <w:fldChar w:fldCharType="end"/>
      </w:r>
    </w:p>
    <w:p w14:paraId="07442F37">
      <w:pPr>
        <w:pStyle w:val="25"/>
        <w:tabs>
          <w:tab w:val="right" w:leader="dot" w:pos="9746"/>
        </w:tabs>
        <w:spacing w:line="360" w:lineRule="auto"/>
        <w:rPr>
          <w:sz w:val="24"/>
          <w:szCs w:val="22"/>
          <w:highlight w:val="none"/>
        </w:rPr>
      </w:pPr>
      <w:r>
        <w:rPr>
          <w:highlight w:val="none"/>
        </w:rPr>
        <w:fldChar w:fldCharType="begin"/>
      </w:r>
      <w:r>
        <w:rPr>
          <w:highlight w:val="none"/>
        </w:rPr>
        <w:instrText xml:space="preserve"> HYPERLINK \l "_Toc23065" </w:instrText>
      </w:r>
      <w:r>
        <w:rPr>
          <w:highlight w:val="none"/>
        </w:rPr>
        <w:fldChar w:fldCharType="separate"/>
      </w:r>
      <w:r>
        <w:rPr>
          <w:rFonts w:hint="eastAsia" w:ascii="宋体" w:hAnsi="宋体" w:cs="宋体"/>
          <w:sz w:val="24"/>
          <w:szCs w:val="22"/>
          <w:highlight w:val="none"/>
        </w:rPr>
        <w:t>第三节 投标人须知正文</w:t>
      </w:r>
      <w:r>
        <w:rPr>
          <w:sz w:val="24"/>
          <w:szCs w:val="22"/>
          <w:highlight w:val="none"/>
        </w:rPr>
        <w:tab/>
      </w:r>
      <w:r>
        <w:rPr>
          <w:sz w:val="24"/>
          <w:szCs w:val="22"/>
          <w:highlight w:val="none"/>
        </w:rPr>
        <w:fldChar w:fldCharType="begin"/>
      </w:r>
      <w:r>
        <w:rPr>
          <w:sz w:val="24"/>
          <w:szCs w:val="22"/>
          <w:highlight w:val="none"/>
        </w:rPr>
        <w:instrText xml:space="preserve"> PAGEREF _Toc23065 \h </w:instrText>
      </w:r>
      <w:r>
        <w:rPr>
          <w:sz w:val="24"/>
          <w:szCs w:val="22"/>
          <w:highlight w:val="none"/>
        </w:rPr>
        <w:fldChar w:fldCharType="separate"/>
      </w:r>
      <w:r>
        <w:rPr>
          <w:sz w:val="24"/>
          <w:szCs w:val="22"/>
          <w:highlight w:val="none"/>
        </w:rPr>
        <w:t>7</w:t>
      </w:r>
      <w:r>
        <w:rPr>
          <w:sz w:val="24"/>
          <w:szCs w:val="22"/>
          <w:highlight w:val="none"/>
        </w:rPr>
        <w:fldChar w:fldCharType="end"/>
      </w:r>
      <w:r>
        <w:rPr>
          <w:sz w:val="24"/>
          <w:szCs w:val="22"/>
          <w:highlight w:val="none"/>
        </w:rPr>
        <w:fldChar w:fldCharType="end"/>
      </w:r>
    </w:p>
    <w:p w14:paraId="5DD3FCE3">
      <w:pPr>
        <w:pStyle w:val="25"/>
        <w:tabs>
          <w:tab w:val="right" w:leader="dot" w:pos="9746"/>
        </w:tabs>
        <w:spacing w:line="360" w:lineRule="auto"/>
        <w:rPr>
          <w:sz w:val="24"/>
          <w:szCs w:val="22"/>
          <w:highlight w:val="none"/>
        </w:rPr>
      </w:pPr>
      <w:r>
        <w:rPr>
          <w:highlight w:val="none"/>
        </w:rPr>
        <w:fldChar w:fldCharType="begin"/>
      </w:r>
      <w:r>
        <w:rPr>
          <w:highlight w:val="none"/>
        </w:rPr>
        <w:instrText xml:space="preserve"> HYPERLINK \l "_Toc23891" </w:instrText>
      </w:r>
      <w:r>
        <w:rPr>
          <w:highlight w:val="none"/>
        </w:rPr>
        <w:fldChar w:fldCharType="separate"/>
      </w:r>
      <w:r>
        <w:rPr>
          <w:rFonts w:hint="eastAsia" w:ascii="宋体" w:hAnsi="宋体" w:cs="宋体"/>
          <w:sz w:val="24"/>
          <w:szCs w:val="22"/>
          <w:highlight w:val="none"/>
        </w:rPr>
        <w:t>第四节 否决投标条件</w:t>
      </w:r>
      <w:r>
        <w:rPr>
          <w:sz w:val="24"/>
          <w:szCs w:val="22"/>
          <w:highlight w:val="none"/>
        </w:rPr>
        <w:tab/>
      </w:r>
      <w:r>
        <w:rPr>
          <w:sz w:val="24"/>
          <w:szCs w:val="22"/>
          <w:highlight w:val="none"/>
        </w:rPr>
        <w:fldChar w:fldCharType="begin"/>
      </w:r>
      <w:r>
        <w:rPr>
          <w:sz w:val="24"/>
          <w:szCs w:val="22"/>
          <w:highlight w:val="none"/>
        </w:rPr>
        <w:instrText xml:space="preserve"> PAGEREF _Toc23891 \h </w:instrText>
      </w:r>
      <w:r>
        <w:rPr>
          <w:sz w:val="24"/>
          <w:szCs w:val="22"/>
          <w:highlight w:val="none"/>
        </w:rPr>
        <w:fldChar w:fldCharType="separate"/>
      </w:r>
      <w:r>
        <w:rPr>
          <w:sz w:val="24"/>
          <w:szCs w:val="22"/>
          <w:highlight w:val="none"/>
        </w:rPr>
        <w:t>28</w:t>
      </w:r>
      <w:r>
        <w:rPr>
          <w:sz w:val="24"/>
          <w:szCs w:val="22"/>
          <w:highlight w:val="none"/>
        </w:rPr>
        <w:fldChar w:fldCharType="end"/>
      </w:r>
      <w:r>
        <w:rPr>
          <w:sz w:val="24"/>
          <w:szCs w:val="22"/>
          <w:highlight w:val="none"/>
        </w:rPr>
        <w:fldChar w:fldCharType="end"/>
      </w:r>
    </w:p>
    <w:p w14:paraId="28997B3D">
      <w:pPr>
        <w:pStyle w:val="22"/>
        <w:tabs>
          <w:tab w:val="right" w:leader="dot" w:pos="9746"/>
        </w:tabs>
        <w:spacing w:line="360" w:lineRule="auto"/>
        <w:rPr>
          <w:sz w:val="24"/>
          <w:szCs w:val="22"/>
          <w:highlight w:val="none"/>
        </w:rPr>
      </w:pPr>
      <w:r>
        <w:rPr>
          <w:highlight w:val="none"/>
        </w:rPr>
        <w:fldChar w:fldCharType="begin"/>
      </w:r>
      <w:r>
        <w:rPr>
          <w:highlight w:val="none"/>
        </w:rPr>
        <w:instrText xml:space="preserve"> HYPERLINK \l "_Toc14938" </w:instrText>
      </w:r>
      <w:r>
        <w:rPr>
          <w:highlight w:val="none"/>
        </w:rPr>
        <w:fldChar w:fldCharType="separate"/>
      </w:r>
      <w:r>
        <w:rPr>
          <w:rFonts w:hint="eastAsia" w:ascii="宋体" w:hAnsi="宋体" w:cs="宋体"/>
          <w:bCs/>
          <w:sz w:val="24"/>
          <w:szCs w:val="21"/>
          <w:highlight w:val="none"/>
        </w:rPr>
        <w:t>第二章 拟签订合同的主要条款</w:t>
      </w:r>
      <w:r>
        <w:rPr>
          <w:sz w:val="24"/>
          <w:szCs w:val="22"/>
          <w:highlight w:val="none"/>
        </w:rPr>
        <w:tab/>
      </w:r>
      <w:r>
        <w:rPr>
          <w:sz w:val="24"/>
          <w:szCs w:val="22"/>
          <w:highlight w:val="none"/>
        </w:rPr>
        <w:fldChar w:fldCharType="begin"/>
      </w:r>
      <w:r>
        <w:rPr>
          <w:sz w:val="24"/>
          <w:szCs w:val="22"/>
          <w:highlight w:val="none"/>
        </w:rPr>
        <w:instrText xml:space="preserve"> PAGEREF _Toc14938 \h </w:instrText>
      </w:r>
      <w:r>
        <w:rPr>
          <w:sz w:val="24"/>
          <w:szCs w:val="22"/>
          <w:highlight w:val="none"/>
        </w:rPr>
        <w:fldChar w:fldCharType="separate"/>
      </w:r>
      <w:r>
        <w:rPr>
          <w:sz w:val="24"/>
          <w:szCs w:val="22"/>
          <w:highlight w:val="none"/>
        </w:rPr>
        <w:t>30</w:t>
      </w:r>
      <w:r>
        <w:rPr>
          <w:sz w:val="24"/>
          <w:szCs w:val="22"/>
          <w:highlight w:val="none"/>
        </w:rPr>
        <w:fldChar w:fldCharType="end"/>
      </w:r>
      <w:r>
        <w:rPr>
          <w:sz w:val="24"/>
          <w:szCs w:val="22"/>
          <w:highlight w:val="none"/>
        </w:rPr>
        <w:fldChar w:fldCharType="end"/>
      </w:r>
    </w:p>
    <w:p w14:paraId="2319A6C8">
      <w:pPr>
        <w:pStyle w:val="25"/>
        <w:tabs>
          <w:tab w:val="right" w:leader="dot" w:pos="9746"/>
        </w:tabs>
        <w:spacing w:line="360" w:lineRule="auto"/>
        <w:rPr>
          <w:sz w:val="24"/>
          <w:szCs w:val="22"/>
          <w:highlight w:val="none"/>
        </w:rPr>
      </w:pPr>
      <w:r>
        <w:rPr>
          <w:highlight w:val="none"/>
        </w:rPr>
        <w:fldChar w:fldCharType="begin"/>
      </w:r>
      <w:r>
        <w:rPr>
          <w:highlight w:val="none"/>
        </w:rPr>
        <w:instrText xml:space="preserve"> HYPERLINK \l "_Toc19233" </w:instrText>
      </w:r>
      <w:r>
        <w:rPr>
          <w:highlight w:val="none"/>
        </w:rPr>
        <w:fldChar w:fldCharType="separate"/>
      </w:r>
      <w:r>
        <w:rPr>
          <w:rFonts w:hint="eastAsia" w:ascii="宋体" w:hAnsi="宋体" w:cs="宋体"/>
          <w:sz w:val="24"/>
          <w:szCs w:val="28"/>
          <w:highlight w:val="none"/>
        </w:rPr>
        <w:t>一、 承包方式</w:t>
      </w:r>
      <w:r>
        <w:rPr>
          <w:sz w:val="24"/>
          <w:szCs w:val="22"/>
          <w:highlight w:val="none"/>
        </w:rPr>
        <w:tab/>
      </w:r>
      <w:r>
        <w:rPr>
          <w:sz w:val="24"/>
          <w:szCs w:val="22"/>
          <w:highlight w:val="none"/>
        </w:rPr>
        <w:fldChar w:fldCharType="begin"/>
      </w:r>
      <w:r>
        <w:rPr>
          <w:sz w:val="24"/>
          <w:szCs w:val="22"/>
          <w:highlight w:val="none"/>
        </w:rPr>
        <w:instrText xml:space="preserve"> PAGEREF _Toc19233 \h </w:instrText>
      </w:r>
      <w:r>
        <w:rPr>
          <w:sz w:val="24"/>
          <w:szCs w:val="22"/>
          <w:highlight w:val="none"/>
        </w:rPr>
        <w:fldChar w:fldCharType="separate"/>
      </w:r>
      <w:r>
        <w:rPr>
          <w:sz w:val="24"/>
          <w:szCs w:val="22"/>
          <w:highlight w:val="none"/>
        </w:rPr>
        <w:t>30</w:t>
      </w:r>
      <w:r>
        <w:rPr>
          <w:sz w:val="24"/>
          <w:szCs w:val="22"/>
          <w:highlight w:val="none"/>
        </w:rPr>
        <w:fldChar w:fldCharType="end"/>
      </w:r>
      <w:r>
        <w:rPr>
          <w:sz w:val="24"/>
          <w:szCs w:val="22"/>
          <w:highlight w:val="none"/>
        </w:rPr>
        <w:fldChar w:fldCharType="end"/>
      </w:r>
    </w:p>
    <w:p w14:paraId="2A201568">
      <w:pPr>
        <w:pStyle w:val="25"/>
        <w:tabs>
          <w:tab w:val="right" w:leader="dot" w:pos="9746"/>
        </w:tabs>
        <w:spacing w:line="360" w:lineRule="auto"/>
        <w:rPr>
          <w:sz w:val="24"/>
          <w:szCs w:val="22"/>
          <w:highlight w:val="none"/>
        </w:rPr>
      </w:pPr>
      <w:r>
        <w:rPr>
          <w:highlight w:val="none"/>
        </w:rPr>
        <w:fldChar w:fldCharType="begin"/>
      </w:r>
      <w:r>
        <w:rPr>
          <w:highlight w:val="none"/>
        </w:rPr>
        <w:instrText xml:space="preserve"> HYPERLINK \l "_Toc17125" </w:instrText>
      </w:r>
      <w:r>
        <w:rPr>
          <w:highlight w:val="none"/>
        </w:rPr>
        <w:fldChar w:fldCharType="separate"/>
      </w:r>
      <w:r>
        <w:rPr>
          <w:rFonts w:hint="eastAsia" w:ascii="宋体" w:hAnsi="宋体" w:cs="宋体"/>
          <w:sz w:val="24"/>
          <w:szCs w:val="28"/>
          <w:highlight w:val="none"/>
        </w:rPr>
        <w:t>二、合同价款支付办法及结算原则</w:t>
      </w:r>
      <w:r>
        <w:rPr>
          <w:sz w:val="24"/>
          <w:szCs w:val="22"/>
          <w:highlight w:val="none"/>
        </w:rPr>
        <w:tab/>
      </w:r>
      <w:r>
        <w:rPr>
          <w:sz w:val="24"/>
          <w:szCs w:val="22"/>
          <w:highlight w:val="none"/>
        </w:rPr>
        <w:fldChar w:fldCharType="begin"/>
      </w:r>
      <w:r>
        <w:rPr>
          <w:sz w:val="24"/>
          <w:szCs w:val="22"/>
          <w:highlight w:val="none"/>
        </w:rPr>
        <w:instrText xml:space="preserve"> PAGEREF _Toc17125 \h </w:instrText>
      </w:r>
      <w:r>
        <w:rPr>
          <w:sz w:val="24"/>
          <w:szCs w:val="22"/>
          <w:highlight w:val="none"/>
        </w:rPr>
        <w:fldChar w:fldCharType="separate"/>
      </w:r>
      <w:r>
        <w:rPr>
          <w:sz w:val="24"/>
          <w:szCs w:val="22"/>
          <w:highlight w:val="none"/>
        </w:rPr>
        <w:t>30</w:t>
      </w:r>
      <w:r>
        <w:rPr>
          <w:sz w:val="24"/>
          <w:szCs w:val="22"/>
          <w:highlight w:val="none"/>
        </w:rPr>
        <w:fldChar w:fldCharType="end"/>
      </w:r>
      <w:r>
        <w:rPr>
          <w:sz w:val="24"/>
          <w:szCs w:val="22"/>
          <w:highlight w:val="none"/>
        </w:rPr>
        <w:fldChar w:fldCharType="end"/>
      </w:r>
    </w:p>
    <w:p w14:paraId="2BE20CF3">
      <w:pPr>
        <w:pStyle w:val="22"/>
        <w:tabs>
          <w:tab w:val="right" w:leader="dot" w:pos="9746"/>
        </w:tabs>
        <w:spacing w:line="360" w:lineRule="auto"/>
        <w:rPr>
          <w:sz w:val="24"/>
          <w:szCs w:val="22"/>
          <w:highlight w:val="none"/>
        </w:rPr>
      </w:pPr>
      <w:r>
        <w:rPr>
          <w:highlight w:val="none"/>
        </w:rPr>
        <w:fldChar w:fldCharType="begin"/>
      </w:r>
      <w:r>
        <w:rPr>
          <w:highlight w:val="none"/>
        </w:rPr>
        <w:instrText xml:space="preserve"> HYPERLINK \l "_Toc14396" </w:instrText>
      </w:r>
      <w:r>
        <w:rPr>
          <w:highlight w:val="none"/>
        </w:rPr>
        <w:fldChar w:fldCharType="separate"/>
      </w:r>
      <w:r>
        <w:rPr>
          <w:rFonts w:hint="eastAsia"/>
          <w:bCs/>
          <w:sz w:val="24"/>
          <w:szCs w:val="21"/>
          <w:highlight w:val="none"/>
        </w:rPr>
        <w:t>第三章 中标人须知</w:t>
      </w:r>
      <w:r>
        <w:rPr>
          <w:sz w:val="24"/>
          <w:szCs w:val="22"/>
          <w:highlight w:val="none"/>
        </w:rPr>
        <w:tab/>
      </w:r>
      <w:r>
        <w:rPr>
          <w:sz w:val="24"/>
          <w:szCs w:val="22"/>
          <w:highlight w:val="none"/>
        </w:rPr>
        <w:fldChar w:fldCharType="begin"/>
      </w:r>
      <w:r>
        <w:rPr>
          <w:sz w:val="24"/>
          <w:szCs w:val="22"/>
          <w:highlight w:val="none"/>
        </w:rPr>
        <w:instrText xml:space="preserve"> PAGEREF _Toc14396 \h </w:instrText>
      </w:r>
      <w:r>
        <w:rPr>
          <w:sz w:val="24"/>
          <w:szCs w:val="22"/>
          <w:highlight w:val="none"/>
        </w:rPr>
        <w:fldChar w:fldCharType="separate"/>
      </w:r>
      <w:r>
        <w:rPr>
          <w:sz w:val="24"/>
          <w:szCs w:val="22"/>
          <w:highlight w:val="none"/>
        </w:rPr>
        <w:t>34</w:t>
      </w:r>
      <w:r>
        <w:rPr>
          <w:sz w:val="24"/>
          <w:szCs w:val="22"/>
          <w:highlight w:val="none"/>
        </w:rPr>
        <w:fldChar w:fldCharType="end"/>
      </w:r>
      <w:r>
        <w:rPr>
          <w:sz w:val="24"/>
          <w:szCs w:val="22"/>
          <w:highlight w:val="none"/>
        </w:rPr>
        <w:fldChar w:fldCharType="end"/>
      </w:r>
    </w:p>
    <w:p w14:paraId="1A179BC6">
      <w:pPr>
        <w:pStyle w:val="22"/>
        <w:tabs>
          <w:tab w:val="right" w:leader="dot" w:pos="9746"/>
        </w:tabs>
        <w:spacing w:line="360" w:lineRule="auto"/>
        <w:rPr>
          <w:sz w:val="24"/>
          <w:szCs w:val="22"/>
          <w:highlight w:val="none"/>
        </w:rPr>
      </w:pPr>
      <w:r>
        <w:rPr>
          <w:highlight w:val="none"/>
        </w:rPr>
        <w:fldChar w:fldCharType="begin"/>
      </w:r>
      <w:r>
        <w:rPr>
          <w:highlight w:val="none"/>
        </w:rPr>
        <w:instrText xml:space="preserve"> HYPERLINK \l "_Toc28920" </w:instrText>
      </w:r>
      <w:r>
        <w:rPr>
          <w:highlight w:val="none"/>
        </w:rPr>
        <w:fldChar w:fldCharType="separate"/>
      </w:r>
      <w:r>
        <w:rPr>
          <w:rFonts w:hint="eastAsia" w:hAnsi="宋体" w:cs="宋体"/>
          <w:sz w:val="24"/>
          <w:szCs w:val="24"/>
          <w:highlight w:val="none"/>
        </w:rPr>
        <w:t>第四章 设计要求</w:t>
      </w:r>
      <w:r>
        <w:rPr>
          <w:sz w:val="24"/>
          <w:szCs w:val="22"/>
          <w:highlight w:val="none"/>
        </w:rPr>
        <w:tab/>
      </w:r>
      <w:r>
        <w:rPr>
          <w:sz w:val="24"/>
          <w:szCs w:val="22"/>
          <w:highlight w:val="none"/>
        </w:rPr>
        <w:fldChar w:fldCharType="begin"/>
      </w:r>
      <w:r>
        <w:rPr>
          <w:sz w:val="24"/>
          <w:szCs w:val="22"/>
          <w:highlight w:val="none"/>
        </w:rPr>
        <w:instrText xml:space="preserve"> PAGEREF _Toc28920 \h </w:instrText>
      </w:r>
      <w:r>
        <w:rPr>
          <w:sz w:val="24"/>
          <w:szCs w:val="22"/>
          <w:highlight w:val="none"/>
        </w:rPr>
        <w:fldChar w:fldCharType="separate"/>
      </w:r>
      <w:r>
        <w:rPr>
          <w:sz w:val="24"/>
          <w:szCs w:val="22"/>
          <w:highlight w:val="none"/>
        </w:rPr>
        <w:t>38</w:t>
      </w:r>
      <w:r>
        <w:rPr>
          <w:sz w:val="24"/>
          <w:szCs w:val="22"/>
          <w:highlight w:val="none"/>
        </w:rPr>
        <w:fldChar w:fldCharType="end"/>
      </w:r>
      <w:r>
        <w:rPr>
          <w:sz w:val="24"/>
          <w:szCs w:val="22"/>
          <w:highlight w:val="none"/>
        </w:rPr>
        <w:fldChar w:fldCharType="end"/>
      </w:r>
    </w:p>
    <w:p w14:paraId="16BFB813">
      <w:pPr>
        <w:pStyle w:val="22"/>
        <w:tabs>
          <w:tab w:val="right" w:leader="dot" w:pos="9746"/>
        </w:tabs>
        <w:spacing w:line="360" w:lineRule="auto"/>
        <w:rPr>
          <w:sz w:val="24"/>
          <w:szCs w:val="22"/>
          <w:highlight w:val="none"/>
        </w:rPr>
      </w:pPr>
      <w:r>
        <w:rPr>
          <w:highlight w:val="none"/>
        </w:rPr>
        <w:fldChar w:fldCharType="begin"/>
      </w:r>
      <w:r>
        <w:rPr>
          <w:highlight w:val="none"/>
        </w:rPr>
        <w:instrText xml:space="preserve"> HYPERLINK \l "_Toc2525" </w:instrText>
      </w:r>
      <w:r>
        <w:rPr>
          <w:highlight w:val="none"/>
        </w:rPr>
        <w:fldChar w:fldCharType="separate"/>
      </w:r>
      <w:r>
        <w:rPr>
          <w:rFonts w:hint="eastAsia" w:hAnsi="宋体" w:cs="宋体"/>
          <w:sz w:val="24"/>
          <w:szCs w:val="24"/>
          <w:highlight w:val="none"/>
        </w:rPr>
        <w:t>第五章  投标文件格式</w:t>
      </w:r>
      <w:r>
        <w:rPr>
          <w:sz w:val="24"/>
          <w:szCs w:val="22"/>
          <w:highlight w:val="none"/>
        </w:rPr>
        <w:tab/>
      </w:r>
      <w:r>
        <w:rPr>
          <w:sz w:val="24"/>
          <w:szCs w:val="22"/>
          <w:highlight w:val="none"/>
        </w:rPr>
        <w:fldChar w:fldCharType="begin"/>
      </w:r>
      <w:r>
        <w:rPr>
          <w:sz w:val="24"/>
          <w:szCs w:val="22"/>
          <w:highlight w:val="none"/>
        </w:rPr>
        <w:instrText xml:space="preserve"> PAGEREF _Toc2525 \h </w:instrText>
      </w:r>
      <w:r>
        <w:rPr>
          <w:sz w:val="24"/>
          <w:szCs w:val="22"/>
          <w:highlight w:val="none"/>
        </w:rPr>
        <w:fldChar w:fldCharType="separate"/>
      </w:r>
      <w:r>
        <w:rPr>
          <w:sz w:val="24"/>
          <w:szCs w:val="22"/>
          <w:highlight w:val="none"/>
        </w:rPr>
        <w:t>40</w:t>
      </w:r>
      <w:r>
        <w:rPr>
          <w:sz w:val="24"/>
          <w:szCs w:val="22"/>
          <w:highlight w:val="none"/>
        </w:rPr>
        <w:fldChar w:fldCharType="end"/>
      </w:r>
      <w:r>
        <w:rPr>
          <w:sz w:val="24"/>
          <w:szCs w:val="22"/>
          <w:highlight w:val="none"/>
        </w:rPr>
        <w:fldChar w:fldCharType="end"/>
      </w:r>
    </w:p>
    <w:p w14:paraId="54056CC5">
      <w:pPr>
        <w:pStyle w:val="25"/>
        <w:tabs>
          <w:tab w:val="right" w:leader="dot" w:pos="9746"/>
        </w:tabs>
        <w:spacing w:line="360" w:lineRule="auto"/>
        <w:rPr>
          <w:sz w:val="24"/>
          <w:szCs w:val="22"/>
          <w:highlight w:val="none"/>
        </w:rPr>
      </w:pPr>
      <w:r>
        <w:rPr>
          <w:highlight w:val="none"/>
        </w:rPr>
        <w:fldChar w:fldCharType="begin"/>
      </w:r>
      <w:r>
        <w:rPr>
          <w:highlight w:val="none"/>
        </w:rPr>
        <w:instrText xml:space="preserve"> HYPERLINK \l "_Toc30797" </w:instrText>
      </w:r>
      <w:r>
        <w:rPr>
          <w:highlight w:val="none"/>
        </w:rPr>
        <w:fldChar w:fldCharType="separate"/>
      </w:r>
      <w:r>
        <w:rPr>
          <w:rFonts w:hint="eastAsia" w:ascii="宋体" w:hAnsi="宋体" w:cs="宋体"/>
          <w:bCs/>
          <w:sz w:val="24"/>
          <w:szCs w:val="22"/>
          <w:highlight w:val="none"/>
        </w:rPr>
        <w:t xml:space="preserve">格式一 </w:t>
      </w:r>
      <w:r>
        <w:rPr>
          <w:rFonts w:hint="eastAsia" w:ascii="宋体" w:hAnsi="宋体" w:cs="宋体"/>
          <w:sz w:val="24"/>
          <w:szCs w:val="32"/>
          <w:highlight w:val="none"/>
        </w:rPr>
        <w:t xml:space="preserve"> </w:t>
      </w:r>
      <w:r>
        <w:rPr>
          <w:rFonts w:hint="eastAsia" w:ascii="宋体" w:hAnsi="宋体" w:cs="宋体"/>
          <w:bCs/>
          <w:sz w:val="24"/>
          <w:szCs w:val="32"/>
          <w:highlight w:val="none"/>
        </w:rPr>
        <w:t>封面</w:t>
      </w:r>
      <w:r>
        <w:rPr>
          <w:sz w:val="24"/>
          <w:szCs w:val="22"/>
          <w:highlight w:val="none"/>
        </w:rPr>
        <w:tab/>
      </w:r>
      <w:r>
        <w:rPr>
          <w:sz w:val="24"/>
          <w:szCs w:val="22"/>
          <w:highlight w:val="none"/>
        </w:rPr>
        <w:fldChar w:fldCharType="begin"/>
      </w:r>
      <w:r>
        <w:rPr>
          <w:sz w:val="24"/>
          <w:szCs w:val="22"/>
          <w:highlight w:val="none"/>
        </w:rPr>
        <w:instrText xml:space="preserve"> PAGEREF _Toc30797 \h </w:instrText>
      </w:r>
      <w:r>
        <w:rPr>
          <w:sz w:val="24"/>
          <w:szCs w:val="22"/>
          <w:highlight w:val="none"/>
        </w:rPr>
        <w:fldChar w:fldCharType="separate"/>
      </w:r>
      <w:r>
        <w:rPr>
          <w:sz w:val="24"/>
          <w:szCs w:val="22"/>
          <w:highlight w:val="none"/>
        </w:rPr>
        <w:t>40</w:t>
      </w:r>
      <w:r>
        <w:rPr>
          <w:sz w:val="24"/>
          <w:szCs w:val="22"/>
          <w:highlight w:val="none"/>
        </w:rPr>
        <w:fldChar w:fldCharType="end"/>
      </w:r>
      <w:r>
        <w:rPr>
          <w:sz w:val="24"/>
          <w:szCs w:val="22"/>
          <w:highlight w:val="none"/>
        </w:rPr>
        <w:fldChar w:fldCharType="end"/>
      </w:r>
    </w:p>
    <w:p w14:paraId="6F2AA06C">
      <w:pPr>
        <w:pStyle w:val="25"/>
        <w:tabs>
          <w:tab w:val="right" w:leader="dot" w:pos="9746"/>
        </w:tabs>
        <w:spacing w:line="360" w:lineRule="auto"/>
        <w:rPr>
          <w:sz w:val="24"/>
          <w:szCs w:val="22"/>
          <w:highlight w:val="none"/>
        </w:rPr>
      </w:pPr>
      <w:r>
        <w:rPr>
          <w:highlight w:val="none"/>
        </w:rPr>
        <w:fldChar w:fldCharType="begin"/>
      </w:r>
      <w:r>
        <w:rPr>
          <w:highlight w:val="none"/>
        </w:rPr>
        <w:instrText xml:space="preserve"> HYPERLINK \l "_Toc30483" </w:instrText>
      </w:r>
      <w:r>
        <w:rPr>
          <w:highlight w:val="none"/>
        </w:rPr>
        <w:fldChar w:fldCharType="separate"/>
      </w:r>
      <w:r>
        <w:rPr>
          <w:rFonts w:hint="eastAsia" w:ascii="宋体" w:hAnsi="宋体" w:cs="宋体"/>
          <w:bCs/>
          <w:sz w:val="24"/>
          <w:szCs w:val="22"/>
          <w:highlight w:val="none"/>
        </w:rPr>
        <w:t xml:space="preserve">格式二 </w:t>
      </w:r>
      <w:r>
        <w:rPr>
          <w:rFonts w:hint="eastAsia" w:ascii="宋体" w:hAnsi="宋体" w:cs="宋体"/>
          <w:sz w:val="24"/>
          <w:szCs w:val="22"/>
          <w:highlight w:val="none"/>
        </w:rPr>
        <w:t xml:space="preserve"> </w:t>
      </w:r>
      <w:r>
        <w:rPr>
          <w:rFonts w:hint="eastAsia" w:ascii="宋体" w:hAnsi="宋体" w:cs="宋体"/>
          <w:bCs/>
          <w:sz w:val="24"/>
          <w:szCs w:val="22"/>
          <w:highlight w:val="none"/>
        </w:rPr>
        <w:t>投标函</w:t>
      </w:r>
      <w:r>
        <w:rPr>
          <w:sz w:val="24"/>
          <w:szCs w:val="22"/>
          <w:highlight w:val="none"/>
        </w:rPr>
        <w:tab/>
      </w:r>
      <w:r>
        <w:rPr>
          <w:sz w:val="24"/>
          <w:szCs w:val="22"/>
          <w:highlight w:val="none"/>
        </w:rPr>
        <w:fldChar w:fldCharType="begin"/>
      </w:r>
      <w:r>
        <w:rPr>
          <w:sz w:val="24"/>
          <w:szCs w:val="22"/>
          <w:highlight w:val="none"/>
        </w:rPr>
        <w:instrText xml:space="preserve"> PAGEREF _Toc30483 \h </w:instrText>
      </w:r>
      <w:r>
        <w:rPr>
          <w:sz w:val="24"/>
          <w:szCs w:val="22"/>
          <w:highlight w:val="none"/>
        </w:rPr>
        <w:fldChar w:fldCharType="separate"/>
      </w:r>
      <w:r>
        <w:rPr>
          <w:sz w:val="24"/>
          <w:szCs w:val="22"/>
          <w:highlight w:val="none"/>
        </w:rPr>
        <w:t>41</w:t>
      </w:r>
      <w:r>
        <w:rPr>
          <w:sz w:val="24"/>
          <w:szCs w:val="22"/>
          <w:highlight w:val="none"/>
        </w:rPr>
        <w:fldChar w:fldCharType="end"/>
      </w:r>
      <w:r>
        <w:rPr>
          <w:sz w:val="24"/>
          <w:szCs w:val="22"/>
          <w:highlight w:val="none"/>
        </w:rPr>
        <w:fldChar w:fldCharType="end"/>
      </w:r>
    </w:p>
    <w:p w14:paraId="51594DCA">
      <w:pPr>
        <w:pStyle w:val="25"/>
        <w:tabs>
          <w:tab w:val="right" w:leader="dot" w:pos="9746"/>
        </w:tabs>
        <w:spacing w:line="360" w:lineRule="auto"/>
        <w:rPr>
          <w:sz w:val="24"/>
          <w:szCs w:val="22"/>
          <w:highlight w:val="none"/>
        </w:rPr>
      </w:pPr>
      <w:r>
        <w:rPr>
          <w:highlight w:val="none"/>
        </w:rPr>
        <w:fldChar w:fldCharType="begin"/>
      </w:r>
      <w:r>
        <w:rPr>
          <w:highlight w:val="none"/>
        </w:rPr>
        <w:instrText xml:space="preserve"> HYPERLINK \l "_Toc31795" </w:instrText>
      </w:r>
      <w:r>
        <w:rPr>
          <w:highlight w:val="none"/>
        </w:rPr>
        <w:fldChar w:fldCharType="separate"/>
      </w:r>
      <w:r>
        <w:rPr>
          <w:rFonts w:hint="eastAsia" w:ascii="宋体" w:hAnsi="宋体" w:cs="宋体"/>
          <w:bCs/>
          <w:sz w:val="24"/>
          <w:szCs w:val="22"/>
          <w:highlight w:val="none"/>
        </w:rPr>
        <w:t>格式三  工程项目报价表</w:t>
      </w:r>
      <w:r>
        <w:rPr>
          <w:sz w:val="24"/>
          <w:szCs w:val="22"/>
          <w:highlight w:val="none"/>
        </w:rPr>
        <w:tab/>
      </w:r>
      <w:r>
        <w:rPr>
          <w:sz w:val="24"/>
          <w:szCs w:val="22"/>
          <w:highlight w:val="none"/>
        </w:rPr>
        <w:fldChar w:fldCharType="begin"/>
      </w:r>
      <w:r>
        <w:rPr>
          <w:sz w:val="24"/>
          <w:szCs w:val="22"/>
          <w:highlight w:val="none"/>
        </w:rPr>
        <w:instrText xml:space="preserve"> PAGEREF _Toc31795 \h </w:instrText>
      </w:r>
      <w:r>
        <w:rPr>
          <w:sz w:val="24"/>
          <w:szCs w:val="22"/>
          <w:highlight w:val="none"/>
        </w:rPr>
        <w:fldChar w:fldCharType="separate"/>
      </w:r>
      <w:r>
        <w:rPr>
          <w:sz w:val="24"/>
          <w:szCs w:val="22"/>
          <w:highlight w:val="none"/>
        </w:rPr>
        <w:t>42</w:t>
      </w:r>
      <w:r>
        <w:rPr>
          <w:sz w:val="24"/>
          <w:szCs w:val="22"/>
          <w:highlight w:val="none"/>
        </w:rPr>
        <w:fldChar w:fldCharType="end"/>
      </w:r>
      <w:r>
        <w:rPr>
          <w:sz w:val="24"/>
          <w:szCs w:val="22"/>
          <w:highlight w:val="none"/>
        </w:rPr>
        <w:fldChar w:fldCharType="end"/>
      </w:r>
    </w:p>
    <w:p w14:paraId="6A0A1047">
      <w:pPr>
        <w:pStyle w:val="25"/>
        <w:tabs>
          <w:tab w:val="right" w:leader="dot" w:pos="9746"/>
        </w:tabs>
        <w:spacing w:line="360" w:lineRule="auto"/>
        <w:rPr>
          <w:sz w:val="24"/>
          <w:szCs w:val="22"/>
          <w:highlight w:val="none"/>
        </w:rPr>
      </w:pPr>
      <w:r>
        <w:rPr>
          <w:highlight w:val="none"/>
        </w:rPr>
        <w:fldChar w:fldCharType="begin"/>
      </w:r>
      <w:r>
        <w:rPr>
          <w:highlight w:val="none"/>
        </w:rPr>
        <w:instrText xml:space="preserve"> HYPERLINK \l "_Toc2408" </w:instrText>
      </w:r>
      <w:r>
        <w:rPr>
          <w:highlight w:val="none"/>
        </w:rPr>
        <w:fldChar w:fldCharType="separate"/>
      </w:r>
      <w:r>
        <w:rPr>
          <w:rFonts w:hint="eastAsia" w:ascii="宋体" w:hAnsi="宋体" w:cs="宋体"/>
          <w:bCs/>
          <w:sz w:val="24"/>
          <w:szCs w:val="22"/>
          <w:highlight w:val="none"/>
        </w:rPr>
        <w:t>格式五 投标人基本情况表</w:t>
      </w:r>
      <w:r>
        <w:rPr>
          <w:sz w:val="24"/>
          <w:szCs w:val="22"/>
          <w:highlight w:val="none"/>
        </w:rPr>
        <w:tab/>
      </w:r>
      <w:r>
        <w:rPr>
          <w:sz w:val="24"/>
          <w:szCs w:val="22"/>
          <w:highlight w:val="none"/>
        </w:rPr>
        <w:fldChar w:fldCharType="begin"/>
      </w:r>
      <w:r>
        <w:rPr>
          <w:sz w:val="24"/>
          <w:szCs w:val="22"/>
          <w:highlight w:val="none"/>
        </w:rPr>
        <w:instrText xml:space="preserve"> PAGEREF _Toc2408 \h </w:instrText>
      </w:r>
      <w:r>
        <w:rPr>
          <w:sz w:val="24"/>
          <w:szCs w:val="22"/>
          <w:highlight w:val="none"/>
        </w:rPr>
        <w:fldChar w:fldCharType="separate"/>
      </w:r>
      <w:r>
        <w:rPr>
          <w:sz w:val="24"/>
          <w:szCs w:val="22"/>
          <w:highlight w:val="none"/>
        </w:rPr>
        <w:t>46</w:t>
      </w:r>
      <w:r>
        <w:rPr>
          <w:sz w:val="24"/>
          <w:szCs w:val="22"/>
          <w:highlight w:val="none"/>
        </w:rPr>
        <w:fldChar w:fldCharType="end"/>
      </w:r>
      <w:r>
        <w:rPr>
          <w:sz w:val="24"/>
          <w:szCs w:val="22"/>
          <w:highlight w:val="none"/>
        </w:rPr>
        <w:fldChar w:fldCharType="end"/>
      </w:r>
    </w:p>
    <w:p w14:paraId="1F1F6217">
      <w:pPr>
        <w:pStyle w:val="25"/>
        <w:tabs>
          <w:tab w:val="right" w:leader="dot" w:pos="9746"/>
        </w:tabs>
        <w:spacing w:line="360" w:lineRule="auto"/>
        <w:rPr>
          <w:sz w:val="24"/>
          <w:szCs w:val="22"/>
          <w:highlight w:val="none"/>
        </w:rPr>
      </w:pPr>
      <w:r>
        <w:rPr>
          <w:highlight w:val="none"/>
        </w:rPr>
        <w:fldChar w:fldCharType="begin"/>
      </w:r>
      <w:r>
        <w:rPr>
          <w:highlight w:val="none"/>
        </w:rPr>
        <w:instrText xml:space="preserve"> HYPERLINK \l "_Toc26937" </w:instrText>
      </w:r>
      <w:r>
        <w:rPr>
          <w:highlight w:val="none"/>
        </w:rPr>
        <w:fldChar w:fldCharType="separate"/>
      </w:r>
      <w:r>
        <w:rPr>
          <w:rFonts w:hint="eastAsia" w:ascii="宋体" w:hAnsi="宋体" w:cs="宋体"/>
          <w:bCs/>
          <w:sz w:val="24"/>
          <w:szCs w:val="22"/>
          <w:highlight w:val="none"/>
        </w:rPr>
        <w:t>格式六 设计负责人简历表</w:t>
      </w:r>
      <w:r>
        <w:rPr>
          <w:sz w:val="24"/>
          <w:szCs w:val="22"/>
          <w:highlight w:val="none"/>
        </w:rPr>
        <w:tab/>
      </w:r>
      <w:r>
        <w:rPr>
          <w:sz w:val="24"/>
          <w:szCs w:val="22"/>
          <w:highlight w:val="none"/>
        </w:rPr>
        <w:fldChar w:fldCharType="begin"/>
      </w:r>
      <w:r>
        <w:rPr>
          <w:sz w:val="24"/>
          <w:szCs w:val="22"/>
          <w:highlight w:val="none"/>
        </w:rPr>
        <w:instrText xml:space="preserve"> PAGEREF _Toc26937 \h </w:instrText>
      </w:r>
      <w:r>
        <w:rPr>
          <w:sz w:val="24"/>
          <w:szCs w:val="22"/>
          <w:highlight w:val="none"/>
        </w:rPr>
        <w:fldChar w:fldCharType="separate"/>
      </w:r>
      <w:r>
        <w:rPr>
          <w:sz w:val="24"/>
          <w:szCs w:val="22"/>
          <w:highlight w:val="none"/>
        </w:rPr>
        <w:t>47</w:t>
      </w:r>
      <w:r>
        <w:rPr>
          <w:sz w:val="24"/>
          <w:szCs w:val="22"/>
          <w:highlight w:val="none"/>
        </w:rPr>
        <w:fldChar w:fldCharType="end"/>
      </w:r>
      <w:r>
        <w:rPr>
          <w:sz w:val="24"/>
          <w:szCs w:val="22"/>
          <w:highlight w:val="none"/>
        </w:rPr>
        <w:fldChar w:fldCharType="end"/>
      </w:r>
    </w:p>
    <w:p w14:paraId="1202CE38">
      <w:pPr>
        <w:pStyle w:val="25"/>
        <w:tabs>
          <w:tab w:val="right" w:leader="dot" w:pos="9746"/>
        </w:tabs>
        <w:spacing w:line="360" w:lineRule="auto"/>
        <w:rPr>
          <w:sz w:val="24"/>
          <w:szCs w:val="22"/>
          <w:highlight w:val="none"/>
        </w:rPr>
      </w:pPr>
      <w:r>
        <w:rPr>
          <w:highlight w:val="none"/>
        </w:rPr>
        <w:fldChar w:fldCharType="begin"/>
      </w:r>
      <w:r>
        <w:rPr>
          <w:highlight w:val="none"/>
        </w:rPr>
        <w:instrText xml:space="preserve"> HYPERLINK \l "_Toc23529" </w:instrText>
      </w:r>
      <w:r>
        <w:rPr>
          <w:highlight w:val="none"/>
        </w:rPr>
        <w:fldChar w:fldCharType="separate"/>
      </w:r>
      <w:r>
        <w:rPr>
          <w:rFonts w:hint="eastAsia" w:ascii="宋体" w:hAnsi="宋体" w:cs="宋体"/>
          <w:bCs/>
          <w:sz w:val="24"/>
          <w:szCs w:val="22"/>
          <w:highlight w:val="none"/>
        </w:rPr>
        <w:t>格式八  法定代表人身份证明书</w:t>
      </w:r>
      <w:r>
        <w:rPr>
          <w:sz w:val="24"/>
          <w:szCs w:val="22"/>
          <w:highlight w:val="none"/>
        </w:rPr>
        <w:tab/>
      </w:r>
      <w:r>
        <w:rPr>
          <w:sz w:val="24"/>
          <w:szCs w:val="22"/>
          <w:highlight w:val="none"/>
        </w:rPr>
        <w:fldChar w:fldCharType="begin"/>
      </w:r>
      <w:r>
        <w:rPr>
          <w:sz w:val="24"/>
          <w:szCs w:val="22"/>
          <w:highlight w:val="none"/>
        </w:rPr>
        <w:instrText xml:space="preserve"> PAGEREF _Toc23529 \h </w:instrText>
      </w:r>
      <w:r>
        <w:rPr>
          <w:sz w:val="24"/>
          <w:szCs w:val="22"/>
          <w:highlight w:val="none"/>
        </w:rPr>
        <w:fldChar w:fldCharType="separate"/>
      </w:r>
      <w:r>
        <w:rPr>
          <w:sz w:val="24"/>
          <w:szCs w:val="22"/>
          <w:highlight w:val="none"/>
        </w:rPr>
        <w:t>49</w:t>
      </w:r>
      <w:r>
        <w:rPr>
          <w:sz w:val="24"/>
          <w:szCs w:val="22"/>
          <w:highlight w:val="none"/>
        </w:rPr>
        <w:fldChar w:fldCharType="end"/>
      </w:r>
      <w:r>
        <w:rPr>
          <w:sz w:val="24"/>
          <w:szCs w:val="22"/>
          <w:highlight w:val="none"/>
        </w:rPr>
        <w:fldChar w:fldCharType="end"/>
      </w:r>
    </w:p>
    <w:p w14:paraId="10AE0739">
      <w:pPr>
        <w:pStyle w:val="25"/>
        <w:tabs>
          <w:tab w:val="right" w:leader="dot" w:pos="9746"/>
        </w:tabs>
        <w:spacing w:line="360" w:lineRule="auto"/>
        <w:rPr>
          <w:sz w:val="24"/>
          <w:szCs w:val="22"/>
          <w:highlight w:val="none"/>
        </w:rPr>
      </w:pPr>
      <w:r>
        <w:rPr>
          <w:highlight w:val="none"/>
        </w:rPr>
        <w:fldChar w:fldCharType="begin"/>
      </w:r>
      <w:r>
        <w:rPr>
          <w:highlight w:val="none"/>
        </w:rPr>
        <w:instrText xml:space="preserve"> HYPERLINK \l "_Toc5153" </w:instrText>
      </w:r>
      <w:r>
        <w:rPr>
          <w:highlight w:val="none"/>
        </w:rPr>
        <w:fldChar w:fldCharType="separate"/>
      </w:r>
      <w:r>
        <w:rPr>
          <w:rFonts w:hint="eastAsia" w:ascii="宋体" w:hAnsi="宋体" w:cs="宋体"/>
          <w:bCs/>
          <w:sz w:val="24"/>
          <w:szCs w:val="22"/>
          <w:highlight w:val="none"/>
        </w:rPr>
        <w:t>格式九 法定代表人授权委托书</w:t>
      </w:r>
      <w:r>
        <w:rPr>
          <w:sz w:val="24"/>
          <w:szCs w:val="22"/>
          <w:highlight w:val="none"/>
        </w:rPr>
        <w:tab/>
      </w:r>
      <w:r>
        <w:rPr>
          <w:sz w:val="24"/>
          <w:szCs w:val="22"/>
          <w:highlight w:val="none"/>
        </w:rPr>
        <w:fldChar w:fldCharType="begin"/>
      </w:r>
      <w:r>
        <w:rPr>
          <w:sz w:val="24"/>
          <w:szCs w:val="22"/>
          <w:highlight w:val="none"/>
        </w:rPr>
        <w:instrText xml:space="preserve"> PAGEREF _Toc5153 \h </w:instrText>
      </w:r>
      <w:r>
        <w:rPr>
          <w:sz w:val="24"/>
          <w:szCs w:val="22"/>
          <w:highlight w:val="none"/>
        </w:rPr>
        <w:fldChar w:fldCharType="separate"/>
      </w:r>
      <w:r>
        <w:rPr>
          <w:sz w:val="24"/>
          <w:szCs w:val="22"/>
          <w:highlight w:val="none"/>
        </w:rPr>
        <w:t>50</w:t>
      </w:r>
      <w:r>
        <w:rPr>
          <w:sz w:val="24"/>
          <w:szCs w:val="22"/>
          <w:highlight w:val="none"/>
        </w:rPr>
        <w:fldChar w:fldCharType="end"/>
      </w:r>
      <w:r>
        <w:rPr>
          <w:sz w:val="24"/>
          <w:szCs w:val="22"/>
          <w:highlight w:val="none"/>
        </w:rPr>
        <w:fldChar w:fldCharType="end"/>
      </w:r>
    </w:p>
    <w:p w14:paraId="7F57D71E">
      <w:pPr>
        <w:pStyle w:val="25"/>
        <w:tabs>
          <w:tab w:val="right" w:leader="dot" w:pos="9746"/>
        </w:tabs>
        <w:spacing w:line="360" w:lineRule="auto"/>
        <w:rPr>
          <w:sz w:val="24"/>
          <w:szCs w:val="22"/>
          <w:highlight w:val="none"/>
        </w:rPr>
      </w:pPr>
      <w:r>
        <w:rPr>
          <w:highlight w:val="none"/>
        </w:rPr>
        <w:fldChar w:fldCharType="begin"/>
      </w:r>
      <w:r>
        <w:rPr>
          <w:highlight w:val="none"/>
        </w:rPr>
        <w:instrText xml:space="preserve"> HYPERLINK \l "_Toc9866" </w:instrText>
      </w:r>
      <w:r>
        <w:rPr>
          <w:highlight w:val="none"/>
        </w:rPr>
        <w:fldChar w:fldCharType="separate"/>
      </w:r>
      <w:r>
        <w:rPr>
          <w:rFonts w:hint="eastAsia" w:ascii="宋体" w:hAnsi="宋体" w:cs="宋体"/>
          <w:bCs/>
          <w:sz w:val="24"/>
          <w:szCs w:val="22"/>
          <w:highlight w:val="none"/>
        </w:rPr>
        <w:t>格式十 联合体协议书</w:t>
      </w:r>
      <w:r>
        <w:rPr>
          <w:sz w:val="24"/>
          <w:szCs w:val="22"/>
          <w:highlight w:val="none"/>
        </w:rPr>
        <w:tab/>
      </w:r>
      <w:r>
        <w:rPr>
          <w:sz w:val="24"/>
          <w:szCs w:val="22"/>
          <w:highlight w:val="none"/>
        </w:rPr>
        <w:fldChar w:fldCharType="begin"/>
      </w:r>
      <w:r>
        <w:rPr>
          <w:sz w:val="24"/>
          <w:szCs w:val="22"/>
          <w:highlight w:val="none"/>
        </w:rPr>
        <w:instrText xml:space="preserve"> PAGEREF _Toc9866 \h </w:instrText>
      </w:r>
      <w:r>
        <w:rPr>
          <w:sz w:val="24"/>
          <w:szCs w:val="22"/>
          <w:highlight w:val="none"/>
        </w:rPr>
        <w:fldChar w:fldCharType="separate"/>
      </w:r>
      <w:r>
        <w:rPr>
          <w:sz w:val="24"/>
          <w:szCs w:val="22"/>
          <w:highlight w:val="none"/>
        </w:rPr>
        <w:t>51</w:t>
      </w:r>
      <w:r>
        <w:rPr>
          <w:sz w:val="24"/>
          <w:szCs w:val="22"/>
          <w:highlight w:val="none"/>
        </w:rPr>
        <w:fldChar w:fldCharType="end"/>
      </w:r>
      <w:r>
        <w:rPr>
          <w:sz w:val="24"/>
          <w:szCs w:val="22"/>
          <w:highlight w:val="none"/>
        </w:rPr>
        <w:fldChar w:fldCharType="end"/>
      </w:r>
    </w:p>
    <w:p w14:paraId="67E489B0">
      <w:pPr>
        <w:pStyle w:val="22"/>
        <w:tabs>
          <w:tab w:val="right" w:leader="dot" w:pos="9746"/>
        </w:tabs>
        <w:spacing w:line="360" w:lineRule="auto"/>
        <w:rPr>
          <w:sz w:val="24"/>
          <w:szCs w:val="22"/>
          <w:highlight w:val="none"/>
        </w:rPr>
      </w:pPr>
      <w:r>
        <w:rPr>
          <w:highlight w:val="none"/>
        </w:rPr>
        <w:fldChar w:fldCharType="begin"/>
      </w:r>
      <w:r>
        <w:rPr>
          <w:highlight w:val="none"/>
        </w:rPr>
        <w:instrText xml:space="preserve"> HYPERLINK \l "_Toc14924" </w:instrText>
      </w:r>
      <w:r>
        <w:rPr>
          <w:highlight w:val="none"/>
        </w:rPr>
        <w:fldChar w:fldCharType="separate"/>
      </w:r>
      <w:r>
        <w:rPr>
          <w:rFonts w:hint="eastAsia" w:ascii="宋体" w:hAnsi="宋体" w:cs="宋体"/>
          <w:kern w:val="44"/>
          <w:sz w:val="24"/>
          <w:szCs w:val="36"/>
          <w:highlight w:val="none"/>
        </w:rPr>
        <w:t>第六章 其他资料</w:t>
      </w:r>
      <w:r>
        <w:rPr>
          <w:sz w:val="24"/>
          <w:szCs w:val="22"/>
          <w:highlight w:val="none"/>
        </w:rPr>
        <w:tab/>
      </w:r>
      <w:r>
        <w:rPr>
          <w:sz w:val="24"/>
          <w:szCs w:val="22"/>
          <w:highlight w:val="none"/>
        </w:rPr>
        <w:fldChar w:fldCharType="begin"/>
      </w:r>
      <w:r>
        <w:rPr>
          <w:sz w:val="24"/>
          <w:szCs w:val="22"/>
          <w:highlight w:val="none"/>
        </w:rPr>
        <w:instrText xml:space="preserve"> PAGEREF _Toc14924 \h </w:instrText>
      </w:r>
      <w:r>
        <w:rPr>
          <w:sz w:val="24"/>
          <w:szCs w:val="22"/>
          <w:highlight w:val="none"/>
        </w:rPr>
        <w:fldChar w:fldCharType="separate"/>
      </w:r>
      <w:r>
        <w:rPr>
          <w:sz w:val="24"/>
          <w:szCs w:val="22"/>
          <w:highlight w:val="none"/>
        </w:rPr>
        <w:t>52</w:t>
      </w:r>
      <w:r>
        <w:rPr>
          <w:sz w:val="24"/>
          <w:szCs w:val="22"/>
          <w:highlight w:val="none"/>
        </w:rPr>
        <w:fldChar w:fldCharType="end"/>
      </w:r>
      <w:r>
        <w:rPr>
          <w:sz w:val="24"/>
          <w:szCs w:val="22"/>
          <w:highlight w:val="none"/>
        </w:rPr>
        <w:fldChar w:fldCharType="end"/>
      </w:r>
    </w:p>
    <w:p w14:paraId="45832571">
      <w:pPr>
        <w:pStyle w:val="25"/>
        <w:tabs>
          <w:tab w:val="right" w:leader="dot" w:pos="9736"/>
        </w:tabs>
        <w:snapToGrid w:val="0"/>
        <w:spacing w:line="360" w:lineRule="auto"/>
        <w:jc w:val="center"/>
        <w:rPr>
          <w:rFonts w:hint="eastAsia" w:hAnsi="宋体" w:cs="宋体"/>
          <w:kern w:val="0"/>
          <w:szCs w:val="24"/>
          <w:highlight w:val="none"/>
        </w:rPr>
      </w:pPr>
      <w:r>
        <w:rPr>
          <w:rFonts w:hint="eastAsia" w:ascii="宋体" w:hAnsi="宋体" w:cs="宋体"/>
          <w:sz w:val="24"/>
          <w:szCs w:val="32"/>
          <w:highlight w:val="none"/>
        </w:rPr>
        <w:fldChar w:fldCharType="end"/>
      </w:r>
      <w:bookmarkEnd w:id="0"/>
      <w:bookmarkEnd w:id="1"/>
      <w:bookmarkStart w:id="2" w:name="_Toc255036545"/>
      <w:bookmarkStart w:id="3" w:name="_Toc255036761"/>
    </w:p>
    <w:bookmarkEnd w:id="2"/>
    <w:bookmarkEnd w:id="3"/>
    <w:p w14:paraId="5340273B">
      <w:pPr>
        <w:pStyle w:val="188"/>
        <w:keepNext/>
        <w:keepLines/>
        <w:snapToGrid w:val="0"/>
        <w:spacing w:line="360" w:lineRule="exact"/>
        <w:jc w:val="center"/>
        <w:rPr>
          <w:rFonts w:hint="eastAsia" w:hAnsi="宋体" w:cs="宋体"/>
          <w:b/>
          <w:kern w:val="44"/>
          <w:sz w:val="32"/>
          <w:szCs w:val="22"/>
          <w:highlight w:val="none"/>
        </w:rPr>
      </w:pPr>
      <w:bookmarkStart w:id="4" w:name="_Toc135054575"/>
      <w:bookmarkStart w:id="5" w:name="_Hlt111690251"/>
    </w:p>
    <w:p w14:paraId="5F2DF1B3">
      <w:pPr>
        <w:pStyle w:val="188"/>
        <w:keepNext/>
        <w:keepLines/>
        <w:snapToGrid w:val="0"/>
        <w:spacing w:line="360" w:lineRule="exact"/>
        <w:jc w:val="center"/>
        <w:rPr>
          <w:rFonts w:hint="eastAsia" w:hAnsi="宋体" w:cs="宋体"/>
          <w:b/>
          <w:kern w:val="44"/>
          <w:sz w:val="32"/>
          <w:szCs w:val="22"/>
          <w:highlight w:val="none"/>
        </w:rPr>
      </w:pPr>
    </w:p>
    <w:p w14:paraId="009E561E">
      <w:pPr>
        <w:pStyle w:val="83"/>
        <w:rPr>
          <w:rFonts w:hint="eastAsia" w:hAnsi="宋体" w:cs="宋体"/>
          <w:b/>
          <w:kern w:val="44"/>
          <w:sz w:val="32"/>
          <w:szCs w:val="22"/>
          <w:highlight w:val="none"/>
        </w:rPr>
      </w:pPr>
    </w:p>
    <w:p w14:paraId="79093076">
      <w:pPr>
        <w:pStyle w:val="188"/>
        <w:keepNext/>
        <w:keepLines/>
        <w:snapToGrid w:val="0"/>
        <w:spacing w:line="360" w:lineRule="exact"/>
        <w:jc w:val="center"/>
        <w:rPr>
          <w:rFonts w:hint="eastAsia" w:hAnsi="宋体" w:cs="宋体"/>
          <w:b/>
          <w:kern w:val="44"/>
          <w:sz w:val="32"/>
          <w:szCs w:val="22"/>
          <w:highlight w:val="none"/>
        </w:rPr>
        <w:sectPr>
          <w:footerReference r:id="rId4" w:type="default"/>
          <w:endnotePr>
            <w:numFmt w:val="decimal"/>
          </w:endnotePr>
          <w:pgSz w:w="11906" w:h="16838"/>
          <w:pgMar w:top="1440" w:right="1080" w:bottom="1440" w:left="1080" w:header="850" w:footer="992" w:gutter="0"/>
          <w:pgNumType w:start="1"/>
          <w:cols w:space="720" w:num="1"/>
          <w:docGrid w:linePitch="327" w:charSpace="0"/>
        </w:sectPr>
      </w:pPr>
      <w:bookmarkStart w:id="6" w:name="_Toc32277"/>
    </w:p>
    <w:p w14:paraId="0B1CD2F7">
      <w:pPr>
        <w:pStyle w:val="188"/>
        <w:keepNext/>
        <w:keepLines/>
        <w:snapToGrid w:val="0"/>
        <w:spacing w:line="360" w:lineRule="exact"/>
        <w:jc w:val="center"/>
        <w:rPr>
          <w:rFonts w:hint="eastAsia" w:hAnsi="宋体" w:cs="宋体"/>
          <w:b/>
          <w:kern w:val="44"/>
          <w:sz w:val="32"/>
          <w:szCs w:val="22"/>
          <w:highlight w:val="none"/>
        </w:rPr>
      </w:pPr>
      <w:r>
        <w:rPr>
          <w:rFonts w:hint="eastAsia" w:hAnsi="宋体" w:cs="宋体"/>
          <w:b/>
          <w:kern w:val="44"/>
          <w:sz w:val="32"/>
          <w:szCs w:val="22"/>
          <w:highlight w:val="none"/>
        </w:rPr>
        <w:t>第一章 投标人须知</w:t>
      </w:r>
      <w:bookmarkEnd w:id="4"/>
      <w:bookmarkEnd w:id="6"/>
    </w:p>
    <w:p w14:paraId="6BD5F4D7">
      <w:pPr>
        <w:pStyle w:val="82"/>
        <w:keepNext/>
        <w:keepLines/>
        <w:autoSpaceDE/>
        <w:autoSpaceDN/>
        <w:adjustRightInd/>
        <w:spacing w:before="260" w:after="260" w:line="360" w:lineRule="exact"/>
        <w:jc w:val="both"/>
        <w:rPr>
          <w:rFonts w:hint="eastAsia" w:ascii="宋体" w:hAnsi="宋体" w:cs="宋体"/>
          <w:b/>
          <w:kern w:val="2"/>
          <w:highlight w:val="none"/>
        </w:rPr>
      </w:pPr>
      <w:bookmarkStart w:id="7" w:name="_Hlt127175444"/>
      <w:bookmarkEnd w:id="7"/>
      <w:bookmarkStart w:id="8" w:name="_Toc2102"/>
      <w:bookmarkStart w:id="9" w:name="_Toc2571"/>
      <w:bookmarkStart w:id="10" w:name="_Toc7880"/>
      <w:bookmarkStart w:id="11" w:name="_Toc12674"/>
      <w:bookmarkStart w:id="12" w:name="_Toc135054576"/>
      <w:bookmarkStart w:id="13" w:name="_Hlt120077520"/>
      <w:r>
        <w:rPr>
          <w:rFonts w:hint="eastAsia" w:ascii="宋体" w:hAnsi="宋体" w:cs="宋体"/>
          <w:b/>
          <w:kern w:val="2"/>
          <w:highlight w:val="none"/>
        </w:rPr>
        <w:t>第一节 投标人须知前附表</w:t>
      </w:r>
      <w:bookmarkEnd w:id="8"/>
      <w:bookmarkEnd w:id="9"/>
      <w:bookmarkEnd w:id="10"/>
      <w:bookmarkEnd w:id="11"/>
      <w:bookmarkEnd w:id="12"/>
    </w:p>
    <w:tbl>
      <w:tblPr>
        <w:tblStyle w:val="33"/>
        <w:tblW w:w="98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869"/>
        <w:gridCol w:w="1701"/>
        <w:gridCol w:w="7301"/>
      </w:tblGrid>
      <w:tr w14:paraId="26433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92"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A1ED545">
            <w:pPr>
              <w:pStyle w:val="83"/>
              <w:spacing w:line="360" w:lineRule="exact"/>
              <w:jc w:val="center"/>
              <w:rPr>
                <w:rFonts w:hint="eastAsia" w:hAnsi="宋体" w:cs="宋体"/>
                <w:b/>
                <w:bCs/>
                <w:highlight w:val="none"/>
              </w:rPr>
            </w:pPr>
            <w:r>
              <w:rPr>
                <w:rFonts w:hint="eastAsia" w:hAnsi="宋体" w:cs="宋体"/>
                <w:b/>
                <w:bCs/>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5BE8609A">
            <w:pPr>
              <w:pStyle w:val="83"/>
              <w:spacing w:line="360" w:lineRule="exact"/>
              <w:jc w:val="center"/>
              <w:rPr>
                <w:rFonts w:hint="eastAsia" w:hAnsi="宋体" w:cs="宋体"/>
                <w:b/>
                <w:bCs/>
                <w:highlight w:val="none"/>
              </w:rPr>
            </w:pPr>
            <w:r>
              <w:rPr>
                <w:rFonts w:hint="eastAsia" w:hAnsi="宋体" w:cs="宋体"/>
                <w:b/>
                <w:bCs/>
                <w:highlight w:val="none"/>
              </w:rPr>
              <w:t>内容</w:t>
            </w:r>
          </w:p>
        </w:tc>
        <w:tc>
          <w:tcPr>
            <w:tcW w:w="7301" w:type="dxa"/>
            <w:tcBorders>
              <w:top w:val="single" w:color="auto" w:sz="4" w:space="0"/>
              <w:left w:val="single" w:color="auto" w:sz="4" w:space="0"/>
              <w:bottom w:val="single" w:color="auto" w:sz="4" w:space="0"/>
              <w:right w:val="single" w:color="auto" w:sz="4" w:space="0"/>
            </w:tcBorders>
            <w:vAlign w:val="center"/>
          </w:tcPr>
          <w:p w14:paraId="7CCED80C">
            <w:pPr>
              <w:pStyle w:val="83"/>
              <w:tabs>
                <w:tab w:val="left" w:pos="1180"/>
              </w:tabs>
              <w:spacing w:line="360" w:lineRule="exact"/>
              <w:jc w:val="center"/>
              <w:rPr>
                <w:rFonts w:hint="eastAsia" w:hAnsi="宋体" w:cs="宋体"/>
                <w:b/>
                <w:bCs/>
                <w:highlight w:val="none"/>
              </w:rPr>
            </w:pPr>
            <w:r>
              <w:rPr>
                <w:rFonts w:hint="eastAsia" w:hAnsi="宋体" w:cs="宋体"/>
                <w:b/>
                <w:bCs/>
                <w:highlight w:val="none"/>
              </w:rPr>
              <w:t>说明与要求</w:t>
            </w:r>
          </w:p>
        </w:tc>
      </w:tr>
      <w:tr w14:paraId="7199F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48"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BC72FC8">
            <w:pPr>
              <w:widowControl/>
              <w:spacing w:line="360" w:lineRule="exact"/>
              <w:jc w:val="center"/>
              <w:textAlignment w:val="center"/>
              <w:rPr>
                <w:rFonts w:hint="eastAsia" w:ascii="宋体" w:hAnsi="宋体" w:cs="宋体"/>
                <w:sz w:val="24"/>
                <w:szCs w:val="24"/>
                <w:highlight w:val="none"/>
              </w:rPr>
            </w:pPr>
            <w:r>
              <w:rPr>
                <w:rFonts w:hint="eastAsia" w:ascii="宋体" w:hAnsi="宋体" w:cs="宋体"/>
                <w:kern w:val="0"/>
                <w:sz w:val="24"/>
                <w:szCs w:val="24"/>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14:paraId="2381142D">
            <w:pPr>
              <w:spacing w:line="360" w:lineRule="exact"/>
              <w:jc w:val="center"/>
              <w:rPr>
                <w:rFonts w:hint="eastAsia" w:ascii="宋体" w:hAnsi="宋体" w:cs="宋体"/>
                <w:sz w:val="24"/>
                <w:szCs w:val="24"/>
                <w:highlight w:val="none"/>
              </w:rPr>
            </w:pPr>
            <w:r>
              <w:rPr>
                <w:rFonts w:hint="eastAsia" w:ascii="宋体" w:hAnsi="宋体" w:cs="宋体"/>
                <w:snapToGrid w:val="0"/>
                <w:kern w:val="0"/>
                <w:sz w:val="24"/>
                <w:szCs w:val="24"/>
                <w:highlight w:val="none"/>
              </w:rPr>
              <w:t>项目名称</w:t>
            </w:r>
          </w:p>
        </w:tc>
        <w:tc>
          <w:tcPr>
            <w:tcW w:w="7301" w:type="dxa"/>
            <w:tcBorders>
              <w:top w:val="single" w:color="auto" w:sz="4" w:space="0"/>
              <w:left w:val="single" w:color="auto" w:sz="4" w:space="0"/>
              <w:bottom w:val="single" w:color="auto" w:sz="4" w:space="0"/>
              <w:right w:val="single" w:color="auto" w:sz="4" w:space="0"/>
            </w:tcBorders>
            <w:vAlign w:val="center"/>
          </w:tcPr>
          <w:p w14:paraId="29EFDA64">
            <w:pPr>
              <w:tabs>
                <w:tab w:val="left" w:pos="1180"/>
              </w:tabs>
              <w:spacing w:line="360" w:lineRule="exact"/>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浈江产业园（犁市片区）基础设施建设项目（土方工程、道路及边坡工程、管线工程）设计</w:t>
            </w:r>
          </w:p>
        </w:tc>
      </w:tr>
      <w:tr w14:paraId="536E3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19"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9EDF130">
            <w:pPr>
              <w:widowControl/>
              <w:spacing w:line="360" w:lineRule="exact"/>
              <w:jc w:val="center"/>
              <w:textAlignment w:val="center"/>
              <w:rPr>
                <w:rFonts w:hint="eastAsia" w:ascii="宋体" w:hAnsi="宋体" w:cs="宋体"/>
                <w:kern w:val="0"/>
                <w:sz w:val="24"/>
                <w:szCs w:val="24"/>
                <w:highlight w:val="none"/>
              </w:rPr>
            </w:pPr>
            <w:r>
              <w:rPr>
                <w:rFonts w:hint="eastAsia" w:ascii="宋体" w:hAnsi="宋体" w:cs="宋体"/>
                <w:kern w:val="0"/>
                <w:sz w:val="24"/>
                <w:szCs w:val="24"/>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14:paraId="784A83BE">
            <w:pPr>
              <w:spacing w:line="36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项目业主</w:t>
            </w:r>
          </w:p>
        </w:tc>
        <w:tc>
          <w:tcPr>
            <w:tcW w:w="7301" w:type="dxa"/>
            <w:tcBorders>
              <w:top w:val="single" w:color="auto" w:sz="4" w:space="0"/>
              <w:left w:val="single" w:color="auto" w:sz="4" w:space="0"/>
              <w:bottom w:val="single" w:color="auto" w:sz="4" w:space="0"/>
              <w:right w:val="single" w:color="auto" w:sz="4" w:space="0"/>
            </w:tcBorders>
            <w:vAlign w:val="center"/>
          </w:tcPr>
          <w:p w14:paraId="5DAD10E6">
            <w:pPr>
              <w:tabs>
                <w:tab w:val="left" w:pos="1180"/>
              </w:tabs>
              <w:spacing w:line="360" w:lineRule="exact"/>
              <w:jc w:val="left"/>
              <w:rPr>
                <w:rFonts w:hint="eastAsia" w:ascii="宋体" w:hAnsi="宋体" w:cs="宋体"/>
                <w:snapToGrid w:val="0"/>
                <w:kern w:val="0"/>
                <w:sz w:val="24"/>
                <w:szCs w:val="24"/>
                <w:highlight w:val="none"/>
              </w:rPr>
            </w:pPr>
            <w:r>
              <w:rPr>
                <w:rFonts w:hint="eastAsia" w:hAnsi="宋体"/>
                <w:sz w:val="24"/>
                <w:szCs w:val="24"/>
                <w:highlight w:val="none"/>
              </w:rPr>
              <w:t>东莞（韶关）浈江产业转移工业园管理委员会</w:t>
            </w:r>
          </w:p>
        </w:tc>
      </w:tr>
      <w:tr w14:paraId="7B82E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84"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570D56E">
            <w:pPr>
              <w:widowControl/>
              <w:spacing w:line="360" w:lineRule="exact"/>
              <w:jc w:val="center"/>
              <w:textAlignment w:val="center"/>
              <w:rPr>
                <w:rFonts w:hint="eastAsia" w:ascii="宋体" w:hAnsi="宋体" w:cs="宋体"/>
                <w:sz w:val="24"/>
                <w:szCs w:val="24"/>
                <w:highlight w:val="none"/>
              </w:rPr>
            </w:pPr>
            <w:r>
              <w:rPr>
                <w:rFonts w:hint="eastAsia" w:ascii="宋体" w:hAnsi="宋体" w:cs="宋体"/>
                <w:kern w:val="0"/>
                <w:sz w:val="24"/>
                <w:szCs w:val="24"/>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14:paraId="14B8AE90">
            <w:pPr>
              <w:spacing w:line="360" w:lineRule="exact"/>
              <w:jc w:val="center"/>
              <w:rPr>
                <w:rFonts w:hint="eastAsia" w:ascii="宋体" w:hAnsi="宋体" w:cs="宋体"/>
                <w:sz w:val="24"/>
                <w:szCs w:val="24"/>
                <w:highlight w:val="none"/>
              </w:rPr>
            </w:pPr>
            <w:r>
              <w:rPr>
                <w:rFonts w:hint="eastAsia" w:ascii="宋体" w:hAnsi="宋体" w:cs="宋体"/>
                <w:snapToGrid w:val="0"/>
                <w:kern w:val="0"/>
                <w:sz w:val="24"/>
                <w:szCs w:val="24"/>
                <w:highlight w:val="none"/>
              </w:rPr>
              <w:t>项目批准部门</w:t>
            </w:r>
          </w:p>
        </w:tc>
        <w:tc>
          <w:tcPr>
            <w:tcW w:w="7301" w:type="dxa"/>
            <w:tcBorders>
              <w:top w:val="single" w:color="auto" w:sz="4" w:space="0"/>
              <w:left w:val="single" w:color="auto" w:sz="4" w:space="0"/>
              <w:bottom w:val="single" w:color="auto" w:sz="4" w:space="0"/>
              <w:right w:val="single" w:color="auto" w:sz="4" w:space="0"/>
            </w:tcBorders>
            <w:vAlign w:val="center"/>
          </w:tcPr>
          <w:p w14:paraId="0C0D7660">
            <w:pPr>
              <w:spacing w:line="360" w:lineRule="exact"/>
              <w:jc w:val="left"/>
              <w:rPr>
                <w:rFonts w:hint="eastAsia" w:ascii="宋体" w:hAnsi="宋体" w:cs="宋体"/>
                <w:sz w:val="24"/>
                <w:szCs w:val="24"/>
                <w:highlight w:val="none"/>
              </w:rPr>
            </w:pPr>
            <w:r>
              <w:rPr>
                <w:rFonts w:hint="eastAsia" w:ascii="宋体" w:hAnsi="宋体" w:cs="宋体"/>
                <w:sz w:val="24"/>
                <w:szCs w:val="24"/>
                <w:highlight w:val="none"/>
              </w:rPr>
              <w:t>韶关市浈江区发展和改革局</w:t>
            </w:r>
          </w:p>
        </w:tc>
      </w:tr>
      <w:tr w14:paraId="1486B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43"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8C57F4C">
            <w:pPr>
              <w:widowControl/>
              <w:spacing w:line="360" w:lineRule="exact"/>
              <w:jc w:val="center"/>
              <w:textAlignment w:val="center"/>
              <w:rPr>
                <w:rFonts w:hint="eastAsia" w:ascii="宋体" w:hAnsi="宋体" w:cs="宋体"/>
                <w:sz w:val="24"/>
                <w:szCs w:val="24"/>
                <w:highlight w:val="none"/>
              </w:rPr>
            </w:pPr>
            <w:r>
              <w:rPr>
                <w:rFonts w:hint="eastAsia" w:ascii="宋体" w:hAnsi="宋体" w:cs="宋体"/>
                <w:kern w:val="0"/>
                <w:sz w:val="24"/>
                <w:szCs w:val="24"/>
                <w:highlight w:val="none"/>
              </w:rPr>
              <w:t>4</w:t>
            </w:r>
          </w:p>
        </w:tc>
        <w:tc>
          <w:tcPr>
            <w:tcW w:w="1701" w:type="dxa"/>
            <w:tcBorders>
              <w:top w:val="single" w:color="auto" w:sz="4" w:space="0"/>
              <w:left w:val="single" w:color="auto" w:sz="4" w:space="0"/>
              <w:bottom w:val="single" w:color="auto" w:sz="4" w:space="0"/>
              <w:right w:val="single" w:color="auto" w:sz="4" w:space="0"/>
            </w:tcBorders>
            <w:vAlign w:val="center"/>
          </w:tcPr>
          <w:p w14:paraId="7BB17C9E">
            <w:pPr>
              <w:spacing w:line="360" w:lineRule="exact"/>
              <w:jc w:val="center"/>
              <w:rPr>
                <w:rFonts w:hint="eastAsia" w:ascii="宋体" w:hAnsi="宋体" w:cs="宋体"/>
                <w:sz w:val="24"/>
                <w:szCs w:val="24"/>
                <w:highlight w:val="none"/>
              </w:rPr>
            </w:pPr>
            <w:r>
              <w:rPr>
                <w:rFonts w:hint="eastAsia" w:ascii="宋体" w:hAnsi="宋体" w:cs="宋体"/>
                <w:snapToGrid w:val="0"/>
                <w:kern w:val="0"/>
                <w:sz w:val="24"/>
                <w:szCs w:val="24"/>
                <w:highlight w:val="none"/>
              </w:rPr>
              <w:t>项目批准文号</w:t>
            </w:r>
          </w:p>
        </w:tc>
        <w:tc>
          <w:tcPr>
            <w:tcW w:w="7301" w:type="dxa"/>
            <w:tcBorders>
              <w:top w:val="single" w:color="auto" w:sz="4" w:space="0"/>
              <w:left w:val="single" w:color="auto" w:sz="4" w:space="0"/>
              <w:bottom w:val="single" w:color="auto" w:sz="4" w:space="0"/>
              <w:right w:val="single" w:color="auto" w:sz="4" w:space="0"/>
            </w:tcBorders>
            <w:vAlign w:val="center"/>
          </w:tcPr>
          <w:p w14:paraId="6306BCD2">
            <w:pPr>
              <w:spacing w:line="360" w:lineRule="exact"/>
              <w:jc w:val="left"/>
              <w:rPr>
                <w:rFonts w:hint="eastAsia" w:ascii="宋体" w:hAnsi="宋体" w:cs="宋体"/>
                <w:sz w:val="24"/>
                <w:szCs w:val="24"/>
                <w:highlight w:val="none"/>
              </w:rPr>
            </w:pPr>
            <w:r>
              <w:rPr>
                <w:rFonts w:hint="eastAsia" w:ascii="宋体" w:hAnsi="宋体" w:cs="宋体"/>
                <w:sz w:val="24"/>
                <w:szCs w:val="24"/>
                <w:highlight w:val="none"/>
              </w:rPr>
              <w:t>韶浈发改投审〔2024〕20号</w:t>
            </w:r>
          </w:p>
        </w:tc>
      </w:tr>
      <w:tr w14:paraId="71FDC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5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EE281D5">
            <w:pPr>
              <w:widowControl/>
              <w:spacing w:line="360" w:lineRule="exact"/>
              <w:jc w:val="center"/>
              <w:textAlignment w:val="center"/>
              <w:rPr>
                <w:rFonts w:hint="eastAsia" w:ascii="宋体" w:hAnsi="宋体" w:cs="宋体"/>
                <w:sz w:val="24"/>
                <w:szCs w:val="24"/>
                <w:highlight w:val="none"/>
              </w:rPr>
            </w:pPr>
            <w:r>
              <w:rPr>
                <w:rFonts w:hint="eastAsia" w:ascii="宋体" w:hAnsi="宋体" w:cs="宋体"/>
                <w:kern w:val="0"/>
                <w:sz w:val="24"/>
                <w:szCs w:val="24"/>
                <w:highlight w:val="none"/>
              </w:rPr>
              <w:t>5</w:t>
            </w:r>
          </w:p>
        </w:tc>
        <w:tc>
          <w:tcPr>
            <w:tcW w:w="1701" w:type="dxa"/>
            <w:tcBorders>
              <w:top w:val="single" w:color="auto" w:sz="4" w:space="0"/>
              <w:left w:val="single" w:color="auto" w:sz="4" w:space="0"/>
              <w:bottom w:val="single" w:color="auto" w:sz="4" w:space="0"/>
              <w:right w:val="single" w:color="auto" w:sz="4" w:space="0"/>
            </w:tcBorders>
            <w:vAlign w:val="center"/>
          </w:tcPr>
          <w:p w14:paraId="229B781C">
            <w:pPr>
              <w:spacing w:line="360" w:lineRule="exact"/>
              <w:jc w:val="center"/>
              <w:rPr>
                <w:rFonts w:hint="eastAsia" w:ascii="宋体" w:hAnsi="宋体" w:cs="宋体"/>
                <w:kern w:val="0"/>
                <w:sz w:val="24"/>
                <w:szCs w:val="24"/>
                <w:highlight w:val="none"/>
              </w:rPr>
            </w:pPr>
            <w:r>
              <w:rPr>
                <w:rFonts w:hint="eastAsia" w:ascii="宋体" w:hAnsi="宋体" w:cs="宋体"/>
                <w:snapToGrid w:val="0"/>
                <w:kern w:val="0"/>
                <w:sz w:val="24"/>
                <w:szCs w:val="24"/>
                <w:highlight w:val="none"/>
              </w:rPr>
              <w:t>项目代码</w:t>
            </w:r>
          </w:p>
        </w:tc>
        <w:tc>
          <w:tcPr>
            <w:tcW w:w="7301" w:type="dxa"/>
            <w:tcBorders>
              <w:top w:val="single" w:color="auto" w:sz="4" w:space="0"/>
              <w:left w:val="single" w:color="auto" w:sz="4" w:space="0"/>
              <w:bottom w:val="single" w:color="auto" w:sz="4" w:space="0"/>
              <w:right w:val="single" w:color="auto" w:sz="4" w:space="0"/>
            </w:tcBorders>
            <w:vAlign w:val="center"/>
          </w:tcPr>
          <w:p w14:paraId="415B98B2">
            <w:pPr>
              <w:spacing w:line="36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2310-440204-04-01-369836</w:t>
            </w:r>
          </w:p>
        </w:tc>
      </w:tr>
      <w:tr w14:paraId="09F2C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09314BE">
            <w:pPr>
              <w:widowControl/>
              <w:spacing w:line="360" w:lineRule="exact"/>
              <w:jc w:val="center"/>
              <w:textAlignment w:val="center"/>
              <w:rPr>
                <w:rFonts w:hint="eastAsia" w:ascii="宋体" w:hAnsi="宋体" w:cs="宋体"/>
                <w:sz w:val="24"/>
                <w:szCs w:val="24"/>
                <w:highlight w:val="none"/>
              </w:rPr>
            </w:pPr>
            <w:r>
              <w:rPr>
                <w:rFonts w:hint="eastAsia" w:ascii="宋体" w:hAnsi="宋体" w:cs="宋体"/>
                <w:sz w:val="24"/>
                <w:szCs w:val="24"/>
                <w:highlight w:val="none"/>
              </w:rPr>
              <w:t>6</w:t>
            </w:r>
          </w:p>
        </w:tc>
        <w:tc>
          <w:tcPr>
            <w:tcW w:w="1701" w:type="dxa"/>
            <w:tcBorders>
              <w:top w:val="single" w:color="auto" w:sz="4" w:space="0"/>
              <w:left w:val="single" w:color="auto" w:sz="4" w:space="0"/>
              <w:bottom w:val="single" w:color="auto" w:sz="4" w:space="0"/>
              <w:right w:val="single" w:color="auto" w:sz="4" w:space="0"/>
            </w:tcBorders>
            <w:vAlign w:val="center"/>
          </w:tcPr>
          <w:p w14:paraId="158F7932">
            <w:pPr>
              <w:spacing w:line="36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资金来源</w:t>
            </w:r>
          </w:p>
          <w:p w14:paraId="3C29212C">
            <w:pPr>
              <w:spacing w:line="360" w:lineRule="exact"/>
              <w:jc w:val="center"/>
              <w:rPr>
                <w:rFonts w:hint="eastAsia" w:ascii="宋体" w:hAnsi="宋体" w:cs="宋体"/>
                <w:sz w:val="24"/>
                <w:szCs w:val="24"/>
                <w:highlight w:val="none"/>
              </w:rPr>
            </w:pPr>
            <w:r>
              <w:rPr>
                <w:rFonts w:hint="eastAsia" w:ascii="宋体" w:hAnsi="宋体" w:cs="宋体"/>
                <w:snapToGrid w:val="0"/>
                <w:kern w:val="0"/>
                <w:sz w:val="24"/>
                <w:szCs w:val="24"/>
                <w:highlight w:val="none"/>
              </w:rPr>
              <w:t>及出资比例</w:t>
            </w:r>
          </w:p>
        </w:tc>
        <w:tc>
          <w:tcPr>
            <w:tcW w:w="7301" w:type="dxa"/>
            <w:tcBorders>
              <w:top w:val="single" w:color="auto" w:sz="4" w:space="0"/>
              <w:left w:val="single" w:color="auto" w:sz="4" w:space="0"/>
              <w:bottom w:val="single" w:color="auto" w:sz="4" w:space="0"/>
              <w:right w:val="single" w:color="auto" w:sz="4" w:space="0"/>
            </w:tcBorders>
            <w:vAlign w:val="center"/>
          </w:tcPr>
          <w:p w14:paraId="10EA5CB2">
            <w:pPr>
              <w:spacing w:line="360" w:lineRule="exact"/>
              <w:jc w:val="left"/>
              <w:rPr>
                <w:rFonts w:hint="eastAsia" w:ascii="宋体" w:hAnsi="宋体" w:eastAsia="FZFangSongZ02S" w:cs="宋体"/>
                <w:sz w:val="24"/>
                <w:szCs w:val="24"/>
                <w:highlight w:val="none"/>
              </w:rPr>
            </w:pPr>
            <w:r>
              <w:rPr>
                <w:rFonts w:hint="eastAsia" w:ascii="宋体" w:hAnsi="宋体" w:cs="宋体"/>
                <w:kern w:val="0"/>
                <w:sz w:val="24"/>
                <w:szCs w:val="24"/>
                <w:highlight w:val="none"/>
              </w:rPr>
              <w:t>区财政统筹，100%</w:t>
            </w:r>
          </w:p>
        </w:tc>
      </w:tr>
      <w:tr w14:paraId="25864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23"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1943E00">
            <w:pPr>
              <w:widowControl/>
              <w:spacing w:line="360" w:lineRule="exact"/>
              <w:jc w:val="center"/>
              <w:textAlignment w:val="center"/>
              <w:rPr>
                <w:rFonts w:hint="eastAsia" w:ascii="宋体" w:hAnsi="宋体" w:cs="宋体"/>
                <w:sz w:val="24"/>
                <w:szCs w:val="24"/>
                <w:highlight w:val="none"/>
              </w:rPr>
            </w:pPr>
            <w:r>
              <w:rPr>
                <w:rFonts w:hint="eastAsia" w:ascii="宋体" w:hAnsi="宋体" w:cs="宋体"/>
                <w:sz w:val="24"/>
                <w:szCs w:val="24"/>
                <w:highlight w:val="none"/>
              </w:rPr>
              <w:t>7</w:t>
            </w:r>
          </w:p>
        </w:tc>
        <w:tc>
          <w:tcPr>
            <w:tcW w:w="1701" w:type="dxa"/>
            <w:tcBorders>
              <w:top w:val="single" w:color="auto" w:sz="4" w:space="0"/>
              <w:left w:val="single" w:color="auto" w:sz="4" w:space="0"/>
              <w:bottom w:val="single" w:color="auto" w:sz="4" w:space="0"/>
              <w:right w:val="single" w:color="auto" w:sz="4" w:space="0"/>
            </w:tcBorders>
            <w:vAlign w:val="center"/>
          </w:tcPr>
          <w:p w14:paraId="6F1B6CA6">
            <w:pPr>
              <w:pStyle w:val="6"/>
              <w:spacing w:before="0" w:after="0" w:line="360" w:lineRule="exact"/>
              <w:jc w:val="center"/>
              <w:rPr>
                <w:rFonts w:hint="eastAsia" w:ascii="宋体" w:hAnsi="宋体" w:cs="宋体"/>
                <w:kern w:val="0"/>
                <w:szCs w:val="24"/>
                <w:highlight w:val="none"/>
              </w:rPr>
            </w:pPr>
            <w:bookmarkStart w:id="14" w:name="_Toc12075"/>
            <w:bookmarkStart w:id="15" w:name="_Toc31789"/>
            <w:bookmarkStart w:id="16" w:name="_Toc30514"/>
            <w:bookmarkStart w:id="17" w:name="_Toc10770"/>
            <w:bookmarkStart w:id="18" w:name="_Toc135054577"/>
            <w:bookmarkStart w:id="19" w:name="_Toc7040"/>
            <w:r>
              <w:rPr>
                <w:rFonts w:hint="eastAsia" w:ascii="宋体" w:hAnsi="宋体" w:cs="宋体"/>
                <w:snapToGrid w:val="0"/>
                <w:kern w:val="0"/>
                <w:szCs w:val="24"/>
                <w:highlight w:val="none"/>
              </w:rPr>
              <w:t>招标人</w:t>
            </w:r>
            <w:bookmarkEnd w:id="14"/>
            <w:bookmarkEnd w:id="15"/>
            <w:bookmarkEnd w:id="16"/>
            <w:bookmarkEnd w:id="17"/>
            <w:bookmarkEnd w:id="18"/>
            <w:bookmarkEnd w:id="19"/>
          </w:p>
        </w:tc>
        <w:tc>
          <w:tcPr>
            <w:tcW w:w="7301" w:type="dxa"/>
            <w:tcBorders>
              <w:top w:val="single" w:color="auto" w:sz="4" w:space="0"/>
              <w:left w:val="single" w:color="auto" w:sz="4" w:space="0"/>
              <w:bottom w:val="single" w:color="auto" w:sz="4" w:space="0"/>
              <w:right w:val="single" w:color="auto" w:sz="4" w:space="0"/>
            </w:tcBorders>
            <w:vAlign w:val="center"/>
          </w:tcPr>
          <w:p w14:paraId="0A2416AB">
            <w:pPr>
              <w:spacing w:line="360" w:lineRule="exact"/>
              <w:jc w:val="left"/>
              <w:rPr>
                <w:rFonts w:hint="eastAsia" w:ascii="宋体" w:hAnsi="宋体" w:cs="宋体"/>
                <w:sz w:val="24"/>
                <w:szCs w:val="24"/>
                <w:highlight w:val="none"/>
              </w:rPr>
            </w:pPr>
            <w:r>
              <w:rPr>
                <w:rFonts w:hint="eastAsia" w:hAnsi="宋体"/>
                <w:sz w:val="24"/>
                <w:szCs w:val="24"/>
                <w:highlight w:val="none"/>
              </w:rPr>
              <w:t>东莞（韶关）浈江产业转移工业园管理委员会</w:t>
            </w:r>
          </w:p>
        </w:tc>
      </w:tr>
      <w:tr w14:paraId="1F8E4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14"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2AC78558">
            <w:pPr>
              <w:widowControl/>
              <w:spacing w:line="360" w:lineRule="exact"/>
              <w:jc w:val="center"/>
              <w:textAlignment w:val="center"/>
              <w:rPr>
                <w:rFonts w:hint="eastAsia" w:ascii="宋体" w:hAnsi="宋体" w:cs="宋体"/>
                <w:sz w:val="24"/>
                <w:szCs w:val="24"/>
                <w:highlight w:val="none"/>
              </w:rPr>
            </w:pPr>
            <w:r>
              <w:rPr>
                <w:rFonts w:hint="eastAsia" w:ascii="宋体" w:hAnsi="宋体" w:cs="宋体"/>
                <w:sz w:val="24"/>
                <w:szCs w:val="24"/>
                <w:highlight w:val="none"/>
              </w:rPr>
              <w:t>8</w:t>
            </w:r>
          </w:p>
        </w:tc>
        <w:tc>
          <w:tcPr>
            <w:tcW w:w="1701" w:type="dxa"/>
            <w:tcBorders>
              <w:top w:val="single" w:color="auto" w:sz="4" w:space="0"/>
              <w:left w:val="single" w:color="auto" w:sz="4" w:space="0"/>
              <w:bottom w:val="single" w:color="auto" w:sz="4" w:space="0"/>
              <w:right w:val="single" w:color="auto" w:sz="4" w:space="0"/>
            </w:tcBorders>
            <w:vAlign w:val="center"/>
          </w:tcPr>
          <w:p w14:paraId="43535437">
            <w:pPr>
              <w:spacing w:line="360" w:lineRule="exact"/>
              <w:jc w:val="center"/>
              <w:rPr>
                <w:rFonts w:hint="eastAsia" w:ascii="宋体" w:hAnsi="宋体" w:cs="宋体"/>
                <w:kern w:val="0"/>
                <w:sz w:val="24"/>
                <w:szCs w:val="24"/>
                <w:highlight w:val="none"/>
              </w:rPr>
            </w:pPr>
            <w:r>
              <w:rPr>
                <w:rFonts w:hint="eastAsia" w:ascii="宋体" w:hAnsi="宋体" w:cs="宋体"/>
                <w:snapToGrid w:val="0"/>
                <w:kern w:val="0"/>
                <w:sz w:val="24"/>
                <w:szCs w:val="24"/>
                <w:highlight w:val="none"/>
              </w:rPr>
              <w:t>招标代理机构</w:t>
            </w:r>
          </w:p>
        </w:tc>
        <w:tc>
          <w:tcPr>
            <w:tcW w:w="7301" w:type="dxa"/>
            <w:tcBorders>
              <w:top w:val="single" w:color="auto" w:sz="4" w:space="0"/>
              <w:left w:val="single" w:color="auto" w:sz="4" w:space="0"/>
              <w:bottom w:val="single" w:color="auto" w:sz="4" w:space="0"/>
              <w:right w:val="single" w:color="auto" w:sz="4" w:space="0"/>
            </w:tcBorders>
            <w:vAlign w:val="center"/>
          </w:tcPr>
          <w:p w14:paraId="6ED29440">
            <w:pPr>
              <w:spacing w:line="360" w:lineRule="exact"/>
              <w:jc w:val="left"/>
              <w:rPr>
                <w:rFonts w:hint="eastAsia" w:ascii="宋体" w:hAnsi="宋体" w:cs="宋体"/>
                <w:sz w:val="24"/>
                <w:szCs w:val="24"/>
                <w:highlight w:val="none"/>
              </w:rPr>
            </w:pPr>
            <w:r>
              <w:rPr>
                <w:rFonts w:hint="eastAsia" w:hAnsi="宋体"/>
                <w:sz w:val="24"/>
                <w:szCs w:val="24"/>
                <w:highlight w:val="none"/>
              </w:rPr>
              <w:t>广东方川工程咨询有限公司</w:t>
            </w:r>
          </w:p>
        </w:tc>
      </w:tr>
      <w:tr w14:paraId="4E745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1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02127E0">
            <w:pPr>
              <w:widowControl/>
              <w:spacing w:line="360" w:lineRule="exact"/>
              <w:jc w:val="center"/>
              <w:textAlignment w:val="center"/>
              <w:rPr>
                <w:rFonts w:hint="eastAsia" w:ascii="宋体" w:hAnsi="宋体" w:cs="宋体"/>
                <w:sz w:val="24"/>
                <w:szCs w:val="24"/>
                <w:highlight w:val="none"/>
              </w:rPr>
            </w:pPr>
            <w:r>
              <w:rPr>
                <w:rFonts w:hint="eastAsia" w:ascii="宋体" w:hAnsi="宋体" w:cs="宋体"/>
                <w:sz w:val="24"/>
                <w:szCs w:val="24"/>
                <w:highlight w:val="none"/>
              </w:rPr>
              <w:t>9</w:t>
            </w:r>
          </w:p>
        </w:tc>
        <w:tc>
          <w:tcPr>
            <w:tcW w:w="1701" w:type="dxa"/>
            <w:tcBorders>
              <w:top w:val="single" w:color="auto" w:sz="4" w:space="0"/>
              <w:left w:val="single" w:color="auto" w:sz="4" w:space="0"/>
              <w:bottom w:val="single" w:color="auto" w:sz="4" w:space="0"/>
              <w:right w:val="single" w:color="auto" w:sz="4" w:space="0"/>
            </w:tcBorders>
            <w:vAlign w:val="center"/>
          </w:tcPr>
          <w:p w14:paraId="03039219">
            <w:pPr>
              <w:spacing w:line="360" w:lineRule="exact"/>
              <w:jc w:val="center"/>
              <w:rPr>
                <w:rFonts w:hint="eastAsia" w:ascii="宋体" w:hAnsi="宋体" w:cs="宋体"/>
                <w:kern w:val="0"/>
                <w:sz w:val="24"/>
                <w:szCs w:val="24"/>
                <w:highlight w:val="none"/>
              </w:rPr>
            </w:pPr>
            <w:r>
              <w:rPr>
                <w:rFonts w:hint="eastAsia" w:ascii="宋体" w:hAnsi="宋体" w:cs="宋体"/>
                <w:snapToGrid w:val="0"/>
                <w:kern w:val="0"/>
                <w:sz w:val="24"/>
                <w:szCs w:val="24"/>
                <w:highlight w:val="none"/>
              </w:rPr>
              <w:t>建设地点</w:t>
            </w:r>
          </w:p>
        </w:tc>
        <w:tc>
          <w:tcPr>
            <w:tcW w:w="7301" w:type="dxa"/>
            <w:tcBorders>
              <w:top w:val="single" w:color="auto" w:sz="4" w:space="0"/>
              <w:left w:val="single" w:color="auto" w:sz="4" w:space="0"/>
              <w:bottom w:val="single" w:color="auto" w:sz="4" w:space="0"/>
              <w:right w:val="single" w:color="auto" w:sz="4" w:space="0"/>
            </w:tcBorders>
            <w:vAlign w:val="center"/>
          </w:tcPr>
          <w:p w14:paraId="3B0874C4">
            <w:pPr>
              <w:spacing w:line="360" w:lineRule="exact"/>
              <w:jc w:val="left"/>
              <w:rPr>
                <w:rFonts w:hint="eastAsia" w:ascii="宋体" w:hAnsi="宋体" w:cs="宋体"/>
                <w:sz w:val="24"/>
                <w:szCs w:val="24"/>
                <w:highlight w:val="none"/>
              </w:rPr>
            </w:pPr>
            <w:r>
              <w:rPr>
                <w:rFonts w:hint="eastAsia" w:ascii="宋体" w:hAnsi="宋体" w:cs="宋体"/>
                <w:sz w:val="24"/>
                <w:szCs w:val="24"/>
                <w:highlight w:val="none"/>
              </w:rPr>
              <w:t>韶关市浈江区犁市镇东至原益华水泥厂，西至黄塘村，北至省道248（新国道323）。</w:t>
            </w:r>
          </w:p>
        </w:tc>
      </w:tr>
      <w:tr w14:paraId="42DB4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4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089FE86">
            <w:pPr>
              <w:widowControl/>
              <w:spacing w:line="360" w:lineRule="exact"/>
              <w:jc w:val="center"/>
              <w:textAlignment w:val="center"/>
              <w:rPr>
                <w:rFonts w:hint="eastAsia" w:ascii="宋体" w:hAnsi="宋体" w:cs="宋体"/>
                <w:sz w:val="24"/>
                <w:szCs w:val="24"/>
                <w:highlight w:val="none"/>
              </w:rPr>
            </w:pPr>
            <w:r>
              <w:rPr>
                <w:rFonts w:hint="eastAsia" w:ascii="宋体" w:hAnsi="宋体" w:cs="宋体"/>
                <w:sz w:val="24"/>
                <w:szCs w:val="24"/>
                <w:highlight w:val="none"/>
              </w:rPr>
              <w:t>10</w:t>
            </w:r>
          </w:p>
        </w:tc>
        <w:tc>
          <w:tcPr>
            <w:tcW w:w="1701" w:type="dxa"/>
            <w:tcBorders>
              <w:top w:val="single" w:color="auto" w:sz="4" w:space="0"/>
              <w:left w:val="single" w:color="auto" w:sz="4" w:space="0"/>
              <w:bottom w:val="single" w:color="auto" w:sz="4" w:space="0"/>
              <w:right w:val="single" w:color="auto" w:sz="4" w:space="0"/>
            </w:tcBorders>
            <w:vAlign w:val="center"/>
          </w:tcPr>
          <w:p w14:paraId="28F6459B">
            <w:pPr>
              <w:spacing w:line="360" w:lineRule="exact"/>
              <w:jc w:val="center"/>
              <w:rPr>
                <w:rFonts w:hint="eastAsia" w:ascii="宋体" w:hAnsi="宋体" w:cs="宋体"/>
                <w:sz w:val="24"/>
                <w:szCs w:val="24"/>
                <w:highlight w:val="none"/>
              </w:rPr>
            </w:pPr>
            <w:r>
              <w:rPr>
                <w:rFonts w:hint="eastAsia" w:ascii="宋体" w:hAnsi="宋体" w:cs="宋体"/>
                <w:snapToGrid w:val="0"/>
                <w:kern w:val="0"/>
                <w:sz w:val="24"/>
                <w:szCs w:val="24"/>
                <w:highlight w:val="none"/>
              </w:rPr>
              <w:t>标段划分</w:t>
            </w:r>
          </w:p>
        </w:tc>
        <w:tc>
          <w:tcPr>
            <w:tcW w:w="7301" w:type="dxa"/>
            <w:tcBorders>
              <w:top w:val="single" w:color="auto" w:sz="4" w:space="0"/>
              <w:left w:val="single" w:color="auto" w:sz="4" w:space="0"/>
              <w:bottom w:val="single" w:color="auto" w:sz="4" w:space="0"/>
              <w:right w:val="single" w:color="auto" w:sz="4" w:space="0"/>
            </w:tcBorders>
            <w:vAlign w:val="center"/>
          </w:tcPr>
          <w:p w14:paraId="0AD90681">
            <w:pPr>
              <w:spacing w:line="360" w:lineRule="exact"/>
              <w:jc w:val="left"/>
              <w:rPr>
                <w:rFonts w:hint="eastAsia" w:ascii="宋体" w:hAnsi="宋体" w:cs="宋体"/>
                <w:sz w:val="24"/>
                <w:szCs w:val="24"/>
                <w:highlight w:val="none"/>
              </w:rPr>
            </w:pPr>
            <w:r>
              <w:rPr>
                <w:rFonts w:hint="eastAsia" w:ascii="宋体" w:hAnsi="宋体" w:cs="宋体"/>
                <w:sz w:val="24"/>
                <w:szCs w:val="24"/>
                <w:highlight w:val="none"/>
              </w:rPr>
              <w:t>本项目不划分标段。</w:t>
            </w:r>
          </w:p>
        </w:tc>
      </w:tr>
      <w:tr w14:paraId="1A213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098"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19A986D">
            <w:pPr>
              <w:widowControl/>
              <w:spacing w:line="360" w:lineRule="exact"/>
              <w:jc w:val="center"/>
              <w:textAlignment w:val="center"/>
              <w:rPr>
                <w:rFonts w:hint="eastAsia" w:ascii="宋体" w:hAnsi="宋体" w:cs="宋体"/>
                <w:sz w:val="24"/>
                <w:szCs w:val="24"/>
                <w:highlight w:val="none"/>
              </w:rPr>
            </w:pPr>
            <w:r>
              <w:rPr>
                <w:rFonts w:hint="eastAsia" w:ascii="宋体" w:hAnsi="宋体" w:cs="宋体"/>
                <w:sz w:val="24"/>
                <w:szCs w:val="24"/>
                <w:highlight w:val="none"/>
              </w:rPr>
              <w:t>11</w:t>
            </w:r>
          </w:p>
        </w:tc>
        <w:tc>
          <w:tcPr>
            <w:tcW w:w="1701" w:type="dxa"/>
            <w:tcBorders>
              <w:top w:val="single" w:color="auto" w:sz="4" w:space="0"/>
              <w:left w:val="single" w:color="auto" w:sz="4" w:space="0"/>
              <w:bottom w:val="single" w:color="auto" w:sz="4" w:space="0"/>
              <w:right w:val="single" w:color="auto" w:sz="4" w:space="0"/>
            </w:tcBorders>
            <w:vAlign w:val="center"/>
          </w:tcPr>
          <w:p w14:paraId="52D68269">
            <w:pPr>
              <w:spacing w:line="360" w:lineRule="exact"/>
              <w:jc w:val="center"/>
              <w:rPr>
                <w:rFonts w:hint="eastAsia" w:ascii="宋体" w:hAnsi="宋体" w:cs="宋体"/>
                <w:sz w:val="24"/>
                <w:szCs w:val="24"/>
                <w:highlight w:val="none"/>
              </w:rPr>
            </w:pPr>
            <w:r>
              <w:rPr>
                <w:rFonts w:hint="eastAsia" w:ascii="宋体" w:hAnsi="宋体" w:cs="宋体"/>
                <w:snapToGrid w:val="0"/>
                <w:kern w:val="0"/>
                <w:sz w:val="24"/>
                <w:szCs w:val="24"/>
                <w:highlight w:val="none"/>
              </w:rPr>
              <w:t>建设内容和规模</w:t>
            </w:r>
          </w:p>
        </w:tc>
        <w:tc>
          <w:tcPr>
            <w:tcW w:w="7301" w:type="dxa"/>
            <w:tcBorders>
              <w:top w:val="single" w:color="auto" w:sz="4" w:space="0"/>
              <w:left w:val="single" w:color="auto" w:sz="4" w:space="0"/>
              <w:bottom w:val="single" w:color="auto" w:sz="4" w:space="0"/>
              <w:right w:val="single" w:color="auto" w:sz="4" w:space="0"/>
            </w:tcBorders>
            <w:vAlign w:val="center"/>
          </w:tcPr>
          <w:p w14:paraId="0A55D6E1">
            <w:pPr>
              <w:widowControl/>
              <w:spacing w:line="360" w:lineRule="exact"/>
              <w:jc w:val="left"/>
              <w:rPr>
                <w:rFonts w:hint="eastAsia" w:ascii="宋体" w:hAnsi="宋体" w:cs="宋体"/>
                <w:sz w:val="24"/>
                <w:szCs w:val="24"/>
                <w:highlight w:val="none"/>
              </w:rPr>
            </w:pPr>
            <w:r>
              <w:rPr>
                <w:rFonts w:hint="eastAsia" w:ascii="宋体" w:hAnsi="宋体" w:cs="宋体"/>
                <w:sz w:val="24"/>
                <w:szCs w:val="22"/>
                <w:highlight w:val="none"/>
              </w:rPr>
              <w:t>用地面积428.68亩，包括土方工</w:t>
            </w:r>
            <w:r>
              <w:rPr>
                <w:rFonts w:ascii="宋体" w:hAnsi="宋体" w:cs="宋体"/>
                <w:sz w:val="24"/>
                <w:szCs w:val="22"/>
                <w:highlight w:val="none"/>
              </w:rPr>
              <w:t>程、</w:t>
            </w:r>
            <w:r>
              <w:rPr>
                <w:rFonts w:hint="eastAsia" w:ascii="宋体" w:hAnsi="宋体" w:cs="宋体"/>
                <w:sz w:val="24"/>
                <w:szCs w:val="22"/>
                <w:highlight w:val="none"/>
              </w:rPr>
              <w:t>场地平整、场地排水</w:t>
            </w:r>
            <w:r>
              <w:rPr>
                <w:rFonts w:ascii="宋体" w:hAnsi="宋体" w:cs="宋体"/>
                <w:sz w:val="24"/>
                <w:szCs w:val="22"/>
                <w:highlight w:val="none"/>
              </w:rPr>
              <w:t>、道路</w:t>
            </w:r>
            <w:r>
              <w:rPr>
                <w:rFonts w:hint="eastAsia" w:ascii="宋体" w:hAnsi="宋体" w:cs="宋体"/>
                <w:sz w:val="24"/>
                <w:szCs w:val="22"/>
                <w:highlight w:val="none"/>
              </w:rPr>
              <w:t>、桥涵、</w:t>
            </w:r>
            <w:r>
              <w:rPr>
                <w:rFonts w:ascii="宋体" w:hAnsi="宋体" w:cs="宋体"/>
                <w:sz w:val="24"/>
                <w:szCs w:val="22"/>
                <w:highlight w:val="none"/>
              </w:rPr>
              <w:t>边坡工程、管线工程</w:t>
            </w:r>
            <w:r>
              <w:rPr>
                <w:rFonts w:hint="eastAsia" w:ascii="宋体" w:hAnsi="宋体" w:cs="宋体"/>
                <w:sz w:val="24"/>
                <w:szCs w:val="22"/>
                <w:highlight w:val="none"/>
              </w:rPr>
              <w:t>等</w:t>
            </w:r>
            <w:r>
              <w:rPr>
                <w:rFonts w:ascii="宋体" w:hAnsi="宋体" w:cs="宋体"/>
                <w:sz w:val="24"/>
                <w:szCs w:val="22"/>
                <w:highlight w:val="none"/>
              </w:rPr>
              <w:t xml:space="preserve">配套设施工程。 </w:t>
            </w:r>
          </w:p>
        </w:tc>
      </w:tr>
      <w:tr w14:paraId="51929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7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813F3AE">
            <w:pPr>
              <w:widowControl/>
              <w:spacing w:line="360" w:lineRule="exact"/>
              <w:jc w:val="center"/>
              <w:textAlignment w:val="center"/>
              <w:rPr>
                <w:rFonts w:hint="eastAsia" w:ascii="宋体" w:hAnsi="宋体" w:cs="宋体"/>
                <w:sz w:val="24"/>
                <w:szCs w:val="24"/>
                <w:highlight w:val="none"/>
              </w:rPr>
            </w:pPr>
            <w:r>
              <w:rPr>
                <w:rFonts w:hint="eastAsia" w:ascii="宋体" w:hAnsi="宋体" w:cs="宋体"/>
                <w:kern w:val="0"/>
                <w:sz w:val="24"/>
                <w:szCs w:val="24"/>
                <w:highlight w:val="none"/>
              </w:rPr>
              <w:t>12</w:t>
            </w:r>
          </w:p>
        </w:tc>
        <w:tc>
          <w:tcPr>
            <w:tcW w:w="1701" w:type="dxa"/>
            <w:tcBorders>
              <w:top w:val="single" w:color="auto" w:sz="4" w:space="0"/>
              <w:left w:val="single" w:color="auto" w:sz="4" w:space="0"/>
              <w:bottom w:val="single" w:color="auto" w:sz="4" w:space="0"/>
              <w:right w:val="single" w:color="auto" w:sz="4" w:space="0"/>
            </w:tcBorders>
            <w:vAlign w:val="center"/>
          </w:tcPr>
          <w:p w14:paraId="0077FE2E">
            <w:pPr>
              <w:spacing w:line="360" w:lineRule="exact"/>
              <w:jc w:val="center"/>
              <w:rPr>
                <w:rFonts w:hint="eastAsia" w:ascii="宋体" w:hAnsi="宋体" w:cs="宋体"/>
                <w:color w:val="auto"/>
                <w:sz w:val="24"/>
                <w:szCs w:val="24"/>
                <w:highlight w:val="none"/>
              </w:rPr>
            </w:pPr>
            <w:r>
              <w:rPr>
                <w:rFonts w:hint="eastAsia" w:ascii="宋体" w:hAnsi="宋体" w:cs="宋体"/>
                <w:snapToGrid w:val="0"/>
                <w:color w:val="auto"/>
                <w:kern w:val="0"/>
                <w:sz w:val="24"/>
                <w:szCs w:val="24"/>
                <w:highlight w:val="none"/>
              </w:rPr>
              <w:t>项目总投资</w:t>
            </w:r>
          </w:p>
        </w:tc>
        <w:tc>
          <w:tcPr>
            <w:tcW w:w="7301" w:type="dxa"/>
            <w:tcBorders>
              <w:top w:val="single" w:color="auto" w:sz="4" w:space="0"/>
              <w:left w:val="single" w:color="auto" w:sz="4" w:space="0"/>
              <w:bottom w:val="single" w:color="auto" w:sz="4" w:space="0"/>
              <w:right w:val="single" w:color="auto" w:sz="4" w:space="0"/>
            </w:tcBorders>
            <w:vAlign w:val="center"/>
          </w:tcPr>
          <w:p w14:paraId="165EE562">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2"/>
                <w:highlight w:val="none"/>
              </w:rPr>
              <w:t>项目估算总投资37998.36万元，其中</w:t>
            </w:r>
            <w:bookmarkStart w:id="20" w:name="_Hlk182477163"/>
            <w:r>
              <w:rPr>
                <w:rFonts w:hint="eastAsia" w:ascii="宋体" w:hAnsi="宋体" w:cs="宋体"/>
                <w:color w:val="auto"/>
                <w:sz w:val="24"/>
                <w:szCs w:val="22"/>
                <w:highlight w:val="none"/>
              </w:rPr>
              <w:t>浈江产业园（犁市片区）基础设施建设项目（土方工程、道路及边坡工程、管线工程）建安费为9912.34万元，本项目设计费最高限价为1285100.00元</w:t>
            </w:r>
            <w:bookmarkEnd w:id="20"/>
          </w:p>
        </w:tc>
      </w:tr>
      <w:tr w14:paraId="06C93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39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0923192">
            <w:pPr>
              <w:pStyle w:val="83"/>
              <w:spacing w:line="360" w:lineRule="exact"/>
              <w:jc w:val="center"/>
              <w:rPr>
                <w:rFonts w:hint="eastAsia" w:hAnsi="宋体" w:cs="宋体"/>
                <w:highlight w:val="none"/>
              </w:rPr>
            </w:pPr>
            <w:r>
              <w:rPr>
                <w:rFonts w:hint="eastAsia" w:hAnsi="宋体" w:cs="宋体"/>
                <w:highlight w:val="none"/>
              </w:rPr>
              <w:t>13</w:t>
            </w:r>
          </w:p>
        </w:tc>
        <w:tc>
          <w:tcPr>
            <w:tcW w:w="1701" w:type="dxa"/>
            <w:tcBorders>
              <w:top w:val="single" w:color="auto" w:sz="4" w:space="0"/>
              <w:left w:val="single" w:color="auto" w:sz="4" w:space="0"/>
              <w:bottom w:val="single" w:color="auto" w:sz="4" w:space="0"/>
              <w:right w:val="single" w:color="auto" w:sz="4" w:space="0"/>
            </w:tcBorders>
            <w:vAlign w:val="center"/>
          </w:tcPr>
          <w:p w14:paraId="03846231">
            <w:pPr>
              <w:pStyle w:val="83"/>
              <w:spacing w:line="360" w:lineRule="exact"/>
              <w:jc w:val="center"/>
              <w:rPr>
                <w:rFonts w:hint="eastAsia" w:hAnsi="宋体" w:cs="宋体"/>
                <w:strike/>
                <w:szCs w:val="24"/>
                <w:highlight w:val="none"/>
              </w:rPr>
            </w:pPr>
            <w:r>
              <w:rPr>
                <w:rFonts w:hint="eastAsia" w:hAnsi="宋体" w:cs="宋体"/>
                <w:szCs w:val="24"/>
                <w:highlight w:val="none"/>
              </w:rPr>
              <w:t>招标范围</w:t>
            </w:r>
          </w:p>
        </w:tc>
        <w:tc>
          <w:tcPr>
            <w:tcW w:w="7301" w:type="dxa"/>
            <w:tcBorders>
              <w:top w:val="single" w:color="auto" w:sz="4" w:space="0"/>
              <w:left w:val="single" w:color="auto" w:sz="4" w:space="0"/>
              <w:bottom w:val="single" w:color="auto" w:sz="4" w:space="0"/>
              <w:right w:val="single" w:color="auto" w:sz="4" w:space="0"/>
            </w:tcBorders>
            <w:vAlign w:val="center"/>
          </w:tcPr>
          <w:p w14:paraId="08B7B577">
            <w:pPr>
              <w:spacing w:line="360" w:lineRule="exact"/>
              <w:ind w:firstLine="240" w:firstLineChars="100"/>
              <w:jc w:val="left"/>
              <w:rPr>
                <w:rFonts w:hint="eastAsia" w:ascii="宋体" w:hAnsi="宋体" w:cs="宋体"/>
                <w:sz w:val="24"/>
                <w:szCs w:val="24"/>
                <w:highlight w:val="none"/>
              </w:rPr>
            </w:pPr>
            <w:bookmarkStart w:id="21" w:name="_Hlt106417017"/>
            <w:bookmarkEnd w:id="21"/>
            <w:r>
              <w:rPr>
                <w:rFonts w:hint="eastAsia" w:ascii="宋体" w:hAnsi="宋体" w:cs="宋体"/>
                <w:sz w:val="24"/>
                <w:szCs w:val="24"/>
                <w:highlight w:val="none"/>
              </w:rPr>
              <w:t>本工程所涉及的内容包括但不限于（具体以项目主管部门批准的建设内容为准）：</w:t>
            </w:r>
          </w:p>
          <w:p w14:paraId="0AB95608">
            <w:pPr>
              <w:spacing w:line="36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（1）确保项目顺利实施的报建、报批、施工等所需的设计文件（含此项目初步设计文件、施工图设计文件等）。</w:t>
            </w:r>
          </w:p>
          <w:p w14:paraId="0326232B">
            <w:pPr>
              <w:spacing w:line="36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（2）调整并优化设计和在工程施工期间指导和解决施工难题。</w:t>
            </w:r>
          </w:p>
          <w:p w14:paraId="691FDF5F">
            <w:pPr>
              <w:spacing w:line="36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（3）完成招标人提出的与此部分相关的其他要求。</w:t>
            </w:r>
          </w:p>
          <w:p w14:paraId="2AEF610A">
            <w:pPr>
              <w:pStyle w:val="83"/>
              <w:tabs>
                <w:tab w:val="left" w:pos="7020"/>
              </w:tabs>
              <w:ind w:firstLine="240" w:firstLineChars="100"/>
              <w:jc w:val="left"/>
              <w:rPr>
                <w:rFonts w:hint="default" w:eastAsia="宋体"/>
                <w:highlight w:val="none"/>
                <w:lang w:val="en-US" w:eastAsia="zh-CN"/>
              </w:rPr>
            </w:pPr>
            <w:r>
              <w:rPr>
                <w:rFonts w:hint="eastAsia" w:hAnsi="宋体" w:cs="宋体"/>
                <w:bCs/>
                <w:color w:val="auto"/>
                <w:highlight w:val="none"/>
              </w:rPr>
              <w:t>（4）本次招标范围为</w:t>
            </w:r>
            <w:r>
              <w:rPr>
                <w:rFonts w:hint="eastAsia" w:hAnsi="宋体" w:cs="宋体"/>
                <w:color w:val="auto"/>
                <w:szCs w:val="22"/>
                <w:highlight w:val="none"/>
              </w:rPr>
              <w:t>浈江产业园（犁市片区）基础设施建设项目（土方工程、道路及边坡工程、管线工程）设计公开招标，本项目设计费最高限价为1285100.00元。</w:t>
            </w:r>
          </w:p>
        </w:tc>
      </w:tr>
      <w:tr w14:paraId="05F56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39"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186813D">
            <w:pPr>
              <w:pStyle w:val="83"/>
              <w:spacing w:line="360" w:lineRule="exact"/>
              <w:jc w:val="center"/>
              <w:rPr>
                <w:rFonts w:hint="eastAsia" w:hAnsi="宋体" w:cs="宋体"/>
                <w:highlight w:val="none"/>
              </w:rPr>
            </w:pPr>
            <w:r>
              <w:rPr>
                <w:rFonts w:hint="eastAsia" w:hAnsi="宋体" w:cs="宋体"/>
                <w:highlight w:val="none"/>
              </w:rPr>
              <w:t>14</w:t>
            </w:r>
          </w:p>
        </w:tc>
        <w:tc>
          <w:tcPr>
            <w:tcW w:w="1701" w:type="dxa"/>
            <w:tcBorders>
              <w:top w:val="single" w:color="auto" w:sz="4" w:space="0"/>
              <w:left w:val="single" w:color="auto" w:sz="4" w:space="0"/>
              <w:bottom w:val="single" w:color="auto" w:sz="4" w:space="0"/>
              <w:right w:val="single" w:color="auto" w:sz="4" w:space="0"/>
            </w:tcBorders>
            <w:vAlign w:val="center"/>
          </w:tcPr>
          <w:p w14:paraId="5018F539">
            <w:pPr>
              <w:pStyle w:val="83"/>
              <w:spacing w:line="360" w:lineRule="exact"/>
              <w:jc w:val="center"/>
              <w:rPr>
                <w:rFonts w:hint="eastAsia" w:hAnsi="宋体" w:cs="宋体"/>
                <w:szCs w:val="24"/>
                <w:highlight w:val="none"/>
              </w:rPr>
            </w:pPr>
            <w:r>
              <w:rPr>
                <w:rFonts w:hint="eastAsia" w:hAnsi="宋体" w:cs="宋体"/>
                <w:szCs w:val="24"/>
                <w:highlight w:val="none"/>
              </w:rPr>
              <w:t>工期要求</w:t>
            </w:r>
          </w:p>
        </w:tc>
        <w:tc>
          <w:tcPr>
            <w:tcW w:w="7301" w:type="dxa"/>
            <w:tcBorders>
              <w:top w:val="single" w:color="auto" w:sz="4" w:space="0"/>
              <w:left w:val="single" w:color="auto" w:sz="4" w:space="0"/>
              <w:bottom w:val="single" w:color="auto" w:sz="4" w:space="0"/>
              <w:right w:val="single" w:color="auto" w:sz="4" w:space="0"/>
            </w:tcBorders>
            <w:vAlign w:val="center"/>
          </w:tcPr>
          <w:p w14:paraId="6884737B">
            <w:pPr>
              <w:spacing w:line="36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招标项目设计工期：60个日历天，各阶段实施期限如下：</w:t>
            </w:r>
          </w:p>
          <w:p w14:paraId="3C4F257A">
            <w:pPr>
              <w:spacing w:line="360" w:lineRule="exact"/>
              <w:ind w:firstLine="240" w:firstLineChars="100"/>
              <w:jc w:val="left"/>
              <w:rPr>
                <w:rFonts w:hint="eastAsia" w:ascii="宋体" w:hAnsi="宋体" w:cs="宋体"/>
                <w:b/>
                <w:bCs/>
                <w:strike/>
                <w:sz w:val="24"/>
                <w:szCs w:val="24"/>
                <w:highlight w:val="none"/>
              </w:rPr>
            </w:pPr>
            <w:r>
              <w:rPr>
                <w:rFonts w:hint="eastAsia" w:ascii="宋体" w:hAnsi="宋体" w:cs="宋体"/>
                <w:sz w:val="24"/>
                <w:szCs w:val="24"/>
                <w:highlight w:val="none"/>
              </w:rPr>
              <w:t>（1）初步设计阶段：自中标通知书发出之日起25个日历天内完成初步设计并提交成果文件</w:t>
            </w:r>
            <w:r>
              <w:rPr>
                <w:rFonts w:hint="eastAsia" w:ascii="宋体" w:hAnsi="宋体" w:cs="宋体"/>
                <w:b/>
                <w:bCs/>
                <w:sz w:val="24"/>
                <w:szCs w:val="24"/>
                <w:highlight w:val="none"/>
              </w:rPr>
              <w:t>。</w:t>
            </w:r>
          </w:p>
          <w:p w14:paraId="435D9376">
            <w:pPr>
              <w:spacing w:line="36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（2）施工图设计阶段：自初步设计批复之日起30个日历天内提交施工图设计文件。</w:t>
            </w:r>
          </w:p>
          <w:p w14:paraId="77EEDD0C">
            <w:pPr>
              <w:spacing w:line="36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（3）施工图修编：出具施工图审查初步意见后5个日历天内完成施工图修编；</w:t>
            </w:r>
          </w:p>
          <w:p w14:paraId="21A304A1">
            <w:pPr>
              <w:spacing w:line="360" w:lineRule="exact"/>
              <w:ind w:firstLine="240" w:firstLineChars="100"/>
              <w:jc w:val="left"/>
              <w:rPr>
                <w:highlight w:val="none"/>
              </w:rPr>
            </w:pPr>
            <w:r>
              <w:rPr>
                <w:rFonts w:hint="eastAsia" w:ascii="宋体" w:hAnsi="宋体" w:cs="宋体"/>
                <w:sz w:val="24"/>
                <w:szCs w:val="24"/>
                <w:highlight w:val="none"/>
              </w:rPr>
              <w:t>（4）施工现场配合服务：项目施工及缺陷责任期内。</w:t>
            </w:r>
          </w:p>
        </w:tc>
      </w:tr>
      <w:tr w14:paraId="0A2F8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2152F85">
            <w:pPr>
              <w:pStyle w:val="83"/>
              <w:spacing w:line="360" w:lineRule="exact"/>
              <w:jc w:val="center"/>
              <w:rPr>
                <w:rFonts w:hint="eastAsia" w:hAnsi="宋体" w:cs="宋体"/>
                <w:highlight w:val="none"/>
              </w:rPr>
            </w:pPr>
            <w:r>
              <w:rPr>
                <w:rFonts w:hint="eastAsia" w:hAnsi="宋体" w:cs="宋体"/>
                <w:highlight w:val="none"/>
              </w:rPr>
              <w:t>15</w:t>
            </w:r>
          </w:p>
        </w:tc>
        <w:tc>
          <w:tcPr>
            <w:tcW w:w="1701" w:type="dxa"/>
            <w:tcBorders>
              <w:top w:val="single" w:color="auto" w:sz="4" w:space="0"/>
              <w:left w:val="single" w:color="auto" w:sz="4" w:space="0"/>
              <w:bottom w:val="single" w:color="auto" w:sz="4" w:space="0"/>
              <w:right w:val="single" w:color="auto" w:sz="4" w:space="0"/>
            </w:tcBorders>
            <w:vAlign w:val="center"/>
          </w:tcPr>
          <w:p w14:paraId="71CCC37A">
            <w:pPr>
              <w:spacing w:line="360" w:lineRule="exact"/>
              <w:jc w:val="center"/>
              <w:rPr>
                <w:rFonts w:hint="eastAsia" w:ascii="宋体" w:hAnsi="宋体" w:cs="宋体"/>
                <w:sz w:val="24"/>
                <w:szCs w:val="24"/>
                <w:highlight w:val="none"/>
              </w:rPr>
            </w:pPr>
            <w:r>
              <w:rPr>
                <w:rFonts w:hint="eastAsia" w:ascii="宋体" w:hAnsi="宋体" w:cs="宋体"/>
                <w:sz w:val="24"/>
                <w:szCs w:val="24"/>
                <w:highlight w:val="none"/>
              </w:rPr>
              <w:t>房屋建筑工程</w:t>
            </w:r>
          </w:p>
          <w:p w14:paraId="57740812">
            <w:pPr>
              <w:spacing w:line="360" w:lineRule="exact"/>
              <w:jc w:val="center"/>
              <w:rPr>
                <w:rFonts w:hint="eastAsia" w:ascii="宋体" w:hAnsi="宋体" w:cs="宋体"/>
                <w:sz w:val="24"/>
                <w:szCs w:val="24"/>
                <w:highlight w:val="none"/>
              </w:rPr>
            </w:pPr>
            <w:r>
              <w:rPr>
                <w:rFonts w:hint="eastAsia" w:ascii="宋体" w:hAnsi="宋体" w:cs="宋体"/>
                <w:sz w:val="24"/>
                <w:szCs w:val="24"/>
                <w:highlight w:val="none"/>
              </w:rPr>
              <w:t>绿色建筑标准</w:t>
            </w:r>
          </w:p>
        </w:tc>
        <w:tc>
          <w:tcPr>
            <w:tcW w:w="7301" w:type="dxa"/>
            <w:tcBorders>
              <w:top w:val="single" w:color="auto" w:sz="4" w:space="0"/>
              <w:left w:val="single" w:color="auto" w:sz="4" w:space="0"/>
              <w:bottom w:val="single" w:color="auto" w:sz="4" w:space="0"/>
              <w:right w:val="single" w:color="auto" w:sz="4" w:space="0"/>
            </w:tcBorders>
            <w:vAlign w:val="center"/>
          </w:tcPr>
          <w:p w14:paraId="196671FC">
            <w:pPr>
              <w:spacing w:line="36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本招标项目不纳入绿色建设实施范围。</w:t>
            </w:r>
          </w:p>
        </w:tc>
      </w:tr>
      <w:tr w14:paraId="4CD29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5BC34D88">
            <w:pPr>
              <w:pStyle w:val="83"/>
              <w:spacing w:line="360" w:lineRule="exact"/>
              <w:jc w:val="center"/>
              <w:rPr>
                <w:rFonts w:hint="eastAsia" w:hAnsi="宋体" w:cs="宋体"/>
                <w:highlight w:val="none"/>
              </w:rPr>
            </w:pPr>
            <w:r>
              <w:rPr>
                <w:rFonts w:hint="eastAsia" w:hAnsi="宋体" w:cs="宋体"/>
                <w:highlight w:val="none"/>
              </w:rPr>
              <w:t>16</w:t>
            </w:r>
          </w:p>
        </w:tc>
        <w:tc>
          <w:tcPr>
            <w:tcW w:w="1701" w:type="dxa"/>
            <w:tcBorders>
              <w:top w:val="single" w:color="auto" w:sz="4" w:space="0"/>
              <w:left w:val="single" w:color="auto" w:sz="4" w:space="0"/>
              <w:bottom w:val="single" w:color="auto" w:sz="4" w:space="0"/>
              <w:right w:val="single" w:color="auto" w:sz="4" w:space="0"/>
            </w:tcBorders>
            <w:vAlign w:val="center"/>
          </w:tcPr>
          <w:p w14:paraId="6E824301">
            <w:pPr>
              <w:pStyle w:val="83"/>
              <w:spacing w:line="360" w:lineRule="exact"/>
              <w:jc w:val="center"/>
              <w:rPr>
                <w:rFonts w:hint="eastAsia" w:hAnsi="宋体" w:cs="宋体"/>
                <w:szCs w:val="24"/>
                <w:highlight w:val="none"/>
              </w:rPr>
            </w:pPr>
            <w:r>
              <w:rPr>
                <w:rFonts w:hint="eastAsia" w:hAnsi="宋体" w:cs="宋体"/>
                <w:szCs w:val="24"/>
                <w:highlight w:val="none"/>
              </w:rPr>
              <w:t>最高投标限价</w:t>
            </w:r>
          </w:p>
        </w:tc>
        <w:tc>
          <w:tcPr>
            <w:tcW w:w="7301" w:type="dxa"/>
            <w:tcBorders>
              <w:top w:val="single" w:color="auto" w:sz="4" w:space="0"/>
              <w:left w:val="single" w:color="auto" w:sz="4" w:space="0"/>
              <w:bottom w:val="single" w:color="auto" w:sz="4" w:space="0"/>
              <w:right w:val="single" w:color="auto" w:sz="4" w:space="0"/>
            </w:tcBorders>
            <w:vAlign w:val="center"/>
          </w:tcPr>
          <w:p w14:paraId="16516D16">
            <w:pPr>
              <w:pStyle w:val="83"/>
              <w:spacing w:line="360" w:lineRule="exact"/>
              <w:ind w:firstLine="240" w:firstLineChars="100"/>
              <w:jc w:val="left"/>
              <w:rPr>
                <w:rFonts w:hint="eastAsia" w:hAnsi="宋体" w:cs="宋体"/>
                <w:highlight w:val="none"/>
              </w:rPr>
            </w:pPr>
            <w:r>
              <w:rPr>
                <w:rFonts w:hint="eastAsia" w:hAnsi="宋体" w:cs="宋体"/>
                <w:bCs/>
                <w:szCs w:val="22"/>
                <w:highlight w:val="none"/>
              </w:rPr>
              <w:t>详见招标文件“9、</w:t>
            </w:r>
            <w:r>
              <w:rPr>
                <w:rFonts w:hint="eastAsia" w:hAnsi="宋体" w:cs="宋体"/>
                <w:bCs/>
                <w:szCs w:val="40"/>
                <w:highlight w:val="none"/>
              </w:rPr>
              <w:t>最高投标限价的确定及投标报价的约定</w:t>
            </w:r>
            <w:r>
              <w:rPr>
                <w:rFonts w:hint="eastAsia" w:hAnsi="宋体" w:cs="宋体"/>
                <w:bCs/>
                <w:szCs w:val="22"/>
                <w:highlight w:val="none"/>
              </w:rPr>
              <w:t>”</w:t>
            </w:r>
          </w:p>
        </w:tc>
      </w:tr>
      <w:tr w14:paraId="57510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18"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53310A5">
            <w:pPr>
              <w:pStyle w:val="83"/>
              <w:spacing w:line="360" w:lineRule="exact"/>
              <w:jc w:val="center"/>
              <w:rPr>
                <w:rFonts w:hint="eastAsia" w:hAnsi="宋体" w:cs="宋体"/>
                <w:highlight w:val="none"/>
              </w:rPr>
            </w:pPr>
            <w:r>
              <w:rPr>
                <w:rFonts w:hint="eastAsia" w:hAnsi="宋体" w:cs="宋体"/>
                <w:highlight w:val="none"/>
              </w:rPr>
              <w:t>17</w:t>
            </w:r>
          </w:p>
        </w:tc>
        <w:tc>
          <w:tcPr>
            <w:tcW w:w="1701" w:type="dxa"/>
            <w:tcBorders>
              <w:top w:val="single" w:color="auto" w:sz="4" w:space="0"/>
              <w:left w:val="single" w:color="auto" w:sz="4" w:space="0"/>
              <w:bottom w:val="single" w:color="auto" w:sz="4" w:space="0"/>
              <w:right w:val="single" w:color="auto" w:sz="4" w:space="0"/>
            </w:tcBorders>
            <w:vAlign w:val="center"/>
          </w:tcPr>
          <w:p w14:paraId="531274B7">
            <w:pPr>
              <w:pStyle w:val="83"/>
              <w:spacing w:line="360" w:lineRule="exact"/>
              <w:jc w:val="center"/>
              <w:rPr>
                <w:rFonts w:hint="eastAsia" w:hAnsi="宋体" w:cs="宋体"/>
                <w:highlight w:val="none"/>
              </w:rPr>
            </w:pPr>
            <w:r>
              <w:rPr>
                <w:rFonts w:hint="eastAsia" w:hAnsi="宋体" w:cs="宋体"/>
                <w:highlight w:val="none"/>
              </w:rPr>
              <w:t>质量标准</w:t>
            </w:r>
          </w:p>
        </w:tc>
        <w:tc>
          <w:tcPr>
            <w:tcW w:w="7301" w:type="dxa"/>
            <w:tcBorders>
              <w:top w:val="single" w:color="auto" w:sz="4" w:space="0"/>
              <w:left w:val="single" w:color="auto" w:sz="4" w:space="0"/>
              <w:bottom w:val="single" w:color="auto" w:sz="4" w:space="0"/>
              <w:right w:val="single" w:color="auto" w:sz="4" w:space="0"/>
            </w:tcBorders>
            <w:vAlign w:val="center"/>
          </w:tcPr>
          <w:p w14:paraId="0614641B">
            <w:pPr>
              <w:pStyle w:val="83"/>
              <w:spacing w:line="360" w:lineRule="exact"/>
              <w:ind w:firstLine="240" w:firstLineChars="100"/>
              <w:jc w:val="left"/>
              <w:rPr>
                <w:rFonts w:hint="eastAsia" w:hAnsi="宋体" w:cs="宋体"/>
                <w:highlight w:val="none"/>
              </w:rPr>
            </w:pPr>
            <w:r>
              <w:rPr>
                <w:rFonts w:hint="eastAsia" w:hAnsi="宋体" w:cs="宋体"/>
                <w:highlight w:val="none"/>
              </w:rPr>
              <w:t>必须通过有关部门的审查及经有资质的审图机构审查合格。</w:t>
            </w:r>
          </w:p>
        </w:tc>
      </w:tr>
      <w:tr w14:paraId="59786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8703"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5AB43C55">
            <w:pPr>
              <w:pStyle w:val="83"/>
              <w:spacing w:line="360" w:lineRule="exact"/>
              <w:jc w:val="center"/>
              <w:rPr>
                <w:rFonts w:hint="eastAsia" w:hAnsi="宋体" w:cs="宋体"/>
                <w:highlight w:val="none"/>
              </w:rPr>
            </w:pPr>
            <w:r>
              <w:rPr>
                <w:rFonts w:hint="eastAsia" w:hAnsi="宋体" w:cs="宋体"/>
                <w:highlight w:val="none"/>
              </w:rPr>
              <w:t>18</w:t>
            </w:r>
          </w:p>
        </w:tc>
        <w:tc>
          <w:tcPr>
            <w:tcW w:w="1701" w:type="dxa"/>
            <w:tcBorders>
              <w:top w:val="single" w:color="auto" w:sz="4" w:space="0"/>
              <w:left w:val="single" w:color="auto" w:sz="4" w:space="0"/>
              <w:bottom w:val="single" w:color="auto" w:sz="4" w:space="0"/>
              <w:right w:val="single" w:color="auto" w:sz="4" w:space="0"/>
            </w:tcBorders>
            <w:vAlign w:val="center"/>
          </w:tcPr>
          <w:p w14:paraId="4F7B5E5F">
            <w:pPr>
              <w:spacing w:line="360" w:lineRule="exact"/>
              <w:jc w:val="center"/>
              <w:rPr>
                <w:rFonts w:hint="eastAsia" w:ascii="宋体" w:hAnsi="宋体" w:cs="宋体"/>
                <w:sz w:val="24"/>
                <w:szCs w:val="22"/>
                <w:highlight w:val="none"/>
              </w:rPr>
            </w:pPr>
            <w:r>
              <w:rPr>
                <w:rFonts w:hint="eastAsia" w:ascii="宋体" w:hAnsi="宋体" w:cs="宋体"/>
                <w:sz w:val="24"/>
                <w:szCs w:val="22"/>
                <w:highlight w:val="none"/>
              </w:rPr>
              <w:t>投标人资质</w:t>
            </w:r>
          </w:p>
          <w:p w14:paraId="4AE04604">
            <w:pPr>
              <w:pStyle w:val="83"/>
              <w:spacing w:line="360" w:lineRule="exact"/>
              <w:jc w:val="center"/>
              <w:rPr>
                <w:rFonts w:hint="eastAsia" w:hAnsi="宋体" w:cs="宋体"/>
                <w:highlight w:val="none"/>
              </w:rPr>
            </w:pPr>
            <w:r>
              <w:rPr>
                <w:rFonts w:hint="eastAsia" w:hAnsi="宋体" w:cs="宋体"/>
                <w:szCs w:val="22"/>
                <w:highlight w:val="none"/>
              </w:rPr>
              <w:t>及条件要求</w:t>
            </w:r>
          </w:p>
        </w:tc>
        <w:tc>
          <w:tcPr>
            <w:tcW w:w="7301" w:type="dxa"/>
            <w:tcBorders>
              <w:top w:val="single" w:color="auto" w:sz="4" w:space="0"/>
              <w:left w:val="single" w:color="auto" w:sz="4" w:space="0"/>
              <w:bottom w:val="single" w:color="auto" w:sz="4" w:space="0"/>
              <w:right w:val="single" w:color="auto" w:sz="4" w:space="0"/>
            </w:tcBorders>
            <w:vAlign w:val="center"/>
          </w:tcPr>
          <w:p w14:paraId="18EAE9B0">
            <w:pPr>
              <w:pStyle w:val="153"/>
              <w:widowControl/>
              <w:adjustRightInd w:val="0"/>
              <w:snapToGrid w:val="0"/>
              <w:spacing w:line="360" w:lineRule="exact"/>
              <w:jc w:val="left"/>
              <w:rPr>
                <w:rFonts w:hint="eastAsia" w:ascii="宋体" w:hAnsi="宋体" w:cs="宋体"/>
                <w:kern w:val="0"/>
                <w:sz w:val="24"/>
                <w:highlight w:val="none"/>
              </w:rPr>
            </w:pPr>
            <w:r>
              <w:rPr>
                <w:rFonts w:hint="eastAsia" w:ascii="宋体" w:hAnsi="宋体" w:cs="宋体"/>
                <w:kern w:val="0"/>
                <w:sz w:val="24"/>
                <w:highlight w:val="none"/>
              </w:rPr>
              <w:t>投标人必须具备以下资质及条件：</w:t>
            </w:r>
          </w:p>
          <w:p w14:paraId="0713BD70">
            <w:pPr>
              <w:pStyle w:val="153"/>
              <w:widowControl/>
              <w:adjustRightInd w:val="0"/>
              <w:snapToGrid w:val="0"/>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1．本次招标</w:t>
            </w:r>
            <w:r>
              <w:rPr>
                <w:rFonts w:hint="eastAsia" w:ascii="宋体" w:hAnsi="宋体" w:cs="宋体"/>
                <w:kern w:val="0"/>
                <w:sz w:val="24"/>
                <w:highlight w:val="none"/>
                <w:u w:val="single"/>
              </w:rPr>
              <w:t>不接受</w:t>
            </w:r>
            <w:r>
              <w:rPr>
                <w:rFonts w:hint="eastAsia" w:ascii="宋体" w:hAnsi="宋体" w:cs="宋体"/>
                <w:kern w:val="0"/>
                <w:sz w:val="24"/>
                <w:highlight w:val="none"/>
              </w:rPr>
              <w:t>联合体投标。</w:t>
            </w:r>
          </w:p>
          <w:p w14:paraId="1B572384">
            <w:pPr>
              <w:pStyle w:val="153"/>
              <w:widowControl/>
              <w:adjustRightInd w:val="0"/>
              <w:snapToGrid w:val="0"/>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2. 资质要求</w:t>
            </w:r>
          </w:p>
          <w:p w14:paraId="78FA50C6">
            <w:pPr>
              <w:pStyle w:val="153"/>
              <w:widowControl/>
              <w:adjustRightInd w:val="0"/>
              <w:snapToGrid w:val="0"/>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2.1投标人须持有效的营业执照，按国家法律经营。</w:t>
            </w:r>
          </w:p>
          <w:p w14:paraId="35F9A342">
            <w:pPr>
              <w:pStyle w:val="153"/>
              <w:widowControl/>
              <w:adjustRightInd w:val="0"/>
              <w:snapToGrid w:val="0"/>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2.2 必须具备建设行政主管部门颁发的以下资质之一：</w:t>
            </w:r>
          </w:p>
          <w:p w14:paraId="44F8E109">
            <w:pPr>
              <w:pStyle w:val="11"/>
              <w:spacing w:after="0" w:line="360" w:lineRule="auto"/>
              <w:ind w:firstLine="240" w:firstLineChars="100"/>
              <w:jc w:val="left"/>
              <w:rPr>
                <w:rFonts w:hint="eastAsia" w:ascii="宋体" w:hAnsi="宋体" w:cs="宋体"/>
                <w:kern w:val="0"/>
                <w:sz w:val="24"/>
                <w:szCs w:val="24"/>
                <w:highlight w:val="none"/>
              </w:rPr>
            </w:pPr>
            <w:r>
              <w:rPr>
                <w:rFonts w:hint="eastAsia" w:ascii="宋体" w:hAnsi="宋体" w:cs="宋体"/>
                <w:kern w:val="0"/>
                <w:sz w:val="24"/>
                <w:szCs w:val="24"/>
                <w:highlight w:val="none"/>
              </w:rPr>
              <w:t>（1）工程设计综合甲级资质；</w:t>
            </w:r>
          </w:p>
          <w:p w14:paraId="1ADDE9BE">
            <w:pPr>
              <w:pStyle w:val="11"/>
              <w:spacing w:after="0" w:line="360" w:lineRule="auto"/>
              <w:ind w:firstLine="240" w:firstLineChars="100"/>
              <w:jc w:val="left"/>
              <w:rPr>
                <w:rFonts w:hint="eastAsia" w:ascii="宋体" w:hAnsi="宋体" w:cs="宋体"/>
                <w:kern w:val="0"/>
                <w:sz w:val="24"/>
                <w:szCs w:val="24"/>
                <w:highlight w:val="none"/>
              </w:rPr>
            </w:pPr>
            <w:r>
              <w:rPr>
                <w:rFonts w:hint="eastAsia" w:ascii="宋体" w:hAnsi="宋体" w:cs="宋体"/>
                <w:kern w:val="0"/>
                <w:sz w:val="24"/>
                <w:szCs w:val="24"/>
                <w:highlight w:val="none"/>
              </w:rPr>
              <w:t>（2）市政行业工程设计乙级或以上（含乙级）资质；</w:t>
            </w:r>
          </w:p>
          <w:p w14:paraId="4E5CDED6">
            <w:pPr>
              <w:pStyle w:val="11"/>
              <w:spacing w:after="0" w:line="360" w:lineRule="auto"/>
              <w:ind w:firstLine="240" w:firstLineChars="100"/>
              <w:jc w:val="left"/>
              <w:rPr>
                <w:rFonts w:hint="eastAsia" w:ascii="宋体" w:hAnsi="宋体" w:cs="宋体"/>
                <w:kern w:val="0"/>
                <w:sz w:val="24"/>
                <w:szCs w:val="24"/>
                <w:highlight w:val="none"/>
              </w:rPr>
            </w:pPr>
            <w:r>
              <w:rPr>
                <w:rFonts w:hint="eastAsia" w:ascii="宋体" w:hAnsi="宋体" w:cs="宋体"/>
                <w:kern w:val="0"/>
                <w:sz w:val="24"/>
                <w:szCs w:val="24"/>
                <w:highlight w:val="none"/>
              </w:rPr>
              <w:t>（3）</w:t>
            </w:r>
            <w:r>
              <w:rPr>
                <w:rFonts w:hint="eastAsia" w:ascii="宋体" w:hAnsi="宋体" w:cs="宋体"/>
                <w:kern w:val="0"/>
                <w:sz w:val="24"/>
                <w:highlight w:val="none"/>
              </w:rPr>
              <w:t>具备工程设计市政行业（燃气工程、轨道交通工程除外）乙级以上（含乙级）资质</w:t>
            </w:r>
            <w:r>
              <w:rPr>
                <w:rFonts w:hint="eastAsia" w:ascii="宋体" w:hAnsi="宋体" w:cs="宋体"/>
                <w:kern w:val="0"/>
                <w:sz w:val="24"/>
                <w:szCs w:val="24"/>
                <w:highlight w:val="none"/>
              </w:rPr>
              <w:t>；</w:t>
            </w:r>
          </w:p>
          <w:p w14:paraId="5BDD9627">
            <w:pPr>
              <w:pStyle w:val="11"/>
              <w:spacing w:after="0" w:line="360" w:lineRule="auto"/>
              <w:ind w:firstLine="240" w:firstLineChars="100"/>
              <w:jc w:val="left"/>
              <w:rPr>
                <w:rFonts w:hint="eastAsia" w:ascii="宋体" w:hAnsi="宋体" w:cs="宋体"/>
                <w:kern w:val="0"/>
                <w:sz w:val="24"/>
                <w:szCs w:val="24"/>
                <w:highlight w:val="none"/>
              </w:rPr>
            </w:pPr>
            <w:r>
              <w:rPr>
                <w:rFonts w:hint="eastAsia" w:ascii="宋体" w:hAnsi="宋体" w:cs="宋体"/>
                <w:kern w:val="0"/>
                <w:sz w:val="24"/>
                <w:szCs w:val="24"/>
                <w:highlight w:val="none"/>
              </w:rPr>
              <w:t>（4）</w:t>
            </w:r>
            <w:r>
              <w:rPr>
                <w:rFonts w:hint="eastAsia" w:ascii="宋体" w:hAnsi="宋体" w:cs="宋体"/>
                <w:kern w:val="0"/>
                <w:sz w:val="24"/>
                <w:highlight w:val="none"/>
              </w:rPr>
              <w:t>具备工程设计市政行业（道路工程）专业乙级以上（含乙级）资质。</w:t>
            </w:r>
          </w:p>
          <w:p w14:paraId="5ED62AE9">
            <w:pPr>
              <w:pStyle w:val="11"/>
              <w:spacing w:after="0" w:line="360" w:lineRule="exact"/>
              <w:ind w:firstLine="240" w:firstLineChars="100"/>
              <w:jc w:val="left"/>
              <w:rPr>
                <w:rFonts w:hint="eastAsia" w:ascii="宋体" w:hAnsi="宋体" w:cs="宋体"/>
                <w:kern w:val="0"/>
                <w:sz w:val="24"/>
                <w:szCs w:val="24"/>
                <w:highlight w:val="none"/>
              </w:rPr>
            </w:pPr>
            <w:r>
              <w:rPr>
                <w:rFonts w:hint="eastAsia" w:ascii="宋体" w:hAnsi="宋体" w:cs="宋体"/>
                <w:kern w:val="0"/>
                <w:sz w:val="24"/>
                <w:szCs w:val="24"/>
                <w:highlight w:val="none"/>
              </w:rPr>
              <w:t>2.3 投标人的企业相关证书到期的，均按该证书的发证机构相关行业主管部门最新文件执行(如自动顺延或资质延续有关事项的通知)，投标人的企业相关证书到期的，均按该证书的发证机构相关行业主管部门最新文件执行（如自动顺延或资质延续有关事项的通知），投标人必须将相关文件附在该证书后，证明在开标日继续有效。</w:t>
            </w:r>
          </w:p>
          <w:p w14:paraId="59391731">
            <w:pPr>
              <w:pStyle w:val="11"/>
              <w:spacing w:after="0" w:line="360" w:lineRule="exact"/>
              <w:ind w:firstLine="240" w:firstLineChars="100"/>
              <w:jc w:val="left"/>
              <w:rPr>
                <w:rFonts w:hint="eastAsia" w:ascii="宋体" w:hAnsi="宋体" w:cs="宋体"/>
                <w:kern w:val="0"/>
                <w:sz w:val="24"/>
                <w:szCs w:val="24"/>
                <w:highlight w:val="none"/>
              </w:rPr>
            </w:pPr>
            <w:r>
              <w:rPr>
                <w:rFonts w:hint="eastAsia" w:ascii="宋体" w:hAnsi="宋体" w:cs="宋体"/>
                <w:kern w:val="0"/>
                <w:sz w:val="24"/>
                <w:szCs w:val="24"/>
                <w:highlight w:val="none"/>
              </w:rPr>
              <w:t>3.相关人员要求</w:t>
            </w:r>
          </w:p>
          <w:p w14:paraId="7E3B97E0">
            <w:pPr>
              <w:pStyle w:val="153"/>
              <w:wordWrap w:val="0"/>
              <w:adjustRightInd w:val="0"/>
              <w:snapToGrid w:val="0"/>
              <w:spacing w:line="440" w:lineRule="exact"/>
              <w:ind w:left="36" w:leftChars="17" w:right="48" w:rightChars="23" w:firstLine="480"/>
              <w:jc w:val="left"/>
              <w:rPr>
                <w:rFonts w:hint="eastAsia" w:ascii="宋体" w:hAnsi="宋体" w:cs="宋体"/>
                <w:kern w:val="0"/>
                <w:sz w:val="24"/>
                <w:highlight w:val="none"/>
              </w:rPr>
            </w:pPr>
            <w:r>
              <w:rPr>
                <w:rFonts w:hint="eastAsia" w:ascii="宋体" w:hAnsi="宋体" w:cs="宋体"/>
                <w:kern w:val="0"/>
                <w:sz w:val="24"/>
                <w:highlight w:val="none"/>
              </w:rPr>
              <w:t>3.1投标人拟派项目设计负责人具备</w:t>
            </w:r>
            <w:r>
              <w:rPr>
                <w:rFonts w:hint="eastAsia" w:ascii="宋体" w:hAnsi="宋体"/>
                <w:sz w:val="24"/>
                <w:highlight w:val="none"/>
                <w:u w:val="single"/>
              </w:rPr>
              <w:t>市政专业</w:t>
            </w:r>
            <w:r>
              <w:rPr>
                <w:rFonts w:hint="eastAsia" w:ascii="宋体" w:hAnsi="宋体"/>
                <w:sz w:val="24"/>
                <w:highlight w:val="none"/>
              </w:rPr>
              <w:t>中级以上（含中级）职称证书或</w:t>
            </w:r>
            <w:r>
              <w:rPr>
                <w:rFonts w:hint="eastAsia" w:ascii="宋体" w:hAnsi="宋体"/>
                <w:sz w:val="24"/>
                <w:highlight w:val="none"/>
                <w:u w:val="single"/>
              </w:rPr>
              <w:t>注册土木工程师（道路工程）</w:t>
            </w:r>
            <w:r>
              <w:rPr>
                <w:rFonts w:hint="eastAsia" w:ascii="宋体" w:hAnsi="宋体"/>
                <w:sz w:val="24"/>
                <w:highlight w:val="none"/>
              </w:rPr>
              <w:t>证书。</w:t>
            </w:r>
          </w:p>
          <w:p w14:paraId="4F3E6DDA">
            <w:pPr>
              <w:widowControl/>
              <w:adjustRightInd w:val="0"/>
              <w:snapToGrid w:val="0"/>
              <w:spacing w:line="360" w:lineRule="exact"/>
              <w:ind w:firstLine="240" w:firstLineChars="100"/>
              <w:jc w:val="left"/>
              <w:rPr>
                <w:rFonts w:hint="eastAsia" w:ascii="宋体" w:hAnsi="宋体" w:cs="宋体"/>
                <w:kern w:val="0"/>
                <w:sz w:val="24"/>
                <w:szCs w:val="24"/>
                <w:highlight w:val="none"/>
              </w:rPr>
            </w:pPr>
            <w:r>
              <w:rPr>
                <w:rFonts w:hint="eastAsia" w:ascii="宋体" w:hAnsi="宋体" w:cs="宋体"/>
                <w:kern w:val="0"/>
                <w:sz w:val="24"/>
                <w:szCs w:val="24"/>
                <w:highlight w:val="none"/>
              </w:rPr>
              <w:t>3.2投标人与其拟派往本项目所有人员之间必须具备合法的劳动聘用关系，需</w:t>
            </w:r>
            <w:r>
              <w:rPr>
                <w:rFonts w:hint="eastAsia" w:ascii="宋体" w:hAnsi="宋体" w:cs="宋体"/>
                <w:kern w:val="0"/>
                <w:sz w:val="24"/>
                <w:szCs w:val="22"/>
                <w:highlight w:val="none"/>
              </w:rPr>
              <w:t>提供缴纳社保的证明</w:t>
            </w:r>
            <w:r>
              <w:rPr>
                <w:rFonts w:hint="eastAsia" w:ascii="宋体" w:hAnsi="宋体" w:cs="宋体"/>
                <w:snapToGrid w:val="0"/>
                <w:kern w:val="0"/>
                <w:sz w:val="24"/>
                <w:szCs w:val="24"/>
                <w:highlight w:val="none"/>
              </w:rPr>
              <w:t>或退休证(附返聘证明）</w:t>
            </w:r>
            <w:r>
              <w:rPr>
                <w:rFonts w:hint="eastAsia" w:ascii="宋体" w:hAnsi="宋体" w:cs="宋体"/>
                <w:kern w:val="0"/>
                <w:sz w:val="24"/>
                <w:szCs w:val="22"/>
                <w:highlight w:val="none"/>
              </w:rPr>
              <w:t>扫描件（由非独立法人分支机构出具的社保证明，予以认可）</w:t>
            </w:r>
            <w:r>
              <w:rPr>
                <w:rFonts w:hint="eastAsia" w:ascii="宋体" w:hAnsi="宋体" w:cs="宋体"/>
                <w:kern w:val="0"/>
                <w:sz w:val="24"/>
                <w:szCs w:val="24"/>
                <w:highlight w:val="none"/>
              </w:rPr>
              <w:t>。拟派人员中具备注册执业资格的，其注册单位须与投标人保持一致。</w:t>
            </w:r>
          </w:p>
          <w:p w14:paraId="2909193E">
            <w:pPr>
              <w:pStyle w:val="153"/>
              <w:widowControl/>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4.禁止投标条款</w:t>
            </w:r>
          </w:p>
          <w:p w14:paraId="5D1A1937">
            <w:pPr>
              <w:pStyle w:val="153"/>
              <w:widowControl/>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4.1 投标人不得存在下列情形之一：</w:t>
            </w:r>
          </w:p>
          <w:p w14:paraId="4D464DF0">
            <w:pPr>
              <w:pStyle w:val="153"/>
              <w:widowControl/>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（1）为招标人不具有独立法人资格的附属机构（单位）；</w:t>
            </w:r>
          </w:p>
          <w:p w14:paraId="1D28CCCD">
            <w:pPr>
              <w:pStyle w:val="153"/>
              <w:widowControl/>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（2）与招标人存在利害关系且可能影响招标公正性；</w:t>
            </w:r>
          </w:p>
          <w:p w14:paraId="41459B6E">
            <w:pPr>
              <w:pStyle w:val="153"/>
              <w:widowControl/>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（3）与本招标项目的其他投标人为同一个单位负责人；</w:t>
            </w:r>
          </w:p>
          <w:p w14:paraId="2668A554">
            <w:pPr>
              <w:pStyle w:val="153"/>
              <w:widowControl/>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（4）与本招标项目的其他投标人存在控股、管理关系；</w:t>
            </w:r>
          </w:p>
          <w:p w14:paraId="179B3D3E">
            <w:pPr>
              <w:pStyle w:val="153"/>
              <w:widowControl/>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（5）为本招标项目的代建人；</w:t>
            </w:r>
          </w:p>
          <w:p w14:paraId="39893011">
            <w:pPr>
              <w:pStyle w:val="153"/>
              <w:widowControl/>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（6）为本招标项目的招标代理机构；</w:t>
            </w:r>
          </w:p>
          <w:p w14:paraId="5F05CD06">
            <w:pPr>
              <w:pStyle w:val="153"/>
              <w:widowControl/>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（7）与本招标项目的代建人或招标代理机构同为一个法定代表人；</w:t>
            </w:r>
          </w:p>
          <w:p w14:paraId="7C9738A4">
            <w:pPr>
              <w:pStyle w:val="153"/>
              <w:widowControl/>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（8）与本招标项目的代建人或招标代理机构存在控股或参股关系；</w:t>
            </w:r>
          </w:p>
          <w:p w14:paraId="5064E722">
            <w:pPr>
              <w:pStyle w:val="153"/>
              <w:widowControl/>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（9）与本招标项目的代建人或招标代理机构存在相互任职或工作关系；</w:t>
            </w:r>
          </w:p>
          <w:p w14:paraId="4A03F16C">
            <w:pPr>
              <w:pStyle w:val="153"/>
              <w:widowControl/>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（10）被依法暂停或者取消投标资格；</w:t>
            </w:r>
          </w:p>
          <w:p w14:paraId="14518F8F">
            <w:pPr>
              <w:pStyle w:val="153"/>
              <w:widowControl/>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（11）被责令停产停业、暂扣或者吊销许可证、暂扣或者吊销执照；</w:t>
            </w:r>
          </w:p>
          <w:p w14:paraId="17FD13D4">
            <w:pPr>
              <w:pStyle w:val="153"/>
              <w:widowControl/>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（12）进入清算程序，或被宣告破产，或其他丧失履约能力的情形；</w:t>
            </w:r>
          </w:p>
          <w:p w14:paraId="62EE6C4D">
            <w:pPr>
              <w:pStyle w:val="153"/>
              <w:widowControl/>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（13）在最近三年内发生重大质量问题（以相关行业主管部门的行政处罚决定或司法机关出具的有关法律文书为准）；</w:t>
            </w:r>
          </w:p>
          <w:p w14:paraId="6FBDC054">
            <w:pPr>
              <w:pStyle w:val="153"/>
              <w:widowControl/>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（14）被“信用中国”网站（https://www.creditchina.gov.cn）发布的《法人和非法人组织公共信用信息报告》列为严重失信主体名单的。</w:t>
            </w:r>
          </w:p>
          <w:p w14:paraId="5D88481B">
            <w:pPr>
              <w:pStyle w:val="153"/>
              <w:widowControl/>
              <w:spacing w:line="360" w:lineRule="exact"/>
              <w:ind w:firstLine="240" w:firstLineChars="100"/>
              <w:jc w:val="left"/>
              <w:rPr>
                <w:rFonts w:hint="eastAsia" w:ascii="宋体" w:hAnsi="宋体" w:cs="宋体"/>
                <w:kern w:val="0"/>
                <w:sz w:val="24"/>
                <w:highlight w:val="none"/>
              </w:rPr>
            </w:pPr>
            <w:r>
              <w:rPr>
                <w:rFonts w:hint="eastAsia" w:ascii="宋体" w:hAnsi="宋体" w:cs="宋体"/>
                <w:kern w:val="0"/>
                <w:sz w:val="24"/>
                <w:highlight w:val="none"/>
              </w:rPr>
              <w:t>4.2招标人拒绝以下名单中的单位参加本次投标：</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4"/>
              <w:gridCol w:w="3216"/>
              <w:gridCol w:w="3364"/>
            </w:tblGrid>
            <w:tr w14:paraId="3E03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4" w:type="dxa"/>
                  <w:tcMar>
                    <w:top w:w="0" w:type="dxa"/>
                    <w:left w:w="105" w:type="dxa"/>
                    <w:bottom w:w="0" w:type="dxa"/>
                    <w:right w:w="105" w:type="dxa"/>
                  </w:tcMar>
                  <w:vAlign w:val="center"/>
                </w:tcPr>
                <w:p w14:paraId="50431BBC">
                  <w:pPr>
                    <w:pStyle w:val="28"/>
                    <w:spacing w:before="75" w:beforeAutospacing="0" w:after="75" w:afterAutospacing="0"/>
                    <w:jc w:val="center"/>
                    <w:rPr>
                      <w:rFonts w:hint="eastAsia" w:ascii="宋体"/>
                      <w:color w:val="auto"/>
                      <w:sz w:val="24"/>
                      <w:highlight w:val="none"/>
                    </w:rPr>
                  </w:pPr>
                  <w:r>
                    <w:rPr>
                      <w:rFonts w:hint="eastAsia" w:ascii="宋体"/>
                      <w:color w:val="auto"/>
                      <w:sz w:val="24"/>
                      <w:highlight w:val="none"/>
                    </w:rPr>
                    <w:t>序号</w:t>
                  </w:r>
                </w:p>
              </w:tc>
              <w:tc>
                <w:tcPr>
                  <w:tcW w:w="3400" w:type="dxa"/>
                  <w:tcMar>
                    <w:top w:w="0" w:type="dxa"/>
                    <w:left w:w="105" w:type="dxa"/>
                    <w:bottom w:w="0" w:type="dxa"/>
                    <w:right w:w="105" w:type="dxa"/>
                  </w:tcMar>
                  <w:vAlign w:val="center"/>
                </w:tcPr>
                <w:p w14:paraId="398BD2AA">
                  <w:pPr>
                    <w:pStyle w:val="28"/>
                    <w:spacing w:before="75" w:beforeAutospacing="0" w:after="75" w:afterAutospacing="0"/>
                    <w:jc w:val="center"/>
                    <w:rPr>
                      <w:rFonts w:hint="eastAsia" w:ascii="宋体"/>
                      <w:color w:val="auto"/>
                      <w:sz w:val="24"/>
                      <w:highlight w:val="none"/>
                    </w:rPr>
                  </w:pPr>
                  <w:r>
                    <w:rPr>
                      <w:rFonts w:hint="eastAsia" w:ascii="宋体"/>
                      <w:color w:val="auto"/>
                      <w:sz w:val="24"/>
                      <w:highlight w:val="none"/>
                    </w:rPr>
                    <w:t>单位名称</w:t>
                  </w:r>
                </w:p>
              </w:tc>
              <w:tc>
                <w:tcPr>
                  <w:tcW w:w="3576" w:type="dxa"/>
                  <w:tcMar>
                    <w:top w:w="0" w:type="dxa"/>
                    <w:left w:w="105" w:type="dxa"/>
                    <w:bottom w:w="0" w:type="dxa"/>
                    <w:right w:w="105" w:type="dxa"/>
                  </w:tcMar>
                  <w:vAlign w:val="center"/>
                </w:tcPr>
                <w:p w14:paraId="441D95A8">
                  <w:pPr>
                    <w:pStyle w:val="28"/>
                    <w:spacing w:before="75" w:beforeAutospacing="0" w:after="75" w:afterAutospacing="0"/>
                    <w:jc w:val="center"/>
                    <w:rPr>
                      <w:rFonts w:hint="eastAsia" w:ascii="宋体"/>
                      <w:color w:val="auto"/>
                      <w:sz w:val="24"/>
                      <w:highlight w:val="none"/>
                    </w:rPr>
                  </w:pPr>
                  <w:r>
                    <w:rPr>
                      <w:rFonts w:hint="eastAsia" w:ascii="宋体"/>
                      <w:color w:val="auto"/>
                      <w:sz w:val="24"/>
                      <w:highlight w:val="none"/>
                    </w:rPr>
                    <w:t>拒绝原因</w:t>
                  </w:r>
                </w:p>
              </w:tc>
            </w:tr>
            <w:tr w14:paraId="2929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4" w:type="dxa"/>
                  <w:tcMar>
                    <w:top w:w="0" w:type="dxa"/>
                    <w:left w:w="105" w:type="dxa"/>
                    <w:bottom w:w="0" w:type="dxa"/>
                    <w:right w:w="105" w:type="dxa"/>
                  </w:tcMar>
                  <w:vAlign w:val="center"/>
                </w:tcPr>
                <w:p w14:paraId="176E6698">
                  <w:pPr>
                    <w:pStyle w:val="28"/>
                    <w:spacing w:before="75" w:beforeAutospacing="0" w:after="75" w:afterAutospacing="0"/>
                    <w:jc w:val="center"/>
                    <w:rPr>
                      <w:rFonts w:hint="eastAsia" w:ascii="宋体"/>
                      <w:color w:val="auto"/>
                      <w:sz w:val="24"/>
                      <w:highlight w:val="none"/>
                    </w:rPr>
                  </w:pPr>
                  <w:r>
                    <w:rPr>
                      <w:rFonts w:hint="eastAsia" w:ascii="宋体"/>
                      <w:color w:val="auto"/>
                      <w:sz w:val="24"/>
                      <w:highlight w:val="none"/>
                    </w:rPr>
                    <w:t>1</w:t>
                  </w:r>
                </w:p>
              </w:tc>
              <w:tc>
                <w:tcPr>
                  <w:tcW w:w="3400" w:type="dxa"/>
                  <w:tcMar>
                    <w:top w:w="0" w:type="dxa"/>
                    <w:left w:w="105" w:type="dxa"/>
                    <w:bottom w:w="0" w:type="dxa"/>
                    <w:right w:w="105" w:type="dxa"/>
                  </w:tcMar>
                  <w:vAlign w:val="center"/>
                </w:tcPr>
                <w:p w14:paraId="0162A219">
                  <w:pPr>
                    <w:wordWrap w:val="0"/>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东莞（韶关）浈江产业转移工业园管理委员会</w:t>
                  </w:r>
                </w:p>
              </w:tc>
              <w:tc>
                <w:tcPr>
                  <w:tcW w:w="3576" w:type="dxa"/>
                  <w:tcMar>
                    <w:top w:w="0" w:type="dxa"/>
                    <w:left w:w="105" w:type="dxa"/>
                    <w:bottom w:w="0" w:type="dxa"/>
                    <w:right w:w="105" w:type="dxa"/>
                  </w:tcMar>
                  <w:vAlign w:val="center"/>
                </w:tcPr>
                <w:p w14:paraId="3FF15A7F">
                  <w:pPr>
                    <w:wordWrap w:val="0"/>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为本招标项目的招标人</w:t>
                  </w:r>
                </w:p>
              </w:tc>
            </w:tr>
            <w:tr w14:paraId="2F13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4" w:type="dxa"/>
                  <w:tcMar>
                    <w:top w:w="0" w:type="dxa"/>
                    <w:left w:w="105" w:type="dxa"/>
                    <w:bottom w:w="0" w:type="dxa"/>
                    <w:right w:w="105" w:type="dxa"/>
                  </w:tcMar>
                  <w:vAlign w:val="center"/>
                </w:tcPr>
                <w:p w14:paraId="38A93748">
                  <w:pPr>
                    <w:pStyle w:val="28"/>
                    <w:spacing w:before="75" w:beforeAutospacing="0" w:after="75" w:afterAutospacing="0"/>
                    <w:jc w:val="center"/>
                    <w:rPr>
                      <w:rFonts w:hint="eastAsia" w:ascii="宋体"/>
                      <w:color w:val="auto"/>
                      <w:sz w:val="24"/>
                      <w:highlight w:val="none"/>
                    </w:rPr>
                  </w:pPr>
                  <w:r>
                    <w:rPr>
                      <w:rFonts w:hint="eastAsia" w:ascii="宋体"/>
                      <w:color w:val="auto"/>
                      <w:sz w:val="24"/>
                      <w:highlight w:val="none"/>
                    </w:rPr>
                    <w:t>2</w:t>
                  </w:r>
                </w:p>
              </w:tc>
              <w:tc>
                <w:tcPr>
                  <w:tcW w:w="3400" w:type="dxa"/>
                  <w:tcMar>
                    <w:top w:w="0" w:type="dxa"/>
                    <w:left w:w="105" w:type="dxa"/>
                    <w:bottom w:w="0" w:type="dxa"/>
                    <w:right w:w="105" w:type="dxa"/>
                  </w:tcMar>
                  <w:vAlign w:val="center"/>
                </w:tcPr>
                <w:p w14:paraId="4EBA8452">
                  <w:pPr>
                    <w:wordWrap w:val="0"/>
                    <w:adjustRightInd w:val="0"/>
                    <w:snapToGrid w:val="0"/>
                    <w:jc w:val="center"/>
                    <w:rPr>
                      <w:rFonts w:hint="eastAsia" w:ascii="宋体" w:hAnsi="宋体" w:cs="宋体"/>
                      <w:sz w:val="24"/>
                      <w:szCs w:val="24"/>
                      <w:highlight w:val="none"/>
                    </w:rPr>
                  </w:pPr>
                  <w:r>
                    <w:rPr>
                      <w:rFonts w:hint="eastAsia" w:ascii="宋体" w:hAnsi="宋体" w:cs="宋体"/>
                      <w:snapToGrid w:val="0"/>
                      <w:kern w:val="0"/>
                      <w:sz w:val="24"/>
                      <w:szCs w:val="24"/>
                      <w:highlight w:val="none"/>
                    </w:rPr>
                    <w:t>广东方川工程咨询有限公司</w:t>
                  </w:r>
                </w:p>
              </w:tc>
              <w:tc>
                <w:tcPr>
                  <w:tcW w:w="3576" w:type="dxa"/>
                  <w:tcMar>
                    <w:top w:w="0" w:type="dxa"/>
                    <w:left w:w="105" w:type="dxa"/>
                    <w:bottom w:w="0" w:type="dxa"/>
                    <w:right w:w="105" w:type="dxa"/>
                  </w:tcMar>
                  <w:vAlign w:val="center"/>
                </w:tcPr>
                <w:p w14:paraId="64731C59">
                  <w:pPr>
                    <w:snapToGrid w:val="0"/>
                    <w:jc w:val="center"/>
                    <w:rPr>
                      <w:rFonts w:hint="eastAsia" w:ascii="宋体" w:hAnsi="宋体" w:cs="宋体"/>
                      <w:sz w:val="24"/>
                      <w:szCs w:val="24"/>
                      <w:highlight w:val="none"/>
                    </w:rPr>
                  </w:pPr>
                  <w:r>
                    <w:rPr>
                      <w:rFonts w:hint="eastAsia" w:ascii="宋体" w:hAnsi="宋体" w:cs="宋体"/>
                      <w:sz w:val="24"/>
                      <w:szCs w:val="24"/>
                      <w:highlight w:val="none"/>
                    </w:rPr>
                    <w:t>为本招标项目的招标代理机构</w:t>
                  </w:r>
                </w:p>
              </w:tc>
            </w:tr>
            <w:tr w14:paraId="22DB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7" w:hRule="atLeast"/>
              </w:trPr>
              <w:tc>
                <w:tcPr>
                  <w:tcW w:w="604" w:type="dxa"/>
                  <w:tcMar>
                    <w:top w:w="0" w:type="dxa"/>
                    <w:left w:w="105" w:type="dxa"/>
                    <w:bottom w:w="0" w:type="dxa"/>
                    <w:right w:w="105" w:type="dxa"/>
                  </w:tcMar>
                  <w:vAlign w:val="center"/>
                </w:tcPr>
                <w:p w14:paraId="16170666">
                  <w:pPr>
                    <w:pStyle w:val="28"/>
                    <w:spacing w:before="75" w:beforeAutospacing="0" w:after="75" w:afterAutospacing="0"/>
                    <w:jc w:val="center"/>
                    <w:rPr>
                      <w:rFonts w:hint="eastAsia" w:ascii="宋体"/>
                      <w:color w:val="auto"/>
                      <w:sz w:val="24"/>
                      <w:highlight w:val="none"/>
                    </w:rPr>
                  </w:pPr>
                  <w:r>
                    <w:rPr>
                      <w:rFonts w:hint="eastAsia" w:ascii="宋体"/>
                      <w:color w:val="auto"/>
                      <w:sz w:val="24"/>
                      <w:highlight w:val="none"/>
                    </w:rPr>
                    <w:t>3</w:t>
                  </w:r>
                </w:p>
              </w:tc>
              <w:tc>
                <w:tcPr>
                  <w:tcW w:w="3400" w:type="dxa"/>
                  <w:tcMar>
                    <w:top w:w="0" w:type="dxa"/>
                    <w:left w:w="105" w:type="dxa"/>
                    <w:bottom w:w="0" w:type="dxa"/>
                    <w:right w:w="105" w:type="dxa"/>
                  </w:tcMar>
                  <w:vAlign w:val="center"/>
                </w:tcPr>
                <w:p w14:paraId="0C5D3686">
                  <w:pPr>
                    <w:snapToGrid w:val="0"/>
                    <w:jc w:val="center"/>
                    <w:rPr>
                      <w:rFonts w:hint="eastAsia" w:ascii="宋体" w:hAnsi="宋体" w:cs="宋体"/>
                      <w:sz w:val="24"/>
                      <w:szCs w:val="24"/>
                      <w:highlight w:val="none"/>
                    </w:rPr>
                  </w:pPr>
                  <w:r>
                    <w:rPr>
                      <w:rFonts w:hint="eastAsia" w:ascii="宋体" w:hAnsi="宋体" w:cs="宋体"/>
                      <w:sz w:val="24"/>
                      <w:szCs w:val="24"/>
                      <w:highlight w:val="none"/>
                    </w:rPr>
                    <w:t>广东合正项目管理有限公司</w:t>
                  </w:r>
                </w:p>
              </w:tc>
              <w:tc>
                <w:tcPr>
                  <w:tcW w:w="3576" w:type="dxa"/>
                  <w:tcMar>
                    <w:top w:w="0" w:type="dxa"/>
                    <w:left w:w="105" w:type="dxa"/>
                    <w:bottom w:w="0" w:type="dxa"/>
                    <w:right w:w="105" w:type="dxa"/>
                  </w:tcMar>
                  <w:vAlign w:val="center"/>
                </w:tcPr>
                <w:p w14:paraId="6F016062">
                  <w:pPr>
                    <w:snapToGrid w:val="0"/>
                    <w:jc w:val="center"/>
                    <w:rPr>
                      <w:rFonts w:hint="eastAsia" w:ascii="宋体" w:hAnsi="宋体" w:cs="宋体"/>
                      <w:sz w:val="24"/>
                      <w:szCs w:val="24"/>
                      <w:highlight w:val="none"/>
                    </w:rPr>
                  </w:pPr>
                  <w:r>
                    <w:rPr>
                      <w:rFonts w:hint="eastAsia" w:ascii="宋体" w:hAnsi="宋体" w:cs="宋体"/>
                      <w:sz w:val="24"/>
                      <w:szCs w:val="24"/>
                      <w:highlight w:val="none"/>
                    </w:rPr>
                    <w:t>为本招标项目的可行性研究报告编制单位</w:t>
                  </w:r>
                </w:p>
              </w:tc>
            </w:tr>
          </w:tbl>
          <w:p w14:paraId="5B0370C6">
            <w:pPr>
              <w:pStyle w:val="153"/>
              <w:spacing w:line="340" w:lineRule="exact"/>
              <w:ind w:firstLine="240" w:firstLineChars="100"/>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5．其他要求</w:t>
            </w:r>
          </w:p>
          <w:p w14:paraId="2E0A3AA4">
            <w:pPr>
              <w:pStyle w:val="153"/>
              <w:spacing w:line="340" w:lineRule="exact"/>
              <w:ind w:firstLine="240" w:firstLineChars="100"/>
              <w:jc w:val="left"/>
              <w:rPr>
                <w:rFonts w:hint="eastAsia" w:ascii="宋体" w:hAnsi="宋体" w:cs="宋体"/>
                <w:kern w:val="0"/>
                <w:highlight w:val="none"/>
              </w:rPr>
            </w:pPr>
            <w:r>
              <w:rPr>
                <w:rFonts w:hint="eastAsia" w:ascii="宋体" w:hAnsi="宋体" w:cs="宋体"/>
                <w:snapToGrid w:val="0"/>
                <w:kern w:val="0"/>
                <w:sz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2400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32"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C671870">
            <w:pPr>
              <w:pStyle w:val="83"/>
              <w:spacing w:line="360" w:lineRule="exact"/>
              <w:jc w:val="center"/>
              <w:rPr>
                <w:rFonts w:hint="eastAsia" w:hAnsi="宋体" w:cs="宋体"/>
                <w:highlight w:val="none"/>
              </w:rPr>
            </w:pPr>
            <w:r>
              <w:rPr>
                <w:rFonts w:hint="eastAsia" w:hAnsi="宋体" w:cs="宋体"/>
                <w:highlight w:val="none"/>
              </w:rPr>
              <w:t>19</w:t>
            </w:r>
          </w:p>
        </w:tc>
        <w:tc>
          <w:tcPr>
            <w:tcW w:w="1701" w:type="dxa"/>
            <w:tcBorders>
              <w:top w:val="single" w:color="auto" w:sz="4" w:space="0"/>
              <w:left w:val="single" w:color="auto" w:sz="4" w:space="0"/>
              <w:bottom w:val="single" w:color="auto" w:sz="4" w:space="0"/>
              <w:right w:val="single" w:color="auto" w:sz="4" w:space="0"/>
            </w:tcBorders>
            <w:vAlign w:val="center"/>
          </w:tcPr>
          <w:p w14:paraId="1A218DA1">
            <w:pPr>
              <w:spacing w:line="36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投标保证金</w:t>
            </w:r>
          </w:p>
        </w:tc>
        <w:tc>
          <w:tcPr>
            <w:tcW w:w="7301" w:type="dxa"/>
            <w:tcBorders>
              <w:top w:val="single" w:color="auto" w:sz="4" w:space="0"/>
              <w:left w:val="single" w:color="auto" w:sz="4" w:space="0"/>
              <w:bottom w:val="single" w:color="auto" w:sz="4" w:space="0"/>
              <w:right w:val="single" w:color="auto" w:sz="4" w:space="0"/>
            </w:tcBorders>
            <w:vAlign w:val="center"/>
          </w:tcPr>
          <w:p w14:paraId="14432698">
            <w:pPr>
              <w:spacing w:line="36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1．投标人须缴纳金额为人民币</w:t>
            </w:r>
            <w:r>
              <w:rPr>
                <w:rFonts w:hint="eastAsia" w:ascii="宋体" w:hAnsi="宋体" w:cs="宋体"/>
                <w:snapToGrid w:val="0"/>
                <w:kern w:val="0"/>
                <w:sz w:val="24"/>
                <w:szCs w:val="24"/>
                <w:highlight w:val="none"/>
                <w:u w:val="single"/>
                <w:lang w:val="en-US" w:eastAsia="zh-CN"/>
              </w:rPr>
              <w:t>贰</w:t>
            </w:r>
            <w:r>
              <w:rPr>
                <w:rFonts w:hint="eastAsia" w:ascii="宋体" w:hAnsi="宋体" w:cs="宋体"/>
                <w:snapToGrid w:val="0"/>
                <w:kern w:val="0"/>
                <w:sz w:val="24"/>
                <w:szCs w:val="24"/>
                <w:highlight w:val="none"/>
                <w:u w:val="single"/>
              </w:rPr>
              <w:t>万元整</w:t>
            </w:r>
            <w:r>
              <w:rPr>
                <w:rFonts w:hint="eastAsia" w:ascii="宋体" w:hAnsi="宋体" w:cs="宋体"/>
                <w:snapToGrid w:val="0"/>
                <w:kern w:val="0"/>
                <w:sz w:val="24"/>
                <w:szCs w:val="24"/>
                <w:highlight w:val="none"/>
              </w:rPr>
              <w:t>（</w:t>
            </w:r>
            <w:r>
              <w:rPr>
                <w:rFonts w:hint="eastAsia" w:ascii="宋体" w:hAnsi="宋体" w:cs="宋体"/>
                <w:snapToGrid w:val="0"/>
                <w:kern w:val="0"/>
                <w:sz w:val="24"/>
                <w:szCs w:val="24"/>
                <w:highlight w:val="none"/>
                <w:u w:val="single"/>
              </w:rPr>
              <w:t>¥</w:t>
            </w:r>
            <w:r>
              <w:rPr>
                <w:rFonts w:hint="eastAsia" w:ascii="宋体" w:hAnsi="宋体" w:cs="宋体"/>
                <w:snapToGrid w:val="0"/>
                <w:kern w:val="0"/>
                <w:sz w:val="24"/>
                <w:szCs w:val="24"/>
                <w:highlight w:val="none"/>
                <w:u w:val="single"/>
                <w:lang w:val="en-US" w:eastAsia="zh-CN"/>
              </w:rPr>
              <w:t>20</w:t>
            </w:r>
            <w:r>
              <w:rPr>
                <w:rFonts w:hint="eastAsia" w:ascii="宋体" w:hAnsi="宋体" w:cs="宋体"/>
                <w:snapToGrid w:val="0"/>
                <w:kern w:val="0"/>
                <w:sz w:val="24"/>
                <w:szCs w:val="24"/>
                <w:highlight w:val="none"/>
                <w:u w:val="single"/>
              </w:rPr>
              <w:t>000.00</w:t>
            </w:r>
            <w:r>
              <w:rPr>
                <w:rFonts w:hint="eastAsia" w:ascii="宋体" w:hAnsi="宋体" w:cs="宋体"/>
                <w:snapToGrid w:val="0"/>
                <w:kern w:val="0"/>
                <w:sz w:val="24"/>
                <w:szCs w:val="24"/>
                <w:highlight w:val="none"/>
              </w:rPr>
              <w:t>元）的投标保证。</w:t>
            </w:r>
          </w:p>
          <w:p w14:paraId="6F2C452C">
            <w:pPr>
              <w:spacing w:line="36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2．投标保证的形式包括投标保证金、投标保证担保、投标保证保险三种，由投标人自主选择。</w:t>
            </w:r>
          </w:p>
          <w:p w14:paraId="10668C6B">
            <w:pPr>
              <w:spacing w:line="36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1）采用投标保证金的，投标人在建设工程交易系统报名完毕后，即可在系统申请缴纳投标保证金，获取本次招标投标保证金缴纳账号。投标人必须于投标保证金到账截止时间（详见“重要事项时间地点一览表”）前，从其基本账户将投标保证金转账到指定的缴纳账号。逾期到账的、从非投标人基本账户转出的，其投标无效。</w:t>
            </w:r>
          </w:p>
          <w:p w14:paraId="492599D8">
            <w:pPr>
              <w:spacing w:line="36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2）采用投标保证担保的，投标人应提交有效的电子保函，电子保函的有效期不得短于投标有效期。投标人必须在投标保证担保截止时间（详见“重要事项时间地点一览表”）前，使用工程建设交易系统完成网上办理电子保函。</w:t>
            </w:r>
          </w:p>
          <w:p w14:paraId="428BDD6B">
            <w:pPr>
              <w:spacing w:line="36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ygp.gdzwfw.gov.cn/ggzy-portal/#/440200/index），在【服务指引】栏目中下载《建设工程网上交易系统保险保证金缴纳操作指南》，了解网上投保具体操作流程。逾期投保的，其投标无效。</w:t>
            </w:r>
          </w:p>
          <w:p w14:paraId="0ABA2592">
            <w:pPr>
              <w:spacing w:line="360" w:lineRule="exact"/>
              <w:ind w:firstLine="240" w:firstLineChars="100"/>
              <w:jc w:val="left"/>
              <w:rPr>
                <w:rFonts w:hint="eastAsia" w:ascii="宋体" w:hAnsi="宋体" w:cs="宋体"/>
                <w:kern w:val="0"/>
                <w:sz w:val="24"/>
                <w:szCs w:val="24"/>
                <w:highlight w:val="none"/>
              </w:rPr>
            </w:pPr>
            <w:r>
              <w:rPr>
                <w:rFonts w:hint="eastAsia" w:ascii="宋体" w:hAnsi="宋体" w:cs="宋体"/>
                <w:snapToGrid w:val="0"/>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3EC2A6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68"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C8251BE">
            <w:pPr>
              <w:pStyle w:val="83"/>
              <w:spacing w:line="360" w:lineRule="exact"/>
              <w:jc w:val="center"/>
              <w:rPr>
                <w:rFonts w:hint="eastAsia" w:hAnsi="宋体" w:cs="宋体"/>
                <w:highlight w:val="none"/>
              </w:rPr>
            </w:pPr>
            <w:r>
              <w:rPr>
                <w:rFonts w:hint="eastAsia" w:hAnsi="宋体" w:cs="宋体"/>
                <w:highlight w:val="none"/>
              </w:rPr>
              <w:t>20</w:t>
            </w:r>
          </w:p>
        </w:tc>
        <w:tc>
          <w:tcPr>
            <w:tcW w:w="1701" w:type="dxa"/>
            <w:tcBorders>
              <w:top w:val="single" w:color="auto" w:sz="4" w:space="0"/>
              <w:left w:val="single" w:color="auto" w:sz="4" w:space="0"/>
              <w:bottom w:val="single" w:color="auto" w:sz="4" w:space="0"/>
              <w:right w:val="single" w:color="auto" w:sz="4" w:space="0"/>
            </w:tcBorders>
            <w:vAlign w:val="center"/>
          </w:tcPr>
          <w:p w14:paraId="7E869586">
            <w:pPr>
              <w:spacing w:line="36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合同价款支付</w:t>
            </w:r>
          </w:p>
        </w:tc>
        <w:tc>
          <w:tcPr>
            <w:tcW w:w="7301" w:type="dxa"/>
            <w:tcBorders>
              <w:top w:val="single" w:color="auto" w:sz="4" w:space="0"/>
              <w:left w:val="single" w:color="auto" w:sz="4" w:space="0"/>
              <w:bottom w:val="single" w:color="auto" w:sz="4" w:space="0"/>
              <w:right w:val="single" w:color="auto" w:sz="4" w:space="0"/>
            </w:tcBorders>
            <w:vAlign w:val="center"/>
          </w:tcPr>
          <w:p w14:paraId="0C233C08">
            <w:pPr>
              <w:spacing w:line="36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详见本招标文件第二章拟签订合同的主要条款。</w:t>
            </w:r>
          </w:p>
        </w:tc>
      </w:tr>
      <w:tr w14:paraId="2E851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C708039">
            <w:pPr>
              <w:pStyle w:val="83"/>
              <w:spacing w:line="360" w:lineRule="exact"/>
              <w:jc w:val="center"/>
              <w:rPr>
                <w:rFonts w:hint="eastAsia" w:hAnsi="宋体" w:cs="宋体"/>
                <w:highlight w:val="none"/>
              </w:rPr>
            </w:pPr>
            <w:r>
              <w:rPr>
                <w:rFonts w:hint="eastAsia" w:hAnsi="宋体" w:cs="宋体"/>
                <w:highlight w:val="none"/>
              </w:rPr>
              <w:t>21</w:t>
            </w:r>
          </w:p>
        </w:tc>
        <w:tc>
          <w:tcPr>
            <w:tcW w:w="1701" w:type="dxa"/>
            <w:tcBorders>
              <w:top w:val="single" w:color="auto" w:sz="4" w:space="0"/>
              <w:left w:val="single" w:color="auto" w:sz="4" w:space="0"/>
              <w:bottom w:val="single" w:color="auto" w:sz="4" w:space="0"/>
              <w:right w:val="single" w:color="auto" w:sz="4" w:space="0"/>
            </w:tcBorders>
            <w:vAlign w:val="center"/>
          </w:tcPr>
          <w:p w14:paraId="12F3F389">
            <w:pPr>
              <w:wordWrap w:val="0"/>
              <w:adjustRightInd w:val="0"/>
              <w:snapToGrid w:val="0"/>
              <w:spacing w:line="360" w:lineRule="exact"/>
              <w:jc w:val="center"/>
              <w:rPr>
                <w:rFonts w:hint="eastAsia" w:ascii="宋体" w:hAnsi="宋体" w:cs="宋体"/>
                <w:sz w:val="24"/>
                <w:highlight w:val="none"/>
              </w:rPr>
            </w:pPr>
            <w:r>
              <w:rPr>
                <w:rFonts w:hint="eastAsia" w:ascii="宋体" w:hAnsi="宋体" w:cs="宋体"/>
                <w:sz w:val="24"/>
                <w:highlight w:val="none"/>
              </w:rPr>
              <w:t>招标代理费及评标专家酬劳</w:t>
            </w:r>
          </w:p>
        </w:tc>
        <w:tc>
          <w:tcPr>
            <w:tcW w:w="7301" w:type="dxa"/>
            <w:tcBorders>
              <w:top w:val="single" w:color="auto" w:sz="4" w:space="0"/>
              <w:left w:val="single" w:color="auto" w:sz="4" w:space="0"/>
              <w:bottom w:val="single" w:color="auto" w:sz="4" w:space="0"/>
              <w:right w:val="single" w:color="auto" w:sz="4" w:space="0"/>
            </w:tcBorders>
            <w:vAlign w:val="center"/>
          </w:tcPr>
          <w:p w14:paraId="33D286AB">
            <w:pPr>
              <w:snapToGrid w:val="0"/>
              <w:spacing w:line="360" w:lineRule="exact"/>
              <w:ind w:firstLine="240" w:firstLineChars="100"/>
              <w:jc w:val="left"/>
              <w:rPr>
                <w:rFonts w:hint="eastAsia" w:ascii="宋体" w:hAnsi="宋体" w:cs="宋体"/>
                <w:sz w:val="24"/>
                <w:highlight w:val="none"/>
              </w:rPr>
            </w:pPr>
            <w:r>
              <w:rPr>
                <w:rFonts w:hint="eastAsia" w:ascii="宋体" w:hAnsi="宋体" w:cs="宋体"/>
                <w:sz w:val="24"/>
                <w:highlight w:val="none"/>
              </w:rPr>
              <w:t>本项目的招标代理服务费及评委评审费由中标人支付（费用包干），投标人必须综合考虑此费用，并计入投标成本报价中，不另列；中标人须在中标候选人公示期结束后、领取中标通知书前向招标代理机构支付招标代理服务费及评委评审费，方可领取中标通知书。</w:t>
            </w:r>
          </w:p>
        </w:tc>
      </w:tr>
      <w:tr w14:paraId="24483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4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280BAE3">
            <w:pPr>
              <w:pStyle w:val="83"/>
              <w:spacing w:line="360" w:lineRule="exact"/>
              <w:jc w:val="center"/>
              <w:rPr>
                <w:rFonts w:hint="eastAsia" w:hAnsi="宋体" w:cs="宋体"/>
                <w:highlight w:val="none"/>
              </w:rPr>
            </w:pPr>
            <w:r>
              <w:rPr>
                <w:rFonts w:hint="eastAsia" w:hAnsi="宋体" w:cs="宋体"/>
                <w:highlight w:val="none"/>
              </w:rPr>
              <w:t>22</w:t>
            </w:r>
          </w:p>
        </w:tc>
        <w:tc>
          <w:tcPr>
            <w:tcW w:w="1701" w:type="dxa"/>
            <w:tcBorders>
              <w:top w:val="single" w:color="auto" w:sz="4" w:space="0"/>
              <w:left w:val="single" w:color="auto" w:sz="4" w:space="0"/>
              <w:bottom w:val="single" w:color="auto" w:sz="4" w:space="0"/>
              <w:right w:val="single" w:color="auto" w:sz="4" w:space="0"/>
            </w:tcBorders>
            <w:vAlign w:val="center"/>
          </w:tcPr>
          <w:p w14:paraId="5F8E7ACB">
            <w:pPr>
              <w:spacing w:line="36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投标有效期</w:t>
            </w:r>
          </w:p>
        </w:tc>
        <w:tc>
          <w:tcPr>
            <w:tcW w:w="7301" w:type="dxa"/>
            <w:tcBorders>
              <w:top w:val="single" w:color="auto" w:sz="4" w:space="0"/>
              <w:left w:val="single" w:color="auto" w:sz="4" w:space="0"/>
              <w:bottom w:val="single" w:color="auto" w:sz="4" w:space="0"/>
              <w:right w:val="single" w:color="auto" w:sz="4" w:space="0"/>
            </w:tcBorders>
            <w:vAlign w:val="center"/>
          </w:tcPr>
          <w:p w14:paraId="78099FE6">
            <w:pPr>
              <w:spacing w:line="36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本次招标的投标有效期为</w:t>
            </w:r>
            <w:r>
              <w:rPr>
                <w:rFonts w:hint="eastAsia" w:ascii="宋体" w:hAnsi="宋体" w:cs="宋体"/>
                <w:snapToGrid w:val="0"/>
                <w:kern w:val="0"/>
                <w:sz w:val="24"/>
                <w:szCs w:val="24"/>
                <w:highlight w:val="none"/>
                <w:u w:val="single"/>
              </w:rPr>
              <w:t xml:space="preserve"> 90 </w:t>
            </w:r>
            <w:r>
              <w:rPr>
                <w:rFonts w:hint="eastAsia" w:ascii="宋体" w:hAnsi="宋体" w:cs="宋体"/>
                <w:snapToGrid w:val="0"/>
                <w:kern w:val="0"/>
                <w:sz w:val="24"/>
                <w:szCs w:val="24"/>
                <w:highlight w:val="none"/>
              </w:rPr>
              <w:t>个日历天。</w:t>
            </w:r>
          </w:p>
        </w:tc>
      </w:tr>
      <w:tr w14:paraId="0F26D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5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1B83997">
            <w:pPr>
              <w:pStyle w:val="83"/>
              <w:spacing w:line="360" w:lineRule="exact"/>
              <w:jc w:val="center"/>
              <w:rPr>
                <w:rFonts w:hint="eastAsia" w:hAnsi="宋体" w:cs="宋体"/>
                <w:highlight w:val="none"/>
              </w:rPr>
            </w:pPr>
            <w:r>
              <w:rPr>
                <w:rFonts w:hint="eastAsia" w:hAnsi="宋体" w:cs="宋体"/>
                <w:highlight w:val="none"/>
              </w:rPr>
              <w:t>23</w:t>
            </w:r>
          </w:p>
        </w:tc>
        <w:tc>
          <w:tcPr>
            <w:tcW w:w="1701" w:type="dxa"/>
            <w:tcBorders>
              <w:top w:val="single" w:color="auto" w:sz="4" w:space="0"/>
              <w:left w:val="single" w:color="auto" w:sz="4" w:space="0"/>
              <w:bottom w:val="single" w:color="auto" w:sz="4" w:space="0"/>
              <w:right w:val="single" w:color="auto" w:sz="4" w:space="0"/>
            </w:tcBorders>
            <w:vAlign w:val="center"/>
          </w:tcPr>
          <w:p w14:paraId="138607E9">
            <w:pPr>
              <w:spacing w:line="36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投标文件组成</w:t>
            </w:r>
          </w:p>
        </w:tc>
        <w:tc>
          <w:tcPr>
            <w:tcW w:w="7301" w:type="dxa"/>
            <w:tcBorders>
              <w:top w:val="single" w:color="auto" w:sz="4" w:space="0"/>
              <w:left w:val="single" w:color="auto" w:sz="4" w:space="0"/>
              <w:bottom w:val="single" w:color="auto" w:sz="4" w:space="0"/>
              <w:right w:val="single" w:color="auto" w:sz="4" w:space="0"/>
            </w:tcBorders>
            <w:vAlign w:val="center"/>
          </w:tcPr>
          <w:p w14:paraId="17EA3603">
            <w:pPr>
              <w:spacing w:line="36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投标文件包括商务经济标书、技术标书两个分册。</w:t>
            </w:r>
          </w:p>
        </w:tc>
      </w:tr>
      <w:tr w14:paraId="58C89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4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0ED56B4">
            <w:pPr>
              <w:pStyle w:val="83"/>
              <w:spacing w:line="360" w:lineRule="exact"/>
              <w:jc w:val="center"/>
              <w:rPr>
                <w:rFonts w:hint="eastAsia" w:hAnsi="宋体" w:cs="宋体"/>
                <w:highlight w:val="none"/>
              </w:rPr>
            </w:pPr>
            <w:r>
              <w:rPr>
                <w:rFonts w:hint="eastAsia" w:hAnsi="宋体" w:cs="宋体"/>
                <w:highlight w:val="none"/>
              </w:rPr>
              <w:t>24</w:t>
            </w:r>
          </w:p>
        </w:tc>
        <w:tc>
          <w:tcPr>
            <w:tcW w:w="1701" w:type="dxa"/>
            <w:tcBorders>
              <w:top w:val="single" w:color="auto" w:sz="4" w:space="0"/>
              <w:left w:val="single" w:color="auto" w:sz="4" w:space="0"/>
              <w:bottom w:val="single" w:color="auto" w:sz="4" w:space="0"/>
              <w:right w:val="single" w:color="auto" w:sz="4" w:space="0"/>
            </w:tcBorders>
            <w:vAlign w:val="center"/>
          </w:tcPr>
          <w:p w14:paraId="0C242085">
            <w:pPr>
              <w:spacing w:line="36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技术标书</w:t>
            </w:r>
          </w:p>
          <w:p w14:paraId="61003BB9">
            <w:pPr>
              <w:spacing w:line="36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评审方式</w:t>
            </w:r>
          </w:p>
        </w:tc>
        <w:tc>
          <w:tcPr>
            <w:tcW w:w="7301" w:type="dxa"/>
            <w:tcBorders>
              <w:top w:val="single" w:color="auto" w:sz="4" w:space="0"/>
              <w:left w:val="single" w:color="auto" w:sz="4" w:space="0"/>
              <w:bottom w:val="single" w:color="auto" w:sz="4" w:space="0"/>
              <w:right w:val="single" w:color="auto" w:sz="4" w:space="0"/>
            </w:tcBorders>
            <w:vAlign w:val="center"/>
          </w:tcPr>
          <w:p w14:paraId="610004E4">
            <w:pPr>
              <w:spacing w:line="36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本次招标技术标书</w:t>
            </w:r>
            <w:r>
              <w:rPr>
                <w:rFonts w:hint="eastAsia" w:ascii="宋体" w:hAnsi="宋体" w:cs="宋体"/>
                <w:snapToGrid w:val="0"/>
                <w:kern w:val="0"/>
                <w:sz w:val="24"/>
                <w:szCs w:val="24"/>
                <w:highlight w:val="none"/>
                <w:u w:val="single"/>
              </w:rPr>
              <w:t xml:space="preserve"> 不采用 </w:t>
            </w:r>
            <w:r>
              <w:rPr>
                <w:rFonts w:hint="eastAsia" w:ascii="宋体" w:hAnsi="宋体" w:cs="宋体"/>
                <w:snapToGrid w:val="0"/>
                <w:kern w:val="0"/>
                <w:sz w:val="24"/>
                <w:szCs w:val="24"/>
                <w:highlight w:val="none"/>
              </w:rPr>
              <w:t>“暗标”方式进行评审。</w:t>
            </w:r>
          </w:p>
        </w:tc>
      </w:tr>
      <w:tr w14:paraId="5B349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21C0BC25">
            <w:pPr>
              <w:pStyle w:val="83"/>
              <w:spacing w:line="360" w:lineRule="exact"/>
              <w:jc w:val="center"/>
              <w:rPr>
                <w:rFonts w:hint="eastAsia" w:hAnsi="宋体" w:cs="宋体"/>
                <w:highlight w:val="none"/>
              </w:rPr>
            </w:pPr>
            <w:r>
              <w:rPr>
                <w:rFonts w:hint="eastAsia" w:hAnsi="宋体" w:cs="宋体"/>
                <w:highlight w:val="none"/>
              </w:rPr>
              <w:t>25</w:t>
            </w:r>
          </w:p>
        </w:tc>
        <w:tc>
          <w:tcPr>
            <w:tcW w:w="1701" w:type="dxa"/>
            <w:tcBorders>
              <w:top w:val="single" w:color="auto" w:sz="4" w:space="0"/>
              <w:left w:val="single" w:color="auto" w:sz="4" w:space="0"/>
              <w:bottom w:val="single" w:color="auto" w:sz="4" w:space="0"/>
              <w:right w:val="single" w:color="auto" w:sz="4" w:space="0"/>
            </w:tcBorders>
            <w:vAlign w:val="center"/>
          </w:tcPr>
          <w:p w14:paraId="79FE8D89">
            <w:pPr>
              <w:pStyle w:val="83"/>
              <w:spacing w:line="360" w:lineRule="exact"/>
              <w:jc w:val="center"/>
              <w:rPr>
                <w:rFonts w:hint="eastAsia" w:hAnsi="宋体" w:cs="宋体"/>
                <w:highlight w:val="none"/>
              </w:rPr>
            </w:pPr>
            <w:r>
              <w:rPr>
                <w:rFonts w:hint="eastAsia" w:hAnsi="宋体" w:cs="宋体"/>
                <w:highlight w:val="none"/>
              </w:rPr>
              <w:t>评标委员会组成</w:t>
            </w:r>
          </w:p>
        </w:tc>
        <w:tc>
          <w:tcPr>
            <w:tcW w:w="7301" w:type="dxa"/>
            <w:tcBorders>
              <w:top w:val="single" w:color="auto" w:sz="4" w:space="0"/>
              <w:left w:val="single" w:color="auto" w:sz="4" w:space="0"/>
              <w:bottom w:val="single" w:color="auto" w:sz="4" w:space="0"/>
              <w:right w:val="single" w:color="auto" w:sz="4" w:space="0"/>
            </w:tcBorders>
            <w:vAlign w:val="center"/>
          </w:tcPr>
          <w:p w14:paraId="3588C684">
            <w:pPr>
              <w:pStyle w:val="83"/>
              <w:spacing w:line="360" w:lineRule="exact"/>
              <w:ind w:firstLine="240" w:firstLineChars="100"/>
              <w:jc w:val="left"/>
              <w:rPr>
                <w:rFonts w:hint="eastAsia" w:hAnsi="宋体" w:cs="宋体"/>
                <w:bCs/>
                <w:highlight w:val="none"/>
              </w:rPr>
            </w:pPr>
            <w:r>
              <w:rPr>
                <w:rFonts w:hint="eastAsia" w:hAnsi="宋体" w:cs="宋体"/>
                <w:kern w:val="0"/>
                <w:szCs w:val="24"/>
                <w:highlight w:val="none"/>
              </w:rPr>
              <w:t>评标委员会由</w:t>
            </w:r>
            <w:r>
              <w:rPr>
                <w:rFonts w:hint="eastAsia" w:hAnsi="宋体" w:cs="宋体"/>
                <w:kern w:val="0"/>
                <w:szCs w:val="24"/>
                <w:highlight w:val="none"/>
                <w:u w:val="single"/>
              </w:rPr>
              <w:t xml:space="preserve"> 5 </w:t>
            </w:r>
            <w:r>
              <w:rPr>
                <w:rFonts w:hint="eastAsia" w:hAnsi="宋体" w:cs="宋体"/>
                <w:kern w:val="0"/>
                <w:szCs w:val="24"/>
                <w:highlight w:val="none"/>
              </w:rPr>
              <w:t>人组成，其中招标人代表</w:t>
            </w:r>
            <w:r>
              <w:rPr>
                <w:rFonts w:hint="eastAsia" w:hAnsi="宋体" w:cs="宋体"/>
                <w:kern w:val="0"/>
                <w:szCs w:val="24"/>
                <w:highlight w:val="none"/>
                <w:u w:val="single"/>
              </w:rPr>
              <w:t xml:space="preserve"> 0 </w:t>
            </w:r>
            <w:r>
              <w:rPr>
                <w:rFonts w:hint="eastAsia" w:hAnsi="宋体" w:cs="宋体"/>
                <w:kern w:val="0"/>
                <w:szCs w:val="24"/>
                <w:highlight w:val="none"/>
              </w:rPr>
              <w:t>人，专家</w:t>
            </w:r>
            <w:r>
              <w:rPr>
                <w:rFonts w:hint="eastAsia" w:hAnsi="宋体" w:cs="宋体"/>
                <w:kern w:val="0"/>
                <w:szCs w:val="24"/>
                <w:highlight w:val="none"/>
                <w:u w:val="single"/>
              </w:rPr>
              <w:t xml:space="preserve"> 5 </w:t>
            </w:r>
            <w:r>
              <w:rPr>
                <w:rFonts w:hint="eastAsia" w:hAnsi="宋体" w:cs="宋体"/>
                <w:kern w:val="0"/>
                <w:szCs w:val="24"/>
                <w:highlight w:val="none"/>
              </w:rPr>
              <w:t>人。专家从广东省综合评标评审专家库韶关市区域中随机抽取，其中技术类专家</w:t>
            </w:r>
            <w:r>
              <w:rPr>
                <w:rFonts w:hint="eastAsia" w:hAnsi="宋体" w:cs="宋体"/>
                <w:kern w:val="0"/>
                <w:szCs w:val="24"/>
                <w:highlight w:val="none"/>
                <w:u w:val="single"/>
              </w:rPr>
              <w:t>3</w:t>
            </w:r>
            <w:r>
              <w:rPr>
                <w:rFonts w:hint="eastAsia" w:hAnsi="宋体" w:cs="宋体"/>
                <w:kern w:val="0"/>
                <w:szCs w:val="24"/>
                <w:highlight w:val="none"/>
              </w:rPr>
              <w:t>人，经济类专家</w:t>
            </w:r>
            <w:r>
              <w:rPr>
                <w:rFonts w:hint="eastAsia" w:hAnsi="宋体" w:cs="宋体"/>
                <w:kern w:val="0"/>
                <w:szCs w:val="24"/>
                <w:highlight w:val="none"/>
                <w:u w:val="single"/>
              </w:rPr>
              <w:t>2</w:t>
            </w:r>
            <w:r>
              <w:rPr>
                <w:rFonts w:hint="eastAsia" w:hAnsi="宋体" w:cs="宋体"/>
                <w:kern w:val="0"/>
                <w:szCs w:val="24"/>
                <w:highlight w:val="none"/>
              </w:rPr>
              <w:t>人。</w:t>
            </w:r>
          </w:p>
        </w:tc>
      </w:tr>
      <w:tr w14:paraId="311BA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BD06129">
            <w:pPr>
              <w:pStyle w:val="83"/>
              <w:spacing w:line="360" w:lineRule="exact"/>
              <w:jc w:val="center"/>
              <w:rPr>
                <w:rFonts w:hint="eastAsia" w:hAnsi="宋体" w:cs="宋体"/>
                <w:highlight w:val="none"/>
              </w:rPr>
            </w:pPr>
            <w:r>
              <w:rPr>
                <w:rFonts w:hint="eastAsia" w:hAnsi="宋体" w:cs="宋体"/>
                <w:highlight w:val="none"/>
              </w:rPr>
              <w:t>26</w:t>
            </w:r>
          </w:p>
        </w:tc>
        <w:tc>
          <w:tcPr>
            <w:tcW w:w="1701" w:type="dxa"/>
            <w:tcBorders>
              <w:top w:val="single" w:color="auto" w:sz="4" w:space="0"/>
              <w:left w:val="single" w:color="auto" w:sz="4" w:space="0"/>
              <w:bottom w:val="single" w:color="auto" w:sz="4" w:space="0"/>
              <w:right w:val="single" w:color="auto" w:sz="4" w:space="0"/>
            </w:tcBorders>
            <w:vAlign w:val="center"/>
          </w:tcPr>
          <w:p w14:paraId="542C215C">
            <w:pPr>
              <w:pStyle w:val="83"/>
              <w:spacing w:line="360" w:lineRule="exact"/>
              <w:jc w:val="center"/>
              <w:rPr>
                <w:rFonts w:hint="eastAsia" w:hAnsi="宋体" w:cs="宋体"/>
                <w:highlight w:val="none"/>
              </w:rPr>
            </w:pPr>
            <w:r>
              <w:rPr>
                <w:rFonts w:hint="eastAsia" w:hAnsi="宋体" w:cs="宋体"/>
                <w:highlight w:val="none"/>
              </w:rPr>
              <w:t>评标定标方法</w:t>
            </w:r>
          </w:p>
        </w:tc>
        <w:tc>
          <w:tcPr>
            <w:tcW w:w="7301" w:type="dxa"/>
            <w:tcBorders>
              <w:top w:val="single" w:color="auto" w:sz="4" w:space="0"/>
              <w:left w:val="single" w:color="auto" w:sz="4" w:space="0"/>
              <w:bottom w:val="single" w:color="auto" w:sz="4" w:space="0"/>
              <w:right w:val="single" w:color="auto" w:sz="4" w:space="0"/>
            </w:tcBorders>
            <w:vAlign w:val="center"/>
          </w:tcPr>
          <w:p w14:paraId="3C089A7E">
            <w:pPr>
              <w:pStyle w:val="83"/>
              <w:spacing w:line="360" w:lineRule="exact"/>
              <w:ind w:firstLine="240" w:firstLineChars="100"/>
              <w:jc w:val="left"/>
              <w:rPr>
                <w:rFonts w:hint="eastAsia" w:hAnsi="宋体" w:cs="宋体"/>
                <w:highlight w:val="none"/>
              </w:rPr>
            </w:pPr>
            <w:r>
              <w:rPr>
                <w:rFonts w:hint="eastAsia" w:hAnsi="宋体" w:cs="宋体"/>
                <w:highlight w:val="none"/>
              </w:rPr>
              <w:t>综合评估法</w:t>
            </w:r>
          </w:p>
        </w:tc>
      </w:tr>
      <w:tr w14:paraId="70D16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4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CBAFEE7">
            <w:pPr>
              <w:pStyle w:val="83"/>
              <w:spacing w:line="360" w:lineRule="exact"/>
              <w:jc w:val="center"/>
              <w:rPr>
                <w:rFonts w:hint="eastAsia" w:hAnsi="宋体" w:cs="宋体"/>
                <w:highlight w:val="none"/>
              </w:rPr>
            </w:pPr>
            <w:r>
              <w:rPr>
                <w:rFonts w:hint="eastAsia" w:hAnsi="宋体" w:cs="宋体"/>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CD1954B">
            <w:pPr>
              <w:snapToGrid w:val="0"/>
              <w:spacing w:line="360" w:lineRule="exact"/>
              <w:jc w:val="center"/>
              <w:rPr>
                <w:rFonts w:hint="eastAsia" w:hAnsi="宋体" w:cs="宋体"/>
                <w:highlight w:val="none"/>
              </w:rPr>
            </w:pPr>
            <w:r>
              <w:rPr>
                <w:rStyle w:val="72"/>
                <w:rFonts w:hint="eastAsia" w:ascii="宋体" w:hAnsi="宋体" w:cs="宋体"/>
                <w:kern w:val="0"/>
                <w:sz w:val="24"/>
                <w:szCs w:val="24"/>
                <w:highlight w:val="none"/>
              </w:rPr>
              <w:t>中标后须提交的投标文件</w:t>
            </w:r>
          </w:p>
        </w:tc>
        <w:tc>
          <w:tcPr>
            <w:tcW w:w="7301" w:type="dxa"/>
            <w:tcBorders>
              <w:top w:val="single" w:color="auto" w:sz="4" w:space="0"/>
              <w:left w:val="single" w:color="auto" w:sz="4" w:space="0"/>
              <w:bottom w:val="single" w:color="auto" w:sz="4" w:space="0"/>
              <w:right w:val="single" w:color="auto" w:sz="4" w:space="0"/>
            </w:tcBorders>
            <w:vAlign w:val="center"/>
          </w:tcPr>
          <w:p w14:paraId="0F5952FD">
            <w:pPr>
              <w:snapToGrid w:val="0"/>
              <w:spacing w:line="360" w:lineRule="exact"/>
              <w:ind w:firstLine="240" w:firstLineChars="100"/>
              <w:jc w:val="left"/>
              <w:rPr>
                <w:rFonts w:hint="eastAsia" w:hAnsi="宋体" w:cs="宋体"/>
                <w:highlight w:val="none"/>
              </w:rPr>
            </w:pPr>
            <w:r>
              <w:rPr>
                <w:rStyle w:val="72"/>
                <w:rFonts w:hint="eastAsia" w:ascii="宋体" w:hAnsi="宋体" w:cs="宋体"/>
                <w:kern w:val="0"/>
                <w:sz w:val="24"/>
                <w:szCs w:val="24"/>
                <w:highlight w:val="none"/>
              </w:rPr>
              <w:t>中标人须自中标通知书发出之日起五个工作日内，提供与电子投标电子文档一致的正副本各1份的纸质版投标文件给招标人存档。</w:t>
            </w:r>
          </w:p>
        </w:tc>
      </w:tr>
      <w:tr w14:paraId="78D92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2C7812A3">
            <w:pPr>
              <w:pStyle w:val="83"/>
              <w:spacing w:line="360" w:lineRule="exact"/>
              <w:jc w:val="center"/>
              <w:rPr>
                <w:rFonts w:hint="eastAsia" w:hAnsi="宋体" w:cs="宋体"/>
                <w:highlight w:val="none"/>
              </w:rPr>
            </w:pPr>
            <w:r>
              <w:rPr>
                <w:rFonts w:hint="eastAsia" w:hAnsi="宋体" w:cs="宋体"/>
                <w:highlight w:val="none"/>
              </w:rPr>
              <w:t>28</w:t>
            </w:r>
          </w:p>
        </w:tc>
        <w:tc>
          <w:tcPr>
            <w:tcW w:w="1701" w:type="dxa"/>
            <w:tcBorders>
              <w:top w:val="single" w:color="auto" w:sz="4" w:space="0"/>
              <w:left w:val="single" w:color="auto" w:sz="4" w:space="0"/>
              <w:bottom w:val="single" w:color="auto" w:sz="4" w:space="0"/>
              <w:right w:val="single" w:color="auto" w:sz="4" w:space="0"/>
            </w:tcBorders>
            <w:vAlign w:val="center"/>
          </w:tcPr>
          <w:p w14:paraId="156FD0C2">
            <w:pPr>
              <w:pStyle w:val="83"/>
              <w:spacing w:line="360" w:lineRule="exact"/>
              <w:jc w:val="center"/>
              <w:rPr>
                <w:rFonts w:hint="eastAsia" w:hAnsi="宋体" w:cs="宋体"/>
                <w:szCs w:val="24"/>
                <w:highlight w:val="none"/>
              </w:rPr>
            </w:pPr>
            <w:r>
              <w:rPr>
                <w:rFonts w:hint="eastAsia" w:hAnsi="宋体" w:cs="宋体"/>
                <w:szCs w:val="24"/>
                <w:highlight w:val="none"/>
              </w:rPr>
              <w:t>招标人</w:t>
            </w:r>
          </w:p>
          <w:p w14:paraId="7DA85846">
            <w:pPr>
              <w:pStyle w:val="83"/>
              <w:spacing w:line="360" w:lineRule="exact"/>
              <w:jc w:val="center"/>
              <w:rPr>
                <w:rFonts w:hint="eastAsia" w:hAnsi="宋体" w:cs="宋体"/>
                <w:szCs w:val="22"/>
                <w:highlight w:val="none"/>
              </w:rPr>
            </w:pPr>
            <w:r>
              <w:rPr>
                <w:rFonts w:hint="eastAsia" w:hAnsi="宋体" w:cs="宋体"/>
                <w:szCs w:val="24"/>
                <w:highlight w:val="none"/>
              </w:rPr>
              <w:t>联系方法</w:t>
            </w:r>
          </w:p>
        </w:tc>
        <w:tc>
          <w:tcPr>
            <w:tcW w:w="7301" w:type="dxa"/>
            <w:tcBorders>
              <w:top w:val="single" w:color="auto" w:sz="4" w:space="0"/>
              <w:left w:val="single" w:color="auto" w:sz="4" w:space="0"/>
              <w:bottom w:val="single" w:color="auto" w:sz="4" w:space="0"/>
              <w:right w:val="single" w:color="auto" w:sz="4" w:space="0"/>
            </w:tcBorders>
            <w:vAlign w:val="center"/>
          </w:tcPr>
          <w:p w14:paraId="3E4F5F4E">
            <w:pPr>
              <w:spacing w:line="360" w:lineRule="exact"/>
              <w:ind w:firstLine="240" w:firstLineChars="100"/>
              <w:jc w:val="left"/>
              <w:rPr>
                <w:rFonts w:hint="eastAsia" w:ascii="宋体" w:hAnsi="宋体" w:cs="宋体"/>
                <w:sz w:val="24"/>
                <w:szCs w:val="24"/>
                <w:highlight w:val="none"/>
              </w:rPr>
            </w:pPr>
            <w:r>
              <w:rPr>
                <w:rFonts w:ascii="宋体" w:hAnsi="宋体" w:cs="宋体"/>
                <w:sz w:val="24"/>
                <w:szCs w:val="24"/>
                <w:highlight w:val="none"/>
              </w:rPr>
              <w:t>单位名称：</w:t>
            </w:r>
            <w:r>
              <w:rPr>
                <w:rFonts w:hint="eastAsia" w:ascii="宋体" w:hAnsi="宋体" w:cs="宋体"/>
                <w:sz w:val="24"/>
                <w:szCs w:val="24"/>
                <w:highlight w:val="none"/>
              </w:rPr>
              <w:t>东莞（韶关）浈江产业转移工业园管理委员会</w:t>
            </w:r>
          </w:p>
          <w:p w14:paraId="58A651A5">
            <w:pPr>
              <w:spacing w:line="360" w:lineRule="exact"/>
              <w:ind w:firstLine="240" w:firstLineChars="1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办公地址：：韶关市浈江区产业转移工业园创业路23号管委会大楼</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楼</w:t>
            </w:r>
            <w:r>
              <w:rPr>
                <w:rFonts w:hint="eastAsia" w:ascii="宋体" w:hAnsi="宋体" w:eastAsia="宋体" w:cs="宋体"/>
                <w:sz w:val="24"/>
                <w:szCs w:val="24"/>
                <w:highlight w:val="none"/>
                <w:lang w:val="en-US" w:eastAsia="zh-CN"/>
              </w:rPr>
              <w:t>208室</w:t>
            </w:r>
          </w:p>
          <w:p w14:paraId="7BFA1F85">
            <w:pPr>
              <w:spacing w:line="360" w:lineRule="exact"/>
              <w:ind w:firstLine="240" w:firstLineChars="100"/>
              <w:jc w:val="left"/>
              <w:rPr>
                <w:rFonts w:hint="eastAsia" w:ascii="宋体" w:hAnsi="宋体" w:cs="宋体"/>
                <w:sz w:val="24"/>
                <w:szCs w:val="24"/>
                <w:highlight w:val="none"/>
              </w:rPr>
            </w:pPr>
            <w:r>
              <w:rPr>
                <w:rFonts w:ascii="宋体" w:hAnsi="宋体" w:cs="宋体"/>
                <w:sz w:val="24"/>
                <w:szCs w:val="24"/>
                <w:highlight w:val="none"/>
              </w:rPr>
              <w:t>联</w:t>
            </w:r>
            <w:r>
              <w:rPr>
                <w:rFonts w:hint="eastAsia" w:ascii="宋体" w:hAnsi="宋体" w:cs="宋体"/>
                <w:sz w:val="24"/>
                <w:szCs w:val="24"/>
                <w:highlight w:val="none"/>
              </w:rPr>
              <w:t xml:space="preserve"> </w:t>
            </w:r>
            <w:r>
              <w:rPr>
                <w:rFonts w:ascii="宋体" w:hAnsi="宋体" w:cs="宋体"/>
                <w:sz w:val="24"/>
                <w:szCs w:val="24"/>
                <w:highlight w:val="none"/>
              </w:rPr>
              <w:t>系</w:t>
            </w:r>
            <w:r>
              <w:rPr>
                <w:rFonts w:hint="eastAsia" w:ascii="宋体" w:hAnsi="宋体" w:cs="宋体"/>
                <w:sz w:val="24"/>
                <w:szCs w:val="24"/>
                <w:highlight w:val="none"/>
              </w:rPr>
              <w:t xml:space="preserve"> </w:t>
            </w:r>
            <w:r>
              <w:rPr>
                <w:rFonts w:ascii="宋体" w:hAnsi="宋体" w:cs="宋体"/>
                <w:sz w:val="24"/>
                <w:szCs w:val="24"/>
                <w:highlight w:val="none"/>
              </w:rPr>
              <w:t xml:space="preserve">人： </w:t>
            </w:r>
            <w:r>
              <w:rPr>
                <w:rFonts w:hint="eastAsia" w:ascii="宋体" w:hAnsi="宋体" w:cs="宋体"/>
                <w:sz w:val="24"/>
                <w:szCs w:val="24"/>
                <w:highlight w:val="none"/>
              </w:rPr>
              <w:t>张工</w:t>
            </w:r>
          </w:p>
          <w:p w14:paraId="4598253B">
            <w:pPr>
              <w:spacing w:line="360" w:lineRule="exact"/>
              <w:ind w:firstLine="240" w:firstLineChars="100"/>
              <w:jc w:val="left"/>
              <w:rPr>
                <w:rFonts w:hint="eastAsia" w:ascii="宋体" w:hAnsi="宋体" w:cs="宋体"/>
                <w:szCs w:val="22"/>
                <w:highlight w:val="none"/>
              </w:rPr>
            </w:pPr>
            <w:r>
              <w:rPr>
                <w:rFonts w:ascii="宋体" w:hAnsi="宋体" w:cs="宋体"/>
                <w:sz w:val="24"/>
                <w:szCs w:val="24"/>
                <w:highlight w:val="none"/>
              </w:rPr>
              <w:t>联系电话：</w:t>
            </w:r>
            <w:r>
              <w:rPr>
                <w:rFonts w:hint="eastAsia" w:ascii="宋体" w:hAnsi="宋体" w:cs="宋体"/>
                <w:sz w:val="24"/>
                <w:szCs w:val="24"/>
                <w:highlight w:val="none"/>
              </w:rPr>
              <w:t>0751-8235213</w:t>
            </w:r>
          </w:p>
        </w:tc>
      </w:tr>
      <w:tr w14:paraId="67D26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80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D04A91A">
            <w:pPr>
              <w:pStyle w:val="83"/>
              <w:spacing w:line="360" w:lineRule="exact"/>
              <w:jc w:val="center"/>
              <w:rPr>
                <w:rFonts w:hint="eastAsia" w:hAnsi="宋体" w:cs="宋体"/>
                <w:highlight w:val="none"/>
              </w:rPr>
            </w:pPr>
            <w:r>
              <w:rPr>
                <w:rFonts w:hint="eastAsia" w:hAnsi="宋体" w:cs="宋体"/>
                <w:highlight w:val="none"/>
              </w:rPr>
              <w:t>29</w:t>
            </w:r>
          </w:p>
        </w:tc>
        <w:tc>
          <w:tcPr>
            <w:tcW w:w="1701" w:type="dxa"/>
            <w:tcBorders>
              <w:top w:val="single" w:color="auto" w:sz="4" w:space="0"/>
              <w:left w:val="single" w:color="auto" w:sz="4" w:space="0"/>
              <w:bottom w:val="single" w:color="auto" w:sz="4" w:space="0"/>
              <w:right w:val="single" w:color="auto" w:sz="4" w:space="0"/>
            </w:tcBorders>
            <w:vAlign w:val="center"/>
          </w:tcPr>
          <w:p w14:paraId="76D823FB">
            <w:pPr>
              <w:spacing w:line="360" w:lineRule="exact"/>
              <w:jc w:val="center"/>
              <w:rPr>
                <w:rFonts w:hint="eastAsia" w:ascii="宋体" w:hAnsi="宋体" w:cs="宋体"/>
                <w:sz w:val="24"/>
                <w:szCs w:val="24"/>
                <w:highlight w:val="none"/>
              </w:rPr>
            </w:pPr>
            <w:r>
              <w:rPr>
                <w:rFonts w:hint="eastAsia" w:ascii="宋体" w:hAnsi="宋体" w:cs="宋体"/>
                <w:sz w:val="24"/>
                <w:szCs w:val="24"/>
                <w:highlight w:val="none"/>
              </w:rPr>
              <w:t>招标代理机构</w:t>
            </w:r>
          </w:p>
          <w:p w14:paraId="5CE956B5">
            <w:pPr>
              <w:spacing w:line="360" w:lineRule="exact"/>
              <w:jc w:val="center"/>
              <w:rPr>
                <w:rFonts w:hint="eastAsia" w:ascii="宋体" w:hAnsi="宋体" w:cs="宋体"/>
                <w:szCs w:val="24"/>
                <w:highlight w:val="none"/>
              </w:rPr>
            </w:pPr>
            <w:r>
              <w:rPr>
                <w:rFonts w:hint="eastAsia" w:ascii="宋体" w:hAnsi="宋体" w:cs="宋体"/>
                <w:sz w:val="24"/>
                <w:szCs w:val="24"/>
                <w:highlight w:val="none"/>
              </w:rPr>
              <w:t>联系方法</w:t>
            </w:r>
          </w:p>
        </w:tc>
        <w:tc>
          <w:tcPr>
            <w:tcW w:w="7301" w:type="dxa"/>
            <w:tcBorders>
              <w:top w:val="single" w:color="auto" w:sz="4" w:space="0"/>
              <w:left w:val="single" w:color="auto" w:sz="4" w:space="0"/>
              <w:bottom w:val="single" w:color="auto" w:sz="4" w:space="0"/>
              <w:right w:val="single" w:color="auto" w:sz="4" w:space="0"/>
            </w:tcBorders>
            <w:vAlign w:val="center"/>
          </w:tcPr>
          <w:p w14:paraId="7EB047C6">
            <w:pPr>
              <w:spacing w:line="36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单位名称：广东方川工程咨询有限公司</w:t>
            </w:r>
          </w:p>
          <w:p w14:paraId="4BBE77F5">
            <w:pPr>
              <w:spacing w:line="36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 xml:space="preserve">办公地址： 韶关市武江区新华南路40号湘商大厦20楼                         </w:t>
            </w:r>
          </w:p>
          <w:p w14:paraId="650CC3C0">
            <w:pPr>
              <w:spacing w:line="360" w:lineRule="exact"/>
              <w:ind w:firstLine="240" w:firstLineChars="1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詹工</w:t>
            </w:r>
          </w:p>
          <w:p w14:paraId="35BE7D1C">
            <w:pPr>
              <w:spacing w:line="36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z w:val="24"/>
                <w:szCs w:val="24"/>
                <w:highlight w:val="none"/>
              </w:rPr>
              <w:t>联系电话：0751-8833930</w:t>
            </w:r>
          </w:p>
        </w:tc>
      </w:tr>
      <w:tr w14:paraId="5AFA4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55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D8420EC">
            <w:pPr>
              <w:pStyle w:val="83"/>
              <w:spacing w:line="360" w:lineRule="exact"/>
              <w:jc w:val="center"/>
              <w:rPr>
                <w:rFonts w:hint="eastAsia" w:hAnsi="宋体" w:cs="宋体"/>
                <w:highlight w:val="none"/>
              </w:rPr>
            </w:pPr>
            <w:r>
              <w:rPr>
                <w:rFonts w:hint="eastAsia" w:hAnsi="宋体" w:cs="宋体"/>
                <w:highlight w:val="none"/>
              </w:rPr>
              <w:t>30</w:t>
            </w:r>
          </w:p>
        </w:tc>
        <w:tc>
          <w:tcPr>
            <w:tcW w:w="1701" w:type="dxa"/>
            <w:tcBorders>
              <w:top w:val="single" w:color="auto" w:sz="4" w:space="0"/>
              <w:left w:val="single" w:color="auto" w:sz="4" w:space="0"/>
              <w:bottom w:val="single" w:color="auto" w:sz="4" w:space="0"/>
              <w:right w:val="single" w:color="auto" w:sz="4" w:space="0"/>
            </w:tcBorders>
            <w:vAlign w:val="center"/>
          </w:tcPr>
          <w:p w14:paraId="20EFC631">
            <w:pPr>
              <w:widowControl/>
              <w:spacing w:line="360" w:lineRule="exact"/>
              <w:jc w:val="center"/>
              <w:rPr>
                <w:rFonts w:hint="eastAsia" w:ascii="宋体" w:hAnsi="宋体" w:cs="宋体"/>
                <w:bCs/>
                <w:kern w:val="0"/>
                <w:sz w:val="24"/>
                <w:szCs w:val="24"/>
                <w:highlight w:val="none"/>
              </w:rPr>
            </w:pPr>
            <w:r>
              <w:rPr>
                <w:rFonts w:hint="eastAsia" w:ascii="宋体" w:hAnsi="宋体" w:cs="宋体"/>
                <w:bCs/>
                <w:kern w:val="0"/>
                <w:sz w:val="24"/>
                <w:szCs w:val="24"/>
                <w:highlight w:val="none"/>
              </w:rPr>
              <w:t>交易场所</w:t>
            </w:r>
          </w:p>
          <w:p w14:paraId="29931214">
            <w:pPr>
              <w:widowControl/>
              <w:spacing w:line="360" w:lineRule="exact"/>
              <w:jc w:val="center"/>
              <w:rPr>
                <w:rFonts w:hint="eastAsia" w:ascii="宋体" w:hAnsi="宋体" w:cs="宋体"/>
                <w:highlight w:val="none"/>
              </w:rPr>
            </w:pPr>
            <w:r>
              <w:rPr>
                <w:rFonts w:hint="eastAsia" w:ascii="宋体" w:hAnsi="宋体" w:cs="宋体"/>
                <w:bCs/>
                <w:kern w:val="0"/>
                <w:sz w:val="24"/>
                <w:szCs w:val="24"/>
                <w:highlight w:val="none"/>
              </w:rPr>
              <w:t>联系方法</w:t>
            </w:r>
          </w:p>
        </w:tc>
        <w:tc>
          <w:tcPr>
            <w:tcW w:w="7301" w:type="dxa"/>
            <w:tcBorders>
              <w:top w:val="single" w:color="auto" w:sz="4" w:space="0"/>
              <w:left w:val="single" w:color="auto" w:sz="4" w:space="0"/>
              <w:bottom w:val="single" w:color="auto" w:sz="4" w:space="0"/>
              <w:right w:val="single" w:color="auto" w:sz="4" w:space="0"/>
            </w:tcBorders>
            <w:vAlign w:val="center"/>
          </w:tcPr>
          <w:p w14:paraId="0A295FA9">
            <w:pPr>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单位名称：韶关市公共资源交易中心</w:t>
            </w:r>
          </w:p>
          <w:p w14:paraId="70479A6D">
            <w:pPr>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办公地址：韶关市公共资源交易中心（广东省韶关市武江区西联镇）</w:t>
            </w:r>
          </w:p>
          <w:p w14:paraId="05FC451B">
            <w:pPr>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联系人（部门）：工程交易部</w:t>
            </w:r>
          </w:p>
          <w:p w14:paraId="39F3D9E0">
            <w:pPr>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联系电话：0751—8633071、0751—8633211</w:t>
            </w:r>
          </w:p>
        </w:tc>
      </w:tr>
      <w:tr w14:paraId="169F9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538"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DB4ED32">
            <w:pPr>
              <w:pStyle w:val="83"/>
              <w:spacing w:line="360" w:lineRule="exact"/>
              <w:jc w:val="center"/>
              <w:rPr>
                <w:rFonts w:hint="eastAsia" w:hAnsi="宋体" w:cs="宋体"/>
                <w:highlight w:val="none"/>
              </w:rPr>
            </w:pPr>
            <w:r>
              <w:rPr>
                <w:rFonts w:hint="eastAsia" w:hAnsi="宋体" w:cs="宋体"/>
                <w:highlight w:val="none"/>
              </w:rPr>
              <w:t>31</w:t>
            </w:r>
          </w:p>
        </w:tc>
        <w:tc>
          <w:tcPr>
            <w:tcW w:w="1701" w:type="dxa"/>
            <w:tcBorders>
              <w:top w:val="single" w:color="auto" w:sz="4" w:space="0"/>
              <w:left w:val="single" w:color="auto" w:sz="4" w:space="0"/>
              <w:bottom w:val="single" w:color="auto" w:sz="4" w:space="0"/>
              <w:right w:val="single" w:color="auto" w:sz="4" w:space="0"/>
            </w:tcBorders>
            <w:vAlign w:val="center"/>
          </w:tcPr>
          <w:p w14:paraId="7FD1AA4A">
            <w:pPr>
              <w:spacing w:before="119" w:line="213" w:lineRule="auto"/>
              <w:jc w:val="center"/>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行政监督部</w:t>
            </w:r>
          </w:p>
          <w:p w14:paraId="4CB61EB2">
            <w:pPr>
              <w:spacing w:before="119" w:line="213" w:lineRule="auto"/>
              <w:jc w:val="center"/>
              <w:rPr>
                <w:rFonts w:hint="eastAsia" w:ascii="宋体" w:hAnsi="宋体" w:cs="宋体"/>
                <w:highlight w:val="none"/>
              </w:rPr>
            </w:pPr>
            <w:r>
              <w:rPr>
                <w:rFonts w:hint="eastAsia" w:ascii="宋体" w:hAnsi="宋体" w:eastAsia="宋体" w:cs="宋体"/>
                <w:color w:val="auto"/>
                <w:spacing w:val="1"/>
                <w:sz w:val="24"/>
                <w:szCs w:val="24"/>
                <w:highlight w:val="none"/>
              </w:rPr>
              <w:t>门联系方式</w:t>
            </w:r>
          </w:p>
        </w:tc>
        <w:tc>
          <w:tcPr>
            <w:tcW w:w="7301" w:type="dxa"/>
            <w:tcBorders>
              <w:top w:val="single" w:color="auto" w:sz="4" w:space="0"/>
              <w:left w:val="single" w:color="auto" w:sz="4" w:space="0"/>
              <w:bottom w:val="single" w:color="auto" w:sz="4" w:space="0"/>
              <w:right w:val="single" w:color="auto" w:sz="4" w:space="0"/>
            </w:tcBorders>
            <w:vAlign w:val="center"/>
          </w:tcPr>
          <w:p w14:paraId="59922615">
            <w:pPr>
              <w:spacing w:before="119" w:line="213" w:lineRule="auto"/>
              <w:ind w:firstLine="242"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单位名称：韶关市住房和城乡建设管理局</w:t>
            </w:r>
          </w:p>
          <w:p w14:paraId="22160586">
            <w:pPr>
              <w:spacing w:before="119" w:line="213" w:lineRule="auto"/>
              <w:ind w:firstLine="242"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办公地址：广东省韶关市武江区芙蓉东路 5 号</w:t>
            </w:r>
          </w:p>
          <w:p w14:paraId="57A4508E">
            <w:pPr>
              <w:spacing w:before="119" w:line="213" w:lineRule="auto"/>
              <w:ind w:firstLine="242" w:firstLineChars="100"/>
              <w:jc w:val="both"/>
              <w:rPr>
                <w:rFonts w:hint="default" w:ascii="宋体" w:hAnsi="宋体" w:eastAsia="宋体" w:cs="宋体"/>
                <w:color w:val="auto"/>
                <w:spacing w:val="1"/>
                <w:sz w:val="24"/>
                <w:szCs w:val="24"/>
                <w:highlight w:val="none"/>
                <w:lang w:val="en-US" w:eastAsia="zh-CN"/>
              </w:rPr>
            </w:pPr>
            <w:r>
              <w:rPr>
                <w:rFonts w:hint="default" w:ascii="宋体" w:hAnsi="宋体" w:eastAsia="宋体" w:cs="宋体"/>
                <w:color w:val="auto"/>
                <w:spacing w:val="1"/>
                <w:sz w:val="24"/>
                <w:szCs w:val="24"/>
                <w:highlight w:val="none"/>
                <w:lang w:val="en-US" w:eastAsia="zh-CN"/>
              </w:rPr>
              <w:t>联系人（部门）：建筑业市场管理科</w:t>
            </w:r>
          </w:p>
          <w:p w14:paraId="72836904">
            <w:pPr>
              <w:spacing w:before="119" w:line="213" w:lineRule="auto"/>
              <w:ind w:firstLine="242" w:firstLineChars="100"/>
              <w:jc w:val="both"/>
              <w:rPr>
                <w:rFonts w:hint="eastAsia" w:ascii="宋体" w:hAnsi="宋体" w:cs="宋体"/>
                <w:snapToGrid w:val="0"/>
                <w:color w:val="auto"/>
                <w:kern w:val="0"/>
                <w:sz w:val="24"/>
                <w:szCs w:val="24"/>
                <w:highlight w:val="none"/>
              </w:rPr>
            </w:pPr>
            <w:r>
              <w:rPr>
                <w:rFonts w:hint="default" w:ascii="宋体" w:hAnsi="宋体" w:eastAsia="宋体" w:cs="宋体"/>
                <w:color w:val="auto"/>
                <w:spacing w:val="1"/>
                <w:sz w:val="24"/>
                <w:szCs w:val="24"/>
                <w:highlight w:val="none"/>
                <w:lang w:val="en-US" w:eastAsia="zh-CN"/>
              </w:rPr>
              <w:t>联系电话：0751-8892601</w:t>
            </w:r>
          </w:p>
        </w:tc>
      </w:tr>
      <w:bookmarkEnd w:id="13"/>
    </w:tbl>
    <w:p w14:paraId="045D8491">
      <w:pPr>
        <w:pStyle w:val="82"/>
        <w:keepNext/>
        <w:keepLines/>
        <w:autoSpaceDE/>
        <w:autoSpaceDN/>
        <w:adjustRightInd/>
        <w:spacing w:before="260" w:after="260" w:line="360" w:lineRule="exact"/>
        <w:jc w:val="both"/>
        <w:rPr>
          <w:rFonts w:hint="eastAsia" w:ascii="宋体" w:hAnsi="宋体" w:cs="宋体"/>
          <w:b/>
          <w:bCs/>
          <w:highlight w:val="none"/>
        </w:rPr>
      </w:pPr>
      <w:bookmarkStart w:id="22" w:name="_Toc122671103"/>
      <w:bookmarkStart w:id="23" w:name="_Toc122859103"/>
      <w:bookmarkStart w:id="24" w:name="_Toc122769943"/>
      <w:r>
        <w:rPr>
          <w:rFonts w:hint="eastAsia" w:ascii="宋体" w:hAnsi="宋体" w:cs="宋体"/>
          <w:b/>
          <w:kern w:val="2"/>
          <w:highlight w:val="none"/>
        </w:rPr>
        <w:br w:type="page"/>
      </w:r>
      <w:bookmarkEnd w:id="22"/>
      <w:bookmarkEnd w:id="23"/>
      <w:bookmarkEnd w:id="24"/>
      <w:bookmarkStart w:id="25" w:name="_Toc6677"/>
      <w:bookmarkStart w:id="26" w:name="_Toc15635"/>
      <w:r>
        <w:rPr>
          <w:rFonts w:hint="eastAsia" w:ascii="宋体" w:hAnsi="宋体" w:cs="宋体"/>
          <w:b/>
          <w:kern w:val="2"/>
          <w:highlight w:val="none"/>
        </w:rPr>
        <w:t xml:space="preserve">第二节 </w:t>
      </w:r>
      <w:r>
        <w:rPr>
          <w:rFonts w:hint="eastAsia" w:ascii="宋体" w:hAnsi="宋体" w:cs="宋体"/>
          <w:b/>
          <w:bCs/>
          <w:highlight w:val="none"/>
        </w:rPr>
        <w:t>重要事项时间地点一览表</w:t>
      </w:r>
      <w:bookmarkEnd w:id="25"/>
      <w:bookmarkEnd w:id="26"/>
    </w:p>
    <w:p w14:paraId="12B37184">
      <w:pPr>
        <w:rPr>
          <w:rFonts w:hint="eastAsia" w:ascii="宋体" w:hAnsi="宋体" w:cs="宋体"/>
          <w:sz w:val="24"/>
          <w:highlight w:val="none"/>
        </w:rPr>
      </w:pPr>
    </w:p>
    <w:tbl>
      <w:tblPr>
        <w:tblStyle w:val="33"/>
        <w:tblW w:w="10278"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57" w:type="dxa"/>
          <w:bottom w:w="0" w:type="dxa"/>
          <w:right w:w="57" w:type="dxa"/>
        </w:tblCellMar>
      </w:tblPr>
      <w:tblGrid>
        <w:gridCol w:w="505"/>
        <w:gridCol w:w="1797"/>
        <w:gridCol w:w="7976"/>
      </w:tblGrid>
      <w:tr w14:paraId="00E80A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73"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09168955">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1</w:t>
            </w:r>
          </w:p>
        </w:tc>
        <w:tc>
          <w:tcPr>
            <w:tcW w:w="1797" w:type="dxa"/>
            <w:tcBorders>
              <w:top w:val="single" w:color="080000" w:sz="4" w:space="0"/>
              <w:left w:val="single" w:color="080000" w:sz="4" w:space="0"/>
              <w:bottom w:val="single" w:color="080000" w:sz="4" w:space="0"/>
              <w:right w:val="single" w:color="080000" w:sz="4" w:space="0"/>
            </w:tcBorders>
            <w:vAlign w:val="center"/>
          </w:tcPr>
          <w:p w14:paraId="409F3415">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招标公告</w:t>
            </w:r>
          </w:p>
          <w:p w14:paraId="369DD7EE">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发布时间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6071982E">
            <w:pPr>
              <w:wordWrap w:val="0"/>
              <w:spacing w:line="40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u w:val="single"/>
              </w:rPr>
              <w:t>2024</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11</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19</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17</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00</w:t>
            </w:r>
            <w:r>
              <w:rPr>
                <w:rFonts w:hint="eastAsia" w:ascii="宋体" w:hAnsi="宋体" w:cs="宋体"/>
                <w:sz w:val="24"/>
                <w:szCs w:val="24"/>
                <w:highlight w:val="none"/>
              </w:rPr>
              <w:t>分</w:t>
            </w:r>
          </w:p>
        </w:tc>
      </w:tr>
      <w:tr w14:paraId="0EA3F3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3"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60F82DB7">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2</w:t>
            </w:r>
          </w:p>
        </w:tc>
        <w:tc>
          <w:tcPr>
            <w:tcW w:w="1797" w:type="dxa"/>
            <w:tcBorders>
              <w:top w:val="single" w:color="080000" w:sz="4" w:space="0"/>
              <w:left w:val="single" w:color="080000" w:sz="4" w:space="0"/>
              <w:bottom w:val="single" w:color="080000" w:sz="4" w:space="0"/>
              <w:right w:val="single" w:color="080000" w:sz="4" w:space="0"/>
            </w:tcBorders>
            <w:vAlign w:val="center"/>
          </w:tcPr>
          <w:p w14:paraId="2BFEBCD8">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获取招标文件截止时间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669F76F8">
            <w:pPr>
              <w:wordWrap w:val="0"/>
              <w:spacing w:line="40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u w:val="single"/>
              </w:rPr>
              <w:t>2024</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12</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20</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日</w:t>
            </w:r>
            <w:r>
              <w:rPr>
                <w:rFonts w:hint="eastAsia" w:ascii="宋体" w:hAnsi="宋体" w:cs="宋体"/>
                <w:sz w:val="24"/>
                <w:szCs w:val="24"/>
                <w:highlight w:val="none"/>
                <w:u w:val="single"/>
              </w:rPr>
              <w:t xml:space="preserve"> 9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30 </w:t>
            </w:r>
            <w:r>
              <w:rPr>
                <w:rFonts w:hint="eastAsia" w:ascii="宋体" w:hAnsi="宋体" w:cs="宋体"/>
                <w:sz w:val="24"/>
                <w:szCs w:val="24"/>
                <w:highlight w:val="none"/>
              </w:rPr>
              <w:t>分</w:t>
            </w:r>
          </w:p>
        </w:tc>
      </w:tr>
      <w:tr w14:paraId="698768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12"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42BD215D">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3</w:t>
            </w:r>
          </w:p>
        </w:tc>
        <w:tc>
          <w:tcPr>
            <w:tcW w:w="1797" w:type="dxa"/>
            <w:tcBorders>
              <w:top w:val="single" w:color="080000" w:sz="4" w:space="0"/>
              <w:left w:val="single" w:color="080000" w:sz="4" w:space="0"/>
              <w:bottom w:val="single" w:color="080000" w:sz="4" w:space="0"/>
              <w:right w:val="single" w:color="080000" w:sz="4" w:space="0"/>
            </w:tcBorders>
            <w:vAlign w:val="center"/>
          </w:tcPr>
          <w:p w14:paraId="6CB5C50C">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网上提问</w:t>
            </w:r>
          </w:p>
          <w:p w14:paraId="14555C84">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截止时间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29CAF0DF">
            <w:pPr>
              <w:wordWrap w:val="0"/>
              <w:spacing w:line="40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u w:val="single"/>
              </w:rPr>
              <w:t>2024</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12</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10</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日</w:t>
            </w:r>
            <w:r>
              <w:rPr>
                <w:rFonts w:hint="eastAsia" w:ascii="宋体" w:hAnsi="宋体" w:cs="宋体"/>
                <w:sz w:val="24"/>
                <w:szCs w:val="24"/>
                <w:highlight w:val="none"/>
                <w:u w:val="single"/>
              </w:rPr>
              <w:t xml:space="preserve"> 16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00 </w:t>
            </w:r>
            <w:r>
              <w:rPr>
                <w:rFonts w:hint="eastAsia" w:ascii="宋体" w:hAnsi="宋体" w:cs="宋体"/>
                <w:sz w:val="24"/>
                <w:szCs w:val="24"/>
                <w:highlight w:val="none"/>
              </w:rPr>
              <w:t>分</w:t>
            </w:r>
          </w:p>
        </w:tc>
      </w:tr>
      <w:tr w14:paraId="150995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2"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0ABA9678">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4</w:t>
            </w:r>
          </w:p>
        </w:tc>
        <w:tc>
          <w:tcPr>
            <w:tcW w:w="1797" w:type="dxa"/>
            <w:tcBorders>
              <w:top w:val="single" w:color="080000" w:sz="4" w:space="0"/>
              <w:left w:val="single" w:color="080000" w:sz="4" w:space="0"/>
              <w:bottom w:val="single" w:color="080000" w:sz="4" w:space="0"/>
              <w:right w:val="single" w:color="080000" w:sz="4" w:space="0"/>
            </w:tcBorders>
            <w:vAlign w:val="center"/>
          </w:tcPr>
          <w:p w14:paraId="332B2A4C">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网上答疑</w:t>
            </w:r>
          </w:p>
          <w:p w14:paraId="1A028200">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6D41EC0D">
            <w:pPr>
              <w:wordWrap w:val="0"/>
              <w:spacing w:line="40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u w:val="single"/>
              </w:rPr>
              <w:t>2024</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12</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10</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日</w:t>
            </w:r>
            <w:r>
              <w:rPr>
                <w:rFonts w:hint="eastAsia" w:ascii="宋体" w:hAnsi="宋体" w:cs="宋体"/>
                <w:sz w:val="24"/>
                <w:szCs w:val="24"/>
                <w:highlight w:val="none"/>
                <w:u w:val="single"/>
              </w:rPr>
              <w:t xml:space="preserve"> 16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30 </w:t>
            </w:r>
            <w:r>
              <w:rPr>
                <w:rFonts w:hint="eastAsia" w:ascii="宋体" w:hAnsi="宋体" w:cs="宋体"/>
                <w:sz w:val="24"/>
                <w:szCs w:val="24"/>
                <w:highlight w:val="none"/>
              </w:rPr>
              <w:t>分</w:t>
            </w:r>
            <w:r>
              <w:rPr>
                <w:rFonts w:hint="eastAsia" w:ascii="宋体" w:hAnsi="宋体" w:cs="宋体"/>
                <w:snapToGrid w:val="0"/>
                <w:kern w:val="0"/>
                <w:sz w:val="24"/>
                <w:szCs w:val="24"/>
                <w:highlight w:val="none"/>
              </w:rPr>
              <w:t>至</w:t>
            </w:r>
            <w:r>
              <w:rPr>
                <w:rFonts w:hint="eastAsia" w:ascii="宋体" w:hAnsi="宋体" w:cs="宋体"/>
                <w:snapToGrid w:val="0"/>
                <w:kern w:val="0"/>
                <w:sz w:val="24"/>
                <w:szCs w:val="24"/>
                <w:highlight w:val="none"/>
                <w:u w:val="single"/>
              </w:rPr>
              <w:t>2024</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12</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13</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日</w:t>
            </w:r>
            <w:r>
              <w:rPr>
                <w:rFonts w:hint="eastAsia" w:ascii="宋体" w:hAnsi="宋体" w:cs="宋体"/>
                <w:sz w:val="24"/>
                <w:szCs w:val="24"/>
                <w:highlight w:val="none"/>
                <w:u w:val="single"/>
              </w:rPr>
              <w:t xml:space="preserve"> 16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00 </w:t>
            </w:r>
            <w:r>
              <w:rPr>
                <w:rFonts w:hint="eastAsia" w:ascii="宋体" w:hAnsi="宋体" w:cs="宋体"/>
                <w:sz w:val="24"/>
                <w:szCs w:val="24"/>
                <w:highlight w:val="none"/>
              </w:rPr>
              <w:t>分</w:t>
            </w:r>
          </w:p>
        </w:tc>
      </w:tr>
      <w:tr w14:paraId="467CA0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373"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2BB737D1">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5</w:t>
            </w:r>
          </w:p>
        </w:tc>
        <w:tc>
          <w:tcPr>
            <w:tcW w:w="1797" w:type="dxa"/>
            <w:tcBorders>
              <w:top w:val="single" w:color="080000" w:sz="4" w:space="0"/>
              <w:left w:val="single" w:color="080000" w:sz="4" w:space="0"/>
              <w:bottom w:val="single" w:color="080000" w:sz="4" w:space="0"/>
              <w:right w:val="single" w:color="080000" w:sz="4" w:space="0"/>
            </w:tcBorders>
            <w:vAlign w:val="center"/>
          </w:tcPr>
          <w:p w14:paraId="2EE51B01">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投标保证缴</w:t>
            </w:r>
          </w:p>
          <w:p w14:paraId="2649B32E">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纳截止时间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746BBFED">
            <w:pPr>
              <w:wordWrap w:val="0"/>
              <w:spacing w:line="400" w:lineRule="exact"/>
              <w:ind w:firstLine="240" w:firstLineChars="1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投标保证金到账截止时间：</w:t>
            </w:r>
            <w:r>
              <w:rPr>
                <w:rFonts w:hint="eastAsia" w:ascii="宋体" w:hAnsi="宋体" w:cs="宋体"/>
                <w:snapToGrid w:val="0"/>
                <w:kern w:val="0"/>
                <w:sz w:val="24"/>
                <w:szCs w:val="24"/>
                <w:highlight w:val="none"/>
                <w:u w:val="single"/>
              </w:rPr>
              <w:t>2024</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12</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19</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日</w:t>
            </w:r>
            <w:r>
              <w:rPr>
                <w:rFonts w:hint="eastAsia" w:ascii="宋体" w:hAnsi="宋体" w:cs="宋体"/>
                <w:sz w:val="24"/>
                <w:szCs w:val="24"/>
                <w:highlight w:val="none"/>
                <w:u w:val="single"/>
              </w:rPr>
              <w:t xml:space="preserve"> 9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30 </w:t>
            </w:r>
            <w:r>
              <w:rPr>
                <w:rFonts w:hint="eastAsia" w:ascii="宋体" w:hAnsi="宋体" w:cs="宋体"/>
                <w:sz w:val="24"/>
                <w:szCs w:val="24"/>
                <w:highlight w:val="none"/>
              </w:rPr>
              <w:t>分</w:t>
            </w:r>
            <w:r>
              <w:rPr>
                <w:rFonts w:hint="eastAsia" w:ascii="宋体" w:hAnsi="宋体" w:cs="宋体"/>
                <w:snapToGrid w:val="0"/>
                <w:kern w:val="0"/>
                <w:sz w:val="24"/>
                <w:szCs w:val="24"/>
                <w:highlight w:val="none"/>
              </w:rPr>
              <w:t>；</w:t>
            </w:r>
          </w:p>
          <w:p w14:paraId="64AEED98">
            <w:pPr>
              <w:wordWrap w:val="0"/>
              <w:spacing w:line="400" w:lineRule="exact"/>
              <w:ind w:firstLine="240" w:firstLineChars="1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投标保证担保上传截止时间：</w:t>
            </w:r>
            <w:r>
              <w:rPr>
                <w:rFonts w:hint="eastAsia" w:ascii="宋体" w:hAnsi="宋体" w:cs="宋体"/>
                <w:snapToGrid w:val="0"/>
                <w:kern w:val="0"/>
                <w:sz w:val="24"/>
                <w:szCs w:val="24"/>
                <w:highlight w:val="none"/>
                <w:u w:val="single"/>
              </w:rPr>
              <w:t>2024</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12</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19</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日</w:t>
            </w:r>
            <w:r>
              <w:rPr>
                <w:rFonts w:hint="eastAsia" w:ascii="宋体" w:hAnsi="宋体" w:cs="宋体"/>
                <w:sz w:val="24"/>
                <w:szCs w:val="24"/>
                <w:highlight w:val="none"/>
                <w:u w:val="single"/>
              </w:rPr>
              <w:t xml:space="preserve"> 9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30 </w:t>
            </w:r>
            <w:r>
              <w:rPr>
                <w:rFonts w:hint="eastAsia" w:ascii="宋体" w:hAnsi="宋体" w:cs="宋体"/>
                <w:sz w:val="24"/>
                <w:szCs w:val="24"/>
                <w:highlight w:val="none"/>
              </w:rPr>
              <w:t>分</w:t>
            </w:r>
            <w:r>
              <w:rPr>
                <w:rFonts w:hint="eastAsia" w:ascii="宋体" w:hAnsi="宋体" w:cs="宋体"/>
                <w:snapToGrid w:val="0"/>
                <w:kern w:val="0"/>
                <w:sz w:val="24"/>
                <w:szCs w:val="24"/>
                <w:highlight w:val="none"/>
              </w:rPr>
              <w:t>；</w:t>
            </w:r>
          </w:p>
          <w:p w14:paraId="25DDBBDC">
            <w:pPr>
              <w:wordWrap w:val="0"/>
              <w:spacing w:line="400" w:lineRule="exact"/>
              <w:ind w:firstLine="240" w:firstLineChars="1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投标保证保险投保截止时间：</w:t>
            </w:r>
            <w:r>
              <w:rPr>
                <w:rFonts w:hint="eastAsia" w:ascii="宋体" w:hAnsi="宋体" w:cs="宋体"/>
                <w:snapToGrid w:val="0"/>
                <w:kern w:val="0"/>
                <w:sz w:val="24"/>
                <w:szCs w:val="24"/>
                <w:highlight w:val="none"/>
                <w:u w:val="single"/>
              </w:rPr>
              <w:t>2024</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12</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19</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日</w:t>
            </w:r>
            <w:r>
              <w:rPr>
                <w:rFonts w:hint="eastAsia" w:ascii="宋体" w:hAnsi="宋体" w:cs="宋体"/>
                <w:sz w:val="24"/>
                <w:szCs w:val="24"/>
                <w:highlight w:val="none"/>
                <w:u w:val="single"/>
              </w:rPr>
              <w:t xml:space="preserve"> 9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30 </w:t>
            </w:r>
            <w:r>
              <w:rPr>
                <w:rFonts w:hint="eastAsia" w:ascii="宋体" w:hAnsi="宋体" w:cs="宋体"/>
                <w:sz w:val="24"/>
                <w:szCs w:val="24"/>
                <w:highlight w:val="none"/>
              </w:rPr>
              <w:t>分</w:t>
            </w:r>
            <w:r>
              <w:rPr>
                <w:rFonts w:hint="eastAsia" w:ascii="宋体" w:hAnsi="宋体" w:cs="宋体"/>
                <w:snapToGrid w:val="0"/>
                <w:kern w:val="0"/>
                <w:sz w:val="24"/>
                <w:szCs w:val="24"/>
                <w:highlight w:val="none"/>
              </w:rPr>
              <w:t>。</w:t>
            </w:r>
          </w:p>
        </w:tc>
      </w:tr>
      <w:tr w14:paraId="2D6367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21"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3613A307">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6</w:t>
            </w:r>
          </w:p>
        </w:tc>
        <w:tc>
          <w:tcPr>
            <w:tcW w:w="1797" w:type="dxa"/>
            <w:tcBorders>
              <w:top w:val="single" w:color="080000" w:sz="4" w:space="0"/>
              <w:left w:val="single" w:color="080000" w:sz="4" w:space="0"/>
              <w:bottom w:val="single" w:color="080000" w:sz="4" w:space="0"/>
              <w:right w:val="single" w:color="080000" w:sz="4" w:space="0"/>
            </w:tcBorders>
            <w:vAlign w:val="center"/>
          </w:tcPr>
          <w:p w14:paraId="2A621AC3">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电子投标</w:t>
            </w:r>
          </w:p>
          <w:p w14:paraId="10A96ECE">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截止时间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4F0C7EA5">
            <w:pPr>
              <w:wordWrap w:val="0"/>
              <w:spacing w:line="40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u w:val="single"/>
              </w:rPr>
              <w:t>2024</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12</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20</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日</w:t>
            </w:r>
            <w:r>
              <w:rPr>
                <w:rFonts w:hint="eastAsia" w:ascii="宋体" w:hAnsi="宋体" w:cs="宋体"/>
                <w:sz w:val="24"/>
                <w:szCs w:val="24"/>
                <w:highlight w:val="none"/>
                <w:u w:val="single"/>
              </w:rPr>
              <w:t xml:space="preserve"> 9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30 </w:t>
            </w:r>
            <w:r>
              <w:rPr>
                <w:rFonts w:hint="eastAsia" w:ascii="宋体" w:hAnsi="宋体" w:cs="宋体"/>
                <w:sz w:val="24"/>
                <w:szCs w:val="24"/>
                <w:highlight w:val="none"/>
              </w:rPr>
              <w:t>分</w:t>
            </w:r>
          </w:p>
        </w:tc>
      </w:tr>
      <w:tr w14:paraId="3AE930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99"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598347CA">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7</w:t>
            </w:r>
          </w:p>
        </w:tc>
        <w:tc>
          <w:tcPr>
            <w:tcW w:w="1797" w:type="dxa"/>
            <w:tcBorders>
              <w:top w:val="single" w:color="080000" w:sz="4" w:space="0"/>
              <w:left w:val="single" w:color="080000" w:sz="4" w:space="0"/>
              <w:bottom w:val="single" w:color="080000" w:sz="4" w:space="0"/>
              <w:right w:val="single" w:color="080000" w:sz="4" w:space="0"/>
            </w:tcBorders>
            <w:vAlign w:val="center"/>
          </w:tcPr>
          <w:p w14:paraId="1C65FB02">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投标评审原件(如有)递交时间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0F5B416A">
            <w:pPr>
              <w:wordWrap w:val="0"/>
              <w:spacing w:line="40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u w:val="single"/>
              </w:rPr>
              <w:t>2024</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12</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20</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日</w:t>
            </w:r>
            <w:r>
              <w:rPr>
                <w:rFonts w:hint="eastAsia" w:ascii="宋体" w:hAnsi="宋体" w:cs="宋体"/>
                <w:sz w:val="24"/>
                <w:szCs w:val="24"/>
                <w:highlight w:val="none"/>
                <w:u w:val="single"/>
              </w:rPr>
              <w:t xml:space="preserve"> 9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00 </w:t>
            </w:r>
            <w:r>
              <w:rPr>
                <w:rFonts w:hint="eastAsia" w:ascii="宋体" w:hAnsi="宋体" w:cs="宋体"/>
                <w:sz w:val="24"/>
                <w:szCs w:val="24"/>
                <w:highlight w:val="none"/>
              </w:rPr>
              <w:t>分</w:t>
            </w:r>
            <w:r>
              <w:rPr>
                <w:rFonts w:hint="eastAsia" w:ascii="宋体" w:hAnsi="宋体" w:cs="宋体"/>
                <w:snapToGrid w:val="0"/>
                <w:kern w:val="0"/>
                <w:sz w:val="24"/>
                <w:szCs w:val="24"/>
                <w:highlight w:val="none"/>
              </w:rPr>
              <w:t>至</w:t>
            </w:r>
            <w:r>
              <w:rPr>
                <w:rFonts w:hint="eastAsia" w:ascii="宋体" w:hAnsi="宋体" w:cs="宋体"/>
                <w:snapToGrid w:val="0"/>
                <w:kern w:val="0"/>
                <w:sz w:val="24"/>
                <w:szCs w:val="24"/>
                <w:highlight w:val="none"/>
                <w:u w:val="single"/>
              </w:rPr>
              <w:t>2024</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12</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20</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日</w:t>
            </w:r>
            <w:r>
              <w:rPr>
                <w:rFonts w:hint="eastAsia" w:ascii="宋体" w:hAnsi="宋体" w:cs="宋体"/>
                <w:sz w:val="24"/>
                <w:szCs w:val="24"/>
                <w:highlight w:val="none"/>
                <w:u w:val="single"/>
              </w:rPr>
              <w:t xml:space="preserve"> 9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30 </w:t>
            </w:r>
            <w:r>
              <w:rPr>
                <w:rFonts w:hint="eastAsia" w:ascii="宋体" w:hAnsi="宋体" w:cs="宋体"/>
                <w:sz w:val="24"/>
                <w:szCs w:val="24"/>
                <w:highlight w:val="none"/>
              </w:rPr>
              <w:t>分</w:t>
            </w:r>
          </w:p>
        </w:tc>
      </w:tr>
      <w:tr w14:paraId="0DDA5A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01"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1EE88423">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8</w:t>
            </w:r>
          </w:p>
        </w:tc>
        <w:tc>
          <w:tcPr>
            <w:tcW w:w="1797" w:type="dxa"/>
            <w:tcBorders>
              <w:top w:val="single" w:color="080000" w:sz="4" w:space="0"/>
              <w:left w:val="single" w:color="080000" w:sz="4" w:space="0"/>
              <w:bottom w:val="single" w:color="080000" w:sz="4" w:space="0"/>
              <w:right w:val="single" w:color="080000" w:sz="4" w:space="0"/>
            </w:tcBorders>
            <w:vAlign w:val="center"/>
          </w:tcPr>
          <w:p w14:paraId="5921E8E3">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投标评审原件(如有)递交地点</w:t>
            </w:r>
          </w:p>
        </w:tc>
        <w:tc>
          <w:tcPr>
            <w:tcW w:w="7976" w:type="dxa"/>
            <w:tcBorders>
              <w:top w:val="single" w:color="080000" w:sz="4" w:space="0"/>
              <w:left w:val="single" w:color="080000" w:sz="4" w:space="0"/>
              <w:bottom w:val="single" w:color="080000" w:sz="4" w:space="0"/>
              <w:right w:val="single" w:color="080000" w:sz="4" w:space="0"/>
            </w:tcBorders>
            <w:vAlign w:val="center"/>
          </w:tcPr>
          <w:p w14:paraId="04F032D2">
            <w:pPr>
              <w:wordWrap w:val="0"/>
              <w:spacing w:line="40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递交场所：韶关市公共资源交易中心，地址：韶关市公共资源交易中心（广东省韶关市武江区西联镇），具体房间号以当日现场通知为准。</w:t>
            </w:r>
          </w:p>
        </w:tc>
      </w:tr>
      <w:tr w14:paraId="5D8A58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55"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0CCB49DC">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9</w:t>
            </w:r>
          </w:p>
        </w:tc>
        <w:tc>
          <w:tcPr>
            <w:tcW w:w="1797" w:type="dxa"/>
            <w:tcBorders>
              <w:top w:val="single" w:color="080000" w:sz="4" w:space="0"/>
              <w:left w:val="single" w:color="080000" w:sz="4" w:space="0"/>
              <w:bottom w:val="single" w:color="080000" w:sz="4" w:space="0"/>
              <w:right w:val="single" w:color="080000" w:sz="4" w:space="0"/>
            </w:tcBorders>
            <w:vAlign w:val="center"/>
          </w:tcPr>
          <w:p w14:paraId="6DDD3CFC">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开标时间</w:t>
            </w:r>
          </w:p>
        </w:tc>
        <w:tc>
          <w:tcPr>
            <w:tcW w:w="7976" w:type="dxa"/>
            <w:tcBorders>
              <w:top w:val="single" w:color="080000" w:sz="4" w:space="0"/>
              <w:left w:val="single" w:color="080000" w:sz="4" w:space="0"/>
              <w:bottom w:val="single" w:color="080000" w:sz="4" w:space="0"/>
              <w:right w:val="single" w:color="080000" w:sz="4" w:space="0"/>
            </w:tcBorders>
            <w:vAlign w:val="center"/>
          </w:tcPr>
          <w:p w14:paraId="5B797500">
            <w:pPr>
              <w:wordWrap w:val="0"/>
              <w:spacing w:line="40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u w:val="single"/>
              </w:rPr>
              <w:t>2024</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12</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u w:val="single"/>
                <w:lang w:val="en-US" w:eastAsia="zh-CN"/>
              </w:rPr>
              <w:t>20</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日</w:t>
            </w:r>
            <w:r>
              <w:rPr>
                <w:rFonts w:hint="eastAsia" w:ascii="宋体" w:hAnsi="宋体" w:cs="宋体"/>
                <w:sz w:val="24"/>
                <w:szCs w:val="24"/>
                <w:highlight w:val="none"/>
                <w:u w:val="single"/>
              </w:rPr>
              <w:t xml:space="preserve"> 9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30 </w:t>
            </w:r>
            <w:r>
              <w:rPr>
                <w:rFonts w:hint="eastAsia" w:ascii="宋体" w:hAnsi="宋体" w:cs="宋体"/>
                <w:sz w:val="24"/>
                <w:szCs w:val="24"/>
                <w:highlight w:val="none"/>
              </w:rPr>
              <w:t>分</w:t>
            </w:r>
          </w:p>
        </w:tc>
      </w:tr>
      <w:tr w14:paraId="5D9D6A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67" w:hRule="atLeast"/>
        </w:trPr>
        <w:tc>
          <w:tcPr>
            <w:tcW w:w="505" w:type="dxa"/>
            <w:tcBorders>
              <w:top w:val="single" w:color="080000" w:sz="4" w:space="0"/>
              <w:left w:val="single" w:color="080000" w:sz="4" w:space="0"/>
              <w:bottom w:val="single" w:color="080000" w:sz="4" w:space="0"/>
              <w:right w:val="single" w:color="080000" w:sz="4" w:space="0"/>
            </w:tcBorders>
            <w:vAlign w:val="center"/>
          </w:tcPr>
          <w:p w14:paraId="1F7B3F67">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10</w:t>
            </w:r>
          </w:p>
        </w:tc>
        <w:tc>
          <w:tcPr>
            <w:tcW w:w="1797" w:type="dxa"/>
            <w:tcBorders>
              <w:top w:val="single" w:color="080000" w:sz="4" w:space="0"/>
              <w:left w:val="single" w:color="080000" w:sz="4" w:space="0"/>
              <w:bottom w:val="single" w:color="080000" w:sz="4" w:space="0"/>
              <w:right w:val="single" w:color="080000" w:sz="4" w:space="0"/>
            </w:tcBorders>
            <w:vAlign w:val="center"/>
          </w:tcPr>
          <w:p w14:paraId="563C05BE">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开标地点</w:t>
            </w:r>
          </w:p>
        </w:tc>
        <w:tc>
          <w:tcPr>
            <w:tcW w:w="7976" w:type="dxa"/>
            <w:tcBorders>
              <w:top w:val="single" w:color="080000" w:sz="4" w:space="0"/>
              <w:left w:val="single" w:color="080000" w:sz="4" w:space="0"/>
              <w:bottom w:val="single" w:color="080000" w:sz="4" w:space="0"/>
              <w:right w:val="single" w:color="080000" w:sz="4" w:space="0"/>
            </w:tcBorders>
            <w:vAlign w:val="center"/>
          </w:tcPr>
          <w:p w14:paraId="57B5341F">
            <w:pPr>
              <w:wordWrap w:val="0"/>
              <w:spacing w:line="40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开标场所：韶关市公共资源交易中心，地址：韶关市公共资源交易中心（广东省韶关市武江区西联镇），具体房间号以当日现场通知为准。</w:t>
            </w:r>
          </w:p>
        </w:tc>
      </w:tr>
      <w:tr w14:paraId="5D1B10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419" w:hRule="atLeast"/>
        </w:trPr>
        <w:tc>
          <w:tcPr>
            <w:tcW w:w="2302" w:type="dxa"/>
            <w:gridSpan w:val="2"/>
            <w:tcBorders>
              <w:top w:val="single" w:color="080000" w:sz="4" w:space="0"/>
              <w:left w:val="single" w:color="080000" w:sz="4" w:space="0"/>
              <w:bottom w:val="single" w:color="080000" w:sz="4" w:space="0"/>
              <w:right w:val="single" w:color="080000" w:sz="4" w:space="0"/>
            </w:tcBorders>
            <w:vAlign w:val="center"/>
          </w:tcPr>
          <w:p w14:paraId="7B1AA0AA">
            <w:pPr>
              <w:wordWrap w:val="0"/>
              <w:spacing w:line="400" w:lineRule="exact"/>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备注</w:t>
            </w:r>
          </w:p>
        </w:tc>
        <w:tc>
          <w:tcPr>
            <w:tcW w:w="7976" w:type="dxa"/>
            <w:tcBorders>
              <w:top w:val="single" w:color="080000" w:sz="4" w:space="0"/>
              <w:left w:val="single" w:color="080000" w:sz="4" w:space="0"/>
              <w:bottom w:val="single" w:color="080000" w:sz="4" w:space="0"/>
              <w:right w:val="single" w:color="080000" w:sz="4" w:space="0"/>
            </w:tcBorders>
            <w:vAlign w:val="center"/>
          </w:tcPr>
          <w:p w14:paraId="479292EB">
            <w:pPr>
              <w:wordWrap w:val="0"/>
              <w:spacing w:line="400" w:lineRule="exact"/>
              <w:ind w:firstLine="240" w:firstLineChars="100"/>
              <w:jc w:val="lef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投标人应按有关计划时间安排办理企业CA认证、企业入库等，自行下载招标文件等资料文件、招标答疑书等。若由于投标人自身原因未能及时取得上述资料的，由此发生的任何责任由投标人自负。</w:t>
            </w:r>
          </w:p>
        </w:tc>
      </w:tr>
    </w:tbl>
    <w:p w14:paraId="724C0B2B">
      <w:pPr>
        <w:pStyle w:val="82"/>
        <w:keepNext/>
        <w:keepLines/>
        <w:autoSpaceDE/>
        <w:autoSpaceDN/>
        <w:adjustRightInd/>
        <w:spacing w:line="288" w:lineRule="auto"/>
        <w:jc w:val="both"/>
        <w:rPr>
          <w:rFonts w:hint="eastAsia" w:ascii="宋体" w:hAnsi="宋体" w:cs="宋体"/>
          <w:b/>
          <w:kern w:val="2"/>
          <w:highlight w:val="none"/>
        </w:rPr>
      </w:pPr>
      <w:r>
        <w:rPr>
          <w:rFonts w:hint="eastAsia" w:ascii="宋体" w:hAnsi="宋体" w:cs="宋体"/>
          <w:highlight w:val="none"/>
        </w:rPr>
        <w:br w:type="page"/>
      </w:r>
      <w:bookmarkStart w:id="27" w:name="_Hlt69669159"/>
      <w:bookmarkEnd w:id="27"/>
      <w:bookmarkStart w:id="28" w:name="_Toc135054579"/>
      <w:bookmarkStart w:id="29" w:name="_Toc23065"/>
      <w:bookmarkStart w:id="30" w:name="_Hlt69698754"/>
      <w:bookmarkStart w:id="31" w:name="_Hlt69698705"/>
      <w:r>
        <w:rPr>
          <w:rFonts w:hint="eastAsia" w:ascii="宋体" w:hAnsi="宋体" w:cs="宋体"/>
          <w:b/>
          <w:kern w:val="2"/>
          <w:highlight w:val="none"/>
        </w:rPr>
        <w:t>第三节 投标人须知正文</w:t>
      </w:r>
      <w:bookmarkEnd w:id="28"/>
      <w:bookmarkEnd w:id="29"/>
    </w:p>
    <w:p w14:paraId="6A55643C">
      <w:pPr>
        <w:pStyle w:val="83"/>
        <w:rPr>
          <w:rFonts w:ascii="Tahoma" w:hAnsi="Tahoma"/>
          <w:szCs w:val="24"/>
          <w:highlight w:val="none"/>
        </w:rPr>
      </w:pPr>
    </w:p>
    <w:bookmarkEnd w:id="30"/>
    <w:bookmarkEnd w:id="31"/>
    <w:p w14:paraId="68F33620">
      <w:pPr>
        <w:widowControl/>
        <w:spacing w:line="360" w:lineRule="auto"/>
        <w:ind w:firstLine="720" w:firstLineChars="300"/>
        <w:jc w:val="left"/>
        <w:rPr>
          <w:rFonts w:hint="eastAsia" w:ascii="宋体" w:hAnsi="宋体"/>
          <w:snapToGrid w:val="0"/>
          <w:kern w:val="0"/>
          <w:sz w:val="24"/>
          <w:szCs w:val="24"/>
          <w:highlight w:val="none"/>
          <w:u w:val="single"/>
        </w:rPr>
      </w:pPr>
      <w:bookmarkStart w:id="32" w:name="_Hlt78795222"/>
      <w:bookmarkEnd w:id="32"/>
      <w:bookmarkStart w:id="33" w:name="_Hlt119991399"/>
      <w:bookmarkEnd w:id="33"/>
      <w:bookmarkStart w:id="34" w:name="_Hlt87948285"/>
      <w:bookmarkEnd w:id="34"/>
      <w:bookmarkStart w:id="35" w:name="_Hlt74474735"/>
      <w:bookmarkEnd w:id="35"/>
      <w:bookmarkStart w:id="36" w:name="_Hlt109358474"/>
      <w:bookmarkEnd w:id="36"/>
      <w:bookmarkStart w:id="37" w:name="_Toc10483"/>
      <w:bookmarkStart w:id="38" w:name="_Toc135054580"/>
      <w:bookmarkStart w:id="39" w:name="_Toc10343"/>
      <w:r>
        <w:rPr>
          <w:rFonts w:hint="eastAsia" w:ascii="宋体" w:hAnsi="宋体"/>
          <w:snapToGrid w:val="0"/>
          <w:kern w:val="0"/>
          <w:sz w:val="24"/>
          <w:szCs w:val="24"/>
          <w:highlight w:val="none"/>
          <w:u w:val="single"/>
        </w:rPr>
        <w:t>浈江产业园（犁市片区）基础设施建设项目（土方工程、道路及边坡工程、管线工程）</w:t>
      </w:r>
      <w:r>
        <w:rPr>
          <w:rFonts w:ascii="宋体" w:hAnsi="宋体"/>
          <w:snapToGrid w:val="0"/>
          <w:kern w:val="0"/>
          <w:sz w:val="24"/>
          <w:szCs w:val="24"/>
          <w:highlight w:val="none"/>
        </w:rPr>
        <w:t>经</w:t>
      </w:r>
      <w:r>
        <w:rPr>
          <w:rFonts w:hint="eastAsia" w:ascii="宋体" w:hAnsi="宋体"/>
          <w:snapToGrid w:val="0"/>
          <w:kern w:val="0"/>
          <w:sz w:val="24"/>
          <w:highlight w:val="none"/>
          <w:u w:val="single"/>
        </w:rPr>
        <w:t>韶关市浈江区发展和改革局</w:t>
      </w:r>
      <w:r>
        <w:rPr>
          <w:rFonts w:ascii="宋体" w:hAnsi="宋体"/>
          <w:snapToGrid w:val="0"/>
          <w:kern w:val="0"/>
          <w:sz w:val="24"/>
          <w:szCs w:val="24"/>
          <w:highlight w:val="none"/>
        </w:rPr>
        <w:t>以</w:t>
      </w:r>
      <w:r>
        <w:rPr>
          <w:rFonts w:hint="eastAsia" w:ascii="宋体" w:hAnsi="宋体"/>
          <w:snapToGrid w:val="0"/>
          <w:kern w:val="0"/>
          <w:sz w:val="24"/>
          <w:szCs w:val="24"/>
          <w:highlight w:val="none"/>
          <w:u w:val="single"/>
        </w:rPr>
        <w:t xml:space="preserve">《韶关市浈江区发展和改革局关于浈江产业园（犁 </w:t>
      </w:r>
    </w:p>
    <w:p w14:paraId="55704BC8">
      <w:pPr>
        <w:widowControl/>
        <w:spacing w:line="360" w:lineRule="auto"/>
        <w:jc w:val="left"/>
        <w:rPr>
          <w:rFonts w:hint="eastAsia" w:ascii="宋体" w:hAnsi="宋体"/>
          <w:sz w:val="24"/>
          <w:highlight w:val="none"/>
        </w:rPr>
      </w:pPr>
      <w:r>
        <w:rPr>
          <w:rFonts w:hint="eastAsia" w:ascii="宋体" w:hAnsi="宋体"/>
          <w:snapToGrid w:val="0"/>
          <w:kern w:val="0"/>
          <w:sz w:val="24"/>
          <w:szCs w:val="24"/>
          <w:highlight w:val="none"/>
          <w:u w:val="single"/>
        </w:rPr>
        <w:t>市片区）基础设施建设项目可行性研究报告的批复</w:t>
      </w:r>
      <w:r>
        <w:rPr>
          <w:rFonts w:ascii="宋体" w:hAnsi="宋体"/>
          <w:kern w:val="0"/>
          <w:sz w:val="24"/>
          <w:szCs w:val="22"/>
          <w:highlight w:val="none"/>
          <w:u w:val="single"/>
        </w:rPr>
        <w:t>》</w:t>
      </w:r>
      <w:r>
        <w:rPr>
          <w:rFonts w:hint="eastAsia" w:ascii="宋体" w:hAnsi="宋体"/>
          <w:snapToGrid w:val="0"/>
          <w:kern w:val="0"/>
          <w:sz w:val="24"/>
          <w:szCs w:val="24"/>
          <w:highlight w:val="none"/>
          <w:u w:val="single"/>
        </w:rPr>
        <w:t>（韶浈发改投审〔</w:t>
      </w:r>
      <w:r>
        <w:rPr>
          <w:rFonts w:ascii="宋体" w:hAnsi="宋体"/>
          <w:snapToGrid w:val="0"/>
          <w:kern w:val="0"/>
          <w:sz w:val="24"/>
          <w:szCs w:val="24"/>
          <w:highlight w:val="none"/>
          <w:u w:val="single"/>
        </w:rPr>
        <w:t>2024〕20号</w:t>
      </w:r>
      <w:r>
        <w:rPr>
          <w:rFonts w:hint="eastAsia" w:ascii="宋体" w:hAnsi="宋体"/>
          <w:snapToGrid w:val="0"/>
          <w:kern w:val="0"/>
          <w:sz w:val="24"/>
          <w:szCs w:val="24"/>
          <w:highlight w:val="none"/>
          <w:u w:val="single"/>
        </w:rPr>
        <w:t>）批</w:t>
      </w:r>
      <w:r>
        <w:rPr>
          <w:rFonts w:ascii="宋体" w:hAnsi="宋体"/>
          <w:snapToGrid w:val="0"/>
          <w:kern w:val="0"/>
          <w:sz w:val="24"/>
          <w:szCs w:val="24"/>
          <w:highlight w:val="none"/>
        </w:rPr>
        <w:t>准建设，项目代码为</w:t>
      </w:r>
      <w:r>
        <w:rPr>
          <w:rFonts w:hint="eastAsia" w:ascii="宋体" w:hAnsi="宋体"/>
          <w:snapToGrid w:val="0"/>
          <w:kern w:val="0"/>
          <w:sz w:val="24"/>
          <w:szCs w:val="24"/>
          <w:highlight w:val="none"/>
          <w:u w:val="single"/>
        </w:rPr>
        <w:t>2310-440204-04-01-369836。</w:t>
      </w:r>
      <w:r>
        <w:rPr>
          <w:rFonts w:ascii="宋体" w:hAnsi="宋体"/>
          <w:snapToGrid w:val="0"/>
          <w:kern w:val="0"/>
          <w:sz w:val="24"/>
          <w:szCs w:val="24"/>
          <w:highlight w:val="none"/>
        </w:rPr>
        <w:t>本项目业主为</w:t>
      </w:r>
      <w:r>
        <w:rPr>
          <w:rFonts w:hint="eastAsia" w:ascii="宋体" w:hAnsi="宋体"/>
          <w:bCs/>
          <w:snapToGrid w:val="0"/>
          <w:kern w:val="0"/>
          <w:sz w:val="24"/>
          <w:highlight w:val="none"/>
          <w:u w:val="single"/>
        </w:rPr>
        <w:t>东莞（韶关）浈江产业转移工业园管理委员会</w:t>
      </w:r>
      <w:r>
        <w:rPr>
          <w:rFonts w:ascii="宋体" w:hAnsi="宋体"/>
          <w:snapToGrid w:val="0"/>
          <w:kern w:val="0"/>
          <w:sz w:val="24"/>
          <w:szCs w:val="24"/>
          <w:highlight w:val="none"/>
        </w:rPr>
        <w:t>，建设资金来自</w:t>
      </w:r>
      <w:r>
        <w:rPr>
          <w:rFonts w:hint="eastAsia" w:ascii="宋体" w:hAnsi="宋体"/>
          <w:snapToGrid w:val="0"/>
          <w:kern w:val="0"/>
          <w:sz w:val="24"/>
          <w:szCs w:val="24"/>
          <w:highlight w:val="none"/>
          <w:u w:val="single"/>
        </w:rPr>
        <w:t>区财政统筹</w:t>
      </w:r>
      <w:r>
        <w:rPr>
          <w:rFonts w:ascii="宋体" w:hAnsi="宋体"/>
          <w:snapToGrid w:val="0"/>
          <w:kern w:val="0"/>
          <w:sz w:val="24"/>
          <w:szCs w:val="24"/>
          <w:highlight w:val="none"/>
        </w:rPr>
        <w:t>，出资比例</w:t>
      </w:r>
      <w:r>
        <w:rPr>
          <w:rFonts w:ascii="宋体" w:hAnsi="宋体"/>
          <w:snapToGrid w:val="0"/>
          <w:kern w:val="0"/>
          <w:sz w:val="24"/>
          <w:szCs w:val="24"/>
          <w:highlight w:val="none"/>
          <w:u w:val="single"/>
        </w:rPr>
        <w:t>100%</w:t>
      </w:r>
      <w:r>
        <w:rPr>
          <w:rFonts w:ascii="宋体" w:hAnsi="宋体"/>
          <w:snapToGrid w:val="0"/>
          <w:kern w:val="0"/>
          <w:sz w:val="24"/>
          <w:szCs w:val="24"/>
          <w:highlight w:val="none"/>
        </w:rPr>
        <w:t>，招标人为</w:t>
      </w:r>
      <w:r>
        <w:rPr>
          <w:rFonts w:hint="eastAsia" w:ascii="宋体" w:hAnsi="宋体"/>
          <w:snapToGrid w:val="0"/>
          <w:kern w:val="0"/>
          <w:sz w:val="24"/>
          <w:highlight w:val="none"/>
          <w:u w:val="single"/>
        </w:rPr>
        <w:t>东莞（韶关）浈江产业转移工业园管理委员会</w:t>
      </w:r>
      <w:r>
        <w:rPr>
          <w:rFonts w:ascii="宋体" w:hAnsi="宋体"/>
          <w:snapToGrid w:val="0"/>
          <w:kern w:val="0"/>
          <w:sz w:val="24"/>
          <w:szCs w:val="24"/>
          <w:highlight w:val="none"/>
        </w:rPr>
        <w:t>，招标代理机构为</w:t>
      </w:r>
      <w:r>
        <w:rPr>
          <w:rFonts w:hint="eastAsia" w:ascii="宋体" w:hAnsi="宋体" w:cs="宋体"/>
          <w:kern w:val="0"/>
          <w:sz w:val="24"/>
          <w:szCs w:val="22"/>
          <w:highlight w:val="none"/>
          <w:u w:val="single"/>
        </w:rPr>
        <w:t>广东方川工程咨询有限公司</w:t>
      </w:r>
      <w:r>
        <w:rPr>
          <w:rFonts w:ascii="宋体" w:hAnsi="宋体"/>
          <w:snapToGrid w:val="0"/>
          <w:kern w:val="0"/>
          <w:sz w:val="24"/>
          <w:szCs w:val="24"/>
          <w:highlight w:val="none"/>
        </w:rPr>
        <w:t>。项目已具备招标条件，现对该项目的</w:t>
      </w:r>
      <w:r>
        <w:rPr>
          <w:rFonts w:hint="eastAsia" w:ascii="宋体" w:hAnsi="宋体"/>
          <w:sz w:val="24"/>
          <w:szCs w:val="24"/>
          <w:highlight w:val="none"/>
          <w:u w:val="single"/>
        </w:rPr>
        <w:t>设计</w:t>
      </w:r>
      <w:r>
        <w:rPr>
          <w:rFonts w:ascii="宋体" w:hAnsi="宋体"/>
          <w:snapToGrid w:val="0"/>
          <w:kern w:val="0"/>
          <w:sz w:val="24"/>
          <w:szCs w:val="24"/>
          <w:highlight w:val="none"/>
        </w:rPr>
        <w:t>进行公开招标</w:t>
      </w:r>
      <w:r>
        <w:rPr>
          <w:rFonts w:ascii="宋体" w:hAnsi="宋体"/>
          <w:kern w:val="0"/>
          <w:sz w:val="24"/>
          <w:szCs w:val="22"/>
          <w:highlight w:val="none"/>
        </w:rPr>
        <w:t>。</w:t>
      </w:r>
    </w:p>
    <w:p w14:paraId="50180F8C">
      <w:pPr>
        <w:pStyle w:val="82"/>
        <w:keepNext/>
        <w:keepLines/>
        <w:adjustRightInd/>
        <w:ind w:firstLine="482" w:firstLineChars="200"/>
        <w:jc w:val="both"/>
        <w:outlineLvl w:val="2"/>
        <w:rPr>
          <w:rFonts w:hint="eastAsia" w:ascii="宋体" w:hAnsi="宋体" w:cs="宋体"/>
          <w:b/>
          <w:kern w:val="2"/>
          <w:highlight w:val="none"/>
        </w:rPr>
      </w:pPr>
      <w:r>
        <w:rPr>
          <w:rFonts w:hint="eastAsia" w:ascii="宋体" w:hAnsi="宋体" w:cs="宋体"/>
          <w:b/>
          <w:kern w:val="2"/>
          <w:highlight w:val="none"/>
        </w:rPr>
        <w:t>1 工程概况综合说明</w:t>
      </w:r>
      <w:bookmarkEnd w:id="37"/>
      <w:bookmarkEnd w:id="38"/>
      <w:bookmarkEnd w:id="39"/>
    </w:p>
    <w:p w14:paraId="46194A2C">
      <w:pPr>
        <w:pStyle w:val="83"/>
        <w:tabs>
          <w:tab w:val="left" w:pos="7020"/>
        </w:tabs>
        <w:ind w:firstLine="480" w:firstLineChars="200"/>
        <w:jc w:val="left"/>
        <w:rPr>
          <w:rFonts w:hint="eastAsia" w:hAnsi="宋体" w:cs="宋体"/>
          <w:highlight w:val="none"/>
        </w:rPr>
      </w:pPr>
      <w:r>
        <w:rPr>
          <w:rFonts w:hint="eastAsia" w:hAnsi="宋体" w:cs="宋体"/>
          <w:highlight w:val="none"/>
        </w:rPr>
        <w:t>1.1 招标人：东莞（韶关）浈江产业转移工业园管理委员会</w:t>
      </w:r>
    </w:p>
    <w:p w14:paraId="533F4B6E">
      <w:pPr>
        <w:pStyle w:val="83"/>
        <w:tabs>
          <w:tab w:val="left" w:pos="7020"/>
        </w:tabs>
        <w:ind w:firstLine="480" w:firstLineChars="200"/>
        <w:jc w:val="left"/>
        <w:rPr>
          <w:rFonts w:hint="eastAsia" w:hAnsi="宋体" w:cs="宋体"/>
          <w:highlight w:val="none"/>
        </w:rPr>
      </w:pPr>
      <w:r>
        <w:rPr>
          <w:rFonts w:hint="eastAsia" w:hAnsi="宋体" w:cs="宋体"/>
          <w:highlight w:val="none"/>
        </w:rPr>
        <w:t>1.2 工程地点：韶关市浈江区犁市镇东至原益华水泥厂，西至黄塘村，北至省道248（新国道323）。</w:t>
      </w:r>
    </w:p>
    <w:p w14:paraId="3E3DA5CF">
      <w:pPr>
        <w:pStyle w:val="83"/>
        <w:tabs>
          <w:tab w:val="left" w:pos="7020"/>
        </w:tabs>
        <w:ind w:firstLine="480" w:firstLineChars="200"/>
        <w:jc w:val="left"/>
        <w:rPr>
          <w:rFonts w:hint="eastAsia" w:hAnsi="宋体" w:cs="宋体"/>
          <w:highlight w:val="none"/>
        </w:rPr>
      </w:pPr>
      <w:r>
        <w:rPr>
          <w:rFonts w:hint="eastAsia" w:hAnsi="宋体" w:cs="宋体"/>
          <w:highlight w:val="none"/>
        </w:rPr>
        <w:t>1.3 工程建设规模及内容：用地面积428.68亩，包括土方工程、场地平整、场地排水、道路、桥涵、边坡工程、管线工程等配套设施工程。</w:t>
      </w:r>
    </w:p>
    <w:p w14:paraId="6B09711F">
      <w:pPr>
        <w:pStyle w:val="83"/>
        <w:tabs>
          <w:tab w:val="left" w:pos="7020"/>
        </w:tabs>
        <w:ind w:firstLine="480" w:firstLineChars="200"/>
        <w:jc w:val="left"/>
        <w:rPr>
          <w:rFonts w:hint="eastAsia" w:hAnsi="宋体" w:cs="宋体"/>
          <w:highlight w:val="none"/>
          <w:lang w:val="en-US" w:eastAsia="zh-CN"/>
        </w:rPr>
      </w:pPr>
      <w:r>
        <w:rPr>
          <w:rFonts w:hint="eastAsia" w:hAnsi="宋体" w:cs="宋体"/>
          <w:highlight w:val="none"/>
          <w:lang w:val="en-US" w:eastAsia="zh-CN"/>
        </w:rPr>
        <w:t xml:space="preserve">1.4 </w:t>
      </w:r>
      <w:r>
        <w:rPr>
          <w:rFonts w:hint="eastAsia" w:hAnsi="宋体" w:cs="宋体"/>
          <w:highlight w:val="none"/>
        </w:rPr>
        <w:t>项目总投资</w:t>
      </w:r>
      <w:r>
        <w:rPr>
          <w:rFonts w:hint="eastAsia" w:hAnsi="宋体" w:cs="宋体"/>
          <w:highlight w:val="none"/>
          <w:lang w:eastAsia="zh-CN"/>
        </w:rPr>
        <w:t>：</w:t>
      </w:r>
      <w:r>
        <w:rPr>
          <w:rFonts w:hint="eastAsia" w:hAnsi="宋体" w:cs="宋体"/>
          <w:highlight w:val="none"/>
        </w:rPr>
        <w:t>项目估算总投资37998.36万元，其中浈江产业园（犁市片区）基础设施建设项目（土方工程、道路及边坡工程、管线工程）建安费为9912.34万元，本项目设计费最高限价为1285100.00元</w:t>
      </w:r>
      <w:r>
        <w:rPr>
          <w:rFonts w:hint="eastAsia" w:hAnsi="宋体" w:cs="宋体"/>
          <w:highlight w:val="none"/>
          <w:lang w:eastAsia="zh-CN"/>
        </w:rPr>
        <w:t>。</w:t>
      </w:r>
    </w:p>
    <w:p w14:paraId="5E0ED0C9">
      <w:pPr>
        <w:pStyle w:val="83"/>
        <w:tabs>
          <w:tab w:val="left" w:pos="7020"/>
        </w:tabs>
        <w:ind w:firstLine="480" w:firstLineChars="200"/>
        <w:jc w:val="left"/>
        <w:rPr>
          <w:rFonts w:hint="eastAsia" w:hAnsi="宋体" w:cs="宋体"/>
          <w:highlight w:val="none"/>
        </w:rPr>
      </w:pPr>
      <w:r>
        <w:rPr>
          <w:rFonts w:hint="eastAsia" w:hAnsi="宋体" w:cs="宋体"/>
          <w:highlight w:val="none"/>
        </w:rPr>
        <w:t>1.</w:t>
      </w:r>
      <w:r>
        <w:rPr>
          <w:rFonts w:hint="eastAsia" w:hAnsi="宋体" w:cs="宋体"/>
          <w:highlight w:val="none"/>
          <w:lang w:val="en-US" w:eastAsia="zh-CN"/>
        </w:rPr>
        <w:t>5</w:t>
      </w:r>
      <w:r>
        <w:rPr>
          <w:rFonts w:hint="eastAsia" w:hAnsi="宋体" w:cs="宋体"/>
          <w:highlight w:val="none"/>
        </w:rPr>
        <w:t xml:space="preserve"> 标段划分：本招标项目不划分标段。</w:t>
      </w:r>
      <w:bookmarkStart w:id="40" w:name="_Toc496132995"/>
      <w:bookmarkStart w:id="41" w:name="_Toc71813686"/>
      <w:bookmarkStart w:id="42" w:name="_Toc8182"/>
      <w:bookmarkStart w:id="43" w:name="_Toc71811299"/>
      <w:bookmarkStart w:id="44" w:name="_Toc71811066"/>
      <w:bookmarkStart w:id="45" w:name="_Toc71813180"/>
      <w:bookmarkStart w:id="46" w:name="_Toc3580"/>
      <w:bookmarkStart w:id="47" w:name="_Toc22197"/>
    </w:p>
    <w:p w14:paraId="796CA002">
      <w:pPr>
        <w:pStyle w:val="83"/>
        <w:tabs>
          <w:tab w:val="left" w:pos="7020"/>
        </w:tabs>
        <w:ind w:firstLine="480" w:firstLineChars="200"/>
        <w:jc w:val="left"/>
        <w:rPr>
          <w:rFonts w:hint="eastAsia" w:hAnsi="宋体" w:cs="宋体"/>
          <w:highlight w:val="none"/>
        </w:rPr>
      </w:pPr>
      <w:r>
        <w:rPr>
          <w:rFonts w:hint="eastAsia" w:hAnsi="宋体" w:cs="宋体"/>
          <w:highlight w:val="none"/>
        </w:rPr>
        <w:t>1.</w:t>
      </w:r>
      <w:bookmarkEnd w:id="40"/>
      <w:r>
        <w:rPr>
          <w:rFonts w:hint="eastAsia" w:hAnsi="宋体" w:cs="宋体"/>
          <w:highlight w:val="none"/>
        </w:rPr>
        <w:t>6 投标费用：投标人应承担所有准备和参加投标的相关费用，招标人均无义务和责任承担这些费用。</w:t>
      </w:r>
      <w:bookmarkEnd w:id="41"/>
      <w:bookmarkEnd w:id="42"/>
      <w:bookmarkEnd w:id="43"/>
      <w:bookmarkEnd w:id="44"/>
      <w:bookmarkEnd w:id="45"/>
      <w:bookmarkEnd w:id="46"/>
      <w:bookmarkEnd w:id="47"/>
      <w:bookmarkStart w:id="48" w:name="_Toc106184808"/>
      <w:bookmarkStart w:id="49" w:name="_Toc135054581"/>
      <w:bookmarkStart w:id="50" w:name="_Toc9668"/>
    </w:p>
    <w:p w14:paraId="574369A2">
      <w:pPr>
        <w:pStyle w:val="83"/>
        <w:tabs>
          <w:tab w:val="left" w:pos="7020"/>
        </w:tabs>
        <w:ind w:firstLine="482" w:firstLineChars="200"/>
        <w:jc w:val="left"/>
        <w:rPr>
          <w:rFonts w:hint="eastAsia" w:hAnsi="宋体" w:cs="宋体"/>
          <w:b/>
          <w:highlight w:val="none"/>
        </w:rPr>
      </w:pPr>
      <w:r>
        <w:rPr>
          <w:rFonts w:hint="eastAsia" w:hAnsi="宋体" w:cs="宋体"/>
          <w:b/>
          <w:highlight w:val="none"/>
        </w:rPr>
        <w:t>2 招标范围</w:t>
      </w:r>
      <w:bookmarkEnd w:id="48"/>
      <w:bookmarkEnd w:id="49"/>
      <w:bookmarkEnd w:id="50"/>
      <w:bookmarkStart w:id="51" w:name="_Hlt91408212"/>
      <w:bookmarkEnd w:id="51"/>
      <w:bookmarkStart w:id="52" w:name="_Toc28822"/>
      <w:bookmarkStart w:id="53" w:name="_Toc135054582"/>
    </w:p>
    <w:p w14:paraId="50383DE6">
      <w:pPr>
        <w:pStyle w:val="83"/>
        <w:tabs>
          <w:tab w:val="left" w:pos="7020"/>
        </w:tabs>
        <w:ind w:left="420" w:leftChars="200"/>
        <w:jc w:val="left"/>
        <w:rPr>
          <w:rFonts w:hint="eastAsia" w:hAnsi="宋体" w:cs="宋体"/>
          <w:bCs/>
          <w:highlight w:val="none"/>
        </w:rPr>
      </w:pPr>
      <w:r>
        <w:rPr>
          <w:rFonts w:hint="eastAsia" w:hAnsi="宋体" w:cs="宋体"/>
          <w:bCs/>
          <w:highlight w:val="none"/>
        </w:rPr>
        <w:t>本工程所涉及的内容包括但不限于（具体以项目主管部门批准的建设内容为准）：</w:t>
      </w:r>
    </w:p>
    <w:p w14:paraId="18AB766D">
      <w:pPr>
        <w:pStyle w:val="83"/>
        <w:tabs>
          <w:tab w:val="left" w:pos="7020"/>
        </w:tabs>
        <w:ind w:firstLine="480" w:firstLineChars="200"/>
        <w:jc w:val="left"/>
        <w:rPr>
          <w:rFonts w:hint="eastAsia" w:hAnsi="宋体" w:cs="宋体"/>
          <w:bCs/>
          <w:highlight w:val="none"/>
        </w:rPr>
      </w:pPr>
      <w:r>
        <w:rPr>
          <w:rFonts w:hint="eastAsia" w:hAnsi="宋体" w:cs="宋体"/>
          <w:bCs/>
          <w:highlight w:val="none"/>
        </w:rPr>
        <w:t>（1）确保项目顺利实施的报建、报批、施工等所需的设计文件（含此项目初步设计文件、施工图设计文件等）。</w:t>
      </w:r>
    </w:p>
    <w:p w14:paraId="04EAED39">
      <w:pPr>
        <w:pStyle w:val="83"/>
        <w:tabs>
          <w:tab w:val="left" w:pos="7020"/>
        </w:tabs>
        <w:ind w:firstLine="480" w:firstLineChars="200"/>
        <w:jc w:val="left"/>
        <w:rPr>
          <w:rFonts w:hint="eastAsia" w:hAnsi="宋体" w:cs="宋体"/>
          <w:bCs/>
          <w:color w:val="auto"/>
          <w:highlight w:val="none"/>
        </w:rPr>
      </w:pPr>
      <w:r>
        <w:rPr>
          <w:rFonts w:hint="eastAsia" w:hAnsi="宋体" w:cs="宋体"/>
          <w:bCs/>
          <w:color w:val="auto"/>
          <w:highlight w:val="none"/>
        </w:rPr>
        <w:t>（2）调整并优化设计和在工程施工期间指导和解决施工难题。</w:t>
      </w:r>
    </w:p>
    <w:p w14:paraId="439B4AF8">
      <w:pPr>
        <w:pStyle w:val="83"/>
        <w:tabs>
          <w:tab w:val="left" w:pos="7020"/>
        </w:tabs>
        <w:ind w:firstLine="480" w:firstLineChars="200"/>
        <w:jc w:val="left"/>
        <w:rPr>
          <w:rFonts w:hint="eastAsia" w:hAnsi="宋体" w:cs="宋体"/>
          <w:bCs/>
          <w:color w:val="auto"/>
          <w:highlight w:val="none"/>
        </w:rPr>
      </w:pPr>
      <w:r>
        <w:rPr>
          <w:rFonts w:hint="eastAsia" w:hAnsi="宋体" w:cs="宋体"/>
          <w:bCs/>
          <w:color w:val="auto"/>
          <w:highlight w:val="none"/>
        </w:rPr>
        <w:t>（3）完成招标人提出的与此部分相关的其他要求。</w:t>
      </w:r>
    </w:p>
    <w:p w14:paraId="0000AF89">
      <w:pPr>
        <w:pStyle w:val="83"/>
        <w:tabs>
          <w:tab w:val="left" w:pos="7020"/>
        </w:tabs>
        <w:ind w:firstLine="480" w:firstLineChars="200"/>
        <w:jc w:val="left"/>
        <w:rPr>
          <w:rFonts w:hint="eastAsia" w:hAnsi="宋体" w:cs="宋体"/>
          <w:bCs/>
          <w:color w:val="auto"/>
          <w:highlight w:val="none"/>
        </w:rPr>
      </w:pPr>
      <w:r>
        <w:rPr>
          <w:rFonts w:hint="eastAsia" w:hAnsi="宋体" w:cs="宋体"/>
          <w:bCs/>
          <w:color w:val="auto"/>
          <w:highlight w:val="none"/>
        </w:rPr>
        <w:t>（4）本次招标范围为</w:t>
      </w:r>
      <w:r>
        <w:rPr>
          <w:rFonts w:hint="eastAsia" w:hAnsi="宋体" w:cs="宋体"/>
          <w:color w:val="auto"/>
          <w:szCs w:val="22"/>
          <w:highlight w:val="none"/>
        </w:rPr>
        <w:t>浈江产业园（犁市片区）基础设施建设项目（土方工程、道路及边坡工程、管线工程）设计公开招标，本项目设计费最高限价为1285100.00元。</w:t>
      </w:r>
    </w:p>
    <w:p w14:paraId="3797ECD4">
      <w:pPr>
        <w:pStyle w:val="83"/>
        <w:tabs>
          <w:tab w:val="left" w:pos="7020"/>
        </w:tabs>
        <w:ind w:firstLine="482" w:firstLineChars="200"/>
        <w:jc w:val="left"/>
        <w:rPr>
          <w:rFonts w:hint="eastAsia" w:hAnsi="宋体" w:cs="宋体"/>
          <w:b/>
          <w:highlight w:val="none"/>
        </w:rPr>
      </w:pPr>
      <w:r>
        <w:rPr>
          <w:rFonts w:hint="eastAsia" w:hAnsi="宋体" w:cs="宋体"/>
          <w:b/>
          <w:highlight w:val="none"/>
        </w:rPr>
        <w:t>3</w:t>
      </w:r>
      <w:bookmarkStart w:id="54" w:name="_Hlt66187826"/>
      <w:bookmarkEnd w:id="54"/>
      <w:r>
        <w:rPr>
          <w:rFonts w:hint="eastAsia" w:hAnsi="宋体" w:cs="宋体"/>
          <w:b/>
          <w:highlight w:val="none"/>
        </w:rPr>
        <w:t xml:space="preserve"> </w:t>
      </w:r>
      <w:bookmarkEnd w:id="52"/>
      <w:r>
        <w:rPr>
          <w:rFonts w:hint="eastAsia" w:hAnsi="宋体" w:cs="宋体"/>
          <w:b/>
          <w:highlight w:val="none"/>
        </w:rPr>
        <w:t>工期要求</w:t>
      </w:r>
      <w:bookmarkEnd w:id="53"/>
      <w:bookmarkStart w:id="55" w:name="_Toc22115"/>
    </w:p>
    <w:p w14:paraId="5A654799">
      <w:pPr>
        <w:pStyle w:val="83"/>
        <w:tabs>
          <w:tab w:val="left" w:pos="7020"/>
        </w:tabs>
        <w:ind w:firstLine="480" w:firstLineChars="200"/>
        <w:jc w:val="left"/>
        <w:rPr>
          <w:rFonts w:hint="eastAsia" w:hAnsi="宋体" w:cs="宋体"/>
          <w:bCs/>
          <w:highlight w:val="none"/>
        </w:rPr>
      </w:pPr>
      <w:bookmarkStart w:id="56" w:name="_Toc135054583"/>
      <w:r>
        <w:rPr>
          <w:rFonts w:hint="eastAsia" w:hAnsi="宋体" w:cs="宋体"/>
          <w:bCs/>
          <w:highlight w:val="none"/>
        </w:rPr>
        <w:t>招标项目设计工期：60个日历天，各阶段实施期限如下：</w:t>
      </w:r>
    </w:p>
    <w:p w14:paraId="7A789677">
      <w:pPr>
        <w:pStyle w:val="83"/>
        <w:tabs>
          <w:tab w:val="left" w:pos="7020"/>
        </w:tabs>
        <w:ind w:firstLine="480" w:firstLineChars="200"/>
        <w:jc w:val="left"/>
        <w:rPr>
          <w:rFonts w:hint="eastAsia" w:hAnsi="宋体" w:cs="宋体"/>
          <w:bCs/>
          <w:highlight w:val="none"/>
        </w:rPr>
      </w:pPr>
      <w:r>
        <w:rPr>
          <w:rFonts w:hint="eastAsia" w:hAnsi="宋体" w:cs="宋体"/>
          <w:bCs/>
          <w:highlight w:val="none"/>
        </w:rPr>
        <w:t>（1）初步设计阶段：自中标通知书发出之日起25个日历天内完成初步设计并提交成果文件（含概算）。</w:t>
      </w:r>
    </w:p>
    <w:p w14:paraId="7F3143EB">
      <w:pPr>
        <w:pStyle w:val="83"/>
        <w:tabs>
          <w:tab w:val="left" w:pos="7020"/>
        </w:tabs>
        <w:ind w:firstLine="480" w:firstLineChars="200"/>
        <w:jc w:val="left"/>
        <w:rPr>
          <w:rFonts w:hint="eastAsia" w:hAnsi="宋体" w:cs="宋体"/>
          <w:bCs/>
          <w:highlight w:val="none"/>
        </w:rPr>
      </w:pPr>
      <w:r>
        <w:rPr>
          <w:rFonts w:hint="eastAsia" w:hAnsi="宋体" w:cs="宋体"/>
          <w:bCs/>
          <w:highlight w:val="none"/>
        </w:rPr>
        <w:t>（2）施工图设计阶段：自</w:t>
      </w:r>
      <w:r>
        <w:rPr>
          <w:rFonts w:hint="eastAsia" w:hAnsi="宋体" w:cs="宋体"/>
          <w:szCs w:val="24"/>
          <w:highlight w:val="none"/>
        </w:rPr>
        <w:t>初步设计批复</w:t>
      </w:r>
      <w:r>
        <w:rPr>
          <w:rFonts w:hint="eastAsia" w:hAnsi="宋体" w:cs="宋体"/>
          <w:bCs/>
          <w:highlight w:val="none"/>
        </w:rPr>
        <w:t>之日起30个日历天内提交施工图设计文件。</w:t>
      </w:r>
    </w:p>
    <w:p w14:paraId="200795C5">
      <w:pPr>
        <w:pStyle w:val="83"/>
        <w:tabs>
          <w:tab w:val="left" w:pos="7020"/>
        </w:tabs>
        <w:ind w:firstLine="480" w:firstLineChars="200"/>
        <w:jc w:val="left"/>
        <w:rPr>
          <w:rFonts w:hint="eastAsia" w:hAnsi="宋体" w:cs="宋体"/>
          <w:bCs/>
          <w:highlight w:val="none"/>
        </w:rPr>
      </w:pPr>
      <w:r>
        <w:rPr>
          <w:rFonts w:hint="eastAsia" w:hAnsi="宋体" w:cs="宋体"/>
          <w:bCs/>
          <w:highlight w:val="none"/>
        </w:rPr>
        <w:t>（3）施工图修编：出具施工图审查初步意见后5个日历天内完成施工图修编；</w:t>
      </w:r>
    </w:p>
    <w:p w14:paraId="5E0962BB">
      <w:pPr>
        <w:pStyle w:val="83"/>
        <w:tabs>
          <w:tab w:val="left" w:pos="7020"/>
        </w:tabs>
        <w:ind w:firstLine="480" w:firstLineChars="200"/>
        <w:jc w:val="left"/>
        <w:rPr>
          <w:rFonts w:hint="eastAsia" w:hAnsi="宋体" w:cs="宋体"/>
          <w:bCs/>
          <w:highlight w:val="none"/>
        </w:rPr>
      </w:pPr>
      <w:r>
        <w:rPr>
          <w:rFonts w:hint="eastAsia" w:hAnsi="宋体" w:cs="宋体"/>
          <w:bCs/>
          <w:highlight w:val="none"/>
        </w:rPr>
        <w:t>（4）施工现场配合服务：项目施工及缺陷责任期内。</w:t>
      </w:r>
    </w:p>
    <w:p w14:paraId="291D9AAB">
      <w:pPr>
        <w:pStyle w:val="82"/>
        <w:keepNext/>
        <w:keepLines/>
        <w:adjustRightInd/>
        <w:ind w:firstLine="482" w:firstLineChars="200"/>
        <w:jc w:val="both"/>
        <w:outlineLvl w:val="2"/>
        <w:rPr>
          <w:rFonts w:hint="eastAsia" w:ascii="宋体" w:hAnsi="宋体" w:cs="宋体"/>
          <w:b/>
          <w:kern w:val="2"/>
          <w:highlight w:val="none"/>
        </w:rPr>
      </w:pPr>
      <w:bookmarkStart w:id="57" w:name="_Toc13535"/>
      <w:r>
        <w:rPr>
          <w:rFonts w:hint="eastAsia" w:ascii="宋体" w:hAnsi="宋体" w:cs="宋体"/>
          <w:b/>
          <w:kern w:val="2"/>
          <w:highlight w:val="none"/>
        </w:rPr>
        <w:t xml:space="preserve">4 </w:t>
      </w:r>
      <w:bookmarkEnd w:id="55"/>
      <w:bookmarkStart w:id="58" w:name="_Hlt74496495"/>
      <w:bookmarkEnd w:id="58"/>
      <w:r>
        <w:rPr>
          <w:rFonts w:hint="eastAsia" w:ascii="宋体" w:hAnsi="宋体" w:cs="宋体"/>
          <w:b/>
          <w:kern w:val="2"/>
          <w:highlight w:val="none"/>
        </w:rPr>
        <w:t>投标人资质等级及人员要求</w:t>
      </w:r>
      <w:bookmarkEnd w:id="56"/>
      <w:bookmarkEnd w:id="57"/>
      <w:bookmarkStart w:id="59" w:name="_Toc11378"/>
    </w:p>
    <w:bookmarkEnd w:id="59"/>
    <w:p w14:paraId="6FC359D3">
      <w:pPr>
        <w:pStyle w:val="83"/>
        <w:adjustRightInd w:val="0"/>
        <w:snapToGrid w:val="0"/>
        <w:ind w:firstLine="420" w:firstLineChars="175"/>
        <w:rPr>
          <w:rFonts w:hint="eastAsia" w:hAnsi="宋体" w:cs="宋体"/>
          <w:kern w:val="0"/>
          <w:highlight w:val="none"/>
        </w:rPr>
      </w:pPr>
      <w:bookmarkStart w:id="60" w:name="_Toc4341"/>
      <w:r>
        <w:rPr>
          <w:rFonts w:hint="eastAsia" w:hAnsi="宋体" w:cs="宋体"/>
          <w:kern w:val="0"/>
          <w:szCs w:val="22"/>
          <w:highlight w:val="none"/>
        </w:rPr>
        <w:t>4.1本</w:t>
      </w:r>
      <w:r>
        <w:rPr>
          <w:rFonts w:hint="eastAsia" w:hAnsi="宋体" w:cs="宋体"/>
          <w:highlight w:val="none"/>
        </w:rPr>
        <w:t>次招标</w:t>
      </w:r>
      <w:r>
        <w:rPr>
          <w:rFonts w:hint="eastAsia" w:hAnsi="宋体" w:cs="宋体"/>
          <w:highlight w:val="none"/>
          <w:u w:val="single"/>
        </w:rPr>
        <w:t>不接受</w:t>
      </w:r>
      <w:r>
        <w:rPr>
          <w:rFonts w:hint="eastAsia" w:hAnsi="宋体" w:cs="宋体"/>
          <w:highlight w:val="none"/>
        </w:rPr>
        <w:t>联合体投标</w:t>
      </w:r>
      <w:r>
        <w:rPr>
          <w:rFonts w:hint="eastAsia" w:hAnsi="宋体" w:cs="宋体"/>
          <w:kern w:val="0"/>
          <w:szCs w:val="22"/>
          <w:highlight w:val="none"/>
        </w:rPr>
        <w:t>。</w:t>
      </w:r>
    </w:p>
    <w:p w14:paraId="3459ED56">
      <w:pPr>
        <w:pStyle w:val="153"/>
        <w:widowControl/>
        <w:adjustRightInd w:val="0"/>
        <w:snapToGrid w:val="0"/>
        <w:spacing w:line="360" w:lineRule="auto"/>
        <w:ind w:left="420" w:leftChars="200"/>
        <w:jc w:val="left"/>
        <w:rPr>
          <w:rFonts w:hint="eastAsia" w:ascii="宋体" w:hAnsi="宋体" w:cs="宋体"/>
          <w:kern w:val="0"/>
          <w:sz w:val="24"/>
          <w:highlight w:val="none"/>
        </w:rPr>
      </w:pPr>
      <w:r>
        <w:rPr>
          <w:rFonts w:hint="eastAsia" w:ascii="宋体" w:hAnsi="宋体" w:cs="宋体"/>
          <w:kern w:val="0"/>
          <w:sz w:val="24"/>
          <w:highlight w:val="none"/>
        </w:rPr>
        <w:t>4.2 资质要求</w:t>
      </w:r>
    </w:p>
    <w:p w14:paraId="78F2D57B">
      <w:pPr>
        <w:pStyle w:val="153"/>
        <w:widowControl/>
        <w:adjustRightInd w:val="0"/>
        <w:snapToGrid w:val="0"/>
        <w:spacing w:line="360" w:lineRule="auto"/>
        <w:ind w:firstLine="420" w:firstLineChars="175"/>
        <w:jc w:val="left"/>
        <w:rPr>
          <w:rFonts w:hint="eastAsia" w:ascii="宋体" w:hAnsi="宋体" w:cs="宋体"/>
          <w:kern w:val="0"/>
          <w:sz w:val="24"/>
          <w:highlight w:val="none"/>
        </w:rPr>
      </w:pPr>
      <w:r>
        <w:rPr>
          <w:rFonts w:hint="eastAsia" w:ascii="宋体" w:hAnsi="宋体" w:cs="宋体"/>
          <w:kern w:val="0"/>
          <w:sz w:val="24"/>
          <w:highlight w:val="none"/>
        </w:rPr>
        <w:t>4.2.1投标人须持有效的营业执照，按国家法律经营。</w:t>
      </w:r>
    </w:p>
    <w:p w14:paraId="16F4B657">
      <w:pPr>
        <w:pStyle w:val="153"/>
        <w:widowControl/>
        <w:adjustRightInd w:val="0"/>
        <w:snapToGrid w:val="0"/>
        <w:spacing w:line="360" w:lineRule="auto"/>
        <w:ind w:firstLine="420" w:firstLineChars="175"/>
        <w:jc w:val="left"/>
        <w:rPr>
          <w:rFonts w:hint="eastAsia" w:ascii="宋体" w:hAnsi="宋体" w:cs="宋体"/>
          <w:kern w:val="0"/>
          <w:sz w:val="24"/>
          <w:highlight w:val="none"/>
        </w:rPr>
      </w:pPr>
      <w:r>
        <w:rPr>
          <w:rFonts w:hint="eastAsia" w:ascii="宋体" w:hAnsi="宋体" w:cs="宋体"/>
          <w:kern w:val="0"/>
          <w:sz w:val="24"/>
          <w:highlight w:val="none"/>
        </w:rPr>
        <w:t>4.2.2 必须具备建设行政主管部门颁发的以下资质之一：</w:t>
      </w:r>
    </w:p>
    <w:p w14:paraId="4503D563">
      <w:pPr>
        <w:pStyle w:val="11"/>
        <w:spacing w:after="0" w:line="360" w:lineRule="exact"/>
        <w:ind w:firstLine="240" w:firstLineChars="100"/>
        <w:jc w:val="left"/>
        <w:rPr>
          <w:rFonts w:hint="eastAsia" w:ascii="宋体" w:hAnsi="宋体" w:cs="宋体"/>
          <w:kern w:val="0"/>
          <w:sz w:val="24"/>
          <w:szCs w:val="24"/>
          <w:highlight w:val="none"/>
        </w:rPr>
      </w:pPr>
      <w:r>
        <w:rPr>
          <w:rFonts w:hint="eastAsia" w:ascii="宋体" w:hAnsi="宋体" w:cs="宋体"/>
          <w:kern w:val="0"/>
          <w:sz w:val="24"/>
          <w:szCs w:val="24"/>
          <w:highlight w:val="none"/>
        </w:rPr>
        <w:t>（1）工程设计综合甲级资质；</w:t>
      </w:r>
    </w:p>
    <w:p w14:paraId="3F1E1021">
      <w:pPr>
        <w:pStyle w:val="11"/>
        <w:spacing w:after="0" w:line="360" w:lineRule="exact"/>
        <w:ind w:firstLine="240" w:firstLineChars="100"/>
        <w:jc w:val="left"/>
        <w:rPr>
          <w:rFonts w:hint="eastAsia" w:ascii="宋体" w:hAnsi="宋体" w:cs="宋体"/>
          <w:kern w:val="0"/>
          <w:sz w:val="24"/>
          <w:szCs w:val="24"/>
          <w:highlight w:val="none"/>
        </w:rPr>
      </w:pPr>
      <w:r>
        <w:rPr>
          <w:rFonts w:hint="eastAsia" w:ascii="宋体" w:hAnsi="宋体" w:cs="宋体"/>
          <w:kern w:val="0"/>
          <w:sz w:val="24"/>
          <w:szCs w:val="24"/>
          <w:highlight w:val="none"/>
        </w:rPr>
        <w:t>（2）市政行业工程设计乙级或以上（含乙级）资质；</w:t>
      </w:r>
    </w:p>
    <w:p w14:paraId="7F5DA1AB">
      <w:pPr>
        <w:pStyle w:val="11"/>
        <w:spacing w:after="0" w:line="360" w:lineRule="exact"/>
        <w:ind w:firstLine="240" w:firstLineChars="100"/>
        <w:jc w:val="left"/>
        <w:rPr>
          <w:rFonts w:hint="eastAsia" w:ascii="宋体" w:hAnsi="宋体" w:cs="宋体"/>
          <w:kern w:val="0"/>
          <w:sz w:val="24"/>
          <w:szCs w:val="24"/>
          <w:highlight w:val="none"/>
        </w:rPr>
      </w:pPr>
      <w:r>
        <w:rPr>
          <w:rFonts w:hint="eastAsia" w:ascii="宋体" w:hAnsi="宋体" w:cs="宋体"/>
          <w:kern w:val="0"/>
          <w:sz w:val="24"/>
          <w:szCs w:val="24"/>
          <w:highlight w:val="none"/>
        </w:rPr>
        <w:t>（3）</w:t>
      </w:r>
      <w:r>
        <w:rPr>
          <w:rFonts w:hint="eastAsia" w:ascii="宋体" w:hAnsi="宋体" w:cs="宋体"/>
          <w:kern w:val="0"/>
          <w:sz w:val="24"/>
          <w:highlight w:val="none"/>
        </w:rPr>
        <w:t>具备工程设计市政行业（燃气工程、轨道交通工程除外）乙级以上（含乙级）资质</w:t>
      </w:r>
      <w:r>
        <w:rPr>
          <w:rFonts w:hint="eastAsia" w:ascii="宋体" w:hAnsi="宋体" w:cs="宋体"/>
          <w:kern w:val="0"/>
          <w:sz w:val="24"/>
          <w:szCs w:val="24"/>
          <w:highlight w:val="none"/>
        </w:rPr>
        <w:t>；</w:t>
      </w:r>
    </w:p>
    <w:p w14:paraId="46101B9A">
      <w:pPr>
        <w:pStyle w:val="11"/>
        <w:spacing w:after="0" w:line="360" w:lineRule="exact"/>
        <w:ind w:firstLine="240" w:firstLineChars="100"/>
        <w:jc w:val="left"/>
        <w:rPr>
          <w:rFonts w:hint="eastAsia" w:ascii="宋体" w:hAnsi="宋体" w:cs="宋体"/>
          <w:kern w:val="0"/>
          <w:sz w:val="24"/>
          <w:szCs w:val="24"/>
          <w:highlight w:val="none"/>
        </w:rPr>
      </w:pPr>
      <w:r>
        <w:rPr>
          <w:rFonts w:hint="eastAsia" w:ascii="宋体" w:hAnsi="宋体" w:cs="宋体"/>
          <w:kern w:val="0"/>
          <w:sz w:val="24"/>
          <w:szCs w:val="24"/>
          <w:highlight w:val="none"/>
        </w:rPr>
        <w:t>（4）</w:t>
      </w:r>
      <w:r>
        <w:rPr>
          <w:rFonts w:hint="eastAsia" w:ascii="宋体" w:hAnsi="宋体" w:cs="宋体"/>
          <w:kern w:val="0"/>
          <w:sz w:val="24"/>
          <w:highlight w:val="none"/>
        </w:rPr>
        <w:t>具备工程设计市政行业（道路工程）专业乙级以上（含乙级）资质。</w:t>
      </w:r>
    </w:p>
    <w:p w14:paraId="72FFADCC">
      <w:pPr>
        <w:pStyle w:val="11"/>
        <w:spacing w:after="0"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4.2.3投标人的企业相关证书到期的，均按该证书的发证机构相关行业主管部门最新文件执行(如自动顺延或资质延续有关事项的通知)，投标人的企业相关证书到期的，均按该证书的发证机构相关行业主管部门最新文件执行（如自动顺延或资质延续有关事项的通知），投标人必须将相关文件附在该证书后，证明在开标日继续有效。</w:t>
      </w:r>
    </w:p>
    <w:p w14:paraId="55BB568E">
      <w:pPr>
        <w:pStyle w:val="11"/>
        <w:spacing w:after="0" w:line="360" w:lineRule="auto"/>
        <w:ind w:firstLine="480" w:firstLineChars="200"/>
        <w:rPr>
          <w:rFonts w:hint="eastAsia" w:ascii="宋体" w:hAnsi="宋体" w:cs="宋体"/>
          <w:kern w:val="0"/>
          <w:sz w:val="24"/>
          <w:szCs w:val="22"/>
          <w:highlight w:val="none"/>
        </w:rPr>
      </w:pPr>
      <w:r>
        <w:rPr>
          <w:rFonts w:hint="eastAsia" w:ascii="宋体" w:hAnsi="宋体" w:cs="宋体"/>
          <w:kern w:val="0"/>
          <w:sz w:val="24"/>
          <w:szCs w:val="22"/>
          <w:highlight w:val="none"/>
        </w:rPr>
        <w:t>4.3相关人员要求</w:t>
      </w:r>
    </w:p>
    <w:p w14:paraId="0EF471B6">
      <w:pPr>
        <w:pStyle w:val="153"/>
        <w:wordWrap w:val="0"/>
        <w:adjustRightInd w:val="0"/>
        <w:snapToGrid w:val="0"/>
        <w:spacing w:line="440" w:lineRule="exact"/>
        <w:ind w:left="36" w:leftChars="17" w:right="48" w:rightChars="23" w:firstLine="480"/>
        <w:jc w:val="left"/>
        <w:rPr>
          <w:rFonts w:hint="eastAsia" w:ascii="宋体" w:hAnsi="宋体" w:cs="宋体"/>
          <w:kern w:val="0"/>
          <w:sz w:val="24"/>
          <w:highlight w:val="none"/>
        </w:rPr>
      </w:pPr>
      <w:r>
        <w:rPr>
          <w:rFonts w:hint="eastAsia" w:ascii="宋体" w:hAnsi="宋体" w:cs="宋体"/>
          <w:kern w:val="0"/>
          <w:sz w:val="24"/>
          <w:highlight w:val="none"/>
        </w:rPr>
        <w:t>4.3.1投标人拟派项目设计负责人具备</w:t>
      </w:r>
      <w:r>
        <w:rPr>
          <w:rFonts w:hint="eastAsia" w:ascii="宋体" w:hAnsi="宋体"/>
          <w:sz w:val="24"/>
          <w:highlight w:val="none"/>
          <w:u w:val="single"/>
        </w:rPr>
        <w:t>市政专业</w:t>
      </w:r>
      <w:r>
        <w:rPr>
          <w:rFonts w:hint="eastAsia" w:ascii="宋体" w:hAnsi="宋体"/>
          <w:sz w:val="24"/>
          <w:highlight w:val="none"/>
        </w:rPr>
        <w:t>中级以上（含中级）职称证书或注册土木工程师（道路工程）证书。</w:t>
      </w:r>
    </w:p>
    <w:p w14:paraId="52BB0AB7">
      <w:pPr>
        <w:pStyle w:val="153"/>
        <w:widowControl/>
        <w:adjustRightInd w:val="0"/>
        <w:snapToGrid w:val="0"/>
        <w:spacing w:line="360" w:lineRule="auto"/>
        <w:ind w:firstLine="420" w:firstLineChars="175"/>
        <w:jc w:val="left"/>
        <w:rPr>
          <w:rFonts w:hint="eastAsia" w:ascii="宋体" w:hAnsi="宋体" w:cs="宋体"/>
          <w:kern w:val="0"/>
          <w:sz w:val="24"/>
          <w:highlight w:val="none"/>
        </w:rPr>
      </w:pPr>
      <w:r>
        <w:rPr>
          <w:rFonts w:hint="eastAsia" w:ascii="宋体" w:hAnsi="宋体" w:cs="宋体"/>
          <w:kern w:val="0"/>
          <w:sz w:val="24"/>
          <w:highlight w:val="none"/>
        </w:rPr>
        <w:t>4.3.2投标人与其拟派往本项目所有人员之间必须具备合法的劳动聘用关系，需提供缴纳社保的证明或退休证(附返聘证明）扫描件（由非独立法人分支机构出具的社保证明，予以认可）。拟派人员中具备注册执业资格的，其注册单位须与投标人保持一致。</w:t>
      </w:r>
    </w:p>
    <w:p w14:paraId="6C96DFC6">
      <w:pPr>
        <w:pStyle w:val="153"/>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4.4 禁止投标条款</w:t>
      </w:r>
    </w:p>
    <w:p w14:paraId="7313B234">
      <w:pPr>
        <w:pStyle w:val="153"/>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4.4.1 投标人不得存在下列情形之一：</w:t>
      </w:r>
    </w:p>
    <w:p w14:paraId="55A857B8">
      <w:pPr>
        <w:pStyle w:val="153"/>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（1）为招标人不具有独立法人资格的附属机构（单位）；</w:t>
      </w:r>
    </w:p>
    <w:p w14:paraId="363A1E2A">
      <w:pPr>
        <w:pStyle w:val="153"/>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（2）与招标人存在利害关系且可能影响招标公正性；</w:t>
      </w:r>
    </w:p>
    <w:p w14:paraId="6EA3EF72">
      <w:pPr>
        <w:pStyle w:val="153"/>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（3）与本招标项目的其他投标人为同一个单位负责人；</w:t>
      </w:r>
    </w:p>
    <w:p w14:paraId="2225DF7A">
      <w:pPr>
        <w:pStyle w:val="153"/>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（4）与本招标项目的其他投标人存在控股、管理关系；</w:t>
      </w:r>
    </w:p>
    <w:p w14:paraId="21FB16ED">
      <w:pPr>
        <w:pStyle w:val="153"/>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（5）为本招标项目的代建人；</w:t>
      </w:r>
    </w:p>
    <w:p w14:paraId="38AB4024">
      <w:pPr>
        <w:pStyle w:val="153"/>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（6）为本招标项目的招标代理机构；</w:t>
      </w:r>
    </w:p>
    <w:p w14:paraId="1CC867D7">
      <w:pPr>
        <w:pStyle w:val="153"/>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（7）与本招标项目的代建人或招标代理机构同为一个法定代表人；</w:t>
      </w:r>
    </w:p>
    <w:p w14:paraId="4F4476E0">
      <w:pPr>
        <w:pStyle w:val="153"/>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（8）与本招标项目的代建人或招标代理机构存在控股或参股关系；</w:t>
      </w:r>
    </w:p>
    <w:p w14:paraId="10914C11">
      <w:pPr>
        <w:pStyle w:val="153"/>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（9）与本招标项目的代建人或招标代理机构存在相互任职或工作关系；</w:t>
      </w:r>
    </w:p>
    <w:p w14:paraId="311FCFBD">
      <w:pPr>
        <w:pStyle w:val="153"/>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（10）被依法暂停或者取消投标资格；</w:t>
      </w:r>
    </w:p>
    <w:p w14:paraId="2C715BE7">
      <w:pPr>
        <w:pStyle w:val="153"/>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（11）被责令停产停业、暂扣或者吊销许可证、暂扣或者吊销执照；</w:t>
      </w:r>
    </w:p>
    <w:p w14:paraId="13DF8962">
      <w:pPr>
        <w:pStyle w:val="153"/>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（12）进入清算程序，或被宣告破产，或其他丧失履约能力的情形；</w:t>
      </w:r>
    </w:p>
    <w:p w14:paraId="01A62DA0">
      <w:pPr>
        <w:pStyle w:val="153"/>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（13）在最近三年内发生重大质量问题（以相关行业主管部门的行政处罚决定或司法机关出具的有关法律文书为准）；</w:t>
      </w:r>
    </w:p>
    <w:p w14:paraId="5F310F5E">
      <w:pPr>
        <w:pStyle w:val="153"/>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（14）被“信用中国”网站（https://www.creditchina.gov.cn）发布的《法人和非法人组织公共信用信息报告》列为严重失信主体名单的。</w:t>
      </w:r>
    </w:p>
    <w:p w14:paraId="7827647C">
      <w:pPr>
        <w:pStyle w:val="153"/>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4.4.2 招标人拒绝以下名单中的单位参加本次投标：</w:t>
      </w:r>
    </w:p>
    <w:tbl>
      <w:tblPr>
        <w:tblStyle w:val="33"/>
        <w:tblW w:w="50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0"/>
        <w:gridCol w:w="4601"/>
        <w:gridCol w:w="4668"/>
      </w:tblGrid>
      <w:tr w14:paraId="12E3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30" w:type="dxa"/>
            <w:tcMar>
              <w:top w:w="0" w:type="dxa"/>
              <w:left w:w="105" w:type="dxa"/>
              <w:bottom w:w="0" w:type="dxa"/>
              <w:right w:w="105" w:type="dxa"/>
            </w:tcMar>
            <w:vAlign w:val="center"/>
          </w:tcPr>
          <w:p w14:paraId="1A46DE76">
            <w:pPr>
              <w:pStyle w:val="28"/>
              <w:spacing w:before="75" w:beforeAutospacing="0" w:after="75" w:afterAutospacing="0"/>
              <w:jc w:val="center"/>
              <w:rPr>
                <w:rFonts w:hint="eastAsia" w:ascii="宋体"/>
                <w:color w:val="auto"/>
                <w:sz w:val="24"/>
                <w:highlight w:val="none"/>
              </w:rPr>
            </w:pPr>
            <w:r>
              <w:rPr>
                <w:rFonts w:hint="eastAsia" w:ascii="宋体"/>
                <w:color w:val="auto"/>
                <w:sz w:val="24"/>
                <w:highlight w:val="none"/>
              </w:rPr>
              <w:t>序号</w:t>
            </w:r>
          </w:p>
        </w:tc>
        <w:tc>
          <w:tcPr>
            <w:tcW w:w="4602" w:type="dxa"/>
            <w:tcMar>
              <w:top w:w="0" w:type="dxa"/>
              <w:left w:w="105" w:type="dxa"/>
              <w:bottom w:w="0" w:type="dxa"/>
              <w:right w:w="105" w:type="dxa"/>
            </w:tcMar>
            <w:vAlign w:val="center"/>
          </w:tcPr>
          <w:p w14:paraId="2BD1209F">
            <w:pPr>
              <w:pStyle w:val="28"/>
              <w:spacing w:before="75" w:beforeAutospacing="0" w:after="75" w:afterAutospacing="0"/>
              <w:jc w:val="center"/>
              <w:rPr>
                <w:rFonts w:hint="eastAsia" w:ascii="宋体"/>
                <w:color w:val="auto"/>
                <w:sz w:val="24"/>
                <w:highlight w:val="none"/>
              </w:rPr>
            </w:pPr>
            <w:r>
              <w:rPr>
                <w:rFonts w:hint="eastAsia" w:ascii="宋体"/>
                <w:color w:val="auto"/>
                <w:sz w:val="24"/>
                <w:highlight w:val="none"/>
              </w:rPr>
              <w:t>单位名称</w:t>
            </w:r>
          </w:p>
        </w:tc>
        <w:tc>
          <w:tcPr>
            <w:tcW w:w="4669" w:type="dxa"/>
            <w:tcMar>
              <w:top w:w="0" w:type="dxa"/>
              <w:left w:w="105" w:type="dxa"/>
              <w:bottom w:w="0" w:type="dxa"/>
              <w:right w:w="105" w:type="dxa"/>
            </w:tcMar>
            <w:vAlign w:val="center"/>
          </w:tcPr>
          <w:p w14:paraId="10DD3FBE">
            <w:pPr>
              <w:pStyle w:val="28"/>
              <w:spacing w:before="75" w:beforeAutospacing="0" w:after="75" w:afterAutospacing="0"/>
              <w:jc w:val="center"/>
              <w:rPr>
                <w:rFonts w:hint="eastAsia" w:ascii="宋体"/>
                <w:color w:val="auto"/>
                <w:sz w:val="24"/>
                <w:highlight w:val="none"/>
              </w:rPr>
            </w:pPr>
            <w:r>
              <w:rPr>
                <w:rFonts w:hint="eastAsia" w:ascii="宋体"/>
                <w:color w:val="auto"/>
                <w:sz w:val="24"/>
                <w:highlight w:val="none"/>
              </w:rPr>
              <w:t>拒绝原因</w:t>
            </w:r>
          </w:p>
        </w:tc>
      </w:tr>
      <w:tr w14:paraId="05FF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30" w:type="dxa"/>
            <w:tcMar>
              <w:top w:w="0" w:type="dxa"/>
              <w:left w:w="105" w:type="dxa"/>
              <w:bottom w:w="0" w:type="dxa"/>
              <w:right w:w="105" w:type="dxa"/>
            </w:tcMar>
            <w:vAlign w:val="center"/>
          </w:tcPr>
          <w:p w14:paraId="2CE4A704">
            <w:pPr>
              <w:pStyle w:val="28"/>
              <w:spacing w:before="75" w:beforeAutospacing="0" w:after="75" w:afterAutospacing="0"/>
              <w:jc w:val="center"/>
              <w:rPr>
                <w:rFonts w:hint="eastAsia" w:ascii="宋体"/>
                <w:color w:val="auto"/>
                <w:sz w:val="24"/>
                <w:highlight w:val="none"/>
              </w:rPr>
            </w:pPr>
            <w:r>
              <w:rPr>
                <w:rFonts w:hint="eastAsia" w:ascii="宋体"/>
                <w:color w:val="auto"/>
                <w:sz w:val="24"/>
                <w:highlight w:val="none"/>
              </w:rPr>
              <w:t>1</w:t>
            </w:r>
          </w:p>
        </w:tc>
        <w:tc>
          <w:tcPr>
            <w:tcW w:w="4602" w:type="dxa"/>
            <w:tcMar>
              <w:top w:w="0" w:type="dxa"/>
              <w:left w:w="105" w:type="dxa"/>
              <w:bottom w:w="0" w:type="dxa"/>
              <w:right w:w="105" w:type="dxa"/>
            </w:tcMar>
            <w:vAlign w:val="center"/>
          </w:tcPr>
          <w:p w14:paraId="5AE81A18">
            <w:pPr>
              <w:wordWrap w:val="0"/>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东莞（韶关）浈江产业转移工业园管理委员会</w:t>
            </w:r>
          </w:p>
        </w:tc>
        <w:tc>
          <w:tcPr>
            <w:tcW w:w="4669" w:type="dxa"/>
            <w:tcMar>
              <w:top w:w="0" w:type="dxa"/>
              <w:left w:w="105" w:type="dxa"/>
              <w:bottom w:w="0" w:type="dxa"/>
              <w:right w:w="105" w:type="dxa"/>
            </w:tcMar>
            <w:vAlign w:val="center"/>
          </w:tcPr>
          <w:p w14:paraId="153DFC2A">
            <w:pPr>
              <w:wordWrap w:val="0"/>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为本招标项目的招标人</w:t>
            </w:r>
          </w:p>
        </w:tc>
      </w:tr>
      <w:tr w14:paraId="3987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30" w:type="dxa"/>
            <w:tcMar>
              <w:top w:w="0" w:type="dxa"/>
              <w:left w:w="105" w:type="dxa"/>
              <w:bottom w:w="0" w:type="dxa"/>
              <w:right w:w="105" w:type="dxa"/>
            </w:tcMar>
            <w:vAlign w:val="center"/>
          </w:tcPr>
          <w:p w14:paraId="377FDFB6">
            <w:pPr>
              <w:pStyle w:val="28"/>
              <w:spacing w:before="75" w:beforeAutospacing="0" w:after="75" w:afterAutospacing="0"/>
              <w:jc w:val="center"/>
              <w:rPr>
                <w:rFonts w:hint="eastAsia" w:ascii="宋体"/>
                <w:color w:val="auto"/>
                <w:sz w:val="24"/>
                <w:highlight w:val="none"/>
              </w:rPr>
            </w:pPr>
            <w:r>
              <w:rPr>
                <w:rFonts w:hint="eastAsia" w:ascii="宋体"/>
                <w:color w:val="auto"/>
                <w:sz w:val="24"/>
                <w:highlight w:val="none"/>
              </w:rPr>
              <w:t>2</w:t>
            </w:r>
          </w:p>
        </w:tc>
        <w:tc>
          <w:tcPr>
            <w:tcW w:w="4602" w:type="dxa"/>
            <w:tcMar>
              <w:top w:w="0" w:type="dxa"/>
              <w:left w:w="105" w:type="dxa"/>
              <w:bottom w:w="0" w:type="dxa"/>
              <w:right w:w="105" w:type="dxa"/>
            </w:tcMar>
            <w:vAlign w:val="center"/>
          </w:tcPr>
          <w:p w14:paraId="3FB61A44">
            <w:pPr>
              <w:wordWrap w:val="0"/>
              <w:adjustRightInd w:val="0"/>
              <w:snapToGrid w:val="0"/>
              <w:jc w:val="center"/>
              <w:rPr>
                <w:rFonts w:hint="eastAsia" w:ascii="宋体" w:hAnsi="宋体" w:cs="宋体"/>
                <w:sz w:val="24"/>
                <w:szCs w:val="24"/>
                <w:highlight w:val="none"/>
              </w:rPr>
            </w:pPr>
            <w:r>
              <w:rPr>
                <w:rFonts w:hint="eastAsia" w:ascii="宋体" w:hAnsi="宋体" w:cs="宋体"/>
                <w:snapToGrid w:val="0"/>
                <w:kern w:val="0"/>
                <w:sz w:val="24"/>
                <w:szCs w:val="24"/>
                <w:highlight w:val="none"/>
              </w:rPr>
              <w:t>广东方川工程咨询有限公司</w:t>
            </w:r>
          </w:p>
        </w:tc>
        <w:tc>
          <w:tcPr>
            <w:tcW w:w="4669" w:type="dxa"/>
            <w:tcMar>
              <w:top w:w="0" w:type="dxa"/>
              <w:left w:w="105" w:type="dxa"/>
              <w:bottom w:w="0" w:type="dxa"/>
              <w:right w:w="105" w:type="dxa"/>
            </w:tcMar>
            <w:vAlign w:val="center"/>
          </w:tcPr>
          <w:p w14:paraId="481A71AD">
            <w:pPr>
              <w:snapToGrid w:val="0"/>
              <w:jc w:val="center"/>
              <w:rPr>
                <w:rFonts w:hint="eastAsia" w:ascii="宋体" w:hAnsi="宋体" w:cs="宋体"/>
                <w:sz w:val="24"/>
                <w:szCs w:val="24"/>
                <w:highlight w:val="none"/>
              </w:rPr>
            </w:pPr>
            <w:r>
              <w:rPr>
                <w:rFonts w:hint="eastAsia" w:ascii="宋体" w:hAnsi="宋体" w:cs="宋体"/>
                <w:sz w:val="24"/>
                <w:szCs w:val="24"/>
                <w:highlight w:val="none"/>
              </w:rPr>
              <w:t>为本招标项目的招标代理机构</w:t>
            </w:r>
          </w:p>
        </w:tc>
      </w:tr>
      <w:tr w14:paraId="00E5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1" w:hRule="atLeast"/>
        </w:trPr>
        <w:tc>
          <w:tcPr>
            <w:tcW w:w="830" w:type="dxa"/>
            <w:tcMar>
              <w:top w:w="0" w:type="dxa"/>
              <w:left w:w="105" w:type="dxa"/>
              <w:bottom w:w="0" w:type="dxa"/>
              <w:right w:w="105" w:type="dxa"/>
            </w:tcMar>
            <w:vAlign w:val="center"/>
          </w:tcPr>
          <w:p w14:paraId="2D65FADE">
            <w:pPr>
              <w:pStyle w:val="28"/>
              <w:spacing w:before="75" w:beforeAutospacing="0" w:after="75" w:afterAutospacing="0"/>
              <w:jc w:val="center"/>
              <w:rPr>
                <w:rFonts w:hint="eastAsia" w:ascii="宋体"/>
                <w:color w:val="auto"/>
                <w:sz w:val="24"/>
                <w:highlight w:val="none"/>
              </w:rPr>
            </w:pPr>
            <w:r>
              <w:rPr>
                <w:rFonts w:hint="eastAsia" w:ascii="宋体"/>
                <w:color w:val="auto"/>
                <w:sz w:val="24"/>
                <w:highlight w:val="none"/>
              </w:rPr>
              <w:t>3</w:t>
            </w:r>
          </w:p>
        </w:tc>
        <w:tc>
          <w:tcPr>
            <w:tcW w:w="4602" w:type="dxa"/>
            <w:tcMar>
              <w:top w:w="0" w:type="dxa"/>
              <w:left w:w="105" w:type="dxa"/>
              <w:bottom w:w="0" w:type="dxa"/>
              <w:right w:w="105" w:type="dxa"/>
            </w:tcMar>
            <w:vAlign w:val="center"/>
          </w:tcPr>
          <w:p w14:paraId="3C55D4EA">
            <w:pPr>
              <w:wordWrap w:val="0"/>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广东合正项目管理有限公司</w:t>
            </w:r>
          </w:p>
        </w:tc>
        <w:tc>
          <w:tcPr>
            <w:tcW w:w="4669" w:type="dxa"/>
            <w:tcMar>
              <w:top w:w="0" w:type="dxa"/>
              <w:left w:w="105" w:type="dxa"/>
              <w:bottom w:w="0" w:type="dxa"/>
              <w:right w:w="105" w:type="dxa"/>
            </w:tcMar>
            <w:vAlign w:val="center"/>
          </w:tcPr>
          <w:p w14:paraId="43D5ECAD">
            <w:pPr>
              <w:wordWrap w:val="0"/>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为本招标项目的可行性研究报告编制单位</w:t>
            </w:r>
          </w:p>
        </w:tc>
      </w:tr>
    </w:tbl>
    <w:p w14:paraId="7D104B6C">
      <w:pPr>
        <w:pStyle w:val="153"/>
        <w:spacing w:line="360" w:lineRule="auto"/>
        <w:ind w:firstLine="240" w:firstLineChars="100"/>
        <w:rPr>
          <w:rFonts w:hint="eastAsia" w:ascii="宋体" w:hAnsi="宋体" w:cs="宋体"/>
          <w:snapToGrid w:val="0"/>
          <w:kern w:val="0"/>
          <w:sz w:val="24"/>
          <w:highlight w:val="none"/>
        </w:rPr>
      </w:pPr>
      <w:r>
        <w:rPr>
          <w:rFonts w:hint="eastAsia" w:ascii="宋体" w:hAnsi="宋体" w:cs="宋体"/>
          <w:snapToGrid w:val="0"/>
          <w:kern w:val="0"/>
          <w:sz w:val="24"/>
          <w:highlight w:val="none"/>
        </w:rPr>
        <w:t>4.5 其他要求</w:t>
      </w:r>
    </w:p>
    <w:p w14:paraId="752A57F5">
      <w:pPr>
        <w:pStyle w:val="82"/>
        <w:keepNext/>
        <w:keepLines/>
        <w:adjustRightInd/>
        <w:ind w:firstLine="480" w:firstLineChars="200"/>
        <w:jc w:val="both"/>
        <w:outlineLvl w:val="2"/>
        <w:rPr>
          <w:rFonts w:hint="eastAsia" w:ascii="宋体" w:hAnsi="宋体" w:cs="宋体"/>
          <w:bCs/>
          <w:kern w:val="2"/>
          <w:highlight w:val="none"/>
        </w:rPr>
      </w:pPr>
      <w:bookmarkStart w:id="61" w:name="_Toc16097"/>
      <w:bookmarkStart w:id="62" w:name="_Toc30751"/>
      <w:bookmarkStart w:id="63" w:name="_Toc135054584"/>
      <w:r>
        <w:rPr>
          <w:rFonts w:hint="eastAsia" w:ascii="宋体" w:hAnsi="宋体" w:cs="宋体"/>
          <w:bCs/>
          <w:kern w:val="2"/>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bookmarkEnd w:id="61"/>
      <w:bookmarkEnd w:id="62"/>
    </w:p>
    <w:p w14:paraId="747D42C5">
      <w:pPr>
        <w:pStyle w:val="82"/>
        <w:keepNext/>
        <w:keepLines/>
        <w:adjustRightInd/>
        <w:ind w:firstLine="482" w:firstLineChars="200"/>
        <w:jc w:val="both"/>
        <w:outlineLvl w:val="2"/>
        <w:rPr>
          <w:rFonts w:hint="eastAsia" w:ascii="宋体" w:hAnsi="宋体" w:cs="宋体"/>
          <w:b/>
          <w:kern w:val="2"/>
          <w:highlight w:val="none"/>
        </w:rPr>
      </w:pPr>
      <w:bookmarkStart w:id="64" w:name="_Toc18437"/>
      <w:r>
        <w:rPr>
          <w:rFonts w:hint="eastAsia" w:ascii="宋体" w:hAnsi="宋体" w:cs="宋体"/>
          <w:b/>
          <w:kern w:val="2"/>
          <w:highlight w:val="none"/>
        </w:rPr>
        <w:t xml:space="preserve">5 </w:t>
      </w:r>
      <w:bookmarkEnd w:id="60"/>
      <w:r>
        <w:rPr>
          <w:rFonts w:hint="eastAsia" w:ascii="宋体" w:hAnsi="宋体" w:cs="宋体"/>
          <w:b/>
          <w:kern w:val="2"/>
          <w:highlight w:val="none"/>
        </w:rPr>
        <w:t>招标文件获取</w:t>
      </w:r>
      <w:bookmarkEnd w:id="63"/>
      <w:bookmarkEnd w:id="64"/>
    </w:p>
    <w:p w14:paraId="047767A5">
      <w:pPr>
        <w:tabs>
          <w:tab w:val="left" w:pos="7020"/>
        </w:tabs>
        <w:spacing w:line="360" w:lineRule="auto"/>
        <w:ind w:firstLine="480" w:firstLineChars="200"/>
        <w:rPr>
          <w:rFonts w:ascii="宋体"/>
          <w:snapToGrid w:val="0"/>
          <w:sz w:val="24"/>
          <w:highlight w:val="none"/>
        </w:rPr>
      </w:pPr>
      <w:bookmarkStart w:id="65" w:name="_Toc358"/>
      <w:r>
        <w:rPr>
          <w:rFonts w:hint="eastAsia" w:ascii="宋体"/>
          <w:sz w:val="24"/>
          <w:highlight w:val="none"/>
        </w:rPr>
        <w:t>5.1</w:t>
      </w:r>
      <w:r>
        <w:rPr>
          <w:rFonts w:hint="eastAsia" w:ascii="宋体"/>
          <w:snapToGrid w:val="0"/>
          <w:sz w:val="24"/>
          <w:highlight w:val="none"/>
        </w:rPr>
        <w:t xml:space="preserve"> 本次招标实行电子投标。本项目招标文件随招标公告一并在广东省招标投标监管网（https://www.gdzwfw.gov.cn/ztbjg-portal/#/index）、全国公共资源交易平台（广东省·韶关市）（https://ygp.gdzwfw.gov.cn/ggzy-portal/#/440200/index）网站发布。招标文件一经广东省招标投标监管网、全国公共资源交易平台（广东省·韶关市）发布，视为发送投标人，招标文件及相关附件由投标人自行在全国公共资源交易平台（广东省·韶关市）网站下载。请于招标文件获取期间,（见“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重要事项时间地点一览表”）前完成电子投标。投标人可登录全国公共资源交易平台（广东省·韶关市）（https://ygp.gdzwfw.gov.cn/ggzy-portal/#/440200/index），在【服务指南】栏目中下载《韶关市公共资源建设工程交易系统-投标人操作指南（电子评标）V1.3》，了解网上获取招标文件操作流程。技术咨询电话：0751-8379671伍先生，业务咨询电话：0751-8633211。</w:t>
      </w:r>
    </w:p>
    <w:p w14:paraId="73CFE3F4">
      <w:pPr>
        <w:pStyle w:val="28"/>
        <w:spacing w:before="0" w:beforeAutospacing="0" w:after="0" w:afterAutospacing="0" w:line="360" w:lineRule="auto"/>
        <w:ind w:firstLine="482"/>
        <w:rPr>
          <w:rFonts w:hint="eastAsia" w:ascii="宋体"/>
          <w:color w:val="auto"/>
          <w:sz w:val="24"/>
          <w:highlight w:val="none"/>
        </w:rPr>
      </w:pPr>
      <w:r>
        <w:rPr>
          <w:rFonts w:hint="eastAsia" w:ascii="宋体"/>
          <w:snapToGrid w:val="0"/>
          <w:color w:val="auto"/>
          <w:sz w:val="24"/>
          <w:highlight w:val="none"/>
        </w:rPr>
        <w:t xml:space="preserve">5.2 </w:t>
      </w:r>
      <w:r>
        <w:rPr>
          <w:rFonts w:hint="eastAsia" w:ascii="宋体"/>
          <w:color w:val="auto"/>
          <w:sz w:val="24"/>
          <w:highlight w:val="none"/>
        </w:rPr>
        <w:t>只有申领了数字证书（CA）、“粤企签”或GDCA/SZCA/NETCA等符合法律法规规定的电子印章，并在交易系统中完成企业信息数据入库的投标人，方可使用交易系统进行获取招标文件和电子投标。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0968FEA1">
      <w:pPr>
        <w:tabs>
          <w:tab w:val="left" w:pos="7020"/>
        </w:tabs>
        <w:spacing w:line="360" w:lineRule="auto"/>
        <w:ind w:firstLine="480" w:firstLineChars="200"/>
        <w:rPr>
          <w:rFonts w:hint="eastAsia" w:ascii="宋体" w:hAnsi="宋体" w:cs="宋体"/>
          <w:bCs/>
          <w:kern w:val="0"/>
          <w:sz w:val="24"/>
          <w:szCs w:val="24"/>
          <w:highlight w:val="none"/>
        </w:rPr>
      </w:pPr>
      <w:r>
        <w:rPr>
          <w:rFonts w:hint="eastAsia" w:ascii="宋体" w:hAnsi="宋体" w:cs="宋体"/>
          <w:kern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1BFD2B0D">
      <w:pPr>
        <w:pStyle w:val="83"/>
        <w:ind w:firstLine="480" w:firstLineChars="200"/>
        <w:outlineLvl w:val="3"/>
        <w:rPr>
          <w:rFonts w:hint="eastAsia" w:hAnsi="宋体" w:cs="宋体"/>
          <w:b/>
          <w:szCs w:val="24"/>
          <w:highlight w:val="none"/>
        </w:rPr>
      </w:pPr>
      <w:r>
        <w:rPr>
          <w:rFonts w:hint="eastAsia" w:hAnsi="宋体" w:cs="宋体"/>
          <w:kern w:val="0"/>
          <w:szCs w:val="24"/>
          <w:highlight w:val="none"/>
        </w:rPr>
        <w:t xml:space="preserve">5.3 </w:t>
      </w:r>
      <w:r>
        <w:rPr>
          <w:rFonts w:hint="eastAsia" w:hAnsi="宋体" w:cs="宋体"/>
          <w:szCs w:val="24"/>
          <w:highlight w:val="none"/>
        </w:rPr>
        <w:t>投标保证</w:t>
      </w:r>
    </w:p>
    <w:p w14:paraId="5A694CEA">
      <w:pPr>
        <w:tabs>
          <w:tab w:val="left" w:pos="7020"/>
        </w:tabs>
        <w:spacing w:line="360" w:lineRule="auto"/>
        <w:ind w:firstLine="480" w:firstLineChars="200"/>
        <w:rPr>
          <w:rFonts w:hint="eastAsia" w:ascii="宋体" w:hAnsi="宋体" w:cs="宋体"/>
          <w:snapToGrid w:val="0"/>
          <w:kern w:val="0"/>
          <w:sz w:val="24"/>
          <w:szCs w:val="22"/>
          <w:highlight w:val="none"/>
        </w:rPr>
      </w:pPr>
      <w:r>
        <w:rPr>
          <w:rFonts w:hint="eastAsia" w:ascii="宋体" w:hAnsi="宋体" w:cs="宋体"/>
          <w:kern w:val="0"/>
          <w:sz w:val="24"/>
          <w:szCs w:val="24"/>
          <w:highlight w:val="none"/>
        </w:rPr>
        <w:t xml:space="preserve">5.3.1 </w:t>
      </w:r>
      <w:r>
        <w:rPr>
          <w:rFonts w:hint="eastAsia" w:ascii="宋体" w:hAnsi="宋体" w:cs="宋体"/>
          <w:snapToGrid w:val="0"/>
          <w:kern w:val="0"/>
          <w:sz w:val="24"/>
          <w:szCs w:val="22"/>
          <w:highlight w:val="none"/>
        </w:rPr>
        <w:t>投标人须缴纳金额为人民币</w:t>
      </w:r>
      <w:r>
        <w:rPr>
          <w:rFonts w:hint="eastAsia" w:ascii="宋体" w:hAnsi="宋体" w:cs="宋体"/>
          <w:snapToGrid w:val="0"/>
          <w:kern w:val="0"/>
          <w:sz w:val="24"/>
          <w:szCs w:val="22"/>
          <w:highlight w:val="none"/>
          <w:u w:val="single"/>
          <w:lang w:val="en-US" w:eastAsia="zh-CN"/>
        </w:rPr>
        <w:t>贰</w:t>
      </w:r>
      <w:r>
        <w:rPr>
          <w:rFonts w:hint="eastAsia" w:ascii="宋体" w:hAnsi="宋体" w:cs="宋体"/>
          <w:snapToGrid w:val="0"/>
          <w:kern w:val="0"/>
          <w:sz w:val="24"/>
          <w:szCs w:val="22"/>
          <w:highlight w:val="none"/>
          <w:u w:val="single"/>
        </w:rPr>
        <w:t>万元整（¥</w:t>
      </w:r>
      <w:r>
        <w:rPr>
          <w:rFonts w:hint="eastAsia" w:ascii="宋体" w:hAnsi="宋体" w:cs="宋体"/>
          <w:snapToGrid w:val="0"/>
          <w:kern w:val="0"/>
          <w:sz w:val="24"/>
          <w:szCs w:val="22"/>
          <w:highlight w:val="none"/>
          <w:u w:val="single"/>
          <w:lang w:val="en-US" w:eastAsia="zh-CN"/>
        </w:rPr>
        <w:t>20</w:t>
      </w:r>
      <w:bookmarkStart w:id="374" w:name="_GoBack"/>
      <w:bookmarkEnd w:id="374"/>
      <w:r>
        <w:rPr>
          <w:rFonts w:hint="eastAsia" w:ascii="宋体" w:hAnsi="宋体" w:cs="宋体"/>
          <w:snapToGrid w:val="0"/>
          <w:kern w:val="0"/>
          <w:sz w:val="24"/>
          <w:szCs w:val="22"/>
          <w:highlight w:val="none"/>
          <w:u w:val="single"/>
        </w:rPr>
        <w:t>000.00元）</w:t>
      </w:r>
      <w:r>
        <w:rPr>
          <w:rFonts w:hint="eastAsia" w:ascii="宋体" w:hAnsi="宋体" w:cs="宋体"/>
          <w:snapToGrid w:val="0"/>
          <w:kern w:val="0"/>
          <w:sz w:val="24"/>
          <w:szCs w:val="22"/>
          <w:highlight w:val="none"/>
        </w:rPr>
        <w:t>的投标保证。</w:t>
      </w:r>
    </w:p>
    <w:p w14:paraId="14B899E2">
      <w:pPr>
        <w:tabs>
          <w:tab w:val="left" w:pos="7020"/>
        </w:tabs>
        <w:spacing w:line="360" w:lineRule="auto"/>
        <w:ind w:firstLine="480" w:firstLineChars="200"/>
        <w:rPr>
          <w:rFonts w:hint="eastAsia" w:ascii="宋体" w:hAnsi="宋体" w:cs="宋体"/>
          <w:snapToGrid w:val="0"/>
          <w:kern w:val="0"/>
          <w:sz w:val="24"/>
          <w:szCs w:val="22"/>
          <w:highlight w:val="none"/>
        </w:rPr>
      </w:pPr>
      <w:r>
        <w:rPr>
          <w:rFonts w:hint="eastAsia" w:ascii="宋体" w:hAnsi="宋体" w:cs="宋体"/>
          <w:kern w:val="0"/>
          <w:sz w:val="24"/>
          <w:szCs w:val="24"/>
          <w:highlight w:val="none"/>
        </w:rPr>
        <w:t xml:space="preserve">5.3.2 </w:t>
      </w:r>
      <w:r>
        <w:rPr>
          <w:rFonts w:hint="eastAsia" w:ascii="宋体" w:hAnsi="宋体" w:cs="宋体"/>
          <w:snapToGrid w:val="0"/>
          <w:kern w:val="0"/>
          <w:sz w:val="24"/>
          <w:szCs w:val="22"/>
          <w:highlight w:val="none"/>
        </w:rPr>
        <w:t>投标保证的形式包括投标保证金、投标保证担保、投标保证保险三种，由投标人自主选择。</w:t>
      </w:r>
    </w:p>
    <w:p w14:paraId="08F423A9">
      <w:pPr>
        <w:tabs>
          <w:tab w:val="left" w:pos="7020"/>
        </w:tabs>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1）采用投标保证金的，投标人在建设工程交易系统获取招标文件完毕后，即可在系统申请缴纳投标保证金，获取本次招标投标保证金缴纳账号。投标人必须于投标保证金到账截止时间（“重要事项时间地点一览表”）前，从其基本账户将投标保证金转账到指定的缴纳账号。逾期到账的、从非投标人基本账户转出的，其投标无效。</w:t>
      </w:r>
    </w:p>
    <w:p w14:paraId="1908B27C">
      <w:pPr>
        <w:tabs>
          <w:tab w:val="left" w:pos="7020"/>
        </w:tabs>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2）采用投标保证担保的，投标人应提交有效的电子保函，电子保函的有效期不得短于投标有效期。投标人必须在投标保证担保截止时间（详见“重要事项时间地点一览表”）前，使用工程建设交易系统完成网上办理电子保函。</w:t>
      </w:r>
    </w:p>
    <w:p w14:paraId="7DB3F956">
      <w:pPr>
        <w:tabs>
          <w:tab w:val="left" w:pos="7020"/>
        </w:tabs>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3）采用投标保证保险的，投标人须在投标保证保险投保截止时间（见“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ygp.gdzwfw.gov.cn/ggzy-portal/#/440200/index），在【服务指南】栏目中下载《韶关市公共资源建设工程交易系统-投标人操作指南（电子评标）V1.3》，了解网上投保具体操作流程。逾期投保的，其投标无效。</w:t>
      </w:r>
    </w:p>
    <w:p w14:paraId="7C716494">
      <w:pPr>
        <w:tabs>
          <w:tab w:val="left" w:pos="7020"/>
        </w:tabs>
        <w:spacing w:line="360" w:lineRule="auto"/>
        <w:ind w:firstLine="480" w:firstLineChars="200"/>
        <w:rPr>
          <w:rFonts w:hint="eastAsia" w:ascii="宋体" w:hAnsi="宋体" w:cs="宋体"/>
          <w:snapToGrid w:val="0"/>
          <w:kern w:val="0"/>
          <w:sz w:val="24"/>
          <w:szCs w:val="22"/>
          <w:highlight w:val="none"/>
        </w:rPr>
      </w:pPr>
      <w:r>
        <w:rPr>
          <w:rFonts w:hint="eastAsia" w:ascii="宋体" w:hAnsi="宋体" w:cs="宋体"/>
          <w:kern w:val="0"/>
          <w:sz w:val="24"/>
          <w:szCs w:val="24"/>
          <w:highlight w:val="none"/>
          <w:shd w:val="clear" w:color="auto" w:fill="FFFFFF"/>
        </w:rPr>
        <w:t>温馨提醒：1.投标人采用投标保证担保或投标保证保险的，为避免在评标过程中因有效期发生争议，建议投标人将银行保函或电子保单有效期设置为较招标文件规定的投标有效期延长不少于20个日历天。</w:t>
      </w:r>
    </w:p>
    <w:p w14:paraId="252C8A36">
      <w:pPr>
        <w:tabs>
          <w:tab w:val="left" w:pos="7020"/>
        </w:tabs>
        <w:spacing w:line="360" w:lineRule="auto"/>
        <w:ind w:firstLine="480" w:firstLineChars="200"/>
        <w:rPr>
          <w:rFonts w:hint="eastAsia" w:ascii="宋体" w:hAnsi="宋体" w:cs="宋体"/>
          <w:snapToGrid w:val="0"/>
          <w:sz w:val="24"/>
          <w:szCs w:val="22"/>
          <w:highlight w:val="none"/>
        </w:rPr>
      </w:pPr>
      <w:r>
        <w:rPr>
          <w:rFonts w:hint="eastAsia" w:ascii="宋体" w:hAnsi="宋体" w:cs="宋体"/>
          <w:kern w:val="0"/>
          <w:sz w:val="24"/>
          <w:szCs w:val="24"/>
          <w:highlight w:val="none"/>
        </w:rPr>
        <w:t xml:space="preserve">5.4 </w:t>
      </w:r>
      <w:r>
        <w:rPr>
          <w:rFonts w:hint="eastAsia" w:ascii="宋体" w:hAnsi="宋体" w:cs="宋体"/>
          <w:snapToGrid w:val="0"/>
          <w:sz w:val="24"/>
          <w:szCs w:val="22"/>
          <w:highlight w:val="none"/>
        </w:rPr>
        <w:t>若投标人因自身原因未能正确完成</w:t>
      </w:r>
      <w:r>
        <w:rPr>
          <w:rFonts w:hint="eastAsia" w:ascii="宋体" w:hAnsi="宋体" w:cs="宋体"/>
          <w:kern w:val="0"/>
          <w:sz w:val="24"/>
          <w:szCs w:val="24"/>
          <w:highlight w:val="none"/>
          <w:shd w:val="clear" w:color="auto" w:fill="FFFFFF"/>
        </w:rPr>
        <w:t>获取招标文件</w:t>
      </w:r>
      <w:r>
        <w:rPr>
          <w:rFonts w:hint="eastAsia" w:ascii="宋体" w:hAnsi="宋体" w:cs="宋体"/>
          <w:snapToGrid w:val="0"/>
          <w:sz w:val="24"/>
          <w:szCs w:val="22"/>
          <w:highlight w:val="none"/>
        </w:rPr>
        <w:t>、电子投标、缴纳投标保证的，其投标无效。</w:t>
      </w:r>
    </w:p>
    <w:p w14:paraId="38BF0A9E">
      <w:pPr>
        <w:pStyle w:val="82"/>
        <w:keepNext/>
        <w:keepLines/>
        <w:adjustRightInd/>
        <w:ind w:firstLine="482" w:firstLineChars="200"/>
        <w:jc w:val="both"/>
        <w:outlineLvl w:val="2"/>
        <w:rPr>
          <w:rFonts w:hint="eastAsia" w:ascii="宋体" w:hAnsi="宋体" w:cs="宋体"/>
          <w:b/>
          <w:kern w:val="2"/>
          <w:highlight w:val="none"/>
        </w:rPr>
      </w:pPr>
      <w:bookmarkStart w:id="66" w:name="_Toc24405"/>
      <w:bookmarkStart w:id="67" w:name="_Toc135054585"/>
      <w:r>
        <w:rPr>
          <w:rFonts w:hint="eastAsia" w:ascii="宋体" w:hAnsi="宋体" w:cs="宋体"/>
          <w:b/>
          <w:kern w:val="2"/>
          <w:highlight w:val="none"/>
        </w:rPr>
        <w:t xml:space="preserve">6 </w:t>
      </w:r>
      <w:bookmarkEnd w:id="65"/>
      <w:r>
        <w:rPr>
          <w:rFonts w:hint="eastAsia" w:ascii="宋体" w:hAnsi="宋体" w:cs="宋体"/>
          <w:b/>
          <w:kern w:val="2"/>
          <w:highlight w:val="none"/>
        </w:rPr>
        <w:t>设计工程内容和质量标准</w:t>
      </w:r>
      <w:bookmarkEnd w:id="66"/>
      <w:bookmarkEnd w:id="67"/>
    </w:p>
    <w:p w14:paraId="14071070">
      <w:pPr>
        <w:pStyle w:val="83"/>
        <w:ind w:left="19" w:leftChars="9" w:firstLine="460" w:firstLineChars="191"/>
        <w:jc w:val="left"/>
        <w:rPr>
          <w:rFonts w:hint="eastAsia" w:hAnsi="宋体" w:cs="宋体"/>
          <w:szCs w:val="24"/>
          <w:highlight w:val="none"/>
        </w:rPr>
      </w:pPr>
      <w:bookmarkStart w:id="68" w:name="_Toc7567"/>
      <w:bookmarkStart w:id="69" w:name="_Toc135054586"/>
      <w:r>
        <w:rPr>
          <w:rFonts w:hint="eastAsia" w:hAnsi="宋体" w:cs="宋体"/>
          <w:b/>
          <w:szCs w:val="24"/>
          <w:highlight w:val="none"/>
        </w:rPr>
        <w:t xml:space="preserve">6.1 </w:t>
      </w:r>
      <w:r>
        <w:rPr>
          <w:rFonts w:hint="eastAsia" w:hAnsi="宋体" w:cs="宋体"/>
          <w:b/>
          <w:bCs/>
          <w:szCs w:val="24"/>
          <w:highlight w:val="none"/>
        </w:rPr>
        <w:t>本次设计工程的内容具体详见设计任务书。</w:t>
      </w:r>
    </w:p>
    <w:p w14:paraId="6E0E65A3">
      <w:pPr>
        <w:adjustRightInd w:val="0"/>
        <w:snapToGrid w:val="0"/>
        <w:spacing w:line="360" w:lineRule="auto"/>
        <w:ind w:firstLine="482" w:firstLineChars="200"/>
        <w:rPr>
          <w:rFonts w:hint="eastAsia" w:hAnsi="宋体" w:cs="宋体"/>
          <w:sz w:val="24"/>
          <w:szCs w:val="24"/>
          <w:highlight w:val="none"/>
        </w:rPr>
      </w:pPr>
      <w:r>
        <w:rPr>
          <w:rFonts w:hint="eastAsia" w:ascii="宋体" w:hAnsi="宋体" w:cs="宋体"/>
          <w:b/>
          <w:bCs/>
          <w:sz w:val="24"/>
          <w:szCs w:val="24"/>
          <w:highlight w:val="none"/>
        </w:rPr>
        <w:t>6.2</w:t>
      </w:r>
      <w:r>
        <w:rPr>
          <w:rFonts w:hint="eastAsia" w:ascii="宋体" w:hAnsi="宋体" w:cs="宋体"/>
          <w:sz w:val="24"/>
          <w:szCs w:val="24"/>
          <w:highlight w:val="none"/>
        </w:rPr>
        <w:t xml:space="preserve"> </w:t>
      </w:r>
      <w:r>
        <w:rPr>
          <w:rFonts w:hint="eastAsia" w:hAnsi="宋体" w:cs="宋体"/>
          <w:sz w:val="24"/>
          <w:szCs w:val="24"/>
          <w:highlight w:val="none"/>
        </w:rPr>
        <w:t>质量标准</w:t>
      </w:r>
      <w:r>
        <w:rPr>
          <w:rFonts w:hint="eastAsia" w:ascii="宋体" w:hAnsi="宋体" w:cs="宋体"/>
          <w:sz w:val="24"/>
          <w:szCs w:val="24"/>
          <w:highlight w:val="none"/>
        </w:rPr>
        <w:t>：</w:t>
      </w:r>
      <w:r>
        <w:rPr>
          <w:rFonts w:hint="eastAsia" w:hAnsi="宋体" w:cs="宋体"/>
          <w:sz w:val="24"/>
          <w:szCs w:val="24"/>
          <w:highlight w:val="none"/>
        </w:rPr>
        <w:t>必须通过有关部门的审查及经有资质的审图机构审查合格。</w:t>
      </w:r>
    </w:p>
    <w:p w14:paraId="395E0CF6">
      <w:pPr>
        <w:adjustRightInd w:val="0"/>
        <w:snapToGrid w:val="0"/>
        <w:spacing w:line="360" w:lineRule="auto"/>
        <w:ind w:firstLine="482" w:firstLineChars="200"/>
        <w:rPr>
          <w:rFonts w:hint="eastAsia" w:ascii="宋体" w:hAnsi="宋体" w:cs="宋体"/>
          <w:snapToGrid w:val="0"/>
          <w:kern w:val="0"/>
          <w:sz w:val="24"/>
          <w:szCs w:val="24"/>
          <w:highlight w:val="none"/>
        </w:rPr>
      </w:pPr>
      <w:r>
        <w:rPr>
          <w:rFonts w:hint="eastAsia" w:ascii="宋体" w:hAnsi="宋体" w:cs="宋体"/>
          <w:b/>
          <w:bCs/>
          <w:sz w:val="24"/>
          <w:szCs w:val="24"/>
          <w:highlight w:val="none"/>
        </w:rPr>
        <w:t>6.3</w:t>
      </w:r>
      <w:r>
        <w:rPr>
          <w:rFonts w:hint="eastAsia" w:ascii="宋体" w:hAnsi="宋体" w:cs="宋体"/>
          <w:sz w:val="24"/>
          <w:szCs w:val="24"/>
          <w:highlight w:val="none"/>
        </w:rPr>
        <w:t xml:space="preserve"> </w:t>
      </w:r>
      <w:r>
        <w:rPr>
          <w:rFonts w:hint="eastAsia" w:ascii="宋体" w:hAnsi="宋体" w:cs="宋体"/>
          <w:snapToGrid w:val="0"/>
          <w:kern w:val="0"/>
          <w:sz w:val="24"/>
          <w:szCs w:val="24"/>
          <w:highlight w:val="none"/>
        </w:rPr>
        <w:t>施工期间若遇到工程变更、突发事件或不可遇见的事件等情况，设计人员接到建设单位或监理单位通知后应当立即到达施工现场，研究并及时处理问题。</w:t>
      </w:r>
    </w:p>
    <w:p w14:paraId="6823FED3">
      <w:pPr>
        <w:adjustRightInd w:val="0"/>
        <w:snapToGrid w:val="0"/>
        <w:spacing w:line="360" w:lineRule="auto"/>
        <w:ind w:firstLine="482" w:firstLineChars="200"/>
        <w:rPr>
          <w:rFonts w:hint="eastAsia" w:ascii="宋体" w:hAnsi="宋体" w:cs="宋体"/>
          <w:b/>
          <w:sz w:val="24"/>
          <w:szCs w:val="24"/>
          <w:highlight w:val="none"/>
        </w:rPr>
      </w:pPr>
      <w:r>
        <w:rPr>
          <w:rFonts w:hint="eastAsia" w:ascii="宋体" w:hAnsi="宋体" w:cs="宋体"/>
          <w:b/>
          <w:bCs/>
          <w:sz w:val="24"/>
          <w:szCs w:val="24"/>
          <w:highlight w:val="none"/>
        </w:rPr>
        <w:t>6.4</w:t>
      </w:r>
      <w:r>
        <w:rPr>
          <w:rFonts w:hint="eastAsia" w:ascii="宋体" w:hAnsi="宋体" w:cs="宋体"/>
          <w:sz w:val="24"/>
          <w:szCs w:val="24"/>
          <w:highlight w:val="none"/>
        </w:rPr>
        <w:t xml:space="preserve"> </w:t>
      </w:r>
      <w:r>
        <w:rPr>
          <w:rFonts w:hint="eastAsia" w:ascii="宋体" w:hAnsi="宋体" w:cs="宋体"/>
          <w:b/>
          <w:sz w:val="24"/>
          <w:szCs w:val="24"/>
          <w:highlight w:val="none"/>
        </w:rPr>
        <w:t>关于设计深度的要求</w:t>
      </w:r>
    </w:p>
    <w:p w14:paraId="47F3CD1A">
      <w:pPr>
        <w:adjustRightInd w:val="0"/>
        <w:snapToGrid w:val="0"/>
        <w:spacing w:line="360" w:lineRule="auto"/>
        <w:ind w:firstLine="560"/>
        <w:rPr>
          <w:rFonts w:hint="eastAsia" w:ascii="宋体" w:hAnsi="宋体" w:cs="宋体"/>
          <w:sz w:val="24"/>
          <w:szCs w:val="24"/>
          <w:highlight w:val="none"/>
        </w:rPr>
      </w:pPr>
      <w:r>
        <w:rPr>
          <w:rFonts w:hint="eastAsia" w:ascii="宋体" w:hAnsi="宋体" w:cs="宋体"/>
          <w:sz w:val="24"/>
          <w:szCs w:val="24"/>
          <w:highlight w:val="none"/>
        </w:rPr>
        <w:t>6.4.1 按国家及地方现行的设计文件深度规定等有关技术标准、设计规范（标准）要求。</w:t>
      </w:r>
    </w:p>
    <w:p w14:paraId="6F104039">
      <w:pPr>
        <w:adjustRightInd w:val="0"/>
        <w:snapToGrid w:val="0"/>
        <w:spacing w:line="360" w:lineRule="auto"/>
        <w:ind w:firstLine="560"/>
        <w:rPr>
          <w:rFonts w:hint="eastAsia" w:ascii="宋体" w:hAnsi="宋体" w:cs="宋体"/>
          <w:sz w:val="24"/>
          <w:szCs w:val="24"/>
          <w:highlight w:val="none"/>
        </w:rPr>
      </w:pPr>
      <w:r>
        <w:rPr>
          <w:rFonts w:hint="eastAsia" w:ascii="宋体" w:hAnsi="宋体" w:cs="宋体"/>
          <w:sz w:val="24"/>
          <w:szCs w:val="24"/>
          <w:highlight w:val="none"/>
        </w:rPr>
        <w:t>6.4.2 各专业设计应同步进行，涉及单位应指定总体设计人统筹布局，做好各项设施的协调和衔接、位置预留，不得留待施工中临时变更。</w:t>
      </w:r>
    </w:p>
    <w:p w14:paraId="5D7CCC7B">
      <w:pPr>
        <w:adjustRightInd w:val="0"/>
        <w:snapToGrid w:val="0"/>
        <w:spacing w:line="360" w:lineRule="auto"/>
        <w:ind w:firstLine="560"/>
        <w:rPr>
          <w:rFonts w:hint="eastAsia" w:ascii="宋体" w:hAnsi="宋体" w:cs="宋体"/>
          <w:sz w:val="24"/>
          <w:szCs w:val="24"/>
          <w:highlight w:val="none"/>
        </w:rPr>
      </w:pPr>
      <w:r>
        <w:rPr>
          <w:rFonts w:hint="eastAsia" w:ascii="宋体" w:hAnsi="宋体" w:cs="宋体"/>
          <w:sz w:val="24"/>
          <w:szCs w:val="24"/>
          <w:highlight w:val="none"/>
        </w:rPr>
        <w:t>6.4.3 对技术复杂或造价、规模较大的主要分项工程应作方案比较。</w:t>
      </w:r>
    </w:p>
    <w:p w14:paraId="17BD7B9A">
      <w:pPr>
        <w:adjustRightInd w:val="0"/>
        <w:snapToGrid w:val="0"/>
        <w:spacing w:line="360" w:lineRule="auto"/>
        <w:ind w:firstLine="560"/>
        <w:rPr>
          <w:rFonts w:hint="eastAsia" w:ascii="宋体" w:hAnsi="宋体" w:cs="宋体"/>
          <w:sz w:val="24"/>
          <w:szCs w:val="24"/>
          <w:highlight w:val="none"/>
        </w:rPr>
      </w:pPr>
      <w:r>
        <w:rPr>
          <w:rFonts w:hint="eastAsia" w:ascii="宋体" w:hAnsi="宋体" w:cs="宋体"/>
          <w:sz w:val="24"/>
          <w:szCs w:val="24"/>
          <w:highlight w:val="none"/>
        </w:rPr>
        <w:t>6.4.4 相关的配套外部接口方案均需取得政府主管部门或规划部门认可。</w:t>
      </w:r>
    </w:p>
    <w:p w14:paraId="5B3B9285">
      <w:pPr>
        <w:adjustRightInd w:val="0"/>
        <w:snapToGrid w:val="0"/>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6.5 限额设计要求</w:t>
      </w:r>
    </w:p>
    <w:p w14:paraId="1770CE69">
      <w:pPr>
        <w:adjustRightInd w:val="0"/>
        <w:snapToGrid w:val="0"/>
        <w:spacing w:line="360" w:lineRule="auto"/>
        <w:ind w:firstLine="561"/>
        <w:rPr>
          <w:rFonts w:ascii="Arial" w:hAnsi="Arial" w:cs="Arial"/>
          <w:sz w:val="24"/>
          <w:szCs w:val="24"/>
          <w:highlight w:val="none"/>
        </w:rPr>
      </w:pPr>
      <w:r>
        <w:rPr>
          <w:rFonts w:hint="eastAsia" w:ascii="Arial" w:hAnsi="Arial" w:cs="Arial"/>
          <w:sz w:val="24"/>
          <w:szCs w:val="24"/>
          <w:highlight w:val="none"/>
        </w:rPr>
        <w:t>初步设计概算</w:t>
      </w:r>
      <w:r>
        <w:rPr>
          <w:rFonts w:ascii="宋体" w:hAnsi="宋体"/>
          <w:sz w:val="24"/>
          <w:szCs w:val="24"/>
          <w:highlight w:val="none"/>
        </w:rPr>
        <w:t>不得超过经批准的可行性研究报告总投资</w:t>
      </w:r>
      <w:r>
        <w:rPr>
          <w:rFonts w:hint="eastAsia" w:ascii="Arial" w:hAnsi="Arial" w:cs="Arial"/>
          <w:sz w:val="24"/>
          <w:szCs w:val="24"/>
          <w:highlight w:val="none"/>
        </w:rPr>
        <w:t>且概算中的建安工程费不得超过投资估算中的建安工程费。</w:t>
      </w:r>
      <w:r>
        <w:rPr>
          <w:rFonts w:hint="eastAsia" w:ascii="宋体" w:hAnsi="宋体" w:cs="宋体"/>
          <w:sz w:val="24"/>
          <w:szCs w:val="24"/>
          <w:highlight w:val="none"/>
        </w:rPr>
        <w:t>在保证设计质量的前提下，设计人应按投资限额进行设计，严格控制设计变更，确保工程概算不突破限额目标。</w:t>
      </w:r>
      <w:r>
        <w:rPr>
          <w:rFonts w:hint="eastAsia" w:ascii="Arial" w:hAnsi="Arial" w:cs="Arial"/>
          <w:sz w:val="24"/>
          <w:szCs w:val="24"/>
          <w:highlight w:val="none"/>
        </w:rPr>
        <w:t>如超过则必须进行方案修改，并承诺该修改不改变有关设计和规划的原则、内容与要求，不改变原方案设计的构思，不降低使用功能与设计质量标准，无条件进行优化设计且不计取任何费用，直至不超过投资估算限额为止。</w:t>
      </w:r>
    </w:p>
    <w:p w14:paraId="5DAB60AB">
      <w:pPr>
        <w:adjustRightInd w:val="0"/>
        <w:snapToGrid w:val="0"/>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6.6</w:t>
      </w:r>
      <w:r>
        <w:rPr>
          <w:rFonts w:hint="eastAsia" w:ascii="宋体" w:hAnsi="宋体" w:cs="宋体"/>
          <w:sz w:val="24"/>
          <w:szCs w:val="24"/>
          <w:highlight w:val="none"/>
        </w:rPr>
        <w:t>设计时需要考虑与周边地块的开发相结合及相关规划方案的要求进行设计。</w:t>
      </w:r>
    </w:p>
    <w:p w14:paraId="12A867C0">
      <w:pPr>
        <w:adjustRightInd w:val="0"/>
        <w:snapToGrid w:val="0"/>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6.7</w:t>
      </w:r>
      <w:r>
        <w:rPr>
          <w:rFonts w:hint="eastAsia" w:ascii="宋体" w:hAnsi="宋体" w:cs="宋体"/>
          <w:sz w:val="24"/>
          <w:szCs w:val="24"/>
          <w:highlight w:val="none"/>
        </w:rPr>
        <w:t>凡参加本次招标的投标人被视为已充分认识和理解了任何与本项目有关的影响事项和困难等情况。</w:t>
      </w:r>
    </w:p>
    <w:p w14:paraId="61A0EC3E">
      <w:pPr>
        <w:pStyle w:val="83"/>
        <w:ind w:firstLine="482" w:firstLineChars="200"/>
        <w:outlineLvl w:val="3"/>
        <w:rPr>
          <w:rFonts w:hint="eastAsia" w:hAnsi="宋体" w:cs="宋体"/>
          <w:highlight w:val="none"/>
        </w:rPr>
      </w:pPr>
      <w:r>
        <w:rPr>
          <w:rFonts w:hint="eastAsia" w:hAnsi="宋体" w:cs="宋体"/>
          <w:b/>
          <w:szCs w:val="24"/>
          <w:highlight w:val="none"/>
          <w:u w:val="single"/>
        </w:rPr>
        <w:t>（注：上述招标内容具体参见设工程设计任务书，同时招标人在实施过程中可根据实际情况对工程</w:t>
      </w:r>
      <w:r>
        <w:rPr>
          <w:rFonts w:hint="eastAsia" w:hAnsi="宋体" w:cs="宋体"/>
          <w:b/>
          <w:highlight w:val="none"/>
          <w:u w:val="single"/>
        </w:rPr>
        <w:t>规模、任务内容等进行合理、适当调整</w:t>
      </w:r>
      <w:r>
        <w:rPr>
          <w:rFonts w:hint="eastAsia" w:hAnsi="宋体" w:cs="宋体"/>
          <w:highlight w:val="none"/>
        </w:rPr>
        <w:t>。）</w:t>
      </w:r>
    </w:p>
    <w:p w14:paraId="7593E8E7">
      <w:pPr>
        <w:pStyle w:val="83"/>
        <w:ind w:firstLine="482" w:firstLineChars="200"/>
        <w:outlineLvl w:val="3"/>
        <w:rPr>
          <w:rFonts w:hint="eastAsia" w:hAnsi="宋体" w:cs="宋体"/>
          <w:b/>
          <w:bCs/>
          <w:highlight w:val="none"/>
        </w:rPr>
      </w:pPr>
      <w:r>
        <w:rPr>
          <w:rFonts w:hint="eastAsia" w:hAnsi="宋体" w:cs="宋体"/>
          <w:b/>
          <w:bCs/>
          <w:highlight w:val="none"/>
        </w:rPr>
        <w:t xml:space="preserve">7 </w:t>
      </w:r>
      <w:bookmarkEnd w:id="68"/>
      <w:r>
        <w:rPr>
          <w:rFonts w:hint="eastAsia" w:hAnsi="宋体" w:cs="宋体"/>
          <w:b/>
          <w:bCs/>
          <w:highlight w:val="none"/>
        </w:rPr>
        <w:t>现场踏勘</w:t>
      </w:r>
      <w:bookmarkEnd w:id="69"/>
    </w:p>
    <w:p w14:paraId="465AD2B7">
      <w:pPr>
        <w:pStyle w:val="83"/>
        <w:ind w:firstLine="480" w:firstLineChars="200"/>
        <w:outlineLvl w:val="3"/>
        <w:rPr>
          <w:rFonts w:hint="eastAsia" w:hAnsi="宋体" w:cs="宋体"/>
          <w:highlight w:val="none"/>
        </w:rPr>
      </w:pPr>
      <w:r>
        <w:rPr>
          <w:rFonts w:hint="eastAsia" w:hAnsi="宋体" w:cs="宋体"/>
          <w:highlight w:val="none"/>
        </w:rPr>
        <w:t>7.1 招标人不集中现场踏勘。投标人需要了解现场情况的，可自行进行现场踏勘。</w:t>
      </w:r>
    </w:p>
    <w:p w14:paraId="2552866E">
      <w:pPr>
        <w:pStyle w:val="83"/>
        <w:ind w:firstLine="480" w:firstLineChars="200"/>
        <w:rPr>
          <w:rFonts w:hint="eastAsia" w:hAnsi="宋体" w:cs="宋体"/>
          <w:highlight w:val="none"/>
        </w:rPr>
      </w:pPr>
      <w:r>
        <w:rPr>
          <w:rFonts w:hint="eastAsia" w:hAnsi="宋体" w:cs="宋体"/>
          <w:highlight w:val="none"/>
        </w:rPr>
        <w:t>7.2 在现场踏勘过程中，投标人应确保自身安全，投标人如果发生人身伤亡、财物或其他损失，法律法规有规定的按有关规定处理，没有规定的由投标人自行负责。</w:t>
      </w:r>
    </w:p>
    <w:p w14:paraId="69FBFC88">
      <w:pPr>
        <w:pStyle w:val="83"/>
        <w:ind w:firstLine="480" w:firstLineChars="200"/>
        <w:outlineLvl w:val="3"/>
        <w:rPr>
          <w:rFonts w:hint="eastAsia" w:hAnsi="宋体" w:cs="宋体"/>
          <w:highlight w:val="none"/>
        </w:rPr>
      </w:pPr>
      <w:r>
        <w:rPr>
          <w:rFonts w:hint="eastAsia" w:hAnsi="宋体" w:cs="宋体"/>
          <w:highlight w:val="none"/>
        </w:rPr>
        <w:t>7.3 现场踏勘期间的交通、食宿由投标人自行安排，费用自理。</w:t>
      </w:r>
    </w:p>
    <w:p w14:paraId="0313CDB1">
      <w:pPr>
        <w:pStyle w:val="82"/>
        <w:keepNext/>
        <w:keepLines/>
        <w:adjustRightInd/>
        <w:ind w:firstLine="482" w:firstLineChars="200"/>
        <w:jc w:val="both"/>
        <w:outlineLvl w:val="2"/>
        <w:rPr>
          <w:rFonts w:hint="eastAsia" w:ascii="宋体" w:hAnsi="宋体" w:cs="宋体"/>
          <w:b/>
          <w:kern w:val="2"/>
          <w:highlight w:val="none"/>
        </w:rPr>
      </w:pPr>
      <w:bookmarkStart w:id="70" w:name="_Toc18571"/>
      <w:bookmarkStart w:id="71" w:name="_Toc6699"/>
      <w:bookmarkStart w:id="72" w:name="_Toc135054587"/>
      <w:r>
        <w:rPr>
          <w:rFonts w:hint="eastAsia" w:ascii="宋体" w:hAnsi="宋体" w:cs="宋体"/>
          <w:b/>
          <w:kern w:val="2"/>
          <w:highlight w:val="none"/>
        </w:rPr>
        <w:t>8 招标答疑</w:t>
      </w:r>
      <w:bookmarkEnd w:id="70"/>
      <w:bookmarkEnd w:id="71"/>
      <w:bookmarkEnd w:id="72"/>
      <w:bookmarkStart w:id="73" w:name="_Hlt74496410"/>
      <w:bookmarkEnd w:id="73"/>
    </w:p>
    <w:p w14:paraId="29C6C270">
      <w:pPr>
        <w:pStyle w:val="83"/>
        <w:ind w:firstLine="480" w:firstLineChars="200"/>
        <w:rPr>
          <w:rFonts w:hint="eastAsia" w:hAnsi="宋体" w:cs="宋体"/>
          <w:highlight w:val="none"/>
        </w:rPr>
      </w:pPr>
      <w:bookmarkStart w:id="74" w:name="_Hlt92513711"/>
      <w:bookmarkEnd w:id="74"/>
      <w:bookmarkStart w:id="75" w:name="_Hlt69699188"/>
      <w:bookmarkEnd w:id="75"/>
      <w:bookmarkStart w:id="76" w:name="_Hlt92513715"/>
      <w:bookmarkEnd w:id="76"/>
      <w:r>
        <w:rPr>
          <w:rFonts w:hint="eastAsia" w:hAnsi="宋体" w:cs="宋体"/>
          <w:highlight w:val="none"/>
        </w:rPr>
        <w:t>8.1招标人及招标代理机构不集中组织答疑，实行网上答疑。招标人在提问截止时间(见本章“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491E12F0">
      <w:pPr>
        <w:pStyle w:val="83"/>
        <w:ind w:firstLine="480" w:firstLineChars="200"/>
        <w:rPr>
          <w:rFonts w:hint="eastAsia" w:hAnsi="宋体" w:cs="宋体"/>
          <w:highlight w:val="none"/>
        </w:rPr>
      </w:pPr>
      <w:r>
        <w:rPr>
          <w:rFonts w:hint="eastAsia" w:hAnsi="宋体" w:cs="宋体"/>
          <w:highlight w:val="none"/>
        </w:rPr>
        <w:t>8.2若由于投标人自身原因未及时获得答疑书（或补充通知），由此发生的任何责任由投标人自行承担。</w:t>
      </w:r>
    </w:p>
    <w:p w14:paraId="21C96046">
      <w:pPr>
        <w:pStyle w:val="83"/>
        <w:ind w:firstLine="480" w:firstLineChars="200"/>
        <w:rPr>
          <w:rFonts w:hint="eastAsia" w:hAnsi="宋体" w:cs="宋体"/>
          <w:highlight w:val="none"/>
        </w:rPr>
      </w:pPr>
      <w:r>
        <w:rPr>
          <w:rFonts w:hint="eastAsia" w:hAnsi="宋体" w:cs="宋体"/>
          <w:highlight w:val="none"/>
        </w:rPr>
        <w:t>8.3 答疑书（或补充通知）对招标文件的修改或补充内容作为招标文件的组成部分，具有约束作用。招标文件的澄清、修改、补充等内容均以答疑书（或补充通知）中明确的内容为准。当招标文件、招标文件的澄清、修改、补充等文件在同一内容的表述上不一致时，以最后发出的答疑书（或补充通知）为准。</w:t>
      </w:r>
    </w:p>
    <w:p w14:paraId="457F2429">
      <w:pPr>
        <w:pStyle w:val="83"/>
        <w:ind w:firstLine="480" w:firstLineChars="200"/>
        <w:rPr>
          <w:rFonts w:hint="eastAsia" w:hAnsi="宋体" w:cs="宋体"/>
          <w:highlight w:val="none"/>
        </w:rPr>
      </w:pPr>
      <w:r>
        <w:rPr>
          <w:rFonts w:hint="eastAsia" w:hAnsi="宋体" w:cs="宋体"/>
          <w:highlight w:val="none"/>
        </w:rPr>
        <w:t>8.4 投标人在规定的时间内未对招标文件提出澄清或疑问的，招标人将视其为无异议。对招标文件中描述有歧义或前后不一致的地方，评标委员会有权进行评判，但对同一条款的评判应适用于每个投标人。</w:t>
      </w:r>
    </w:p>
    <w:p w14:paraId="399B24B8">
      <w:pPr>
        <w:pStyle w:val="83"/>
        <w:ind w:firstLine="480" w:firstLineChars="200"/>
        <w:rPr>
          <w:rFonts w:hint="eastAsia" w:hAnsi="宋体" w:cs="宋体"/>
          <w:highlight w:val="none"/>
        </w:rPr>
      </w:pPr>
      <w:r>
        <w:rPr>
          <w:rFonts w:hint="eastAsia" w:hAnsi="宋体" w:cs="宋体"/>
          <w:highlight w:val="none"/>
        </w:rPr>
        <w:t>8.5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0FDC68EF">
      <w:pPr>
        <w:pStyle w:val="82"/>
        <w:keepNext/>
        <w:keepLines/>
        <w:adjustRightInd/>
        <w:ind w:firstLine="482" w:firstLineChars="200"/>
        <w:jc w:val="both"/>
        <w:outlineLvl w:val="2"/>
        <w:rPr>
          <w:rFonts w:hint="eastAsia" w:ascii="宋体" w:hAnsi="宋体" w:cs="宋体"/>
          <w:b/>
          <w:kern w:val="2"/>
          <w:highlight w:val="none"/>
        </w:rPr>
      </w:pPr>
      <w:bookmarkStart w:id="77" w:name="_Toc29414"/>
      <w:bookmarkStart w:id="78" w:name="_Toc135054588"/>
      <w:r>
        <w:rPr>
          <w:rFonts w:hint="eastAsia" w:ascii="宋体" w:hAnsi="宋体" w:cs="宋体"/>
          <w:b/>
          <w:kern w:val="2"/>
          <w:highlight w:val="none"/>
        </w:rPr>
        <w:t>9 最高投标限价的确定及投标报价的约定</w:t>
      </w:r>
      <w:bookmarkEnd w:id="77"/>
      <w:bookmarkEnd w:id="78"/>
    </w:p>
    <w:p w14:paraId="15B2543F">
      <w:pPr>
        <w:pStyle w:val="181"/>
        <w:spacing w:before="0" w:after="0" w:line="360" w:lineRule="auto"/>
        <w:ind w:firstLine="482" w:firstLineChars="200"/>
        <w:jc w:val="both"/>
        <w:outlineLvl w:val="3"/>
        <w:rPr>
          <w:rFonts w:hint="eastAsia" w:ascii="宋体" w:hAnsi="宋体" w:eastAsia="宋体" w:cs="宋体"/>
          <w:snapToGrid w:val="0"/>
          <w:szCs w:val="22"/>
          <w:highlight w:val="none"/>
        </w:rPr>
      </w:pPr>
      <w:bookmarkStart w:id="79" w:name="_Toc5187"/>
      <w:bookmarkStart w:id="80" w:name="_Toc20886"/>
      <w:bookmarkStart w:id="81" w:name="_Toc17731"/>
      <w:bookmarkStart w:id="82" w:name="_Toc17907"/>
      <w:bookmarkStart w:id="83" w:name="_Toc71813695"/>
      <w:bookmarkStart w:id="84" w:name="_Toc135054589"/>
      <w:bookmarkStart w:id="85" w:name="_Toc21136"/>
      <w:bookmarkStart w:id="86" w:name="_Toc15385"/>
      <w:bookmarkStart w:id="87" w:name="_Toc10124"/>
      <w:bookmarkStart w:id="88" w:name="_Toc13887"/>
      <w:bookmarkStart w:id="89" w:name="_Toc71813188"/>
      <w:bookmarkStart w:id="90" w:name="_Toc30738"/>
      <w:r>
        <w:rPr>
          <w:rFonts w:hint="eastAsia" w:ascii="宋体" w:hAnsi="宋体" w:eastAsia="宋体" w:cs="宋体"/>
          <w:b/>
          <w:bCs/>
          <w:kern w:val="2"/>
          <w:szCs w:val="22"/>
          <w:highlight w:val="none"/>
        </w:rPr>
        <w:t xml:space="preserve">9.1 </w:t>
      </w:r>
      <w:r>
        <w:rPr>
          <w:rFonts w:hint="eastAsia" w:ascii="宋体" w:hAnsi="宋体" w:eastAsia="宋体" w:cs="宋体"/>
          <w:b/>
          <w:bCs/>
          <w:snapToGrid w:val="0"/>
          <w:szCs w:val="22"/>
          <w:highlight w:val="none"/>
        </w:rPr>
        <w:t>最高投标限价的确定</w:t>
      </w:r>
      <w:bookmarkEnd w:id="79"/>
      <w:bookmarkEnd w:id="80"/>
      <w:bookmarkEnd w:id="81"/>
      <w:bookmarkEnd w:id="82"/>
      <w:bookmarkEnd w:id="83"/>
      <w:bookmarkEnd w:id="84"/>
      <w:bookmarkEnd w:id="85"/>
      <w:bookmarkEnd w:id="86"/>
      <w:bookmarkEnd w:id="87"/>
      <w:bookmarkEnd w:id="88"/>
      <w:bookmarkEnd w:id="89"/>
      <w:bookmarkEnd w:id="90"/>
    </w:p>
    <w:p w14:paraId="18C226BE">
      <w:pPr>
        <w:pStyle w:val="83"/>
        <w:ind w:firstLine="420" w:firstLineChars="175"/>
        <w:rPr>
          <w:rFonts w:hint="eastAsia" w:hAnsi="宋体" w:cs="宋体"/>
          <w:color w:val="auto"/>
          <w:highlight w:val="none"/>
          <w:u w:val="single"/>
        </w:rPr>
      </w:pPr>
      <w:bookmarkStart w:id="91" w:name="_Hlt121630579"/>
      <w:bookmarkEnd w:id="91"/>
      <w:bookmarkStart w:id="92" w:name="_Hlt75685561"/>
      <w:bookmarkEnd w:id="92"/>
      <w:bookmarkStart w:id="93" w:name="_Hlt126039060"/>
      <w:bookmarkEnd w:id="93"/>
      <w:bookmarkStart w:id="94" w:name="_Hlt75685913"/>
      <w:bookmarkEnd w:id="94"/>
      <w:bookmarkStart w:id="95" w:name="_Toc18975"/>
      <w:bookmarkStart w:id="96" w:name="_Hlt121629839"/>
      <w:bookmarkStart w:id="97" w:name="_Hlt69335617"/>
      <w:r>
        <w:rPr>
          <w:rFonts w:hint="eastAsia" w:hAnsi="宋体" w:cs="宋体"/>
          <w:highlight w:val="none"/>
        </w:rPr>
        <w:t>经招标人研究确定，本项</w:t>
      </w:r>
      <w:r>
        <w:rPr>
          <w:rFonts w:hint="eastAsia" w:hAnsi="宋体" w:cs="宋体"/>
          <w:color w:val="auto"/>
          <w:highlight w:val="none"/>
        </w:rPr>
        <w:t>目招标最高投标限价为：</w:t>
      </w:r>
      <w:r>
        <w:rPr>
          <w:rFonts w:hint="eastAsia" w:hAnsi="宋体" w:cs="宋体"/>
          <w:color w:val="auto"/>
          <w:highlight w:val="none"/>
          <w:u w:val="single"/>
        </w:rPr>
        <w:t xml:space="preserve">壹佰贰拾捌万伍仟壹佰元（¥ </w:t>
      </w:r>
      <w:r>
        <w:rPr>
          <w:rFonts w:hint="eastAsia" w:hAnsi="宋体" w:cs="宋体"/>
          <w:color w:val="auto"/>
          <w:szCs w:val="22"/>
          <w:highlight w:val="none"/>
        </w:rPr>
        <w:t>1285100.00</w:t>
      </w:r>
      <w:r>
        <w:rPr>
          <w:rFonts w:hint="eastAsia" w:hAnsi="宋体" w:cs="宋体"/>
          <w:color w:val="auto"/>
          <w:highlight w:val="none"/>
          <w:u w:val="single"/>
        </w:rPr>
        <w:t xml:space="preserve">元）。取费费率上限为≤ </w:t>
      </w:r>
      <w:r>
        <w:rPr>
          <w:rFonts w:hint="eastAsia" w:hAnsi="宋体" w:cs="宋体"/>
          <w:color w:val="auto"/>
          <w:highlight w:val="none"/>
          <w:u w:val="single"/>
          <w:lang w:val="en-US" w:eastAsia="zh-CN"/>
        </w:rPr>
        <w:t>1.30</w:t>
      </w:r>
      <w:r>
        <w:rPr>
          <w:rFonts w:hint="eastAsia" w:hAnsi="宋体" w:cs="宋体"/>
          <w:color w:val="auto"/>
          <w:highlight w:val="none"/>
          <w:u w:val="single"/>
        </w:rPr>
        <w:t xml:space="preserve"> %。</w:t>
      </w:r>
    </w:p>
    <w:p w14:paraId="6B5516AB">
      <w:pPr>
        <w:pStyle w:val="83"/>
        <w:ind w:firstLine="422" w:firstLineChars="175"/>
        <w:rPr>
          <w:rFonts w:hint="eastAsia" w:hAnsi="宋体" w:cs="宋体"/>
          <w:b/>
          <w:bCs/>
          <w:szCs w:val="24"/>
          <w:highlight w:val="none"/>
        </w:rPr>
      </w:pPr>
      <w:r>
        <w:rPr>
          <w:rFonts w:hint="eastAsia" w:hAnsi="宋体" w:cs="宋体"/>
          <w:b/>
          <w:bCs/>
          <w:szCs w:val="24"/>
          <w:highlight w:val="none"/>
        </w:rPr>
        <w:t>备注：①投标报价超过最高投标限价或取费费率上限为无效报价。②投标报价及取费费率上限均按“四舍五入”原则精确到两位小数；③投标报价均为含税报价（增值税）。</w:t>
      </w:r>
    </w:p>
    <w:p w14:paraId="3A53A18C">
      <w:pPr>
        <w:pStyle w:val="83"/>
        <w:ind w:firstLine="482" w:firstLineChars="200"/>
        <w:outlineLvl w:val="3"/>
        <w:rPr>
          <w:rFonts w:hint="eastAsia" w:hAnsi="宋体" w:cs="宋体"/>
          <w:szCs w:val="24"/>
          <w:highlight w:val="none"/>
        </w:rPr>
      </w:pPr>
      <w:r>
        <w:rPr>
          <w:rFonts w:hint="eastAsia" w:hAnsi="宋体" w:cs="宋体"/>
          <w:b/>
          <w:bCs/>
          <w:szCs w:val="24"/>
          <w:highlight w:val="none"/>
        </w:rPr>
        <w:t>9.2</w:t>
      </w:r>
      <w:r>
        <w:rPr>
          <w:rFonts w:hint="eastAsia" w:hAnsi="宋体" w:cs="宋体"/>
          <w:szCs w:val="24"/>
          <w:highlight w:val="none"/>
        </w:rPr>
        <w:t xml:space="preserve"> </w:t>
      </w:r>
      <w:bookmarkStart w:id="98" w:name="_Hlt74498519"/>
      <w:bookmarkEnd w:id="98"/>
      <w:r>
        <w:rPr>
          <w:rFonts w:hint="eastAsia" w:hAnsi="宋体" w:cs="宋体"/>
          <w:b/>
          <w:bCs/>
          <w:szCs w:val="24"/>
          <w:highlight w:val="none"/>
        </w:rPr>
        <w:t>投标报价的约定</w:t>
      </w:r>
    </w:p>
    <w:p w14:paraId="3569426A">
      <w:pPr>
        <w:pStyle w:val="83"/>
        <w:ind w:firstLine="482" w:firstLineChars="200"/>
        <w:outlineLvl w:val="4"/>
        <w:rPr>
          <w:rFonts w:hint="eastAsia" w:hAnsi="宋体" w:cs="宋体"/>
          <w:szCs w:val="24"/>
          <w:highlight w:val="none"/>
        </w:rPr>
      </w:pPr>
      <w:r>
        <w:rPr>
          <w:rFonts w:hint="eastAsia" w:hAnsi="宋体" w:cs="宋体"/>
          <w:b/>
          <w:bCs/>
          <w:szCs w:val="24"/>
          <w:highlight w:val="none"/>
        </w:rPr>
        <w:t>9.2.1</w:t>
      </w:r>
      <w:r>
        <w:rPr>
          <w:rFonts w:hint="eastAsia" w:hAnsi="宋体" w:cs="宋体"/>
          <w:szCs w:val="24"/>
          <w:highlight w:val="none"/>
        </w:rPr>
        <w:t xml:space="preserve"> </w:t>
      </w:r>
      <w:r>
        <w:rPr>
          <w:rFonts w:hint="eastAsia" w:hAnsi="宋体" w:cs="宋体"/>
          <w:b/>
          <w:bCs/>
          <w:szCs w:val="24"/>
          <w:highlight w:val="none"/>
        </w:rPr>
        <w:t>投标人按最高投标限价的要求自行报价，报价均不得超出限价。</w:t>
      </w:r>
    </w:p>
    <w:p w14:paraId="2225AC15">
      <w:pPr>
        <w:pStyle w:val="83"/>
        <w:ind w:firstLine="482" w:firstLineChars="200"/>
        <w:rPr>
          <w:rFonts w:hint="eastAsia" w:hAnsi="宋体" w:cs="宋体"/>
          <w:szCs w:val="24"/>
          <w:highlight w:val="none"/>
        </w:rPr>
      </w:pPr>
      <w:r>
        <w:rPr>
          <w:rFonts w:hint="eastAsia" w:hAnsi="宋体" w:cs="宋体"/>
          <w:b/>
          <w:bCs/>
          <w:szCs w:val="24"/>
          <w:highlight w:val="none"/>
        </w:rPr>
        <w:t>9.2.2</w:t>
      </w:r>
      <w:r>
        <w:rPr>
          <w:rFonts w:hint="eastAsia" w:hAnsi="宋体" w:cs="宋体"/>
          <w:szCs w:val="24"/>
          <w:highlight w:val="none"/>
        </w:rPr>
        <w:t xml:space="preserve"> </w:t>
      </w:r>
      <w:r>
        <w:rPr>
          <w:rFonts w:hint="eastAsia" w:hAnsi="宋体" w:cs="宋体"/>
          <w:snapToGrid w:val="0"/>
          <w:kern w:val="0"/>
          <w:highlight w:val="none"/>
        </w:rPr>
        <w:t>设计费投标报价：</w:t>
      </w:r>
      <w:r>
        <w:rPr>
          <w:rFonts w:hint="eastAsia" w:hAnsi="宋体" w:cs="宋体"/>
          <w:snapToGrid w:val="0"/>
          <w:kern w:val="0"/>
          <w:szCs w:val="24"/>
          <w:highlight w:val="none"/>
        </w:rPr>
        <w:t>在最高投标限价范围内，</w:t>
      </w:r>
      <w:r>
        <w:rPr>
          <w:rFonts w:hint="eastAsia" w:hAnsi="宋体" w:cs="宋体"/>
          <w:szCs w:val="24"/>
          <w:highlight w:val="none"/>
          <w:lang w:val="zh-CN"/>
        </w:rPr>
        <w:t>采用</w:t>
      </w:r>
      <w:r>
        <w:rPr>
          <w:rFonts w:hint="eastAsia" w:hAnsi="宋体" w:cs="宋体"/>
          <w:szCs w:val="24"/>
          <w:highlight w:val="none"/>
        </w:rPr>
        <w:t>设计费投标报价及</w:t>
      </w:r>
      <w:r>
        <w:rPr>
          <w:rFonts w:hint="eastAsia" w:hAnsi="宋体" w:cs="宋体"/>
          <w:szCs w:val="24"/>
          <w:highlight w:val="none"/>
          <w:lang w:val="zh-CN"/>
        </w:rPr>
        <w:t>设计取费费率方式进行报价。</w:t>
      </w:r>
      <w:r>
        <w:rPr>
          <w:rFonts w:hint="eastAsia" w:hAnsi="宋体" w:cs="宋体"/>
          <w:szCs w:val="24"/>
          <w:highlight w:val="none"/>
        </w:rPr>
        <w:t>设计取费费率=设计费投标报价/建安工程费暂定价（¥</w:t>
      </w:r>
      <w:r>
        <w:rPr>
          <w:rFonts w:hint="eastAsia" w:hAnsi="宋体" w:cs="宋体"/>
          <w:szCs w:val="24"/>
          <w:highlight w:val="none"/>
          <w:u w:val="single"/>
        </w:rPr>
        <w:t xml:space="preserve"> 99123400.00 </w:t>
      </w:r>
      <w:r>
        <w:rPr>
          <w:rFonts w:hint="eastAsia" w:hAnsi="宋体" w:cs="宋体"/>
          <w:szCs w:val="24"/>
          <w:highlight w:val="none"/>
        </w:rPr>
        <w:t>元）</w:t>
      </w:r>
      <w:r>
        <w:rPr>
          <w:rFonts w:hint="eastAsia" w:hAnsi="宋体" w:cs="宋体"/>
          <w:snapToGrid w:val="0"/>
          <w:kern w:val="0"/>
          <w:szCs w:val="24"/>
          <w:highlight w:val="none"/>
        </w:rPr>
        <w:t>。</w:t>
      </w:r>
      <w:r>
        <w:rPr>
          <w:rFonts w:hint="eastAsia" w:hAnsi="宋体" w:cs="宋体"/>
          <w:snapToGrid w:val="0"/>
          <w:kern w:val="0"/>
          <w:highlight w:val="none"/>
        </w:rPr>
        <w:t>设计费应包括招标文件中招标内容（范围）及设计任务书（若有）所规定的所有设计工作的所有费用，应包含各个不同专业的设计费用、进行优化设计或修改设计所增加的设计费用。</w:t>
      </w:r>
    </w:p>
    <w:p w14:paraId="1A4777B9">
      <w:pPr>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9.2.3</w:t>
      </w:r>
      <w:r>
        <w:rPr>
          <w:rFonts w:hint="eastAsia" w:ascii="宋体" w:hAnsi="宋体" w:cs="宋体"/>
          <w:sz w:val="24"/>
          <w:szCs w:val="24"/>
          <w:highlight w:val="none"/>
        </w:rPr>
        <w:t>设计成果必须按要求满足设计规定的深度。所报的设计费应包含投标人自投标之日起至工程验收合格所需的费用。若设计深度不够，导致设计更改、工程量增加、费用增加的，由中标单位以设计费为限承担责任。</w:t>
      </w:r>
    </w:p>
    <w:p w14:paraId="42C8C2BB">
      <w:pPr>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 xml:space="preserve">9.2.5 </w:t>
      </w:r>
      <w:r>
        <w:rPr>
          <w:rFonts w:hint="eastAsia" w:ascii="宋体" w:hAnsi="宋体" w:cs="宋体"/>
          <w:sz w:val="24"/>
          <w:szCs w:val="24"/>
          <w:highlight w:val="none"/>
        </w:rPr>
        <w:t>本项目投标报价应综合考虑设计总包服务费、各阶段成果文件的审查费、专家评审费，绿色建筑设计费（如有）以及所有专业及工程复杂程度相关的调整系数。设计费的报价应包含进行优化设计或修改设计所增加的设计费用。</w:t>
      </w:r>
    </w:p>
    <w:p w14:paraId="2AE36790">
      <w:pPr>
        <w:spacing w:line="360" w:lineRule="auto"/>
        <w:ind w:firstLine="482" w:firstLineChars="200"/>
        <w:rPr>
          <w:rFonts w:hint="eastAsia" w:ascii="宋体" w:hAnsi="宋体" w:cs="宋体"/>
          <w:highlight w:val="none"/>
        </w:rPr>
      </w:pPr>
      <w:r>
        <w:rPr>
          <w:rFonts w:ascii="宋体" w:hAnsi="宋体" w:cs="宋体"/>
          <w:b/>
          <w:bCs/>
          <w:snapToGrid w:val="0"/>
          <w:kern w:val="0"/>
          <w:sz w:val="24"/>
          <w:szCs w:val="22"/>
          <w:highlight w:val="none"/>
        </w:rPr>
        <w:t>9.2.6</w:t>
      </w:r>
      <w:r>
        <w:rPr>
          <w:snapToGrid w:val="0"/>
          <w:kern w:val="0"/>
          <w:sz w:val="24"/>
          <w:szCs w:val="22"/>
          <w:highlight w:val="none"/>
        </w:rPr>
        <w:t>投标报价时应充分考虑</w:t>
      </w:r>
      <w:r>
        <w:rPr>
          <w:rFonts w:hint="eastAsia"/>
          <w:snapToGrid w:val="0"/>
          <w:kern w:val="0"/>
          <w:sz w:val="24"/>
          <w:szCs w:val="22"/>
          <w:highlight w:val="none"/>
        </w:rPr>
        <w:t>“</w:t>
      </w:r>
      <w:r>
        <w:rPr>
          <w:sz w:val="24"/>
          <w:szCs w:val="32"/>
          <w:highlight w:val="none"/>
          <w:lang w:val="zh-CN"/>
        </w:rPr>
        <w:t>拟签订合同的主要条款</w:t>
      </w:r>
      <w:r>
        <w:rPr>
          <w:rFonts w:hint="eastAsia"/>
          <w:sz w:val="24"/>
          <w:szCs w:val="32"/>
          <w:highlight w:val="none"/>
          <w:lang w:val="zh-CN"/>
        </w:rPr>
        <w:t>”</w:t>
      </w:r>
      <w:r>
        <w:rPr>
          <w:snapToGrid w:val="0"/>
          <w:kern w:val="0"/>
          <w:sz w:val="24"/>
          <w:szCs w:val="22"/>
          <w:highlight w:val="none"/>
        </w:rPr>
        <w:t>及</w:t>
      </w:r>
      <w:r>
        <w:rPr>
          <w:rFonts w:hint="eastAsia"/>
          <w:snapToGrid w:val="0"/>
          <w:kern w:val="0"/>
          <w:sz w:val="24"/>
          <w:szCs w:val="22"/>
          <w:highlight w:val="none"/>
        </w:rPr>
        <w:t>“</w:t>
      </w:r>
      <w:r>
        <w:rPr>
          <w:snapToGrid w:val="0"/>
          <w:kern w:val="0"/>
          <w:sz w:val="24"/>
          <w:szCs w:val="22"/>
          <w:highlight w:val="none"/>
        </w:rPr>
        <w:t>中标人须知</w:t>
      </w:r>
      <w:r>
        <w:rPr>
          <w:rFonts w:hint="eastAsia"/>
          <w:snapToGrid w:val="0"/>
          <w:kern w:val="0"/>
          <w:sz w:val="24"/>
          <w:szCs w:val="22"/>
          <w:highlight w:val="none"/>
        </w:rPr>
        <w:t>”</w:t>
      </w:r>
      <w:r>
        <w:rPr>
          <w:snapToGrid w:val="0"/>
          <w:kern w:val="0"/>
          <w:sz w:val="24"/>
          <w:szCs w:val="22"/>
          <w:highlight w:val="none"/>
        </w:rPr>
        <w:t>中所列条款的要求及风险。</w:t>
      </w:r>
    </w:p>
    <w:p w14:paraId="7108BACE">
      <w:pPr>
        <w:pStyle w:val="82"/>
        <w:keepNext/>
        <w:keepLines/>
        <w:adjustRightInd/>
        <w:ind w:firstLine="482" w:firstLineChars="200"/>
        <w:jc w:val="both"/>
        <w:outlineLvl w:val="2"/>
        <w:rPr>
          <w:rFonts w:hint="eastAsia" w:ascii="宋体" w:hAnsi="宋体" w:cs="宋体"/>
          <w:b/>
          <w:kern w:val="2"/>
          <w:highlight w:val="none"/>
        </w:rPr>
      </w:pPr>
      <w:bookmarkStart w:id="99" w:name="_Toc135054590"/>
      <w:bookmarkStart w:id="100" w:name="_Toc32102"/>
      <w:r>
        <w:rPr>
          <w:rFonts w:hint="eastAsia" w:ascii="宋体" w:hAnsi="宋体" w:cs="宋体"/>
          <w:b/>
          <w:kern w:val="2"/>
          <w:highlight w:val="none"/>
        </w:rPr>
        <w:t>10 投标文件的编制</w:t>
      </w:r>
      <w:bookmarkStart w:id="101" w:name="_Hlt69208262"/>
      <w:bookmarkEnd w:id="101"/>
      <w:bookmarkStart w:id="102" w:name="_Hlt69332370"/>
      <w:bookmarkEnd w:id="102"/>
      <w:r>
        <w:rPr>
          <w:rFonts w:hint="eastAsia" w:ascii="宋体" w:hAnsi="宋体" w:cs="宋体"/>
          <w:b/>
          <w:kern w:val="2"/>
          <w:highlight w:val="none"/>
        </w:rPr>
        <w:t>要求</w:t>
      </w:r>
      <w:bookmarkEnd w:id="95"/>
      <w:bookmarkEnd w:id="99"/>
      <w:bookmarkEnd w:id="100"/>
    </w:p>
    <w:p w14:paraId="76F35337">
      <w:pPr>
        <w:spacing w:line="360" w:lineRule="auto"/>
        <w:ind w:firstLine="482" w:firstLineChars="200"/>
        <w:rPr>
          <w:rFonts w:hint="eastAsia" w:ascii="宋体" w:hAnsi="宋体" w:cs="宋体"/>
          <w:sz w:val="24"/>
          <w:szCs w:val="24"/>
          <w:highlight w:val="none"/>
        </w:rPr>
      </w:pPr>
      <w:bookmarkStart w:id="103" w:name="_Hlt74495594"/>
      <w:bookmarkEnd w:id="103"/>
      <w:bookmarkStart w:id="104" w:name="_Hlt74497202"/>
      <w:bookmarkEnd w:id="104"/>
      <w:bookmarkStart w:id="105" w:name="_Hlt78768224"/>
      <w:bookmarkEnd w:id="105"/>
      <w:r>
        <w:rPr>
          <w:rFonts w:hint="eastAsia" w:ascii="宋体" w:hAnsi="宋体" w:cs="宋体"/>
          <w:b/>
          <w:bCs/>
          <w:sz w:val="24"/>
          <w:szCs w:val="24"/>
          <w:highlight w:val="none"/>
        </w:rPr>
        <w:t>10.1</w:t>
      </w:r>
      <w:r>
        <w:rPr>
          <w:rFonts w:hint="eastAsia" w:ascii="宋体" w:hAnsi="宋体" w:cs="宋体"/>
          <w:sz w:val="24"/>
          <w:szCs w:val="24"/>
          <w:highlight w:val="none"/>
        </w:rPr>
        <w:t xml:space="preserve"> 一般要求</w:t>
      </w:r>
    </w:p>
    <w:p w14:paraId="6FCC51D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投标文件应按</w:t>
      </w:r>
      <w:r>
        <w:rPr>
          <w:rFonts w:hint="eastAsia" w:ascii="宋体" w:hAnsi="宋体" w:cs="宋体"/>
          <w:sz w:val="24"/>
          <w:szCs w:val="24"/>
          <w:highlight w:val="none"/>
          <w:u w:val="single"/>
        </w:rPr>
        <w:t xml:space="preserve"> 第五章 </w:t>
      </w:r>
      <w:r>
        <w:rPr>
          <w:rFonts w:hint="eastAsia" w:ascii="宋体" w:hAnsi="宋体" w:cs="宋体"/>
          <w:sz w:val="24"/>
          <w:szCs w:val="24"/>
          <w:highlight w:val="none"/>
        </w:rPr>
        <w:t>投标文件格式规定的内容，投标人提交的投标文件应当使用招标文件所提供的投标文件全部格式。</w:t>
      </w:r>
    </w:p>
    <w:p w14:paraId="0C6CEF31">
      <w:pPr>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10.1.1</w:t>
      </w:r>
      <w:r>
        <w:rPr>
          <w:rFonts w:hint="eastAsia" w:ascii="宋体" w:hAnsi="宋体" w:cs="宋体"/>
          <w:sz w:val="24"/>
          <w:szCs w:val="24"/>
          <w:highlight w:val="none"/>
        </w:rPr>
        <w:t xml:space="preserve"> 投标人必须响应招标文件，并在充分理解招标人提供的全部文件、设计图纸、资料及现场条件的基础上编制投标文件。因投标文件不符合招标文件的要求而造成的损失和后果，由投标人自行承担。</w:t>
      </w:r>
    </w:p>
    <w:p w14:paraId="4A20D9EE">
      <w:pPr>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10.1.2</w:t>
      </w:r>
      <w:r>
        <w:rPr>
          <w:rFonts w:hint="eastAsia" w:ascii="宋体" w:hAnsi="宋体" w:cs="宋体"/>
          <w:sz w:val="24"/>
          <w:szCs w:val="24"/>
          <w:highlight w:val="none"/>
        </w:rPr>
        <w:t xml:space="preserve"> 投标文件包括商务经济标书、技术标书两个分册。投标文件在电子投标时全部采用电子文档（中标人自中标通知书发出之日起五个工作日内提供纸质版投标文件给招标人存档），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695562F7">
      <w:pPr>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 xml:space="preserve">10.1.3 </w:t>
      </w:r>
      <w:r>
        <w:rPr>
          <w:rFonts w:hint="eastAsia" w:ascii="宋体" w:hAnsi="宋体" w:cs="宋体"/>
          <w:sz w:val="24"/>
          <w:szCs w:val="24"/>
          <w:highlight w:val="none"/>
        </w:rPr>
        <w:t>投标文件需按以下要求签字、盖章：</w:t>
      </w:r>
    </w:p>
    <w:p w14:paraId="0BC27FF7">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电子投标文件：</w:t>
      </w:r>
    </w:p>
    <w:p w14:paraId="3FB3DF3A">
      <w:pPr>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10.1.3.1</w:t>
      </w:r>
      <w:r>
        <w:rPr>
          <w:rFonts w:hint="eastAsia" w:ascii="宋体" w:hAnsi="宋体" w:cs="宋体"/>
          <w:sz w:val="24"/>
          <w:szCs w:val="24"/>
          <w:highlight w:val="none"/>
        </w:rPr>
        <w:t xml:space="preserve"> 投标文件封面、组成内容中凡注明“签字”处由要求的人员签字或电子签章；凡注明“签字或盖章”处由要求的人员签字或盖其私章（电子印章）。</w:t>
      </w:r>
    </w:p>
    <w:p w14:paraId="72878C42">
      <w:pPr>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10.1.3.2</w:t>
      </w:r>
      <w:r>
        <w:rPr>
          <w:rFonts w:hint="eastAsia" w:ascii="宋体" w:hAnsi="宋体" w:cs="宋体"/>
          <w:sz w:val="24"/>
          <w:szCs w:val="24"/>
          <w:highlight w:val="none"/>
        </w:rPr>
        <w:t xml:space="preserve"> 投标文件封面、组成内容中凡要求录入投标人名称且注明“盖单位章”处盖单位法人公章（电子印章）。</w:t>
      </w:r>
    </w:p>
    <w:p w14:paraId="551CB82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10.1.3.3 投标文件的签字均为签字人本人亲笔署名或签章（电子印章），其余部分的彩色扫描件无须另行签字、盖章。</w:t>
      </w:r>
    </w:p>
    <w:p w14:paraId="49D1E438">
      <w:pPr>
        <w:pStyle w:val="181"/>
        <w:spacing w:before="0" w:after="0" w:line="360" w:lineRule="auto"/>
        <w:ind w:firstLine="482" w:firstLineChars="200"/>
        <w:jc w:val="both"/>
        <w:outlineLvl w:val="3"/>
        <w:rPr>
          <w:rFonts w:hint="eastAsia" w:ascii="宋体" w:hAnsi="宋体" w:eastAsia="宋体" w:cs="宋体"/>
          <w:b/>
          <w:highlight w:val="none"/>
        </w:rPr>
      </w:pPr>
      <w:bookmarkStart w:id="106" w:name="_Toc135054592"/>
      <w:bookmarkStart w:id="107" w:name="_Toc71811078"/>
      <w:bookmarkStart w:id="108" w:name="_Toc31553"/>
      <w:bookmarkStart w:id="109" w:name="_Toc257031159"/>
      <w:bookmarkStart w:id="110" w:name="_Toc8420"/>
      <w:bookmarkStart w:id="111" w:name="_Toc15920"/>
      <w:bookmarkStart w:id="112" w:name="_Toc7377"/>
      <w:bookmarkStart w:id="113" w:name="_Toc71813699"/>
      <w:bookmarkStart w:id="114" w:name="_Toc71811309"/>
      <w:bookmarkStart w:id="115" w:name="_Toc11655"/>
      <w:bookmarkStart w:id="116" w:name="_Toc7351"/>
      <w:bookmarkStart w:id="117" w:name="_Toc13222"/>
      <w:bookmarkStart w:id="118" w:name="_Toc22855"/>
      <w:bookmarkStart w:id="119" w:name="_Toc496133009"/>
      <w:bookmarkStart w:id="120" w:name="_Toc4518"/>
      <w:bookmarkStart w:id="121" w:name="_Toc6742"/>
      <w:bookmarkStart w:id="122" w:name="_Toc71811176"/>
      <w:bookmarkStart w:id="123" w:name="_Toc274313880"/>
      <w:r>
        <w:rPr>
          <w:rFonts w:hint="eastAsia" w:ascii="宋体" w:hAnsi="宋体" w:eastAsia="宋体" w:cs="宋体"/>
          <w:b/>
          <w:highlight w:val="none"/>
        </w:rPr>
        <w:t>10.2 商务经济标书的编制要求</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142D24B1">
      <w:pPr>
        <w:pStyle w:val="83"/>
        <w:ind w:firstLine="480" w:firstLineChars="200"/>
        <w:outlineLvl w:val="4"/>
        <w:rPr>
          <w:rFonts w:hint="eastAsia" w:hAnsi="宋体" w:cs="宋体"/>
          <w:highlight w:val="none"/>
          <w:u w:val="single"/>
        </w:rPr>
      </w:pPr>
      <w:r>
        <w:rPr>
          <w:rFonts w:hint="eastAsia" w:hAnsi="宋体" w:cs="宋体"/>
          <w:highlight w:val="none"/>
        </w:rPr>
        <w:t>10.2.1 商务经济标书包括但不限于以下内容：</w:t>
      </w:r>
    </w:p>
    <w:p w14:paraId="22E566CE">
      <w:pPr>
        <w:pStyle w:val="83"/>
        <w:ind w:firstLine="480" w:firstLineChars="200"/>
        <w:rPr>
          <w:rFonts w:hint="eastAsia" w:hAnsi="宋体" w:cs="宋体"/>
          <w:szCs w:val="18"/>
          <w:highlight w:val="none"/>
        </w:rPr>
      </w:pPr>
      <w:r>
        <w:rPr>
          <w:rFonts w:hint="eastAsia" w:hAnsi="宋体" w:cs="宋体"/>
          <w:szCs w:val="18"/>
          <w:highlight w:val="none"/>
        </w:rPr>
        <w:t>（1）封面（格式一）；</w:t>
      </w:r>
    </w:p>
    <w:p w14:paraId="55A5B1C5">
      <w:pPr>
        <w:pStyle w:val="83"/>
        <w:ind w:firstLine="480" w:firstLineChars="200"/>
        <w:rPr>
          <w:rFonts w:hint="eastAsia" w:hAnsi="宋体" w:cs="宋体"/>
          <w:szCs w:val="18"/>
          <w:highlight w:val="none"/>
        </w:rPr>
      </w:pPr>
      <w:r>
        <w:rPr>
          <w:rFonts w:hint="eastAsia" w:hAnsi="宋体" w:cs="宋体"/>
          <w:szCs w:val="18"/>
          <w:highlight w:val="none"/>
        </w:rPr>
        <w:t>（2）目录；</w:t>
      </w:r>
    </w:p>
    <w:p w14:paraId="50A1B09A">
      <w:pPr>
        <w:pStyle w:val="83"/>
        <w:ind w:firstLine="480" w:firstLineChars="200"/>
        <w:rPr>
          <w:rFonts w:hint="eastAsia" w:hAnsi="宋体" w:cs="宋体"/>
          <w:szCs w:val="18"/>
          <w:highlight w:val="none"/>
        </w:rPr>
      </w:pPr>
      <w:r>
        <w:rPr>
          <w:rFonts w:hint="eastAsia" w:hAnsi="宋体" w:cs="宋体"/>
          <w:szCs w:val="18"/>
          <w:highlight w:val="none"/>
        </w:rPr>
        <w:t>（3）《投标函》（格式二）；</w:t>
      </w:r>
    </w:p>
    <w:p w14:paraId="6600DC35">
      <w:pPr>
        <w:pStyle w:val="83"/>
        <w:ind w:firstLine="480" w:firstLineChars="200"/>
        <w:rPr>
          <w:rFonts w:hint="eastAsia" w:hAnsi="宋体" w:cs="宋体"/>
          <w:szCs w:val="18"/>
          <w:highlight w:val="none"/>
        </w:rPr>
      </w:pPr>
      <w:r>
        <w:rPr>
          <w:rFonts w:hint="eastAsia" w:hAnsi="宋体" w:cs="宋体"/>
          <w:szCs w:val="18"/>
          <w:highlight w:val="none"/>
        </w:rPr>
        <w:t>（4）《工程项目报价表》（格式三）；</w:t>
      </w:r>
    </w:p>
    <w:p w14:paraId="4A0CDC68">
      <w:pPr>
        <w:pStyle w:val="83"/>
        <w:ind w:firstLine="480" w:firstLineChars="200"/>
        <w:rPr>
          <w:rFonts w:hint="eastAsia" w:hAnsi="宋体" w:cs="宋体"/>
          <w:szCs w:val="18"/>
          <w:highlight w:val="none"/>
        </w:rPr>
      </w:pPr>
      <w:r>
        <w:rPr>
          <w:rFonts w:hint="eastAsia" w:hAnsi="宋体" w:cs="宋体"/>
          <w:szCs w:val="18"/>
          <w:highlight w:val="none"/>
        </w:rPr>
        <w:t>（5）《各项承诺一览表》（格式四）；</w:t>
      </w:r>
    </w:p>
    <w:p w14:paraId="6A7064FC">
      <w:pPr>
        <w:pStyle w:val="83"/>
        <w:ind w:firstLine="480" w:firstLineChars="200"/>
        <w:rPr>
          <w:rFonts w:hint="eastAsia" w:hAnsi="宋体" w:cs="宋体"/>
          <w:szCs w:val="18"/>
          <w:highlight w:val="none"/>
        </w:rPr>
      </w:pPr>
      <w:r>
        <w:rPr>
          <w:rFonts w:hint="eastAsia" w:hAnsi="宋体" w:cs="宋体"/>
          <w:szCs w:val="18"/>
          <w:highlight w:val="none"/>
        </w:rPr>
        <w:t>（6）《投标人基本情况表》（格式五）；</w:t>
      </w:r>
    </w:p>
    <w:p w14:paraId="74DF0444">
      <w:pPr>
        <w:pStyle w:val="83"/>
        <w:ind w:firstLine="480" w:firstLineChars="200"/>
        <w:rPr>
          <w:rFonts w:hint="eastAsia" w:hAnsi="宋体" w:cs="宋体"/>
          <w:szCs w:val="18"/>
          <w:highlight w:val="none"/>
        </w:rPr>
      </w:pPr>
      <w:r>
        <w:rPr>
          <w:rFonts w:hint="eastAsia" w:hAnsi="宋体" w:cs="宋体"/>
          <w:szCs w:val="18"/>
          <w:highlight w:val="none"/>
        </w:rPr>
        <w:t>（7）《设计负责人简历表》（格式六）；</w:t>
      </w:r>
    </w:p>
    <w:p w14:paraId="2AB3940C">
      <w:pPr>
        <w:pStyle w:val="83"/>
        <w:ind w:firstLine="480" w:firstLineChars="200"/>
        <w:rPr>
          <w:rFonts w:hint="eastAsia" w:hAnsi="宋体" w:cs="宋体"/>
          <w:szCs w:val="18"/>
          <w:highlight w:val="none"/>
        </w:rPr>
      </w:pPr>
      <w:r>
        <w:rPr>
          <w:rFonts w:hint="eastAsia" w:hAnsi="宋体" w:cs="宋体"/>
          <w:szCs w:val="18"/>
          <w:highlight w:val="none"/>
        </w:rPr>
        <w:t>（8）《本项目拟投入的人员基本情况表》（格式七）；</w:t>
      </w:r>
    </w:p>
    <w:p w14:paraId="46436734">
      <w:pPr>
        <w:pStyle w:val="83"/>
        <w:ind w:firstLine="480" w:firstLineChars="200"/>
        <w:rPr>
          <w:rFonts w:hint="eastAsia" w:hAnsi="宋体" w:cs="宋体"/>
          <w:szCs w:val="18"/>
          <w:highlight w:val="none"/>
        </w:rPr>
      </w:pPr>
      <w:r>
        <w:rPr>
          <w:rFonts w:hint="eastAsia" w:hAnsi="宋体" w:cs="宋体"/>
          <w:szCs w:val="18"/>
          <w:highlight w:val="none"/>
        </w:rPr>
        <w:t>（9）《法定代表人身份证明书》（格式八）；</w:t>
      </w:r>
    </w:p>
    <w:p w14:paraId="22DAFD60">
      <w:pPr>
        <w:pStyle w:val="83"/>
        <w:ind w:firstLine="480" w:firstLineChars="200"/>
        <w:rPr>
          <w:rFonts w:hint="eastAsia" w:hAnsi="宋体" w:cs="宋体"/>
          <w:szCs w:val="18"/>
          <w:highlight w:val="none"/>
        </w:rPr>
      </w:pPr>
      <w:r>
        <w:rPr>
          <w:rFonts w:hint="eastAsia" w:hAnsi="宋体" w:cs="宋体"/>
          <w:szCs w:val="18"/>
          <w:highlight w:val="none"/>
        </w:rPr>
        <w:t>（10）《法定代表人授权委托书》（格式九）；</w:t>
      </w:r>
    </w:p>
    <w:p w14:paraId="46370A4A">
      <w:pPr>
        <w:pStyle w:val="83"/>
        <w:ind w:firstLine="480" w:firstLineChars="200"/>
        <w:rPr>
          <w:rFonts w:hint="eastAsia" w:hAnsi="宋体" w:cs="宋体"/>
          <w:szCs w:val="18"/>
          <w:highlight w:val="none"/>
        </w:rPr>
      </w:pPr>
      <w:r>
        <w:rPr>
          <w:rFonts w:hint="eastAsia" w:hAnsi="宋体" w:cs="宋体"/>
          <w:szCs w:val="18"/>
          <w:highlight w:val="none"/>
        </w:rPr>
        <w:t>（11）投标保证缴纳证明（投标人采用投标保证金的，附建设工程交易系统《缴纳投标保证金通知书》页面截图或银行转账单彩色扫描件；采用投标保证担保的，附银行保函彩色扫描件；采用投标保证保险的，附电子保单彩色扫描件）；</w:t>
      </w:r>
    </w:p>
    <w:p w14:paraId="48929E7C">
      <w:pPr>
        <w:pStyle w:val="83"/>
        <w:ind w:firstLine="480" w:firstLineChars="200"/>
        <w:rPr>
          <w:rFonts w:hint="eastAsia" w:hAnsi="宋体" w:cs="宋体"/>
          <w:szCs w:val="18"/>
          <w:highlight w:val="none"/>
        </w:rPr>
      </w:pPr>
      <w:r>
        <w:rPr>
          <w:rFonts w:hint="eastAsia" w:hAnsi="宋体" w:cs="宋体"/>
          <w:szCs w:val="18"/>
          <w:highlight w:val="none"/>
        </w:rPr>
        <w:t>（12）《联合体协议书》（格式十）；（本次招标不适用）</w:t>
      </w:r>
    </w:p>
    <w:p w14:paraId="3BD6E093">
      <w:pPr>
        <w:pStyle w:val="83"/>
        <w:ind w:firstLine="480" w:firstLineChars="200"/>
        <w:rPr>
          <w:rFonts w:hint="eastAsia" w:hAnsi="宋体" w:cs="宋体"/>
          <w:szCs w:val="18"/>
          <w:highlight w:val="none"/>
        </w:rPr>
      </w:pPr>
      <w:r>
        <w:rPr>
          <w:rFonts w:hint="eastAsia" w:hAnsi="宋体" w:cs="宋体"/>
          <w:szCs w:val="18"/>
          <w:highlight w:val="none"/>
        </w:rPr>
        <w:t>（13）详细评审阶段要求提供的评审资料（详见本节第17.5.1目）；</w:t>
      </w:r>
    </w:p>
    <w:p w14:paraId="3D7245F6">
      <w:pPr>
        <w:pStyle w:val="83"/>
        <w:ind w:firstLine="480" w:firstLineChars="200"/>
        <w:rPr>
          <w:rFonts w:hint="eastAsia" w:hAnsi="宋体" w:cs="宋体"/>
          <w:szCs w:val="18"/>
          <w:highlight w:val="none"/>
        </w:rPr>
      </w:pPr>
      <w:r>
        <w:rPr>
          <w:rFonts w:hint="eastAsia" w:hAnsi="宋体" w:cs="宋体"/>
          <w:szCs w:val="18"/>
          <w:highlight w:val="none"/>
        </w:rPr>
        <w:t>（14）投标人认为有必要补充的其他资料。（例如投标人已经工商变更，但其企业资质证书或其员工执业资格注册证书上的企业名称未能在投标期间完成变更的书面说明和佐证材料；投标人的企业相关证书到期的，均按该证书的发证机构相关行业主管部门最新文件执行(如自动顺延或资质延续有关事项的通知)，投标人的企业相关证书到期的，均按该证书的发证机构相关行业主管部门最新文件执行（如自动顺延或资质延续有关事项的通知），投标人必须将相关文件附在该证书后，证明在开标日继续有效。</w:t>
      </w:r>
    </w:p>
    <w:p w14:paraId="63F2D10C">
      <w:pPr>
        <w:pStyle w:val="83"/>
        <w:ind w:firstLine="480" w:firstLineChars="200"/>
        <w:rPr>
          <w:rFonts w:hint="eastAsia" w:hAnsi="宋体" w:cs="宋体"/>
          <w:szCs w:val="18"/>
          <w:highlight w:val="none"/>
        </w:rPr>
      </w:pPr>
      <w:r>
        <w:rPr>
          <w:rFonts w:hint="eastAsia" w:hAnsi="宋体" w:cs="宋体"/>
          <w:szCs w:val="18"/>
          <w:highlight w:val="none"/>
        </w:rPr>
        <w:t>10.2.2 本节第10.2.1目中所列出的商务经济标书组成内容中，第（1）至第（12）项所有投标人均应提供。但非联合体投标的，无需提供第（12）项。</w:t>
      </w:r>
    </w:p>
    <w:p w14:paraId="754A9BAA">
      <w:pPr>
        <w:pStyle w:val="83"/>
        <w:ind w:firstLine="480" w:firstLineChars="200"/>
        <w:rPr>
          <w:rFonts w:hint="eastAsia" w:hAnsi="宋体" w:cs="宋体"/>
          <w:szCs w:val="18"/>
          <w:highlight w:val="none"/>
        </w:rPr>
      </w:pPr>
      <w:r>
        <w:rPr>
          <w:rFonts w:hint="eastAsia" w:hAnsi="宋体" w:cs="宋体"/>
          <w:szCs w:val="18"/>
          <w:highlight w:val="none"/>
        </w:rPr>
        <w:t>10.2.3 商务经济标书应尽量避免手工涂改、行间插字或删除。如果出现上述情况，改动之处应加盖单位章确认。</w:t>
      </w:r>
    </w:p>
    <w:p w14:paraId="4A42AE96">
      <w:pPr>
        <w:pStyle w:val="181"/>
        <w:spacing w:before="0" w:after="0" w:line="360" w:lineRule="auto"/>
        <w:ind w:firstLine="482" w:firstLineChars="200"/>
        <w:jc w:val="both"/>
        <w:outlineLvl w:val="3"/>
        <w:rPr>
          <w:rFonts w:hint="eastAsia" w:ascii="宋体" w:hAnsi="宋体" w:eastAsia="宋体" w:cs="宋体"/>
          <w:b/>
          <w:highlight w:val="none"/>
        </w:rPr>
      </w:pPr>
      <w:bookmarkStart w:id="124" w:name="_Toc28651"/>
      <w:bookmarkStart w:id="125" w:name="_Toc29429"/>
      <w:bookmarkStart w:id="126" w:name="_Toc477"/>
      <w:bookmarkStart w:id="127" w:name="_Toc31132"/>
      <w:bookmarkStart w:id="128" w:name="_Toc30837"/>
      <w:bookmarkStart w:id="129" w:name="_Toc71811079"/>
      <w:bookmarkStart w:id="130" w:name="_Toc3758"/>
      <w:bookmarkStart w:id="131" w:name="_Toc71811177"/>
      <w:bookmarkStart w:id="132" w:name="_Toc310"/>
      <w:bookmarkStart w:id="133" w:name="_Toc135054593"/>
      <w:bookmarkStart w:id="134" w:name="_Toc496133010"/>
      <w:bookmarkStart w:id="135" w:name="_Toc71813700"/>
      <w:bookmarkStart w:id="136" w:name="_Toc14011"/>
      <w:bookmarkStart w:id="137" w:name="_Toc71811310"/>
      <w:bookmarkStart w:id="138" w:name="_Toc466640590"/>
      <w:bookmarkStart w:id="139" w:name="_Toc30968"/>
      <w:bookmarkStart w:id="140" w:name="_Toc8028"/>
      <w:r>
        <w:rPr>
          <w:rFonts w:hint="eastAsia" w:ascii="宋体" w:hAnsi="宋体" w:eastAsia="宋体" w:cs="宋体"/>
          <w:b/>
          <w:highlight w:val="none"/>
        </w:rPr>
        <w:t>10.3 技术标书的编制要求</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7B3084A2">
      <w:pPr>
        <w:pStyle w:val="145"/>
        <w:ind w:firstLine="480" w:firstLineChars="200"/>
        <w:outlineLvl w:val="4"/>
        <w:rPr>
          <w:rFonts w:hint="eastAsia" w:hAnsi="宋体" w:cs="宋体"/>
          <w:highlight w:val="none"/>
          <w:u w:val="single"/>
        </w:rPr>
      </w:pPr>
      <w:r>
        <w:rPr>
          <w:rFonts w:hint="eastAsia" w:hAnsi="宋体" w:cs="宋体"/>
          <w:highlight w:val="none"/>
        </w:rPr>
        <w:t>10.3.1 技术标书包括但不限于以下内容：</w:t>
      </w:r>
    </w:p>
    <w:p w14:paraId="0F5D3A62">
      <w:pPr>
        <w:pStyle w:val="145"/>
        <w:ind w:firstLine="420" w:firstLineChars="175"/>
        <w:rPr>
          <w:rFonts w:hint="eastAsia" w:hAnsi="宋体" w:cs="宋体"/>
          <w:highlight w:val="none"/>
        </w:rPr>
      </w:pPr>
      <w:r>
        <w:rPr>
          <w:rFonts w:hint="eastAsia" w:hAnsi="宋体" w:cs="宋体"/>
          <w:highlight w:val="none"/>
        </w:rPr>
        <w:t>（1）封面</w:t>
      </w:r>
      <w:r>
        <w:rPr>
          <w:rFonts w:hint="eastAsia" w:hAnsi="宋体" w:cs="宋体"/>
          <w:szCs w:val="22"/>
          <w:highlight w:val="none"/>
        </w:rPr>
        <w:t>（格式一）</w:t>
      </w:r>
      <w:r>
        <w:rPr>
          <w:rFonts w:hint="eastAsia" w:hAnsi="宋体" w:cs="宋体"/>
          <w:highlight w:val="none"/>
        </w:rPr>
        <w:t>；</w:t>
      </w:r>
    </w:p>
    <w:p w14:paraId="06957B13">
      <w:pPr>
        <w:pStyle w:val="145"/>
        <w:ind w:firstLine="420" w:firstLineChars="175"/>
        <w:rPr>
          <w:rFonts w:hint="eastAsia" w:hAnsi="宋体" w:cs="宋体"/>
          <w:highlight w:val="none"/>
        </w:rPr>
      </w:pPr>
      <w:r>
        <w:rPr>
          <w:rFonts w:hint="eastAsia" w:hAnsi="宋体" w:cs="宋体"/>
          <w:highlight w:val="none"/>
        </w:rPr>
        <w:t>（2）目录；</w:t>
      </w:r>
    </w:p>
    <w:p w14:paraId="2F9F4798">
      <w:pPr>
        <w:pStyle w:val="145"/>
        <w:ind w:firstLine="420" w:firstLineChars="175"/>
        <w:rPr>
          <w:rFonts w:hint="eastAsia" w:hAnsi="宋体" w:cs="宋体"/>
          <w:szCs w:val="22"/>
          <w:highlight w:val="none"/>
        </w:rPr>
      </w:pPr>
      <w:r>
        <w:rPr>
          <w:rFonts w:hint="eastAsia" w:hAnsi="宋体" w:cs="宋体"/>
          <w:szCs w:val="22"/>
          <w:highlight w:val="none"/>
        </w:rPr>
        <w:t>（3）投标人根据招标文件的《综合评分表》认为需要补充的其他资料。</w:t>
      </w:r>
    </w:p>
    <w:p w14:paraId="0C8A54D5">
      <w:pPr>
        <w:pStyle w:val="145"/>
        <w:ind w:firstLine="480" w:firstLineChars="200"/>
        <w:rPr>
          <w:rFonts w:hint="eastAsia" w:hAnsi="宋体" w:cs="宋体"/>
          <w:highlight w:val="none"/>
        </w:rPr>
      </w:pPr>
      <w:r>
        <w:rPr>
          <w:rFonts w:hint="eastAsia" w:hAnsi="宋体" w:cs="宋体"/>
          <w:highlight w:val="none"/>
        </w:rPr>
        <w:t>10.3.2 本节第10.3.1目中所列出的技术标书组成内容中，第（1）至第（3）项所有投标人均应提供。</w:t>
      </w:r>
      <w:bookmarkStart w:id="141" w:name="_Toc32082"/>
      <w:bookmarkStart w:id="142" w:name="_Toc485111106"/>
      <w:bookmarkStart w:id="143" w:name="_Toc14893"/>
    </w:p>
    <w:p w14:paraId="31E53537">
      <w:pPr>
        <w:pStyle w:val="145"/>
        <w:ind w:firstLine="480" w:firstLineChars="200"/>
        <w:rPr>
          <w:rFonts w:hint="eastAsia" w:hAnsi="宋体" w:cs="宋体"/>
          <w:highlight w:val="none"/>
        </w:rPr>
      </w:pPr>
      <w:r>
        <w:rPr>
          <w:rFonts w:hint="eastAsia" w:hAnsi="宋体" w:cs="宋体"/>
          <w:highlight w:val="none"/>
        </w:rPr>
        <w:t>10.3.3技术标书</w:t>
      </w:r>
      <w:r>
        <w:rPr>
          <w:highlight w:val="none"/>
        </w:rPr>
        <w:t>的组成内容按本节第10.3.1目规定的顺序整理、编排后，逐页（页码起始从封面开始）连续标记页码</w:t>
      </w:r>
      <w:r>
        <w:rPr>
          <w:rFonts w:hint="eastAsia" w:hAnsi="宋体" w:cs="宋体"/>
          <w:highlight w:val="none"/>
        </w:rPr>
        <w:t>。</w:t>
      </w:r>
    </w:p>
    <w:bookmarkEnd w:id="141"/>
    <w:p w14:paraId="41373D8C">
      <w:pPr>
        <w:pStyle w:val="82"/>
        <w:keepNext/>
        <w:keepLines/>
        <w:adjustRightInd/>
        <w:ind w:firstLine="482" w:firstLineChars="200"/>
        <w:jc w:val="both"/>
        <w:outlineLvl w:val="2"/>
        <w:rPr>
          <w:rFonts w:hint="eastAsia" w:ascii="宋体" w:hAnsi="宋体" w:cs="宋体"/>
          <w:b/>
          <w:kern w:val="2"/>
          <w:highlight w:val="none"/>
        </w:rPr>
      </w:pPr>
      <w:bookmarkStart w:id="144" w:name="_Toc19136"/>
      <w:bookmarkStart w:id="145" w:name="_Toc135054594"/>
      <w:r>
        <w:rPr>
          <w:rFonts w:hint="eastAsia" w:ascii="宋体" w:hAnsi="宋体" w:cs="宋体"/>
          <w:b/>
          <w:kern w:val="2"/>
          <w:highlight w:val="none"/>
        </w:rPr>
        <w:t>11 投标文件的编制依据</w:t>
      </w:r>
      <w:bookmarkEnd w:id="142"/>
      <w:bookmarkEnd w:id="143"/>
      <w:bookmarkEnd w:id="144"/>
      <w:bookmarkEnd w:id="145"/>
    </w:p>
    <w:p w14:paraId="7F40F108">
      <w:pPr>
        <w:spacing w:line="360" w:lineRule="auto"/>
        <w:ind w:firstLine="420" w:firstLineChars="175"/>
        <w:rPr>
          <w:rFonts w:hint="eastAsia" w:ascii="宋体" w:hAnsi="宋体" w:cs="宋体"/>
          <w:sz w:val="24"/>
          <w:szCs w:val="24"/>
          <w:highlight w:val="none"/>
        </w:rPr>
      </w:pPr>
      <w:r>
        <w:rPr>
          <w:rFonts w:hint="eastAsia" w:ascii="宋体" w:hAnsi="宋体" w:cs="宋体"/>
          <w:sz w:val="24"/>
          <w:szCs w:val="24"/>
          <w:highlight w:val="none"/>
        </w:rPr>
        <w:t>11.1招标单位提供的前期文件等资料；</w:t>
      </w:r>
    </w:p>
    <w:p w14:paraId="796BC38D">
      <w:pPr>
        <w:spacing w:line="360" w:lineRule="auto"/>
        <w:ind w:firstLine="420" w:firstLineChars="175"/>
        <w:rPr>
          <w:rFonts w:hint="eastAsia" w:ascii="宋体" w:hAnsi="宋体" w:cs="宋体"/>
          <w:sz w:val="24"/>
          <w:szCs w:val="24"/>
          <w:highlight w:val="none"/>
        </w:rPr>
      </w:pPr>
      <w:r>
        <w:rPr>
          <w:rFonts w:hint="eastAsia" w:ascii="宋体" w:hAnsi="宋体" w:cs="宋体"/>
          <w:sz w:val="24"/>
          <w:szCs w:val="24"/>
          <w:highlight w:val="none"/>
        </w:rPr>
        <w:t>11.2本招标文件；</w:t>
      </w:r>
    </w:p>
    <w:p w14:paraId="3639FDF8">
      <w:pPr>
        <w:spacing w:line="360" w:lineRule="auto"/>
        <w:ind w:firstLine="420" w:firstLineChars="175"/>
        <w:rPr>
          <w:rFonts w:hint="eastAsia" w:ascii="宋体" w:hAnsi="宋体" w:cs="宋体"/>
          <w:highlight w:val="none"/>
        </w:rPr>
      </w:pPr>
      <w:r>
        <w:rPr>
          <w:rFonts w:hint="eastAsia" w:ascii="宋体" w:hAnsi="宋体" w:cs="宋体"/>
          <w:sz w:val="24"/>
          <w:szCs w:val="24"/>
          <w:highlight w:val="none"/>
        </w:rPr>
        <w:t>11.3国家、广东省现行的有关法规、规定，建筑工程验收规范和质量检验评定标准等。</w:t>
      </w:r>
    </w:p>
    <w:bookmarkEnd w:id="96"/>
    <w:bookmarkEnd w:id="97"/>
    <w:p w14:paraId="69D0F5C6">
      <w:pPr>
        <w:pStyle w:val="82"/>
        <w:keepNext/>
        <w:keepLines/>
        <w:adjustRightInd/>
        <w:ind w:firstLine="482" w:firstLineChars="200"/>
        <w:jc w:val="both"/>
        <w:outlineLvl w:val="2"/>
        <w:rPr>
          <w:rFonts w:hint="eastAsia" w:ascii="宋体" w:hAnsi="宋体" w:cs="宋体"/>
          <w:b/>
          <w:kern w:val="2"/>
          <w:highlight w:val="none"/>
        </w:rPr>
      </w:pPr>
      <w:bookmarkStart w:id="146" w:name="_Toc12971"/>
      <w:bookmarkStart w:id="147" w:name="_Toc135054595"/>
      <w:bookmarkStart w:id="148" w:name="_Toc17730"/>
      <w:r>
        <w:rPr>
          <w:rFonts w:hint="eastAsia" w:ascii="宋体" w:hAnsi="宋体" w:cs="宋体"/>
          <w:b/>
          <w:kern w:val="2"/>
          <w:highlight w:val="none"/>
        </w:rPr>
        <w:t xml:space="preserve">12 </w:t>
      </w:r>
      <w:bookmarkEnd w:id="146"/>
      <w:bookmarkStart w:id="149" w:name="_Hlt88627590"/>
      <w:bookmarkEnd w:id="149"/>
      <w:r>
        <w:rPr>
          <w:rFonts w:hint="eastAsia" w:ascii="宋体" w:hAnsi="宋体" w:cs="宋体"/>
          <w:b/>
          <w:kern w:val="2"/>
          <w:highlight w:val="none"/>
        </w:rPr>
        <w:t>电子投标</w:t>
      </w:r>
      <w:bookmarkEnd w:id="147"/>
      <w:bookmarkEnd w:id="148"/>
    </w:p>
    <w:p w14:paraId="10718F3D">
      <w:pPr>
        <w:pStyle w:val="83"/>
        <w:ind w:firstLine="482" w:firstLineChars="200"/>
        <w:rPr>
          <w:rFonts w:hint="eastAsia" w:hAnsi="宋体" w:cs="宋体"/>
          <w:bCs/>
          <w:highlight w:val="none"/>
        </w:rPr>
      </w:pPr>
      <w:r>
        <w:rPr>
          <w:rFonts w:hint="eastAsia" w:hAnsi="宋体" w:cs="宋体"/>
          <w:b/>
          <w:highlight w:val="none"/>
        </w:rPr>
        <w:t>12.1</w:t>
      </w:r>
      <w:r>
        <w:rPr>
          <w:rFonts w:hint="eastAsia" w:hAnsi="宋体" w:cs="宋体"/>
          <w:bCs/>
          <w:highlight w:val="none"/>
        </w:rPr>
        <w:t>在建设工程交易系统上传加盖了电子印章的投标文件、录入相关信息及标书页码信息（页码起始从封面开始）并提交投标标书。提交标书为已加密投标文件。</w:t>
      </w:r>
      <w:r>
        <w:rPr>
          <w:rFonts w:hint="eastAsia" w:hAnsi="宋体" w:cs="宋体"/>
          <w:bCs/>
          <w:snapToGrid w:val="0"/>
          <w:highlight w:val="none"/>
        </w:rPr>
        <w:t>具体操作投标人可登录全国公共资源交易平台（广东省·韶关市）（https://ygp.gdzwfw.gov.cn/ggzy-portal/#/440200/index），在【服务指南】栏目中下载《韶关市公共资源建设工程交易系统-投标人操作指南》。本项目评标采用全流程电子化进行招标投标（投标人应根据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由于投标人原因导致未按投标截止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r>
        <w:rPr>
          <w:rFonts w:hint="eastAsia" w:hAnsi="宋体" w:cs="宋体"/>
          <w:bCs/>
          <w:highlight w:val="none"/>
        </w:rPr>
        <w:t>。</w:t>
      </w:r>
    </w:p>
    <w:p w14:paraId="6F90D69F">
      <w:pPr>
        <w:pStyle w:val="83"/>
        <w:ind w:firstLine="482" w:firstLineChars="200"/>
        <w:rPr>
          <w:rFonts w:hint="eastAsia" w:hAnsi="宋体" w:cs="宋体"/>
          <w:b/>
          <w:highlight w:val="none"/>
        </w:rPr>
      </w:pPr>
      <w:r>
        <w:rPr>
          <w:rFonts w:hint="eastAsia" w:hAnsi="宋体" w:cs="宋体"/>
          <w:b/>
          <w:highlight w:val="none"/>
        </w:rPr>
        <w:t>11.2</w:t>
      </w:r>
      <w:r>
        <w:rPr>
          <w:rFonts w:hint="eastAsia" w:hAnsi="宋体" w:cs="宋体"/>
          <w:bCs/>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22868C32">
      <w:pPr>
        <w:pStyle w:val="82"/>
        <w:keepNext/>
        <w:keepLines/>
        <w:adjustRightInd/>
        <w:ind w:firstLine="482" w:firstLineChars="200"/>
        <w:jc w:val="both"/>
        <w:outlineLvl w:val="2"/>
        <w:rPr>
          <w:rFonts w:hint="eastAsia" w:ascii="宋体" w:hAnsi="宋体" w:cs="宋体"/>
          <w:b/>
          <w:kern w:val="2"/>
          <w:highlight w:val="none"/>
        </w:rPr>
      </w:pPr>
      <w:bookmarkStart w:id="150" w:name="_Toc135054596"/>
      <w:bookmarkStart w:id="151" w:name="_Toc18159"/>
      <w:r>
        <w:rPr>
          <w:rFonts w:hint="eastAsia" w:ascii="宋体" w:hAnsi="宋体" w:cs="宋体"/>
          <w:b/>
          <w:kern w:val="2"/>
          <w:highlight w:val="none"/>
        </w:rPr>
        <w:t>13 投标文件的提交</w:t>
      </w:r>
      <w:bookmarkEnd w:id="150"/>
      <w:bookmarkEnd w:id="151"/>
    </w:p>
    <w:p w14:paraId="1EBD2C83">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13.1在投标文件提交截止时间前，投标人通过全国公共资源交易平台（广东省·韶关市）新建设工程交易系统提交已加密投标文件。逾期提交的电子投标文件，全国公共资源交易平台（广东省·韶关市）新建设工程交易系统将予以拒收。</w:t>
      </w:r>
    </w:p>
    <w:p w14:paraId="5A6168F7">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13.2提交时间和地点：见“重要事项时间地点一览表”</w:t>
      </w:r>
    </w:p>
    <w:p w14:paraId="6604C197">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13.3投标人法定代表人或其委托代理人（以下简称“投标人代表”）应在指定的时间和地点递交投标相关资料（如有）。</w:t>
      </w:r>
    </w:p>
    <w:p w14:paraId="5F83B357">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13.4 递交时间和地点：投标人如有招标文件要求提交的用于评审的证书、证件、证明原件（附一式两份清单），由投标人法定代表人或其委托代理人在指定的时间和地点递交（见“重要事项时间地点一览表”）</w:t>
      </w:r>
    </w:p>
    <w:p w14:paraId="5A84099D">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13.5 代理机构对因不可抗力事件造成的投标文件的损坏、丢失的，不承担责任。</w:t>
      </w:r>
    </w:p>
    <w:p w14:paraId="1671B34A">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13.6出现下述情形之一，属于未成功提交投标文件，按无效投标处理：</w:t>
      </w:r>
    </w:p>
    <w:p w14:paraId="22F7DCE6">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（1）)至提交投标文件截止时，投标文件未完整上传及提交标书；</w:t>
      </w:r>
    </w:p>
    <w:p w14:paraId="19E2342E">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（2）投标文件未按投标格式中注明需签字盖章的要求进行签名（含电子签名）和加盖电子印章，或签名（含电子签名）或电子印章不完整的；</w:t>
      </w:r>
    </w:p>
    <w:p w14:paraId="15F88D46">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（3）解密失败且在规定时间内未重新提交投标文件的；</w:t>
      </w:r>
    </w:p>
    <w:p w14:paraId="7B50719F">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（4）投标文件损坏或格式不正确的；</w:t>
      </w:r>
    </w:p>
    <w:p w14:paraId="5823CDA2">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13.7招标人或其授权的招标代理机构核对、接收投标人递交的投标相关资料后，应向投标人出具标明签收人和签收时间的凭证，并妥善保管。</w:t>
      </w:r>
    </w:p>
    <w:p w14:paraId="709496D7">
      <w:pPr>
        <w:pStyle w:val="82"/>
        <w:keepNext/>
        <w:keepLines/>
        <w:adjustRightInd/>
        <w:ind w:firstLine="482" w:firstLineChars="200"/>
        <w:jc w:val="both"/>
        <w:outlineLvl w:val="2"/>
        <w:rPr>
          <w:rFonts w:hint="eastAsia" w:ascii="宋体" w:hAnsi="宋体" w:cs="宋体"/>
          <w:b/>
          <w:kern w:val="2"/>
          <w:highlight w:val="none"/>
        </w:rPr>
      </w:pPr>
      <w:bookmarkStart w:id="152" w:name="_Hlt74494779"/>
      <w:bookmarkEnd w:id="152"/>
      <w:bookmarkStart w:id="153" w:name="_Hlt66608380"/>
      <w:bookmarkEnd w:id="153"/>
      <w:bookmarkStart w:id="154" w:name="_Hlt75685366"/>
      <w:bookmarkEnd w:id="154"/>
      <w:bookmarkStart w:id="155" w:name="_Hlt69699424"/>
      <w:bookmarkEnd w:id="155"/>
      <w:bookmarkStart w:id="156" w:name="_Hlt92512875"/>
      <w:bookmarkEnd w:id="156"/>
      <w:bookmarkStart w:id="157" w:name="_Toc104711075"/>
      <w:bookmarkStart w:id="158" w:name="_Toc31438"/>
      <w:bookmarkStart w:id="159" w:name="_Toc30653"/>
      <w:bookmarkStart w:id="160" w:name="_Toc106418820"/>
      <w:bookmarkStart w:id="161" w:name="_Toc135054597"/>
      <w:r>
        <w:rPr>
          <w:rFonts w:hint="eastAsia" w:ascii="宋体" w:hAnsi="宋体" w:cs="宋体"/>
          <w:b/>
          <w:kern w:val="2"/>
          <w:highlight w:val="none"/>
        </w:rPr>
        <w:t>14 投标有效期</w:t>
      </w:r>
      <w:bookmarkEnd w:id="157"/>
      <w:bookmarkEnd w:id="158"/>
      <w:bookmarkEnd w:id="159"/>
      <w:bookmarkEnd w:id="160"/>
      <w:bookmarkEnd w:id="161"/>
    </w:p>
    <w:p w14:paraId="0F6BB1E4">
      <w:pPr>
        <w:pStyle w:val="83"/>
        <w:ind w:firstLine="480" w:firstLineChars="200"/>
        <w:rPr>
          <w:rFonts w:hint="eastAsia" w:hAnsi="宋体" w:cs="宋体"/>
          <w:b/>
          <w:bCs/>
          <w:szCs w:val="22"/>
          <w:highlight w:val="none"/>
        </w:rPr>
      </w:pPr>
      <w:r>
        <w:rPr>
          <w:rFonts w:hint="eastAsia" w:hAnsi="宋体" w:cs="宋体"/>
          <w:szCs w:val="22"/>
          <w:highlight w:val="none"/>
        </w:rPr>
        <w:t>投标有效期为</w:t>
      </w:r>
      <w:r>
        <w:rPr>
          <w:rFonts w:hint="eastAsia" w:hAnsi="宋体" w:cs="宋体"/>
          <w:szCs w:val="22"/>
          <w:highlight w:val="none"/>
          <w:u w:val="single"/>
        </w:rPr>
        <w:t>90</w:t>
      </w:r>
      <w:r>
        <w:rPr>
          <w:rFonts w:hint="eastAsia" w:hAnsi="宋体" w:cs="宋体"/>
          <w:szCs w:val="22"/>
          <w:highlight w:val="none"/>
        </w:rPr>
        <w:t>个日历天，自招标人或其授权的招标代理机构接收投标人递交的投标文件之日起计。在此期间，投标人不得撤销或修改其投标文件，否则其投标保证不予退还。</w:t>
      </w:r>
    </w:p>
    <w:p w14:paraId="31942E01">
      <w:pPr>
        <w:pStyle w:val="82"/>
        <w:keepNext/>
        <w:keepLines/>
        <w:adjustRightInd/>
        <w:ind w:firstLine="482" w:firstLineChars="200"/>
        <w:jc w:val="both"/>
        <w:outlineLvl w:val="2"/>
        <w:rPr>
          <w:rFonts w:hint="eastAsia" w:ascii="宋体" w:hAnsi="宋体" w:cs="宋体"/>
          <w:b/>
          <w:kern w:val="2"/>
          <w:highlight w:val="none"/>
        </w:rPr>
      </w:pPr>
      <w:bookmarkStart w:id="162" w:name="_Toc26501"/>
      <w:bookmarkStart w:id="163" w:name="_Toc135054598"/>
      <w:bookmarkStart w:id="164" w:name="_Toc14083"/>
      <w:r>
        <w:rPr>
          <w:rFonts w:hint="eastAsia" w:ascii="宋体" w:hAnsi="宋体" w:cs="宋体"/>
          <w:b/>
          <w:kern w:val="2"/>
          <w:highlight w:val="none"/>
        </w:rPr>
        <w:t>15 开标</w:t>
      </w:r>
      <w:bookmarkEnd w:id="162"/>
      <w:bookmarkEnd w:id="163"/>
      <w:bookmarkEnd w:id="164"/>
    </w:p>
    <w:p w14:paraId="1CB59C5B">
      <w:pPr>
        <w:pStyle w:val="153"/>
        <w:wordWrap w:val="0"/>
        <w:adjustRightInd w:val="0"/>
        <w:snapToGrid w:val="0"/>
        <w:spacing w:line="360" w:lineRule="auto"/>
        <w:ind w:firstLine="480" w:firstLineChars="200"/>
        <w:jc w:val="left"/>
        <w:rPr>
          <w:rFonts w:hint="eastAsia" w:ascii="宋体" w:hAnsi="宋体" w:cs="宋体"/>
          <w:bCs/>
          <w:sz w:val="24"/>
          <w:szCs w:val="20"/>
          <w:highlight w:val="none"/>
        </w:rPr>
      </w:pPr>
      <w:bookmarkStart w:id="165" w:name="_Hlt127093805"/>
      <w:bookmarkEnd w:id="165"/>
      <w:r>
        <w:rPr>
          <w:rFonts w:hint="eastAsia" w:ascii="宋体" w:hAnsi="宋体" w:cs="宋体"/>
          <w:bCs/>
          <w:sz w:val="24"/>
          <w:szCs w:val="20"/>
          <w:highlight w:val="none"/>
        </w:rPr>
        <w:t>15.1 招标人邀请所有正确获取招标文件、缴纳投标保证、电子投标的投标人参加开标，投标人可自主决定是否参加。投标人无须进行现场签到，可登录交易平台观看开标实况、提出异议或进行澄清、确认等操作，具体按招标文件和系统操作手册为准。</w:t>
      </w:r>
    </w:p>
    <w:p w14:paraId="7E3C072D">
      <w:pPr>
        <w:pStyle w:val="153"/>
        <w:wordWrap w:val="0"/>
        <w:adjustRightInd w:val="0"/>
        <w:snapToGrid w:val="0"/>
        <w:spacing w:line="360" w:lineRule="auto"/>
        <w:ind w:firstLine="480" w:firstLineChars="200"/>
        <w:jc w:val="left"/>
        <w:rPr>
          <w:rFonts w:hint="eastAsia" w:ascii="宋体" w:hAnsi="宋体" w:cs="宋体"/>
          <w:bCs/>
          <w:sz w:val="24"/>
          <w:szCs w:val="20"/>
          <w:highlight w:val="none"/>
        </w:rPr>
      </w:pPr>
      <w:r>
        <w:rPr>
          <w:rFonts w:hint="eastAsia" w:ascii="宋体" w:hAnsi="宋体" w:cs="宋体"/>
          <w:bCs/>
          <w:sz w:val="24"/>
          <w:szCs w:val="20"/>
          <w:highlight w:val="none"/>
        </w:rPr>
        <w:t>15.1.1 开标时间和地点：见“重要事项时间地点一览表”。</w:t>
      </w:r>
    </w:p>
    <w:p w14:paraId="5FEC4B6C">
      <w:pPr>
        <w:pStyle w:val="153"/>
        <w:wordWrap w:val="0"/>
        <w:adjustRightInd w:val="0"/>
        <w:snapToGrid w:val="0"/>
        <w:spacing w:line="360" w:lineRule="auto"/>
        <w:ind w:firstLine="480" w:firstLineChars="200"/>
        <w:jc w:val="left"/>
        <w:rPr>
          <w:rFonts w:hint="eastAsia" w:ascii="宋体" w:hAnsi="宋体" w:cs="宋体"/>
          <w:bCs/>
          <w:sz w:val="24"/>
          <w:szCs w:val="20"/>
          <w:highlight w:val="none"/>
        </w:rPr>
      </w:pPr>
      <w:r>
        <w:rPr>
          <w:rFonts w:hint="eastAsia" w:ascii="宋体" w:hAnsi="宋体" w:cs="宋体"/>
          <w:bCs/>
          <w:sz w:val="24"/>
          <w:szCs w:val="20"/>
          <w:highlight w:val="none"/>
        </w:rPr>
        <w:t>15.1.2 开标前24小时，若建设工程交易系统显示缴纳投标保证（包括投标保证金、投标保证担保、投标保证保险）的投标人数量不足3个时，招标人将取消原定于次日召开的开标活动。投标人可在投标保证缴纳截止时间（见“重要事项时间地点一览表”）至电子投标截止时间（见“重要事项时间地点一览表”）期间登录全国公共资源交易平台（广东省·韶关市）（https://ygp.gdzwfw.gov.cn/ggzy-portal/#/440200/index）查询是否发布了取消开标活动的相关信息。</w:t>
      </w:r>
    </w:p>
    <w:p w14:paraId="071654AA">
      <w:pPr>
        <w:pStyle w:val="153"/>
        <w:wordWrap w:val="0"/>
        <w:adjustRightInd w:val="0"/>
        <w:snapToGrid w:val="0"/>
        <w:spacing w:line="360" w:lineRule="auto"/>
        <w:ind w:firstLine="480" w:firstLineChars="200"/>
        <w:jc w:val="left"/>
        <w:rPr>
          <w:rFonts w:hint="eastAsia" w:ascii="宋体" w:hAnsi="宋体" w:cs="宋体"/>
          <w:bCs/>
          <w:sz w:val="24"/>
          <w:szCs w:val="20"/>
          <w:highlight w:val="none"/>
        </w:rPr>
      </w:pPr>
      <w:r>
        <w:rPr>
          <w:rFonts w:hint="eastAsia" w:ascii="宋体" w:hAnsi="宋体" w:cs="宋体"/>
          <w:bCs/>
          <w:sz w:val="24"/>
          <w:szCs w:val="20"/>
          <w:highlight w:val="none"/>
        </w:rPr>
        <w:t>15.1.3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7EBABCD8">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15.2 开标程序</w:t>
      </w:r>
    </w:p>
    <w:p w14:paraId="5CEBA86C">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（1）主持人（招标人代表或招标人授权的招标代理机构人员）宣读开标纪律。</w:t>
      </w:r>
      <w:bookmarkStart w:id="166" w:name="_Toc30079"/>
    </w:p>
    <w:p w14:paraId="57A91E1C">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（2）主持人宣布唱标人、记录人、见证人、监督人等有关人员姓名。</w:t>
      </w:r>
      <w:bookmarkEnd w:id="166"/>
      <w:bookmarkStart w:id="167" w:name="_Toc23816"/>
    </w:p>
    <w:p w14:paraId="0DF50113">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（3）到达投标截止时间后，主持人点击“开始开标”按钮，系统自动对投标企业进行在线签到。招标代理机构应将有关情形在《开标一览表》“备注”栏中注明。</w:t>
      </w:r>
      <w:bookmarkEnd w:id="167"/>
      <w:bookmarkStart w:id="168" w:name="_Toc21677"/>
    </w:p>
    <w:p w14:paraId="0B36F4C5">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（4）招标代理机构在交易场所工作人员见证下，对投标人的电子投标信息进行解密，建设工程交易系统自动生成《投标保证缴纳情况表》和《开标一览表》。</w:t>
      </w:r>
      <w:bookmarkEnd w:id="168"/>
      <w:bookmarkStart w:id="169" w:name="_Toc30701"/>
    </w:p>
    <w:p w14:paraId="5658EC40">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bookmarkEnd w:id="169"/>
    </w:p>
    <w:p w14:paraId="2C6C466B">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（5）唱标人检查《投标保证缴纳情况表》中各投标人所缴纳投标保证的金额、有效期是否符合招标文件规定。若不符合规定，该投标人的投标无效。将有关情形在《投标保证缴纳情况表》“备注”栏中注明。</w:t>
      </w:r>
    </w:p>
    <w:p w14:paraId="50D63151">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（6）唱标人检查《开标一览表》中各投标人的投标总价、工期是否符合招标文件规定。若不符合规定，招标代理机构应将有关情形在《开标一览表》“备注”栏中注明。</w:t>
      </w:r>
    </w:p>
    <w:p w14:paraId="442EBDFA">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（7）招标人代表、唱标人、记录人等有关人员在《投标保证缴纳情况表》以及《开标一览表》上签字确认。</w:t>
      </w:r>
    </w:p>
    <w:p w14:paraId="503AF995">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（8）主持人宣布进入开标异议阶段，异议倒计时结束后，主持人宣布开标结束。</w:t>
      </w:r>
    </w:p>
    <w:p w14:paraId="0185BA33">
      <w:pPr>
        <w:wordWrap w:val="0"/>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15.3 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244EDAE">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bCs/>
          <w:sz w:val="24"/>
          <w:highlight w:val="none"/>
        </w:rPr>
        <w:t>15.4招标代理机构将资料原件（若有）、《开标一览表》以及其他有关资料移交评标委员会。</w:t>
      </w:r>
    </w:p>
    <w:p w14:paraId="295ED3B3">
      <w:pPr>
        <w:pStyle w:val="82"/>
        <w:keepNext/>
        <w:keepLines/>
        <w:adjustRightInd/>
        <w:ind w:firstLine="482" w:firstLineChars="200"/>
        <w:jc w:val="both"/>
        <w:outlineLvl w:val="2"/>
        <w:rPr>
          <w:rFonts w:hint="eastAsia" w:ascii="宋体" w:hAnsi="宋体" w:cs="宋体"/>
          <w:b/>
          <w:kern w:val="2"/>
          <w:highlight w:val="none"/>
        </w:rPr>
      </w:pPr>
      <w:bookmarkStart w:id="170" w:name="_Toc135054599"/>
      <w:bookmarkStart w:id="171" w:name="_Toc26251"/>
      <w:r>
        <w:rPr>
          <w:rFonts w:hint="eastAsia" w:ascii="宋体" w:hAnsi="宋体" w:cs="宋体"/>
          <w:b/>
          <w:kern w:val="2"/>
          <w:highlight w:val="none"/>
        </w:rPr>
        <w:t>16 电子投标及评标时突发补救方案</w:t>
      </w:r>
      <w:bookmarkEnd w:id="170"/>
      <w:bookmarkEnd w:id="171"/>
      <w:bookmarkStart w:id="172" w:name="_Toc2213"/>
      <w:bookmarkStart w:id="173" w:name="_Toc11485"/>
      <w:bookmarkStart w:id="174" w:name="_Toc32344"/>
    </w:p>
    <w:p w14:paraId="35EC54CD">
      <w:pPr>
        <w:spacing w:line="360" w:lineRule="auto"/>
        <w:ind w:firstLine="480" w:firstLineChars="200"/>
        <w:rPr>
          <w:rFonts w:hint="eastAsia" w:ascii="宋体" w:hAnsi="宋体" w:cs="宋体"/>
          <w:snapToGrid w:val="0"/>
          <w:kern w:val="0"/>
          <w:sz w:val="24"/>
          <w:highlight w:val="none"/>
        </w:rPr>
      </w:pPr>
      <w:r>
        <w:rPr>
          <w:rFonts w:hint="eastAsia" w:ascii="宋体" w:hAnsi="宋体" w:cs="宋体"/>
          <w:snapToGrid w:val="0"/>
          <w:kern w:val="0"/>
          <w:sz w:val="24"/>
          <w:highlight w:val="none"/>
        </w:rPr>
        <w:t>按照交易平台关于全流程电子化项目的相关指南进行操作。详见：全国公共资源交易平台（广东省·韶关市）（https://ygp.gdzwfw.gov.cn/ggzy-portal/#/440200/index）交易指引栏目发布的最新版操作指引。</w:t>
      </w:r>
    </w:p>
    <w:p w14:paraId="467E14B3">
      <w:pPr>
        <w:spacing w:line="360" w:lineRule="auto"/>
        <w:ind w:firstLine="480" w:firstLineChars="200"/>
        <w:rPr>
          <w:rFonts w:hint="eastAsia" w:ascii="宋体" w:hAnsi="宋体" w:cs="宋体"/>
          <w:snapToGrid w:val="0"/>
          <w:kern w:val="0"/>
          <w:sz w:val="24"/>
          <w:highlight w:val="none"/>
        </w:rPr>
      </w:pPr>
      <w:r>
        <w:rPr>
          <w:rFonts w:hint="eastAsia" w:ascii="宋体" w:hAnsi="宋体" w:cs="宋体"/>
          <w:snapToGrid w:val="0"/>
          <w:kern w:val="0"/>
          <w:sz w:val="24"/>
          <w:highlight w:val="none"/>
        </w:rPr>
        <w:t>（1）投标文件解密失败的补救方案：在规定时间内，因投标人之外原因(指网络瘫痪、服务器损坏、交易系统故障短期无法恢复)等导致的电子投标文件解密失败，在招标人、监督人、交易中心工作人员见证的情况下，招标代理机构授权投标人重新上传投标文件后继续开标程序。电子投标文件解密失败且未在电子投标解密截止时间前重新上传投标文件的，视为无效投标（关于投标人解密失败如何获取投标人信息问题：在开标解密环节会有投标人相关信息，投标人重传时间为30分钟，30分钟未重传系统会判断投标无效。解密环节不会显示开标具体内容）。</w:t>
      </w:r>
      <w:bookmarkEnd w:id="172"/>
      <w:bookmarkEnd w:id="173"/>
      <w:bookmarkStart w:id="175" w:name="_Toc18714"/>
      <w:bookmarkStart w:id="176" w:name="_Toc30264"/>
    </w:p>
    <w:p w14:paraId="6DECFF7A">
      <w:pPr>
        <w:spacing w:line="360" w:lineRule="auto"/>
        <w:ind w:firstLine="480" w:firstLineChars="200"/>
        <w:rPr>
          <w:rFonts w:hint="eastAsia" w:ascii="宋体" w:hAnsi="宋体" w:cs="宋体"/>
          <w:snapToGrid w:val="0"/>
          <w:kern w:val="0"/>
          <w:sz w:val="24"/>
          <w:highlight w:val="none"/>
        </w:rPr>
      </w:pPr>
      <w:r>
        <w:rPr>
          <w:rFonts w:hint="eastAsia" w:ascii="宋体" w:hAnsi="宋体" w:cs="宋体"/>
          <w:snapToGrid w:val="0"/>
          <w:kern w:val="0"/>
          <w:sz w:val="24"/>
          <w:highlight w:val="none"/>
        </w:rPr>
        <w:t>（2）评标时突发情况的补救方案若遇不可抗力发生（指网络瘫痪、服务器损坏、交易系统故障短期无法恢复、交易系统故障导致电子文件无法读取等因素），参考《广东省工程建设项目远程异地评标管理暂行办法》第二十条：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175"/>
      <w:bookmarkEnd w:id="176"/>
      <w:bookmarkStart w:id="177" w:name="_Toc29164"/>
      <w:bookmarkStart w:id="178" w:name="_Toc2533"/>
    </w:p>
    <w:p w14:paraId="3811CD1A">
      <w:pPr>
        <w:spacing w:line="360" w:lineRule="auto"/>
        <w:ind w:firstLine="480" w:firstLineChars="200"/>
        <w:rPr>
          <w:rFonts w:hint="eastAsia" w:ascii="宋体" w:hAnsi="宋体" w:cs="宋体"/>
          <w:snapToGrid w:val="0"/>
          <w:kern w:val="0"/>
          <w:sz w:val="24"/>
          <w:highlight w:val="none"/>
        </w:rPr>
      </w:pPr>
      <w:r>
        <w:rPr>
          <w:rFonts w:hint="eastAsia" w:ascii="宋体" w:hAnsi="宋体" w:cs="宋体"/>
          <w:snapToGrid w:val="0"/>
          <w:kern w:val="0"/>
          <w:sz w:val="24"/>
          <w:highlight w:val="none"/>
        </w:rPr>
        <w:t>（3）除发生上述情况外，开标评标均以投标人通过交易平台网上递交的电子投标文件为准。</w:t>
      </w:r>
      <w:bookmarkEnd w:id="177"/>
      <w:bookmarkEnd w:id="178"/>
    </w:p>
    <w:p w14:paraId="1DF639EF">
      <w:pPr>
        <w:pStyle w:val="82"/>
        <w:keepNext/>
        <w:keepLines/>
        <w:adjustRightInd/>
        <w:ind w:firstLine="482" w:firstLineChars="200"/>
        <w:jc w:val="both"/>
        <w:outlineLvl w:val="2"/>
        <w:rPr>
          <w:rFonts w:hint="eastAsia" w:ascii="宋体" w:hAnsi="宋体" w:cs="宋体"/>
          <w:b/>
          <w:kern w:val="2"/>
          <w:highlight w:val="none"/>
        </w:rPr>
      </w:pPr>
      <w:bookmarkStart w:id="179" w:name="_Toc135054600"/>
      <w:bookmarkStart w:id="180" w:name="_Toc16268"/>
      <w:r>
        <w:rPr>
          <w:rFonts w:hint="eastAsia" w:ascii="宋体" w:hAnsi="宋体" w:cs="宋体"/>
          <w:b/>
          <w:kern w:val="2"/>
          <w:highlight w:val="none"/>
        </w:rPr>
        <w:t>17 评标</w:t>
      </w:r>
      <w:bookmarkEnd w:id="174"/>
      <w:bookmarkEnd w:id="179"/>
      <w:bookmarkEnd w:id="180"/>
    </w:p>
    <w:p w14:paraId="0A19575A">
      <w:pPr>
        <w:spacing w:line="360" w:lineRule="auto"/>
        <w:ind w:firstLine="480" w:firstLineChars="200"/>
        <w:rPr>
          <w:rFonts w:hint="eastAsia" w:ascii="宋体" w:hAnsi="宋体" w:cs="宋体"/>
          <w:snapToGrid w:val="0"/>
          <w:kern w:val="0"/>
          <w:sz w:val="24"/>
          <w:highlight w:val="none"/>
        </w:rPr>
      </w:pPr>
      <w:r>
        <w:rPr>
          <w:rFonts w:hint="eastAsia" w:ascii="宋体" w:hAnsi="宋体" w:cs="宋体"/>
          <w:snapToGrid w:val="0"/>
          <w:kern w:val="0"/>
          <w:sz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cs="宋体"/>
          <w:snapToGrid w:val="0"/>
          <w:kern w:val="0"/>
          <w:sz w:val="24"/>
          <w:highlight w:val="none"/>
          <w:u w:val="single"/>
        </w:rPr>
        <w:t xml:space="preserve"> 3 </w:t>
      </w:r>
      <w:r>
        <w:rPr>
          <w:rFonts w:hint="eastAsia" w:ascii="宋体" w:hAnsi="宋体" w:cs="宋体"/>
          <w:snapToGrid w:val="0"/>
          <w:kern w:val="0"/>
          <w:sz w:val="24"/>
          <w:highlight w:val="none"/>
        </w:rPr>
        <w:t>个中标候选人，并向招标人提交由全体评标委员会成员签字的评标报告。</w:t>
      </w:r>
    </w:p>
    <w:p w14:paraId="0938BCCA">
      <w:pPr>
        <w:spacing w:line="360" w:lineRule="auto"/>
        <w:ind w:firstLine="482" w:firstLineChars="200"/>
        <w:outlineLvl w:val="3"/>
        <w:rPr>
          <w:rFonts w:hint="eastAsia" w:ascii="宋体" w:hAnsi="宋体" w:cs="宋体"/>
          <w:bCs/>
          <w:snapToGrid w:val="0"/>
          <w:kern w:val="0"/>
          <w:sz w:val="24"/>
          <w:szCs w:val="24"/>
          <w:highlight w:val="none"/>
        </w:rPr>
      </w:pPr>
      <w:r>
        <w:rPr>
          <w:rFonts w:hint="eastAsia" w:ascii="宋体" w:hAnsi="宋体" w:cs="宋体"/>
          <w:b/>
          <w:bCs/>
          <w:snapToGrid w:val="0"/>
          <w:kern w:val="0"/>
          <w:sz w:val="24"/>
          <w:szCs w:val="24"/>
          <w:highlight w:val="none"/>
        </w:rPr>
        <w:t>17.1</w:t>
      </w:r>
      <w:r>
        <w:rPr>
          <w:rFonts w:hint="eastAsia" w:ascii="宋体" w:hAnsi="宋体" w:cs="宋体"/>
          <w:bCs/>
          <w:snapToGrid w:val="0"/>
          <w:kern w:val="0"/>
          <w:sz w:val="24"/>
          <w:szCs w:val="24"/>
          <w:highlight w:val="none"/>
        </w:rPr>
        <w:t xml:space="preserve"> 评标委员会</w:t>
      </w:r>
    </w:p>
    <w:p w14:paraId="60AF417C">
      <w:pPr>
        <w:spacing w:line="360" w:lineRule="auto"/>
        <w:ind w:firstLine="482" w:firstLineChars="200"/>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17.1.1</w:t>
      </w:r>
      <w:r>
        <w:rPr>
          <w:rFonts w:hint="eastAsia" w:ascii="宋体" w:hAnsi="宋体" w:cs="宋体"/>
          <w:snapToGrid w:val="0"/>
          <w:kern w:val="0"/>
          <w:sz w:val="24"/>
          <w:szCs w:val="24"/>
          <w:highlight w:val="none"/>
        </w:rPr>
        <w:t xml:space="preserve"> 评标委员会由</w:t>
      </w:r>
      <w:r>
        <w:rPr>
          <w:rFonts w:hint="eastAsia" w:ascii="宋体" w:hAnsi="宋体" w:cs="宋体"/>
          <w:snapToGrid w:val="0"/>
          <w:kern w:val="0"/>
          <w:sz w:val="24"/>
          <w:szCs w:val="24"/>
          <w:highlight w:val="none"/>
          <w:u w:val="single"/>
        </w:rPr>
        <w:t xml:space="preserve"> 5 </w:t>
      </w:r>
      <w:r>
        <w:rPr>
          <w:rFonts w:hint="eastAsia" w:ascii="宋体" w:hAnsi="宋体" w:cs="宋体"/>
          <w:snapToGrid w:val="0"/>
          <w:kern w:val="0"/>
          <w:sz w:val="24"/>
          <w:szCs w:val="24"/>
          <w:highlight w:val="none"/>
        </w:rPr>
        <w:t>人组成，其中招标人代表</w:t>
      </w:r>
      <w:r>
        <w:rPr>
          <w:rFonts w:hint="eastAsia" w:ascii="宋体" w:hAnsi="宋体" w:cs="宋体"/>
          <w:snapToGrid w:val="0"/>
          <w:kern w:val="0"/>
          <w:sz w:val="24"/>
          <w:szCs w:val="24"/>
          <w:highlight w:val="none"/>
          <w:u w:val="single"/>
        </w:rPr>
        <w:t xml:space="preserve"> 0 </w:t>
      </w:r>
      <w:r>
        <w:rPr>
          <w:rFonts w:hint="eastAsia" w:ascii="宋体" w:hAnsi="宋体" w:cs="宋体"/>
          <w:snapToGrid w:val="0"/>
          <w:kern w:val="0"/>
          <w:sz w:val="24"/>
          <w:szCs w:val="24"/>
          <w:highlight w:val="none"/>
        </w:rPr>
        <w:t>人，专家</w:t>
      </w:r>
      <w:r>
        <w:rPr>
          <w:rFonts w:hint="eastAsia" w:ascii="宋体" w:hAnsi="宋体" w:cs="宋体"/>
          <w:snapToGrid w:val="0"/>
          <w:kern w:val="0"/>
          <w:sz w:val="24"/>
          <w:szCs w:val="24"/>
          <w:highlight w:val="none"/>
          <w:u w:val="single"/>
        </w:rPr>
        <w:t xml:space="preserve"> 5 </w:t>
      </w:r>
      <w:r>
        <w:rPr>
          <w:rFonts w:hint="eastAsia" w:ascii="宋体" w:hAnsi="宋体" w:cs="宋体"/>
          <w:snapToGrid w:val="0"/>
          <w:kern w:val="0"/>
          <w:sz w:val="24"/>
          <w:szCs w:val="24"/>
          <w:highlight w:val="none"/>
        </w:rPr>
        <w:t>人。专家从广东省综合评标评审专家库韶关市区域中随机抽取，</w:t>
      </w:r>
      <w:r>
        <w:rPr>
          <w:rFonts w:hint="eastAsia" w:ascii="宋体" w:hAnsi="宋体" w:cs="宋体"/>
          <w:snapToGrid w:val="0"/>
          <w:kern w:val="0"/>
          <w:sz w:val="24"/>
          <w:highlight w:val="none"/>
        </w:rPr>
        <w:t>其中技术类专家</w:t>
      </w:r>
      <w:r>
        <w:rPr>
          <w:rFonts w:hint="eastAsia" w:ascii="宋体" w:hAnsi="宋体" w:cs="宋体"/>
          <w:snapToGrid w:val="0"/>
          <w:kern w:val="0"/>
          <w:sz w:val="24"/>
          <w:highlight w:val="none"/>
          <w:u w:val="single"/>
        </w:rPr>
        <w:t xml:space="preserve"> 3 </w:t>
      </w:r>
      <w:r>
        <w:rPr>
          <w:rFonts w:hint="eastAsia" w:ascii="宋体" w:hAnsi="宋体" w:cs="宋体"/>
          <w:snapToGrid w:val="0"/>
          <w:kern w:val="0"/>
          <w:sz w:val="24"/>
          <w:highlight w:val="none"/>
        </w:rPr>
        <w:t>人，经济类专家</w:t>
      </w:r>
      <w:r>
        <w:rPr>
          <w:rFonts w:hint="eastAsia" w:ascii="宋体" w:hAnsi="宋体" w:cs="宋体"/>
          <w:snapToGrid w:val="0"/>
          <w:kern w:val="0"/>
          <w:sz w:val="24"/>
          <w:highlight w:val="none"/>
          <w:u w:val="single"/>
        </w:rPr>
        <w:t xml:space="preserve"> 2 </w:t>
      </w:r>
      <w:r>
        <w:rPr>
          <w:rFonts w:hint="eastAsia" w:ascii="宋体" w:hAnsi="宋体" w:cs="宋体"/>
          <w:snapToGrid w:val="0"/>
          <w:kern w:val="0"/>
          <w:sz w:val="24"/>
          <w:highlight w:val="none"/>
        </w:rPr>
        <w:t>人。</w:t>
      </w:r>
      <w:r>
        <w:rPr>
          <w:rFonts w:hint="eastAsia" w:ascii="宋体" w:hAnsi="宋体" w:cs="宋体"/>
          <w:snapToGrid w:val="0"/>
          <w:kern w:val="0"/>
          <w:sz w:val="24"/>
          <w:szCs w:val="24"/>
          <w:highlight w:val="none"/>
        </w:rPr>
        <w:t>评标委员会设负责人，由评标委员会成员推举产生。评标委员会负责人与评标委员会的其他成员有同等的表决权。</w:t>
      </w:r>
    </w:p>
    <w:p w14:paraId="3E70236A">
      <w:pPr>
        <w:spacing w:line="360" w:lineRule="auto"/>
        <w:ind w:firstLine="482" w:firstLineChars="200"/>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17.1.2</w:t>
      </w:r>
      <w:r>
        <w:rPr>
          <w:rFonts w:hint="eastAsia" w:ascii="宋体" w:hAnsi="宋体" w:cs="宋体"/>
          <w:snapToGrid w:val="0"/>
          <w:kern w:val="0"/>
          <w:sz w:val="24"/>
          <w:szCs w:val="24"/>
          <w:highlight w:val="none"/>
        </w:rPr>
        <w:t xml:space="preserve"> 评标委员会应认真、公正、诚实、廉洁地履行职责。有下列情形之一的，不得担任评标委员会成员：</w:t>
      </w:r>
    </w:p>
    <w:p w14:paraId="6F0B6C87">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（1）投标人或投标人主要负责人的近亲属；</w:t>
      </w:r>
    </w:p>
    <w:p w14:paraId="244F5AC6">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（2）项目主管部门或者行政监督部门的人员；</w:t>
      </w:r>
    </w:p>
    <w:p w14:paraId="135A2EC8">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（3）与投标人有经济利益关系，可能影响对投标公正评审的；</w:t>
      </w:r>
    </w:p>
    <w:p w14:paraId="05C161C3">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（4）曾因在招标、评标以及其他与招标投标有关活动中从事违法行为而受过行政处罚或刑事处罚的。</w:t>
      </w:r>
    </w:p>
    <w:p w14:paraId="66D024AB">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评标委员会成员有以上情形之一的，应主动提出回避。</w:t>
      </w:r>
    </w:p>
    <w:p w14:paraId="5A1BA21D">
      <w:pPr>
        <w:spacing w:line="360" w:lineRule="auto"/>
        <w:ind w:firstLine="482" w:firstLineChars="200"/>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17.1.3</w:t>
      </w:r>
      <w:r>
        <w:rPr>
          <w:rFonts w:hint="eastAsia" w:ascii="宋体" w:hAnsi="宋体" w:cs="宋体"/>
          <w:snapToGrid w:val="0"/>
          <w:kern w:val="0"/>
          <w:sz w:val="24"/>
          <w:szCs w:val="24"/>
          <w:highlight w:val="none"/>
        </w:rPr>
        <w:t xml:space="preserve"> 评标全过程实行封闭式管理，在中标结果公布前，禁止评标委员会成员以任何方式私下接触投标人。</w:t>
      </w:r>
    </w:p>
    <w:p w14:paraId="7127253F">
      <w:pPr>
        <w:spacing w:line="360" w:lineRule="auto"/>
        <w:ind w:firstLine="482" w:firstLineChars="200"/>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17.1.4</w:t>
      </w:r>
      <w:r>
        <w:rPr>
          <w:rFonts w:hint="eastAsia" w:ascii="宋体" w:hAnsi="宋体" w:cs="宋体"/>
          <w:snapToGrid w:val="0"/>
          <w:kern w:val="0"/>
          <w:sz w:val="24"/>
          <w:szCs w:val="24"/>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05CCE59D">
      <w:pPr>
        <w:spacing w:line="360" w:lineRule="auto"/>
        <w:ind w:firstLine="482" w:firstLineChars="200"/>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17.1.5</w:t>
      </w:r>
      <w:r>
        <w:rPr>
          <w:rFonts w:hint="eastAsia" w:ascii="宋体" w:hAnsi="宋体" w:cs="宋体"/>
          <w:snapToGrid w:val="0"/>
          <w:kern w:val="0"/>
          <w:sz w:val="24"/>
          <w:szCs w:val="24"/>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2091781A">
      <w:pPr>
        <w:spacing w:line="360" w:lineRule="auto"/>
        <w:ind w:firstLine="482" w:firstLineChars="200"/>
        <w:outlineLvl w:val="3"/>
        <w:rPr>
          <w:rFonts w:hint="eastAsia" w:ascii="宋体" w:hAnsi="宋体" w:cs="宋体"/>
          <w:bCs/>
          <w:snapToGrid w:val="0"/>
          <w:kern w:val="0"/>
          <w:sz w:val="24"/>
          <w:szCs w:val="24"/>
          <w:highlight w:val="none"/>
        </w:rPr>
      </w:pPr>
      <w:r>
        <w:rPr>
          <w:rFonts w:hint="eastAsia" w:ascii="宋体" w:hAnsi="宋体" w:cs="宋体"/>
          <w:b/>
          <w:bCs/>
          <w:snapToGrid w:val="0"/>
          <w:kern w:val="0"/>
          <w:sz w:val="24"/>
          <w:szCs w:val="24"/>
          <w:highlight w:val="none"/>
        </w:rPr>
        <w:t>17.2</w:t>
      </w:r>
      <w:r>
        <w:rPr>
          <w:rFonts w:hint="eastAsia" w:ascii="宋体" w:hAnsi="宋体" w:cs="宋体"/>
          <w:bCs/>
          <w:snapToGrid w:val="0"/>
          <w:kern w:val="0"/>
          <w:sz w:val="24"/>
          <w:szCs w:val="24"/>
          <w:highlight w:val="none"/>
        </w:rPr>
        <w:t xml:space="preserve"> 评标方法</w:t>
      </w:r>
    </w:p>
    <w:p w14:paraId="07B93C8A">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根据有关法律、法规的相关规定，结合本招标项目资金来源和规模特点，本次招标采用“综合评估法”进行评标。</w:t>
      </w:r>
    </w:p>
    <w:p w14:paraId="68542B5C">
      <w:pPr>
        <w:spacing w:line="360" w:lineRule="auto"/>
        <w:ind w:firstLine="482" w:firstLineChars="200"/>
        <w:rPr>
          <w:rFonts w:hint="eastAsia"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17.3</w:t>
      </w:r>
      <w:r>
        <w:rPr>
          <w:rFonts w:hint="eastAsia" w:ascii="宋体" w:hAnsi="宋体" w:cs="宋体"/>
          <w:bCs/>
          <w:snapToGrid w:val="0"/>
          <w:kern w:val="0"/>
          <w:sz w:val="24"/>
          <w:szCs w:val="24"/>
          <w:highlight w:val="none"/>
        </w:rPr>
        <w:t xml:space="preserve"> 评审范围：</w:t>
      </w:r>
      <w:r>
        <w:rPr>
          <w:rFonts w:hint="eastAsia" w:ascii="宋体" w:hAnsi="宋体" w:cs="宋体"/>
          <w:snapToGrid w:val="0"/>
          <w:kern w:val="0"/>
          <w:sz w:val="24"/>
          <w:szCs w:val="24"/>
          <w:highlight w:val="none"/>
        </w:rPr>
        <w:t>评标委员会应对所有进入评标投标人的投标文件进行评审。</w:t>
      </w:r>
    </w:p>
    <w:p w14:paraId="00104F3A">
      <w:pPr>
        <w:spacing w:line="360" w:lineRule="auto"/>
        <w:ind w:firstLine="482" w:firstLineChars="200"/>
        <w:outlineLvl w:val="3"/>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17.4</w:t>
      </w:r>
      <w:r>
        <w:rPr>
          <w:rFonts w:hint="eastAsia" w:ascii="宋体" w:hAnsi="宋体" w:cs="宋体"/>
          <w:snapToGrid w:val="0"/>
          <w:kern w:val="0"/>
          <w:sz w:val="24"/>
          <w:szCs w:val="24"/>
          <w:highlight w:val="none"/>
        </w:rPr>
        <w:t xml:space="preserve"> 初步评审阶段</w:t>
      </w:r>
    </w:p>
    <w:p w14:paraId="0CBC1FA4">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初步评审阶段分为资格评审、形式评审和响应性评审三个环节。</w:t>
      </w:r>
    </w:p>
    <w:p w14:paraId="28169991">
      <w:pPr>
        <w:spacing w:line="360" w:lineRule="auto"/>
        <w:ind w:firstLine="482" w:firstLineChars="200"/>
        <w:outlineLvl w:val="4"/>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17.4.1</w:t>
      </w:r>
      <w:r>
        <w:rPr>
          <w:rFonts w:hint="eastAsia" w:ascii="宋体" w:hAnsi="宋体" w:cs="宋体"/>
          <w:snapToGrid w:val="0"/>
          <w:kern w:val="0"/>
          <w:sz w:val="24"/>
          <w:szCs w:val="24"/>
          <w:highlight w:val="none"/>
        </w:rPr>
        <w:t xml:space="preserve"> 资格评审环节</w:t>
      </w:r>
    </w:p>
    <w:p w14:paraId="060E1FA6">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资格评审事项包括：</w:t>
      </w:r>
    </w:p>
    <w:p w14:paraId="66E0C7A5">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（1）投标人是否符合本章第三节第</w:t>
      </w:r>
      <w:r>
        <w:rPr>
          <w:rFonts w:hint="eastAsia" w:ascii="宋体" w:hAnsi="宋体" w:cs="宋体"/>
          <w:b/>
          <w:bCs/>
          <w:snapToGrid w:val="0"/>
          <w:kern w:val="0"/>
          <w:sz w:val="24"/>
          <w:szCs w:val="24"/>
          <w:highlight w:val="none"/>
        </w:rPr>
        <w:t>4.4</w:t>
      </w:r>
      <w:r>
        <w:rPr>
          <w:rFonts w:hint="eastAsia" w:ascii="宋体" w:hAnsi="宋体" w:cs="宋体"/>
          <w:snapToGrid w:val="0"/>
          <w:kern w:val="0"/>
          <w:sz w:val="24"/>
          <w:szCs w:val="24"/>
          <w:highlight w:val="none"/>
        </w:rPr>
        <w:t>条“禁止投标条款”规定。</w:t>
      </w:r>
    </w:p>
    <w:p w14:paraId="5857E273">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（2）投标人名称是否与营业执照、资质证书一致。</w:t>
      </w:r>
    </w:p>
    <w:p w14:paraId="3E9749FE">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（3）投标人的资质是否符合招标文件规定；其营业执照、资质证书是否合法、有效。</w:t>
      </w:r>
    </w:p>
    <w:p w14:paraId="4CFE648C">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（4）投标文件中拟派</w:t>
      </w:r>
      <w:r>
        <w:rPr>
          <w:rFonts w:hint="eastAsia" w:ascii="宋体" w:hAnsi="宋体" w:cs="宋体"/>
          <w:kern w:val="0"/>
          <w:sz w:val="24"/>
          <w:highlight w:val="none"/>
        </w:rPr>
        <w:t>项目负责人（即设计负责人）</w:t>
      </w:r>
      <w:r>
        <w:rPr>
          <w:rFonts w:hint="eastAsia" w:ascii="宋体" w:hAnsi="宋体" w:cs="宋体"/>
          <w:snapToGrid w:val="0"/>
          <w:kern w:val="0"/>
          <w:sz w:val="24"/>
          <w:szCs w:val="24"/>
          <w:highlight w:val="none"/>
        </w:rPr>
        <w:t>的条件是否符合招标文件规定；</w:t>
      </w:r>
    </w:p>
    <w:p w14:paraId="56642F71">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5）联合体投标的，是否提交《联合体协议书》；是否擅自修改、遗漏《联合体协议书》的实质性内容；联合体成员的数量、资质是否符合招标文件规定；联合体成员是否以自己名义单独或者参加其他联合体参与本招标项目投标。（本次招标不适用）</w:t>
      </w:r>
    </w:p>
    <w:p w14:paraId="5C7CE10F">
      <w:pPr>
        <w:spacing w:line="360" w:lineRule="auto"/>
        <w:ind w:firstLine="480" w:firstLineChars="200"/>
        <w:rPr>
          <w:rFonts w:hint="eastAsia" w:ascii="宋体" w:hAnsi="宋体" w:cs="宋体"/>
          <w:b/>
          <w:bCs/>
          <w:snapToGrid w:val="0"/>
          <w:kern w:val="0"/>
          <w:sz w:val="24"/>
          <w:szCs w:val="24"/>
          <w:highlight w:val="none"/>
        </w:rPr>
      </w:pPr>
      <w:r>
        <w:rPr>
          <w:rFonts w:hint="eastAsia" w:ascii="宋体" w:hAnsi="宋体" w:cs="宋体"/>
          <w:snapToGrid w:val="0"/>
          <w:kern w:val="0"/>
          <w:sz w:val="24"/>
          <w:szCs w:val="24"/>
          <w:highlight w:val="none"/>
        </w:rPr>
        <w:t>（6）投标人为外省建筑企业的，是否按规定在“进粤企业和人员诚信信息登记平台”录入企业及其拟派往本项目管理机构的所有人员信息并通过数据规范检查。</w:t>
      </w:r>
    </w:p>
    <w:p w14:paraId="3DD2E294">
      <w:pPr>
        <w:spacing w:line="360" w:lineRule="auto"/>
        <w:ind w:firstLine="482" w:firstLineChars="200"/>
        <w:outlineLvl w:val="4"/>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17.4.2</w:t>
      </w:r>
      <w:r>
        <w:rPr>
          <w:rFonts w:hint="eastAsia" w:ascii="宋体" w:hAnsi="宋体" w:cs="宋体"/>
          <w:snapToGrid w:val="0"/>
          <w:kern w:val="0"/>
          <w:sz w:val="24"/>
          <w:szCs w:val="24"/>
          <w:highlight w:val="none"/>
        </w:rPr>
        <w:t xml:space="preserve"> 形式评审环节</w:t>
      </w:r>
    </w:p>
    <w:p w14:paraId="5E4B1158">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形式评审事项包括：</w:t>
      </w:r>
    </w:p>
    <w:p w14:paraId="00E5450C">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（1）投标文件的分册组成是否符合招标文件规定。</w:t>
      </w:r>
    </w:p>
    <w:p w14:paraId="76969C4C">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（2）本节第</w:t>
      </w:r>
      <w:r>
        <w:rPr>
          <w:rFonts w:hint="eastAsia" w:ascii="宋体" w:hAnsi="宋体" w:cs="宋体"/>
          <w:b/>
          <w:bCs/>
          <w:snapToGrid w:val="0"/>
          <w:kern w:val="0"/>
          <w:sz w:val="24"/>
          <w:szCs w:val="24"/>
          <w:highlight w:val="none"/>
        </w:rPr>
        <w:t>10.2.2</w:t>
      </w:r>
      <w:r>
        <w:rPr>
          <w:rFonts w:hint="eastAsia" w:ascii="宋体" w:hAnsi="宋体" w:cs="宋体"/>
          <w:snapToGrid w:val="0"/>
          <w:kern w:val="0"/>
          <w:sz w:val="24"/>
          <w:szCs w:val="24"/>
          <w:highlight w:val="none"/>
        </w:rPr>
        <w:t>目、第</w:t>
      </w:r>
      <w:r>
        <w:rPr>
          <w:rFonts w:hint="eastAsia" w:ascii="宋体" w:hAnsi="宋体" w:cs="宋体"/>
          <w:b/>
          <w:bCs/>
          <w:snapToGrid w:val="0"/>
          <w:kern w:val="0"/>
          <w:sz w:val="24"/>
          <w:szCs w:val="24"/>
          <w:highlight w:val="none"/>
        </w:rPr>
        <w:t>10.3.2</w:t>
      </w:r>
      <w:r>
        <w:rPr>
          <w:rFonts w:hint="eastAsia" w:ascii="宋体" w:hAnsi="宋体" w:cs="宋体"/>
          <w:snapToGrid w:val="0"/>
          <w:kern w:val="0"/>
          <w:sz w:val="24"/>
          <w:szCs w:val="24"/>
          <w:highlight w:val="none"/>
        </w:rPr>
        <w:t>目中规定的“所有投标人均应提供”的组成内容（包括该组成内容的所附资料）是否完整、齐全。</w:t>
      </w:r>
    </w:p>
    <w:p w14:paraId="0AF6FFA2">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（3）各分册是否按招标文件规定签字、盖章。</w:t>
      </w:r>
    </w:p>
    <w:p w14:paraId="40B997C8">
      <w:pPr>
        <w:spacing w:line="360" w:lineRule="auto"/>
        <w:ind w:firstLine="482" w:firstLineChars="200"/>
        <w:outlineLvl w:val="4"/>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17.4.3</w:t>
      </w:r>
      <w:r>
        <w:rPr>
          <w:rFonts w:hint="eastAsia" w:ascii="宋体" w:hAnsi="宋体" w:cs="宋体"/>
          <w:snapToGrid w:val="0"/>
          <w:kern w:val="0"/>
          <w:sz w:val="24"/>
          <w:szCs w:val="24"/>
          <w:highlight w:val="none"/>
        </w:rPr>
        <w:t xml:space="preserve"> 响应性评审环节</w:t>
      </w:r>
    </w:p>
    <w:p w14:paraId="2B00BAC2">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响应性评审事项包括：</w:t>
      </w:r>
    </w:p>
    <w:p w14:paraId="56097BEB">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（1）投标有效期、工期等是否响应招标文件实质性要求；是否擅自修改、遗漏《投标函》《各项承诺一览表》的实质性内容。</w:t>
      </w:r>
    </w:p>
    <w:p w14:paraId="44E3BF3C">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（2）投标总价是否唯一；投标报价是否超出最高投标限价；报价取费费率是否超出取费费率上限。</w:t>
      </w:r>
    </w:p>
    <w:p w14:paraId="702C4AF8">
      <w:pPr>
        <w:spacing w:line="360" w:lineRule="auto"/>
        <w:ind w:firstLine="480" w:firstLineChars="200"/>
        <w:rPr>
          <w:rFonts w:hint="eastAsia" w:ascii="宋体" w:hAnsi="宋体" w:cs="宋体"/>
          <w:b/>
          <w:bCs/>
          <w:snapToGrid w:val="0"/>
          <w:kern w:val="0"/>
          <w:sz w:val="24"/>
          <w:szCs w:val="24"/>
          <w:highlight w:val="none"/>
        </w:rPr>
      </w:pPr>
      <w:r>
        <w:rPr>
          <w:rFonts w:hint="eastAsia" w:ascii="宋体" w:hAnsi="宋体" w:cs="宋体"/>
          <w:snapToGrid w:val="0"/>
          <w:kern w:val="0"/>
          <w:sz w:val="24"/>
          <w:szCs w:val="24"/>
          <w:highlight w:val="none"/>
        </w:rPr>
        <w:t xml:space="preserve">（3）技术标书的质量、保障措施是否符合国家和省市现行有关规范、规定、标准，是否能实现工程质量、进度管理目标。 </w:t>
      </w:r>
    </w:p>
    <w:p w14:paraId="6E44F4B1">
      <w:pPr>
        <w:spacing w:line="360" w:lineRule="auto"/>
        <w:ind w:firstLine="482" w:firstLineChars="200"/>
        <w:outlineLvl w:val="4"/>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17.4.4</w:t>
      </w:r>
      <w:r>
        <w:rPr>
          <w:rFonts w:hint="eastAsia" w:ascii="宋体" w:hAnsi="宋体" w:cs="宋体"/>
          <w:snapToGrid w:val="0"/>
          <w:kern w:val="0"/>
          <w:sz w:val="24"/>
          <w:szCs w:val="24"/>
          <w:highlight w:val="none"/>
        </w:rPr>
        <w:t xml:space="preserve"> 否决投标说明</w:t>
      </w:r>
    </w:p>
    <w:p w14:paraId="666C1A04">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初步评审阶段各个环节否决投标的全部条件，在本章第四节“否决投标条件”第</w:t>
      </w:r>
      <w:r>
        <w:rPr>
          <w:rFonts w:hint="eastAsia" w:ascii="宋体" w:hAnsi="宋体" w:cs="宋体"/>
          <w:b/>
          <w:bCs/>
          <w:snapToGrid w:val="0"/>
          <w:kern w:val="0"/>
          <w:sz w:val="24"/>
          <w:szCs w:val="24"/>
          <w:highlight w:val="none"/>
        </w:rPr>
        <w:t>1</w:t>
      </w:r>
      <w:r>
        <w:rPr>
          <w:rFonts w:hint="eastAsia" w:ascii="宋体" w:hAnsi="宋体" w:cs="宋体"/>
          <w:snapToGrid w:val="0"/>
          <w:kern w:val="0"/>
          <w:sz w:val="24"/>
          <w:szCs w:val="24"/>
          <w:highlight w:val="none"/>
        </w:rPr>
        <w:t>条至第</w:t>
      </w:r>
      <w:r>
        <w:rPr>
          <w:rFonts w:hint="eastAsia" w:ascii="宋体" w:hAnsi="宋体" w:cs="宋体"/>
          <w:b/>
          <w:bCs/>
          <w:snapToGrid w:val="0"/>
          <w:kern w:val="0"/>
          <w:sz w:val="24"/>
          <w:szCs w:val="24"/>
          <w:highlight w:val="none"/>
        </w:rPr>
        <w:t>4</w:t>
      </w:r>
      <w:r>
        <w:rPr>
          <w:rFonts w:hint="eastAsia" w:ascii="宋体" w:hAnsi="宋体" w:cs="宋体"/>
          <w:snapToGrid w:val="0"/>
          <w:kern w:val="0"/>
          <w:sz w:val="24"/>
          <w:szCs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5C2F050F">
      <w:pPr>
        <w:spacing w:line="360" w:lineRule="auto"/>
        <w:ind w:firstLine="482" w:firstLineChars="200"/>
        <w:outlineLvl w:val="3"/>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17.5</w:t>
      </w:r>
      <w:r>
        <w:rPr>
          <w:rFonts w:hint="eastAsia" w:ascii="宋体" w:hAnsi="宋体" w:cs="宋体"/>
          <w:snapToGrid w:val="0"/>
          <w:kern w:val="0"/>
          <w:sz w:val="24"/>
          <w:szCs w:val="24"/>
          <w:highlight w:val="none"/>
        </w:rPr>
        <w:t xml:space="preserve"> 详细评审阶段</w:t>
      </w:r>
    </w:p>
    <w:p w14:paraId="12E20916">
      <w:pPr>
        <w:spacing w:line="360" w:lineRule="auto"/>
        <w:ind w:firstLine="482" w:firstLineChars="200"/>
        <w:outlineLvl w:val="4"/>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17.5.1</w:t>
      </w:r>
      <w:r>
        <w:rPr>
          <w:rFonts w:hint="eastAsia" w:ascii="宋体" w:hAnsi="宋体" w:cs="宋体"/>
          <w:bCs/>
          <w:snapToGrid w:val="0"/>
          <w:kern w:val="0"/>
          <w:sz w:val="24"/>
          <w:szCs w:val="24"/>
          <w:highlight w:val="none"/>
        </w:rPr>
        <w:t xml:space="preserve"> “综合评估法”评审程序</w:t>
      </w:r>
    </w:p>
    <w:p w14:paraId="04835568">
      <w:pPr>
        <w:spacing w:line="360" w:lineRule="auto"/>
        <w:ind w:firstLine="480" w:firstLineChars="200"/>
        <w:outlineLvl w:val="5"/>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评审内容分为商务技术和投标报价两大部分。满分100分，其中，商务技术合计满分70分；投标报价满分30分。</w:t>
      </w:r>
    </w:p>
    <w:p w14:paraId="3D70240A">
      <w:pPr>
        <w:spacing w:line="360" w:lineRule="auto"/>
        <w:ind w:firstLine="480" w:firstLineChars="200"/>
        <w:outlineLvl w:val="5"/>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除特别注明外，综合得分以及商务技术得分、投标报价得分的中间过程计算值和最终值，均按“四舍五入”原则精确到两位小数。</w:t>
      </w:r>
    </w:p>
    <w:p w14:paraId="12236263">
      <w:pPr>
        <w:spacing w:line="360" w:lineRule="auto"/>
        <w:ind w:firstLine="480" w:firstLineChars="200"/>
        <w:outlineLvl w:val="5"/>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（1）商务技术得分M</w:t>
      </w:r>
    </w:p>
    <w:p w14:paraId="72821FC4">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a．评标委员会按照《综合评分表》商务部分指定的评分标准对各评分因素进行打分。各评分因素得分之和即为某投标人的商务得分M1。</w:t>
      </w:r>
    </w:p>
    <w:p w14:paraId="05099E10">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b．评标委员会各成员独立按照《综合评分表》技术部分指定的评分标准对各评分因素进行打分，累加后得出技术评分。将评标委员会所有成员的技术评分去掉一个最高分和一个最低分后，取算术平均值，即为某投标人的技术得分M2。</w:t>
      </w:r>
    </w:p>
    <w:p w14:paraId="5D018907">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c．M＝M1＋M2</w:t>
      </w:r>
    </w:p>
    <w:p w14:paraId="1EF2BABF">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式中：M1为某投标人的商务得分，M2为某投标人的技术得分。</w:t>
      </w:r>
    </w:p>
    <w:p w14:paraId="60F2E5C3">
      <w:pPr>
        <w:spacing w:line="360" w:lineRule="auto"/>
        <w:ind w:firstLine="480" w:firstLineChars="200"/>
        <w:outlineLvl w:val="5"/>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（2）投标报价得分N</w:t>
      </w:r>
    </w:p>
    <w:p w14:paraId="61654267">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a．评标委员会按照《综合评分表》投标报价部分指定的方法计算评标基准价D。</w:t>
      </w:r>
    </w:p>
    <w:p w14:paraId="04B15E16">
      <w:pPr>
        <w:spacing w:line="360" w:lineRule="auto"/>
        <w:ind w:firstLine="480" w:firstLineChars="200"/>
        <w:outlineLvl w:val="5"/>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b．采用内插法计算某投标人的投标报价得分N，即当投标人的投标总价等于评标基准价时得30分，每高于评标基准价一个百分点扣1分, 每低于评标基准价一个百分点扣0.5分，扣完为止。公式如下：</w:t>
      </w:r>
    </w:p>
    <w:p w14:paraId="23731E5A">
      <w:pPr>
        <w:spacing w:line="360" w:lineRule="auto"/>
        <w:ind w:firstLine="480" w:firstLineChars="200"/>
        <w:outlineLvl w:val="5"/>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N＝30－（| Di－D | ÷D）×100×E</w:t>
      </w:r>
    </w:p>
    <w:p w14:paraId="12602A8E">
      <w:pPr>
        <w:spacing w:line="360" w:lineRule="auto"/>
        <w:ind w:firstLine="480" w:firstLineChars="200"/>
        <w:outlineLvl w:val="5"/>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式中：D为评标基准价；Di为某投标人的投标总价；E为扣分因子，当Di＞D时，E＝1；当Di＜D时，E＝0.5。</w:t>
      </w:r>
    </w:p>
    <w:p w14:paraId="0E4D447C">
      <w:pPr>
        <w:spacing w:line="360" w:lineRule="auto"/>
        <w:ind w:firstLine="480" w:firstLineChars="200"/>
        <w:outlineLvl w:val="5"/>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（3）综合得分</w:t>
      </w:r>
    </w:p>
    <w:p w14:paraId="4548F3AE">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综合得分为百分制，满分100分，公式如下：</w:t>
      </w:r>
    </w:p>
    <w:p w14:paraId="1AB9419D">
      <w:pPr>
        <w:spacing w:line="360" w:lineRule="auto"/>
        <w:ind w:firstLine="720" w:firstLineChars="3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综合得分＝M＋N</w:t>
      </w:r>
    </w:p>
    <w:p w14:paraId="5016F0FC">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式中：M为商务技术得分，N为投标报价得分。</w:t>
      </w:r>
    </w:p>
    <w:p w14:paraId="1B27E24B">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p>
    <w:p w14:paraId="64211C8E">
      <w:pPr>
        <w:spacing w:line="360" w:lineRule="auto"/>
        <w:jc w:val="center"/>
        <w:rPr>
          <w:rFonts w:hint="eastAsia" w:ascii="宋体" w:hAnsi="宋体" w:cs="宋体"/>
          <w:b/>
          <w:sz w:val="28"/>
          <w:szCs w:val="28"/>
          <w:highlight w:val="none"/>
        </w:rPr>
      </w:pPr>
      <w:bookmarkStart w:id="181" w:name="_Hlt69669771"/>
      <w:bookmarkEnd w:id="181"/>
      <w:bookmarkStart w:id="182" w:name="_Toc14036"/>
      <w:bookmarkStart w:id="183" w:name="_Hlt69698713"/>
      <w:bookmarkStart w:id="184" w:name="_Hlt69698765"/>
      <w:r>
        <w:rPr>
          <w:rFonts w:hint="eastAsia" w:ascii="宋体" w:hAnsi="宋体" w:cs="宋体"/>
          <w:b/>
          <w:bCs/>
          <w:kern w:val="44"/>
          <w:sz w:val="28"/>
          <w:szCs w:val="28"/>
          <w:highlight w:val="none"/>
        </w:rPr>
        <w:br w:type="page"/>
      </w:r>
      <w:r>
        <w:rPr>
          <w:rFonts w:hint="eastAsia" w:ascii="宋体" w:hAnsi="宋体" w:cs="宋体"/>
          <w:b/>
          <w:sz w:val="28"/>
          <w:szCs w:val="28"/>
          <w:highlight w:val="none"/>
        </w:rPr>
        <w:t>综合评分表</w:t>
      </w:r>
    </w:p>
    <w:tbl>
      <w:tblPr>
        <w:tblStyle w:val="33"/>
        <w:tblW w:w="9362" w:type="dxa"/>
        <w:jc w:val="center"/>
        <w:tblLayout w:type="fixed"/>
        <w:tblCellMar>
          <w:top w:w="0" w:type="dxa"/>
          <w:left w:w="108" w:type="dxa"/>
          <w:bottom w:w="0" w:type="dxa"/>
          <w:right w:w="108" w:type="dxa"/>
        </w:tblCellMar>
      </w:tblPr>
      <w:tblGrid>
        <w:gridCol w:w="662"/>
        <w:gridCol w:w="975"/>
        <w:gridCol w:w="3680"/>
        <w:gridCol w:w="4045"/>
      </w:tblGrid>
      <w:tr w14:paraId="7B2DFF1A">
        <w:tblPrEx>
          <w:tblCellMar>
            <w:top w:w="0" w:type="dxa"/>
            <w:left w:w="108" w:type="dxa"/>
            <w:bottom w:w="0" w:type="dxa"/>
            <w:right w:w="108" w:type="dxa"/>
          </w:tblCellMar>
        </w:tblPrEx>
        <w:trPr>
          <w:trHeight w:val="624" w:hRule="atLeast"/>
          <w:jc w:val="center"/>
        </w:trPr>
        <w:tc>
          <w:tcPr>
            <w:tcW w:w="9362" w:type="dxa"/>
            <w:gridSpan w:val="4"/>
            <w:tcBorders>
              <w:top w:val="single" w:color="auto" w:sz="4" w:space="0"/>
              <w:left w:val="single" w:color="auto" w:sz="4" w:space="0"/>
              <w:bottom w:val="single" w:color="auto" w:sz="4" w:space="0"/>
              <w:right w:val="single" w:color="auto" w:sz="4" w:space="0"/>
            </w:tcBorders>
            <w:shd w:val="clear" w:color="auto" w:fill="D7D7D7"/>
            <w:vAlign w:val="center"/>
          </w:tcPr>
          <w:p w14:paraId="65514E19">
            <w:pPr>
              <w:pStyle w:val="11"/>
              <w:wordWrap w:val="0"/>
              <w:autoSpaceDE w:val="0"/>
              <w:adjustRightInd w:val="0"/>
              <w:snapToGrid w:val="0"/>
              <w:spacing w:line="440" w:lineRule="exact"/>
              <w:rPr>
                <w:rFonts w:hint="eastAsia" w:ascii="黑体" w:hAnsi="黑体" w:eastAsia="黑体"/>
                <w:kern w:val="0"/>
                <w:highlight w:val="none"/>
              </w:rPr>
            </w:pPr>
            <w:r>
              <w:rPr>
                <w:rFonts w:hint="eastAsia" w:ascii="黑体" w:hAnsi="黑体" w:eastAsia="黑体"/>
                <w:kern w:val="0"/>
                <w:highlight w:val="none"/>
              </w:rPr>
              <w:t>商务部分M1，满分：</w:t>
            </w:r>
            <w:r>
              <w:rPr>
                <w:rFonts w:hint="eastAsia" w:ascii="黑体" w:hAnsi="黑体" w:eastAsia="黑体"/>
                <w:kern w:val="0"/>
                <w:highlight w:val="none"/>
                <w:u w:val="single"/>
              </w:rPr>
              <w:t>50</w:t>
            </w:r>
            <w:r>
              <w:rPr>
                <w:rFonts w:hint="eastAsia" w:ascii="黑体" w:hAnsi="黑体" w:eastAsia="黑体"/>
                <w:kern w:val="0"/>
                <w:highlight w:val="none"/>
              </w:rPr>
              <w:t>分。</w:t>
            </w:r>
          </w:p>
        </w:tc>
      </w:tr>
      <w:tr w14:paraId="13B7DCDB">
        <w:tblPrEx>
          <w:tblCellMar>
            <w:top w:w="0" w:type="dxa"/>
            <w:left w:w="108" w:type="dxa"/>
            <w:bottom w:w="0" w:type="dxa"/>
            <w:right w:w="108" w:type="dxa"/>
          </w:tblCellMar>
        </w:tblPrEx>
        <w:trPr>
          <w:trHeight w:val="590" w:hRule="atLeast"/>
          <w:jc w:val="center"/>
        </w:trPr>
        <w:tc>
          <w:tcPr>
            <w:tcW w:w="1637" w:type="dxa"/>
            <w:gridSpan w:val="2"/>
            <w:tcBorders>
              <w:top w:val="single" w:color="auto" w:sz="4" w:space="0"/>
              <w:left w:val="single" w:color="auto" w:sz="4" w:space="0"/>
              <w:bottom w:val="single" w:color="auto" w:sz="4" w:space="0"/>
              <w:right w:val="single" w:color="auto" w:sz="4" w:space="0"/>
            </w:tcBorders>
            <w:vAlign w:val="center"/>
          </w:tcPr>
          <w:p w14:paraId="2EA08979">
            <w:pPr>
              <w:pStyle w:val="11"/>
              <w:wordWrap w:val="0"/>
              <w:autoSpaceDE w:val="0"/>
              <w:adjustRightInd w:val="0"/>
              <w:snapToGrid w:val="0"/>
              <w:spacing w:line="440" w:lineRule="exact"/>
              <w:jc w:val="center"/>
              <w:rPr>
                <w:rFonts w:hint="eastAsia" w:ascii="黑体" w:hAnsi="黑体" w:eastAsia="黑体"/>
                <w:kern w:val="0"/>
                <w:highlight w:val="none"/>
              </w:rPr>
            </w:pPr>
            <w:r>
              <w:rPr>
                <w:rFonts w:hint="eastAsia" w:ascii="黑体" w:hAnsi="黑体" w:eastAsia="黑体"/>
                <w:kern w:val="0"/>
                <w:highlight w:val="none"/>
              </w:rPr>
              <w:t>评分因素</w:t>
            </w:r>
          </w:p>
        </w:tc>
        <w:tc>
          <w:tcPr>
            <w:tcW w:w="3680" w:type="dxa"/>
            <w:tcBorders>
              <w:top w:val="single" w:color="auto" w:sz="4" w:space="0"/>
              <w:left w:val="nil"/>
              <w:bottom w:val="single" w:color="auto" w:sz="4" w:space="0"/>
              <w:right w:val="single" w:color="auto" w:sz="4" w:space="0"/>
            </w:tcBorders>
            <w:vAlign w:val="center"/>
          </w:tcPr>
          <w:p w14:paraId="5FC6B8B4">
            <w:pPr>
              <w:pStyle w:val="11"/>
              <w:wordWrap w:val="0"/>
              <w:autoSpaceDE w:val="0"/>
              <w:adjustRightInd w:val="0"/>
              <w:snapToGrid w:val="0"/>
              <w:spacing w:line="440" w:lineRule="exact"/>
              <w:jc w:val="center"/>
              <w:rPr>
                <w:rFonts w:hint="eastAsia" w:ascii="黑体" w:hAnsi="黑体" w:eastAsia="黑体"/>
                <w:kern w:val="0"/>
                <w:highlight w:val="none"/>
              </w:rPr>
            </w:pPr>
            <w:r>
              <w:rPr>
                <w:rFonts w:hint="eastAsia" w:ascii="黑体" w:hAnsi="黑体" w:eastAsia="黑体"/>
                <w:kern w:val="0"/>
                <w:highlight w:val="none"/>
              </w:rPr>
              <w:t>评分标准</w:t>
            </w:r>
          </w:p>
        </w:tc>
        <w:tc>
          <w:tcPr>
            <w:tcW w:w="4045" w:type="dxa"/>
            <w:tcBorders>
              <w:top w:val="single" w:color="auto" w:sz="4" w:space="0"/>
              <w:left w:val="nil"/>
              <w:bottom w:val="single" w:color="auto" w:sz="4" w:space="0"/>
              <w:right w:val="single" w:color="auto" w:sz="4" w:space="0"/>
            </w:tcBorders>
            <w:vAlign w:val="center"/>
          </w:tcPr>
          <w:p w14:paraId="65A8B1BF">
            <w:pPr>
              <w:pStyle w:val="11"/>
              <w:wordWrap w:val="0"/>
              <w:autoSpaceDE w:val="0"/>
              <w:adjustRightInd w:val="0"/>
              <w:snapToGrid w:val="0"/>
              <w:spacing w:line="440" w:lineRule="exact"/>
              <w:jc w:val="center"/>
              <w:rPr>
                <w:rFonts w:hint="eastAsia" w:ascii="黑体" w:hAnsi="黑体" w:eastAsia="黑体"/>
                <w:kern w:val="0"/>
                <w:highlight w:val="none"/>
              </w:rPr>
            </w:pPr>
            <w:r>
              <w:rPr>
                <w:rFonts w:hint="eastAsia" w:ascii="黑体" w:hAnsi="黑体" w:eastAsia="黑体"/>
                <w:kern w:val="0"/>
                <w:highlight w:val="none"/>
              </w:rPr>
              <w:t>备注</w:t>
            </w:r>
          </w:p>
        </w:tc>
      </w:tr>
      <w:tr w14:paraId="0634B6EA">
        <w:tblPrEx>
          <w:tblCellMar>
            <w:top w:w="0" w:type="dxa"/>
            <w:left w:w="108" w:type="dxa"/>
            <w:bottom w:w="0" w:type="dxa"/>
            <w:right w:w="108" w:type="dxa"/>
          </w:tblCellMar>
        </w:tblPrEx>
        <w:trPr>
          <w:trHeight w:val="90" w:hRule="atLeast"/>
          <w:jc w:val="center"/>
        </w:trPr>
        <w:tc>
          <w:tcPr>
            <w:tcW w:w="662" w:type="dxa"/>
            <w:vMerge w:val="restart"/>
            <w:tcBorders>
              <w:top w:val="nil"/>
              <w:left w:val="single" w:color="auto" w:sz="4" w:space="0"/>
              <w:right w:val="single" w:color="auto" w:sz="4" w:space="0"/>
            </w:tcBorders>
            <w:vAlign w:val="center"/>
          </w:tcPr>
          <w:p w14:paraId="0FA089B0">
            <w:pPr>
              <w:rPr>
                <w:rFonts w:hint="eastAsia" w:ascii="宋体" w:hAnsi="宋体" w:cs="宋体"/>
                <w:szCs w:val="21"/>
                <w:highlight w:val="none"/>
              </w:rPr>
            </w:pPr>
          </w:p>
        </w:tc>
        <w:tc>
          <w:tcPr>
            <w:tcW w:w="975" w:type="dxa"/>
            <w:tcBorders>
              <w:top w:val="single" w:color="auto" w:sz="4" w:space="0"/>
              <w:left w:val="nil"/>
              <w:right w:val="single" w:color="auto" w:sz="4" w:space="0"/>
            </w:tcBorders>
            <w:vAlign w:val="center"/>
          </w:tcPr>
          <w:p w14:paraId="14666E0A">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企业奖项</w:t>
            </w:r>
          </w:p>
          <w:p w14:paraId="383E2E34">
            <w:pPr>
              <w:spacing w:line="360" w:lineRule="auto"/>
              <w:jc w:val="center"/>
              <w:rPr>
                <w:rFonts w:hint="eastAsia" w:ascii="宋体" w:hAnsi="宋体" w:cs="宋体"/>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3680" w:type="dxa"/>
            <w:tcBorders>
              <w:top w:val="single" w:color="auto" w:sz="4" w:space="0"/>
              <w:left w:val="nil"/>
              <w:bottom w:val="single" w:color="auto" w:sz="4" w:space="0"/>
              <w:right w:val="single" w:color="auto" w:sz="4" w:space="0"/>
            </w:tcBorders>
            <w:vAlign w:val="center"/>
          </w:tcPr>
          <w:p w14:paraId="36136868">
            <w:pPr>
              <w:pStyle w:val="42"/>
              <w:snapToGrid w:val="0"/>
              <w:spacing w:line="360" w:lineRule="auto"/>
              <w:jc w:val="both"/>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近五年（2019年1月1日至今）获得工程类优秀工程勘察设计奖中设计类奖情况：</w:t>
            </w:r>
          </w:p>
          <w:p w14:paraId="68E89E1F">
            <w:pPr>
              <w:pStyle w:val="42"/>
              <w:snapToGrid w:val="0"/>
              <w:spacing w:line="360" w:lineRule="auto"/>
              <w:jc w:val="both"/>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1.获得国家级奖项的，每项得5分</w:t>
            </w:r>
          </w:p>
          <w:p w14:paraId="2EF8F896">
            <w:pPr>
              <w:pStyle w:val="42"/>
              <w:snapToGrid w:val="0"/>
              <w:spacing w:line="360" w:lineRule="auto"/>
              <w:jc w:val="both"/>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2获得省级奖项的，每项得4分；</w:t>
            </w:r>
          </w:p>
          <w:p w14:paraId="69F61618">
            <w:pPr>
              <w:pStyle w:val="42"/>
              <w:snapToGrid w:val="0"/>
              <w:spacing w:line="360" w:lineRule="auto"/>
              <w:jc w:val="both"/>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2.获得地市级奖项的，每项得3分；</w:t>
            </w:r>
          </w:p>
          <w:p w14:paraId="7EDA70CA">
            <w:pPr>
              <w:pStyle w:val="42"/>
              <w:snapToGrid w:val="0"/>
              <w:spacing w:line="360" w:lineRule="auto"/>
              <w:jc w:val="both"/>
              <w:rPr>
                <w:rFonts w:hint="eastAsia" w:ascii="宋体" w:hAnsi="宋体" w:cs="宋体"/>
                <w:szCs w:val="21"/>
                <w:highlight w:val="none"/>
              </w:rPr>
            </w:pPr>
            <w:r>
              <w:rPr>
                <w:rFonts w:hint="eastAsia" w:ascii="宋体" w:hAnsi="宋体" w:eastAsia="宋体" w:cs="宋体"/>
                <w:b w:val="0"/>
                <w:bCs w:val="0"/>
                <w:color w:val="auto"/>
                <w:kern w:val="0"/>
                <w:sz w:val="21"/>
                <w:szCs w:val="21"/>
                <w:highlight w:val="none"/>
                <w:lang w:eastAsia="zh-CN"/>
              </w:rPr>
              <w:t>4.本项最高得10分。</w:t>
            </w:r>
          </w:p>
        </w:tc>
        <w:tc>
          <w:tcPr>
            <w:tcW w:w="4045" w:type="dxa"/>
            <w:tcBorders>
              <w:top w:val="single" w:color="auto" w:sz="4" w:space="0"/>
              <w:left w:val="nil"/>
              <w:bottom w:val="single" w:color="auto" w:sz="4" w:space="0"/>
              <w:right w:val="single" w:color="auto" w:sz="4" w:space="0"/>
            </w:tcBorders>
            <w:vAlign w:val="center"/>
          </w:tcPr>
          <w:p w14:paraId="038DDE31">
            <w:pPr>
              <w:pStyle w:val="11"/>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1.允许投标人提交多个业绩，但同一业绩只按最高级别奖项计分一次。</w:t>
            </w:r>
          </w:p>
          <w:p w14:paraId="292BE96A">
            <w:pPr>
              <w:pStyle w:val="11"/>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val="en-US" w:eastAsia="zh-CN"/>
              </w:rPr>
              <w:t>需附有关奖项证明彩色扫描件，</w:t>
            </w:r>
            <w:r>
              <w:rPr>
                <w:rFonts w:hint="eastAsia" w:ascii="宋体" w:hAnsi="宋体" w:eastAsia="宋体" w:cs="宋体"/>
                <w:b/>
                <w:bCs/>
                <w:snapToGrid w:val="0"/>
                <w:color w:val="auto"/>
                <w:kern w:val="0"/>
                <w:sz w:val="21"/>
                <w:szCs w:val="21"/>
                <w:highlight w:val="none"/>
                <w:lang w:val="en-US" w:eastAsia="zh-CN"/>
              </w:rPr>
              <w:t>同时提供原件供核对（奖项如电子证书的除外）</w:t>
            </w:r>
            <w:r>
              <w:rPr>
                <w:rFonts w:hint="eastAsia" w:ascii="宋体" w:hAnsi="宋体" w:eastAsia="宋体" w:cs="宋体"/>
                <w:snapToGrid w:val="0"/>
                <w:color w:val="auto"/>
                <w:kern w:val="0"/>
                <w:sz w:val="21"/>
                <w:szCs w:val="21"/>
                <w:highlight w:val="none"/>
                <w:lang w:val="en-US" w:eastAsia="zh-CN"/>
              </w:rPr>
              <w:t>。</w:t>
            </w:r>
          </w:p>
          <w:p w14:paraId="2E2197B8">
            <w:pPr>
              <w:pStyle w:val="11"/>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3．颁发机构限定以下范围：</w:t>
            </w:r>
          </w:p>
          <w:p w14:paraId="1AE52AD6">
            <w:pPr>
              <w:pStyle w:val="11"/>
              <w:wordWrap w:val="0"/>
              <w:adjustRightInd w:val="0"/>
              <w:snapToGrid w:val="0"/>
              <w:spacing w:after="0" w:line="360" w:lineRule="auto"/>
              <w:rPr>
                <w:rFonts w:hint="eastAsia" w:ascii="宋体" w:hAnsi="宋体" w:eastAsia="宋体" w:cs="宋体"/>
                <w:b/>
                <w:bCs/>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①国家级奖项：</w:t>
            </w:r>
            <w:r>
              <w:rPr>
                <w:rFonts w:hint="eastAsia" w:ascii="宋体" w:hAnsi="宋体" w:eastAsia="宋体" w:cs="宋体"/>
                <w:snapToGrid w:val="0"/>
                <w:color w:val="auto"/>
                <w:kern w:val="0"/>
                <w:sz w:val="21"/>
                <w:szCs w:val="21"/>
                <w:highlight w:val="none"/>
                <w:u w:val="single"/>
              </w:rPr>
              <w:t xml:space="preserve"> 国务院、住建部、中国勘察设计协会或工程勘察设计行业协会、中国建筑业协会；</w:t>
            </w:r>
          </w:p>
          <w:p w14:paraId="0E43C669">
            <w:pPr>
              <w:pStyle w:val="11"/>
              <w:wordWrap w:val="0"/>
              <w:adjustRightInd w:val="0"/>
              <w:snapToGrid w:val="0"/>
              <w:spacing w:after="0" w:line="360" w:lineRule="auto"/>
              <w:rPr>
                <w:rFonts w:hint="eastAsia" w:ascii="宋体" w:hAnsi="宋体" w:eastAsia="宋体" w:cs="宋体"/>
                <w:snapToGrid w:val="0"/>
                <w:color w:val="auto"/>
                <w:kern w:val="0"/>
                <w:sz w:val="21"/>
                <w:szCs w:val="21"/>
                <w:highlight w:val="none"/>
                <w:u w:val="single"/>
              </w:rPr>
            </w:pPr>
            <w:r>
              <w:rPr>
                <w:rFonts w:hint="eastAsia" w:ascii="宋体" w:hAnsi="宋体" w:eastAsia="宋体" w:cs="宋体"/>
                <w:snapToGrid w:val="0"/>
                <w:color w:val="auto"/>
                <w:kern w:val="0"/>
                <w:sz w:val="21"/>
                <w:szCs w:val="21"/>
                <w:highlight w:val="none"/>
              </w:rPr>
              <w:t>②省级奖项：</w:t>
            </w:r>
            <w:r>
              <w:rPr>
                <w:rFonts w:hint="eastAsia" w:ascii="宋体" w:hAnsi="宋体" w:eastAsia="宋体" w:cs="宋体"/>
                <w:snapToGrid w:val="0"/>
                <w:color w:val="auto"/>
                <w:kern w:val="0"/>
                <w:sz w:val="21"/>
                <w:szCs w:val="21"/>
                <w:highlight w:val="none"/>
                <w:u w:val="single"/>
              </w:rPr>
              <w:t xml:space="preserve"> 省级人民政府、省级住建部门、省级勘察设计协会或工程勘察设计行业协会、省级建筑业协会；</w:t>
            </w:r>
          </w:p>
          <w:p w14:paraId="27BE3422">
            <w:pPr>
              <w:pStyle w:val="11"/>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③地市级奖项：</w:t>
            </w:r>
            <w:r>
              <w:rPr>
                <w:rFonts w:hint="eastAsia" w:ascii="宋体" w:hAnsi="宋体" w:eastAsia="宋体" w:cs="宋体"/>
                <w:snapToGrid w:val="0"/>
                <w:color w:val="auto"/>
                <w:kern w:val="0"/>
                <w:sz w:val="21"/>
                <w:szCs w:val="21"/>
                <w:highlight w:val="none"/>
                <w:u w:val="single"/>
              </w:rPr>
              <w:t xml:space="preserve"> 地市级人民政府、地市级勘察设计协会或工程勘察设计行业协会、地市级建筑协会</w:t>
            </w:r>
            <w:r>
              <w:rPr>
                <w:rFonts w:hint="eastAsia" w:ascii="宋体" w:hAnsi="宋体" w:eastAsia="宋体" w:cs="宋体"/>
                <w:snapToGrid w:val="0"/>
                <w:color w:val="auto"/>
                <w:kern w:val="0"/>
                <w:sz w:val="21"/>
                <w:szCs w:val="21"/>
                <w:highlight w:val="none"/>
              </w:rPr>
              <w:t>。</w:t>
            </w:r>
          </w:p>
          <w:p w14:paraId="65EA6E6D">
            <w:pPr>
              <w:pStyle w:val="11"/>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4．获奖时间以奖项证明的落款日期为准。</w:t>
            </w:r>
          </w:p>
          <w:p w14:paraId="10C8E145">
            <w:pPr>
              <w:pStyle w:val="11"/>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5．任一奖项有以下情形之一的，该奖项视为无效，不予计分：</w:t>
            </w:r>
          </w:p>
          <w:p w14:paraId="1A56234A">
            <w:pPr>
              <w:spacing w:line="360" w:lineRule="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①奖项不属于指定类别的；</w:t>
            </w:r>
          </w:p>
          <w:p w14:paraId="309EC61E">
            <w:pPr>
              <w:pStyle w:val="11"/>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②颁发机构不符合要求的；</w:t>
            </w:r>
          </w:p>
          <w:p w14:paraId="2FAAE3EA">
            <w:pPr>
              <w:pStyle w:val="11"/>
              <w:wordWrap w:val="0"/>
              <w:adjustRightInd w:val="0"/>
              <w:snapToGrid w:val="0"/>
              <w:spacing w:after="0" w:line="360" w:lineRule="auto"/>
              <w:rPr>
                <w:rFonts w:hint="eastAsia" w:ascii="宋体" w:hAnsi="宋体" w:cs="宋体"/>
                <w:szCs w:val="21"/>
                <w:highlight w:val="none"/>
              </w:rPr>
            </w:pPr>
            <w:r>
              <w:rPr>
                <w:rFonts w:hint="eastAsia" w:ascii="宋体" w:hAnsi="宋体" w:eastAsia="宋体" w:cs="宋体"/>
                <w:snapToGrid w:val="0"/>
                <w:color w:val="auto"/>
                <w:kern w:val="0"/>
                <w:sz w:val="21"/>
                <w:szCs w:val="21"/>
                <w:highlight w:val="none"/>
              </w:rPr>
              <w:t>③获奖时间不符合要求的。</w:t>
            </w:r>
          </w:p>
        </w:tc>
      </w:tr>
      <w:tr w14:paraId="43D0DB94">
        <w:tblPrEx>
          <w:tblCellMar>
            <w:top w:w="0" w:type="dxa"/>
            <w:left w:w="108" w:type="dxa"/>
            <w:bottom w:w="0" w:type="dxa"/>
            <w:right w:w="108" w:type="dxa"/>
          </w:tblCellMar>
        </w:tblPrEx>
        <w:trPr>
          <w:trHeight w:val="90" w:hRule="atLeast"/>
          <w:jc w:val="center"/>
        </w:trPr>
        <w:tc>
          <w:tcPr>
            <w:tcW w:w="662" w:type="dxa"/>
            <w:vMerge w:val="continue"/>
            <w:tcBorders>
              <w:left w:val="single" w:color="auto" w:sz="4" w:space="0"/>
              <w:right w:val="single" w:color="auto" w:sz="4" w:space="0"/>
            </w:tcBorders>
            <w:vAlign w:val="center"/>
          </w:tcPr>
          <w:p w14:paraId="2F59E9FA">
            <w:pPr>
              <w:rPr>
                <w:rFonts w:hint="eastAsia" w:ascii="宋体" w:hAnsi="宋体" w:cs="宋体"/>
                <w:szCs w:val="21"/>
                <w:highlight w:val="none"/>
              </w:rPr>
            </w:pPr>
          </w:p>
        </w:tc>
        <w:tc>
          <w:tcPr>
            <w:tcW w:w="975" w:type="dxa"/>
            <w:tcBorders>
              <w:top w:val="single" w:color="auto" w:sz="4" w:space="0"/>
              <w:left w:val="nil"/>
              <w:right w:val="single" w:color="auto" w:sz="4" w:space="0"/>
            </w:tcBorders>
            <w:vAlign w:val="center"/>
          </w:tcPr>
          <w:p w14:paraId="0E99B700">
            <w:pPr>
              <w:pStyle w:val="83"/>
              <w:autoSpaceDE w:val="0"/>
              <w:autoSpaceDN w:val="0"/>
              <w:adjustRightInd w:val="0"/>
              <w:spacing w:line="360" w:lineRule="auto"/>
              <w:jc w:val="center"/>
              <w:rPr>
                <w:rFonts w:hint="eastAsia" w:ascii="宋体" w:hAnsi="宋体" w:eastAsia="宋体" w:cs="宋体"/>
                <w:b w:val="0"/>
                <w:bCs w:val="0"/>
                <w:color w:val="auto"/>
                <w:sz w:val="21"/>
                <w:szCs w:val="21"/>
                <w:highlight w:val="none"/>
              </w:rPr>
            </w:pPr>
          </w:p>
          <w:p w14:paraId="0D784579">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企业业绩</w:t>
            </w:r>
          </w:p>
          <w:p w14:paraId="254009D8">
            <w:pPr>
              <w:spacing w:line="360" w:lineRule="auto"/>
              <w:jc w:val="center"/>
              <w:rPr>
                <w:rFonts w:hint="eastAsia" w:ascii="宋体" w:hAnsi="宋体" w:cs="宋体"/>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3680" w:type="dxa"/>
            <w:tcBorders>
              <w:top w:val="single" w:color="auto" w:sz="4" w:space="0"/>
              <w:left w:val="nil"/>
              <w:bottom w:val="single" w:color="auto" w:sz="4" w:space="0"/>
              <w:right w:val="single" w:color="auto" w:sz="4" w:space="0"/>
            </w:tcBorders>
            <w:vAlign w:val="center"/>
          </w:tcPr>
          <w:p w14:paraId="3899FBB3">
            <w:pPr>
              <w:pStyle w:val="42"/>
              <w:snapToGrid w:val="0"/>
              <w:spacing w:line="360" w:lineRule="auto"/>
              <w:jc w:val="both"/>
              <w:rPr>
                <w:rFonts w:hint="eastAsia" w:ascii="宋体" w:hAnsi="宋体" w:eastAsia="宋体" w:cs="宋体"/>
                <w:b w:val="0"/>
                <w:bCs w:val="0"/>
                <w:color w:val="auto"/>
                <w:spacing w:val="-20"/>
                <w:kern w:val="21"/>
                <w:sz w:val="21"/>
                <w:szCs w:val="21"/>
                <w:highlight w:val="none"/>
              </w:rPr>
            </w:pPr>
          </w:p>
          <w:p w14:paraId="7AAAF81B">
            <w:pPr>
              <w:pStyle w:val="236"/>
              <w:spacing w:before="63" w:line="360" w:lineRule="auto"/>
              <w:ind w:right="28"/>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近五年（2019年1月1日至今）业绩情况：</w:t>
            </w:r>
          </w:p>
          <w:p w14:paraId="700536C2">
            <w:pPr>
              <w:pStyle w:val="236"/>
              <w:spacing w:before="63" w:line="360" w:lineRule="auto"/>
              <w:ind w:right="28"/>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1.承接过类似项目的单项工程，每个得5分。</w:t>
            </w:r>
          </w:p>
          <w:p w14:paraId="21F9C5FA">
            <w:pPr>
              <w:pStyle w:val="236"/>
              <w:spacing w:before="63" w:line="360" w:lineRule="auto"/>
              <w:ind w:right="28"/>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2．未</w:t>
            </w:r>
            <w:r>
              <w:rPr>
                <w:rFonts w:hint="eastAsia" w:ascii="宋体" w:hAnsi="宋体" w:eastAsia="宋体" w:cs="宋体"/>
                <w:color w:val="auto"/>
                <w:sz w:val="21"/>
                <w:szCs w:val="21"/>
                <w:highlight w:val="none"/>
                <w:u w:val="single"/>
                <w:lang w:eastAsia="zh-CN"/>
              </w:rPr>
              <w:t xml:space="preserve"> 承接 </w:t>
            </w:r>
            <w:r>
              <w:rPr>
                <w:rFonts w:hint="eastAsia" w:ascii="宋体" w:hAnsi="宋体" w:eastAsia="宋体" w:cs="宋体"/>
                <w:color w:val="auto"/>
                <w:sz w:val="21"/>
                <w:szCs w:val="21"/>
                <w:highlight w:val="none"/>
                <w:lang w:eastAsia="zh-CN"/>
              </w:rPr>
              <w:t>过类似项目的，不予计分。</w:t>
            </w:r>
          </w:p>
          <w:p w14:paraId="198F97B9">
            <w:pPr>
              <w:spacing w:line="360" w:lineRule="auto"/>
              <w:rPr>
                <w:rFonts w:hint="eastAsia"/>
                <w:sz w:val="21"/>
                <w:szCs w:val="21"/>
                <w:highlight w:val="none"/>
                <w:lang w:eastAsia="zh-CN"/>
              </w:rPr>
            </w:pPr>
            <w:r>
              <w:rPr>
                <w:rFonts w:hint="eastAsia" w:ascii="宋体" w:hAnsi="宋体" w:eastAsia="宋体" w:cs="宋体"/>
                <w:color w:val="auto"/>
                <w:sz w:val="21"/>
                <w:szCs w:val="21"/>
                <w:highlight w:val="none"/>
              </w:rPr>
              <w:t>3．本项最高得</w:t>
            </w: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分。</w:t>
            </w:r>
          </w:p>
        </w:tc>
        <w:tc>
          <w:tcPr>
            <w:tcW w:w="4045" w:type="dxa"/>
            <w:tcBorders>
              <w:top w:val="single" w:color="auto" w:sz="4" w:space="0"/>
              <w:left w:val="nil"/>
              <w:bottom w:val="single" w:color="auto" w:sz="4" w:space="0"/>
              <w:right w:val="single" w:color="auto" w:sz="4" w:space="0"/>
            </w:tcBorders>
            <w:vAlign w:val="center"/>
          </w:tcPr>
          <w:p w14:paraId="3E10276A">
            <w:pPr>
              <w:pStyle w:val="11"/>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1．类似项目指：</w:t>
            </w:r>
            <w:r>
              <w:rPr>
                <w:rFonts w:hint="eastAsia" w:ascii="宋体" w:hAnsi="宋体" w:eastAsia="宋体" w:cs="宋体"/>
                <w:snapToGrid w:val="0"/>
                <w:color w:val="auto"/>
                <w:kern w:val="0"/>
                <w:sz w:val="21"/>
                <w:szCs w:val="21"/>
                <w:highlight w:val="none"/>
                <w:lang w:val="en-US" w:eastAsia="zh-CN"/>
              </w:rPr>
              <w:t>市政</w:t>
            </w:r>
            <w:r>
              <w:rPr>
                <w:rFonts w:hint="eastAsia" w:ascii="宋体" w:hAnsi="宋体" w:eastAsia="宋体" w:cs="宋体"/>
                <w:snapToGrid w:val="0"/>
                <w:color w:val="auto"/>
                <w:kern w:val="0"/>
                <w:sz w:val="21"/>
                <w:szCs w:val="21"/>
                <w:highlight w:val="none"/>
              </w:rPr>
              <w:t>类工程设计项目（含设计，勘察设计，勘察设计施工总承包项目）。</w:t>
            </w:r>
          </w:p>
          <w:p w14:paraId="200EB233">
            <w:pPr>
              <w:pStyle w:val="11"/>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2．需附有关业绩合同协议书扫描件，</w:t>
            </w:r>
            <w:r>
              <w:rPr>
                <w:rFonts w:hint="eastAsia" w:ascii="宋体" w:hAnsi="宋体" w:eastAsia="宋体" w:cs="宋体"/>
                <w:b/>
                <w:bCs/>
                <w:snapToGrid w:val="0"/>
                <w:color w:val="auto"/>
                <w:kern w:val="0"/>
                <w:sz w:val="21"/>
                <w:szCs w:val="21"/>
              </w:rPr>
              <w:t>同时提供原件供核对</w:t>
            </w:r>
            <w:r>
              <w:rPr>
                <w:rFonts w:hint="eastAsia" w:ascii="宋体" w:hAnsi="宋体" w:eastAsia="宋体" w:cs="宋体"/>
                <w:snapToGrid w:val="0"/>
                <w:color w:val="auto"/>
                <w:kern w:val="0"/>
                <w:sz w:val="21"/>
                <w:szCs w:val="21"/>
                <w:highlight w:val="none"/>
                <w:lang w:val="en-US" w:eastAsia="zh-CN"/>
              </w:rPr>
              <w:t>。</w:t>
            </w:r>
          </w:p>
          <w:p w14:paraId="709489E9">
            <w:pPr>
              <w:pStyle w:val="11"/>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3．业绩时间以合同协议书日期为准。</w:t>
            </w:r>
          </w:p>
          <w:p w14:paraId="28D5D846">
            <w:pPr>
              <w:pStyle w:val="11"/>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4．任一业绩有以下情形之一的，该业绩视为无效，不予计分：</w:t>
            </w:r>
          </w:p>
          <w:p w14:paraId="11BF70C5">
            <w:pPr>
              <w:pStyle w:val="11"/>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①业绩不属于类似工程的；</w:t>
            </w:r>
          </w:p>
          <w:p w14:paraId="53E50A09">
            <w:pPr>
              <w:pStyle w:val="11"/>
              <w:wordWrap w:val="0"/>
              <w:adjustRightInd w:val="0"/>
              <w:snapToGrid w:val="0"/>
              <w:spacing w:before="156" w:beforeLines="50" w:after="156" w:afterLines="50" w:line="360" w:lineRule="auto"/>
              <w:rPr>
                <w:rFonts w:hint="eastAsia" w:ascii="宋体" w:hAnsi="宋体" w:cs="宋体"/>
                <w:szCs w:val="21"/>
                <w:highlight w:val="none"/>
              </w:rPr>
            </w:pPr>
            <w:r>
              <w:rPr>
                <w:rFonts w:hint="eastAsia" w:ascii="宋体" w:hAnsi="宋体" w:eastAsia="宋体" w:cs="宋体"/>
                <w:snapToGrid w:val="0"/>
                <w:color w:val="auto"/>
                <w:kern w:val="0"/>
                <w:sz w:val="21"/>
                <w:szCs w:val="21"/>
                <w:highlight w:val="none"/>
              </w:rPr>
              <w:t>②业绩时间不符合要求的。</w:t>
            </w:r>
          </w:p>
        </w:tc>
      </w:tr>
      <w:tr w14:paraId="636EC13D">
        <w:tblPrEx>
          <w:tblCellMar>
            <w:top w:w="0" w:type="dxa"/>
            <w:left w:w="108" w:type="dxa"/>
            <w:bottom w:w="0" w:type="dxa"/>
            <w:right w:w="108" w:type="dxa"/>
          </w:tblCellMar>
        </w:tblPrEx>
        <w:trPr>
          <w:trHeight w:val="3816" w:hRule="atLeast"/>
          <w:jc w:val="center"/>
        </w:trPr>
        <w:tc>
          <w:tcPr>
            <w:tcW w:w="662" w:type="dxa"/>
            <w:vMerge w:val="continue"/>
            <w:tcBorders>
              <w:left w:val="single" w:color="auto" w:sz="4" w:space="0"/>
              <w:right w:val="single" w:color="auto" w:sz="4" w:space="0"/>
            </w:tcBorders>
            <w:vAlign w:val="center"/>
          </w:tcPr>
          <w:p w14:paraId="3E8495B5">
            <w:pPr>
              <w:widowControl/>
              <w:jc w:val="left"/>
              <w:rPr>
                <w:rFonts w:hint="eastAsia" w:ascii="宋体" w:hAnsi="宋体" w:cs="宋体"/>
                <w:szCs w:val="21"/>
                <w:highlight w:val="none"/>
              </w:rPr>
            </w:pPr>
          </w:p>
        </w:tc>
        <w:tc>
          <w:tcPr>
            <w:tcW w:w="975" w:type="dxa"/>
            <w:tcBorders>
              <w:top w:val="single" w:color="auto" w:sz="4" w:space="0"/>
              <w:left w:val="nil"/>
              <w:right w:val="single" w:color="auto" w:sz="4" w:space="0"/>
            </w:tcBorders>
            <w:vAlign w:val="center"/>
          </w:tcPr>
          <w:p w14:paraId="7F700B87">
            <w:pPr>
              <w:shd w:val="clear" w:color="auto" w:fill="auto"/>
              <w:spacing w:line="360" w:lineRule="auto"/>
              <w:jc w:val="center"/>
              <w:rPr>
                <w:rFonts w:hint="eastAsia" w:hAnsi="宋体" w:cs="宋体"/>
                <w:szCs w:val="21"/>
                <w:highlight w:val="none"/>
              </w:rPr>
            </w:pPr>
            <w:r>
              <w:rPr>
                <w:rFonts w:hint="eastAsia" w:ascii="宋体" w:hAnsi="宋体" w:eastAsia="宋体" w:cs="宋体"/>
                <w:color w:val="auto"/>
                <w:sz w:val="21"/>
                <w:szCs w:val="21"/>
                <w:highlight w:val="none"/>
              </w:rPr>
              <w:t>拟派项目负责人综合素质（4分）</w:t>
            </w:r>
          </w:p>
        </w:tc>
        <w:tc>
          <w:tcPr>
            <w:tcW w:w="3680" w:type="dxa"/>
            <w:tcBorders>
              <w:top w:val="single" w:color="auto" w:sz="4" w:space="0"/>
              <w:left w:val="nil"/>
              <w:bottom w:val="single" w:color="auto" w:sz="4" w:space="0"/>
              <w:right w:val="single" w:color="auto" w:sz="4" w:space="0"/>
            </w:tcBorders>
            <w:vAlign w:val="center"/>
          </w:tcPr>
          <w:p w14:paraId="1CDA47F7">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具有市政</w:t>
            </w:r>
            <w:r>
              <w:rPr>
                <w:rFonts w:hint="eastAsia" w:ascii="宋体" w:hAnsi="宋体" w:eastAsia="宋体" w:cs="宋体"/>
                <w:color w:val="auto"/>
                <w:sz w:val="21"/>
                <w:szCs w:val="21"/>
                <w:highlight w:val="none"/>
                <w:lang w:val="en-US" w:eastAsia="zh-CN"/>
              </w:rPr>
              <w:t>路桥类</w:t>
            </w:r>
            <w:r>
              <w:rPr>
                <w:rFonts w:hint="eastAsia" w:ascii="宋体" w:hAnsi="宋体" w:eastAsia="宋体" w:cs="宋体"/>
                <w:color w:val="auto"/>
                <w:sz w:val="21"/>
                <w:szCs w:val="21"/>
                <w:highlight w:val="none"/>
              </w:rPr>
              <w:t>专业高级职称</w:t>
            </w:r>
            <w:r>
              <w:rPr>
                <w:rFonts w:hint="eastAsia" w:ascii="宋体" w:hAnsi="宋体" w:eastAsia="宋体" w:cs="宋体"/>
                <w:color w:val="auto"/>
                <w:sz w:val="21"/>
                <w:szCs w:val="21"/>
                <w:highlight w:val="none"/>
                <w:lang w:val="en-US" w:eastAsia="zh-CN"/>
              </w:rPr>
              <w:t>和注册土木工程师（道路工程）或给排水</w:t>
            </w:r>
            <w:r>
              <w:rPr>
                <w:rFonts w:hint="eastAsia" w:ascii="宋体" w:hAnsi="宋体" w:eastAsia="宋体" w:cs="宋体"/>
                <w:color w:val="auto"/>
                <w:sz w:val="21"/>
                <w:szCs w:val="21"/>
                <w:highlight w:val="none"/>
              </w:rPr>
              <w:t>专业高级职称</w:t>
            </w:r>
            <w:r>
              <w:rPr>
                <w:rFonts w:hint="eastAsia" w:ascii="宋体" w:hAnsi="宋体" w:eastAsia="宋体" w:cs="宋体"/>
                <w:color w:val="auto"/>
                <w:sz w:val="21"/>
                <w:szCs w:val="21"/>
                <w:highlight w:val="none"/>
                <w:lang w:val="en-US" w:eastAsia="zh-CN"/>
              </w:rPr>
              <w:t>和注册公用设备工程师（给水排水）</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295A67D">
            <w:pPr>
              <w:spacing w:line="360" w:lineRule="auto"/>
              <w:rPr>
                <w:rFonts w:hint="eastAsia" w:ascii="宋体" w:hAnsi="宋体" w:eastAsia="宋体" w:cs="宋体"/>
                <w:color w:val="auto"/>
                <w:highlight w:val="none"/>
              </w:rPr>
            </w:pPr>
          </w:p>
          <w:p w14:paraId="0511426C">
            <w:pPr>
              <w:pStyle w:val="236"/>
              <w:numPr>
                <w:ilvl w:val="0"/>
                <w:numId w:val="0"/>
              </w:numPr>
              <w:shd w:val="clear" w:color="auto" w:fill="auto"/>
              <w:spacing w:before="63" w:line="360" w:lineRule="auto"/>
              <w:ind w:left="0" w:leftChars="0" w:right="28" w:rightChars="0" w:firstLine="0" w:firstLineChars="0"/>
              <w:jc w:val="both"/>
              <w:rPr>
                <w:rFonts w:hint="eastAsia" w:ascii="宋体" w:hAnsi="宋体" w:cs="宋体"/>
                <w:snapToGrid w:val="0"/>
                <w:kern w:val="0"/>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.本项最高得 4分。</w:t>
            </w:r>
          </w:p>
        </w:tc>
        <w:tc>
          <w:tcPr>
            <w:tcW w:w="4045" w:type="dxa"/>
            <w:tcBorders>
              <w:top w:val="single" w:color="auto" w:sz="4" w:space="0"/>
              <w:left w:val="nil"/>
              <w:bottom w:val="single" w:color="auto" w:sz="4" w:space="0"/>
              <w:right w:val="single" w:color="auto" w:sz="4" w:space="0"/>
            </w:tcBorders>
            <w:vAlign w:val="top"/>
          </w:tcPr>
          <w:p w14:paraId="6F9D2971">
            <w:pPr>
              <w:pStyle w:val="11"/>
              <w:wordWrap w:val="0"/>
              <w:adjustRightInd w:val="0"/>
              <w:snapToGrid w:val="0"/>
              <w:spacing w:after="0"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1.需附职称证彩色扫描件</w:t>
            </w:r>
            <w:r>
              <w:rPr>
                <w:rFonts w:hint="eastAsia" w:hAnsi="宋体" w:cs="宋体"/>
                <w:snapToGrid w:val="0"/>
                <w:color w:val="auto"/>
                <w:kern w:val="0"/>
                <w:sz w:val="21"/>
                <w:szCs w:val="21"/>
                <w:highlight w:val="none"/>
                <w:lang w:eastAsia="zh-CN"/>
              </w:rPr>
              <w:t>，</w:t>
            </w:r>
            <w:r>
              <w:rPr>
                <w:rFonts w:hint="eastAsia" w:ascii="宋体" w:hAnsi="宋体" w:eastAsia="宋体" w:cs="宋体"/>
                <w:b/>
                <w:bCs/>
                <w:snapToGrid w:val="0"/>
                <w:color w:val="auto"/>
                <w:kern w:val="0"/>
                <w:sz w:val="21"/>
                <w:szCs w:val="21"/>
              </w:rPr>
              <w:t>同时提供原件供核对</w:t>
            </w:r>
            <w:r>
              <w:rPr>
                <w:rFonts w:hint="eastAsia" w:ascii="宋体" w:hAnsi="宋体" w:eastAsia="宋体" w:cs="宋体"/>
                <w:b/>
                <w:bCs/>
                <w:snapToGrid w:val="0"/>
                <w:color w:val="auto"/>
                <w:kern w:val="0"/>
                <w:sz w:val="21"/>
                <w:szCs w:val="21"/>
                <w:highlight w:val="none"/>
                <w:lang w:val="en-US" w:eastAsia="zh-CN"/>
              </w:rPr>
              <w:t>（奖项如电子证书的除外）</w:t>
            </w:r>
            <w:r>
              <w:rPr>
                <w:rFonts w:hint="eastAsia" w:ascii="宋体" w:hAnsi="宋体" w:eastAsia="宋体" w:cs="宋体"/>
                <w:b/>
                <w:bCs/>
                <w:snapToGrid w:val="0"/>
                <w:color w:val="auto"/>
                <w:kern w:val="0"/>
                <w:sz w:val="21"/>
                <w:szCs w:val="21"/>
              </w:rPr>
              <w:t>。</w:t>
            </w:r>
          </w:p>
          <w:p w14:paraId="52F5A982">
            <w:pPr>
              <w:shd w:val="clear" w:color="auto" w:fill="auto"/>
              <w:spacing w:line="360" w:lineRule="auto"/>
              <w:rPr>
                <w:rFonts w:hint="eastAsia" w:ascii="宋体" w:hAnsi="宋体" w:cs="宋体"/>
                <w:snapToGrid w:val="0"/>
                <w:kern w:val="0"/>
                <w:szCs w:val="21"/>
                <w:highlight w:val="none"/>
              </w:rPr>
            </w:pPr>
            <w:r>
              <w:rPr>
                <w:rFonts w:hint="eastAsia" w:ascii="宋体" w:hAnsi="宋体" w:eastAsia="宋体" w:cs="宋体"/>
                <w:snapToGrid w:val="0"/>
                <w:color w:val="auto"/>
                <w:kern w:val="0"/>
                <w:sz w:val="21"/>
                <w:szCs w:val="21"/>
                <w:highlight w:val="none"/>
              </w:rPr>
              <w:t>2.需提供各专业人员在本单位缴纳近</w:t>
            </w:r>
            <w:r>
              <w:rPr>
                <w:rFonts w:hint="eastAsia" w:hAnsi="宋体" w:cs="宋体"/>
                <w:snapToGrid w:val="0"/>
                <w:color w:val="auto"/>
                <w:kern w:val="0"/>
                <w:sz w:val="21"/>
                <w:szCs w:val="21"/>
                <w:highlight w:val="none"/>
                <w:lang w:val="en-US" w:eastAsia="zh-CN"/>
              </w:rPr>
              <w:t>6个月</w:t>
            </w:r>
            <w:r>
              <w:rPr>
                <w:rFonts w:hint="eastAsia" w:ascii="宋体" w:hAnsi="宋体" w:eastAsia="宋体" w:cs="宋体"/>
                <w:snapToGrid w:val="0"/>
                <w:color w:val="auto"/>
                <w:kern w:val="0"/>
                <w:sz w:val="21"/>
                <w:szCs w:val="21"/>
                <w:highlight w:val="none"/>
              </w:rPr>
              <w:t>社保的证明（其中必须有2024年</w:t>
            </w:r>
            <w:r>
              <w:rPr>
                <w:rFonts w:hint="eastAsia" w:hAnsi="宋体" w:cs="宋体"/>
                <w:snapToGrid w:val="0"/>
                <w:color w:val="auto"/>
                <w:kern w:val="0"/>
                <w:sz w:val="21"/>
                <w:szCs w:val="21"/>
                <w:highlight w:val="none"/>
                <w:lang w:val="en-US" w:eastAsia="zh-CN"/>
              </w:rPr>
              <w:t>10</w:t>
            </w:r>
            <w:r>
              <w:rPr>
                <w:rFonts w:hint="eastAsia" w:ascii="宋体" w:hAnsi="宋体" w:eastAsia="宋体" w:cs="宋体"/>
                <w:snapToGrid w:val="0"/>
                <w:color w:val="auto"/>
                <w:kern w:val="0"/>
                <w:sz w:val="21"/>
                <w:szCs w:val="21"/>
                <w:highlight w:val="none"/>
              </w:rPr>
              <w:t>月）彩色扫描件，返聘人员除外；若是退休人员需提供退休证和返聘合同（协议）彩色扫描件。</w:t>
            </w:r>
          </w:p>
        </w:tc>
      </w:tr>
      <w:tr w14:paraId="05F6DFF3">
        <w:tblPrEx>
          <w:tblCellMar>
            <w:top w:w="0" w:type="dxa"/>
            <w:left w:w="108" w:type="dxa"/>
            <w:bottom w:w="0" w:type="dxa"/>
            <w:right w:w="108" w:type="dxa"/>
          </w:tblCellMar>
        </w:tblPrEx>
        <w:trPr>
          <w:trHeight w:val="3792" w:hRule="atLeast"/>
          <w:jc w:val="center"/>
        </w:trPr>
        <w:tc>
          <w:tcPr>
            <w:tcW w:w="662" w:type="dxa"/>
            <w:vMerge w:val="continue"/>
            <w:tcBorders>
              <w:left w:val="single" w:color="auto" w:sz="4" w:space="0"/>
              <w:right w:val="single" w:color="auto" w:sz="4" w:space="0"/>
            </w:tcBorders>
            <w:vAlign w:val="center"/>
          </w:tcPr>
          <w:p w14:paraId="2AF827CE">
            <w:pPr>
              <w:widowControl/>
              <w:jc w:val="left"/>
              <w:rPr>
                <w:rFonts w:hint="eastAsia" w:ascii="宋体" w:hAnsi="宋体" w:cs="宋体"/>
                <w:szCs w:val="21"/>
                <w:highlight w:val="none"/>
              </w:rPr>
            </w:pPr>
          </w:p>
        </w:tc>
        <w:tc>
          <w:tcPr>
            <w:tcW w:w="975" w:type="dxa"/>
            <w:tcBorders>
              <w:top w:val="single" w:color="auto" w:sz="4" w:space="0"/>
              <w:left w:val="nil"/>
              <w:right w:val="single" w:color="auto" w:sz="4" w:space="0"/>
            </w:tcBorders>
            <w:vAlign w:val="center"/>
          </w:tcPr>
          <w:p w14:paraId="625F140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其他人员综合素质</w:t>
            </w:r>
          </w:p>
          <w:p w14:paraId="778FE098">
            <w:pPr>
              <w:shd w:val="clear" w:color="auto" w:fill="auto"/>
              <w:spacing w:line="360" w:lineRule="auto"/>
              <w:jc w:val="center"/>
              <w:rPr>
                <w:rFonts w:hint="eastAsia" w:ascii="宋体" w:hAnsi="宋体" w:cs="宋体"/>
                <w:szCs w:val="21"/>
                <w:highlight w:val="none"/>
              </w:rPr>
            </w:pPr>
            <w:r>
              <w:rPr>
                <w:rFonts w:hint="eastAsia" w:ascii="宋体" w:hAnsi="宋体" w:eastAsia="宋体" w:cs="宋体"/>
                <w:color w:val="auto"/>
                <w:sz w:val="21"/>
                <w:szCs w:val="21"/>
                <w:highlight w:val="none"/>
              </w:rPr>
              <w:t>（8分）</w:t>
            </w:r>
          </w:p>
        </w:tc>
        <w:tc>
          <w:tcPr>
            <w:tcW w:w="3680" w:type="dxa"/>
            <w:tcBorders>
              <w:top w:val="single" w:color="auto" w:sz="4" w:space="0"/>
              <w:left w:val="nil"/>
              <w:right w:val="single" w:color="auto" w:sz="4" w:space="0"/>
            </w:tcBorders>
            <w:vAlign w:val="center"/>
          </w:tcPr>
          <w:p w14:paraId="75D6DD73">
            <w:pPr>
              <w:pStyle w:val="2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1.拟投入本项目各专业负责人（市政路桥</w:t>
            </w:r>
            <w:r>
              <w:rPr>
                <w:rFonts w:hint="eastAsia" w:ascii="宋体" w:hAnsi="宋体" w:eastAsia="宋体" w:cs="宋体"/>
                <w:color w:val="auto"/>
                <w:sz w:val="21"/>
                <w:szCs w:val="21"/>
                <w:highlight w:val="none"/>
                <w:lang w:val="en-US" w:eastAsia="zh-CN"/>
              </w:rPr>
              <w:t>专业</w:t>
            </w:r>
            <w:r>
              <w:rPr>
                <w:rFonts w:hint="eastAsia" w:ascii="宋体" w:hAnsi="宋体" w:eastAsia="宋体" w:cs="宋体"/>
                <w:color w:val="auto"/>
                <w:sz w:val="21"/>
                <w:szCs w:val="21"/>
                <w:highlight w:val="none"/>
              </w:rPr>
              <w:t>、结构专业、给排水专业、造价专业），具有本专业高级技术职称证书或本专业注册证书的，每个得2分；</w:t>
            </w:r>
          </w:p>
          <w:p w14:paraId="3514803F">
            <w:pPr>
              <w:pStyle w:val="2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2.拟投入本项目各专业负责人（市政路桥、结构专业、给排水专业、造价专业），具有本专业中级技术职称证书，每个得1分；</w:t>
            </w:r>
          </w:p>
          <w:p w14:paraId="2CCA36E6">
            <w:pPr>
              <w:pStyle w:val="2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3.同专业人员不重复计分。</w:t>
            </w:r>
          </w:p>
          <w:p w14:paraId="45D01747">
            <w:pPr>
              <w:pStyle w:val="11"/>
              <w:shd w:val="clear" w:color="auto" w:fill="auto"/>
              <w:wordWrap w:val="0"/>
              <w:adjustRightInd w:val="0"/>
              <w:snapToGrid w:val="0"/>
              <w:spacing w:after="0" w:line="360" w:lineRule="auto"/>
              <w:rPr>
                <w:rFonts w:hint="eastAsia"/>
                <w:sz w:val="21"/>
                <w:szCs w:val="21"/>
                <w:highlight w:val="none"/>
                <w:lang w:eastAsia="zh-CN"/>
              </w:rPr>
            </w:pPr>
            <w:r>
              <w:rPr>
                <w:rFonts w:hint="eastAsia" w:ascii="宋体" w:hAnsi="宋体" w:eastAsia="宋体" w:cs="宋体"/>
                <w:color w:val="auto"/>
                <w:sz w:val="21"/>
                <w:szCs w:val="21"/>
                <w:highlight w:val="none"/>
                <w:lang w:eastAsia="zh-CN"/>
              </w:rPr>
              <w:t>4.本项最高得8分。</w:t>
            </w:r>
          </w:p>
        </w:tc>
        <w:tc>
          <w:tcPr>
            <w:tcW w:w="4045" w:type="dxa"/>
            <w:tcBorders>
              <w:top w:val="single" w:color="auto" w:sz="4" w:space="0"/>
              <w:left w:val="nil"/>
              <w:bottom w:val="single" w:color="auto" w:sz="4" w:space="0"/>
              <w:right w:val="single" w:color="auto" w:sz="4" w:space="0"/>
            </w:tcBorders>
            <w:vAlign w:val="center"/>
          </w:tcPr>
          <w:p w14:paraId="2AB2CB0B">
            <w:pPr>
              <w:pStyle w:val="11"/>
              <w:wordWrap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1.需附职称证或</w:t>
            </w:r>
            <w:r>
              <w:rPr>
                <w:rFonts w:hint="eastAsia" w:ascii="宋体" w:hAnsi="宋体" w:eastAsia="宋体" w:cs="宋体"/>
                <w:color w:val="auto"/>
                <w:sz w:val="21"/>
                <w:szCs w:val="21"/>
                <w:highlight w:val="none"/>
              </w:rPr>
              <w:t>本专业注册证书</w:t>
            </w:r>
            <w:r>
              <w:rPr>
                <w:rFonts w:hint="eastAsia" w:ascii="宋体" w:hAnsi="宋体" w:eastAsia="宋体" w:cs="宋体"/>
                <w:snapToGrid w:val="0"/>
                <w:color w:val="auto"/>
                <w:kern w:val="0"/>
                <w:sz w:val="21"/>
                <w:szCs w:val="21"/>
                <w:highlight w:val="none"/>
              </w:rPr>
              <w:t>彩色扫描件</w:t>
            </w:r>
            <w:r>
              <w:rPr>
                <w:rFonts w:hint="eastAsia" w:hAnsi="宋体" w:cs="宋体"/>
                <w:snapToGrid w:val="0"/>
                <w:color w:val="auto"/>
                <w:kern w:val="0"/>
                <w:sz w:val="21"/>
                <w:szCs w:val="21"/>
                <w:highlight w:val="none"/>
                <w:lang w:eastAsia="zh-CN"/>
              </w:rPr>
              <w:t>，</w:t>
            </w:r>
            <w:r>
              <w:rPr>
                <w:rFonts w:hint="eastAsia" w:ascii="宋体" w:hAnsi="宋体" w:eastAsia="宋体" w:cs="宋体"/>
                <w:b/>
                <w:bCs/>
                <w:snapToGrid w:val="0"/>
                <w:color w:val="auto"/>
                <w:kern w:val="0"/>
                <w:sz w:val="21"/>
                <w:szCs w:val="21"/>
              </w:rPr>
              <w:t>同时提供原件供核对</w:t>
            </w:r>
            <w:r>
              <w:rPr>
                <w:rFonts w:hint="eastAsia" w:ascii="宋体" w:hAnsi="宋体" w:eastAsia="宋体" w:cs="宋体"/>
                <w:b/>
                <w:bCs/>
                <w:snapToGrid w:val="0"/>
                <w:color w:val="auto"/>
                <w:kern w:val="0"/>
                <w:sz w:val="21"/>
                <w:szCs w:val="21"/>
                <w:lang w:eastAsia="zh-CN"/>
              </w:rPr>
              <w:t>（职称证</w:t>
            </w:r>
            <w:r>
              <w:rPr>
                <w:rFonts w:hint="eastAsia" w:ascii="宋体" w:hAnsi="宋体" w:eastAsia="宋体" w:cs="宋体"/>
                <w:b/>
                <w:bCs/>
                <w:snapToGrid w:val="0"/>
                <w:color w:val="auto"/>
                <w:kern w:val="0"/>
                <w:sz w:val="21"/>
                <w:szCs w:val="21"/>
                <w:lang w:val="en-US" w:eastAsia="zh-CN"/>
              </w:rPr>
              <w:t>或注册证如</w:t>
            </w:r>
            <w:r>
              <w:rPr>
                <w:rFonts w:hint="eastAsia" w:ascii="宋体" w:hAnsi="宋体" w:eastAsia="宋体" w:cs="宋体"/>
                <w:b/>
                <w:bCs/>
                <w:snapToGrid w:val="0"/>
                <w:color w:val="auto"/>
                <w:kern w:val="0"/>
                <w:sz w:val="21"/>
                <w:szCs w:val="21"/>
                <w:lang w:eastAsia="zh-CN"/>
              </w:rPr>
              <w:t>电子证书的除外</w:t>
            </w:r>
            <w:r>
              <w:rPr>
                <w:rFonts w:hint="eastAsia" w:ascii="宋体" w:hAnsi="宋体" w:eastAsia="宋体" w:cs="宋体"/>
                <w:b/>
                <w:bCs/>
                <w:snapToGrid w:val="0"/>
                <w:color w:val="auto"/>
                <w:kern w:val="0"/>
                <w:sz w:val="21"/>
                <w:szCs w:val="21"/>
                <w:highlight w:val="none"/>
                <w:lang w:val="en-US" w:eastAsia="zh-CN"/>
              </w:rPr>
              <w:t>）</w:t>
            </w:r>
            <w:r>
              <w:rPr>
                <w:rFonts w:hint="eastAsia" w:ascii="宋体" w:hAnsi="宋体" w:eastAsia="宋体" w:cs="宋体"/>
                <w:snapToGrid w:val="0"/>
                <w:color w:val="auto"/>
                <w:kern w:val="0"/>
                <w:sz w:val="21"/>
                <w:szCs w:val="21"/>
              </w:rPr>
              <w:t>。</w:t>
            </w:r>
          </w:p>
          <w:p w14:paraId="3A07A11F">
            <w:pPr>
              <w:pStyle w:val="11"/>
              <w:shd w:val="clear" w:color="auto" w:fill="auto"/>
              <w:wordWrap w:val="0"/>
              <w:adjustRightInd w:val="0"/>
              <w:snapToGrid w:val="0"/>
              <w:spacing w:after="0" w:line="360" w:lineRule="auto"/>
              <w:rPr>
                <w:rFonts w:hint="eastAsia" w:ascii="宋体" w:hAnsi="宋体" w:cs="宋体"/>
                <w:snapToGrid w:val="0"/>
                <w:kern w:val="0"/>
                <w:szCs w:val="21"/>
                <w:highlight w:val="none"/>
              </w:rPr>
            </w:pPr>
            <w:r>
              <w:rPr>
                <w:rFonts w:hint="eastAsia" w:ascii="宋体" w:hAnsi="宋体" w:eastAsia="宋体" w:cs="宋体"/>
                <w:snapToGrid w:val="0"/>
                <w:color w:val="auto"/>
                <w:kern w:val="0"/>
                <w:sz w:val="21"/>
                <w:szCs w:val="21"/>
                <w:highlight w:val="none"/>
              </w:rPr>
              <w:t>2.需提供各专业人员在本单位缴纳近</w:t>
            </w:r>
            <w:r>
              <w:rPr>
                <w:rFonts w:hint="eastAsia" w:hAnsi="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lang w:val="en-US" w:eastAsia="zh-CN"/>
              </w:rPr>
              <w:t>个月</w:t>
            </w:r>
            <w:r>
              <w:rPr>
                <w:rFonts w:hint="eastAsia" w:ascii="宋体" w:hAnsi="宋体" w:eastAsia="宋体" w:cs="宋体"/>
                <w:snapToGrid w:val="0"/>
                <w:color w:val="auto"/>
                <w:kern w:val="0"/>
                <w:sz w:val="21"/>
                <w:szCs w:val="21"/>
                <w:highlight w:val="none"/>
              </w:rPr>
              <w:t>社保的证明（其中必须有2024年</w:t>
            </w:r>
            <w:r>
              <w:rPr>
                <w:rFonts w:hint="eastAsia" w:hAnsi="宋体" w:cs="宋体"/>
                <w:snapToGrid w:val="0"/>
                <w:color w:val="auto"/>
                <w:kern w:val="0"/>
                <w:sz w:val="21"/>
                <w:szCs w:val="21"/>
                <w:highlight w:val="none"/>
                <w:lang w:val="en-US" w:eastAsia="zh-CN"/>
              </w:rPr>
              <w:t>10</w:t>
            </w:r>
            <w:r>
              <w:rPr>
                <w:rFonts w:hint="eastAsia" w:ascii="宋体" w:hAnsi="宋体" w:eastAsia="宋体" w:cs="宋体"/>
                <w:snapToGrid w:val="0"/>
                <w:color w:val="auto"/>
                <w:kern w:val="0"/>
                <w:sz w:val="21"/>
                <w:szCs w:val="21"/>
                <w:highlight w:val="none"/>
              </w:rPr>
              <w:t>月）彩色扫描件，返聘人员除外；若是退休人员需提供退休证和返聘合同（协议）彩色扫描件。</w:t>
            </w:r>
          </w:p>
        </w:tc>
      </w:tr>
      <w:tr w14:paraId="3A1DC222">
        <w:tblPrEx>
          <w:tblCellMar>
            <w:top w:w="0" w:type="dxa"/>
            <w:left w:w="108" w:type="dxa"/>
            <w:bottom w:w="0" w:type="dxa"/>
            <w:right w:w="108" w:type="dxa"/>
          </w:tblCellMar>
        </w:tblPrEx>
        <w:trPr>
          <w:trHeight w:val="3792" w:hRule="atLeast"/>
          <w:jc w:val="center"/>
        </w:trPr>
        <w:tc>
          <w:tcPr>
            <w:tcW w:w="662" w:type="dxa"/>
            <w:vMerge w:val="continue"/>
            <w:tcBorders>
              <w:left w:val="single" w:color="auto" w:sz="4" w:space="0"/>
              <w:right w:val="single" w:color="auto" w:sz="4" w:space="0"/>
            </w:tcBorders>
            <w:vAlign w:val="center"/>
          </w:tcPr>
          <w:p w14:paraId="13A2CF20">
            <w:pPr>
              <w:widowControl/>
              <w:jc w:val="left"/>
              <w:rPr>
                <w:rFonts w:hint="eastAsia" w:ascii="宋体" w:hAnsi="宋体" w:cs="宋体"/>
                <w:szCs w:val="21"/>
                <w:highlight w:val="none"/>
              </w:rPr>
            </w:pPr>
          </w:p>
        </w:tc>
        <w:tc>
          <w:tcPr>
            <w:tcW w:w="975" w:type="dxa"/>
            <w:tcBorders>
              <w:top w:val="single" w:color="auto" w:sz="4" w:space="0"/>
              <w:left w:val="nil"/>
              <w:right w:val="single" w:color="auto" w:sz="4" w:space="0"/>
            </w:tcBorders>
            <w:vAlign w:val="center"/>
          </w:tcPr>
          <w:p w14:paraId="47C6C819">
            <w:pPr>
              <w:pStyle w:val="11"/>
              <w:widowControl/>
              <w:shd w:val="clear" w:color="auto" w:fill="auto"/>
              <w:wordWrap w:val="0"/>
              <w:adjustRightInd w:val="0"/>
              <w:snapToGrid w:val="0"/>
              <w:spacing w:after="0" w:line="240" w:lineRule="auto"/>
              <w:jc w:val="center"/>
              <w:rPr>
                <w:rFonts w:hint="eastAsia" w:ascii="宋体" w:hAnsi="宋体" w:eastAsia="宋体" w:cs="宋体"/>
                <w:color w:val="auto"/>
                <w:sz w:val="21"/>
                <w:szCs w:val="21"/>
                <w:highlight w:val="none"/>
              </w:rPr>
            </w:pPr>
            <w:r>
              <w:rPr>
                <w:rFonts w:hint="eastAsia" w:hAnsi="宋体" w:cs="宋体"/>
                <w:snapToGrid w:val="0"/>
                <w:color w:val="auto"/>
                <w:kern w:val="0"/>
                <w:sz w:val="21"/>
                <w:szCs w:val="21"/>
                <w:highlight w:val="none"/>
                <w:lang w:val="en-US" w:eastAsia="zh-CN"/>
              </w:rPr>
              <w:t>企业荣誉（5分）</w:t>
            </w:r>
          </w:p>
        </w:tc>
        <w:tc>
          <w:tcPr>
            <w:tcW w:w="3680" w:type="dxa"/>
            <w:tcBorders>
              <w:top w:val="single" w:color="auto" w:sz="4" w:space="0"/>
              <w:left w:val="nil"/>
              <w:right w:val="single" w:color="auto" w:sz="4" w:space="0"/>
            </w:tcBorders>
            <w:vAlign w:val="center"/>
          </w:tcPr>
          <w:p w14:paraId="41AB832D">
            <w:pPr>
              <w:shd w:val="clear" w:color="auto" w:fill="auto"/>
              <w:spacing w:line="360" w:lineRule="auto"/>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1.企业近 3年来（2021年1月1日至今） 获得过国家级市政工程协会颁发的企业信用等级AAA级证书的得</w:t>
            </w:r>
            <w:r>
              <w:rPr>
                <w:rFonts w:hint="eastAsia" w:hAnsi="宋体" w:cs="宋体"/>
                <w:color w:val="auto"/>
                <w:sz w:val="21"/>
                <w:szCs w:val="21"/>
                <w:highlight w:val="none"/>
                <w:lang w:val="en-US" w:eastAsia="zh-CN"/>
              </w:rPr>
              <w:t>5</w:t>
            </w:r>
            <w:r>
              <w:rPr>
                <w:rFonts w:hint="eastAsia" w:ascii="Times New Roman" w:hAnsi="宋体" w:eastAsia="宋体" w:cs="宋体"/>
                <w:color w:val="auto"/>
                <w:sz w:val="21"/>
                <w:szCs w:val="21"/>
                <w:highlight w:val="none"/>
                <w:lang w:val="en-US" w:eastAsia="zh-CN"/>
              </w:rPr>
              <w:t xml:space="preserve">分； </w:t>
            </w:r>
          </w:p>
          <w:p w14:paraId="6223F467">
            <w:pPr>
              <w:shd w:val="clear" w:color="auto" w:fill="auto"/>
              <w:spacing w:line="360" w:lineRule="auto"/>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2.企业近 3 年来（2021年1月1日至今） 获得过省级市政工程协会颁发的</w:t>
            </w:r>
          </w:p>
          <w:p w14:paraId="76CBC08C">
            <w:pPr>
              <w:shd w:val="clear" w:color="auto" w:fill="auto"/>
              <w:spacing w:line="360" w:lineRule="auto"/>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企业信用等级AAA级证书的得</w:t>
            </w:r>
            <w:r>
              <w:rPr>
                <w:rFonts w:hint="eastAsia" w:hAnsi="宋体" w:cs="宋体"/>
                <w:color w:val="auto"/>
                <w:sz w:val="21"/>
                <w:szCs w:val="21"/>
                <w:highlight w:val="none"/>
                <w:lang w:val="en-US" w:eastAsia="zh-CN"/>
              </w:rPr>
              <w:t>3</w:t>
            </w:r>
            <w:r>
              <w:rPr>
                <w:rFonts w:hint="eastAsia" w:ascii="Times New Roman" w:hAnsi="宋体" w:eastAsia="宋体" w:cs="宋体"/>
                <w:color w:val="auto"/>
                <w:sz w:val="21"/>
                <w:szCs w:val="21"/>
                <w:highlight w:val="none"/>
                <w:lang w:val="en-US" w:eastAsia="zh-CN"/>
              </w:rPr>
              <w:t>分；</w:t>
            </w:r>
          </w:p>
          <w:p w14:paraId="12F609CE">
            <w:pPr>
              <w:shd w:val="clear" w:color="auto" w:fill="auto"/>
              <w:spacing w:line="360" w:lineRule="auto"/>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3.企业近 3年来（2021年1月1日至今） 获得过市级市政工程协会颁发的</w:t>
            </w:r>
          </w:p>
          <w:p w14:paraId="44BF4968">
            <w:pPr>
              <w:shd w:val="clear" w:color="auto" w:fill="auto"/>
              <w:spacing w:line="360" w:lineRule="auto"/>
              <w:rPr>
                <w:rFonts w:hint="default"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企业信用等级AAA级证书的得1分；</w:t>
            </w:r>
          </w:p>
          <w:p w14:paraId="007D5753">
            <w:pPr>
              <w:shd w:val="clear" w:color="auto" w:fill="auto"/>
              <w:spacing w:line="360" w:lineRule="auto"/>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4其他情形的，不予计分。</w:t>
            </w:r>
          </w:p>
          <w:p w14:paraId="51087C8C">
            <w:pPr>
              <w:shd w:val="clear" w:color="auto" w:fill="auto"/>
              <w:spacing w:line="360" w:lineRule="auto"/>
              <w:rPr>
                <w:rFonts w:hint="eastAsia" w:ascii="宋体" w:hAnsi="宋体" w:eastAsia="宋体" w:cs="宋体"/>
                <w:color w:val="auto"/>
                <w:sz w:val="21"/>
                <w:szCs w:val="21"/>
                <w:highlight w:val="none"/>
                <w:lang w:eastAsia="zh-CN"/>
              </w:rPr>
            </w:pPr>
            <w:r>
              <w:rPr>
                <w:rFonts w:hint="eastAsia" w:ascii="Times New Roman" w:hAnsi="宋体" w:eastAsia="宋体" w:cs="宋体"/>
                <w:color w:val="auto"/>
                <w:sz w:val="21"/>
                <w:szCs w:val="21"/>
                <w:highlight w:val="none"/>
                <w:lang w:val="en-US" w:eastAsia="zh-CN"/>
              </w:rPr>
              <w:t>本项最高得</w:t>
            </w:r>
            <w:r>
              <w:rPr>
                <w:rFonts w:hint="eastAsia" w:hAnsi="宋体" w:cs="宋体"/>
                <w:color w:val="auto"/>
                <w:sz w:val="21"/>
                <w:szCs w:val="21"/>
                <w:highlight w:val="none"/>
                <w:lang w:val="en-US" w:eastAsia="zh-CN"/>
              </w:rPr>
              <w:t>5</w:t>
            </w:r>
            <w:r>
              <w:rPr>
                <w:rFonts w:hint="eastAsia" w:ascii="Times New Roman" w:hAnsi="宋体" w:eastAsia="宋体" w:cs="宋体"/>
                <w:color w:val="auto"/>
                <w:sz w:val="21"/>
                <w:szCs w:val="21"/>
                <w:highlight w:val="none"/>
                <w:lang w:val="en-US" w:eastAsia="zh-CN"/>
              </w:rPr>
              <w:t>分。</w:t>
            </w:r>
          </w:p>
        </w:tc>
        <w:tc>
          <w:tcPr>
            <w:tcW w:w="4045" w:type="dxa"/>
            <w:tcBorders>
              <w:top w:val="single" w:color="auto" w:sz="4" w:space="0"/>
              <w:left w:val="nil"/>
              <w:bottom w:val="single" w:color="auto" w:sz="4" w:space="0"/>
              <w:right w:val="single" w:color="auto" w:sz="4" w:space="0"/>
            </w:tcBorders>
            <w:vAlign w:val="center"/>
          </w:tcPr>
          <w:p w14:paraId="4A3DD390">
            <w:pPr>
              <w:pStyle w:val="11"/>
              <w:keepNext w:val="0"/>
              <w:keepLines w:val="0"/>
              <w:pageBreakBefore w:val="0"/>
              <w:kinsoku/>
              <w:wordWrap w:val="0"/>
              <w:overflowPunct/>
              <w:topLinePunct w:val="0"/>
              <w:autoSpaceDN/>
              <w:bidi w:val="0"/>
              <w:adjustRightInd w:val="0"/>
              <w:snapToGrid w:val="0"/>
              <w:spacing w:after="0" w:line="320" w:lineRule="exact"/>
              <w:textAlignment w:val="auto"/>
              <w:rPr>
                <w:rFonts w:hint="eastAsia" w:hAnsi="宋体" w:eastAsia="宋体" w:cs="宋体"/>
                <w:snapToGrid w:val="0"/>
                <w:color w:val="auto"/>
                <w:kern w:val="0"/>
                <w:sz w:val="21"/>
                <w:szCs w:val="21"/>
                <w:highlight w:val="none"/>
                <w:lang w:val="en-US" w:eastAsia="zh-CN"/>
              </w:rPr>
            </w:pPr>
            <w:r>
              <w:rPr>
                <w:rFonts w:hint="eastAsia" w:ascii="Times New Roman" w:hAnsi="宋体" w:eastAsia="宋体" w:cs="宋体"/>
                <w:snapToGrid w:val="0"/>
                <w:color w:val="auto"/>
                <w:kern w:val="0"/>
                <w:sz w:val="21"/>
                <w:szCs w:val="21"/>
                <w:highlight w:val="none"/>
                <w:lang w:val="en-US" w:eastAsia="zh-CN"/>
              </w:rPr>
              <w:t>1</w:t>
            </w:r>
            <w:r>
              <w:rPr>
                <w:rFonts w:hint="eastAsia" w:hAnsi="宋体" w:cs="宋体"/>
                <w:snapToGrid w:val="0"/>
                <w:color w:val="auto"/>
                <w:kern w:val="0"/>
                <w:sz w:val="21"/>
                <w:szCs w:val="21"/>
                <w:highlight w:val="none"/>
                <w:lang w:val="en-US" w:eastAsia="zh-CN"/>
              </w:rPr>
              <w:t xml:space="preserve">.根据国家、省、市人民政府或建设行业行政主管部门或经民政部门批准成立的市政工程协会颁发的证书或正式文件为准，须提供有关证书彩色扫描件， </w:t>
            </w:r>
            <w:r>
              <w:rPr>
                <w:rFonts w:hint="eastAsia" w:ascii="宋体" w:hAnsi="宋体" w:eastAsia="宋体" w:cs="宋体"/>
                <w:b/>
                <w:bCs/>
                <w:color w:val="auto"/>
                <w:spacing w:val="7"/>
                <w:sz w:val="20"/>
                <w:szCs w:val="20"/>
                <w:highlight w:val="none"/>
              </w:rPr>
              <w:t>同</w:t>
            </w:r>
            <w:r>
              <w:rPr>
                <w:rFonts w:hint="eastAsia" w:ascii="宋体" w:hAnsi="宋体" w:eastAsia="宋体" w:cs="宋体"/>
                <w:b/>
                <w:bCs/>
                <w:color w:val="auto"/>
                <w:spacing w:val="6"/>
                <w:sz w:val="20"/>
                <w:szCs w:val="20"/>
                <w:highlight w:val="none"/>
              </w:rPr>
              <w:t>时提供原件供核对</w:t>
            </w:r>
            <w:r>
              <w:rPr>
                <w:rFonts w:hint="eastAsia" w:ascii="宋体" w:hAnsi="宋体" w:eastAsia="宋体" w:cs="宋体"/>
                <w:b/>
                <w:bCs/>
                <w:color w:val="auto"/>
                <w:spacing w:val="6"/>
                <w:sz w:val="20"/>
                <w:szCs w:val="20"/>
                <w:highlight w:val="none"/>
                <w:lang w:eastAsia="zh-CN"/>
              </w:rPr>
              <w:t>。</w:t>
            </w:r>
          </w:p>
          <w:p w14:paraId="27E8C76B">
            <w:pPr>
              <w:pStyle w:val="11"/>
              <w:keepNext w:val="0"/>
              <w:keepLines w:val="0"/>
              <w:pageBreakBefore w:val="0"/>
              <w:kinsoku/>
              <w:wordWrap w:val="0"/>
              <w:overflowPunct/>
              <w:topLinePunct w:val="0"/>
              <w:autoSpaceDN/>
              <w:bidi w:val="0"/>
              <w:adjustRightInd w:val="0"/>
              <w:snapToGrid w:val="0"/>
              <w:spacing w:after="0" w:line="320" w:lineRule="exact"/>
              <w:textAlignment w:val="auto"/>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2．颁发机构不符合要求的，不予计分。</w:t>
            </w:r>
          </w:p>
        </w:tc>
      </w:tr>
      <w:tr w14:paraId="69135D03">
        <w:tblPrEx>
          <w:tblCellMar>
            <w:top w:w="0" w:type="dxa"/>
            <w:left w:w="108" w:type="dxa"/>
            <w:bottom w:w="0" w:type="dxa"/>
            <w:right w:w="108" w:type="dxa"/>
          </w:tblCellMar>
        </w:tblPrEx>
        <w:trPr>
          <w:trHeight w:val="2670" w:hRule="atLeast"/>
          <w:jc w:val="center"/>
        </w:trPr>
        <w:tc>
          <w:tcPr>
            <w:tcW w:w="662" w:type="dxa"/>
            <w:vMerge w:val="continue"/>
            <w:tcBorders>
              <w:left w:val="single" w:color="auto" w:sz="4" w:space="0"/>
              <w:right w:val="single" w:color="auto" w:sz="4" w:space="0"/>
            </w:tcBorders>
            <w:vAlign w:val="center"/>
          </w:tcPr>
          <w:p w14:paraId="47D50A7D">
            <w:pPr>
              <w:widowControl/>
              <w:jc w:val="left"/>
              <w:rPr>
                <w:rFonts w:hint="eastAsia" w:ascii="宋体" w:hAnsi="宋体" w:cs="宋体"/>
                <w:szCs w:val="21"/>
                <w:highlight w:val="none"/>
              </w:rPr>
            </w:pPr>
          </w:p>
        </w:tc>
        <w:tc>
          <w:tcPr>
            <w:tcW w:w="975" w:type="dxa"/>
            <w:tcBorders>
              <w:top w:val="single" w:color="auto" w:sz="4" w:space="0"/>
              <w:left w:val="nil"/>
              <w:right w:val="single" w:color="auto" w:sz="4" w:space="0"/>
            </w:tcBorders>
            <w:vAlign w:val="center"/>
          </w:tcPr>
          <w:p w14:paraId="1B27C94A">
            <w:pPr>
              <w:shd w:val="clear" w:color="auto" w:fill="auto"/>
              <w:spacing w:line="360" w:lineRule="auto"/>
              <w:jc w:val="center"/>
              <w:rPr>
                <w:rFonts w:hint="eastAsia" w:ascii="宋体" w:hAnsi="宋体" w:cs="宋体"/>
                <w:snapToGrid w:val="0"/>
                <w:kern w:val="0"/>
                <w:szCs w:val="21"/>
                <w:highlight w:val="none"/>
              </w:rPr>
            </w:pPr>
            <w:r>
              <w:rPr>
                <w:rFonts w:hint="eastAsia" w:ascii="宋体" w:hAnsi="宋体" w:eastAsia="宋体" w:cs="宋体"/>
                <w:b w:val="0"/>
                <w:bCs w:val="0"/>
                <w:color w:val="auto"/>
                <w:kern w:val="0"/>
                <w:sz w:val="21"/>
                <w:szCs w:val="21"/>
                <w:highlight w:val="none"/>
              </w:rPr>
              <w:t>企业</w:t>
            </w:r>
            <w:r>
              <w:rPr>
                <w:rFonts w:hint="eastAsia" w:hAnsi="宋体" w:cs="宋体"/>
                <w:b w:val="0"/>
                <w:bCs w:val="0"/>
                <w:color w:val="auto"/>
                <w:kern w:val="0"/>
                <w:sz w:val="21"/>
                <w:szCs w:val="21"/>
                <w:highlight w:val="none"/>
                <w:lang w:val="en-US" w:eastAsia="zh-CN"/>
              </w:rPr>
              <w:t>管理体系认证</w:t>
            </w:r>
            <w:r>
              <w:rPr>
                <w:rFonts w:hint="eastAsia" w:ascii="宋体" w:hAnsi="宋体" w:eastAsia="宋体" w:cs="宋体"/>
                <w:b w:val="0"/>
                <w:bCs w:val="0"/>
                <w:color w:val="auto"/>
                <w:kern w:val="0"/>
                <w:sz w:val="21"/>
                <w:szCs w:val="21"/>
                <w:highlight w:val="none"/>
              </w:rPr>
              <w:t>（</w:t>
            </w:r>
            <w:r>
              <w:rPr>
                <w:rFonts w:hint="eastAsia"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分）</w:t>
            </w:r>
          </w:p>
        </w:tc>
        <w:tc>
          <w:tcPr>
            <w:tcW w:w="3680" w:type="dxa"/>
            <w:tcBorders>
              <w:top w:val="single" w:color="auto" w:sz="4" w:space="0"/>
              <w:left w:val="nil"/>
              <w:right w:val="single" w:color="auto" w:sz="4" w:space="0"/>
            </w:tcBorders>
            <w:vAlign w:val="center"/>
          </w:tcPr>
          <w:p w14:paraId="46FB8173">
            <w:pPr>
              <w:pStyle w:val="11"/>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1．企业获得质量管理体系认证、职业健康安全管理体系认证、环境管理体系认证，得</w:t>
            </w:r>
            <w:r>
              <w:rPr>
                <w:rFonts w:hint="eastAsia"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val="en-US" w:eastAsia="zh-CN"/>
              </w:rPr>
              <w:t xml:space="preserve"> 分。 </w:t>
            </w:r>
          </w:p>
          <w:p w14:paraId="09C5CE7E">
            <w:pPr>
              <w:pStyle w:val="11"/>
              <w:keepNext w:val="0"/>
              <w:keepLines w:val="0"/>
              <w:pageBreakBefore w:val="0"/>
              <w:kinsoku/>
              <w:wordWrap w:val="0"/>
              <w:overflowPunct/>
              <w:topLinePunct w:val="0"/>
              <w:autoSpaceDN/>
              <w:bidi w:val="0"/>
              <w:adjustRightInd w:val="0"/>
              <w:snapToGrid w:val="0"/>
              <w:spacing w:after="0" w:line="360" w:lineRule="auto"/>
              <w:textAlignment w:val="auto"/>
              <w:rPr>
                <w:rFonts w:hint="eastAsia"/>
                <w:highlight w:val="none"/>
              </w:rPr>
            </w:pPr>
            <w:r>
              <w:rPr>
                <w:rFonts w:hint="eastAsia" w:ascii="宋体" w:hAnsi="宋体" w:eastAsia="宋体" w:cs="宋体"/>
                <w:snapToGrid w:val="0"/>
                <w:color w:val="auto"/>
                <w:kern w:val="0"/>
                <w:sz w:val="21"/>
                <w:szCs w:val="21"/>
                <w:highlight w:val="none"/>
                <w:lang w:val="en-US" w:eastAsia="zh-CN"/>
              </w:rPr>
              <w:t>2．未获得以上认证的，不予计分。</w:t>
            </w:r>
          </w:p>
        </w:tc>
        <w:tc>
          <w:tcPr>
            <w:tcW w:w="4045" w:type="dxa"/>
            <w:tcBorders>
              <w:top w:val="single" w:color="auto" w:sz="4" w:space="0"/>
              <w:left w:val="nil"/>
              <w:bottom w:val="single" w:color="auto" w:sz="4" w:space="0"/>
              <w:right w:val="single" w:color="auto" w:sz="4" w:space="0"/>
            </w:tcBorders>
            <w:vAlign w:val="center"/>
          </w:tcPr>
          <w:p w14:paraId="796D4EC0">
            <w:pPr>
              <w:pStyle w:val="11"/>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1.需附在有效期内的认证证书彩色扫描件，</w:t>
            </w:r>
            <w:r>
              <w:rPr>
                <w:rFonts w:hint="eastAsia" w:ascii="宋体" w:hAnsi="宋体" w:eastAsia="宋体" w:cs="宋体"/>
                <w:b/>
                <w:bCs/>
                <w:color w:val="auto"/>
                <w:spacing w:val="7"/>
                <w:sz w:val="20"/>
                <w:szCs w:val="20"/>
              </w:rPr>
              <w:t>同</w:t>
            </w:r>
            <w:r>
              <w:rPr>
                <w:rFonts w:hint="eastAsia" w:ascii="宋体" w:hAnsi="宋体" w:eastAsia="宋体" w:cs="宋体"/>
                <w:b/>
                <w:bCs/>
                <w:color w:val="auto"/>
                <w:spacing w:val="6"/>
                <w:sz w:val="20"/>
                <w:szCs w:val="20"/>
              </w:rPr>
              <w:t>时提供原件供核对（证书为电子证书的除外）</w:t>
            </w:r>
            <w:r>
              <w:rPr>
                <w:rFonts w:hint="eastAsia" w:ascii="宋体" w:hAnsi="宋体" w:eastAsia="宋体" w:cs="宋体"/>
                <w:color w:val="auto"/>
                <w:spacing w:val="6"/>
                <w:sz w:val="20"/>
                <w:szCs w:val="20"/>
              </w:rPr>
              <w:t>。</w:t>
            </w:r>
          </w:p>
          <w:p w14:paraId="6A6F9F27">
            <w:pPr>
              <w:pStyle w:val="11"/>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2.任一认证证书有以下情形之一的，该认证证书视为无效，不予计分：</w:t>
            </w:r>
          </w:p>
          <w:p w14:paraId="2B7E0DC6">
            <w:pPr>
              <w:keepNext w:val="0"/>
              <w:keepLines w:val="0"/>
              <w:widowControl/>
              <w:suppressLineNumbers w:val="0"/>
              <w:spacing w:line="360" w:lineRule="auto"/>
              <w:jc w:val="left"/>
              <w:rPr>
                <w:rFonts w:hint="eastAsia" w:ascii="宋体" w:hAnsi="宋体" w:cs="宋体"/>
                <w:snapToGrid w:val="0"/>
                <w:kern w:val="0"/>
                <w:szCs w:val="21"/>
                <w:highlight w:val="none"/>
              </w:rPr>
            </w:pPr>
            <w:r>
              <w:rPr>
                <w:rFonts w:hint="eastAsia" w:ascii="宋体" w:hAnsi="宋体" w:eastAsia="宋体" w:cs="宋体"/>
                <w:snapToGrid w:val="0"/>
                <w:color w:val="auto"/>
                <w:kern w:val="0"/>
                <w:sz w:val="21"/>
                <w:szCs w:val="21"/>
                <w:highlight w:val="none"/>
                <w:lang w:val="en-US" w:eastAsia="zh-CN" w:bidi="ar-SA"/>
              </w:rPr>
              <w:t>①认证证书不在有效期内的。</w:t>
            </w:r>
          </w:p>
        </w:tc>
      </w:tr>
      <w:tr w14:paraId="672B8057">
        <w:tblPrEx>
          <w:tblCellMar>
            <w:top w:w="0" w:type="dxa"/>
            <w:left w:w="108" w:type="dxa"/>
            <w:bottom w:w="0" w:type="dxa"/>
            <w:right w:w="108" w:type="dxa"/>
          </w:tblCellMar>
        </w:tblPrEx>
        <w:trPr>
          <w:trHeight w:val="90" w:hRule="atLeast"/>
          <w:jc w:val="center"/>
        </w:trPr>
        <w:tc>
          <w:tcPr>
            <w:tcW w:w="662" w:type="dxa"/>
            <w:vMerge w:val="continue"/>
            <w:tcBorders>
              <w:left w:val="single" w:color="auto" w:sz="4" w:space="0"/>
              <w:right w:val="single" w:color="auto" w:sz="4" w:space="0"/>
            </w:tcBorders>
            <w:vAlign w:val="center"/>
          </w:tcPr>
          <w:p w14:paraId="26E43D7E">
            <w:pPr>
              <w:widowControl/>
              <w:jc w:val="left"/>
              <w:rPr>
                <w:rFonts w:hint="eastAsia" w:ascii="宋体" w:hAnsi="宋体" w:cs="宋体"/>
                <w:szCs w:val="21"/>
                <w:highlight w:val="none"/>
              </w:rPr>
            </w:pPr>
          </w:p>
        </w:tc>
        <w:tc>
          <w:tcPr>
            <w:tcW w:w="975" w:type="dxa"/>
            <w:tcBorders>
              <w:top w:val="single" w:color="auto" w:sz="4" w:space="0"/>
              <w:left w:val="nil"/>
              <w:right w:val="single" w:color="auto" w:sz="4" w:space="0"/>
            </w:tcBorders>
            <w:vAlign w:val="center"/>
          </w:tcPr>
          <w:p w14:paraId="1D17D8DA">
            <w:pPr>
              <w:pStyle w:val="11"/>
              <w:widowControl/>
              <w:shd w:val="clear" w:color="auto" w:fill="auto"/>
              <w:wordWrap w:val="0"/>
              <w:adjustRightInd w:val="0"/>
              <w:snapToGrid w:val="0"/>
              <w:spacing w:after="0" w:line="240" w:lineRule="auto"/>
              <w:jc w:val="center"/>
              <w:rPr>
                <w:rFonts w:hint="eastAsia" w:ascii="宋体" w:hAnsi="宋体" w:cs="宋体"/>
                <w:snapToGrid w:val="0"/>
                <w:kern w:val="0"/>
                <w:szCs w:val="21"/>
                <w:highlight w:val="none"/>
              </w:rPr>
            </w:pPr>
            <w:r>
              <w:rPr>
                <w:rFonts w:hint="eastAsia" w:ascii="宋体" w:hAnsi="宋体" w:eastAsia="宋体" w:cs="宋体"/>
                <w:color w:val="auto"/>
                <w:kern w:val="0"/>
                <w:sz w:val="21"/>
                <w:szCs w:val="21"/>
                <w:highlight w:val="none"/>
                <w:lang w:val="en-US" w:eastAsia="zh-CN"/>
              </w:rPr>
              <w:t>纳税信用</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3680" w:type="dxa"/>
            <w:tcBorders>
              <w:top w:val="single" w:color="auto" w:sz="4" w:space="0"/>
              <w:left w:val="nil"/>
              <w:bottom w:val="single" w:color="auto" w:sz="4" w:space="0"/>
              <w:right w:val="single" w:color="auto" w:sz="4" w:space="0"/>
            </w:tcBorders>
            <w:vAlign w:val="center"/>
          </w:tcPr>
          <w:p w14:paraId="3B8977AC">
            <w:pPr>
              <w:pStyle w:val="11"/>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snapToGrid w:val="0"/>
                <w:color w:val="auto"/>
                <w:kern w:val="0"/>
                <w:sz w:val="21"/>
                <w:szCs w:val="21"/>
                <w:highlight w:val="none"/>
                <w:lang w:val="en-US" w:eastAsia="zh-CN"/>
              </w:rPr>
              <w:t>.企业连续5年或5年以上获得纳税信用A级纳税人的，得10分；(其中必须有2023年度)</w:t>
            </w:r>
          </w:p>
          <w:p w14:paraId="66EF60B4">
            <w:pPr>
              <w:pStyle w:val="11"/>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2.企业连续3年及以上获得纳税信用A级纳税人的，得6分；(其中必须有2023年度)</w:t>
            </w:r>
          </w:p>
          <w:p w14:paraId="61B232A7">
            <w:pPr>
              <w:pStyle w:val="11"/>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3.企业获得2023年度纳税信用A级纳税人的，得2分。</w:t>
            </w:r>
          </w:p>
          <w:p w14:paraId="4AEE4549">
            <w:pPr>
              <w:pStyle w:val="11"/>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4.其他情形不予计分。</w:t>
            </w:r>
          </w:p>
          <w:p w14:paraId="03F0A245">
            <w:pPr>
              <w:pStyle w:val="11"/>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cs="宋体"/>
                <w:szCs w:val="21"/>
                <w:highlight w:val="none"/>
              </w:rPr>
            </w:pPr>
            <w:r>
              <w:rPr>
                <w:rFonts w:hint="eastAsia" w:ascii="宋体" w:hAnsi="宋体" w:eastAsia="宋体" w:cs="宋体"/>
                <w:snapToGrid w:val="0"/>
                <w:color w:val="auto"/>
                <w:kern w:val="0"/>
                <w:sz w:val="21"/>
                <w:szCs w:val="21"/>
                <w:highlight w:val="none"/>
                <w:lang w:val="en-US" w:eastAsia="zh-CN"/>
              </w:rPr>
              <w:t>本项最高得10分。</w:t>
            </w:r>
          </w:p>
        </w:tc>
        <w:tc>
          <w:tcPr>
            <w:tcW w:w="4045" w:type="dxa"/>
            <w:tcBorders>
              <w:top w:val="single" w:color="auto" w:sz="4" w:space="0"/>
              <w:left w:val="nil"/>
              <w:bottom w:val="single" w:color="auto" w:sz="4" w:space="0"/>
              <w:right w:val="single" w:color="auto" w:sz="4" w:space="0"/>
            </w:tcBorders>
            <w:vAlign w:val="center"/>
          </w:tcPr>
          <w:p w14:paraId="32214FA2">
            <w:pPr>
              <w:pStyle w:val="11"/>
              <w:numPr>
                <w:ilvl w:val="0"/>
                <w:numId w:val="2"/>
              </w:numPr>
              <w:wordWrap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必须提供企业纳税信用A级纳税人证书及国家税务总局（或省级电子税务局）网上查询截图，否则不得分。</w:t>
            </w:r>
          </w:p>
          <w:p w14:paraId="2544EB0F">
            <w:pPr>
              <w:pStyle w:val="11"/>
              <w:wordWrap w:val="0"/>
              <w:adjustRightInd w:val="0"/>
              <w:snapToGrid w:val="0"/>
              <w:spacing w:line="360" w:lineRule="auto"/>
              <w:rPr>
                <w:rFonts w:hint="eastAsia" w:ascii="宋体" w:hAnsi="宋体" w:cs="宋体"/>
                <w:kern w:val="0"/>
                <w:szCs w:val="21"/>
                <w:highlight w:val="none"/>
              </w:rPr>
            </w:pPr>
            <w:r>
              <w:rPr>
                <w:rFonts w:hint="eastAsia" w:ascii="宋体" w:hAnsi="宋体" w:eastAsia="宋体" w:cs="宋体"/>
                <w:color w:val="auto"/>
                <w:kern w:val="0"/>
                <w:sz w:val="21"/>
                <w:szCs w:val="21"/>
                <w:highlight w:val="none"/>
              </w:rPr>
              <w:t>2.只计算投标人自身（投标人的分公司、子公司及分支机构除外）。</w:t>
            </w:r>
          </w:p>
        </w:tc>
      </w:tr>
      <w:tr w14:paraId="6CAA9DE2">
        <w:tblPrEx>
          <w:tblCellMar>
            <w:top w:w="0" w:type="dxa"/>
            <w:left w:w="108" w:type="dxa"/>
            <w:bottom w:w="0" w:type="dxa"/>
            <w:right w:w="108" w:type="dxa"/>
          </w:tblCellMar>
        </w:tblPrEx>
        <w:trPr>
          <w:trHeight w:val="624" w:hRule="atLeast"/>
          <w:jc w:val="center"/>
        </w:trPr>
        <w:tc>
          <w:tcPr>
            <w:tcW w:w="936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0AE7761B">
            <w:pPr>
              <w:pStyle w:val="11"/>
              <w:wordWrap w:val="0"/>
              <w:autoSpaceDE w:val="0"/>
              <w:adjustRightInd w:val="0"/>
              <w:snapToGrid w:val="0"/>
              <w:spacing w:line="440" w:lineRule="exact"/>
              <w:jc w:val="left"/>
              <w:rPr>
                <w:rFonts w:hint="eastAsia" w:ascii="黑体" w:hAnsi="黑体" w:eastAsia="黑体"/>
                <w:kern w:val="0"/>
                <w:highlight w:val="none"/>
              </w:rPr>
            </w:pPr>
            <w:r>
              <w:rPr>
                <w:rFonts w:hint="eastAsia" w:ascii="黑体" w:hAnsi="黑体" w:eastAsia="黑体"/>
                <w:kern w:val="0"/>
                <w:highlight w:val="none"/>
              </w:rPr>
              <w:t>技术部分M2，满分：</w:t>
            </w:r>
            <w:r>
              <w:rPr>
                <w:rFonts w:hint="eastAsia" w:ascii="黑体" w:hAnsi="黑体" w:eastAsia="黑体"/>
                <w:kern w:val="0"/>
                <w:highlight w:val="none"/>
                <w:u w:val="single"/>
              </w:rPr>
              <w:t>20</w:t>
            </w:r>
            <w:r>
              <w:rPr>
                <w:rFonts w:hint="eastAsia" w:ascii="黑体" w:hAnsi="黑体" w:eastAsia="黑体"/>
                <w:kern w:val="0"/>
                <w:highlight w:val="none"/>
              </w:rPr>
              <w:t>分。</w:t>
            </w:r>
          </w:p>
        </w:tc>
      </w:tr>
      <w:tr w14:paraId="69F69763">
        <w:tblPrEx>
          <w:tblCellMar>
            <w:top w:w="0" w:type="dxa"/>
            <w:left w:w="108" w:type="dxa"/>
            <w:bottom w:w="0" w:type="dxa"/>
            <w:right w:w="108" w:type="dxa"/>
          </w:tblCellMar>
        </w:tblPrEx>
        <w:trPr>
          <w:trHeight w:val="624" w:hRule="atLeast"/>
          <w:jc w:val="center"/>
        </w:trPr>
        <w:tc>
          <w:tcPr>
            <w:tcW w:w="1637" w:type="dxa"/>
            <w:gridSpan w:val="2"/>
            <w:tcBorders>
              <w:top w:val="single" w:color="auto" w:sz="4" w:space="0"/>
              <w:left w:val="single" w:color="auto" w:sz="4" w:space="0"/>
              <w:bottom w:val="single" w:color="auto" w:sz="4" w:space="0"/>
              <w:right w:val="single" w:color="auto" w:sz="4" w:space="0"/>
            </w:tcBorders>
            <w:vAlign w:val="center"/>
          </w:tcPr>
          <w:p w14:paraId="6877CA28">
            <w:pPr>
              <w:pStyle w:val="11"/>
              <w:wordWrap w:val="0"/>
              <w:autoSpaceDE w:val="0"/>
              <w:adjustRightInd w:val="0"/>
              <w:snapToGrid w:val="0"/>
              <w:spacing w:line="440" w:lineRule="exact"/>
              <w:jc w:val="center"/>
              <w:rPr>
                <w:rFonts w:hint="eastAsia" w:ascii="黑体" w:hAnsi="黑体" w:eastAsia="黑体"/>
                <w:kern w:val="0"/>
                <w:highlight w:val="none"/>
              </w:rPr>
            </w:pPr>
            <w:r>
              <w:rPr>
                <w:rFonts w:hint="eastAsia" w:ascii="黑体" w:hAnsi="黑体" w:eastAsia="黑体"/>
                <w:kern w:val="0"/>
                <w:highlight w:val="none"/>
              </w:rPr>
              <w:t>评分因素</w:t>
            </w:r>
          </w:p>
        </w:tc>
        <w:tc>
          <w:tcPr>
            <w:tcW w:w="7725" w:type="dxa"/>
            <w:gridSpan w:val="2"/>
            <w:tcBorders>
              <w:top w:val="single" w:color="auto" w:sz="4" w:space="0"/>
              <w:left w:val="nil"/>
              <w:bottom w:val="single" w:color="auto" w:sz="4" w:space="0"/>
              <w:right w:val="single" w:color="auto" w:sz="4" w:space="0"/>
            </w:tcBorders>
            <w:vAlign w:val="center"/>
          </w:tcPr>
          <w:p w14:paraId="56933F77">
            <w:pPr>
              <w:pStyle w:val="11"/>
              <w:wordWrap w:val="0"/>
              <w:autoSpaceDE w:val="0"/>
              <w:adjustRightInd w:val="0"/>
              <w:snapToGrid w:val="0"/>
              <w:spacing w:line="440" w:lineRule="exact"/>
              <w:jc w:val="center"/>
              <w:rPr>
                <w:rFonts w:hint="eastAsia" w:ascii="黑体" w:hAnsi="黑体" w:eastAsia="黑体"/>
                <w:kern w:val="0"/>
                <w:highlight w:val="none"/>
              </w:rPr>
            </w:pPr>
            <w:r>
              <w:rPr>
                <w:rFonts w:hint="eastAsia" w:ascii="黑体" w:hAnsi="黑体" w:eastAsia="黑体"/>
                <w:kern w:val="0"/>
                <w:highlight w:val="none"/>
              </w:rPr>
              <w:t>评分标准</w:t>
            </w:r>
          </w:p>
        </w:tc>
      </w:tr>
      <w:tr w14:paraId="61E2FCB3">
        <w:tblPrEx>
          <w:tblCellMar>
            <w:top w:w="0" w:type="dxa"/>
            <w:left w:w="108" w:type="dxa"/>
            <w:bottom w:w="0" w:type="dxa"/>
            <w:right w:w="108" w:type="dxa"/>
          </w:tblCellMar>
        </w:tblPrEx>
        <w:trPr>
          <w:trHeight w:val="457" w:hRule="atLeast"/>
          <w:jc w:val="center"/>
        </w:trPr>
        <w:tc>
          <w:tcPr>
            <w:tcW w:w="1637" w:type="dxa"/>
            <w:gridSpan w:val="2"/>
            <w:tcBorders>
              <w:top w:val="single" w:color="auto" w:sz="4" w:space="0"/>
              <w:left w:val="single" w:color="auto" w:sz="4" w:space="0"/>
              <w:bottom w:val="single" w:color="auto" w:sz="4" w:space="0"/>
              <w:right w:val="single" w:color="auto" w:sz="4" w:space="0"/>
            </w:tcBorders>
            <w:vAlign w:val="center"/>
          </w:tcPr>
          <w:p w14:paraId="341AA508">
            <w:pPr>
              <w:pStyle w:val="11"/>
              <w:wordWrap w:val="0"/>
              <w:autoSpaceDE w:val="0"/>
              <w:adjustRightInd w:val="0"/>
              <w:snapToGrid w:val="0"/>
              <w:spacing w:line="400" w:lineRule="exact"/>
              <w:jc w:val="center"/>
              <w:rPr>
                <w:spacing w:val="-2"/>
                <w:szCs w:val="21"/>
                <w:highlight w:val="none"/>
              </w:rPr>
            </w:pPr>
            <w:r>
              <w:rPr>
                <w:rFonts w:hint="eastAsia"/>
                <w:spacing w:val="-2"/>
                <w:szCs w:val="21"/>
                <w:highlight w:val="none"/>
              </w:rPr>
              <w:t>项目设计重点、难点分析（6分）</w:t>
            </w:r>
          </w:p>
        </w:tc>
        <w:tc>
          <w:tcPr>
            <w:tcW w:w="7725" w:type="dxa"/>
            <w:gridSpan w:val="2"/>
            <w:tcBorders>
              <w:top w:val="single" w:color="auto" w:sz="4" w:space="0"/>
              <w:left w:val="nil"/>
              <w:bottom w:val="single" w:color="auto" w:sz="4" w:space="0"/>
              <w:right w:val="single" w:color="auto" w:sz="4" w:space="0"/>
            </w:tcBorders>
            <w:vAlign w:val="center"/>
          </w:tcPr>
          <w:p w14:paraId="7D39E53E">
            <w:pPr>
              <w:pStyle w:val="11"/>
              <w:wordWrap w:val="0"/>
              <w:autoSpaceDE w:val="0"/>
              <w:adjustRightInd w:val="0"/>
              <w:snapToGrid w:val="0"/>
              <w:spacing w:line="400" w:lineRule="exact"/>
              <w:jc w:val="left"/>
              <w:rPr>
                <w:spacing w:val="-2"/>
                <w:szCs w:val="21"/>
                <w:highlight w:val="none"/>
              </w:rPr>
            </w:pPr>
            <w:r>
              <w:rPr>
                <w:rFonts w:hint="eastAsia"/>
                <w:spacing w:val="-2"/>
                <w:szCs w:val="21"/>
                <w:highlight w:val="none"/>
              </w:rPr>
              <w:t>对本招标项目的重点、难点的分析，以及相关应对措施：</w:t>
            </w:r>
          </w:p>
          <w:p w14:paraId="311C6459">
            <w:pPr>
              <w:pStyle w:val="11"/>
              <w:wordWrap w:val="0"/>
              <w:autoSpaceDE w:val="0"/>
              <w:adjustRightInd w:val="0"/>
              <w:snapToGrid w:val="0"/>
              <w:spacing w:line="400" w:lineRule="exact"/>
              <w:jc w:val="left"/>
              <w:rPr>
                <w:spacing w:val="-2"/>
                <w:szCs w:val="21"/>
                <w:highlight w:val="none"/>
              </w:rPr>
            </w:pPr>
            <w:r>
              <w:rPr>
                <w:rFonts w:hint="eastAsia"/>
                <w:spacing w:val="-2"/>
                <w:szCs w:val="21"/>
                <w:highlight w:val="none"/>
              </w:rPr>
              <w:t>【优】对本招标项目的重点、难点的分析，以及相关应对措施描述详尽、透彻的得3.0分；</w:t>
            </w:r>
          </w:p>
          <w:p w14:paraId="294288AB">
            <w:pPr>
              <w:pStyle w:val="11"/>
              <w:wordWrap w:val="0"/>
              <w:autoSpaceDE w:val="0"/>
              <w:adjustRightInd w:val="0"/>
              <w:snapToGrid w:val="0"/>
              <w:spacing w:line="400" w:lineRule="exact"/>
              <w:jc w:val="left"/>
              <w:rPr>
                <w:spacing w:val="-2"/>
                <w:szCs w:val="21"/>
                <w:highlight w:val="none"/>
              </w:rPr>
            </w:pPr>
            <w:r>
              <w:rPr>
                <w:rFonts w:hint="eastAsia"/>
                <w:spacing w:val="-2"/>
                <w:szCs w:val="21"/>
                <w:highlight w:val="none"/>
              </w:rPr>
              <w:t>【良】对本招标项目的重点、难点的分析，以及相关应对措施描述较详尽、较透彻的得2.5分；</w:t>
            </w:r>
          </w:p>
          <w:p w14:paraId="7881D5E5">
            <w:pPr>
              <w:pStyle w:val="11"/>
              <w:wordWrap w:val="0"/>
              <w:autoSpaceDE w:val="0"/>
              <w:adjustRightInd w:val="0"/>
              <w:snapToGrid w:val="0"/>
              <w:spacing w:line="400" w:lineRule="exact"/>
              <w:jc w:val="left"/>
              <w:rPr>
                <w:spacing w:val="-2"/>
                <w:szCs w:val="21"/>
                <w:highlight w:val="none"/>
              </w:rPr>
            </w:pPr>
            <w:r>
              <w:rPr>
                <w:rFonts w:hint="eastAsia"/>
                <w:spacing w:val="-2"/>
                <w:szCs w:val="21"/>
                <w:highlight w:val="none"/>
              </w:rPr>
              <w:t>【合格】对本招标项目的重点、难点的分析，以及相关应对措施描述不够详尽、不够透彻的得2.0分；</w:t>
            </w:r>
          </w:p>
          <w:p w14:paraId="27F7A0DD">
            <w:pPr>
              <w:pStyle w:val="11"/>
              <w:wordWrap w:val="0"/>
              <w:autoSpaceDE w:val="0"/>
              <w:adjustRightInd w:val="0"/>
              <w:snapToGrid w:val="0"/>
              <w:spacing w:line="400" w:lineRule="exact"/>
              <w:jc w:val="left"/>
              <w:rPr>
                <w:spacing w:val="-2"/>
                <w:szCs w:val="21"/>
                <w:highlight w:val="none"/>
              </w:rPr>
            </w:pPr>
            <w:r>
              <w:rPr>
                <w:rFonts w:hint="eastAsia"/>
                <w:spacing w:val="-2"/>
                <w:szCs w:val="21"/>
                <w:highlight w:val="none"/>
              </w:rPr>
              <w:t>无该项描述得0分。</w:t>
            </w:r>
          </w:p>
        </w:tc>
      </w:tr>
      <w:tr w14:paraId="5599CE2D">
        <w:tblPrEx>
          <w:tblCellMar>
            <w:top w:w="0" w:type="dxa"/>
            <w:left w:w="108" w:type="dxa"/>
            <w:bottom w:w="0" w:type="dxa"/>
            <w:right w:w="108" w:type="dxa"/>
          </w:tblCellMar>
        </w:tblPrEx>
        <w:trPr>
          <w:trHeight w:val="457" w:hRule="atLeast"/>
          <w:jc w:val="center"/>
        </w:trPr>
        <w:tc>
          <w:tcPr>
            <w:tcW w:w="1637" w:type="dxa"/>
            <w:gridSpan w:val="2"/>
            <w:tcBorders>
              <w:top w:val="single" w:color="auto" w:sz="4" w:space="0"/>
              <w:left w:val="single" w:color="auto" w:sz="4" w:space="0"/>
              <w:bottom w:val="single" w:color="auto" w:sz="4" w:space="0"/>
              <w:right w:val="single" w:color="auto" w:sz="4" w:space="0"/>
            </w:tcBorders>
            <w:vAlign w:val="center"/>
          </w:tcPr>
          <w:p w14:paraId="5C0544A1">
            <w:pPr>
              <w:pStyle w:val="11"/>
              <w:wordWrap w:val="0"/>
              <w:autoSpaceDE w:val="0"/>
              <w:adjustRightInd w:val="0"/>
              <w:snapToGrid w:val="0"/>
              <w:spacing w:line="400" w:lineRule="exact"/>
              <w:jc w:val="center"/>
              <w:rPr>
                <w:spacing w:val="-2"/>
                <w:szCs w:val="21"/>
                <w:highlight w:val="none"/>
              </w:rPr>
            </w:pPr>
            <w:r>
              <w:rPr>
                <w:rFonts w:hint="eastAsia"/>
                <w:spacing w:val="-2"/>
                <w:szCs w:val="21"/>
                <w:highlight w:val="none"/>
              </w:rPr>
              <w:t>质量和进度保证措施（6分）</w:t>
            </w:r>
          </w:p>
        </w:tc>
        <w:tc>
          <w:tcPr>
            <w:tcW w:w="7725" w:type="dxa"/>
            <w:gridSpan w:val="2"/>
            <w:tcBorders>
              <w:top w:val="single" w:color="auto" w:sz="4" w:space="0"/>
              <w:left w:val="nil"/>
              <w:bottom w:val="single" w:color="auto" w:sz="4" w:space="0"/>
              <w:right w:val="single" w:color="auto" w:sz="4" w:space="0"/>
            </w:tcBorders>
            <w:vAlign w:val="center"/>
          </w:tcPr>
          <w:p w14:paraId="5126BA04">
            <w:pPr>
              <w:pStyle w:val="11"/>
              <w:wordWrap w:val="0"/>
              <w:autoSpaceDE w:val="0"/>
              <w:adjustRightInd w:val="0"/>
              <w:snapToGrid w:val="0"/>
              <w:spacing w:line="400" w:lineRule="exact"/>
              <w:jc w:val="left"/>
              <w:rPr>
                <w:spacing w:val="-2"/>
                <w:szCs w:val="21"/>
                <w:highlight w:val="none"/>
              </w:rPr>
            </w:pPr>
            <w:r>
              <w:rPr>
                <w:rFonts w:hint="eastAsia"/>
                <w:spacing w:val="-2"/>
                <w:szCs w:val="21"/>
                <w:highlight w:val="none"/>
              </w:rPr>
              <w:t>据投标人对质量和进度的保证措施及承诺进行评分：</w:t>
            </w:r>
          </w:p>
          <w:p w14:paraId="55BB0A03">
            <w:pPr>
              <w:pStyle w:val="11"/>
              <w:wordWrap w:val="0"/>
              <w:autoSpaceDE w:val="0"/>
              <w:adjustRightInd w:val="0"/>
              <w:snapToGrid w:val="0"/>
              <w:spacing w:line="400" w:lineRule="exact"/>
              <w:jc w:val="left"/>
              <w:rPr>
                <w:spacing w:val="-2"/>
                <w:szCs w:val="21"/>
                <w:highlight w:val="none"/>
              </w:rPr>
            </w:pPr>
            <w:r>
              <w:rPr>
                <w:rFonts w:hint="eastAsia"/>
                <w:spacing w:val="-2"/>
                <w:szCs w:val="21"/>
                <w:highlight w:val="none"/>
              </w:rPr>
              <w:t>【优】对质量和进度的保证措施及承诺描述详尽、透彻的得3.0分；</w:t>
            </w:r>
          </w:p>
          <w:p w14:paraId="037BF7C6">
            <w:pPr>
              <w:pStyle w:val="11"/>
              <w:wordWrap w:val="0"/>
              <w:autoSpaceDE w:val="0"/>
              <w:adjustRightInd w:val="0"/>
              <w:snapToGrid w:val="0"/>
              <w:spacing w:line="400" w:lineRule="exact"/>
              <w:jc w:val="left"/>
              <w:rPr>
                <w:spacing w:val="-2"/>
                <w:szCs w:val="21"/>
                <w:highlight w:val="none"/>
              </w:rPr>
            </w:pPr>
            <w:r>
              <w:rPr>
                <w:rFonts w:hint="eastAsia"/>
                <w:spacing w:val="-2"/>
                <w:szCs w:val="21"/>
                <w:highlight w:val="none"/>
              </w:rPr>
              <w:t>【良】对质量和进度的保证措施及承诺描述较详尽、较透彻的得2.5分；</w:t>
            </w:r>
          </w:p>
          <w:p w14:paraId="45DD22DF">
            <w:pPr>
              <w:pStyle w:val="11"/>
              <w:wordWrap w:val="0"/>
              <w:autoSpaceDE w:val="0"/>
              <w:adjustRightInd w:val="0"/>
              <w:snapToGrid w:val="0"/>
              <w:spacing w:line="400" w:lineRule="exact"/>
              <w:jc w:val="left"/>
              <w:rPr>
                <w:spacing w:val="-2"/>
                <w:szCs w:val="21"/>
                <w:highlight w:val="none"/>
              </w:rPr>
            </w:pPr>
            <w:r>
              <w:rPr>
                <w:rFonts w:hint="eastAsia"/>
                <w:spacing w:val="-2"/>
                <w:szCs w:val="21"/>
                <w:highlight w:val="none"/>
              </w:rPr>
              <w:t>【合格】对质量和进度的保证措施及承诺描述不够详尽、不够透彻的得2.0分；</w:t>
            </w:r>
          </w:p>
          <w:p w14:paraId="4F8FAAD7">
            <w:pPr>
              <w:pStyle w:val="11"/>
              <w:wordWrap w:val="0"/>
              <w:autoSpaceDE w:val="0"/>
              <w:adjustRightInd w:val="0"/>
              <w:snapToGrid w:val="0"/>
              <w:spacing w:line="400" w:lineRule="exact"/>
              <w:jc w:val="left"/>
              <w:rPr>
                <w:spacing w:val="-2"/>
                <w:szCs w:val="21"/>
                <w:highlight w:val="none"/>
              </w:rPr>
            </w:pPr>
            <w:r>
              <w:rPr>
                <w:rFonts w:hint="eastAsia"/>
                <w:spacing w:val="-2"/>
                <w:szCs w:val="21"/>
                <w:highlight w:val="none"/>
              </w:rPr>
              <w:t>无该项描述得0分。</w:t>
            </w:r>
          </w:p>
        </w:tc>
      </w:tr>
      <w:tr w14:paraId="7F3F3B2D">
        <w:tblPrEx>
          <w:tblCellMar>
            <w:top w:w="0" w:type="dxa"/>
            <w:left w:w="108" w:type="dxa"/>
            <w:bottom w:w="0" w:type="dxa"/>
            <w:right w:w="108" w:type="dxa"/>
          </w:tblCellMar>
        </w:tblPrEx>
        <w:trPr>
          <w:trHeight w:val="457" w:hRule="atLeast"/>
          <w:jc w:val="center"/>
        </w:trPr>
        <w:tc>
          <w:tcPr>
            <w:tcW w:w="1637" w:type="dxa"/>
            <w:gridSpan w:val="2"/>
            <w:tcBorders>
              <w:top w:val="single" w:color="auto" w:sz="4" w:space="0"/>
              <w:left w:val="single" w:color="auto" w:sz="4" w:space="0"/>
              <w:bottom w:val="single" w:color="auto" w:sz="4" w:space="0"/>
              <w:right w:val="single" w:color="auto" w:sz="4" w:space="0"/>
            </w:tcBorders>
            <w:vAlign w:val="center"/>
          </w:tcPr>
          <w:p w14:paraId="0887668C">
            <w:pPr>
              <w:rPr>
                <w:spacing w:val="-2"/>
                <w:szCs w:val="21"/>
                <w:highlight w:val="none"/>
              </w:rPr>
            </w:pPr>
            <w:r>
              <w:rPr>
                <w:rFonts w:hint="eastAsia"/>
                <w:spacing w:val="-2"/>
                <w:szCs w:val="21"/>
                <w:highlight w:val="none"/>
              </w:rPr>
              <w:t>设计方案合理性（8分）</w:t>
            </w:r>
          </w:p>
        </w:tc>
        <w:tc>
          <w:tcPr>
            <w:tcW w:w="7725" w:type="dxa"/>
            <w:gridSpan w:val="2"/>
            <w:tcBorders>
              <w:top w:val="single" w:color="auto" w:sz="4" w:space="0"/>
              <w:left w:val="nil"/>
              <w:bottom w:val="single" w:color="auto" w:sz="4" w:space="0"/>
              <w:right w:val="single" w:color="auto" w:sz="4" w:space="0"/>
            </w:tcBorders>
            <w:vAlign w:val="center"/>
          </w:tcPr>
          <w:p w14:paraId="4D75C64D">
            <w:pPr>
              <w:pStyle w:val="11"/>
              <w:wordWrap w:val="0"/>
              <w:autoSpaceDE w:val="0"/>
              <w:adjustRightInd w:val="0"/>
              <w:snapToGrid w:val="0"/>
              <w:spacing w:line="400" w:lineRule="exact"/>
              <w:jc w:val="left"/>
              <w:rPr>
                <w:spacing w:val="-2"/>
                <w:szCs w:val="21"/>
                <w:highlight w:val="none"/>
              </w:rPr>
            </w:pPr>
            <w:r>
              <w:rPr>
                <w:rFonts w:hint="eastAsia"/>
                <w:spacing w:val="-2"/>
                <w:szCs w:val="21"/>
                <w:highlight w:val="none"/>
              </w:rPr>
              <w:t>根据投标人的设计方案合理性进行评分：</w:t>
            </w:r>
          </w:p>
          <w:p w14:paraId="3A454FB7">
            <w:pPr>
              <w:pStyle w:val="11"/>
              <w:wordWrap w:val="0"/>
              <w:autoSpaceDE w:val="0"/>
              <w:adjustRightInd w:val="0"/>
              <w:snapToGrid w:val="0"/>
              <w:spacing w:line="400" w:lineRule="exact"/>
              <w:jc w:val="left"/>
              <w:rPr>
                <w:spacing w:val="-2"/>
                <w:szCs w:val="21"/>
                <w:highlight w:val="none"/>
              </w:rPr>
            </w:pPr>
            <w:r>
              <w:rPr>
                <w:rFonts w:hint="eastAsia"/>
                <w:spacing w:val="-2"/>
                <w:szCs w:val="21"/>
                <w:highlight w:val="none"/>
              </w:rPr>
              <w:t>【优】投标人的设计方案非常合理的得4.0分；</w:t>
            </w:r>
          </w:p>
          <w:p w14:paraId="100FEDDC">
            <w:pPr>
              <w:pStyle w:val="11"/>
              <w:wordWrap w:val="0"/>
              <w:autoSpaceDE w:val="0"/>
              <w:adjustRightInd w:val="0"/>
              <w:snapToGrid w:val="0"/>
              <w:spacing w:line="400" w:lineRule="exact"/>
              <w:jc w:val="left"/>
              <w:rPr>
                <w:spacing w:val="-2"/>
                <w:szCs w:val="21"/>
                <w:highlight w:val="none"/>
              </w:rPr>
            </w:pPr>
            <w:r>
              <w:rPr>
                <w:rFonts w:hint="eastAsia"/>
                <w:spacing w:val="-2"/>
                <w:szCs w:val="21"/>
                <w:highlight w:val="none"/>
              </w:rPr>
              <w:t>【良】投标人的设计方案较合理的得3.5分；</w:t>
            </w:r>
          </w:p>
          <w:p w14:paraId="4E24C43F">
            <w:pPr>
              <w:pStyle w:val="11"/>
              <w:wordWrap w:val="0"/>
              <w:autoSpaceDE w:val="0"/>
              <w:adjustRightInd w:val="0"/>
              <w:snapToGrid w:val="0"/>
              <w:spacing w:line="400" w:lineRule="exact"/>
              <w:jc w:val="left"/>
              <w:rPr>
                <w:spacing w:val="-2"/>
                <w:szCs w:val="21"/>
                <w:highlight w:val="none"/>
              </w:rPr>
            </w:pPr>
            <w:r>
              <w:rPr>
                <w:rFonts w:hint="eastAsia"/>
                <w:spacing w:val="-2"/>
                <w:szCs w:val="21"/>
                <w:highlight w:val="none"/>
              </w:rPr>
              <w:t>【合格】投标人的设计方案不够合理的得3.0分；</w:t>
            </w:r>
          </w:p>
          <w:p w14:paraId="73898EFB">
            <w:pPr>
              <w:pStyle w:val="11"/>
              <w:wordWrap w:val="0"/>
              <w:autoSpaceDE w:val="0"/>
              <w:adjustRightInd w:val="0"/>
              <w:snapToGrid w:val="0"/>
              <w:spacing w:line="400" w:lineRule="exact"/>
              <w:jc w:val="left"/>
              <w:rPr>
                <w:spacing w:val="-2"/>
                <w:szCs w:val="21"/>
                <w:highlight w:val="none"/>
              </w:rPr>
            </w:pPr>
            <w:r>
              <w:rPr>
                <w:rFonts w:hint="eastAsia"/>
                <w:spacing w:val="-2"/>
                <w:szCs w:val="21"/>
                <w:highlight w:val="none"/>
              </w:rPr>
              <w:t>无该项描述得0分。</w:t>
            </w:r>
          </w:p>
        </w:tc>
      </w:tr>
      <w:tr w14:paraId="79DEE12D">
        <w:tblPrEx>
          <w:tblCellMar>
            <w:top w:w="0" w:type="dxa"/>
            <w:left w:w="108" w:type="dxa"/>
            <w:bottom w:w="0" w:type="dxa"/>
            <w:right w:w="108" w:type="dxa"/>
          </w:tblCellMar>
        </w:tblPrEx>
        <w:trPr>
          <w:trHeight w:val="624" w:hRule="atLeast"/>
          <w:jc w:val="center"/>
        </w:trPr>
        <w:tc>
          <w:tcPr>
            <w:tcW w:w="936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37CE2143">
            <w:pPr>
              <w:pStyle w:val="112"/>
              <w:wordWrap w:val="0"/>
              <w:autoSpaceDE w:val="0"/>
              <w:adjustRightInd w:val="0"/>
              <w:snapToGrid w:val="0"/>
              <w:spacing w:line="400" w:lineRule="exact"/>
              <w:rPr>
                <w:rFonts w:eastAsia="宋体"/>
                <w:kern w:val="0"/>
                <w:highlight w:val="none"/>
              </w:rPr>
            </w:pPr>
            <w:r>
              <w:rPr>
                <w:rFonts w:hint="eastAsia" w:ascii="黑体" w:hAnsi="黑体" w:eastAsia="黑体"/>
                <w:kern w:val="0"/>
                <w:sz w:val="24"/>
                <w:szCs w:val="24"/>
                <w:highlight w:val="none"/>
              </w:rPr>
              <w:t>投标报价部分M3，满分：30分。</w:t>
            </w:r>
          </w:p>
        </w:tc>
      </w:tr>
      <w:tr w14:paraId="18635151">
        <w:tblPrEx>
          <w:tblCellMar>
            <w:top w:w="0" w:type="dxa"/>
            <w:left w:w="108" w:type="dxa"/>
            <w:bottom w:w="0" w:type="dxa"/>
            <w:right w:w="108" w:type="dxa"/>
          </w:tblCellMar>
        </w:tblPrEx>
        <w:trPr>
          <w:trHeight w:val="624" w:hRule="atLeast"/>
          <w:jc w:val="center"/>
        </w:trPr>
        <w:tc>
          <w:tcPr>
            <w:tcW w:w="1637" w:type="dxa"/>
            <w:gridSpan w:val="2"/>
            <w:tcBorders>
              <w:top w:val="single" w:color="auto" w:sz="4" w:space="0"/>
              <w:left w:val="single" w:color="auto" w:sz="4" w:space="0"/>
              <w:bottom w:val="single" w:color="auto" w:sz="4" w:space="0"/>
              <w:right w:val="single" w:color="auto" w:sz="4" w:space="0"/>
            </w:tcBorders>
            <w:vAlign w:val="center"/>
          </w:tcPr>
          <w:p w14:paraId="76717361">
            <w:pPr>
              <w:pStyle w:val="11"/>
              <w:wordWrap w:val="0"/>
              <w:autoSpaceDE w:val="0"/>
              <w:adjustRightInd w:val="0"/>
              <w:snapToGrid w:val="0"/>
              <w:spacing w:line="440" w:lineRule="exact"/>
              <w:jc w:val="center"/>
              <w:rPr>
                <w:rFonts w:hint="eastAsia" w:ascii="黑体" w:hAnsi="黑体" w:eastAsia="黑体"/>
                <w:kern w:val="0"/>
                <w:szCs w:val="21"/>
                <w:highlight w:val="none"/>
              </w:rPr>
            </w:pPr>
            <w:r>
              <w:rPr>
                <w:rFonts w:hint="eastAsia" w:ascii="黑体" w:hAnsi="黑体" w:eastAsia="黑体"/>
                <w:kern w:val="0"/>
                <w:szCs w:val="21"/>
                <w:highlight w:val="none"/>
              </w:rPr>
              <w:t>评分事项</w:t>
            </w:r>
          </w:p>
        </w:tc>
        <w:tc>
          <w:tcPr>
            <w:tcW w:w="7725" w:type="dxa"/>
            <w:gridSpan w:val="2"/>
            <w:tcBorders>
              <w:top w:val="single" w:color="auto" w:sz="4" w:space="0"/>
              <w:left w:val="nil"/>
              <w:bottom w:val="single" w:color="auto" w:sz="4" w:space="0"/>
              <w:right w:val="single" w:color="auto" w:sz="4" w:space="0"/>
            </w:tcBorders>
            <w:vAlign w:val="center"/>
          </w:tcPr>
          <w:p w14:paraId="79645023">
            <w:pPr>
              <w:pStyle w:val="11"/>
              <w:wordWrap w:val="0"/>
              <w:autoSpaceDE w:val="0"/>
              <w:adjustRightInd w:val="0"/>
              <w:snapToGrid w:val="0"/>
              <w:spacing w:line="440" w:lineRule="exact"/>
              <w:jc w:val="center"/>
              <w:rPr>
                <w:rFonts w:hint="eastAsia" w:ascii="黑体" w:hAnsi="黑体" w:eastAsia="黑体"/>
                <w:kern w:val="0"/>
                <w:szCs w:val="21"/>
                <w:highlight w:val="none"/>
              </w:rPr>
            </w:pPr>
            <w:r>
              <w:rPr>
                <w:rFonts w:hint="eastAsia" w:ascii="黑体" w:hAnsi="黑体" w:eastAsia="黑体"/>
                <w:kern w:val="0"/>
                <w:szCs w:val="21"/>
                <w:highlight w:val="none"/>
              </w:rPr>
              <w:t>评分方法</w:t>
            </w:r>
          </w:p>
        </w:tc>
      </w:tr>
      <w:tr w14:paraId="134B2548">
        <w:tblPrEx>
          <w:tblCellMar>
            <w:top w:w="0" w:type="dxa"/>
            <w:left w:w="108" w:type="dxa"/>
            <w:bottom w:w="0" w:type="dxa"/>
            <w:right w:w="108" w:type="dxa"/>
          </w:tblCellMar>
        </w:tblPrEx>
        <w:trPr>
          <w:trHeight w:val="632" w:hRule="atLeast"/>
          <w:jc w:val="center"/>
        </w:trPr>
        <w:tc>
          <w:tcPr>
            <w:tcW w:w="1637" w:type="dxa"/>
            <w:gridSpan w:val="2"/>
            <w:tcBorders>
              <w:top w:val="single" w:color="auto" w:sz="4" w:space="0"/>
              <w:left w:val="single" w:color="auto" w:sz="4" w:space="0"/>
              <w:bottom w:val="single" w:color="auto" w:sz="4" w:space="0"/>
              <w:right w:val="single" w:color="auto" w:sz="4" w:space="0"/>
            </w:tcBorders>
            <w:vAlign w:val="center"/>
          </w:tcPr>
          <w:p w14:paraId="35335AFB">
            <w:pPr>
              <w:pStyle w:val="182"/>
              <w:wordWrap w:val="0"/>
              <w:adjustRightInd w:val="0"/>
              <w:snapToGrid w:val="0"/>
              <w:spacing w:line="400" w:lineRule="exact"/>
              <w:jc w:val="center"/>
              <w:rPr>
                <w:rFonts w:eastAsia="宋体"/>
                <w:kern w:val="0"/>
                <w:szCs w:val="21"/>
                <w:highlight w:val="none"/>
              </w:rPr>
            </w:pPr>
            <w:r>
              <w:rPr>
                <w:rFonts w:hint="eastAsia" w:ascii="宋体" w:hAnsi="宋体" w:eastAsia="宋体" w:cs="宋体"/>
                <w:snapToGrid w:val="0"/>
                <w:kern w:val="0"/>
                <w:szCs w:val="21"/>
                <w:highlight w:val="none"/>
              </w:rPr>
              <w:t>评标基准价D</w:t>
            </w:r>
          </w:p>
        </w:tc>
        <w:tc>
          <w:tcPr>
            <w:tcW w:w="7725" w:type="dxa"/>
            <w:gridSpan w:val="2"/>
            <w:tcBorders>
              <w:top w:val="single" w:color="auto" w:sz="4" w:space="0"/>
              <w:left w:val="nil"/>
              <w:bottom w:val="single" w:color="auto" w:sz="4" w:space="0"/>
              <w:right w:val="single" w:color="auto" w:sz="4" w:space="0"/>
            </w:tcBorders>
            <w:vAlign w:val="center"/>
          </w:tcPr>
          <w:p w14:paraId="0E361EC3">
            <w:pPr>
              <w:wordWrap w:val="0"/>
              <w:adjustRightInd w:val="0"/>
              <w:snapToGrid w:val="0"/>
              <w:spacing w:line="400" w:lineRule="exact"/>
              <w:ind w:firstLine="420" w:firstLineChars="200"/>
              <w:jc w:val="left"/>
              <w:rPr>
                <w:snapToGrid w:val="0"/>
                <w:kern w:val="0"/>
                <w:szCs w:val="21"/>
                <w:highlight w:val="none"/>
              </w:rPr>
            </w:pPr>
            <w:r>
              <w:rPr>
                <w:rFonts w:hint="eastAsia"/>
                <w:snapToGrid w:val="0"/>
                <w:kern w:val="0"/>
                <w:szCs w:val="21"/>
                <w:highlight w:val="none"/>
              </w:rPr>
              <w:t>（1）确定最高投标限价下浮系数n：用1～21号球分别代表一个下浮系数，由评委代表从这21个号码中随机抽取</w:t>
            </w:r>
            <w:r>
              <w:rPr>
                <w:rFonts w:hint="eastAsia"/>
                <w:snapToGrid w:val="0"/>
                <w:kern w:val="0"/>
                <w:szCs w:val="21"/>
                <w:highlight w:val="none"/>
                <w:u w:val="single"/>
              </w:rPr>
              <w:t xml:space="preserve"> 3 </w:t>
            </w:r>
            <w:r>
              <w:rPr>
                <w:rFonts w:hint="eastAsia"/>
                <w:snapToGrid w:val="0"/>
                <w:kern w:val="0"/>
                <w:szCs w:val="21"/>
                <w:highlight w:val="none"/>
              </w:rPr>
              <w:t>次，每次抽取1个号码，抽出的号球不参与下次抽取。所抽取的3个号码对应下浮系数的算术平均值作为最高投标限价下浮系数n。具体号码对应的下浮系数可参考下表。</w:t>
            </w:r>
          </w:p>
          <w:tbl>
            <w:tblPr>
              <w:tblStyle w:val="33"/>
              <w:tblW w:w="0" w:type="auto"/>
              <w:tblInd w:w="113" w:type="dxa"/>
              <w:tblLayout w:type="fixed"/>
              <w:tblCellMar>
                <w:top w:w="0" w:type="dxa"/>
                <w:left w:w="108" w:type="dxa"/>
                <w:bottom w:w="0" w:type="dxa"/>
                <w:right w:w="108" w:type="dxa"/>
              </w:tblCellMar>
            </w:tblPr>
            <w:tblGrid>
              <w:gridCol w:w="1465"/>
              <w:gridCol w:w="794"/>
              <w:gridCol w:w="830"/>
              <w:gridCol w:w="864"/>
              <w:gridCol w:w="848"/>
              <w:gridCol w:w="882"/>
              <w:gridCol w:w="829"/>
              <w:gridCol w:w="819"/>
            </w:tblGrid>
            <w:tr w14:paraId="740D7F79">
              <w:tblPrEx>
                <w:tblCellMar>
                  <w:top w:w="0" w:type="dxa"/>
                  <w:left w:w="108" w:type="dxa"/>
                  <w:bottom w:w="0" w:type="dxa"/>
                  <w:right w:w="108" w:type="dxa"/>
                </w:tblCellMar>
              </w:tblPrEx>
              <w:trPr>
                <w:trHeight w:val="248" w:hRule="atLeast"/>
              </w:trPr>
              <w:tc>
                <w:tcPr>
                  <w:tcW w:w="1465" w:type="dxa"/>
                  <w:tcBorders>
                    <w:top w:val="single" w:color="000000" w:sz="4" w:space="0"/>
                    <w:left w:val="single" w:color="000000" w:sz="4" w:space="0"/>
                    <w:bottom w:val="single" w:color="000000" w:sz="4" w:space="0"/>
                    <w:right w:val="single" w:color="000000" w:sz="4" w:space="0"/>
                  </w:tcBorders>
                  <w:vAlign w:val="center"/>
                </w:tcPr>
                <w:p w14:paraId="4D46CE92">
                  <w:pPr>
                    <w:wordWrap w:val="0"/>
                    <w:adjustRightInd w:val="0"/>
                    <w:snapToGrid w:val="0"/>
                    <w:spacing w:line="400" w:lineRule="exact"/>
                    <w:jc w:val="center"/>
                    <w:rPr>
                      <w:rFonts w:hint="eastAsia" w:ascii="黑体" w:hAnsi="黑体" w:eastAsia="黑体" w:cs="黑体"/>
                      <w:b/>
                      <w:snapToGrid w:val="0"/>
                      <w:kern w:val="0"/>
                      <w:szCs w:val="21"/>
                      <w:highlight w:val="none"/>
                    </w:rPr>
                  </w:pPr>
                  <w:r>
                    <w:rPr>
                      <w:rFonts w:hint="eastAsia" w:ascii="黑体" w:hAnsi="黑体" w:eastAsia="黑体" w:cs="黑体"/>
                      <w:bCs/>
                      <w:snapToGrid w:val="0"/>
                      <w:kern w:val="0"/>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vAlign w:val="center"/>
                </w:tcPr>
                <w:p w14:paraId="306F8591">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w:t>
                  </w:r>
                </w:p>
              </w:tc>
              <w:tc>
                <w:tcPr>
                  <w:tcW w:w="830" w:type="dxa"/>
                  <w:tcBorders>
                    <w:top w:val="single" w:color="000000" w:sz="4" w:space="0"/>
                    <w:left w:val="single" w:color="000000" w:sz="4" w:space="0"/>
                    <w:bottom w:val="single" w:color="000000" w:sz="4" w:space="0"/>
                    <w:right w:val="single" w:color="000000" w:sz="4" w:space="0"/>
                  </w:tcBorders>
                  <w:vAlign w:val="center"/>
                </w:tcPr>
                <w:p w14:paraId="4163CCF0">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2</w:t>
                  </w:r>
                </w:p>
              </w:tc>
              <w:tc>
                <w:tcPr>
                  <w:tcW w:w="864" w:type="dxa"/>
                  <w:tcBorders>
                    <w:top w:val="single" w:color="000000" w:sz="4" w:space="0"/>
                    <w:left w:val="single" w:color="000000" w:sz="4" w:space="0"/>
                    <w:bottom w:val="single" w:color="000000" w:sz="4" w:space="0"/>
                    <w:right w:val="single" w:color="000000" w:sz="4" w:space="0"/>
                  </w:tcBorders>
                  <w:vAlign w:val="center"/>
                </w:tcPr>
                <w:p w14:paraId="2CB9F50C">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3</w:t>
                  </w:r>
                </w:p>
              </w:tc>
              <w:tc>
                <w:tcPr>
                  <w:tcW w:w="848" w:type="dxa"/>
                  <w:tcBorders>
                    <w:top w:val="single" w:color="000000" w:sz="4" w:space="0"/>
                    <w:left w:val="single" w:color="000000" w:sz="4" w:space="0"/>
                    <w:bottom w:val="single" w:color="000000" w:sz="4" w:space="0"/>
                    <w:right w:val="single" w:color="000000" w:sz="4" w:space="0"/>
                  </w:tcBorders>
                  <w:vAlign w:val="center"/>
                </w:tcPr>
                <w:p w14:paraId="74FA8960">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4</w:t>
                  </w:r>
                </w:p>
              </w:tc>
              <w:tc>
                <w:tcPr>
                  <w:tcW w:w="882" w:type="dxa"/>
                  <w:tcBorders>
                    <w:top w:val="single" w:color="000000" w:sz="4" w:space="0"/>
                    <w:left w:val="single" w:color="000000" w:sz="4" w:space="0"/>
                    <w:bottom w:val="single" w:color="000000" w:sz="4" w:space="0"/>
                    <w:right w:val="single" w:color="000000" w:sz="4" w:space="0"/>
                  </w:tcBorders>
                  <w:vAlign w:val="center"/>
                </w:tcPr>
                <w:p w14:paraId="4A7514AC">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5</w:t>
                  </w:r>
                </w:p>
              </w:tc>
              <w:tc>
                <w:tcPr>
                  <w:tcW w:w="829" w:type="dxa"/>
                  <w:tcBorders>
                    <w:top w:val="single" w:color="000000" w:sz="4" w:space="0"/>
                    <w:left w:val="single" w:color="000000" w:sz="4" w:space="0"/>
                    <w:bottom w:val="single" w:color="000000" w:sz="4" w:space="0"/>
                    <w:right w:val="single" w:color="000000" w:sz="4" w:space="0"/>
                  </w:tcBorders>
                  <w:vAlign w:val="center"/>
                </w:tcPr>
                <w:p w14:paraId="08A6DA70">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6</w:t>
                  </w:r>
                </w:p>
              </w:tc>
              <w:tc>
                <w:tcPr>
                  <w:tcW w:w="819" w:type="dxa"/>
                  <w:tcBorders>
                    <w:top w:val="single" w:color="000000" w:sz="4" w:space="0"/>
                    <w:left w:val="single" w:color="000000" w:sz="4" w:space="0"/>
                    <w:bottom w:val="single" w:color="000000" w:sz="4" w:space="0"/>
                    <w:right w:val="single" w:color="000000" w:sz="4" w:space="0"/>
                  </w:tcBorders>
                  <w:vAlign w:val="center"/>
                </w:tcPr>
                <w:p w14:paraId="0416A6E6">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7</w:t>
                  </w:r>
                </w:p>
              </w:tc>
            </w:tr>
            <w:tr w14:paraId="25BDDE78">
              <w:tblPrEx>
                <w:tblCellMar>
                  <w:top w:w="0" w:type="dxa"/>
                  <w:left w:w="108" w:type="dxa"/>
                  <w:bottom w:w="0" w:type="dxa"/>
                  <w:right w:w="108" w:type="dxa"/>
                </w:tblCellMar>
              </w:tblPrEx>
              <w:trPr>
                <w:trHeight w:val="575" w:hRule="atLeast"/>
              </w:trPr>
              <w:tc>
                <w:tcPr>
                  <w:tcW w:w="1465" w:type="dxa"/>
                  <w:tcBorders>
                    <w:top w:val="single" w:color="000000" w:sz="4" w:space="0"/>
                    <w:left w:val="single" w:color="000000" w:sz="4" w:space="0"/>
                    <w:bottom w:val="single" w:color="000000" w:sz="4" w:space="0"/>
                    <w:right w:val="single" w:color="000000" w:sz="4" w:space="0"/>
                  </w:tcBorders>
                  <w:vAlign w:val="center"/>
                </w:tcPr>
                <w:p w14:paraId="44E02E75">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vAlign w:val="center"/>
                </w:tcPr>
                <w:p w14:paraId="67630EC0">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1.0</w:t>
                  </w:r>
                </w:p>
              </w:tc>
              <w:tc>
                <w:tcPr>
                  <w:tcW w:w="830" w:type="dxa"/>
                  <w:tcBorders>
                    <w:top w:val="single" w:color="000000" w:sz="4" w:space="0"/>
                    <w:left w:val="single" w:color="000000" w:sz="4" w:space="0"/>
                    <w:bottom w:val="single" w:color="000000" w:sz="4" w:space="0"/>
                    <w:right w:val="single" w:color="000000" w:sz="4" w:space="0"/>
                  </w:tcBorders>
                  <w:vAlign w:val="center"/>
                </w:tcPr>
                <w:p w14:paraId="5E39CA31">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1.1</w:t>
                  </w:r>
                </w:p>
              </w:tc>
              <w:tc>
                <w:tcPr>
                  <w:tcW w:w="864" w:type="dxa"/>
                  <w:tcBorders>
                    <w:top w:val="single" w:color="000000" w:sz="4" w:space="0"/>
                    <w:left w:val="single" w:color="000000" w:sz="4" w:space="0"/>
                    <w:bottom w:val="single" w:color="000000" w:sz="4" w:space="0"/>
                    <w:right w:val="single" w:color="000000" w:sz="4" w:space="0"/>
                  </w:tcBorders>
                  <w:vAlign w:val="center"/>
                </w:tcPr>
                <w:p w14:paraId="6A0EAFF6">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1.2</w:t>
                  </w:r>
                </w:p>
              </w:tc>
              <w:tc>
                <w:tcPr>
                  <w:tcW w:w="848" w:type="dxa"/>
                  <w:tcBorders>
                    <w:top w:val="single" w:color="000000" w:sz="4" w:space="0"/>
                    <w:left w:val="single" w:color="000000" w:sz="4" w:space="0"/>
                    <w:bottom w:val="single" w:color="000000" w:sz="4" w:space="0"/>
                    <w:right w:val="single" w:color="000000" w:sz="4" w:space="0"/>
                  </w:tcBorders>
                  <w:vAlign w:val="center"/>
                </w:tcPr>
                <w:p w14:paraId="50815B5D">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1.3</w:t>
                  </w:r>
                </w:p>
              </w:tc>
              <w:tc>
                <w:tcPr>
                  <w:tcW w:w="882" w:type="dxa"/>
                  <w:tcBorders>
                    <w:top w:val="single" w:color="000000" w:sz="4" w:space="0"/>
                    <w:left w:val="single" w:color="000000" w:sz="4" w:space="0"/>
                    <w:bottom w:val="single" w:color="000000" w:sz="4" w:space="0"/>
                    <w:right w:val="single" w:color="000000" w:sz="4" w:space="0"/>
                  </w:tcBorders>
                  <w:vAlign w:val="center"/>
                </w:tcPr>
                <w:p w14:paraId="0D9AE750">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1.4</w:t>
                  </w:r>
                </w:p>
              </w:tc>
              <w:tc>
                <w:tcPr>
                  <w:tcW w:w="829" w:type="dxa"/>
                  <w:tcBorders>
                    <w:top w:val="single" w:color="000000" w:sz="4" w:space="0"/>
                    <w:left w:val="single" w:color="000000" w:sz="4" w:space="0"/>
                    <w:bottom w:val="single" w:color="000000" w:sz="4" w:space="0"/>
                    <w:right w:val="single" w:color="000000" w:sz="4" w:space="0"/>
                  </w:tcBorders>
                  <w:vAlign w:val="center"/>
                </w:tcPr>
                <w:p w14:paraId="0AA8AA74">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1.5</w:t>
                  </w:r>
                </w:p>
              </w:tc>
              <w:tc>
                <w:tcPr>
                  <w:tcW w:w="819" w:type="dxa"/>
                  <w:tcBorders>
                    <w:top w:val="single" w:color="000000" w:sz="4" w:space="0"/>
                    <w:left w:val="single" w:color="000000" w:sz="4" w:space="0"/>
                    <w:bottom w:val="single" w:color="000000" w:sz="4" w:space="0"/>
                    <w:right w:val="single" w:color="000000" w:sz="4" w:space="0"/>
                  </w:tcBorders>
                  <w:vAlign w:val="center"/>
                </w:tcPr>
                <w:p w14:paraId="039FD513">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1.6</w:t>
                  </w:r>
                </w:p>
              </w:tc>
            </w:tr>
            <w:tr w14:paraId="053F0014">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vAlign w:val="center"/>
                </w:tcPr>
                <w:p w14:paraId="000C6DA6">
                  <w:pPr>
                    <w:wordWrap w:val="0"/>
                    <w:adjustRightInd w:val="0"/>
                    <w:snapToGrid w:val="0"/>
                    <w:spacing w:line="400" w:lineRule="exact"/>
                    <w:jc w:val="center"/>
                    <w:rPr>
                      <w:rFonts w:hint="eastAsia" w:ascii="黑体" w:hAnsi="黑体" w:eastAsia="黑体" w:cs="黑体"/>
                      <w:b/>
                      <w:snapToGrid w:val="0"/>
                      <w:kern w:val="0"/>
                      <w:szCs w:val="21"/>
                      <w:highlight w:val="none"/>
                    </w:rPr>
                  </w:pPr>
                  <w:r>
                    <w:rPr>
                      <w:rFonts w:hint="eastAsia" w:ascii="黑体" w:hAnsi="黑体" w:eastAsia="黑体" w:cs="黑体"/>
                      <w:bCs/>
                      <w:snapToGrid w:val="0"/>
                      <w:kern w:val="0"/>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vAlign w:val="center"/>
                </w:tcPr>
                <w:p w14:paraId="77D73ACA">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8</w:t>
                  </w:r>
                </w:p>
              </w:tc>
              <w:tc>
                <w:tcPr>
                  <w:tcW w:w="830" w:type="dxa"/>
                  <w:tcBorders>
                    <w:top w:val="single" w:color="000000" w:sz="4" w:space="0"/>
                    <w:left w:val="single" w:color="000000" w:sz="4" w:space="0"/>
                    <w:bottom w:val="single" w:color="000000" w:sz="4" w:space="0"/>
                    <w:right w:val="single" w:color="000000" w:sz="4" w:space="0"/>
                  </w:tcBorders>
                  <w:vAlign w:val="center"/>
                </w:tcPr>
                <w:p w14:paraId="16F74E26">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9</w:t>
                  </w:r>
                </w:p>
              </w:tc>
              <w:tc>
                <w:tcPr>
                  <w:tcW w:w="864" w:type="dxa"/>
                  <w:tcBorders>
                    <w:top w:val="single" w:color="000000" w:sz="4" w:space="0"/>
                    <w:left w:val="single" w:color="000000" w:sz="4" w:space="0"/>
                    <w:bottom w:val="single" w:color="000000" w:sz="4" w:space="0"/>
                    <w:right w:val="single" w:color="000000" w:sz="4" w:space="0"/>
                  </w:tcBorders>
                  <w:vAlign w:val="center"/>
                </w:tcPr>
                <w:p w14:paraId="287DC52C">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10</w:t>
                  </w:r>
                </w:p>
              </w:tc>
              <w:tc>
                <w:tcPr>
                  <w:tcW w:w="848" w:type="dxa"/>
                  <w:tcBorders>
                    <w:top w:val="single" w:color="000000" w:sz="4" w:space="0"/>
                    <w:left w:val="single" w:color="000000" w:sz="4" w:space="0"/>
                    <w:bottom w:val="single" w:color="000000" w:sz="4" w:space="0"/>
                    <w:right w:val="single" w:color="000000" w:sz="4" w:space="0"/>
                  </w:tcBorders>
                  <w:vAlign w:val="center"/>
                </w:tcPr>
                <w:p w14:paraId="7C01F9C1">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11</w:t>
                  </w:r>
                </w:p>
              </w:tc>
              <w:tc>
                <w:tcPr>
                  <w:tcW w:w="882" w:type="dxa"/>
                  <w:tcBorders>
                    <w:top w:val="single" w:color="000000" w:sz="4" w:space="0"/>
                    <w:left w:val="single" w:color="000000" w:sz="4" w:space="0"/>
                    <w:bottom w:val="single" w:color="000000" w:sz="4" w:space="0"/>
                    <w:right w:val="single" w:color="000000" w:sz="4" w:space="0"/>
                  </w:tcBorders>
                  <w:vAlign w:val="center"/>
                </w:tcPr>
                <w:p w14:paraId="72D759F8">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12</w:t>
                  </w:r>
                </w:p>
              </w:tc>
              <w:tc>
                <w:tcPr>
                  <w:tcW w:w="829" w:type="dxa"/>
                  <w:tcBorders>
                    <w:top w:val="single" w:color="000000" w:sz="4" w:space="0"/>
                    <w:left w:val="single" w:color="000000" w:sz="4" w:space="0"/>
                    <w:bottom w:val="single" w:color="000000" w:sz="4" w:space="0"/>
                    <w:right w:val="single" w:color="000000" w:sz="4" w:space="0"/>
                  </w:tcBorders>
                  <w:vAlign w:val="center"/>
                </w:tcPr>
                <w:p w14:paraId="4AA37ED9">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13</w:t>
                  </w:r>
                </w:p>
              </w:tc>
              <w:tc>
                <w:tcPr>
                  <w:tcW w:w="819" w:type="dxa"/>
                  <w:tcBorders>
                    <w:top w:val="single" w:color="000000" w:sz="4" w:space="0"/>
                    <w:left w:val="single" w:color="000000" w:sz="4" w:space="0"/>
                    <w:bottom w:val="single" w:color="000000" w:sz="4" w:space="0"/>
                    <w:right w:val="single" w:color="000000" w:sz="4" w:space="0"/>
                  </w:tcBorders>
                  <w:vAlign w:val="center"/>
                </w:tcPr>
                <w:p w14:paraId="7D461921">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14</w:t>
                  </w:r>
                </w:p>
              </w:tc>
            </w:tr>
            <w:tr w14:paraId="5500EDAF">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vAlign w:val="center"/>
                </w:tcPr>
                <w:p w14:paraId="5CF2A0C2">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vAlign w:val="center"/>
                </w:tcPr>
                <w:p w14:paraId="630E13BB">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1.7</w:t>
                  </w:r>
                </w:p>
              </w:tc>
              <w:tc>
                <w:tcPr>
                  <w:tcW w:w="830" w:type="dxa"/>
                  <w:tcBorders>
                    <w:top w:val="single" w:color="000000" w:sz="4" w:space="0"/>
                    <w:left w:val="single" w:color="000000" w:sz="4" w:space="0"/>
                    <w:bottom w:val="single" w:color="000000" w:sz="4" w:space="0"/>
                    <w:right w:val="single" w:color="000000" w:sz="4" w:space="0"/>
                  </w:tcBorders>
                  <w:vAlign w:val="center"/>
                </w:tcPr>
                <w:p w14:paraId="2E17E44C">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1.8</w:t>
                  </w:r>
                </w:p>
              </w:tc>
              <w:tc>
                <w:tcPr>
                  <w:tcW w:w="864" w:type="dxa"/>
                  <w:tcBorders>
                    <w:top w:val="single" w:color="000000" w:sz="4" w:space="0"/>
                    <w:left w:val="single" w:color="000000" w:sz="4" w:space="0"/>
                    <w:bottom w:val="single" w:color="000000" w:sz="4" w:space="0"/>
                    <w:right w:val="single" w:color="000000" w:sz="4" w:space="0"/>
                  </w:tcBorders>
                  <w:vAlign w:val="center"/>
                </w:tcPr>
                <w:p w14:paraId="659DF8A5">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1.9</w:t>
                  </w:r>
                </w:p>
              </w:tc>
              <w:tc>
                <w:tcPr>
                  <w:tcW w:w="848" w:type="dxa"/>
                  <w:tcBorders>
                    <w:top w:val="single" w:color="000000" w:sz="4" w:space="0"/>
                    <w:left w:val="single" w:color="000000" w:sz="4" w:space="0"/>
                    <w:bottom w:val="single" w:color="000000" w:sz="4" w:space="0"/>
                    <w:right w:val="single" w:color="000000" w:sz="4" w:space="0"/>
                  </w:tcBorders>
                  <w:vAlign w:val="center"/>
                </w:tcPr>
                <w:p w14:paraId="7858C541">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2.0</w:t>
                  </w:r>
                </w:p>
              </w:tc>
              <w:tc>
                <w:tcPr>
                  <w:tcW w:w="882" w:type="dxa"/>
                  <w:tcBorders>
                    <w:top w:val="single" w:color="000000" w:sz="4" w:space="0"/>
                    <w:left w:val="single" w:color="000000" w:sz="4" w:space="0"/>
                    <w:bottom w:val="single" w:color="000000" w:sz="4" w:space="0"/>
                    <w:right w:val="single" w:color="000000" w:sz="4" w:space="0"/>
                  </w:tcBorders>
                  <w:vAlign w:val="center"/>
                </w:tcPr>
                <w:p w14:paraId="00943D5D">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2.1</w:t>
                  </w:r>
                </w:p>
              </w:tc>
              <w:tc>
                <w:tcPr>
                  <w:tcW w:w="829" w:type="dxa"/>
                  <w:tcBorders>
                    <w:top w:val="single" w:color="000000" w:sz="4" w:space="0"/>
                    <w:left w:val="single" w:color="000000" w:sz="4" w:space="0"/>
                    <w:bottom w:val="single" w:color="000000" w:sz="4" w:space="0"/>
                    <w:right w:val="single" w:color="000000" w:sz="4" w:space="0"/>
                  </w:tcBorders>
                  <w:vAlign w:val="center"/>
                </w:tcPr>
                <w:p w14:paraId="5202B7E1">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2.2</w:t>
                  </w:r>
                </w:p>
              </w:tc>
              <w:tc>
                <w:tcPr>
                  <w:tcW w:w="819" w:type="dxa"/>
                  <w:tcBorders>
                    <w:top w:val="single" w:color="000000" w:sz="4" w:space="0"/>
                    <w:left w:val="single" w:color="000000" w:sz="4" w:space="0"/>
                    <w:bottom w:val="single" w:color="000000" w:sz="4" w:space="0"/>
                    <w:right w:val="single" w:color="000000" w:sz="4" w:space="0"/>
                  </w:tcBorders>
                  <w:vAlign w:val="center"/>
                </w:tcPr>
                <w:p w14:paraId="4D551B30">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2.3</w:t>
                  </w:r>
                </w:p>
              </w:tc>
            </w:tr>
            <w:tr w14:paraId="5DCFF079">
              <w:tblPrEx>
                <w:tblCellMar>
                  <w:top w:w="0" w:type="dxa"/>
                  <w:left w:w="108" w:type="dxa"/>
                  <w:bottom w:w="0" w:type="dxa"/>
                  <w:right w:w="108" w:type="dxa"/>
                </w:tblCellMar>
              </w:tblPrEx>
              <w:trPr>
                <w:trHeight w:val="470" w:hRule="atLeast"/>
              </w:trPr>
              <w:tc>
                <w:tcPr>
                  <w:tcW w:w="1465" w:type="dxa"/>
                  <w:tcBorders>
                    <w:top w:val="single" w:color="000000" w:sz="4" w:space="0"/>
                    <w:left w:val="single" w:color="000000" w:sz="4" w:space="0"/>
                    <w:bottom w:val="single" w:color="000000" w:sz="4" w:space="0"/>
                    <w:right w:val="single" w:color="000000" w:sz="4" w:space="0"/>
                  </w:tcBorders>
                  <w:vAlign w:val="center"/>
                </w:tcPr>
                <w:p w14:paraId="1FAB25F9">
                  <w:pPr>
                    <w:wordWrap w:val="0"/>
                    <w:adjustRightInd w:val="0"/>
                    <w:snapToGrid w:val="0"/>
                    <w:spacing w:line="400" w:lineRule="exact"/>
                    <w:jc w:val="center"/>
                    <w:rPr>
                      <w:rFonts w:hint="eastAsia" w:ascii="黑体" w:hAnsi="黑体" w:eastAsia="黑体" w:cs="黑体"/>
                      <w:b/>
                      <w:snapToGrid w:val="0"/>
                      <w:kern w:val="0"/>
                      <w:szCs w:val="21"/>
                      <w:highlight w:val="none"/>
                    </w:rPr>
                  </w:pPr>
                  <w:r>
                    <w:rPr>
                      <w:rFonts w:hint="eastAsia" w:ascii="黑体" w:hAnsi="黑体" w:eastAsia="黑体" w:cs="黑体"/>
                      <w:bCs/>
                      <w:snapToGrid w:val="0"/>
                      <w:kern w:val="0"/>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vAlign w:val="center"/>
                </w:tcPr>
                <w:p w14:paraId="03DC7B4E">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15</w:t>
                  </w:r>
                </w:p>
              </w:tc>
              <w:tc>
                <w:tcPr>
                  <w:tcW w:w="830" w:type="dxa"/>
                  <w:tcBorders>
                    <w:top w:val="single" w:color="000000" w:sz="4" w:space="0"/>
                    <w:left w:val="single" w:color="000000" w:sz="4" w:space="0"/>
                    <w:bottom w:val="single" w:color="000000" w:sz="4" w:space="0"/>
                    <w:right w:val="single" w:color="000000" w:sz="4" w:space="0"/>
                  </w:tcBorders>
                  <w:vAlign w:val="center"/>
                </w:tcPr>
                <w:p w14:paraId="3C731B81">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16</w:t>
                  </w:r>
                </w:p>
              </w:tc>
              <w:tc>
                <w:tcPr>
                  <w:tcW w:w="864" w:type="dxa"/>
                  <w:tcBorders>
                    <w:top w:val="single" w:color="000000" w:sz="4" w:space="0"/>
                    <w:left w:val="single" w:color="000000" w:sz="4" w:space="0"/>
                    <w:bottom w:val="single" w:color="000000" w:sz="4" w:space="0"/>
                    <w:right w:val="single" w:color="000000" w:sz="4" w:space="0"/>
                  </w:tcBorders>
                  <w:vAlign w:val="center"/>
                </w:tcPr>
                <w:p w14:paraId="26F2F83C">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17</w:t>
                  </w:r>
                </w:p>
              </w:tc>
              <w:tc>
                <w:tcPr>
                  <w:tcW w:w="848" w:type="dxa"/>
                  <w:tcBorders>
                    <w:top w:val="single" w:color="000000" w:sz="4" w:space="0"/>
                    <w:left w:val="single" w:color="000000" w:sz="4" w:space="0"/>
                    <w:bottom w:val="single" w:color="000000" w:sz="4" w:space="0"/>
                    <w:right w:val="single" w:color="000000" w:sz="4" w:space="0"/>
                  </w:tcBorders>
                  <w:vAlign w:val="center"/>
                </w:tcPr>
                <w:p w14:paraId="5229DD81">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18</w:t>
                  </w:r>
                </w:p>
              </w:tc>
              <w:tc>
                <w:tcPr>
                  <w:tcW w:w="882" w:type="dxa"/>
                  <w:tcBorders>
                    <w:top w:val="single" w:color="000000" w:sz="4" w:space="0"/>
                    <w:left w:val="single" w:color="000000" w:sz="4" w:space="0"/>
                    <w:bottom w:val="single" w:color="000000" w:sz="4" w:space="0"/>
                    <w:right w:val="single" w:color="000000" w:sz="4" w:space="0"/>
                  </w:tcBorders>
                  <w:vAlign w:val="center"/>
                </w:tcPr>
                <w:p w14:paraId="2B23712F">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19</w:t>
                  </w:r>
                </w:p>
              </w:tc>
              <w:tc>
                <w:tcPr>
                  <w:tcW w:w="829" w:type="dxa"/>
                  <w:tcBorders>
                    <w:top w:val="single" w:color="000000" w:sz="4" w:space="0"/>
                    <w:left w:val="single" w:color="000000" w:sz="4" w:space="0"/>
                    <w:bottom w:val="single" w:color="000000" w:sz="4" w:space="0"/>
                    <w:right w:val="single" w:color="000000" w:sz="4" w:space="0"/>
                  </w:tcBorders>
                  <w:vAlign w:val="center"/>
                </w:tcPr>
                <w:p w14:paraId="09B9F151">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20</w:t>
                  </w:r>
                </w:p>
              </w:tc>
              <w:tc>
                <w:tcPr>
                  <w:tcW w:w="819" w:type="dxa"/>
                  <w:tcBorders>
                    <w:top w:val="single" w:color="000000" w:sz="4" w:space="0"/>
                    <w:left w:val="single" w:color="000000" w:sz="4" w:space="0"/>
                    <w:bottom w:val="single" w:color="000000" w:sz="4" w:space="0"/>
                    <w:right w:val="single" w:color="000000" w:sz="4" w:space="0"/>
                  </w:tcBorders>
                  <w:vAlign w:val="center"/>
                </w:tcPr>
                <w:p w14:paraId="3D6B70B7">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21</w:t>
                  </w:r>
                </w:p>
              </w:tc>
            </w:tr>
            <w:tr w14:paraId="2151060D">
              <w:tblPrEx>
                <w:tblCellMar>
                  <w:top w:w="0" w:type="dxa"/>
                  <w:left w:w="108" w:type="dxa"/>
                  <w:bottom w:w="0" w:type="dxa"/>
                  <w:right w:w="108" w:type="dxa"/>
                </w:tblCellMar>
              </w:tblPrEx>
              <w:trPr>
                <w:trHeight w:val="600" w:hRule="atLeast"/>
              </w:trPr>
              <w:tc>
                <w:tcPr>
                  <w:tcW w:w="1465" w:type="dxa"/>
                  <w:tcBorders>
                    <w:top w:val="single" w:color="000000" w:sz="4" w:space="0"/>
                    <w:left w:val="single" w:color="000000" w:sz="4" w:space="0"/>
                    <w:bottom w:val="single" w:color="000000" w:sz="4" w:space="0"/>
                    <w:right w:val="single" w:color="000000" w:sz="4" w:space="0"/>
                  </w:tcBorders>
                  <w:vAlign w:val="center"/>
                </w:tcPr>
                <w:p w14:paraId="0D49438D">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vAlign w:val="center"/>
                </w:tcPr>
                <w:p w14:paraId="4EB139C9">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2.4</w:t>
                  </w:r>
                </w:p>
              </w:tc>
              <w:tc>
                <w:tcPr>
                  <w:tcW w:w="830" w:type="dxa"/>
                  <w:tcBorders>
                    <w:top w:val="single" w:color="000000" w:sz="4" w:space="0"/>
                    <w:left w:val="single" w:color="000000" w:sz="4" w:space="0"/>
                    <w:bottom w:val="single" w:color="000000" w:sz="4" w:space="0"/>
                    <w:right w:val="single" w:color="000000" w:sz="4" w:space="0"/>
                  </w:tcBorders>
                  <w:vAlign w:val="center"/>
                </w:tcPr>
                <w:p w14:paraId="0002AB64">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2.5</w:t>
                  </w:r>
                </w:p>
              </w:tc>
              <w:tc>
                <w:tcPr>
                  <w:tcW w:w="864" w:type="dxa"/>
                  <w:tcBorders>
                    <w:top w:val="single" w:color="000000" w:sz="4" w:space="0"/>
                    <w:left w:val="single" w:color="000000" w:sz="4" w:space="0"/>
                    <w:bottom w:val="single" w:color="000000" w:sz="4" w:space="0"/>
                    <w:right w:val="single" w:color="000000" w:sz="4" w:space="0"/>
                  </w:tcBorders>
                  <w:vAlign w:val="center"/>
                </w:tcPr>
                <w:p w14:paraId="0175C6DE">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2.6</w:t>
                  </w:r>
                </w:p>
              </w:tc>
              <w:tc>
                <w:tcPr>
                  <w:tcW w:w="848" w:type="dxa"/>
                  <w:tcBorders>
                    <w:top w:val="single" w:color="000000" w:sz="4" w:space="0"/>
                    <w:left w:val="single" w:color="000000" w:sz="4" w:space="0"/>
                    <w:bottom w:val="single" w:color="000000" w:sz="4" w:space="0"/>
                    <w:right w:val="single" w:color="000000" w:sz="4" w:space="0"/>
                  </w:tcBorders>
                  <w:vAlign w:val="center"/>
                </w:tcPr>
                <w:p w14:paraId="1E5AD438">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2.7</w:t>
                  </w:r>
                </w:p>
              </w:tc>
              <w:tc>
                <w:tcPr>
                  <w:tcW w:w="882" w:type="dxa"/>
                  <w:tcBorders>
                    <w:top w:val="single" w:color="000000" w:sz="4" w:space="0"/>
                    <w:left w:val="single" w:color="000000" w:sz="4" w:space="0"/>
                    <w:bottom w:val="single" w:color="000000" w:sz="4" w:space="0"/>
                    <w:right w:val="single" w:color="000000" w:sz="4" w:space="0"/>
                  </w:tcBorders>
                  <w:vAlign w:val="center"/>
                </w:tcPr>
                <w:p w14:paraId="1D8C380B">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2.8</w:t>
                  </w:r>
                </w:p>
              </w:tc>
              <w:tc>
                <w:tcPr>
                  <w:tcW w:w="829" w:type="dxa"/>
                  <w:tcBorders>
                    <w:top w:val="single" w:color="000000" w:sz="4" w:space="0"/>
                    <w:left w:val="single" w:color="000000" w:sz="4" w:space="0"/>
                    <w:bottom w:val="single" w:color="000000" w:sz="4" w:space="0"/>
                    <w:right w:val="single" w:color="000000" w:sz="4" w:space="0"/>
                  </w:tcBorders>
                  <w:vAlign w:val="center"/>
                </w:tcPr>
                <w:p w14:paraId="274EBFBF">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2.9</w:t>
                  </w:r>
                </w:p>
              </w:tc>
              <w:tc>
                <w:tcPr>
                  <w:tcW w:w="819" w:type="dxa"/>
                  <w:tcBorders>
                    <w:top w:val="single" w:color="000000" w:sz="4" w:space="0"/>
                    <w:left w:val="single" w:color="000000" w:sz="4" w:space="0"/>
                    <w:bottom w:val="single" w:color="000000" w:sz="4" w:space="0"/>
                    <w:right w:val="single" w:color="000000" w:sz="4" w:space="0"/>
                  </w:tcBorders>
                  <w:vAlign w:val="center"/>
                </w:tcPr>
                <w:p w14:paraId="131ED7FF">
                  <w:pPr>
                    <w:wordWrap w:val="0"/>
                    <w:adjustRightInd w:val="0"/>
                    <w:snapToGrid w:val="0"/>
                    <w:spacing w:line="400" w:lineRule="exact"/>
                    <w:jc w:val="center"/>
                    <w:rPr>
                      <w:rFonts w:hint="eastAsia" w:ascii="黑体" w:hAnsi="黑体" w:eastAsia="黑体" w:cs="黑体"/>
                      <w:snapToGrid w:val="0"/>
                      <w:kern w:val="0"/>
                      <w:szCs w:val="21"/>
                      <w:highlight w:val="none"/>
                    </w:rPr>
                  </w:pPr>
                  <w:r>
                    <w:rPr>
                      <w:rFonts w:hint="eastAsia" w:ascii="黑体" w:hAnsi="黑体" w:eastAsia="黑体" w:cs="黑体"/>
                      <w:snapToGrid w:val="0"/>
                      <w:kern w:val="0"/>
                      <w:szCs w:val="21"/>
                      <w:highlight w:val="none"/>
                    </w:rPr>
                    <w:t>3.0</w:t>
                  </w:r>
                </w:p>
              </w:tc>
            </w:tr>
          </w:tbl>
          <w:p w14:paraId="3C61E997">
            <w:pPr>
              <w:wordWrap w:val="0"/>
              <w:adjustRightInd w:val="0"/>
              <w:snapToGrid w:val="0"/>
              <w:spacing w:line="400" w:lineRule="exact"/>
              <w:ind w:firstLine="420" w:firstLineChars="200"/>
              <w:jc w:val="left"/>
              <w:rPr>
                <w:kern w:val="0"/>
                <w:szCs w:val="21"/>
                <w:highlight w:val="none"/>
              </w:rPr>
            </w:pPr>
            <w:r>
              <w:rPr>
                <w:rFonts w:hint="eastAsia"/>
                <w:snapToGrid w:val="0"/>
                <w:kern w:val="0"/>
                <w:szCs w:val="21"/>
                <w:highlight w:val="none"/>
              </w:rPr>
              <w:t>（2）评标基准价D＝最高投标限价×（1－n）</w:t>
            </w:r>
          </w:p>
        </w:tc>
      </w:tr>
      <w:tr w14:paraId="14BA8AAF">
        <w:tblPrEx>
          <w:tblCellMar>
            <w:top w:w="0" w:type="dxa"/>
            <w:left w:w="108" w:type="dxa"/>
            <w:bottom w:w="0" w:type="dxa"/>
            <w:right w:w="108" w:type="dxa"/>
          </w:tblCellMar>
        </w:tblPrEx>
        <w:trPr>
          <w:trHeight w:val="2839" w:hRule="atLeast"/>
          <w:jc w:val="center"/>
        </w:trPr>
        <w:tc>
          <w:tcPr>
            <w:tcW w:w="1637" w:type="dxa"/>
            <w:gridSpan w:val="2"/>
            <w:tcBorders>
              <w:top w:val="single" w:color="auto" w:sz="4" w:space="0"/>
              <w:left w:val="single" w:color="auto" w:sz="4" w:space="0"/>
              <w:bottom w:val="single" w:color="auto" w:sz="4" w:space="0"/>
              <w:right w:val="single" w:color="auto" w:sz="4" w:space="0"/>
            </w:tcBorders>
            <w:vAlign w:val="center"/>
          </w:tcPr>
          <w:p w14:paraId="44E1E7AA">
            <w:pPr>
              <w:pStyle w:val="182"/>
              <w:wordWrap w:val="0"/>
              <w:adjustRightInd w:val="0"/>
              <w:snapToGrid w:val="0"/>
              <w:spacing w:line="400" w:lineRule="exact"/>
              <w:jc w:val="center"/>
              <w:rPr>
                <w:rFonts w:eastAsia="宋体"/>
                <w:snapToGrid w:val="0"/>
                <w:kern w:val="0"/>
                <w:szCs w:val="21"/>
                <w:highlight w:val="none"/>
              </w:rPr>
            </w:pPr>
            <w:r>
              <w:rPr>
                <w:rFonts w:hint="eastAsia" w:eastAsia="宋体"/>
                <w:snapToGrid w:val="0"/>
                <w:kern w:val="0"/>
                <w:szCs w:val="21"/>
                <w:highlight w:val="none"/>
              </w:rPr>
              <w:t>投标报价</w:t>
            </w:r>
          </w:p>
          <w:p w14:paraId="29813A8D">
            <w:pPr>
              <w:pStyle w:val="182"/>
              <w:wordWrap w:val="0"/>
              <w:adjustRightInd w:val="0"/>
              <w:snapToGrid w:val="0"/>
              <w:spacing w:line="400" w:lineRule="exact"/>
              <w:jc w:val="center"/>
              <w:rPr>
                <w:rFonts w:eastAsia="宋体"/>
                <w:kern w:val="0"/>
                <w:szCs w:val="21"/>
                <w:highlight w:val="none"/>
              </w:rPr>
            </w:pPr>
            <w:r>
              <w:rPr>
                <w:rFonts w:hint="eastAsia" w:eastAsia="宋体"/>
                <w:snapToGrid w:val="0"/>
                <w:kern w:val="0"/>
                <w:szCs w:val="21"/>
                <w:highlight w:val="none"/>
              </w:rPr>
              <w:t>得分N</w:t>
            </w:r>
          </w:p>
        </w:tc>
        <w:tc>
          <w:tcPr>
            <w:tcW w:w="7725" w:type="dxa"/>
            <w:gridSpan w:val="2"/>
            <w:tcBorders>
              <w:top w:val="single" w:color="auto" w:sz="4" w:space="0"/>
              <w:left w:val="nil"/>
              <w:bottom w:val="single" w:color="auto" w:sz="4" w:space="0"/>
              <w:right w:val="single" w:color="auto" w:sz="4" w:space="0"/>
            </w:tcBorders>
            <w:vAlign w:val="center"/>
          </w:tcPr>
          <w:p w14:paraId="5DB00C3C">
            <w:pPr>
              <w:wordWrap w:val="0"/>
              <w:adjustRightInd w:val="0"/>
              <w:snapToGrid w:val="0"/>
              <w:spacing w:line="400" w:lineRule="exact"/>
              <w:ind w:firstLine="420" w:firstLineChars="200"/>
              <w:jc w:val="left"/>
              <w:rPr>
                <w:snapToGrid w:val="0"/>
                <w:kern w:val="0"/>
                <w:szCs w:val="21"/>
                <w:highlight w:val="none"/>
              </w:rPr>
            </w:pPr>
            <w:r>
              <w:rPr>
                <w:rFonts w:hint="eastAsia"/>
                <w:snapToGrid w:val="0"/>
                <w:kern w:val="0"/>
                <w:szCs w:val="21"/>
                <w:highlight w:val="none"/>
              </w:rPr>
              <w:t>采用内插法计算某投标人的投标报价得分N，即当投标人的投标总价等于评标基准价时得30分，每高于评标基准价一个百分点扣1分, 每低于评标基准价一个百分点扣0.5分，扣完为止。公式如下：</w:t>
            </w:r>
          </w:p>
          <w:p w14:paraId="45D251E8">
            <w:pPr>
              <w:wordWrap w:val="0"/>
              <w:adjustRightInd w:val="0"/>
              <w:snapToGrid w:val="0"/>
              <w:spacing w:line="400" w:lineRule="exact"/>
              <w:ind w:firstLine="420" w:firstLineChars="200"/>
              <w:jc w:val="left"/>
              <w:rPr>
                <w:snapToGrid w:val="0"/>
                <w:kern w:val="0"/>
                <w:szCs w:val="21"/>
                <w:highlight w:val="none"/>
              </w:rPr>
            </w:pPr>
            <w:r>
              <w:rPr>
                <w:rFonts w:hint="eastAsia"/>
                <w:snapToGrid w:val="0"/>
                <w:kern w:val="0"/>
                <w:szCs w:val="21"/>
                <w:highlight w:val="none"/>
              </w:rPr>
              <w:t>N＝30－（| Di－D | ÷D）×100×E</w:t>
            </w:r>
          </w:p>
          <w:p w14:paraId="309D11A4">
            <w:pPr>
              <w:wordWrap w:val="0"/>
              <w:adjustRightInd w:val="0"/>
              <w:snapToGrid w:val="0"/>
              <w:spacing w:line="400" w:lineRule="exact"/>
              <w:ind w:firstLine="420" w:firstLineChars="200"/>
              <w:jc w:val="left"/>
              <w:rPr>
                <w:kern w:val="0"/>
                <w:szCs w:val="21"/>
                <w:highlight w:val="none"/>
              </w:rPr>
            </w:pPr>
            <w:r>
              <w:rPr>
                <w:rFonts w:hint="eastAsia"/>
                <w:snapToGrid w:val="0"/>
                <w:kern w:val="0"/>
                <w:szCs w:val="21"/>
                <w:highlight w:val="none"/>
              </w:rPr>
              <w:t>式中：D为评标基准价；Di为某投标人的投标总价；E为扣分因子，当Di＞D时，E＝1 ；当Di＜D时，E＝0.5。</w:t>
            </w:r>
          </w:p>
        </w:tc>
      </w:tr>
    </w:tbl>
    <w:p w14:paraId="2668A716">
      <w:pPr>
        <w:rPr>
          <w:highlight w:val="none"/>
        </w:rPr>
      </w:pPr>
    </w:p>
    <w:p w14:paraId="376AECD9">
      <w:pPr>
        <w:spacing w:line="360" w:lineRule="auto"/>
        <w:outlineLvl w:val="2"/>
        <w:rPr>
          <w:rFonts w:hint="eastAsia" w:ascii="宋体" w:hAnsi="宋体" w:cs="宋体"/>
          <w:b/>
          <w:bCs/>
          <w:snapToGrid w:val="0"/>
          <w:kern w:val="0"/>
          <w:sz w:val="24"/>
          <w:szCs w:val="24"/>
          <w:highlight w:val="none"/>
        </w:rPr>
      </w:pPr>
      <w:r>
        <w:rPr>
          <w:rFonts w:hint="eastAsia" w:ascii="宋体" w:hAnsi="宋体" w:cs="宋体"/>
          <w:b/>
          <w:spacing w:val="10"/>
          <w:sz w:val="24"/>
          <w:szCs w:val="24"/>
          <w:highlight w:val="none"/>
        </w:rPr>
        <w:t>备注：</w:t>
      </w:r>
      <w:bookmarkStart w:id="185" w:name="_Toc8023"/>
      <w:r>
        <w:rPr>
          <w:rFonts w:hint="eastAsia" w:ascii="宋体" w:hAnsi="宋体" w:cs="宋体"/>
          <w:b/>
          <w:sz w:val="24"/>
          <w:szCs w:val="24"/>
          <w:highlight w:val="none"/>
        </w:rPr>
        <w:t>评分如出现小数点，则按“四舍五入”原则精确到两位小数。</w:t>
      </w:r>
      <w:bookmarkEnd w:id="185"/>
    </w:p>
    <w:p w14:paraId="1C0D0D1D">
      <w:pPr>
        <w:spacing w:line="360" w:lineRule="auto"/>
        <w:ind w:firstLine="422" w:firstLineChars="175"/>
        <w:outlineLvl w:val="3"/>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 xml:space="preserve">17.5.2 </w:t>
      </w:r>
      <w:r>
        <w:rPr>
          <w:rFonts w:hint="eastAsia" w:ascii="宋体" w:hAnsi="宋体" w:cs="宋体"/>
          <w:snapToGrid w:val="0"/>
          <w:kern w:val="0"/>
          <w:sz w:val="24"/>
          <w:szCs w:val="24"/>
          <w:highlight w:val="none"/>
        </w:rPr>
        <w:t>否决投标说明</w:t>
      </w:r>
    </w:p>
    <w:p w14:paraId="3BBCC191">
      <w:pPr>
        <w:spacing w:line="360" w:lineRule="auto"/>
        <w:ind w:firstLine="562"/>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详细评审阶段否决投标的全部条件，在本章第四节“否决投标条件”第</w:t>
      </w:r>
      <w:r>
        <w:rPr>
          <w:rFonts w:hint="eastAsia" w:ascii="宋体" w:hAnsi="宋体" w:cs="宋体"/>
          <w:b/>
          <w:bCs/>
          <w:snapToGrid w:val="0"/>
          <w:kern w:val="0"/>
          <w:sz w:val="24"/>
          <w:szCs w:val="24"/>
          <w:highlight w:val="none"/>
        </w:rPr>
        <w:t>4</w:t>
      </w:r>
      <w:r>
        <w:rPr>
          <w:rFonts w:hint="eastAsia" w:ascii="宋体" w:hAnsi="宋体" w:cs="宋体"/>
          <w:snapToGrid w:val="0"/>
          <w:kern w:val="0"/>
          <w:sz w:val="24"/>
          <w:szCs w:val="24"/>
          <w:highlight w:val="none"/>
        </w:rPr>
        <w:t>条中集中列示。投标人有其中所列任何一种情形的，由评标委员会否决其投标。经详细评审后，若所有投标均被否决，招标人应当依法重新招标。</w:t>
      </w:r>
    </w:p>
    <w:p w14:paraId="535A9BB6">
      <w:pPr>
        <w:spacing w:line="360" w:lineRule="auto"/>
        <w:ind w:firstLine="482" w:firstLineChars="200"/>
        <w:rPr>
          <w:rFonts w:hint="eastAsia" w:ascii="宋体" w:hAnsi="宋体" w:cs="宋体"/>
          <w:b/>
          <w:snapToGrid w:val="0"/>
          <w:kern w:val="0"/>
          <w:sz w:val="24"/>
          <w:szCs w:val="24"/>
          <w:highlight w:val="none"/>
        </w:rPr>
      </w:pPr>
      <w:r>
        <w:rPr>
          <w:rFonts w:hint="eastAsia" w:ascii="宋体" w:hAnsi="宋体" w:cs="宋体"/>
          <w:b/>
          <w:bCs/>
          <w:snapToGrid w:val="0"/>
          <w:kern w:val="0"/>
          <w:sz w:val="24"/>
          <w:szCs w:val="24"/>
          <w:highlight w:val="none"/>
        </w:rPr>
        <w:t>注：投标人在详细评审阶段根据评分方法提供的佐证材料，其合法性、有效性和准确性不符合要求的，有关评分因素的评分按相应评分标准处理，但不否决投标。</w:t>
      </w:r>
    </w:p>
    <w:p w14:paraId="56146C42">
      <w:pPr>
        <w:pStyle w:val="82"/>
        <w:keepNext/>
        <w:keepLines/>
        <w:adjustRightInd/>
        <w:ind w:firstLine="482" w:firstLineChars="200"/>
        <w:jc w:val="both"/>
        <w:outlineLvl w:val="2"/>
        <w:rPr>
          <w:rFonts w:hint="eastAsia" w:ascii="宋体" w:hAnsi="宋体" w:cs="宋体"/>
          <w:b/>
          <w:kern w:val="2"/>
          <w:highlight w:val="none"/>
        </w:rPr>
      </w:pPr>
      <w:bookmarkStart w:id="186" w:name="_Toc11963"/>
      <w:bookmarkStart w:id="187" w:name="_Toc135054601"/>
      <w:bookmarkStart w:id="188" w:name="_Toc32706"/>
      <w:r>
        <w:rPr>
          <w:rFonts w:hint="eastAsia" w:ascii="宋体" w:hAnsi="宋体" w:cs="宋体"/>
          <w:b/>
          <w:kern w:val="2"/>
          <w:highlight w:val="none"/>
        </w:rPr>
        <w:t>18 推荐中标候选人</w:t>
      </w:r>
      <w:bookmarkEnd w:id="186"/>
      <w:bookmarkEnd w:id="187"/>
      <w:bookmarkEnd w:id="188"/>
    </w:p>
    <w:p w14:paraId="688A0354">
      <w:pPr>
        <w:spacing w:line="360" w:lineRule="auto"/>
        <w:ind w:firstLine="482" w:firstLineChars="200"/>
        <w:outlineLvl w:val="3"/>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18.1</w:t>
      </w:r>
      <w:r>
        <w:rPr>
          <w:rFonts w:hint="eastAsia" w:ascii="宋体" w:hAnsi="宋体" w:cs="宋体"/>
          <w:snapToGrid w:val="0"/>
          <w:kern w:val="0"/>
          <w:sz w:val="24"/>
          <w:szCs w:val="24"/>
          <w:highlight w:val="none"/>
        </w:rPr>
        <w:t xml:space="preserve"> 确定排名</w:t>
      </w:r>
    </w:p>
    <w:p w14:paraId="11AEA82D">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评标委员会汇总、比较所有投标人的综合得分后，取综合得分最高的投标人为第一中标候选人，取综合得分第二、第三高的投标人为第二、第三中标候选人。综合得分相等时，以商务部分得分高的优先；如果商务部分得分也相等，以技术部分得分高的优先；如果技术部分得分也相等，以投标总价低的优先；投标总价也相等的，由评标委员会投票确定。</w:t>
      </w:r>
    </w:p>
    <w:p w14:paraId="74768715">
      <w:pPr>
        <w:spacing w:line="360" w:lineRule="auto"/>
        <w:ind w:firstLine="482" w:firstLineChars="200"/>
        <w:outlineLvl w:val="3"/>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18.2</w:t>
      </w:r>
      <w:r>
        <w:rPr>
          <w:rFonts w:hint="eastAsia" w:ascii="宋体" w:hAnsi="宋体" w:cs="宋体"/>
          <w:snapToGrid w:val="0"/>
          <w:kern w:val="0"/>
          <w:sz w:val="24"/>
          <w:szCs w:val="24"/>
          <w:highlight w:val="none"/>
        </w:rPr>
        <w:t xml:space="preserve"> 推荐方法</w:t>
      </w:r>
    </w:p>
    <w:p w14:paraId="02292E70">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（1）有效投标人数量达到或超过3个的，评标委员会将前三名投标人作为中标候选人向招标人推荐，并标明排列顺序。</w:t>
      </w:r>
    </w:p>
    <w:p w14:paraId="00E73145">
      <w:pPr>
        <w:spacing w:line="360" w:lineRule="auto"/>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4059C87C">
      <w:pPr>
        <w:spacing w:line="360" w:lineRule="auto"/>
        <w:ind w:firstLine="482" w:firstLineChars="200"/>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18.3</w:t>
      </w:r>
      <w:r>
        <w:rPr>
          <w:rFonts w:hint="eastAsia" w:ascii="宋体" w:hAnsi="宋体" w:cs="宋体"/>
          <w:snapToGrid w:val="0"/>
          <w:kern w:val="0"/>
          <w:sz w:val="24"/>
          <w:szCs w:val="24"/>
          <w:highlight w:val="none"/>
        </w:rPr>
        <w:t xml:space="preserve"> 评标委员会完成评标后，应向招标人提交由全体评标委员会成员签字的评标报告和中标候选人名单。</w:t>
      </w:r>
    </w:p>
    <w:p w14:paraId="4F6D1229">
      <w:pPr>
        <w:pStyle w:val="82"/>
        <w:keepNext/>
        <w:keepLines/>
        <w:adjustRightInd/>
        <w:jc w:val="both"/>
        <w:outlineLvl w:val="2"/>
        <w:rPr>
          <w:rFonts w:hint="eastAsia" w:ascii="宋体" w:hAnsi="宋体" w:cs="宋体"/>
          <w:b/>
          <w:kern w:val="2"/>
          <w:highlight w:val="none"/>
        </w:rPr>
      </w:pPr>
      <w:bookmarkStart w:id="189" w:name="_Toc15685"/>
      <w:bookmarkStart w:id="190" w:name="_Toc135054602"/>
      <w:bookmarkStart w:id="191" w:name="_Toc854"/>
      <w:r>
        <w:rPr>
          <w:rFonts w:hint="eastAsia" w:ascii="宋体" w:hAnsi="宋体" w:cs="宋体"/>
          <w:b/>
          <w:kern w:val="2"/>
          <w:highlight w:val="none"/>
        </w:rPr>
        <w:t>19 中标候选人公示</w:t>
      </w:r>
      <w:bookmarkEnd w:id="189"/>
      <w:bookmarkEnd w:id="190"/>
      <w:bookmarkEnd w:id="191"/>
    </w:p>
    <w:p w14:paraId="265E82D1">
      <w:pPr>
        <w:spacing w:line="360" w:lineRule="auto"/>
        <w:ind w:firstLine="482" w:firstLineChars="200"/>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19.1</w:t>
      </w:r>
      <w:r>
        <w:rPr>
          <w:rFonts w:hint="eastAsia" w:ascii="宋体" w:hAnsi="宋体" w:cs="宋体"/>
          <w:bCs/>
          <w:snapToGrid w:val="0"/>
          <w:kern w:val="0"/>
          <w:sz w:val="24"/>
          <w:szCs w:val="24"/>
          <w:highlight w:val="none"/>
        </w:rPr>
        <w:t xml:space="preserve"> </w:t>
      </w:r>
      <w:r>
        <w:rPr>
          <w:rFonts w:hint="eastAsia" w:ascii="宋体" w:hAnsi="宋体" w:cs="宋体"/>
          <w:snapToGrid w:val="0"/>
          <w:kern w:val="0"/>
          <w:sz w:val="24"/>
          <w:szCs w:val="24"/>
          <w:highlight w:val="none"/>
        </w:rPr>
        <w:t>招标人自收到评标委员会提交的书面评标报告和中标候选人名单之日起3日内，将评标结果（即中标候选人名单）、中标候选人投标文件（指商务经济标书分册）、评标过程（评标专家姓名用代码标记）一并在广东省招标投标监管网（https://www.gdzwfw.gov.cn/ztbjg-portal/#/index）、全国公共资源交易平台（广东省·韶关市）（https://ygp.gdzwfw.gov.cn/ggzy-portal/#/440200/index）进行公示，公示期不得少于3天。</w:t>
      </w:r>
    </w:p>
    <w:p w14:paraId="12CD5030">
      <w:pPr>
        <w:spacing w:line="360" w:lineRule="auto"/>
        <w:ind w:firstLine="482" w:firstLineChars="200"/>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19.2</w:t>
      </w:r>
      <w:r>
        <w:rPr>
          <w:rFonts w:hint="eastAsia" w:ascii="宋体" w:hAnsi="宋体" w:cs="宋体"/>
          <w:snapToGrid w:val="0"/>
          <w:kern w:val="0"/>
          <w:sz w:val="24"/>
          <w:szCs w:val="24"/>
          <w:highlight w:val="none"/>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2021〕44 号）执行。如通过“韶关市公共资源交易服务平台”提出异议，投标人必须上传提交异议书扫描件（作为附件），异议书格式内容按照《韶关市工程建设项目招标投标活动异议和投诉处理办法》（韶发改〔2021〕44 号）执行，否则招标人不予受理。投标人提出异议后，必须及时通知招标人查收，否则，由此造成的超出法律规定时限的后果，由投标人自行承担。招标人受理异议后，投标人须及时向招标人提交书面异议。</w:t>
      </w:r>
    </w:p>
    <w:p w14:paraId="698A071E">
      <w:pPr>
        <w:spacing w:line="360" w:lineRule="auto"/>
        <w:ind w:firstLine="482" w:firstLineChars="200"/>
        <w:rPr>
          <w:rFonts w:hint="eastAsia" w:ascii="宋体" w:hAnsi="宋体" w:cs="宋体"/>
          <w:snapToGrid w:val="0"/>
          <w:kern w:val="0"/>
          <w:sz w:val="24"/>
          <w:szCs w:val="24"/>
          <w:highlight w:val="none"/>
        </w:rPr>
      </w:pPr>
      <w:r>
        <w:rPr>
          <w:rFonts w:hint="eastAsia" w:ascii="宋体" w:hAnsi="宋体" w:cs="宋体"/>
          <w:b/>
          <w:bCs/>
          <w:snapToGrid w:val="0"/>
          <w:kern w:val="0"/>
          <w:sz w:val="24"/>
          <w:szCs w:val="24"/>
          <w:highlight w:val="none"/>
        </w:rPr>
        <w:t>19.3</w:t>
      </w:r>
      <w:r>
        <w:rPr>
          <w:rFonts w:hint="eastAsia" w:ascii="宋体" w:hAnsi="宋体" w:cs="宋体"/>
          <w:snapToGrid w:val="0"/>
          <w:kern w:val="0"/>
          <w:sz w:val="24"/>
          <w:szCs w:val="24"/>
          <w:highlight w:val="none"/>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6F400740">
      <w:pPr>
        <w:pStyle w:val="82"/>
        <w:keepNext/>
        <w:keepLines/>
        <w:autoSpaceDE/>
        <w:autoSpaceDN/>
        <w:adjustRightInd/>
        <w:snapToGrid w:val="0"/>
        <w:jc w:val="both"/>
        <w:rPr>
          <w:rFonts w:hint="eastAsia" w:ascii="宋体" w:hAnsi="宋体" w:cs="宋体"/>
          <w:kern w:val="2"/>
          <w:highlight w:val="none"/>
        </w:rPr>
      </w:pPr>
      <w:bookmarkStart w:id="192" w:name="_Toc31980"/>
      <w:bookmarkStart w:id="193" w:name="_Toc2752"/>
      <w:r>
        <w:rPr>
          <w:rFonts w:hint="eastAsia" w:ascii="宋体" w:hAnsi="宋体" w:cs="宋体"/>
          <w:b/>
          <w:kern w:val="44"/>
          <w:highlight w:val="none"/>
        </w:rPr>
        <w:br w:type="page"/>
      </w:r>
      <w:bookmarkStart w:id="194" w:name="_Toc23891"/>
      <w:bookmarkStart w:id="195" w:name="_Toc1155"/>
      <w:bookmarkStart w:id="196" w:name="_Toc135054603"/>
      <w:r>
        <w:rPr>
          <w:rFonts w:hint="eastAsia" w:ascii="宋体" w:hAnsi="宋体" w:cs="宋体"/>
          <w:b/>
          <w:kern w:val="2"/>
          <w:highlight w:val="none"/>
        </w:rPr>
        <w:t>第四节 否决投标条件</w:t>
      </w:r>
      <w:bookmarkEnd w:id="192"/>
      <w:bookmarkEnd w:id="193"/>
      <w:bookmarkEnd w:id="194"/>
      <w:bookmarkEnd w:id="195"/>
      <w:bookmarkEnd w:id="196"/>
    </w:p>
    <w:p w14:paraId="06631E09">
      <w:pPr>
        <w:snapToGrid w:val="0"/>
        <w:spacing w:line="360" w:lineRule="auto"/>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　　本节所集中列示的否决投标条件，是本章第三节“投标人须知正文”的组成部分，是对本章第三节所规定的否决投标条件的总结和补充。</w:t>
      </w:r>
      <w:r>
        <w:rPr>
          <w:rFonts w:hint="eastAsia" w:ascii="宋体" w:hAnsi="宋体" w:cs="宋体"/>
          <w:b/>
          <w:bCs/>
          <w:snapToGrid w:val="0"/>
          <w:kern w:val="0"/>
          <w:sz w:val="24"/>
          <w:szCs w:val="22"/>
          <w:highlight w:val="none"/>
        </w:rPr>
        <w:t>投标人未有列入本节情形的，评标时一律不得否决其投标。</w:t>
      </w:r>
      <w:r>
        <w:rPr>
          <w:rFonts w:hint="eastAsia" w:ascii="宋体" w:hAnsi="宋体" w:cs="宋体"/>
          <w:snapToGrid w:val="0"/>
          <w:kern w:val="0"/>
          <w:sz w:val="24"/>
          <w:szCs w:val="22"/>
          <w:highlight w:val="none"/>
        </w:rPr>
        <w:t>本节所称“规定”均指招标文件的规定。</w:t>
      </w:r>
    </w:p>
    <w:p w14:paraId="2383F572">
      <w:pPr>
        <w:snapToGrid w:val="0"/>
        <w:spacing w:line="360" w:lineRule="auto"/>
        <w:ind w:firstLine="480"/>
        <w:outlineLvl w:val="2"/>
        <w:rPr>
          <w:rFonts w:hint="eastAsia" w:ascii="宋体" w:hAnsi="宋体" w:cs="宋体"/>
          <w:snapToGrid w:val="0"/>
          <w:kern w:val="0"/>
          <w:sz w:val="24"/>
          <w:szCs w:val="22"/>
          <w:highlight w:val="none"/>
        </w:rPr>
      </w:pPr>
      <w:bookmarkStart w:id="197" w:name="_Toc11881"/>
      <w:bookmarkStart w:id="198" w:name="_Toc4139"/>
      <w:r>
        <w:rPr>
          <w:rFonts w:hint="eastAsia" w:ascii="宋体" w:hAnsi="宋体" w:cs="宋体"/>
          <w:b/>
          <w:bCs/>
          <w:snapToGrid w:val="0"/>
          <w:kern w:val="0"/>
          <w:sz w:val="24"/>
          <w:szCs w:val="22"/>
          <w:highlight w:val="none"/>
        </w:rPr>
        <w:t>1．资格评审环节</w:t>
      </w:r>
      <w:bookmarkEnd w:id="197"/>
      <w:bookmarkEnd w:id="198"/>
    </w:p>
    <w:p w14:paraId="186BD668">
      <w:pPr>
        <w:snapToGrid w:val="0"/>
        <w:spacing w:line="360" w:lineRule="auto"/>
        <w:ind w:firstLine="48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投标人有下列情形之一的，评标委员会应否决其投标。被否决的投标，不进入形式评审环节。</w:t>
      </w:r>
    </w:p>
    <w:p w14:paraId="7C0D0BE6">
      <w:pPr>
        <w:snapToGrid w:val="0"/>
        <w:spacing w:line="360" w:lineRule="auto"/>
        <w:ind w:firstLine="48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（1）有本章第三节第</w:t>
      </w:r>
      <w:r>
        <w:rPr>
          <w:rFonts w:hint="eastAsia" w:ascii="宋体" w:hAnsi="宋体" w:cs="宋体"/>
          <w:b/>
          <w:bCs/>
          <w:snapToGrid w:val="0"/>
          <w:kern w:val="0"/>
          <w:sz w:val="24"/>
          <w:szCs w:val="22"/>
          <w:highlight w:val="none"/>
        </w:rPr>
        <w:t>4.4</w:t>
      </w:r>
      <w:r>
        <w:rPr>
          <w:rFonts w:hint="eastAsia" w:ascii="宋体" w:hAnsi="宋体" w:cs="宋体"/>
          <w:snapToGrid w:val="0"/>
          <w:kern w:val="0"/>
          <w:sz w:val="24"/>
          <w:szCs w:val="22"/>
          <w:highlight w:val="none"/>
        </w:rPr>
        <w:t>条“禁止投标条款”规定的任何一种情形；</w:t>
      </w:r>
    </w:p>
    <w:p w14:paraId="1B8E78A2">
      <w:pPr>
        <w:snapToGrid w:val="0"/>
        <w:spacing w:line="360" w:lineRule="auto"/>
        <w:ind w:firstLine="480"/>
        <w:outlineLvl w:val="3"/>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（2）投标人资质不符合</w:t>
      </w:r>
      <w:r>
        <w:rPr>
          <w:rFonts w:hint="eastAsia" w:ascii="宋体" w:hAnsi="宋体" w:cs="宋体"/>
          <w:snapToGrid w:val="0"/>
          <w:kern w:val="0"/>
          <w:sz w:val="24"/>
          <w:szCs w:val="21"/>
          <w:highlight w:val="none"/>
        </w:rPr>
        <w:t>规定的；</w:t>
      </w:r>
    </w:p>
    <w:p w14:paraId="43B69EEA">
      <w:pPr>
        <w:snapToGrid w:val="0"/>
        <w:spacing w:line="360" w:lineRule="auto"/>
        <w:ind w:firstLine="48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（3）投标人名称与营业执照、资质证书上的企业名称相互不一致的；其资质证书不是由住房城乡建设主管部门颁发的；营业执照、资质证书被吊销、暂扣或不在有效期内的；</w:t>
      </w:r>
    </w:p>
    <w:p w14:paraId="4FFB5C76">
      <w:pPr>
        <w:snapToGrid w:val="0"/>
        <w:spacing w:line="360" w:lineRule="auto"/>
        <w:ind w:firstLine="480"/>
        <w:rPr>
          <w:rFonts w:hint="eastAsia" w:ascii="宋体" w:hAnsi="宋体" w:cs="宋体"/>
          <w:b/>
          <w:bCs/>
          <w:snapToGrid w:val="0"/>
          <w:kern w:val="0"/>
          <w:sz w:val="24"/>
          <w:szCs w:val="22"/>
          <w:highlight w:val="none"/>
        </w:rPr>
      </w:pPr>
      <w:r>
        <w:rPr>
          <w:rFonts w:hint="eastAsia" w:ascii="宋体" w:hAnsi="宋体" w:cs="宋体"/>
          <w:b/>
          <w:bCs/>
          <w:snapToGrid w:val="0"/>
          <w:kern w:val="0"/>
          <w:sz w:val="24"/>
          <w:szCs w:val="22"/>
          <w:highlight w:val="none"/>
        </w:rPr>
        <w:t>注：投标人已经工商变更，但其企业资质证书的企业名称未完成变更的，不得否决其投标；投标人提供了经核准延续的资质证书或提供了延续申请的相关证明材料，不得否决其投标。</w:t>
      </w:r>
    </w:p>
    <w:p w14:paraId="7916F275">
      <w:pPr>
        <w:snapToGrid w:val="0"/>
        <w:spacing w:line="360" w:lineRule="auto"/>
        <w:ind w:firstLine="480" w:firstLineChars="20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（4）投标文件中拟派项目负责人（即设计负责人）的条件不符合规定的；</w:t>
      </w:r>
    </w:p>
    <w:p w14:paraId="0060594F">
      <w:pPr>
        <w:snapToGrid w:val="0"/>
        <w:spacing w:line="360" w:lineRule="auto"/>
        <w:ind w:firstLine="480" w:firstLineChars="20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（5）拟派人员的各类证书、证件、证明不在有效期内的；或注册单位与投标人不一致的；</w:t>
      </w:r>
    </w:p>
    <w:p w14:paraId="0B4EE745">
      <w:pPr>
        <w:snapToGrid w:val="0"/>
        <w:spacing w:line="360" w:lineRule="auto"/>
        <w:ind w:firstLine="480"/>
        <w:rPr>
          <w:rFonts w:hint="eastAsia" w:ascii="宋体" w:hAnsi="宋体" w:cs="宋体"/>
          <w:highlight w:val="none"/>
        </w:rPr>
      </w:pPr>
      <w:r>
        <w:rPr>
          <w:rFonts w:hint="eastAsia" w:ascii="宋体" w:hAnsi="宋体" w:cs="宋体"/>
          <w:b/>
          <w:bCs/>
          <w:snapToGrid w:val="0"/>
          <w:kern w:val="0"/>
          <w:sz w:val="24"/>
          <w:szCs w:val="22"/>
          <w:highlight w:val="none"/>
        </w:rPr>
        <w:t>注：投标人已经工商变更，但其员工执业资格注册证书的注册单位名称未完成变更的，不得否决其投标。</w:t>
      </w:r>
    </w:p>
    <w:p w14:paraId="6D0B050D">
      <w:pPr>
        <w:pStyle w:val="83"/>
        <w:snapToGrid w:val="0"/>
        <w:ind w:firstLine="480" w:firstLineChars="200"/>
        <w:rPr>
          <w:rFonts w:hint="eastAsia" w:hAnsi="宋体" w:cs="宋体"/>
          <w:highlight w:val="none"/>
        </w:rPr>
      </w:pPr>
      <w:r>
        <w:rPr>
          <w:rFonts w:hint="eastAsia" w:hAnsi="宋体" w:cs="宋体"/>
          <w:snapToGrid w:val="0"/>
          <w:kern w:val="0"/>
          <w:szCs w:val="22"/>
          <w:highlight w:val="none"/>
        </w:rPr>
        <w:t>（6）联合体投标，未提交</w:t>
      </w:r>
      <w:r>
        <w:rPr>
          <w:rFonts w:hint="eastAsia" w:hAnsi="宋体" w:cs="宋体"/>
          <w:snapToGrid w:val="0"/>
          <w:kern w:val="0"/>
          <w:szCs w:val="21"/>
          <w:highlight w:val="none"/>
        </w:rPr>
        <w:t>《联合体协议书》的；</w:t>
      </w:r>
      <w:r>
        <w:rPr>
          <w:rFonts w:hint="eastAsia" w:hAnsi="宋体" w:cs="宋体"/>
          <w:snapToGrid w:val="0"/>
          <w:kern w:val="0"/>
          <w:szCs w:val="22"/>
          <w:highlight w:val="none"/>
        </w:rPr>
        <w:t>擅自修改、遗漏</w:t>
      </w:r>
      <w:r>
        <w:rPr>
          <w:rFonts w:hint="eastAsia" w:hAnsi="宋体" w:cs="宋体"/>
          <w:snapToGrid w:val="0"/>
          <w:kern w:val="0"/>
          <w:szCs w:val="21"/>
          <w:highlight w:val="none"/>
        </w:rPr>
        <w:t>《联合体协议书》</w:t>
      </w:r>
      <w:r>
        <w:rPr>
          <w:rFonts w:hint="eastAsia" w:hAnsi="宋体" w:cs="宋体"/>
          <w:snapToGrid w:val="0"/>
          <w:kern w:val="0"/>
          <w:szCs w:val="22"/>
          <w:highlight w:val="none"/>
        </w:rPr>
        <w:t>实质性内容的；</w:t>
      </w:r>
      <w:r>
        <w:rPr>
          <w:rFonts w:hint="eastAsia" w:hAnsi="宋体" w:cs="宋体"/>
          <w:snapToGrid w:val="0"/>
          <w:kern w:val="0"/>
          <w:szCs w:val="21"/>
          <w:highlight w:val="none"/>
        </w:rPr>
        <w:t>联合体成员的数量、资质不符合规定的；联合体成员同时以自己名义单独投标或者参加其他联合体投标的；（本次招标不适用）</w:t>
      </w:r>
    </w:p>
    <w:p w14:paraId="5ACDBAC6">
      <w:pPr>
        <w:snapToGrid w:val="0"/>
        <w:spacing w:line="360" w:lineRule="auto"/>
        <w:ind w:firstLine="48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（7）投标人为外省企业，但未提供“进粤企业和人员诚信信息登记平台”企业</w:t>
      </w:r>
      <w:r>
        <w:rPr>
          <w:rFonts w:hint="eastAsia" w:ascii="宋体" w:hAnsi="宋体" w:cs="宋体"/>
          <w:snapToGrid w:val="0"/>
          <w:kern w:val="0"/>
          <w:sz w:val="24"/>
          <w:szCs w:val="24"/>
          <w:highlight w:val="none"/>
        </w:rPr>
        <w:t>及其拟派往本项目管理机构的所有人员</w:t>
      </w:r>
      <w:r>
        <w:rPr>
          <w:rFonts w:hint="eastAsia" w:ascii="宋体" w:hAnsi="宋体" w:cs="宋体"/>
          <w:snapToGrid w:val="0"/>
          <w:kern w:val="0"/>
          <w:sz w:val="24"/>
          <w:szCs w:val="22"/>
          <w:highlight w:val="none"/>
        </w:rPr>
        <w:t>信息情况打印页的。</w:t>
      </w:r>
    </w:p>
    <w:p w14:paraId="2183209D">
      <w:pPr>
        <w:snapToGrid w:val="0"/>
        <w:spacing w:line="360" w:lineRule="auto"/>
        <w:ind w:firstLine="480"/>
        <w:outlineLvl w:val="2"/>
        <w:rPr>
          <w:rFonts w:hint="eastAsia" w:ascii="宋体" w:hAnsi="宋体" w:cs="宋体"/>
          <w:snapToGrid w:val="0"/>
          <w:kern w:val="0"/>
          <w:sz w:val="24"/>
          <w:szCs w:val="22"/>
          <w:highlight w:val="none"/>
        </w:rPr>
      </w:pPr>
      <w:bookmarkStart w:id="199" w:name="_Toc22692"/>
      <w:bookmarkStart w:id="200" w:name="_Toc32171"/>
      <w:r>
        <w:rPr>
          <w:rFonts w:hint="eastAsia" w:ascii="宋体" w:hAnsi="宋体" w:cs="宋体"/>
          <w:b/>
          <w:bCs/>
          <w:snapToGrid w:val="0"/>
          <w:kern w:val="0"/>
          <w:sz w:val="24"/>
          <w:szCs w:val="22"/>
          <w:highlight w:val="none"/>
        </w:rPr>
        <w:t>2．形式评审环节</w:t>
      </w:r>
      <w:bookmarkEnd w:id="199"/>
      <w:bookmarkEnd w:id="200"/>
    </w:p>
    <w:p w14:paraId="3E86E2FA">
      <w:pPr>
        <w:snapToGrid w:val="0"/>
        <w:spacing w:line="360" w:lineRule="auto"/>
        <w:ind w:firstLine="48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投标人有下列情形之一的，评标委员会应否决其投标。被否决的投标，不进入响应性评审环节。</w:t>
      </w:r>
    </w:p>
    <w:p w14:paraId="57BE76A6">
      <w:pPr>
        <w:snapToGrid w:val="0"/>
        <w:spacing w:line="360" w:lineRule="auto"/>
        <w:ind w:firstLine="48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（8）本章第三节第</w:t>
      </w:r>
      <w:r>
        <w:rPr>
          <w:rFonts w:hint="eastAsia" w:ascii="宋体" w:hAnsi="宋体" w:cs="宋体"/>
          <w:b/>
          <w:bCs/>
          <w:snapToGrid w:val="0"/>
          <w:kern w:val="0"/>
          <w:sz w:val="24"/>
          <w:szCs w:val="21"/>
          <w:highlight w:val="none"/>
        </w:rPr>
        <w:t>10.2.2</w:t>
      </w:r>
      <w:r>
        <w:rPr>
          <w:rFonts w:hint="eastAsia" w:ascii="宋体" w:hAnsi="宋体" w:cs="宋体"/>
          <w:snapToGrid w:val="0"/>
          <w:kern w:val="0"/>
          <w:sz w:val="24"/>
          <w:szCs w:val="21"/>
          <w:highlight w:val="none"/>
        </w:rPr>
        <w:t>目、</w:t>
      </w:r>
      <w:r>
        <w:rPr>
          <w:rFonts w:hint="eastAsia" w:ascii="宋体" w:hAnsi="宋体" w:cs="宋体"/>
          <w:snapToGrid w:val="0"/>
          <w:kern w:val="0"/>
          <w:sz w:val="24"/>
          <w:szCs w:val="22"/>
          <w:highlight w:val="none"/>
        </w:rPr>
        <w:t>第</w:t>
      </w:r>
      <w:r>
        <w:rPr>
          <w:rFonts w:hint="eastAsia" w:ascii="宋体" w:hAnsi="宋体" w:cs="宋体"/>
          <w:b/>
          <w:bCs/>
          <w:snapToGrid w:val="0"/>
          <w:kern w:val="0"/>
          <w:sz w:val="24"/>
          <w:szCs w:val="22"/>
          <w:highlight w:val="none"/>
        </w:rPr>
        <w:t>10</w:t>
      </w:r>
      <w:r>
        <w:rPr>
          <w:rFonts w:hint="eastAsia" w:ascii="宋体" w:hAnsi="宋体" w:cs="宋体"/>
          <w:b/>
          <w:bCs/>
          <w:snapToGrid w:val="0"/>
          <w:kern w:val="0"/>
          <w:sz w:val="24"/>
          <w:szCs w:val="21"/>
          <w:highlight w:val="none"/>
        </w:rPr>
        <w:t>.3.2</w:t>
      </w:r>
      <w:r>
        <w:rPr>
          <w:rFonts w:hint="eastAsia" w:ascii="宋体" w:hAnsi="宋体" w:cs="宋体"/>
          <w:snapToGrid w:val="0"/>
          <w:kern w:val="0"/>
          <w:sz w:val="24"/>
          <w:szCs w:val="21"/>
          <w:highlight w:val="none"/>
        </w:rPr>
        <w:t>目</w:t>
      </w:r>
      <w:r>
        <w:rPr>
          <w:rFonts w:hint="eastAsia" w:ascii="宋体" w:hAnsi="宋体" w:cs="宋体"/>
          <w:snapToGrid w:val="0"/>
          <w:kern w:val="0"/>
          <w:sz w:val="24"/>
          <w:szCs w:val="22"/>
          <w:highlight w:val="none"/>
        </w:rPr>
        <w:t>中规定的“</w:t>
      </w:r>
      <w:r>
        <w:rPr>
          <w:rFonts w:hint="eastAsia" w:ascii="宋体" w:hAnsi="宋体" w:cs="宋体"/>
          <w:snapToGrid w:val="0"/>
          <w:kern w:val="0"/>
          <w:sz w:val="24"/>
          <w:szCs w:val="21"/>
          <w:highlight w:val="none"/>
        </w:rPr>
        <w:t>所有投标人均应提供</w:t>
      </w:r>
      <w:r>
        <w:rPr>
          <w:rFonts w:hint="eastAsia" w:ascii="宋体" w:hAnsi="宋体" w:cs="宋体"/>
          <w:snapToGrid w:val="0"/>
          <w:kern w:val="0"/>
          <w:sz w:val="24"/>
          <w:szCs w:val="22"/>
          <w:highlight w:val="none"/>
        </w:rPr>
        <w:t>”的组成内容（包括该组成内容的所附资料）中，任何一项有缺漏的；</w:t>
      </w:r>
    </w:p>
    <w:p w14:paraId="40DA9260">
      <w:pPr>
        <w:snapToGrid w:val="0"/>
        <w:spacing w:line="360" w:lineRule="auto"/>
        <w:ind w:firstLine="48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（9）关键字迹模糊、无法辨认，</w:t>
      </w:r>
      <w:r>
        <w:rPr>
          <w:rFonts w:hint="eastAsia" w:ascii="宋体" w:hAnsi="宋体" w:cs="宋体"/>
          <w:b/>
          <w:bCs/>
          <w:snapToGrid w:val="0"/>
          <w:kern w:val="0"/>
          <w:sz w:val="24"/>
          <w:szCs w:val="22"/>
          <w:highlight w:val="none"/>
        </w:rPr>
        <w:t>且该种过错将导致评标委员会无法作出投标文件是否响应招标文件实质性要求的</w:t>
      </w:r>
      <w:r>
        <w:rPr>
          <w:rFonts w:hint="eastAsia" w:ascii="宋体" w:hAnsi="宋体" w:cs="宋体"/>
          <w:snapToGrid w:val="0"/>
          <w:kern w:val="0"/>
          <w:sz w:val="24"/>
          <w:szCs w:val="22"/>
          <w:highlight w:val="none"/>
        </w:rPr>
        <w:t>；出现手工涂改、行间插字或删除，但未加盖单位章或由投标人的法定代表人或其委托代理人签字确认的；</w:t>
      </w:r>
    </w:p>
    <w:p w14:paraId="1C2E3F13">
      <w:pPr>
        <w:snapToGrid w:val="0"/>
        <w:spacing w:line="360" w:lineRule="auto"/>
        <w:ind w:firstLine="480"/>
        <w:outlineLvl w:val="3"/>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（10）投标文件未按规定签字、盖章的；</w:t>
      </w:r>
    </w:p>
    <w:p w14:paraId="35367958">
      <w:pPr>
        <w:snapToGrid w:val="0"/>
        <w:spacing w:line="360" w:lineRule="auto"/>
        <w:ind w:firstLine="480"/>
        <w:outlineLvl w:val="2"/>
        <w:rPr>
          <w:rFonts w:hint="eastAsia" w:ascii="宋体" w:hAnsi="宋体" w:cs="宋体"/>
          <w:b/>
          <w:bCs/>
          <w:snapToGrid w:val="0"/>
          <w:kern w:val="0"/>
          <w:sz w:val="24"/>
          <w:szCs w:val="22"/>
          <w:highlight w:val="none"/>
        </w:rPr>
      </w:pPr>
      <w:bookmarkStart w:id="201" w:name="_Toc26983"/>
      <w:bookmarkStart w:id="202" w:name="_Toc29122"/>
      <w:r>
        <w:rPr>
          <w:rFonts w:hint="eastAsia" w:ascii="宋体" w:hAnsi="宋体" w:cs="宋体"/>
          <w:b/>
          <w:bCs/>
          <w:snapToGrid w:val="0"/>
          <w:kern w:val="0"/>
          <w:sz w:val="24"/>
          <w:szCs w:val="22"/>
          <w:highlight w:val="none"/>
        </w:rPr>
        <w:t>3．响应性评审环节</w:t>
      </w:r>
      <w:bookmarkEnd w:id="201"/>
      <w:bookmarkEnd w:id="202"/>
    </w:p>
    <w:p w14:paraId="05D9FCB7">
      <w:pPr>
        <w:snapToGrid w:val="0"/>
        <w:spacing w:line="360" w:lineRule="auto"/>
        <w:ind w:firstLine="48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投标人有下列情形之一的，评标委员会应否决其投标。被否决的投标，不进入详细评审阶段。</w:t>
      </w:r>
    </w:p>
    <w:p w14:paraId="16C0A07F">
      <w:pPr>
        <w:snapToGrid w:val="0"/>
        <w:spacing w:line="360" w:lineRule="auto"/>
        <w:ind w:firstLine="480"/>
        <w:rPr>
          <w:rFonts w:hint="eastAsia" w:ascii="宋体" w:hAnsi="宋体" w:cs="宋体"/>
          <w:snapToGrid w:val="0"/>
          <w:kern w:val="0"/>
          <w:sz w:val="24"/>
          <w:szCs w:val="22"/>
          <w:highlight w:val="none"/>
        </w:rPr>
      </w:pPr>
      <w:bookmarkStart w:id="203" w:name="_Toc6331"/>
      <w:bookmarkStart w:id="204" w:name="_Toc19353"/>
      <w:r>
        <w:rPr>
          <w:rFonts w:hint="eastAsia" w:ascii="宋体" w:hAnsi="宋体" w:cs="宋体"/>
          <w:snapToGrid w:val="0"/>
          <w:kern w:val="0"/>
          <w:sz w:val="24"/>
          <w:szCs w:val="22"/>
          <w:highlight w:val="none"/>
        </w:rPr>
        <w:t>（11）投标有效期、工期不符合规定的；擅自修改、遗漏《投标函》《各项承诺一览表》实质性内容的；</w:t>
      </w:r>
    </w:p>
    <w:p w14:paraId="76D9DB76">
      <w:pPr>
        <w:snapToGrid w:val="0"/>
        <w:spacing w:line="360" w:lineRule="auto"/>
        <w:ind w:firstLine="48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（12）出现两个或两个以上投标总价的（同一个投标总价大、小写不一致的除外）；投标总价超出最高投标限价的；报价取费费率是否超出取费费率上限。</w:t>
      </w:r>
    </w:p>
    <w:p w14:paraId="1EC527F8">
      <w:pPr>
        <w:snapToGrid w:val="0"/>
        <w:spacing w:line="360" w:lineRule="auto"/>
        <w:ind w:firstLine="48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（13）在技术标书评审中，评标委员会认定质量、保障措施与国家和省市现行有关规范、规定、标准有重大偏差，且该种过错将导致工程质量、进度管理目标无法实现的。</w:t>
      </w:r>
    </w:p>
    <w:p w14:paraId="0C9B105E">
      <w:pPr>
        <w:snapToGrid w:val="0"/>
        <w:spacing w:line="360" w:lineRule="auto"/>
        <w:ind w:firstLine="480"/>
        <w:outlineLvl w:val="2"/>
        <w:rPr>
          <w:rFonts w:hint="eastAsia" w:ascii="宋体" w:hAnsi="宋体" w:cs="宋体"/>
          <w:b/>
          <w:bCs/>
          <w:snapToGrid w:val="0"/>
          <w:kern w:val="0"/>
          <w:sz w:val="24"/>
          <w:szCs w:val="22"/>
          <w:highlight w:val="none"/>
        </w:rPr>
      </w:pPr>
      <w:r>
        <w:rPr>
          <w:rFonts w:hint="eastAsia" w:ascii="宋体" w:hAnsi="宋体" w:cs="宋体"/>
          <w:b/>
          <w:bCs/>
          <w:snapToGrid w:val="0"/>
          <w:kern w:val="0"/>
          <w:sz w:val="24"/>
          <w:szCs w:val="22"/>
          <w:highlight w:val="none"/>
        </w:rPr>
        <w:t>4．其他</w:t>
      </w:r>
      <w:bookmarkEnd w:id="203"/>
      <w:bookmarkEnd w:id="204"/>
    </w:p>
    <w:p w14:paraId="33CF8D43">
      <w:pPr>
        <w:snapToGrid w:val="0"/>
        <w:spacing w:line="360" w:lineRule="auto"/>
        <w:ind w:firstLine="480"/>
        <w:rPr>
          <w:rFonts w:hint="eastAsia" w:ascii="宋体" w:hAnsi="宋体" w:cs="宋体"/>
          <w:snapToGrid w:val="0"/>
          <w:kern w:val="0"/>
          <w:sz w:val="24"/>
          <w:szCs w:val="28"/>
          <w:highlight w:val="none"/>
        </w:rPr>
      </w:pPr>
      <w:r>
        <w:rPr>
          <w:rFonts w:hint="eastAsia" w:ascii="宋体" w:hAnsi="宋体" w:cs="宋体"/>
          <w:snapToGrid w:val="0"/>
          <w:kern w:val="0"/>
          <w:sz w:val="24"/>
          <w:szCs w:val="22"/>
          <w:highlight w:val="none"/>
        </w:rPr>
        <w:t>在任何评标环节（或阶段），投标人有下列情形之一的，评标委员会应否决其投标。</w:t>
      </w:r>
      <w:r>
        <w:rPr>
          <w:rFonts w:hint="eastAsia" w:ascii="宋体" w:hAnsi="宋体" w:cs="宋体"/>
          <w:snapToGrid w:val="0"/>
          <w:kern w:val="0"/>
          <w:sz w:val="24"/>
          <w:szCs w:val="28"/>
          <w:highlight w:val="none"/>
        </w:rPr>
        <w:t>被否决的投标，不进入下一环节（或阶段）。</w:t>
      </w:r>
    </w:p>
    <w:p w14:paraId="3C6B1623">
      <w:pPr>
        <w:snapToGrid w:val="0"/>
        <w:spacing w:line="360" w:lineRule="auto"/>
        <w:ind w:firstLine="48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（14）不按评标委员会要求澄清、说明或补正的；</w:t>
      </w:r>
    </w:p>
    <w:p w14:paraId="733D0B89">
      <w:pPr>
        <w:snapToGrid w:val="0"/>
        <w:spacing w:line="360" w:lineRule="auto"/>
        <w:ind w:firstLine="48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（15）有下列情形之一，被评标委员会认定属于串通投标的：</w:t>
      </w:r>
    </w:p>
    <w:p w14:paraId="07F08A46">
      <w:pPr>
        <w:snapToGrid w:val="0"/>
        <w:spacing w:line="360" w:lineRule="auto"/>
        <w:ind w:firstLine="480" w:firstLineChars="20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①不同投标人的投标文件两处以上（含两处）错、漏一致；</w:t>
      </w:r>
    </w:p>
    <w:p w14:paraId="31F54A84">
      <w:pPr>
        <w:snapToGrid w:val="0"/>
        <w:spacing w:line="360" w:lineRule="auto"/>
        <w:ind w:firstLine="480" w:firstLineChars="20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②不同投标人的投标各项报价存在异常一致或者呈规律性变化；</w:t>
      </w:r>
    </w:p>
    <w:p w14:paraId="2A386E70">
      <w:pPr>
        <w:snapToGrid w:val="0"/>
        <w:spacing w:line="360" w:lineRule="auto"/>
        <w:ind w:firstLine="480" w:firstLineChars="20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③不同投标人的投标文件由同一单位或者同一个人编制；</w:t>
      </w:r>
    </w:p>
    <w:p w14:paraId="51F19946">
      <w:pPr>
        <w:snapToGrid w:val="0"/>
        <w:spacing w:line="360" w:lineRule="auto"/>
        <w:ind w:firstLine="480" w:firstLineChars="20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④不同投标人的投标文件中投标资料（包括电子资料）相互混装或项目班子成员出现同一人；</w:t>
      </w:r>
    </w:p>
    <w:p w14:paraId="3C92036C">
      <w:pPr>
        <w:snapToGrid w:val="0"/>
        <w:spacing w:line="360" w:lineRule="auto"/>
        <w:ind w:firstLine="480" w:firstLineChars="20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⑤不同投标人的投标文件由同一电脑编制或同一台附属设备打印；</w:t>
      </w:r>
    </w:p>
    <w:p w14:paraId="489A1CC7">
      <w:pPr>
        <w:snapToGrid w:val="0"/>
        <w:spacing w:line="360" w:lineRule="auto"/>
        <w:ind w:firstLine="480" w:firstLineChars="20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⑥不同投标人的投标保证由同一企业或同一账户资金缴纳；</w:t>
      </w:r>
    </w:p>
    <w:p w14:paraId="5B4ED043">
      <w:pPr>
        <w:snapToGrid w:val="0"/>
        <w:spacing w:line="360" w:lineRule="auto"/>
        <w:ind w:firstLine="480" w:firstLineChars="200"/>
        <w:rPr>
          <w:rFonts w:hint="eastAsia" w:ascii="宋体" w:hAnsi="宋体" w:cs="宋体"/>
          <w:bCs/>
          <w:kern w:val="1"/>
          <w:sz w:val="24"/>
          <w:highlight w:val="none"/>
        </w:rPr>
      </w:pPr>
      <w:r>
        <w:rPr>
          <w:rFonts w:hint="eastAsia" w:ascii="宋体" w:hAnsi="宋体" w:cs="宋体"/>
          <w:snapToGrid w:val="0"/>
          <w:kern w:val="0"/>
          <w:sz w:val="24"/>
          <w:szCs w:val="22"/>
          <w:highlight w:val="none"/>
        </w:rPr>
        <w:t>⑦不同投标人委托同一个人或注册在同一家企业的注册人员或同一家企业为其投标提供投标咨询、商务报价、技术咨询（招标项目本身要求采用专有技术的除外）等服务。</w:t>
      </w:r>
    </w:p>
    <w:p w14:paraId="79988F99">
      <w:pPr>
        <w:pStyle w:val="188"/>
        <w:keepNext/>
        <w:keepLines/>
        <w:snapToGrid w:val="0"/>
        <w:jc w:val="center"/>
        <w:outlineLvl w:val="9"/>
        <w:rPr>
          <w:rStyle w:val="47"/>
          <w:rFonts w:hint="eastAsia" w:hAnsi="宋体" w:cs="宋体"/>
          <w:b/>
          <w:bCs/>
          <w:sz w:val="28"/>
          <w:szCs w:val="18"/>
          <w:highlight w:val="none"/>
        </w:rPr>
      </w:pPr>
      <w:r>
        <w:rPr>
          <w:rStyle w:val="47"/>
          <w:rFonts w:hint="eastAsia" w:hAnsi="宋体" w:cs="宋体"/>
          <w:b/>
          <w:bCs/>
          <w:sz w:val="28"/>
          <w:szCs w:val="18"/>
          <w:highlight w:val="none"/>
        </w:rPr>
        <w:br w:type="page"/>
      </w:r>
      <w:bookmarkEnd w:id="182"/>
      <w:bookmarkEnd w:id="183"/>
      <w:bookmarkEnd w:id="184"/>
      <w:bookmarkStart w:id="205" w:name="_Hlt69698741"/>
      <w:bookmarkStart w:id="206" w:name="_Hlt69698722"/>
      <w:bookmarkStart w:id="207" w:name="_Toc26730"/>
      <w:bookmarkStart w:id="208" w:name="_Hlt69698769"/>
    </w:p>
    <w:bookmarkEnd w:id="5"/>
    <w:bookmarkEnd w:id="205"/>
    <w:bookmarkEnd w:id="206"/>
    <w:bookmarkEnd w:id="207"/>
    <w:bookmarkEnd w:id="208"/>
    <w:p w14:paraId="6CC9EB0C">
      <w:pPr>
        <w:spacing w:before="120" w:after="120" w:line="400" w:lineRule="exact"/>
        <w:jc w:val="center"/>
        <w:rPr>
          <w:rStyle w:val="47"/>
          <w:rFonts w:hint="eastAsia" w:ascii="宋体" w:hAnsi="宋体" w:cs="宋体"/>
          <w:b/>
          <w:bCs/>
          <w:sz w:val="28"/>
          <w:szCs w:val="18"/>
          <w:highlight w:val="none"/>
        </w:rPr>
      </w:pPr>
      <w:bookmarkStart w:id="209" w:name="_Toc14938"/>
      <w:bookmarkStart w:id="210" w:name="_Toc31900"/>
      <w:bookmarkStart w:id="211" w:name="_Toc466640610"/>
      <w:bookmarkStart w:id="212" w:name="_Toc28264"/>
      <w:r>
        <w:rPr>
          <w:rStyle w:val="47"/>
          <w:rFonts w:hint="eastAsia" w:ascii="宋体" w:hAnsi="宋体" w:cs="宋体"/>
          <w:b/>
          <w:bCs/>
          <w:sz w:val="28"/>
          <w:szCs w:val="18"/>
          <w:highlight w:val="none"/>
        </w:rPr>
        <w:t>第二章</w:t>
      </w:r>
      <w:bookmarkStart w:id="213" w:name="_Hlt87793831"/>
      <w:bookmarkEnd w:id="213"/>
      <w:r>
        <w:rPr>
          <w:rStyle w:val="47"/>
          <w:rFonts w:hint="eastAsia" w:ascii="宋体" w:hAnsi="宋体" w:cs="宋体"/>
          <w:b/>
          <w:bCs/>
          <w:sz w:val="28"/>
          <w:szCs w:val="18"/>
          <w:highlight w:val="none"/>
        </w:rPr>
        <w:t xml:space="preserve"> 拟签订合同的主要条款</w:t>
      </w:r>
    </w:p>
    <w:bookmarkEnd w:id="209"/>
    <w:bookmarkEnd w:id="210"/>
    <w:p w14:paraId="194B1EFA">
      <w:pPr>
        <w:pStyle w:val="3"/>
        <w:spacing w:line="440" w:lineRule="exact"/>
        <w:jc w:val="both"/>
        <w:rPr>
          <w:rFonts w:hint="eastAsia" w:ascii="宋体" w:hAnsi="宋体" w:cs="宋体"/>
          <w:b/>
          <w:kern w:val="2"/>
          <w:sz w:val="24"/>
          <w:szCs w:val="22"/>
          <w:highlight w:val="none"/>
        </w:rPr>
      </w:pPr>
      <w:bookmarkStart w:id="214" w:name="_Toc25388"/>
      <w:bookmarkStart w:id="215" w:name="_Toc21399"/>
      <w:bookmarkStart w:id="216" w:name="_Toc18268"/>
      <w:bookmarkStart w:id="217" w:name="_Toc353462211"/>
      <w:bookmarkStart w:id="218" w:name="_Toc19233"/>
      <w:bookmarkStart w:id="219" w:name="_Toc24616749"/>
      <w:bookmarkStart w:id="220" w:name="_Toc143766475"/>
      <w:bookmarkStart w:id="221" w:name="_Toc371968727"/>
      <w:bookmarkStart w:id="222" w:name="_Toc353462320"/>
      <w:bookmarkStart w:id="223" w:name="_Toc143765509"/>
      <w:r>
        <w:rPr>
          <w:rFonts w:hint="eastAsia" w:ascii="宋体" w:hAnsi="宋体" w:cs="宋体"/>
          <w:b/>
          <w:kern w:val="2"/>
          <w:sz w:val="24"/>
          <w:szCs w:val="22"/>
          <w:highlight w:val="none"/>
        </w:rPr>
        <w:t>一、 承包方式</w:t>
      </w:r>
      <w:bookmarkEnd w:id="214"/>
      <w:bookmarkEnd w:id="215"/>
      <w:bookmarkEnd w:id="216"/>
      <w:bookmarkEnd w:id="217"/>
      <w:bookmarkEnd w:id="218"/>
      <w:bookmarkEnd w:id="219"/>
      <w:bookmarkEnd w:id="220"/>
      <w:bookmarkEnd w:id="221"/>
      <w:bookmarkEnd w:id="222"/>
      <w:bookmarkEnd w:id="223"/>
    </w:p>
    <w:p w14:paraId="71F01AC9">
      <w:pPr>
        <w:snapToGrid w:val="0"/>
        <w:spacing w:line="440" w:lineRule="exact"/>
        <w:ind w:firstLine="480" w:firstLineChars="200"/>
        <w:rPr>
          <w:rFonts w:hint="eastAsia" w:ascii="宋体" w:hAnsi="宋体" w:cs="宋体"/>
          <w:sz w:val="24"/>
          <w:szCs w:val="32"/>
          <w:highlight w:val="none"/>
        </w:rPr>
      </w:pPr>
      <w:r>
        <w:rPr>
          <w:rFonts w:hint="eastAsia" w:ascii="宋体" w:hAnsi="宋体" w:cs="宋体"/>
          <w:sz w:val="24"/>
          <w:szCs w:val="32"/>
          <w:highlight w:val="none"/>
        </w:rPr>
        <w:t>1.1承包人以中标价按合同约定和招标文件内容要求，法律法规及国家强制性标准要求，包括但不限于：初步设计文件（含概算）及</w:t>
      </w:r>
      <w:r>
        <w:rPr>
          <w:rFonts w:hint="eastAsia" w:ascii="宋体" w:hAnsi="宋体" w:cs="宋体"/>
          <w:sz w:val="24"/>
          <w:szCs w:val="24"/>
          <w:highlight w:val="none"/>
        </w:rPr>
        <w:t>施工图设计文件和建设期的服务内容</w:t>
      </w:r>
      <w:r>
        <w:rPr>
          <w:rFonts w:hint="eastAsia" w:ascii="宋体" w:hAnsi="宋体" w:cs="宋体"/>
          <w:sz w:val="24"/>
          <w:szCs w:val="32"/>
          <w:highlight w:val="none"/>
        </w:rPr>
        <w:t>。不允许转包和违法分包，</w:t>
      </w:r>
      <w:r>
        <w:rPr>
          <w:rFonts w:hint="eastAsia" w:ascii="宋体" w:hAnsi="宋体" w:cs="宋体"/>
          <w:sz w:val="24"/>
          <w:szCs w:val="24"/>
          <w:highlight w:val="none"/>
        </w:rPr>
        <w:t>如确需分包须与发包人协商并得到发包人和监理单位同意并报工程主管部门备案</w:t>
      </w:r>
      <w:r>
        <w:rPr>
          <w:rFonts w:hint="eastAsia" w:ascii="宋体" w:hAnsi="宋体" w:cs="宋体"/>
          <w:sz w:val="24"/>
          <w:szCs w:val="32"/>
          <w:highlight w:val="none"/>
        </w:rPr>
        <w:t>。</w:t>
      </w:r>
    </w:p>
    <w:p w14:paraId="2340732D">
      <w:pPr>
        <w:snapToGrid w:val="0"/>
        <w:spacing w:line="440" w:lineRule="exact"/>
        <w:ind w:firstLine="480" w:firstLineChars="200"/>
        <w:rPr>
          <w:rFonts w:hint="eastAsia" w:ascii="宋体" w:hAnsi="宋体" w:cs="宋体"/>
          <w:sz w:val="24"/>
          <w:szCs w:val="32"/>
          <w:highlight w:val="none"/>
        </w:rPr>
      </w:pPr>
      <w:r>
        <w:rPr>
          <w:rFonts w:hint="eastAsia" w:ascii="宋体" w:hAnsi="宋体" w:cs="宋体"/>
          <w:sz w:val="24"/>
          <w:szCs w:val="32"/>
          <w:highlight w:val="none"/>
        </w:rPr>
        <w:t>1.2 限额设计要求：</w:t>
      </w:r>
    </w:p>
    <w:p w14:paraId="7A8F5D63">
      <w:pPr>
        <w:snapToGrid w:val="0"/>
        <w:spacing w:line="440" w:lineRule="exact"/>
        <w:ind w:firstLine="480" w:firstLineChars="200"/>
        <w:rPr>
          <w:rFonts w:hint="eastAsia" w:ascii="宋体" w:hAnsi="宋体" w:cs="宋体"/>
          <w:sz w:val="24"/>
          <w:szCs w:val="32"/>
          <w:highlight w:val="none"/>
        </w:rPr>
      </w:pPr>
      <w:r>
        <w:rPr>
          <w:rFonts w:hint="eastAsia" w:ascii="宋体" w:hAnsi="宋体" w:cs="宋体"/>
          <w:sz w:val="24"/>
          <w:szCs w:val="32"/>
          <w:highlight w:val="none"/>
        </w:rPr>
        <w:t>1.2.1</w:t>
      </w:r>
      <w:r>
        <w:rPr>
          <w:rFonts w:hint="eastAsia" w:ascii="Arial" w:hAnsi="Arial" w:cs="Arial"/>
          <w:sz w:val="24"/>
          <w:szCs w:val="24"/>
          <w:highlight w:val="none"/>
        </w:rPr>
        <w:t>初步设计概算</w:t>
      </w:r>
      <w:r>
        <w:rPr>
          <w:rFonts w:ascii="宋体" w:hAnsi="宋体"/>
          <w:sz w:val="24"/>
          <w:szCs w:val="24"/>
          <w:highlight w:val="none"/>
        </w:rPr>
        <w:t>不得超过经批准的可行性研究报告总投资</w:t>
      </w:r>
      <w:r>
        <w:rPr>
          <w:rFonts w:hint="eastAsia" w:ascii="Arial" w:hAnsi="Arial" w:cs="Arial"/>
          <w:sz w:val="24"/>
          <w:szCs w:val="24"/>
          <w:highlight w:val="none"/>
        </w:rPr>
        <w:t>且概算中的建安工程费不得超过投资估算中的建安工程费。</w:t>
      </w:r>
      <w:r>
        <w:rPr>
          <w:rFonts w:hint="eastAsia" w:ascii="宋体" w:hAnsi="宋体" w:cs="宋体"/>
          <w:sz w:val="24"/>
          <w:szCs w:val="32"/>
          <w:highlight w:val="none"/>
        </w:rPr>
        <w:t>在保证设计质量的前提下，设计人应按投资限额进行设计，严格控制设计变更，确保工程概算不突破限额目标。如超过则必须进行方案修改，并承诺该修改不改变有关设计和规划的原则、内容与要求，不改变原方案设计的构思，不降低使用功能与设计质量标准，无条件进行优化设计且不计取任何费用，直至不超过投资估算限额为止。</w:t>
      </w:r>
    </w:p>
    <w:p w14:paraId="68FE8936">
      <w:pPr>
        <w:spacing w:before="120" w:beforeLines="50" w:line="360" w:lineRule="auto"/>
        <w:ind w:firstLine="480" w:firstLineChars="200"/>
        <w:rPr>
          <w:highlight w:val="none"/>
        </w:rPr>
      </w:pPr>
      <w:r>
        <w:rPr>
          <w:rFonts w:hint="eastAsia" w:ascii="宋体" w:hAnsi="宋体" w:cs="Arial"/>
          <w:sz w:val="24"/>
          <w:szCs w:val="24"/>
          <w:highlight w:val="none"/>
        </w:rPr>
        <w:t>1.2.2</w:t>
      </w:r>
      <w:r>
        <w:rPr>
          <w:rFonts w:hint="eastAsia" w:ascii="Arial" w:hAnsi="Arial" w:cs="Arial"/>
          <w:sz w:val="24"/>
          <w:szCs w:val="24"/>
          <w:highlight w:val="none"/>
        </w:rPr>
        <w:t>承包人在提交初步设计文件时必须同时提交概算。概算作为承包人自我核算是否符合限额设计要求的依据。若超过限额设计的规定时，承包人必须无条件对初步设计进行修改，直至满足限额设计要求，不另行增加设计费。</w:t>
      </w:r>
    </w:p>
    <w:p w14:paraId="07E2CC57">
      <w:pPr>
        <w:pStyle w:val="3"/>
        <w:spacing w:line="440" w:lineRule="exact"/>
        <w:jc w:val="both"/>
        <w:rPr>
          <w:rFonts w:hint="eastAsia" w:ascii="宋体" w:hAnsi="宋体" w:cs="宋体"/>
          <w:b/>
          <w:kern w:val="2"/>
          <w:sz w:val="24"/>
          <w:szCs w:val="22"/>
          <w:highlight w:val="none"/>
        </w:rPr>
      </w:pPr>
      <w:bookmarkStart w:id="224" w:name="_Hlt112206782"/>
      <w:bookmarkEnd w:id="224"/>
      <w:bookmarkStart w:id="225" w:name="_Toc143766476"/>
      <w:bookmarkStart w:id="226" w:name="_Toc143765510"/>
      <w:bookmarkStart w:id="227" w:name="_Toc353462321"/>
      <w:bookmarkStart w:id="228" w:name="_Toc371968728"/>
      <w:bookmarkStart w:id="229" w:name="_Toc353462212"/>
      <w:bookmarkStart w:id="230" w:name="_Toc17125"/>
      <w:bookmarkStart w:id="231" w:name="_Toc24616750"/>
      <w:bookmarkStart w:id="232" w:name="_Toc19364"/>
      <w:bookmarkStart w:id="233" w:name="_Toc14534"/>
      <w:bookmarkStart w:id="234" w:name="_Hlt87951777"/>
      <w:bookmarkStart w:id="235" w:name="_Toc19155"/>
      <w:r>
        <w:rPr>
          <w:rFonts w:hint="eastAsia" w:ascii="宋体" w:hAnsi="宋体" w:cs="宋体"/>
          <w:b/>
          <w:kern w:val="2"/>
          <w:sz w:val="24"/>
          <w:szCs w:val="22"/>
          <w:highlight w:val="none"/>
        </w:rPr>
        <w:t>二、合同价款支付办法</w:t>
      </w:r>
      <w:bookmarkEnd w:id="225"/>
      <w:bookmarkEnd w:id="226"/>
      <w:bookmarkEnd w:id="227"/>
      <w:bookmarkEnd w:id="228"/>
      <w:bookmarkEnd w:id="229"/>
      <w:r>
        <w:rPr>
          <w:rFonts w:hint="eastAsia" w:ascii="宋体" w:hAnsi="宋体" w:cs="宋体"/>
          <w:b/>
          <w:kern w:val="2"/>
          <w:sz w:val="24"/>
          <w:szCs w:val="22"/>
          <w:highlight w:val="none"/>
        </w:rPr>
        <w:t>及结算原则</w:t>
      </w:r>
      <w:bookmarkEnd w:id="230"/>
      <w:bookmarkEnd w:id="231"/>
      <w:bookmarkEnd w:id="232"/>
      <w:bookmarkEnd w:id="233"/>
      <w:bookmarkEnd w:id="234"/>
      <w:bookmarkEnd w:id="235"/>
    </w:p>
    <w:p w14:paraId="22C5D26A">
      <w:pPr>
        <w:snapToGrid w:val="0"/>
        <w:spacing w:line="440" w:lineRule="exact"/>
        <w:ind w:firstLine="480" w:firstLineChars="200"/>
        <w:rPr>
          <w:rFonts w:hint="eastAsia" w:ascii="宋体" w:hAnsi="宋体" w:cs="宋体"/>
          <w:sz w:val="24"/>
          <w:szCs w:val="32"/>
          <w:highlight w:val="none"/>
        </w:rPr>
      </w:pPr>
      <w:r>
        <w:rPr>
          <w:rFonts w:hint="eastAsia" w:ascii="宋体" w:hAnsi="宋体" w:cs="宋体"/>
          <w:sz w:val="24"/>
          <w:szCs w:val="32"/>
          <w:highlight w:val="none"/>
        </w:rPr>
        <w:t>2.1本工程按中标人的投标报价，中标价即签约合同价。</w:t>
      </w:r>
    </w:p>
    <w:p w14:paraId="1A25F7D0">
      <w:pPr>
        <w:snapToGrid w:val="0"/>
        <w:spacing w:line="440" w:lineRule="exact"/>
        <w:ind w:firstLine="480" w:firstLineChars="200"/>
        <w:rPr>
          <w:rFonts w:hint="eastAsia" w:ascii="宋体" w:hAnsi="宋体" w:cs="宋体"/>
          <w:sz w:val="24"/>
          <w:szCs w:val="32"/>
          <w:highlight w:val="none"/>
        </w:rPr>
      </w:pPr>
      <w:r>
        <w:rPr>
          <w:rFonts w:hint="eastAsia" w:ascii="宋体" w:hAnsi="宋体" w:cs="宋体"/>
          <w:sz w:val="24"/>
          <w:szCs w:val="32"/>
          <w:highlight w:val="none"/>
        </w:rPr>
        <w:t>2.2结算原则：</w:t>
      </w:r>
    </w:p>
    <w:p w14:paraId="3DA0AF18">
      <w:pPr>
        <w:spacing w:before="120" w:beforeLines="5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设计费结算原则：中标设计取费费率即为</w:t>
      </w:r>
      <w:r>
        <w:rPr>
          <w:rFonts w:hint="eastAsia" w:ascii="宋体" w:hAnsi="宋体" w:cs="宋体"/>
          <w:sz w:val="24"/>
          <w:highlight w:val="none"/>
        </w:rPr>
        <w:t>初步</w:t>
      </w:r>
      <w:r>
        <w:rPr>
          <w:rFonts w:hint="eastAsia" w:ascii="宋体" w:hAnsi="宋体" w:cs="宋体"/>
          <w:sz w:val="24"/>
          <w:szCs w:val="24"/>
          <w:highlight w:val="none"/>
        </w:rPr>
        <w:t>设计费的结算费率，结算时按已审定的建安费预算价为计费基数计算，即设计费结算价=已审定的建安费预算价×中标设计取费费率。</w:t>
      </w:r>
    </w:p>
    <w:p w14:paraId="5869FEF7">
      <w:pPr>
        <w:spacing w:before="120" w:beforeLines="5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 合同价款支付方式</w:t>
      </w:r>
    </w:p>
    <w:p w14:paraId="75671C00">
      <w:pPr>
        <w:spacing w:before="120" w:beforeLines="5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2.3.1设计费的支付：</w:t>
      </w:r>
    </w:p>
    <w:p w14:paraId="0FAA16C7">
      <w:pPr>
        <w:numPr>
          <w:ilvl w:val="0"/>
          <w:numId w:val="3"/>
        </w:numPr>
        <w:spacing w:line="440" w:lineRule="exact"/>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合同签订方案通过后支付设计</w:t>
      </w:r>
      <w:r>
        <w:rPr>
          <w:rFonts w:hint="eastAsia" w:ascii="宋体" w:hAnsi="宋体" w:cs="宋体"/>
          <w:sz w:val="24"/>
          <w:szCs w:val="24"/>
          <w:highlight w:val="none"/>
        </w:rPr>
        <w:t>费的</w:t>
      </w:r>
      <w:r>
        <w:rPr>
          <w:rFonts w:hint="eastAsia" w:ascii="宋体" w:hAnsi="宋体" w:cs="宋体"/>
          <w:sz w:val="24"/>
          <w:szCs w:val="24"/>
          <w:highlight w:val="none"/>
          <w:lang w:val="zh-CN"/>
        </w:rPr>
        <w:t>30%；</w:t>
      </w:r>
    </w:p>
    <w:p w14:paraId="0B387DA1">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（2）施工图设计文件及预算经审查通过并提交符合要求的正式设计成果及预算经区财政局审定后后10个工作日内，支付至设计费合同价的90%；</w:t>
      </w:r>
    </w:p>
    <w:p w14:paraId="113838D9">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）项目开工后，剩余设计费转至三方共管账户，项目完工后，解除监管。</w:t>
      </w:r>
    </w:p>
    <w:p w14:paraId="34E98884">
      <w:pPr>
        <w:pStyle w:val="83"/>
        <w:spacing w:line="440" w:lineRule="exact"/>
        <w:ind w:firstLine="480" w:firstLineChars="200"/>
        <w:rPr>
          <w:rFonts w:hint="eastAsia" w:hAnsi="宋体" w:cs="宋体"/>
          <w:highlight w:val="none"/>
        </w:rPr>
      </w:pPr>
      <w:r>
        <w:rPr>
          <w:rFonts w:hint="eastAsia" w:hAnsi="宋体" w:cs="宋体"/>
          <w:highlight w:val="none"/>
        </w:rPr>
        <w:t xml:space="preserve">2.3.3承包人在提交支付申请时，须向发包人提供等额有效的增值税发票及符合政府财政部门审批要求的申请资料。 </w:t>
      </w:r>
    </w:p>
    <w:p w14:paraId="7E2705D1">
      <w:pPr>
        <w:pStyle w:val="83"/>
        <w:spacing w:line="440" w:lineRule="exact"/>
        <w:ind w:firstLine="480" w:firstLineChars="200"/>
        <w:rPr>
          <w:rFonts w:hint="eastAsia" w:hAnsi="宋体" w:cs="宋体"/>
          <w:highlight w:val="none"/>
        </w:rPr>
      </w:pPr>
      <w:r>
        <w:rPr>
          <w:rFonts w:hint="eastAsia" w:hAnsi="宋体" w:cs="宋体"/>
          <w:highlight w:val="none"/>
        </w:rPr>
        <w:t>2.3.4本项目为政府全额投资，所有支付手续经发包人审批后，还须报政府财政部门审批完毕方可支付，如经发包人审批后已及时履行了向财政部门申报审批手续，则发包人不承担因此造成的延期支付责任及不支付延期付款的利息，承包人也不得因发包人延期付款而暂停相关服务。</w:t>
      </w:r>
    </w:p>
    <w:p w14:paraId="3A172946">
      <w:pPr>
        <w:spacing w:before="120" w:beforeLines="50" w:line="360" w:lineRule="auto"/>
        <w:rPr>
          <w:rFonts w:hint="eastAsia" w:ascii="宋体" w:hAnsi="宋体" w:cs="宋体"/>
          <w:sz w:val="24"/>
          <w:szCs w:val="24"/>
          <w:highlight w:val="none"/>
        </w:rPr>
      </w:pPr>
      <w:r>
        <w:rPr>
          <w:rFonts w:hint="eastAsia" w:ascii="宋体" w:hAnsi="宋体" w:cs="宋体"/>
          <w:b/>
          <w:sz w:val="24"/>
          <w:szCs w:val="22"/>
          <w:highlight w:val="none"/>
        </w:rPr>
        <w:t>三、补充条款：</w:t>
      </w:r>
    </w:p>
    <w:p w14:paraId="25973022">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设计工作除满足招标文件及设计任务书的要求外，还须达到以下补充条款的要求：</w:t>
      </w:r>
    </w:p>
    <w:p w14:paraId="341E49B1">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1. 本设计合同总价包括所有设计事务工作收费、技术工作收费、税金和完成合同约定的所有与工程设计有关的全部费用。</w:t>
      </w:r>
    </w:p>
    <w:p w14:paraId="08FDCDC4">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2. 设计人未经发包人同意擅自对工程设计进行分包的，发包人有权收回未经发包人同意的设计分包内容，已支付该部分分包内容设计费用的在下次支付设计费时扣除，未支付的将不予支付该部分分包内容设计费 。如需其他专业分包，需提前向发包人报备，并提供相应专业资质文件，发包人同意后方可进行分包。</w:t>
      </w:r>
    </w:p>
    <w:p w14:paraId="0BCB901A">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3. 知识产权和专利权</w:t>
      </w:r>
    </w:p>
    <w:p w14:paraId="1B63FC41">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3.1 设计人保证投标文件及资料均未侵犯他人的知识产权，否则必须承担全部责任。若设计人使用了他人的专利、专有技术，涉及的费用由设计人负责。合同价包括所有应支付的对专利权和版权、设计和其他知识产权而需要向其他方支付的版税。</w:t>
      </w:r>
    </w:p>
    <w:p w14:paraId="65D1160A">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3.2 设计人应保护发包人的知识产权，不得向第三人泄露、转让发包人提交的产品图纸等技术经济资料。未经发包人同意，设计人不得将设计成果转让给第三方。如发生以上情况并给发包人造成经济损失，发包人有权向设计人索赔。</w:t>
      </w:r>
    </w:p>
    <w:p w14:paraId="214761F7">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3.3 设计人应保证发包人在本项目建设过程中使用其设计文件和设计文件的任何一部分时，发包人免受第三方提出侵犯其专利权、商标权或其他知识产权的起诉。</w:t>
      </w:r>
    </w:p>
    <w:p w14:paraId="4A85FC86">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设计人保证发包人使用设计人设计成果将不会对任何第三方构成侵权，如因此引起任何第三方向发包人提出侵权之诉讼或索赔，均由设计人承担处理、应诉和赔偿责任。</w:t>
      </w:r>
    </w:p>
    <w:p w14:paraId="11357893">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 xml:space="preserve">3.4 设计人提交给发包人的设计文件，其著作权、版权、专利权和使用权归发包人所有（署名权除外）。  </w:t>
      </w:r>
    </w:p>
    <w:p w14:paraId="4B5F555A">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4. 设计人在合同有效期内，应当履行合同约定的义务，如因设计人的原因产生设计质量事故、工期延误或设计缺陷，造成损失的应承担赔偿责任。</w:t>
      </w:r>
    </w:p>
    <w:p w14:paraId="235A2F25">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（1）因设计错误而造成一般质量事故的，设计人除应免收受损失部分的设计费外，还应无偿修改和完善设计，并承担给发包人造成的直接损失。</w:t>
      </w:r>
    </w:p>
    <w:p w14:paraId="55CF62ED">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（2）因设计错误而造成重大质量事故的，设计人承担给发包人造成的直接损失，发包人有权解除设计合同，并报请有关主管部门视事故造成的损失情况给予其他处罚。</w:t>
      </w:r>
    </w:p>
    <w:p w14:paraId="1012F8B0">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5. 若因设计人原因导致提交的设计成果文件无法通过发包人组织的设计审查，发包人有权发出如下任何指令，设计人必须遵照执行。</w:t>
      </w:r>
    </w:p>
    <w:p w14:paraId="42DB4291">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1）对不合格部分进行重新设计或修改，由此引起的费用增加和工期延误由设计人负全部责任，发包人还可视造成的时间延误和费用损失，设计人按合同价的5%～10%向发包人支付违约金；同时发包人有权解除设计合同。</w:t>
      </w:r>
    </w:p>
    <w:p w14:paraId="70958B37">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2）如果重新设计或修改后的设计成果仍不能通过设计审查，或设计人没有能力完成该部分设计，发包人解除该不合格部分的合同，发包人将该不合格部分指定分包给其他设计单位，并扣除设计单位合同总价中此部分的设计费用；</w:t>
      </w:r>
    </w:p>
    <w:p w14:paraId="340AB551">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（3）设计人须在发包人书面同意后，将该部分内容另行委托给其他具有相应资质等级的单位设计，直至通过设计审查，该部分设计费用已包含在合同价中，不另行计算，造成损失的依法承担赔偿责任。</w:t>
      </w:r>
    </w:p>
    <w:p w14:paraId="19DAB37A">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6．设计人未按照国家及建设部现行的强制性技术标准、规范和规程进行设计，或设计人在设计成果中未经发包人认可擅自指定或变相指定材料或设备生产厂商、供应商的，设计人按合同价的5%～10%向发包人支付违约金。</w:t>
      </w:r>
    </w:p>
    <w:p w14:paraId="76241AFF">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7. 设计人保证，未经发包人书面同意，不得将本合同项下的任何工作任务委托第三人履行，对于工程设计内容中超出设计人资质条件的分部、分项工程，设计人不得超越自身资质条件进行设计或自行将设计任务转包、分包，否则，发包人可以立即解除本合同，并且不需要向设计人支付任何费用。发包人将有权中止合同，设计人按合同价的5%～10%向发包人支付违约金。</w:t>
      </w:r>
    </w:p>
    <w:p w14:paraId="622C9402">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8. 除招标文件规定的服务内容外，设计人还须完成以下各阶段服务内容：</w:t>
      </w:r>
    </w:p>
    <w:p w14:paraId="6336F5CE">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 xml:space="preserve">（1）与发包人及发包人聘用的顾问充分沟通，深入研究项目基础资料，协助发包人提出本项目的发展规划和市场潜力； </w:t>
      </w:r>
    </w:p>
    <w:p w14:paraId="4E80BAF3">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 xml:space="preserve">（2）完成总体规划和方案设计，提供满足深度的方案设计图纸，并制作符合政府部门要求的规划意见书与设计方案报批文件，协助发包人进行报批工作； </w:t>
      </w:r>
    </w:p>
    <w:p w14:paraId="3B90D152">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 xml:space="preserve">（3）根据政府部门的审批意见在本合同约定的范围内对设计方案进行修改和必要的调整，以通过政府部门审查批准； </w:t>
      </w:r>
    </w:p>
    <w:p w14:paraId="3DBB16D9">
      <w:pPr>
        <w:spacing w:line="520" w:lineRule="exact"/>
        <w:ind w:firstLine="440" w:firstLineChars="200"/>
        <w:rPr>
          <w:rFonts w:hint="eastAsia" w:ascii="宋体" w:hAnsi="宋体" w:cs="Arial"/>
          <w:sz w:val="24"/>
          <w:szCs w:val="24"/>
          <w:highlight w:val="none"/>
        </w:rPr>
      </w:pPr>
      <w:r>
        <w:rPr>
          <w:rFonts w:hint="eastAsia" w:ascii="宋体" w:hAnsi="宋体" w:cs="宋体"/>
          <w:spacing w:val="-10"/>
          <w:sz w:val="24"/>
          <w:szCs w:val="24"/>
          <w:highlight w:val="none"/>
        </w:rPr>
        <w:t>（4）协调</w:t>
      </w:r>
      <w:r>
        <w:rPr>
          <w:rFonts w:hint="eastAsia" w:ascii="宋体" w:hAnsi="宋体" w:cs="Arial"/>
          <w:sz w:val="24"/>
          <w:szCs w:val="24"/>
          <w:highlight w:val="none"/>
        </w:rPr>
        <w:t xml:space="preserve">各专业顾问公司的工作，对其设计方案和技术经济指标进行审核，提供咨询意见。在保证与该项目总体方案设计相一致的情况下，接受经发包人确认的顾问公司的合理化建议并对方案进行调整； </w:t>
      </w:r>
    </w:p>
    <w:p w14:paraId="4D68576D">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（5）配合发包人进行人防、消防、交通、绿化及市政管网等方面的咨询工作；</w:t>
      </w:r>
    </w:p>
    <w:p w14:paraId="36EECD36">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（6）安排专人在发包人驻点，协助开展工作。</w:t>
      </w:r>
    </w:p>
    <w:p w14:paraId="02435794">
      <w:pPr>
        <w:spacing w:line="360" w:lineRule="auto"/>
        <w:ind w:firstLine="602" w:firstLineChars="250"/>
        <w:jc w:val="left"/>
        <w:rPr>
          <w:rFonts w:hint="eastAsia" w:ascii="宋体" w:hAnsi="宋体" w:cs="宋体"/>
          <w:b/>
          <w:bCs/>
          <w:sz w:val="24"/>
          <w:szCs w:val="24"/>
          <w:highlight w:val="none"/>
        </w:rPr>
      </w:pPr>
      <w:r>
        <w:rPr>
          <w:rFonts w:hint="eastAsia" w:ascii="宋体" w:hAnsi="宋体" w:cs="宋体"/>
          <w:b/>
          <w:bCs/>
          <w:sz w:val="24"/>
          <w:szCs w:val="24"/>
          <w:highlight w:val="none"/>
        </w:rPr>
        <w:t>9.发包人有权根据有关管理制度对承包人的履约情况纳入履约信用评价体系进行履约信用评价，并将评价结果报送给有关监管部门。</w:t>
      </w:r>
    </w:p>
    <w:p w14:paraId="6C837CC3">
      <w:pPr>
        <w:pStyle w:val="42"/>
        <w:spacing w:line="360" w:lineRule="auto"/>
        <w:ind w:firstLine="482" w:firstLineChars="200"/>
        <w:jc w:val="both"/>
        <w:rPr>
          <w:rFonts w:hint="eastAsia" w:ascii="宋体" w:hAnsi="宋体" w:cs="宋体"/>
          <w:b w:val="0"/>
          <w:snapToGrid w:val="0"/>
          <w:kern w:val="0"/>
          <w:sz w:val="24"/>
          <w:highlight w:val="none"/>
        </w:rPr>
      </w:pPr>
      <w:r>
        <w:rPr>
          <w:rFonts w:hint="eastAsia" w:ascii="宋体" w:hAnsi="宋体" w:cs="宋体"/>
          <w:bCs/>
          <w:sz w:val="24"/>
          <w:highlight w:val="none"/>
        </w:rPr>
        <w:t>履约信用评价按发包人履约信用评价管理规定执行，评价内容包含人员到位情况、服务配合程度、服务成果质量、项目后期服务及履约信用评价结果的运用等。</w:t>
      </w:r>
    </w:p>
    <w:p w14:paraId="0B56474C">
      <w:pPr>
        <w:spacing w:line="360" w:lineRule="auto"/>
        <w:ind w:firstLine="422" w:firstLineChars="200"/>
        <w:jc w:val="center"/>
        <w:rPr>
          <w:rFonts w:hint="eastAsia" w:hAnsi="宋体" w:cs="宋体"/>
          <w:highlight w:val="none"/>
        </w:rPr>
      </w:pPr>
      <w:r>
        <w:rPr>
          <w:rFonts w:hint="eastAsia" w:hAnsi="宋体" w:cs="宋体"/>
          <w:b/>
          <w:kern w:val="44"/>
          <w:szCs w:val="30"/>
          <w:highlight w:val="none"/>
        </w:rPr>
        <w:br w:type="page"/>
      </w:r>
      <w:bookmarkStart w:id="236" w:name="_Toc14396"/>
      <w:bookmarkStart w:id="237" w:name="_Toc27341"/>
      <w:r>
        <w:rPr>
          <w:rStyle w:val="47"/>
          <w:rFonts w:hint="eastAsia"/>
          <w:b/>
          <w:bCs/>
          <w:sz w:val="28"/>
          <w:szCs w:val="18"/>
          <w:highlight w:val="none"/>
        </w:rPr>
        <w:t>第</w:t>
      </w:r>
      <w:bookmarkStart w:id="238" w:name="_Hlt69669171"/>
      <w:bookmarkEnd w:id="238"/>
      <w:r>
        <w:rPr>
          <w:rStyle w:val="47"/>
          <w:rFonts w:hint="eastAsia"/>
          <w:b/>
          <w:bCs/>
          <w:sz w:val="28"/>
          <w:szCs w:val="18"/>
          <w:highlight w:val="none"/>
        </w:rPr>
        <w:t>三章</w:t>
      </w:r>
      <w:bookmarkStart w:id="239" w:name="_Hlt87793839"/>
      <w:bookmarkEnd w:id="239"/>
      <w:r>
        <w:rPr>
          <w:rStyle w:val="47"/>
          <w:rFonts w:hint="eastAsia"/>
          <w:b/>
          <w:bCs/>
          <w:sz w:val="28"/>
          <w:szCs w:val="18"/>
          <w:highlight w:val="none"/>
        </w:rPr>
        <w:t xml:space="preserve"> 中标人须知</w:t>
      </w:r>
      <w:bookmarkEnd w:id="236"/>
      <w:bookmarkEnd w:id="237"/>
    </w:p>
    <w:p w14:paraId="07F9DBCB">
      <w:pPr>
        <w:pStyle w:val="3"/>
        <w:wordWrap w:val="0"/>
        <w:autoSpaceDE/>
        <w:autoSpaceDN/>
        <w:snapToGrid w:val="0"/>
        <w:spacing w:line="440" w:lineRule="exact"/>
        <w:ind w:firstLine="480"/>
        <w:jc w:val="both"/>
        <w:rPr>
          <w:b/>
          <w:snapToGrid w:val="0"/>
          <w:highlight w:val="none"/>
        </w:rPr>
      </w:pPr>
      <w:bookmarkStart w:id="240" w:name="_Toc16282"/>
      <w:r>
        <w:rPr>
          <w:rFonts w:hint="eastAsia"/>
          <w:b/>
          <w:snapToGrid w:val="0"/>
          <w:highlight w:val="none"/>
        </w:rPr>
        <w:t>1．中标通知书</w:t>
      </w:r>
      <w:bookmarkEnd w:id="240"/>
    </w:p>
    <w:p w14:paraId="1771C288">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02408F56">
      <w:pPr>
        <w:wordWrap w:val="0"/>
        <w:adjustRightInd w:val="0"/>
        <w:snapToGrid w:val="0"/>
        <w:spacing w:line="440" w:lineRule="exact"/>
        <w:ind w:firstLine="562"/>
        <w:rPr>
          <w:snapToGrid w:val="0"/>
          <w:kern w:val="0"/>
          <w:highlight w:val="none"/>
        </w:rPr>
      </w:pPr>
    </w:p>
    <w:p w14:paraId="01C78500">
      <w:pPr>
        <w:pStyle w:val="3"/>
        <w:wordWrap w:val="0"/>
        <w:autoSpaceDE/>
        <w:autoSpaceDN/>
        <w:snapToGrid w:val="0"/>
        <w:spacing w:line="440" w:lineRule="exact"/>
        <w:ind w:firstLine="480"/>
        <w:jc w:val="both"/>
        <w:rPr>
          <w:b/>
          <w:snapToGrid w:val="0"/>
          <w:highlight w:val="none"/>
        </w:rPr>
      </w:pPr>
      <w:bookmarkStart w:id="241" w:name="_Toc23081"/>
      <w:r>
        <w:rPr>
          <w:rFonts w:hint="eastAsia"/>
          <w:b/>
          <w:snapToGrid w:val="0"/>
          <w:highlight w:val="none"/>
        </w:rPr>
        <w:t>2．中标结果公示</w:t>
      </w:r>
      <w:bookmarkEnd w:id="241"/>
    </w:p>
    <w:p w14:paraId="5E4611AA">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中标通知书发出后15日内，招标人应将中标结果在广东省招标投标监管网（http://zbtb.gd.gov.cn）、全国公共资源交易平台 （广东省 · 韶关市）（https://ygp.gdzwfw.gov.cn/ggzy-portal/#/440200/index）进行公示。</w:t>
      </w:r>
    </w:p>
    <w:p w14:paraId="41208E3B">
      <w:pPr>
        <w:pStyle w:val="3"/>
        <w:wordWrap w:val="0"/>
        <w:autoSpaceDE/>
        <w:autoSpaceDN/>
        <w:snapToGrid w:val="0"/>
        <w:spacing w:line="440" w:lineRule="exact"/>
        <w:ind w:firstLine="480"/>
        <w:jc w:val="both"/>
        <w:rPr>
          <w:b/>
          <w:snapToGrid w:val="0"/>
          <w:highlight w:val="none"/>
        </w:rPr>
      </w:pPr>
      <w:bookmarkStart w:id="242" w:name="_Toc27202"/>
      <w:r>
        <w:rPr>
          <w:rFonts w:hint="eastAsia"/>
          <w:b/>
          <w:snapToGrid w:val="0"/>
          <w:highlight w:val="none"/>
        </w:rPr>
        <w:t>3．履约保证</w:t>
      </w:r>
      <w:bookmarkEnd w:id="242"/>
    </w:p>
    <w:p w14:paraId="459BD182">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3.1履约保证的形式包括履约保证金、履约保证担保、履约保证保险三种，由中标人自主选择。</w:t>
      </w:r>
    </w:p>
    <w:p w14:paraId="05C152A1">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（1）采用履约保证金的，中标人须从其法人开户银行的账号将履约保证金划至招标人账户，并详细注明项目名称及用途。</w:t>
      </w:r>
    </w:p>
    <w:p w14:paraId="648B9B44">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2）采用履约保证担保或履约保证保险的，中标人应提交有效的银行（或具有资质的担保机构）出具的保函或保险合同（或保险单）原件，保函或保险合同（或保险单）的有效期应当自合同生效之日起至项目通过竣工验收之日后28天止。如果中标人无法获得具体截止日期，保函或保险合同（或保险单）中应当有“变更项目竣工日期的，保证期间按照变更后的竣工日期做相应调整”或类似约定的条款。</w:t>
      </w:r>
    </w:p>
    <w:p w14:paraId="5AD0630F">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3.2中标人在领取中标通知书之日起5个工作日内仍未提交履约保证的，招标人发出第一次提醒函；在领取中标通知书之日起10个工作日内仍未提交的，招标人发出第二次提醒函；在领取中标通知书之日起15个工作日内仍未提交的，视其放弃中标，并由招标人通报建设行政管理部门。如采用银行保函或保险合同方式缴纳履约保证金，在保函或保险合同到期前一个月，中标人须主动办理续期手续或提交新的银行保函或保险合同；如中标人未及时主动办理续期手续或提交新的银行保函或保险合同，招标人有权扣留与履约保证金等额的施工进度款，直至中标人完成续期手续或提交新的银行保函或保险合同止。</w:t>
      </w:r>
    </w:p>
    <w:p w14:paraId="07750ABF">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3.3 在工程实施过程中，如果承包人（即招标阶段的中标人，下同）由于自身的资金、技术、质量、非不可抗力等原因给发包人（即招标阶段的招标人，下同）造成经济损失，发包人有权扣划相应金额的履约保证。</w:t>
      </w:r>
    </w:p>
    <w:p w14:paraId="302A0220">
      <w:pPr>
        <w:spacing w:line="520" w:lineRule="exact"/>
        <w:ind w:firstLine="480" w:firstLineChars="200"/>
        <w:rPr>
          <w:snapToGrid w:val="0"/>
          <w:kern w:val="0"/>
          <w:highlight w:val="none"/>
        </w:rPr>
      </w:pPr>
      <w:r>
        <w:rPr>
          <w:rFonts w:hint="eastAsia" w:ascii="宋体" w:hAnsi="宋体" w:cs="Arial"/>
          <w:sz w:val="24"/>
          <w:szCs w:val="24"/>
          <w:highlight w:val="none"/>
        </w:rPr>
        <w:t>3.4 项目通过竣工验收之日后28天内，发包人将履约保证退还给承包人。</w:t>
      </w:r>
    </w:p>
    <w:p w14:paraId="56A05D11">
      <w:pPr>
        <w:pStyle w:val="3"/>
        <w:wordWrap w:val="0"/>
        <w:autoSpaceDE/>
        <w:autoSpaceDN/>
        <w:snapToGrid w:val="0"/>
        <w:spacing w:line="440" w:lineRule="exact"/>
        <w:ind w:firstLine="480"/>
        <w:jc w:val="both"/>
        <w:rPr>
          <w:b/>
          <w:snapToGrid w:val="0"/>
          <w:highlight w:val="none"/>
        </w:rPr>
      </w:pPr>
      <w:bookmarkStart w:id="243" w:name="_Toc6730"/>
      <w:r>
        <w:rPr>
          <w:rFonts w:hint="eastAsia"/>
          <w:b/>
          <w:snapToGrid w:val="0"/>
          <w:highlight w:val="none"/>
        </w:rPr>
        <w:t>4．合同订立</w:t>
      </w:r>
      <w:bookmarkEnd w:id="243"/>
    </w:p>
    <w:p w14:paraId="611F2E0A">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4.1 招标人应当自中标通知书发出之日起 30日内，按照招标文件、中标人的投标文件与中标人订立书面合同。</w:t>
      </w:r>
    </w:p>
    <w:p w14:paraId="04361FCF">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4.2 本招标项目合同计价方式为：总价合同。</w:t>
      </w:r>
    </w:p>
    <w:p w14:paraId="2B6F0A70">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4.3 合同的标的、质量、履行期限条款和合同的价款、单价、比例条款等主要条款，应当与招标文件、中标人的投标文件的内容一致。中标人在签订合同时不得向招标人提出附加条件。</w:t>
      </w:r>
    </w:p>
    <w:p w14:paraId="5DF0340A">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4.4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63095D2A">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4.5 在书面合同订立之日起2个工作日内，由中标人将合同上传至交易平台，并发起退还投标保证的申请。韶关市公共资源交易中心在收到申请之日起3个工作日内，将投标保证金（或银行保函）退还给中标人和其他中标候选人。</w:t>
      </w:r>
    </w:p>
    <w:p w14:paraId="794805EC">
      <w:pPr>
        <w:pStyle w:val="10"/>
        <w:rPr>
          <w:highlight w:val="none"/>
        </w:rPr>
      </w:pPr>
    </w:p>
    <w:p w14:paraId="5B181DA0">
      <w:pPr>
        <w:pStyle w:val="3"/>
        <w:wordWrap w:val="0"/>
        <w:autoSpaceDE/>
        <w:autoSpaceDN/>
        <w:snapToGrid w:val="0"/>
        <w:spacing w:line="440" w:lineRule="exact"/>
        <w:ind w:firstLine="480"/>
        <w:jc w:val="both"/>
        <w:rPr>
          <w:b/>
          <w:snapToGrid w:val="0"/>
          <w:highlight w:val="none"/>
        </w:rPr>
      </w:pPr>
      <w:bookmarkStart w:id="244" w:name="_Toc30575"/>
      <w:r>
        <w:rPr>
          <w:rFonts w:hint="eastAsia"/>
          <w:b/>
          <w:snapToGrid w:val="0"/>
          <w:highlight w:val="none"/>
        </w:rPr>
        <w:t>5．放弃中标的处理</w:t>
      </w:r>
      <w:bookmarkEnd w:id="244"/>
    </w:p>
    <w:p w14:paraId="47357CBC">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5.1 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69FF0A91">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5.2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78454772">
      <w:pPr>
        <w:wordWrap w:val="0"/>
        <w:adjustRightInd w:val="0"/>
        <w:snapToGrid w:val="0"/>
        <w:spacing w:line="440" w:lineRule="exact"/>
        <w:ind w:firstLine="420" w:firstLineChars="200"/>
        <w:rPr>
          <w:snapToGrid w:val="0"/>
          <w:kern w:val="0"/>
          <w:highlight w:val="none"/>
        </w:rPr>
      </w:pPr>
    </w:p>
    <w:p w14:paraId="14D2DA66">
      <w:pPr>
        <w:pStyle w:val="3"/>
        <w:wordWrap w:val="0"/>
        <w:autoSpaceDE/>
        <w:autoSpaceDN/>
        <w:snapToGrid w:val="0"/>
        <w:spacing w:line="440" w:lineRule="exact"/>
        <w:ind w:firstLine="480"/>
        <w:jc w:val="both"/>
        <w:rPr>
          <w:b/>
          <w:snapToGrid w:val="0"/>
          <w:highlight w:val="none"/>
        </w:rPr>
      </w:pPr>
      <w:bookmarkStart w:id="245" w:name="_Toc30903"/>
      <w:r>
        <w:rPr>
          <w:rFonts w:hint="eastAsia"/>
          <w:b/>
          <w:snapToGrid w:val="0"/>
          <w:highlight w:val="none"/>
        </w:rPr>
        <w:t>6．专业工程分包</w:t>
      </w:r>
      <w:bookmarkEnd w:id="245"/>
    </w:p>
    <w:p w14:paraId="781149CD">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4A493A01">
      <w:pPr>
        <w:wordWrap w:val="0"/>
        <w:adjustRightInd w:val="0"/>
        <w:snapToGrid w:val="0"/>
        <w:spacing w:line="440" w:lineRule="exact"/>
        <w:rPr>
          <w:snapToGrid w:val="0"/>
          <w:kern w:val="0"/>
          <w:highlight w:val="none"/>
        </w:rPr>
      </w:pPr>
    </w:p>
    <w:p w14:paraId="76430E01">
      <w:pPr>
        <w:pStyle w:val="3"/>
        <w:wordWrap w:val="0"/>
        <w:autoSpaceDE/>
        <w:autoSpaceDN/>
        <w:snapToGrid w:val="0"/>
        <w:spacing w:line="440" w:lineRule="exact"/>
        <w:ind w:firstLine="480"/>
        <w:jc w:val="both"/>
        <w:rPr>
          <w:b/>
          <w:snapToGrid w:val="0"/>
          <w:highlight w:val="none"/>
        </w:rPr>
      </w:pPr>
      <w:bookmarkStart w:id="246" w:name="_Toc18790"/>
      <w:r>
        <w:rPr>
          <w:rFonts w:hint="eastAsia"/>
          <w:b/>
          <w:snapToGrid w:val="0"/>
          <w:highlight w:val="none"/>
        </w:rPr>
        <w:t>7．诚信登记</w:t>
      </w:r>
      <w:bookmarkEnd w:id="246"/>
    </w:p>
    <w:p w14:paraId="057D2DCF">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承包人在签订合同30日内，须按《韶关市住建管理局关于加强我市建筑行业企业及注册执业人员诚信管理的通知》（韶市建字〔2018）56号）的要求办理诚信登记，纳入诚信管理范围。</w:t>
      </w:r>
    </w:p>
    <w:p w14:paraId="2E5311FA">
      <w:pPr>
        <w:rPr>
          <w:highlight w:val="none"/>
        </w:rPr>
      </w:pPr>
    </w:p>
    <w:p w14:paraId="43E56B01">
      <w:pPr>
        <w:pStyle w:val="3"/>
        <w:wordWrap w:val="0"/>
        <w:autoSpaceDE/>
        <w:autoSpaceDN/>
        <w:snapToGrid w:val="0"/>
        <w:spacing w:line="440" w:lineRule="exact"/>
        <w:ind w:firstLine="480"/>
        <w:jc w:val="both"/>
        <w:rPr>
          <w:snapToGrid w:val="0"/>
          <w:highlight w:val="none"/>
        </w:rPr>
      </w:pPr>
      <w:bookmarkStart w:id="247" w:name="_Toc15794"/>
      <w:r>
        <w:rPr>
          <w:rFonts w:hint="eastAsia"/>
          <w:b/>
          <w:snapToGrid w:val="0"/>
          <w:highlight w:val="none"/>
        </w:rPr>
        <w:t>8．项目管理机构</w:t>
      </w:r>
      <w:bookmarkEnd w:id="247"/>
    </w:p>
    <w:p w14:paraId="5346CE45">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6.1 承包人派驻的项目管理班子成员必须为其投标文件确定的人员，否则发包人有权终止合同。</w:t>
      </w:r>
    </w:p>
    <w:p w14:paraId="5E63FCCA">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6.2 项目管理班子成员不得擅自变更。其中，投标文件确定的设计负责人除发生下列情形之一外，不得更换：</w:t>
      </w:r>
    </w:p>
    <w:p w14:paraId="3CE5B56A">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（一）因重病或重伤（持有县、区以上医院证明）两个月以上不能履行职责的；</w:t>
      </w:r>
    </w:p>
    <w:p w14:paraId="536D69CA">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（二）调离原工作单位的；</w:t>
      </w:r>
    </w:p>
    <w:p w14:paraId="278052C2">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（三）无能力履行合同的责任和义务，造成严重后果，建设单位要求更换的；</w:t>
      </w:r>
    </w:p>
    <w:p w14:paraId="00F3B74B">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（四）因违法被责令停止执业的；</w:t>
      </w:r>
    </w:p>
    <w:p w14:paraId="20CB716B">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（五）因犯罪被羁押或判刑的；</w:t>
      </w:r>
    </w:p>
    <w:p w14:paraId="37CAE00D">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（六）死亡。</w:t>
      </w:r>
    </w:p>
    <w:p w14:paraId="7D023151">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设计/勘察负责人应与承包人的投标文件所确定的原设计/勘察负责人的主要条件一致。</w:t>
      </w:r>
    </w:p>
    <w:p w14:paraId="582AE9CF">
      <w:pPr>
        <w:spacing w:line="520" w:lineRule="exact"/>
        <w:ind w:firstLine="480" w:firstLineChars="200"/>
        <w:rPr>
          <w:rFonts w:hint="eastAsia" w:ascii="宋体" w:hAnsi="宋体" w:cs="Arial"/>
          <w:sz w:val="24"/>
          <w:szCs w:val="24"/>
          <w:highlight w:val="none"/>
        </w:rPr>
      </w:pPr>
    </w:p>
    <w:p w14:paraId="01588DEF">
      <w:pPr>
        <w:pStyle w:val="3"/>
        <w:wordWrap w:val="0"/>
        <w:autoSpaceDE/>
        <w:autoSpaceDN/>
        <w:snapToGrid w:val="0"/>
        <w:spacing w:line="440" w:lineRule="exact"/>
        <w:ind w:firstLine="480"/>
        <w:jc w:val="both"/>
        <w:rPr>
          <w:b/>
          <w:snapToGrid w:val="0"/>
          <w:highlight w:val="none"/>
        </w:rPr>
      </w:pPr>
      <w:bookmarkStart w:id="248" w:name="_Toc16886"/>
      <w:r>
        <w:rPr>
          <w:rFonts w:hint="eastAsia"/>
          <w:b/>
          <w:snapToGrid w:val="0"/>
          <w:highlight w:val="none"/>
        </w:rPr>
        <w:t>9．监督实施</w:t>
      </w:r>
      <w:bookmarkEnd w:id="248"/>
    </w:p>
    <w:p w14:paraId="3D49B43C">
      <w:pPr>
        <w:spacing w:line="520" w:lineRule="exact"/>
        <w:ind w:firstLine="480" w:firstLineChars="200"/>
        <w:rPr>
          <w:rFonts w:hint="eastAsia" w:ascii="宋体" w:hAnsi="宋体" w:cs="Arial"/>
          <w:sz w:val="24"/>
          <w:szCs w:val="24"/>
          <w:highlight w:val="none"/>
        </w:rPr>
      </w:pPr>
      <w:r>
        <w:rPr>
          <w:rFonts w:hint="eastAsia" w:ascii="宋体" w:hAnsi="宋体" w:cs="Arial"/>
          <w:sz w:val="24"/>
          <w:szCs w:val="24"/>
          <w:highlight w:val="none"/>
        </w:rPr>
        <w:t>承包人须服从发包人对工程质量、进度、成本的全方位的监督，项目资料应及时报送招标人审查备案。</w:t>
      </w:r>
    </w:p>
    <w:p w14:paraId="4F94344B">
      <w:pPr>
        <w:pStyle w:val="188"/>
        <w:keepNext/>
        <w:keepLines/>
        <w:tabs>
          <w:tab w:val="left" w:pos="885"/>
        </w:tabs>
        <w:adjustRightInd/>
        <w:jc w:val="center"/>
        <w:rPr>
          <w:rStyle w:val="47"/>
          <w:rFonts w:hint="eastAsia" w:hAnsi="宋体" w:cs="宋体"/>
          <w:b/>
          <w:sz w:val="36"/>
          <w:szCs w:val="21"/>
          <w:highlight w:val="none"/>
        </w:rPr>
      </w:pPr>
      <w:bookmarkStart w:id="249" w:name="_Toc28920"/>
      <w:bookmarkStart w:id="250" w:name="_Toc135054606"/>
    </w:p>
    <w:p w14:paraId="03A70607">
      <w:pPr>
        <w:pStyle w:val="188"/>
        <w:keepNext/>
        <w:keepLines/>
        <w:tabs>
          <w:tab w:val="left" w:pos="885"/>
        </w:tabs>
        <w:adjustRightInd/>
        <w:jc w:val="center"/>
        <w:rPr>
          <w:rStyle w:val="47"/>
          <w:rFonts w:hint="eastAsia" w:hAnsi="宋体" w:cs="宋体"/>
          <w:b/>
          <w:sz w:val="36"/>
          <w:szCs w:val="21"/>
          <w:highlight w:val="none"/>
        </w:rPr>
      </w:pPr>
    </w:p>
    <w:p w14:paraId="399EF9C8">
      <w:pPr>
        <w:pStyle w:val="188"/>
        <w:keepNext/>
        <w:keepLines/>
        <w:tabs>
          <w:tab w:val="left" w:pos="885"/>
        </w:tabs>
        <w:adjustRightInd/>
        <w:jc w:val="both"/>
        <w:rPr>
          <w:rStyle w:val="47"/>
          <w:rFonts w:hint="eastAsia" w:hAnsi="宋体" w:cs="宋体"/>
          <w:b/>
          <w:sz w:val="36"/>
          <w:szCs w:val="21"/>
          <w:highlight w:val="none"/>
        </w:rPr>
      </w:pPr>
    </w:p>
    <w:p w14:paraId="22E15330">
      <w:pPr>
        <w:pStyle w:val="83"/>
        <w:rPr>
          <w:rStyle w:val="47"/>
          <w:rFonts w:hint="eastAsia" w:hAnsi="宋体" w:cs="宋体"/>
          <w:b/>
          <w:sz w:val="36"/>
          <w:szCs w:val="21"/>
          <w:highlight w:val="none"/>
        </w:rPr>
      </w:pPr>
    </w:p>
    <w:p w14:paraId="394110A2">
      <w:pPr>
        <w:pStyle w:val="83"/>
        <w:rPr>
          <w:rStyle w:val="47"/>
          <w:rFonts w:hint="eastAsia" w:hAnsi="宋体" w:cs="宋体"/>
          <w:b/>
          <w:sz w:val="36"/>
          <w:szCs w:val="21"/>
          <w:highlight w:val="none"/>
        </w:rPr>
      </w:pPr>
    </w:p>
    <w:p w14:paraId="1027F989">
      <w:pPr>
        <w:pStyle w:val="83"/>
        <w:rPr>
          <w:rStyle w:val="47"/>
          <w:rFonts w:hint="eastAsia" w:hAnsi="宋体" w:cs="宋体"/>
          <w:b/>
          <w:sz w:val="36"/>
          <w:szCs w:val="21"/>
          <w:highlight w:val="none"/>
        </w:rPr>
      </w:pPr>
    </w:p>
    <w:p w14:paraId="689CB8B6">
      <w:pPr>
        <w:pStyle w:val="83"/>
        <w:rPr>
          <w:rStyle w:val="47"/>
          <w:rFonts w:hint="eastAsia" w:hAnsi="宋体" w:cs="宋体"/>
          <w:b/>
          <w:sz w:val="36"/>
          <w:szCs w:val="21"/>
          <w:highlight w:val="none"/>
        </w:rPr>
      </w:pPr>
    </w:p>
    <w:p w14:paraId="5F6703F1">
      <w:pPr>
        <w:pStyle w:val="83"/>
        <w:rPr>
          <w:rStyle w:val="47"/>
          <w:rFonts w:hint="eastAsia" w:hAnsi="宋体" w:cs="宋体"/>
          <w:b/>
          <w:sz w:val="36"/>
          <w:szCs w:val="21"/>
          <w:highlight w:val="none"/>
        </w:rPr>
      </w:pPr>
    </w:p>
    <w:p w14:paraId="0E0F2EFD">
      <w:pPr>
        <w:pStyle w:val="83"/>
        <w:rPr>
          <w:rStyle w:val="47"/>
          <w:rFonts w:hint="eastAsia" w:hAnsi="宋体" w:cs="宋体"/>
          <w:b/>
          <w:sz w:val="36"/>
          <w:szCs w:val="21"/>
          <w:highlight w:val="none"/>
        </w:rPr>
      </w:pPr>
    </w:p>
    <w:p w14:paraId="778A4BBD">
      <w:pPr>
        <w:pStyle w:val="83"/>
        <w:rPr>
          <w:rStyle w:val="47"/>
          <w:rFonts w:hint="eastAsia" w:hAnsi="宋体" w:cs="宋体"/>
          <w:b/>
          <w:sz w:val="36"/>
          <w:szCs w:val="21"/>
          <w:highlight w:val="none"/>
        </w:rPr>
      </w:pPr>
    </w:p>
    <w:p w14:paraId="0F889BD5">
      <w:pPr>
        <w:pStyle w:val="83"/>
        <w:rPr>
          <w:rStyle w:val="47"/>
          <w:rFonts w:hint="eastAsia" w:hAnsi="宋体" w:cs="宋体"/>
          <w:b/>
          <w:sz w:val="36"/>
          <w:szCs w:val="21"/>
          <w:highlight w:val="none"/>
        </w:rPr>
      </w:pPr>
    </w:p>
    <w:p w14:paraId="06CEEBC3">
      <w:pPr>
        <w:pStyle w:val="83"/>
        <w:rPr>
          <w:rStyle w:val="47"/>
          <w:rFonts w:hint="eastAsia" w:hAnsi="宋体" w:cs="宋体"/>
          <w:b/>
          <w:sz w:val="36"/>
          <w:szCs w:val="21"/>
          <w:highlight w:val="none"/>
        </w:rPr>
      </w:pPr>
    </w:p>
    <w:p w14:paraId="4B373FDA">
      <w:pPr>
        <w:pStyle w:val="83"/>
        <w:rPr>
          <w:rStyle w:val="47"/>
          <w:rFonts w:hint="eastAsia" w:hAnsi="宋体" w:cs="宋体"/>
          <w:b/>
          <w:sz w:val="36"/>
          <w:szCs w:val="21"/>
          <w:highlight w:val="none"/>
        </w:rPr>
      </w:pPr>
    </w:p>
    <w:p w14:paraId="219967E3">
      <w:pPr>
        <w:pStyle w:val="83"/>
        <w:rPr>
          <w:rStyle w:val="47"/>
          <w:rFonts w:hint="eastAsia" w:hAnsi="宋体" w:cs="宋体"/>
          <w:b/>
          <w:sz w:val="36"/>
          <w:szCs w:val="21"/>
          <w:highlight w:val="none"/>
        </w:rPr>
      </w:pPr>
    </w:p>
    <w:p w14:paraId="0078DA13">
      <w:pPr>
        <w:pStyle w:val="83"/>
        <w:rPr>
          <w:rStyle w:val="47"/>
          <w:rFonts w:hint="eastAsia" w:hAnsi="宋体" w:cs="宋体"/>
          <w:b/>
          <w:sz w:val="36"/>
          <w:szCs w:val="21"/>
          <w:highlight w:val="none"/>
        </w:rPr>
      </w:pPr>
    </w:p>
    <w:p w14:paraId="3F9D4084">
      <w:pPr>
        <w:pStyle w:val="83"/>
        <w:rPr>
          <w:rStyle w:val="47"/>
          <w:rFonts w:hint="eastAsia" w:hAnsi="宋体" w:cs="宋体"/>
          <w:b/>
          <w:sz w:val="36"/>
          <w:szCs w:val="21"/>
          <w:highlight w:val="none"/>
        </w:rPr>
      </w:pPr>
    </w:p>
    <w:p w14:paraId="30CE3F04">
      <w:pPr>
        <w:pStyle w:val="83"/>
        <w:rPr>
          <w:rStyle w:val="47"/>
          <w:rFonts w:hint="eastAsia" w:hAnsi="宋体" w:cs="宋体"/>
          <w:b/>
          <w:sz w:val="36"/>
          <w:szCs w:val="21"/>
          <w:highlight w:val="none"/>
        </w:rPr>
      </w:pPr>
    </w:p>
    <w:p w14:paraId="15333334">
      <w:pPr>
        <w:pStyle w:val="83"/>
        <w:rPr>
          <w:rStyle w:val="47"/>
          <w:rFonts w:hint="eastAsia" w:hAnsi="宋体" w:cs="宋体"/>
          <w:b/>
          <w:sz w:val="36"/>
          <w:szCs w:val="21"/>
          <w:highlight w:val="none"/>
        </w:rPr>
      </w:pPr>
    </w:p>
    <w:p w14:paraId="68400D28">
      <w:pPr>
        <w:pStyle w:val="188"/>
        <w:keepNext/>
        <w:keepLines/>
        <w:tabs>
          <w:tab w:val="left" w:pos="885"/>
        </w:tabs>
        <w:adjustRightInd/>
        <w:jc w:val="center"/>
        <w:rPr>
          <w:rStyle w:val="47"/>
          <w:rFonts w:hint="eastAsia" w:hAnsi="宋体" w:cs="宋体"/>
          <w:b/>
          <w:sz w:val="36"/>
          <w:szCs w:val="21"/>
          <w:highlight w:val="none"/>
        </w:rPr>
      </w:pPr>
    </w:p>
    <w:p w14:paraId="7C45AB5E">
      <w:pPr>
        <w:pStyle w:val="188"/>
        <w:keepNext/>
        <w:keepLines/>
        <w:tabs>
          <w:tab w:val="left" w:pos="885"/>
        </w:tabs>
        <w:adjustRightInd/>
        <w:jc w:val="center"/>
        <w:rPr>
          <w:rStyle w:val="47"/>
          <w:rFonts w:hint="eastAsia" w:hAnsi="宋体" w:cs="宋体"/>
          <w:bCs/>
          <w:sz w:val="28"/>
          <w:szCs w:val="18"/>
          <w:highlight w:val="none"/>
        </w:rPr>
      </w:pPr>
      <w:r>
        <w:rPr>
          <w:rStyle w:val="47"/>
          <w:rFonts w:hint="eastAsia" w:hAnsi="宋体" w:cs="宋体"/>
          <w:b/>
          <w:sz w:val="36"/>
          <w:szCs w:val="21"/>
          <w:highlight w:val="none"/>
        </w:rPr>
        <w:t>第四章</w:t>
      </w:r>
      <w:bookmarkEnd w:id="211"/>
      <w:bookmarkEnd w:id="212"/>
      <w:r>
        <w:rPr>
          <w:rStyle w:val="47"/>
          <w:rFonts w:hint="eastAsia" w:hAnsi="宋体" w:cs="宋体"/>
          <w:b/>
          <w:sz w:val="36"/>
          <w:szCs w:val="21"/>
          <w:highlight w:val="none"/>
        </w:rPr>
        <w:t xml:space="preserve"> 设计要求</w:t>
      </w:r>
      <w:bookmarkEnd w:id="249"/>
      <w:bookmarkEnd w:id="250"/>
    </w:p>
    <w:p w14:paraId="17CC2E4F">
      <w:pPr>
        <w:wordWrap w:val="0"/>
        <w:adjustRightInd w:val="0"/>
        <w:snapToGrid w:val="0"/>
        <w:spacing w:line="360" w:lineRule="auto"/>
        <w:ind w:firstLine="482" w:firstLineChars="200"/>
        <w:rPr>
          <w:rFonts w:hint="eastAsia" w:ascii="宋体" w:hAnsi="宋体" w:cs="宋体"/>
          <w:bCs/>
          <w:snapToGrid w:val="0"/>
          <w:kern w:val="0"/>
          <w:sz w:val="24"/>
          <w:szCs w:val="24"/>
          <w:highlight w:val="none"/>
        </w:rPr>
      </w:pPr>
      <w:bookmarkStart w:id="251" w:name="_Hlt69358207"/>
      <w:bookmarkEnd w:id="251"/>
      <w:bookmarkStart w:id="252" w:name="_Hlt87793370"/>
      <w:bookmarkEnd w:id="252"/>
      <w:bookmarkStart w:id="253" w:name="_Hlt66104926"/>
      <w:bookmarkEnd w:id="253"/>
      <w:bookmarkStart w:id="254" w:name="_Hlt75685840"/>
      <w:bookmarkEnd w:id="254"/>
      <w:bookmarkStart w:id="255" w:name="_Hlt69116854"/>
      <w:bookmarkEnd w:id="255"/>
      <w:bookmarkStart w:id="256" w:name="_Hlt69357851"/>
      <w:bookmarkEnd w:id="256"/>
      <w:bookmarkStart w:id="257" w:name="_Hlt69359335"/>
      <w:bookmarkEnd w:id="257"/>
      <w:bookmarkStart w:id="258" w:name="_Hlt80411122"/>
      <w:bookmarkEnd w:id="258"/>
      <w:bookmarkStart w:id="259" w:name="_Hlt87793346"/>
      <w:bookmarkEnd w:id="259"/>
      <w:bookmarkStart w:id="260" w:name="_Hlt69265216"/>
      <w:bookmarkEnd w:id="260"/>
      <w:bookmarkStart w:id="261" w:name="_Hlt68774758"/>
      <w:bookmarkEnd w:id="261"/>
      <w:bookmarkStart w:id="262" w:name="_Toc466640612"/>
      <w:r>
        <w:rPr>
          <w:rFonts w:hint="eastAsia" w:ascii="宋体" w:hAnsi="宋体" w:cs="宋体"/>
          <w:b/>
          <w:snapToGrid w:val="0"/>
          <w:kern w:val="0"/>
          <w:sz w:val="24"/>
          <w:szCs w:val="24"/>
          <w:highlight w:val="none"/>
        </w:rPr>
        <w:t>1．工程的设计要求</w:t>
      </w:r>
    </w:p>
    <w:p w14:paraId="0F195B9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sz w:val="24"/>
          <w:highlight w:val="none"/>
        </w:rPr>
        <w:t>《城市排水工程规划规范》</w:t>
      </w:r>
      <w:r>
        <w:rPr>
          <w:rFonts w:hint="eastAsia"/>
          <w:sz w:val="24"/>
          <w:highlight w:val="none"/>
        </w:rPr>
        <w:t>（</w:t>
      </w:r>
      <w:r>
        <w:rPr>
          <w:sz w:val="24"/>
          <w:highlight w:val="none"/>
        </w:rPr>
        <w:t>GB50318-2017</w:t>
      </w:r>
      <w:r>
        <w:rPr>
          <w:rFonts w:hint="eastAsia"/>
          <w:sz w:val="24"/>
          <w:highlight w:val="none"/>
        </w:rPr>
        <w:t>）</w:t>
      </w:r>
      <w:r>
        <w:rPr>
          <w:rFonts w:hint="eastAsia" w:ascii="宋体" w:hAnsi="宋体" w:cs="宋体"/>
          <w:sz w:val="24"/>
          <w:szCs w:val="24"/>
          <w:highlight w:val="none"/>
        </w:rPr>
        <w:t>；</w:t>
      </w:r>
    </w:p>
    <w:p w14:paraId="5ADBE0A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w:t>
      </w:r>
      <w:r>
        <w:rPr>
          <w:sz w:val="24"/>
          <w:highlight w:val="none"/>
        </w:rPr>
        <w:t>《给水排水工程构筑物结构设计规范》</w:t>
      </w:r>
      <w:r>
        <w:rPr>
          <w:rFonts w:hint="eastAsia"/>
          <w:sz w:val="24"/>
          <w:highlight w:val="none"/>
        </w:rPr>
        <w:t>（</w:t>
      </w:r>
      <w:r>
        <w:rPr>
          <w:sz w:val="24"/>
          <w:highlight w:val="none"/>
        </w:rPr>
        <w:t>GB50069-2002</w:t>
      </w:r>
      <w:r>
        <w:rPr>
          <w:rFonts w:hint="eastAsia"/>
          <w:sz w:val="24"/>
          <w:highlight w:val="none"/>
        </w:rPr>
        <w:t>）</w:t>
      </w:r>
      <w:r>
        <w:rPr>
          <w:rFonts w:hint="eastAsia" w:ascii="宋体" w:hAnsi="宋体" w:cs="宋体"/>
          <w:sz w:val="24"/>
          <w:szCs w:val="24"/>
          <w:highlight w:val="none"/>
        </w:rPr>
        <w:t>；</w:t>
      </w:r>
    </w:p>
    <w:p w14:paraId="40478D3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w:t>
      </w:r>
      <w:r>
        <w:rPr>
          <w:sz w:val="24"/>
          <w:highlight w:val="none"/>
        </w:rPr>
        <w:t>《市政公用工程设计文件编制深度规定》（2013年版）</w:t>
      </w:r>
      <w:r>
        <w:rPr>
          <w:rFonts w:hint="eastAsia" w:ascii="宋体" w:hAnsi="宋体" w:cs="宋体"/>
          <w:sz w:val="24"/>
          <w:szCs w:val="24"/>
          <w:highlight w:val="none"/>
        </w:rPr>
        <w:t>；</w:t>
      </w:r>
    </w:p>
    <w:p w14:paraId="14004EB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w:t>
      </w:r>
      <w:r>
        <w:rPr>
          <w:rFonts w:hint="eastAsia" w:ascii="宋体" w:hAnsi="宋体"/>
          <w:sz w:val="24"/>
          <w:szCs w:val="24"/>
          <w:highlight w:val="none"/>
        </w:rPr>
        <w:t>《给水排水管道工程施工及验收规范》（GB50268-2008）</w:t>
      </w:r>
      <w:r>
        <w:rPr>
          <w:rFonts w:hint="eastAsia" w:ascii="宋体" w:hAnsi="宋体" w:cs="宋体"/>
          <w:sz w:val="24"/>
          <w:szCs w:val="24"/>
          <w:highlight w:val="none"/>
        </w:rPr>
        <w:t>；</w:t>
      </w:r>
    </w:p>
    <w:p w14:paraId="6AD7B77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w:t>
      </w:r>
      <w:r>
        <w:rPr>
          <w:sz w:val="24"/>
          <w:highlight w:val="none"/>
        </w:rPr>
        <w:t>《给水排水工程埋地钢管管道结构设计规程》</w:t>
      </w:r>
      <w:r>
        <w:rPr>
          <w:rFonts w:hint="eastAsia"/>
          <w:sz w:val="24"/>
          <w:highlight w:val="none"/>
        </w:rPr>
        <w:t>（</w:t>
      </w:r>
      <w:r>
        <w:rPr>
          <w:sz w:val="24"/>
          <w:highlight w:val="none"/>
        </w:rPr>
        <w:t>CECS141：2002</w:t>
      </w:r>
      <w:r>
        <w:rPr>
          <w:rFonts w:hint="eastAsia"/>
          <w:sz w:val="24"/>
          <w:highlight w:val="none"/>
        </w:rPr>
        <w:t>）</w:t>
      </w:r>
      <w:r>
        <w:rPr>
          <w:rFonts w:hint="eastAsia" w:ascii="宋体" w:hAnsi="宋体" w:cs="宋体"/>
          <w:sz w:val="24"/>
          <w:szCs w:val="24"/>
          <w:highlight w:val="none"/>
        </w:rPr>
        <w:t>；</w:t>
      </w:r>
    </w:p>
    <w:p w14:paraId="70A7126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w:t>
      </w:r>
      <w:r>
        <w:rPr>
          <w:sz w:val="24"/>
          <w:highlight w:val="none"/>
        </w:rPr>
        <w:t>《城市工程管线综合规划规范》</w:t>
      </w:r>
      <w:r>
        <w:rPr>
          <w:rFonts w:hint="eastAsia"/>
          <w:sz w:val="24"/>
          <w:highlight w:val="none"/>
        </w:rPr>
        <w:t>（</w:t>
      </w:r>
      <w:r>
        <w:rPr>
          <w:sz w:val="24"/>
          <w:highlight w:val="none"/>
        </w:rPr>
        <w:t>GB50289-2016</w:t>
      </w:r>
      <w:r>
        <w:rPr>
          <w:rFonts w:hint="eastAsia"/>
          <w:sz w:val="24"/>
          <w:highlight w:val="none"/>
        </w:rPr>
        <w:t>）</w:t>
      </w:r>
    </w:p>
    <w:p w14:paraId="547A952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w:t>
      </w:r>
      <w:r>
        <w:rPr>
          <w:sz w:val="24"/>
          <w:highlight w:val="none"/>
        </w:rPr>
        <w:t>《灌溉及排水工程设计标准》</w:t>
      </w:r>
      <w:r>
        <w:rPr>
          <w:rFonts w:hint="eastAsia"/>
          <w:sz w:val="24"/>
          <w:highlight w:val="none"/>
        </w:rPr>
        <w:t>（</w:t>
      </w:r>
      <w:r>
        <w:rPr>
          <w:sz w:val="24"/>
          <w:highlight w:val="none"/>
        </w:rPr>
        <w:t>GB50288-2018</w:t>
      </w:r>
      <w:r>
        <w:rPr>
          <w:rFonts w:hint="eastAsia"/>
          <w:sz w:val="24"/>
          <w:highlight w:val="none"/>
        </w:rPr>
        <w:t>）</w:t>
      </w:r>
      <w:r>
        <w:rPr>
          <w:rFonts w:hint="eastAsia" w:ascii="宋体" w:hAnsi="宋体" w:cs="宋体"/>
          <w:sz w:val="24"/>
          <w:szCs w:val="24"/>
          <w:highlight w:val="none"/>
        </w:rPr>
        <w:t>；</w:t>
      </w:r>
    </w:p>
    <w:p w14:paraId="7DB98E0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w:t>
      </w:r>
      <w:r>
        <w:rPr>
          <w:rFonts w:hint="eastAsia" w:ascii="宋体" w:hAnsi="宋体"/>
          <w:sz w:val="24"/>
          <w:szCs w:val="24"/>
          <w:highlight w:val="none"/>
        </w:rPr>
        <w:t>《室外排水设计标准》（GB50014-2021）</w:t>
      </w:r>
      <w:r>
        <w:rPr>
          <w:rFonts w:hint="eastAsia" w:ascii="宋体" w:hAnsi="宋体" w:cs="宋体"/>
          <w:sz w:val="24"/>
          <w:szCs w:val="24"/>
          <w:highlight w:val="none"/>
        </w:rPr>
        <w:t>；</w:t>
      </w:r>
    </w:p>
    <w:p w14:paraId="528A829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w:t>
      </w:r>
      <w:r>
        <w:rPr>
          <w:sz w:val="24"/>
          <w:highlight w:val="none"/>
        </w:rPr>
        <w:t>《给水排水制图标准》</w:t>
      </w:r>
      <w:r>
        <w:rPr>
          <w:rFonts w:hint="eastAsia"/>
          <w:sz w:val="24"/>
          <w:highlight w:val="none"/>
        </w:rPr>
        <w:t>（</w:t>
      </w:r>
      <w:r>
        <w:rPr>
          <w:sz w:val="24"/>
          <w:highlight w:val="none"/>
        </w:rPr>
        <w:t>GB/T50106-2010</w:t>
      </w:r>
      <w:r>
        <w:rPr>
          <w:rFonts w:hint="eastAsia"/>
          <w:sz w:val="24"/>
          <w:highlight w:val="none"/>
        </w:rPr>
        <w:t>）</w:t>
      </w:r>
      <w:r>
        <w:rPr>
          <w:rFonts w:hint="eastAsia" w:ascii="宋体" w:hAnsi="宋体" w:cs="宋体"/>
          <w:sz w:val="24"/>
          <w:szCs w:val="24"/>
          <w:highlight w:val="none"/>
        </w:rPr>
        <w:t>；</w:t>
      </w:r>
    </w:p>
    <w:p w14:paraId="26C122B1">
      <w:pPr>
        <w:spacing w:line="360" w:lineRule="auto"/>
        <w:ind w:firstLine="480" w:firstLineChars="200"/>
        <w:rPr>
          <w:sz w:val="24"/>
          <w:highlight w:val="none"/>
        </w:rPr>
      </w:pPr>
      <w:r>
        <w:rPr>
          <w:rFonts w:hint="eastAsia" w:ascii="宋体" w:hAnsi="宋体" w:cs="宋体"/>
          <w:sz w:val="24"/>
          <w:szCs w:val="24"/>
          <w:highlight w:val="none"/>
        </w:rPr>
        <w:t>10．</w:t>
      </w:r>
      <w:r>
        <w:rPr>
          <w:sz w:val="24"/>
          <w:highlight w:val="none"/>
        </w:rPr>
        <w:t>《给水排水管道工程施工及验收规范》</w:t>
      </w:r>
      <w:r>
        <w:rPr>
          <w:rFonts w:hint="eastAsia"/>
          <w:sz w:val="24"/>
          <w:highlight w:val="none"/>
        </w:rPr>
        <w:t>（</w:t>
      </w:r>
      <w:r>
        <w:rPr>
          <w:sz w:val="24"/>
          <w:highlight w:val="none"/>
        </w:rPr>
        <w:t>GB50268-2008</w:t>
      </w:r>
      <w:r>
        <w:rPr>
          <w:rFonts w:hint="eastAsia"/>
          <w:sz w:val="24"/>
          <w:highlight w:val="none"/>
        </w:rPr>
        <w:t>）；</w:t>
      </w:r>
    </w:p>
    <w:p w14:paraId="5A5CA47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w:t>
      </w:r>
      <w:r>
        <w:rPr>
          <w:sz w:val="24"/>
          <w:highlight w:val="none"/>
        </w:rPr>
        <w:t>《给水排水工程顶管工程技术规程》</w:t>
      </w:r>
      <w:r>
        <w:rPr>
          <w:rFonts w:hint="eastAsia"/>
          <w:sz w:val="24"/>
          <w:highlight w:val="none"/>
        </w:rPr>
        <w:t>（</w:t>
      </w:r>
      <w:r>
        <w:rPr>
          <w:sz w:val="24"/>
          <w:highlight w:val="none"/>
        </w:rPr>
        <w:t>CECS246:2008</w:t>
      </w:r>
      <w:r>
        <w:rPr>
          <w:rFonts w:hint="eastAsia"/>
          <w:sz w:val="24"/>
          <w:highlight w:val="none"/>
        </w:rPr>
        <w:t>）</w:t>
      </w:r>
      <w:r>
        <w:rPr>
          <w:rFonts w:hint="eastAsia" w:ascii="宋体" w:hAnsi="宋体" w:cs="宋体"/>
          <w:sz w:val="24"/>
          <w:szCs w:val="24"/>
          <w:highlight w:val="none"/>
        </w:rPr>
        <w:t>；</w:t>
      </w:r>
    </w:p>
    <w:p w14:paraId="2F1F0E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w:t>
      </w:r>
      <w:r>
        <w:rPr>
          <w:sz w:val="24"/>
          <w:highlight w:val="none"/>
        </w:rPr>
        <w:t>《地下工程防水技术规范》</w:t>
      </w:r>
      <w:r>
        <w:rPr>
          <w:rFonts w:hint="eastAsia"/>
          <w:sz w:val="24"/>
          <w:highlight w:val="none"/>
        </w:rPr>
        <w:t>（</w:t>
      </w:r>
      <w:r>
        <w:rPr>
          <w:sz w:val="24"/>
          <w:highlight w:val="none"/>
        </w:rPr>
        <w:t>GB50108-2008</w:t>
      </w:r>
      <w:r>
        <w:rPr>
          <w:rFonts w:hint="eastAsia"/>
          <w:sz w:val="24"/>
          <w:highlight w:val="none"/>
        </w:rPr>
        <w:t>）</w:t>
      </w:r>
      <w:r>
        <w:rPr>
          <w:rFonts w:hint="eastAsia" w:ascii="宋体" w:hAnsi="宋体" w:cs="宋体"/>
          <w:sz w:val="24"/>
          <w:szCs w:val="24"/>
          <w:highlight w:val="none"/>
        </w:rPr>
        <w:t>；</w:t>
      </w:r>
    </w:p>
    <w:p w14:paraId="556DBCB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13．《小型排水构筑物标准图集》（04S519）；</w:t>
      </w:r>
    </w:p>
    <w:p w14:paraId="6DEE73B4">
      <w:pPr>
        <w:spacing w:line="360" w:lineRule="auto"/>
        <w:ind w:firstLine="480" w:firstLineChars="200"/>
        <w:rPr>
          <w:snapToGrid w:val="0"/>
          <w:kern w:val="0"/>
          <w:sz w:val="24"/>
          <w:highlight w:val="none"/>
        </w:rPr>
      </w:pPr>
      <w:r>
        <w:rPr>
          <w:rFonts w:hint="eastAsia" w:ascii="宋体" w:hAnsi="宋体" w:cs="宋体"/>
          <w:sz w:val="24"/>
          <w:szCs w:val="24"/>
          <w:highlight w:val="none"/>
        </w:rPr>
        <w:t>14．</w:t>
      </w:r>
      <w:r>
        <w:rPr>
          <w:snapToGrid w:val="0"/>
          <w:kern w:val="0"/>
          <w:sz w:val="24"/>
          <w:highlight w:val="none"/>
        </w:rPr>
        <w:t>《建筑地基基础设计规范》（GB 50007-2011）</w:t>
      </w:r>
      <w:r>
        <w:rPr>
          <w:rFonts w:hint="eastAsia"/>
          <w:snapToGrid w:val="0"/>
          <w:kern w:val="0"/>
          <w:sz w:val="24"/>
          <w:highlight w:val="none"/>
        </w:rPr>
        <w:t>；</w:t>
      </w:r>
    </w:p>
    <w:p w14:paraId="6FD9A07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15．《安全防范工程技术规范》(GB50348-2004)；</w:t>
      </w:r>
    </w:p>
    <w:p w14:paraId="0AED308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16．《建筑防水工程技术规程》(DBJ15-19-2006)；</w:t>
      </w:r>
    </w:p>
    <w:p w14:paraId="486B48F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17．《工程建设标准强制性条文--房屋建筑部分》(2013版）；</w:t>
      </w:r>
    </w:p>
    <w:p w14:paraId="56DA0B3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18．《建筑装饰装修工程质量验收规范》（GB50210-2018）；</w:t>
      </w:r>
    </w:p>
    <w:p w14:paraId="05EDD3CB">
      <w:pPr>
        <w:spacing w:line="360" w:lineRule="auto"/>
        <w:ind w:left="479" w:leftChars="228"/>
        <w:rPr>
          <w:rFonts w:hint="eastAsia" w:ascii="宋体" w:hAnsi="宋体" w:cs="宋体"/>
          <w:sz w:val="24"/>
          <w:szCs w:val="24"/>
          <w:highlight w:val="none"/>
        </w:rPr>
      </w:pPr>
      <w:r>
        <w:rPr>
          <w:rFonts w:hint="eastAsia" w:ascii="宋体" w:hAnsi="宋体" w:cs="宋体"/>
          <w:sz w:val="24"/>
          <w:szCs w:val="24"/>
          <w:highlight w:val="none"/>
        </w:rPr>
        <w:t>19．《建筑工程设计文件编制深度规定》(2016版)； </w:t>
      </w:r>
    </w:p>
    <w:p w14:paraId="0FE2C1C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20．《建筑抗震设计规范》 (GB50011-2010)；</w:t>
      </w:r>
    </w:p>
    <w:p w14:paraId="0931B20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21．《建筑地面设计规范》(GB50037-2013)；</w:t>
      </w:r>
    </w:p>
    <w:p w14:paraId="5286DD1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22．《建筑设计防火规范》(GB50016-2014)(2018年修订版)；</w:t>
      </w:r>
    </w:p>
    <w:p w14:paraId="1ADC26C1">
      <w:pPr>
        <w:spacing w:line="360" w:lineRule="auto"/>
        <w:ind w:left="479" w:leftChars="228"/>
        <w:rPr>
          <w:rFonts w:hint="eastAsia" w:ascii="宋体" w:hAnsi="宋体" w:cs="宋体"/>
          <w:sz w:val="24"/>
          <w:szCs w:val="24"/>
          <w:highlight w:val="none"/>
        </w:rPr>
      </w:pPr>
      <w:r>
        <w:rPr>
          <w:rFonts w:hint="eastAsia" w:ascii="宋体" w:hAnsi="宋体" w:cs="宋体"/>
          <w:sz w:val="24"/>
          <w:szCs w:val="24"/>
          <w:highlight w:val="none"/>
        </w:rPr>
        <w:t>23．《无障碍设计规范》(GB50763-2012)；</w:t>
      </w:r>
    </w:p>
    <w:p w14:paraId="0AC76F77">
      <w:pPr>
        <w:spacing w:line="360" w:lineRule="auto"/>
        <w:ind w:left="479" w:leftChars="228"/>
        <w:rPr>
          <w:rFonts w:hint="eastAsia" w:ascii="宋体" w:hAnsi="宋体" w:cs="宋体"/>
          <w:bCs/>
          <w:snapToGrid w:val="0"/>
          <w:kern w:val="0"/>
          <w:sz w:val="24"/>
          <w:szCs w:val="24"/>
          <w:highlight w:val="none"/>
        </w:rPr>
      </w:pPr>
      <w:r>
        <w:rPr>
          <w:rFonts w:hint="eastAsia" w:ascii="宋体" w:hAnsi="宋体" w:cs="宋体"/>
          <w:sz w:val="24"/>
          <w:szCs w:val="24"/>
          <w:highlight w:val="none"/>
        </w:rPr>
        <w:t xml:space="preserve">24. </w:t>
      </w:r>
      <w:r>
        <w:rPr>
          <w:rFonts w:hint="eastAsia" w:ascii="宋体" w:hAnsi="宋体" w:cs="宋体"/>
          <w:bCs/>
          <w:snapToGrid w:val="0"/>
          <w:kern w:val="0"/>
          <w:sz w:val="24"/>
          <w:szCs w:val="24"/>
          <w:highlight w:val="none"/>
        </w:rPr>
        <w:t>《公共建筑节能设计标准》（GB50189-2015）；</w:t>
      </w:r>
    </w:p>
    <w:p w14:paraId="200BE84C">
      <w:pPr>
        <w:spacing w:line="360" w:lineRule="auto"/>
        <w:ind w:left="479" w:leftChars="228"/>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25. 《汽车库、修车库、停车场设计规范》（GB50067-2014）；</w:t>
      </w:r>
    </w:p>
    <w:p w14:paraId="03DB6AB4">
      <w:pPr>
        <w:spacing w:line="360" w:lineRule="auto"/>
        <w:ind w:left="479" w:leftChars="228"/>
        <w:rPr>
          <w:rFonts w:hint="eastAsia" w:ascii="宋体" w:hAnsi="宋体" w:cs="宋体"/>
          <w:bCs/>
          <w:snapToGrid w:val="0"/>
          <w:kern w:val="0"/>
          <w:sz w:val="24"/>
          <w:szCs w:val="24"/>
          <w:highlight w:val="none"/>
        </w:rPr>
      </w:pPr>
      <w:r>
        <w:rPr>
          <w:rFonts w:hint="eastAsia" w:ascii="宋体" w:hAnsi="宋体" w:cs="宋体"/>
          <w:bCs/>
          <w:snapToGrid w:val="0"/>
          <w:kern w:val="0"/>
          <w:sz w:val="24"/>
          <w:szCs w:val="24"/>
          <w:highlight w:val="none"/>
        </w:rPr>
        <w:t>26. 《市政道路工程质量检验评定标准》；</w:t>
      </w:r>
    </w:p>
    <w:p w14:paraId="13992C9F">
      <w:pPr>
        <w:numPr>
          <w:ilvl w:val="0"/>
          <w:numId w:val="4"/>
        </w:numPr>
        <w:spacing w:line="360" w:lineRule="auto"/>
        <w:ind w:left="479" w:leftChars="228"/>
        <w:rPr>
          <w:rFonts w:hint="eastAsia" w:ascii="宋体" w:hAnsi="宋体" w:cs="宋体"/>
          <w:sz w:val="24"/>
          <w:szCs w:val="24"/>
          <w:highlight w:val="none"/>
        </w:rPr>
      </w:pPr>
      <w:r>
        <w:rPr>
          <w:rFonts w:hint="eastAsia" w:ascii="宋体" w:hAnsi="宋体" w:cs="宋体"/>
          <w:sz w:val="24"/>
          <w:szCs w:val="24"/>
          <w:highlight w:val="none"/>
        </w:rPr>
        <w:t>《城市道路路基工程施工及验收规范》；</w:t>
      </w:r>
    </w:p>
    <w:p w14:paraId="76519032">
      <w:pPr>
        <w:numPr>
          <w:ilvl w:val="0"/>
          <w:numId w:val="4"/>
        </w:numPr>
        <w:spacing w:line="360" w:lineRule="auto"/>
        <w:ind w:left="479" w:leftChars="228"/>
        <w:rPr>
          <w:rFonts w:hint="eastAsia" w:ascii="宋体" w:hAnsi="宋体" w:cs="宋体"/>
          <w:sz w:val="24"/>
          <w:szCs w:val="24"/>
          <w:highlight w:val="none"/>
        </w:rPr>
      </w:pPr>
      <w:r>
        <w:rPr>
          <w:rFonts w:hint="eastAsia" w:ascii="宋体" w:hAnsi="宋体" w:cs="宋体"/>
          <w:bCs/>
          <w:snapToGrid w:val="0"/>
          <w:kern w:val="0"/>
          <w:sz w:val="24"/>
          <w:szCs w:val="24"/>
          <w:highlight w:val="none"/>
        </w:rPr>
        <w:t>《韶关市城市规划管理技术规定（2015 年版）》；</w:t>
      </w:r>
    </w:p>
    <w:p w14:paraId="3215D676">
      <w:pPr>
        <w:numPr>
          <w:ilvl w:val="0"/>
          <w:numId w:val="4"/>
        </w:numPr>
        <w:spacing w:line="360" w:lineRule="auto"/>
        <w:ind w:left="479" w:leftChars="228"/>
        <w:rPr>
          <w:rFonts w:hint="eastAsia" w:ascii="宋体" w:hAnsi="宋体" w:cs="宋体"/>
          <w:sz w:val="24"/>
          <w:szCs w:val="24"/>
          <w:highlight w:val="none"/>
        </w:rPr>
      </w:pPr>
      <w:r>
        <w:rPr>
          <w:rFonts w:hint="eastAsia" w:ascii="宋体" w:hAnsi="宋体" w:cs="宋体"/>
          <w:sz w:val="24"/>
          <w:szCs w:val="24"/>
          <w:highlight w:val="none"/>
        </w:rPr>
        <w:t>其他现行国家、广东省关于房建、市政工程的施工及验收规范、规程、标准；</w:t>
      </w:r>
    </w:p>
    <w:p w14:paraId="0AD12FEE">
      <w:pPr>
        <w:numPr>
          <w:ilvl w:val="0"/>
          <w:numId w:val="4"/>
        </w:numPr>
        <w:spacing w:line="360" w:lineRule="auto"/>
        <w:ind w:left="479" w:leftChars="228"/>
        <w:rPr>
          <w:rFonts w:hint="eastAsia" w:ascii="宋体" w:hAnsi="宋体" w:cs="宋体"/>
          <w:sz w:val="24"/>
          <w:szCs w:val="24"/>
          <w:highlight w:val="none"/>
        </w:rPr>
      </w:pPr>
      <w:r>
        <w:rPr>
          <w:rFonts w:hint="eastAsia" w:ascii="宋体" w:hAnsi="宋体" w:cs="宋体"/>
          <w:sz w:val="24"/>
          <w:szCs w:val="24"/>
          <w:highlight w:val="none"/>
        </w:rPr>
        <w:t>符合国家及地方现行的设计标准及规范，符合本项目的可研批复及规划方案批复的要求。</w:t>
      </w:r>
    </w:p>
    <w:p w14:paraId="162886BE">
      <w:pPr>
        <w:wordWrap w:val="0"/>
        <w:adjustRightInd w:val="0"/>
        <w:snapToGrid w:val="0"/>
        <w:spacing w:line="360" w:lineRule="auto"/>
        <w:ind w:right="-195" w:rightChars="-93" w:firstLine="723" w:firstLineChars="300"/>
        <w:rPr>
          <w:rFonts w:hint="eastAsia" w:ascii="宋体" w:hAnsi="宋体" w:cs="宋体"/>
          <w:bCs/>
          <w:snapToGrid w:val="0"/>
          <w:kern w:val="0"/>
          <w:sz w:val="24"/>
          <w:szCs w:val="24"/>
          <w:highlight w:val="none"/>
        </w:rPr>
      </w:pPr>
      <w:r>
        <w:rPr>
          <w:rFonts w:hint="eastAsia" w:ascii="宋体" w:hAnsi="宋体" w:cs="宋体"/>
          <w:b/>
          <w:sz w:val="24"/>
          <w:szCs w:val="24"/>
          <w:highlight w:val="none"/>
        </w:rPr>
        <w:t>备注：若有相关主管部门颁发新的标准规范则按新的标准规范执行。</w:t>
      </w:r>
    </w:p>
    <w:p w14:paraId="2BC5F33A">
      <w:pPr>
        <w:wordWrap w:val="0"/>
        <w:adjustRightInd w:val="0"/>
        <w:snapToGrid w:val="0"/>
        <w:spacing w:line="360" w:lineRule="auto"/>
        <w:ind w:firstLine="560"/>
        <w:rPr>
          <w:rFonts w:hint="eastAsia" w:ascii="宋体" w:hAnsi="宋体" w:cs="宋体"/>
          <w:b/>
          <w:snapToGrid w:val="0"/>
          <w:kern w:val="0"/>
          <w:sz w:val="24"/>
          <w:szCs w:val="24"/>
          <w:highlight w:val="none"/>
        </w:rPr>
      </w:pPr>
    </w:p>
    <w:p w14:paraId="6410C77E">
      <w:pPr>
        <w:wordWrap w:val="0"/>
        <w:adjustRightInd w:val="0"/>
        <w:snapToGrid w:val="0"/>
        <w:spacing w:line="360" w:lineRule="auto"/>
        <w:ind w:firstLine="560"/>
        <w:rPr>
          <w:rFonts w:hint="eastAsia" w:ascii="宋体" w:hAnsi="宋体" w:cs="宋体"/>
          <w:strike/>
          <w:snapToGrid w:val="0"/>
          <w:kern w:val="0"/>
          <w:sz w:val="24"/>
          <w:szCs w:val="24"/>
          <w:highlight w:val="none"/>
        </w:rPr>
      </w:pPr>
      <w:r>
        <w:rPr>
          <w:rFonts w:hint="eastAsia" w:ascii="宋体" w:hAnsi="宋体" w:cs="宋体"/>
          <w:b/>
          <w:snapToGrid w:val="0"/>
          <w:kern w:val="0"/>
          <w:sz w:val="24"/>
          <w:szCs w:val="24"/>
          <w:highlight w:val="none"/>
        </w:rPr>
        <w:t>2．备查要求</w:t>
      </w:r>
    </w:p>
    <w:p w14:paraId="72C21B4A">
      <w:pPr>
        <w:wordWrap w:val="0"/>
        <w:adjustRightInd w:val="0"/>
        <w:snapToGrid w:val="0"/>
        <w:spacing w:line="360" w:lineRule="auto"/>
        <w:ind w:firstLine="560"/>
        <w:rPr>
          <w:rFonts w:hint="eastAsia" w:ascii="宋体" w:hAnsi="宋体" w:cs="宋体"/>
          <w:bCs/>
          <w:snapToGrid w:val="0"/>
          <w:kern w:val="0"/>
          <w:highlight w:val="none"/>
        </w:rPr>
      </w:pPr>
      <w:r>
        <w:rPr>
          <w:rFonts w:hint="eastAsia" w:ascii="宋体" w:hAnsi="宋体" w:cs="宋体"/>
          <w:snapToGrid w:val="0"/>
          <w:kern w:val="0"/>
          <w:sz w:val="24"/>
          <w:szCs w:val="24"/>
          <w:highlight w:val="none"/>
        </w:rPr>
        <w:t>承包</w:t>
      </w:r>
      <w:r>
        <w:rPr>
          <w:rFonts w:hint="eastAsia" w:ascii="宋体" w:hAnsi="宋体" w:cs="宋体"/>
          <w:bCs/>
          <w:snapToGrid w:val="0"/>
          <w:kern w:val="0"/>
          <w:sz w:val="24"/>
          <w:szCs w:val="24"/>
          <w:highlight w:val="none"/>
        </w:rPr>
        <w:t>人必须在项目实施现场准备至少一套上述规范，</w:t>
      </w:r>
      <w:r>
        <w:rPr>
          <w:rFonts w:hint="eastAsia" w:ascii="宋体" w:hAnsi="宋体" w:cs="宋体"/>
          <w:snapToGrid w:val="0"/>
          <w:kern w:val="0"/>
          <w:sz w:val="24"/>
          <w:szCs w:val="24"/>
          <w:highlight w:val="none"/>
        </w:rPr>
        <w:t>发包</w:t>
      </w:r>
      <w:r>
        <w:rPr>
          <w:rFonts w:hint="eastAsia" w:ascii="宋体" w:hAnsi="宋体" w:cs="宋体"/>
          <w:bCs/>
          <w:snapToGrid w:val="0"/>
          <w:kern w:val="0"/>
          <w:sz w:val="24"/>
          <w:szCs w:val="24"/>
          <w:highlight w:val="none"/>
        </w:rPr>
        <w:t>人可随时检查</w:t>
      </w:r>
      <w:r>
        <w:rPr>
          <w:rFonts w:hint="eastAsia" w:ascii="宋体" w:hAnsi="宋体" w:cs="宋体"/>
          <w:snapToGrid w:val="0"/>
          <w:kern w:val="0"/>
          <w:sz w:val="24"/>
          <w:szCs w:val="24"/>
          <w:highlight w:val="none"/>
        </w:rPr>
        <w:t>承包</w:t>
      </w:r>
      <w:r>
        <w:rPr>
          <w:rFonts w:hint="eastAsia" w:ascii="宋体" w:hAnsi="宋体" w:cs="宋体"/>
          <w:bCs/>
          <w:snapToGrid w:val="0"/>
          <w:kern w:val="0"/>
          <w:sz w:val="24"/>
          <w:szCs w:val="24"/>
          <w:highlight w:val="none"/>
        </w:rPr>
        <w:t>人的上述规范，并监督</w:t>
      </w:r>
      <w:r>
        <w:rPr>
          <w:rFonts w:hint="eastAsia" w:ascii="宋体" w:hAnsi="宋体" w:cs="宋体"/>
          <w:snapToGrid w:val="0"/>
          <w:kern w:val="0"/>
          <w:sz w:val="24"/>
          <w:szCs w:val="24"/>
          <w:highlight w:val="none"/>
        </w:rPr>
        <w:t>承包</w:t>
      </w:r>
      <w:r>
        <w:rPr>
          <w:rFonts w:hint="eastAsia" w:ascii="宋体" w:hAnsi="宋体" w:cs="宋体"/>
          <w:bCs/>
          <w:snapToGrid w:val="0"/>
          <w:kern w:val="0"/>
          <w:sz w:val="24"/>
          <w:szCs w:val="24"/>
          <w:highlight w:val="none"/>
        </w:rPr>
        <w:t>人按规范要求执行。</w:t>
      </w:r>
      <w:bookmarkStart w:id="263" w:name="_Hlt69670335"/>
      <w:bookmarkEnd w:id="263"/>
    </w:p>
    <w:p w14:paraId="1B9DE304">
      <w:pPr>
        <w:pStyle w:val="188"/>
        <w:keepNext/>
        <w:keepLines/>
        <w:tabs>
          <w:tab w:val="left" w:pos="885"/>
        </w:tabs>
        <w:adjustRightInd/>
        <w:ind w:hanging="884"/>
        <w:jc w:val="center"/>
        <w:rPr>
          <w:rStyle w:val="47"/>
          <w:rFonts w:hint="eastAsia" w:hAnsi="宋体" w:cs="宋体"/>
          <w:bCs/>
          <w:sz w:val="28"/>
          <w:szCs w:val="18"/>
          <w:highlight w:val="none"/>
        </w:rPr>
      </w:pPr>
      <w:r>
        <w:rPr>
          <w:rFonts w:hint="eastAsia" w:hAnsi="宋体" w:cs="宋体"/>
          <w:bCs/>
          <w:snapToGrid w:val="0"/>
          <w:szCs w:val="21"/>
          <w:highlight w:val="none"/>
        </w:rPr>
        <w:br w:type="page"/>
      </w:r>
      <w:bookmarkEnd w:id="262"/>
      <w:bookmarkStart w:id="264" w:name="_Toc135054607"/>
      <w:bookmarkStart w:id="265" w:name="_Toc2525"/>
      <w:bookmarkStart w:id="266" w:name="_Hlt69698785"/>
      <w:r>
        <w:rPr>
          <w:rStyle w:val="47"/>
          <w:rFonts w:hint="eastAsia" w:hAnsi="宋体" w:cs="宋体"/>
          <w:b/>
          <w:sz w:val="36"/>
          <w:szCs w:val="21"/>
          <w:highlight w:val="none"/>
        </w:rPr>
        <w:t>第五章  投标文件格式</w:t>
      </w:r>
      <w:bookmarkEnd w:id="264"/>
      <w:bookmarkEnd w:id="265"/>
    </w:p>
    <w:p w14:paraId="131AD11F">
      <w:pPr>
        <w:pStyle w:val="3"/>
        <w:rPr>
          <w:rFonts w:hint="eastAsia" w:ascii="宋体" w:hAnsi="宋体" w:cs="宋体"/>
          <w:sz w:val="24"/>
          <w:szCs w:val="24"/>
          <w:highlight w:val="none"/>
        </w:rPr>
      </w:pPr>
      <w:bookmarkStart w:id="267" w:name="_Toc19464"/>
      <w:bookmarkStart w:id="268" w:name="_Toc14506"/>
      <w:bookmarkStart w:id="269" w:name="_Toc464768767"/>
      <w:bookmarkStart w:id="270" w:name="_Toc30797"/>
      <w:bookmarkStart w:id="271" w:name="_Toc71811193"/>
      <w:bookmarkStart w:id="272" w:name="_Toc135054608"/>
      <w:bookmarkStart w:id="273" w:name="_Toc71813716"/>
      <w:bookmarkStart w:id="274" w:name="_Toc14561"/>
      <w:bookmarkStart w:id="275" w:name="_Toc71811326"/>
      <w:bookmarkStart w:id="276" w:name="_Toc415171883"/>
      <w:bookmarkStart w:id="277" w:name="_Toc396982994"/>
      <w:bookmarkStart w:id="278" w:name="_Toc396813629"/>
      <w:r>
        <w:rPr>
          <w:rStyle w:val="68"/>
          <w:rFonts w:hint="eastAsia" w:ascii="宋体" w:hAnsi="宋体" w:cs="宋体"/>
          <w:b/>
          <w:bCs/>
          <w:sz w:val="24"/>
          <w:highlight w:val="none"/>
        </w:rPr>
        <w:t>格式一</w:t>
      </w:r>
      <w:bookmarkEnd w:id="267"/>
      <w:bookmarkEnd w:id="268"/>
      <w:bookmarkEnd w:id="269"/>
      <w:r>
        <w:rPr>
          <w:rStyle w:val="68"/>
          <w:rFonts w:hint="eastAsia" w:ascii="宋体" w:hAnsi="宋体" w:cs="宋体"/>
          <w:b/>
          <w:bCs/>
          <w:sz w:val="24"/>
          <w:highlight w:val="none"/>
        </w:rPr>
        <w:t xml:space="preserve"> </w:t>
      </w:r>
      <w:r>
        <w:rPr>
          <w:rFonts w:hint="eastAsia" w:ascii="宋体" w:hAnsi="宋体" w:cs="宋体"/>
          <w:sz w:val="24"/>
          <w:szCs w:val="24"/>
          <w:highlight w:val="none"/>
        </w:rPr>
        <w:t xml:space="preserve"> </w:t>
      </w:r>
      <w:r>
        <w:rPr>
          <w:rFonts w:hint="eastAsia" w:ascii="宋体" w:hAnsi="宋体" w:cs="宋体"/>
          <w:b/>
          <w:bCs/>
          <w:sz w:val="24"/>
          <w:szCs w:val="24"/>
          <w:highlight w:val="none"/>
        </w:rPr>
        <w:t>封面</w:t>
      </w:r>
      <w:bookmarkEnd w:id="270"/>
      <w:bookmarkEnd w:id="271"/>
      <w:bookmarkEnd w:id="272"/>
      <w:bookmarkEnd w:id="273"/>
      <w:bookmarkEnd w:id="274"/>
      <w:bookmarkEnd w:id="275"/>
      <w:r>
        <w:rPr>
          <w:rFonts w:hint="eastAsia" w:ascii="宋体" w:hAnsi="宋体" w:cs="宋体"/>
          <w:sz w:val="24"/>
          <w:szCs w:val="24"/>
          <w:highlight w:val="none"/>
        </w:rPr>
        <w:t xml:space="preserve">           </w:t>
      </w:r>
      <w:bookmarkEnd w:id="276"/>
      <w:bookmarkEnd w:id="277"/>
      <w:bookmarkEnd w:id="278"/>
    </w:p>
    <w:p w14:paraId="06D53C60">
      <w:pPr>
        <w:rPr>
          <w:rStyle w:val="68"/>
          <w:rFonts w:hint="eastAsia" w:ascii="宋体" w:hAnsi="宋体" w:cs="宋体"/>
          <w:sz w:val="24"/>
          <w:highlight w:val="none"/>
        </w:rPr>
      </w:pPr>
    </w:p>
    <w:p w14:paraId="3D79E580">
      <w:pPr>
        <w:pStyle w:val="119"/>
        <w:widowControl w:val="0"/>
        <w:wordWrap w:val="0"/>
        <w:adjustRightInd w:val="0"/>
        <w:snapToGrid w:val="0"/>
        <w:rPr>
          <w:rFonts w:hint="eastAsia" w:ascii="宋体" w:hAnsi="宋体" w:eastAsia="宋体" w:cs="宋体"/>
          <w:b/>
          <w:snapToGrid w:val="0"/>
          <w:sz w:val="24"/>
          <w:highlight w:val="none"/>
        </w:rPr>
      </w:pPr>
      <w:bookmarkStart w:id="279" w:name="_Toc415171884"/>
      <w:bookmarkStart w:id="280" w:name="_Toc396982995"/>
      <w:bookmarkStart w:id="281" w:name="_Toc396813630"/>
      <w:bookmarkStart w:id="282" w:name="_Toc32042"/>
      <w:bookmarkStart w:id="283" w:name="_Toc464768768"/>
      <w:bookmarkStart w:id="284" w:name="_Toc9423"/>
    </w:p>
    <w:p w14:paraId="086622F0">
      <w:pPr>
        <w:pStyle w:val="119"/>
        <w:widowControl w:val="0"/>
        <w:wordWrap w:val="0"/>
        <w:adjustRightInd w:val="0"/>
        <w:snapToGrid w:val="0"/>
        <w:rPr>
          <w:rFonts w:hint="eastAsia" w:ascii="宋体" w:hAnsi="宋体" w:eastAsia="宋体" w:cs="宋体"/>
          <w:b/>
          <w:snapToGrid w:val="0"/>
          <w:sz w:val="24"/>
          <w:highlight w:val="none"/>
        </w:rPr>
      </w:pPr>
    </w:p>
    <w:p w14:paraId="515716F2">
      <w:pPr>
        <w:pStyle w:val="119"/>
        <w:widowControl w:val="0"/>
        <w:wordWrap w:val="0"/>
        <w:adjustRightInd w:val="0"/>
        <w:snapToGrid w:val="0"/>
        <w:rPr>
          <w:rFonts w:hint="eastAsia" w:ascii="宋体" w:hAnsi="宋体" w:eastAsia="宋体" w:cs="宋体"/>
          <w:b/>
          <w:snapToGrid w:val="0"/>
          <w:sz w:val="24"/>
          <w:highlight w:val="none"/>
        </w:rPr>
      </w:pPr>
    </w:p>
    <w:p w14:paraId="15181FE1">
      <w:pPr>
        <w:pStyle w:val="119"/>
        <w:widowControl w:val="0"/>
        <w:wordWrap w:val="0"/>
        <w:adjustRightInd w:val="0"/>
        <w:snapToGrid w:val="0"/>
        <w:rPr>
          <w:rFonts w:hint="eastAsia" w:ascii="宋体" w:hAnsi="宋体" w:eastAsia="宋体" w:cs="宋体"/>
          <w:b/>
          <w:snapToGrid w:val="0"/>
          <w:sz w:val="24"/>
          <w:highlight w:val="none"/>
        </w:rPr>
      </w:pPr>
    </w:p>
    <w:p w14:paraId="598BA5AC">
      <w:pPr>
        <w:pStyle w:val="119"/>
        <w:widowControl w:val="0"/>
        <w:wordWrap w:val="0"/>
        <w:adjustRightInd w:val="0"/>
        <w:snapToGrid w:val="0"/>
        <w:rPr>
          <w:rFonts w:hint="eastAsia" w:ascii="宋体" w:hAnsi="宋体" w:eastAsia="宋体" w:cs="宋体"/>
          <w:b/>
          <w:snapToGrid w:val="0"/>
          <w:sz w:val="24"/>
          <w:highlight w:val="none"/>
        </w:rPr>
      </w:pPr>
    </w:p>
    <w:p w14:paraId="5D5F9465">
      <w:pPr>
        <w:pStyle w:val="119"/>
        <w:widowControl w:val="0"/>
        <w:wordWrap w:val="0"/>
        <w:adjustRightInd w:val="0"/>
        <w:snapToGrid w:val="0"/>
        <w:ind w:firstLine="0"/>
        <w:rPr>
          <w:rFonts w:hint="eastAsia" w:ascii="宋体" w:hAnsi="宋体" w:eastAsia="宋体" w:cs="宋体"/>
          <w:b/>
          <w:snapToGrid w:val="0"/>
          <w:sz w:val="24"/>
          <w:highlight w:val="none"/>
        </w:rPr>
      </w:pPr>
    </w:p>
    <w:p w14:paraId="36CCC986">
      <w:pPr>
        <w:pStyle w:val="119"/>
        <w:widowControl w:val="0"/>
        <w:wordWrap w:val="0"/>
        <w:adjustRightInd w:val="0"/>
        <w:snapToGrid w:val="0"/>
        <w:rPr>
          <w:rFonts w:hint="eastAsia" w:ascii="宋体" w:hAnsi="宋体" w:eastAsia="宋体" w:cs="宋体"/>
          <w:b/>
          <w:snapToGrid w:val="0"/>
          <w:sz w:val="24"/>
          <w:highlight w:val="none"/>
        </w:rPr>
      </w:pPr>
    </w:p>
    <w:p w14:paraId="695BE38F">
      <w:pPr>
        <w:pStyle w:val="119"/>
        <w:widowControl w:val="0"/>
        <w:wordWrap w:val="0"/>
        <w:adjustRightInd w:val="0"/>
        <w:snapToGrid w:val="0"/>
        <w:rPr>
          <w:rFonts w:hint="eastAsia" w:ascii="宋体" w:hAnsi="宋体" w:eastAsia="宋体" w:cs="宋体"/>
          <w:b/>
          <w:snapToGrid w:val="0"/>
          <w:sz w:val="24"/>
          <w:highlight w:val="none"/>
        </w:rPr>
      </w:pPr>
    </w:p>
    <w:p w14:paraId="0535C28A">
      <w:pPr>
        <w:pStyle w:val="119"/>
        <w:widowControl w:val="0"/>
        <w:wordWrap w:val="0"/>
        <w:adjustRightInd w:val="0"/>
        <w:snapToGrid w:val="0"/>
        <w:ind w:firstLine="0"/>
        <w:jc w:val="center"/>
        <w:rPr>
          <w:rFonts w:hint="eastAsia" w:ascii="宋体" w:hAnsi="宋体" w:eastAsia="宋体" w:cs="宋体"/>
          <w:b/>
          <w:snapToGrid w:val="0"/>
          <w:sz w:val="48"/>
          <w:szCs w:val="48"/>
          <w:highlight w:val="none"/>
        </w:rPr>
      </w:pPr>
      <w:bookmarkStart w:id="285" w:name="_Toc14006"/>
      <w:bookmarkStart w:id="286" w:name="_Toc11141"/>
      <w:bookmarkStart w:id="287" w:name="_Toc17225"/>
      <w:bookmarkStart w:id="288" w:name="_Toc24590_WPSOffice_Level2"/>
      <w:bookmarkStart w:id="289" w:name="_Toc19515_WPSOffice_Level2"/>
      <w:bookmarkStart w:id="290" w:name="_Toc10931_WPSOffice_Level2"/>
      <w:bookmarkStart w:id="291" w:name="_Toc15910_WPSOffice_Level2"/>
      <w:bookmarkStart w:id="292" w:name="_Toc29993"/>
      <w:bookmarkStart w:id="293" w:name="_Toc14783"/>
      <w:r>
        <w:rPr>
          <w:rFonts w:hint="eastAsia" w:ascii="宋体" w:hAnsi="宋体" w:eastAsia="宋体" w:cs="宋体"/>
          <w:b/>
          <w:snapToGrid w:val="0"/>
          <w:sz w:val="48"/>
          <w:szCs w:val="48"/>
          <w:highlight w:val="none"/>
          <w:u w:val="single"/>
        </w:rPr>
        <w:t xml:space="preserve">   （项目名称）</w:t>
      </w:r>
      <w:bookmarkEnd w:id="285"/>
      <w:bookmarkEnd w:id="286"/>
      <w:bookmarkEnd w:id="287"/>
      <w:bookmarkEnd w:id="288"/>
      <w:bookmarkEnd w:id="289"/>
      <w:bookmarkEnd w:id="290"/>
      <w:bookmarkEnd w:id="291"/>
      <w:r>
        <w:rPr>
          <w:rFonts w:hint="eastAsia" w:ascii="宋体" w:hAnsi="宋体" w:eastAsia="宋体" w:cs="宋体"/>
          <w:b/>
          <w:snapToGrid w:val="0"/>
          <w:sz w:val="48"/>
          <w:szCs w:val="48"/>
          <w:highlight w:val="none"/>
          <w:u w:val="single"/>
        </w:rPr>
        <w:t xml:space="preserve">  </w:t>
      </w:r>
      <w:bookmarkEnd w:id="292"/>
      <w:bookmarkEnd w:id="293"/>
      <w:r>
        <w:rPr>
          <w:rFonts w:hint="eastAsia" w:ascii="宋体" w:hAnsi="宋体" w:eastAsia="宋体" w:cs="宋体"/>
          <w:b/>
          <w:snapToGrid w:val="0"/>
          <w:sz w:val="48"/>
          <w:szCs w:val="48"/>
          <w:highlight w:val="none"/>
        </w:rPr>
        <w:t>招标</w:t>
      </w:r>
    </w:p>
    <w:p w14:paraId="7A74D696">
      <w:pPr>
        <w:pStyle w:val="119"/>
        <w:widowControl w:val="0"/>
        <w:wordWrap w:val="0"/>
        <w:adjustRightInd w:val="0"/>
        <w:snapToGrid w:val="0"/>
        <w:ind w:firstLine="0"/>
        <w:jc w:val="center"/>
        <w:rPr>
          <w:rFonts w:hint="eastAsia" w:ascii="宋体" w:hAnsi="宋体" w:eastAsia="宋体" w:cs="宋体"/>
          <w:b/>
          <w:snapToGrid w:val="0"/>
          <w:sz w:val="48"/>
          <w:szCs w:val="48"/>
          <w:highlight w:val="none"/>
        </w:rPr>
      </w:pPr>
    </w:p>
    <w:p w14:paraId="6F592A02">
      <w:pPr>
        <w:pStyle w:val="119"/>
        <w:widowControl w:val="0"/>
        <w:wordWrap w:val="0"/>
        <w:adjustRightInd w:val="0"/>
        <w:snapToGrid w:val="0"/>
        <w:ind w:firstLine="0"/>
        <w:jc w:val="center"/>
        <w:rPr>
          <w:rFonts w:hint="eastAsia" w:ascii="宋体" w:hAnsi="宋体" w:eastAsia="宋体" w:cs="宋体"/>
          <w:b/>
          <w:snapToGrid w:val="0"/>
          <w:sz w:val="32"/>
          <w:highlight w:val="none"/>
        </w:rPr>
      </w:pPr>
    </w:p>
    <w:p w14:paraId="4AAD6FC2">
      <w:pPr>
        <w:pStyle w:val="119"/>
        <w:widowControl w:val="0"/>
        <w:wordWrap w:val="0"/>
        <w:adjustRightInd w:val="0"/>
        <w:snapToGrid w:val="0"/>
        <w:ind w:firstLine="0"/>
        <w:jc w:val="center"/>
        <w:rPr>
          <w:rFonts w:hint="eastAsia" w:ascii="宋体" w:hAnsi="宋体" w:eastAsia="宋体" w:cs="宋体"/>
          <w:b/>
          <w:snapToGrid w:val="0"/>
          <w:sz w:val="72"/>
          <w:highlight w:val="none"/>
        </w:rPr>
      </w:pPr>
      <w:bookmarkStart w:id="294" w:name="_Toc8798_WPSOffice_Level3"/>
      <w:bookmarkStart w:id="295" w:name="_Toc5301_WPSOffice_Level3"/>
      <w:r>
        <w:rPr>
          <w:rFonts w:hint="eastAsia" w:ascii="宋体" w:hAnsi="宋体" w:eastAsia="宋体" w:cs="宋体"/>
          <w:b/>
          <w:snapToGrid w:val="0"/>
          <w:sz w:val="72"/>
          <w:highlight w:val="none"/>
        </w:rPr>
        <w:t>投  标  文  件</w:t>
      </w:r>
      <w:bookmarkEnd w:id="294"/>
      <w:bookmarkEnd w:id="295"/>
    </w:p>
    <w:p w14:paraId="7AA54801">
      <w:pPr>
        <w:pStyle w:val="119"/>
        <w:widowControl w:val="0"/>
        <w:wordWrap w:val="0"/>
        <w:adjustRightInd w:val="0"/>
        <w:snapToGrid w:val="0"/>
        <w:ind w:firstLine="0"/>
        <w:jc w:val="center"/>
        <w:rPr>
          <w:rFonts w:hint="eastAsia" w:ascii="宋体" w:hAnsi="宋体" w:eastAsia="宋体" w:cs="宋体"/>
          <w:b/>
          <w:snapToGrid w:val="0"/>
          <w:sz w:val="32"/>
          <w:highlight w:val="none"/>
        </w:rPr>
      </w:pPr>
    </w:p>
    <w:p w14:paraId="31C84919">
      <w:pPr>
        <w:pStyle w:val="119"/>
        <w:widowControl w:val="0"/>
        <w:wordWrap w:val="0"/>
        <w:adjustRightInd w:val="0"/>
        <w:snapToGrid w:val="0"/>
        <w:ind w:firstLine="0"/>
        <w:jc w:val="center"/>
        <w:rPr>
          <w:rFonts w:hint="eastAsia" w:ascii="宋体" w:hAnsi="宋体" w:eastAsia="宋体" w:cs="宋体"/>
          <w:b/>
          <w:snapToGrid w:val="0"/>
          <w:sz w:val="48"/>
          <w:szCs w:val="48"/>
          <w:highlight w:val="none"/>
        </w:rPr>
      </w:pPr>
      <w:bookmarkStart w:id="296" w:name="_Toc2104"/>
      <w:bookmarkStart w:id="297" w:name="_Toc23773"/>
      <w:bookmarkStart w:id="298" w:name="_Toc24704"/>
      <w:bookmarkStart w:id="299" w:name="_Toc18349_WPSOffice_Level2"/>
      <w:bookmarkStart w:id="300" w:name="_Toc639_WPSOffice_Level2"/>
      <w:bookmarkStart w:id="301" w:name="_Toc14127"/>
      <w:bookmarkStart w:id="302" w:name="_Toc6046_WPSOffice_Level2"/>
      <w:bookmarkStart w:id="303" w:name="_Toc8292"/>
      <w:bookmarkStart w:id="304" w:name="_Toc7210_WPSOffice_Level2"/>
      <w:r>
        <w:rPr>
          <w:rFonts w:hint="eastAsia" w:ascii="宋体" w:hAnsi="宋体" w:eastAsia="宋体" w:cs="宋体"/>
          <w:b/>
          <w:snapToGrid w:val="0"/>
          <w:sz w:val="48"/>
          <w:szCs w:val="48"/>
          <w:highlight w:val="none"/>
        </w:rPr>
        <w:t>（商务经济标书／技术标书）</w:t>
      </w:r>
      <w:bookmarkEnd w:id="296"/>
      <w:bookmarkEnd w:id="297"/>
      <w:bookmarkEnd w:id="298"/>
      <w:bookmarkEnd w:id="299"/>
      <w:bookmarkEnd w:id="300"/>
      <w:bookmarkEnd w:id="301"/>
      <w:bookmarkEnd w:id="302"/>
      <w:bookmarkEnd w:id="303"/>
      <w:bookmarkEnd w:id="304"/>
    </w:p>
    <w:p w14:paraId="6BA90BF0">
      <w:pPr>
        <w:pStyle w:val="119"/>
        <w:widowControl w:val="0"/>
        <w:wordWrap w:val="0"/>
        <w:adjustRightInd w:val="0"/>
        <w:snapToGrid w:val="0"/>
        <w:rPr>
          <w:rFonts w:hint="eastAsia" w:ascii="宋体" w:hAnsi="宋体" w:eastAsia="宋体" w:cs="宋体"/>
          <w:b/>
          <w:snapToGrid w:val="0"/>
          <w:highlight w:val="none"/>
        </w:rPr>
      </w:pPr>
    </w:p>
    <w:p w14:paraId="4F3BD772">
      <w:pPr>
        <w:pStyle w:val="119"/>
        <w:widowControl w:val="0"/>
        <w:wordWrap w:val="0"/>
        <w:adjustRightInd w:val="0"/>
        <w:snapToGrid w:val="0"/>
        <w:rPr>
          <w:rFonts w:hint="eastAsia" w:ascii="宋体" w:hAnsi="宋体" w:eastAsia="宋体" w:cs="宋体"/>
          <w:b/>
          <w:snapToGrid w:val="0"/>
          <w:sz w:val="32"/>
          <w:highlight w:val="none"/>
        </w:rPr>
      </w:pPr>
    </w:p>
    <w:p w14:paraId="45C50190">
      <w:pPr>
        <w:pStyle w:val="119"/>
        <w:widowControl w:val="0"/>
        <w:wordWrap w:val="0"/>
        <w:adjustRightInd w:val="0"/>
        <w:snapToGrid w:val="0"/>
        <w:rPr>
          <w:rFonts w:hint="eastAsia" w:ascii="宋体" w:hAnsi="宋体" w:eastAsia="宋体" w:cs="宋体"/>
          <w:b/>
          <w:snapToGrid w:val="0"/>
          <w:sz w:val="32"/>
          <w:highlight w:val="none"/>
        </w:rPr>
      </w:pPr>
    </w:p>
    <w:p w14:paraId="31D9C04A">
      <w:pPr>
        <w:pStyle w:val="119"/>
        <w:widowControl w:val="0"/>
        <w:wordWrap w:val="0"/>
        <w:adjustRightInd w:val="0"/>
        <w:snapToGrid w:val="0"/>
        <w:rPr>
          <w:rFonts w:hint="eastAsia" w:ascii="宋体" w:hAnsi="宋体" w:eastAsia="宋体" w:cs="宋体"/>
          <w:b/>
          <w:snapToGrid w:val="0"/>
          <w:sz w:val="32"/>
          <w:highlight w:val="none"/>
        </w:rPr>
      </w:pPr>
    </w:p>
    <w:p w14:paraId="09B29B98">
      <w:pPr>
        <w:pStyle w:val="119"/>
        <w:widowControl w:val="0"/>
        <w:wordWrap w:val="0"/>
        <w:adjustRightInd w:val="0"/>
        <w:snapToGrid w:val="0"/>
        <w:rPr>
          <w:rFonts w:hint="eastAsia" w:ascii="宋体" w:hAnsi="宋体" w:eastAsia="宋体" w:cs="宋体"/>
          <w:b/>
          <w:snapToGrid w:val="0"/>
          <w:sz w:val="32"/>
          <w:highlight w:val="none"/>
        </w:rPr>
      </w:pPr>
    </w:p>
    <w:p w14:paraId="2407DF5A">
      <w:pPr>
        <w:pStyle w:val="119"/>
        <w:widowControl w:val="0"/>
        <w:wordWrap w:val="0"/>
        <w:adjustRightInd w:val="0"/>
        <w:snapToGrid w:val="0"/>
        <w:rPr>
          <w:rFonts w:hint="eastAsia" w:ascii="宋体" w:hAnsi="宋体" w:eastAsia="宋体" w:cs="宋体"/>
          <w:b/>
          <w:snapToGrid w:val="0"/>
          <w:sz w:val="32"/>
          <w:highlight w:val="none"/>
        </w:rPr>
      </w:pPr>
    </w:p>
    <w:p w14:paraId="5D103DF6">
      <w:pPr>
        <w:pStyle w:val="119"/>
        <w:widowControl w:val="0"/>
        <w:wordWrap w:val="0"/>
        <w:adjustRightInd w:val="0"/>
        <w:snapToGrid w:val="0"/>
        <w:ind w:firstLine="0"/>
        <w:jc w:val="center"/>
        <w:rPr>
          <w:rFonts w:hint="eastAsia" w:ascii="宋体" w:hAnsi="宋体" w:eastAsia="宋体" w:cs="宋体"/>
          <w:bCs/>
          <w:snapToGrid w:val="0"/>
          <w:sz w:val="32"/>
          <w:highlight w:val="none"/>
        </w:rPr>
      </w:pPr>
      <w:bookmarkStart w:id="305" w:name="_Toc9798"/>
      <w:bookmarkStart w:id="306" w:name="_Toc695"/>
      <w:bookmarkStart w:id="307" w:name="_Toc15825_WPSOffice_Level2"/>
      <w:bookmarkStart w:id="308" w:name="_Toc1506"/>
      <w:bookmarkStart w:id="309" w:name="_Toc3918_WPSOffice_Level2"/>
      <w:bookmarkStart w:id="310" w:name="_Toc7044"/>
      <w:bookmarkStart w:id="311" w:name="_Toc881_WPSOffice_Level2"/>
      <w:bookmarkStart w:id="312" w:name="_Toc23809"/>
      <w:bookmarkStart w:id="313" w:name="_Toc10578_WPSOffice_Level2"/>
      <w:r>
        <w:rPr>
          <w:rFonts w:hint="eastAsia" w:ascii="宋体" w:hAnsi="宋体" w:eastAsia="宋体" w:cs="宋体"/>
          <w:bCs/>
          <w:snapToGrid w:val="0"/>
          <w:sz w:val="32"/>
          <w:highlight w:val="none"/>
        </w:rPr>
        <w:t>投标人：</w:t>
      </w:r>
      <w:r>
        <w:rPr>
          <w:rFonts w:hint="eastAsia" w:ascii="宋体" w:hAnsi="宋体" w:eastAsia="宋体" w:cs="宋体"/>
          <w:bCs/>
          <w:snapToGrid w:val="0"/>
          <w:sz w:val="32"/>
          <w:highlight w:val="none"/>
          <w:u w:val="single"/>
        </w:rPr>
        <w:t xml:space="preserve">                    </w:t>
      </w:r>
      <w:r>
        <w:rPr>
          <w:rFonts w:hint="eastAsia" w:ascii="宋体" w:hAnsi="宋体" w:eastAsia="宋体" w:cs="宋体"/>
          <w:bCs/>
          <w:snapToGrid w:val="0"/>
          <w:sz w:val="32"/>
          <w:highlight w:val="none"/>
        </w:rPr>
        <w:t>（盖单位章）</w:t>
      </w:r>
      <w:bookmarkEnd w:id="305"/>
      <w:bookmarkEnd w:id="306"/>
      <w:bookmarkEnd w:id="307"/>
      <w:bookmarkEnd w:id="308"/>
      <w:bookmarkEnd w:id="309"/>
      <w:bookmarkEnd w:id="310"/>
      <w:bookmarkEnd w:id="311"/>
      <w:bookmarkEnd w:id="312"/>
      <w:bookmarkEnd w:id="313"/>
    </w:p>
    <w:p w14:paraId="5325DE08">
      <w:pPr>
        <w:pStyle w:val="119"/>
        <w:widowControl w:val="0"/>
        <w:wordWrap w:val="0"/>
        <w:adjustRightInd w:val="0"/>
        <w:snapToGrid w:val="0"/>
        <w:ind w:firstLine="0"/>
        <w:jc w:val="center"/>
        <w:rPr>
          <w:rFonts w:hint="eastAsia" w:ascii="宋体" w:hAnsi="宋体" w:eastAsia="宋体" w:cs="宋体"/>
          <w:bCs/>
          <w:snapToGrid w:val="0"/>
          <w:sz w:val="32"/>
          <w:highlight w:val="none"/>
        </w:rPr>
      </w:pPr>
    </w:p>
    <w:p w14:paraId="6EC3C6AC">
      <w:pPr>
        <w:pStyle w:val="119"/>
        <w:widowControl w:val="0"/>
        <w:wordWrap w:val="0"/>
        <w:adjustRightInd w:val="0"/>
        <w:snapToGrid w:val="0"/>
        <w:ind w:firstLine="0"/>
        <w:jc w:val="center"/>
        <w:rPr>
          <w:rFonts w:hint="eastAsia" w:ascii="宋体" w:hAnsi="宋体" w:eastAsia="宋体" w:cs="宋体"/>
          <w:bCs/>
          <w:snapToGrid w:val="0"/>
          <w:sz w:val="32"/>
          <w:highlight w:val="none"/>
        </w:rPr>
      </w:pPr>
    </w:p>
    <w:p w14:paraId="67A9B8A8">
      <w:pPr>
        <w:pStyle w:val="119"/>
        <w:widowControl w:val="0"/>
        <w:wordWrap w:val="0"/>
        <w:adjustRightInd w:val="0"/>
        <w:snapToGrid w:val="0"/>
        <w:ind w:firstLine="0"/>
        <w:jc w:val="center"/>
        <w:rPr>
          <w:rFonts w:hint="eastAsia" w:ascii="宋体" w:hAnsi="宋体" w:eastAsia="宋体" w:cs="宋体"/>
          <w:bCs/>
          <w:snapToGrid w:val="0"/>
          <w:sz w:val="32"/>
          <w:highlight w:val="none"/>
        </w:rPr>
      </w:pPr>
    </w:p>
    <w:p w14:paraId="751DEEC1">
      <w:pPr>
        <w:pStyle w:val="119"/>
        <w:widowControl w:val="0"/>
        <w:adjustRightInd w:val="0"/>
        <w:snapToGrid w:val="0"/>
        <w:ind w:firstLine="0"/>
        <w:jc w:val="center"/>
        <w:rPr>
          <w:rFonts w:hint="eastAsia" w:ascii="宋体" w:hAnsi="宋体" w:eastAsia="宋体" w:cs="宋体"/>
          <w:bCs/>
          <w:snapToGrid w:val="0"/>
          <w:sz w:val="32"/>
          <w:highlight w:val="none"/>
        </w:rPr>
      </w:pPr>
      <w:bookmarkStart w:id="314" w:name="_Toc27613_WPSOffice_Level2"/>
      <w:bookmarkStart w:id="315" w:name="_Toc27630_WPSOffice_Level2"/>
      <w:bookmarkStart w:id="316" w:name="_Toc32628_WPSOffice_Level2"/>
      <w:bookmarkStart w:id="317" w:name="_Toc29706"/>
      <w:bookmarkStart w:id="318" w:name="_Toc12474"/>
      <w:bookmarkStart w:id="319" w:name="_Toc2370"/>
      <w:bookmarkStart w:id="320" w:name="_Toc13744_WPSOffice_Level2"/>
      <w:bookmarkStart w:id="321" w:name="_Toc24086"/>
      <w:bookmarkStart w:id="322" w:name="_Toc31144"/>
      <w:r>
        <w:rPr>
          <w:rFonts w:hint="eastAsia" w:ascii="宋体" w:hAnsi="宋体" w:eastAsia="宋体" w:cs="宋体"/>
          <w:bCs/>
          <w:snapToGrid w:val="0"/>
          <w:sz w:val="32"/>
          <w:highlight w:val="none"/>
        </w:rPr>
        <w:t>法定代表人或其委托代理人：</w:t>
      </w:r>
      <w:r>
        <w:rPr>
          <w:rFonts w:hint="eastAsia" w:ascii="宋体" w:hAnsi="宋体" w:eastAsia="宋体" w:cs="宋体"/>
          <w:bCs/>
          <w:snapToGrid w:val="0"/>
          <w:sz w:val="32"/>
          <w:highlight w:val="none"/>
          <w:u w:val="single"/>
        </w:rPr>
        <w:t xml:space="preserve">           </w:t>
      </w:r>
      <w:r>
        <w:rPr>
          <w:rFonts w:hint="eastAsia" w:ascii="宋体" w:hAnsi="宋体" w:eastAsia="宋体" w:cs="宋体"/>
          <w:bCs/>
          <w:snapToGrid w:val="0"/>
          <w:sz w:val="32"/>
          <w:highlight w:val="none"/>
        </w:rPr>
        <w:t>（签字或盖章）</w:t>
      </w:r>
      <w:bookmarkEnd w:id="314"/>
      <w:bookmarkEnd w:id="315"/>
      <w:bookmarkEnd w:id="316"/>
      <w:bookmarkEnd w:id="317"/>
      <w:bookmarkEnd w:id="318"/>
      <w:bookmarkEnd w:id="319"/>
      <w:bookmarkEnd w:id="320"/>
      <w:bookmarkEnd w:id="321"/>
      <w:bookmarkEnd w:id="322"/>
    </w:p>
    <w:p w14:paraId="185D4745">
      <w:pPr>
        <w:pStyle w:val="119"/>
        <w:widowControl w:val="0"/>
        <w:adjustRightInd w:val="0"/>
        <w:snapToGrid w:val="0"/>
        <w:ind w:firstLine="0"/>
        <w:jc w:val="center"/>
        <w:rPr>
          <w:rFonts w:hint="eastAsia" w:ascii="宋体" w:hAnsi="宋体" w:eastAsia="宋体" w:cs="宋体"/>
          <w:bCs/>
          <w:snapToGrid w:val="0"/>
          <w:sz w:val="32"/>
          <w:highlight w:val="none"/>
        </w:rPr>
      </w:pPr>
    </w:p>
    <w:p w14:paraId="4D83DDEF">
      <w:pPr>
        <w:pStyle w:val="119"/>
        <w:widowControl w:val="0"/>
        <w:adjustRightInd w:val="0"/>
        <w:snapToGrid w:val="0"/>
        <w:ind w:firstLine="0"/>
        <w:jc w:val="center"/>
        <w:rPr>
          <w:rFonts w:hint="eastAsia" w:ascii="宋体" w:hAnsi="宋体" w:eastAsia="宋体" w:cs="宋体"/>
          <w:bCs/>
          <w:snapToGrid w:val="0"/>
          <w:sz w:val="32"/>
          <w:highlight w:val="none"/>
          <w:u w:val="single"/>
        </w:rPr>
      </w:pPr>
    </w:p>
    <w:p w14:paraId="56E5F8AF">
      <w:pPr>
        <w:pStyle w:val="119"/>
        <w:widowControl w:val="0"/>
        <w:adjustRightInd w:val="0"/>
        <w:snapToGrid w:val="0"/>
        <w:ind w:firstLine="0"/>
        <w:jc w:val="center"/>
        <w:rPr>
          <w:rFonts w:hint="eastAsia" w:ascii="宋体" w:hAnsi="宋体" w:eastAsia="宋体" w:cs="宋体"/>
          <w:b/>
          <w:snapToGrid w:val="0"/>
          <w:highlight w:val="none"/>
        </w:rPr>
      </w:pPr>
      <w:bookmarkStart w:id="323" w:name="_Toc28896"/>
      <w:bookmarkStart w:id="324" w:name="_Toc28423_WPSOffice_Level2"/>
      <w:bookmarkStart w:id="325" w:name="_Toc15044_WPSOffice_Level2"/>
      <w:bookmarkStart w:id="326" w:name="_Toc1745_WPSOffice_Level2"/>
      <w:bookmarkStart w:id="327" w:name="_Toc4261_WPSOffice_Level2"/>
      <w:bookmarkStart w:id="328" w:name="_Toc25506"/>
      <w:bookmarkStart w:id="329" w:name="_Toc6799"/>
      <w:bookmarkStart w:id="330" w:name="_Toc23570"/>
      <w:bookmarkStart w:id="331" w:name="_Toc7063"/>
      <w:r>
        <w:rPr>
          <w:rFonts w:hint="eastAsia" w:ascii="宋体" w:hAnsi="宋体" w:eastAsia="宋体" w:cs="宋体"/>
          <w:bCs/>
          <w:snapToGrid w:val="0"/>
          <w:sz w:val="32"/>
          <w:highlight w:val="none"/>
          <w:u w:val="single"/>
        </w:rPr>
        <w:t xml:space="preserve">      </w:t>
      </w:r>
      <w:r>
        <w:rPr>
          <w:rFonts w:hint="eastAsia" w:ascii="宋体" w:hAnsi="宋体" w:eastAsia="宋体" w:cs="宋体"/>
          <w:bCs/>
          <w:snapToGrid w:val="0"/>
          <w:sz w:val="32"/>
          <w:highlight w:val="none"/>
        </w:rPr>
        <w:t>年</w:t>
      </w:r>
      <w:r>
        <w:rPr>
          <w:rFonts w:hint="eastAsia" w:ascii="宋体" w:hAnsi="宋体" w:eastAsia="宋体" w:cs="宋体"/>
          <w:bCs/>
          <w:snapToGrid w:val="0"/>
          <w:sz w:val="32"/>
          <w:highlight w:val="none"/>
          <w:u w:val="single"/>
        </w:rPr>
        <w:t xml:space="preserve">    </w:t>
      </w:r>
      <w:r>
        <w:rPr>
          <w:rFonts w:hint="eastAsia" w:ascii="宋体" w:hAnsi="宋体" w:eastAsia="宋体" w:cs="宋体"/>
          <w:bCs/>
          <w:snapToGrid w:val="0"/>
          <w:sz w:val="32"/>
          <w:highlight w:val="none"/>
        </w:rPr>
        <w:t>月</w:t>
      </w:r>
      <w:r>
        <w:rPr>
          <w:rFonts w:hint="eastAsia" w:ascii="宋体" w:hAnsi="宋体" w:eastAsia="宋体" w:cs="宋体"/>
          <w:bCs/>
          <w:snapToGrid w:val="0"/>
          <w:sz w:val="32"/>
          <w:highlight w:val="none"/>
          <w:u w:val="single"/>
        </w:rPr>
        <w:t xml:space="preserve">    </w:t>
      </w:r>
      <w:r>
        <w:rPr>
          <w:rFonts w:hint="eastAsia" w:ascii="宋体" w:hAnsi="宋体" w:eastAsia="宋体" w:cs="宋体"/>
          <w:bCs/>
          <w:snapToGrid w:val="0"/>
          <w:sz w:val="32"/>
          <w:highlight w:val="none"/>
        </w:rPr>
        <w:t>日</w:t>
      </w:r>
      <w:bookmarkEnd w:id="323"/>
      <w:bookmarkEnd w:id="324"/>
      <w:bookmarkEnd w:id="325"/>
      <w:bookmarkEnd w:id="326"/>
      <w:bookmarkEnd w:id="327"/>
      <w:bookmarkEnd w:id="328"/>
      <w:bookmarkEnd w:id="329"/>
      <w:bookmarkEnd w:id="330"/>
      <w:bookmarkEnd w:id="331"/>
    </w:p>
    <w:p w14:paraId="4F8229C4">
      <w:pPr>
        <w:pStyle w:val="3"/>
        <w:rPr>
          <w:rStyle w:val="68"/>
          <w:rFonts w:hint="eastAsia" w:ascii="宋体" w:hAnsi="宋体" w:cs="宋体"/>
          <w:b/>
          <w:bCs/>
          <w:sz w:val="24"/>
          <w:highlight w:val="none"/>
        </w:rPr>
      </w:pPr>
      <w:r>
        <w:rPr>
          <w:rStyle w:val="68"/>
          <w:rFonts w:hint="eastAsia" w:ascii="宋体" w:hAnsi="宋体" w:cs="宋体"/>
          <w:b/>
          <w:bCs/>
          <w:sz w:val="24"/>
          <w:highlight w:val="none"/>
        </w:rPr>
        <w:br w:type="page"/>
      </w:r>
      <w:bookmarkStart w:id="332" w:name="_Toc71813717"/>
      <w:bookmarkStart w:id="333" w:name="_Toc71811327"/>
      <w:bookmarkStart w:id="334" w:name="_Toc71811194"/>
      <w:bookmarkStart w:id="335" w:name="_Toc8818"/>
      <w:bookmarkStart w:id="336" w:name="_Toc135054609"/>
      <w:bookmarkStart w:id="337" w:name="_Toc30483"/>
      <w:r>
        <w:rPr>
          <w:rStyle w:val="68"/>
          <w:rFonts w:hint="eastAsia" w:ascii="宋体" w:hAnsi="宋体" w:cs="宋体"/>
          <w:b/>
          <w:bCs/>
          <w:sz w:val="24"/>
          <w:highlight w:val="none"/>
        </w:rPr>
        <w:t>格式二</w:t>
      </w:r>
      <w:bookmarkEnd w:id="279"/>
      <w:bookmarkEnd w:id="280"/>
      <w:bookmarkEnd w:id="281"/>
      <w:bookmarkEnd w:id="282"/>
      <w:bookmarkEnd w:id="283"/>
      <w:bookmarkEnd w:id="284"/>
      <w:bookmarkEnd w:id="332"/>
      <w:bookmarkEnd w:id="333"/>
      <w:bookmarkEnd w:id="334"/>
      <w:bookmarkEnd w:id="335"/>
      <w:r>
        <w:rPr>
          <w:rStyle w:val="68"/>
          <w:rFonts w:hint="eastAsia" w:ascii="宋体" w:hAnsi="宋体" w:cs="宋体"/>
          <w:b/>
          <w:bCs/>
          <w:sz w:val="24"/>
          <w:highlight w:val="none"/>
        </w:rPr>
        <w:t xml:space="preserve"> </w:t>
      </w:r>
      <w:r>
        <w:rPr>
          <w:rStyle w:val="68"/>
          <w:rFonts w:hint="eastAsia" w:ascii="宋体" w:hAnsi="宋体" w:cs="宋体"/>
          <w:sz w:val="24"/>
          <w:highlight w:val="none"/>
        </w:rPr>
        <w:t xml:space="preserve"> </w:t>
      </w:r>
      <w:r>
        <w:rPr>
          <w:rStyle w:val="68"/>
          <w:rFonts w:hint="eastAsia" w:ascii="宋体" w:hAnsi="宋体" w:cs="宋体"/>
          <w:b/>
          <w:bCs/>
          <w:sz w:val="24"/>
          <w:highlight w:val="none"/>
        </w:rPr>
        <w:t>投标函</w:t>
      </w:r>
      <w:bookmarkEnd w:id="336"/>
      <w:bookmarkEnd w:id="337"/>
    </w:p>
    <w:p w14:paraId="4F891606">
      <w:pPr>
        <w:spacing w:line="360" w:lineRule="auto"/>
        <w:jc w:val="center"/>
        <w:rPr>
          <w:rFonts w:hint="eastAsia" w:ascii="宋体" w:hAnsi="宋体" w:cs="宋体"/>
          <w:sz w:val="24"/>
          <w:szCs w:val="24"/>
          <w:highlight w:val="none"/>
        </w:rPr>
      </w:pPr>
      <w:r>
        <w:rPr>
          <w:rFonts w:hint="eastAsia" w:ascii="宋体" w:hAnsi="宋体" w:cs="宋体"/>
          <w:b/>
          <w:sz w:val="24"/>
          <w:szCs w:val="24"/>
          <w:highlight w:val="none"/>
        </w:rPr>
        <w:t>投  标  函</w:t>
      </w:r>
    </w:p>
    <w:p w14:paraId="591ECB81">
      <w:pPr>
        <w:wordWrap w:val="0"/>
        <w:adjustRightInd w:val="0"/>
        <w:snapToGrid w:val="0"/>
        <w:spacing w:line="440" w:lineRule="exact"/>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致：</w:t>
      </w:r>
      <w:r>
        <w:rPr>
          <w:rFonts w:hint="eastAsia" w:ascii="宋体" w:hAnsi="宋体" w:cs="宋体"/>
          <w:snapToGrid w:val="0"/>
          <w:kern w:val="0"/>
          <w:sz w:val="24"/>
          <w:szCs w:val="22"/>
          <w:highlight w:val="none"/>
          <w:u w:val="single"/>
        </w:rPr>
        <w:t xml:space="preserve">                   </w:t>
      </w:r>
      <w:r>
        <w:rPr>
          <w:rFonts w:hint="eastAsia" w:ascii="宋体" w:hAnsi="宋体" w:cs="宋体"/>
          <w:snapToGrid w:val="0"/>
          <w:kern w:val="0"/>
          <w:sz w:val="24"/>
          <w:szCs w:val="22"/>
          <w:highlight w:val="none"/>
        </w:rPr>
        <w:t>（招标人名称）</w:t>
      </w:r>
    </w:p>
    <w:p w14:paraId="0D720037">
      <w:pPr>
        <w:spacing w:before="120" w:beforeLines="50" w:line="440" w:lineRule="exact"/>
        <w:ind w:firstLine="480" w:firstLineChars="200"/>
        <w:rPr>
          <w:rFonts w:hint="eastAsia" w:ascii="宋体" w:hAnsi="宋体" w:cs="宋体"/>
          <w:highlight w:val="none"/>
        </w:rPr>
      </w:pPr>
      <w:r>
        <w:rPr>
          <w:rFonts w:hint="eastAsia" w:ascii="宋体" w:hAnsi="宋体" w:cs="宋体"/>
          <w:sz w:val="24"/>
          <w:szCs w:val="32"/>
          <w:highlight w:val="none"/>
        </w:rPr>
        <w:t>1、经分析研究了贵方提供的</w:t>
      </w:r>
      <w:r>
        <w:rPr>
          <w:rFonts w:hint="eastAsia" w:ascii="宋体" w:hAnsi="宋体" w:cs="宋体"/>
          <w:sz w:val="24"/>
          <w:szCs w:val="32"/>
          <w:highlight w:val="none"/>
          <w:u w:val="single"/>
        </w:rPr>
        <w:t xml:space="preserve">      </w:t>
      </w:r>
      <w:r>
        <w:rPr>
          <w:rFonts w:hint="eastAsia" w:ascii="宋体" w:hAnsi="宋体" w:cs="宋体"/>
          <w:b/>
          <w:bCs/>
          <w:sz w:val="24"/>
          <w:szCs w:val="32"/>
          <w:highlight w:val="none"/>
          <w:u w:val="single"/>
        </w:rPr>
        <w:t xml:space="preserve">  </w:t>
      </w:r>
      <w:r>
        <w:rPr>
          <w:rFonts w:hint="eastAsia" w:ascii="宋体" w:hAnsi="宋体" w:cs="宋体"/>
          <w:snapToGrid w:val="0"/>
          <w:kern w:val="0"/>
          <w:sz w:val="24"/>
          <w:szCs w:val="22"/>
          <w:highlight w:val="none"/>
          <w:u w:val="single"/>
        </w:rPr>
        <w:t>（项目名称）</w:t>
      </w:r>
      <w:r>
        <w:rPr>
          <w:rFonts w:hint="eastAsia" w:ascii="宋体" w:hAnsi="宋体" w:cs="宋体"/>
          <w:b/>
          <w:bCs/>
          <w:sz w:val="24"/>
          <w:szCs w:val="32"/>
          <w:highlight w:val="none"/>
          <w:u w:val="single"/>
        </w:rPr>
        <w:t xml:space="preserve">      </w:t>
      </w:r>
      <w:r>
        <w:rPr>
          <w:rFonts w:hint="eastAsia" w:ascii="宋体" w:hAnsi="宋体" w:cs="宋体"/>
          <w:snapToGrid w:val="0"/>
          <w:kern w:val="0"/>
          <w:sz w:val="24"/>
          <w:szCs w:val="22"/>
          <w:highlight w:val="none"/>
        </w:rPr>
        <w:t>（以下简称“本项目”）</w:t>
      </w:r>
      <w:r>
        <w:rPr>
          <w:rFonts w:hint="eastAsia" w:ascii="宋体" w:hAnsi="宋体" w:cs="宋体"/>
          <w:sz w:val="24"/>
          <w:szCs w:val="24"/>
          <w:highlight w:val="none"/>
        </w:rPr>
        <w:t>招标文件中的投标须知、拟签订合同的主要条款、项目介绍、本次招标答疑后，我方（即文末签名人），考虑了本企业的实力和特点，愿意接受招标文件的全部内容和条件，愿以投标报价（人民币大写）：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元，投标取费费率为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%作为酬金</w:t>
      </w:r>
      <w:r>
        <w:rPr>
          <w:rFonts w:hint="eastAsia" w:ascii="宋体" w:hAnsi="宋体" w:cs="宋体"/>
          <w:sz w:val="24"/>
          <w:szCs w:val="32"/>
          <w:highlight w:val="none"/>
        </w:rPr>
        <w:t>，竞投承包上述工程。</w:t>
      </w:r>
    </w:p>
    <w:p w14:paraId="697EE41E">
      <w:pPr>
        <w:spacing w:line="440" w:lineRule="exact"/>
        <w:ind w:left="239" w:leftChars="114" w:firstLine="410" w:firstLineChars="171"/>
        <w:rPr>
          <w:rFonts w:hint="eastAsia" w:ascii="宋体" w:hAnsi="宋体" w:cs="宋体"/>
          <w:sz w:val="24"/>
          <w:szCs w:val="32"/>
          <w:highlight w:val="none"/>
        </w:rPr>
      </w:pPr>
      <w:r>
        <w:rPr>
          <w:rFonts w:hint="eastAsia" w:ascii="宋体" w:hAnsi="宋体" w:cs="宋体"/>
          <w:sz w:val="24"/>
          <w:szCs w:val="32"/>
          <w:highlight w:val="none"/>
        </w:rPr>
        <w:t>2、如我方中标，我方保证按合同条款、规范和附件要求，实施并完成上述工程设计。</w:t>
      </w:r>
      <w:r>
        <w:rPr>
          <w:rFonts w:hint="eastAsia" w:ascii="宋体" w:hAnsi="宋体" w:cs="宋体"/>
          <w:sz w:val="24"/>
          <w:szCs w:val="32"/>
          <w:highlight w:val="none"/>
          <w:u w:val="single"/>
        </w:rPr>
        <w:t xml:space="preserve">     </w:t>
      </w:r>
      <w:r>
        <w:rPr>
          <w:rFonts w:hint="eastAsia" w:ascii="宋体" w:hAnsi="宋体" w:cs="宋体"/>
          <w:sz w:val="24"/>
          <w:szCs w:val="32"/>
          <w:highlight w:val="none"/>
        </w:rPr>
        <w:t>个日历天内完成合同约定的内容，并确保设计文件质量达到</w:t>
      </w:r>
      <w:r>
        <w:rPr>
          <w:rFonts w:hint="eastAsia" w:ascii="宋体" w:hAnsi="宋体" w:cs="宋体"/>
          <w:sz w:val="24"/>
          <w:szCs w:val="32"/>
          <w:highlight w:val="none"/>
          <w:u w:val="single"/>
        </w:rPr>
        <w:t xml:space="preserve"> 合格 </w:t>
      </w:r>
      <w:r>
        <w:rPr>
          <w:rFonts w:hint="eastAsia" w:ascii="宋体" w:hAnsi="宋体" w:cs="宋体"/>
          <w:sz w:val="24"/>
          <w:szCs w:val="32"/>
          <w:highlight w:val="none"/>
        </w:rPr>
        <w:t>标准并修补其任何缺陷。</w:t>
      </w:r>
    </w:p>
    <w:p w14:paraId="44023E32">
      <w:pPr>
        <w:wordWrap w:val="0"/>
        <w:adjustRightInd w:val="0"/>
        <w:snapToGrid w:val="0"/>
        <w:spacing w:line="440" w:lineRule="exact"/>
        <w:ind w:firstLine="480" w:firstLineChars="20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3、本投标函在你方接收我方递交的投标文件之日起、到招标文件规定的投标有效期期满前对我方具有约束力。我方随时准备接受你方发出的中标通知书。</w:t>
      </w:r>
    </w:p>
    <w:p w14:paraId="2518E233">
      <w:pPr>
        <w:wordWrap w:val="0"/>
        <w:adjustRightInd w:val="0"/>
        <w:snapToGrid w:val="0"/>
        <w:spacing w:line="440" w:lineRule="exact"/>
        <w:ind w:firstLine="480" w:firstLineChars="20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4、我方在此声明，我方不存在本项目招标文件第一章第三节第4.4条“禁止投标条款”所列出的任何一种情形，并愿意承担因我方就此弄虚作假所引起的一切法律后果。</w:t>
      </w:r>
    </w:p>
    <w:p w14:paraId="46AA96CB">
      <w:pPr>
        <w:wordWrap w:val="0"/>
        <w:adjustRightInd w:val="0"/>
        <w:snapToGrid w:val="0"/>
        <w:spacing w:line="440" w:lineRule="exact"/>
        <w:ind w:firstLine="480" w:firstLineChars="200"/>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5、我方在此承诺，所递交投标文件的全部内容均为真实、有效、准确的，并愿意承担因我方就此弄虚作假所引起的一切法律后果，同时理解和同意有可能被要求提供更多的资料。</w:t>
      </w:r>
    </w:p>
    <w:p w14:paraId="1967C28A">
      <w:pPr>
        <w:wordWrap w:val="0"/>
        <w:adjustRightInd w:val="0"/>
        <w:snapToGrid w:val="0"/>
        <w:spacing w:line="440" w:lineRule="exact"/>
        <w:ind w:firstLine="480" w:firstLineChars="200"/>
        <w:rPr>
          <w:rFonts w:hint="eastAsia" w:ascii="宋体" w:hAnsi="宋体" w:cs="宋体"/>
          <w:snapToGrid w:val="0"/>
          <w:kern w:val="0"/>
          <w:sz w:val="24"/>
          <w:szCs w:val="22"/>
          <w:highlight w:val="none"/>
        </w:rPr>
      </w:pPr>
      <w:bookmarkStart w:id="338" w:name="_Hlt68771070"/>
      <w:bookmarkEnd w:id="338"/>
      <w:r>
        <w:rPr>
          <w:rFonts w:hint="eastAsia" w:ascii="宋体" w:hAnsi="宋体" w:cs="宋体"/>
          <w:snapToGrid w:val="0"/>
          <w:kern w:val="0"/>
          <w:sz w:val="24"/>
          <w:szCs w:val="22"/>
          <w:highlight w:val="none"/>
        </w:rPr>
        <w:t>6、我方理解你方不一定要接纳收到的最低投标总价或任何投标总价的投标人中标，也不要求你方解释我方是否中标的原因。</w:t>
      </w:r>
    </w:p>
    <w:p w14:paraId="3C9EE4FA">
      <w:pPr>
        <w:wordWrap w:val="0"/>
        <w:adjustRightInd w:val="0"/>
        <w:snapToGrid w:val="0"/>
        <w:spacing w:line="440" w:lineRule="exact"/>
        <w:rPr>
          <w:rFonts w:hint="eastAsia" w:ascii="宋体" w:hAnsi="宋体" w:cs="宋体"/>
          <w:snapToGrid w:val="0"/>
          <w:kern w:val="0"/>
          <w:sz w:val="24"/>
          <w:szCs w:val="22"/>
          <w:highlight w:val="none"/>
        </w:rPr>
      </w:pPr>
    </w:p>
    <w:p w14:paraId="36C3112E">
      <w:pPr>
        <w:wordWrap w:val="0"/>
        <w:adjustRightInd w:val="0"/>
        <w:snapToGrid w:val="0"/>
        <w:spacing w:line="440" w:lineRule="exact"/>
        <w:jc w:val="right"/>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 xml:space="preserve">    投标人：</w:t>
      </w:r>
      <w:r>
        <w:rPr>
          <w:rFonts w:hint="eastAsia" w:ascii="宋体" w:hAnsi="宋体" w:cs="宋体"/>
          <w:snapToGrid w:val="0"/>
          <w:kern w:val="0"/>
          <w:sz w:val="24"/>
          <w:szCs w:val="22"/>
          <w:highlight w:val="none"/>
          <w:u w:val="single"/>
        </w:rPr>
        <w:t xml:space="preserve">                              </w:t>
      </w:r>
      <w:r>
        <w:rPr>
          <w:rFonts w:hint="eastAsia" w:ascii="宋体" w:hAnsi="宋体" w:cs="宋体"/>
          <w:snapToGrid w:val="0"/>
          <w:kern w:val="0"/>
          <w:sz w:val="24"/>
          <w:szCs w:val="22"/>
          <w:highlight w:val="none"/>
        </w:rPr>
        <w:t>（盖单位章）</w:t>
      </w:r>
    </w:p>
    <w:p w14:paraId="7476DAB0">
      <w:pPr>
        <w:wordWrap w:val="0"/>
        <w:adjustRightInd w:val="0"/>
        <w:snapToGrid w:val="0"/>
        <w:spacing w:line="440" w:lineRule="exact"/>
        <w:ind w:firstLine="480" w:firstLineChars="200"/>
        <w:jc w:val="right"/>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法定代表人或其委托代理人：</w:t>
      </w:r>
      <w:r>
        <w:rPr>
          <w:rFonts w:hint="eastAsia" w:ascii="宋体" w:hAnsi="宋体" w:cs="宋体"/>
          <w:snapToGrid w:val="0"/>
          <w:kern w:val="0"/>
          <w:sz w:val="24"/>
          <w:szCs w:val="22"/>
          <w:highlight w:val="none"/>
          <w:u w:val="single"/>
        </w:rPr>
        <w:t xml:space="preserve">          </w:t>
      </w:r>
      <w:r>
        <w:rPr>
          <w:rFonts w:hint="eastAsia" w:ascii="宋体" w:hAnsi="宋体" w:cs="宋体"/>
          <w:snapToGrid w:val="0"/>
          <w:kern w:val="0"/>
          <w:sz w:val="24"/>
          <w:szCs w:val="22"/>
          <w:highlight w:val="none"/>
        </w:rPr>
        <w:t>（签字或盖章）</w:t>
      </w:r>
    </w:p>
    <w:p w14:paraId="0EB08EFF">
      <w:pPr>
        <w:wordWrap w:val="0"/>
        <w:adjustRightInd w:val="0"/>
        <w:snapToGrid w:val="0"/>
        <w:spacing w:line="440" w:lineRule="exact"/>
        <w:jc w:val="left"/>
        <w:rPr>
          <w:rFonts w:hint="eastAsia" w:ascii="宋体" w:hAnsi="宋体" w:cs="宋体"/>
          <w:snapToGrid w:val="0"/>
          <w:kern w:val="0"/>
          <w:sz w:val="24"/>
          <w:szCs w:val="22"/>
          <w:highlight w:val="none"/>
        </w:rPr>
      </w:pPr>
      <w:r>
        <w:rPr>
          <w:rFonts w:hint="eastAsia" w:ascii="宋体" w:hAnsi="宋体" w:cs="宋体"/>
          <w:snapToGrid w:val="0"/>
          <w:kern w:val="0"/>
          <w:sz w:val="24"/>
          <w:szCs w:val="22"/>
          <w:highlight w:val="none"/>
        </w:rPr>
        <w:t xml:space="preserve">                                       </w:t>
      </w:r>
      <w:r>
        <w:rPr>
          <w:rFonts w:hint="eastAsia" w:ascii="宋体" w:hAnsi="宋体" w:cs="宋体"/>
          <w:snapToGrid w:val="0"/>
          <w:kern w:val="0"/>
          <w:sz w:val="24"/>
          <w:szCs w:val="22"/>
          <w:highlight w:val="none"/>
          <w:u w:val="single"/>
        </w:rPr>
        <w:t xml:space="preserve">       </w:t>
      </w:r>
      <w:r>
        <w:rPr>
          <w:rFonts w:hint="eastAsia" w:ascii="宋体" w:hAnsi="宋体" w:cs="宋体"/>
          <w:snapToGrid w:val="0"/>
          <w:kern w:val="0"/>
          <w:sz w:val="24"/>
          <w:szCs w:val="22"/>
          <w:highlight w:val="none"/>
        </w:rPr>
        <w:t>年</w:t>
      </w:r>
      <w:r>
        <w:rPr>
          <w:rFonts w:hint="eastAsia" w:ascii="宋体" w:hAnsi="宋体" w:cs="宋体"/>
          <w:snapToGrid w:val="0"/>
          <w:kern w:val="0"/>
          <w:sz w:val="24"/>
          <w:szCs w:val="22"/>
          <w:highlight w:val="none"/>
          <w:u w:val="single"/>
        </w:rPr>
        <w:t xml:space="preserve">     </w:t>
      </w:r>
      <w:r>
        <w:rPr>
          <w:rFonts w:hint="eastAsia" w:ascii="宋体" w:hAnsi="宋体" w:cs="宋体"/>
          <w:snapToGrid w:val="0"/>
          <w:kern w:val="0"/>
          <w:sz w:val="24"/>
          <w:szCs w:val="22"/>
          <w:highlight w:val="none"/>
        </w:rPr>
        <w:t>月</w:t>
      </w:r>
      <w:r>
        <w:rPr>
          <w:rFonts w:hint="eastAsia" w:ascii="宋体" w:hAnsi="宋体" w:cs="宋体"/>
          <w:snapToGrid w:val="0"/>
          <w:kern w:val="0"/>
          <w:sz w:val="24"/>
          <w:szCs w:val="22"/>
          <w:highlight w:val="none"/>
          <w:u w:val="single"/>
        </w:rPr>
        <w:t xml:space="preserve">     </w:t>
      </w:r>
      <w:r>
        <w:rPr>
          <w:rFonts w:hint="eastAsia" w:ascii="宋体" w:hAnsi="宋体" w:cs="宋体"/>
          <w:snapToGrid w:val="0"/>
          <w:kern w:val="0"/>
          <w:sz w:val="24"/>
          <w:szCs w:val="22"/>
          <w:highlight w:val="none"/>
        </w:rPr>
        <w:t>日</w:t>
      </w:r>
    </w:p>
    <w:p w14:paraId="266A8642">
      <w:pPr>
        <w:pStyle w:val="3"/>
        <w:rPr>
          <w:rStyle w:val="68"/>
          <w:rFonts w:hint="eastAsia" w:ascii="宋体" w:hAnsi="宋体" w:cs="宋体"/>
          <w:bCs/>
          <w:sz w:val="24"/>
          <w:highlight w:val="none"/>
        </w:rPr>
      </w:pPr>
      <w:r>
        <w:rPr>
          <w:rFonts w:hint="eastAsia" w:ascii="宋体" w:hAnsi="宋体" w:cs="宋体"/>
          <w:snapToGrid w:val="0"/>
          <w:highlight w:val="none"/>
        </w:rPr>
        <w:br w:type="page"/>
      </w:r>
      <w:bookmarkStart w:id="339" w:name="_Toc71811195"/>
      <w:bookmarkStart w:id="340" w:name="_Toc71813718"/>
      <w:bookmarkStart w:id="341" w:name="_Toc30990"/>
      <w:bookmarkStart w:id="342" w:name="_Toc71811328"/>
      <w:bookmarkStart w:id="343" w:name="_Toc31795"/>
      <w:bookmarkStart w:id="344" w:name="_Toc135054610"/>
      <w:r>
        <w:rPr>
          <w:rStyle w:val="68"/>
          <w:rFonts w:hint="eastAsia" w:ascii="宋体" w:hAnsi="宋体" w:cs="宋体"/>
          <w:b/>
          <w:bCs/>
          <w:sz w:val="24"/>
          <w:highlight w:val="none"/>
        </w:rPr>
        <w:t>格式三</w:t>
      </w:r>
      <w:bookmarkEnd w:id="339"/>
      <w:bookmarkEnd w:id="340"/>
      <w:bookmarkEnd w:id="341"/>
      <w:bookmarkEnd w:id="342"/>
      <w:r>
        <w:rPr>
          <w:rStyle w:val="68"/>
          <w:rFonts w:hint="eastAsia" w:ascii="宋体" w:hAnsi="宋体" w:cs="宋体"/>
          <w:b/>
          <w:bCs/>
          <w:sz w:val="24"/>
          <w:highlight w:val="none"/>
        </w:rPr>
        <w:t xml:space="preserve">  工程项目报价表</w:t>
      </w:r>
      <w:bookmarkEnd w:id="343"/>
      <w:bookmarkEnd w:id="344"/>
    </w:p>
    <w:p w14:paraId="5FAD5F9A">
      <w:pPr>
        <w:pStyle w:val="119"/>
        <w:widowControl w:val="0"/>
        <w:wordWrap w:val="0"/>
        <w:adjustRightInd w:val="0"/>
        <w:snapToGrid w:val="0"/>
        <w:ind w:firstLine="0"/>
        <w:jc w:val="center"/>
        <w:rPr>
          <w:rFonts w:hint="eastAsia" w:ascii="宋体" w:hAnsi="宋体" w:eastAsia="宋体" w:cs="宋体"/>
          <w:b/>
          <w:snapToGrid w:val="0"/>
          <w:sz w:val="24"/>
          <w:szCs w:val="24"/>
          <w:highlight w:val="none"/>
        </w:rPr>
      </w:pPr>
    </w:p>
    <w:p w14:paraId="193977AE">
      <w:pPr>
        <w:pStyle w:val="119"/>
        <w:widowControl w:val="0"/>
        <w:wordWrap w:val="0"/>
        <w:adjustRightInd w:val="0"/>
        <w:snapToGrid w:val="0"/>
        <w:spacing w:line="360" w:lineRule="auto"/>
        <w:ind w:firstLine="0"/>
        <w:jc w:val="center"/>
        <w:rPr>
          <w:rFonts w:hint="eastAsia" w:ascii="宋体" w:hAnsi="宋体" w:eastAsia="宋体" w:cs="宋体"/>
          <w:b/>
          <w:snapToGrid w:val="0"/>
          <w:sz w:val="28"/>
          <w:szCs w:val="28"/>
          <w:highlight w:val="none"/>
        </w:rPr>
      </w:pPr>
      <w:r>
        <w:rPr>
          <w:rFonts w:hint="eastAsia" w:ascii="宋体" w:hAnsi="宋体" w:eastAsia="宋体" w:cs="宋体"/>
          <w:b/>
          <w:snapToGrid w:val="0"/>
          <w:sz w:val="28"/>
          <w:szCs w:val="28"/>
          <w:highlight w:val="none"/>
        </w:rPr>
        <w:t>工程项目报价表</w:t>
      </w:r>
    </w:p>
    <w:tbl>
      <w:tblPr>
        <w:tblStyle w:val="33"/>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9"/>
        <w:gridCol w:w="1879"/>
        <w:gridCol w:w="1850"/>
        <w:gridCol w:w="1528"/>
      </w:tblGrid>
      <w:tr w14:paraId="1CBB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3219" w:type="dxa"/>
            <w:vAlign w:val="center"/>
          </w:tcPr>
          <w:p w14:paraId="4CB114CB">
            <w:pPr>
              <w:jc w:val="center"/>
              <w:rPr>
                <w:rFonts w:hint="eastAsia" w:hAnsi="宋体" w:cs="宋体"/>
                <w:sz w:val="24"/>
                <w:szCs w:val="24"/>
                <w:highlight w:val="none"/>
              </w:rPr>
            </w:pPr>
            <w:r>
              <w:rPr>
                <w:rFonts w:hint="eastAsia"/>
                <w:sz w:val="24"/>
                <w:szCs w:val="24"/>
                <w:highlight w:val="none"/>
              </w:rPr>
              <w:t>项目名称</w:t>
            </w:r>
          </w:p>
        </w:tc>
        <w:tc>
          <w:tcPr>
            <w:tcW w:w="1879" w:type="dxa"/>
            <w:vAlign w:val="center"/>
          </w:tcPr>
          <w:p w14:paraId="40778DA2">
            <w:pPr>
              <w:jc w:val="center"/>
              <w:rPr>
                <w:sz w:val="24"/>
                <w:szCs w:val="24"/>
                <w:highlight w:val="none"/>
              </w:rPr>
            </w:pPr>
            <w:r>
              <w:rPr>
                <w:rFonts w:hint="eastAsia"/>
                <w:sz w:val="24"/>
                <w:szCs w:val="24"/>
                <w:highlight w:val="none"/>
              </w:rPr>
              <w:t>取费费率</w:t>
            </w:r>
          </w:p>
        </w:tc>
        <w:tc>
          <w:tcPr>
            <w:tcW w:w="1850" w:type="dxa"/>
            <w:vAlign w:val="center"/>
          </w:tcPr>
          <w:p w14:paraId="45814A2E">
            <w:pPr>
              <w:jc w:val="center"/>
              <w:rPr>
                <w:sz w:val="24"/>
                <w:szCs w:val="24"/>
                <w:highlight w:val="none"/>
              </w:rPr>
            </w:pPr>
            <w:r>
              <w:rPr>
                <w:rFonts w:hint="eastAsia"/>
                <w:sz w:val="24"/>
                <w:szCs w:val="24"/>
                <w:highlight w:val="none"/>
              </w:rPr>
              <w:t>投标报价</w:t>
            </w:r>
          </w:p>
        </w:tc>
        <w:tc>
          <w:tcPr>
            <w:tcW w:w="1528" w:type="dxa"/>
            <w:vAlign w:val="center"/>
          </w:tcPr>
          <w:p w14:paraId="0C07A7BF">
            <w:pPr>
              <w:jc w:val="center"/>
              <w:rPr>
                <w:rFonts w:hint="eastAsia" w:hAnsi="宋体" w:cs="宋体"/>
                <w:sz w:val="24"/>
                <w:szCs w:val="24"/>
                <w:highlight w:val="none"/>
              </w:rPr>
            </w:pPr>
            <w:r>
              <w:rPr>
                <w:rFonts w:hint="eastAsia"/>
                <w:sz w:val="24"/>
                <w:szCs w:val="24"/>
                <w:highlight w:val="none"/>
              </w:rPr>
              <w:t>备注</w:t>
            </w:r>
          </w:p>
        </w:tc>
      </w:tr>
      <w:tr w14:paraId="780D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3219" w:type="dxa"/>
            <w:vAlign w:val="center"/>
          </w:tcPr>
          <w:p w14:paraId="4DF46A16">
            <w:pPr>
              <w:jc w:val="center"/>
              <w:rPr>
                <w:rFonts w:hint="eastAsia" w:hAnsi="宋体" w:cs="宋体"/>
                <w:sz w:val="24"/>
                <w:szCs w:val="24"/>
                <w:highlight w:val="none"/>
              </w:rPr>
            </w:pPr>
            <w:r>
              <w:rPr>
                <w:rFonts w:hint="eastAsia"/>
                <w:sz w:val="24"/>
                <w:szCs w:val="24"/>
                <w:highlight w:val="none"/>
              </w:rPr>
              <w:t>浈江产业园（犁市片区）基础设施建设项目（土方工程、道路及边坡工程、管线工程）设计</w:t>
            </w:r>
          </w:p>
        </w:tc>
        <w:tc>
          <w:tcPr>
            <w:tcW w:w="1879" w:type="dxa"/>
            <w:vAlign w:val="center"/>
          </w:tcPr>
          <w:p w14:paraId="349699D2">
            <w:pPr>
              <w:spacing w:before="120" w:beforeLines="50"/>
              <w:jc w:val="center"/>
              <w:rPr>
                <w:rFonts w:hint="eastAsia" w:hAnsi="宋体" w:cs="宋体"/>
                <w:sz w:val="24"/>
                <w:szCs w:val="24"/>
                <w:highlight w:val="none"/>
              </w:rPr>
            </w:pPr>
            <w:r>
              <w:rPr>
                <w:rFonts w:hint="eastAsia" w:hAnsi="宋体" w:cs="宋体"/>
                <w:sz w:val="24"/>
                <w:szCs w:val="24"/>
                <w:highlight w:val="none"/>
                <w:u w:val="single"/>
              </w:rPr>
              <w:t xml:space="preserve">     </w:t>
            </w:r>
            <w:r>
              <w:rPr>
                <w:rFonts w:hint="eastAsia" w:hAnsi="宋体" w:cs="宋体"/>
                <w:sz w:val="24"/>
                <w:szCs w:val="24"/>
                <w:highlight w:val="none"/>
              </w:rPr>
              <w:t>%</w:t>
            </w:r>
          </w:p>
        </w:tc>
        <w:tc>
          <w:tcPr>
            <w:tcW w:w="1850" w:type="dxa"/>
            <w:vAlign w:val="center"/>
          </w:tcPr>
          <w:p w14:paraId="1097E03D">
            <w:pPr>
              <w:spacing w:before="120" w:beforeLines="50"/>
              <w:jc w:val="center"/>
              <w:rPr>
                <w:rFonts w:hint="eastAsia" w:hAnsi="宋体" w:cs="宋体"/>
                <w:sz w:val="24"/>
                <w:szCs w:val="24"/>
                <w:highlight w:val="none"/>
              </w:rPr>
            </w:pPr>
            <w:r>
              <w:rPr>
                <w:rFonts w:hint="eastAsia"/>
                <w:sz w:val="24"/>
                <w:szCs w:val="24"/>
                <w:highlight w:val="none"/>
                <w:u w:val="single"/>
              </w:rPr>
              <w:t xml:space="preserve">     </w:t>
            </w:r>
            <w:r>
              <w:rPr>
                <w:rFonts w:hint="eastAsia"/>
                <w:sz w:val="24"/>
                <w:szCs w:val="24"/>
                <w:highlight w:val="none"/>
              </w:rPr>
              <w:t>元</w:t>
            </w:r>
          </w:p>
        </w:tc>
        <w:tc>
          <w:tcPr>
            <w:tcW w:w="1528" w:type="dxa"/>
            <w:vAlign w:val="center"/>
          </w:tcPr>
          <w:p w14:paraId="2D823A8F">
            <w:pPr>
              <w:jc w:val="left"/>
              <w:rPr>
                <w:sz w:val="24"/>
                <w:szCs w:val="24"/>
                <w:highlight w:val="none"/>
              </w:rPr>
            </w:pPr>
          </w:p>
        </w:tc>
      </w:tr>
    </w:tbl>
    <w:p w14:paraId="327CB497">
      <w:pPr>
        <w:adjustRightInd w:val="0"/>
        <w:snapToGrid w:val="0"/>
        <w:spacing w:line="360" w:lineRule="auto"/>
        <w:rPr>
          <w:rFonts w:hint="eastAsia" w:ascii="宋体" w:hAnsi="宋体" w:cs="宋体"/>
          <w:kern w:val="1"/>
          <w:sz w:val="24"/>
          <w:szCs w:val="24"/>
          <w:highlight w:val="none"/>
        </w:rPr>
      </w:pPr>
    </w:p>
    <w:p w14:paraId="7528E1B0">
      <w:pPr>
        <w:adjustRightInd w:val="0"/>
        <w:snapToGrid w:val="0"/>
        <w:spacing w:line="360" w:lineRule="auto"/>
        <w:ind w:left="63" w:leftChars="-100" w:hanging="273" w:hangingChars="114"/>
        <w:rPr>
          <w:rFonts w:hint="eastAsia" w:ascii="宋体" w:hAnsi="宋体" w:cs="宋体"/>
          <w:kern w:val="1"/>
          <w:sz w:val="24"/>
          <w:szCs w:val="24"/>
          <w:highlight w:val="none"/>
        </w:rPr>
      </w:pPr>
    </w:p>
    <w:p w14:paraId="3C671F2A">
      <w:pPr>
        <w:adjustRightInd w:val="0"/>
        <w:snapToGrid w:val="0"/>
        <w:spacing w:line="360" w:lineRule="auto"/>
        <w:ind w:left="63" w:leftChars="-100" w:hanging="273" w:hangingChars="114"/>
        <w:rPr>
          <w:rFonts w:hint="eastAsia" w:ascii="宋体" w:hAnsi="宋体" w:cs="宋体"/>
          <w:kern w:val="1"/>
          <w:sz w:val="24"/>
          <w:szCs w:val="24"/>
          <w:highlight w:val="none"/>
        </w:rPr>
      </w:pPr>
      <w:r>
        <w:rPr>
          <w:rFonts w:hint="eastAsia" w:ascii="宋体" w:hAnsi="宋体" w:cs="宋体"/>
          <w:kern w:val="1"/>
          <w:sz w:val="24"/>
          <w:szCs w:val="24"/>
          <w:highlight w:val="none"/>
        </w:rPr>
        <w:t>备注：</w:t>
      </w:r>
    </w:p>
    <w:p w14:paraId="5B235C68">
      <w:pPr>
        <w:pStyle w:val="119"/>
        <w:widowControl w:val="0"/>
        <w:wordWrap w:val="0"/>
        <w:adjustRightInd w:val="0"/>
        <w:snapToGrid w:val="0"/>
        <w:spacing w:line="360" w:lineRule="auto"/>
        <w:ind w:firstLine="0"/>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1、投标报价超过最高投标限价的为无效报价，取费费率超过取费费率上限的为无效费率。</w:t>
      </w:r>
    </w:p>
    <w:p w14:paraId="769CECED">
      <w:pPr>
        <w:pStyle w:val="119"/>
        <w:widowControl w:val="0"/>
        <w:wordWrap w:val="0"/>
        <w:adjustRightInd w:val="0"/>
        <w:snapToGrid w:val="0"/>
        <w:spacing w:line="360" w:lineRule="auto"/>
        <w:ind w:firstLine="0"/>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2、投标报价及取费费率均按“四舍五入”原则精确到两位小数。</w:t>
      </w:r>
    </w:p>
    <w:p w14:paraId="7D3A368E">
      <w:pPr>
        <w:pStyle w:val="119"/>
        <w:widowControl w:val="0"/>
        <w:wordWrap w:val="0"/>
        <w:adjustRightInd w:val="0"/>
        <w:snapToGrid w:val="0"/>
        <w:spacing w:line="360" w:lineRule="auto"/>
        <w:ind w:firstLine="0"/>
        <w:rPr>
          <w:rFonts w:hint="eastAsia" w:ascii="宋体" w:hAnsi="宋体" w:eastAsia="宋体" w:cs="宋体"/>
          <w:b/>
          <w:snapToGrid w:val="0"/>
          <w:sz w:val="24"/>
          <w:szCs w:val="24"/>
          <w:highlight w:val="none"/>
        </w:rPr>
      </w:pPr>
      <w:r>
        <w:rPr>
          <w:rFonts w:hint="eastAsia" w:ascii="宋体" w:hAnsi="宋体" w:eastAsia="宋体" w:cs="宋体"/>
          <w:kern w:val="1"/>
          <w:sz w:val="24"/>
          <w:szCs w:val="24"/>
          <w:highlight w:val="none"/>
        </w:rPr>
        <w:t>3、以上投标报价均为含税报价（增值税）。</w:t>
      </w:r>
    </w:p>
    <w:p w14:paraId="3D4BEC88">
      <w:pPr>
        <w:pStyle w:val="119"/>
        <w:widowControl w:val="0"/>
        <w:wordWrap w:val="0"/>
        <w:adjustRightInd w:val="0"/>
        <w:snapToGrid w:val="0"/>
        <w:spacing w:line="360" w:lineRule="auto"/>
        <w:ind w:firstLine="0"/>
        <w:rPr>
          <w:rFonts w:hint="eastAsia" w:ascii="宋体" w:hAnsi="宋体" w:eastAsia="宋体" w:cs="宋体"/>
          <w:b/>
          <w:snapToGrid w:val="0"/>
          <w:sz w:val="24"/>
          <w:szCs w:val="24"/>
          <w:highlight w:val="none"/>
        </w:rPr>
      </w:pPr>
    </w:p>
    <w:p w14:paraId="24BDFC7E">
      <w:pPr>
        <w:wordWrap w:val="0"/>
        <w:adjustRightInd w:val="0"/>
        <w:snapToGrid w:val="0"/>
        <w:spacing w:line="360" w:lineRule="auto"/>
        <w:ind w:firstLine="480"/>
        <w:jc w:val="righ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投标人：</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（盖单位章）</w:t>
      </w:r>
    </w:p>
    <w:p w14:paraId="278C3482">
      <w:pPr>
        <w:pStyle w:val="14"/>
        <w:ind w:firstLine="480"/>
        <w:rPr>
          <w:highlight w:val="none"/>
        </w:rPr>
      </w:pPr>
    </w:p>
    <w:p w14:paraId="48C724AF">
      <w:pPr>
        <w:wordWrap w:val="0"/>
        <w:adjustRightInd w:val="0"/>
        <w:snapToGrid w:val="0"/>
        <w:spacing w:line="360" w:lineRule="auto"/>
        <w:ind w:firstLine="480" w:firstLineChars="200"/>
        <w:jc w:val="righ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法定代表人或其委托代理人：</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（签字或盖章）</w:t>
      </w:r>
    </w:p>
    <w:p w14:paraId="1AD73607">
      <w:pPr>
        <w:pStyle w:val="14"/>
        <w:rPr>
          <w:highlight w:val="none"/>
        </w:rPr>
      </w:pPr>
    </w:p>
    <w:p w14:paraId="4D4065F6">
      <w:pPr>
        <w:wordWrap w:val="0"/>
        <w:adjustRightInd w:val="0"/>
        <w:snapToGrid w:val="0"/>
        <w:spacing w:line="360" w:lineRule="auto"/>
        <w:jc w:val="left"/>
        <w:rPr>
          <w:rFonts w:hint="eastAsia" w:ascii="宋体" w:hAnsi="宋体" w:cs="宋体"/>
          <w:b/>
          <w:snapToGrid w:val="0"/>
          <w:kern w:val="0"/>
          <w:sz w:val="24"/>
          <w:szCs w:val="24"/>
          <w:highlight w:val="none"/>
        </w:rPr>
      </w:pPr>
      <w:r>
        <w:rPr>
          <w:rFonts w:hint="eastAsia" w:ascii="宋体" w:hAnsi="宋体" w:cs="宋体"/>
          <w:snapToGrid w:val="0"/>
          <w:kern w:val="0"/>
          <w:sz w:val="24"/>
          <w:szCs w:val="24"/>
          <w:highlight w:val="none"/>
        </w:rPr>
        <w:t xml:space="preserve">                                       </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日</w:t>
      </w:r>
    </w:p>
    <w:p w14:paraId="3A9469C8">
      <w:pPr>
        <w:spacing w:line="380" w:lineRule="exact"/>
        <w:rPr>
          <w:rFonts w:hint="eastAsia" w:ascii="宋体" w:hAnsi="宋体" w:cs="宋体"/>
          <w:sz w:val="24"/>
          <w:szCs w:val="24"/>
          <w:highlight w:val="none"/>
        </w:rPr>
      </w:pPr>
      <w:r>
        <w:rPr>
          <w:rStyle w:val="68"/>
          <w:rFonts w:hint="eastAsia" w:ascii="宋体" w:hAnsi="宋体" w:cs="宋体"/>
          <w:b/>
          <w:bCs/>
          <w:sz w:val="24"/>
          <w:szCs w:val="22"/>
          <w:highlight w:val="none"/>
        </w:rPr>
        <w:br w:type="page"/>
      </w:r>
      <w:bookmarkStart w:id="345" w:name="_Toc135054611"/>
      <w:r>
        <w:rPr>
          <w:rStyle w:val="68"/>
          <w:rFonts w:hint="eastAsia" w:ascii="宋体" w:hAnsi="宋体" w:cs="宋体"/>
          <w:b/>
          <w:bCs/>
          <w:sz w:val="24"/>
          <w:highlight w:val="none"/>
        </w:rPr>
        <w:t xml:space="preserve">格式四  </w:t>
      </w:r>
      <w:r>
        <w:rPr>
          <w:rStyle w:val="68"/>
          <w:rFonts w:hint="eastAsia" w:ascii="宋体" w:hAnsi="宋体" w:cs="宋体"/>
          <w:b/>
          <w:bCs/>
          <w:sz w:val="24"/>
          <w:szCs w:val="22"/>
          <w:highlight w:val="none"/>
        </w:rPr>
        <w:t>各项承诺一览表</w:t>
      </w:r>
      <w:bookmarkEnd w:id="345"/>
    </w:p>
    <w:p w14:paraId="6AAAE835">
      <w:pPr>
        <w:spacing w:before="100" w:after="100"/>
        <w:jc w:val="center"/>
        <w:rPr>
          <w:rFonts w:hint="eastAsia" w:ascii="宋体" w:hAnsi="宋体" w:cs="宋体"/>
          <w:b/>
          <w:sz w:val="28"/>
          <w:szCs w:val="28"/>
          <w:highlight w:val="none"/>
        </w:rPr>
      </w:pPr>
      <w:r>
        <w:rPr>
          <w:rFonts w:hint="eastAsia" w:ascii="宋体" w:hAnsi="宋体" w:cs="宋体"/>
          <w:b/>
          <w:sz w:val="28"/>
          <w:szCs w:val="28"/>
          <w:highlight w:val="none"/>
        </w:rPr>
        <w:t>各项承诺一览表</w:t>
      </w:r>
    </w:p>
    <w:tbl>
      <w:tblPr>
        <w:tblStyle w:val="33"/>
        <w:tblW w:w="9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1371"/>
        <w:gridCol w:w="3864"/>
        <w:gridCol w:w="3806"/>
      </w:tblGrid>
      <w:tr w14:paraId="7139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780" w:type="dxa"/>
          </w:tcPr>
          <w:p w14:paraId="399B2F31">
            <w:pPr>
              <w:adjustRightInd w:val="0"/>
              <w:snapToGrid w:val="0"/>
              <w:spacing w:line="360" w:lineRule="exact"/>
              <w:jc w:val="center"/>
              <w:rPr>
                <w:rFonts w:hint="eastAsia" w:ascii="宋体" w:hAnsi="宋体" w:cs="宋体"/>
                <w:b/>
                <w:sz w:val="24"/>
                <w:szCs w:val="24"/>
                <w:highlight w:val="none"/>
              </w:rPr>
            </w:pPr>
            <w:r>
              <w:rPr>
                <w:rFonts w:hint="eastAsia" w:ascii="宋体" w:hAnsi="宋体" w:cs="宋体"/>
                <w:b/>
                <w:sz w:val="24"/>
                <w:szCs w:val="24"/>
                <w:highlight w:val="none"/>
              </w:rPr>
              <w:t>序号</w:t>
            </w:r>
          </w:p>
        </w:tc>
        <w:tc>
          <w:tcPr>
            <w:tcW w:w="1371" w:type="dxa"/>
          </w:tcPr>
          <w:p w14:paraId="116E40E6">
            <w:pPr>
              <w:adjustRightInd w:val="0"/>
              <w:snapToGrid w:val="0"/>
              <w:spacing w:line="360" w:lineRule="exact"/>
              <w:jc w:val="center"/>
              <w:rPr>
                <w:rFonts w:hint="eastAsia" w:ascii="宋体" w:hAnsi="宋体" w:cs="宋体"/>
                <w:b/>
                <w:sz w:val="24"/>
                <w:szCs w:val="24"/>
                <w:highlight w:val="none"/>
              </w:rPr>
            </w:pPr>
            <w:r>
              <w:rPr>
                <w:rFonts w:hint="eastAsia" w:ascii="宋体" w:hAnsi="宋体" w:cs="宋体"/>
                <w:b/>
                <w:sz w:val="24"/>
                <w:szCs w:val="24"/>
                <w:highlight w:val="none"/>
              </w:rPr>
              <w:t>承诺标题</w:t>
            </w:r>
          </w:p>
        </w:tc>
        <w:tc>
          <w:tcPr>
            <w:tcW w:w="3864" w:type="dxa"/>
          </w:tcPr>
          <w:p w14:paraId="4DBC5FB7">
            <w:pPr>
              <w:adjustRightInd w:val="0"/>
              <w:snapToGrid w:val="0"/>
              <w:spacing w:line="360" w:lineRule="exact"/>
              <w:jc w:val="center"/>
              <w:rPr>
                <w:rFonts w:hint="eastAsia" w:ascii="宋体" w:hAnsi="宋体" w:cs="宋体"/>
                <w:b/>
                <w:sz w:val="24"/>
                <w:szCs w:val="24"/>
                <w:highlight w:val="none"/>
              </w:rPr>
            </w:pPr>
            <w:r>
              <w:rPr>
                <w:rFonts w:hint="eastAsia" w:ascii="宋体" w:hAnsi="宋体" w:cs="宋体"/>
                <w:b/>
                <w:sz w:val="24"/>
                <w:szCs w:val="24"/>
                <w:highlight w:val="none"/>
              </w:rPr>
              <w:t>承诺内容</w:t>
            </w:r>
          </w:p>
        </w:tc>
        <w:tc>
          <w:tcPr>
            <w:tcW w:w="3806" w:type="dxa"/>
            <w:tcBorders>
              <w:bottom w:val="single" w:color="auto" w:sz="4" w:space="0"/>
            </w:tcBorders>
          </w:tcPr>
          <w:p w14:paraId="4EB0D71B">
            <w:pPr>
              <w:adjustRightInd w:val="0"/>
              <w:snapToGrid w:val="0"/>
              <w:spacing w:line="360" w:lineRule="exact"/>
              <w:jc w:val="center"/>
              <w:rPr>
                <w:rFonts w:hint="eastAsia" w:ascii="宋体" w:hAnsi="宋体" w:cs="宋体"/>
                <w:b/>
                <w:sz w:val="24"/>
                <w:szCs w:val="24"/>
                <w:highlight w:val="none"/>
              </w:rPr>
            </w:pPr>
            <w:r>
              <w:rPr>
                <w:rFonts w:hint="eastAsia" w:ascii="宋体" w:hAnsi="宋体" w:cs="宋体"/>
                <w:b/>
                <w:sz w:val="24"/>
                <w:szCs w:val="24"/>
                <w:highlight w:val="none"/>
              </w:rPr>
              <w:t>违约承诺</w:t>
            </w:r>
          </w:p>
        </w:tc>
      </w:tr>
      <w:tr w14:paraId="6879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trPr>
        <w:tc>
          <w:tcPr>
            <w:tcW w:w="780" w:type="dxa"/>
            <w:vAlign w:val="center"/>
          </w:tcPr>
          <w:p w14:paraId="340E4424">
            <w:pPr>
              <w:adjustRightInd w:val="0"/>
              <w:snapToGrid w:val="0"/>
              <w:spacing w:line="360" w:lineRule="exact"/>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1371" w:type="dxa"/>
            <w:vAlign w:val="center"/>
          </w:tcPr>
          <w:p w14:paraId="2258DF96">
            <w:pPr>
              <w:pStyle w:val="12"/>
              <w:adjustRightInd w:val="0"/>
              <w:snapToGrid w:val="0"/>
              <w:spacing w:line="360" w:lineRule="exact"/>
              <w:ind w:left="0" w:leftChars="0"/>
              <w:jc w:val="center"/>
              <w:rPr>
                <w:rFonts w:hint="eastAsia" w:ascii="宋体" w:hAnsi="宋体" w:cs="宋体"/>
                <w:sz w:val="24"/>
                <w:szCs w:val="24"/>
                <w:highlight w:val="none"/>
              </w:rPr>
            </w:pPr>
            <w:r>
              <w:rPr>
                <w:rFonts w:hint="eastAsia" w:ascii="宋体" w:hAnsi="宋体" w:cs="宋体"/>
                <w:sz w:val="24"/>
                <w:szCs w:val="24"/>
                <w:highlight w:val="none"/>
              </w:rPr>
              <w:t>对招标文件条款自愿接受承诺</w:t>
            </w:r>
          </w:p>
        </w:tc>
        <w:tc>
          <w:tcPr>
            <w:tcW w:w="3864" w:type="dxa"/>
            <w:vAlign w:val="center"/>
          </w:tcPr>
          <w:p w14:paraId="46865469">
            <w:pPr>
              <w:pStyle w:val="12"/>
              <w:adjustRightInd w:val="0"/>
              <w:snapToGrid w:val="0"/>
              <w:spacing w:line="360" w:lineRule="exact"/>
              <w:ind w:left="0" w:leftChars="0" w:firstLine="240" w:firstLineChars="100"/>
              <w:rPr>
                <w:rFonts w:hint="eastAsia" w:ascii="宋体" w:hAnsi="宋体" w:cs="宋体"/>
                <w:sz w:val="24"/>
                <w:szCs w:val="24"/>
                <w:highlight w:val="none"/>
              </w:rPr>
            </w:pPr>
            <w:r>
              <w:rPr>
                <w:rFonts w:hint="eastAsia" w:ascii="宋体" w:hAnsi="宋体" w:cs="宋体"/>
                <w:sz w:val="24"/>
                <w:szCs w:val="24"/>
                <w:highlight w:val="none"/>
              </w:rPr>
              <w:t>我方保证接受招标文件的所有条款，响应招标文件的</w:t>
            </w:r>
            <w:bookmarkStart w:id="346" w:name="_Hlt66510765"/>
            <w:bookmarkEnd w:id="346"/>
            <w:r>
              <w:rPr>
                <w:rFonts w:hint="eastAsia" w:ascii="宋体" w:hAnsi="宋体" w:cs="宋体"/>
                <w:sz w:val="24"/>
                <w:szCs w:val="24"/>
                <w:highlight w:val="none"/>
              </w:rPr>
              <w:t>所有要求。</w:t>
            </w:r>
          </w:p>
        </w:tc>
        <w:tc>
          <w:tcPr>
            <w:tcW w:w="3806" w:type="dxa"/>
            <w:tcBorders>
              <w:tr2bl w:val="single" w:color="auto" w:sz="4" w:space="0"/>
            </w:tcBorders>
            <w:vAlign w:val="center"/>
          </w:tcPr>
          <w:p w14:paraId="2A610E99">
            <w:pPr>
              <w:pStyle w:val="12"/>
              <w:adjustRightInd w:val="0"/>
              <w:snapToGrid w:val="0"/>
              <w:spacing w:line="360" w:lineRule="exact"/>
              <w:ind w:firstLine="480"/>
              <w:rPr>
                <w:rFonts w:hint="eastAsia" w:ascii="宋体" w:hAnsi="宋体" w:cs="宋体"/>
                <w:sz w:val="24"/>
                <w:szCs w:val="24"/>
                <w:highlight w:val="none"/>
              </w:rPr>
            </w:pPr>
          </w:p>
        </w:tc>
      </w:tr>
      <w:tr w14:paraId="7005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atLeast"/>
        </w:trPr>
        <w:tc>
          <w:tcPr>
            <w:tcW w:w="780" w:type="dxa"/>
            <w:vAlign w:val="center"/>
          </w:tcPr>
          <w:p w14:paraId="2176205B">
            <w:pPr>
              <w:adjustRightInd w:val="0"/>
              <w:snapToGrid w:val="0"/>
              <w:spacing w:line="360" w:lineRule="exact"/>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1371" w:type="dxa"/>
            <w:vAlign w:val="center"/>
          </w:tcPr>
          <w:p w14:paraId="4BC3FEB3">
            <w:pPr>
              <w:pStyle w:val="12"/>
              <w:adjustRightInd w:val="0"/>
              <w:snapToGrid w:val="0"/>
              <w:spacing w:line="360" w:lineRule="exact"/>
              <w:ind w:left="0" w:leftChars="0"/>
              <w:jc w:val="center"/>
              <w:rPr>
                <w:rFonts w:hint="eastAsia" w:ascii="宋体" w:hAnsi="宋体" w:cs="宋体"/>
                <w:sz w:val="24"/>
                <w:szCs w:val="24"/>
                <w:highlight w:val="none"/>
              </w:rPr>
            </w:pPr>
            <w:r>
              <w:rPr>
                <w:rFonts w:hint="eastAsia" w:ascii="宋体" w:hAnsi="宋体" w:cs="宋体"/>
                <w:sz w:val="24"/>
                <w:szCs w:val="24"/>
                <w:highlight w:val="none"/>
              </w:rPr>
              <w:t>履约保证金承诺</w:t>
            </w:r>
          </w:p>
        </w:tc>
        <w:tc>
          <w:tcPr>
            <w:tcW w:w="3864" w:type="dxa"/>
            <w:vAlign w:val="center"/>
          </w:tcPr>
          <w:p w14:paraId="390F0958">
            <w:pPr>
              <w:pStyle w:val="12"/>
              <w:adjustRightInd w:val="0"/>
              <w:snapToGrid w:val="0"/>
              <w:spacing w:line="360" w:lineRule="exact"/>
              <w:ind w:left="0" w:leftChars="0" w:firstLine="240" w:firstLineChars="100"/>
              <w:rPr>
                <w:rFonts w:hint="eastAsia" w:ascii="宋体" w:hAnsi="宋体" w:cs="宋体"/>
                <w:sz w:val="24"/>
                <w:szCs w:val="24"/>
                <w:highlight w:val="none"/>
              </w:rPr>
            </w:pPr>
            <w:r>
              <w:rPr>
                <w:rFonts w:hint="eastAsia" w:ascii="宋体" w:hAnsi="宋体" w:cs="宋体"/>
                <w:sz w:val="24"/>
                <w:szCs w:val="24"/>
                <w:highlight w:val="none"/>
              </w:rPr>
              <w:t>我方保证按时缴纳全部履约保证金</w:t>
            </w:r>
            <w:bookmarkStart w:id="347" w:name="_Hlt104711307"/>
            <w:bookmarkEnd w:id="347"/>
            <w:r>
              <w:rPr>
                <w:rFonts w:hint="eastAsia" w:ascii="宋体" w:hAnsi="宋体" w:cs="宋体"/>
                <w:sz w:val="24"/>
                <w:szCs w:val="24"/>
                <w:highlight w:val="none"/>
              </w:rPr>
              <w:t>。</w:t>
            </w:r>
          </w:p>
        </w:tc>
        <w:tc>
          <w:tcPr>
            <w:tcW w:w="3806" w:type="dxa"/>
            <w:vAlign w:val="center"/>
          </w:tcPr>
          <w:p w14:paraId="10E65987">
            <w:pPr>
              <w:pStyle w:val="12"/>
              <w:adjustRightInd w:val="0"/>
              <w:snapToGrid w:val="0"/>
              <w:spacing w:line="360" w:lineRule="exact"/>
              <w:ind w:left="0" w:leftChars="0" w:firstLine="240" w:firstLineChars="100"/>
              <w:rPr>
                <w:rFonts w:hint="eastAsia" w:ascii="宋体" w:hAnsi="宋体" w:cs="宋体"/>
                <w:sz w:val="24"/>
                <w:szCs w:val="24"/>
                <w:highlight w:val="none"/>
              </w:rPr>
            </w:pPr>
            <w:r>
              <w:rPr>
                <w:rFonts w:hint="eastAsia" w:ascii="宋体" w:hAnsi="宋体" w:cs="宋体"/>
                <w:sz w:val="24"/>
                <w:szCs w:val="24"/>
                <w:highlight w:val="none"/>
              </w:rPr>
              <w:t>在设计过程中，如由于我方自身的资金、技术、质量、非不可抗力等原因给招标人造成经济损失、工期延误时，或未能按招标文件所约定的各项承诺完成时，我方同意扣除相应履约保证金，并承担由此引起的所有责任。</w:t>
            </w:r>
          </w:p>
        </w:tc>
      </w:tr>
      <w:tr w14:paraId="6282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5" w:hRule="atLeast"/>
        </w:trPr>
        <w:tc>
          <w:tcPr>
            <w:tcW w:w="780" w:type="dxa"/>
            <w:vAlign w:val="center"/>
          </w:tcPr>
          <w:p w14:paraId="139D66C5">
            <w:pPr>
              <w:adjustRightInd w:val="0"/>
              <w:snapToGrid w:val="0"/>
              <w:spacing w:line="360" w:lineRule="exact"/>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1371" w:type="dxa"/>
            <w:vAlign w:val="center"/>
          </w:tcPr>
          <w:p w14:paraId="187C4AA4">
            <w:pPr>
              <w:pStyle w:val="12"/>
              <w:adjustRightInd w:val="0"/>
              <w:snapToGrid w:val="0"/>
              <w:spacing w:line="360" w:lineRule="exact"/>
              <w:ind w:left="0" w:leftChars="0"/>
              <w:jc w:val="center"/>
              <w:rPr>
                <w:rFonts w:hint="eastAsia" w:ascii="宋体" w:hAnsi="宋体" w:cs="宋体"/>
                <w:sz w:val="24"/>
                <w:szCs w:val="24"/>
                <w:highlight w:val="none"/>
              </w:rPr>
            </w:pPr>
            <w:r>
              <w:rPr>
                <w:rFonts w:hint="eastAsia" w:ascii="宋体" w:hAnsi="宋体" w:cs="宋体"/>
                <w:sz w:val="24"/>
                <w:szCs w:val="24"/>
                <w:highlight w:val="none"/>
              </w:rPr>
              <w:t>工期、进度承诺</w:t>
            </w:r>
          </w:p>
        </w:tc>
        <w:tc>
          <w:tcPr>
            <w:tcW w:w="3864" w:type="dxa"/>
            <w:vAlign w:val="center"/>
          </w:tcPr>
          <w:p w14:paraId="73483C75">
            <w:pPr>
              <w:pStyle w:val="12"/>
              <w:adjustRightInd w:val="0"/>
              <w:snapToGrid w:val="0"/>
              <w:spacing w:line="360" w:lineRule="exact"/>
              <w:ind w:left="0" w:leftChars="0" w:firstLine="240" w:firstLineChars="100"/>
              <w:rPr>
                <w:rFonts w:hint="eastAsia" w:ascii="宋体" w:hAnsi="宋体" w:cs="宋体"/>
                <w:sz w:val="24"/>
                <w:szCs w:val="24"/>
                <w:highlight w:val="none"/>
              </w:rPr>
            </w:pPr>
            <w:r>
              <w:rPr>
                <w:rFonts w:hint="eastAsia" w:ascii="宋体" w:hAnsi="宋体" w:cs="宋体"/>
                <w:sz w:val="24"/>
                <w:szCs w:val="24"/>
                <w:highlight w:val="none"/>
              </w:rPr>
              <w:t>我方保证在与招标人签定设计合同后壹天内开工，并在招标文件规定要求的设计工期内完成全部招标工程。</w:t>
            </w:r>
          </w:p>
          <w:p w14:paraId="35444E43">
            <w:pPr>
              <w:pStyle w:val="12"/>
              <w:adjustRightInd w:val="0"/>
              <w:snapToGrid w:val="0"/>
              <w:spacing w:line="360" w:lineRule="exact"/>
              <w:ind w:left="0" w:leftChars="0" w:firstLine="240" w:firstLineChars="100"/>
              <w:rPr>
                <w:rFonts w:hint="eastAsia" w:ascii="宋体" w:hAnsi="宋体" w:cs="宋体"/>
                <w:sz w:val="24"/>
                <w:szCs w:val="24"/>
                <w:highlight w:val="none"/>
              </w:rPr>
            </w:pPr>
            <w:r>
              <w:rPr>
                <w:rFonts w:hint="eastAsia" w:ascii="宋体" w:hAnsi="宋体" w:cs="宋体"/>
                <w:sz w:val="24"/>
                <w:szCs w:val="24"/>
                <w:highlight w:val="none"/>
              </w:rPr>
              <w:t>我方保证按我方投标文件中的设计进度计划完成设计任务。</w:t>
            </w:r>
          </w:p>
        </w:tc>
        <w:tc>
          <w:tcPr>
            <w:tcW w:w="3806" w:type="dxa"/>
            <w:vAlign w:val="center"/>
          </w:tcPr>
          <w:p w14:paraId="187B40A0">
            <w:pPr>
              <w:pStyle w:val="12"/>
              <w:adjustRightInd w:val="0"/>
              <w:snapToGrid w:val="0"/>
              <w:spacing w:line="360" w:lineRule="exact"/>
              <w:ind w:left="0" w:leftChars="0" w:firstLine="240" w:firstLineChars="100"/>
              <w:rPr>
                <w:rFonts w:hint="eastAsia" w:ascii="宋体" w:hAnsi="宋体" w:cs="宋体"/>
                <w:sz w:val="24"/>
                <w:szCs w:val="24"/>
                <w:highlight w:val="none"/>
              </w:rPr>
            </w:pPr>
            <w:r>
              <w:rPr>
                <w:rFonts w:hint="eastAsia" w:ascii="宋体" w:hAnsi="宋体" w:cs="宋体"/>
                <w:sz w:val="24"/>
                <w:szCs w:val="24"/>
                <w:highlight w:val="none"/>
              </w:rPr>
              <w:t>若因我方原因，设计没有按期完成时，我方须在逾期第壹天起每天按</w:t>
            </w:r>
            <w:r>
              <w:rPr>
                <w:rFonts w:hint="eastAsia" w:ascii="宋体" w:hAnsi="宋体" w:cs="宋体"/>
                <w:sz w:val="24"/>
                <w:szCs w:val="24"/>
                <w:highlight w:val="none"/>
                <w:u w:val="single"/>
              </w:rPr>
              <w:t xml:space="preserve"> 合同价款的1‰ </w:t>
            </w:r>
            <w:r>
              <w:rPr>
                <w:rFonts w:hint="eastAsia" w:ascii="宋体" w:hAnsi="宋体" w:cs="宋体"/>
                <w:sz w:val="24"/>
                <w:szCs w:val="24"/>
                <w:highlight w:val="none"/>
              </w:rPr>
              <w:t>向招标人返纳逾期违约金。</w:t>
            </w:r>
          </w:p>
          <w:p w14:paraId="4B6AFD43">
            <w:pPr>
              <w:pStyle w:val="12"/>
              <w:adjustRightInd w:val="0"/>
              <w:snapToGrid w:val="0"/>
              <w:spacing w:line="360" w:lineRule="exact"/>
              <w:ind w:left="0" w:leftChars="0" w:firstLine="240" w:firstLineChars="100"/>
              <w:rPr>
                <w:rFonts w:hint="eastAsia" w:ascii="宋体" w:hAnsi="宋体" w:cs="宋体"/>
                <w:sz w:val="24"/>
                <w:szCs w:val="24"/>
                <w:highlight w:val="none"/>
              </w:rPr>
            </w:pPr>
            <w:r>
              <w:rPr>
                <w:rFonts w:hint="eastAsia" w:ascii="宋体" w:hAnsi="宋体" w:cs="宋体"/>
                <w:sz w:val="24"/>
                <w:szCs w:val="24"/>
                <w:highlight w:val="none"/>
              </w:rPr>
              <w:t>若因我方原因，设计的进度未能按我方投标文件中的设计进度计划完成设计任务，延期达到30日历天，招标人有权终止合同。我方愿意承担所有由此引起的责任及经济损失。</w:t>
            </w:r>
          </w:p>
        </w:tc>
      </w:tr>
      <w:tr w14:paraId="77F7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80" w:type="dxa"/>
            <w:vAlign w:val="center"/>
          </w:tcPr>
          <w:p w14:paraId="4D963FF0">
            <w:pPr>
              <w:adjustRightInd w:val="0"/>
              <w:snapToGrid w:val="0"/>
              <w:spacing w:line="360" w:lineRule="exact"/>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1371" w:type="dxa"/>
            <w:vAlign w:val="center"/>
          </w:tcPr>
          <w:p w14:paraId="181FA9FD">
            <w:pPr>
              <w:pStyle w:val="12"/>
              <w:adjustRightInd w:val="0"/>
              <w:snapToGrid w:val="0"/>
              <w:spacing w:line="360" w:lineRule="exact"/>
              <w:ind w:left="0" w:leftChars="0"/>
              <w:jc w:val="center"/>
              <w:rPr>
                <w:rFonts w:hint="eastAsia" w:ascii="宋体" w:hAnsi="宋体" w:cs="宋体"/>
                <w:sz w:val="24"/>
                <w:szCs w:val="24"/>
                <w:highlight w:val="none"/>
              </w:rPr>
            </w:pPr>
            <w:r>
              <w:rPr>
                <w:rFonts w:hint="eastAsia" w:ascii="宋体" w:hAnsi="宋体" w:cs="宋体"/>
                <w:sz w:val="24"/>
                <w:szCs w:val="24"/>
                <w:highlight w:val="none"/>
              </w:rPr>
              <w:t>质量承诺</w:t>
            </w:r>
          </w:p>
        </w:tc>
        <w:tc>
          <w:tcPr>
            <w:tcW w:w="3864" w:type="dxa"/>
            <w:vAlign w:val="center"/>
          </w:tcPr>
          <w:p w14:paraId="11C9138C">
            <w:pPr>
              <w:adjustRightInd w:val="0"/>
              <w:snapToGrid w:val="0"/>
              <w:spacing w:line="36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我方保证按照现行的国家、广东省规定和合同约定的技术规范、标准进行设计，按本招标文件规定的内容、时间及份数向招标人交付设计文件，并对提交的设计文件质量负责。</w:t>
            </w:r>
          </w:p>
          <w:p w14:paraId="69FFA405">
            <w:pPr>
              <w:adjustRightInd w:val="0"/>
              <w:snapToGrid w:val="0"/>
              <w:spacing w:line="36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设计合理使用年限为50年。</w:t>
            </w:r>
          </w:p>
          <w:p w14:paraId="0F443C92">
            <w:pPr>
              <w:adjustRightInd w:val="0"/>
              <w:snapToGrid w:val="0"/>
              <w:spacing w:line="36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我方保证按经过批准的初步设计概算（建安费）进行限额设计，并对设计文件出现的遗漏或错误负责修改或补充。</w:t>
            </w:r>
          </w:p>
        </w:tc>
        <w:tc>
          <w:tcPr>
            <w:tcW w:w="3806" w:type="dxa"/>
            <w:vAlign w:val="center"/>
          </w:tcPr>
          <w:p w14:paraId="47D45DF8">
            <w:pPr>
              <w:pStyle w:val="12"/>
              <w:adjustRightInd w:val="0"/>
              <w:snapToGrid w:val="0"/>
              <w:spacing w:line="360" w:lineRule="exact"/>
              <w:ind w:left="0" w:leftChars="0" w:firstLine="240" w:firstLineChars="100"/>
              <w:rPr>
                <w:rFonts w:hint="eastAsia" w:ascii="宋体" w:hAnsi="宋体" w:cs="宋体"/>
                <w:sz w:val="24"/>
                <w:szCs w:val="24"/>
                <w:highlight w:val="none"/>
              </w:rPr>
            </w:pPr>
            <w:r>
              <w:rPr>
                <w:rFonts w:hint="eastAsia" w:ascii="宋体" w:hAnsi="宋体" w:cs="宋体"/>
                <w:sz w:val="24"/>
                <w:szCs w:val="24"/>
                <w:highlight w:val="none"/>
              </w:rPr>
              <w:t>若因我方设计错误造成工程质量事故损失，我方除负责采取补救措施外，并保证免收损失部分的设计费，并根据损失程度向发包人支付赔偿金，赔偿金为直接损失部分设计费的300%。造成第三方损失的，由韶关市仲裁委员会进行仲裁，并根据仲裁结果承担责任。</w:t>
            </w:r>
          </w:p>
          <w:p w14:paraId="3925BE06">
            <w:pPr>
              <w:pStyle w:val="12"/>
              <w:adjustRightInd w:val="0"/>
              <w:snapToGrid w:val="0"/>
              <w:spacing w:line="360" w:lineRule="exact"/>
              <w:ind w:left="0" w:leftChars="0" w:firstLine="240" w:firstLineChars="100"/>
              <w:rPr>
                <w:rFonts w:hint="eastAsia" w:ascii="宋体" w:hAnsi="宋体" w:cs="宋体"/>
                <w:sz w:val="24"/>
                <w:szCs w:val="24"/>
                <w:highlight w:val="none"/>
              </w:rPr>
            </w:pPr>
            <w:r>
              <w:rPr>
                <w:rFonts w:hint="eastAsia" w:ascii="宋体" w:hAnsi="宋体" w:cs="宋体"/>
                <w:sz w:val="24"/>
                <w:szCs w:val="24"/>
                <w:highlight w:val="none"/>
              </w:rPr>
              <w:t>我方同意所有违约金以及赔偿金在设计费中扣除或在履约保证金中扣除。</w:t>
            </w:r>
          </w:p>
        </w:tc>
      </w:tr>
      <w:tr w14:paraId="2AEE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trPr>
        <w:tc>
          <w:tcPr>
            <w:tcW w:w="780" w:type="dxa"/>
            <w:vAlign w:val="center"/>
          </w:tcPr>
          <w:p w14:paraId="75639748">
            <w:pPr>
              <w:adjustRightInd w:val="0"/>
              <w:snapToGrid w:val="0"/>
              <w:spacing w:line="360" w:lineRule="exact"/>
              <w:jc w:val="center"/>
              <w:rPr>
                <w:rFonts w:hint="eastAsia" w:ascii="宋体" w:hAnsi="宋体" w:cs="宋体"/>
                <w:sz w:val="24"/>
                <w:szCs w:val="24"/>
                <w:highlight w:val="none"/>
              </w:rPr>
            </w:pPr>
            <w:r>
              <w:rPr>
                <w:rFonts w:hint="eastAsia" w:ascii="宋体" w:hAnsi="宋体" w:cs="宋体"/>
                <w:sz w:val="24"/>
                <w:szCs w:val="24"/>
                <w:highlight w:val="none"/>
              </w:rPr>
              <w:t>5</w:t>
            </w:r>
          </w:p>
        </w:tc>
        <w:tc>
          <w:tcPr>
            <w:tcW w:w="1371" w:type="dxa"/>
            <w:vAlign w:val="center"/>
          </w:tcPr>
          <w:p w14:paraId="08AF9C12">
            <w:pPr>
              <w:pStyle w:val="12"/>
              <w:adjustRightInd w:val="0"/>
              <w:snapToGrid w:val="0"/>
              <w:spacing w:line="360" w:lineRule="exact"/>
              <w:ind w:left="0" w:leftChars="0"/>
              <w:jc w:val="center"/>
              <w:rPr>
                <w:rFonts w:hint="eastAsia" w:ascii="宋体" w:hAnsi="宋体" w:cs="宋体"/>
                <w:sz w:val="24"/>
                <w:szCs w:val="24"/>
                <w:highlight w:val="none"/>
              </w:rPr>
            </w:pPr>
            <w:r>
              <w:rPr>
                <w:rFonts w:hint="eastAsia" w:ascii="宋体" w:hAnsi="宋体" w:cs="宋体"/>
                <w:sz w:val="24"/>
                <w:szCs w:val="24"/>
                <w:highlight w:val="none"/>
              </w:rPr>
              <w:t>账户承诺</w:t>
            </w:r>
          </w:p>
        </w:tc>
        <w:tc>
          <w:tcPr>
            <w:tcW w:w="3864" w:type="dxa"/>
            <w:vAlign w:val="center"/>
          </w:tcPr>
          <w:p w14:paraId="54031C34">
            <w:pPr>
              <w:adjustRightInd w:val="0"/>
              <w:snapToGrid w:val="0"/>
              <w:spacing w:line="360" w:lineRule="exact"/>
              <w:ind w:firstLine="236" w:firstLineChars="100"/>
              <w:rPr>
                <w:rFonts w:hint="eastAsia" w:ascii="宋体" w:hAnsi="宋体" w:cs="宋体"/>
                <w:sz w:val="24"/>
                <w:szCs w:val="24"/>
                <w:highlight w:val="none"/>
              </w:rPr>
            </w:pPr>
            <w:r>
              <w:rPr>
                <w:rFonts w:hint="eastAsia" w:ascii="宋体" w:hAnsi="宋体" w:cs="宋体"/>
                <w:spacing w:val="-2"/>
                <w:sz w:val="24"/>
                <w:szCs w:val="24"/>
                <w:highlight w:val="none"/>
              </w:rPr>
              <w:t>我方保证招标人的资金随时可划入合同中规定的我方账户。</w:t>
            </w:r>
          </w:p>
        </w:tc>
        <w:tc>
          <w:tcPr>
            <w:tcW w:w="3806" w:type="dxa"/>
            <w:vAlign w:val="center"/>
          </w:tcPr>
          <w:p w14:paraId="165DE38A">
            <w:pPr>
              <w:pStyle w:val="12"/>
              <w:adjustRightInd w:val="0"/>
              <w:snapToGrid w:val="0"/>
              <w:spacing w:line="360" w:lineRule="exact"/>
              <w:ind w:left="0" w:leftChars="0" w:firstLine="236" w:firstLineChars="100"/>
              <w:rPr>
                <w:rFonts w:hint="eastAsia" w:ascii="宋体" w:hAnsi="宋体" w:cs="宋体"/>
                <w:spacing w:val="-2"/>
                <w:sz w:val="24"/>
                <w:szCs w:val="24"/>
                <w:highlight w:val="none"/>
              </w:rPr>
            </w:pPr>
            <w:r>
              <w:rPr>
                <w:rFonts w:hint="eastAsia" w:ascii="宋体" w:hAnsi="宋体" w:cs="宋体"/>
                <w:spacing w:val="-2"/>
                <w:sz w:val="24"/>
                <w:szCs w:val="24"/>
                <w:highlight w:val="none"/>
              </w:rPr>
              <w:t>若因我方原因造成招标人的资金无法划入合同中规定的我方账户，如时间达到30日历天，招标人有权终止合同。我方承担由此造成的所有责任及经济损失。</w:t>
            </w:r>
          </w:p>
        </w:tc>
      </w:tr>
      <w:tr w14:paraId="0BEA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5" w:hRule="atLeast"/>
        </w:trPr>
        <w:tc>
          <w:tcPr>
            <w:tcW w:w="780" w:type="dxa"/>
            <w:vAlign w:val="center"/>
          </w:tcPr>
          <w:p w14:paraId="2A265142">
            <w:pPr>
              <w:adjustRightInd w:val="0"/>
              <w:snapToGrid w:val="0"/>
              <w:spacing w:line="360" w:lineRule="exact"/>
              <w:jc w:val="center"/>
              <w:rPr>
                <w:rFonts w:hint="eastAsia" w:ascii="宋体" w:hAnsi="宋体" w:cs="宋体"/>
                <w:sz w:val="24"/>
                <w:szCs w:val="24"/>
                <w:highlight w:val="none"/>
              </w:rPr>
            </w:pPr>
            <w:r>
              <w:rPr>
                <w:rFonts w:hint="eastAsia" w:ascii="宋体" w:hAnsi="宋体" w:cs="宋体"/>
                <w:sz w:val="24"/>
                <w:szCs w:val="24"/>
                <w:highlight w:val="none"/>
              </w:rPr>
              <w:t>6</w:t>
            </w:r>
          </w:p>
        </w:tc>
        <w:tc>
          <w:tcPr>
            <w:tcW w:w="1371" w:type="dxa"/>
            <w:vAlign w:val="center"/>
          </w:tcPr>
          <w:p w14:paraId="1B080A26">
            <w:pPr>
              <w:pStyle w:val="12"/>
              <w:adjustRightInd w:val="0"/>
              <w:snapToGrid w:val="0"/>
              <w:spacing w:line="360" w:lineRule="exact"/>
              <w:ind w:left="0" w:leftChars="0"/>
              <w:jc w:val="center"/>
              <w:rPr>
                <w:rFonts w:hint="eastAsia" w:ascii="宋体" w:hAnsi="宋体" w:cs="宋体"/>
                <w:sz w:val="24"/>
                <w:szCs w:val="24"/>
                <w:highlight w:val="none"/>
              </w:rPr>
            </w:pPr>
            <w:r>
              <w:rPr>
                <w:rFonts w:hint="eastAsia" w:ascii="宋体" w:hAnsi="宋体" w:cs="宋体"/>
                <w:sz w:val="24"/>
                <w:szCs w:val="24"/>
                <w:highlight w:val="none"/>
              </w:rPr>
              <w:t>工程的配合服务承诺</w:t>
            </w:r>
          </w:p>
        </w:tc>
        <w:tc>
          <w:tcPr>
            <w:tcW w:w="3864" w:type="dxa"/>
            <w:vAlign w:val="center"/>
          </w:tcPr>
          <w:p w14:paraId="1E7A1DFC">
            <w:pPr>
              <w:adjustRightInd w:val="0"/>
              <w:snapToGrid w:val="0"/>
              <w:spacing w:line="360" w:lineRule="exact"/>
              <w:ind w:firstLine="240" w:firstLineChars="100"/>
              <w:rPr>
                <w:rFonts w:hint="eastAsia" w:ascii="宋体" w:hAnsi="宋体" w:cs="宋体"/>
                <w:spacing w:val="-2"/>
                <w:sz w:val="24"/>
                <w:szCs w:val="24"/>
                <w:highlight w:val="none"/>
              </w:rPr>
            </w:pPr>
            <w:r>
              <w:rPr>
                <w:rFonts w:hint="eastAsia" w:ascii="宋体" w:hAnsi="宋体" w:cs="宋体"/>
                <w:sz w:val="24"/>
                <w:szCs w:val="24"/>
                <w:highlight w:val="none"/>
              </w:rPr>
              <w:t>我方保证安排各专业设计人员到达施工现场或不定期到现场配合施工，并安排一名设计代表驻招标人地点作为处理现场问题及联络双方需协调事宜。根据施工进度情况和招标人的要求，每个专业各安排二名专职设计人员组成设计小组配合施工。其他专业为不定期到现场配合施工。配合施工的设计人员应服从施工需要，随时到现场配合施工。</w:t>
            </w:r>
          </w:p>
        </w:tc>
        <w:tc>
          <w:tcPr>
            <w:tcW w:w="3806" w:type="dxa"/>
            <w:vAlign w:val="center"/>
          </w:tcPr>
          <w:p w14:paraId="4DDD1FA4">
            <w:pPr>
              <w:pStyle w:val="12"/>
              <w:adjustRightInd w:val="0"/>
              <w:snapToGrid w:val="0"/>
              <w:spacing w:line="360" w:lineRule="exact"/>
              <w:ind w:left="0" w:leftChars="0" w:firstLine="236" w:firstLineChars="100"/>
              <w:rPr>
                <w:rFonts w:hint="eastAsia" w:ascii="宋体" w:hAnsi="宋体" w:cs="宋体"/>
                <w:spacing w:val="-2"/>
                <w:sz w:val="24"/>
                <w:szCs w:val="24"/>
                <w:highlight w:val="none"/>
              </w:rPr>
            </w:pPr>
            <w:r>
              <w:rPr>
                <w:rFonts w:hint="eastAsia" w:ascii="宋体" w:hAnsi="宋体" w:cs="宋体"/>
                <w:spacing w:val="-2"/>
                <w:sz w:val="24"/>
                <w:szCs w:val="24"/>
                <w:highlight w:val="none"/>
              </w:rPr>
              <w:t>若因我方原因，未及时配合与施工单位的工程施工，给招标人或施工单位造成损失的，我方承担所有的责任及经济损失。</w:t>
            </w:r>
          </w:p>
          <w:p w14:paraId="3713C147">
            <w:pPr>
              <w:pStyle w:val="12"/>
              <w:adjustRightInd w:val="0"/>
              <w:snapToGrid w:val="0"/>
              <w:spacing w:line="360" w:lineRule="exact"/>
              <w:ind w:left="0" w:leftChars="0" w:firstLine="240" w:firstLineChars="100"/>
              <w:rPr>
                <w:rFonts w:hint="eastAsia" w:ascii="宋体" w:hAnsi="宋体" w:cs="宋体"/>
                <w:spacing w:val="-2"/>
                <w:sz w:val="24"/>
                <w:szCs w:val="24"/>
                <w:highlight w:val="none"/>
              </w:rPr>
            </w:pPr>
            <w:r>
              <w:rPr>
                <w:rFonts w:hint="eastAsia" w:ascii="宋体" w:hAnsi="宋体" w:cs="宋体"/>
                <w:sz w:val="24"/>
                <w:szCs w:val="24"/>
                <w:highlight w:val="none"/>
              </w:rPr>
              <w:t>各专业安排到达施工现场的专职设计人员</w:t>
            </w:r>
            <w:r>
              <w:rPr>
                <w:rFonts w:hint="eastAsia" w:ascii="宋体" w:hAnsi="宋体" w:cs="宋体"/>
                <w:spacing w:val="-2"/>
                <w:sz w:val="24"/>
                <w:szCs w:val="24"/>
                <w:highlight w:val="none"/>
              </w:rPr>
              <w:t>未及时配合与施工单位的工程施工，每缺席一人次扣除1000元,缺席累计达10人次的，招标人有权终止合同。我方承担由此造成的所有责任及经济损失。</w:t>
            </w:r>
          </w:p>
        </w:tc>
      </w:tr>
      <w:tr w14:paraId="24EA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5" w:hRule="atLeast"/>
        </w:trPr>
        <w:tc>
          <w:tcPr>
            <w:tcW w:w="780" w:type="dxa"/>
            <w:vAlign w:val="center"/>
          </w:tcPr>
          <w:p w14:paraId="40412149">
            <w:pPr>
              <w:adjustRightInd w:val="0"/>
              <w:snapToGrid w:val="0"/>
              <w:spacing w:line="360" w:lineRule="exact"/>
              <w:jc w:val="center"/>
              <w:rPr>
                <w:rFonts w:hint="eastAsia" w:ascii="宋体" w:hAnsi="宋体" w:cs="宋体"/>
                <w:sz w:val="24"/>
                <w:szCs w:val="24"/>
                <w:highlight w:val="none"/>
              </w:rPr>
            </w:pPr>
            <w:r>
              <w:rPr>
                <w:rFonts w:hint="eastAsia" w:ascii="宋体" w:hAnsi="宋体" w:cs="宋体"/>
                <w:sz w:val="24"/>
                <w:szCs w:val="24"/>
                <w:highlight w:val="none"/>
              </w:rPr>
              <w:t>7</w:t>
            </w:r>
          </w:p>
        </w:tc>
        <w:tc>
          <w:tcPr>
            <w:tcW w:w="1371" w:type="dxa"/>
            <w:vAlign w:val="center"/>
          </w:tcPr>
          <w:p w14:paraId="1DA6C351">
            <w:pPr>
              <w:pStyle w:val="12"/>
              <w:adjustRightInd w:val="0"/>
              <w:snapToGrid w:val="0"/>
              <w:spacing w:line="360" w:lineRule="exact"/>
              <w:ind w:left="0" w:leftChars="0"/>
              <w:jc w:val="center"/>
              <w:rPr>
                <w:rFonts w:hint="eastAsia" w:ascii="宋体" w:hAnsi="宋体" w:cs="宋体"/>
                <w:sz w:val="24"/>
                <w:szCs w:val="24"/>
                <w:highlight w:val="none"/>
              </w:rPr>
            </w:pPr>
            <w:r>
              <w:rPr>
                <w:rFonts w:hint="eastAsia" w:ascii="宋体" w:hAnsi="宋体" w:cs="宋体"/>
                <w:sz w:val="24"/>
                <w:szCs w:val="24"/>
                <w:highlight w:val="none"/>
              </w:rPr>
              <w:t>项目管理班子人员承诺</w:t>
            </w:r>
          </w:p>
        </w:tc>
        <w:tc>
          <w:tcPr>
            <w:tcW w:w="3864" w:type="dxa"/>
            <w:vAlign w:val="center"/>
          </w:tcPr>
          <w:p w14:paraId="219FAD14">
            <w:pPr>
              <w:adjustRightInd w:val="0"/>
              <w:snapToGrid w:val="0"/>
              <w:spacing w:line="360" w:lineRule="exact"/>
              <w:ind w:firstLine="236" w:firstLineChars="100"/>
              <w:rPr>
                <w:rFonts w:hint="eastAsia" w:ascii="宋体" w:hAnsi="宋体" w:cs="宋体"/>
                <w:spacing w:val="-2"/>
                <w:sz w:val="24"/>
                <w:szCs w:val="24"/>
                <w:highlight w:val="none"/>
              </w:rPr>
            </w:pPr>
            <w:r>
              <w:rPr>
                <w:rFonts w:hint="eastAsia" w:ascii="宋体" w:hAnsi="宋体" w:cs="宋体"/>
                <w:spacing w:val="-2"/>
                <w:sz w:val="24"/>
                <w:szCs w:val="24"/>
                <w:highlight w:val="none"/>
              </w:rPr>
              <w:t>我方保证投标文件中所拟派的</w:t>
            </w:r>
            <w:r>
              <w:rPr>
                <w:rFonts w:hint="eastAsia" w:ascii="宋体" w:hAnsi="宋体" w:cs="宋体"/>
                <w:spacing w:val="-2"/>
                <w:sz w:val="24"/>
                <w:szCs w:val="24"/>
                <w:highlight w:val="none"/>
                <w:u w:val="double"/>
              </w:rPr>
              <w:t>各项目负责人</w:t>
            </w:r>
            <w:r>
              <w:rPr>
                <w:rFonts w:hint="eastAsia" w:ascii="宋体" w:hAnsi="宋体" w:cs="宋体"/>
                <w:sz w:val="24"/>
                <w:szCs w:val="24"/>
                <w:highlight w:val="none"/>
              </w:rPr>
              <w:t>具有相对于的注册资格证书。拟派人员全部到位，负责各自职责。</w:t>
            </w:r>
          </w:p>
        </w:tc>
        <w:tc>
          <w:tcPr>
            <w:tcW w:w="3806" w:type="dxa"/>
            <w:vAlign w:val="center"/>
          </w:tcPr>
          <w:p w14:paraId="05BFAA04">
            <w:pPr>
              <w:pStyle w:val="12"/>
              <w:adjustRightInd w:val="0"/>
              <w:snapToGrid w:val="0"/>
              <w:spacing w:line="360" w:lineRule="exact"/>
              <w:ind w:left="0" w:leftChars="0" w:firstLine="236" w:firstLineChars="100"/>
              <w:rPr>
                <w:rFonts w:hint="eastAsia" w:ascii="宋体" w:hAnsi="宋体" w:cs="宋体"/>
                <w:spacing w:val="-2"/>
                <w:sz w:val="24"/>
                <w:szCs w:val="24"/>
                <w:highlight w:val="none"/>
              </w:rPr>
            </w:pPr>
            <w:r>
              <w:rPr>
                <w:rFonts w:hint="eastAsia" w:ascii="宋体" w:hAnsi="宋体" w:cs="宋体"/>
                <w:spacing w:val="-2"/>
                <w:sz w:val="24"/>
                <w:szCs w:val="24"/>
                <w:highlight w:val="none"/>
              </w:rPr>
              <w:t>若我方中标后，各负责人未按时参加招标人要求出席的会议（包括图纸会审和技术交底等，具体以招标人书面通知为准），每缺席一人次扣1000元违约金。我方承担由此造成的所有责任及经济损失。</w:t>
            </w:r>
          </w:p>
        </w:tc>
      </w:tr>
      <w:tr w14:paraId="1B87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0" w:hRule="atLeast"/>
        </w:trPr>
        <w:tc>
          <w:tcPr>
            <w:tcW w:w="780" w:type="dxa"/>
            <w:vAlign w:val="center"/>
          </w:tcPr>
          <w:p w14:paraId="4345A6E2">
            <w:pPr>
              <w:adjustRightInd w:val="0"/>
              <w:snapToGrid w:val="0"/>
              <w:spacing w:line="360" w:lineRule="exact"/>
              <w:jc w:val="center"/>
              <w:rPr>
                <w:rFonts w:hint="eastAsia" w:ascii="宋体" w:hAnsi="宋体" w:cs="宋体"/>
                <w:sz w:val="24"/>
                <w:szCs w:val="24"/>
                <w:highlight w:val="none"/>
              </w:rPr>
            </w:pPr>
            <w:r>
              <w:rPr>
                <w:rFonts w:hint="eastAsia" w:ascii="宋体" w:hAnsi="宋体" w:cs="宋体"/>
                <w:sz w:val="24"/>
                <w:szCs w:val="24"/>
                <w:highlight w:val="none"/>
              </w:rPr>
              <w:t>8</w:t>
            </w:r>
          </w:p>
        </w:tc>
        <w:tc>
          <w:tcPr>
            <w:tcW w:w="1371" w:type="dxa"/>
            <w:vAlign w:val="center"/>
          </w:tcPr>
          <w:p w14:paraId="621FF83A">
            <w:pPr>
              <w:pStyle w:val="12"/>
              <w:adjustRightInd w:val="0"/>
              <w:snapToGrid w:val="0"/>
              <w:spacing w:line="360" w:lineRule="exact"/>
              <w:ind w:left="0" w:leftChars="0"/>
              <w:jc w:val="center"/>
              <w:rPr>
                <w:rFonts w:hint="eastAsia" w:ascii="宋体" w:hAnsi="宋体" w:cs="宋体"/>
                <w:sz w:val="24"/>
                <w:szCs w:val="24"/>
                <w:highlight w:val="none"/>
              </w:rPr>
            </w:pPr>
            <w:r>
              <w:rPr>
                <w:rFonts w:hint="eastAsia" w:ascii="宋体" w:hAnsi="宋体" w:cs="宋体"/>
                <w:sz w:val="24"/>
                <w:szCs w:val="24"/>
                <w:highlight w:val="none"/>
              </w:rPr>
              <w:t>项目负责人承诺</w:t>
            </w:r>
          </w:p>
        </w:tc>
        <w:tc>
          <w:tcPr>
            <w:tcW w:w="3864" w:type="dxa"/>
            <w:vAlign w:val="center"/>
          </w:tcPr>
          <w:p w14:paraId="7F82B7E3">
            <w:pPr>
              <w:pStyle w:val="12"/>
              <w:adjustRightInd w:val="0"/>
              <w:snapToGrid w:val="0"/>
              <w:spacing w:line="360" w:lineRule="exact"/>
              <w:ind w:left="0" w:leftChars="0" w:firstLine="236" w:firstLineChars="100"/>
              <w:rPr>
                <w:rFonts w:hint="eastAsia" w:ascii="宋体" w:hAnsi="宋体" w:cs="宋体"/>
                <w:spacing w:val="-2"/>
                <w:sz w:val="24"/>
                <w:szCs w:val="24"/>
                <w:highlight w:val="none"/>
              </w:rPr>
            </w:pPr>
            <w:r>
              <w:rPr>
                <w:rFonts w:hint="eastAsia" w:ascii="宋体" w:hAnsi="宋体" w:cs="宋体"/>
                <w:spacing w:val="-2"/>
                <w:sz w:val="24"/>
                <w:szCs w:val="24"/>
                <w:highlight w:val="none"/>
              </w:rPr>
              <w:t>我方保证投标文件中所拟派的</w:t>
            </w:r>
            <w:r>
              <w:rPr>
                <w:rFonts w:hint="eastAsia" w:ascii="宋体" w:hAnsi="宋体" w:cs="宋体"/>
                <w:spacing w:val="-2"/>
                <w:sz w:val="24"/>
                <w:szCs w:val="24"/>
                <w:highlight w:val="none"/>
                <w:u w:val="double"/>
              </w:rPr>
              <w:t>项目负责人</w:t>
            </w:r>
            <w:r>
              <w:rPr>
                <w:rFonts w:hint="eastAsia" w:ascii="宋体" w:hAnsi="宋体" w:cs="宋体"/>
                <w:spacing w:val="-2"/>
                <w:sz w:val="24"/>
                <w:szCs w:val="24"/>
                <w:highlight w:val="none"/>
              </w:rPr>
              <w:t>负责本项目设计全过程（包括完善方案设计及方案深化、初步设计评审、初步设计修编等）。</w:t>
            </w:r>
          </w:p>
        </w:tc>
        <w:tc>
          <w:tcPr>
            <w:tcW w:w="3806" w:type="dxa"/>
            <w:vAlign w:val="center"/>
          </w:tcPr>
          <w:p w14:paraId="54D5721B">
            <w:pPr>
              <w:pStyle w:val="12"/>
              <w:adjustRightInd w:val="0"/>
              <w:snapToGrid w:val="0"/>
              <w:spacing w:line="360" w:lineRule="exact"/>
              <w:ind w:left="0" w:leftChars="0" w:firstLine="236" w:firstLineChars="100"/>
              <w:rPr>
                <w:rFonts w:hint="eastAsia" w:ascii="宋体" w:hAnsi="宋体" w:cs="宋体"/>
                <w:spacing w:val="-2"/>
                <w:sz w:val="24"/>
                <w:szCs w:val="24"/>
                <w:highlight w:val="none"/>
              </w:rPr>
            </w:pPr>
            <w:r>
              <w:rPr>
                <w:rFonts w:hint="eastAsia" w:ascii="宋体" w:hAnsi="宋体" w:cs="宋体"/>
                <w:spacing w:val="-2"/>
                <w:sz w:val="24"/>
                <w:szCs w:val="24"/>
                <w:highlight w:val="none"/>
              </w:rPr>
              <w:t>若因我方原因，</w:t>
            </w:r>
            <w:r>
              <w:rPr>
                <w:rFonts w:hint="eastAsia" w:ascii="宋体" w:hAnsi="宋体" w:cs="宋体"/>
                <w:spacing w:val="-2"/>
                <w:sz w:val="24"/>
                <w:szCs w:val="24"/>
                <w:highlight w:val="none"/>
                <w:u w:val="double"/>
              </w:rPr>
              <w:t>项目负责人</w:t>
            </w:r>
            <w:r>
              <w:rPr>
                <w:rFonts w:hint="eastAsia" w:ascii="宋体" w:hAnsi="宋体" w:cs="宋体"/>
                <w:spacing w:val="-2"/>
                <w:sz w:val="24"/>
                <w:szCs w:val="24"/>
                <w:highlight w:val="none"/>
              </w:rPr>
              <w:t>未准时参加本项目设计全过程（包括完善方案设计及方案深化、初步设计评审、初步设计修编的技术指导）的，每缺席一次扣1000元（以发包人发出的违约通知为准）。</w:t>
            </w:r>
          </w:p>
        </w:tc>
      </w:tr>
      <w:tr w14:paraId="0F5F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0" w:hRule="atLeast"/>
        </w:trPr>
        <w:tc>
          <w:tcPr>
            <w:tcW w:w="780" w:type="dxa"/>
            <w:vAlign w:val="center"/>
          </w:tcPr>
          <w:p w14:paraId="3088EAAB">
            <w:pPr>
              <w:adjustRightInd w:val="0"/>
              <w:snapToGrid w:val="0"/>
              <w:spacing w:line="360" w:lineRule="exact"/>
              <w:jc w:val="center"/>
              <w:rPr>
                <w:rFonts w:hint="eastAsia" w:ascii="宋体" w:hAnsi="宋体" w:cs="宋体"/>
                <w:sz w:val="24"/>
                <w:szCs w:val="24"/>
                <w:highlight w:val="none"/>
              </w:rPr>
            </w:pPr>
            <w:r>
              <w:rPr>
                <w:rFonts w:hint="eastAsia" w:ascii="宋体" w:hAnsi="宋体" w:cs="宋体"/>
                <w:sz w:val="24"/>
                <w:szCs w:val="24"/>
                <w:highlight w:val="none"/>
              </w:rPr>
              <w:t>9</w:t>
            </w:r>
          </w:p>
        </w:tc>
        <w:tc>
          <w:tcPr>
            <w:tcW w:w="1371" w:type="dxa"/>
            <w:vAlign w:val="center"/>
          </w:tcPr>
          <w:p w14:paraId="0F9F7106">
            <w:pPr>
              <w:pStyle w:val="12"/>
              <w:adjustRightInd w:val="0"/>
              <w:snapToGrid w:val="0"/>
              <w:spacing w:line="360" w:lineRule="exact"/>
              <w:ind w:left="0" w:leftChars="0"/>
              <w:jc w:val="center"/>
              <w:rPr>
                <w:rFonts w:hint="eastAsia" w:ascii="宋体" w:hAnsi="宋体" w:cs="宋体"/>
                <w:sz w:val="24"/>
                <w:szCs w:val="24"/>
                <w:highlight w:val="none"/>
              </w:rPr>
            </w:pPr>
            <w:r>
              <w:rPr>
                <w:rFonts w:hint="eastAsia" w:ascii="宋体" w:hAnsi="宋体" w:cs="宋体"/>
                <w:sz w:val="24"/>
                <w:szCs w:val="24"/>
                <w:highlight w:val="none"/>
              </w:rPr>
              <w:t>对不平衡报价的承诺</w:t>
            </w:r>
          </w:p>
        </w:tc>
        <w:tc>
          <w:tcPr>
            <w:tcW w:w="3864" w:type="dxa"/>
            <w:vAlign w:val="center"/>
          </w:tcPr>
          <w:p w14:paraId="72BFB0EB">
            <w:pPr>
              <w:adjustRightInd w:val="0"/>
              <w:snapToGrid w:val="0"/>
              <w:spacing w:line="360" w:lineRule="exact"/>
              <w:ind w:firstLine="236" w:firstLineChars="100"/>
              <w:rPr>
                <w:rFonts w:hint="eastAsia" w:ascii="宋体" w:hAnsi="宋体" w:cs="宋体"/>
                <w:spacing w:val="-2"/>
                <w:sz w:val="24"/>
                <w:szCs w:val="24"/>
                <w:highlight w:val="none"/>
              </w:rPr>
            </w:pPr>
            <w:r>
              <w:rPr>
                <w:rFonts w:hint="eastAsia" w:ascii="宋体" w:hAnsi="宋体" w:cs="宋体"/>
                <w:spacing w:val="-2"/>
                <w:sz w:val="24"/>
                <w:szCs w:val="24"/>
                <w:highlight w:val="none"/>
              </w:rPr>
              <w:t>如我方中标，我方无条件同意招标人对我方投标报价中界定为不平衡报价的综合单价在总价不变的情况下对各综合单价进行修正，并承担责任。</w:t>
            </w:r>
          </w:p>
        </w:tc>
        <w:tc>
          <w:tcPr>
            <w:tcW w:w="3806" w:type="dxa"/>
            <w:vAlign w:val="center"/>
          </w:tcPr>
          <w:p w14:paraId="3EF31AFC">
            <w:pPr>
              <w:pStyle w:val="12"/>
              <w:adjustRightInd w:val="0"/>
              <w:snapToGrid w:val="0"/>
              <w:spacing w:line="360" w:lineRule="exact"/>
              <w:ind w:left="0" w:leftChars="0" w:firstLine="240" w:firstLineChars="100"/>
              <w:rPr>
                <w:rFonts w:hint="eastAsia" w:ascii="宋体" w:hAnsi="宋体" w:cs="宋体"/>
                <w:spacing w:val="-2"/>
                <w:sz w:val="24"/>
                <w:szCs w:val="24"/>
                <w:highlight w:val="none"/>
              </w:rPr>
            </w:pPr>
            <w:r>
              <w:rPr>
                <w:rFonts w:hint="eastAsia" w:ascii="宋体" w:hAnsi="宋体" w:cs="宋体"/>
                <w:sz w:val="24"/>
                <w:szCs w:val="24"/>
                <w:highlight w:val="none"/>
              </w:rPr>
              <w:t>如我方不同意修正，招标人有权终止合同。</w:t>
            </w:r>
            <w:r>
              <w:rPr>
                <w:rFonts w:hint="eastAsia" w:ascii="宋体" w:hAnsi="宋体" w:cs="宋体"/>
                <w:spacing w:val="-2"/>
                <w:sz w:val="24"/>
                <w:szCs w:val="24"/>
                <w:highlight w:val="none"/>
              </w:rPr>
              <w:t>我方承担由此造成的所有责任及经济损失。</w:t>
            </w:r>
          </w:p>
        </w:tc>
      </w:tr>
      <w:tr w14:paraId="17E0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5" w:hRule="atLeast"/>
        </w:trPr>
        <w:tc>
          <w:tcPr>
            <w:tcW w:w="780" w:type="dxa"/>
            <w:vAlign w:val="center"/>
          </w:tcPr>
          <w:p w14:paraId="4E708888">
            <w:pPr>
              <w:adjustRightInd w:val="0"/>
              <w:snapToGrid w:val="0"/>
              <w:spacing w:line="360" w:lineRule="exact"/>
              <w:jc w:val="center"/>
              <w:rPr>
                <w:rFonts w:hint="eastAsia" w:ascii="宋体" w:hAnsi="宋体" w:cs="宋体"/>
                <w:sz w:val="24"/>
                <w:szCs w:val="24"/>
                <w:highlight w:val="none"/>
              </w:rPr>
            </w:pPr>
            <w:r>
              <w:rPr>
                <w:rFonts w:hint="eastAsia" w:ascii="宋体" w:hAnsi="宋体" w:cs="宋体"/>
                <w:sz w:val="24"/>
                <w:szCs w:val="24"/>
                <w:highlight w:val="none"/>
              </w:rPr>
              <w:t>10</w:t>
            </w:r>
          </w:p>
        </w:tc>
        <w:tc>
          <w:tcPr>
            <w:tcW w:w="1371" w:type="dxa"/>
            <w:vAlign w:val="center"/>
          </w:tcPr>
          <w:p w14:paraId="4E32A14C">
            <w:pPr>
              <w:pStyle w:val="12"/>
              <w:adjustRightInd w:val="0"/>
              <w:snapToGrid w:val="0"/>
              <w:spacing w:line="360" w:lineRule="exact"/>
              <w:ind w:left="0" w:leftChars="0"/>
              <w:jc w:val="center"/>
              <w:rPr>
                <w:rFonts w:hint="eastAsia" w:ascii="宋体" w:hAnsi="宋体" w:cs="宋体"/>
                <w:sz w:val="24"/>
                <w:szCs w:val="24"/>
                <w:highlight w:val="none"/>
              </w:rPr>
            </w:pPr>
            <w:r>
              <w:rPr>
                <w:rFonts w:hint="eastAsia" w:ascii="宋体" w:hAnsi="宋体" w:cs="宋体"/>
                <w:sz w:val="24"/>
                <w:szCs w:val="24"/>
                <w:highlight w:val="none"/>
              </w:rPr>
              <w:t>廉政承诺</w:t>
            </w:r>
          </w:p>
        </w:tc>
        <w:tc>
          <w:tcPr>
            <w:tcW w:w="3864" w:type="dxa"/>
            <w:vAlign w:val="center"/>
          </w:tcPr>
          <w:p w14:paraId="0762BCED">
            <w:pPr>
              <w:pStyle w:val="12"/>
              <w:adjustRightInd w:val="0"/>
              <w:snapToGrid w:val="0"/>
              <w:spacing w:line="360" w:lineRule="exact"/>
              <w:ind w:left="0" w:leftChars="0" w:firstLine="240" w:firstLineChars="100"/>
              <w:rPr>
                <w:rFonts w:hint="eastAsia" w:ascii="宋体" w:hAnsi="宋体" w:cs="宋体"/>
                <w:spacing w:val="-2"/>
                <w:sz w:val="24"/>
                <w:szCs w:val="24"/>
                <w:highlight w:val="none"/>
              </w:rPr>
            </w:pPr>
            <w:r>
              <w:rPr>
                <w:rFonts w:hint="eastAsia" w:ascii="宋体" w:hAnsi="宋体" w:cs="宋体"/>
                <w:sz w:val="24"/>
                <w:szCs w:val="24"/>
                <w:highlight w:val="none"/>
              </w:rPr>
              <w:t>我方保证严格遵守有关法律法规及廉政规定。</w:t>
            </w:r>
          </w:p>
        </w:tc>
        <w:tc>
          <w:tcPr>
            <w:tcW w:w="3806" w:type="dxa"/>
            <w:vAlign w:val="center"/>
          </w:tcPr>
          <w:p w14:paraId="71F67B2E">
            <w:pPr>
              <w:widowControl/>
              <w:adjustRightInd w:val="0"/>
              <w:snapToGrid w:val="0"/>
              <w:spacing w:line="360" w:lineRule="exact"/>
              <w:ind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如我单位及其工作人员违反本承诺规定的，愿接受党纪、政纪处理直至追究法律责任；给招标单位造成经济损失的，依法给予赔偿。</w:t>
            </w:r>
          </w:p>
        </w:tc>
      </w:tr>
      <w:tr w14:paraId="71B7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780" w:type="dxa"/>
            <w:vAlign w:val="center"/>
          </w:tcPr>
          <w:p w14:paraId="1A640EB1">
            <w:pPr>
              <w:adjustRightInd w:val="0"/>
              <w:snapToGrid w:val="0"/>
              <w:spacing w:line="360" w:lineRule="exact"/>
              <w:jc w:val="center"/>
              <w:rPr>
                <w:rFonts w:hint="eastAsia" w:ascii="宋体" w:hAnsi="宋体" w:cs="宋体"/>
                <w:sz w:val="24"/>
                <w:szCs w:val="24"/>
                <w:highlight w:val="none"/>
              </w:rPr>
            </w:pPr>
            <w:r>
              <w:rPr>
                <w:rFonts w:hint="eastAsia" w:ascii="宋体" w:hAnsi="宋体" w:cs="宋体"/>
                <w:sz w:val="24"/>
                <w:szCs w:val="24"/>
                <w:highlight w:val="none"/>
              </w:rPr>
              <w:t>11</w:t>
            </w:r>
          </w:p>
        </w:tc>
        <w:tc>
          <w:tcPr>
            <w:tcW w:w="1371" w:type="dxa"/>
            <w:vAlign w:val="center"/>
          </w:tcPr>
          <w:p w14:paraId="0B944E82">
            <w:pPr>
              <w:adjustRightInd w:val="0"/>
              <w:snapToGrid w:val="0"/>
              <w:spacing w:line="360" w:lineRule="exact"/>
              <w:jc w:val="center"/>
              <w:rPr>
                <w:rFonts w:hint="eastAsia" w:ascii="宋体" w:hAnsi="宋体" w:cs="宋体"/>
                <w:sz w:val="24"/>
                <w:szCs w:val="24"/>
                <w:highlight w:val="none"/>
              </w:rPr>
            </w:pPr>
            <w:r>
              <w:rPr>
                <w:rFonts w:hint="eastAsia" w:ascii="宋体" w:hAnsi="宋体" w:cs="宋体"/>
                <w:sz w:val="24"/>
                <w:szCs w:val="24"/>
                <w:highlight w:val="none"/>
              </w:rPr>
              <w:t>投标文件信息公开承诺</w:t>
            </w:r>
          </w:p>
        </w:tc>
        <w:tc>
          <w:tcPr>
            <w:tcW w:w="3864" w:type="dxa"/>
            <w:vAlign w:val="center"/>
          </w:tcPr>
          <w:p w14:paraId="5394792A">
            <w:pPr>
              <w:pStyle w:val="171"/>
              <w:wordWrap w:val="0"/>
              <w:adjustRightInd w:val="0"/>
              <w:snapToGrid w:val="0"/>
              <w:spacing w:line="360" w:lineRule="exact"/>
              <w:ind w:firstLine="240" w:firstLineChars="100"/>
              <w:rPr>
                <w:rFonts w:hint="eastAsia" w:hAnsi="宋体" w:eastAsia="宋体" w:cs="宋体"/>
                <w:snapToGrid w:val="0"/>
                <w:kern w:val="0"/>
                <w:szCs w:val="24"/>
                <w:highlight w:val="none"/>
              </w:rPr>
            </w:pPr>
            <w:r>
              <w:rPr>
                <w:rFonts w:hint="eastAsia" w:hAnsi="宋体" w:eastAsia="宋体" w:cs="宋体"/>
                <w:snapToGrid w:val="0"/>
                <w:kern w:val="0"/>
                <w:szCs w:val="24"/>
                <w:highlight w:val="none"/>
              </w:rPr>
              <w:t>我方提供完整的电子文件。如果我方成为本项目中标候选人，我方同意并授权招标人在评标结果公示期内公开我方商务部分的全部内容。</w:t>
            </w:r>
          </w:p>
        </w:tc>
        <w:tc>
          <w:tcPr>
            <w:tcW w:w="3806" w:type="dxa"/>
            <w:vAlign w:val="center"/>
          </w:tcPr>
          <w:p w14:paraId="01F912FC">
            <w:pPr>
              <w:pStyle w:val="171"/>
              <w:wordWrap w:val="0"/>
              <w:adjustRightInd w:val="0"/>
              <w:snapToGrid w:val="0"/>
              <w:ind w:firstLine="0" w:firstLineChars="0"/>
              <w:jc w:val="left"/>
              <w:rPr>
                <w:rFonts w:hint="eastAsia" w:hAnsi="宋体" w:eastAsia="宋体" w:cs="宋体"/>
                <w:szCs w:val="24"/>
                <w:highlight w:val="none"/>
              </w:rPr>
            </w:pPr>
            <w:r>
              <w:rPr>
                <w:rFonts w:hint="eastAsia" w:hAnsi="宋体" w:eastAsia="宋体" w:cs="宋体"/>
                <w:snapToGrid w:val="0"/>
                <w:kern w:val="0"/>
                <w:szCs w:val="24"/>
                <w:highlight w:val="none"/>
              </w:rPr>
              <w:t xml:space="preserve">   </w:t>
            </w:r>
          </w:p>
          <w:p w14:paraId="4B59EF0A">
            <w:pPr>
              <w:pStyle w:val="171"/>
              <w:wordWrap w:val="0"/>
              <w:adjustRightInd w:val="0"/>
              <w:snapToGrid w:val="0"/>
              <w:ind w:firstLine="0" w:firstLineChars="0"/>
              <w:jc w:val="left"/>
              <w:rPr>
                <w:rFonts w:hint="eastAsia" w:hAnsi="宋体" w:eastAsia="宋体" w:cs="宋体"/>
                <w:szCs w:val="24"/>
                <w:highlight w:val="none"/>
              </w:rPr>
            </w:pPr>
          </w:p>
          <w:p w14:paraId="543433E4">
            <w:pPr>
              <w:pStyle w:val="171"/>
              <w:wordWrap w:val="0"/>
              <w:adjustRightInd w:val="0"/>
              <w:snapToGrid w:val="0"/>
              <w:spacing w:line="360" w:lineRule="exact"/>
              <w:ind w:firstLine="0" w:firstLineChars="0"/>
              <w:jc w:val="left"/>
              <w:rPr>
                <w:rFonts w:hint="eastAsia" w:hAnsi="宋体" w:eastAsia="宋体" w:cs="宋体"/>
                <w:szCs w:val="24"/>
                <w:highlight w:val="none"/>
              </w:rPr>
            </w:pPr>
          </w:p>
        </w:tc>
      </w:tr>
      <w:tr w14:paraId="3EDF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0" w:type="dxa"/>
            <w:vAlign w:val="center"/>
          </w:tcPr>
          <w:p w14:paraId="2B95385A">
            <w:pPr>
              <w:adjustRightInd w:val="0"/>
              <w:snapToGrid w:val="0"/>
              <w:spacing w:line="360" w:lineRule="exact"/>
              <w:jc w:val="center"/>
              <w:rPr>
                <w:rFonts w:hint="eastAsia" w:ascii="宋体" w:hAnsi="宋体" w:cs="宋体"/>
                <w:sz w:val="24"/>
                <w:szCs w:val="24"/>
                <w:highlight w:val="none"/>
              </w:rPr>
            </w:pPr>
            <w:r>
              <w:rPr>
                <w:rFonts w:hint="eastAsia" w:ascii="宋体" w:hAnsi="宋体" w:cs="宋体"/>
                <w:sz w:val="24"/>
                <w:szCs w:val="24"/>
                <w:highlight w:val="none"/>
              </w:rPr>
              <w:t>12</w:t>
            </w:r>
          </w:p>
        </w:tc>
        <w:tc>
          <w:tcPr>
            <w:tcW w:w="1371" w:type="dxa"/>
            <w:vAlign w:val="center"/>
          </w:tcPr>
          <w:p w14:paraId="169FA28C">
            <w:pPr>
              <w:adjustRightInd w:val="0"/>
              <w:snapToGrid w:val="0"/>
              <w:spacing w:line="360" w:lineRule="exact"/>
              <w:jc w:val="center"/>
              <w:rPr>
                <w:rFonts w:hint="eastAsia" w:ascii="宋体" w:hAnsi="宋体" w:cs="宋体"/>
                <w:sz w:val="24"/>
                <w:szCs w:val="24"/>
                <w:highlight w:val="none"/>
              </w:rPr>
            </w:pPr>
            <w:r>
              <w:rPr>
                <w:rFonts w:hint="eastAsia" w:ascii="宋体" w:hAnsi="宋体" w:cs="宋体"/>
                <w:sz w:val="24"/>
                <w:szCs w:val="24"/>
                <w:highlight w:val="none"/>
              </w:rPr>
              <w:t>诚信承诺</w:t>
            </w:r>
          </w:p>
        </w:tc>
        <w:tc>
          <w:tcPr>
            <w:tcW w:w="3864" w:type="dxa"/>
            <w:vAlign w:val="center"/>
          </w:tcPr>
          <w:p w14:paraId="052BA423">
            <w:pPr>
              <w:pStyle w:val="171"/>
              <w:wordWrap w:val="0"/>
              <w:adjustRightInd w:val="0"/>
              <w:snapToGrid w:val="0"/>
              <w:spacing w:line="360" w:lineRule="exact"/>
              <w:ind w:firstLine="240" w:firstLineChars="100"/>
              <w:rPr>
                <w:rFonts w:hint="eastAsia" w:hAnsi="宋体" w:eastAsia="宋体" w:cs="宋体"/>
                <w:snapToGrid w:val="0"/>
                <w:kern w:val="0"/>
                <w:szCs w:val="24"/>
                <w:highlight w:val="none"/>
              </w:rPr>
            </w:pPr>
            <w:r>
              <w:rPr>
                <w:rFonts w:hint="eastAsia" w:hAnsi="宋体" w:eastAsia="宋体" w:cs="宋体"/>
                <w:snapToGrid w:val="0"/>
                <w:kern w:val="0"/>
                <w:szCs w:val="24"/>
                <w:highlight w:val="none"/>
              </w:rPr>
              <w:t>我方在此承诺，所递交投标文件的全部内容均为真实、有效、准确的，并愿意承担因我方就此弄虚作假所引起的一切法律后果，同时理解和同意有可能被要求提供更多的资料。</w:t>
            </w:r>
          </w:p>
        </w:tc>
        <w:tc>
          <w:tcPr>
            <w:tcW w:w="3806" w:type="dxa"/>
            <w:vAlign w:val="center"/>
          </w:tcPr>
          <w:p w14:paraId="76448CEE">
            <w:pPr>
              <w:pStyle w:val="171"/>
              <w:wordWrap w:val="0"/>
              <w:adjustRightInd w:val="0"/>
              <w:snapToGrid w:val="0"/>
              <w:spacing w:line="360" w:lineRule="exact"/>
              <w:ind w:firstLine="240" w:firstLineChars="100"/>
              <w:jc w:val="left"/>
              <w:rPr>
                <w:rFonts w:hint="eastAsia" w:hAnsi="宋体" w:eastAsia="宋体" w:cs="宋体"/>
                <w:snapToGrid w:val="0"/>
                <w:kern w:val="0"/>
                <w:szCs w:val="24"/>
                <w:highlight w:val="none"/>
              </w:rPr>
            </w:pPr>
            <w:r>
              <w:rPr>
                <w:rFonts w:hint="eastAsia" w:hAnsi="宋体" w:eastAsia="宋体" w:cs="宋体"/>
                <w:snapToGrid w:val="0"/>
                <w:kern w:val="0"/>
                <w:szCs w:val="24"/>
                <w:highlight w:val="none"/>
              </w:rPr>
              <w:t>我方在此承诺，所递交投标文件的全部内容均为真实、有效、准确的，并愿意承担因我方就此弄虚作假所引起的一切法律后果，同时理解和同意有可能被要求提供更多的资料。</w:t>
            </w:r>
          </w:p>
        </w:tc>
      </w:tr>
    </w:tbl>
    <w:p w14:paraId="21045082">
      <w:pPr>
        <w:wordWrap w:val="0"/>
        <w:adjustRightInd w:val="0"/>
        <w:snapToGrid w:val="0"/>
        <w:spacing w:line="440" w:lineRule="exac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 xml:space="preserve">  </w:t>
      </w:r>
    </w:p>
    <w:p w14:paraId="3D9154CE">
      <w:pPr>
        <w:wordWrap w:val="0"/>
        <w:adjustRightInd w:val="0"/>
        <w:snapToGrid w:val="0"/>
        <w:spacing w:line="440" w:lineRule="exact"/>
        <w:jc w:val="righ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 xml:space="preserve">  投标人：</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（盖单位章）</w:t>
      </w:r>
    </w:p>
    <w:p w14:paraId="0B6F4AEA">
      <w:pPr>
        <w:pStyle w:val="14"/>
        <w:rPr>
          <w:highlight w:val="none"/>
        </w:rPr>
      </w:pPr>
    </w:p>
    <w:p w14:paraId="4799B1F3">
      <w:pPr>
        <w:wordWrap w:val="0"/>
        <w:adjustRightInd w:val="0"/>
        <w:snapToGrid w:val="0"/>
        <w:spacing w:line="440" w:lineRule="exact"/>
        <w:ind w:firstLine="480" w:firstLineChars="200"/>
        <w:jc w:val="right"/>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法定代表人或其委托代理人：</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（签字或盖章）</w:t>
      </w:r>
    </w:p>
    <w:p w14:paraId="6E4C80EE">
      <w:pPr>
        <w:pStyle w:val="14"/>
        <w:rPr>
          <w:highlight w:val="none"/>
        </w:rPr>
      </w:pPr>
    </w:p>
    <w:p w14:paraId="07FB1982">
      <w:pPr>
        <w:wordWrap w:val="0"/>
        <w:adjustRightInd w:val="0"/>
        <w:snapToGrid w:val="0"/>
        <w:spacing w:line="440" w:lineRule="exact"/>
        <w:jc w:val="left"/>
        <w:rPr>
          <w:rFonts w:hint="eastAsia" w:ascii="宋体" w:hAnsi="宋体" w:cs="宋体"/>
          <w:b/>
          <w:snapToGrid w:val="0"/>
          <w:kern w:val="0"/>
          <w:sz w:val="24"/>
          <w:szCs w:val="24"/>
          <w:highlight w:val="none"/>
        </w:rPr>
      </w:pPr>
      <w:r>
        <w:rPr>
          <w:rFonts w:hint="eastAsia" w:ascii="宋体" w:hAnsi="宋体" w:cs="宋体"/>
          <w:snapToGrid w:val="0"/>
          <w:kern w:val="0"/>
          <w:sz w:val="24"/>
          <w:szCs w:val="24"/>
          <w:highlight w:val="none"/>
        </w:rPr>
        <w:t xml:space="preserve">                                       </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日</w:t>
      </w:r>
    </w:p>
    <w:p w14:paraId="470E4B32">
      <w:pPr>
        <w:spacing w:line="400" w:lineRule="exact"/>
        <w:rPr>
          <w:rFonts w:hint="eastAsia" w:ascii="宋体" w:hAnsi="宋体" w:cs="宋体"/>
          <w:sz w:val="24"/>
          <w:szCs w:val="24"/>
          <w:highlight w:val="none"/>
        </w:rPr>
      </w:pPr>
    </w:p>
    <w:p w14:paraId="0A679522">
      <w:pPr>
        <w:wordWrap w:val="0"/>
        <w:adjustRightInd w:val="0"/>
        <w:snapToGrid w:val="0"/>
        <w:spacing w:line="400" w:lineRule="exact"/>
        <w:rPr>
          <w:rFonts w:hint="eastAsia" w:ascii="宋体" w:hAnsi="宋体" w:cs="宋体"/>
          <w:snapToGrid w:val="0"/>
          <w:kern w:val="0"/>
          <w:sz w:val="24"/>
          <w:szCs w:val="24"/>
          <w:highlight w:val="none"/>
        </w:rPr>
      </w:pPr>
    </w:p>
    <w:p w14:paraId="42D0F645">
      <w:pPr>
        <w:wordWrap w:val="0"/>
        <w:adjustRightInd w:val="0"/>
        <w:snapToGrid w:val="0"/>
        <w:spacing w:line="400" w:lineRule="exact"/>
        <w:jc w:val="left"/>
        <w:rPr>
          <w:rFonts w:hint="eastAsia" w:ascii="宋体" w:hAnsi="宋体" w:cs="宋体"/>
          <w:b/>
          <w:snapToGrid w:val="0"/>
          <w:kern w:val="0"/>
          <w:sz w:val="24"/>
          <w:szCs w:val="24"/>
          <w:highlight w:val="none"/>
        </w:rPr>
      </w:pPr>
      <w:r>
        <w:rPr>
          <w:rFonts w:hint="eastAsia" w:ascii="宋体" w:hAnsi="宋体" w:cs="宋体"/>
          <w:snapToGrid w:val="0"/>
          <w:kern w:val="0"/>
          <w:sz w:val="24"/>
          <w:szCs w:val="24"/>
          <w:highlight w:val="none"/>
        </w:rPr>
        <w:t xml:space="preserve">   </w:t>
      </w:r>
    </w:p>
    <w:p w14:paraId="65848264">
      <w:pPr>
        <w:pStyle w:val="3"/>
        <w:rPr>
          <w:rStyle w:val="68"/>
          <w:rFonts w:hint="eastAsia" w:ascii="宋体" w:hAnsi="宋体" w:cs="宋体"/>
          <w:highlight w:val="none"/>
        </w:rPr>
      </w:pPr>
      <w:r>
        <w:rPr>
          <w:rFonts w:hint="eastAsia" w:ascii="宋体" w:hAnsi="宋体" w:cs="宋体"/>
          <w:sz w:val="24"/>
          <w:szCs w:val="24"/>
          <w:highlight w:val="none"/>
        </w:rPr>
        <w:br w:type="page"/>
      </w:r>
      <w:bookmarkStart w:id="348" w:name="_Toc2408"/>
      <w:bookmarkStart w:id="349" w:name="_Toc135054612"/>
      <w:r>
        <w:rPr>
          <w:rStyle w:val="68"/>
          <w:rFonts w:hint="eastAsia" w:ascii="宋体" w:hAnsi="宋体" w:cs="宋体"/>
          <w:b/>
          <w:bCs/>
          <w:sz w:val="24"/>
          <w:highlight w:val="none"/>
        </w:rPr>
        <w:t>格式五 投标人基本情况表</w:t>
      </w:r>
      <w:bookmarkEnd w:id="348"/>
      <w:bookmarkEnd w:id="349"/>
    </w:p>
    <w:p w14:paraId="278B218D">
      <w:pPr>
        <w:wordWrap w:val="0"/>
        <w:adjustRightInd w:val="0"/>
        <w:snapToGrid w:val="0"/>
        <w:spacing w:line="440" w:lineRule="exact"/>
        <w:rPr>
          <w:rFonts w:hint="eastAsia" w:ascii="宋体" w:hAnsi="宋体" w:cs="宋体"/>
          <w:b/>
          <w:bCs/>
          <w:snapToGrid w:val="0"/>
          <w:kern w:val="0"/>
          <w:sz w:val="24"/>
          <w:szCs w:val="24"/>
          <w:highlight w:val="none"/>
        </w:rPr>
      </w:pPr>
    </w:p>
    <w:p w14:paraId="1F92F54B">
      <w:pPr>
        <w:pStyle w:val="119"/>
        <w:widowControl w:val="0"/>
        <w:wordWrap w:val="0"/>
        <w:adjustRightInd w:val="0"/>
        <w:snapToGrid w:val="0"/>
        <w:spacing w:line="400" w:lineRule="exact"/>
        <w:ind w:firstLine="0"/>
        <w:jc w:val="center"/>
        <w:rPr>
          <w:rFonts w:hint="eastAsia" w:ascii="宋体" w:hAnsi="宋体" w:eastAsia="宋体" w:cs="宋体"/>
          <w:snapToGrid w:val="0"/>
          <w:sz w:val="24"/>
          <w:szCs w:val="24"/>
          <w:highlight w:val="none"/>
        </w:rPr>
      </w:pPr>
      <w:r>
        <w:rPr>
          <w:rFonts w:hint="eastAsia" w:ascii="宋体" w:hAnsi="宋体" w:eastAsia="宋体" w:cs="宋体"/>
          <w:b/>
          <w:snapToGrid w:val="0"/>
          <w:sz w:val="24"/>
          <w:szCs w:val="24"/>
          <w:highlight w:val="none"/>
        </w:rPr>
        <w:t>投标人基本情况表</w:t>
      </w:r>
    </w:p>
    <w:tbl>
      <w:tblPr>
        <w:tblStyle w:val="33"/>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927"/>
        <w:gridCol w:w="1746"/>
        <w:gridCol w:w="833"/>
        <w:gridCol w:w="293"/>
        <w:gridCol w:w="995"/>
        <w:gridCol w:w="267"/>
        <w:gridCol w:w="733"/>
        <w:gridCol w:w="1469"/>
      </w:tblGrid>
      <w:tr w14:paraId="0100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63D8F444">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投标人名称</w:t>
            </w:r>
          </w:p>
        </w:tc>
        <w:tc>
          <w:tcPr>
            <w:tcW w:w="7263" w:type="dxa"/>
            <w:gridSpan w:val="8"/>
            <w:vAlign w:val="center"/>
          </w:tcPr>
          <w:p w14:paraId="151FD37C">
            <w:pPr>
              <w:pStyle w:val="165"/>
              <w:wordWrap w:val="0"/>
              <w:adjustRightInd w:val="0"/>
              <w:snapToGrid w:val="0"/>
              <w:jc w:val="center"/>
              <w:rPr>
                <w:rFonts w:hint="eastAsia" w:ascii="宋体" w:hAnsi="宋体" w:cs="宋体"/>
                <w:snapToGrid w:val="0"/>
                <w:kern w:val="0"/>
                <w:szCs w:val="21"/>
                <w:highlight w:val="none"/>
              </w:rPr>
            </w:pPr>
          </w:p>
        </w:tc>
      </w:tr>
      <w:tr w14:paraId="1220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1DE0231C">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注册地址</w:t>
            </w:r>
          </w:p>
        </w:tc>
        <w:tc>
          <w:tcPr>
            <w:tcW w:w="3506" w:type="dxa"/>
            <w:gridSpan w:val="3"/>
            <w:vAlign w:val="center"/>
          </w:tcPr>
          <w:p w14:paraId="3AAFB048">
            <w:pPr>
              <w:pStyle w:val="165"/>
              <w:wordWrap w:val="0"/>
              <w:adjustRightInd w:val="0"/>
              <w:snapToGrid w:val="0"/>
              <w:jc w:val="center"/>
              <w:rPr>
                <w:rFonts w:hint="eastAsia" w:ascii="宋体" w:hAnsi="宋体" w:cs="宋体"/>
                <w:snapToGrid w:val="0"/>
                <w:kern w:val="0"/>
                <w:szCs w:val="21"/>
                <w:highlight w:val="none"/>
              </w:rPr>
            </w:pPr>
          </w:p>
        </w:tc>
        <w:tc>
          <w:tcPr>
            <w:tcW w:w="1288" w:type="dxa"/>
            <w:gridSpan w:val="2"/>
            <w:vAlign w:val="center"/>
          </w:tcPr>
          <w:p w14:paraId="010A8799">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邮政编码</w:t>
            </w:r>
          </w:p>
        </w:tc>
        <w:tc>
          <w:tcPr>
            <w:tcW w:w="2469" w:type="dxa"/>
            <w:gridSpan w:val="3"/>
            <w:vAlign w:val="center"/>
          </w:tcPr>
          <w:p w14:paraId="0C00B4AE">
            <w:pPr>
              <w:pStyle w:val="165"/>
              <w:wordWrap w:val="0"/>
              <w:adjustRightInd w:val="0"/>
              <w:snapToGrid w:val="0"/>
              <w:jc w:val="center"/>
              <w:rPr>
                <w:rFonts w:hint="eastAsia" w:ascii="宋体" w:hAnsi="宋体" w:cs="宋体"/>
                <w:snapToGrid w:val="0"/>
                <w:kern w:val="0"/>
                <w:szCs w:val="21"/>
                <w:highlight w:val="none"/>
              </w:rPr>
            </w:pPr>
          </w:p>
        </w:tc>
      </w:tr>
      <w:tr w14:paraId="5FE5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restart"/>
            <w:vAlign w:val="center"/>
          </w:tcPr>
          <w:p w14:paraId="75355493">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联系方式</w:t>
            </w:r>
          </w:p>
        </w:tc>
        <w:tc>
          <w:tcPr>
            <w:tcW w:w="927" w:type="dxa"/>
            <w:vAlign w:val="center"/>
          </w:tcPr>
          <w:p w14:paraId="19FA935D">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联系人</w:t>
            </w:r>
          </w:p>
        </w:tc>
        <w:tc>
          <w:tcPr>
            <w:tcW w:w="2579" w:type="dxa"/>
            <w:gridSpan w:val="2"/>
            <w:vAlign w:val="center"/>
          </w:tcPr>
          <w:p w14:paraId="3CF40DB5">
            <w:pPr>
              <w:pStyle w:val="165"/>
              <w:wordWrap w:val="0"/>
              <w:adjustRightInd w:val="0"/>
              <w:snapToGrid w:val="0"/>
              <w:jc w:val="center"/>
              <w:rPr>
                <w:rFonts w:hint="eastAsia" w:ascii="宋体" w:hAnsi="宋体" w:cs="宋体"/>
                <w:snapToGrid w:val="0"/>
                <w:kern w:val="0"/>
                <w:szCs w:val="21"/>
                <w:highlight w:val="none"/>
              </w:rPr>
            </w:pPr>
          </w:p>
        </w:tc>
        <w:tc>
          <w:tcPr>
            <w:tcW w:w="1288" w:type="dxa"/>
            <w:gridSpan w:val="2"/>
            <w:vAlign w:val="center"/>
          </w:tcPr>
          <w:p w14:paraId="79BEB80F">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电  话</w:t>
            </w:r>
          </w:p>
        </w:tc>
        <w:tc>
          <w:tcPr>
            <w:tcW w:w="2469" w:type="dxa"/>
            <w:gridSpan w:val="3"/>
            <w:vAlign w:val="center"/>
          </w:tcPr>
          <w:p w14:paraId="24A81974">
            <w:pPr>
              <w:pStyle w:val="165"/>
              <w:wordWrap w:val="0"/>
              <w:adjustRightInd w:val="0"/>
              <w:snapToGrid w:val="0"/>
              <w:jc w:val="center"/>
              <w:rPr>
                <w:rFonts w:hint="eastAsia" w:ascii="宋体" w:hAnsi="宋体" w:cs="宋体"/>
                <w:snapToGrid w:val="0"/>
                <w:kern w:val="0"/>
                <w:szCs w:val="21"/>
                <w:highlight w:val="none"/>
              </w:rPr>
            </w:pPr>
          </w:p>
        </w:tc>
      </w:tr>
      <w:tr w14:paraId="43A6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continue"/>
            <w:vAlign w:val="center"/>
          </w:tcPr>
          <w:p w14:paraId="767B373D">
            <w:pPr>
              <w:pStyle w:val="165"/>
              <w:wordWrap w:val="0"/>
              <w:adjustRightInd w:val="0"/>
              <w:snapToGrid w:val="0"/>
              <w:jc w:val="center"/>
              <w:rPr>
                <w:rFonts w:hint="eastAsia" w:ascii="宋体" w:hAnsi="宋体" w:cs="宋体"/>
                <w:snapToGrid w:val="0"/>
                <w:kern w:val="0"/>
                <w:szCs w:val="21"/>
                <w:highlight w:val="none"/>
              </w:rPr>
            </w:pPr>
          </w:p>
        </w:tc>
        <w:tc>
          <w:tcPr>
            <w:tcW w:w="927" w:type="dxa"/>
            <w:vAlign w:val="center"/>
          </w:tcPr>
          <w:p w14:paraId="7003189E">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传  真</w:t>
            </w:r>
          </w:p>
        </w:tc>
        <w:tc>
          <w:tcPr>
            <w:tcW w:w="2579" w:type="dxa"/>
            <w:gridSpan w:val="2"/>
            <w:vAlign w:val="center"/>
          </w:tcPr>
          <w:p w14:paraId="41D4502C">
            <w:pPr>
              <w:pStyle w:val="165"/>
              <w:wordWrap w:val="0"/>
              <w:adjustRightInd w:val="0"/>
              <w:snapToGrid w:val="0"/>
              <w:jc w:val="center"/>
              <w:rPr>
                <w:rFonts w:hint="eastAsia" w:ascii="宋体" w:hAnsi="宋体" w:cs="宋体"/>
                <w:snapToGrid w:val="0"/>
                <w:kern w:val="0"/>
                <w:szCs w:val="21"/>
                <w:highlight w:val="none"/>
              </w:rPr>
            </w:pPr>
          </w:p>
        </w:tc>
        <w:tc>
          <w:tcPr>
            <w:tcW w:w="1288" w:type="dxa"/>
            <w:gridSpan w:val="2"/>
            <w:vAlign w:val="center"/>
          </w:tcPr>
          <w:p w14:paraId="09147BAF">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电子邮箱</w:t>
            </w:r>
          </w:p>
        </w:tc>
        <w:tc>
          <w:tcPr>
            <w:tcW w:w="2469" w:type="dxa"/>
            <w:gridSpan w:val="3"/>
            <w:vAlign w:val="center"/>
          </w:tcPr>
          <w:p w14:paraId="71D997ED">
            <w:pPr>
              <w:pStyle w:val="165"/>
              <w:wordWrap w:val="0"/>
              <w:adjustRightInd w:val="0"/>
              <w:snapToGrid w:val="0"/>
              <w:jc w:val="center"/>
              <w:rPr>
                <w:rFonts w:hint="eastAsia" w:ascii="宋体" w:hAnsi="宋体" w:cs="宋体"/>
                <w:snapToGrid w:val="0"/>
                <w:kern w:val="0"/>
                <w:szCs w:val="21"/>
                <w:highlight w:val="none"/>
              </w:rPr>
            </w:pPr>
          </w:p>
        </w:tc>
      </w:tr>
      <w:tr w14:paraId="629E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5F77EC2B">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单位性质</w:t>
            </w:r>
          </w:p>
        </w:tc>
        <w:tc>
          <w:tcPr>
            <w:tcW w:w="7263" w:type="dxa"/>
            <w:gridSpan w:val="8"/>
            <w:vAlign w:val="center"/>
          </w:tcPr>
          <w:p w14:paraId="16AC1493">
            <w:pPr>
              <w:pStyle w:val="165"/>
              <w:wordWrap w:val="0"/>
              <w:adjustRightInd w:val="0"/>
              <w:snapToGrid w:val="0"/>
              <w:jc w:val="center"/>
              <w:rPr>
                <w:rFonts w:hint="eastAsia" w:ascii="宋体" w:hAnsi="宋体" w:cs="宋体"/>
                <w:snapToGrid w:val="0"/>
                <w:kern w:val="0"/>
                <w:szCs w:val="21"/>
                <w:highlight w:val="none"/>
              </w:rPr>
            </w:pPr>
          </w:p>
        </w:tc>
      </w:tr>
      <w:tr w14:paraId="185E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6594E963">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法定代表人</w:t>
            </w:r>
          </w:p>
        </w:tc>
        <w:tc>
          <w:tcPr>
            <w:tcW w:w="927" w:type="dxa"/>
            <w:vAlign w:val="center"/>
          </w:tcPr>
          <w:p w14:paraId="1CCA6464">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姓名</w:t>
            </w:r>
          </w:p>
        </w:tc>
        <w:tc>
          <w:tcPr>
            <w:tcW w:w="1746" w:type="dxa"/>
            <w:vAlign w:val="center"/>
          </w:tcPr>
          <w:p w14:paraId="1B7A199C">
            <w:pPr>
              <w:pStyle w:val="165"/>
              <w:wordWrap w:val="0"/>
              <w:adjustRightInd w:val="0"/>
              <w:snapToGrid w:val="0"/>
              <w:jc w:val="center"/>
              <w:rPr>
                <w:rFonts w:hint="eastAsia" w:ascii="宋体" w:hAnsi="宋体" w:cs="宋体"/>
                <w:snapToGrid w:val="0"/>
                <w:kern w:val="0"/>
                <w:szCs w:val="21"/>
                <w:highlight w:val="none"/>
              </w:rPr>
            </w:pPr>
          </w:p>
        </w:tc>
        <w:tc>
          <w:tcPr>
            <w:tcW w:w="1126" w:type="dxa"/>
            <w:gridSpan w:val="2"/>
            <w:vAlign w:val="center"/>
          </w:tcPr>
          <w:p w14:paraId="363541E0">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技术职称</w:t>
            </w:r>
          </w:p>
        </w:tc>
        <w:tc>
          <w:tcPr>
            <w:tcW w:w="1262" w:type="dxa"/>
            <w:gridSpan w:val="2"/>
            <w:vAlign w:val="center"/>
          </w:tcPr>
          <w:p w14:paraId="342CFDCD">
            <w:pPr>
              <w:pStyle w:val="165"/>
              <w:wordWrap w:val="0"/>
              <w:adjustRightInd w:val="0"/>
              <w:snapToGrid w:val="0"/>
              <w:jc w:val="center"/>
              <w:rPr>
                <w:rFonts w:hint="eastAsia" w:ascii="宋体" w:hAnsi="宋体" w:cs="宋体"/>
                <w:snapToGrid w:val="0"/>
                <w:kern w:val="0"/>
                <w:szCs w:val="21"/>
                <w:highlight w:val="none"/>
              </w:rPr>
            </w:pPr>
          </w:p>
        </w:tc>
        <w:tc>
          <w:tcPr>
            <w:tcW w:w="733" w:type="dxa"/>
            <w:vAlign w:val="center"/>
          </w:tcPr>
          <w:p w14:paraId="3D1169A1">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电话</w:t>
            </w:r>
          </w:p>
        </w:tc>
        <w:tc>
          <w:tcPr>
            <w:tcW w:w="1469" w:type="dxa"/>
            <w:vAlign w:val="center"/>
          </w:tcPr>
          <w:p w14:paraId="600E1C41">
            <w:pPr>
              <w:pStyle w:val="165"/>
              <w:wordWrap w:val="0"/>
              <w:adjustRightInd w:val="0"/>
              <w:snapToGrid w:val="0"/>
              <w:jc w:val="center"/>
              <w:rPr>
                <w:rFonts w:hint="eastAsia" w:ascii="宋体" w:hAnsi="宋体" w:cs="宋体"/>
                <w:snapToGrid w:val="0"/>
                <w:kern w:val="0"/>
                <w:szCs w:val="21"/>
                <w:highlight w:val="none"/>
              </w:rPr>
            </w:pPr>
          </w:p>
        </w:tc>
      </w:tr>
      <w:tr w14:paraId="3027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8713450">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成立时间</w:t>
            </w:r>
          </w:p>
        </w:tc>
        <w:tc>
          <w:tcPr>
            <w:tcW w:w="2673" w:type="dxa"/>
            <w:gridSpan w:val="2"/>
            <w:vAlign w:val="center"/>
          </w:tcPr>
          <w:p w14:paraId="79F09FED">
            <w:pPr>
              <w:pStyle w:val="165"/>
              <w:wordWrap w:val="0"/>
              <w:adjustRightInd w:val="0"/>
              <w:snapToGrid w:val="0"/>
              <w:jc w:val="center"/>
              <w:rPr>
                <w:rFonts w:hint="eastAsia" w:ascii="宋体" w:hAnsi="宋体" w:cs="宋体"/>
                <w:snapToGrid w:val="0"/>
                <w:kern w:val="0"/>
                <w:szCs w:val="21"/>
                <w:highlight w:val="none"/>
              </w:rPr>
            </w:pPr>
          </w:p>
        </w:tc>
        <w:tc>
          <w:tcPr>
            <w:tcW w:w="4590" w:type="dxa"/>
            <w:gridSpan w:val="6"/>
            <w:vAlign w:val="center"/>
          </w:tcPr>
          <w:p w14:paraId="1F343026">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员工总人数（个）：</w:t>
            </w:r>
          </w:p>
        </w:tc>
      </w:tr>
      <w:tr w14:paraId="62FB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6FF50DC">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企业资质等级</w:t>
            </w:r>
          </w:p>
        </w:tc>
        <w:tc>
          <w:tcPr>
            <w:tcW w:w="2673" w:type="dxa"/>
            <w:gridSpan w:val="2"/>
            <w:vAlign w:val="center"/>
          </w:tcPr>
          <w:p w14:paraId="0BCDCD3C">
            <w:pPr>
              <w:pStyle w:val="165"/>
              <w:wordWrap w:val="0"/>
              <w:adjustRightInd w:val="0"/>
              <w:snapToGrid w:val="0"/>
              <w:jc w:val="center"/>
              <w:rPr>
                <w:rFonts w:hint="eastAsia" w:ascii="宋体" w:hAnsi="宋体" w:cs="宋体"/>
                <w:snapToGrid w:val="0"/>
                <w:kern w:val="0"/>
                <w:szCs w:val="21"/>
                <w:highlight w:val="none"/>
              </w:rPr>
            </w:pPr>
          </w:p>
        </w:tc>
        <w:tc>
          <w:tcPr>
            <w:tcW w:w="1126" w:type="dxa"/>
            <w:gridSpan w:val="2"/>
            <w:vMerge w:val="restart"/>
            <w:vAlign w:val="center"/>
          </w:tcPr>
          <w:p w14:paraId="71472AF2">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其中</w:t>
            </w:r>
          </w:p>
        </w:tc>
        <w:tc>
          <w:tcPr>
            <w:tcW w:w="1995" w:type="dxa"/>
            <w:gridSpan w:val="3"/>
            <w:vAlign w:val="center"/>
          </w:tcPr>
          <w:p w14:paraId="52476FF0">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设计负责人</w:t>
            </w:r>
          </w:p>
        </w:tc>
        <w:tc>
          <w:tcPr>
            <w:tcW w:w="1469" w:type="dxa"/>
            <w:vAlign w:val="center"/>
          </w:tcPr>
          <w:p w14:paraId="199E24EE">
            <w:pPr>
              <w:pStyle w:val="165"/>
              <w:wordWrap w:val="0"/>
              <w:adjustRightInd w:val="0"/>
              <w:snapToGrid w:val="0"/>
              <w:jc w:val="center"/>
              <w:rPr>
                <w:rFonts w:hint="eastAsia" w:ascii="宋体" w:hAnsi="宋体" w:cs="宋体"/>
                <w:snapToGrid w:val="0"/>
                <w:kern w:val="0"/>
                <w:szCs w:val="21"/>
                <w:highlight w:val="none"/>
              </w:rPr>
            </w:pPr>
          </w:p>
        </w:tc>
      </w:tr>
      <w:tr w14:paraId="6843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631DF80E">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营业执照号</w:t>
            </w:r>
          </w:p>
        </w:tc>
        <w:tc>
          <w:tcPr>
            <w:tcW w:w="2673" w:type="dxa"/>
            <w:gridSpan w:val="2"/>
            <w:vAlign w:val="center"/>
          </w:tcPr>
          <w:p w14:paraId="0FC22A2C">
            <w:pPr>
              <w:pStyle w:val="165"/>
              <w:wordWrap w:val="0"/>
              <w:adjustRightInd w:val="0"/>
              <w:snapToGrid w:val="0"/>
              <w:jc w:val="center"/>
              <w:rPr>
                <w:rFonts w:hint="eastAsia" w:ascii="宋体" w:hAnsi="宋体" w:cs="宋体"/>
                <w:snapToGrid w:val="0"/>
                <w:kern w:val="0"/>
                <w:szCs w:val="21"/>
                <w:highlight w:val="none"/>
              </w:rPr>
            </w:pPr>
          </w:p>
        </w:tc>
        <w:tc>
          <w:tcPr>
            <w:tcW w:w="1126" w:type="dxa"/>
            <w:gridSpan w:val="2"/>
            <w:vMerge w:val="continue"/>
            <w:vAlign w:val="center"/>
          </w:tcPr>
          <w:p w14:paraId="26D8A1D8">
            <w:pPr>
              <w:pStyle w:val="165"/>
              <w:wordWrap w:val="0"/>
              <w:adjustRightInd w:val="0"/>
              <w:snapToGrid w:val="0"/>
              <w:jc w:val="center"/>
              <w:rPr>
                <w:rFonts w:hint="eastAsia" w:ascii="宋体" w:hAnsi="宋体" w:cs="宋体"/>
                <w:snapToGrid w:val="0"/>
                <w:kern w:val="0"/>
                <w:szCs w:val="21"/>
                <w:highlight w:val="none"/>
              </w:rPr>
            </w:pPr>
          </w:p>
        </w:tc>
        <w:tc>
          <w:tcPr>
            <w:tcW w:w="1995" w:type="dxa"/>
            <w:gridSpan w:val="3"/>
            <w:vAlign w:val="center"/>
          </w:tcPr>
          <w:p w14:paraId="5FC5965C">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高级职称人员</w:t>
            </w:r>
          </w:p>
        </w:tc>
        <w:tc>
          <w:tcPr>
            <w:tcW w:w="1469" w:type="dxa"/>
            <w:vAlign w:val="center"/>
          </w:tcPr>
          <w:p w14:paraId="3A263EC9">
            <w:pPr>
              <w:pStyle w:val="165"/>
              <w:wordWrap w:val="0"/>
              <w:adjustRightInd w:val="0"/>
              <w:snapToGrid w:val="0"/>
              <w:jc w:val="center"/>
              <w:rPr>
                <w:rFonts w:hint="eastAsia" w:ascii="宋体" w:hAnsi="宋体" w:cs="宋体"/>
                <w:snapToGrid w:val="0"/>
                <w:kern w:val="0"/>
                <w:szCs w:val="21"/>
                <w:highlight w:val="none"/>
              </w:rPr>
            </w:pPr>
          </w:p>
        </w:tc>
      </w:tr>
      <w:tr w14:paraId="4C8D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7CAF1A66">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注册资金</w:t>
            </w:r>
          </w:p>
        </w:tc>
        <w:tc>
          <w:tcPr>
            <w:tcW w:w="2673" w:type="dxa"/>
            <w:gridSpan w:val="2"/>
            <w:vAlign w:val="center"/>
          </w:tcPr>
          <w:p w14:paraId="6494A9CC">
            <w:pPr>
              <w:pStyle w:val="165"/>
              <w:wordWrap w:val="0"/>
              <w:adjustRightInd w:val="0"/>
              <w:snapToGrid w:val="0"/>
              <w:jc w:val="center"/>
              <w:rPr>
                <w:rFonts w:hint="eastAsia" w:ascii="宋体" w:hAnsi="宋体" w:cs="宋体"/>
                <w:snapToGrid w:val="0"/>
                <w:kern w:val="0"/>
                <w:szCs w:val="21"/>
                <w:highlight w:val="none"/>
              </w:rPr>
            </w:pPr>
          </w:p>
        </w:tc>
        <w:tc>
          <w:tcPr>
            <w:tcW w:w="1126" w:type="dxa"/>
            <w:gridSpan w:val="2"/>
            <w:vMerge w:val="continue"/>
            <w:vAlign w:val="center"/>
          </w:tcPr>
          <w:p w14:paraId="3642E2EF">
            <w:pPr>
              <w:pStyle w:val="165"/>
              <w:wordWrap w:val="0"/>
              <w:adjustRightInd w:val="0"/>
              <w:snapToGrid w:val="0"/>
              <w:jc w:val="center"/>
              <w:rPr>
                <w:rFonts w:hint="eastAsia" w:ascii="宋体" w:hAnsi="宋体" w:cs="宋体"/>
                <w:snapToGrid w:val="0"/>
                <w:kern w:val="0"/>
                <w:szCs w:val="21"/>
                <w:highlight w:val="none"/>
              </w:rPr>
            </w:pPr>
          </w:p>
        </w:tc>
        <w:tc>
          <w:tcPr>
            <w:tcW w:w="1995" w:type="dxa"/>
            <w:gridSpan w:val="3"/>
            <w:vAlign w:val="center"/>
          </w:tcPr>
          <w:p w14:paraId="3F08ACE9">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中级职称人员</w:t>
            </w:r>
          </w:p>
        </w:tc>
        <w:tc>
          <w:tcPr>
            <w:tcW w:w="1469" w:type="dxa"/>
            <w:vAlign w:val="center"/>
          </w:tcPr>
          <w:p w14:paraId="4ADE486D">
            <w:pPr>
              <w:pStyle w:val="165"/>
              <w:wordWrap w:val="0"/>
              <w:adjustRightInd w:val="0"/>
              <w:snapToGrid w:val="0"/>
              <w:jc w:val="center"/>
              <w:rPr>
                <w:rFonts w:hint="eastAsia" w:ascii="宋体" w:hAnsi="宋体" w:cs="宋体"/>
                <w:snapToGrid w:val="0"/>
                <w:kern w:val="0"/>
                <w:szCs w:val="21"/>
                <w:highlight w:val="none"/>
              </w:rPr>
            </w:pPr>
          </w:p>
        </w:tc>
      </w:tr>
      <w:tr w14:paraId="428F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659C92A4">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开户银行</w:t>
            </w:r>
          </w:p>
        </w:tc>
        <w:tc>
          <w:tcPr>
            <w:tcW w:w="2673" w:type="dxa"/>
            <w:gridSpan w:val="2"/>
            <w:vAlign w:val="center"/>
          </w:tcPr>
          <w:p w14:paraId="42B29384">
            <w:pPr>
              <w:pStyle w:val="165"/>
              <w:wordWrap w:val="0"/>
              <w:adjustRightInd w:val="0"/>
              <w:snapToGrid w:val="0"/>
              <w:jc w:val="center"/>
              <w:rPr>
                <w:rFonts w:hint="eastAsia" w:ascii="宋体" w:hAnsi="宋体" w:cs="宋体"/>
                <w:snapToGrid w:val="0"/>
                <w:kern w:val="0"/>
                <w:szCs w:val="21"/>
                <w:highlight w:val="none"/>
              </w:rPr>
            </w:pPr>
          </w:p>
        </w:tc>
        <w:tc>
          <w:tcPr>
            <w:tcW w:w="1126" w:type="dxa"/>
            <w:gridSpan w:val="2"/>
            <w:vMerge w:val="continue"/>
            <w:vAlign w:val="center"/>
          </w:tcPr>
          <w:p w14:paraId="57D2050B">
            <w:pPr>
              <w:pStyle w:val="165"/>
              <w:wordWrap w:val="0"/>
              <w:adjustRightInd w:val="0"/>
              <w:snapToGrid w:val="0"/>
              <w:jc w:val="center"/>
              <w:rPr>
                <w:rFonts w:hint="eastAsia" w:ascii="宋体" w:hAnsi="宋体" w:cs="宋体"/>
                <w:snapToGrid w:val="0"/>
                <w:kern w:val="0"/>
                <w:szCs w:val="21"/>
                <w:highlight w:val="none"/>
              </w:rPr>
            </w:pPr>
          </w:p>
        </w:tc>
        <w:tc>
          <w:tcPr>
            <w:tcW w:w="1995" w:type="dxa"/>
            <w:gridSpan w:val="3"/>
            <w:vAlign w:val="center"/>
          </w:tcPr>
          <w:p w14:paraId="2F186BE3">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初级职称人员</w:t>
            </w:r>
          </w:p>
        </w:tc>
        <w:tc>
          <w:tcPr>
            <w:tcW w:w="1469" w:type="dxa"/>
            <w:vAlign w:val="center"/>
          </w:tcPr>
          <w:p w14:paraId="56EFA4BA">
            <w:pPr>
              <w:pStyle w:val="165"/>
              <w:wordWrap w:val="0"/>
              <w:adjustRightInd w:val="0"/>
              <w:snapToGrid w:val="0"/>
              <w:jc w:val="center"/>
              <w:rPr>
                <w:rFonts w:hint="eastAsia" w:ascii="宋体" w:hAnsi="宋体" w:cs="宋体"/>
                <w:snapToGrid w:val="0"/>
                <w:kern w:val="0"/>
                <w:szCs w:val="21"/>
                <w:highlight w:val="none"/>
              </w:rPr>
            </w:pPr>
          </w:p>
        </w:tc>
      </w:tr>
      <w:tr w14:paraId="6FF0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FCD18FB">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账号</w:t>
            </w:r>
          </w:p>
        </w:tc>
        <w:tc>
          <w:tcPr>
            <w:tcW w:w="2673" w:type="dxa"/>
            <w:gridSpan w:val="2"/>
            <w:vAlign w:val="center"/>
          </w:tcPr>
          <w:p w14:paraId="4A441B9E">
            <w:pPr>
              <w:pStyle w:val="165"/>
              <w:wordWrap w:val="0"/>
              <w:adjustRightInd w:val="0"/>
              <w:snapToGrid w:val="0"/>
              <w:jc w:val="center"/>
              <w:rPr>
                <w:rFonts w:hint="eastAsia" w:ascii="宋体" w:hAnsi="宋体" w:cs="宋体"/>
                <w:snapToGrid w:val="0"/>
                <w:kern w:val="0"/>
                <w:szCs w:val="21"/>
                <w:highlight w:val="none"/>
              </w:rPr>
            </w:pPr>
          </w:p>
        </w:tc>
        <w:tc>
          <w:tcPr>
            <w:tcW w:w="1126" w:type="dxa"/>
            <w:gridSpan w:val="2"/>
            <w:vMerge w:val="continue"/>
            <w:vAlign w:val="center"/>
          </w:tcPr>
          <w:p w14:paraId="31E44C59">
            <w:pPr>
              <w:pStyle w:val="165"/>
              <w:wordWrap w:val="0"/>
              <w:adjustRightInd w:val="0"/>
              <w:snapToGrid w:val="0"/>
              <w:jc w:val="center"/>
              <w:rPr>
                <w:rFonts w:hint="eastAsia" w:ascii="宋体" w:hAnsi="宋体" w:cs="宋体"/>
                <w:snapToGrid w:val="0"/>
                <w:kern w:val="0"/>
                <w:szCs w:val="21"/>
                <w:highlight w:val="none"/>
              </w:rPr>
            </w:pPr>
          </w:p>
        </w:tc>
        <w:tc>
          <w:tcPr>
            <w:tcW w:w="1995" w:type="dxa"/>
            <w:gridSpan w:val="3"/>
            <w:vAlign w:val="center"/>
          </w:tcPr>
          <w:p w14:paraId="1E51C4E8">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技术员</w:t>
            </w:r>
          </w:p>
        </w:tc>
        <w:tc>
          <w:tcPr>
            <w:tcW w:w="1469" w:type="dxa"/>
            <w:vAlign w:val="center"/>
          </w:tcPr>
          <w:p w14:paraId="41FBB233">
            <w:pPr>
              <w:pStyle w:val="165"/>
              <w:wordWrap w:val="0"/>
              <w:adjustRightInd w:val="0"/>
              <w:snapToGrid w:val="0"/>
              <w:jc w:val="center"/>
              <w:rPr>
                <w:rFonts w:hint="eastAsia" w:ascii="宋体" w:hAnsi="宋体" w:cs="宋体"/>
                <w:snapToGrid w:val="0"/>
                <w:kern w:val="0"/>
                <w:szCs w:val="21"/>
                <w:highlight w:val="none"/>
              </w:rPr>
            </w:pPr>
          </w:p>
        </w:tc>
      </w:tr>
      <w:tr w14:paraId="0431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536" w:type="dxa"/>
            <w:vAlign w:val="center"/>
          </w:tcPr>
          <w:p w14:paraId="6DA234CA">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经营范围</w:t>
            </w:r>
          </w:p>
        </w:tc>
        <w:tc>
          <w:tcPr>
            <w:tcW w:w="7263" w:type="dxa"/>
            <w:gridSpan w:val="8"/>
            <w:vAlign w:val="center"/>
          </w:tcPr>
          <w:p w14:paraId="02D017E8">
            <w:pPr>
              <w:pStyle w:val="165"/>
              <w:wordWrap w:val="0"/>
              <w:adjustRightInd w:val="0"/>
              <w:snapToGrid w:val="0"/>
              <w:jc w:val="center"/>
              <w:rPr>
                <w:rFonts w:hint="eastAsia" w:ascii="宋体" w:hAnsi="宋体" w:cs="宋体"/>
                <w:snapToGrid w:val="0"/>
                <w:kern w:val="0"/>
                <w:szCs w:val="21"/>
                <w:highlight w:val="none"/>
              </w:rPr>
            </w:pPr>
          </w:p>
        </w:tc>
      </w:tr>
      <w:tr w14:paraId="0B51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1536" w:type="dxa"/>
            <w:vAlign w:val="center"/>
          </w:tcPr>
          <w:p w14:paraId="05FC3354">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关联企业情况</w:t>
            </w:r>
          </w:p>
        </w:tc>
        <w:tc>
          <w:tcPr>
            <w:tcW w:w="7263" w:type="dxa"/>
            <w:gridSpan w:val="8"/>
            <w:vAlign w:val="center"/>
          </w:tcPr>
          <w:p w14:paraId="3749CC90">
            <w:pPr>
              <w:pStyle w:val="165"/>
              <w:wordWrap w:val="0"/>
              <w:adjustRightInd w:val="0"/>
              <w:snapToGrid w:val="0"/>
              <w:rPr>
                <w:rFonts w:hint="eastAsia" w:ascii="宋体" w:hAnsi="宋体" w:cs="宋体"/>
                <w:snapToGrid w:val="0"/>
                <w:kern w:val="0"/>
                <w:szCs w:val="21"/>
                <w:highlight w:val="none"/>
              </w:rPr>
            </w:pPr>
            <w:r>
              <w:rPr>
                <w:rFonts w:hint="eastAsia" w:ascii="宋体" w:hAnsi="宋体" w:cs="宋体"/>
                <w:snapToGrid w:val="0"/>
                <w:kern w:val="0"/>
                <w:szCs w:val="21"/>
                <w:highlight w:val="none"/>
              </w:rPr>
              <w:t>包括但不限于与投标人存在以下关系的不同单位：</w:t>
            </w:r>
          </w:p>
          <w:p w14:paraId="25397D98">
            <w:pPr>
              <w:pStyle w:val="165"/>
              <w:wordWrap w:val="0"/>
              <w:adjustRightInd w:val="0"/>
              <w:snapToGrid w:val="0"/>
              <w:rPr>
                <w:rFonts w:hint="eastAsia" w:ascii="宋体" w:hAnsi="宋体" w:cs="宋体"/>
                <w:snapToGrid w:val="0"/>
                <w:kern w:val="0"/>
                <w:szCs w:val="21"/>
                <w:highlight w:val="none"/>
              </w:rPr>
            </w:pPr>
            <w:r>
              <w:rPr>
                <w:rFonts w:hint="eastAsia" w:ascii="宋体" w:hAnsi="宋体" w:cs="宋体"/>
                <w:snapToGrid w:val="0"/>
                <w:kern w:val="0"/>
                <w:szCs w:val="21"/>
                <w:highlight w:val="none"/>
              </w:rPr>
              <w:t>1．法定代表人为同一人的。</w:t>
            </w:r>
          </w:p>
          <w:p w14:paraId="2993F587">
            <w:pPr>
              <w:pStyle w:val="165"/>
              <w:wordWrap w:val="0"/>
              <w:adjustRightInd w:val="0"/>
              <w:snapToGrid w:val="0"/>
              <w:rPr>
                <w:rFonts w:hint="eastAsia" w:ascii="宋体" w:hAnsi="宋体" w:cs="宋体"/>
                <w:snapToGrid w:val="0"/>
                <w:kern w:val="0"/>
                <w:szCs w:val="21"/>
                <w:highlight w:val="none"/>
              </w:rPr>
            </w:pPr>
            <w:r>
              <w:rPr>
                <w:rFonts w:hint="eastAsia" w:ascii="宋体" w:hAnsi="宋体" w:cs="宋体"/>
                <w:snapToGrid w:val="0"/>
                <w:kern w:val="0"/>
                <w:szCs w:val="21"/>
                <w:highlight w:val="none"/>
              </w:rPr>
              <w:t>2．存在控股、管理关系的。</w:t>
            </w:r>
          </w:p>
          <w:p w14:paraId="2C3F168F">
            <w:pPr>
              <w:pStyle w:val="165"/>
              <w:wordWrap w:val="0"/>
              <w:adjustRightInd w:val="0"/>
              <w:snapToGrid w:val="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3．主要人员相互任职的。</w:t>
            </w:r>
          </w:p>
        </w:tc>
      </w:tr>
      <w:tr w14:paraId="3A8A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536" w:type="dxa"/>
            <w:vAlign w:val="center"/>
          </w:tcPr>
          <w:p w14:paraId="449C4E56">
            <w:pPr>
              <w:pStyle w:val="165"/>
              <w:wordWrap w:val="0"/>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备注</w:t>
            </w:r>
          </w:p>
        </w:tc>
        <w:tc>
          <w:tcPr>
            <w:tcW w:w="7263" w:type="dxa"/>
            <w:gridSpan w:val="8"/>
            <w:vAlign w:val="center"/>
          </w:tcPr>
          <w:p w14:paraId="3B760AD7">
            <w:pPr>
              <w:pStyle w:val="165"/>
              <w:wordWrap w:val="0"/>
              <w:adjustRightInd w:val="0"/>
              <w:snapToGrid w:val="0"/>
              <w:jc w:val="center"/>
              <w:rPr>
                <w:rFonts w:hint="eastAsia" w:ascii="宋体" w:hAnsi="宋体" w:cs="宋体"/>
                <w:snapToGrid w:val="0"/>
                <w:kern w:val="0"/>
                <w:szCs w:val="21"/>
                <w:highlight w:val="none"/>
              </w:rPr>
            </w:pPr>
          </w:p>
        </w:tc>
      </w:tr>
    </w:tbl>
    <w:p w14:paraId="75098963">
      <w:pPr>
        <w:pStyle w:val="165"/>
        <w:wordWrap w:val="0"/>
        <w:adjustRightInd w:val="0"/>
        <w:snapToGrid w:val="0"/>
        <w:spacing w:line="400" w:lineRule="exact"/>
        <w:rPr>
          <w:rFonts w:hint="eastAsia" w:ascii="宋体" w:hAnsi="宋体" w:cs="宋体"/>
          <w:snapToGrid w:val="0"/>
          <w:kern w:val="0"/>
          <w:szCs w:val="21"/>
          <w:highlight w:val="none"/>
        </w:rPr>
      </w:pPr>
      <w:r>
        <w:rPr>
          <w:rFonts w:hint="eastAsia" w:ascii="宋体" w:hAnsi="宋体" w:cs="宋体"/>
          <w:snapToGrid w:val="0"/>
          <w:kern w:val="0"/>
          <w:szCs w:val="21"/>
          <w:highlight w:val="none"/>
        </w:rPr>
        <w:t>说明：</w:t>
      </w:r>
    </w:p>
    <w:p w14:paraId="09E88CB6">
      <w:pPr>
        <w:pStyle w:val="165"/>
        <w:wordWrap w:val="0"/>
        <w:adjustRightInd w:val="0"/>
        <w:snapToGrid w:val="0"/>
        <w:spacing w:line="400" w:lineRule="exact"/>
        <w:ind w:firstLine="420" w:firstLineChars="200"/>
        <w:outlineLvl w:val="1"/>
        <w:rPr>
          <w:rFonts w:hint="eastAsia" w:ascii="宋体" w:hAnsi="宋体" w:cs="宋体"/>
          <w:snapToGrid w:val="0"/>
          <w:kern w:val="0"/>
          <w:szCs w:val="21"/>
          <w:highlight w:val="none"/>
        </w:rPr>
      </w:pPr>
      <w:bookmarkStart w:id="350" w:name="_Toc22152"/>
      <w:r>
        <w:rPr>
          <w:rFonts w:hint="eastAsia" w:ascii="宋体" w:hAnsi="宋体" w:cs="宋体"/>
          <w:snapToGrid w:val="0"/>
          <w:kern w:val="0"/>
          <w:szCs w:val="21"/>
          <w:highlight w:val="none"/>
        </w:rPr>
        <w:t>1.《投标人基本情况表》后应附以下资料：</w:t>
      </w:r>
      <w:bookmarkEnd w:id="350"/>
    </w:p>
    <w:p w14:paraId="396ACB67">
      <w:pPr>
        <w:pStyle w:val="165"/>
        <w:wordWrap w:val="0"/>
        <w:adjustRightInd w:val="0"/>
        <w:snapToGrid w:val="0"/>
        <w:spacing w:line="400" w:lineRule="exact"/>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（1）企业营业执照、资质证书的扫描件（</w:t>
      </w:r>
      <w:r>
        <w:rPr>
          <w:rFonts w:hint="eastAsia" w:ascii="宋体" w:hAnsi="宋体" w:cs="宋体"/>
          <w:b/>
          <w:bCs/>
          <w:snapToGrid w:val="0"/>
          <w:kern w:val="0"/>
          <w:szCs w:val="21"/>
          <w:highlight w:val="none"/>
        </w:rPr>
        <w:t>因推行电子证照，部分企业已不存在副本等纸质证书。可打印件营业执照、资质证书实时网页查询页）</w:t>
      </w:r>
      <w:r>
        <w:rPr>
          <w:rFonts w:hint="eastAsia" w:ascii="宋体" w:hAnsi="宋体" w:cs="宋体"/>
          <w:snapToGrid w:val="0"/>
          <w:kern w:val="0"/>
          <w:szCs w:val="21"/>
          <w:highlight w:val="none"/>
        </w:rPr>
        <w:t>；</w:t>
      </w:r>
    </w:p>
    <w:p w14:paraId="510A0B7A">
      <w:pPr>
        <w:pStyle w:val="165"/>
        <w:wordWrap w:val="0"/>
        <w:adjustRightInd w:val="0"/>
        <w:snapToGrid w:val="0"/>
        <w:spacing w:line="400" w:lineRule="exact"/>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（2）</w:t>
      </w:r>
      <w:r>
        <w:rPr>
          <w:rFonts w:hint="eastAsia" w:ascii="宋体" w:hAnsi="宋体" w:cs="宋体"/>
          <w:snapToGrid w:val="0"/>
          <w:kern w:val="0"/>
          <w:highlight w:val="none"/>
        </w:rPr>
        <w:t>“进粤企业和人员诚信信息登记平台”企业信息情况打印页</w:t>
      </w:r>
      <w:r>
        <w:rPr>
          <w:rFonts w:hint="eastAsia" w:ascii="宋体" w:hAnsi="宋体" w:cs="宋体"/>
          <w:snapToGrid w:val="0"/>
          <w:kern w:val="0"/>
          <w:szCs w:val="21"/>
          <w:highlight w:val="none"/>
        </w:rPr>
        <w:t>扫描件</w:t>
      </w:r>
      <w:r>
        <w:rPr>
          <w:rFonts w:hint="eastAsia" w:ascii="宋体" w:hAnsi="宋体" w:cs="宋体"/>
          <w:snapToGrid w:val="0"/>
          <w:kern w:val="0"/>
          <w:highlight w:val="none"/>
        </w:rPr>
        <w:t>。（适用于省外企业）</w:t>
      </w:r>
      <w:r>
        <w:rPr>
          <w:rFonts w:hint="eastAsia" w:ascii="宋体" w:hAnsi="宋体" w:cs="宋体"/>
          <w:snapToGrid w:val="0"/>
          <w:kern w:val="0"/>
          <w:szCs w:val="21"/>
          <w:highlight w:val="none"/>
        </w:rPr>
        <w:t>；</w:t>
      </w:r>
    </w:p>
    <w:p w14:paraId="09673817">
      <w:pPr>
        <w:pStyle w:val="165"/>
        <w:wordWrap w:val="0"/>
        <w:adjustRightInd w:val="0"/>
        <w:snapToGrid w:val="0"/>
        <w:spacing w:line="400" w:lineRule="exact"/>
        <w:ind w:firstLine="420" w:firstLineChars="200"/>
        <w:rPr>
          <w:rFonts w:hint="eastAsia" w:ascii="宋体" w:hAnsi="宋体" w:cs="宋体"/>
          <w:snapToGrid w:val="0"/>
          <w:kern w:val="0"/>
          <w:highlight w:val="none"/>
        </w:rPr>
      </w:pPr>
      <w:r>
        <w:rPr>
          <w:rFonts w:hint="eastAsia" w:ascii="宋体" w:hAnsi="宋体" w:cs="宋体"/>
          <w:snapToGrid w:val="0"/>
          <w:kern w:val="0"/>
          <w:highlight w:val="none"/>
        </w:rPr>
        <w:t>（3）《法人和非法人组织公共信用信息报告》打印件</w:t>
      </w:r>
      <w:r>
        <w:rPr>
          <w:rFonts w:hint="eastAsia" w:ascii="宋体" w:hAnsi="宋体" w:cs="宋体"/>
          <w:snapToGrid w:val="0"/>
          <w:kern w:val="0"/>
          <w:szCs w:val="21"/>
          <w:highlight w:val="none"/>
        </w:rPr>
        <w:t>扫描件</w:t>
      </w:r>
      <w:r>
        <w:rPr>
          <w:rFonts w:hint="eastAsia" w:ascii="宋体" w:hAnsi="宋体" w:cs="宋体"/>
          <w:snapToGrid w:val="0"/>
          <w:kern w:val="0"/>
          <w:highlight w:val="none"/>
        </w:rPr>
        <w:t>(在“信用中国</w:t>
      </w:r>
      <w:r>
        <w:rPr>
          <w:rFonts w:hint="eastAsia" w:ascii="宋体" w:hAnsi="宋体" w:cs="宋体"/>
          <w:snapToGrid w:val="0"/>
          <w:kern w:val="0"/>
          <w:szCs w:val="21"/>
          <w:highlight w:val="none"/>
        </w:rPr>
        <w:t>（https://www.creditchina.gov.cn）</w:t>
      </w:r>
      <w:r>
        <w:rPr>
          <w:rFonts w:hint="eastAsia" w:ascii="宋体" w:hAnsi="宋体" w:cs="宋体"/>
          <w:snapToGrid w:val="0"/>
          <w:kern w:val="0"/>
          <w:highlight w:val="none"/>
        </w:rPr>
        <w:t>”网站企业查询界面中下载)。</w:t>
      </w:r>
    </w:p>
    <w:p w14:paraId="57DF8BFE">
      <w:pPr>
        <w:pStyle w:val="165"/>
        <w:wordWrap w:val="0"/>
        <w:adjustRightInd w:val="0"/>
        <w:snapToGrid w:val="0"/>
        <w:spacing w:line="400" w:lineRule="exact"/>
        <w:ind w:firstLine="420" w:firstLineChars="200"/>
        <w:rPr>
          <w:rFonts w:hint="eastAsia" w:ascii="宋体" w:hAnsi="宋体" w:cs="宋体"/>
          <w:snapToGrid w:val="0"/>
          <w:kern w:val="0"/>
          <w:highlight w:val="none"/>
        </w:rPr>
      </w:pPr>
      <w:r>
        <w:rPr>
          <w:rFonts w:hint="eastAsia" w:ascii="宋体" w:hAnsi="宋体" w:cs="宋体"/>
          <w:snapToGrid w:val="0"/>
          <w:kern w:val="0"/>
          <w:highlight w:val="none"/>
        </w:rPr>
        <w:t>2．联合体投标的，联合体成员单位均应填写《投标人基本情况表》并提供以上所需资料。</w:t>
      </w:r>
    </w:p>
    <w:p w14:paraId="1AD5F092">
      <w:pPr>
        <w:pStyle w:val="165"/>
        <w:wordWrap w:val="0"/>
        <w:adjustRightInd w:val="0"/>
        <w:snapToGrid w:val="0"/>
        <w:spacing w:line="400" w:lineRule="exact"/>
        <w:ind w:left="365" w:leftChars="174"/>
        <w:rPr>
          <w:rFonts w:hint="eastAsia" w:ascii="宋体" w:hAnsi="宋体" w:cs="宋体"/>
          <w:snapToGrid w:val="0"/>
          <w:kern w:val="0"/>
          <w:highlight w:val="none"/>
        </w:rPr>
        <w:sectPr>
          <w:footerReference r:id="rId5" w:type="default"/>
          <w:endnotePr>
            <w:numFmt w:val="decimal"/>
          </w:endnotePr>
          <w:pgSz w:w="11906" w:h="16838"/>
          <w:pgMar w:top="1440" w:right="1080" w:bottom="1440" w:left="1080" w:header="850" w:footer="992" w:gutter="0"/>
          <w:pgNumType w:start="1"/>
          <w:cols w:space="720" w:num="1"/>
          <w:docGrid w:linePitch="327" w:charSpace="0"/>
        </w:sectPr>
      </w:pPr>
    </w:p>
    <w:p w14:paraId="491BC772">
      <w:pPr>
        <w:wordWrap w:val="0"/>
        <w:adjustRightInd w:val="0"/>
        <w:snapToGrid w:val="0"/>
        <w:spacing w:line="440" w:lineRule="exact"/>
        <w:jc w:val="left"/>
        <w:outlineLvl w:val="2"/>
        <w:rPr>
          <w:rFonts w:hint="eastAsia" w:ascii="宋体" w:hAnsi="宋体" w:cs="宋体"/>
          <w:b/>
          <w:bCs/>
          <w:snapToGrid w:val="0"/>
          <w:kern w:val="0"/>
          <w:sz w:val="24"/>
          <w:szCs w:val="32"/>
          <w:highlight w:val="none"/>
        </w:rPr>
      </w:pPr>
      <w:bookmarkStart w:id="351" w:name="_Toc4703"/>
      <w:bookmarkStart w:id="352" w:name="_Toc26937"/>
      <w:bookmarkStart w:id="353" w:name="_Toc135054614"/>
      <w:r>
        <w:rPr>
          <w:rStyle w:val="48"/>
          <w:rFonts w:hint="eastAsia" w:ascii="宋体" w:hAnsi="宋体" w:cs="宋体"/>
          <w:b/>
          <w:bCs/>
          <w:sz w:val="24"/>
          <w:highlight w:val="none"/>
        </w:rPr>
        <w:t>格式六 设计负责人简历表</w:t>
      </w:r>
      <w:bookmarkEnd w:id="351"/>
      <w:bookmarkEnd w:id="352"/>
    </w:p>
    <w:p w14:paraId="49BF4F15">
      <w:pPr>
        <w:wordWrap w:val="0"/>
        <w:adjustRightInd w:val="0"/>
        <w:snapToGrid w:val="0"/>
        <w:spacing w:line="440" w:lineRule="exact"/>
        <w:jc w:val="left"/>
        <w:outlineLvl w:val="2"/>
        <w:rPr>
          <w:rFonts w:hint="eastAsia" w:ascii="宋体" w:hAnsi="宋体" w:cs="宋体"/>
          <w:b/>
          <w:bCs/>
          <w:snapToGrid w:val="0"/>
          <w:kern w:val="0"/>
          <w:szCs w:val="24"/>
          <w:highlight w:val="none"/>
        </w:rPr>
      </w:pPr>
    </w:p>
    <w:p w14:paraId="4B49BD55">
      <w:pPr>
        <w:wordWrap w:val="0"/>
        <w:adjustRightInd w:val="0"/>
        <w:snapToGrid w:val="0"/>
        <w:spacing w:line="440" w:lineRule="exact"/>
        <w:jc w:val="center"/>
        <w:outlineLvl w:val="2"/>
        <w:rPr>
          <w:rFonts w:hint="eastAsia" w:ascii="宋体" w:hAnsi="宋体" w:cs="宋体"/>
          <w:b/>
          <w:bCs/>
          <w:snapToGrid w:val="0"/>
          <w:kern w:val="0"/>
          <w:szCs w:val="24"/>
          <w:highlight w:val="none"/>
        </w:rPr>
      </w:pPr>
      <w:r>
        <w:rPr>
          <w:rFonts w:hint="eastAsia" w:ascii="宋体" w:hAnsi="宋体" w:cs="宋体"/>
          <w:b/>
          <w:snapToGrid w:val="0"/>
          <w:kern w:val="0"/>
          <w:sz w:val="30"/>
          <w:highlight w:val="none"/>
        </w:rPr>
        <w:t>设计负责人简历表</w:t>
      </w:r>
    </w:p>
    <w:tbl>
      <w:tblPr>
        <w:tblStyle w:val="33"/>
        <w:tblW w:w="87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737"/>
        <w:gridCol w:w="66"/>
        <w:gridCol w:w="1358"/>
      </w:tblGrid>
      <w:tr w14:paraId="50DE3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34" w:hRule="atLeast"/>
          <w:jc w:val="center"/>
        </w:trPr>
        <w:tc>
          <w:tcPr>
            <w:tcW w:w="8735" w:type="dxa"/>
            <w:gridSpan w:val="10"/>
            <w:vAlign w:val="center"/>
          </w:tcPr>
          <w:p w14:paraId="66F14483">
            <w:pPr>
              <w:jc w:val="center"/>
              <w:rPr>
                <w:rFonts w:hint="eastAsia" w:ascii="宋体" w:hAnsi="宋体" w:cs="宋体"/>
                <w:highlight w:val="none"/>
              </w:rPr>
            </w:pPr>
            <w:r>
              <w:rPr>
                <w:rFonts w:hint="eastAsia" w:ascii="宋体" w:hAnsi="宋体" w:cs="宋体"/>
                <w:highlight w:val="none"/>
              </w:rPr>
              <w:t>1.基本情况</w:t>
            </w:r>
          </w:p>
        </w:tc>
      </w:tr>
      <w:tr w14:paraId="4FB65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792CE558">
            <w:pPr>
              <w:jc w:val="center"/>
              <w:rPr>
                <w:rFonts w:hint="eastAsia" w:ascii="宋体" w:hAnsi="宋体" w:cs="宋体"/>
                <w:highlight w:val="none"/>
              </w:rPr>
            </w:pPr>
            <w:r>
              <w:rPr>
                <w:rFonts w:hint="eastAsia" w:ascii="宋体" w:hAnsi="宋体" w:cs="宋体"/>
                <w:highlight w:val="none"/>
              </w:rPr>
              <w:t>姓名</w:t>
            </w:r>
          </w:p>
        </w:tc>
        <w:tc>
          <w:tcPr>
            <w:tcW w:w="1387" w:type="dxa"/>
            <w:vAlign w:val="center"/>
          </w:tcPr>
          <w:p w14:paraId="4A67472C">
            <w:pPr>
              <w:jc w:val="center"/>
              <w:rPr>
                <w:rFonts w:hint="eastAsia" w:ascii="宋体" w:hAnsi="宋体" w:cs="宋体"/>
                <w:highlight w:val="none"/>
              </w:rPr>
            </w:pPr>
          </w:p>
        </w:tc>
        <w:tc>
          <w:tcPr>
            <w:tcW w:w="704" w:type="dxa"/>
            <w:vAlign w:val="center"/>
          </w:tcPr>
          <w:p w14:paraId="77223387">
            <w:pPr>
              <w:jc w:val="center"/>
              <w:rPr>
                <w:rFonts w:hint="eastAsia" w:ascii="宋体" w:hAnsi="宋体" w:cs="宋体"/>
                <w:highlight w:val="none"/>
              </w:rPr>
            </w:pPr>
            <w:r>
              <w:rPr>
                <w:rFonts w:hint="eastAsia" w:ascii="宋体" w:hAnsi="宋体" w:cs="宋体"/>
                <w:highlight w:val="none"/>
              </w:rPr>
              <w:t>性别</w:t>
            </w:r>
          </w:p>
        </w:tc>
        <w:tc>
          <w:tcPr>
            <w:tcW w:w="1473" w:type="dxa"/>
            <w:vAlign w:val="center"/>
          </w:tcPr>
          <w:p w14:paraId="761FCC5C">
            <w:pPr>
              <w:jc w:val="center"/>
              <w:rPr>
                <w:rFonts w:hint="eastAsia" w:ascii="宋体" w:hAnsi="宋体" w:cs="宋体"/>
                <w:highlight w:val="none"/>
              </w:rPr>
            </w:pPr>
          </w:p>
        </w:tc>
        <w:tc>
          <w:tcPr>
            <w:tcW w:w="922" w:type="dxa"/>
            <w:vAlign w:val="center"/>
          </w:tcPr>
          <w:p w14:paraId="3CEFCB40">
            <w:pPr>
              <w:jc w:val="center"/>
              <w:rPr>
                <w:rFonts w:hint="eastAsia" w:ascii="宋体" w:hAnsi="宋体" w:cs="宋体"/>
                <w:highlight w:val="none"/>
              </w:rPr>
            </w:pPr>
            <w:r>
              <w:rPr>
                <w:rFonts w:hint="eastAsia" w:ascii="宋体" w:hAnsi="宋体" w:cs="宋体"/>
                <w:highlight w:val="none"/>
              </w:rPr>
              <w:t>年 龄</w:t>
            </w:r>
          </w:p>
        </w:tc>
        <w:tc>
          <w:tcPr>
            <w:tcW w:w="1257" w:type="dxa"/>
            <w:gridSpan w:val="2"/>
            <w:vAlign w:val="center"/>
          </w:tcPr>
          <w:p w14:paraId="56552A65">
            <w:pPr>
              <w:jc w:val="center"/>
              <w:rPr>
                <w:rFonts w:hint="eastAsia" w:ascii="宋体" w:hAnsi="宋体" w:cs="宋体"/>
                <w:highlight w:val="none"/>
              </w:rPr>
            </w:pPr>
          </w:p>
        </w:tc>
        <w:tc>
          <w:tcPr>
            <w:tcW w:w="737" w:type="dxa"/>
            <w:vAlign w:val="center"/>
          </w:tcPr>
          <w:p w14:paraId="1C483DDC">
            <w:pPr>
              <w:jc w:val="center"/>
              <w:rPr>
                <w:rFonts w:hint="eastAsia" w:ascii="宋体" w:hAnsi="宋体" w:cs="宋体"/>
                <w:highlight w:val="none"/>
              </w:rPr>
            </w:pPr>
            <w:r>
              <w:rPr>
                <w:rFonts w:hint="eastAsia" w:ascii="宋体" w:hAnsi="宋体" w:cs="宋体"/>
                <w:highlight w:val="none"/>
              </w:rPr>
              <w:t>学位</w:t>
            </w:r>
          </w:p>
        </w:tc>
        <w:tc>
          <w:tcPr>
            <w:tcW w:w="1424" w:type="dxa"/>
            <w:gridSpan w:val="2"/>
            <w:vAlign w:val="center"/>
          </w:tcPr>
          <w:p w14:paraId="1A79DA3F">
            <w:pPr>
              <w:jc w:val="center"/>
              <w:rPr>
                <w:rFonts w:hint="eastAsia" w:ascii="宋体" w:hAnsi="宋体" w:cs="宋体"/>
                <w:highlight w:val="none"/>
              </w:rPr>
            </w:pPr>
          </w:p>
        </w:tc>
      </w:tr>
      <w:tr w14:paraId="0191E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0D9E26F">
            <w:pPr>
              <w:jc w:val="center"/>
              <w:rPr>
                <w:rFonts w:hint="eastAsia" w:ascii="宋体" w:hAnsi="宋体" w:cs="宋体"/>
                <w:highlight w:val="none"/>
              </w:rPr>
            </w:pPr>
            <w:r>
              <w:rPr>
                <w:rFonts w:hint="eastAsia" w:ascii="宋体" w:hAnsi="宋体" w:cs="宋体"/>
                <w:highlight w:val="none"/>
              </w:rPr>
              <w:t>职称</w:t>
            </w:r>
          </w:p>
        </w:tc>
        <w:tc>
          <w:tcPr>
            <w:tcW w:w="1387" w:type="dxa"/>
            <w:vAlign w:val="center"/>
          </w:tcPr>
          <w:p w14:paraId="61D08168">
            <w:pPr>
              <w:jc w:val="center"/>
              <w:rPr>
                <w:rFonts w:hint="eastAsia" w:ascii="宋体" w:hAnsi="宋体" w:cs="宋体"/>
                <w:highlight w:val="none"/>
              </w:rPr>
            </w:pPr>
          </w:p>
        </w:tc>
        <w:tc>
          <w:tcPr>
            <w:tcW w:w="2177" w:type="dxa"/>
            <w:gridSpan w:val="2"/>
            <w:vAlign w:val="center"/>
          </w:tcPr>
          <w:p w14:paraId="17015EC1">
            <w:pPr>
              <w:jc w:val="center"/>
              <w:rPr>
                <w:rFonts w:hint="eastAsia" w:ascii="宋体" w:hAnsi="宋体" w:cs="宋体"/>
                <w:highlight w:val="none"/>
              </w:rPr>
            </w:pPr>
            <w:r>
              <w:rPr>
                <w:rFonts w:hint="eastAsia" w:ascii="宋体" w:hAnsi="宋体" w:cs="宋体"/>
                <w:spacing w:val="-12"/>
                <w:highlight w:val="none"/>
              </w:rPr>
              <w:t>为投标人服务时间</w:t>
            </w:r>
          </w:p>
        </w:tc>
        <w:tc>
          <w:tcPr>
            <w:tcW w:w="922" w:type="dxa"/>
            <w:vAlign w:val="center"/>
          </w:tcPr>
          <w:p w14:paraId="2A9CE223">
            <w:pPr>
              <w:jc w:val="center"/>
              <w:rPr>
                <w:rFonts w:hint="eastAsia" w:ascii="宋体" w:hAnsi="宋体" w:cs="宋体"/>
                <w:highlight w:val="none"/>
              </w:rPr>
            </w:pPr>
          </w:p>
        </w:tc>
        <w:tc>
          <w:tcPr>
            <w:tcW w:w="1994" w:type="dxa"/>
            <w:gridSpan w:val="3"/>
            <w:vAlign w:val="center"/>
          </w:tcPr>
          <w:p w14:paraId="5F9C3241">
            <w:pPr>
              <w:jc w:val="center"/>
              <w:rPr>
                <w:rFonts w:hint="eastAsia" w:ascii="宋体" w:hAnsi="宋体" w:cs="宋体"/>
                <w:highlight w:val="none"/>
              </w:rPr>
            </w:pPr>
            <w:r>
              <w:rPr>
                <w:rFonts w:hint="eastAsia" w:ascii="宋体" w:hAnsi="宋体" w:cs="宋体"/>
                <w:highlight w:val="none"/>
              </w:rPr>
              <w:t>在本合同中</w:t>
            </w:r>
          </w:p>
          <w:p w14:paraId="0640C3C7">
            <w:pPr>
              <w:jc w:val="center"/>
              <w:rPr>
                <w:rFonts w:hint="eastAsia" w:ascii="宋体" w:hAnsi="宋体" w:cs="宋体"/>
                <w:spacing w:val="-12"/>
                <w:highlight w:val="none"/>
              </w:rPr>
            </w:pPr>
            <w:r>
              <w:rPr>
                <w:rFonts w:hint="eastAsia" w:ascii="宋体" w:hAnsi="宋体" w:cs="宋体"/>
                <w:highlight w:val="none"/>
              </w:rPr>
              <w:t>拟任职</w:t>
            </w:r>
          </w:p>
        </w:tc>
        <w:tc>
          <w:tcPr>
            <w:tcW w:w="1424" w:type="dxa"/>
            <w:gridSpan w:val="2"/>
            <w:vAlign w:val="center"/>
          </w:tcPr>
          <w:p w14:paraId="7DA36CCD">
            <w:pPr>
              <w:jc w:val="center"/>
              <w:rPr>
                <w:rFonts w:hint="eastAsia" w:ascii="宋体" w:hAnsi="宋体" w:cs="宋体"/>
                <w:highlight w:val="none"/>
              </w:rPr>
            </w:pPr>
          </w:p>
        </w:tc>
      </w:tr>
      <w:tr w14:paraId="6A9A6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556D5927">
            <w:pPr>
              <w:jc w:val="center"/>
              <w:rPr>
                <w:rFonts w:hint="eastAsia" w:ascii="宋体" w:hAnsi="宋体" w:cs="宋体"/>
                <w:highlight w:val="none"/>
              </w:rPr>
            </w:pPr>
            <w:r>
              <w:rPr>
                <w:rFonts w:hint="eastAsia" w:ascii="宋体" w:hAnsi="宋体" w:cs="宋体"/>
                <w:highlight w:val="none"/>
              </w:rPr>
              <w:t>学历</w:t>
            </w:r>
          </w:p>
        </w:tc>
        <w:tc>
          <w:tcPr>
            <w:tcW w:w="7904" w:type="dxa"/>
            <w:gridSpan w:val="9"/>
            <w:vAlign w:val="center"/>
          </w:tcPr>
          <w:p w14:paraId="5F01FED7">
            <w:pPr>
              <w:ind w:firstLine="600"/>
              <w:jc w:val="center"/>
              <w:rPr>
                <w:rFonts w:hint="eastAsia" w:ascii="宋体" w:hAnsi="宋体" w:cs="宋体"/>
                <w:highlight w:val="none"/>
              </w:rPr>
            </w:pPr>
            <w:r>
              <w:rPr>
                <w:rFonts w:hint="eastAsia" w:ascii="宋体" w:hAnsi="宋体" w:cs="宋体"/>
                <w:highlight w:val="none"/>
              </w:rPr>
              <w:t>年毕业于              学校           专业</w:t>
            </w:r>
          </w:p>
        </w:tc>
      </w:tr>
      <w:tr w14:paraId="25EE11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3FD33D93">
            <w:pPr>
              <w:jc w:val="center"/>
              <w:rPr>
                <w:rFonts w:hint="eastAsia" w:ascii="宋体" w:hAnsi="宋体" w:cs="宋体"/>
                <w:highlight w:val="none"/>
              </w:rPr>
            </w:pPr>
            <w:r>
              <w:rPr>
                <w:rFonts w:hint="eastAsia" w:ascii="宋体" w:hAnsi="宋体" w:cs="宋体"/>
                <w:highlight w:val="none"/>
              </w:rPr>
              <w:t>2.经历</w:t>
            </w:r>
          </w:p>
        </w:tc>
      </w:tr>
      <w:tr w14:paraId="0EBD5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92E1122">
            <w:pPr>
              <w:jc w:val="center"/>
              <w:rPr>
                <w:rFonts w:hint="eastAsia" w:ascii="宋体" w:hAnsi="宋体" w:cs="宋体"/>
                <w:highlight w:val="none"/>
              </w:rPr>
            </w:pPr>
            <w:r>
              <w:rPr>
                <w:rFonts w:hint="eastAsia" w:ascii="宋体" w:hAnsi="宋体" w:cs="宋体"/>
                <w:highlight w:val="none"/>
              </w:rPr>
              <w:t>时间</w:t>
            </w:r>
          </w:p>
        </w:tc>
        <w:tc>
          <w:tcPr>
            <w:tcW w:w="4585" w:type="dxa"/>
            <w:gridSpan w:val="5"/>
            <w:vAlign w:val="center"/>
          </w:tcPr>
          <w:p w14:paraId="37542483">
            <w:pPr>
              <w:jc w:val="center"/>
              <w:rPr>
                <w:rFonts w:hint="eastAsia" w:ascii="宋体" w:hAnsi="宋体" w:cs="宋体"/>
                <w:highlight w:val="none"/>
              </w:rPr>
            </w:pPr>
            <w:r>
              <w:rPr>
                <w:rFonts w:hint="eastAsia" w:ascii="宋体" w:hAnsi="宋体" w:cs="宋体"/>
                <w:highlight w:val="none"/>
              </w:rPr>
              <w:t>负责过的主要工程（类型和金额）</w:t>
            </w:r>
          </w:p>
        </w:tc>
        <w:tc>
          <w:tcPr>
            <w:tcW w:w="1961" w:type="dxa"/>
            <w:gridSpan w:val="3"/>
            <w:vAlign w:val="center"/>
          </w:tcPr>
          <w:p w14:paraId="3209834B">
            <w:pPr>
              <w:jc w:val="center"/>
              <w:rPr>
                <w:rFonts w:hint="eastAsia" w:ascii="宋体" w:hAnsi="宋体" w:cs="宋体"/>
                <w:highlight w:val="none"/>
              </w:rPr>
            </w:pPr>
            <w:r>
              <w:rPr>
                <w:rFonts w:hint="eastAsia" w:ascii="宋体" w:hAnsi="宋体" w:cs="宋体"/>
                <w:highlight w:val="none"/>
              </w:rPr>
              <w:t>该项目中任职</w:t>
            </w:r>
          </w:p>
        </w:tc>
        <w:tc>
          <w:tcPr>
            <w:tcW w:w="1358" w:type="dxa"/>
            <w:vAlign w:val="center"/>
          </w:tcPr>
          <w:p w14:paraId="31FE9596">
            <w:pPr>
              <w:jc w:val="center"/>
              <w:rPr>
                <w:rFonts w:hint="eastAsia" w:ascii="宋体" w:hAnsi="宋体" w:cs="宋体"/>
                <w:highlight w:val="none"/>
              </w:rPr>
            </w:pPr>
            <w:r>
              <w:rPr>
                <w:rFonts w:hint="eastAsia" w:ascii="宋体" w:hAnsi="宋体" w:cs="宋体"/>
                <w:highlight w:val="none"/>
              </w:rPr>
              <w:t>备 注</w:t>
            </w:r>
          </w:p>
        </w:tc>
      </w:tr>
      <w:tr w14:paraId="3D1075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11CA37E7">
            <w:pPr>
              <w:jc w:val="center"/>
              <w:rPr>
                <w:rFonts w:hint="eastAsia" w:ascii="宋体" w:hAnsi="宋体" w:cs="宋体"/>
                <w:highlight w:val="none"/>
              </w:rPr>
            </w:pPr>
          </w:p>
        </w:tc>
        <w:tc>
          <w:tcPr>
            <w:tcW w:w="4585" w:type="dxa"/>
            <w:gridSpan w:val="5"/>
            <w:vAlign w:val="center"/>
          </w:tcPr>
          <w:p w14:paraId="15CF5FBA">
            <w:pPr>
              <w:jc w:val="center"/>
              <w:rPr>
                <w:rFonts w:hint="eastAsia" w:ascii="宋体" w:hAnsi="宋体" w:cs="宋体"/>
                <w:highlight w:val="none"/>
              </w:rPr>
            </w:pPr>
          </w:p>
        </w:tc>
        <w:tc>
          <w:tcPr>
            <w:tcW w:w="1961" w:type="dxa"/>
            <w:gridSpan w:val="3"/>
            <w:vAlign w:val="center"/>
          </w:tcPr>
          <w:p w14:paraId="4F982EFF">
            <w:pPr>
              <w:jc w:val="center"/>
              <w:rPr>
                <w:rFonts w:hint="eastAsia" w:ascii="宋体" w:hAnsi="宋体" w:cs="宋体"/>
                <w:highlight w:val="none"/>
              </w:rPr>
            </w:pPr>
          </w:p>
        </w:tc>
        <w:tc>
          <w:tcPr>
            <w:tcW w:w="1358" w:type="dxa"/>
            <w:vAlign w:val="center"/>
          </w:tcPr>
          <w:p w14:paraId="1C4FD0F8">
            <w:pPr>
              <w:jc w:val="center"/>
              <w:rPr>
                <w:rFonts w:hint="eastAsia" w:ascii="宋体" w:hAnsi="宋体" w:cs="宋体"/>
                <w:highlight w:val="none"/>
              </w:rPr>
            </w:pPr>
          </w:p>
        </w:tc>
      </w:tr>
      <w:tr w14:paraId="659B9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B875D5B">
            <w:pPr>
              <w:jc w:val="center"/>
              <w:rPr>
                <w:rFonts w:hint="eastAsia" w:ascii="宋体" w:hAnsi="宋体" w:cs="宋体"/>
                <w:highlight w:val="none"/>
              </w:rPr>
            </w:pPr>
          </w:p>
        </w:tc>
        <w:tc>
          <w:tcPr>
            <w:tcW w:w="4585" w:type="dxa"/>
            <w:gridSpan w:val="5"/>
            <w:vAlign w:val="center"/>
          </w:tcPr>
          <w:p w14:paraId="5315485F">
            <w:pPr>
              <w:jc w:val="center"/>
              <w:rPr>
                <w:rFonts w:hint="eastAsia" w:ascii="宋体" w:hAnsi="宋体" w:cs="宋体"/>
                <w:highlight w:val="none"/>
              </w:rPr>
            </w:pPr>
          </w:p>
        </w:tc>
        <w:tc>
          <w:tcPr>
            <w:tcW w:w="1961" w:type="dxa"/>
            <w:gridSpan w:val="3"/>
            <w:vAlign w:val="center"/>
          </w:tcPr>
          <w:p w14:paraId="728635F5">
            <w:pPr>
              <w:jc w:val="center"/>
              <w:rPr>
                <w:rFonts w:hint="eastAsia" w:ascii="宋体" w:hAnsi="宋体" w:cs="宋体"/>
                <w:highlight w:val="none"/>
              </w:rPr>
            </w:pPr>
          </w:p>
        </w:tc>
        <w:tc>
          <w:tcPr>
            <w:tcW w:w="1358" w:type="dxa"/>
            <w:vAlign w:val="center"/>
          </w:tcPr>
          <w:p w14:paraId="21D0E2DB">
            <w:pPr>
              <w:jc w:val="center"/>
              <w:rPr>
                <w:rFonts w:hint="eastAsia" w:ascii="宋体" w:hAnsi="宋体" w:cs="宋体"/>
                <w:highlight w:val="none"/>
              </w:rPr>
            </w:pPr>
          </w:p>
        </w:tc>
      </w:tr>
      <w:tr w14:paraId="7D21F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1E536C64">
            <w:pPr>
              <w:jc w:val="center"/>
              <w:rPr>
                <w:rFonts w:hint="eastAsia" w:ascii="宋体" w:hAnsi="宋体" w:cs="宋体"/>
                <w:highlight w:val="none"/>
              </w:rPr>
            </w:pPr>
          </w:p>
        </w:tc>
        <w:tc>
          <w:tcPr>
            <w:tcW w:w="4585" w:type="dxa"/>
            <w:gridSpan w:val="5"/>
            <w:vAlign w:val="center"/>
          </w:tcPr>
          <w:p w14:paraId="017206A2">
            <w:pPr>
              <w:jc w:val="center"/>
              <w:rPr>
                <w:rFonts w:hint="eastAsia" w:ascii="宋体" w:hAnsi="宋体" w:cs="宋体"/>
                <w:highlight w:val="none"/>
              </w:rPr>
            </w:pPr>
          </w:p>
        </w:tc>
        <w:tc>
          <w:tcPr>
            <w:tcW w:w="1961" w:type="dxa"/>
            <w:gridSpan w:val="3"/>
            <w:vAlign w:val="center"/>
          </w:tcPr>
          <w:p w14:paraId="0E752136">
            <w:pPr>
              <w:jc w:val="center"/>
              <w:rPr>
                <w:rFonts w:hint="eastAsia" w:ascii="宋体" w:hAnsi="宋体" w:cs="宋体"/>
                <w:highlight w:val="none"/>
              </w:rPr>
            </w:pPr>
          </w:p>
        </w:tc>
        <w:tc>
          <w:tcPr>
            <w:tcW w:w="1358" w:type="dxa"/>
            <w:vAlign w:val="center"/>
          </w:tcPr>
          <w:p w14:paraId="3E87DC7A">
            <w:pPr>
              <w:jc w:val="center"/>
              <w:rPr>
                <w:rFonts w:hint="eastAsia" w:ascii="宋体" w:hAnsi="宋体" w:cs="宋体"/>
                <w:highlight w:val="none"/>
              </w:rPr>
            </w:pPr>
          </w:p>
        </w:tc>
      </w:tr>
      <w:tr w14:paraId="4F3B2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35" w:type="dxa"/>
            <w:gridSpan w:val="10"/>
            <w:vAlign w:val="center"/>
          </w:tcPr>
          <w:p w14:paraId="1B9C1E17">
            <w:pPr>
              <w:jc w:val="center"/>
              <w:rPr>
                <w:rFonts w:hint="eastAsia" w:ascii="宋体" w:hAnsi="宋体" w:cs="宋体"/>
                <w:highlight w:val="none"/>
              </w:rPr>
            </w:pPr>
            <w:r>
              <w:rPr>
                <w:rFonts w:hint="eastAsia" w:ascii="宋体" w:hAnsi="宋体" w:cs="宋体"/>
                <w:highlight w:val="none"/>
              </w:rPr>
              <w:t>3.获奖情况（如有）</w:t>
            </w:r>
          </w:p>
        </w:tc>
      </w:tr>
      <w:tr w14:paraId="34C3E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2BB408D7">
            <w:pPr>
              <w:jc w:val="center"/>
              <w:rPr>
                <w:rFonts w:hint="eastAsia" w:ascii="宋体" w:hAnsi="宋体" w:cs="宋体"/>
                <w:highlight w:val="none"/>
              </w:rPr>
            </w:pPr>
          </w:p>
        </w:tc>
      </w:tr>
      <w:tr w14:paraId="2F38D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5A2DEF0E">
            <w:pPr>
              <w:jc w:val="center"/>
              <w:rPr>
                <w:rFonts w:hint="eastAsia" w:ascii="宋体" w:hAnsi="宋体" w:cs="宋体"/>
                <w:highlight w:val="none"/>
              </w:rPr>
            </w:pPr>
            <w:r>
              <w:rPr>
                <w:rFonts w:hint="eastAsia" w:ascii="宋体" w:hAnsi="宋体" w:cs="宋体"/>
                <w:highlight w:val="none"/>
              </w:rPr>
              <w:t>4.目前承担的任务</w:t>
            </w:r>
          </w:p>
        </w:tc>
      </w:tr>
      <w:tr w14:paraId="27F67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31ABD426">
            <w:pPr>
              <w:jc w:val="center"/>
              <w:rPr>
                <w:rFonts w:hint="eastAsia" w:ascii="宋体" w:hAnsi="宋体" w:cs="宋体"/>
                <w:highlight w:val="none"/>
              </w:rPr>
            </w:pPr>
          </w:p>
        </w:tc>
      </w:tr>
    </w:tbl>
    <w:p w14:paraId="362E5E6E">
      <w:pPr>
        <w:wordWrap w:val="0"/>
        <w:adjustRightInd w:val="0"/>
        <w:snapToGrid w:val="0"/>
        <w:spacing w:line="440" w:lineRule="exact"/>
        <w:rPr>
          <w:rFonts w:hint="eastAsia" w:ascii="宋体" w:hAnsi="宋体" w:cs="宋体"/>
          <w:snapToGrid w:val="0"/>
          <w:kern w:val="0"/>
          <w:szCs w:val="28"/>
          <w:highlight w:val="none"/>
        </w:rPr>
      </w:pPr>
      <w:r>
        <w:rPr>
          <w:rFonts w:hint="eastAsia" w:ascii="宋体" w:hAnsi="宋体" w:cs="宋体"/>
          <w:szCs w:val="24"/>
          <w:highlight w:val="none"/>
        </w:rPr>
        <w:t>注：本表不够时自制</w:t>
      </w:r>
    </w:p>
    <w:p w14:paraId="2BE96553">
      <w:pPr>
        <w:wordWrap w:val="0"/>
        <w:adjustRightInd w:val="0"/>
        <w:snapToGrid w:val="0"/>
        <w:spacing w:line="400" w:lineRule="exact"/>
        <w:rPr>
          <w:rFonts w:hint="eastAsia" w:ascii="宋体" w:hAnsi="宋体" w:cs="宋体"/>
          <w:snapToGrid w:val="0"/>
          <w:kern w:val="0"/>
          <w:szCs w:val="28"/>
          <w:highlight w:val="none"/>
        </w:rPr>
      </w:pPr>
      <w:r>
        <w:rPr>
          <w:rFonts w:hint="eastAsia" w:ascii="宋体" w:hAnsi="宋体" w:cs="宋体"/>
          <w:snapToGrid w:val="0"/>
          <w:kern w:val="0"/>
          <w:szCs w:val="28"/>
          <w:highlight w:val="none"/>
        </w:rPr>
        <w:t>说明：《设计负责人简历表》后应附拟派设计负责人以下资料：</w:t>
      </w:r>
    </w:p>
    <w:p w14:paraId="33E0DFF1">
      <w:pPr>
        <w:wordWrap w:val="0"/>
        <w:adjustRightInd w:val="0"/>
        <w:snapToGrid w:val="0"/>
        <w:spacing w:line="400" w:lineRule="exact"/>
        <w:rPr>
          <w:rFonts w:hint="eastAsia" w:ascii="宋体" w:hAnsi="宋体" w:cs="宋体"/>
          <w:snapToGrid w:val="0"/>
          <w:kern w:val="0"/>
          <w:szCs w:val="28"/>
          <w:highlight w:val="none"/>
        </w:rPr>
      </w:pPr>
      <w:r>
        <w:rPr>
          <w:rFonts w:hint="eastAsia" w:ascii="宋体" w:hAnsi="宋体" w:cs="宋体"/>
          <w:snapToGrid w:val="0"/>
          <w:kern w:val="0"/>
          <w:szCs w:val="28"/>
          <w:highlight w:val="none"/>
        </w:rPr>
        <w:t xml:space="preserve">    1．身份证</w:t>
      </w:r>
      <w:r>
        <w:rPr>
          <w:rFonts w:hint="eastAsia" w:ascii="宋体" w:hAnsi="宋体" w:cs="宋体"/>
          <w:snapToGrid w:val="0"/>
          <w:kern w:val="0"/>
          <w:szCs w:val="21"/>
          <w:highlight w:val="none"/>
        </w:rPr>
        <w:t>彩色扫描件</w:t>
      </w:r>
      <w:r>
        <w:rPr>
          <w:rFonts w:hint="eastAsia" w:ascii="宋体" w:hAnsi="宋体" w:cs="宋体"/>
          <w:snapToGrid w:val="0"/>
          <w:kern w:val="0"/>
          <w:szCs w:val="28"/>
          <w:highlight w:val="none"/>
        </w:rPr>
        <w:t>；</w:t>
      </w:r>
    </w:p>
    <w:p w14:paraId="54FC02A2">
      <w:pPr>
        <w:wordWrap w:val="0"/>
        <w:adjustRightInd w:val="0"/>
        <w:snapToGrid w:val="0"/>
        <w:spacing w:line="400" w:lineRule="exact"/>
        <w:rPr>
          <w:rFonts w:hint="eastAsia" w:ascii="宋体" w:hAnsi="宋体" w:cs="宋体"/>
          <w:snapToGrid w:val="0"/>
          <w:kern w:val="0"/>
          <w:szCs w:val="28"/>
          <w:highlight w:val="none"/>
        </w:rPr>
      </w:pPr>
      <w:r>
        <w:rPr>
          <w:rFonts w:hint="eastAsia" w:ascii="宋体" w:hAnsi="宋体" w:cs="宋体"/>
          <w:snapToGrid w:val="0"/>
          <w:kern w:val="0"/>
          <w:szCs w:val="28"/>
          <w:highlight w:val="none"/>
        </w:rPr>
        <w:t xml:space="preserve">    2．注册证书（如需）、职称证（如需）</w:t>
      </w:r>
      <w:r>
        <w:rPr>
          <w:rFonts w:hint="eastAsia" w:ascii="宋体" w:hAnsi="宋体" w:cs="宋体"/>
          <w:snapToGrid w:val="0"/>
          <w:kern w:val="0"/>
          <w:szCs w:val="21"/>
          <w:highlight w:val="none"/>
        </w:rPr>
        <w:t>彩色扫描件（须扫描至变更注册栏，电子</w:t>
      </w:r>
      <w:r>
        <w:rPr>
          <w:rFonts w:hint="eastAsia" w:ascii="宋体" w:hAnsi="宋体" w:cs="宋体"/>
          <w:snapToGrid w:val="0"/>
          <w:kern w:val="0"/>
          <w:szCs w:val="28"/>
          <w:highlight w:val="none"/>
        </w:rPr>
        <w:t>证书除外</w:t>
      </w:r>
      <w:r>
        <w:rPr>
          <w:rFonts w:hint="eastAsia" w:ascii="宋体" w:hAnsi="宋体" w:cs="宋体"/>
          <w:snapToGrid w:val="0"/>
          <w:kern w:val="0"/>
          <w:szCs w:val="21"/>
          <w:highlight w:val="none"/>
        </w:rPr>
        <w:t>）</w:t>
      </w:r>
      <w:r>
        <w:rPr>
          <w:rFonts w:hint="eastAsia" w:ascii="宋体" w:hAnsi="宋体" w:cs="宋体"/>
          <w:snapToGrid w:val="0"/>
          <w:kern w:val="0"/>
          <w:szCs w:val="28"/>
          <w:highlight w:val="none"/>
        </w:rPr>
        <w:t>；</w:t>
      </w:r>
    </w:p>
    <w:p w14:paraId="62FDD1C6">
      <w:pPr>
        <w:wordWrap w:val="0"/>
        <w:adjustRightInd w:val="0"/>
        <w:snapToGrid w:val="0"/>
        <w:spacing w:line="400" w:lineRule="exact"/>
        <w:ind w:firstLine="420" w:firstLineChars="200"/>
        <w:rPr>
          <w:rFonts w:hint="eastAsia" w:ascii="宋体" w:hAnsi="宋体" w:cs="宋体"/>
          <w:snapToGrid w:val="0"/>
          <w:kern w:val="0"/>
          <w:szCs w:val="28"/>
          <w:highlight w:val="none"/>
        </w:rPr>
      </w:pPr>
      <w:r>
        <w:rPr>
          <w:rFonts w:hint="eastAsia" w:ascii="宋体" w:hAnsi="宋体" w:cs="宋体"/>
          <w:snapToGrid w:val="0"/>
          <w:kern w:val="0"/>
          <w:szCs w:val="28"/>
          <w:highlight w:val="none"/>
        </w:rPr>
        <w:t>3．提供近</w:t>
      </w:r>
      <w:r>
        <w:rPr>
          <w:rFonts w:hint="eastAsia" w:ascii="宋体" w:hAnsi="宋体" w:cs="宋体"/>
          <w:snapToGrid w:val="0"/>
          <w:kern w:val="0"/>
          <w:szCs w:val="28"/>
          <w:highlight w:val="none"/>
          <w:lang w:val="en-US" w:eastAsia="zh-CN"/>
        </w:rPr>
        <w:t>6</w:t>
      </w:r>
      <w:r>
        <w:rPr>
          <w:rFonts w:hint="eastAsia" w:ascii="宋体" w:hAnsi="宋体" w:cs="宋体"/>
          <w:snapToGrid w:val="0"/>
          <w:kern w:val="0"/>
          <w:szCs w:val="28"/>
          <w:highlight w:val="none"/>
        </w:rPr>
        <w:t>个月（其中必须有2024年10月）的社保证明（非独立法人分支机构出具社保，予以认可）</w:t>
      </w:r>
      <w:r>
        <w:rPr>
          <w:rFonts w:hint="eastAsia" w:ascii="宋体" w:hAnsi="宋体" w:cs="宋体"/>
          <w:snapToGrid w:val="0"/>
          <w:kern w:val="0"/>
          <w:szCs w:val="21"/>
          <w:highlight w:val="none"/>
        </w:rPr>
        <w:t>彩色扫描件</w:t>
      </w:r>
      <w:r>
        <w:rPr>
          <w:rFonts w:hint="eastAsia" w:ascii="宋体" w:hAnsi="宋体" w:cs="宋体"/>
          <w:snapToGrid w:val="0"/>
          <w:kern w:val="0"/>
          <w:szCs w:val="28"/>
          <w:highlight w:val="none"/>
        </w:rPr>
        <w:t>；拟派设计负责人为退休返聘人员无法提供社保证明的，提供退休证(附返聘证明）</w:t>
      </w:r>
      <w:r>
        <w:rPr>
          <w:rFonts w:hint="eastAsia" w:ascii="宋体" w:hAnsi="宋体" w:cs="宋体"/>
          <w:snapToGrid w:val="0"/>
          <w:kern w:val="0"/>
          <w:szCs w:val="21"/>
          <w:highlight w:val="none"/>
        </w:rPr>
        <w:t>彩色扫描件</w:t>
      </w:r>
      <w:r>
        <w:rPr>
          <w:rFonts w:hint="eastAsia" w:ascii="宋体" w:hAnsi="宋体" w:cs="宋体"/>
          <w:snapToGrid w:val="0"/>
          <w:kern w:val="0"/>
          <w:szCs w:val="28"/>
          <w:highlight w:val="none"/>
        </w:rPr>
        <w:t>；</w:t>
      </w:r>
    </w:p>
    <w:p w14:paraId="3E65795D">
      <w:pPr>
        <w:wordWrap w:val="0"/>
        <w:adjustRightInd w:val="0"/>
        <w:snapToGrid w:val="0"/>
        <w:spacing w:line="400" w:lineRule="exact"/>
        <w:ind w:firstLine="420" w:firstLineChars="200"/>
        <w:rPr>
          <w:rFonts w:hint="eastAsia" w:ascii="宋体" w:hAnsi="宋体" w:cs="宋体"/>
          <w:snapToGrid w:val="0"/>
          <w:kern w:val="0"/>
          <w:szCs w:val="28"/>
          <w:highlight w:val="none"/>
        </w:rPr>
      </w:pPr>
      <w:r>
        <w:rPr>
          <w:rFonts w:hint="eastAsia" w:ascii="宋体" w:hAnsi="宋体" w:cs="宋体"/>
          <w:snapToGrid w:val="0"/>
          <w:kern w:val="0"/>
          <w:szCs w:val="28"/>
          <w:highlight w:val="none"/>
        </w:rPr>
        <w:t>4．所实施的工程业绩证明材料和获得的荣誉证书（如有）</w:t>
      </w:r>
      <w:r>
        <w:rPr>
          <w:rFonts w:hint="eastAsia" w:ascii="宋体" w:hAnsi="宋体" w:cs="宋体"/>
          <w:snapToGrid w:val="0"/>
          <w:kern w:val="0"/>
          <w:szCs w:val="21"/>
          <w:highlight w:val="none"/>
        </w:rPr>
        <w:t>彩色扫描件</w:t>
      </w:r>
      <w:r>
        <w:rPr>
          <w:rFonts w:hint="eastAsia" w:ascii="宋体" w:hAnsi="宋体" w:cs="宋体"/>
          <w:snapToGrid w:val="0"/>
          <w:kern w:val="0"/>
          <w:szCs w:val="28"/>
          <w:highlight w:val="none"/>
        </w:rPr>
        <w:t>；</w:t>
      </w:r>
    </w:p>
    <w:p w14:paraId="55EDB5DB">
      <w:pPr>
        <w:wordWrap w:val="0"/>
        <w:adjustRightInd w:val="0"/>
        <w:snapToGrid w:val="0"/>
        <w:spacing w:line="440" w:lineRule="exact"/>
        <w:ind w:firstLine="420" w:firstLineChars="200"/>
        <w:jc w:val="left"/>
        <w:outlineLvl w:val="2"/>
        <w:rPr>
          <w:rFonts w:hint="eastAsia" w:ascii="宋体" w:hAnsi="宋体" w:cs="宋体"/>
          <w:b/>
          <w:snapToGrid w:val="0"/>
          <w:kern w:val="0"/>
          <w:sz w:val="24"/>
          <w:szCs w:val="22"/>
          <w:highlight w:val="none"/>
        </w:rPr>
      </w:pPr>
      <w:r>
        <w:rPr>
          <w:rFonts w:hint="eastAsia" w:ascii="宋体" w:hAnsi="宋体" w:cs="宋体"/>
          <w:snapToGrid w:val="0"/>
          <w:kern w:val="0"/>
          <w:szCs w:val="28"/>
          <w:highlight w:val="none"/>
        </w:rPr>
        <w:t>5.“进粤企业和人员诚信信息登记平台”个人信息情况截图。（适用于省外建筑企业）。</w:t>
      </w:r>
      <w:r>
        <w:rPr>
          <w:rFonts w:hint="eastAsia" w:ascii="宋体" w:hAnsi="宋体" w:cs="宋体"/>
          <w:b/>
          <w:snapToGrid w:val="0"/>
          <w:kern w:val="0"/>
          <w:sz w:val="24"/>
          <w:szCs w:val="22"/>
          <w:highlight w:val="none"/>
        </w:rPr>
        <w:br w:type="page"/>
      </w:r>
    </w:p>
    <w:p w14:paraId="1B6680EE">
      <w:pPr>
        <w:wordWrap w:val="0"/>
        <w:adjustRightInd w:val="0"/>
        <w:snapToGrid w:val="0"/>
        <w:spacing w:line="400" w:lineRule="exact"/>
        <w:ind w:firstLine="482" w:firstLineChars="200"/>
        <w:rPr>
          <w:rStyle w:val="68"/>
          <w:rFonts w:hint="eastAsia" w:ascii="宋体" w:hAnsi="宋体" w:cs="宋体"/>
          <w:highlight w:val="none"/>
        </w:rPr>
      </w:pPr>
      <w:r>
        <w:rPr>
          <w:rFonts w:hint="eastAsia" w:ascii="宋体" w:hAnsi="宋体" w:cs="宋体"/>
          <w:b/>
          <w:snapToGrid w:val="0"/>
          <w:sz w:val="24"/>
          <w:szCs w:val="22"/>
          <w:highlight w:val="none"/>
        </w:rPr>
        <w:t xml:space="preserve">格式七 </w:t>
      </w:r>
      <w:r>
        <w:rPr>
          <w:rStyle w:val="68"/>
          <w:rFonts w:hint="eastAsia" w:ascii="宋体" w:hAnsi="宋体" w:cs="宋体"/>
          <w:b/>
          <w:bCs/>
          <w:sz w:val="24"/>
          <w:highlight w:val="none"/>
        </w:rPr>
        <w:t>本项目拟投入的人员基本情况表</w:t>
      </w:r>
      <w:bookmarkEnd w:id="353"/>
    </w:p>
    <w:p w14:paraId="466CF34B">
      <w:pPr>
        <w:wordWrap w:val="0"/>
        <w:adjustRightInd w:val="0"/>
        <w:snapToGrid w:val="0"/>
        <w:spacing w:line="440" w:lineRule="exact"/>
        <w:jc w:val="left"/>
        <w:rPr>
          <w:rFonts w:hint="eastAsia" w:ascii="宋体" w:hAnsi="宋体" w:cs="宋体"/>
          <w:b/>
          <w:bCs/>
          <w:snapToGrid w:val="0"/>
          <w:kern w:val="0"/>
          <w:szCs w:val="24"/>
          <w:highlight w:val="none"/>
        </w:rPr>
      </w:pPr>
    </w:p>
    <w:p w14:paraId="5CBE4D00">
      <w:pPr>
        <w:wordWrap w:val="0"/>
        <w:adjustRightInd w:val="0"/>
        <w:snapToGrid w:val="0"/>
        <w:spacing w:line="440" w:lineRule="exact"/>
        <w:ind w:firstLine="570"/>
        <w:jc w:val="center"/>
        <w:rPr>
          <w:rFonts w:hint="eastAsia" w:ascii="宋体" w:hAnsi="宋体" w:cs="宋体"/>
          <w:snapToGrid w:val="0"/>
          <w:kern w:val="0"/>
          <w:szCs w:val="28"/>
          <w:highlight w:val="none"/>
        </w:rPr>
      </w:pPr>
      <w:r>
        <w:rPr>
          <w:rFonts w:hint="eastAsia" w:ascii="宋体" w:hAnsi="宋体" w:cs="宋体"/>
          <w:b/>
          <w:snapToGrid w:val="0"/>
          <w:kern w:val="0"/>
          <w:sz w:val="30"/>
          <w:highlight w:val="none"/>
        </w:rPr>
        <w:t>本项目拟投入的人员基本情况表</w:t>
      </w:r>
    </w:p>
    <w:p w14:paraId="0B9CE127">
      <w:pPr>
        <w:pStyle w:val="120"/>
        <w:wordWrap w:val="0"/>
        <w:adjustRightInd w:val="0"/>
        <w:snapToGrid w:val="0"/>
        <w:spacing w:line="440" w:lineRule="exact"/>
        <w:jc w:val="right"/>
        <w:rPr>
          <w:rFonts w:hint="eastAsia" w:ascii="宋体" w:hAnsi="宋体" w:eastAsia="宋体" w:cs="宋体"/>
          <w:snapToGrid w:val="0"/>
          <w:kern w:val="0"/>
          <w:highlight w:val="none"/>
        </w:rPr>
      </w:pPr>
    </w:p>
    <w:tbl>
      <w:tblPr>
        <w:tblStyle w:val="33"/>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1407"/>
        <w:gridCol w:w="1320"/>
        <w:gridCol w:w="3202"/>
      </w:tblGrid>
      <w:tr w14:paraId="31CE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47" w:type="dxa"/>
            <w:vAlign w:val="center"/>
          </w:tcPr>
          <w:p w14:paraId="1C765B14">
            <w:pPr>
              <w:adjustRightInd w:val="0"/>
              <w:snapToGrid w:val="0"/>
              <w:spacing w:line="440" w:lineRule="exact"/>
              <w:jc w:val="center"/>
              <w:rPr>
                <w:rFonts w:hint="eastAsia" w:ascii="宋体" w:hAnsi="宋体" w:cs="宋体"/>
                <w:highlight w:val="none"/>
              </w:rPr>
            </w:pPr>
            <w:r>
              <w:rPr>
                <w:rFonts w:hint="eastAsia" w:ascii="宋体" w:hAnsi="宋体" w:cs="宋体"/>
                <w:highlight w:val="none"/>
              </w:rPr>
              <w:t>人员安排</w:t>
            </w:r>
          </w:p>
        </w:tc>
        <w:tc>
          <w:tcPr>
            <w:tcW w:w="1407" w:type="dxa"/>
            <w:vAlign w:val="center"/>
          </w:tcPr>
          <w:p w14:paraId="0390D3CE">
            <w:pPr>
              <w:adjustRightInd w:val="0"/>
              <w:snapToGrid w:val="0"/>
              <w:spacing w:line="440" w:lineRule="exact"/>
              <w:jc w:val="center"/>
              <w:rPr>
                <w:rFonts w:hint="eastAsia" w:ascii="宋体" w:hAnsi="宋体" w:cs="宋体"/>
                <w:highlight w:val="none"/>
              </w:rPr>
            </w:pPr>
            <w:r>
              <w:rPr>
                <w:rFonts w:hint="eastAsia" w:ascii="宋体" w:hAnsi="宋体" w:cs="宋体"/>
                <w:highlight w:val="none"/>
              </w:rPr>
              <w:t>姓 名</w:t>
            </w:r>
          </w:p>
        </w:tc>
        <w:tc>
          <w:tcPr>
            <w:tcW w:w="1320" w:type="dxa"/>
            <w:vAlign w:val="center"/>
          </w:tcPr>
          <w:p w14:paraId="661A2887">
            <w:pPr>
              <w:adjustRightInd w:val="0"/>
              <w:snapToGrid w:val="0"/>
              <w:spacing w:line="440" w:lineRule="exact"/>
              <w:jc w:val="center"/>
              <w:rPr>
                <w:rFonts w:hint="eastAsia" w:ascii="宋体" w:hAnsi="宋体" w:cs="宋体"/>
                <w:highlight w:val="none"/>
              </w:rPr>
            </w:pPr>
            <w:r>
              <w:rPr>
                <w:rFonts w:hint="eastAsia" w:ascii="宋体" w:hAnsi="宋体" w:cs="宋体"/>
                <w:highlight w:val="none"/>
              </w:rPr>
              <w:t>年 龄</w:t>
            </w:r>
          </w:p>
        </w:tc>
        <w:tc>
          <w:tcPr>
            <w:tcW w:w="3202" w:type="dxa"/>
            <w:vAlign w:val="center"/>
          </w:tcPr>
          <w:p w14:paraId="1491A0B5">
            <w:pPr>
              <w:adjustRightInd w:val="0"/>
              <w:snapToGrid w:val="0"/>
              <w:spacing w:line="440" w:lineRule="exact"/>
              <w:jc w:val="center"/>
              <w:rPr>
                <w:rFonts w:hint="eastAsia" w:ascii="宋体" w:hAnsi="宋体" w:cs="宋体"/>
                <w:highlight w:val="none"/>
              </w:rPr>
            </w:pPr>
            <w:r>
              <w:rPr>
                <w:rFonts w:hint="eastAsia" w:ascii="宋体" w:hAnsi="宋体" w:cs="宋体"/>
                <w:highlight w:val="none"/>
              </w:rPr>
              <w:t>职称证或注册执业专业</w:t>
            </w:r>
          </w:p>
        </w:tc>
      </w:tr>
      <w:tr w14:paraId="0A55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6BA0ACBE">
            <w:pPr>
              <w:adjustRightInd w:val="0"/>
              <w:snapToGrid w:val="0"/>
              <w:spacing w:line="440" w:lineRule="exact"/>
              <w:rPr>
                <w:rFonts w:hint="eastAsia" w:ascii="宋体" w:hAnsi="宋体" w:cs="宋体"/>
                <w:b/>
                <w:highlight w:val="none"/>
              </w:rPr>
            </w:pPr>
            <w:r>
              <w:rPr>
                <w:rFonts w:hint="eastAsia" w:ascii="宋体" w:hAnsi="宋体" w:cs="宋体"/>
                <w:b/>
                <w:highlight w:val="none"/>
              </w:rPr>
              <w:t>设计负责人</w:t>
            </w:r>
          </w:p>
        </w:tc>
        <w:tc>
          <w:tcPr>
            <w:tcW w:w="1407" w:type="dxa"/>
            <w:vAlign w:val="center"/>
          </w:tcPr>
          <w:p w14:paraId="0E0FD65C">
            <w:pPr>
              <w:adjustRightInd w:val="0"/>
              <w:snapToGrid w:val="0"/>
              <w:spacing w:line="440" w:lineRule="exact"/>
              <w:rPr>
                <w:rFonts w:hint="eastAsia" w:ascii="宋体" w:hAnsi="宋体" w:cs="宋体"/>
                <w:highlight w:val="none"/>
              </w:rPr>
            </w:pPr>
          </w:p>
        </w:tc>
        <w:tc>
          <w:tcPr>
            <w:tcW w:w="1320" w:type="dxa"/>
          </w:tcPr>
          <w:p w14:paraId="109F391A">
            <w:pPr>
              <w:adjustRightInd w:val="0"/>
              <w:snapToGrid w:val="0"/>
              <w:spacing w:line="440" w:lineRule="exact"/>
              <w:rPr>
                <w:rFonts w:hint="eastAsia" w:ascii="宋体" w:hAnsi="宋体" w:cs="宋体"/>
                <w:highlight w:val="none"/>
              </w:rPr>
            </w:pPr>
          </w:p>
        </w:tc>
        <w:tc>
          <w:tcPr>
            <w:tcW w:w="3202" w:type="dxa"/>
            <w:vAlign w:val="center"/>
          </w:tcPr>
          <w:p w14:paraId="475E5E55">
            <w:pPr>
              <w:adjustRightInd w:val="0"/>
              <w:snapToGrid w:val="0"/>
              <w:spacing w:line="440" w:lineRule="exact"/>
              <w:rPr>
                <w:rFonts w:hint="eastAsia" w:ascii="宋体" w:hAnsi="宋体" w:cs="宋体"/>
                <w:highlight w:val="none"/>
              </w:rPr>
            </w:pPr>
          </w:p>
        </w:tc>
      </w:tr>
      <w:tr w14:paraId="19B4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13B78D3B">
            <w:pPr>
              <w:adjustRightInd w:val="0"/>
              <w:snapToGrid w:val="0"/>
              <w:spacing w:line="440" w:lineRule="exact"/>
              <w:rPr>
                <w:rFonts w:hint="eastAsia" w:ascii="宋体" w:hAnsi="宋体" w:cs="宋体"/>
                <w:b/>
                <w:highlight w:val="none"/>
              </w:rPr>
            </w:pPr>
            <w:r>
              <w:rPr>
                <w:rFonts w:hint="eastAsia" w:ascii="宋体" w:hAnsi="宋体" w:cs="宋体"/>
                <w:b/>
                <w:highlight w:val="none"/>
              </w:rPr>
              <w:t>....各专业负责人</w:t>
            </w:r>
          </w:p>
        </w:tc>
        <w:tc>
          <w:tcPr>
            <w:tcW w:w="1407" w:type="dxa"/>
            <w:vAlign w:val="center"/>
          </w:tcPr>
          <w:p w14:paraId="03B1BD9F">
            <w:pPr>
              <w:adjustRightInd w:val="0"/>
              <w:snapToGrid w:val="0"/>
              <w:spacing w:line="440" w:lineRule="exact"/>
              <w:rPr>
                <w:rFonts w:hint="eastAsia" w:ascii="宋体" w:hAnsi="宋体" w:cs="宋体"/>
                <w:highlight w:val="none"/>
              </w:rPr>
            </w:pPr>
          </w:p>
        </w:tc>
        <w:tc>
          <w:tcPr>
            <w:tcW w:w="1320" w:type="dxa"/>
          </w:tcPr>
          <w:p w14:paraId="54C41E2E">
            <w:pPr>
              <w:adjustRightInd w:val="0"/>
              <w:snapToGrid w:val="0"/>
              <w:spacing w:line="440" w:lineRule="exact"/>
              <w:rPr>
                <w:rFonts w:hint="eastAsia" w:ascii="宋体" w:hAnsi="宋体" w:cs="宋体"/>
                <w:highlight w:val="none"/>
              </w:rPr>
            </w:pPr>
          </w:p>
        </w:tc>
        <w:tc>
          <w:tcPr>
            <w:tcW w:w="3202" w:type="dxa"/>
            <w:vAlign w:val="center"/>
          </w:tcPr>
          <w:p w14:paraId="02C6A501">
            <w:pPr>
              <w:adjustRightInd w:val="0"/>
              <w:snapToGrid w:val="0"/>
              <w:spacing w:line="440" w:lineRule="exact"/>
              <w:rPr>
                <w:rFonts w:hint="eastAsia" w:ascii="宋体" w:hAnsi="宋体" w:cs="宋体"/>
                <w:highlight w:val="none"/>
              </w:rPr>
            </w:pPr>
          </w:p>
        </w:tc>
      </w:tr>
      <w:tr w14:paraId="072D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2247" w:type="dxa"/>
            <w:vAlign w:val="center"/>
          </w:tcPr>
          <w:p w14:paraId="472153ED">
            <w:pPr>
              <w:adjustRightInd w:val="0"/>
              <w:snapToGrid w:val="0"/>
              <w:spacing w:line="440" w:lineRule="exact"/>
              <w:rPr>
                <w:rFonts w:hint="eastAsia" w:ascii="宋体" w:hAnsi="宋体" w:cs="宋体"/>
                <w:b/>
                <w:highlight w:val="none"/>
              </w:rPr>
            </w:pPr>
          </w:p>
        </w:tc>
        <w:tc>
          <w:tcPr>
            <w:tcW w:w="1407" w:type="dxa"/>
            <w:vAlign w:val="center"/>
          </w:tcPr>
          <w:p w14:paraId="649D9292">
            <w:pPr>
              <w:adjustRightInd w:val="0"/>
              <w:snapToGrid w:val="0"/>
              <w:spacing w:line="440" w:lineRule="exact"/>
              <w:rPr>
                <w:rFonts w:hint="eastAsia" w:ascii="宋体" w:hAnsi="宋体" w:cs="宋体"/>
                <w:highlight w:val="none"/>
              </w:rPr>
            </w:pPr>
          </w:p>
        </w:tc>
        <w:tc>
          <w:tcPr>
            <w:tcW w:w="1320" w:type="dxa"/>
          </w:tcPr>
          <w:p w14:paraId="0C0CE553">
            <w:pPr>
              <w:adjustRightInd w:val="0"/>
              <w:snapToGrid w:val="0"/>
              <w:spacing w:line="440" w:lineRule="exact"/>
              <w:rPr>
                <w:rFonts w:hint="eastAsia" w:ascii="宋体" w:hAnsi="宋体" w:cs="宋体"/>
                <w:highlight w:val="none"/>
              </w:rPr>
            </w:pPr>
          </w:p>
        </w:tc>
        <w:tc>
          <w:tcPr>
            <w:tcW w:w="3202" w:type="dxa"/>
            <w:vAlign w:val="center"/>
          </w:tcPr>
          <w:p w14:paraId="65C66569">
            <w:pPr>
              <w:adjustRightInd w:val="0"/>
              <w:snapToGrid w:val="0"/>
              <w:spacing w:line="440" w:lineRule="exact"/>
              <w:rPr>
                <w:rFonts w:hint="eastAsia" w:ascii="宋体" w:hAnsi="宋体" w:cs="宋体"/>
                <w:highlight w:val="none"/>
              </w:rPr>
            </w:pPr>
          </w:p>
        </w:tc>
      </w:tr>
      <w:tr w14:paraId="36C4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2247" w:type="dxa"/>
            <w:vAlign w:val="center"/>
          </w:tcPr>
          <w:p w14:paraId="71C383CA">
            <w:pPr>
              <w:adjustRightInd w:val="0"/>
              <w:snapToGrid w:val="0"/>
              <w:spacing w:line="440" w:lineRule="exact"/>
              <w:rPr>
                <w:rFonts w:hint="eastAsia" w:ascii="宋体" w:hAnsi="宋体" w:cs="宋体"/>
                <w:b/>
                <w:highlight w:val="none"/>
              </w:rPr>
            </w:pPr>
          </w:p>
        </w:tc>
        <w:tc>
          <w:tcPr>
            <w:tcW w:w="1407" w:type="dxa"/>
            <w:vAlign w:val="center"/>
          </w:tcPr>
          <w:p w14:paraId="74A3D829">
            <w:pPr>
              <w:adjustRightInd w:val="0"/>
              <w:snapToGrid w:val="0"/>
              <w:spacing w:line="440" w:lineRule="exact"/>
              <w:rPr>
                <w:rFonts w:hint="eastAsia" w:ascii="宋体" w:hAnsi="宋体" w:cs="宋体"/>
                <w:highlight w:val="none"/>
              </w:rPr>
            </w:pPr>
          </w:p>
        </w:tc>
        <w:tc>
          <w:tcPr>
            <w:tcW w:w="1320" w:type="dxa"/>
          </w:tcPr>
          <w:p w14:paraId="4CA89FCB">
            <w:pPr>
              <w:adjustRightInd w:val="0"/>
              <w:snapToGrid w:val="0"/>
              <w:spacing w:line="440" w:lineRule="exact"/>
              <w:rPr>
                <w:rFonts w:hint="eastAsia" w:ascii="宋体" w:hAnsi="宋体" w:cs="宋体"/>
                <w:highlight w:val="none"/>
              </w:rPr>
            </w:pPr>
          </w:p>
        </w:tc>
        <w:tc>
          <w:tcPr>
            <w:tcW w:w="3202" w:type="dxa"/>
            <w:vAlign w:val="center"/>
          </w:tcPr>
          <w:p w14:paraId="7C07152B">
            <w:pPr>
              <w:adjustRightInd w:val="0"/>
              <w:snapToGrid w:val="0"/>
              <w:spacing w:line="440" w:lineRule="exact"/>
              <w:rPr>
                <w:rFonts w:hint="eastAsia" w:ascii="宋体" w:hAnsi="宋体" w:cs="宋体"/>
                <w:highlight w:val="none"/>
              </w:rPr>
            </w:pPr>
          </w:p>
        </w:tc>
      </w:tr>
      <w:tr w14:paraId="504A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1CD0866E">
            <w:pPr>
              <w:adjustRightInd w:val="0"/>
              <w:snapToGrid w:val="0"/>
              <w:spacing w:line="440" w:lineRule="exact"/>
              <w:rPr>
                <w:rFonts w:hint="eastAsia" w:ascii="宋体" w:hAnsi="宋体" w:cs="宋体"/>
                <w:b/>
                <w:highlight w:val="none"/>
              </w:rPr>
            </w:pPr>
          </w:p>
        </w:tc>
        <w:tc>
          <w:tcPr>
            <w:tcW w:w="1407" w:type="dxa"/>
            <w:vAlign w:val="center"/>
          </w:tcPr>
          <w:p w14:paraId="06C1F857">
            <w:pPr>
              <w:adjustRightInd w:val="0"/>
              <w:snapToGrid w:val="0"/>
              <w:spacing w:line="440" w:lineRule="exact"/>
              <w:rPr>
                <w:rFonts w:hint="eastAsia" w:ascii="宋体" w:hAnsi="宋体" w:cs="宋体"/>
                <w:highlight w:val="none"/>
              </w:rPr>
            </w:pPr>
          </w:p>
        </w:tc>
        <w:tc>
          <w:tcPr>
            <w:tcW w:w="1320" w:type="dxa"/>
          </w:tcPr>
          <w:p w14:paraId="5A60D4EE">
            <w:pPr>
              <w:adjustRightInd w:val="0"/>
              <w:snapToGrid w:val="0"/>
              <w:spacing w:line="440" w:lineRule="exact"/>
              <w:rPr>
                <w:rFonts w:hint="eastAsia" w:ascii="宋体" w:hAnsi="宋体" w:cs="宋体"/>
                <w:highlight w:val="none"/>
              </w:rPr>
            </w:pPr>
          </w:p>
        </w:tc>
        <w:tc>
          <w:tcPr>
            <w:tcW w:w="3202" w:type="dxa"/>
            <w:vAlign w:val="center"/>
          </w:tcPr>
          <w:p w14:paraId="4FD5988F">
            <w:pPr>
              <w:adjustRightInd w:val="0"/>
              <w:snapToGrid w:val="0"/>
              <w:spacing w:line="440" w:lineRule="exact"/>
              <w:rPr>
                <w:rFonts w:hint="eastAsia" w:ascii="宋体" w:hAnsi="宋体" w:cs="宋体"/>
                <w:highlight w:val="none"/>
              </w:rPr>
            </w:pPr>
          </w:p>
        </w:tc>
      </w:tr>
      <w:tr w14:paraId="7703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56402C9B">
            <w:pPr>
              <w:adjustRightInd w:val="0"/>
              <w:snapToGrid w:val="0"/>
              <w:spacing w:line="440" w:lineRule="exact"/>
              <w:rPr>
                <w:rFonts w:hint="eastAsia" w:ascii="宋体" w:hAnsi="宋体" w:cs="宋体"/>
                <w:b/>
                <w:highlight w:val="none"/>
              </w:rPr>
            </w:pPr>
          </w:p>
        </w:tc>
        <w:tc>
          <w:tcPr>
            <w:tcW w:w="1407" w:type="dxa"/>
            <w:vAlign w:val="center"/>
          </w:tcPr>
          <w:p w14:paraId="76FC091A">
            <w:pPr>
              <w:adjustRightInd w:val="0"/>
              <w:snapToGrid w:val="0"/>
              <w:spacing w:line="440" w:lineRule="exact"/>
              <w:rPr>
                <w:rFonts w:hint="eastAsia" w:ascii="宋体" w:hAnsi="宋体" w:cs="宋体"/>
                <w:highlight w:val="none"/>
              </w:rPr>
            </w:pPr>
          </w:p>
        </w:tc>
        <w:tc>
          <w:tcPr>
            <w:tcW w:w="1320" w:type="dxa"/>
          </w:tcPr>
          <w:p w14:paraId="3DF61FA2">
            <w:pPr>
              <w:adjustRightInd w:val="0"/>
              <w:snapToGrid w:val="0"/>
              <w:spacing w:line="440" w:lineRule="exact"/>
              <w:rPr>
                <w:rFonts w:hint="eastAsia" w:ascii="宋体" w:hAnsi="宋体" w:cs="宋体"/>
                <w:highlight w:val="none"/>
              </w:rPr>
            </w:pPr>
          </w:p>
        </w:tc>
        <w:tc>
          <w:tcPr>
            <w:tcW w:w="3202" w:type="dxa"/>
            <w:vAlign w:val="center"/>
          </w:tcPr>
          <w:p w14:paraId="262866FD">
            <w:pPr>
              <w:adjustRightInd w:val="0"/>
              <w:snapToGrid w:val="0"/>
              <w:spacing w:line="440" w:lineRule="exact"/>
              <w:rPr>
                <w:rFonts w:hint="eastAsia" w:ascii="宋体" w:hAnsi="宋体" w:cs="宋体"/>
                <w:highlight w:val="none"/>
              </w:rPr>
            </w:pPr>
          </w:p>
        </w:tc>
      </w:tr>
      <w:tr w14:paraId="3896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674DB309">
            <w:pPr>
              <w:adjustRightInd w:val="0"/>
              <w:snapToGrid w:val="0"/>
              <w:spacing w:line="440" w:lineRule="exact"/>
              <w:rPr>
                <w:rFonts w:hint="eastAsia" w:ascii="宋体" w:hAnsi="宋体" w:cs="宋体"/>
                <w:b/>
                <w:highlight w:val="none"/>
              </w:rPr>
            </w:pPr>
          </w:p>
        </w:tc>
        <w:tc>
          <w:tcPr>
            <w:tcW w:w="1407" w:type="dxa"/>
            <w:vAlign w:val="center"/>
          </w:tcPr>
          <w:p w14:paraId="2ADA3F0E">
            <w:pPr>
              <w:adjustRightInd w:val="0"/>
              <w:snapToGrid w:val="0"/>
              <w:spacing w:line="440" w:lineRule="exact"/>
              <w:rPr>
                <w:rFonts w:hint="eastAsia" w:ascii="宋体" w:hAnsi="宋体" w:cs="宋体"/>
                <w:highlight w:val="none"/>
              </w:rPr>
            </w:pPr>
          </w:p>
        </w:tc>
        <w:tc>
          <w:tcPr>
            <w:tcW w:w="1320" w:type="dxa"/>
          </w:tcPr>
          <w:p w14:paraId="11B1CD50">
            <w:pPr>
              <w:adjustRightInd w:val="0"/>
              <w:snapToGrid w:val="0"/>
              <w:spacing w:line="440" w:lineRule="exact"/>
              <w:rPr>
                <w:rFonts w:hint="eastAsia" w:ascii="宋体" w:hAnsi="宋体" w:cs="宋体"/>
                <w:highlight w:val="none"/>
              </w:rPr>
            </w:pPr>
          </w:p>
        </w:tc>
        <w:tc>
          <w:tcPr>
            <w:tcW w:w="3202" w:type="dxa"/>
            <w:vAlign w:val="center"/>
          </w:tcPr>
          <w:p w14:paraId="6D1E25A4">
            <w:pPr>
              <w:adjustRightInd w:val="0"/>
              <w:snapToGrid w:val="0"/>
              <w:spacing w:line="440" w:lineRule="exact"/>
              <w:rPr>
                <w:rFonts w:hint="eastAsia" w:ascii="宋体" w:hAnsi="宋体" w:cs="宋体"/>
                <w:highlight w:val="none"/>
              </w:rPr>
            </w:pPr>
          </w:p>
        </w:tc>
      </w:tr>
    </w:tbl>
    <w:p w14:paraId="10D68A10">
      <w:pPr>
        <w:wordWrap w:val="0"/>
        <w:adjustRightInd w:val="0"/>
        <w:snapToGrid w:val="0"/>
        <w:spacing w:line="400" w:lineRule="exact"/>
        <w:rPr>
          <w:rFonts w:hint="eastAsia" w:ascii="宋体" w:hAnsi="宋体" w:cs="宋体"/>
          <w:snapToGrid w:val="0"/>
          <w:kern w:val="0"/>
          <w:szCs w:val="28"/>
          <w:highlight w:val="none"/>
        </w:rPr>
      </w:pPr>
      <w:r>
        <w:rPr>
          <w:rFonts w:hint="eastAsia" w:ascii="宋体" w:hAnsi="宋体" w:cs="宋体"/>
          <w:snapToGrid w:val="0"/>
          <w:kern w:val="0"/>
          <w:szCs w:val="28"/>
          <w:highlight w:val="none"/>
        </w:rPr>
        <w:t xml:space="preserve">   说明：</w:t>
      </w:r>
    </w:p>
    <w:p w14:paraId="117B507F">
      <w:pPr>
        <w:wordWrap w:val="0"/>
        <w:adjustRightInd w:val="0"/>
        <w:snapToGrid w:val="0"/>
        <w:spacing w:line="400" w:lineRule="exact"/>
        <w:ind w:firstLine="420" w:firstLineChars="200"/>
        <w:rPr>
          <w:rFonts w:hint="eastAsia" w:ascii="宋体" w:hAnsi="宋体" w:cs="宋体"/>
          <w:snapToGrid w:val="0"/>
          <w:kern w:val="0"/>
          <w:szCs w:val="28"/>
          <w:highlight w:val="none"/>
        </w:rPr>
      </w:pPr>
      <w:r>
        <w:rPr>
          <w:rFonts w:hint="eastAsia" w:ascii="宋体" w:hAnsi="宋体" w:cs="宋体"/>
          <w:snapToGrid w:val="0"/>
          <w:kern w:val="0"/>
          <w:szCs w:val="28"/>
          <w:highlight w:val="none"/>
        </w:rPr>
        <w:t>1.《本项目拟投入的人员基本情况表》后应附拟派其他主要人员（设计负责人除外）以下资料：</w:t>
      </w:r>
    </w:p>
    <w:p w14:paraId="42CBD2F5">
      <w:pPr>
        <w:wordWrap w:val="0"/>
        <w:adjustRightInd w:val="0"/>
        <w:snapToGrid w:val="0"/>
        <w:spacing w:line="400" w:lineRule="exact"/>
        <w:ind w:firstLine="478" w:firstLineChars="228"/>
        <w:rPr>
          <w:rFonts w:hint="eastAsia" w:ascii="宋体" w:hAnsi="宋体" w:cs="宋体"/>
          <w:snapToGrid w:val="0"/>
          <w:kern w:val="0"/>
          <w:szCs w:val="28"/>
          <w:highlight w:val="none"/>
        </w:rPr>
      </w:pPr>
      <w:r>
        <w:rPr>
          <w:rFonts w:hint="eastAsia" w:ascii="宋体" w:hAnsi="宋体" w:cs="宋体"/>
          <w:snapToGrid w:val="0"/>
          <w:kern w:val="0"/>
          <w:szCs w:val="28"/>
          <w:highlight w:val="none"/>
        </w:rPr>
        <w:t>（1）身份证</w:t>
      </w:r>
      <w:r>
        <w:rPr>
          <w:rFonts w:hint="eastAsia" w:ascii="宋体" w:hAnsi="宋体" w:cs="宋体"/>
          <w:snapToGrid w:val="0"/>
          <w:kern w:val="0"/>
          <w:szCs w:val="21"/>
          <w:highlight w:val="none"/>
        </w:rPr>
        <w:t>彩色扫描件</w:t>
      </w:r>
      <w:r>
        <w:rPr>
          <w:rFonts w:hint="eastAsia" w:ascii="宋体" w:hAnsi="宋体" w:cs="宋体"/>
          <w:snapToGrid w:val="0"/>
          <w:kern w:val="0"/>
          <w:szCs w:val="28"/>
          <w:highlight w:val="none"/>
        </w:rPr>
        <w:t>；</w:t>
      </w:r>
    </w:p>
    <w:p w14:paraId="2068CB09">
      <w:pPr>
        <w:wordWrap w:val="0"/>
        <w:adjustRightInd w:val="0"/>
        <w:snapToGrid w:val="0"/>
        <w:spacing w:line="400" w:lineRule="exact"/>
        <w:ind w:firstLine="478" w:firstLineChars="228"/>
        <w:rPr>
          <w:rFonts w:hint="eastAsia" w:ascii="宋体" w:hAnsi="宋体" w:cs="宋体"/>
          <w:snapToGrid w:val="0"/>
          <w:kern w:val="0"/>
          <w:szCs w:val="28"/>
          <w:highlight w:val="none"/>
        </w:rPr>
      </w:pPr>
      <w:r>
        <w:rPr>
          <w:rFonts w:hint="eastAsia" w:ascii="宋体" w:hAnsi="宋体" w:cs="宋体"/>
          <w:snapToGrid w:val="0"/>
          <w:kern w:val="0"/>
          <w:szCs w:val="28"/>
          <w:highlight w:val="none"/>
        </w:rPr>
        <w:t>（2）毕业证（如需）、职称证（如需）、注册证书（如需）的</w:t>
      </w:r>
      <w:r>
        <w:rPr>
          <w:rFonts w:hint="eastAsia" w:ascii="宋体" w:hAnsi="宋体" w:cs="宋体"/>
          <w:snapToGrid w:val="0"/>
          <w:kern w:val="0"/>
          <w:szCs w:val="21"/>
          <w:highlight w:val="none"/>
        </w:rPr>
        <w:t>彩色扫描件</w:t>
      </w:r>
      <w:r>
        <w:rPr>
          <w:rFonts w:hint="eastAsia" w:ascii="宋体" w:hAnsi="宋体" w:cs="宋体"/>
          <w:snapToGrid w:val="0"/>
          <w:kern w:val="0"/>
          <w:szCs w:val="28"/>
          <w:highlight w:val="none"/>
        </w:rPr>
        <w:t>（</w:t>
      </w:r>
      <w:r>
        <w:rPr>
          <w:rFonts w:hint="eastAsia" w:ascii="宋体" w:hAnsi="宋体" w:cs="宋体"/>
          <w:snapToGrid w:val="0"/>
          <w:kern w:val="0"/>
          <w:szCs w:val="21"/>
          <w:highlight w:val="none"/>
        </w:rPr>
        <w:t>须扫描至变更注册栏，电子</w:t>
      </w:r>
      <w:r>
        <w:rPr>
          <w:rFonts w:hint="eastAsia" w:ascii="宋体" w:hAnsi="宋体" w:cs="宋体"/>
          <w:snapToGrid w:val="0"/>
          <w:kern w:val="0"/>
          <w:szCs w:val="28"/>
          <w:highlight w:val="none"/>
        </w:rPr>
        <w:t>证书除外）；</w:t>
      </w:r>
    </w:p>
    <w:p w14:paraId="6F41DD6D">
      <w:pPr>
        <w:wordWrap w:val="0"/>
        <w:adjustRightInd w:val="0"/>
        <w:snapToGrid w:val="0"/>
        <w:spacing w:line="400" w:lineRule="exact"/>
        <w:ind w:firstLine="478" w:firstLineChars="228"/>
        <w:rPr>
          <w:rFonts w:hint="eastAsia" w:ascii="宋体" w:hAnsi="宋体" w:cs="宋体"/>
          <w:snapToGrid w:val="0"/>
          <w:kern w:val="0"/>
          <w:szCs w:val="28"/>
          <w:highlight w:val="none"/>
        </w:rPr>
      </w:pPr>
      <w:r>
        <w:rPr>
          <w:rFonts w:hint="eastAsia" w:ascii="宋体" w:hAnsi="宋体" w:cs="宋体"/>
          <w:snapToGrid w:val="0"/>
          <w:kern w:val="0"/>
          <w:szCs w:val="28"/>
          <w:highlight w:val="none"/>
        </w:rPr>
        <w:t>（3）在本单位近</w:t>
      </w:r>
      <w:r>
        <w:rPr>
          <w:rFonts w:hint="eastAsia" w:ascii="宋体" w:hAnsi="宋体" w:cs="宋体"/>
          <w:snapToGrid w:val="0"/>
          <w:kern w:val="0"/>
          <w:szCs w:val="28"/>
          <w:highlight w:val="none"/>
          <w:lang w:val="en-US" w:eastAsia="zh-CN"/>
        </w:rPr>
        <w:t>6</w:t>
      </w:r>
      <w:r>
        <w:rPr>
          <w:rFonts w:hint="eastAsia" w:ascii="宋体" w:hAnsi="宋体" w:cs="宋体"/>
          <w:snapToGrid w:val="0"/>
          <w:kern w:val="0"/>
          <w:szCs w:val="28"/>
          <w:highlight w:val="none"/>
        </w:rPr>
        <w:t>个月（其中必须有2024年10月）的社保证明（非独立法人分支机构出具社保，予以认可）</w:t>
      </w:r>
      <w:r>
        <w:rPr>
          <w:rFonts w:hint="eastAsia" w:ascii="宋体" w:hAnsi="宋体" w:cs="宋体"/>
          <w:snapToGrid w:val="0"/>
          <w:kern w:val="0"/>
          <w:szCs w:val="21"/>
          <w:highlight w:val="none"/>
        </w:rPr>
        <w:t>彩色扫描件</w:t>
      </w:r>
      <w:r>
        <w:rPr>
          <w:rFonts w:hint="eastAsia" w:ascii="宋体" w:hAnsi="宋体" w:cs="宋体"/>
          <w:snapToGrid w:val="0"/>
          <w:kern w:val="0"/>
          <w:szCs w:val="28"/>
          <w:highlight w:val="none"/>
        </w:rPr>
        <w:t>。拟派人员为退休返聘人员无法提供社保证明</w:t>
      </w:r>
      <w:r>
        <w:rPr>
          <w:rFonts w:hint="eastAsia" w:ascii="宋体" w:hAnsi="宋体" w:cs="宋体"/>
          <w:snapToGrid w:val="0"/>
          <w:kern w:val="0"/>
          <w:szCs w:val="21"/>
          <w:highlight w:val="none"/>
        </w:rPr>
        <w:t>的，提供退休证(附返聘证明）彩色扫描件</w:t>
      </w:r>
      <w:r>
        <w:rPr>
          <w:rFonts w:hint="eastAsia" w:ascii="宋体" w:hAnsi="宋体" w:cs="宋体"/>
          <w:snapToGrid w:val="0"/>
          <w:kern w:val="0"/>
          <w:szCs w:val="28"/>
          <w:highlight w:val="none"/>
        </w:rPr>
        <w:t>；</w:t>
      </w:r>
    </w:p>
    <w:p w14:paraId="4CD8918A">
      <w:pPr>
        <w:wordWrap w:val="0"/>
        <w:adjustRightInd w:val="0"/>
        <w:snapToGrid w:val="0"/>
        <w:spacing w:line="400" w:lineRule="exact"/>
        <w:ind w:firstLine="478" w:firstLineChars="228"/>
        <w:rPr>
          <w:rFonts w:hint="eastAsia" w:ascii="宋体" w:hAnsi="宋体" w:cs="宋体"/>
          <w:snapToGrid w:val="0"/>
          <w:kern w:val="0"/>
          <w:szCs w:val="28"/>
          <w:highlight w:val="none"/>
        </w:rPr>
      </w:pPr>
      <w:r>
        <w:rPr>
          <w:rFonts w:hint="eastAsia" w:ascii="宋体" w:hAnsi="宋体" w:cs="宋体"/>
          <w:snapToGrid w:val="0"/>
          <w:kern w:val="0"/>
          <w:szCs w:val="28"/>
          <w:highlight w:val="none"/>
        </w:rPr>
        <w:t>（4）“进粤企业和人员诚信信息登记平台”个人信息情况截图。（适用于省外建筑企业）。</w:t>
      </w:r>
    </w:p>
    <w:p w14:paraId="2B542730">
      <w:pPr>
        <w:wordWrap w:val="0"/>
        <w:adjustRightInd w:val="0"/>
        <w:snapToGrid w:val="0"/>
        <w:spacing w:line="400" w:lineRule="exact"/>
        <w:ind w:firstLine="420" w:firstLineChars="200"/>
        <w:rPr>
          <w:rFonts w:hint="eastAsia" w:ascii="宋体" w:hAnsi="宋体" w:cs="宋体"/>
          <w:snapToGrid w:val="0"/>
          <w:kern w:val="0"/>
          <w:szCs w:val="28"/>
          <w:highlight w:val="none"/>
        </w:rPr>
      </w:pPr>
      <w:r>
        <w:rPr>
          <w:rFonts w:hint="eastAsia" w:ascii="宋体" w:hAnsi="宋体" w:cs="宋体"/>
          <w:snapToGrid w:val="0"/>
          <w:kern w:val="0"/>
          <w:szCs w:val="28"/>
          <w:highlight w:val="none"/>
        </w:rPr>
        <w:t xml:space="preserve"> 2．联合体投标的，《本项目拟投入的人员基本情况表》应包括联合体成员单位参与项目管理机构的人员，并提供以上所需资料。</w:t>
      </w:r>
    </w:p>
    <w:p w14:paraId="56701DEC">
      <w:pPr>
        <w:wordWrap w:val="0"/>
        <w:adjustRightInd w:val="0"/>
        <w:snapToGrid w:val="0"/>
        <w:spacing w:line="400" w:lineRule="exact"/>
        <w:ind w:firstLine="686" w:firstLineChars="327"/>
        <w:rPr>
          <w:rFonts w:hint="eastAsia" w:ascii="宋体" w:hAnsi="宋体" w:cs="宋体"/>
          <w:snapToGrid w:val="0"/>
          <w:kern w:val="0"/>
          <w:szCs w:val="28"/>
          <w:highlight w:val="none"/>
        </w:rPr>
      </w:pPr>
    </w:p>
    <w:p w14:paraId="2638DD7F">
      <w:pPr>
        <w:pStyle w:val="3"/>
        <w:rPr>
          <w:rStyle w:val="68"/>
          <w:rFonts w:hint="eastAsia" w:ascii="宋体" w:hAnsi="宋体" w:cs="宋体"/>
          <w:bCs/>
          <w:highlight w:val="none"/>
        </w:rPr>
      </w:pPr>
      <w:r>
        <w:rPr>
          <w:rFonts w:hint="eastAsia" w:ascii="宋体" w:hAnsi="宋体" w:cs="宋体"/>
          <w:b/>
          <w:sz w:val="24"/>
          <w:szCs w:val="24"/>
          <w:highlight w:val="none"/>
        </w:rPr>
        <w:br w:type="page"/>
      </w:r>
      <w:bookmarkStart w:id="354" w:name="_Toc135054615"/>
      <w:bookmarkStart w:id="355" w:name="_Toc23529"/>
      <w:r>
        <w:rPr>
          <w:rStyle w:val="68"/>
          <w:rFonts w:hint="eastAsia" w:ascii="宋体" w:hAnsi="宋体" w:cs="宋体"/>
          <w:b/>
          <w:bCs/>
          <w:sz w:val="24"/>
          <w:highlight w:val="none"/>
        </w:rPr>
        <w:t>格式八  法定代表人身份证明书</w:t>
      </w:r>
      <w:bookmarkEnd w:id="354"/>
      <w:bookmarkEnd w:id="355"/>
      <w:r>
        <w:rPr>
          <w:rStyle w:val="68"/>
          <w:rFonts w:hint="eastAsia" w:ascii="宋体" w:hAnsi="宋体" w:cs="宋体"/>
          <w:b/>
          <w:bCs/>
          <w:sz w:val="24"/>
          <w:highlight w:val="none"/>
        </w:rPr>
        <w:t xml:space="preserve">   </w:t>
      </w:r>
      <w:r>
        <w:rPr>
          <w:rStyle w:val="68"/>
          <w:rFonts w:hint="eastAsia" w:ascii="宋体" w:hAnsi="宋体" w:cs="宋体"/>
          <w:bCs/>
          <w:highlight w:val="none"/>
        </w:rPr>
        <w:t xml:space="preserve">                      </w:t>
      </w:r>
    </w:p>
    <w:p w14:paraId="6E962727">
      <w:pPr>
        <w:snapToGrid w:val="0"/>
        <w:spacing w:line="440" w:lineRule="exact"/>
        <w:jc w:val="center"/>
        <w:outlineLvl w:val="0"/>
        <w:rPr>
          <w:rFonts w:hint="eastAsia" w:ascii="宋体" w:hAnsi="宋体" w:cs="宋体"/>
          <w:b/>
          <w:sz w:val="24"/>
          <w:szCs w:val="24"/>
          <w:highlight w:val="none"/>
        </w:rPr>
      </w:pPr>
      <w:bookmarkStart w:id="356" w:name="_Toc3759"/>
      <w:r>
        <w:rPr>
          <w:rFonts w:hint="eastAsia" w:ascii="宋体" w:hAnsi="宋体" w:cs="宋体"/>
          <w:b/>
          <w:sz w:val="24"/>
          <w:szCs w:val="24"/>
          <w:highlight w:val="none"/>
        </w:rPr>
        <w:t>法定代表人身份证明书</w:t>
      </w:r>
      <w:bookmarkEnd w:id="356"/>
    </w:p>
    <w:p w14:paraId="1168F117">
      <w:pPr>
        <w:adjustRightInd w:val="0"/>
        <w:snapToGrid w:val="0"/>
        <w:spacing w:line="440" w:lineRule="exact"/>
        <w:rPr>
          <w:rFonts w:hint="eastAsia" w:ascii="宋体" w:hAnsi="宋体" w:cs="宋体"/>
          <w:sz w:val="24"/>
          <w:szCs w:val="24"/>
          <w:highlight w:val="none"/>
        </w:rPr>
      </w:pPr>
    </w:p>
    <w:p w14:paraId="01F5C4D1">
      <w:pPr>
        <w:snapToGrid w:val="0"/>
        <w:spacing w:line="440" w:lineRule="exact"/>
        <w:rPr>
          <w:rFonts w:hint="eastAsia" w:ascii="宋体" w:hAnsi="宋体" w:cs="宋体"/>
          <w:sz w:val="24"/>
          <w:szCs w:val="24"/>
          <w:highlight w:val="none"/>
          <w:u w:val="single"/>
        </w:rPr>
      </w:pPr>
      <w:bookmarkStart w:id="357" w:name="_Toc118541763"/>
      <w:bookmarkStart w:id="358" w:name="_Toc48547015"/>
      <w:bookmarkStart w:id="359" w:name="_Toc535300004"/>
      <w:r>
        <w:rPr>
          <w:rFonts w:hint="eastAsia" w:ascii="宋体" w:hAnsi="宋体" w:cs="宋体"/>
          <w:sz w:val="24"/>
          <w:szCs w:val="24"/>
          <w:highlight w:val="none"/>
        </w:rPr>
        <w:t>投 标 人：</w:t>
      </w:r>
      <w:r>
        <w:rPr>
          <w:rFonts w:hint="eastAsia" w:ascii="宋体" w:hAnsi="宋体" w:cs="宋体"/>
          <w:sz w:val="24"/>
          <w:szCs w:val="24"/>
          <w:highlight w:val="none"/>
          <w:u w:val="single"/>
        </w:rPr>
        <w:t xml:space="preserve">                                                              </w:t>
      </w:r>
    </w:p>
    <w:p w14:paraId="4C8C4803">
      <w:pPr>
        <w:snapToGrid w:val="0"/>
        <w:spacing w:line="440" w:lineRule="exact"/>
        <w:rPr>
          <w:rFonts w:hint="eastAsia" w:ascii="宋体" w:hAnsi="宋体" w:cs="宋体"/>
          <w:sz w:val="24"/>
          <w:szCs w:val="24"/>
          <w:highlight w:val="none"/>
          <w:u w:val="single"/>
        </w:rPr>
      </w:pPr>
      <w:r>
        <w:rPr>
          <w:rFonts w:hint="eastAsia" w:ascii="宋体" w:hAnsi="宋体" w:cs="宋体"/>
          <w:sz w:val="24"/>
          <w:szCs w:val="24"/>
          <w:highlight w:val="none"/>
        </w:rPr>
        <w:t>单位性质：</w:t>
      </w:r>
      <w:r>
        <w:rPr>
          <w:rFonts w:hint="eastAsia" w:ascii="宋体" w:hAnsi="宋体" w:cs="宋体"/>
          <w:sz w:val="24"/>
          <w:szCs w:val="24"/>
          <w:highlight w:val="none"/>
          <w:u w:val="single"/>
        </w:rPr>
        <w:t xml:space="preserve">                                                              </w:t>
      </w:r>
    </w:p>
    <w:p w14:paraId="3CB37CE0">
      <w:pPr>
        <w:snapToGrid w:val="0"/>
        <w:spacing w:line="440" w:lineRule="exact"/>
        <w:rPr>
          <w:rFonts w:hint="eastAsia"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single"/>
        </w:rPr>
        <w:t xml:space="preserve">                                                              </w:t>
      </w:r>
    </w:p>
    <w:p w14:paraId="4CCA696D">
      <w:pPr>
        <w:snapToGrid w:val="0"/>
        <w:spacing w:line="440" w:lineRule="exact"/>
        <w:rPr>
          <w:rFonts w:hint="eastAsia" w:ascii="宋体" w:hAnsi="宋体" w:cs="宋体"/>
          <w:sz w:val="24"/>
          <w:szCs w:val="24"/>
          <w:highlight w:val="none"/>
        </w:rPr>
      </w:pPr>
      <w:r>
        <w:rPr>
          <w:rFonts w:hint="eastAsia" w:ascii="宋体" w:hAnsi="宋体" w:cs="宋体"/>
          <w:sz w:val="24"/>
          <w:szCs w:val="24"/>
          <w:highlight w:val="none"/>
        </w:rPr>
        <w:t>成立时间：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  联系电话：</w:t>
      </w:r>
      <w:r>
        <w:rPr>
          <w:rFonts w:hint="eastAsia" w:ascii="宋体" w:hAnsi="宋体" w:cs="宋体"/>
          <w:sz w:val="24"/>
          <w:szCs w:val="24"/>
          <w:highlight w:val="none"/>
          <w:u w:val="single"/>
        </w:rPr>
        <w:t xml:space="preserve">                      </w:t>
      </w:r>
    </w:p>
    <w:p w14:paraId="0C3B6274">
      <w:pPr>
        <w:snapToGrid w:val="0"/>
        <w:spacing w:line="440" w:lineRule="exact"/>
        <w:rPr>
          <w:rFonts w:hint="eastAsia" w:ascii="宋体" w:hAnsi="宋体" w:cs="宋体"/>
          <w:sz w:val="24"/>
          <w:szCs w:val="24"/>
          <w:highlight w:val="none"/>
        </w:rPr>
      </w:pPr>
      <w:r>
        <w:rPr>
          <w:rFonts w:hint="eastAsia" w:ascii="宋体" w:hAnsi="宋体" w:cs="宋体"/>
          <w:sz w:val="24"/>
          <w:szCs w:val="24"/>
          <w:highlight w:val="none"/>
        </w:rPr>
        <w:t>营业执照号码：</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经营期限：</w:t>
      </w:r>
      <w:r>
        <w:rPr>
          <w:rFonts w:hint="eastAsia" w:ascii="宋体" w:hAnsi="宋体" w:cs="宋体"/>
          <w:sz w:val="24"/>
          <w:szCs w:val="24"/>
          <w:highlight w:val="none"/>
          <w:u w:val="single"/>
        </w:rPr>
        <w:t xml:space="preserve">                      </w:t>
      </w:r>
    </w:p>
    <w:p w14:paraId="5D3CA62D">
      <w:pPr>
        <w:snapToGrid w:val="0"/>
        <w:spacing w:line="440" w:lineRule="exact"/>
        <w:rPr>
          <w:rFonts w:hint="eastAsia" w:ascii="宋体" w:hAnsi="宋体" w:cs="宋体"/>
          <w:sz w:val="24"/>
          <w:szCs w:val="24"/>
          <w:highlight w:val="none"/>
          <w:u w:val="single"/>
        </w:rPr>
      </w:pPr>
      <w:r>
        <w:rPr>
          <w:rFonts w:hint="eastAsia" w:ascii="宋体" w:hAnsi="宋体" w:cs="宋体"/>
          <w:sz w:val="24"/>
          <w:szCs w:val="24"/>
          <w:highlight w:val="none"/>
        </w:rPr>
        <w:t>主    营：</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兼    营：</w:t>
      </w:r>
      <w:r>
        <w:rPr>
          <w:rFonts w:hint="eastAsia" w:ascii="宋体" w:hAnsi="宋体" w:cs="宋体"/>
          <w:sz w:val="24"/>
          <w:szCs w:val="24"/>
          <w:highlight w:val="none"/>
          <w:u w:val="single"/>
        </w:rPr>
        <w:t xml:space="preserve">                      </w:t>
      </w:r>
    </w:p>
    <w:p w14:paraId="7ABFE25D">
      <w:pPr>
        <w:snapToGrid w:val="0"/>
        <w:spacing w:line="440" w:lineRule="exact"/>
        <w:rPr>
          <w:rFonts w:hint="eastAsia" w:ascii="宋体" w:hAnsi="宋体" w:cs="宋体"/>
          <w:sz w:val="24"/>
          <w:szCs w:val="24"/>
          <w:highlight w:val="none"/>
        </w:rPr>
      </w:pPr>
    </w:p>
    <w:p w14:paraId="2E5BF7B5">
      <w:pPr>
        <w:snapToGrid w:val="0"/>
        <w:spacing w:line="440" w:lineRule="exact"/>
        <w:rPr>
          <w:rFonts w:hint="eastAsia" w:ascii="宋体" w:hAnsi="宋体" w:cs="宋体"/>
          <w:sz w:val="24"/>
          <w:szCs w:val="24"/>
          <w:highlight w:val="none"/>
          <w:u w:val="single"/>
        </w:rPr>
      </w:pPr>
      <w:r>
        <w:rPr>
          <w:rFonts w:hint="eastAsia" w:ascii="宋体" w:hAnsi="宋体" w:cs="宋体"/>
          <w:sz w:val="24"/>
          <w:szCs w:val="24"/>
          <w:highlight w:val="none"/>
        </w:rPr>
        <w:t>姓    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性    别：</w:t>
      </w:r>
      <w:r>
        <w:rPr>
          <w:rFonts w:hint="eastAsia" w:ascii="宋体" w:hAnsi="宋体" w:cs="宋体"/>
          <w:sz w:val="24"/>
          <w:szCs w:val="24"/>
          <w:highlight w:val="none"/>
          <w:u w:val="single"/>
        </w:rPr>
        <w:t xml:space="preserve">                      </w:t>
      </w:r>
    </w:p>
    <w:p w14:paraId="193AA037">
      <w:pPr>
        <w:snapToGrid w:val="0"/>
        <w:spacing w:line="440" w:lineRule="exact"/>
        <w:rPr>
          <w:rFonts w:hint="eastAsia" w:ascii="宋体" w:hAnsi="宋体" w:cs="宋体"/>
          <w:sz w:val="24"/>
          <w:szCs w:val="24"/>
          <w:highlight w:val="none"/>
          <w:u w:val="single"/>
        </w:rPr>
      </w:pPr>
      <w:r>
        <w:rPr>
          <w:rFonts w:hint="eastAsia" w:ascii="宋体" w:hAnsi="宋体" w:cs="宋体"/>
          <w:sz w:val="24"/>
          <w:szCs w:val="24"/>
          <w:highlight w:val="none"/>
        </w:rPr>
        <w:t>年    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职    务：</w:t>
      </w:r>
      <w:r>
        <w:rPr>
          <w:rFonts w:hint="eastAsia" w:ascii="宋体" w:hAnsi="宋体" w:cs="宋体"/>
          <w:sz w:val="24"/>
          <w:szCs w:val="24"/>
          <w:highlight w:val="none"/>
          <w:u w:val="single"/>
        </w:rPr>
        <w:t xml:space="preserve">                      </w:t>
      </w:r>
    </w:p>
    <w:p w14:paraId="79212010">
      <w:pPr>
        <w:snapToGrid w:val="0"/>
        <w:spacing w:line="440" w:lineRule="exact"/>
        <w:rPr>
          <w:rFonts w:hint="eastAsia"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手机号码：</w:t>
      </w:r>
      <w:r>
        <w:rPr>
          <w:rFonts w:hint="eastAsia" w:ascii="宋体" w:hAnsi="宋体" w:cs="宋体"/>
          <w:sz w:val="24"/>
          <w:szCs w:val="24"/>
          <w:highlight w:val="none"/>
          <w:u w:val="single"/>
        </w:rPr>
        <w:t xml:space="preserve">                      </w:t>
      </w:r>
    </w:p>
    <w:p w14:paraId="06D80DF6">
      <w:pPr>
        <w:snapToGrid w:val="0"/>
        <w:spacing w:line="440" w:lineRule="exact"/>
        <w:rPr>
          <w:rFonts w:hint="eastAsia"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 xml:space="preserve">                                        </w:t>
      </w:r>
      <w:r>
        <w:rPr>
          <w:rFonts w:hint="eastAsia" w:ascii="宋体" w:hAnsi="宋体" w:cs="宋体"/>
          <w:sz w:val="24"/>
          <w:szCs w:val="24"/>
          <w:highlight w:val="none"/>
        </w:rPr>
        <w:t>（投标人名称）的法定代表人。</w:t>
      </w:r>
    </w:p>
    <w:p w14:paraId="299C4B7E">
      <w:pPr>
        <w:snapToGrid w:val="0"/>
        <w:spacing w:line="440" w:lineRule="exact"/>
        <w:rPr>
          <w:rFonts w:hint="eastAsia" w:ascii="宋体" w:hAnsi="宋体" w:cs="宋体"/>
          <w:sz w:val="24"/>
          <w:szCs w:val="24"/>
          <w:highlight w:val="none"/>
        </w:rPr>
      </w:pPr>
      <w:r>
        <w:rPr>
          <w:rFonts w:hint="eastAsia" w:ascii="宋体" w:hAnsi="宋体" w:cs="宋体"/>
          <w:sz w:val="24"/>
          <w:szCs w:val="24"/>
          <w:highlight w:val="none"/>
        </w:rPr>
        <w:t>特此证明。</w:t>
      </w:r>
    </w:p>
    <w:p w14:paraId="6C08F24B">
      <w:pPr>
        <w:snapToGrid w:val="0"/>
        <w:spacing w:line="440" w:lineRule="exact"/>
        <w:rPr>
          <w:rFonts w:hint="eastAsia" w:ascii="宋体" w:hAnsi="宋体" w:cs="宋体"/>
          <w:sz w:val="24"/>
          <w:szCs w:val="24"/>
          <w:highlight w:val="none"/>
        </w:rPr>
      </w:pPr>
    </w:p>
    <w:p w14:paraId="2E441910">
      <w:pPr>
        <w:snapToGrid w:val="0"/>
        <w:spacing w:line="440" w:lineRule="exact"/>
        <w:rPr>
          <w:rFonts w:hint="eastAsia" w:ascii="宋体" w:hAnsi="宋体" w:cs="宋体"/>
          <w:sz w:val="24"/>
          <w:szCs w:val="24"/>
          <w:highlight w:val="none"/>
        </w:rPr>
      </w:pPr>
    </w:p>
    <w:p w14:paraId="0582515C">
      <w:pPr>
        <w:snapToGrid w:val="0"/>
        <w:spacing w:line="440" w:lineRule="exact"/>
        <w:jc w:val="right"/>
        <w:rPr>
          <w:rFonts w:hint="eastAsia" w:ascii="宋体" w:hAnsi="宋体" w:cs="宋体"/>
          <w:sz w:val="24"/>
          <w:szCs w:val="24"/>
          <w:highlight w:val="none"/>
        </w:rPr>
      </w:pPr>
      <w:r>
        <w:rPr>
          <w:rFonts w:hint="eastAsia" w:ascii="宋体" w:hAnsi="宋体" w:cs="宋体"/>
          <w:sz w:val="24"/>
          <w:szCs w:val="24"/>
          <w:highlight w:val="none"/>
        </w:rPr>
        <w:t>投标人：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（单位公章）</w:t>
      </w:r>
    </w:p>
    <w:p w14:paraId="7377E207">
      <w:pPr>
        <w:snapToGrid w:val="0"/>
        <w:spacing w:line="440" w:lineRule="exact"/>
        <w:jc w:val="right"/>
        <w:rPr>
          <w:rFonts w:hint="eastAsia" w:ascii="宋体" w:hAnsi="宋体" w:cs="宋体"/>
          <w:sz w:val="24"/>
          <w:szCs w:val="24"/>
          <w:highlight w:val="none"/>
        </w:rPr>
      </w:pPr>
    </w:p>
    <w:p w14:paraId="59271BCE">
      <w:pPr>
        <w:snapToGrid w:val="0"/>
        <w:spacing w:line="440" w:lineRule="exact"/>
        <w:rPr>
          <w:rFonts w:hint="eastAsia" w:ascii="宋体" w:hAnsi="宋体" w:cs="宋体"/>
          <w:sz w:val="24"/>
          <w:szCs w:val="24"/>
          <w:highlight w:val="none"/>
        </w:rPr>
      </w:pPr>
      <w:r>
        <w:rPr>
          <w:rFonts w:hint="eastAsia" w:ascii="宋体" w:hAnsi="宋体" w:cs="宋体"/>
          <w:sz w:val="24"/>
          <w:szCs w:val="24"/>
          <w:highlight w:val="none"/>
        </w:rPr>
        <w:t xml:space="preserve">                             法定代表人：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4C629204">
      <w:pPr>
        <w:snapToGrid w:val="0"/>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 xml:space="preserve">                        </w:t>
      </w:r>
    </w:p>
    <w:p w14:paraId="7C8877AB">
      <w:pPr>
        <w:snapToGrid w:val="0"/>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       </w:t>
      </w:r>
    </w:p>
    <w:p w14:paraId="1A63E19F">
      <w:pPr>
        <w:snapToGrid w:val="0"/>
        <w:spacing w:line="44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 xml:space="preserve">     </w:t>
      </w:r>
    </w:p>
    <w:p w14:paraId="04D3460A">
      <w:pPr>
        <w:snapToGrid w:val="0"/>
        <w:spacing w:line="440" w:lineRule="exact"/>
        <w:ind w:firstLine="720" w:firstLineChars="300"/>
        <w:rPr>
          <w:rFonts w:hint="eastAsia" w:ascii="宋体" w:hAnsi="宋体" w:cs="宋体"/>
          <w:b/>
          <w:sz w:val="24"/>
          <w:szCs w:val="24"/>
          <w:highlight w:val="none"/>
        </w:rPr>
      </w:pPr>
      <w:r>
        <w:rPr>
          <w:rFonts w:hint="eastAsia" w:ascii="宋体" w:hAnsi="宋体" w:cs="宋体"/>
          <w:sz w:val="24"/>
          <w:szCs w:val="24"/>
          <w:highlight w:val="none"/>
        </w:rPr>
        <w:t xml:space="preserve">  </w:t>
      </w:r>
      <w:r>
        <w:rPr>
          <w:rFonts w:hint="eastAsia" w:ascii="宋体" w:hAnsi="宋体" w:cs="宋体"/>
          <w:i/>
          <w:iCs/>
          <w:sz w:val="24"/>
          <w:szCs w:val="24"/>
          <w:highlight w:val="none"/>
        </w:rPr>
        <w:t xml:space="preserve"> </w:t>
      </w:r>
    </w:p>
    <w:p w14:paraId="3832A6BB">
      <w:pPr>
        <w:rPr>
          <w:rFonts w:hint="eastAsia" w:ascii="宋体" w:hAnsi="宋体" w:cs="宋体"/>
          <w:b/>
          <w:sz w:val="24"/>
          <w:szCs w:val="24"/>
          <w:highlight w:val="none"/>
        </w:rPr>
      </w:pPr>
      <w:r>
        <w:rPr>
          <w:rFonts w:ascii="宋体" w:hAnsi="宋体" w:cs="宋体"/>
          <w:b/>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825115" cy="1584325"/>
                        </a:xfrm>
                        <a:prstGeom prst="flowChartAlternateProcess">
                          <a:avLst/>
                        </a:prstGeom>
                        <a:solidFill>
                          <a:srgbClr val="FFFFFF"/>
                        </a:solidFill>
                        <a:ln w="9525">
                          <a:solidFill>
                            <a:srgbClr val="000000"/>
                          </a:solidFill>
                          <a:miter lim="800000"/>
                        </a:ln>
                        <a:effectLst/>
                      </wps:spPr>
                      <wps:txbx>
                        <w:txbxContent>
                          <w:p w14:paraId="028B0EB1">
                            <w:pPr>
                              <w:jc w:val="center"/>
                              <w:rPr>
                                <w:szCs w:val="21"/>
                              </w:rPr>
                            </w:pPr>
                          </w:p>
                          <w:p w14:paraId="2BBF5E8A">
                            <w:pPr>
                              <w:jc w:val="center"/>
                              <w:rPr>
                                <w:szCs w:val="21"/>
                              </w:rPr>
                            </w:pPr>
                          </w:p>
                          <w:p w14:paraId="679A9D7D">
                            <w:pPr>
                              <w:jc w:val="center"/>
                              <w:rPr>
                                <w:szCs w:val="21"/>
                              </w:rPr>
                            </w:pPr>
                          </w:p>
                          <w:p w14:paraId="3198AE96">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7.5pt;margin-top:1.6pt;height:124.75pt;width:222.45pt;z-index:251660288;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HhXUptgAAAAJAQAADwAAAAAAAAABACAAAAAiAAAAZHJzL2Rvd25yZXYueG1sUEsBAhQAFAAA&#10;AAgAh07iQNa5M/xhAgAArwQAAA4AAAAAAAAAAQAgAAAAJwEAAGRycy9lMm9Eb2MueG1sUEsFBgAA&#10;AAAGAAYAWQEAAPoFAAAAAA==&#10;">
                <v:fill on="t" focussize="0,0"/>
                <v:stroke color="#000000" miterlimit="8" joinstyle="miter"/>
                <v:imagedata o:title=""/>
                <o:lock v:ext="edit" aspectratio="f"/>
                <v:textbox>
                  <w:txbxContent>
                    <w:p w14:paraId="028B0EB1">
                      <w:pPr>
                        <w:jc w:val="center"/>
                        <w:rPr>
                          <w:szCs w:val="21"/>
                        </w:rPr>
                      </w:pPr>
                    </w:p>
                    <w:p w14:paraId="2BBF5E8A">
                      <w:pPr>
                        <w:jc w:val="center"/>
                        <w:rPr>
                          <w:szCs w:val="21"/>
                        </w:rPr>
                      </w:pPr>
                    </w:p>
                    <w:p w14:paraId="679A9D7D">
                      <w:pPr>
                        <w:jc w:val="center"/>
                        <w:rPr>
                          <w:szCs w:val="21"/>
                        </w:rPr>
                      </w:pPr>
                    </w:p>
                    <w:p w14:paraId="3198AE96">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0A331726">
      <w:pPr>
        <w:tabs>
          <w:tab w:val="left" w:pos="654"/>
          <w:tab w:val="left" w:pos="1734"/>
          <w:tab w:val="left" w:pos="2814"/>
          <w:tab w:val="left" w:pos="3894"/>
          <w:tab w:val="left" w:pos="5334"/>
          <w:tab w:val="left" w:pos="6414"/>
          <w:tab w:val="left" w:pos="7254"/>
          <w:tab w:val="left" w:pos="8574"/>
          <w:tab w:val="left" w:pos="9654"/>
        </w:tabs>
        <w:rPr>
          <w:rFonts w:hint="eastAsia" w:ascii="宋体" w:hAnsi="宋体" w:cs="宋体"/>
          <w:sz w:val="24"/>
          <w:szCs w:val="24"/>
          <w:highlight w:val="none"/>
        </w:rPr>
      </w:pPr>
    </w:p>
    <w:p w14:paraId="650BBDA8">
      <w:pPr>
        <w:spacing w:line="480" w:lineRule="exact"/>
        <w:jc w:val="center"/>
        <w:rPr>
          <w:rFonts w:hint="eastAsia" w:ascii="宋体" w:hAnsi="宋体" w:cs="宋体"/>
          <w:b/>
          <w:sz w:val="24"/>
          <w:szCs w:val="24"/>
          <w:highlight w:val="none"/>
        </w:rPr>
      </w:pPr>
      <w:bookmarkStart w:id="360" w:name="_Toc210101349"/>
    </w:p>
    <w:p w14:paraId="0E77C05C">
      <w:pPr>
        <w:spacing w:line="480" w:lineRule="exact"/>
        <w:jc w:val="center"/>
        <w:rPr>
          <w:rFonts w:hint="eastAsia" w:ascii="宋体" w:hAnsi="宋体" w:cs="宋体"/>
          <w:b/>
          <w:sz w:val="24"/>
          <w:szCs w:val="24"/>
          <w:highlight w:val="none"/>
        </w:rPr>
      </w:pPr>
    </w:p>
    <w:p w14:paraId="231B333C">
      <w:pPr>
        <w:spacing w:line="480" w:lineRule="exact"/>
        <w:jc w:val="center"/>
        <w:rPr>
          <w:rFonts w:hint="eastAsia" w:ascii="宋体" w:hAnsi="宋体" w:cs="宋体"/>
          <w:b/>
          <w:sz w:val="24"/>
          <w:szCs w:val="24"/>
          <w:highlight w:val="none"/>
        </w:rPr>
      </w:pPr>
    </w:p>
    <w:p w14:paraId="658945E8">
      <w:pPr>
        <w:pStyle w:val="3"/>
        <w:rPr>
          <w:rStyle w:val="68"/>
          <w:rFonts w:hint="eastAsia" w:ascii="宋体" w:hAnsi="宋体" w:cs="宋体"/>
          <w:bCs/>
          <w:highlight w:val="none"/>
        </w:rPr>
      </w:pPr>
      <w:r>
        <w:rPr>
          <w:rFonts w:hint="eastAsia" w:ascii="宋体" w:hAnsi="宋体" w:cs="宋体"/>
          <w:b/>
          <w:sz w:val="24"/>
          <w:szCs w:val="24"/>
          <w:highlight w:val="none"/>
        </w:rPr>
        <w:br w:type="page"/>
      </w:r>
      <w:bookmarkStart w:id="361" w:name="_Toc135054616"/>
      <w:bookmarkStart w:id="362" w:name="_Toc5153"/>
      <w:r>
        <w:rPr>
          <w:rStyle w:val="68"/>
          <w:rFonts w:hint="eastAsia" w:ascii="宋体" w:hAnsi="宋体" w:cs="宋体"/>
          <w:b/>
          <w:bCs/>
          <w:sz w:val="24"/>
          <w:highlight w:val="none"/>
        </w:rPr>
        <w:t>格式九 法定代表人授权委托书</w:t>
      </w:r>
      <w:bookmarkEnd w:id="361"/>
      <w:bookmarkEnd w:id="362"/>
      <w:r>
        <w:rPr>
          <w:rStyle w:val="68"/>
          <w:rFonts w:hint="eastAsia" w:ascii="宋体" w:hAnsi="宋体" w:cs="宋体"/>
          <w:b/>
          <w:bCs/>
          <w:sz w:val="24"/>
          <w:highlight w:val="none"/>
        </w:rPr>
        <w:t xml:space="preserve">    </w:t>
      </w:r>
      <w:r>
        <w:rPr>
          <w:rStyle w:val="68"/>
          <w:rFonts w:hint="eastAsia" w:ascii="宋体" w:hAnsi="宋体" w:cs="宋体"/>
          <w:bCs/>
          <w:highlight w:val="none"/>
        </w:rPr>
        <w:t xml:space="preserve">                       </w:t>
      </w:r>
    </w:p>
    <w:bookmarkEnd w:id="357"/>
    <w:bookmarkEnd w:id="358"/>
    <w:bookmarkEnd w:id="359"/>
    <w:bookmarkEnd w:id="360"/>
    <w:p w14:paraId="5E4BCF90">
      <w:pPr>
        <w:snapToGrid w:val="0"/>
        <w:spacing w:line="440" w:lineRule="exact"/>
        <w:jc w:val="center"/>
        <w:outlineLvl w:val="0"/>
        <w:rPr>
          <w:rFonts w:hint="eastAsia" w:ascii="宋体" w:hAnsi="宋体" w:cs="宋体"/>
          <w:b/>
          <w:sz w:val="24"/>
          <w:szCs w:val="24"/>
          <w:highlight w:val="none"/>
        </w:rPr>
      </w:pPr>
      <w:bookmarkStart w:id="363" w:name="_Toc9230"/>
      <w:r>
        <w:rPr>
          <w:rFonts w:hint="eastAsia" w:ascii="宋体" w:hAnsi="宋体" w:cs="宋体"/>
          <w:b/>
          <w:sz w:val="24"/>
          <w:szCs w:val="24"/>
          <w:highlight w:val="none"/>
        </w:rPr>
        <w:t>法定代表人授权委托书</w:t>
      </w:r>
      <w:bookmarkEnd w:id="363"/>
    </w:p>
    <w:p w14:paraId="1D66B1F0">
      <w:pPr>
        <w:adjustRightInd w:val="0"/>
        <w:snapToGrid w:val="0"/>
        <w:spacing w:line="440" w:lineRule="exact"/>
        <w:rPr>
          <w:rFonts w:hint="eastAsia" w:ascii="宋体" w:hAnsi="宋体" w:cs="宋体"/>
          <w:sz w:val="24"/>
          <w:szCs w:val="24"/>
          <w:highlight w:val="none"/>
        </w:rPr>
      </w:pPr>
    </w:p>
    <w:p w14:paraId="07C509E0">
      <w:pPr>
        <w:snapToGrid w:val="0"/>
        <w:spacing w:line="440" w:lineRule="exact"/>
        <w:rPr>
          <w:rFonts w:hint="eastAsia" w:ascii="宋体" w:hAnsi="宋体" w:cs="宋体"/>
          <w:sz w:val="24"/>
          <w:szCs w:val="24"/>
          <w:highlight w:val="none"/>
        </w:rPr>
      </w:pPr>
      <w:r>
        <w:rPr>
          <w:rFonts w:hint="eastAsia" w:ascii="宋体" w:hAnsi="宋体" w:cs="宋体"/>
          <w:sz w:val="24"/>
          <w:szCs w:val="24"/>
          <w:highlight w:val="none"/>
        </w:rPr>
        <w:t xml:space="preserve">    本人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（姓名）系</w:t>
      </w:r>
      <w:r>
        <w:rPr>
          <w:rFonts w:hint="eastAsia" w:ascii="宋体" w:hAnsi="宋体" w:cs="宋体"/>
          <w:sz w:val="24"/>
          <w:szCs w:val="24"/>
          <w:highlight w:val="none"/>
          <w:u w:val="single"/>
        </w:rPr>
        <w:t xml:space="preserve">         </w:t>
      </w:r>
      <w:r>
        <w:rPr>
          <w:rFonts w:hint="eastAsia" w:ascii="宋体" w:hAnsi="宋体" w:cs="宋体"/>
          <w:sz w:val="24"/>
          <w:szCs w:val="24"/>
          <w:highlight w:val="none"/>
        </w:rPr>
        <w:t>（投标人名称）的法定代表人，现委托</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（姓名）为我方代理人。代理人根据授权，以我方名义签署、澄清、说明、补正、递交、撤回、修改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（项目名称）投标文件、签订合同和处理有关事宜，其法律后果由我方承担。</w:t>
      </w:r>
    </w:p>
    <w:p w14:paraId="2D188701">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委托期限：</w:t>
      </w:r>
      <w:r>
        <w:rPr>
          <w:rFonts w:hint="eastAsia" w:ascii="宋体" w:hAnsi="宋体" w:cs="宋体"/>
          <w:sz w:val="24"/>
          <w:szCs w:val="24"/>
          <w:highlight w:val="none"/>
          <w:u w:val="single"/>
        </w:rPr>
        <w:t>不早于投标文件中标注的投标有效期截止时间</w:t>
      </w:r>
      <w:r>
        <w:rPr>
          <w:rFonts w:hint="eastAsia" w:ascii="宋体" w:hAnsi="宋体" w:cs="宋体"/>
          <w:sz w:val="24"/>
          <w:szCs w:val="24"/>
          <w:highlight w:val="none"/>
        </w:rPr>
        <w:t xml:space="preserve"> 。</w:t>
      </w:r>
    </w:p>
    <w:p w14:paraId="210006C9">
      <w:pPr>
        <w:snapToGrid w:val="0"/>
        <w:spacing w:line="440" w:lineRule="exact"/>
        <w:rPr>
          <w:rFonts w:hint="eastAsia" w:ascii="宋体" w:hAnsi="宋体" w:cs="宋体"/>
          <w:sz w:val="24"/>
          <w:szCs w:val="24"/>
          <w:highlight w:val="none"/>
        </w:rPr>
      </w:pPr>
      <w:r>
        <w:rPr>
          <w:rFonts w:hint="eastAsia" w:ascii="宋体" w:hAnsi="宋体" w:cs="宋体"/>
          <w:sz w:val="24"/>
          <w:szCs w:val="24"/>
          <w:highlight w:val="none"/>
        </w:rPr>
        <w:t xml:space="preserve">    代理人无转委托权。</w:t>
      </w:r>
    </w:p>
    <w:p w14:paraId="19110332">
      <w:pPr>
        <w:snapToGrid w:val="0"/>
        <w:spacing w:line="440" w:lineRule="exact"/>
        <w:ind w:firstLine="480" w:firstLineChars="200"/>
        <w:rPr>
          <w:rFonts w:hint="eastAsia" w:ascii="宋体" w:hAnsi="宋体" w:cs="宋体"/>
          <w:sz w:val="24"/>
          <w:szCs w:val="24"/>
          <w:highlight w:val="none"/>
        </w:rPr>
      </w:pPr>
    </w:p>
    <w:p w14:paraId="3CB45527">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投  标  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（单位公章）</w:t>
      </w:r>
    </w:p>
    <w:p w14:paraId="6D3397A6">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w:t>
      </w:r>
    </w:p>
    <w:p w14:paraId="6F4DBD61">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法定代表人：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146718AB">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w:t>
      </w:r>
    </w:p>
    <w:p w14:paraId="522A1749">
      <w:pPr>
        <w:snapToGrid w:val="0"/>
        <w:spacing w:line="44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　　　　　　　　　　　身份证号码：</w:t>
      </w:r>
      <w:r>
        <w:rPr>
          <w:rFonts w:hint="eastAsia" w:ascii="宋体" w:hAnsi="宋体" w:cs="宋体"/>
          <w:sz w:val="24"/>
          <w:szCs w:val="24"/>
          <w:highlight w:val="none"/>
          <w:u w:val="single"/>
        </w:rPr>
        <w:t xml:space="preserve">                        </w:t>
      </w:r>
    </w:p>
    <w:p w14:paraId="33CC2A15">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w:t>
      </w:r>
    </w:p>
    <w:p w14:paraId="3A7723F2">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07AADD39">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w:t>
      </w:r>
    </w:p>
    <w:p w14:paraId="40F5932C">
      <w:pPr>
        <w:snapToGrid w:val="0"/>
        <w:spacing w:line="44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　　　　　　　　　　　身份证号码：</w:t>
      </w:r>
      <w:r>
        <w:rPr>
          <w:rFonts w:hint="eastAsia" w:ascii="宋体" w:hAnsi="宋体" w:cs="宋体"/>
          <w:sz w:val="24"/>
          <w:szCs w:val="24"/>
          <w:highlight w:val="none"/>
          <w:u w:val="single"/>
        </w:rPr>
        <w:t xml:space="preserve">                        </w:t>
      </w:r>
    </w:p>
    <w:p w14:paraId="281BD30E">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w:t>
      </w:r>
    </w:p>
    <w:p w14:paraId="4E7C9248">
      <w:pPr>
        <w:snapToGrid w:val="0"/>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日</w:t>
      </w:r>
    </w:p>
    <w:p w14:paraId="1C04B7F7">
      <w:pPr>
        <w:snapToGrid w:val="0"/>
        <w:spacing w:line="440" w:lineRule="exact"/>
        <w:ind w:firstLine="480" w:firstLineChars="200"/>
        <w:rPr>
          <w:rFonts w:hint="eastAsia" w:ascii="宋体" w:hAnsi="宋体" w:cs="宋体"/>
          <w:sz w:val="24"/>
          <w:szCs w:val="24"/>
          <w:highlight w:val="none"/>
        </w:rPr>
      </w:pPr>
    </w:p>
    <w:p w14:paraId="7C12301B">
      <w:pPr>
        <w:ind w:firstLine="5520" w:firstLineChars="2300"/>
        <w:rPr>
          <w:rFonts w:hint="eastAsia" w:ascii="宋体" w:hAnsi="宋体" w:cs="宋体"/>
          <w:sz w:val="24"/>
          <w:szCs w:val="24"/>
          <w:highlight w:val="none"/>
        </w:rPr>
      </w:pPr>
      <w:r>
        <w:rPr>
          <w:rFonts w:ascii="宋体" w:hAnsi="宋体" w:cs="宋体"/>
          <w:sz w:val="24"/>
          <w:szCs w:val="24"/>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190875" cy="1584325"/>
                        </a:xfrm>
                        <a:prstGeom prst="flowChartAlternateProcess">
                          <a:avLst/>
                        </a:prstGeom>
                        <a:solidFill>
                          <a:srgbClr val="FFFFFF"/>
                        </a:solidFill>
                        <a:ln w="9525">
                          <a:solidFill>
                            <a:srgbClr val="000000"/>
                          </a:solidFill>
                          <a:miter lim="800000"/>
                        </a:ln>
                        <a:effectLst/>
                      </wps:spPr>
                      <wps:txbx>
                        <w:txbxContent>
                          <w:p w14:paraId="2D34394A">
                            <w:pPr>
                              <w:jc w:val="center"/>
                              <w:rPr>
                                <w:szCs w:val="21"/>
                              </w:rPr>
                            </w:pPr>
                          </w:p>
                          <w:p w14:paraId="47869F0E">
                            <w:pPr>
                              <w:jc w:val="center"/>
                              <w:rPr>
                                <w:szCs w:val="21"/>
                              </w:rPr>
                            </w:pPr>
                          </w:p>
                          <w:p w14:paraId="1290A764">
                            <w:pPr>
                              <w:jc w:val="center"/>
                              <w:rPr>
                                <w:szCs w:val="21"/>
                              </w:rPr>
                            </w:pPr>
                          </w:p>
                          <w:p w14:paraId="52726FDC">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5.5pt;margin-top:2.6pt;height:124.75pt;width:251.25pt;z-index:251661312;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yfTrNgAAAAJAQAADwAAAAAAAAABACAAAAAiAAAAZHJzL2Rvd25yZXYueG1sUEsBAhQAFAAA&#10;AAgAh07iQOK6AdxhAgAArwQAAA4AAAAAAAAAAQAgAAAAJwEAAGRycy9lMm9Eb2MueG1sUEsFBgAA&#10;AAAGAAYAWQEAAPoFAAAAAA==&#10;">
                <v:fill on="t" focussize="0,0"/>
                <v:stroke color="#000000" miterlimit="8" joinstyle="miter"/>
                <v:imagedata o:title=""/>
                <o:lock v:ext="edit" aspectratio="f"/>
                <v:textbox>
                  <w:txbxContent>
                    <w:p w14:paraId="2D34394A">
                      <w:pPr>
                        <w:jc w:val="center"/>
                        <w:rPr>
                          <w:szCs w:val="21"/>
                        </w:rPr>
                      </w:pPr>
                    </w:p>
                    <w:p w14:paraId="47869F0E">
                      <w:pPr>
                        <w:jc w:val="center"/>
                        <w:rPr>
                          <w:szCs w:val="21"/>
                        </w:rPr>
                      </w:pPr>
                    </w:p>
                    <w:p w14:paraId="1290A764">
                      <w:pPr>
                        <w:jc w:val="center"/>
                        <w:rPr>
                          <w:szCs w:val="21"/>
                        </w:rPr>
                      </w:pPr>
                    </w:p>
                    <w:p w14:paraId="52726FDC">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60CC708C">
      <w:pPr>
        <w:pStyle w:val="11"/>
        <w:rPr>
          <w:rFonts w:hint="eastAsia" w:ascii="宋体" w:hAnsi="宋体" w:cs="宋体"/>
          <w:sz w:val="24"/>
          <w:szCs w:val="24"/>
          <w:highlight w:val="none"/>
        </w:rPr>
      </w:pPr>
    </w:p>
    <w:p w14:paraId="1E0684B3">
      <w:pPr>
        <w:rPr>
          <w:rFonts w:hint="eastAsia" w:ascii="宋体" w:hAnsi="宋体" w:cs="宋体"/>
          <w:highlight w:val="none"/>
        </w:rPr>
      </w:pPr>
    </w:p>
    <w:bookmarkEnd w:id="266"/>
    <w:p w14:paraId="7B1D98B2">
      <w:pPr>
        <w:rPr>
          <w:rFonts w:hint="eastAsia" w:ascii="宋体" w:hAnsi="宋体" w:cs="宋体"/>
          <w:highlight w:val="none"/>
        </w:rPr>
      </w:pPr>
    </w:p>
    <w:p w14:paraId="3977E46B">
      <w:pPr>
        <w:pStyle w:val="14"/>
        <w:rPr>
          <w:rFonts w:hint="eastAsia" w:ascii="宋体" w:hAnsi="宋体" w:cs="宋体"/>
          <w:b/>
          <w:sz w:val="24"/>
          <w:szCs w:val="24"/>
          <w:highlight w:val="none"/>
        </w:rPr>
      </w:pPr>
    </w:p>
    <w:p w14:paraId="4782AB2C">
      <w:pPr>
        <w:pStyle w:val="14"/>
        <w:rPr>
          <w:rFonts w:hint="eastAsia" w:ascii="宋体" w:hAnsi="宋体" w:cs="宋体"/>
          <w:b/>
          <w:sz w:val="24"/>
          <w:szCs w:val="24"/>
          <w:highlight w:val="none"/>
        </w:rPr>
      </w:pPr>
    </w:p>
    <w:p w14:paraId="7AED89B4">
      <w:pPr>
        <w:pStyle w:val="3"/>
        <w:rPr>
          <w:rStyle w:val="68"/>
          <w:rFonts w:hint="eastAsia" w:ascii="宋体" w:hAnsi="宋体" w:cs="宋体"/>
          <w:b/>
          <w:bCs/>
          <w:highlight w:val="none"/>
        </w:rPr>
      </w:pPr>
      <w:r>
        <w:rPr>
          <w:rFonts w:hint="eastAsia" w:ascii="宋体" w:hAnsi="宋体" w:cs="宋体"/>
          <w:b/>
          <w:sz w:val="24"/>
          <w:szCs w:val="24"/>
          <w:highlight w:val="none"/>
        </w:rPr>
        <w:br w:type="page"/>
      </w:r>
      <w:bookmarkStart w:id="364" w:name="_Toc9866"/>
      <w:bookmarkStart w:id="365" w:name="_Toc135054617"/>
      <w:r>
        <w:rPr>
          <w:rStyle w:val="68"/>
          <w:rFonts w:hint="eastAsia" w:ascii="宋体" w:hAnsi="宋体" w:cs="宋体"/>
          <w:b/>
          <w:bCs/>
          <w:sz w:val="24"/>
          <w:highlight w:val="none"/>
        </w:rPr>
        <w:t>格式十 联合体协议书</w:t>
      </w:r>
      <w:bookmarkEnd w:id="364"/>
      <w:bookmarkEnd w:id="365"/>
      <w:r>
        <w:rPr>
          <w:rStyle w:val="68"/>
          <w:rFonts w:hint="eastAsia" w:ascii="宋体" w:hAnsi="宋体" w:cs="宋体"/>
          <w:b/>
          <w:bCs/>
          <w:sz w:val="24"/>
          <w:highlight w:val="none"/>
        </w:rPr>
        <w:t>（本项目不适用）</w:t>
      </w:r>
    </w:p>
    <w:p w14:paraId="05C8AC9D">
      <w:pPr>
        <w:pStyle w:val="119"/>
        <w:widowControl w:val="0"/>
        <w:wordWrap w:val="0"/>
        <w:adjustRightInd w:val="0"/>
        <w:snapToGrid w:val="0"/>
        <w:spacing w:before="240" w:after="240" w:line="440" w:lineRule="exact"/>
        <w:ind w:firstLine="0"/>
        <w:jc w:val="center"/>
        <w:outlineLvl w:val="0"/>
        <w:rPr>
          <w:rFonts w:hint="eastAsia" w:ascii="宋体" w:hAnsi="宋体" w:eastAsia="宋体" w:cs="宋体"/>
          <w:snapToGrid w:val="0"/>
          <w:sz w:val="24"/>
          <w:szCs w:val="24"/>
          <w:highlight w:val="none"/>
        </w:rPr>
      </w:pPr>
      <w:bookmarkStart w:id="366" w:name="_Toc10436"/>
      <w:r>
        <w:rPr>
          <w:rFonts w:hint="eastAsia" w:ascii="宋体" w:hAnsi="宋体" w:eastAsia="宋体" w:cs="宋体"/>
          <w:b/>
          <w:snapToGrid w:val="0"/>
          <w:sz w:val="24"/>
          <w:szCs w:val="24"/>
          <w:highlight w:val="none"/>
        </w:rPr>
        <w:t>联合体协议书</w:t>
      </w:r>
      <w:bookmarkEnd w:id="366"/>
    </w:p>
    <w:p w14:paraId="7E92BE00">
      <w:pPr>
        <w:spacing w:line="440" w:lineRule="exact"/>
        <w:ind w:firstLine="480" w:firstLineChars="200"/>
        <w:rPr>
          <w:rFonts w:hint="eastAsia" w:ascii="宋体" w:hAnsi="宋体" w:cs="宋体"/>
          <w:sz w:val="24"/>
          <w:highlight w:val="none"/>
        </w:rPr>
      </w:pPr>
      <w:r>
        <w:rPr>
          <w:rFonts w:hint="eastAsia" w:ascii="宋体" w:hAnsi="宋体" w:cs="宋体"/>
          <w:sz w:val="24"/>
          <w:highlight w:val="none"/>
          <w:u w:val="single"/>
        </w:rPr>
        <w:t xml:space="preserve">                  、                 </w:t>
      </w:r>
      <w:r>
        <w:rPr>
          <w:rFonts w:hint="eastAsia" w:ascii="宋体" w:hAnsi="宋体" w:cs="宋体"/>
          <w:sz w:val="24"/>
          <w:highlight w:val="none"/>
        </w:rPr>
        <w:t>（所有成员单位名称）自愿组成联合体，共同参加</w:t>
      </w:r>
      <w:r>
        <w:rPr>
          <w:rFonts w:hint="eastAsia" w:ascii="宋体" w:hAnsi="宋体" w:cs="宋体"/>
          <w:sz w:val="24"/>
          <w:highlight w:val="none"/>
          <w:u w:val="single"/>
        </w:rPr>
        <w:t xml:space="preserve">     （项目名称）       </w:t>
      </w:r>
      <w:r>
        <w:rPr>
          <w:rFonts w:hint="eastAsia" w:ascii="宋体" w:hAnsi="宋体" w:cs="宋体"/>
          <w:sz w:val="24"/>
          <w:highlight w:val="none"/>
        </w:rPr>
        <w:t>投标。现就联合体投标事宜订立如下协议：</w:t>
      </w:r>
    </w:p>
    <w:p w14:paraId="5E900454">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1.__________（某成员单位名称）为_____________________（联合体名称）牵头人。</w:t>
      </w:r>
    </w:p>
    <w:p w14:paraId="5602EDF2">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96F382D">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3.联合体将严格按照招标文件的各项要求，递交投标文件，履行合同，并对外承担连带责任。</w:t>
      </w:r>
    </w:p>
    <w:p w14:paraId="4ACAF954">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4.联合体各成员单位内部的职责分工如下：</w:t>
      </w:r>
      <w:r>
        <w:rPr>
          <w:rFonts w:hint="eastAsia" w:ascii="宋体" w:hAnsi="宋体" w:cs="宋体"/>
          <w:sz w:val="24"/>
          <w:highlight w:val="none"/>
          <w:u w:val="single"/>
        </w:rPr>
        <w:t>联合体牵头人   （单位名称）    除负责本协议第2条的工作外，还负责承担       工作，联合体成员（单位名称）</w:t>
      </w:r>
      <w:r>
        <w:rPr>
          <w:rFonts w:hint="eastAsia" w:ascii="宋体" w:hAnsi="宋体" w:cs="宋体"/>
          <w:sz w:val="24"/>
          <w:highlight w:val="none"/>
        </w:rPr>
        <w:t>___________</w:t>
      </w:r>
      <w:r>
        <w:rPr>
          <w:rFonts w:hint="eastAsia" w:ascii="宋体" w:hAnsi="宋体" w:cs="宋体"/>
          <w:sz w:val="24"/>
          <w:highlight w:val="none"/>
          <w:u w:val="single"/>
        </w:rPr>
        <w:t>承担      工作。</w:t>
      </w:r>
    </w:p>
    <w:p w14:paraId="67CBE354">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5.本协议书自签署之日起生效，合同履行完毕后自动失效。</w:t>
      </w:r>
    </w:p>
    <w:p w14:paraId="13DD093A">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6.本协议书一式</w:t>
      </w:r>
      <w:r>
        <w:rPr>
          <w:rFonts w:hint="eastAsia" w:ascii="宋体" w:hAnsi="宋体" w:cs="宋体"/>
          <w:sz w:val="24"/>
          <w:highlight w:val="none"/>
          <w:u w:val="single"/>
        </w:rPr>
        <w:t xml:space="preserve">   </w:t>
      </w:r>
      <w:r>
        <w:rPr>
          <w:rFonts w:hint="eastAsia" w:ascii="宋体" w:hAnsi="宋体" w:cs="宋体"/>
          <w:sz w:val="24"/>
          <w:highlight w:val="none"/>
        </w:rPr>
        <w:t>份，联合体各成员和招标人各执一份。</w:t>
      </w:r>
    </w:p>
    <w:p w14:paraId="21B7A547">
      <w:pPr>
        <w:pStyle w:val="119"/>
        <w:widowControl w:val="0"/>
        <w:wordWrap w:val="0"/>
        <w:adjustRightInd w:val="0"/>
        <w:snapToGrid w:val="0"/>
        <w:spacing w:line="440" w:lineRule="exact"/>
        <w:rPr>
          <w:rFonts w:hint="eastAsia" w:ascii="宋体" w:hAnsi="宋体" w:eastAsia="宋体" w:cs="宋体"/>
          <w:snapToGrid w:val="0"/>
          <w:sz w:val="24"/>
          <w:szCs w:val="24"/>
          <w:highlight w:val="none"/>
        </w:rPr>
      </w:pPr>
    </w:p>
    <w:p w14:paraId="1D4C58E8">
      <w:pPr>
        <w:pStyle w:val="119"/>
        <w:widowControl w:val="0"/>
        <w:wordWrap w:val="0"/>
        <w:adjustRightInd w:val="0"/>
        <w:snapToGrid w:val="0"/>
        <w:spacing w:line="440" w:lineRule="exact"/>
        <w:jc w:val="righ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　　　　　　牵头人名称：</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（盖单位章）</w:t>
      </w:r>
    </w:p>
    <w:p w14:paraId="14FB7408">
      <w:pPr>
        <w:pStyle w:val="119"/>
        <w:widowControl w:val="0"/>
        <w:wordWrap w:val="0"/>
        <w:adjustRightInd w:val="0"/>
        <w:snapToGrid w:val="0"/>
        <w:spacing w:line="440" w:lineRule="exact"/>
        <w:jc w:val="righ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 xml:space="preserve">        法定代表人或其委托代理人：</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（签字或盖章）</w:t>
      </w:r>
    </w:p>
    <w:p w14:paraId="0D9F0FC8">
      <w:pPr>
        <w:pStyle w:val="119"/>
        <w:widowControl w:val="0"/>
        <w:wordWrap w:val="0"/>
        <w:adjustRightInd w:val="0"/>
        <w:snapToGrid w:val="0"/>
        <w:spacing w:line="440" w:lineRule="exact"/>
        <w:jc w:val="righ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　　　　　　成员一名称：</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（盖单位章）</w:t>
      </w:r>
    </w:p>
    <w:p w14:paraId="2A2D19F7">
      <w:pPr>
        <w:pStyle w:val="119"/>
        <w:widowControl w:val="0"/>
        <w:wordWrap w:val="0"/>
        <w:adjustRightInd w:val="0"/>
        <w:snapToGrid w:val="0"/>
        <w:spacing w:line="440" w:lineRule="exact"/>
        <w:jc w:val="righ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　　　　　法定代表人或其委托代理人：</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（签字或盖章）</w:t>
      </w:r>
    </w:p>
    <w:p w14:paraId="1F49D5F3">
      <w:pPr>
        <w:pStyle w:val="119"/>
        <w:widowControl w:val="0"/>
        <w:wordWrap w:val="0"/>
        <w:adjustRightInd w:val="0"/>
        <w:snapToGrid w:val="0"/>
        <w:spacing w:line="440" w:lineRule="exac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　　　　　　      ……</w:t>
      </w:r>
    </w:p>
    <w:p w14:paraId="6EA18E1C">
      <w:pPr>
        <w:pStyle w:val="119"/>
        <w:widowControl w:val="0"/>
        <w:wordWrap w:val="0"/>
        <w:adjustRightInd w:val="0"/>
        <w:snapToGrid w:val="0"/>
        <w:spacing w:line="440" w:lineRule="exact"/>
        <w:rPr>
          <w:rFonts w:hint="eastAsia" w:ascii="宋体" w:hAnsi="宋体" w:eastAsia="宋体" w:cs="宋体"/>
          <w:snapToGrid w:val="0"/>
          <w:sz w:val="24"/>
          <w:szCs w:val="24"/>
          <w:highlight w:val="none"/>
        </w:rPr>
      </w:pPr>
    </w:p>
    <w:p w14:paraId="46D5C946">
      <w:pPr>
        <w:pStyle w:val="119"/>
        <w:widowControl w:val="0"/>
        <w:wordWrap w:val="0"/>
        <w:adjustRightInd w:val="0"/>
        <w:snapToGrid w:val="0"/>
        <w:spacing w:line="440" w:lineRule="exact"/>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 xml:space="preserve">                                 </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年</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月</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日</w:t>
      </w:r>
    </w:p>
    <w:p w14:paraId="12975B13">
      <w:pPr>
        <w:pStyle w:val="119"/>
        <w:widowControl w:val="0"/>
        <w:wordWrap w:val="0"/>
        <w:adjustRightInd w:val="0"/>
        <w:snapToGrid w:val="0"/>
        <w:spacing w:line="440" w:lineRule="exact"/>
        <w:jc w:val="center"/>
        <w:rPr>
          <w:rFonts w:hint="eastAsia" w:ascii="宋体" w:hAnsi="宋体" w:eastAsia="宋体" w:cs="宋体"/>
          <w:snapToGrid w:val="0"/>
          <w:sz w:val="24"/>
          <w:szCs w:val="24"/>
          <w:highlight w:val="none"/>
        </w:rPr>
      </w:pPr>
    </w:p>
    <w:p w14:paraId="538D96CE">
      <w:pPr>
        <w:pStyle w:val="119"/>
        <w:widowControl w:val="0"/>
        <w:wordWrap w:val="0"/>
        <w:adjustRightInd w:val="0"/>
        <w:snapToGrid w:val="0"/>
        <w:spacing w:line="440" w:lineRule="exac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说明：《联合体协议书》由委托代理人签字或盖章的，应附法定代表人签字或盖章的授权委托书。</w:t>
      </w:r>
    </w:p>
    <w:p w14:paraId="79DF51CC">
      <w:pPr>
        <w:pStyle w:val="3"/>
        <w:rPr>
          <w:rStyle w:val="68"/>
          <w:rFonts w:hint="eastAsia" w:ascii="宋体" w:hAnsi="宋体" w:cs="宋体"/>
          <w:b/>
          <w:bCs/>
          <w:sz w:val="24"/>
          <w:highlight w:val="none"/>
        </w:rPr>
      </w:pPr>
    </w:p>
    <w:p w14:paraId="0751EDB5">
      <w:pPr>
        <w:pStyle w:val="3"/>
        <w:rPr>
          <w:rStyle w:val="68"/>
          <w:rFonts w:hint="eastAsia" w:ascii="宋体" w:hAnsi="宋体" w:cs="宋体"/>
          <w:b/>
          <w:bCs/>
          <w:sz w:val="24"/>
          <w:highlight w:val="none"/>
        </w:rPr>
      </w:pPr>
    </w:p>
    <w:p w14:paraId="6D18F020">
      <w:pPr>
        <w:pStyle w:val="3"/>
        <w:rPr>
          <w:rStyle w:val="68"/>
          <w:rFonts w:hint="eastAsia" w:ascii="宋体" w:hAnsi="宋体" w:cs="宋体"/>
          <w:b/>
          <w:bCs/>
          <w:sz w:val="24"/>
          <w:highlight w:val="none"/>
        </w:rPr>
      </w:pPr>
    </w:p>
    <w:p w14:paraId="35A4CD55">
      <w:pPr>
        <w:rPr>
          <w:rFonts w:hint="eastAsia"/>
        </w:rPr>
      </w:pPr>
    </w:p>
    <w:p w14:paraId="70C0DE61">
      <w:pPr>
        <w:rPr>
          <w:highlight w:val="none"/>
        </w:rPr>
      </w:pPr>
    </w:p>
    <w:p w14:paraId="322018AA">
      <w:pPr>
        <w:pStyle w:val="2"/>
        <w:keepNext/>
        <w:keepLines/>
        <w:tabs>
          <w:tab w:val="left" w:pos="885"/>
        </w:tabs>
        <w:spacing w:line="400" w:lineRule="exact"/>
        <w:jc w:val="center"/>
        <w:rPr>
          <w:rFonts w:hint="eastAsia" w:ascii="宋体" w:hAnsi="宋体" w:cs="宋体"/>
          <w:b/>
          <w:kern w:val="44"/>
          <w:sz w:val="28"/>
          <w:szCs w:val="28"/>
          <w:highlight w:val="none"/>
        </w:rPr>
      </w:pPr>
      <w:bookmarkStart w:id="367" w:name="_Toc31919"/>
      <w:bookmarkStart w:id="368" w:name="_Toc14924"/>
      <w:bookmarkStart w:id="369" w:name="_Toc20762"/>
      <w:r>
        <w:rPr>
          <w:rFonts w:hint="eastAsia" w:ascii="宋体" w:hAnsi="宋体" w:cs="宋体"/>
          <w:b/>
          <w:kern w:val="44"/>
          <w:sz w:val="28"/>
          <w:szCs w:val="28"/>
          <w:highlight w:val="none"/>
        </w:rPr>
        <w:t xml:space="preserve">第六章 </w:t>
      </w:r>
      <w:bookmarkEnd w:id="367"/>
      <w:r>
        <w:rPr>
          <w:rFonts w:hint="eastAsia" w:ascii="宋体" w:hAnsi="宋体" w:cs="宋体"/>
          <w:b/>
          <w:kern w:val="44"/>
          <w:sz w:val="28"/>
          <w:szCs w:val="28"/>
          <w:highlight w:val="none"/>
        </w:rPr>
        <w:t>其他资料</w:t>
      </w:r>
      <w:bookmarkEnd w:id="368"/>
      <w:bookmarkEnd w:id="369"/>
    </w:p>
    <w:p w14:paraId="145EFB1E">
      <w:pPr>
        <w:rPr>
          <w:highlight w:val="none"/>
        </w:rPr>
      </w:pPr>
    </w:p>
    <w:p w14:paraId="1AD45AB5">
      <w:pPr>
        <w:jc w:val="center"/>
        <w:rPr>
          <w:rFonts w:hint="eastAsia" w:ascii="宋体" w:hAnsi="宋体" w:cs="宋体"/>
          <w:b/>
          <w:kern w:val="44"/>
          <w:sz w:val="28"/>
          <w:szCs w:val="28"/>
          <w:highlight w:val="none"/>
        </w:rPr>
      </w:pPr>
      <w:r>
        <w:rPr>
          <w:rFonts w:hint="eastAsia" w:ascii="宋体" w:hAnsi="宋体" w:cs="宋体"/>
          <w:b/>
          <w:kern w:val="44"/>
          <w:sz w:val="28"/>
          <w:szCs w:val="28"/>
          <w:highlight w:val="none"/>
        </w:rPr>
        <w:t>一、设计任务</w:t>
      </w:r>
    </w:p>
    <w:p w14:paraId="59612866">
      <w:pPr>
        <w:spacing w:before="75" w:after="75" w:line="420" w:lineRule="atLeast"/>
        <w:ind w:firstLine="643"/>
        <w:rPr>
          <w:rFonts w:ascii="Arial" w:hAnsi="Arial" w:eastAsia="仿宋"/>
          <w:b/>
          <w:sz w:val="32"/>
          <w:szCs w:val="32"/>
        </w:rPr>
      </w:pPr>
      <w:bookmarkStart w:id="370" w:name="_Toc532547367"/>
      <w:r>
        <w:rPr>
          <w:rFonts w:hint="eastAsia" w:ascii="Arial" w:hAnsi="Arial" w:eastAsia="仿宋"/>
          <w:b/>
          <w:sz w:val="32"/>
          <w:szCs w:val="32"/>
        </w:rPr>
        <w:t>一、项目基本情况</w:t>
      </w:r>
      <w:bookmarkEnd w:id="370"/>
    </w:p>
    <w:p w14:paraId="7F799EBD">
      <w:pPr>
        <w:spacing w:after="156" w:afterLines="50" w:line="400" w:lineRule="exact"/>
        <w:ind w:left="120" w:firstLine="482"/>
        <w:rPr>
          <w:b/>
          <w:bCs/>
        </w:rPr>
      </w:pPr>
      <w:r>
        <w:rPr>
          <w:rFonts w:hint="eastAsia"/>
          <w:b/>
          <w:bCs/>
        </w:rPr>
        <w:t>1.1项目地址</w:t>
      </w:r>
    </w:p>
    <w:p w14:paraId="68C293D8">
      <w:pPr>
        <w:spacing w:line="400" w:lineRule="exact"/>
        <w:ind w:firstLine="480"/>
        <w:rPr>
          <w:rFonts w:hint="eastAsia"/>
        </w:rPr>
      </w:pPr>
      <w:r>
        <w:rPr>
          <w:rFonts w:hint="eastAsia"/>
        </w:rPr>
        <w:t>项目位于韶关市浈江区。</w:t>
      </w:r>
    </w:p>
    <w:p w14:paraId="537E8B25">
      <w:pPr>
        <w:spacing w:after="156" w:afterLines="50" w:line="400" w:lineRule="exact"/>
        <w:ind w:left="120" w:firstLine="482"/>
        <w:rPr>
          <w:b/>
          <w:bCs/>
        </w:rPr>
      </w:pPr>
      <w:r>
        <w:rPr>
          <w:rFonts w:hint="eastAsia"/>
          <w:b/>
          <w:bCs/>
        </w:rPr>
        <w:t>1.2工程概况</w:t>
      </w:r>
    </w:p>
    <w:p w14:paraId="3AFEEB14">
      <w:pPr>
        <w:spacing w:before="75" w:after="75"/>
        <w:ind w:firstLine="480"/>
        <w:rPr>
          <w:rFonts w:hint="eastAsia" w:hAnsi="宋体" w:cs="Tahoma"/>
          <w:kern w:val="0"/>
        </w:rPr>
      </w:pPr>
      <w:bookmarkStart w:id="371" w:name="_Hlk106202763"/>
      <w:r>
        <w:rPr>
          <w:rFonts w:hint="eastAsia" w:hAnsi="宋体" w:cs="Tahoma"/>
          <w:kern w:val="0"/>
        </w:rPr>
        <w:t>项目位于韶关市浈江区犁市镇黄塘村(309厂附近)，主要对浈江产业园(犁市片区)基础设施建设项目土方工程、道路及边坡工程、管线工程进行</w:t>
      </w:r>
      <w:r>
        <w:rPr>
          <w:rFonts w:hint="eastAsia" w:hAnsi="宋体" w:cs="Tahoma"/>
          <w:kern w:val="0"/>
          <w:lang w:val="en-US" w:eastAsia="zh-CN"/>
        </w:rPr>
        <w:t>设计</w:t>
      </w:r>
      <w:r>
        <w:rPr>
          <w:rFonts w:hint="eastAsia" w:hAnsi="宋体" w:cs="Tahoma"/>
          <w:kern w:val="0"/>
        </w:rPr>
        <w:t>，并出具成果文件。</w:t>
      </w:r>
    </w:p>
    <w:p w14:paraId="1BB5A288">
      <w:pPr>
        <w:spacing w:before="75" w:after="75"/>
        <w:ind w:firstLine="480"/>
        <w:jc w:val="center"/>
        <w:rPr>
          <w:rFonts w:hint="eastAsia" w:hAnsi="宋体" w:cs="Tahoma"/>
          <w:kern w:val="0"/>
        </w:rPr>
      </w:pPr>
      <w:r>
        <w:rPr>
          <w:position w:val="-186"/>
        </w:rPr>
        <w:drawing>
          <wp:inline distT="0" distB="0" distL="0" distR="0">
            <wp:extent cx="5311140" cy="5917565"/>
            <wp:effectExtent l="0" t="0" r="3810" b="698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5311140" cy="5917691"/>
                    </a:xfrm>
                    <a:prstGeom prst="rect">
                      <a:avLst/>
                    </a:prstGeom>
                  </pic:spPr>
                </pic:pic>
              </a:graphicData>
            </a:graphic>
          </wp:inline>
        </w:drawing>
      </w:r>
    </w:p>
    <w:p w14:paraId="656D0B91">
      <w:pPr>
        <w:keepNext w:val="0"/>
        <w:keepLines w:val="0"/>
        <w:pageBreakBefore w:val="0"/>
        <w:widowControl/>
        <w:kinsoku/>
        <w:wordWrap/>
        <w:overflowPunct/>
        <w:topLinePunct w:val="0"/>
        <w:autoSpaceDE/>
        <w:autoSpaceDN/>
        <w:bidi w:val="0"/>
        <w:spacing w:line="360" w:lineRule="auto"/>
        <w:ind w:left="120" w:firstLine="482"/>
        <w:textAlignment w:val="auto"/>
        <w:rPr>
          <w:rFonts w:hint="eastAsia"/>
          <w:b/>
          <w:bCs/>
        </w:rPr>
      </w:pPr>
    </w:p>
    <w:p w14:paraId="42274B85">
      <w:pPr>
        <w:keepNext w:val="0"/>
        <w:keepLines w:val="0"/>
        <w:pageBreakBefore w:val="0"/>
        <w:widowControl/>
        <w:kinsoku/>
        <w:wordWrap/>
        <w:overflowPunct/>
        <w:topLinePunct w:val="0"/>
        <w:autoSpaceDE/>
        <w:autoSpaceDN/>
        <w:bidi w:val="0"/>
        <w:spacing w:line="360" w:lineRule="auto"/>
        <w:ind w:left="120" w:firstLine="482"/>
        <w:textAlignment w:val="auto"/>
        <w:rPr>
          <w:rFonts w:hint="eastAsia"/>
          <w:b/>
          <w:bCs/>
        </w:rPr>
      </w:pPr>
    </w:p>
    <w:p w14:paraId="47CCFDDB">
      <w:pPr>
        <w:keepNext w:val="0"/>
        <w:keepLines w:val="0"/>
        <w:pageBreakBefore w:val="0"/>
        <w:widowControl/>
        <w:kinsoku/>
        <w:wordWrap/>
        <w:overflowPunct/>
        <w:topLinePunct w:val="0"/>
        <w:autoSpaceDE/>
        <w:autoSpaceDN/>
        <w:bidi w:val="0"/>
        <w:spacing w:line="360" w:lineRule="auto"/>
        <w:ind w:left="120" w:firstLine="482"/>
        <w:textAlignment w:val="auto"/>
        <w:rPr>
          <w:rFonts w:hint="eastAsia"/>
          <w:b/>
          <w:bCs/>
        </w:rPr>
      </w:pPr>
    </w:p>
    <w:p w14:paraId="5A85B504">
      <w:pPr>
        <w:keepNext w:val="0"/>
        <w:keepLines w:val="0"/>
        <w:pageBreakBefore w:val="0"/>
        <w:widowControl/>
        <w:kinsoku/>
        <w:wordWrap/>
        <w:overflowPunct/>
        <w:topLinePunct w:val="0"/>
        <w:autoSpaceDE/>
        <w:autoSpaceDN/>
        <w:bidi w:val="0"/>
        <w:spacing w:line="360" w:lineRule="auto"/>
        <w:ind w:left="120" w:firstLine="482"/>
        <w:textAlignment w:val="auto"/>
        <w:rPr>
          <w:rFonts w:hint="eastAsia"/>
          <w:b/>
          <w:bCs/>
        </w:rPr>
      </w:pPr>
    </w:p>
    <w:p w14:paraId="1A901A4D">
      <w:pPr>
        <w:keepNext w:val="0"/>
        <w:keepLines w:val="0"/>
        <w:pageBreakBefore w:val="0"/>
        <w:widowControl/>
        <w:kinsoku/>
        <w:wordWrap/>
        <w:overflowPunct/>
        <w:topLinePunct w:val="0"/>
        <w:autoSpaceDE/>
        <w:autoSpaceDN/>
        <w:bidi w:val="0"/>
        <w:spacing w:line="360" w:lineRule="auto"/>
        <w:ind w:left="120" w:firstLine="482"/>
        <w:textAlignment w:val="auto"/>
        <w:rPr>
          <w:rFonts w:hint="eastAsia"/>
          <w:b/>
          <w:bCs/>
        </w:rPr>
      </w:pPr>
    </w:p>
    <w:p w14:paraId="1D8145D1">
      <w:pPr>
        <w:keepNext w:val="0"/>
        <w:keepLines w:val="0"/>
        <w:pageBreakBefore w:val="0"/>
        <w:widowControl/>
        <w:kinsoku/>
        <w:wordWrap/>
        <w:overflowPunct/>
        <w:topLinePunct w:val="0"/>
        <w:autoSpaceDE/>
        <w:autoSpaceDN/>
        <w:bidi w:val="0"/>
        <w:spacing w:line="360" w:lineRule="auto"/>
        <w:ind w:left="120" w:firstLine="482"/>
        <w:textAlignment w:val="auto"/>
        <w:rPr>
          <w:rFonts w:hint="eastAsia"/>
          <w:b/>
          <w:bCs/>
        </w:rPr>
      </w:pPr>
    </w:p>
    <w:p w14:paraId="134F9853">
      <w:pPr>
        <w:keepNext w:val="0"/>
        <w:keepLines w:val="0"/>
        <w:pageBreakBefore w:val="0"/>
        <w:widowControl/>
        <w:kinsoku/>
        <w:wordWrap/>
        <w:overflowPunct/>
        <w:topLinePunct w:val="0"/>
        <w:autoSpaceDE/>
        <w:autoSpaceDN/>
        <w:bidi w:val="0"/>
        <w:spacing w:line="360" w:lineRule="auto"/>
        <w:ind w:left="120" w:firstLine="482"/>
        <w:textAlignment w:val="auto"/>
        <w:rPr>
          <w:b/>
          <w:bCs/>
        </w:rPr>
      </w:pPr>
      <w:r>
        <w:rPr>
          <w:rFonts w:hint="eastAsia"/>
          <w:b/>
          <w:bCs/>
        </w:rPr>
        <w:t>1.</w:t>
      </w:r>
      <w:r>
        <w:rPr>
          <w:b/>
          <w:bCs/>
        </w:rPr>
        <w:t>3</w:t>
      </w:r>
      <w:r>
        <w:rPr>
          <w:rFonts w:hint="eastAsia"/>
          <w:b/>
          <w:bCs/>
        </w:rPr>
        <w:t>主要工程规模</w:t>
      </w:r>
    </w:p>
    <w:bookmarkEnd w:id="371"/>
    <w:p w14:paraId="581F650F">
      <w:pPr>
        <w:keepNext w:val="0"/>
        <w:keepLines w:val="0"/>
        <w:pageBreakBefore w:val="0"/>
        <w:widowControl/>
        <w:kinsoku/>
        <w:wordWrap/>
        <w:overflowPunct/>
        <w:topLinePunct w:val="0"/>
        <w:autoSpaceDE/>
        <w:autoSpaceDN/>
        <w:bidi w:val="0"/>
        <w:spacing w:line="360" w:lineRule="auto"/>
        <w:ind w:firstLine="480"/>
        <w:textAlignment w:val="auto"/>
        <w:rPr>
          <w:rFonts w:hint="eastAsia"/>
        </w:rPr>
      </w:pPr>
      <w:r>
        <w:rPr>
          <w:rFonts w:hint="eastAsia"/>
        </w:rPr>
        <w:t>本期工程总建安费约</w:t>
      </w:r>
      <w:r>
        <w:rPr>
          <w:rFonts w:hint="eastAsia"/>
          <w:lang w:val="en-US" w:eastAsia="zh-CN"/>
        </w:rPr>
        <w:t>9912.34</w:t>
      </w:r>
      <w:r>
        <w:rPr>
          <w:rFonts w:hint="eastAsia"/>
        </w:rPr>
        <w:t>万，具体工程规模及相关指标如下：</w:t>
      </w:r>
    </w:p>
    <w:p w14:paraId="2C7E0D92">
      <w:pPr>
        <w:keepNext w:val="0"/>
        <w:keepLines w:val="0"/>
        <w:pageBreakBefore w:val="0"/>
        <w:widowControl/>
        <w:kinsoku/>
        <w:wordWrap/>
        <w:overflowPunct/>
        <w:topLinePunct w:val="0"/>
        <w:autoSpaceDE/>
        <w:autoSpaceDN/>
        <w:bidi w:val="0"/>
        <w:spacing w:line="360" w:lineRule="auto"/>
        <w:ind w:firstLine="480"/>
        <w:textAlignment w:val="auto"/>
        <w:rPr>
          <w:rFonts w:hint="eastAsia"/>
        </w:rPr>
      </w:pPr>
      <w:r>
        <w:rPr>
          <w:rFonts w:hint="eastAsia"/>
        </w:rPr>
        <w:t>本次项目包含</w:t>
      </w:r>
      <w:r>
        <w:rPr>
          <w:rFonts w:hint="eastAsia"/>
          <w:lang w:val="en-US" w:eastAsia="zh-CN"/>
        </w:rPr>
        <w:t>土方工程、道路工程及管线工程三部分</w:t>
      </w:r>
      <w:r>
        <w:rPr>
          <w:rFonts w:hint="eastAsia"/>
        </w:rPr>
        <w:t>，其中：</w:t>
      </w:r>
    </w:p>
    <w:p w14:paraId="40B2EDF0">
      <w:pPr>
        <w:keepNext w:val="0"/>
        <w:keepLines w:val="0"/>
        <w:pageBreakBefore w:val="0"/>
        <w:widowControl/>
        <w:kinsoku/>
        <w:wordWrap/>
        <w:overflowPunct/>
        <w:topLinePunct w:val="0"/>
        <w:autoSpaceDE/>
        <w:autoSpaceDN/>
        <w:bidi w:val="0"/>
        <w:spacing w:line="360" w:lineRule="auto"/>
        <w:ind w:firstLine="480"/>
        <w:textAlignment w:val="auto"/>
        <w:rPr>
          <w:rFonts w:hint="eastAsia"/>
        </w:rPr>
      </w:pPr>
      <w:r>
        <w:rPr>
          <w:rFonts w:hint="eastAsia"/>
        </w:rPr>
        <w:t>①</w:t>
      </w:r>
      <w:r>
        <w:rPr>
          <w:rFonts w:hint="eastAsia"/>
          <w:lang w:val="en-US" w:eastAsia="zh-CN"/>
        </w:rPr>
        <w:t>场地土方平整面积约</w:t>
      </w:r>
      <w:r>
        <w:rPr>
          <w:rFonts w:hint="eastAsia"/>
        </w:rPr>
        <w:t>428.68亩</w:t>
      </w:r>
      <w:r>
        <w:rPr>
          <w:rFonts w:hint="eastAsia"/>
          <w:lang w:eastAsia="zh-CN"/>
        </w:rPr>
        <w:t>，</w:t>
      </w:r>
      <w:r>
        <w:rPr>
          <w:rFonts w:hint="eastAsia"/>
          <w:lang w:val="en-US" w:eastAsia="zh-CN"/>
        </w:rPr>
        <w:t>挖方约193078m³，填方约671184m³，弃土方88598m³，借土方约487760m³，具体以实际勘察设计确定数据为准</w:t>
      </w:r>
      <w:r>
        <w:rPr>
          <w:rFonts w:hint="eastAsia"/>
        </w:rPr>
        <w:t>。</w:t>
      </w:r>
    </w:p>
    <w:p w14:paraId="1436A99B">
      <w:pPr>
        <w:keepNext w:val="0"/>
        <w:keepLines w:val="0"/>
        <w:pageBreakBefore w:val="0"/>
        <w:widowControl/>
        <w:kinsoku/>
        <w:wordWrap/>
        <w:overflowPunct/>
        <w:topLinePunct w:val="0"/>
        <w:autoSpaceDE/>
        <w:autoSpaceDN/>
        <w:bidi w:val="0"/>
        <w:spacing w:line="360" w:lineRule="auto"/>
        <w:ind w:firstLine="480"/>
        <w:textAlignment w:val="auto"/>
        <w:rPr>
          <w:rFonts w:hint="eastAsia"/>
        </w:rPr>
      </w:pPr>
      <w:r>
        <w:rPr>
          <w:rFonts w:hint="eastAsia"/>
        </w:rPr>
        <w:t>②</w:t>
      </w:r>
      <w:r>
        <w:rPr>
          <w:rFonts w:hint="eastAsia"/>
          <w:lang w:val="en-US" w:eastAsia="zh-CN"/>
        </w:rPr>
        <w:t>道路工程为园区内部干道，</w:t>
      </w:r>
      <w:r>
        <w:rPr>
          <w:rFonts w:hint="eastAsia"/>
        </w:rPr>
        <w:t>道路全长约</w:t>
      </w:r>
      <w:r>
        <w:rPr>
          <w:rFonts w:hint="default"/>
          <w:lang w:val="en-US" w:eastAsia="zh-CN"/>
        </w:rPr>
        <w:t>1220</w:t>
      </w:r>
      <w:r>
        <w:rPr>
          <w:rFonts w:hint="eastAsia"/>
        </w:rPr>
        <w:t>m，道路等级为城市次干路</w:t>
      </w:r>
      <w:r>
        <w:rPr>
          <w:rFonts w:hint="eastAsia"/>
          <w:lang w:eastAsia="zh-CN"/>
        </w:rPr>
        <w:t>。</w:t>
      </w:r>
      <w:r>
        <w:rPr>
          <w:rFonts w:hint="eastAsia"/>
        </w:rPr>
        <w:t>③</w:t>
      </w:r>
      <w:r>
        <w:rPr>
          <w:rFonts w:hint="eastAsia"/>
          <w:lang w:val="en-US" w:eastAsia="zh-CN"/>
        </w:rPr>
        <w:t>管线工程主要布置在道路下，包含给排水工程、通信工程及电力工程等</w:t>
      </w:r>
      <w:r>
        <w:rPr>
          <w:rFonts w:hint="eastAsia"/>
        </w:rPr>
        <w:t>。</w:t>
      </w:r>
    </w:p>
    <w:p w14:paraId="4147E334">
      <w:pPr>
        <w:keepNext w:val="0"/>
        <w:keepLines w:val="0"/>
        <w:pageBreakBefore w:val="0"/>
        <w:widowControl/>
        <w:kinsoku/>
        <w:wordWrap/>
        <w:overflowPunct/>
        <w:topLinePunct w:val="0"/>
        <w:autoSpaceDE/>
        <w:autoSpaceDN/>
        <w:bidi w:val="0"/>
        <w:spacing w:line="360" w:lineRule="auto"/>
        <w:ind w:firstLine="480"/>
        <w:textAlignment w:val="auto"/>
        <w:rPr>
          <w:rFonts w:hAnsi="宋体" w:cs="宋体"/>
          <w:kern w:val="0"/>
          <w:szCs w:val="24"/>
        </w:rPr>
      </w:pPr>
      <w:r>
        <w:rPr>
          <w:rFonts w:hint="eastAsia"/>
        </w:rPr>
        <w:t>招标人在实施过程中可根据实际情况对工程规模进行合理、适当调整</w:t>
      </w:r>
      <w:r>
        <w:rPr>
          <w:rFonts w:hint="eastAsia" w:hAnsi="宋体" w:cs="宋体"/>
          <w:kern w:val="0"/>
          <w:szCs w:val="24"/>
        </w:rPr>
        <w:t>。</w:t>
      </w:r>
      <w:bookmarkStart w:id="372" w:name="_Toc532547368"/>
    </w:p>
    <w:p w14:paraId="4503861D">
      <w:pPr>
        <w:keepNext w:val="0"/>
        <w:keepLines w:val="0"/>
        <w:pageBreakBefore w:val="0"/>
        <w:widowControl/>
        <w:kinsoku/>
        <w:wordWrap/>
        <w:overflowPunct/>
        <w:topLinePunct w:val="0"/>
        <w:autoSpaceDE/>
        <w:autoSpaceDN/>
        <w:bidi w:val="0"/>
        <w:spacing w:line="360" w:lineRule="auto"/>
        <w:ind w:left="120" w:firstLine="482"/>
        <w:textAlignment w:val="auto"/>
        <w:rPr>
          <w:b/>
          <w:bCs/>
        </w:rPr>
      </w:pPr>
      <w:r>
        <w:rPr>
          <w:rFonts w:hint="eastAsia"/>
          <w:b/>
          <w:bCs/>
        </w:rPr>
        <w:t>1.</w:t>
      </w:r>
      <w:r>
        <w:rPr>
          <w:b/>
          <w:bCs/>
        </w:rPr>
        <w:t>4</w:t>
      </w:r>
      <w:r>
        <w:rPr>
          <w:rFonts w:hint="eastAsia"/>
          <w:b/>
          <w:bCs/>
        </w:rPr>
        <w:t>设计依据</w:t>
      </w:r>
    </w:p>
    <w:p w14:paraId="3858E25A">
      <w:pPr>
        <w:keepNext w:val="0"/>
        <w:keepLines w:val="0"/>
        <w:pageBreakBefore w:val="0"/>
        <w:widowControl/>
        <w:kinsoku/>
        <w:wordWrap/>
        <w:overflowPunct/>
        <w:topLinePunct w:val="0"/>
        <w:autoSpaceDE/>
        <w:autoSpaceDN/>
        <w:bidi w:val="0"/>
        <w:spacing w:line="360" w:lineRule="auto"/>
        <w:ind w:firstLine="480"/>
        <w:textAlignment w:val="auto"/>
        <w:rPr>
          <w:rFonts w:hint="eastAsia"/>
        </w:rPr>
      </w:pPr>
      <w:r>
        <w:rPr>
          <w:rFonts w:hint="eastAsia"/>
        </w:rPr>
        <w:t>1.《民用建筑设计统一标准》（GB50352-2019）；</w:t>
      </w:r>
    </w:p>
    <w:p w14:paraId="5600ECD8">
      <w:pPr>
        <w:keepNext w:val="0"/>
        <w:keepLines w:val="0"/>
        <w:pageBreakBefore w:val="0"/>
        <w:widowControl/>
        <w:kinsoku/>
        <w:wordWrap/>
        <w:overflowPunct/>
        <w:topLinePunct w:val="0"/>
        <w:autoSpaceDE/>
        <w:autoSpaceDN/>
        <w:bidi w:val="0"/>
        <w:spacing w:line="360" w:lineRule="auto"/>
        <w:ind w:firstLine="480"/>
        <w:textAlignment w:val="auto"/>
        <w:rPr>
          <w:rFonts w:hint="eastAsia"/>
        </w:rPr>
      </w:pPr>
      <w:r>
        <w:rPr>
          <w:rFonts w:hint="eastAsia"/>
        </w:rPr>
        <w:t>2.《建筑结构载荷规范》（GB50009－2012）；</w:t>
      </w:r>
    </w:p>
    <w:p w14:paraId="7476CAAB">
      <w:pPr>
        <w:keepNext w:val="0"/>
        <w:keepLines w:val="0"/>
        <w:pageBreakBefore w:val="0"/>
        <w:widowControl/>
        <w:kinsoku/>
        <w:wordWrap/>
        <w:overflowPunct/>
        <w:topLinePunct w:val="0"/>
        <w:autoSpaceDE/>
        <w:autoSpaceDN/>
        <w:bidi w:val="0"/>
        <w:spacing w:line="360" w:lineRule="auto"/>
        <w:ind w:firstLine="480"/>
        <w:textAlignment w:val="auto"/>
        <w:rPr>
          <w:rFonts w:hint="eastAsia"/>
        </w:rPr>
      </w:pPr>
      <w:r>
        <w:rPr>
          <w:rFonts w:hint="eastAsia"/>
        </w:rPr>
        <w:t>3.《建筑地基基础设计规范》（GB50007－2011）；</w:t>
      </w:r>
    </w:p>
    <w:p w14:paraId="02694F70">
      <w:pPr>
        <w:keepNext w:val="0"/>
        <w:keepLines w:val="0"/>
        <w:pageBreakBefore w:val="0"/>
        <w:widowControl/>
        <w:kinsoku/>
        <w:wordWrap/>
        <w:overflowPunct/>
        <w:topLinePunct w:val="0"/>
        <w:autoSpaceDE/>
        <w:autoSpaceDN/>
        <w:bidi w:val="0"/>
        <w:spacing w:line="360" w:lineRule="auto"/>
        <w:ind w:firstLine="480"/>
        <w:textAlignment w:val="auto"/>
        <w:rPr>
          <w:rFonts w:hint="eastAsia"/>
        </w:rPr>
      </w:pPr>
      <w:r>
        <w:rPr>
          <w:rFonts w:hint="eastAsia"/>
        </w:rPr>
        <w:t>4.《砌体结构设计规范》（GB50003－2011）；</w:t>
      </w:r>
    </w:p>
    <w:p w14:paraId="6986A420">
      <w:pPr>
        <w:keepNext w:val="0"/>
        <w:keepLines w:val="0"/>
        <w:pageBreakBefore w:val="0"/>
        <w:widowControl/>
        <w:kinsoku/>
        <w:wordWrap/>
        <w:overflowPunct/>
        <w:topLinePunct w:val="0"/>
        <w:autoSpaceDE/>
        <w:autoSpaceDN/>
        <w:bidi w:val="0"/>
        <w:spacing w:line="360" w:lineRule="auto"/>
        <w:ind w:firstLine="480"/>
        <w:textAlignment w:val="auto"/>
        <w:rPr>
          <w:rFonts w:hint="eastAsia"/>
        </w:rPr>
      </w:pPr>
      <w:r>
        <w:rPr>
          <w:rFonts w:hint="eastAsia"/>
        </w:rPr>
        <w:t>5.《建筑抗震设计规范》（GB50011-2010）（2016版）；</w:t>
      </w:r>
    </w:p>
    <w:p w14:paraId="239D555A">
      <w:pPr>
        <w:keepNext w:val="0"/>
        <w:keepLines w:val="0"/>
        <w:pageBreakBefore w:val="0"/>
        <w:widowControl/>
        <w:kinsoku/>
        <w:wordWrap/>
        <w:overflowPunct/>
        <w:topLinePunct w:val="0"/>
        <w:autoSpaceDE/>
        <w:autoSpaceDN/>
        <w:bidi w:val="0"/>
        <w:spacing w:line="360" w:lineRule="auto"/>
        <w:ind w:firstLine="480"/>
        <w:textAlignment w:val="auto"/>
        <w:rPr>
          <w:rFonts w:hint="eastAsia"/>
        </w:rPr>
      </w:pPr>
      <w:r>
        <w:rPr>
          <w:rFonts w:hint="eastAsia"/>
        </w:rPr>
        <w:t>6.《建筑采光设计标准》（GB50033-2013）；</w:t>
      </w:r>
    </w:p>
    <w:p w14:paraId="1E92FC51">
      <w:pPr>
        <w:keepNext w:val="0"/>
        <w:keepLines w:val="0"/>
        <w:pageBreakBefore w:val="0"/>
        <w:widowControl/>
        <w:kinsoku/>
        <w:wordWrap/>
        <w:overflowPunct/>
        <w:topLinePunct w:val="0"/>
        <w:autoSpaceDE/>
        <w:autoSpaceDN/>
        <w:bidi w:val="0"/>
        <w:spacing w:line="360" w:lineRule="auto"/>
        <w:ind w:firstLine="480"/>
        <w:textAlignment w:val="auto"/>
        <w:rPr>
          <w:rFonts w:hint="eastAsia"/>
        </w:rPr>
      </w:pPr>
      <w:r>
        <w:rPr>
          <w:rFonts w:hint="eastAsia"/>
        </w:rPr>
        <w:t>7.《构筑物抗震设计规范》（GB50191-2012）；</w:t>
      </w:r>
    </w:p>
    <w:p w14:paraId="1695430D">
      <w:pPr>
        <w:keepNext w:val="0"/>
        <w:keepLines w:val="0"/>
        <w:pageBreakBefore w:val="0"/>
        <w:widowControl/>
        <w:kinsoku/>
        <w:wordWrap/>
        <w:overflowPunct/>
        <w:topLinePunct w:val="0"/>
        <w:autoSpaceDE/>
        <w:autoSpaceDN/>
        <w:bidi w:val="0"/>
        <w:spacing w:line="360" w:lineRule="auto"/>
        <w:ind w:firstLine="480"/>
        <w:textAlignment w:val="auto"/>
        <w:rPr>
          <w:rFonts w:hint="eastAsia"/>
        </w:rPr>
      </w:pPr>
      <w:r>
        <w:rPr>
          <w:rFonts w:hint="eastAsia"/>
        </w:rPr>
        <w:t>8.《混凝土结构设计规范》（GB50010-2010）（2015版）；</w:t>
      </w:r>
    </w:p>
    <w:p w14:paraId="6F0FBFB0">
      <w:pPr>
        <w:keepNext w:val="0"/>
        <w:keepLines w:val="0"/>
        <w:pageBreakBefore w:val="0"/>
        <w:widowControl/>
        <w:kinsoku/>
        <w:wordWrap/>
        <w:overflowPunct/>
        <w:topLinePunct w:val="0"/>
        <w:autoSpaceDE/>
        <w:autoSpaceDN/>
        <w:bidi w:val="0"/>
        <w:spacing w:line="360" w:lineRule="auto"/>
        <w:ind w:firstLine="480"/>
        <w:textAlignment w:val="auto"/>
        <w:rPr>
          <w:rFonts w:hint="eastAsia"/>
        </w:rPr>
      </w:pPr>
      <w:r>
        <w:rPr>
          <w:rFonts w:hint="eastAsia"/>
        </w:rPr>
        <w:t>9.《屋面工程技术规范》（GB50345-2012）；</w:t>
      </w:r>
    </w:p>
    <w:p w14:paraId="24913487">
      <w:pPr>
        <w:keepNext w:val="0"/>
        <w:keepLines w:val="0"/>
        <w:pageBreakBefore w:val="0"/>
        <w:widowControl/>
        <w:kinsoku/>
        <w:wordWrap/>
        <w:overflowPunct/>
        <w:topLinePunct w:val="0"/>
        <w:autoSpaceDE/>
        <w:autoSpaceDN/>
        <w:bidi w:val="0"/>
        <w:spacing w:line="360" w:lineRule="auto"/>
        <w:ind w:firstLine="480"/>
        <w:textAlignment w:val="auto"/>
        <w:rPr>
          <w:rFonts w:hint="eastAsia" w:eastAsia="宋体"/>
          <w:lang w:eastAsia="zh-CN"/>
        </w:rPr>
      </w:pPr>
      <w:r>
        <w:rPr>
          <w:rFonts w:hint="eastAsia"/>
        </w:rPr>
        <w:t>10.《中国地震震动参数区划图》（GB18306－2015）；</w:t>
      </w:r>
    </w:p>
    <w:p w14:paraId="38D4AF07">
      <w:pPr>
        <w:keepNext w:val="0"/>
        <w:keepLines w:val="0"/>
        <w:pageBreakBefore w:val="0"/>
        <w:widowControl/>
        <w:kinsoku/>
        <w:wordWrap/>
        <w:overflowPunct/>
        <w:topLinePunct w:val="0"/>
        <w:autoSpaceDE/>
        <w:autoSpaceDN/>
        <w:bidi w:val="0"/>
        <w:spacing w:line="360" w:lineRule="auto"/>
        <w:ind w:firstLine="480"/>
        <w:textAlignment w:val="auto"/>
        <w:rPr>
          <w:rFonts w:hint="eastAsia"/>
        </w:rPr>
      </w:pPr>
      <w:r>
        <w:rPr>
          <w:rFonts w:hint="eastAsia"/>
        </w:rPr>
        <w:t>11.相关的专业设计规范与法律法规。；</w:t>
      </w:r>
    </w:p>
    <w:p w14:paraId="6D4AF89D">
      <w:pPr>
        <w:keepNext w:val="0"/>
        <w:keepLines w:val="0"/>
        <w:pageBreakBefore w:val="0"/>
        <w:widowControl/>
        <w:kinsoku/>
        <w:wordWrap/>
        <w:overflowPunct/>
        <w:topLinePunct w:val="0"/>
        <w:autoSpaceDE/>
        <w:autoSpaceDN/>
        <w:bidi w:val="0"/>
        <w:spacing w:line="360" w:lineRule="auto"/>
        <w:ind w:firstLine="173" w:firstLineChars="82"/>
        <w:textAlignment w:val="auto"/>
        <w:rPr>
          <w:b/>
          <w:bCs/>
        </w:rPr>
      </w:pPr>
      <w:r>
        <w:rPr>
          <w:rFonts w:hint="eastAsia"/>
          <w:b/>
          <w:bCs/>
        </w:rPr>
        <w:t>1</w:t>
      </w:r>
      <w:r>
        <w:rPr>
          <w:b/>
          <w:bCs/>
        </w:rPr>
        <w:t>.6</w:t>
      </w:r>
      <w:r>
        <w:rPr>
          <w:rFonts w:hint="eastAsia"/>
          <w:b/>
          <w:bCs/>
        </w:rPr>
        <w:t>工程设计方案</w:t>
      </w:r>
    </w:p>
    <w:p w14:paraId="3F452298">
      <w:pPr>
        <w:keepNext w:val="0"/>
        <w:keepLines w:val="0"/>
        <w:pageBreakBefore w:val="0"/>
        <w:widowControl/>
        <w:kinsoku/>
        <w:wordWrap/>
        <w:overflowPunct/>
        <w:topLinePunct w:val="0"/>
        <w:autoSpaceDE/>
        <w:autoSpaceDN/>
        <w:bidi w:val="0"/>
        <w:spacing w:line="360" w:lineRule="auto"/>
        <w:ind w:firstLine="0" w:firstLineChars="0"/>
        <w:textAlignment w:val="auto"/>
        <w:rPr>
          <w:b/>
          <w:bCs/>
        </w:rPr>
      </w:pPr>
      <w:r>
        <w:rPr>
          <w:rFonts w:hint="eastAsia"/>
          <w:b/>
          <w:bCs/>
        </w:rPr>
        <w:t>（1）</w:t>
      </w:r>
      <w:r>
        <w:rPr>
          <w:rFonts w:hint="eastAsia"/>
          <w:b/>
          <w:bCs/>
          <w:lang w:val="en-US" w:eastAsia="zh-CN"/>
        </w:rPr>
        <w:t>土方</w:t>
      </w:r>
      <w:r>
        <w:rPr>
          <w:rFonts w:hint="eastAsia"/>
          <w:b/>
          <w:bCs/>
        </w:rPr>
        <w:t>工程</w:t>
      </w:r>
    </w:p>
    <w:p w14:paraId="4B067473">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土方平衡：保留场地东侧山头，土方平衡范围剔除东侧山头。结合省道248（新国道323）现状标高确定场地内部设计标高，竖向方案尽可能减少场地填方，以减少土方成本。</w:t>
      </w:r>
    </w:p>
    <w:p w14:paraId="186E0B28">
      <w:pPr>
        <w:pStyle w:val="11"/>
        <w:jc w:val="center"/>
        <w:rPr>
          <w:rFonts w:hint="eastAsia"/>
          <w:lang w:val="en-US" w:eastAsia="zh-CN"/>
        </w:rPr>
      </w:pPr>
      <w:r>
        <w:rPr>
          <w:position w:val="-147"/>
        </w:rPr>
        <w:drawing>
          <wp:inline distT="0" distB="0" distL="0" distR="0">
            <wp:extent cx="4267200" cy="4673600"/>
            <wp:effectExtent l="0" t="0" r="0" b="1270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4"/>
                    <a:stretch>
                      <a:fillRect/>
                    </a:stretch>
                  </pic:blipFill>
                  <pic:spPr>
                    <a:xfrm>
                      <a:off x="0" y="0"/>
                      <a:ext cx="4267373" cy="4674108"/>
                    </a:xfrm>
                    <a:prstGeom prst="rect">
                      <a:avLst/>
                    </a:prstGeom>
                  </pic:spPr>
                </pic:pic>
              </a:graphicData>
            </a:graphic>
          </wp:inline>
        </w:drawing>
      </w:r>
    </w:p>
    <w:p w14:paraId="59ECA3EC">
      <w:pPr>
        <w:pStyle w:val="11"/>
        <w:rPr>
          <w:rFonts w:hint="eastAsia"/>
          <w:lang w:val="en-US" w:eastAsia="zh-CN"/>
        </w:rPr>
      </w:pPr>
      <w:r>
        <w:rPr>
          <w:position w:val="-59"/>
        </w:rPr>
        <w:drawing>
          <wp:inline distT="0" distB="0" distL="0" distR="0">
            <wp:extent cx="5312410" cy="1895475"/>
            <wp:effectExtent l="0" t="0" r="2540" b="9525"/>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5"/>
                    <a:stretch>
                      <a:fillRect/>
                    </a:stretch>
                  </pic:blipFill>
                  <pic:spPr>
                    <a:xfrm>
                      <a:off x="0" y="0"/>
                      <a:ext cx="5312663" cy="1895855"/>
                    </a:xfrm>
                    <a:prstGeom prst="rect">
                      <a:avLst/>
                    </a:prstGeom>
                  </pic:spPr>
                </pic:pic>
              </a:graphicData>
            </a:graphic>
          </wp:inline>
        </w:drawing>
      </w:r>
    </w:p>
    <w:p w14:paraId="5D7DBCF6">
      <w:pPr>
        <w:keepNext w:val="0"/>
        <w:keepLines w:val="0"/>
        <w:pageBreakBefore w:val="0"/>
        <w:widowControl/>
        <w:kinsoku/>
        <w:wordWrap/>
        <w:overflowPunct/>
        <w:topLinePunct w:val="0"/>
        <w:autoSpaceDE/>
        <w:autoSpaceDN/>
        <w:bidi w:val="0"/>
        <w:spacing w:line="360" w:lineRule="auto"/>
        <w:ind w:firstLine="0" w:firstLineChars="0"/>
        <w:textAlignment w:val="auto"/>
        <w:rPr>
          <w:rFonts w:hint="default"/>
          <w:b/>
          <w:bCs/>
          <w:lang w:val="en-US"/>
        </w:rPr>
      </w:pPr>
      <w:bookmarkStart w:id="373" w:name="_Hlk107860374"/>
      <w:r>
        <w:rPr>
          <w:rFonts w:hint="eastAsia"/>
          <w:b/>
          <w:bCs/>
          <w:lang w:eastAsia="zh-CN"/>
        </w:rPr>
        <w:t>（</w:t>
      </w:r>
      <w:r>
        <w:rPr>
          <w:rFonts w:hint="eastAsia"/>
          <w:b/>
          <w:bCs/>
          <w:lang w:val="en-US" w:eastAsia="zh-CN"/>
        </w:rPr>
        <w:t>2</w:t>
      </w:r>
      <w:r>
        <w:rPr>
          <w:rFonts w:hint="eastAsia"/>
          <w:b/>
          <w:bCs/>
          <w:lang w:eastAsia="zh-CN"/>
        </w:rPr>
        <w:t>）</w:t>
      </w:r>
      <w:r>
        <w:rPr>
          <w:rFonts w:hint="eastAsia"/>
          <w:b/>
          <w:bCs/>
          <w:lang w:val="en-US" w:eastAsia="zh-CN"/>
        </w:rPr>
        <w:t>道路工程</w:t>
      </w:r>
    </w:p>
    <w:p w14:paraId="2C34BA45">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（1）平面设计</w:t>
      </w:r>
    </w:p>
    <w:p w14:paraId="0CAEBE97">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道路平面设计原则如下：</w:t>
      </w:r>
    </w:p>
    <w:p w14:paraId="577DE99F">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1）道路平面线形指标应完全符合《城市道路设计规范》（CJJ37-2012）的要求，平面线形美观、流畅、视觉自然、视野开阔，保证行车安全、舒适。</w:t>
      </w:r>
    </w:p>
    <w:p w14:paraId="7BD3DEB7">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2）道路平面设计应处理好直线与平曲线衔接，合理设置缓和曲</w:t>
      </w:r>
    </w:p>
    <w:p w14:paraId="46EFBB6A">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线、加宽、超高等。</w:t>
      </w:r>
    </w:p>
    <w:p w14:paraId="1B5BC2D1">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3）道路平面需与周边道路合理衔接。</w:t>
      </w:r>
    </w:p>
    <w:p w14:paraId="4E77275D">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4）道路平面线形尽量按规划红线范围内控制，可适当局部优化</w:t>
      </w:r>
    </w:p>
    <w:p w14:paraId="078AD8D3">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调整。</w:t>
      </w:r>
    </w:p>
    <w:p w14:paraId="3F6919A5">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5）道路平面应合理设置和处理道路交叉口、沿线建筑物出入口、</w:t>
      </w:r>
    </w:p>
    <w:p w14:paraId="2B5A78BA">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公交停靠站位置等。</w:t>
      </w:r>
    </w:p>
    <w:p w14:paraId="5DAEC8A8">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6）道路平面设计应处理好直线与平曲线衔接，合理设置缓和曲</w:t>
      </w:r>
    </w:p>
    <w:p w14:paraId="650303CE">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线、加宽、超高等。</w:t>
      </w:r>
    </w:p>
    <w:p w14:paraId="15D2F294">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（2）纵断面设计</w:t>
      </w:r>
    </w:p>
    <w:p w14:paraId="57A0C686">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道路纵断面设计原则如下：</w:t>
      </w:r>
    </w:p>
    <w:p w14:paraId="50D86B35">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1）纵断面设计应参照现状道路或地坪标高，根据区域路网竖向规划及防洪标高综合考虑，并适应沿路范围内地面水的排除。</w:t>
      </w:r>
    </w:p>
    <w:p w14:paraId="72268B8D">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2）道路起终点接顺已建道路，并尽量接顺相交路口。</w:t>
      </w:r>
    </w:p>
    <w:p w14:paraId="77CA80CE">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3）为保证行车安全、舒适，纵坡宜缓顺，起伏不宜频繁。</w:t>
      </w:r>
    </w:p>
    <w:p w14:paraId="5F58859E">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4）纵断面设计应对沿线地形、地下管线、水文、地质、气候和</w:t>
      </w:r>
    </w:p>
    <w:p w14:paraId="154267A7">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排水要求综合考虑。</w:t>
      </w:r>
    </w:p>
    <w:p w14:paraId="32B6ACD8">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根据现状地形作为控制纵断面设计的标高，以满足技术标准，行</w:t>
      </w:r>
    </w:p>
    <w:p w14:paraId="622DF701">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车平顺、少填少挖，土方平衡、路基稳定、排水顺畅、地下管线埋设、防洪标高、通航要求、填土最小高度、节省投资为设计原则设计。</w:t>
      </w:r>
    </w:p>
    <w:p w14:paraId="4E256E35">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（3）横断面设计</w:t>
      </w:r>
    </w:p>
    <w:p w14:paraId="7295F904">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横断面设计原则：</w:t>
      </w:r>
    </w:p>
    <w:p w14:paraId="74159E85">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1）行人和机动车分离、自行车等非机动车与行人分离，加强三</w:t>
      </w:r>
    </w:p>
    <w:p w14:paraId="2AB1073E">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者之间的安全性，减小三者之间的相互干扰，提高机动车的行车速度。</w:t>
      </w:r>
    </w:p>
    <w:p w14:paraId="1D74B212">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2）增加道路绿化率，合理布置绿化带，以人为本，强调人与绿</w:t>
      </w:r>
    </w:p>
    <w:p w14:paraId="19C84F07">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化（植物）的亲和力，使行人与骑（自行）车人直接感受道路景观，提高行人的舒适度。</w:t>
      </w:r>
    </w:p>
    <w:p w14:paraId="098456A6">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3）保证沿路管线的布设，根据发展需要确定管线走廊的合理宽</w:t>
      </w:r>
    </w:p>
    <w:p w14:paraId="0876AE4F">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度，方便管线维修，消灭管线改造对机动车的影响，减少对行人、非机动车的影响，降低管线维护成本。</w:t>
      </w:r>
    </w:p>
    <w:p w14:paraId="78D2006B">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4）考虑沿街建筑的性质，使道路横断面布置适应其功能要求。</w:t>
      </w:r>
    </w:p>
    <w:p w14:paraId="02BEE374">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5）在保证机动车行驶的同时，提倡公交优先，设置公交专用道</w:t>
      </w:r>
    </w:p>
    <w:p w14:paraId="7B92E4AE">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及港湾式车站。</w:t>
      </w:r>
    </w:p>
    <w:p w14:paraId="656FE41E">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6）中央分隔带的设置一般应满足自行车过马路最小安全等待宽</w:t>
      </w:r>
    </w:p>
    <w:p w14:paraId="707D687A">
      <w:pPr>
        <w:ind w:firstLine="0" w:firstLineChars="0"/>
        <w:rPr>
          <w:rFonts w:hint="eastAsia"/>
          <w:lang w:val="en-US" w:eastAsia="zh-CN"/>
        </w:rPr>
      </w:pPr>
      <w:r>
        <w:rPr>
          <w:rFonts w:hint="eastAsia"/>
          <w:lang w:val="en-US" w:eastAsia="zh-CN"/>
        </w:rPr>
        <w:t>度，在主干路上要考虑路口进口道左转拓宽需要，在部分主干道或标志性道路上要考虑车辆中间调头需要。</w:t>
      </w:r>
      <w:bookmarkEnd w:id="373"/>
    </w:p>
    <w:p w14:paraId="26177DE0">
      <w:pPr>
        <w:keepNext w:val="0"/>
        <w:keepLines w:val="0"/>
        <w:pageBreakBefore w:val="0"/>
        <w:widowControl/>
        <w:numPr>
          <w:ilvl w:val="0"/>
          <w:numId w:val="5"/>
        </w:numPr>
        <w:kinsoku/>
        <w:wordWrap/>
        <w:overflowPunct/>
        <w:topLinePunct w:val="0"/>
        <w:autoSpaceDE/>
        <w:autoSpaceDN/>
        <w:bidi w:val="0"/>
        <w:spacing w:line="360" w:lineRule="auto"/>
        <w:ind w:firstLine="0" w:firstLineChars="0"/>
        <w:textAlignment w:val="auto"/>
        <w:rPr>
          <w:rFonts w:hint="eastAsia"/>
          <w:b/>
          <w:bCs/>
          <w:lang w:val="en-US" w:eastAsia="zh-CN"/>
        </w:rPr>
      </w:pPr>
      <w:r>
        <w:rPr>
          <w:rFonts w:hint="eastAsia"/>
          <w:b/>
          <w:bCs/>
          <w:lang w:val="en-US" w:eastAsia="zh-CN"/>
        </w:rPr>
        <w:t>管线工程</w:t>
      </w:r>
    </w:p>
    <w:p w14:paraId="5335EFCE">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竖向综合及平衡设计主要是协调安排各种工程管线在地下空间的竖向位置，满足管线的施工和运行维护要求，避免管道之间的相互影响。确定地下工程管线覆土深度一般考虑下列因素：保证工程管线在荷载作用下不损坏，正常运行；满足竖向规划要求。</w:t>
      </w:r>
    </w:p>
    <w:p w14:paraId="5032EF92">
      <w:pPr>
        <w:keepNext w:val="0"/>
        <w:keepLines w:val="0"/>
        <w:pageBreakBefore w:val="0"/>
        <w:widowControl/>
        <w:kinsoku/>
        <w:wordWrap/>
        <w:overflowPunct/>
        <w:topLinePunct w:val="0"/>
        <w:autoSpaceDE/>
        <w:autoSpaceDN/>
        <w:bidi w:val="0"/>
        <w:spacing w:line="360" w:lineRule="auto"/>
        <w:ind w:firstLine="480"/>
        <w:textAlignment w:val="auto"/>
        <w:rPr>
          <w:rFonts w:hint="eastAsia"/>
          <w:lang w:val="en-US" w:eastAsia="zh-CN"/>
        </w:rPr>
      </w:pPr>
      <w:r>
        <w:rPr>
          <w:rFonts w:hint="eastAsia"/>
          <w:lang w:val="en-US" w:eastAsia="zh-CN"/>
        </w:rPr>
        <w:t>工程管线按电信、电力在最上层，给水、燃气在中间层，雨水在下层，污水在最下层的顺序由上至下的安排各种管线，以方便各工程管线的交叉。电缆布置在其它管线之上，其中通信电缆布置在动力电缆之下。</w:t>
      </w:r>
    </w:p>
    <w:p w14:paraId="69DCB371">
      <w:pPr>
        <w:pStyle w:val="11"/>
        <w:spacing w:line="335" w:lineRule="auto"/>
      </w:pPr>
    </w:p>
    <w:p w14:paraId="2322FDF6">
      <w:pPr>
        <w:spacing w:line="10658" w:lineRule="exact"/>
      </w:pPr>
      <w:r>
        <w:rPr>
          <w:position w:val="-213"/>
        </w:rPr>
        <w:drawing>
          <wp:inline distT="0" distB="0" distL="0" distR="0">
            <wp:extent cx="5311140" cy="6767830"/>
            <wp:effectExtent l="0" t="0" r="3810" b="1397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6"/>
                    <a:stretch>
                      <a:fillRect/>
                    </a:stretch>
                  </pic:blipFill>
                  <pic:spPr>
                    <a:xfrm>
                      <a:off x="0" y="0"/>
                      <a:ext cx="5311140" cy="6768084"/>
                    </a:xfrm>
                    <a:prstGeom prst="rect">
                      <a:avLst/>
                    </a:prstGeom>
                  </pic:spPr>
                </pic:pic>
              </a:graphicData>
            </a:graphic>
          </wp:inline>
        </w:drawing>
      </w:r>
    </w:p>
    <w:p w14:paraId="358B4AEA">
      <w:pPr>
        <w:spacing w:before="91" w:line="220" w:lineRule="auto"/>
        <w:ind w:left="3096"/>
        <w:rPr>
          <w:rFonts w:ascii="宋体" w:hAnsi="宋体" w:eastAsia="宋体" w:cs="宋体"/>
          <w:sz w:val="28"/>
          <w:szCs w:val="28"/>
        </w:rPr>
      </w:pPr>
      <w:r>
        <w:rPr>
          <w:rFonts w:ascii="宋体" w:hAnsi="宋体" w:eastAsia="宋体" w:cs="宋体"/>
          <w:spacing w:val="-57"/>
          <w:sz w:val="28"/>
          <w:szCs w:val="28"/>
        </w:rPr>
        <w:t xml:space="preserve"> </w:t>
      </w:r>
      <w:r>
        <w:rPr>
          <w:rFonts w:ascii="宋体" w:hAnsi="宋体" w:eastAsia="宋体" w:cs="宋体"/>
          <w:b/>
          <w:bCs/>
          <w:spacing w:val="-8"/>
          <w:sz w:val="28"/>
          <w:szCs w:val="28"/>
        </w:rPr>
        <w:t>给水工程规划图</w:t>
      </w:r>
    </w:p>
    <w:p w14:paraId="39EC6F2C">
      <w:pPr>
        <w:spacing w:line="220" w:lineRule="auto"/>
        <w:rPr>
          <w:rFonts w:ascii="宋体" w:hAnsi="宋体" w:eastAsia="宋体" w:cs="宋体"/>
          <w:sz w:val="28"/>
          <w:szCs w:val="28"/>
        </w:rPr>
        <w:sectPr>
          <w:footerReference r:id="rId6" w:type="default"/>
          <w:pgSz w:w="11906" w:h="16839"/>
          <w:pgMar w:top="1232" w:right="1785" w:bottom="1070" w:left="1740" w:header="918" w:footer="907" w:gutter="0"/>
          <w:cols w:space="720" w:num="1"/>
        </w:sectPr>
      </w:pPr>
    </w:p>
    <w:p w14:paraId="7A30255B">
      <w:pPr>
        <w:pStyle w:val="11"/>
        <w:spacing w:line="332" w:lineRule="auto"/>
      </w:pPr>
    </w:p>
    <w:p w14:paraId="409A5D2A">
      <w:pPr>
        <w:spacing w:line="10666" w:lineRule="exact"/>
      </w:pPr>
      <w:r>
        <w:rPr>
          <w:position w:val="-213"/>
        </w:rPr>
        <w:drawing>
          <wp:inline distT="0" distB="0" distL="0" distR="0">
            <wp:extent cx="5309235" cy="6772275"/>
            <wp:effectExtent l="0" t="0" r="5715" b="9525"/>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7"/>
                    <a:stretch>
                      <a:fillRect/>
                    </a:stretch>
                  </pic:blipFill>
                  <pic:spPr>
                    <a:xfrm>
                      <a:off x="0" y="0"/>
                      <a:ext cx="5309615" cy="6772656"/>
                    </a:xfrm>
                    <a:prstGeom prst="rect">
                      <a:avLst/>
                    </a:prstGeom>
                  </pic:spPr>
                </pic:pic>
              </a:graphicData>
            </a:graphic>
          </wp:inline>
        </w:drawing>
      </w:r>
    </w:p>
    <w:p w14:paraId="24D3D676">
      <w:pPr>
        <w:spacing w:before="91" w:line="220" w:lineRule="auto"/>
        <w:ind w:left="3096"/>
        <w:rPr>
          <w:rFonts w:ascii="宋体" w:hAnsi="宋体" w:eastAsia="宋体" w:cs="宋体"/>
          <w:sz w:val="28"/>
          <w:szCs w:val="28"/>
        </w:rPr>
      </w:pPr>
      <w:r>
        <w:rPr>
          <w:rFonts w:ascii="宋体" w:hAnsi="宋体" w:eastAsia="宋体" w:cs="宋体"/>
          <w:b/>
          <w:bCs/>
          <w:spacing w:val="-8"/>
          <w:sz w:val="28"/>
          <w:szCs w:val="28"/>
        </w:rPr>
        <w:t>污水工程规划图</w:t>
      </w:r>
    </w:p>
    <w:p w14:paraId="1B236658">
      <w:pPr>
        <w:spacing w:line="220" w:lineRule="auto"/>
        <w:rPr>
          <w:rFonts w:ascii="宋体" w:hAnsi="宋体" w:eastAsia="宋体" w:cs="宋体"/>
          <w:sz w:val="28"/>
          <w:szCs w:val="28"/>
        </w:rPr>
        <w:sectPr>
          <w:footerReference r:id="rId7" w:type="default"/>
          <w:pgSz w:w="11906" w:h="16839"/>
          <w:pgMar w:top="1232" w:right="1785" w:bottom="1070" w:left="1740" w:header="918" w:footer="907" w:gutter="0"/>
          <w:cols w:space="720" w:num="1"/>
        </w:sectPr>
      </w:pPr>
    </w:p>
    <w:p w14:paraId="66AFCCBB">
      <w:pPr>
        <w:pStyle w:val="11"/>
        <w:spacing w:line="318" w:lineRule="auto"/>
      </w:pPr>
    </w:p>
    <w:p w14:paraId="4E3946CE">
      <w:pPr>
        <w:spacing w:line="10692" w:lineRule="exact"/>
      </w:pPr>
      <w:r>
        <w:rPr>
          <w:position w:val="-213"/>
        </w:rPr>
        <w:drawing>
          <wp:inline distT="0" distB="0" distL="0" distR="0">
            <wp:extent cx="5309235" cy="6788785"/>
            <wp:effectExtent l="0" t="0" r="5715" b="12065"/>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5309615" cy="6789419"/>
                    </a:xfrm>
                    <a:prstGeom prst="rect">
                      <a:avLst/>
                    </a:prstGeom>
                  </pic:spPr>
                </pic:pic>
              </a:graphicData>
            </a:graphic>
          </wp:inline>
        </w:drawing>
      </w:r>
    </w:p>
    <w:p w14:paraId="1776068D">
      <w:pPr>
        <w:spacing w:before="91" w:line="220" w:lineRule="auto"/>
        <w:ind w:left="3096"/>
        <w:rPr>
          <w:rFonts w:ascii="宋体" w:hAnsi="宋体" w:eastAsia="宋体" w:cs="宋体"/>
          <w:sz w:val="28"/>
          <w:szCs w:val="28"/>
        </w:rPr>
      </w:pPr>
      <w:r>
        <w:rPr>
          <w:rFonts w:ascii="宋体" w:hAnsi="宋体" w:eastAsia="宋体" w:cs="宋体"/>
          <w:spacing w:val="-47"/>
          <w:sz w:val="28"/>
          <w:szCs w:val="28"/>
        </w:rPr>
        <w:t xml:space="preserve"> </w:t>
      </w:r>
      <w:r>
        <w:rPr>
          <w:rFonts w:ascii="宋体" w:hAnsi="宋体" w:eastAsia="宋体" w:cs="宋体"/>
          <w:b/>
          <w:bCs/>
          <w:spacing w:val="-9"/>
          <w:sz w:val="28"/>
          <w:szCs w:val="28"/>
        </w:rPr>
        <w:t>雨水工程规划图</w:t>
      </w:r>
    </w:p>
    <w:p w14:paraId="23031C88">
      <w:pPr>
        <w:spacing w:line="220" w:lineRule="auto"/>
        <w:rPr>
          <w:rFonts w:ascii="宋体" w:hAnsi="宋体" w:eastAsia="宋体" w:cs="宋体"/>
          <w:sz w:val="28"/>
          <w:szCs w:val="28"/>
        </w:rPr>
        <w:sectPr>
          <w:footerReference r:id="rId8" w:type="default"/>
          <w:pgSz w:w="11906" w:h="16839"/>
          <w:pgMar w:top="1232" w:right="1785" w:bottom="1070" w:left="1740" w:header="918" w:footer="907" w:gutter="0"/>
          <w:cols w:space="720" w:num="1"/>
        </w:sectPr>
      </w:pPr>
    </w:p>
    <w:p w14:paraId="0685E1AD">
      <w:pPr>
        <w:pStyle w:val="11"/>
        <w:spacing w:line="349" w:lineRule="auto"/>
      </w:pPr>
    </w:p>
    <w:p w14:paraId="4893459F">
      <w:pPr>
        <w:spacing w:line="10632" w:lineRule="exact"/>
      </w:pPr>
      <w:r>
        <w:rPr>
          <w:position w:val="-212"/>
        </w:rPr>
        <w:drawing>
          <wp:inline distT="0" distB="0" distL="0" distR="0">
            <wp:extent cx="5311140" cy="6750685"/>
            <wp:effectExtent l="0" t="0" r="3810" b="12065"/>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9"/>
                    <a:stretch>
                      <a:fillRect/>
                    </a:stretch>
                  </pic:blipFill>
                  <pic:spPr>
                    <a:xfrm>
                      <a:off x="0" y="0"/>
                      <a:ext cx="5311140" cy="6751319"/>
                    </a:xfrm>
                    <a:prstGeom prst="rect">
                      <a:avLst/>
                    </a:prstGeom>
                  </pic:spPr>
                </pic:pic>
              </a:graphicData>
            </a:graphic>
          </wp:inline>
        </w:drawing>
      </w:r>
    </w:p>
    <w:p w14:paraId="7EF473AA">
      <w:pPr>
        <w:spacing w:before="91" w:line="220" w:lineRule="auto"/>
        <w:ind w:left="2815"/>
        <w:rPr>
          <w:rFonts w:ascii="宋体" w:hAnsi="宋体" w:eastAsia="宋体" w:cs="宋体"/>
          <w:sz w:val="28"/>
          <w:szCs w:val="28"/>
        </w:rPr>
        <w:sectPr>
          <w:footerReference r:id="rId9" w:type="default"/>
          <w:pgSz w:w="11906" w:h="16839"/>
          <w:pgMar w:top="1232" w:right="1785" w:bottom="1070" w:left="1740" w:header="918" w:footer="907" w:gutter="0"/>
          <w:cols w:space="720" w:num="1"/>
        </w:sectPr>
      </w:pPr>
      <w:r>
        <w:rPr>
          <w:rFonts w:ascii="宋体" w:hAnsi="宋体" w:eastAsia="宋体" w:cs="宋体"/>
          <w:b/>
          <w:bCs/>
          <w:spacing w:val="-11"/>
          <w:sz w:val="28"/>
          <w:szCs w:val="28"/>
        </w:rPr>
        <w:t>电力电信规划</w:t>
      </w:r>
    </w:p>
    <w:bookmarkEnd w:id="372"/>
    <w:p w14:paraId="084CD050">
      <w:pPr>
        <w:rPr>
          <w:rFonts w:hint="eastAsia" w:ascii="宋体" w:hAnsi="宋体" w:cs="宋体"/>
          <w:sz w:val="24"/>
          <w:szCs w:val="24"/>
          <w:highlight w:val="none"/>
        </w:rPr>
      </w:pPr>
    </w:p>
    <w:sectPr>
      <w:headerReference r:id="rId10" w:type="default"/>
      <w:footerReference r:id="rId11" w:type="default"/>
      <w:endnotePr>
        <w:numFmt w:val="decimal"/>
      </w:endnotePr>
      <w:pgSz w:w="11907" w:h="16840"/>
      <w:pgMar w:top="1440" w:right="1080" w:bottom="1440" w:left="1080" w:header="567" w:footer="510" w:gutter="0"/>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odoni MT">
    <w:panose1 w:val="02070603080606020203"/>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FZFangSongZ02S">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93481">
    <w:pPr>
      <w:pStyle w:val="167"/>
      <w:tabs>
        <w:tab w:val="left" w:pos="4803"/>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3E307">
    <w:pPr>
      <w:pStyle w:val="167"/>
      <w:tabs>
        <w:tab w:val="left" w:pos="4803"/>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46338">
    <w:pPr>
      <w:pStyle w:val="167"/>
      <w:tabs>
        <w:tab w:val="left" w:pos="480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67E7FA99">
                          <w:pPr>
                            <w:pStyle w:val="1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&#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5dkoMw4CAAAQBAAADgAAAAAAAAABACAAAAAf&#10;AQAAZHJzL2Uyb0RvYy54bWxQSwUGAAAAAAYABgBZAQAAnwUAAAAA&#10;">
              <v:fill on="f" focussize="0,0"/>
              <v:stroke on="f"/>
              <v:imagedata o:title=""/>
              <o:lock v:ext="edit" aspectratio="f"/>
              <v:textbox inset="0mm,0mm,0mm,0mm" style="mso-fit-shape-to-text:t;">
                <w:txbxContent>
                  <w:p w14:paraId="67E7FA99">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2096B">
    <w:pPr>
      <w:spacing w:line="176" w:lineRule="auto"/>
      <w:ind w:left="410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F6D7">
    <w:pPr>
      <w:spacing w:line="176" w:lineRule="auto"/>
      <w:ind w:left="410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179DC">
    <w:pPr>
      <w:spacing w:line="176" w:lineRule="auto"/>
      <w:ind w:left="410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B93D1">
    <w:pPr>
      <w:spacing w:line="176" w:lineRule="auto"/>
      <w:ind w:left="410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4E7B">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A2CBE6D">
                          <w:pPr>
                            <w:pStyle w:val="19"/>
                          </w:pPr>
                          <w:r>
                            <w:fldChar w:fldCharType="begin"/>
                          </w:r>
                          <w:r>
                            <w:instrText xml:space="preserve"> PAGE  \* MERGEFORMAT </w:instrText>
                          </w:r>
                          <w:r>
                            <w:fldChar w:fldCharType="separate"/>
                          </w:r>
                          <w:r>
                            <w:t>63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CejgkCAAASBAAADgAAAGRycy9lMm9Eb2MueG1srVNLbtswEN0X6B0I&#10;7mvZD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BhCejgkCAAASBAAADgAAAAAAAAABACAAAAAeAQAAZHJz&#10;L2Uyb0RvYy54bWxQSwUGAAAAAAYABgBZAQAAmQUAAAAA&#10;">
              <v:fill on="f" focussize="0,0"/>
              <v:stroke on="f"/>
              <v:imagedata o:title=""/>
              <o:lock v:ext="edit" aspectratio="f"/>
              <v:textbox inset="0mm,0mm,0mm,0mm" style="mso-fit-shape-to-text:t;">
                <w:txbxContent>
                  <w:p w14:paraId="2A2CBE6D">
                    <w:pPr>
                      <w:pStyle w:val="1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3BC1">
    <w:pPr>
      <w:ind w:firstLine="180" w:firstLineChars="100"/>
      <w:rPr>
        <w:rFonts w:hint="eastAsia"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017E5"/>
    <w:multiLevelType w:val="singleLevel"/>
    <w:tmpl w:val="945017E5"/>
    <w:lvl w:ilvl="0" w:tentative="0">
      <w:start w:val="3"/>
      <w:numFmt w:val="decimal"/>
      <w:suff w:val="nothing"/>
      <w:lvlText w:val="（%1）"/>
      <w:lvlJc w:val="left"/>
    </w:lvl>
  </w:abstractNum>
  <w:abstractNum w:abstractNumId="1">
    <w:nsid w:val="E22C3BB9"/>
    <w:multiLevelType w:val="singleLevel"/>
    <w:tmpl w:val="E22C3BB9"/>
    <w:lvl w:ilvl="0" w:tentative="0">
      <w:start w:val="27"/>
      <w:numFmt w:val="decimal"/>
      <w:suff w:val="space"/>
      <w:lvlText w:val="%1."/>
      <w:lvlJc w:val="left"/>
    </w:lvl>
  </w:abstractNum>
  <w:abstractNum w:abstractNumId="2">
    <w:nsid w:val="E2E9A2D2"/>
    <w:multiLevelType w:val="singleLevel"/>
    <w:tmpl w:val="E2E9A2D2"/>
    <w:lvl w:ilvl="0" w:tentative="0">
      <w:start w:val="1"/>
      <w:numFmt w:val="decimal"/>
      <w:suff w:val="nothing"/>
      <w:lvlText w:val="（%1）"/>
      <w:lvlJc w:val="left"/>
    </w:lvl>
  </w:abstractNum>
  <w:abstractNum w:abstractNumId="3">
    <w:nsid w:val="473934C1"/>
    <w:multiLevelType w:val="singleLevel"/>
    <w:tmpl w:val="473934C1"/>
    <w:lvl w:ilvl="0" w:tentative="0">
      <w:start w:val="1"/>
      <w:numFmt w:val="decimal"/>
      <w:suff w:val="nothing"/>
      <w:lvlText w:val="%1．"/>
      <w:lvlJc w:val="left"/>
    </w:lvl>
  </w:abstractNum>
  <w:abstractNum w:abstractNumId="4">
    <w:nsid w:val="7B5E1CD6"/>
    <w:multiLevelType w:val="multilevel"/>
    <w:tmpl w:val="7B5E1CD6"/>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85" w:firstLine="0"/>
      </w:pPr>
      <w:rPr>
        <w:rFonts w:hint="eastAsia"/>
      </w:rPr>
    </w:lvl>
    <w:lvl w:ilvl="2" w:tentative="0">
      <w:start w:val="1"/>
      <w:numFmt w:val="decimal"/>
      <w:isLgl/>
      <w:suff w:val="space"/>
      <w:lvlText w:val="%1.%2.%3"/>
      <w:lvlJc w:val="left"/>
      <w:pPr>
        <w:ind w:left="170" w:firstLine="0"/>
      </w:pPr>
      <w:rPr>
        <w:rFonts w:hint="eastAsia"/>
      </w:rPr>
    </w:lvl>
    <w:lvl w:ilvl="3" w:tentative="0">
      <w:start w:val="1"/>
      <w:numFmt w:val="decimal"/>
      <w:pStyle w:val="229"/>
      <w:isLgl/>
      <w:suff w:val="space"/>
      <w:lvlText w:val="（%4）"/>
      <w:lvlJc w:val="left"/>
      <w:pPr>
        <w:ind w:left="255" w:firstLine="0"/>
      </w:pPr>
      <w:rPr>
        <w:rFonts w:hint="eastAsia"/>
      </w:rPr>
    </w:lvl>
    <w:lvl w:ilvl="4" w:tentative="0">
      <w:start w:val="1"/>
      <w:numFmt w:val="decimal"/>
      <w:suff w:val="space"/>
      <w:lvlText w:val="%5）"/>
      <w:lvlJc w:val="left"/>
      <w:pPr>
        <w:ind w:left="567" w:firstLine="0"/>
      </w:pPr>
      <w:rPr>
        <w:rFonts w:hint="eastAsia"/>
      </w:rPr>
    </w:lvl>
    <w:lvl w:ilvl="5" w:tentative="0">
      <w:start w:val="1"/>
      <w:numFmt w:val="decimal"/>
      <w:lvlText w:val="%1.%2.%3.%4.%5.%6"/>
      <w:lvlJc w:val="left"/>
      <w:pPr>
        <w:ind w:left="425" w:firstLine="0"/>
      </w:pPr>
      <w:rPr>
        <w:rFonts w:hint="eastAsia"/>
      </w:rPr>
    </w:lvl>
    <w:lvl w:ilvl="6" w:tentative="0">
      <w:start w:val="1"/>
      <w:numFmt w:val="decimal"/>
      <w:lvlText w:val="%1.%2.%3.%4.%5.%6.%7"/>
      <w:lvlJc w:val="left"/>
      <w:pPr>
        <w:ind w:left="510" w:firstLine="0"/>
      </w:pPr>
      <w:rPr>
        <w:rFonts w:hint="eastAsia"/>
      </w:rPr>
    </w:lvl>
    <w:lvl w:ilvl="7" w:tentative="0">
      <w:start w:val="1"/>
      <w:numFmt w:val="decimal"/>
      <w:lvlText w:val="%1.%2.%3.%4.%5.%6.%7.%8"/>
      <w:lvlJc w:val="left"/>
      <w:pPr>
        <w:ind w:left="595" w:firstLine="0"/>
      </w:pPr>
      <w:rPr>
        <w:rFonts w:hint="eastAsia"/>
      </w:rPr>
    </w:lvl>
    <w:lvl w:ilvl="8" w:tentative="0">
      <w:start w:val="1"/>
      <w:numFmt w:val="decimal"/>
      <w:lvlText w:val="%1.%2.%3.%4.%5.%6.%7.%8.%9"/>
      <w:lvlJc w:val="left"/>
      <w:pPr>
        <w:ind w:left="680" w:firstLine="0"/>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ZTg2ODgwNDBiOGZmOTUxN2IwZmM4MmQyMjZmMmYifQ=="/>
  </w:docVars>
  <w:rsids>
    <w:rsidRoot w:val="00A21374"/>
    <w:rsid w:val="000C008A"/>
    <w:rsid w:val="00140A66"/>
    <w:rsid w:val="001950FC"/>
    <w:rsid w:val="001A0DF6"/>
    <w:rsid w:val="00224EA7"/>
    <w:rsid w:val="00250132"/>
    <w:rsid w:val="00260025"/>
    <w:rsid w:val="003171C4"/>
    <w:rsid w:val="00362833"/>
    <w:rsid w:val="00420319"/>
    <w:rsid w:val="00447823"/>
    <w:rsid w:val="00490642"/>
    <w:rsid w:val="004B789C"/>
    <w:rsid w:val="00566F6B"/>
    <w:rsid w:val="00583D59"/>
    <w:rsid w:val="005F2B5C"/>
    <w:rsid w:val="005F4ED1"/>
    <w:rsid w:val="005F5EDA"/>
    <w:rsid w:val="0060413B"/>
    <w:rsid w:val="00622D5E"/>
    <w:rsid w:val="00627B96"/>
    <w:rsid w:val="0065456E"/>
    <w:rsid w:val="006D22E6"/>
    <w:rsid w:val="006E4339"/>
    <w:rsid w:val="00713E6C"/>
    <w:rsid w:val="00766543"/>
    <w:rsid w:val="007A2E7B"/>
    <w:rsid w:val="007D04DF"/>
    <w:rsid w:val="007F449D"/>
    <w:rsid w:val="0087702D"/>
    <w:rsid w:val="00953266"/>
    <w:rsid w:val="00A21374"/>
    <w:rsid w:val="00A56DAE"/>
    <w:rsid w:val="00AC601E"/>
    <w:rsid w:val="00AC7DD3"/>
    <w:rsid w:val="00C16411"/>
    <w:rsid w:val="00CC2D06"/>
    <w:rsid w:val="00D72721"/>
    <w:rsid w:val="00D826D6"/>
    <w:rsid w:val="00DE522B"/>
    <w:rsid w:val="00EF4A2B"/>
    <w:rsid w:val="00FA053C"/>
    <w:rsid w:val="00FE4565"/>
    <w:rsid w:val="01416FEB"/>
    <w:rsid w:val="014F6463"/>
    <w:rsid w:val="025C3E89"/>
    <w:rsid w:val="02BA40F0"/>
    <w:rsid w:val="02FF287B"/>
    <w:rsid w:val="033730B4"/>
    <w:rsid w:val="03682CAF"/>
    <w:rsid w:val="04883195"/>
    <w:rsid w:val="04B6753B"/>
    <w:rsid w:val="05076271"/>
    <w:rsid w:val="061E0E99"/>
    <w:rsid w:val="062F0BB4"/>
    <w:rsid w:val="06BF685A"/>
    <w:rsid w:val="07330480"/>
    <w:rsid w:val="075319B8"/>
    <w:rsid w:val="07DC537F"/>
    <w:rsid w:val="08023227"/>
    <w:rsid w:val="080C6330"/>
    <w:rsid w:val="08534D02"/>
    <w:rsid w:val="0907653F"/>
    <w:rsid w:val="090B1DF6"/>
    <w:rsid w:val="09167A44"/>
    <w:rsid w:val="09506C10"/>
    <w:rsid w:val="096F401C"/>
    <w:rsid w:val="096F5750"/>
    <w:rsid w:val="0A2E00D1"/>
    <w:rsid w:val="0A5D5410"/>
    <w:rsid w:val="0ACE1618"/>
    <w:rsid w:val="0ACF4D69"/>
    <w:rsid w:val="0ADA14C3"/>
    <w:rsid w:val="0AF777D1"/>
    <w:rsid w:val="0BD30EA5"/>
    <w:rsid w:val="0DD1120F"/>
    <w:rsid w:val="0DFD0103"/>
    <w:rsid w:val="0E3746E5"/>
    <w:rsid w:val="0F7F6B90"/>
    <w:rsid w:val="0FF32C18"/>
    <w:rsid w:val="10AA110C"/>
    <w:rsid w:val="1197736A"/>
    <w:rsid w:val="12066612"/>
    <w:rsid w:val="1239627B"/>
    <w:rsid w:val="12D96DE4"/>
    <w:rsid w:val="131F035D"/>
    <w:rsid w:val="13A93F69"/>
    <w:rsid w:val="13CC5710"/>
    <w:rsid w:val="141D5ECB"/>
    <w:rsid w:val="146A67F3"/>
    <w:rsid w:val="14946F85"/>
    <w:rsid w:val="156A2183"/>
    <w:rsid w:val="15713B7B"/>
    <w:rsid w:val="171E28E6"/>
    <w:rsid w:val="17BE6B28"/>
    <w:rsid w:val="18406CC8"/>
    <w:rsid w:val="1870006F"/>
    <w:rsid w:val="18817824"/>
    <w:rsid w:val="18B55378"/>
    <w:rsid w:val="194C1F03"/>
    <w:rsid w:val="19AB72C5"/>
    <w:rsid w:val="1A6A12F3"/>
    <w:rsid w:val="1C164025"/>
    <w:rsid w:val="1C2E5E17"/>
    <w:rsid w:val="1D2F75FB"/>
    <w:rsid w:val="1D6C3197"/>
    <w:rsid w:val="1E18136F"/>
    <w:rsid w:val="1E1E45F6"/>
    <w:rsid w:val="20032986"/>
    <w:rsid w:val="20DC7264"/>
    <w:rsid w:val="21AB5FDC"/>
    <w:rsid w:val="21DE15EF"/>
    <w:rsid w:val="22023A3F"/>
    <w:rsid w:val="23640510"/>
    <w:rsid w:val="2392446F"/>
    <w:rsid w:val="23FB0429"/>
    <w:rsid w:val="24BC5E36"/>
    <w:rsid w:val="24D83478"/>
    <w:rsid w:val="262B68FA"/>
    <w:rsid w:val="271769DE"/>
    <w:rsid w:val="280536E9"/>
    <w:rsid w:val="281F24B4"/>
    <w:rsid w:val="28BF1B23"/>
    <w:rsid w:val="2A5E5A4D"/>
    <w:rsid w:val="2AC90C66"/>
    <w:rsid w:val="2AE82B97"/>
    <w:rsid w:val="2B060862"/>
    <w:rsid w:val="2D68727A"/>
    <w:rsid w:val="2D975B61"/>
    <w:rsid w:val="2E0E7EDF"/>
    <w:rsid w:val="2E3F5386"/>
    <w:rsid w:val="2E5F5866"/>
    <w:rsid w:val="2E717DBA"/>
    <w:rsid w:val="2E971F8A"/>
    <w:rsid w:val="30926229"/>
    <w:rsid w:val="30B63755"/>
    <w:rsid w:val="312476AC"/>
    <w:rsid w:val="31F62FA5"/>
    <w:rsid w:val="32D33A39"/>
    <w:rsid w:val="32DB5690"/>
    <w:rsid w:val="32FE4B05"/>
    <w:rsid w:val="337C66D0"/>
    <w:rsid w:val="33FB16DA"/>
    <w:rsid w:val="34105925"/>
    <w:rsid w:val="35967BAD"/>
    <w:rsid w:val="35AA0489"/>
    <w:rsid w:val="36DF5796"/>
    <w:rsid w:val="36EA5EE9"/>
    <w:rsid w:val="374B7C00"/>
    <w:rsid w:val="37EC0CBC"/>
    <w:rsid w:val="38251DA4"/>
    <w:rsid w:val="38BF4353"/>
    <w:rsid w:val="39447B32"/>
    <w:rsid w:val="3B176DB3"/>
    <w:rsid w:val="3B3B77A1"/>
    <w:rsid w:val="3BE93138"/>
    <w:rsid w:val="3BFD3E57"/>
    <w:rsid w:val="3D2F4655"/>
    <w:rsid w:val="3E6831F2"/>
    <w:rsid w:val="3E976956"/>
    <w:rsid w:val="3FD219F3"/>
    <w:rsid w:val="401945D4"/>
    <w:rsid w:val="40526273"/>
    <w:rsid w:val="40A142F2"/>
    <w:rsid w:val="4119581D"/>
    <w:rsid w:val="41913608"/>
    <w:rsid w:val="41BD3E70"/>
    <w:rsid w:val="42174720"/>
    <w:rsid w:val="449F2303"/>
    <w:rsid w:val="44C15265"/>
    <w:rsid w:val="44FC7513"/>
    <w:rsid w:val="45E07BEE"/>
    <w:rsid w:val="47693F8C"/>
    <w:rsid w:val="480607D7"/>
    <w:rsid w:val="482107CE"/>
    <w:rsid w:val="48B02812"/>
    <w:rsid w:val="49930021"/>
    <w:rsid w:val="4BC731A3"/>
    <w:rsid w:val="4E1E125D"/>
    <w:rsid w:val="4F0953B7"/>
    <w:rsid w:val="50A102C6"/>
    <w:rsid w:val="50EE4AFC"/>
    <w:rsid w:val="51027EFA"/>
    <w:rsid w:val="5156667D"/>
    <w:rsid w:val="515F043C"/>
    <w:rsid w:val="51FD48CA"/>
    <w:rsid w:val="522B4C68"/>
    <w:rsid w:val="525E7DAE"/>
    <w:rsid w:val="526C7747"/>
    <w:rsid w:val="53D53935"/>
    <w:rsid w:val="53DE4335"/>
    <w:rsid w:val="558F536E"/>
    <w:rsid w:val="56DC0634"/>
    <w:rsid w:val="578001BF"/>
    <w:rsid w:val="579A57BC"/>
    <w:rsid w:val="58AD2C61"/>
    <w:rsid w:val="59552A84"/>
    <w:rsid w:val="59990616"/>
    <w:rsid w:val="5A6E4BE7"/>
    <w:rsid w:val="5B443ACC"/>
    <w:rsid w:val="5B561563"/>
    <w:rsid w:val="5BD963A8"/>
    <w:rsid w:val="5D74063C"/>
    <w:rsid w:val="5E400488"/>
    <w:rsid w:val="5EDC2D1E"/>
    <w:rsid w:val="5F632992"/>
    <w:rsid w:val="610501ED"/>
    <w:rsid w:val="6128322D"/>
    <w:rsid w:val="61C133F8"/>
    <w:rsid w:val="63CE5636"/>
    <w:rsid w:val="64095516"/>
    <w:rsid w:val="645C7B76"/>
    <w:rsid w:val="64824AF1"/>
    <w:rsid w:val="66400052"/>
    <w:rsid w:val="664A01CA"/>
    <w:rsid w:val="6872444D"/>
    <w:rsid w:val="68C83577"/>
    <w:rsid w:val="68F76E1B"/>
    <w:rsid w:val="68FF71C2"/>
    <w:rsid w:val="6A7C1BB2"/>
    <w:rsid w:val="6ABF6769"/>
    <w:rsid w:val="6B1340CA"/>
    <w:rsid w:val="6B827EC3"/>
    <w:rsid w:val="6CD54955"/>
    <w:rsid w:val="6D1645E9"/>
    <w:rsid w:val="6DA71E62"/>
    <w:rsid w:val="6DF03E19"/>
    <w:rsid w:val="6F2B4141"/>
    <w:rsid w:val="6F2C37C0"/>
    <w:rsid w:val="6F446C65"/>
    <w:rsid w:val="6F4C1CB0"/>
    <w:rsid w:val="6FB9670A"/>
    <w:rsid w:val="70DF1913"/>
    <w:rsid w:val="71307381"/>
    <w:rsid w:val="714631F5"/>
    <w:rsid w:val="71932E31"/>
    <w:rsid w:val="73840550"/>
    <w:rsid w:val="74085625"/>
    <w:rsid w:val="74E223D0"/>
    <w:rsid w:val="751E4766"/>
    <w:rsid w:val="76110FCE"/>
    <w:rsid w:val="768F00B6"/>
    <w:rsid w:val="7738540B"/>
    <w:rsid w:val="773C6A42"/>
    <w:rsid w:val="7752764A"/>
    <w:rsid w:val="77593A0C"/>
    <w:rsid w:val="77E54E37"/>
    <w:rsid w:val="7866291A"/>
    <w:rsid w:val="79AE6EAF"/>
    <w:rsid w:val="7AB46B59"/>
    <w:rsid w:val="7BED7743"/>
    <w:rsid w:val="7BF04B91"/>
    <w:rsid w:val="7BFA6FE6"/>
    <w:rsid w:val="7C495401"/>
    <w:rsid w:val="7DD515FC"/>
    <w:rsid w:val="7E217D80"/>
    <w:rsid w:val="7FA46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7"/>
    <w:qFormat/>
    <w:uiPriority w:val="0"/>
    <w:pPr>
      <w:autoSpaceDE w:val="0"/>
      <w:autoSpaceDN w:val="0"/>
      <w:adjustRightInd w:val="0"/>
      <w:jc w:val="left"/>
      <w:outlineLvl w:val="0"/>
    </w:pPr>
    <w:rPr>
      <w:kern w:val="0"/>
      <w:sz w:val="30"/>
    </w:rPr>
  </w:style>
  <w:style w:type="paragraph" w:styleId="3">
    <w:name w:val="heading 2"/>
    <w:basedOn w:val="1"/>
    <w:next w:val="1"/>
    <w:link w:val="48"/>
    <w:qFormat/>
    <w:uiPriority w:val="0"/>
    <w:pPr>
      <w:autoSpaceDE w:val="0"/>
      <w:autoSpaceDN w:val="0"/>
      <w:adjustRightInd w:val="0"/>
      <w:jc w:val="left"/>
      <w:outlineLvl w:val="1"/>
    </w:pPr>
    <w:rPr>
      <w:kern w:val="0"/>
      <w:sz w:val="20"/>
    </w:rPr>
  </w:style>
  <w:style w:type="paragraph" w:styleId="4">
    <w:name w:val="heading 3"/>
    <w:basedOn w:val="5"/>
    <w:next w:val="5"/>
    <w:link w:val="49"/>
    <w:autoRedefine/>
    <w:qFormat/>
    <w:uiPriority w:val="0"/>
    <w:pPr>
      <w:keepNext/>
      <w:keepLines/>
      <w:spacing w:before="120" w:after="120"/>
      <w:outlineLvl w:val="2"/>
    </w:pPr>
    <w:rPr>
      <w:b/>
      <w:kern w:val="2"/>
      <w:sz w:val="24"/>
    </w:rPr>
  </w:style>
  <w:style w:type="paragraph" w:styleId="6">
    <w:name w:val="heading 4"/>
    <w:basedOn w:val="1"/>
    <w:next w:val="1"/>
    <w:link w:val="50"/>
    <w:qFormat/>
    <w:uiPriority w:val="0"/>
    <w:pPr>
      <w:keepNext/>
      <w:keepLines/>
      <w:spacing w:before="280" w:after="290" w:line="374" w:lineRule="auto"/>
      <w:outlineLvl w:val="3"/>
    </w:pPr>
    <w:rPr>
      <w:rFonts w:ascii="Arial" w:hAnsi="Arial"/>
      <w:sz w:val="24"/>
    </w:rPr>
  </w:style>
  <w:style w:type="paragraph" w:styleId="7">
    <w:name w:val="heading 8"/>
    <w:basedOn w:val="1"/>
    <w:next w:val="1"/>
    <w:link w:val="51"/>
    <w:autoRedefine/>
    <w:qFormat/>
    <w:uiPriority w:val="0"/>
    <w:pPr>
      <w:keepNext/>
      <w:keepLines/>
      <w:spacing w:before="240" w:after="64" w:line="320" w:lineRule="auto"/>
      <w:outlineLvl w:val="7"/>
    </w:pPr>
    <w:rPr>
      <w:rFonts w:ascii="Arial" w:hAnsi="Arial" w:eastAsia="黑体"/>
      <w:sz w:val="24"/>
      <w:szCs w:val="24"/>
    </w:rPr>
  </w:style>
  <w:style w:type="paragraph" w:styleId="8">
    <w:name w:val="heading 9"/>
    <w:basedOn w:val="1"/>
    <w:next w:val="1"/>
    <w:link w:val="52"/>
    <w:autoRedefine/>
    <w:qFormat/>
    <w:uiPriority w:val="0"/>
    <w:pPr>
      <w:keepNext/>
      <w:keepLines/>
      <w:spacing w:before="240" w:after="64" w:line="320" w:lineRule="auto"/>
      <w:outlineLvl w:val="8"/>
    </w:pPr>
    <w:rPr>
      <w:rFonts w:ascii="Cambria" w:hAnsi="Cambria"/>
      <w:szCs w:val="21"/>
    </w:rPr>
  </w:style>
  <w:style w:type="character" w:default="1" w:styleId="34">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ind w:firstLine="420"/>
      <w:jc w:val="left"/>
    </w:pPr>
    <w:rPr>
      <w:kern w:val="0"/>
      <w:sz w:val="20"/>
    </w:rPr>
  </w:style>
  <w:style w:type="paragraph" w:styleId="9">
    <w:name w:val="Document Map"/>
    <w:basedOn w:val="1"/>
    <w:link w:val="55"/>
    <w:autoRedefine/>
    <w:qFormat/>
    <w:uiPriority w:val="0"/>
    <w:pPr>
      <w:shd w:val="clear" w:color="auto" w:fill="000080"/>
    </w:pPr>
  </w:style>
  <w:style w:type="paragraph" w:styleId="10">
    <w:name w:val="annotation text"/>
    <w:basedOn w:val="1"/>
    <w:next w:val="1"/>
    <w:link w:val="56"/>
    <w:autoRedefine/>
    <w:qFormat/>
    <w:uiPriority w:val="0"/>
    <w:pPr>
      <w:jc w:val="left"/>
    </w:pPr>
  </w:style>
  <w:style w:type="paragraph" w:styleId="11">
    <w:name w:val="Body Text"/>
    <w:basedOn w:val="1"/>
    <w:link w:val="57"/>
    <w:autoRedefine/>
    <w:qFormat/>
    <w:uiPriority w:val="0"/>
    <w:pPr>
      <w:spacing w:after="120"/>
    </w:pPr>
  </w:style>
  <w:style w:type="paragraph" w:styleId="12">
    <w:name w:val="Body Text Indent"/>
    <w:basedOn w:val="1"/>
    <w:link w:val="53"/>
    <w:autoRedefine/>
    <w:unhideWhenUsed/>
    <w:qFormat/>
    <w:uiPriority w:val="0"/>
    <w:pPr>
      <w:spacing w:after="120"/>
      <w:ind w:left="420" w:leftChars="200"/>
    </w:pPr>
  </w:style>
  <w:style w:type="paragraph" w:styleId="13">
    <w:name w:val="toc 3"/>
    <w:basedOn w:val="1"/>
    <w:next w:val="1"/>
    <w:autoRedefine/>
    <w:qFormat/>
    <w:uiPriority w:val="39"/>
    <w:pPr>
      <w:ind w:left="840" w:leftChars="400"/>
    </w:pPr>
  </w:style>
  <w:style w:type="paragraph" w:styleId="14">
    <w:name w:val="Plain Text"/>
    <w:basedOn w:val="1"/>
    <w:link w:val="58"/>
    <w:autoRedefine/>
    <w:qFormat/>
    <w:uiPriority w:val="0"/>
    <w:rPr>
      <w:rFonts w:hAnsi="Courier New"/>
    </w:rPr>
  </w:style>
  <w:style w:type="paragraph" w:styleId="15">
    <w:name w:val="Date"/>
    <w:basedOn w:val="1"/>
    <w:next w:val="1"/>
    <w:link w:val="59"/>
    <w:autoRedefine/>
    <w:qFormat/>
    <w:uiPriority w:val="0"/>
    <w:pPr>
      <w:ind w:left="100" w:leftChars="2500"/>
    </w:pPr>
  </w:style>
  <w:style w:type="paragraph" w:styleId="16">
    <w:name w:val="Body Text Indent 2"/>
    <w:basedOn w:val="1"/>
    <w:link w:val="60"/>
    <w:autoRedefine/>
    <w:qFormat/>
    <w:uiPriority w:val="0"/>
    <w:pPr>
      <w:spacing w:line="480" w:lineRule="auto"/>
      <w:ind w:firstLine="561"/>
    </w:pPr>
    <w:rPr>
      <w:rFonts w:ascii="宋体"/>
    </w:rPr>
  </w:style>
  <w:style w:type="paragraph" w:styleId="17">
    <w:name w:val="endnote text"/>
    <w:basedOn w:val="1"/>
    <w:link w:val="61"/>
    <w:autoRedefine/>
    <w:qFormat/>
    <w:uiPriority w:val="0"/>
    <w:pPr>
      <w:snapToGrid w:val="0"/>
      <w:jc w:val="left"/>
    </w:pPr>
  </w:style>
  <w:style w:type="paragraph" w:styleId="18">
    <w:name w:val="Balloon Text"/>
    <w:basedOn w:val="1"/>
    <w:link w:val="62"/>
    <w:autoRedefine/>
    <w:qFormat/>
    <w:uiPriority w:val="0"/>
    <w:rPr>
      <w:sz w:val="18"/>
      <w:szCs w:val="18"/>
    </w:rPr>
  </w:style>
  <w:style w:type="paragraph" w:styleId="19">
    <w:name w:val="footer"/>
    <w:basedOn w:val="1"/>
    <w:link w:val="46"/>
    <w:autoRedefine/>
    <w:unhideWhenUsed/>
    <w:qFormat/>
    <w:uiPriority w:val="0"/>
    <w:pPr>
      <w:tabs>
        <w:tab w:val="center" w:pos="4153"/>
        <w:tab w:val="right" w:pos="8306"/>
      </w:tabs>
      <w:snapToGrid w:val="0"/>
      <w:jc w:val="left"/>
    </w:pPr>
    <w:rPr>
      <w:sz w:val="18"/>
      <w:szCs w:val="18"/>
    </w:rPr>
  </w:style>
  <w:style w:type="paragraph" w:styleId="20">
    <w:name w:val="envelope return"/>
    <w:basedOn w:val="1"/>
    <w:autoRedefine/>
    <w:qFormat/>
    <w:uiPriority w:val="0"/>
    <w:pPr>
      <w:snapToGrid w:val="0"/>
    </w:pPr>
    <w:rPr>
      <w:rFonts w:ascii="Arial" w:hAnsi="Arial"/>
    </w:rPr>
  </w:style>
  <w:style w:type="paragraph" w:styleId="21">
    <w:name w:val="header"/>
    <w:basedOn w:val="1"/>
    <w:link w:val="4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style>
  <w:style w:type="paragraph" w:styleId="23">
    <w:name w:val="toc 4"/>
    <w:basedOn w:val="1"/>
    <w:next w:val="1"/>
    <w:autoRedefine/>
    <w:qFormat/>
    <w:uiPriority w:val="39"/>
    <w:pPr>
      <w:ind w:left="1260" w:leftChars="600"/>
    </w:pPr>
  </w:style>
  <w:style w:type="paragraph" w:styleId="24">
    <w:name w:val="List"/>
    <w:basedOn w:val="1"/>
    <w:autoRedefine/>
    <w:unhideWhenUsed/>
    <w:qFormat/>
    <w:uiPriority w:val="99"/>
    <w:pPr>
      <w:ind w:left="200" w:hanging="200" w:hangingChars="200"/>
      <w:contextualSpacing/>
    </w:pPr>
  </w:style>
  <w:style w:type="paragraph" w:styleId="25">
    <w:name w:val="toc 2"/>
    <w:basedOn w:val="1"/>
    <w:next w:val="1"/>
    <w:autoRedefine/>
    <w:qFormat/>
    <w:uiPriority w:val="39"/>
    <w:pPr>
      <w:ind w:left="420" w:leftChars="200"/>
    </w:pPr>
  </w:style>
  <w:style w:type="paragraph" w:styleId="26">
    <w:name w:val="Body Text 2"/>
    <w:basedOn w:val="1"/>
    <w:next w:val="11"/>
    <w:link w:val="63"/>
    <w:autoRedefine/>
    <w:qFormat/>
    <w:uiPriority w:val="0"/>
    <w:pPr>
      <w:spacing w:line="500" w:lineRule="exact"/>
    </w:pPr>
    <w:rPr>
      <w:rFonts w:ascii="宋体"/>
      <w:sz w:val="24"/>
    </w:rPr>
  </w:style>
  <w:style w:type="paragraph" w:styleId="27">
    <w:name w:val="HTML Preformatted"/>
    <w:basedOn w:val="1"/>
    <w:link w:val="64"/>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8">
    <w:name w:val="Normal (Web)"/>
    <w:basedOn w:val="1"/>
    <w:autoRedefine/>
    <w:qFormat/>
    <w:uiPriority w:val="0"/>
    <w:pPr>
      <w:widowControl/>
      <w:spacing w:before="100" w:beforeAutospacing="1" w:after="100" w:afterAutospacing="1"/>
      <w:jc w:val="left"/>
    </w:pPr>
    <w:rPr>
      <w:rFonts w:hAnsi="宋体" w:cs="宋体"/>
      <w:color w:val="000000"/>
      <w:kern w:val="0"/>
      <w:szCs w:val="24"/>
    </w:rPr>
  </w:style>
  <w:style w:type="paragraph" w:styleId="29">
    <w:name w:val="Title"/>
    <w:basedOn w:val="1"/>
    <w:next w:val="1"/>
    <w:link w:val="65"/>
    <w:autoRedefine/>
    <w:qFormat/>
    <w:uiPriority w:val="10"/>
    <w:pPr>
      <w:spacing w:before="240" w:after="60"/>
      <w:jc w:val="center"/>
      <w:outlineLvl w:val="0"/>
    </w:pPr>
    <w:rPr>
      <w:rFonts w:ascii="Cambria" w:hAnsi="Cambria"/>
      <w:b/>
      <w:bCs/>
      <w:sz w:val="32"/>
      <w:szCs w:val="32"/>
    </w:rPr>
  </w:style>
  <w:style w:type="paragraph" w:styleId="30">
    <w:name w:val="annotation subject"/>
    <w:basedOn w:val="10"/>
    <w:next w:val="10"/>
    <w:link w:val="66"/>
    <w:autoRedefine/>
    <w:qFormat/>
    <w:uiPriority w:val="0"/>
    <w:rPr>
      <w:b/>
      <w:bCs/>
    </w:rPr>
  </w:style>
  <w:style w:type="paragraph" w:styleId="31">
    <w:name w:val="Body Text First Indent"/>
    <w:basedOn w:val="11"/>
    <w:next w:val="32"/>
    <w:link w:val="67"/>
    <w:autoRedefine/>
    <w:qFormat/>
    <w:uiPriority w:val="0"/>
    <w:pPr>
      <w:ind w:firstLine="420" w:firstLineChars="100"/>
    </w:pPr>
    <w:rPr>
      <w:rFonts w:ascii="Calibri" w:hAnsi="Calibri"/>
    </w:rPr>
  </w:style>
  <w:style w:type="paragraph" w:styleId="32">
    <w:name w:val="Body Text First Indent 2"/>
    <w:basedOn w:val="12"/>
    <w:link w:val="54"/>
    <w:autoRedefine/>
    <w:qFormat/>
    <w:uiPriority w:val="0"/>
    <w:pPr>
      <w:spacing w:after="0"/>
      <w:ind w:left="0" w:leftChars="0" w:firstLine="420" w:firstLineChars="200"/>
    </w:pPr>
    <w:rPr>
      <w:rFonts w:ascii="宋体" w:hAnsi="宋体"/>
      <w:spacing w:val="-20"/>
      <w:kern w:val="21"/>
      <w:sz w:val="28"/>
    </w:rPr>
  </w:style>
  <w:style w:type="character" w:styleId="35">
    <w:name w:val="Strong"/>
    <w:autoRedefine/>
    <w:qFormat/>
    <w:uiPriority w:val="0"/>
    <w:rPr>
      <w:b/>
    </w:rPr>
  </w:style>
  <w:style w:type="character" w:styleId="36">
    <w:name w:val="endnote reference"/>
    <w:autoRedefine/>
    <w:qFormat/>
    <w:uiPriority w:val="0"/>
    <w:rPr>
      <w:vertAlign w:val="superscript"/>
    </w:rPr>
  </w:style>
  <w:style w:type="character" w:styleId="37">
    <w:name w:val="page number"/>
    <w:basedOn w:val="34"/>
    <w:autoRedefine/>
    <w:qFormat/>
    <w:uiPriority w:val="0"/>
  </w:style>
  <w:style w:type="character" w:styleId="38">
    <w:name w:val="FollowedHyperlink"/>
    <w:autoRedefine/>
    <w:qFormat/>
    <w:uiPriority w:val="0"/>
    <w:rPr>
      <w:color w:val="000000"/>
      <w:u w:val="none"/>
    </w:rPr>
  </w:style>
  <w:style w:type="character" w:styleId="39">
    <w:name w:val="Emphasis"/>
    <w:basedOn w:val="34"/>
    <w:qFormat/>
    <w:uiPriority w:val="20"/>
    <w:rPr>
      <w:i/>
    </w:rPr>
  </w:style>
  <w:style w:type="character" w:styleId="40">
    <w:name w:val="Hyperlink"/>
    <w:autoRedefine/>
    <w:qFormat/>
    <w:uiPriority w:val="99"/>
    <w:rPr>
      <w:color w:val="000000"/>
      <w:u w:val="none"/>
    </w:rPr>
  </w:style>
  <w:style w:type="character" w:styleId="41">
    <w:name w:val="annotation reference"/>
    <w:autoRedefine/>
    <w:qFormat/>
    <w:uiPriority w:val="0"/>
    <w:rPr>
      <w:sz w:val="21"/>
      <w:szCs w:val="21"/>
    </w:rPr>
  </w:style>
  <w:style w:type="paragraph" w:customStyle="1" w:styleId="42">
    <w:name w:val="样式 宋体 行距: 1.5 倍行距"/>
    <w:basedOn w:val="43"/>
    <w:next w:val="1"/>
    <w:autoRedefine/>
    <w:qFormat/>
    <w:uiPriority w:val="0"/>
    <w:pPr>
      <w:jc w:val="center"/>
    </w:pPr>
    <w:rPr>
      <w:rFonts w:ascii="Times New Roman" w:hAnsi="Times New Roman"/>
      <w:b/>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2"/>
    <w:qFormat/>
    <w:uiPriority w:val="0"/>
    <w:pPr>
      <w:widowControl w:val="0"/>
      <w:jc w:val="both"/>
    </w:pPr>
    <w:rPr>
      <w:rFonts w:ascii="Calibri" w:hAnsi="Calibri" w:eastAsia="宋体" w:cs="黑体"/>
      <w:kern w:val="2"/>
      <w:sz w:val="21"/>
      <w:szCs w:val="24"/>
      <w:lang w:val="en-US" w:eastAsia="zh-CN" w:bidi="ar-SA"/>
    </w:rPr>
  </w:style>
  <w:style w:type="paragraph" w:customStyle="1" w:styleId="44">
    <w:name w:val="Normal Indent1"/>
    <w:basedOn w:val="1"/>
    <w:autoRedefine/>
    <w:qFormat/>
    <w:uiPriority w:val="0"/>
    <w:pPr>
      <w:widowControl/>
      <w:ind w:firstLine="420"/>
      <w:jc w:val="left"/>
    </w:pPr>
    <w:rPr>
      <w:kern w:val="0"/>
    </w:rPr>
  </w:style>
  <w:style w:type="character" w:customStyle="1" w:styleId="45">
    <w:name w:val="页眉 字符"/>
    <w:basedOn w:val="34"/>
    <w:link w:val="21"/>
    <w:autoRedefine/>
    <w:qFormat/>
    <w:uiPriority w:val="99"/>
    <w:rPr>
      <w:sz w:val="18"/>
      <w:szCs w:val="18"/>
    </w:rPr>
  </w:style>
  <w:style w:type="character" w:customStyle="1" w:styleId="46">
    <w:name w:val="页脚 字符"/>
    <w:basedOn w:val="34"/>
    <w:link w:val="19"/>
    <w:autoRedefine/>
    <w:qFormat/>
    <w:uiPriority w:val="99"/>
    <w:rPr>
      <w:sz w:val="18"/>
      <w:szCs w:val="18"/>
    </w:rPr>
  </w:style>
  <w:style w:type="character" w:customStyle="1" w:styleId="47">
    <w:name w:val="标题 1 字符"/>
    <w:basedOn w:val="34"/>
    <w:link w:val="2"/>
    <w:autoRedefine/>
    <w:qFormat/>
    <w:uiPriority w:val="0"/>
    <w:rPr>
      <w:rFonts w:ascii="Times New Roman" w:hAnsi="Times New Roman" w:eastAsia="宋体" w:cs="Times New Roman"/>
      <w:kern w:val="0"/>
      <w:sz w:val="30"/>
      <w:szCs w:val="20"/>
    </w:rPr>
  </w:style>
  <w:style w:type="character" w:customStyle="1" w:styleId="48">
    <w:name w:val="标题 2 字符1"/>
    <w:basedOn w:val="34"/>
    <w:link w:val="3"/>
    <w:autoRedefine/>
    <w:qFormat/>
    <w:uiPriority w:val="0"/>
    <w:rPr>
      <w:rFonts w:ascii="Times New Roman" w:hAnsi="Times New Roman" w:eastAsia="宋体" w:cs="Times New Roman"/>
      <w:kern w:val="0"/>
      <w:sz w:val="20"/>
      <w:szCs w:val="20"/>
    </w:rPr>
  </w:style>
  <w:style w:type="character" w:customStyle="1" w:styleId="49">
    <w:name w:val="标题 3 字符"/>
    <w:basedOn w:val="34"/>
    <w:link w:val="4"/>
    <w:autoRedefine/>
    <w:qFormat/>
    <w:uiPriority w:val="0"/>
    <w:rPr>
      <w:rFonts w:ascii="Times New Roman" w:hAnsi="Times New Roman" w:eastAsia="宋体" w:cs="Times New Roman"/>
      <w:b/>
      <w:sz w:val="24"/>
      <w:szCs w:val="20"/>
    </w:rPr>
  </w:style>
  <w:style w:type="character" w:customStyle="1" w:styleId="50">
    <w:name w:val="标题 4 字符"/>
    <w:basedOn w:val="34"/>
    <w:link w:val="6"/>
    <w:autoRedefine/>
    <w:qFormat/>
    <w:uiPriority w:val="0"/>
    <w:rPr>
      <w:rFonts w:ascii="Arial" w:hAnsi="Arial" w:eastAsia="宋体" w:cs="Times New Roman"/>
      <w:sz w:val="24"/>
      <w:szCs w:val="20"/>
    </w:rPr>
  </w:style>
  <w:style w:type="character" w:customStyle="1" w:styleId="51">
    <w:name w:val="标题 8 字符"/>
    <w:basedOn w:val="34"/>
    <w:link w:val="7"/>
    <w:autoRedefine/>
    <w:qFormat/>
    <w:uiPriority w:val="0"/>
    <w:rPr>
      <w:rFonts w:ascii="Arial" w:hAnsi="Arial" w:eastAsia="黑体" w:cs="Times New Roman"/>
      <w:sz w:val="24"/>
      <w:szCs w:val="24"/>
    </w:rPr>
  </w:style>
  <w:style w:type="character" w:customStyle="1" w:styleId="52">
    <w:name w:val="标题 9 字符"/>
    <w:basedOn w:val="34"/>
    <w:link w:val="8"/>
    <w:autoRedefine/>
    <w:qFormat/>
    <w:uiPriority w:val="0"/>
    <w:rPr>
      <w:rFonts w:ascii="Cambria" w:hAnsi="Cambria" w:eastAsia="宋体" w:cs="Times New Roman"/>
      <w:szCs w:val="21"/>
    </w:rPr>
  </w:style>
  <w:style w:type="character" w:customStyle="1" w:styleId="53">
    <w:name w:val="正文文本缩进 字符"/>
    <w:basedOn w:val="34"/>
    <w:link w:val="12"/>
    <w:autoRedefine/>
    <w:semiHidden/>
    <w:qFormat/>
    <w:uiPriority w:val="99"/>
    <w:rPr>
      <w:rFonts w:ascii="Times New Roman" w:hAnsi="Times New Roman" w:eastAsia="宋体" w:cs="Times New Roman"/>
      <w:szCs w:val="20"/>
    </w:rPr>
  </w:style>
  <w:style w:type="character" w:customStyle="1" w:styleId="54">
    <w:name w:val="正文文本首行缩进 2 字符"/>
    <w:basedOn w:val="53"/>
    <w:link w:val="32"/>
    <w:autoRedefine/>
    <w:qFormat/>
    <w:uiPriority w:val="0"/>
    <w:rPr>
      <w:rFonts w:ascii="宋体" w:hAnsi="宋体" w:eastAsia="宋体" w:cs="Times New Roman"/>
      <w:spacing w:val="-20"/>
      <w:kern w:val="21"/>
      <w:sz w:val="28"/>
      <w:szCs w:val="20"/>
    </w:rPr>
  </w:style>
  <w:style w:type="character" w:customStyle="1" w:styleId="55">
    <w:name w:val="文档结构图 字符"/>
    <w:basedOn w:val="34"/>
    <w:link w:val="9"/>
    <w:autoRedefine/>
    <w:qFormat/>
    <w:uiPriority w:val="0"/>
    <w:rPr>
      <w:rFonts w:ascii="Times New Roman" w:hAnsi="Times New Roman" w:eastAsia="宋体" w:cs="Times New Roman"/>
      <w:szCs w:val="20"/>
      <w:shd w:val="clear" w:color="auto" w:fill="000080"/>
    </w:rPr>
  </w:style>
  <w:style w:type="character" w:customStyle="1" w:styleId="56">
    <w:name w:val="批注文字 字符"/>
    <w:basedOn w:val="34"/>
    <w:link w:val="10"/>
    <w:autoRedefine/>
    <w:qFormat/>
    <w:uiPriority w:val="0"/>
    <w:rPr>
      <w:rFonts w:ascii="Times New Roman" w:hAnsi="Times New Roman" w:eastAsia="宋体" w:cs="Times New Roman"/>
      <w:szCs w:val="20"/>
    </w:rPr>
  </w:style>
  <w:style w:type="character" w:customStyle="1" w:styleId="57">
    <w:name w:val="正文文本 字符"/>
    <w:basedOn w:val="34"/>
    <w:link w:val="11"/>
    <w:autoRedefine/>
    <w:qFormat/>
    <w:uiPriority w:val="0"/>
    <w:rPr>
      <w:rFonts w:ascii="Times New Roman" w:hAnsi="Times New Roman" w:eastAsia="宋体" w:cs="Times New Roman"/>
      <w:szCs w:val="20"/>
    </w:rPr>
  </w:style>
  <w:style w:type="character" w:customStyle="1" w:styleId="58">
    <w:name w:val="纯文本 字符"/>
    <w:basedOn w:val="34"/>
    <w:link w:val="14"/>
    <w:autoRedefine/>
    <w:qFormat/>
    <w:uiPriority w:val="0"/>
    <w:rPr>
      <w:rFonts w:ascii="Times New Roman" w:hAnsi="Courier New" w:eastAsia="宋体" w:cs="Times New Roman"/>
      <w:szCs w:val="20"/>
    </w:rPr>
  </w:style>
  <w:style w:type="character" w:customStyle="1" w:styleId="59">
    <w:name w:val="日期 字符"/>
    <w:basedOn w:val="34"/>
    <w:link w:val="15"/>
    <w:autoRedefine/>
    <w:qFormat/>
    <w:uiPriority w:val="0"/>
    <w:rPr>
      <w:rFonts w:ascii="Times New Roman" w:hAnsi="Times New Roman" w:eastAsia="宋体" w:cs="Times New Roman"/>
      <w:szCs w:val="20"/>
    </w:rPr>
  </w:style>
  <w:style w:type="character" w:customStyle="1" w:styleId="60">
    <w:name w:val="正文文本缩进 2 字符"/>
    <w:basedOn w:val="34"/>
    <w:link w:val="16"/>
    <w:autoRedefine/>
    <w:qFormat/>
    <w:uiPriority w:val="0"/>
    <w:rPr>
      <w:rFonts w:ascii="宋体" w:hAnsi="Times New Roman" w:eastAsia="宋体" w:cs="Times New Roman"/>
      <w:szCs w:val="20"/>
    </w:rPr>
  </w:style>
  <w:style w:type="character" w:customStyle="1" w:styleId="61">
    <w:name w:val="尾注文本 字符"/>
    <w:basedOn w:val="34"/>
    <w:link w:val="17"/>
    <w:autoRedefine/>
    <w:qFormat/>
    <w:uiPriority w:val="0"/>
    <w:rPr>
      <w:rFonts w:ascii="Times New Roman" w:hAnsi="Times New Roman" w:eastAsia="宋体" w:cs="Times New Roman"/>
      <w:szCs w:val="20"/>
    </w:rPr>
  </w:style>
  <w:style w:type="character" w:customStyle="1" w:styleId="62">
    <w:name w:val="批注框文本 字符"/>
    <w:basedOn w:val="34"/>
    <w:link w:val="18"/>
    <w:autoRedefine/>
    <w:qFormat/>
    <w:uiPriority w:val="0"/>
    <w:rPr>
      <w:rFonts w:ascii="Times New Roman" w:hAnsi="Times New Roman" w:eastAsia="宋体" w:cs="Times New Roman"/>
      <w:sz w:val="18"/>
      <w:szCs w:val="18"/>
    </w:rPr>
  </w:style>
  <w:style w:type="character" w:customStyle="1" w:styleId="63">
    <w:name w:val="正文文本 2 字符"/>
    <w:basedOn w:val="34"/>
    <w:link w:val="26"/>
    <w:autoRedefine/>
    <w:qFormat/>
    <w:uiPriority w:val="0"/>
    <w:rPr>
      <w:rFonts w:ascii="宋体" w:hAnsi="Times New Roman" w:eastAsia="宋体" w:cs="Times New Roman"/>
      <w:sz w:val="24"/>
      <w:szCs w:val="20"/>
    </w:rPr>
  </w:style>
  <w:style w:type="character" w:customStyle="1" w:styleId="64">
    <w:name w:val="HTML 预设格式 字符"/>
    <w:basedOn w:val="34"/>
    <w:link w:val="27"/>
    <w:autoRedefine/>
    <w:qFormat/>
    <w:uiPriority w:val="0"/>
    <w:rPr>
      <w:rFonts w:ascii="宋体" w:hAnsi="宋体" w:eastAsia="宋体" w:cs="Times New Roman"/>
      <w:kern w:val="0"/>
      <w:sz w:val="24"/>
      <w:szCs w:val="24"/>
    </w:rPr>
  </w:style>
  <w:style w:type="character" w:customStyle="1" w:styleId="65">
    <w:name w:val="标题 字符"/>
    <w:basedOn w:val="34"/>
    <w:link w:val="29"/>
    <w:autoRedefine/>
    <w:qFormat/>
    <w:uiPriority w:val="10"/>
    <w:rPr>
      <w:rFonts w:ascii="Cambria" w:hAnsi="Cambria" w:eastAsia="宋体" w:cs="Times New Roman"/>
      <w:b/>
      <w:bCs/>
      <w:sz w:val="32"/>
      <w:szCs w:val="32"/>
    </w:rPr>
  </w:style>
  <w:style w:type="character" w:customStyle="1" w:styleId="66">
    <w:name w:val="批注主题 字符"/>
    <w:basedOn w:val="56"/>
    <w:link w:val="30"/>
    <w:autoRedefine/>
    <w:qFormat/>
    <w:uiPriority w:val="0"/>
    <w:rPr>
      <w:rFonts w:ascii="Times New Roman" w:hAnsi="Times New Roman" w:eastAsia="宋体" w:cs="Times New Roman"/>
      <w:b/>
      <w:bCs/>
      <w:szCs w:val="20"/>
    </w:rPr>
  </w:style>
  <w:style w:type="character" w:customStyle="1" w:styleId="67">
    <w:name w:val="正文文本首行缩进 字符"/>
    <w:basedOn w:val="57"/>
    <w:link w:val="31"/>
    <w:autoRedefine/>
    <w:qFormat/>
    <w:uiPriority w:val="0"/>
    <w:rPr>
      <w:rFonts w:ascii="Calibri" w:hAnsi="Calibri" w:eastAsia="宋体" w:cs="Times New Roman"/>
      <w:szCs w:val="20"/>
    </w:rPr>
  </w:style>
  <w:style w:type="character" w:customStyle="1" w:styleId="68">
    <w:name w:val="标题 2 字符"/>
    <w:autoRedefine/>
    <w:qFormat/>
    <w:uiPriority w:val="0"/>
    <w:rPr>
      <w:kern w:val="0"/>
    </w:rPr>
  </w:style>
  <w:style w:type="paragraph" w:customStyle="1" w:styleId="69">
    <w:name w:val="章标题"/>
    <w:next w:val="1"/>
    <w:autoRedefine/>
    <w:qFormat/>
    <w:uiPriority w:val="0"/>
    <w:pPr>
      <w:spacing w:before="50" w:after="50"/>
      <w:jc w:val="both"/>
      <w:outlineLvl w:val="1"/>
    </w:pPr>
    <w:rPr>
      <w:rFonts w:ascii="黑体" w:hAnsi="Calibri" w:eastAsia="黑体" w:cs="Times New Roman"/>
      <w:sz w:val="21"/>
      <w:lang w:val="en-US" w:eastAsia="zh-CN" w:bidi="ar-SA"/>
    </w:rPr>
  </w:style>
  <w:style w:type="paragraph" w:customStyle="1" w:styleId="7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2"/>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71">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42"/>
    <w:autoRedefine/>
    <w:qFormat/>
    <w:uiPriority w:val="0"/>
    <w:pPr>
      <w:widowControl w:val="0"/>
      <w:jc w:val="both"/>
    </w:pPr>
    <w:rPr>
      <w:rFonts w:ascii="Calibri" w:hAnsi="Calibri" w:eastAsia="宋体" w:cs="黑体"/>
      <w:kern w:val="2"/>
      <w:sz w:val="21"/>
      <w:szCs w:val="24"/>
      <w:lang w:val="en-US" w:eastAsia="zh-CN" w:bidi="ar-SA"/>
    </w:rPr>
  </w:style>
  <w:style w:type="character" w:customStyle="1" w:styleId="72">
    <w:name w:val="NormalCharacter"/>
    <w:autoRedefine/>
    <w:semiHidden/>
    <w:qFormat/>
    <w:uiPriority w:val="0"/>
    <w:rPr>
      <w:kern w:val="2"/>
      <w:sz w:val="21"/>
      <w:lang w:val="en-US" w:eastAsia="zh-CN" w:bidi="ar-SA"/>
    </w:rPr>
  </w:style>
  <w:style w:type="paragraph" w:customStyle="1" w:styleId="73">
    <w:name w:val="正文正"/>
    <w:basedOn w:val="74"/>
    <w:autoRedefine/>
    <w:qFormat/>
    <w:uiPriority w:val="99"/>
    <w:pPr>
      <w:spacing w:line="560" w:lineRule="exact"/>
      <w:ind w:firstLine="561"/>
    </w:pPr>
    <w:rPr>
      <w:rFonts w:ascii="Calibri" w:hAnsi="Calibri" w:cs="Calibri"/>
      <w:sz w:val="28"/>
      <w:szCs w:val="28"/>
    </w:rPr>
  </w:style>
  <w:style w:type="paragraph" w:customStyle="1" w:styleId="74">
    <w:name w:val="正文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5">
    <w:name w:val="正文格式"/>
    <w:basedOn w:val="1"/>
    <w:autoRedefine/>
    <w:qFormat/>
    <w:uiPriority w:val="0"/>
    <w:pPr>
      <w:topLinePunct/>
      <w:ind w:firstLine="420" w:firstLineChars="200"/>
    </w:pPr>
    <w:rPr>
      <w:rFonts w:ascii="宋体" w:hAnsi="宋体"/>
      <w:bCs/>
      <w:szCs w:val="21"/>
    </w:rPr>
  </w:style>
  <w:style w:type="character" w:customStyle="1" w:styleId="76">
    <w:name w:val="页码 New New New New New New"/>
    <w:autoRedefine/>
    <w:qFormat/>
    <w:uiPriority w:val="0"/>
  </w:style>
  <w:style w:type="character" w:customStyle="1" w:styleId="77">
    <w:name w:val="fontstyle01"/>
    <w:autoRedefine/>
    <w:qFormat/>
    <w:uiPriority w:val="99"/>
    <w:rPr>
      <w:rFonts w:ascii="宋体" w:hAnsi="宋体" w:eastAsia="宋体" w:cs="Times New Roman"/>
      <w:color w:val="000000"/>
      <w:sz w:val="22"/>
      <w:szCs w:val="22"/>
    </w:rPr>
  </w:style>
  <w:style w:type="character" w:customStyle="1" w:styleId="78">
    <w:name w:val="页码 New"/>
    <w:autoRedefine/>
    <w:qFormat/>
    <w:uiPriority w:val="0"/>
  </w:style>
  <w:style w:type="character" w:customStyle="1" w:styleId="79">
    <w:name w:val="font41"/>
    <w:autoRedefine/>
    <w:qFormat/>
    <w:uiPriority w:val="0"/>
    <w:rPr>
      <w:rFonts w:hint="eastAsia" w:ascii="宋体" w:hAnsi="宋体" w:eastAsia="宋体" w:cs="宋体"/>
      <w:color w:val="000000"/>
      <w:sz w:val="24"/>
      <w:szCs w:val="24"/>
      <w:u w:val="none"/>
    </w:rPr>
  </w:style>
  <w:style w:type="character" w:customStyle="1" w:styleId="80">
    <w:name w:val="超链接 New New"/>
    <w:autoRedefine/>
    <w:qFormat/>
    <w:uiPriority w:val="0"/>
    <w:rPr>
      <w:color w:val="000000"/>
      <w:sz w:val="18"/>
      <w:szCs w:val="18"/>
      <w:u w:val="none"/>
    </w:rPr>
  </w:style>
  <w:style w:type="character" w:customStyle="1" w:styleId="81">
    <w:name w:val="标题 2 New New Char Char"/>
    <w:link w:val="82"/>
    <w:autoRedefine/>
    <w:qFormat/>
    <w:uiPriority w:val="0"/>
    <w:rPr>
      <w:rFonts w:ascii="Times New Roman" w:hAnsi="Times New Roman" w:eastAsia="宋体"/>
      <w:kern w:val="0"/>
      <w:sz w:val="24"/>
    </w:rPr>
  </w:style>
  <w:style w:type="paragraph" w:customStyle="1" w:styleId="82">
    <w:name w:val="1111111"/>
    <w:basedOn w:val="83"/>
    <w:next w:val="83"/>
    <w:link w:val="81"/>
    <w:autoRedefine/>
    <w:qFormat/>
    <w:uiPriority w:val="0"/>
    <w:pPr>
      <w:autoSpaceDE w:val="0"/>
      <w:autoSpaceDN w:val="0"/>
      <w:adjustRightInd w:val="0"/>
      <w:jc w:val="left"/>
      <w:outlineLvl w:val="1"/>
    </w:pPr>
    <w:rPr>
      <w:rFonts w:ascii="Times New Roman" w:cstheme="minorBidi"/>
      <w:kern w:val="0"/>
      <w:szCs w:val="22"/>
    </w:rPr>
  </w:style>
  <w:style w:type="paragraph" w:customStyle="1" w:styleId="83">
    <w:name w:val="正文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84">
    <w:name w:val="font11"/>
    <w:autoRedefine/>
    <w:qFormat/>
    <w:uiPriority w:val="0"/>
    <w:rPr>
      <w:rFonts w:ascii="����" w:hAnsi="����" w:eastAsia="����" w:cs="����"/>
      <w:color w:val="000000"/>
      <w:sz w:val="24"/>
      <w:szCs w:val="24"/>
      <w:u w:val="none"/>
    </w:rPr>
  </w:style>
  <w:style w:type="character" w:customStyle="1" w:styleId="85">
    <w:name w:val="页码 New New New New New New New New New"/>
    <w:autoRedefine/>
    <w:qFormat/>
    <w:uiPriority w:val="0"/>
  </w:style>
  <w:style w:type="character" w:customStyle="1" w:styleId="86">
    <w:name w:val="页码 New New"/>
    <w:autoRedefine/>
    <w:qFormat/>
    <w:uiPriority w:val="0"/>
  </w:style>
  <w:style w:type="character" w:customStyle="1" w:styleId="87">
    <w:name w:val="页码 New New New New New New New"/>
    <w:autoRedefine/>
    <w:qFormat/>
    <w:uiPriority w:val="0"/>
  </w:style>
  <w:style w:type="character" w:customStyle="1" w:styleId="88">
    <w:name w:val="页码 New New New New New New New New New New"/>
    <w:autoRedefine/>
    <w:qFormat/>
    <w:uiPriority w:val="0"/>
  </w:style>
  <w:style w:type="character" w:customStyle="1" w:styleId="89">
    <w:name w:val="页码 New New New New New New New New"/>
    <w:autoRedefine/>
    <w:qFormat/>
    <w:uiPriority w:val="0"/>
  </w:style>
  <w:style w:type="character" w:customStyle="1" w:styleId="90">
    <w:name w:val="页码 New New New"/>
    <w:autoRedefine/>
    <w:qFormat/>
    <w:uiPriority w:val="0"/>
  </w:style>
  <w:style w:type="character" w:customStyle="1" w:styleId="91">
    <w:name w:val="页码 New New New New New New New New New New New"/>
    <w:autoRedefine/>
    <w:qFormat/>
    <w:uiPriority w:val="0"/>
  </w:style>
  <w:style w:type="character" w:customStyle="1" w:styleId="92">
    <w:name w:val="页码 New New New New New New New New New New New New"/>
    <w:autoRedefine/>
    <w:qFormat/>
    <w:uiPriority w:val="0"/>
  </w:style>
  <w:style w:type="character" w:customStyle="1" w:styleId="93">
    <w:name w:val="页码 New New New New New"/>
    <w:autoRedefine/>
    <w:qFormat/>
    <w:uiPriority w:val="0"/>
  </w:style>
  <w:style w:type="character" w:customStyle="1" w:styleId="94">
    <w:name w:val="页码 New New New New"/>
    <w:autoRedefine/>
    <w:qFormat/>
    <w:uiPriority w:val="0"/>
  </w:style>
  <w:style w:type="character" w:customStyle="1" w:styleId="95">
    <w:name w:val="font51"/>
    <w:autoRedefine/>
    <w:qFormat/>
    <w:uiPriority w:val="0"/>
    <w:rPr>
      <w:rFonts w:hint="eastAsia" w:ascii="宋体" w:hAnsi="宋体" w:eastAsia="宋体" w:cs="宋体"/>
      <w:color w:val="000000"/>
      <w:sz w:val="24"/>
      <w:szCs w:val="24"/>
      <w:u w:val="none"/>
    </w:rPr>
  </w:style>
  <w:style w:type="character" w:customStyle="1" w:styleId="96">
    <w:name w:val="hover35"/>
    <w:autoRedefine/>
    <w:qFormat/>
    <w:uiPriority w:val="0"/>
  </w:style>
  <w:style w:type="character" w:customStyle="1" w:styleId="97">
    <w:name w:val="font21"/>
    <w:autoRedefine/>
    <w:qFormat/>
    <w:uiPriority w:val="0"/>
    <w:rPr>
      <w:rFonts w:ascii="Calibri" w:hAnsi="Calibri" w:cs="Calibri"/>
      <w:color w:val="000000"/>
      <w:sz w:val="24"/>
      <w:szCs w:val="24"/>
      <w:u w:val="none"/>
    </w:rPr>
  </w:style>
  <w:style w:type="character" w:customStyle="1" w:styleId="98">
    <w:name w:val="超链接 New"/>
    <w:autoRedefine/>
    <w:qFormat/>
    <w:uiPriority w:val="0"/>
    <w:rPr>
      <w:color w:val="0000FF"/>
      <w:u w:val="single"/>
    </w:rPr>
  </w:style>
  <w:style w:type="character" w:customStyle="1" w:styleId="99">
    <w:name w:val="正文文本缩进 2 New Char Char"/>
    <w:link w:val="100"/>
    <w:autoRedefine/>
    <w:qFormat/>
    <w:uiPriority w:val="0"/>
    <w:rPr>
      <w:rFonts w:ascii="宋体"/>
    </w:rPr>
  </w:style>
  <w:style w:type="paragraph" w:customStyle="1" w:styleId="100">
    <w:name w:val="正文文本缩进 2 New"/>
    <w:basedOn w:val="83"/>
    <w:link w:val="99"/>
    <w:autoRedefine/>
    <w:qFormat/>
    <w:uiPriority w:val="0"/>
    <w:pPr>
      <w:spacing w:line="480" w:lineRule="auto"/>
      <w:ind w:firstLine="561"/>
    </w:pPr>
    <w:rPr>
      <w:rFonts w:hAnsiTheme="minorHAnsi" w:eastAsiaTheme="minorEastAsia" w:cstheme="minorBidi"/>
      <w:sz w:val="21"/>
      <w:szCs w:val="22"/>
    </w:rPr>
  </w:style>
  <w:style w:type="paragraph" w:customStyle="1" w:styleId="101">
    <w:name w:val="正文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2">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3">
    <w:name w:val="正文缩进 New New New New"/>
    <w:basedOn w:val="104"/>
    <w:autoRedefine/>
    <w:qFormat/>
    <w:uiPriority w:val="0"/>
    <w:pPr>
      <w:widowControl/>
      <w:ind w:firstLine="420"/>
      <w:jc w:val="left"/>
    </w:pPr>
  </w:style>
  <w:style w:type="paragraph" w:customStyle="1" w:styleId="104">
    <w:name w:val="正文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5">
    <w:name w:val="文档结构图 New New"/>
    <w:basedOn w:val="106"/>
    <w:autoRedefine/>
    <w:qFormat/>
    <w:uiPriority w:val="0"/>
    <w:pPr>
      <w:shd w:val="clear" w:color="auto" w:fill="000080"/>
    </w:pPr>
  </w:style>
  <w:style w:type="paragraph" w:customStyle="1" w:styleId="106">
    <w:name w:val="正文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7">
    <w:name w:val="文档结构图 New"/>
    <w:basedOn w:val="83"/>
    <w:autoRedefine/>
    <w:qFormat/>
    <w:uiPriority w:val="0"/>
    <w:pPr>
      <w:shd w:val="clear" w:color="auto" w:fill="000080"/>
    </w:pPr>
  </w:style>
  <w:style w:type="paragraph" w:customStyle="1" w:styleId="108">
    <w:name w:val="TOC 标题1"/>
    <w:basedOn w:val="2"/>
    <w:next w:val="1"/>
    <w:autoRedefine/>
    <w:qFormat/>
    <w:uiPriority w:val="0"/>
    <w:pPr>
      <w:widowControl/>
      <w:spacing w:before="480" w:line="276" w:lineRule="auto"/>
      <w:outlineLvl w:val="9"/>
    </w:pPr>
    <w:rPr>
      <w:rFonts w:ascii="Cambria" w:hAnsi="Cambria"/>
      <w:color w:val="366091"/>
      <w:sz w:val="28"/>
      <w:szCs w:val="28"/>
    </w:rPr>
  </w:style>
  <w:style w:type="paragraph" w:customStyle="1" w:styleId="109">
    <w:name w:val="页脚 New New New New New New New New New"/>
    <w:basedOn w:val="102"/>
    <w:autoRedefine/>
    <w:qFormat/>
    <w:uiPriority w:val="0"/>
    <w:pPr>
      <w:widowControl/>
      <w:tabs>
        <w:tab w:val="center" w:pos="4153"/>
        <w:tab w:val="right" w:pos="8306"/>
      </w:tabs>
      <w:snapToGrid w:val="0"/>
      <w:jc w:val="left"/>
    </w:pPr>
    <w:rPr>
      <w:sz w:val="18"/>
    </w:rPr>
  </w:style>
  <w:style w:type="paragraph" w:customStyle="1" w:styleId="110">
    <w:name w:val="样式 样式 四号 首行缩进:  0 厘米 + 首行缩进:  2 字符"/>
    <w:basedOn w:val="1"/>
    <w:autoRedefine/>
    <w:qFormat/>
    <w:uiPriority w:val="0"/>
    <w:pPr>
      <w:spacing w:before="120" w:line="360" w:lineRule="auto"/>
      <w:ind w:firstLine="566" w:firstLineChars="236"/>
    </w:pPr>
    <w:rPr>
      <w:kern w:val="24"/>
      <w:szCs w:val="21"/>
    </w:rPr>
  </w:style>
  <w:style w:type="paragraph" w:customStyle="1" w:styleId="111">
    <w:name w:val="目录 1 New"/>
    <w:basedOn w:val="83"/>
    <w:next w:val="83"/>
    <w:autoRedefine/>
    <w:qFormat/>
    <w:uiPriority w:val="0"/>
    <w:pPr>
      <w:spacing w:before="120" w:after="120"/>
      <w:jc w:val="left"/>
    </w:pPr>
    <w:rPr>
      <w:caps/>
    </w:rPr>
  </w:style>
  <w:style w:type="paragraph" w:customStyle="1" w:styleId="112">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3">
    <w:name w:val="页脚 New New"/>
    <w:basedOn w:val="1"/>
    <w:autoRedefine/>
    <w:qFormat/>
    <w:uiPriority w:val="0"/>
    <w:pPr>
      <w:widowControl/>
      <w:tabs>
        <w:tab w:val="center" w:pos="4153"/>
        <w:tab w:val="right" w:pos="8306"/>
      </w:tabs>
      <w:snapToGrid w:val="0"/>
      <w:jc w:val="left"/>
    </w:pPr>
    <w:rPr>
      <w:rFonts w:ascii="宋体"/>
      <w:sz w:val="18"/>
    </w:rPr>
  </w:style>
  <w:style w:type="paragraph" w:customStyle="1" w:styleId="114">
    <w:name w:val="页脚 New New New New New New New New New New New"/>
    <w:basedOn w:val="115"/>
    <w:autoRedefine/>
    <w:qFormat/>
    <w:uiPriority w:val="0"/>
    <w:pPr>
      <w:widowControl/>
      <w:tabs>
        <w:tab w:val="center" w:pos="4153"/>
        <w:tab w:val="right" w:pos="8306"/>
      </w:tabs>
      <w:snapToGrid w:val="0"/>
      <w:jc w:val="left"/>
    </w:pPr>
    <w:rPr>
      <w:sz w:val="18"/>
    </w:rPr>
  </w:style>
  <w:style w:type="paragraph" w:customStyle="1" w:styleId="115">
    <w:name w:val="正文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6">
    <w:name w:val="文档结构图 New New New New"/>
    <w:basedOn w:val="117"/>
    <w:qFormat/>
    <w:uiPriority w:val="0"/>
    <w:pPr>
      <w:shd w:val="clear" w:color="auto" w:fill="000080"/>
    </w:pPr>
  </w:style>
  <w:style w:type="paragraph" w:customStyle="1" w:styleId="117">
    <w:name w:val="正文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8">
    <w:name w:val="标题 3 New"/>
    <w:basedOn w:val="119"/>
    <w:next w:val="119"/>
    <w:autoRedefine/>
    <w:qFormat/>
    <w:uiPriority w:val="0"/>
    <w:pPr>
      <w:keepNext/>
      <w:keepLines/>
      <w:spacing w:before="120" w:after="120"/>
      <w:jc w:val="center"/>
      <w:outlineLvl w:val="2"/>
    </w:pPr>
    <w:rPr>
      <w:sz w:val="24"/>
    </w:rPr>
  </w:style>
  <w:style w:type="paragraph" w:customStyle="1" w:styleId="119">
    <w:name w:val="正文缩进 New"/>
    <w:basedOn w:val="120"/>
    <w:autoRedefine/>
    <w:qFormat/>
    <w:uiPriority w:val="0"/>
    <w:pPr>
      <w:widowControl/>
      <w:ind w:firstLine="420"/>
      <w:jc w:val="left"/>
    </w:pPr>
    <w:rPr>
      <w:kern w:val="0"/>
      <w:sz w:val="20"/>
    </w:rPr>
  </w:style>
  <w:style w:type="paragraph" w:customStyle="1" w:styleId="120">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1">
    <w:name w:val="正文文本缩进 3 New"/>
    <w:basedOn w:val="83"/>
    <w:autoRedefine/>
    <w:qFormat/>
    <w:uiPriority w:val="0"/>
    <w:pPr>
      <w:ind w:firstLine="560"/>
    </w:pPr>
    <w:rPr>
      <w:color w:val="FF0000"/>
    </w:rPr>
  </w:style>
  <w:style w:type="paragraph" w:customStyle="1" w:styleId="122">
    <w:name w:val="正文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3">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24">
    <w:name w:val="文档结构图 New New New"/>
    <w:basedOn w:val="101"/>
    <w:autoRedefine/>
    <w:qFormat/>
    <w:uiPriority w:val="0"/>
    <w:pPr>
      <w:shd w:val="clear" w:color="auto" w:fill="000080"/>
    </w:pPr>
  </w:style>
  <w:style w:type="paragraph" w:customStyle="1" w:styleId="125">
    <w:name w:val="正文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6">
    <w:name w:val="正文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7">
    <w:name w:val="页脚 New New New New New New New New New New New New New New New New New New New New"/>
    <w:basedOn w:val="117"/>
    <w:autoRedefine/>
    <w:qFormat/>
    <w:uiPriority w:val="0"/>
    <w:pPr>
      <w:widowControl/>
      <w:tabs>
        <w:tab w:val="center" w:pos="4153"/>
        <w:tab w:val="right" w:pos="8306"/>
      </w:tabs>
      <w:snapToGrid w:val="0"/>
      <w:jc w:val="left"/>
    </w:pPr>
    <w:rPr>
      <w:kern w:val="0"/>
      <w:sz w:val="18"/>
    </w:rPr>
  </w:style>
  <w:style w:type="paragraph" w:customStyle="1" w:styleId="128">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9">
    <w:name w:val="正文文本 New"/>
    <w:basedOn w:val="83"/>
    <w:autoRedefine/>
    <w:qFormat/>
    <w:uiPriority w:val="0"/>
    <w:pPr>
      <w:spacing w:after="120"/>
    </w:pPr>
  </w:style>
  <w:style w:type="paragraph" w:customStyle="1" w:styleId="130">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cs="宋体"/>
      <w:b/>
      <w:bCs/>
      <w:color w:val="000000"/>
      <w:kern w:val="20"/>
    </w:rPr>
  </w:style>
  <w:style w:type="paragraph" w:customStyle="1" w:styleId="131">
    <w:name w:val="正文缩进 New New"/>
    <w:basedOn w:val="74"/>
    <w:autoRedefine/>
    <w:qFormat/>
    <w:uiPriority w:val="0"/>
    <w:pPr>
      <w:widowControl/>
      <w:ind w:firstLine="420"/>
      <w:jc w:val="left"/>
    </w:pPr>
  </w:style>
  <w:style w:type="paragraph" w:customStyle="1" w:styleId="132">
    <w:name w:val="正文1"/>
    <w:autoRedefine/>
    <w:qFormat/>
    <w:uiPriority w:val="0"/>
    <w:pPr>
      <w:widowControl w:val="0"/>
      <w:spacing w:after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133">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4">
    <w:name w:val="正文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5">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36">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7">
    <w:name w:val="页脚 New New New New"/>
    <w:basedOn w:val="1"/>
    <w:autoRedefine/>
    <w:qFormat/>
    <w:uiPriority w:val="0"/>
    <w:pPr>
      <w:widowControl/>
      <w:tabs>
        <w:tab w:val="center" w:pos="4153"/>
        <w:tab w:val="right" w:pos="8306"/>
      </w:tabs>
      <w:snapToGrid w:val="0"/>
      <w:jc w:val="left"/>
    </w:pPr>
    <w:rPr>
      <w:rFonts w:ascii="宋体"/>
      <w:sz w:val="18"/>
    </w:rPr>
  </w:style>
  <w:style w:type="paragraph" w:customStyle="1" w:styleId="138">
    <w:name w:val="Char Char2"/>
    <w:basedOn w:val="107"/>
    <w:autoRedefine/>
    <w:qFormat/>
    <w:uiPriority w:val="0"/>
    <w:pPr>
      <w:spacing w:line="240" w:lineRule="auto"/>
    </w:pPr>
  </w:style>
  <w:style w:type="paragraph" w:customStyle="1" w:styleId="139">
    <w:name w:val="页脚 New New New New New New New New New New New New New New New"/>
    <w:basedOn w:val="140"/>
    <w:autoRedefine/>
    <w:qFormat/>
    <w:uiPriority w:val="0"/>
    <w:pPr>
      <w:widowControl/>
      <w:tabs>
        <w:tab w:val="center" w:pos="4153"/>
        <w:tab w:val="right" w:pos="8306"/>
      </w:tabs>
      <w:snapToGrid w:val="0"/>
      <w:jc w:val="left"/>
    </w:pPr>
    <w:rPr>
      <w:sz w:val="18"/>
    </w:rPr>
  </w:style>
  <w:style w:type="paragraph" w:customStyle="1" w:styleId="140">
    <w:name w:val="正文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1">
    <w:name w:val="页脚 New New New New New New New New New New New New New New"/>
    <w:basedOn w:val="142"/>
    <w:autoRedefine/>
    <w:qFormat/>
    <w:uiPriority w:val="0"/>
    <w:pPr>
      <w:widowControl/>
      <w:tabs>
        <w:tab w:val="center" w:pos="4153"/>
        <w:tab w:val="right" w:pos="8306"/>
      </w:tabs>
      <w:snapToGrid w:val="0"/>
      <w:jc w:val="left"/>
    </w:pPr>
    <w:rPr>
      <w:sz w:val="18"/>
    </w:rPr>
  </w:style>
  <w:style w:type="paragraph" w:customStyle="1" w:styleId="142">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3">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44">
    <w:name w:val="页脚 New New New New New New New New New New New New New New New New New New New New New"/>
    <w:basedOn w:val="134"/>
    <w:autoRedefine/>
    <w:qFormat/>
    <w:uiPriority w:val="0"/>
    <w:pPr>
      <w:widowControl/>
      <w:tabs>
        <w:tab w:val="center" w:pos="4153"/>
        <w:tab w:val="right" w:pos="8306"/>
      </w:tabs>
      <w:snapToGrid w:val="0"/>
      <w:jc w:val="left"/>
    </w:pPr>
    <w:rPr>
      <w:kern w:val="0"/>
      <w:sz w:val="18"/>
    </w:rPr>
  </w:style>
  <w:style w:type="paragraph" w:customStyle="1" w:styleId="145">
    <w:name w:val="正文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6">
    <w:name w:val="正文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7">
    <w:name w:val="正文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8">
    <w:name w:val="正文缩进1"/>
    <w:basedOn w:val="1"/>
    <w:autoRedefine/>
    <w:qFormat/>
    <w:uiPriority w:val="0"/>
    <w:pPr>
      <w:widowControl/>
      <w:ind w:firstLine="420"/>
      <w:jc w:val="left"/>
    </w:pPr>
    <w:rPr>
      <w:kern w:val="0"/>
    </w:rPr>
  </w:style>
  <w:style w:type="paragraph" w:customStyle="1" w:styleId="149">
    <w:name w:val="Body text|221"/>
    <w:basedOn w:val="1"/>
    <w:autoRedefine/>
    <w:qFormat/>
    <w:uiPriority w:val="0"/>
    <w:pPr>
      <w:shd w:val="clear" w:color="auto" w:fill="FFFFFF"/>
      <w:spacing w:before="700" w:line="396" w:lineRule="exact"/>
      <w:ind w:hanging="860"/>
      <w:jc w:val="distribute"/>
    </w:pPr>
    <w:rPr>
      <w:rFonts w:ascii="PMingLiU" w:hAnsi="PMingLiU" w:eastAsia="PMingLiU" w:cs="PMingLiU"/>
      <w:sz w:val="20"/>
    </w:rPr>
  </w:style>
  <w:style w:type="paragraph" w:customStyle="1" w:styleId="150">
    <w:name w:val="正文文本 New New"/>
    <w:basedOn w:val="106"/>
    <w:autoRedefine/>
    <w:qFormat/>
    <w:uiPriority w:val="0"/>
    <w:pPr>
      <w:spacing w:after="120"/>
    </w:pPr>
  </w:style>
  <w:style w:type="paragraph" w:customStyle="1" w:styleId="151">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2">
    <w:name w:val="标题 2 New"/>
    <w:basedOn w:val="153"/>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53">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列出段落3"/>
    <w:basedOn w:val="1"/>
    <w:autoRedefine/>
    <w:qFormat/>
    <w:uiPriority w:val="0"/>
    <w:pPr>
      <w:ind w:firstLine="420" w:firstLineChars="200"/>
    </w:pPr>
  </w:style>
  <w:style w:type="paragraph" w:customStyle="1" w:styleId="155">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6">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7">
    <w:name w:val="索引标题 New"/>
    <w:basedOn w:val="1"/>
    <w:next w:val="158"/>
    <w:autoRedefine/>
    <w:qFormat/>
    <w:uiPriority w:val="0"/>
  </w:style>
  <w:style w:type="paragraph" w:customStyle="1" w:styleId="158">
    <w:name w:val="索引 1 New"/>
    <w:basedOn w:val="1"/>
    <w:next w:val="1"/>
    <w:autoRedefine/>
    <w:qFormat/>
    <w:uiPriority w:val="0"/>
  </w:style>
  <w:style w:type="paragraph" w:customStyle="1" w:styleId="159">
    <w:name w:val="正文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0">
    <w:name w:val="正文文本缩进 New New New New New New New New New"/>
    <w:basedOn w:val="125"/>
    <w:autoRedefine/>
    <w:qFormat/>
    <w:uiPriority w:val="0"/>
    <w:pPr>
      <w:spacing w:after="120"/>
      <w:ind w:left="420" w:leftChars="200"/>
    </w:pPr>
    <w:rPr>
      <w:szCs w:val="24"/>
    </w:rPr>
  </w:style>
  <w:style w:type="paragraph" w:customStyle="1" w:styleId="161">
    <w:name w:val="页脚 New New New New New New"/>
    <w:basedOn w:val="156"/>
    <w:autoRedefine/>
    <w:qFormat/>
    <w:uiPriority w:val="0"/>
    <w:pPr>
      <w:widowControl/>
      <w:tabs>
        <w:tab w:val="center" w:pos="4153"/>
        <w:tab w:val="right" w:pos="8306"/>
      </w:tabs>
      <w:snapToGrid w:val="0"/>
      <w:jc w:val="left"/>
    </w:pPr>
    <w:rPr>
      <w:sz w:val="18"/>
    </w:rPr>
  </w:style>
  <w:style w:type="paragraph" w:customStyle="1" w:styleId="162">
    <w:name w:val="正文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3">
    <w:name w:val="正文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4">
    <w:name w:val="页脚 New New New New New New New New New New New New New New New New New New New"/>
    <w:basedOn w:val="165"/>
    <w:autoRedefine/>
    <w:qFormat/>
    <w:uiPriority w:val="0"/>
    <w:pPr>
      <w:tabs>
        <w:tab w:val="center" w:pos="4153"/>
        <w:tab w:val="right" w:pos="8306"/>
      </w:tabs>
      <w:snapToGrid w:val="0"/>
      <w:jc w:val="left"/>
    </w:pPr>
    <w:rPr>
      <w:sz w:val="18"/>
      <w:szCs w:val="18"/>
    </w:rPr>
  </w:style>
  <w:style w:type="paragraph" w:customStyle="1" w:styleId="165">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Bodoni MT" w:hAnsi="Bodoni MT" w:eastAsia="宋体" w:cs="Bodoni MT"/>
      <w:kern w:val="2"/>
      <w:sz w:val="21"/>
      <w:szCs w:val="24"/>
      <w:lang w:val="en-US" w:eastAsia="zh-CN" w:bidi="ar-SA"/>
    </w:rPr>
  </w:style>
  <w:style w:type="paragraph" w:customStyle="1" w:styleId="166">
    <w:name w:val="正文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7">
    <w:name w:val="页脚 New"/>
    <w:basedOn w:val="83"/>
    <w:autoRedefine/>
    <w:qFormat/>
    <w:uiPriority w:val="0"/>
    <w:pPr>
      <w:widowControl/>
      <w:tabs>
        <w:tab w:val="center" w:pos="4153"/>
        <w:tab w:val="right" w:pos="8306"/>
      </w:tabs>
      <w:snapToGrid w:val="0"/>
      <w:jc w:val="left"/>
    </w:pPr>
    <w:rPr>
      <w:kern w:val="0"/>
      <w:sz w:val="18"/>
    </w:rPr>
  </w:style>
  <w:style w:type="paragraph" w:customStyle="1" w:styleId="168">
    <w:name w:val="页脚 New New New New New New New New New New"/>
    <w:basedOn w:val="147"/>
    <w:autoRedefine/>
    <w:qFormat/>
    <w:uiPriority w:val="0"/>
    <w:pPr>
      <w:widowControl/>
      <w:tabs>
        <w:tab w:val="center" w:pos="4153"/>
        <w:tab w:val="right" w:pos="8306"/>
      </w:tabs>
      <w:snapToGrid w:val="0"/>
      <w:jc w:val="left"/>
    </w:pPr>
    <w:rPr>
      <w:sz w:val="18"/>
    </w:rPr>
  </w:style>
  <w:style w:type="paragraph" w:customStyle="1" w:styleId="169">
    <w:name w:val="正文缩进11"/>
    <w:basedOn w:val="1"/>
    <w:autoRedefine/>
    <w:qFormat/>
    <w:uiPriority w:val="0"/>
    <w:pPr>
      <w:widowControl/>
      <w:ind w:firstLine="420"/>
      <w:jc w:val="left"/>
    </w:pPr>
    <w:rPr>
      <w:kern w:val="0"/>
    </w:rPr>
  </w:style>
  <w:style w:type="paragraph" w:customStyle="1" w:styleId="170">
    <w:name w:val="正文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71">
    <w:name w:val="正文文本缩进 New"/>
    <w:basedOn w:val="120"/>
    <w:autoRedefine/>
    <w:qFormat/>
    <w:uiPriority w:val="0"/>
    <w:pPr>
      <w:ind w:firstLine="560" w:firstLineChars="200"/>
    </w:pPr>
    <w:rPr>
      <w:rFonts w:ascii="宋体"/>
      <w:sz w:val="24"/>
    </w:rPr>
  </w:style>
  <w:style w:type="paragraph" w:customStyle="1" w:styleId="172">
    <w:name w:val="页脚 New New New New New New New New New New New New New New New New New"/>
    <w:basedOn w:val="133"/>
    <w:autoRedefine/>
    <w:qFormat/>
    <w:uiPriority w:val="0"/>
    <w:pPr>
      <w:widowControl/>
      <w:tabs>
        <w:tab w:val="center" w:pos="4153"/>
        <w:tab w:val="right" w:pos="8306"/>
      </w:tabs>
      <w:snapToGrid w:val="0"/>
      <w:jc w:val="left"/>
    </w:pPr>
    <w:rPr>
      <w:kern w:val="0"/>
      <w:sz w:val="18"/>
    </w:rPr>
  </w:style>
  <w:style w:type="paragraph" w:customStyle="1" w:styleId="173">
    <w:name w:val="标题三"/>
    <w:basedOn w:val="3"/>
    <w:autoRedefine/>
    <w:qFormat/>
    <w:uiPriority w:val="0"/>
    <w:pPr>
      <w:spacing w:before="240" w:after="240" w:line="480" w:lineRule="exact"/>
    </w:pPr>
    <w:rPr>
      <w:rFonts w:cs="宋体"/>
      <w:sz w:val="28"/>
    </w:rPr>
  </w:style>
  <w:style w:type="paragraph" w:customStyle="1" w:styleId="174">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75">
    <w:name w:val="页脚 New New New New New New New New New New New New"/>
    <w:basedOn w:val="155"/>
    <w:autoRedefine/>
    <w:qFormat/>
    <w:uiPriority w:val="0"/>
    <w:pPr>
      <w:widowControl/>
      <w:tabs>
        <w:tab w:val="center" w:pos="4153"/>
        <w:tab w:val="right" w:pos="8306"/>
      </w:tabs>
      <w:snapToGrid w:val="0"/>
      <w:jc w:val="left"/>
    </w:pPr>
    <w:rPr>
      <w:sz w:val="18"/>
    </w:rPr>
  </w:style>
  <w:style w:type="paragraph" w:customStyle="1" w:styleId="176">
    <w:name w:val="页脚 New New New New New New New"/>
    <w:basedOn w:val="126"/>
    <w:autoRedefine/>
    <w:qFormat/>
    <w:uiPriority w:val="0"/>
    <w:pPr>
      <w:widowControl/>
      <w:tabs>
        <w:tab w:val="center" w:pos="4153"/>
        <w:tab w:val="right" w:pos="8306"/>
      </w:tabs>
      <w:snapToGrid w:val="0"/>
      <w:jc w:val="left"/>
    </w:pPr>
    <w:rPr>
      <w:sz w:val="18"/>
    </w:rPr>
  </w:style>
  <w:style w:type="paragraph" w:customStyle="1" w:styleId="177">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78">
    <w:name w:val="页脚 New New New"/>
    <w:basedOn w:val="1"/>
    <w:autoRedefine/>
    <w:qFormat/>
    <w:uiPriority w:val="0"/>
    <w:pPr>
      <w:widowControl/>
      <w:tabs>
        <w:tab w:val="center" w:pos="4153"/>
        <w:tab w:val="right" w:pos="8306"/>
      </w:tabs>
      <w:snapToGrid w:val="0"/>
      <w:jc w:val="left"/>
    </w:pPr>
    <w:rPr>
      <w:rFonts w:ascii="宋体"/>
      <w:sz w:val="18"/>
    </w:rPr>
  </w:style>
  <w:style w:type="paragraph" w:customStyle="1" w:styleId="179">
    <w:name w:val="正文文本缩进 New New New New New New New New"/>
    <w:basedOn w:val="162"/>
    <w:autoRedefine/>
    <w:qFormat/>
    <w:uiPriority w:val="0"/>
    <w:pPr>
      <w:spacing w:after="120"/>
      <w:ind w:left="420" w:leftChars="200"/>
    </w:pPr>
    <w:rPr>
      <w:szCs w:val="24"/>
    </w:rPr>
  </w:style>
  <w:style w:type="paragraph" w:customStyle="1" w:styleId="180">
    <w:name w:val="正文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1">
    <w:name w:val="标题 3 New New New"/>
    <w:basedOn w:val="119"/>
    <w:next w:val="119"/>
    <w:autoRedefine/>
    <w:qFormat/>
    <w:uiPriority w:val="0"/>
    <w:pPr>
      <w:keepNext/>
      <w:keepLines/>
      <w:spacing w:before="120" w:after="120"/>
      <w:jc w:val="center"/>
      <w:outlineLvl w:val="2"/>
    </w:pPr>
    <w:rPr>
      <w:sz w:val="24"/>
    </w:rPr>
  </w:style>
  <w:style w:type="paragraph" w:customStyle="1" w:styleId="182">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83">
    <w:name w:val="正文文本缩进 New New"/>
    <w:basedOn w:val="83"/>
    <w:autoRedefine/>
    <w:qFormat/>
    <w:uiPriority w:val="0"/>
    <w:pPr>
      <w:ind w:firstLine="560" w:firstLineChars="200"/>
    </w:pPr>
  </w:style>
  <w:style w:type="paragraph" w:customStyle="1" w:styleId="184">
    <w:name w:val="页眉 New"/>
    <w:basedOn w:val="153"/>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85">
    <w:name w:val="页脚 New New New New New New New New"/>
    <w:basedOn w:val="122"/>
    <w:autoRedefine/>
    <w:qFormat/>
    <w:uiPriority w:val="0"/>
    <w:pPr>
      <w:widowControl/>
      <w:tabs>
        <w:tab w:val="center" w:pos="4153"/>
        <w:tab w:val="right" w:pos="8306"/>
      </w:tabs>
      <w:snapToGrid w:val="0"/>
      <w:jc w:val="left"/>
    </w:pPr>
    <w:rPr>
      <w:sz w:val="18"/>
    </w:rPr>
  </w:style>
  <w:style w:type="paragraph" w:customStyle="1" w:styleId="186">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7">
    <w:name w:val="正文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88">
    <w:name w:val="标题 1 New"/>
    <w:basedOn w:val="83"/>
    <w:next w:val="83"/>
    <w:autoRedefine/>
    <w:qFormat/>
    <w:uiPriority w:val="0"/>
    <w:pPr>
      <w:autoSpaceDE w:val="0"/>
      <w:autoSpaceDN w:val="0"/>
      <w:adjustRightInd w:val="0"/>
      <w:jc w:val="left"/>
      <w:outlineLvl w:val="0"/>
    </w:pPr>
    <w:rPr>
      <w:kern w:val="0"/>
      <w:sz w:val="30"/>
    </w:rPr>
  </w:style>
  <w:style w:type="paragraph" w:customStyle="1" w:styleId="189">
    <w:name w:val="页眉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90">
    <w:name w:val="正文缩进 New New New"/>
    <w:basedOn w:val="145"/>
    <w:autoRedefine/>
    <w:qFormat/>
    <w:uiPriority w:val="0"/>
    <w:pPr>
      <w:widowControl/>
      <w:ind w:firstLine="420"/>
      <w:jc w:val="left"/>
    </w:pPr>
  </w:style>
  <w:style w:type="paragraph" w:customStyle="1" w:styleId="191">
    <w:name w:val="页眉 New New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92">
    <w:name w:val="页脚 New New New New New New New New New New New New New"/>
    <w:basedOn w:val="180"/>
    <w:autoRedefine/>
    <w:qFormat/>
    <w:uiPriority w:val="0"/>
    <w:pPr>
      <w:widowControl/>
      <w:tabs>
        <w:tab w:val="center" w:pos="4153"/>
        <w:tab w:val="right" w:pos="8306"/>
      </w:tabs>
      <w:snapToGrid w:val="0"/>
      <w:jc w:val="left"/>
    </w:pPr>
    <w:rPr>
      <w:sz w:val="18"/>
    </w:rPr>
  </w:style>
  <w:style w:type="paragraph" w:customStyle="1" w:styleId="193">
    <w:name w:val="正文文本缩进 New New New New"/>
    <w:basedOn w:val="177"/>
    <w:autoRedefine/>
    <w:qFormat/>
    <w:uiPriority w:val="0"/>
    <w:pPr>
      <w:ind w:firstLine="560" w:firstLineChars="200"/>
    </w:pPr>
    <w:rPr>
      <w:szCs w:val="28"/>
    </w:rPr>
  </w:style>
  <w:style w:type="paragraph" w:customStyle="1" w:styleId="194">
    <w:name w:val="标题 3 New New New New New"/>
    <w:basedOn w:val="190"/>
    <w:next w:val="190"/>
    <w:autoRedefine/>
    <w:qFormat/>
    <w:uiPriority w:val="0"/>
    <w:pPr>
      <w:keepNext/>
      <w:keepLines/>
      <w:spacing w:before="120" w:after="120"/>
      <w:jc w:val="center"/>
      <w:outlineLvl w:val="2"/>
    </w:pPr>
  </w:style>
  <w:style w:type="paragraph" w:customStyle="1" w:styleId="195">
    <w:name w:val="页脚 New New New New New New New New New New New New New New New New"/>
    <w:basedOn w:val="106"/>
    <w:autoRedefine/>
    <w:qFormat/>
    <w:uiPriority w:val="0"/>
    <w:pPr>
      <w:widowControl/>
      <w:tabs>
        <w:tab w:val="center" w:pos="4153"/>
        <w:tab w:val="right" w:pos="8306"/>
      </w:tabs>
      <w:snapToGrid w:val="0"/>
      <w:jc w:val="left"/>
    </w:pPr>
    <w:rPr>
      <w:kern w:val="0"/>
      <w:sz w:val="18"/>
    </w:rPr>
  </w:style>
  <w:style w:type="paragraph" w:customStyle="1" w:styleId="196">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97">
    <w:name w:val="文档结构图 New New New New New"/>
    <w:basedOn w:val="134"/>
    <w:autoRedefine/>
    <w:qFormat/>
    <w:uiPriority w:val="0"/>
    <w:pPr>
      <w:shd w:val="clear" w:color="auto" w:fill="000080"/>
    </w:pPr>
  </w:style>
  <w:style w:type="paragraph" w:customStyle="1" w:styleId="198">
    <w:name w:val="页眉 New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99">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00">
    <w:name w:val="图"/>
    <w:basedOn w:val="1"/>
    <w:autoRedefine/>
    <w:qFormat/>
    <w:uiPriority w:val="0"/>
    <w:pPr>
      <w:keepNext/>
      <w:adjustRightInd w:val="0"/>
      <w:spacing w:before="60" w:after="60" w:line="300" w:lineRule="auto"/>
      <w:jc w:val="center"/>
      <w:textAlignment w:val="center"/>
    </w:pPr>
    <w:rPr>
      <w:snapToGrid w:val="0"/>
      <w:spacing w:val="20"/>
      <w:kern w:val="0"/>
    </w:rPr>
  </w:style>
  <w:style w:type="paragraph" w:customStyle="1" w:styleId="201">
    <w:name w:val="标题 2 New New New"/>
    <w:basedOn w:val="146"/>
    <w:next w:val="146"/>
    <w:autoRedefine/>
    <w:qFormat/>
    <w:uiPriority w:val="0"/>
    <w:pPr>
      <w:autoSpaceDE w:val="0"/>
      <w:autoSpaceDN w:val="0"/>
      <w:adjustRightInd w:val="0"/>
      <w:jc w:val="left"/>
      <w:outlineLvl w:val="1"/>
    </w:pPr>
  </w:style>
  <w:style w:type="paragraph" w:customStyle="1" w:styleId="202">
    <w:name w:val="批注文字 New"/>
    <w:basedOn w:val="203"/>
    <w:autoRedefine/>
    <w:qFormat/>
    <w:uiPriority w:val="0"/>
    <w:pPr>
      <w:adjustRightInd w:val="0"/>
      <w:spacing w:line="360" w:lineRule="atLeast"/>
      <w:jc w:val="left"/>
      <w:textAlignment w:val="baseline"/>
    </w:pPr>
  </w:style>
  <w:style w:type="paragraph" w:customStyle="1" w:styleId="203">
    <w:name w:val="正文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04">
    <w:name w:val="页脚 New New New New New"/>
    <w:basedOn w:val="1"/>
    <w:autoRedefine/>
    <w:qFormat/>
    <w:uiPriority w:val="0"/>
    <w:pPr>
      <w:widowControl/>
      <w:tabs>
        <w:tab w:val="center" w:pos="4153"/>
        <w:tab w:val="right" w:pos="8306"/>
      </w:tabs>
      <w:snapToGrid w:val="0"/>
      <w:jc w:val="left"/>
    </w:pPr>
    <w:rPr>
      <w:rFonts w:ascii="宋体"/>
      <w:sz w:val="18"/>
    </w:rPr>
  </w:style>
  <w:style w:type="paragraph" w:customStyle="1" w:styleId="205">
    <w:name w:val="正文文本缩进 New New New New New New New"/>
    <w:basedOn w:val="166"/>
    <w:autoRedefine/>
    <w:qFormat/>
    <w:uiPriority w:val="0"/>
    <w:pPr>
      <w:spacing w:after="120"/>
      <w:ind w:left="420" w:leftChars="200"/>
    </w:pPr>
    <w:rPr>
      <w:szCs w:val="24"/>
    </w:rPr>
  </w:style>
  <w:style w:type="paragraph" w:customStyle="1" w:styleId="206">
    <w:name w:val="普通(网站) New"/>
    <w:basedOn w:val="151"/>
    <w:autoRedefine/>
    <w:qFormat/>
    <w:uiPriority w:val="0"/>
    <w:rPr>
      <w:sz w:val="24"/>
    </w:rPr>
  </w:style>
  <w:style w:type="paragraph" w:customStyle="1" w:styleId="207">
    <w:name w:val="Char"/>
    <w:basedOn w:val="1"/>
    <w:autoRedefine/>
    <w:qFormat/>
    <w:uiPriority w:val="0"/>
    <w:rPr>
      <w:rFonts w:ascii="Tahoma" w:hAnsi="Tahoma"/>
      <w:szCs w:val="24"/>
    </w:rPr>
  </w:style>
  <w:style w:type="paragraph" w:customStyle="1" w:styleId="208">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09">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10">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211">
    <w:name w:val="列出段落1"/>
    <w:basedOn w:val="1"/>
    <w:autoRedefine/>
    <w:qFormat/>
    <w:uiPriority w:val="0"/>
    <w:pPr>
      <w:adjustRightInd w:val="0"/>
      <w:snapToGrid w:val="0"/>
      <w:spacing w:line="312" w:lineRule="auto"/>
      <w:ind w:firstLine="420" w:firstLineChars="200"/>
    </w:pPr>
    <w:rPr>
      <w:sz w:val="20"/>
    </w:rPr>
  </w:style>
  <w:style w:type="paragraph" w:customStyle="1" w:styleId="212">
    <w:name w:val="目录 3 New"/>
    <w:basedOn w:val="83"/>
    <w:next w:val="83"/>
    <w:autoRedefine/>
    <w:qFormat/>
    <w:uiPriority w:val="0"/>
    <w:pPr>
      <w:ind w:left="561"/>
      <w:jc w:val="left"/>
    </w:pPr>
  </w:style>
  <w:style w:type="paragraph" w:customStyle="1" w:styleId="213">
    <w:name w:val="标题 3 New New New New"/>
    <w:basedOn w:val="131"/>
    <w:next w:val="131"/>
    <w:autoRedefine/>
    <w:qFormat/>
    <w:uiPriority w:val="0"/>
    <w:pPr>
      <w:keepNext/>
      <w:keepLines/>
      <w:spacing w:before="120" w:after="120"/>
      <w:jc w:val="center"/>
      <w:outlineLvl w:val="2"/>
    </w:pPr>
  </w:style>
  <w:style w:type="paragraph" w:customStyle="1" w:styleId="214">
    <w:name w:val="目录 2 New"/>
    <w:basedOn w:val="83"/>
    <w:next w:val="83"/>
    <w:autoRedefine/>
    <w:qFormat/>
    <w:uiPriority w:val="0"/>
    <w:pPr>
      <w:ind w:left="278"/>
      <w:jc w:val="left"/>
    </w:pPr>
    <w:rPr>
      <w:smallCaps/>
    </w:rPr>
  </w:style>
  <w:style w:type="paragraph" w:customStyle="1" w:styleId="215">
    <w:name w:val="正文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16">
    <w:name w:val="标题 3 New New New New New New"/>
    <w:basedOn w:val="103"/>
    <w:next w:val="103"/>
    <w:autoRedefine/>
    <w:qFormat/>
    <w:uiPriority w:val="0"/>
    <w:pPr>
      <w:keepNext/>
      <w:keepLines/>
      <w:spacing w:before="120" w:after="120"/>
      <w:jc w:val="center"/>
      <w:outlineLvl w:val="2"/>
    </w:pPr>
  </w:style>
  <w:style w:type="paragraph" w:customStyle="1" w:styleId="217">
    <w:name w:val="标题 3 New New"/>
    <w:basedOn w:val="119"/>
    <w:next w:val="119"/>
    <w:autoRedefine/>
    <w:qFormat/>
    <w:uiPriority w:val="0"/>
    <w:pPr>
      <w:keepNext/>
      <w:keepLines/>
      <w:spacing w:before="120" w:after="120"/>
      <w:jc w:val="center"/>
      <w:outlineLvl w:val="2"/>
    </w:pPr>
    <w:rPr>
      <w:sz w:val="24"/>
    </w:rPr>
  </w:style>
  <w:style w:type="paragraph" w:customStyle="1" w:styleId="218">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19">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0">
    <w:name w:val="样式 WG标题3 + 行距: 固定值 18 磅"/>
    <w:basedOn w:val="1"/>
    <w:autoRedefine/>
    <w:qFormat/>
    <w:uiPriority w:val="0"/>
    <w:pPr>
      <w:autoSpaceDE w:val="0"/>
      <w:autoSpaceDN w:val="0"/>
      <w:adjustRightInd w:val="0"/>
      <w:spacing w:line="360" w:lineRule="exact"/>
      <w:textAlignment w:val="baseline"/>
      <w:outlineLvl w:val="2"/>
    </w:pPr>
    <w:rPr>
      <w:rFonts w:hAnsi="宋体" w:cs="宋体"/>
      <w:b/>
      <w:bCs/>
      <w:color w:val="000000"/>
      <w:kern w:val="20"/>
    </w:rPr>
  </w:style>
  <w:style w:type="paragraph" w:customStyle="1" w:styleId="221">
    <w:name w:val="页脚 New New New New New New New New New New New New New New New New New New"/>
    <w:basedOn w:val="101"/>
    <w:autoRedefine/>
    <w:qFormat/>
    <w:uiPriority w:val="0"/>
    <w:pPr>
      <w:widowControl/>
      <w:tabs>
        <w:tab w:val="center" w:pos="4153"/>
        <w:tab w:val="right" w:pos="8306"/>
      </w:tabs>
      <w:snapToGrid w:val="0"/>
      <w:jc w:val="left"/>
    </w:pPr>
    <w:rPr>
      <w:kern w:val="0"/>
      <w:sz w:val="18"/>
    </w:rPr>
  </w:style>
  <w:style w:type="paragraph" w:customStyle="1" w:styleId="222">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23">
    <w:name w:val="UserStyle_36"/>
    <w:autoRedefine/>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styleId="224">
    <w:name w:val="List Paragraph"/>
    <w:basedOn w:val="1"/>
    <w:autoRedefine/>
    <w:qFormat/>
    <w:uiPriority w:val="34"/>
    <w:pPr>
      <w:ind w:firstLine="420" w:firstLineChars="200"/>
    </w:pPr>
  </w:style>
  <w:style w:type="paragraph" w:customStyle="1" w:styleId="225">
    <w:name w:val="AnnotationText"/>
    <w:basedOn w:val="1"/>
    <w:autoRedefine/>
    <w:qFormat/>
    <w:uiPriority w:val="99"/>
    <w:pPr>
      <w:spacing w:line="360" w:lineRule="atLeast"/>
      <w:jc w:val="left"/>
    </w:pPr>
    <w:rPr>
      <w:kern w:val="0"/>
    </w:rPr>
  </w:style>
  <w:style w:type="character" w:customStyle="1" w:styleId="226">
    <w:name w:val="15"/>
    <w:autoRedefine/>
    <w:qFormat/>
    <w:uiPriority w:val="0"/>
    <w:rPr>
      <w:rFonts w:hint="default" w:ascii="Times New Roman" w:hAnsi="Times New Roman" w:cs="Times New Roman"/>
      <w:b/>
      <w:bCs/>
    </w:rPr>
  </w:style>
  <w:style w:type="paragraph" w:customStyle="1" w:styleId="227">
    <w:name w:val="Heading2"/>
    <w:basedOn w:val="1"/>
    <w:next w:val="1"/>
    <w:autoRedefine/>
    <w:qFormat/>
    <w:uiPriority w:val="99"/>
    <w:pPr>
      <w:jc w:val="left"/>
    </w:pPr>
    <w:rPr>
      <w:kern w:val="0"/>
    </w:rPr>
  </w:style>
  <w:style w:type="paragraph" w:customStyle="1" w:styleId="228">
    <w:name w:val="p0"/>
    <w:basedOn w:val="1"/>
    <w:autoRedefine/>
    <w:qFormat/>
    <w:uiPriority w:val="0"/>
    <w:pPr>
      <w:spacing w:line="360" w:lineRule="auto"/>
    </w:pPr>
    <w:rPr>
      <w:rFonts w:hAnsi="宋体" w:cs="宋体"/>
      <w:kern w:val="0"/>
      <w:szCs w:val="24"/>
    </w:rPr>
  </w:style>
  <w:style w:type="paragraph" w:customStyle="1" w:styleId="229">
    <w:name w:val="05-四级节标题"/>
    <w:basedOn w:val="1"/>
    <w:autoRedefine/>
    <w:qFormat/>
    <w:uiPriority w:val="0"/>
    <w:pPr>
      <w:numPr>
        <w:ilvl w:val="3"/>
        <w:numId w:val="1"/>
      </w:numPr>
      <w:adjustRightInd w:val="0"/>
      <w:snapToGrid w:val="0"/>
      <w:spacing w:line="360" w:lineRule="auto"/>
      <w:outlineLvl w:val="3"/>
    </w:pPr>
    <w:rPr>
      <w:rFonts w:ascii="华文细黑" w:hAnsi="宋体" w:cs="Arial"/>
      <w:b/>
      <w:color w:val="000000"/>
      <w:kern w:val="0"/>
      <w:szCs w:val="18"/>
    </w:rPr>
  </w:style>
  <w:style w:type="paragraph" w:customStyle="1" w:styleId="230">
    <w:name w:val="10-中文正文"/>
    <w:basedOn w:val="1"/>
    <w:autoRedefine/>
    <w:qFormat/>
    <w:uiPriority w:val="0"/>
    <w:pPr>
      <w:adjustRightInd w:val="0"/>
      <w:snapToGrid w:val="0"/>
      <w:spacing w:line="360" w:lineRule="auto"/>
      <w:ind w:firstLine="200" w:firstLineChars="200"/>
    </w:pPr>
    <w:rPr>
      <w:rFonts w:ascii="Calibri" w:hAnsi="Calibri"/>
      <w:szCs w:val="22"/>
    </w:rPr>
  </w:style>
  <w:style w:type="paragraph" w:customStyle="1" w:styleId="231">
    <w:name w:val="修订1"/>
    <w:autoRedefine/>
    <w:unhideWhenUsed/>
    <w:qFormat/>
    <w:uiPriority w:val="99"/>
    <w:rPr>
      <w:rFonts w:ascii="Times New Roman" w:hAnsi="Times New Roman" w:eastAsia="宋体" w:cs="Times New Roman"/>
      <w:kern w:val="2"/>
      <w:sz w:val="21"/>
      <w:lang w:val="en-US" w:eastAsia="zh-CN" w:bidi="ar-SA"/>
    </w:rPr>
  </w:style>
  <w:style w:type="paragraph" w:customStyle="1" w:styleId="232">
    <w:name w:val="WPSOffice手动目录 1"/>
    <w:autoRedefine/>
    <w:qFormat/>
    <w:uiPriority w:val="0"/>
    <w:rPr>
      <w:rFonts w:ascii="Times New Roman" w:hAnsi="Times New Roman" w:eastAsia="宋体" w:cs="Times New Roman"/>
      <w:lang w:val="en-US" w:eastAsia="zh-CN" w:bidi="ar-SA"/>
    </w:rPr>
  </w:style>
  <w:style w:type="paragraph" w:customStyle="1" w:styleId="23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34">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35">
    <w:name w:val="UserStyle_0"/>
    <w:basedOn w:val="1"/>
    <w:next w:val="1"/>
    <w:autoRedefine/>
    <w:qFormat/>
    <w:uiPriority w:val="0"/>
    <w:pPr>
      <w:spacing w:line="360" w:lineRule="auto"/>
      <w:jc w:val="center"/>
      <w:textAlignment w:val="baseline"/>
    </w:pPr>
    <w:rPr>
      <w:b/>
      <w:sz w:val="24"/>
    </w:rPr>
  </w:style>
  <w:style w:type="paragraph" w:customStyle="1" w:styleId="236">
    <w:name w:val="Table Text"/>
    <w:basedOn w:val="1"/>
    <w:autoRedefine/>
    <w:semiHidden/>
    <w:qFormat/>
    <w:uiPriority w:val="0"/>
    <w:rPr>
      <w:rFonts w:ascii="宋体" w:hAnsi="宋体" w:cs="宋体"/>
      <w:sz w:val="20"/>
      <w:lang w:eastAsia="en-US"/>
    </w:rPr>
  </w:style>
  <w:style w:type="paragraph" w:customStyle="1" w:styleId="237">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13870</Words>
  <Characters>15215</Characters>
  <Lines>274</Lines>
  <Paragraphs>77</Paragraphs>
  <TotalTime>16</TotalTime>
  <ScaleCrop>false</ScaleCrop>
  <LinksUpToDate>false</LinksUpToDate>
  <CharactersWithSpaces>15591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2023-09-11T10:28:00Z</dcterms:created>
  <dc:creator>Windows 用户</dc:creator>
  <cp:lastModifiedBy>Del Piero</cp:lastModifiedBy>
  <cp:lastPrinted>2024-11-26T06:55:00Z</cp:lastPrinted>
  <dcterms:modified xsi:type="dcterms:W3CDTF">2024-11-29T07:13:57Z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87AD7BD144A54FE2925A114D085A1C48_13</vt:lpwstr>
  </property>
</Properties>
</file>