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bookmarkStart w:id="0" w:name="_Toc16134"/>
      <w:bookmarkStart w:id="1" w:name="_Toc18186"/>
      <w:bookmarkStart w:id="5" w:name="_GoBack"/>
      <w:bookmarkEnd w:id="5"/>
    </w:p>
    <w:p>
      <w:pPr>
        <w:pStyle w:val="45"/>
        <w:keepNext w:val="0"/>
        <w:keepLines w:val="0"/>
        <w:pageBreakBefore w:val="0"/>
        <w:widowControl w:val="0"/>
        <w:kinsoku/>
        <w:wordWrap/>
        <w:overflowPunct/>
        <w:topLinePunct w:val="0"/>
        <w:autoSpaceDE/>
        <w:autoSpaceDN/>
        <w:bidi w:val="0"/>
        <w:adjustRightInd w:val="0"/>
        <w:snapToGrid w:val="0"/>
        <w:spacing w:before="120" w:line="360" w:lineRule="auto"/>
        <w:ind w:left="0" w:leftChars="0" w:firstLine="0" w:firstLineChars="0"/>
        <w:jc w:val="center"/>
        <w:textAlignment w:val="auto"/>
        <w:outlineLvl w:val="0"/>
        <w:rPr>
          <w:rFonts w:hint="eastAsia" w:ascii="黑体" w:hAnsi="黑体" w:eastAsia="黑体" w:cs="Times New Roman"/>
          <w:b w:val="0"/>
          <w:bCs/>
          <w:color w:val="auto"/>
          <w:kern w:val="2"/>
          <w:sz w:val="24"/>
          <w:szCs w:val="24"/>
          <w:lang w:val="en-US" w:eastAsia="zh-CN" w:bidi="ar-SA"/>
        </w:rPr>
      </w:pPr>
    </w:p>
    <w:p>
      <w:pPr>
        <w:pStyle w:val="45"/>
        <w:keepNext w:val="0"/>
        <w:keepLines w:val="0"/>
        <w:pageBreakBefore w:val="0"/>
        <w:widowControl w:val="0"/>
        <w:kinsoku/>
        <w:wordWrap/>
        <w:overflowPunct/>
        <w:topLinePunct w:val="0"/>
        <w:autoSpaceDE/>
        <w:autoSpaceDN/>
        <w:bidi w:val="0"/>
        <w:adjustRightInd w:val="0"/>
        <w:snapToGrid w:val="0"/>
        <w:spacing w:before="120" w:line="360" w:lineRule="auto"/>
        <w:ind w:left="0" w:leftChars="0" w:firstLine="0" w:firstLineChars="0"/>
        <w:jc w:val="center"/>
        <w:textAlignment w:val="auto"/>
        <w:outlineLvl w:val="0"/>
        <w:rPr>
          <w:rFonts w:hint="eastAsia" w:ascii="黑体" w:hAnsi="黑体" w:eastAsia="黑体" w:cs="Times New Roman"/>
          <w:b w:val="0"/>
          <w:bCs/>
          <w:color w:val="auto"/>
          <w:kern w:val="2"/>
          <w:sz w:val="24"/>
          <w:szCs w:val="24"/>
          <w:lang w:val="en-US" w:eastAsia="zh-CN" w:bidi="ar-SA"/>
        </w:rPr>
      </w:pPr>
      <w:r>
        <w:rPr>
          <w:rFonts w:hint="eastAsia" w:ascii="黑体" w:hAnsi="黑体" w:eastAsia="黑体" w:cs="Times New Roman"/>
          <w:b w:val="0"/>
          <w:bCs/>
          <w:color w:val="auto"/>
          <w:kern w:val="2"/>
          <w:sz w:val="24"/>
          <w:szCs w:val="24"/>
          <w:lang w:val="en-US" w:eastAsia="zh-CN" w:bidi="ar-SA"/>
        </w:rPr>
        <w:t>第一章 总  则</w:t>
      </w:r>
      <w:bookmarkEnd w:id="0"/>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rPr>
      </w:pPr>
      <w:r>
        <w:rPr>
          <w:rFonts w:hint="eastAsia" w:ascii="黑体" w:hAnsi="黑体" w:eastAsia="黑体" w:cs="Times New Roman"/>
          <w:b w:val="0"/>
          <w:bCs/>
          <w:sz w:val="24"/>
          <w:szCs w:val="24"/>
        </w:rPr>
        <w:t>第一条</w:t>
      </w:r>
      <w:r>
        <w:rPr>
          <w:rFonts w:hint="eastAsia" w:ascii="宋体" w:hAnsi="宋体"/>
          <w:b/>
          <w:sz w:val="24"/>
          <w:szCs w:val="24"/>
        </w:rPr>
        <w:t xml:space="preserve"> </w:t>
      </w:r>
      <w:r>
        <w:rPr>
          <w:rFonts w:hint="eastAsia" w:ascii="宋体" w:hAnsi="宋体" w:eastAsia="宋体" w:cs="宋体"/>
          <w:sz w:val="24"/>
          <w:szCs w:val="24"/>
        </w:rPr>
        <w:t>为进一步规范联港公司代建项目临时用地管理，明确项目临时用地申报主体和监管职责，提高代建项目临时用地的管理水平，根据《中华人民共和国土地管理法》《中华人民共和国土地管理法实施条例》《广东省国土资源厅关于加强临时用地管理的通知》（粤国土资利用发〔2016〕35号）《珠海经济特区土地管理条例》《金湾区临时用地管理工作方案》等法律法规及规范性文件的规定，结合我公司实际，制定本办法。</w:t>
      </w:r>
    </w:p>
    <w:p>
      <w:pPr>
        <w:keepNext w:val="0"/>
        <w:keepLines w:val="0"/>
        <w:pageBreakBefore w:val="0"/>
        <w:widowControl/>
        <w:suppressLineNumbers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lang w:val="en-US" w:eastAsia="zh-CN"/>
        </w:rPr>
      </w:pPr>
      <w:r>
        <w:rPr>
          <w:rFonts w:hint="eastAsia" w:ascii="黑体" w:hAnsi="黑体" w:eastAsia="黑体" w:cs="Times New Roman"/>
          <w:b w:val="0"/>
          <w:bCs/>
          <w:sz w:val="24"/>
          <w:szCs w:val="24"/>
        </w:rPr>
        <w:t>第二条</w:t>
      </w:r>
      <w:r>
        <w:rPr>
          <w:b/>
          <w:sz w:val="24"/>
          <w:szCs w:val="24"/>
        </w:rPr>
        <w:t xml:space="preserve"> </w:t>
      </w:r>
      <w:r>
        <w:rPr>
          <w:rFonts w:hint="eastAsia" w:ascii="宋体" w:hAnsi="宋体" w:eastAsia="宋体" w:cs="宋体"/>
          <w:sz w:val="24"/>
          <w:szCs w:val="24"/>
        </w:rPr>
        <w:t>本办法所称临时用地是指我司代建工程项目建设施工需要，临时使用的土地或者按照临时使用土地合同约定使用的土地。</w:t>
      </w:r>
      <w:r>
        <w:rPr>
          <w:rFonts w:hint="eastAsia" w:ascii="宋体" w:hAnsi="宋体" w:eastAsia="宋体" w:cs="宋体"/>
          <w:sz w:val="24"/>
          <w:szCs w:val="24"/>
          <w:lang w:val="en-US" w:eastAsia="zh-CN"/>
        </w:rPr>
        <w:t xml:space="preserve"> </w:t>
      </w:r>
    </w:p>
    <w:p>
      <w:pPr>
        <w:pStyle w:val="45"/>
        <w:keepNext w:val="0"/>
        <w:keepLines w:val="0"/>
        <w:pageBreakBefore w:val="0"/>
        <w:widowControl w:val="0"/>
        <w:kinsoku/>
        <w:wordWrap/>
        <w:overflowPunct/>
        <w:topLinePunct w:val="0"/>
        <w:autoSpaceDE/>
        <w:autoSpaceDN/>
        <w:bidi w:val="0"/>
        <w:adjustRightInd w:val="0"/>
        <w:snapToGrid w:val="0"/>
        <w:spacing w:before="120" w:line="360" w:lineRule="auto"/>
        <w:ind w:left="0" w:leftChars="0" w:firstLine="0" w:firstLineChars="0"/>
        <w:jc w:val="center"/>
        <w:textAlignment w:val="auto"/>
        <w:outlineLvl w:val="0"/>
        <w:rPr>
          <w:rFonts w:hint="default"/>
          <w:b/>
          <w:color w:val="auto"/>
          <w:kern w:val="2"/>
          <w:sz w:val="36"/>
          <w:szCs w:val="36"/>
          <w:lang w:val="en-US"/>
        </w:rPr>
      </w:pPr>
      <w:bookmarkStart w:id="2" w:name="_Toc3471"/>
      <w:r>
        <w:rPr>
          <w:rFonts w:hint="eastAsia" w:ascii="黑体" w:hAnsi="黑体" w:eastAsia="黑体" w:cs="Times New Roman"/>
          <w:b w:val="0"/>
          <w:bCs/>
          <w:color w:val="auto"/>
          <w:kern w:val="2"/>
          <w:sz w:val="24"/>
          <w:szCs w:val="24"/>
          <w:lang w:val="en-US" w:eastAsia="zh-CN" w:bidi="ar-SA"/>
        </w:rPr>
        <w:t xml:space="preserve">第二章 </w:t>
      </w:r>
      <w:bookmarkEnd w:id="2"/>
      <w:r>
        <w:rPr>
          <w:rFonts w:hint="eastAsia" w:ascii="黑体" w:hAnsi="黑体" w:eastAsia="黑体" w:cs="Times New Roman"/>
          <w:b w:val="0"/>
          <w:bCs/>
          <w:color w:val="auto"/>
          <w:kern w:val="2"/>
          <w:sz w:val="24"/>
          <w:szCs w:val="24"/>
          <w:lang w:val="en-US" w:eastAsia="zh-CN" w:bidi="ar-SA"/>
        </w:rPr>
        <w:t>申</w:t>
      </w:r>
      <w:r>
        <w:rPr>
          <w:rFonts w:hint="eastAsia" w:ascii="黑体" w:hAnsi="黑体" w:eastAsia="黑体"/>
          <w:b w:val="0"/>
          <w:bCs/>
          <w:sz w:val="24"/>
          <w:szCs w:val="24"/>
          <w:lang w:val="en-US" w:eastAsia="zh-CN"/>
        </w:rPr>
        <w:t xml:space="preserve">  请</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rPr>
      </w:pPr>
      <w:r>
        <w:rPr>
          <w:rFonts w:hint="eastAsia" w:ascii="黑体" w:hAnsi="黑体" w:eastAsia="黑体" w:cs="黑体"/>
          <w:sz w:val="24"/>
          <w:szCs w:val="24"/>
        </w:rPr>
        <w:t>第</w:t>
      </w:r>
      <w:r>
        <w:rPr>
          <w:rFonts w:hint="eastAsia" w:ascii="黑体" w:hAnsi="黑体" w:eastAsia="黑体" w:cs="黑体"/>
          <w:sz w:val="24"/>
          <w:szCs w:val="24"/>
          <w:lang w:val="en-US" w:eastAsia="zh-CN"/>
        </w:rPr>
        <w:t>三</w:t>
      </w:r>
      <w:r>
        <w:rPr>
          <w:rFonts w:hint="eastAsia" w:ascii="黑体" w:hAnsi="黑体" w:eastAsia="黑体" w:cs="黑体"/>
          <w:sz w:val="24"/>
          <w:szCs w:val="24"/>
        </w:rPr>
        <w:t>条</w:t>
      </w:r>
      <w:r>
        <w:rPr>
          <w:rFonts w:hint="eastAsia" w:ascii="宋体" w:hAnsi="宋体" w:eastAsia="宋体" w:cs="宋体"/>
          <w:sz w:val="24"/>
          <w:szCs w:val="24"/>
        </w:rPr>
        <w:t xml:space="preserve"> 工程项目临时用地需按《金湾区临时用地管理工作方案》要求申报临时用地。</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工程项目临时用地由施工单位向有关单位申请。</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各建设业务部门负责指导和监管各代建项目临时用地申报工作，审核临时用地申报资料，监督检查代建项目临时用地的管理工作。对施工单位报送的申请要件进行审核，主要对临时用地上拟建建筑的功能、规模、用地平面图等情况进行审查备案，对符合报送要求的予以审核通过并同意其报送相关材料；申请材料不齐全或不符合要求的，不予通过并要求其在5个工作日内补齐或整改。申报临时用地涉及费用均由施工单位承担。</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rPr>
        <w:t>需由我司作为临时用地的申请单位时，各建设业务部门需按《金湾区临时用地管理工作方案》要求申报临时用地，并按规定缴纳临时用地履约保证金。</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临时用地履约保证金收取标准以《金湾区临时用地管理工作方案》及有关部门实际收取为准：临时用地面积在5000（含5000）平方米以下的，一次交纳100000元；面积在5000平方米至10000平方米的，一次交纳200000元；超过10000平方米的，按每平方米20元加收履约保证金。</w:t>
      </w:r>
    </w:p>
    <w:p>
      <w:pPr>
        <w:pStyle w:val="45"/>
        <w:keepNext w:val="0"/>
        <w:keepLines w:val="0"/>
        <w:pageBreakBefore w:val="0"/>
        <w:widowControl w:val="0"/>
        <w:kinsoku/>
        <w:wordWrap/>
        <w:overflowPunct/>
        <w:topLinePunct w:val="0"/>
        <w:autoSpaceDE/>
        <w:autoSpaceDN/>
        <w:bidi w:val="0"/>
        <w:adjustRightInd w:val="0"/>
        <w:snapToGrid w:val="0"/>
        <w:spacing w:before="120" w:line="360" w:lineRule="auto"/>
        <w:ind w:left="0" w:leftChars="0" w:firstLine="0" w:firstLineChars="0"/>
        <w:jc w:val="center"/>
        <w:textAlignment w:val="auto"/>
        <w:outlineLvl w:val="0"/>
        <w:rPr>
          <w:rFonts w:hint="eastAsia" w:ascii="黑体" w:hAnsi="黑体" w:eastAsia="黑体" w:cs="Times New Roman"/>
          <w:b w:val="0"/>
          <w:bCs/>
          <w:color w:val="auto"/>
          <w:kern w:val="2"/>
          <w:sz w:val="24"/>
          <w:szCs w:val="24"/>
          <w:lang w:val="en-US" w:eastAsia="zh-CN" w:bidi="ar-SA"/>
        </w:rPr>
      </w:pPr>
      <w:r>
        <w:rPr>
          <w:rFonts w:hint="eastAsia" w:ascii="黑体" w:hAnsi="黑体" w:eastAsia="黑体" w:cs="Times New Roman"/>
          <w:b w:val="0"/>
          <w:bCs/>
          <w:color w:val="auto"/>
          <w:kern w:val="2"/>
          <w:sz w:val="24"/>
          <w:szCs w:val="24"/>
          <w:lang w:val="en-US" w:eastAsia="zh-CN" w:bidi="ar-SA"/>
        </w:rPr>
        <w:t>第三章 临时用地使用</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黑体" w:hAnsi="黑体" w:eastAsia="黑体" w:cs="黑体"/>
          <w:sz w:val="24"/>
          <w:szCs w:val="24"/>
          <w:lang w:val="en-US" w:eastAsia="zh-CN"/>
        </w:rPr>
        <w:t xml:space="preserve">第四条 </w:t>
      </w:r>
      <w:r>
        <w:rPr>
          <w:rFonts w:hint="eastAsia" w:asciiTheme="minorEastAsia" w:hAnsiTheme="minorEastAsia" w:eastAsiaTheme="minorEastAsia" w:cstheme="minorEastAsia"/>
          <w:sz w:val="24"/>
          <w:szCs w:val="24"/>
          <w:lang w:val="en-US" w:eastAsia="zh-CN"/>
        </w:rPr>
        <w:t>由我司申请临时用地时，施工单位需办理以下手续：</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（一）与我司签订临时使用土地合同</w:t>
      </w:r>
    </w:p>
    <w:p>
      <w:pPr>
        <w:pStyle w:val="45"/>
        <w:keepNext w:val="0"/>
        <w:keepLines w:val="0"/>
        <w:pageBreakBefore w:val="0"/>
        <w:widowControl w:val="0"/>
        <w:numPr>
          <w:ilvl w:val="0"/>
          <w:numId w:val="0"/>
        </w:numPr>
        <w:kinsoku/>
        <w:wordWrap/>
        <w:overflowPunct/>
        <w:topLinePunct w:val="0"/>
        <w:autoSpaceDE/>
        <w:autoSpaceDN/>
        <w:bidi w:val="0"/>
        <w:adjustRightInd/>
        <w:snapToGrid/>
        <w:spacing w:before="164" w:beforeLines="50"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《临时使用土地合同》应当载明以下事项：</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1.合同各方当事人的基本情况；</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2.用地位置、四至范围、面积与土地现状地类等基本情况；</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3.土地具体项目及具体用途、使用期限；</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4.管理费标准、缴交期限及方式；</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5.使用期满恢复原状的措施、期限；</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6.履约保证金标准、支付方式；</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7.合同的解除和终止条件；</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8.合同解除或者终止时地上临时建筑物、构筑物和其他附着物的处置方式；</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9.违约责任和争议解决方式；</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10.其他需载明的事项。</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（二）向我司支付临时用地相关费用</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临时用地费用包括租金、管理费、青苗及地上附着物补偿费、复垦费用</w:t>
      </w:r>
      <w:r>
        <w:rPr>
          <w:rFonts w:hint="eastAsia" w:eastAsia="宋体" w:cs="宋体"/>
          <w:color w:val="auto"/>
          <w:kern w:val="2"/>
          <w:sz w:val="24"/>
          <w:szCs w:val="24"/>
          <w:lang w:val="en-US" w:eastAsia="zh-CN" w:bidi="ar-SA"/>
        </w:rPr>
        <w:t>。</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1.临时用地租金</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施工单位需代替我司直接向土地使用权人缴纳临时用地合同中规定的相关用地租金（包括管理费）等费用。按施工合同工期计算临时用地租金，在申请临时用地时一次性代替我司缴纳。工程延期或实际使用时间超过合同工期的，由施工单位按实际使用时间补交租金及相关费用。</w:t>
      </w:r>
    </w:p>
    <w:p>
      <w:pPr>
        <w:pStyle w:val="45"/>
        <w:keepNext w:val="0"/>
        <w:keepLines w:val="0"/>
        <w:pageBreakBefore w:val="0"/>
        <w:numPr>
          <w:ilvl w:val="0"/>
          <w:numId w:val="0"/>
        </w:numPr>
        <w:kinsoku/>
        <w:wordWrap/>
        <w:overflowPunct/>
        <w:topLinePunct w:val="0"/>
        <w:autoSpaceDE/>
        <w:autoSpaceDN/>
        <w:bidi w:val="0"/>
        <w:adjustRightInd/>
        <w:snapToGrid/>
        <w:spacing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情况特殊的项目，可向我司申请减免临时用地租金。</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2.临时用地管理费</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临时用地管理费为24元/</w:t>
      </w:r>
      <w:r>
        <w:rPr>
          <w:rFonts w:hint="eastAsia" w:ascii="宋体" w:hAnsi="宋体" w:cs="宋体"/>
          <w:sz w:val="24"/>
          <w:szCs w:val="24"/>
          <w:lang w:val="en-US" w:eastAsia="zh-CN"/>
        </w:rPr>
        <w:t>m</w:t>
      </w:r>
      <w:r>
        <w:rPr>
          <w:rFonts w:hint="eastAsia" w:ascii="宋体" w:hAnsi="宋体" w:cs="宋体"/>
          <w:sz w:val="24"/>
          <w:szCs w:val="24"/>
          <w:vertAlign w:val="superscript"/>
          <w:lang w:val="en-US" w:eastAsia="zh-CN"/>
        </w:rPr>
        <w:t>2</w:t>
      </w:r>
      <w:r>
        <w:rPr>
          <w:rFonts w:hint="eastAsia" w:ascii="宋体" w:hAnsi="宋体" w:eastAsia="宋体" w:cs="宋体"/>
          <w:sz w:val="24"/>
          <w:szCs w:val="24"/>
          <w:lang w:val="en-US" w:eastAsia="zh-CN"/>
        </w:rPr>
        <w:t>（每年）。按施工合同工期计算临时用地管理费，在申请临时用地时，由施工单位一次性向我司进行缴纳。工程延期或实际使用时间超过合同工期的，由施工单位按实际使用时间补交临时用地管理费。</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临时用地涉及占用农用地，应当制定复垦方案，复垦方案中有约定复垦保证金的，项目施工单位依照复垦方案向我司缴纳复垦保证金等相关费用。复垦方案中未约定复垦保证金的，我司将参照《广东省非农业建设补充耕地管理办法》（广东省人民政府令第146号）规定标准，按每平方米28元收取复垦保证金。</w:t>
      </w:r>
    </w:p>
    <w:p>
      <w:pPr>
        <w:pStyle w:val="45"/>
        <w:keepNext w:val="0"/>
        <w:keepLines w:val="0"/>
        <w:pageBreakBefore w:val="0"/>
        <w:widowControl w:val="0"/>
        <w:numPr>
          <w:ilvl w:val="0"/>
          <w:numId w:val="0"/>
        </w:numPr>
        <w:kinsoku/>
        <w:wordWrap/>
        <w:overflowPunct/>
        <w:topLinePunct w:val="0"/>
        <w:autoSpaceDE/>
        <w:autoSpaceDN/>
        <w:bidi w:val="0"/>
        <w:adjustRightInd/>
        <w:snapToGrid/>
        <w:spacing w:before="164" w:beforeLines="50" w:line="360" w:lineRule="auto"/>
        <w:ind w:leftChars="250" w:right="120" w:rightChars="5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4.临时用地的耕地占用税等一切不可预估费用</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办理临时用地需缴纳耕地占用税或其他不可预估费用时，施工单位均需代替我司进行缴纳。</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（三）青苗及地上附着物补偿费，施工单位参照所在地县级以上人民政府制定的有关青苗补偿、征地拆迁补偿标准给予补偿，临时用地的青苗及地上附着物补偿费需支付给青苗及地上附着物所有者。 </w:t>
      </w:r>
    </w:p>
    <w:p>
      <w:pPr>
        <w:pStyle w:val="45"/>
        <w:keepNext w:val="0"/>
        <w:keepLines w:val="0"/>
        <w:pageBreakBefore w:val="0"/>
        <w:widowControl w:val="0"/>
        <w:kinsoku/>
        <w:wordWrap/>
        <w:overflowPunct/>
        <w:topLinePunct w:val="0"/>
        <w:autoSpaceDE/>
        <w:autoSpaceDN/>
        <w:bidi w:val="0"/>
        <w:adjustRightInd w:val="0"/>
        <w:snapToGrid w:val="0"/>
        <w:spacing w:before="120" w:line="360" w:lineRule="auto"/>
        <w:ind w:left="0" w:leftChars="0" w:firstLine="0" w:firstLineChars="0"/>
        <w:jc w:val="center"/>
        <w:textAlignment w:val="auto"/>
        <w:outlineLvl w:val="0"/>
        <w:rPr>
          <w:rFonts w:hint="default" w:ascii="黑体" w:hAnsi="黑体" w:eastAsia="黑体" w:cs="Times New Roman"/>
          <w:b w:val="0"/>
          <w:bCs/>
          <w:color w:val="auto"/>
          <w:kern w:val="2"/>
          <w:sz w:val="24"/>
          <w:szCs w:val="24"/>
          <w:lang w:val="en-US" w:eastAsia="zh-CN" w:bidi="ar-SA"/>
        </w:rPr>
      </w:pPr>
      <w:bookmarkStart w:id="3" w:name="_Toc14361"/>
      <w:r>
        <w:rPr>
          <w:rFonts w:hint="eastAsia" w:ascii="黑体" w:hAnsi="黑体" w:eastAsia="黑体" w:cs="Times New Roman"/>
          <w:b w:val="0"/>
          <w:bCs/>
          <w:color w:val="auto"/>
          <w:kern w:val="2"/>
          <w:sz w:val="24"/>
          <w:szCs w:val="24"/>
          <w:lang w:val="en-US" w:eastAsia="zh-CN" w:bidi="ar-SA"/>
        </w:rPr>
        <w:t>第四章 监  管</w:t>
      </w:r>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黑体" w:hAnsi="黑体" w:eastAsia="黑体" w:cs="黑体"/>
          <w:sz w:val="24"/>
          <w:szCs w:val="24"/>
          <w:lang w:val="en-US" w:eastAsia="zh-CN"/>
        </w:rPr>
        <w:t xml:space="preserve">第五条 </w:t>
      </w:r>
      <w:r>
        <w:rPr>
          <w:rFonts w:hint="eastAsia" w:asciiTheme="minorEastAsia" w:hAnsiTheme="minorEastAsia" w:eastAsiaTheme="minorEastAsia" w:cstheme="minorEastAsia"/>
          <w:sz w:val="24"/>
          <w:szCs w:val="24"/>
          <w:lang w:val="en-US" w:eastAsia="zh-CN"/>
        </w:rPr>
        <w:t>施工单位不得改变批准用途使用临时用地，不得以转让、出租、抵押场地或地上建（构）筑物等形式给他人使用。</w:t>
      </w:r>
    </w:p>
    <w:p>
      <w:pPr>
        <w:pStyle w:val="45"/>
        <w:keepNext w:val="0"/>
        <w:keepLines w:val="0"/>
        <w:pageBreakBefore w:val="0"/>
        <w:widowControl w:val="0"/>
        <w:kinsoku/>
        <w:wordWrap/>
        <w:overflowPunct/>
        <w:topLinePunct w:val="0"/>
        <w:autoSpaceDE/>
        <w:autoSpaceDN/>
        <w:bidi w:val="0"/>
        <w:adjustRightInd/>
        <w:snapToGrid/>
        <w:spacing w:line="460" w:lineRule="exact"/>
        <w:ind w:left="120" w:leftChars="50" w:right="120" w:rightChars="50" w:firstLine="480" w:firstLineChars="200"/>
        <w:textAlignment w:val="auto"/>
        <w:rPr>
          <w:rFonts w:hint="eastAsia" w:ascii="宋体" w:hAnsi="宋体" w:eastAsia="宋体" w:cs="宋体"/>
          <w:color w:val="auto"/>
          <w:sz w:val="24"/>
          <w:szCs w:val="24"/>
        </w:rPr>
      </w:pPr>
      <w:r>
        <w:rPr>
          <w:rFonts w:hint="eastAsia" w:ascii="黑体" w:hAnsi="黑体" w:eastAsia="黑体" w:cs="Times New Roman"/>
          <w:b w:val="0"/>
          <w:bCs/>
          <w:color w:val="auto"/>
          <w:kern w:val="2"/>
          <w:sz w:val="24"/>
          <w:szCs w:val="24"/>
          <w:lang w:val="en-US" w:eastAsia="zh-CN" w:bidi="ar-SA"/>
        </w:rPr>
        <w:t>第六条</w:t>
      </w:r>
      <w:r>
        <w:rPr>
          <w:b/>
          <w:color w:val="auto"/>
          <w:sz w:val="32"/>
          <w:szCs w:val="32"/>
        </w:rPr>
        <w:t xml:space="preserve"> </w:t>
      </w:r>
      <w:r>
        <w:rPr>
          <w:rFonts w:hint="eastAsia" w:ascii="宋体" w:hAnsi="宋体" w:eastAsia="宋体" w:cs="宋体"/>
          <w:color w:val="auto"/>
          <w:sz w:val="24"/>
          <w:szCs w:val="24"/>
        </w:rPr>
        <w:t>临时用地的施工单位应在现场显著位置设立标志牌公示临时用地批准文件。标志牌应包含临时用地使用单位名称和法定代表人、临时用地用途、临时用地范围和面积、建筑面积、使用期限等内容。</w:t>
      </w:r>
    </w:p>
    <w:p>
      <w:pPr>
        <w:pStyle w:val="45"/>
        <w:keepNext w:val="0"/>
        <w:keepLines w:val="0"/>
        <w:pageBreakBefore w:val="0"/>
        <w:widowControl w:val="0"/>
        <w:kinsoku/>
        <w:wordWrap/>
        <w:overflowPunct/>
        <w:topLinePunct w:val="0"/>
        <w:autoSpaceDE/>
        <w:autoSpaceDN/>
        <w:bidi w:val="0"/>
        <w:adjustRightInd/>
        <w:snapToGrid/>
        <w:spacing w:line="460" w:lineRule="exact"/>
        <w:ind w:left="120" w:leftChars="50" w:right="120" w:rightChars="50" w:firstLine="480" w:firstLineChars="200"/>
        <w:textAlignment w:val="auto"/>
        <w:rPr>
          <w:rFonts w:hint="eastAsia" w:ascii="宋体" w:hAnsi="宋体" w:eastAsia="宋体" w:cs="宋体"/>
          <w:color w:val="auto"/>
          <w:sz w:val="24"/>
          <w:szCs w:val="24"/>
        </w:rPr>
      </w:pPr>
      <w:r>
        <w:rPr>
          <w:rFonts w:hint="eastAsia" w:ascii="黑体" w:hAnsi="黑体" w:eastAsia="黑体" w:cs="Times New Roman"/>
          <w:b w:val="0"/>
          <w:bCs/>
          <w:color w:val="auto"/>
          <w:kern w:val="2"/>
          <w:sz w:val="24"/>
          <w:szCs w:val="24"/>
          <w:lang w:val="en-US" w:eastAsia="zh-CN" w:bidi="ar-SA"/>
        </w:rPr>
        <w:t>第七条</w:t>
      </w:r>
      <w:r>
        <w:rPr>
          <w:b/>
          <w:color w:val="auto"/>
          <w:sz w:val="32"/>
          <w:szCs w:val="32"/>
        </w:rPr>
        <w:t xml:space="preserve"> </w:t>
      </w:r>
      <w:r>
        <w:rPr>
          <w:rFonts w:hint="eastAsia" w:ascii="宋体" w:hAnsi="宋体" w:eastAsia="宋体" w:cs="宋体"/>
          <w:color w:val="auto"/>
          <w:sz w:val="24"/>
          <w:szCs w:val="24"/>
        </w:rPr>
        <w:t>各建设业务部门负责日常监管工作。对于未完善用地手续、超过批准面积使用、改变批准用途使用等行为，应及时制止；制止无效的，应移交给辖区规划土地监察机构，并配合其开展相关查处工作。</w:t>
      </w:r>
    </w:p>
    <w:p>
      <w:pPr>
        <w:pStyle w:val="45"/>
        <w:keepNext w:val="0"/>
        <w:keepLines w:val="0"/>
        <w:pageBreakBefore w:val="0"/>
        <w:widowControl w:val="0"/>
        <w:kinsoku/>
        <w:wordWrap/>
        <w:overflowPunct/>
        <w:topLinePunct w:val="0"/>
        <w:autoSpaceDE/>
        <w:autoSpaceDN/>
        <w:bidi w:val="0"/>
        <w:adjustRightInd/>
        <w:snapToGrid/>
        <w:spacing w:line="460" w:lineRule="exact"/>
        <w:ind w:left="120" w:leftChars="50" w:right="120" w:rightChars="50" w:firstLine="480" w:firstLineChars="200"/>
        <w:textAlignment w:val="auto"/>
        <w:rPr>
          <w:rFonts w:hint="eastAsia" w:ascii="宋体" w:hAnsi="宋体" w:eastAsia="宋体" w:cs="宋体"/>
          <w:color w:val="auto"/>
          <w:sz w:val="24"/>
          <w:szCs w:val="24"/>
        </w:rPr>
      </w:pPr>
      <w:r>
        <w:rPr>
          <w:rFonts w:hint="eastAsia" w:ascii="黑体" w:hAnsi="黑体" w:eastAsia="黑体" w:cs="Times New Roman"/>
          <w:b w:val="0"/>
          <w:bCs/>
          <w:color w:val="auto"/>
          <w:kern w:val="2"/>
          <w:sz w:val="24"/>
          <w:szCs w:val="24"/>
          <w:lang w:val="en-US" w:eastAsia="zh-CN" w:bidi="ar-SA"/>
        </w:rPr>
        <w:t>第八条</w:t>
      </w:r>
      <w:r>
        <w:rPr>
          <w:b/>
          <w:color w:val="auto"/>
          <w:sz w:val="32"/>
          <w:szCs w:val="32"/>
        </w:rPr>
        <w:t xml:space="preserve"> </w:t>
      </w:r>
      <w:r>
        <w:rPr>
          <w:rFonts w:hint="eastAsia" w:ascii="宋体" w:hAnsi="宋体" w:eastAsia="宋体" w:cs="宋体"/>
          <w:color w:val="auto"/>
          <w:sz w:val="24"/>
          <w:szCs w:val="24"/>
        </w:rPr>
        <w:t>临时用地使用期满，或政府提前收回的临时用地，使用我司临时用地的施工单位应在1个月内完成退地清场、复垦复绿。临时用地使用期满后，临时用地施工单位的退地清场、复垦复绿、环境保护等情况，由属地镇政府牵头，联合区各职能部门在各自职责范围内依法进行验收。</w:t>
      </w:r>
    </w:p>
    <w:p>
      <w:pPr>
        <w:pStyle w:val="45"/>
        <w:keepNext w:val="0"/>
        <w:keepLines w:val="0"/>
        <w:pageBreakBefore w:val="0"/>
        <w:widowControl w:val="0"/>
        <w:kinsoku/>
        <w:wordWrap/>
        <w:overflowPunct/>
        <w:topLinePunct w:val="0"/>
        <w:autoSpaceDE/>
        <w:autoSpaceDN/>
        <w:bidi w:val="0"/>
        <w:adjustRightInd/>
        <w:snapToGrid/>
        <w:spacing w:line="460" w:lineRule="exact"/>
        <w:ind w:left="120" w:leftChars="50" w:right="120" w:rightChars="50" w:firstLine="480" w:firstLineChars="200"/>
        <w:textAlignment w:val="auto"/>
        <w:rPr>
          <w:rFonts w:hint="eastAsia" w:ascii="宋体" w:hAnsi="宋体" w:eastAsia="宋体" w:cs="宋体"/>
          <w:color w:val="auto"/>
          <w:sz w:val="24"/>
          <w:szCs w:val="24"/>
        </w:rPr>
      </w:pPr>
      <w:r>
        <w:rPr>
          <w:rFonts w:hint="eastAsia" w:ascii="黑体" w:hAnsi="黑体" w:eastAsia="黑体" w:cs="Times New Roman"/>
          <w:b w:val="0"/>
          <w:bCs/>
          <w:color w:val="auto"/>
          <w:kern w:val="2"/>
          <w:sz w:val="24"/>
          <w:szCs w:val="24"/>
          <w:lang w:val="en-US" w:eastAsia="zh-CN" w:bidi="ar-SA"/>
        </w:rPr>
        <w:t>第九条</w:t>
      </w:r>
      <w:r>
        <w:rPr>
          <w:b/>
          <w:color w:val="auto"/>
          <w:sz w:val="32"/>
          <w:szCs w:val="32"/>
        </w:rPr>
        <w:t xml:space="preserve"> </w:t>
      </w:r>
      <w:r>
        <w:rPr>
          <w:rFonts w:hint="eastAsia" w:ascii="宋体" w:hAnsi="宋体" w:eastAsia="宋体" w:cs="宋体"/>
          <w:color w:val="auto"/>
          <w:sz w:val="24"/>
          <w:szCs w:val="24"/>
        </w:rPr>
        <w:t>临时用地占用耕地的，根据《广东省国土资源厅关于加强临时用地管理的通知》（粤国土资利用发〔2016〕35 号），使用我司临时用地的施工单位应当自临时用地期满之日起1年内恢复种植条件并经验收合格。</w:t>
      </w:r>
    </w:p>
    <w:p>
      <w:pPr>
        <w:pStyle w:val="45"/>
        <w:keepNext w:val="0"/>
        <w:keepLines w:val="0"/>
        <w:pageBreakBefore w:val="0"/>
        <w:widowControl w:val="0"/>
        <w:kinsoku/>
        <w:wordWrap/>
        <w:overflowPunct/>
        <w:topLinePunct w:val="0"/>
        <w:autoSpaceDE/>
        <w:autoSpaceDN/>
        <w:bidi w:val="0"/>
        <w:adjustRightInd/>
        <w:snapToGrid/>
        <w:spacing w:line="460" w:lineRule="exact"/>
        <w:ind w:left="120" w:leftChars="50" w:right="120" w:rightChars="50" w:firstLine="480" w:firstLineChars="200"/>
        <w:textAlignment w:val="auto"/>
        <w:rPr>
          <w:rFonts w:hint="eastAsia" w:ascii="宋体" w:hAnsi="宋体" w:eastAsia="宋体" w:cs="宋体"/>
          <w:color w:val="auto"/>
          <w:sz w:val="24"/>
          <w:szCs w:val="24"/>
        </w:rPr>
      </w:pPr>
      <w:r>
        <w:rPr>
          <w:rFonts w:hint="eastAsia" w:ascii="黑体" w:hAnsi="黑体" w:eastAsia="黑体" w:cs="Times New Roman"/>
          <w:b w:val="0"/>
          <w:bCs/>
          <w:color w:val="auto"/>
          <w:kern w:val="2"/>
          <w:sz w:val="24"/>
          <w:szCs w:val="24"/>
          <w:lang w:val="en-US" w:eastAsia="zh-CN" w:bidi="ar-SA"/>
        </w:rPr>
        <w:t>第十条</w:t>
      </w:r>
      <w:r>
        <w:rPr>
          <w:b/>
          <w:color w:val="auto"/>
          <w:sz w:val="32"/>
          <w:szCs w:val="32"/>
        </w:rPr>
        <w:t xml:space="preserve"> </w:t>
      </w:r>
      <w:r>
        <w:rPr>
          <w:rFonts w:hint="eastAsia" w:ascii="宋体" w:hAnsi="宋体" w:eastAsia="宋体" w:cs="宋体"/>
          <w:color w:val="auto"/>
          <w:sz w:val="24"/>
          <w:szCs w:val="24"/>
        </w:rPr>
        <w:t>退地清场或复垦复绿验收不合格的，使用我司临时用地的施工单位有不超过30日的整改期，整改期满后经验收仍不合格的，由我司组织清场及复垦复绿。组织清场及复垦复绿的各项费用由施工单位承担，从施工单位工程款中支付。施工单位工程款不足以支付的，由我司先行垫付后向临时用地使用施工单位追偿。</w:t>
      </w:r>
    </w:p>
    <w:p>
      <w:pPr>
        <w:pStyle w:val="45"/>
        <w:keepNext w:val="0"/>
        <w:keepLines w:val="0"/>
        <w:pageBreakBefore w:val="0"/>
        <w:widowControl w:val="0"/>
        <w:kinsoku/>
        <w:wordWrap/>
        <w:overflowPunct/>
        <w:topLinePunct w:val="0"/>
        <w:autoSpaceDE/>
        <w:autoSpaceDN/>
        <w:bidi w:val="0"/>
        <w:adjustRightInd/>
        <w:snapToGrid/>
        <w:spacing w:line="460" w:lineRule="exact"/>
        <w:ind w:left="120" w:leftChars="50" w:right="120" w:rightChars="50" w:firstLine="480" w:firstLineChars="200"/>
        <w:textAlignment w:val="auto"/>
        <w:rPr>
          <w:rFonts w:hint="eastAsia" w:ascii="宋体" w:hAnsi="宋体" w:eastAsia="宋体" w:cs="宋体"/>
          <w:color w:val="auto"/>
          <w:sz w:val="24"/>
          <w:szCs w:val="24"/>
        </w:rPr>
      </w:pPr>
      <w:r>
        <w:rPr>
          <w:rFonts w:hint="eastAsia" w:ascii="黑体" w:hAnsi="黑体" w:eastAsia="黑体" w:cs="Times New Roman"/>
          <w:b w:val="0"/>
          <w:bCs/>
          <w:color w:val="auto"/>
          <w:kern w:val="2"/>
          <w:sz w:val="24"/>
          <w:szCs w:val="24"/>
          <w:lang w:val="en-US" w:eastAsia="zh-CN" w:bidi="ar-SA"/>
        </w:rPr>
        <w:t>第十一条</w:t>
      </w:r>
      <w:r>
        <w:rPr>
          <w:b/>
          <w:color w:val="auto"/>
          <w:sz w:val="32"/>
          <w:szCs w:val="32"/>
        </w:rPr>
        <w:t xml:space="preserve"> </w:t>
      </w:r>
      <w:r>
        <w:rPr>
          <w:rFonts w:hint="eastAsia" w:ascii="宋体" w:hAnsi="宋体" w:eastAsia="宋体" w:cs="宋体"/>
          <w:color w:val="auto"/>
          <w:sz w:val="24"/>
          <w:szCs w:val="24"/>
        </w:rPr>
        <w:t>临时用地单位逾期未清场及拒不办理土地移交手续的，我公司将提请临时用地管理部门按规定予以查处、强制收回。因此产生的清场费用及损失由临时用地单位自行承担。我司有权从施工单位工程款中扣除。</w:t>
      </w:r>
    </w:p>
    <w:bookmarkEnd w:id="3"/>
    <w:p>
      <w:pPr>
        <w:pStyle w:val="45"/>
        <w:keepNext w:val="0"/>
        <w:keepLines w:val="0"/>
        <w:pageBreakBefore w:val="0"/>
        <w:widowControl w:val="0"/>
        <w:kinsoku/>
        <w:wordWrap/>
        <w:overflowPunct/>
        <w:topLinePunct w:val="0"/>
        <w:autoSpaceDE/>
        <w:autoSpaceDN/>
        <w:bidi w:val="0"/>
        <w:adjustRightInd w:val="0"/>
        <w:snapToGrid w:val="0"/>
        <w:spacing w:before="120" w:line="360" w:lineRule="auto"/>
        <w:ind w:left="0" w:leftChars="0" w:firstLine="0" w:firstLineChars="0"/>
        <w:jc w:val="center"/>
        <w:textAlignment w:val="auto"/>
        <w:outlineLvl w:val="0"/>
        <w:rPr>
          <w:rFonts w:hint="default" w:ascii="黑体" w:hAnsi="黑体" w:eastAsia="黑体" w:cs="Times New Roman"/>
          <w:b w:val="0"/>
          <w:bCs/>
          <w:color w:val="auto"/>
          <w:kern w:val="2"/>
          <w:sz w:val="24"/>
          <w:szCs w:val="24"/>
          <w:lang w:val="en-US" w:eastAsia="zh-CN" w:bidi="ar-SA"/>
        </w:rPr>
      </w:pPr>
      <w:bookmarkStart w:id="4" w:name="_Toc11986"/>
      <w:r>
        <w:rPr>
          <w:rFonts w:hint="eastAsia" w:ascii="黑体" w:hAnsi="黑体" w:eastAsia="黑体" w:cs="Times New Roman"/>
          <w:b w:val="0"/>
          <w:bCs/>
          <w:color w:val="auto"/>
          <w:kern w:val="2"/>
          <w:sz w:val="24"/>
          <w:szCs w:val="24"/>
          <w:lang w:val="en-US" w:eastAsia="zh-CN" w:bidi="ar-SA"/>
        </w:rPr>
        <w:t>第五章 附  则</w:t>
      </w:r>
      <w:bookmarkEnd w:id="4"/>
    </w:p>
    <w:p>
      <w:pPr>
        <w:keepNext w:val="0"/>
        <w:keepLines w:val="0"/>
        <w:pageBreakBefore w:val="0"/>
        <w:kinsoku/>
        <w:wordWrap/>
        <w:overflowPunct/>
        <w:topLinePunct w:val="0"/>
        <w:autoSpaceDE/>
        <w:autoSpaceDN/>
        <w:bidi w:val="0"/>
        <w:adjustRightInd/>
        <w:snapToGrid/>
        <w:spacing w:line="520" w:lineRule="exact"/>
        <w:ind w:left="120" w:leftChars="50" w:right="120" w:rightChars="50"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黑体" w:hAnsi="黑体" w:eastAsia="黑体" w:cs="黑体"/>
          <w:sz w:val="24"/>
          <w:szCs w:val="24"/>
          <w:lang w:val="en-US" w:eastAsia="zh-CN"/>
        </w:rPr>
        <w:t xml:space="preserve">第十二条 </w:t>
      </w:r>
      <w:r>
        <w:rPr>
          <w:rFonts w:hint="eastAsia" w:asciiTheme="minorEastAsia" w:hAnsiTheme="minorEastAsia" w:eastAsiaTheme="minorEastAsia" w:cstheme="minorEastAsia"/>
          <w:sz w:val="24"/>
          <w:szCs w:val="24"/>
          <w:lang w:val="en-US" w:eastAsia="zh-CN"/>
        </w:rPr>
        <w:t>本办法由珠海联港城市建设管理有限公司负责解释。</w:t>
      </w:r>
    </w:p>
    <w:p>
      <w:pPr>
        <w:pStyle w:val="45"/>
        <w:keepNext w:val="0"/>
        <w:keepLines w:val="0"/>
        <w:pageBreakBefore w:val="0"/>
        <w:widowControl w:val="0"/>
        <w:kinsoku/>
        <w:wordWrap/>
        <w:overflowPunct/>
        <w:topLinePunct w:val="0"/>
        <w:autoSpaceDE/>
        <w:autoSpaceDN/>
        <w:bidi w:val="0"/>
        <w:adjustRightInd/>
        <w:snapToGrid/>
        <w:spacing w:line="360" w:lineRule="auto"/>
        <w:ind w:left="120" w:leftChars="50" w:right="120" w:rightChars="50" w:firstLine="480" w:firstLineChars="200"/>
        <w:textAlignment w:val="auto"/>
        <w:rPr>
          <w:rFonts w:hint="eastAsia" w:ascii="宋体" w:hAnsi="宋体" w:eastAsia="宋体" w:cs="宋体"/>
          <w:sz w:val="24"/>
          <w:szCs w:val="24"/>
        </w:rPr>
      </w:pPr>
      <w:r>
        <w:rPr>
          <w:rFonts w:hint="eastAsia" w:ascii="黑体" w:hAnsi="黑体" w:eastAsia="黑体" w:cs="黑体"/>
          <w:b w:val="0"/>
          <w:bCs/>
          <w:sz w:val="24"/>
          <w:szCs w:val="24"/>
        </w:rPr>
        <w:t>第</w:t>
      </w:r>
      <w:r>
        <w:rPr>
          <w:rFonts w:hint="eastAsia" w:ascii="黑体" w:hAnsi="黑体" w:eastAsia="黑体" w:cs="黑体"/>
          <w:b w:val="0"/>
          <w:bCs/>
          <w:sz w:val="24"/>
          <w:szCs w:val="24"/>
          <w:lang w:val="en-US" w:eastAsia="zh-CN"/>
        </w:rPr>
        <w:t>十三</w:t>
      </w:r>
      <w:r>
        <w:rPr>
          <w:rFonts w:hint="eastAsia" w:ascii="黑体" w:hAnsi="黑体" w:eastAsia="黑体" w:cs="黑体"/>
          <w:b w:val="0"/>
          <w:bCs/>
          <w:sz w:val="24"/>
          <w:szCs w:val="24"/>
        </w:rPr>
        <w:t>条</w:t>
      </w:r>
      <w:r>
        <w:rPr>
          <w:b/>
          <w:sz w:val="32"/>
          <w:szCs w:val="32"/>
        </w:rPr>
        <w:t xml:space="preserve"> </w:t>
      </w:r>
      <w:r>
        <w:rPr>
          <w:rFonts w:hint="eastAsia" w:ascii="宋体" w:hAnsi="宋体" w:eastAsia="宋体" w:cs="宋体"/>
          <w:sz w:val="24"/>
          <w:szCs w:val="24"/>
        </w:rPr>
        <w:t>本办法自印发之日起施行。</w:t>
      </w:r>
    </w:p>
    <w:p>
      <w:pPr>
        <w:pStyle w:val="45"/>
        <w:keepNext w:val="0"/>
        <w:keepLines w:val="0"/>
        <w:pageBreakBefore w:val="0"/>
        <w:widowControl w:val="0"/>
        <w:kinsoku/>
        <w:wordWrap/>
        <w:overflowPunct/>
        <w:topLinePunct w:val="0"/>
        <w:autoSpaceDE/>
        <w:autoSpaceDN/>
        <w:bidi w:val="0"/>
        <w:adjustRightInd/>
        <w:snapToGrid/>
        <w:spacing w:line="360" w:lineRule="auto"/>
        <w:ind w:left="0" w:leftChars="0" w:right="120" w:rightChars="50" w:firstLine="0" w:firstLineChars="0"/>
        <w:textAlignment w:val="auto"/>
        <w:rPr>
          <w:rFonts w:hint="eastAsia" w:ascii="宋体" w:hAnsi="宋体" w:eastAsia="宋体" w:cs="宋体"/>
          <w:sz w:val="24"/>
          <w:szCs w:val="24"/>
        </w:rPr>
      </w:pPr>
    </w:p>
    <w:bookmarkEnd w:id="1"/>
    <w:p>
      <w:pPr>
        <w:numPr>
          <w:ilvl w:val="0"/>
          <w:numId w:val="0"/>
        </w:numPr>
        <w:rPr>
          <w:rFonts w:hint="default"/>
          <w:lang w:val="en-US" w:eastAsia="zh-CN"/>
        </w:rPr>
      </w:pPr>
    </w:p>
    <w:sectPr>
      <w:headerReference r:id="rId3" w:type="default"/>
      <w:footerReference r:id="rId4" w:type="default"/>
      <w:pgSz w:w="11906" w:h="16838"/>
      <w:pgMar w:top="1134" w:right="851" w:bottom="851" w:left="1134" w:header="1134" w:footer="851" w:gutter="0"/>
      <w:pgBorders>
        <w:top w:val="single" w:color="auto" w:sz="4" w:space="0"/>
        <w:left w:val="single" w:color="auto" w:sz="4" w:space="0"/>
        <w:bottom w:val="single" w:color="auto" w:sz="4" w:space="0"/>
        <w:right w:val="single" w:color="auto" w:sz="4" w:space="0"/>
      </w:pgBorders>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F68A409-1F51-473A-AF4E-32BBC2E09EC9}"/>
  </w:font>
  <w:font w:name="黑体">
    <w:panose1 w:val="02010609060101010101"/>
    <w:charset w:val="86"/>
    <w:family w:val="auto"/>
    <w:pitch w:val="default"/>
    <w:sig w:usb0="800002BF" w:usb1="38CF7CFA" w:usb2="00000016" w:usb3="00000000" w:csb0="00040001" w:csb1="00000000"/>
    <w:embedRegular r:id="rId2" w:fontKey="{5EFB815E-5530-45C8-B91F-C05E1551CA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roman"/>
    <w:pitch w:val="default"/>
    <w:sig w:usb0="00000000" w:usb1="00000000" w:usb2="0000003F" w:usb3="00000000" w:csb0="603F01FF" w:csb1="FFFF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spacing w:line="20" w:lineRule="exact"/>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4"/>
      <w:gridCol w:w="5626"/>
      <w:gridCol w:w="119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trPr>
      <w:tc>
        <w:tcPr>
          <w:tcW w:w="1694" w:type="dxa"/>
          <w:vMerge w:val="restart"/>
          <w:tcBorders>
            <w:top w:val="single" w:color="auto" w:sz="4" w:space="0"/>
            <w:left w:val="single" w:color="auto" w:sz="4" w:space="0"/>
            <w:bottom w:val="single" w:color="auto" w:sz="4" w:space="0"/>
            <w:right w:val="single" w:color="auto" w:sz="4" w:space="0"/>
          </w:tcBorders>
          <w:noWrap w:val="0"/>
          <w:vAlign w:val="center"/>
        </w:tcPr>
        <w:p>
          <w:pPr>
            <w:pStyle w:val="40"/>
            <w:ind w:right="0"/>
            <w:jc w:val="center"/>
            <w:rPr>
              <w:rFonts w:hint="eastAsia" w:eastAsia="宋体" w:cs="Arial"/>
              <w:b/>
              <w:sz w:val="44"/>
              <w:lang w:eastAsia="zh-CN"/>
            </w:rPr>
          </w:pPr>
          <w:r>
            <w:drawing>
              <wp:inline distT="0" distB="0" distL="114300" distR="114300">
                <wp:extent cx="840740" cy="61722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
                        <a:stretch>
                          <a:fillRect/>
                        </a:stretch>
                      </pic:blipFill>
                      <pic:spPr>
                        <a:xfrm>
                          <a:off x="0" y="0"/>
                          <a:ext cx="840740" cy="617220"/>
                        </a:xfrm>
                        <a:prstGeom prst="rect">
                          <a:avLst/>
                        </a:prstGeom>
                        <a:noFill/>
                        <a:ln>
                          <a:noFill/>
                        </a:ln>
                      </pic:spPr>
                    </pic:pic>
                  </a:graphicData>
                </a:graphic>
              </wp:inline>
            </w:drawing>
          </w:r>
        </w:p>
      </w:tc>
      <w:tc>
        <w:tcPr>
          <w:tcW w:w="5626" w:type="dxa"/>
          <w:vMerge w:val="restart"/>
          <w:tcBorders>
            <w:top w:val="single" w:color="auto" w:sz="4" w:space="0"/>
            <w:left w:val="single" w:color="auto" w:sz="4" w:space="0"/>
            <w:bottom w:val="single" w:color="auto" w:sz="4" w:space="0"/>
            <w:right w:val="single" w:color="auto" w:sz="4" w:space="0"/>
          </w:tcBorders>
          <w:noWrap w:val="0"/>
          <w:vAlign w:val="center"/>
        </w:tcPr>
        <w:p>
          <w:pPr>
            <w:pStyle w:val="40"/>
            <w:jc w:val="center"/>
            <w:rPr>
              <w:rFonts w:hint="default" w:eastAsia="黑体"/>
              <w:b/>
              <w:bCs/>
              <w:sz w:val="30"/>
              <w:szCs w:val="30"/>
              <w:lang w:val="en-US"/>
            </w:rPr>
          </w:pPr>
          <w:r>
            <w:rPr>
              <w:rFonts w:hint="eastAsia"/>
              <w:b/>
              <w:bCs/>
              <w:sz w:val="30"/>
              <w:szCs w:val="30"/>
              <w:lang w:val="en-US" w:eastAsia="zh-CN"/>
            </w:rPr>
            <w:t>临时用地管理办法</w:t>
          </w:r>
        </w:p>
      </w:tc>
      <w:tc>
        <w:tcPr>
          <w:tcW w:w="1197" w:type="dxa"/>
          <w:tcBorders>
            <w:left w:val="nil"/>
          </w:tcBorders>
          <w:noWrap w:val="0"/>
          <w:vAlign w:val="center"/>
        </w:tcPr>
        <w:p>
          <w:pPr>
            <w:pStyle w:val="40"/>
            <w:ind w:right="0"/>
            <w:jc w:val="center"/>
            <w:rPr>
              <w:rFonts w:hint="eastAsia" w:eastAsia="宋体"/>
              <w:sz w:val="21"/>
              <w:szCs w:val="21"/>
              <w:lang w:eastAsia="zh-CN"/>
            </w:rPr>
          </w:pPr>
          <w:r>
            <w:rPr>
              <w:rFonts w:hint="eastAsia"/>
              <w:sz w:val="21"/>
              <w:szCs w:val="21"/>
            </w:rPr>
            <w:t>版次：</w:t>
          </w:r>
          <w:r>
            <w:rPr>
              <w:rFonts w:hint="eastAsia"/>
              <w:sz w:val="21"/>
              <w:szCs w:val="21"/>
              <w:lang w:val="en-US" w:eastAsia="zh-CN"/>
            </w:rPr>
            <w:t>1</w:t>
          </w:r>
        </w:p>
      </w:tc>
      <w:tc>
        <w:tcPr>
          <w:tcW w:w="1418" w:type="dxa"/>
          <w:tcBorders>
            <w:bottom w:val="single" w:color="auto" w:sz="4" w:space="0"/>
          </w:tcBorders>
          <w:noWrap w:val="0"/>
          <w:vAlign w:val="center"/>
        </w:tcPr>
        <w:p>
          <w:pPr>
            <w:pStyle w:val="40"/>
            <w:ind w:right="0"/>
            <w:jc w:val="center"/>
            <w:rPr>
              <w:rStyle w:val="34"/>
              <w:rFonts w:hint="eastAsia"/>
            </w:rPr>
          </w:pPr>
          <w:r>
            <w:rPr>
              <w:rFonts w:hint="eastAsia" w:ascii="宋体"/>
              <w:sz w:val="21"/>
              <w:szCs w:val="21"/>
            </w:rPr>
            <w:t>页：</w:t>
          </w:r>
          <w:r>
            <w:rPr>
              <w:rFonts w:cs="Arial"/>
              <w:sz w:val="21"/>
              <w:szCs w:val="21"/>
            </w:rPr>
            <w:fldChar w:fldCharType="begin"/>
          </w:r>
          <w:r>
            <w:rPr>
              <w:rFonts w:cs="Arial"/>
              <w:sz w:val="21"/>
              <w:szCs w:val="21"/>
            </w:rPr>
            <w:instrText xml:space="preserve">PAGE  \* Arabic  \* MERGEFORMAT</w:instrText>
          </w:r>
          <w:r>
            <w:rPr>
              <w:rFonts w:cs="Arial"/>
              <w:sz w:val="21"/>
              <w:szCs w:val="21"/>
            </w:rPr>
            <w:fldChar w:fldCharType="separate"/>
          </w:r>
          <w:r>
            <w:rPr>
              <w:rFonts w:cs="Arial"/>
              <w:sz w:val="21"/>
              <w:szCs w:val="21"/>
              <w:lang w:val="zh-CN"/>
            </w:rPr>
            <w:t>28</w:t>
          </w:r>
          <w:r>
            <w:rPr>
              <w:rFonts w:cs="Arial"/>
              <w:sz w:val="21"/>
              <w:szCs w:val="21"/>
            </w:rPr>
            <w:fldChar w:fldCharType="end"/>
          </w:r>
          <w:r>
            <w:rPr>
              <w:rFonts w:cs="Arial"/>
              <w:sz w:val="21"/>
              <w:szCs w:val="21"/>
              <w:lang w:val="zh-CN"/>
            </w:rPr>
            <w:t>/</w:t>
          </w:r>
          <w:r>
            <w:rPr>
              <w:rFonts w:cs="Arial"/>
              <w:sz w:val="21"/>
              <w:szCs w:val="21"/>
            </w:rPr>
            <w:fldChar w:fldCharType="begin"/>
          </w:r>
          <w:r>
            <w:rPr>
              <w:rFonts w:cs="Arial"/>
              <w:sz w:val="21"/>
              <w:szCs w:val="21"/>
            </w:rPr>
            <w:instrText xml:space="preserve">NUMPAGES  \* Arabic  \* MERGEFORMAT</w:instrText>
          </w:r>
          <w:r>
            <w:rPr>
              <w:rFonts w:cs="Arial"/>
              <w:sz w:val="21"/>
              <w:szCs w:val="21"/>
            </w:rPr>
            <w:fldChar w:fldCharType="separate"/>
          </w:r>
          <w:r>
            <w:rPr>
              <w:rFonts w:cs="Arial"/>
              <w:sz w:val="21"/>
              <w:szCs w:val="21"/>
              <w:lang w:val="zh-CN"/>
            </w:rPr>
            <w:t>28</w:t>
          </w:r>
          <w:r>
            <w:rPr>
              <w:rFonts w:cs="Arial"/>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76" w:hRule="atLeast"/>
      </w:trPr>
      <w:tc>
        <w:tcPr>
          <w:tcW w:w="1694" w:type="dxa"/>
          <w:vMerge w:val="continue"/>
          <w:tcBorders>
            <w:top w:val="single" w:color="auto" w:sz="4" w:space="0"/>
            <w:left w:val="single" w:color="auto" w:sz="4" w:space="0"/>
            <w:bottom w:val="single" w:color="auto" w:sz="4" w:space="0"/>
            <w:right w:val="single" w:color="auto" w:sz="4" w:space="0"/>
          </w:tcBorders>
          <w:noWrap w:val="0"/>
          <w:vAlign w:val="top"/>
        </w:tcPr>
        <w:p/>
      </w:tc>
      <w:tc>
        <w:tcPr>
          <w:tcW w:w="5626" w:type="dxa"/>
          <w:vMerge w:val="continue"/>
          <w:tcBorders>
            <w:top w:val="single" w:color="auto" w:sz="4" w:space="0"/>
            <w:left w:val="single" w:color="auto" w:sz="4" w:space="0"/>
            <w:bottom w:val="single" w:color="auto" w:sz="4" w:space="0"/>
            <w:right w:val="single" w:color="auto" w:sz="4" w:space="0"/>
          </w:tcBorders>
          <w:noWrap w:val="0"/>
          <w:vAlign w:val="top"/>
        </w:tcPr>
        <w:p/>
      </w:tc>
      <w:tc>
        <w:tcPr>
          <w:tcW w:w="2615" w:type="dxa"/>
          <w:gridSpan w:val="2"/>
          <w:tcBorders>
            <w:left w:val="nil"/>
          </w:tcBorders>
          <w:noWrap w:val="0"/>
          <w:vAlign w:val="center"/>
        </w:tcPr>
        <w:p>
          <w:pPr>
            <w:jc w:val="center"/>
            <w:rPr>
              <w:rFonts w:hint="default" w:eastAsia="宋体"/>
              <w:color w:val="548DD4"/>
              <w:sz w:val="21"/>
              <w:szCs w:val="21"/>
              <w:lang w:val="en-US" w:eastAsia="zh-CN"/>
            </w:rPr>
          </w:pPr>
          <w:r>
            <w:rPr>
              <w:rFonts w:hAnsi="宋体" w:cs="Arial"/>
              <w:color w:val="000000"/>
              <w:sz w:val="21"/>
              <w:szCs w:val="21"/>
            </w:rPr>
            <w:t>LG-</w:t>
          </w:r>
          <w:r>
            <w:rPr>
              <w:rFonts w:hint="eastAsia" w:hAnsi="宋体" w:cs="Arial"/>
              <w:color w:val="000000"/>
              <w:sz w:val="21"/>
              <w:szCs w:val="21"/>
            </w:rPr>
            <w:t>GCGL</w:t>
          </w:r>
          <w:r>
            <w:rPr>
              <w:rFonts w:hAnsi="宋体" w:cs="Arial"/>
              <w:color w:val="000000"/>
              <w:sz w:val="21"/>
              <w:szCs w:val="21"/>
            </w:rPr>
            <w:t>-</w:t>
          </w:r>
          <w:r>
            <w:rPr>
              <w:rFonts w:hint="eastAsia" w:hAnsi="宋体" w:cs="Arial"/>
              <w:color w:val="000000"/>
              <w:sz w:val="21"/>
              <w:szCs w:val="21"/>
            </w:rPr>
            <w:t>202</w:t>
          </w:r>
          <w:r>
            <w:rPr>
              <w:rFonts w:hint="eastAsia" w:hAnsi="宋体" w:cs="Arial"/>
              <w:color w:val="000000"/>
              <w:sz w:val="21"/>
              <w:szCs w:val="21"/>
              <w:lang w:val="en-US" w:eastAsia="zh-CN"/>
            </w:rPr>
            <w:t>3</w:t>
          </w:r>
          <w:r>
            <w:rPr>
              <w:rFonts w:hint="eastAsia" w:hAnsi="宋体" w:cs="Arial"/>
              <w:color w:val="000000"/>
              <w:sz w:val="21"/>
              <w:szCs w:val="21"/>
            </w:rPr>
            <w:t>-0</w:t>
          </w:r>
          <w:r>
            <w:rPr>
              <w:rFonts w:hint="eastAsia" w:hAnsi="宋体" w:cs="Arial"/>
              <w:color w:val="000000"/>
              <w:sz w:val="21"/>
              <w:szCs w:val="21"/>
              <w:lang w:val="en-US" w:eastAsia="zh-CN"/>
            </w:rPr>
            <w:t>15</w:t>
          </w:r>
        </w:p>
      </w:tc>
    </w:tr>
  </w:tbl>
  <w:p>
    <w:pPr>
      <w:pStyle w:val="40"/>
      <w:spacing w:line="20" w:lineRule="exact"/>
      <w:jc w:val="center"/>
      <w:rPr>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186B0F"/>
    <w:multiLevelType w:val="multilevel"/>
    <w:tmpl w:val="36186B0F"/>
    <w:lvl w:ilvl="0" w:tentative="0">
      <w:start w:val="1"/>
      <w:numFmt w:val="decimal"/>
      <w:pStyle w:val="39"/>
      <w:lvlText w:val="%1."/>
      <w:lvlJc w:val="left"/>
      <w:pPr>
        <w:tabs>
          <w:tab w:val="left" w:pos="851"/>
        </w:tabs>
        <w:ind w:left="851" w:hanging="567"/>
      </w:pPr>
      <w:rPr>
        <w:rFonts w:hint="default" w:ascii="Times New Roman" w:hAnsi="Times New Roman"/>
      </w:rPr>
    </w:lvl>
    <w:lvl w:ilvl="1" w:tentative="0">
      <w:start w:val="1"/>
      <w:numFmt w:val="decimal"/>
      <w:lvlText w:val="%1.%2"/>
      <w:lvlJc w:val="left"/>
      <w:pPr>
        <w:tabs>
          <w:tab w:val="left" w:pos="1134"/>
        </w:tabs>
        <w:ind w:left="1134" w:hanging="567"/>
      </w:pPr>
      <w:rPr>
        <w:rFonts w:hint="eastAsia"/>
      </w:rPr>
    </w:lvl>
    <w:lvl w:ilvl="2" w:tentative="0">
      <w:start w:val="1"/>
      <w:numFmt w:val="decimal"/>
      <w:suff w:val="space"/>
      <w:lvlText w:val="%1.%2.%3"/>
      <w:lvlJc w:val="left"/>
      <w:pPr>
        <w:ind w:left="1588" w:hanging="737"/>
      </w:pPr>
      <w:rPr>
        <w:rFonts w:hint="eastAsia"/>
      </w:rPr>
    </w:lvl>
    <w:lvl w:ilvl="3" w:tentative="0">
      <w:start w:val="1"/>
      <w:numFmt w:val="decimal"/>
      <w:suff w:val="space"/>
      <w:lvlText w:val="%1.%2.%3.%4"/>
      <w:lvlJc w:val="left"/>
      <w:pPr>
        <w:ind w:left="1985" w:hanging="851"/>
      </w:pPr>
      <w:rPr>
        <w:rFonts w:hint="eastAsia"/>
      </w:rPr>
    </w:lvl>
    <w:lvl w:ilvl="4" w:tentative="0">
      <w:start w:val="1"/>
      <w:numFmt w:val="decimal"/>
      <w:lvlText w:val="%1.%2.%3.%4.%5"/>
      <w:lvlJc w:val="left"/>
      <w:pPr>
        <w:tabs>
          <w:tab w:val="left" w:pos="0"/>
        </w:tabs>
        <w:ind w:left="2125" w:hanging="425"/>
      </w:pPr>
      <w:rPr>
        <w:rFonts w:hint="eastAsia"/>
      </w:rPr>
    </w:lvl>
    <w:lvl w:ilvl="5" w:tentative="0">
      <w:start w:val="1"/>
      <w:numFmt w:val="decimal"/>
      <w:lvlText w:val="%1.%2.%3.%4.%5.%6"/>
      <w:lvlJc w:val="left"/>
      <w:pPr>
        <w:tabs>
          <w:tab w:val="left" w:pos="0"/>
        </w:tabs>
        <w:ind w:left="2550" w:hanging="425"/>
      </w:pPr>
      <w:rPr>
        <w:rFonts w:hint="eastAsia"/>
      </w:rPr>
    </w:lvl>
    <w:lvl w:ilvl="6" w:tentative="0">
      <w:start w:val="1"/>
      <w:numFmt w:val="decimal"/>
      <w:lvlText w:val="%1.%2.%3.%4.%5.%6.%7"/>
      <w:lvlJc w:val="left"/>
      <w:pPr>
        <w:tabs>
          <w:tab w:val="left" w:pos="0"/>
        </w:tabs>
        <w:ind w:left="2975" w:hanging="425"/>
      </w:pPr>
      <w:rPr>
        <w:rFonts w:hint="eastAsia"/>
      </w:rPr>
    </w:lvl>
    <w:lvl w:ilvl="7" w:tentative="0">
      <w:start w:val="1"/>
      <w:numFmt w:val="decimal"/>
      <w:lvlText w:val="%1.%2.%3.%4.%5.%6.%7.%8"/>
      <w:lvlJc w:val="left"/>
      <w:pPr>
        <w:tabs>
          <w:tab w:val="left" w:pos="0"/>
        </w:tabs>
        <w:ind w:left="3400" w:hanging="425"/>
      </w:pPr>
      <w:rPr>
        <w:rFonts w:hint="eastAsia"/>
      </w:rPr>
    </w:lvl>
    <w:lvl w:ilvl="8" w:tentative="0">
      <w:start w:val="1"/>
      <w:numFmt w:val="decimal"/>
      <w:lvlText w:val="%1.%2.%3.%4.%5.%6.%7.%8.%9"/>
      <w:lvlJc w:val="left"/>
      <w:pPr>
        <w:tabs>
          <w:tab w:val="left" w:pos="0"/>
        </w:tabs>
        <w:ind w:left="3825" w:hanging="425"/>
      </w:pPr>
      <w:rPr>
        <w:rFonts w:hint="eastAsia"/>
      </w:rPr>
    </w:lvl>
  </w:abstractNum>
  <w:abstractNum w:abstractNumId="1">
    <w:nsid w:val="3C3466EA"/>
    <w:multiLevelType w:val="multilevel"/>
    <w:tmpl w:val="3C3466EA"/>
    <w:lvl w:ilvl="0" w:tentative="0">
      <w:start w:val="1"/>
      <w:numFmt w:val="decimal"/>
      <w:pStyle w:val="3"/>
      <w:lvlText w:val="%1"/>
      <w:lvlJc w:val="left"/>
      <w:pPr>
        <w:tabs>
          <w:tab w:val="left" w:pos="642"/>
        </w:tabs>
        <w:ind w:left="642" w:hanging="432"/>
      </w:pPr>
      <w:rPr>
        <w:rFonts w:hint="default" w:ascii="Arial" w:hAnsi="Arial" w:eastAsia="宋体"/>
        <w:b/>
        <w:i w:val="0"/>
        <w:sz w:val="24"/>
      </w:rPr>
    </w:lvl>
    <w:lvl w:ilvl="1" w:tentative="0">
      <w:start w:val="1"/>
      <w:numFmt w:val="decimal"/>
      <w:pStyle w:val="4"/>
      <w:lvlText w:val="%1.%2"/>
      <w:lvlJc w:val="left"/>
      <w:pPr>
        <w:tabs>
          <w:tab w:val="left" w:pos="786"/>
        </w:tabs>
        <w:ind w:left="786" w:hanging="576"/>
      </w:pPr>
      <w:rPr>
        <w:rFonts w:hint="default" w:ascii="Arial" w:hAnsi="Arial" w:eastAsia="宋体"/>
        <w:b/>
        <w:i w:val="0"/>
        <w:sz w:val="24"/>
      </w:rPr>
    </w:lvl>
    <w:lvl w:ilvl="2" w:tentative="0">
      <w:start w:val="1"/>
      <w:numFmt w:val="decimal"/>
      <w:pStyle w:val="5"/>
      <w:lvlText w:val="%1.%2.%3"/>
      <w:lvlJc w:val="left"/>
      <w:pPr>
        <w:tabs>
          <w:tab w:val="left" w:pos="930"/>
        </w:tabs>
        <w:ind w:left="930" w:hanging="720"/>
      </w:pPr>
      <w:rPr>
        <w:rFonts w:hint="eastAsia"/>
      </w:rPr>
    </w:lvl>
    <w:lvl w:ilvl="3" w:tentative="0">
      <w:start w:val="1"/>
      <w:numFmt w:val="decimal"/>
      <w:pStyle w:val="6"/>
      <w:lvlText w:val="%1.%2.%3.%4"/>
      <w:lvlJc w:val="left"/>
      <w:pPr>
        <w:tabs>
          <w:tab w:val="left" w:pos="1074"/>
        </w:tabs>
        <w:ind w:left="1074" w:hanging="864"/>
      </w:pPr>
      <w:rPr>
        <w:rFonts w:hint="eastAsia"/>
      </w:rPr>
    </w:lvl>
    <w:lvl w:ilvl="4" w:tentative="0">
      <w:start w:val="1"/>
      <w:numFmt w:val="decimal"/>
      <w:pStyle w:val="7"/>
      <w:lvlText w:val="%1.%2.%3.%4.%5"/>
      <w:lvlJc w:val="left"/>
      <w:pPr>
        <w:tabs>
          <w:tab w:val="left" w:pos="1218"/>
        </w:tabs>
        <w:ind w:left="1218" w:hanging="1008"/>
      </w:pPr>
      <w:rPr>
        <w:rFonts w:hint="eastAsia"/>
      </w:rPr>
    </w:lvl>
    <w:lvl w:ilvl="5" w:tentative="0">
      <w:start w:val="1"/>
      <w:numFmt w:val="decimal"/>
      <w:pStyle w:val="8"/>
      <w:lvlText w:val="%1.%2.%3.%4.%5.%6"/>
      <w:lvlJc w:val="left"/>
      <w:pPr>
        <w:tabs>
          <w:tab w:val="left" w:pos="1362"/>
        </w:tabs>
        <w:ind w:left="1362" w:hanging="1152"/>
      </w:pPr>
      <w:rPr>
        <w:rFonts w:hint="eastAsia"/>
      </w:rPr>
    </w:lvl>
    <w:lvl w:ilvl="6" w:tentative="0">
      <w:start w:val="1"/>
      <w:numFmt w:val="decimal"/>
      <w:pStyle w:val="9"/>
      <w:lvlText w:val="%1.%2.%3.%4.%5.%6.%7"/>
      <w:lvlJc w:val="left"/>
      <w:pPr>
        <w:tabs>
          <w:tab w:val="left" w:pos="1506"/>
        </w:tabs>
        <w:ind w:left="1506" w:hanging="1296"/>
      </w:pPr>
      <w:rPr>
        <w:rFonts w:hint="eastAsia"/>
      </w:rPr>
    </w:lvl>
    <w:lvl w:ilvl="7" w:tentative="0">
      <w:start w:val="1"/>
      <w:numFmt w:val="decimal"/>
      <w:pStyle w:val="10"/>
      <w:lvlText w:val="%1.%2.%3.%4.%5.%6.%7.%8"/>
      <w:lvlJc w:val="left"/>
      <w:pPr>
        <w:tabs>
          <w:tab w:val="left" w:pos="1650"/>
        </w:tabs>
        <w:ind w:left="1650" w:hanging="1440"/>
      </w:pPr>
      <w:rPr>
        <w:rFonts w:hint="eastAsia"/>
      </w:rPr>
    </w:lvl>
    <w:lvl w:ilvl="8" w:tentative="0">
      <w:start w:val="1"/>
      <w:numFmt w:val="decimal"/>
      <w:pStyle w:val="11"/>
      <w:lvlText w:val="%1.%2.%3.%4.%5.%6.%7.%8.%9"/>
      <w:lvlJc w:val="left"/>
      <w:pPr>
        <w:tabs>
          <w:tab w:val="left" w:pos="1794"/>
        </w:tabs>
        <w:ind w:left="179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360"/>
  <w:hyphenationZone w:val="36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onEnd1" w:val="2009-10-15"/>
    <w:docVar w:name="ActionEnd10" w:val=" "/>
    <w:docVar w:name="ActionEnd11" w:val=" "/>
    <w:docVar w:name="ActionEnd12" w:val=" "/>
    <w:docVar w:name="ActionEnd2" w:val="2009-10-15"/>
    <w:docVar w:name="ActionEnd3" w:val="2009-11-13"/>
    <w:docVar w:name="ActionEnd4" w:val="2009-11-13"/>
    <w:docVar w:name="ActionEnd5" w:val="2009-11-17"/>
    <w:docVar w:name="ActionEnd6" w:val="2009-11-17"/>
    <w:docVar w:name="ActionEnd7" w:val="2009-11-17"/>
    <w:docVar w:name="ActionEnd8" w:val="2009-11-18"/>
    <w:docVar w:name="ActionEnd9" w:val=" "/>
    <w:docVar w:name="Allqm1" w:val="郑娟娟(P208689)"/>
    <w:docVar w:name="Allqm10" w:val="罗育智(P960329)"/>
    <w:docVar w:name="Allqm11" w:val="-"/>
    <w:docVar w:name="Allqm12" w:val="-"/>
    <w:docVar w:name="Allqm2" w:val="-"/>
    <w:docVar w:name="Allqm3" w:val="马哲文(P900103)"/>
    <w:docVar w:name="Allqm4" w:val="覃四海(P870056)"/>
    <w:docVar w:name="Allqm5" w:val="李晨欢(P960217);罗育智(P960329);"/>
    <w:docVar w:name="Allqm6" w:val="刘道和(P890108)"/>
    <w:docVar w:name="Allqm7" w:val="-"/>
    <w:docVar w:name="Allqm8" w:val="贾娇(P208820)"/>
    <w:docVar w:name="Allqm9" w:val="李晨欢(P960217)"/>
    <w:docVar w:name="APPLYSTATION" w:val="C"/>
    <w:docVar w:name="APPLYSTATIONNAME" w:val="共用（C）"/>
    <w:docVar w:name="APPLYSTATIONSHORTENG" w:val="DNMC"/>
    <w:docVar w:name="APPROVEDATE" w:val=" "/>
    <w:docVar w:name="APPROVEPOST" w:val="技术部副经理"/>
    <w:docVar w:name="CHECKDATE" w:val=" "/>
    <w:docVar w:name="CHECKMEETING" w:val=" "/>
    <w:docVar w:name="commondata" w:val="eyJoZGlkIjoiNWRlYmUwYzcwNjYwOTI4OGUyMTE5ZmU5YWJiMWY0ZDIifQ=="/>
    <w:docVar w:name="ComServerName" w:val="P-CPS"/>
    <w:docVar w:name="DISTRIBUTE" w:val="生产六部各处"/>
    <w:docVar w:name="FileNo" w:val="965454"/>
    <w:docVar w:name="FILEUPDATE" w:val="Y"/>
    <w:docVar w:name="HANDLEFLAG" w:val=" "/>
    <w:docVar w:name="HandleType" w:val="QUERY"/>
    <w:docVar w:name="ISPLANUSER" w:val="YES"/>
    <w:docVar w:name="KEYWORD" w:val=" "/>
    <w:docVar w:name="LocalFileInfo" w:val="(F)(C:\DOCUME~1\P900103\LOCALS~1\Temp\GNPTS.DOC)(965454)(P)(C:\DOCUME~1\P900103\LOCALS~1\Temp\GNPTS.PDF)(965455)(T)(C:\DOCUME~1\P900103\LOCALS~1\Temp\GNPCPS.DOT)(965456)"/>
    <w:docVar w:name="OWNERDEPT" w:val="TND"/>
    <w:docVar w:name="OWNERDEPTNAME" w:val="技术部"/>
    <w:docVar w:name="OWNERNAME" w:val="大亚湾核电运营管理有限责任公司"/>
    <w:docVar w:name="OWNERNAMEENG" w:val="Daya Bay Nuclear Power Operations &amp; Management Co., Ltd(DNMC)"/>
    <w:docVar w:name="OWNERSHORTENG" w:val="DNMC"/>
    <w:docVar w:name="PlanUser1" w:val="P208689"/>
    <w:docVar w:name="PlanUser10" w:val="P960329"/>
    <w:docVar w:name="PlanUser11" w:val="P960329"/>
    <w:docVar w:name="PlanUser12" w:val="P960329"/>
    <w:docVar w:name="PlanUser2" w:val="*"/>
    <w:docVar w:name="PlanUser3" w:val="P900103"/>
    <w:docVar w:name="PlanUser4" w:val="P870056"/>
    <w:docVar w:name="PlanUser5" w:val="P960329"/>
    <w:docVar w:name="PlanUser6" w:val="P890108"/>
    <w:docVar w:name="PlanUser7" w:val="*"/>
    <w:docVar w:name="PlanUser8" w:val=" "/>
    <w:docVar w:name="PlanUser9" w:val="P960329"/>
    <w:docVar w:name="PlanUserName1" w:val="郑娟娟"/>
    <w:docVar w:name="PlanUserName10" w:val="罗育智"/>
    <w:docVar w:name="PlanUserName11" w:val="罗育智"/>
    <w:docVar w:name="PlanUserName12" w:val="罗育智"/>
    <w:docVar w:name="PlanUserName2" w:val="*"/>
    <w:docVar w:name="PlanUserName3" w:val="马哲文"/>
    <w:docVar w:name="PlanUserName4" w:val="覃四海"/>
    <w:docVar w:name="PlanUserName5" w:val="罗育智"/>
    <w:docVar w:name="PlanUserName6" w:val="刘道和"/>
    <w:docVar w:name="PlanUserName7" w:val="*"/>
    <w:docVar w:name="PlanUserName8" w:val=" "/>
    <w:docVar w:name="PlanUserName9" w:val="罗育智"/>
    <w:docVar w:name="PQOM" w:val="PQOM"/>
    <w:docVar w:name="PQOMCODE" w:val="DOC"/>
    <w:docVar w:name="PQOMDEPT" w:val="TDA"/>
    <w:docVar w:name="PQOMDEPTHEADER" w:val="文档资料处 处长"/>
    <w:docVar w:name="PQOMDEPTHEADER_ENG" w:val="TDA BRANCH HEAD"/>
    <w:docVar w:name="PQOMDEPTNAME" w:val="技术部文档资料处"/>
    <w:docVar w:name="PQOMNO" w:val=" "/>
    <w:docVar w:name="PQOMNO_CHI" w:val="CQOM 第  章"/>
    <w:docVar w:name="PQOMNO_ENG" w:val="CQOM SECTION "/>
    <w:docVar w:name="PROCCODE" w:val="C-TS/DOC/106"/>
    <w:docVar w:name="ProcessDate1" w:val="2009-10-15"/>
    <w:docVar w:name="ProcessDate10" w:val=" "/>
    <w:docVar w:name="ProcessDate11" w:val=" "/>
    <w:docVar w:name="ProcessDate12" w:val=" "/>
    <w:docVar w:name="ProcessDate2" w:val="2009-10-15"/>
    <w:docVar w:name="ProcessDate3" w:val="2009-11-13"/>
    <w:docVar w:name="ProcessDate4" w:val="2009-11-13"/>
    <w:docVar w:name="ProcessDate5" w:val="2009-11-17"/>
    <w:docVar w:name="ProcessDate6" w:val="2009-11-17"/>
    <w:docVar w:name="ProcessDate7" w:val="2009-11-17"/>
    <w:docVar w:name="ProcessDate8" w:val="2009-11-18"/>
    <w:docVar w:name="ProcessDate9" w:val=" "/>
    <w:docVar w:name="PROCNAME" w:val="技术程序编码规则"/>
    <w:docVar w:name="PROCNAME_ENG" w:val=" "/>
    <w:docVar w:name="ProcNo" w:val="746071"/>
    <w:docVar w:name="PROCSUBTYPE" w:val="TS"/>
    <w:docVar w:name="PROCSUBTYPENAME" w:val="技术支持程序"/>
    <w:docVar w:name="PROCSUBTYPENAME_ENG" w:val="TECHNOLOGY SUPPORT"/>
    <w:docVar w:name="PROCTYPE" w:val="TS"/>
    <w:docVar w:name="PROCTYPEDESC" w:val="技术支持程序"/>
    <w:docVar w:name="PROCTYPENAME" w:val="技术支持程序"/>
    <w:docVar w:name="PROCTYPENAME_ENG" w:val="TECHNICAL SUPPORT PROCEDURE"/>
    <w:docVar w:name="PTRELATE" w:val=" "/>
    <w:docVar w:name="PUBLISHDATE" w:val="2009-11-18 14:55:32"/>
    <w:docVar w:name="qm1" w:val="郑娟娟"/>
    <w:docVar w:name="qm10" w:val="罗育智"/>
    <w:docVar w:name="qm11" w:val="-"/>
    <w:docVar w:name="qm12" w:val="-"/>
    <w:docVar w:name="qm2" w:val="-"/>
    <w:docVar w:name="qm3" w:val="马哲文"/>
    <w:docVar w:name="qm4" w:val="覃四海"/>
    <w:docVar w:name="qm5" w:val="李晨欢"/>
    <w:docVar w:name="qm6" w:val="刘道和"/>
    <w:docVar w:name="qm7" w:val="-"/>
    <w:docVar w:name="qm8" w:val="贾娇"/>
    <w:docVar w:name="qm9" w:val="李晨欢"/>
    <w:docVar w:name="qmCode1" w:val="P208689"/>
    <w:docVar w:name="qmCode10" w:val="P960329"/>
    <w:docVar w:name="qmCode11" w:val="-"/>
    <w:docVar w:name="qmCode12" w:val="-"/>
    <w:docVar w:name="qmCode2" w:val="-"/>
    <w:docVar w:name="qmCode3" w:val="P900103"/>
    <w:docVar w:name="qmCode4" w:val="P870056"/>
    <w:docVar w:name="qmCode5" w:val="P960217"/>
    <w:docVar w:name="qmCode6" w:val="P890108"/>
    <w:docVar w:name="qmCode7" w:val="-"/>
    <w:docVar w:name="qmCode8" w:val="P208820"/>
    <w:docVar w:name="qmCode9" w:val="P960217"/>
    <w:docVar w:name="QSRLEVEL" w:val="NQR"/>
    <w:docVar w:name="SERIALNO" w:val=" 106"/>
    <w:docVar w:name="sqdm1" w:val=" "/>
    <w:docVar w:name="sqdm10" w:val="TDA L YZ"/>
    <w:docVar w:name="sqdm11" w:val="-"/>
    <w:docVar w:name="sqdm12" w:val="-"/>
    <w:docVar w:name="sqdm2" w:val="-"/>
    <w:docVar w:name="sqdm3" w:val="TDA M ZW"/>
    <w:docVar w:name="sqdm4" w:val="TDA Q SH"/>
    <w:docVar w:name="sqdm5" w:val="TDA LCH;TDA L YZ;"/>
    <w:docVar w:name="sqdm6" w:val="TMG L DH"/>
    <w:docVar w:name="sqdm7" w:val="-"/>
    <w:docVar w:name="sqdm8" w:val=" "/>
    <w:docVar w:name="sqdm9" w:val="TDA LCH"/>
    <w:docVar w:name="STATUS" w:val="流通"/>
    <w:docVar w:name="SUBSTATUS" w:val="流通"/>
    <w:docVar w:name="TASKLIST" w:val=" "/>
    <w:docVar w:name="UPGRADEDATE" w:val="2014-10-15"/>
    <w:docVar w:name="UserDept1" w:val="TDA"/>
    <w:docVar w:name="UserDept10" w:val="TDA"/>
    <w:docVar w:name="UserDept11" w:val="-"/>
    <w:docVar w:name="UserDept12" w:val="-"/>
    <w:docVar w:name="UserDept2" w:val="-"/>
    <w:docVar w:name="UserDept3" w:val="TDA"/>
    <w:docVar w:name="UserDept4" w:val="TDA"/>
    <w:docVar w:name="UserDept5" w:val="TDA;TDA;"/>
    <w:docVar w:name="UserDept6" w:val="TMG"/>
    <w:docVar w:name="UserDept7" w:val="-"/>
    <w:docVar w:name="UserDept8" w:val="TDA"/>
    <w:docVar w:name="UserDept9" w:val="TDA"/>
    <w:docVar w:name="UserDST" w:val=" "/>
    <w:docVar w:name="UserID" w:val="P900103"/>
    <w:docVar w:name="UserName" w:val="马哲文"/>
    <w:docVar w:name="USESTATUS" w:val=" "/>
    <w:docVar w:name="VERSION" w:val="11"/>
  </w:docVars>
  <w:rsids>
    <w:rsidRoot w:val="00281CB0"/>
    <w:rsid w:val="00000153"/>
    <w:rsid w:val="00000367"/>
    <w:rsid w:val="00004E69"/>
    <w:rsid w:val="00023415"/>
    <w:rsid w:val="00025625"/>
    <w:rsid w:val="00035D36"/>
    <w:rsid w:val="00036B8A"/>
    <w:rsid w:val="00037ADA"/>
    <w:rsid w:val="00041143"/>
    <w:rsid w:val="000502CC"/>
    <w:rsid w:val="000505E3"/>
    <w:rsid w:val="00053449"/>
    <w:rsid w:val="000556AF"/>
    <w:rsid w:val="0005795A"/>
    <w:rsid w:val="00062885"/>
    <w:rsid w:val="0007417A"/>
    <w:rsid w:val="00082DFA"/>
    <w:rsid w:val="0008683A"/>
    <w:rsid w:val="00086D47"/>
    <w:rsid w:val="00094EBC"/>
    <w:rsid w:val="00097C82"/>
    <w:rsid w:val="000A3EA0"/>
    <w:rsid w:val="000A7D78"/>
    <w:rsid w:val="000B60B8"/>
    <w:rsid w:val="000C37B6"/>
    <w:rsid w:val="000E354B"/>
    <w:rsid w:val="000F65D5"/>
    <w:rsid w:val="00100A0C"/>
    <w:rsid w:val="00102788"/>
    <w:rsid w:val="00105CFD"/>
    <w:rsid w:val="00106A30"/>
    <w:rsid w:val="00120895"/>
    <w:rsid w:val="00126CE4"/>
    <w:rsid w:val="001301A3"/>
    <w:rsid w:val="00134156"/>
    <w:rsid w:val="00135959"/>
    <w:rsid w:val="00140A99"/>
    <w:rsid w:val="00141472"/>
    <w:rsid w:val="0014703E"/>
    <w:rsid w:val="0015140E"/>
    <w:rsid w:val="0015278B"/>
    <w:rsid w:val="001539E7"/>
    <w:rsid w:val="0015721B"/>
    <w:rsid w:val="00163B46"/>
    <w:rsid w:val="001677D4"/>
    <w:rsid w:val="001748F4"/>
    <w:rsid w:val="0019456E"/>
    <w:rsid w:val="00196230"/>
    <w:rsid w:val="00196C6B"/>
    <w:rsid w:val="001973EF"/>
    <w:rsid w:val="001B15F0"/>
    <w:rsid w:val="001C211E"/>
    <w:rsid w:val="001C79E7"/>
    <w:rsid w:val="001D07F4"/>
    <w:rsid w:val="001D086D"/>
    <w:rsid w:val="001F0676"/>
    <w:rsid w:val="001F22A8"/>
    <w:rsid w:val="001F7846"/>
    <w:rsid w:val="001F7E6F"/>
    <w:rsid w:val="0020274A"/>
    <w:rsid w:val="00203269"/>
    <w:rsid w:val="0021242E"/>
    <w:rsid w:val="00213FAE"/>
    <w:rsid w:val="00216173"/>
    <w:rsid w:val="00220FCD"/>
    <w:rsid w:val="002230FE"/>
    <w:rsid w:val="00233E09"/>
    <w:rsid w:val="0023463B"/>
    <w:rsid w:val="00234F6C"/>
    <w:rsid w:val="00241683"/>
    <w:rsid w:val="0024292A"/>
    <w:rsid w:val="0024718A"/>
    <w:rsid w:val="0025299A"/>
    <w:rsid w:val="00262B35"/>
    <w:rsid w:val="0026541F"/>
    <w:rsid w:val="00266BD0"/>
    <w:rsid w:val="00276468"/>
    <w:rsid w:val="002772F0"/>
    <w:rsid w:val="00281CB0"/>
    <w:rsid w:val="002822AE"/>
    <w:rsid w:val="00284333"/>
    <w:rsid w:val="00291955"/>
    <w:rsid w:val="002A3818"/>
    <w:rsid w:val="002A52F2"/>
    <w:rsid w:val="002B1CBB"/>
    <w:rsid w:val="002B4C32"/>
    <w:rsid w:val="002C3CB3"/>
    <w:rsid w:val="002C664D"/>
    <w:rsid w:val="002C6936"/>
    <w:rsid w:val="002D015B"/>
    <w:rsid w:val="002D087A"/>
    <w:rsid w:val="002D659A"/>
    <w:rsid w:val="002E572B"/>
    <w:rsid w:val="002E6BE0"/>
    <w:rsid w:val="002F2F2C"/>
    <w:rsid w:val="002F45F8"/>
    <w:rsid w:val="00301B6E"/>
    <w:rsid w:val="00312DE0"/>
    <w:rsid w:val="003200A8"/>
    <w:rsid w:val="00320D95"/>
    <w:rsid w:val="00322DFC"/>
    <w:rsid w:val="00323EB1"/>
    <w:rsid w:val="00326B03"/>
    <w:rsid w:val="003306F9"/>
    <w:rsid w:val="003526DA"/>
    <w:rsid w:val="00353E24"/>
    <w:rsid w:val="00355161"/>
    <w:rsid w:val="00361C57"/>
    <w:rsid w:val="003622E9"/>
    <w:rsid w:val="00374474"/>
    <w:rsid w:val="003771B7"/>
    <w:rsid w:val="00386D07"/>
    <w:rsid w:val="003A0415"/>
    <w:rsid w:val="003A49EE"/>
    <w:rsid w:val="003A7FA3"/>
    <w:rsid w:val="003B0F60"/>
    <w:rsid w:val="003B3FBF"/>
    <w:rsid w:val="003B4D52"/>
    <w:rsid w:val="003C2BA3"/>
    <w:rsid w:val="003D2D94"/>
    <w:rsid w:val="003D2ED0"/>
    <w:rsid w:val="003E2677"/>
    <w:rsid w:val="003E59A6"/>
    <w:rsid w:val="003E7FEC"/>
    <w:rsid w:val="003F03F1"/>
    <w:rsid w:val="003F630B"/>
    <w:rsid w:val="00404616"/>
    <w:rsid w:val="00417774"/>
    <w:rsid w:val="00420EF2"/>
    <w:rsid w:val="00422489"/>
    <w:rsid w:val="00422BE4"/>
    <w:rsid w:val="0042783B"/>
    <w:rsid w:val="00432FAC"/>
    <w:rsid w:val="004524C1"/>
    <w:rsid w:val="004534E4"/>
    <w:rsid w:val="0045798E"/>
    <w:rsid w:val="00460E7F"/>
    <w:rsid w:val="0046762E"/>
    <w:rsid w:val="004717E9"/>
    <w:rsid w:val="00472E0D"/>
    <w:rsid w:val="00473A5A"/>
    <w:rsid w:val="00482A6E"/>
    <w:rsid w:val="00484B75"/>
    <w:rsid w:val="00490DF5"/>
    <w:rsid w:val="00491AC4"/>
    <w:rsid w:val="004A68BB"/>
    <w:rsid w:val="004C50A7"/>
    <w:rsid w:val="004D216F"/>
    <w:rsid w:val="004E1C80"/>
    <w:rsid w:val="004E322A"/>
    <w:rsid w:val="004E4A17"/>
    <w:rsid w:val="004E6358"/>
    <w:rsid w:val="004F4FA8"/>
    <w:rsid w:val="004F57AD"/>
    <w:rsid w:val="004F63E4"/>
    <w:rsid w:val="0050081D"/>
    <w:rsid w:val="00520546"/>
    <w:rsid w:val="005256B7"/>
    <w:rsid w:val="00557E80"/>
    <w:rsid w:val="00560759"/>
    <w:rsid w:val="005731CD"/>
    <w:rsid w:val="00577335"/>
    <w:rsid w:val="00585FF9"/>
    <w:rsid w:val="005866C6"/>
    <w:rsid w:val="00590B2A"/>
    <w:rsid w:val="005961BA"/>
    <w:rsid w:val="005A14D8"/>
    <w:rsid w:val="005A4B07"/>
    <w:rsid w:val="005B3E6C"/>
    <w:rsid w:val="005D47C3"/>
    <w:rsid w:val="005D7825"/>
    <w:rsid w:val="005E0165"/>
    <w:rsid w:val="005E2E36"/>
    <w:rsid w:val="005F022F"/>
    <w:rsid w:val="005F2B2A"/>
    <w:rsid w:val="005F788B"/>
    <w:rsid w:val="005F7980"/>
    <w:rsid w:val="005F7D72"/>
    <w:rsid w:val="006005B4"/>
    <w:rsid w:val="00602C55"/>
    <w:rsid w:val="00605304"/>
    <w:rsid w:val="00607253"/>
    <w:rsid w:val="00611B54"/>
    <w:rsid w:val="00613A05"/>
    <w:rsid w:val="006148F7"/>
    <w:rsid w:val="00617A18"/>
    <w:rsid w:val="006263F5"/>
    <w:rsid w:val="006269F6"/>
    <w:rsid w:val="0064196B"/>
    <w:rsid w:val="00641FB7"/>
    <w:rsid w:val="0064252F"/>
    <w:rsid w:val="00642E0F"/>
    <w:rsid w:val="006439F6"/>
    <w:rsid w:val="006450D5"/>
    <w:rsid w:val="00645C78"/>
    <w:rsid w:val="00645D16"/>
    <w:rsid w:val="00646EFD"/>
    <w:rsid w:val="0065654E"/>
    <w:rsid w:val="00670779"/>
    <w:rsid w:val="00672D63"/>
    <w:rsid w:val="00675DA0"/>
    <w:rsid w:val="00676365"/>
    <w:rsid w:val="006766AF"/>
    <w:rsid w:val="00685343"/>
    <w:rsid w:val="006860D5"/>
    <w:rsid w:val="00686357"/>
    <w:rsid w:val="006875B1"/>
    <w:rsid w:val="00692729"/>
    <w:rsid w:val="006939AA"/>
    <w:rsid w:val="006A37D2"/>
    <w:rsid w:val="006B1208"/>
    <w:rsid w:val="006B3512"/>
    <w:rsid w:val="006B5F77"/>
    <w:rsid w:val="006C09DB"/>
    <w:rsid w:val="006C633D"/>
    <w:rsid w:val="006D02BA"/>
    <w:rsid w:val="006D4B05"/>
    <w:rsid w:val="006D7C04"/>
    <w:rsid w:val="006E2859"/>
    <w:rsid w:val="006E2A61"/>
    <w:rsid w:val="006E2DE6"/>
    <w:rsid w:val="006E5F17"/>
    <w:rsid w:val="006E7565"/>
    <w:rsid w:val="006F1BA0"/>
    <w:rsid w:val="00701ECF"/>
    <w:rsid w:val="00704E5E"/>
    <w:rsid w:val="007103F3"/>
    <w:rsid w:val="00711CB9"/>
    <w:rsid w:val="00711DFF"/>
    <w:rsid w:val="00714F26"/>
    <w:rsid w:val="007237E3"/>
    <w:rsid w:val="00730F5E"/>
    <w:rsid w:val="00751399"/>
    <w:rsid w:val="00754E3D"/>
    <w:rsid w:val="00760EBE"/>
    <w:rsid w:val="00762199"/>
    <w:rsid w:val="00762445"/>
    <w:rsid w:val="00762B6F"/>
    <w:rsid w:val="007740C2"/>
    <w:rsid w:val="007817AA"/>
    <w:rsid w:val="00792737"/>
    <w:rsid w:val="007A045C"/>
    <w:rsid w:val="007A2209"/>
    <w:rsid w:val="007A41CE"/>
    <w:rsid w:val="007A7269"/>
    <w:rsid w:val="007B0302"/>
    <w:rsid w:val="007B0AD8"/>
    <w:rsid w:val="007B258F"/>
    <w:rsid w:val="007B34CC"/>
    <w:rsid w:val="007B4C86"/>
    <w:rsid w:val="007B7F0B"/>
    <w:rsid w:val="007C0C32"/>
    <w:rsid w:val="007C1352"/>
    <w:rsid w:val="007C3E53"/>
    <w:rsid w:val="007D0B11"/>
    <w:rsid w:val="007D1521"/>
    <w:rsid w:val="007D2414"/>
    <w:rsid w:val="007D39D6"/>
    <w:rsid w:val="007E02E2"/>
    <w:rsid w:val="007E3294"/>
    <w:rsid w:val="007E46D0"/>
    <w:rsid w:val="007F2214"/>
    <w:rsid w:val="007F3899"/>
    <w:rsid w:val="007F59CF"/>
    <w:rsid w:val="00801239"/>
    <w:rsid w:val="00805399"/>
    <w:rsid w:val="00814790"/>
    <w:rsid w:val="00821C19"/>
    <w:rsid w:val="00831BFE"/>
    <w:rsid w:val="00846AA8"/>
    <w:rsid w:val="00847D57"/>
    <w:rsid w:val="00857CA8"/>
    <w:rsid w:val="00865230"/>
    <w:rsid w:val="008667D2"/>
    <w:rsid w:val="00867F36"/>
    <w:rsid w:val="00870C7F"/>
    <w:rsid w:val="0088625A"/>
    <w:rsid w:val="00886B3C"/>
    <w:rsid w:val="00891D81"/>
    <w:rsid w:val="008960E9"/>
    <w:rsid w:val="008962E6"/>
    <w:rsid w:val="008A0FC1"/>
    <w:rsid w:val="008A30B8"/>
    <w:rsid w:val="008C6B26"/>
    <w:rsid w:val="008D0576"/>
    <w:rsid w:val="008D091C"/>
    <w:rsid w:val="008D0EFF"/>
    <w:rsid w:val="008D12B7"/>
    <w:rsid w:val="008D17FA"/>
    <w:rsid w:val="008D55A8"/>
    <w:rsid w:val="008E2909"/>
    <w:rsid w:val="008E59C8"/>
    <w:rsid w:val="008F75E8"/>
    <w:rsid w:val="00907863"/>
    <w:rsid w:val="00913674"/>
    <w:rsid w:val="009213B5"/>
    <w:rsid w:val="00927071"/>
    <w:rsid w:val="009373CE"/>
    <w:rsid w:val="00937724"/>
    <w:rsid w:val="009612E2"/>
    <w:rsid w:val="00962793"/>
    <w:rsid w:val="0096326D"/>
    <w:rsid w:val="009817B9"/>
    <w:rsid w:val="00982E0C"/>
    <w:rsid w:val="009857DA"/>
    <w:rsid w:val="009923EF"/>
    <w:rsid w:val="009A03BF"/>
    <w:rsid w:val="009A2A82"/>
    <w:rsid w:val="009A56DA"/>
    <w:rsid w:val="009B146D"/>
    <w:rsid w:val="009B5958"/>
    <w:rsid w:val="009C1B18"/>
    <w:rsid w:val="009C48C1"/>
    <w:rsid w:val="009C76A5"/>
    <w:rsid w:val="009D2AA3"/>
    <w:rsid w:val="009D598D"/>
    <w:rsid w:val="009D7E98"/>
    <w:rsid w:val="00A0273D"/>
    <w:rsid w:val="00A02A38"/>
    <w:rsid w:val="00A0379A"/>
    <w:rsid w:val="00A07A39"/>
    <w:rsid w:val="00A14BF0"/>
    <w:rsid w:val="00A20853"/>
    <w:rsid w:val="00A21F80"/>
    <w:rsid w:val="00A240EF"/>
    <w:rsid w:val="00A304CF"/>
    <w:rsid w:val="00A35F7B"/>
    <w:rsid w:val="00A36F4A"/>
    <w:rsid w:val="00A414DE"/>
    <w:rsid w:val="00A414EB"/>
    <w:rsid w:val="00A45883"/>
    <w:rsid w:val="00A4672F"/>
    <w:rsid w:val="00A46900"/>
    <w:rsid w:val="00A46DA9"/>
    <w:rsid w:val="00A508FD"/>
    <w:rsid w:val="00A556D4"/>
    <w:rsid w:val="00A81BAD"/>
    <w:rsid w:val="00A82C73"/>
    <w:rsid w:val="00A8658B"/>
    <w:rsid w:val="00A91A18"/>
    <w:rsid w:val="00AA28B4"/>
    <w:rsid w:val="00AA5E38"/>
    <w:rsid w:val="00AB1AAE"/>
    <w:rsid w:val="00AB59E5"/>
    <w:rsid w:val="00AB7D31"/>
    <w:rsid w:val="00AC755C"/>
    <w:rsid w:val="00AD2B2B"/>
    <w:rsid w:val="00AE7407"/>
    <w:rsid w:val="00AF7C4F"/>
    <w:rsid w:val="00B0374E"/>
    <w:rsid w:val="00B05EEA"/>
    <w:rsid w:val="00B110D0"/>
    <w:rsid w:val="00B300C0"/>
    <w:rsid w:val="00B336EA"/>
    <w:rsid w:val="00B37410"/>
    <w:rsid w:val="00B37544"/>
    <w:rsid w:val="00B428BC"/>
    <w:rsid w:val="00B42CA3"/>
    <w:rsid w:val="00B43CAB"/>
    <w:rsid w:val="00B50C20"/>
    <w:rsid w:val="00B56043"/>
    <w:rsid w:val="00B70F75"/>
    <w:rsid w:val="00B7349D"/>
    <w:rsid w:val="00B73883"/>
    <w:rsid w:val="00B7585C"/>
    <w:rsid w:val="00B77AE7"/>
    <w:rsid w:val="00B8032F"/>
    <w:rsid w:val="00B82284"/>
    <w:rsid w:val="00B949B9"/>
    <w:rsid w:val="00BA366A"/>
    <w:rsid w:val="00BB40AB"/>
    <w:rsid w:val="00BB4295"/>
    <w:rsid w:val="00BC1859"/>
    <w:rsid w:val="00BC5855"/>
    <w:rsid w:val="00BC7510"/>
    <w:rsid w:val="00BD02FA"/>
    <w:rsid w:val="00BD21C6"/>
    <w:rsid w:val="00BD5D81"/>
    <w:rsid w:val="00BE6B36"/>
    <w:rsid w:val="00BF4615"/>
    <w:rsid w:val="00BF5389"/>
    <w:rsid w:val="00BF75FD"/>
    <w:rsid w:val="00C00E17"/>
    <w:rsid w:val="00C0586B"/>
    <w:rsid w:val="00C05964"/>
    <w:rsid w:val="00C062E5"/>
    <w:rsid w:val="00C141C7"/>
    <w:rsid w:val="00C21EF8"/>
    <w:rsid w:val="00C24496"/>
    <w:rsid w:val="00C26A93"/>
    <w:rsid w:val="00C30044"/>
    <w:rsid w:val="00C308D0"/>
    <w:rsid w:val="00C3325E"/>
    <w:rsid w:val="00C37EE2"/>
    <w:rsid w:val="00C42C61"/>
    <w:rsid w:val="00C4404D"/>
    <w:rsid w:val="00C60E1E"/>
    <w:rsid w:val="00C6586B"/>
    <w:rsid w:val="00C663E7"/>
    <w:rsid w:val="00C80A49"/>
    <w:rsid w:val="00C9287F"/>
    <w:rsid w:val="00CA3918"/>
    <w:rsid w:val="00CC00B4"/>
    <w:rsid w:val="00CE0414"/>
    <w:rsid w:val="00CE3FCF"/>
    <w:rsid w:val="00CF28E1"/>
    <w:rsid w:val="00CF2CE7"/>
    <w:rsid w:val="00CF3B7B"/>
    <w:rsid w:val="00D02AAE"/>
    <w:rsid w:val="00D21386"/>
    <w:rsid w:val="00D248AE"/>
    <w:rsid w:val="00D3141F"/>
    <w:rsid w:val="00D400A1"/>
    <w:rsid w:val="00D50313"/>
    <w:rsid w:val="00D517B2"/>
    <w:rsid w:val="00D57439"/>
    <w:rsid w:val="00D602D8"/>
    <w:rsid w:val="00D81314"/>
    <w:rsid w:val="00D81B48"/>
    <w:rsid w:val="00D81CF5"/>
    <w:rsid w:val="00D8278C"/>
    <w:rsid w:val="00D82B28"/>
    <w:rsid w:val="00D906C7"/>
    <w:rsid w:val="00D91426"/>
    <w:rsid w:val="00D91C52"/>
    <w:rsid w:val="00D9346E"/>
    <w:rsid w:val="00D965F4"/>
    <w:rsid w:val="00DA2F57"/>
    <w:rsid w:val="00DB7958"/>
    <w:rsid w:val="00DC2926"/>
    <w:rsid w:val="00DC5457"/>
    <w:rsid w:val="00DE2604"/>
    <w:rsid w:val="00DE39D7"/>
    <w:rsid w:val="00DF0F65"/>
    <w:rsid w:val="00DF41E6"/>
    <w:rsid w:val="00E00A83"/>
    <w:rsid w:val="00E0719F"/>
    <w:rsid w:val="00E07F25"/>
    <w:rsid w:val="00E25C14"/>
    <w:rsid w:val="00E35E75"/>
    <w:rsid w:val="00E42C59"/>
    <w:rsid w:val="00E42E19"/>
    <w:rsid w:val="00E439AA"/>
    <w:rsid w:val="00E53582"/>
    <w:rsid w:val="00E601CC"/>
    <w:rsid w:val="00E619CB"/>
    <w:rsid w:val="00E61AC9"/>
    <w:rsid w:val="00E62B5E"/>
    <w:rsid w:val="00E6451A"/>
    <w:rsid w:val="00E83AAD"/>
    <w:rsid w:val="00E852C8"/>
    <w:rsid w:val="00EA087D"/>
    <w:rsid w:val="00EA0F06"/>
    <w:rsid w:val="00EA1C66"/>
    <w:rsid w:val="00EA29E4"/>
    <w:rsid w:val="00EA491A"/>
    <w:rsid w:val="00EA4CEC"/>
    <w:rsid w:val="00EA4D80"/>
    <w:rsid w:val="00EB0C79"/>
    <w:rsid w:val="00EB61CA"/>
    <w:rsid w:val="00EB6A17"/>
    <w:rsid w:val="00EC06A2"/>
    <w:rsid w:val="00EC11A8"/>
    <w:rsid w:val="00EC4133"/>
    <w:rsid w:val="00EC5E21"/>
    <w:rsid w:val="00ED0876"/>
    <w:rsid w:val="00ED1584"/>
    <w:rsid w:val="00ED74FE"/>
    <w:rsid w:val="00EF55B3"/>
    <w:rsid w:val="00F0061B"/>
    <w:rsid w:val="00F011C4"/>
    <w:rsid w:val="00F0364A"/>
    <w:rsid w:val="00F14DD7"/>
    <w:rsid w:val="00F25C6F"/>
    <w:rsid w:val="00F30BE0"/>
    <w:rsid w:val="00F35A88"/>
    <w:rsid w:val="00F4437F"/>
    <w:rsid w:val="00F51D1B"/>
    <w:rsid w:val="00F531AB"/>
    <w:rsid w:val="00F54969"/>
    <w:rsid w:val="00F555C9"/>
    <w:rsid w:val="00F61AF6"/>
    <w:rsid w:val="00F663F9"/>
    <w:rsid w:val="00F71332"/>
    <w:rsid w:val="00F7263A"/>
    <w:rsid w:val="00F7389E"/>
    <w:rsid w:val="00F77944"/>
    <w:rsid w:val="00F93166"/>
    <w:rsid w:val="00FA6BF1"/>
    <w:rsid w:val="00FB3ECB"/>
    <w:rsid w:val="00FB693D"/>
    <w:rsid w:val="00FC3A5C"/>
    <w:rsid w:val="00FC5434"/>
    <w:rsid w:val="00FD01BD"/>
    <w:rsid w:val="00FD2F48"/>
    <w:rsid w:val="00FD350A"/>
    <w:rsid w:val="00FD48F7"/>
    <w:rsid w:val="00FD7B3A"/>
    <w:rsid w:val="00FF5675"/>
    <w:rsid w:val="00FF6B2E"/>
    <w:rsid w:val="015C443A"/>
    <w:rsid w:val="01A224FD"/>
    <w:rsid w:val="02155CA7"/>
    <w:rsid w:val="030F4FB0"/>
    <w:rsid w:val="040048D8"/>
    <w:rsid w:val="04A362D9"/>
    <w:rsid w:val="056C47A6"/>
    <w:rsid w:val="05832607"/>
    <w:rsid w:val="05F613ED"/>
    <w:rsid w:val="063E4F16"/>
    <w:rsid w:val="075D7B0A"/>
    <w:rsid w:val="07910181"/>
    <w:rsid w:val="09B21209"/>
    <w:rsid w:val="09D53C12"/>
    <w:rsid w:val="0ACE7B40"/>
    <w:rsid w:val="0AD81CBE"/>
    <w:rsid w:val="0B6E496F"/>
    <w:rsid w:val="0BBA4BE8"/>
    <w:rsid w:val="0BD469FA"/>
    <w:rsid w:val="0BEC34CA"/>
    <w:rsid w:val="0CFF1DB8"/>
    <w:rsid w:val="0DC63782"/>
    <w:rsid w:val="0E670ACF"/>
    <w:rsid w:val="0EC264DD"/>
    <w:rsid w:val="0ECF49D8"/>
    <w:rsid w:val="0EFD1838"/>
    <w:rsid w:val="0EFE75F8"/>
    <w:rsid w:val="10F62B69"/>
    <w:rsid w:val="123128B0"/>
    <w:rsid w:val="133E57F1"/>
    <w:rsid w:val="13CE4027"/>
    <w:rsid w:val="14884974"/>
    <w:rsid w:val="14BC10CA"/>
    <w:rsid w:val="14F80801"/>
    <w:rsid w:val="15DC1393"/>
    <w:rsid w:val="15DF0B7C"/>
    <w:rsid w:val="16192D8B"/>
    <w:rsid w:val="16E65C5B"/>
    <w:rsid w:val="173C0F36"/>
    <w:rsid w:val="17AD4190"/>
    <w:rsid w:val="17E56F60"/>
    <w:rsid w:val="180F4E87"/>
    <w:rsid w:val="189035F6"/>
    <w:rsid w:val="190605F3"/>
    <w:rsid w:val="19553AA4"/>
    <w:rsid w:val="19BD517D"/>
    <w:rsid w:val="1A211091"/>
    <w:rsid w:val="1ABF7F3C"/>
    <w:rsid w:val="1B8A7810"/>
    <w:rsid w:val="1B965218"/>
    <w:rsid w:val="1C17163D"/>
    <w:rsid w:val="1CFA5695"/>
    <w:rsid w:val="1DDE7870"/>
    <w:rsid w:val="1E38015B"/>
    <w:rsid w:val="20A631A5"/>
    <w:rsid w:val="20F07E20"/>
    <w:rsid w:val="21130928"/>
    <w:rsid w:val="22D37AFA"/>
    <w:rsid w:val="23573CDB"/>
    <w:rsid w:val="23D035BE"/>
    <w:rsid w:val="24211531"/>
    <w:rsid w:val="24500CA0"/>
    <w:rsid w:val="24597012"/>
    <w:rsid w:val="25AF1791"/>
    <w:rsid w:val="25FD1223"/>
    <w:rsid w:val="26707D8B"/>
    <w:rsid w:val="27065086"/>
    <w:rsid w:val="275259DD"/>
    <w:rsid w:val="27A5272E"/>
    <w:rsid w:val="287F45EB"/>
    <w:rsid w:val="2897027A"/>
    <w:rsid w:val="292F5A15"/>
    <w:rsid w:val="299507E6"/>
    <w:rsid w:val="29B60510"/>
    <w:rsid w:val="2AB4208D"/>
    <w:rsid w:val="2B0450F2"/>
    <w:rsid w:val="2C100E2E"/>
    <w:rsid w:val="2DC509C7"/>
    <w:rsid w:val="2E072AD4"/>
    <w:rsid w:val="2E365AD1"/>
    <w:rsid w:val="2E411CF0"/>
    <w:rsid w:val="2F080DA1"/>
    <w:rsid w:val="302802B9"/>
    <w:rsid w:val="308F1BFF"/>
    <w:rsid w:val="314C2ACC"/>
    <w:rsid w:val="31727954"/>
    <w:rsid w:val="31A74DEF"/>
    <w:rsid w:val="31D11130"/>
    <w:rsid w:val="32130790"/>
    <w:rsid w:val="33933119"/>
    <w:rsid w:val="353E74A1"/>
    <w:rsid w:val="37E92FD1"/>
    <w:rsid w:val="38650BFF"/>
    <w:rsid w:val="393C2140"/>
    <w:rsid w:val="3A3E2322"/>
    <w:rsid w:val="3B714E2B"/>
    <w:rsid w:val="3BBD4880"/>
    <w:rsid w:val="3BC0747D"/>
    <w:rsid w:val="3C3443E7"/>
    <w:rsid w:val="3CFA764F"/>
    <w:rsid w:val="3D3133D1"/>
    <w:rsid w:val="3D4C6680"/>
    <w:rsid w:val="3E105FA6"/>
    <w:rsid w:val="3E140EED"/>
    <w:rsid w:val="3E5C4205"/>
    <w:rsid w:val="3F172C20"/>
    <w:rsid w:val="410623F1"/>
    <w:rsid w:val="416247E9"/>
    <w:rsid w:val="41AD138F"/>
    <w:rsid w:val="42760486"/>
    <w:rsid w:val="450B06BF"/>
    <w:rsid w:val="459A7F20"/>
    <w:rsid w:val="45BE194B"/>
    <w:rsid w:val="45D10865"/>
    <w:rsid w:val="45FA1B36"/>
    <w:rsid w:val="465D66D7"/>
    <w:rsid w:val="47344356"/>
    <w:rsid w:val="484566C8"/>
    <w:rsid w:val="48705FFF"/>
    <w:rsid w:val="492B2E6B"/>
    <w:rsid w:val="49CB1BAA"/>
    <w:rsid w:val="4A3474F0"/>
    <w:rsid w:val="4B2C6678"/>
    <w:rsid w:val="4B7613CC"/>
    <w:rsid w:val="4BC570E3"/>
    <w:rsid w:val="4C186963"/>
    <w:rsid w:val="4D903867"/>
    <w:rsid w:val="4EE56C5F"/>
    <w:rsid w:val="4F661BF8"/>
    <w:rsid w:val="4F6B63CF"/>
    <w:rsid w:val="4FDE2A6B"/>
    <w:rsid w:val="500A657E"/>
    <w:rsid w:val="52D01B06"/>
    <w:rsid w:val="52E4512A"/>
    <w:rsid w:val="53A140A5"/>
    <w:rsid w:val="54073231"/>
    <w:rsid w:val="561B03F4"/>
    <w:rsid w:val="56D71787"/>
    <w:rsid w:val="575907F5"/>
    <w:rsid w:val="58360A8F"/>
    <w:rsid w:val="58AE22FD"/>
    <w:rsid w:val="58DB3C9C"/>
    <w:rsid w:val="58F45ED6"/>
    <w:rsid w:val="59244AC5"/>
    <w:rsid w:val="59582742"/>
    <w:rsid w:val="59FC4B1D"/>
    <w:rsid w:val="5AAA749F"/>
    <w:rsid w:val="5AC73CC7"/>
    <w:rsid w:val="5ACF0939"/>
    <w:rsid w:val="5C243C3C"/>
    <w:rsid w:val="5D6922CC"/>
    <w:rsid w:val="5DB85C7D"/>
    <w:rsid w:val="5DBC577D"/>
    <w:rsid w:val="5DEF0944"/>
    <w:rsid w:val="5E573D6F"/>
    <w:rsid w:val="5EFA24C6"/>
    <w:rsid w:val="5F0C4C09"/>
    <w:rsid w:val="5F5A2F9F"/>
    <w:rsid w:val="5F883797"/>
    <w:rsid w:val="60C1184B"/>
    <w:rsid w:val="60ED4252"/>
    <w:rsid w:val="61446D24"/>
    <w:rsid w:val="628864D0"/>
    <w:rsid w:val="6292521C"/>
    <w:rsid w:val="62D9580D"/>
    <w:rsid w:val="633813B2"/>
    <w:rsid w:val="63C47D86"/>
    <w:rsid w:val="64240BEC"/>
    <w:rsid w:val="64695C73"/>
    <w:rsid w:val="64AB7706"/>
    <w:rsid w:val="64B9179E"/>
    <w:rsid w:val="652B4DF6"/>
    <w:rsid w:val="65341020"/>
    <w:rsid w:val="664726D9"/>
    <w:rsid w:val="666E49FB"/>
    <w:rsid w:val="66EF685F"/>
    <w:rsid w:val="670B722A"/>
    <w:rsid w:val="67656425"/>
    <w:rsid w:val="67E31CD4"/>
    <w:rsid w:val="68B11B8B"/>
    <w:rsid w:val="68B21F22"/>
    <w:rsid w:val="699113F1"/>
    <w:rsid w:val="6B8F438D"/>
    <w:rsid w:val="6B98332B"/>
    <w:rsid w:val="6BF23936"/>
    <w:rsid w:val="6E0C3F58"/>
    <w:rsid w:val="6E785D35"/>
    <w:rsid w:val="6EB37AD8"/>
    <w:rsid w:val="6EDC27B1"/>
    <w:rsid w:val="702E33F6"/>
    <w:rsid w:val="70980A46"/>
    <w:rsid w:val="70BA3A60"/>
    <w:rsid w:val="70BC4C80"/>
    <w:rsid w:val="717C3A44"/>
    <w:rsid w:val="725A27FE"/>
    <w:rsid w:val="725E0B0F"/>
    <w:rsid w:val="74732FD6"/>
    <w:rsid w:val="7567387B"/>
    <w:rsid w:val="77217756"/>
    <w:rsid w:val="775123B8"/>
    <w:rsid w:val="78055E3E"/>
    <w:rsid w:val="78911AF4"/>
    <w:rsid w:val="79046AA7"/>
    <w:rsid w:val="791C223D"/>
    <w:rsid w:val="79426EAE"/>
    <w:rsid w:val="7A583CCC"/>
    <w:rsid w:val="7A6F37BA"/>
    <w:rsid w:val="7B22438E"/>
    <w:rsid w:val="7BA74DC2"/>
    <w:rsid w:val="7EDB392B"/>
    <w:rsid w:val="7FD35B54"/>
    <w:rsid w:val="7FDD1A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unhideWhenUsed="0" w:uiPriority="0" w:semiHidden="0" w:name="Normal Indent"/>
    <w:lsdException w:unhideWhenUsed="0" w:uiPriority="0" w:semiHidden="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w:hAnsi="Arial" w:eastAsia="宋体" w:cs="Times New Roman"/>
      <w:kern w:val="2"/>
      <w:sz w:val="24"/>
      <w:lang w:val="en-US" w:eastAsia="zh-CN" w:bidi="ar-SA"/>
    </w:rPr>
  </w:style>
  <w:style w:type="paragraph" w:styleId="3">
    <w:name w:val="heading 1"/>
    <w:basedOn w:val="1"/>
    <w:next w:val="1"/>
    <w:qFormat/>
    <w:uiPriority w:val="0"/>
    <w:pPr>
      <w:keepNext/>
      <w:numPr>
        <w:ilvl w:val="0"/>
        <w:numId w:val="1"/>
      </w:numPr>
      <w:spacing w:before="60" w:after="60" w:line="400" w:lineRule="exact"/>
      <w:ind w:right="113"/>
      <w:jc w:val="left"/>
      <w:outlineLvl w:val="0"/>
    </w:pPr>
    <w:rPr>
      <w:b/>
    </w:rPr>
  </w:style>
  <w:style w:type="paragraph" w:styleId="4">
    <w:name w:val="heading 2"/>
    <w:basedOn w:val="1"/>
    <w:next w:val="1"/>
    <w:qFormat/>
    <w:uiPriority w:val="0"/>
    <w:pPr>
      <w:keepNext/>
      <w:numPr>
        <w:ilvl w:val="1"/>
        <w:numId w:val="1"/>
      </w:numPr>
      <w:spacing w:before="60" w:after="60" w:line="400" w:lineRule="exact"/>
      <w:jc w:val="left"/>
      <w:outlineLvl w:val="1"/>
    </w:pPr>
    <w:rPr>
      <w:b/>
    </w:rPr>
  </w:style>
  <w:style w:type="paragraph" w:styleId="5">
    <w:name w:val="heading 3"/>
    <w:basedOn w:val="1"/>
    <w:next w:val="1"/>
    <w:qFormat/>
    <w:uiPriority w:val="0"/>
    <w:pPr>
      <w:keepNext/>
      <w:numPr>
        <w:ilvl w:val="2"/>
        <w:numId w:val="1"/>
      </w:numPr>
      <w:adjustRightInd w:val="0"/>
      <w:snapToGrid w:val="0"/>
      <w:spacing w:before="60" w:after="60" w:line="400" w:lineRule="atLeast"/>
      <w:jc w:val="left"/>
      <w:outlineLvl w:val="2"/>
    </w:pPr>
    <w:rPr>
      <w:b/>
    </w:rPr>
  </w:style>
  <w:style w:type="paragraph" w:styleId="6">
    <w:name w:val="heading 4"/>
    <w:basedOn w:val="1"/>
    <w:next w:val="1"/>
    <w:qFormat/>
    <w:uiPriority w:val="0"/>
    <w:pPr>
      <w:keepNext/>
      <w:numPr>
        <w:ilvl w:val="3"/>
        <w:numId w:val="1"/>
      </w:numPr>
      <w:shd w:val="clear" w:color="FFFFFF" w:fill="auto"/>
      <w:spacing w:before="60" w:after="60" w:line="400" w:lineRule="exact"/>
      <w:ind w:left="1072" w:hanging="862"/>
      <w:jc w:val="left"/>
      <w:outlineLvl w:val="3"/>
    </w:pPr>
    <w:rPr>
      <w:rFonts w:cs="Arial"/>
      <w:b/>
      <w:shd w:val="clear" w:color="auto" w:fill="FFFFFF"/>
    </w:rPr>
  </w:style>
  <w:style w:type="paragraph" w:styleId="7">
    <w:name w:val="heading 5"/>
    <w:basedOn w:val="1"/>
    <w:next w:val="1"/>
    <w:qFormat/>
    <w:uiPriority w:val="0"/>
    <w:pPr>
      <w:keepNext/>
      <w:numPr>
        <w:ilvl w:val="4"/>
        <w:numId w:val="1"/>
      </w:numPr>
      <w:adjustRightInd w:val="0"/>
      <w:snapToGrid w:val="0"/>
      <w:spacing w:before="60" w:after="60" w:line="400" w:lineRule="atLeast"/>
      <w:ind w:left="1219" w:hanging="1009"/>
      <w:outlineLvl w:val="4"/>
    </w:pPr>
    <w:rPr>
      <w:b/>
      <w:shd w:val="pct10" w:color="FFFFFF" w:fill="FFFFFF"/>
    </w:rPr>
  </w:style>
  <w:style w:type="paragraph" w:styleId="8">
    <w:name w:val="heading 6"/>
    <w:basedOn w:val="1"/>
    <w:next w:val="1"/>
    <w:qFormat/>
    <w:uiPriority w:val="0"/>
    <w:pPr>
      <w:widowControl/>
      <w:numPr>
        <w:ilvl w:val="5"/>
        <w:numId w:val="1"/>
      </w:numPr>
      <w:overflowPunct w:val="0"/>
      <w:autoSpaceDE w:val="0"/>
      <w:autoSpaceDN w:val="0"/>
      <w:spacing w:before="60" w:after="60" w:line="400" w:lineRule="atLeast"/>
      <w:ind w:left="1361" w:hanging="1151"/>
      <w:jc w:val="left"/>
      <w:textAlignment w:val="baseline"/>
      <w:outlineLvl w:val="5"/>
    </w:pPr>
    <w:rPr>
      <w:b/>
      <w:kern w:val="0"/>
      <w:lang w:val="en-GB"/>
    </w:rPr>
  </w:style>
  <w:style w:type="paragraph" w:styleId="9">
    <w:name w:val="heading 7"/>
    <w:basedOn w:val="1"/>
    <w:next w:val="1"/>
    <w:qFormat/>
    <w:uiPriority w:val="0"/>
    <w:pPr>
      <w:widowControl/>
      <w:numPr>
        <w:ilvl w:val="6"/>
        <w:numId w:val="1"/>
      </w:numPr>
      <w:overflowPunct w:val="0"/>
      <w:autoSpaceDE w:val="0"/>
      <w:autoSpaceDN w:val="0"/>
      <w:adjustRightInd w:val="0"/>
      <w:spacing w:before="240" w:after="60"/>
      <w:jc w:val="left"/>
      <w:textAlignment w:val="baseline"/>
      <w:outlineLvl w:val="6"/>
    </w:pPr>
    <w:rPr>
      <w:rFonts w:ascii="Arial" w:hAnsi="Arial" w:eastAsia="宋体"/>
      <w:kern w:val="0"/>
      <w:lang w:val="en-GB"/>
    </w:rPr>
  </w:style>
  <w:style w:type="paragraph" w:styleId="10">
    <w:name w:val="heading 8"/>
    <w:basedOn w:val="1"/>
    <w:next w:val="1"/>
    <w:qFormat/>
    <w:uiPriority w:val="0"/>
    <w:pPr>
      <w:widowControl/>
      <w:numPr>
        <w:ilvl w:val="7"/>
        <w:numId w:val="1"/>
      </w:numPr>
      <w:overflowPunct w:val="0"/>
      <w:autoSpaceDE w:val="0"/>
      <w:autoSpaceDN w:val="0"/>
      <w:adjustRightInd w:val="0"/>
      <w:spacing w:before="240" w:after="60"/>
      <w:jc w:val="left"/>
      <w:textAlignment w:val="baseline"/>
      <w:outlineLvl w:val="7"/>
    </w:pPr>
    <w:rPr>
      <w:rFonts w:ascii="Arial" w:hAnsi="Arial" w:eastAsia="宋体"/>
      <w:i/>
      <w:kern w:val="0"/>
      <w:lang w:val="en-GB"/>
    </w:rPr>
  </w:style>
  <w:style w:type="paragraph" w:styleId="11">
    <w:name w:val="heading 9"/>
    <w:basedOn w:val="1"/>
    <w:next w:val="1"/>
    <w:qFormat/>
    <w:uiPriority w:val="0"/>
    <w:pPr>
      <w:widowControl/>
      <w:numPr>
        <w:ilvl w:val="8"/>
        <w:numId w:val="1"/>
      </w:numPr>
      <w:overflowPunct w:val="0"/>
      <w:autoSpaceDE w:val="0"/>
      <w:autoSpaceDN w:val="0"/>
      <w:adjustRightInd w:val="0"/>
      <w:spacing w:before="240" w:after="60"/>
      <w:jc w:val="left"/>
      <w:textAlignment w:val="baseline"/>
      <w:outlineLvl w:val="8"/>
    </w:pPr>
    <w:rPr>
      <w:rFonts w:ascii="Arial" w:hAnsi="Arial" w:eastAsia="宋体"/>
      <w:i/>
      <w:kern w:val="0"/>
      <w:sz w:val="18"/>
      <w:lang w:val="en-GB"/>
    </w:rPr>
  </w:style>
  <w:style w:type="character" w:default="1" w:styleId="33">
    <w:name w:val="Default Paragraph Font"/>
    <w:semiHidden/>
    <w:qFormat/>
    <w:uiPriority w:val="0"/>
  </w:style>
  <w:style w:type="table" w:default="1" w:styleId="31">
    <w:name w:val="Normal Table"/>
    <w:semiHidden/>
    <w:uiPriority w:val="0"/>
    <w:tblPr>
      <w:tblCellMar>
        <w:top w:w="0" w:type="dxa"/>
        <w:left w:w="108" w:type="dxa"/>
        <w:bottom w:w="0" w:type="dxa"/>
        <w:right w:w="108" w:type="dxa"/>
      </w:tblCellMar>
    </w:tblPr>
  </w:style>
  <w:style w:type="paragraph" w:styleId="2">
    <w:name w:val="index 8"/>
    <w:basedOn w:val="1"/>
    <w:next w:val="1"/>
    <w:qFormat/>
    <w:uiPriority w:val="0"/>
    <w:pPr>
      <w:ind w:left="2940"/>
      <w:jc w:val="center"/>
    </w:pPr>
    <w:rPr>
      <w:sz w:val="24"/>
    </w:rPr>
  </w:style>
  <w:style w:type="paragraph" w:styleId="12">
    <w:name w:val="toc 7"/>
    <w:basedOn w:val="1"/>
    <w:next w:val="1"/>
    <w:semiHidden/>
    <w:qFormat/>
    <w:uiPriority w:val="0"/>
    <w:pPr>
      <w:ind w:left="2520" w:leftChars="1200"/>
    </w:pPr>
  </w:style>
  <w:style w:type="paragraph" w:styleId="13">
    <w:name w:val="caption"/>
    <w:basedOn w:val="1"/>
    <w:next w:val="1"/>
    <w:qFormat/>
    <w:uiPriority w:val="0"/>
    <w:pPr>
      <w:spacing w:before="120" w:after="120"/>
      <w:jc w:val="center"/>
    </w:pPr>
  </w:style>
  <w:style w:type="paragraph" w:styleId="14">
    <w:name w:val="Document Map"/>
    <w:basedOn w:val="1"/>
    <w:semiHidden/>
    <w:uiPriority w:val="0"/>
    <w:pPr>
      <w:shd w:val="clear" w:color="auto" w:fill="000080"/>
    </w:pPr>
  </w:style>
  <w:style w:type="paragraph" w:styleId="15">
    <w:name w:val="annotation text"/>
    <w:basedOn w:val="1"/>
    <w:link w:val="38"/>
    <w:semiHidden/>
    <w:uiPriority w:val="0"/>
    <w:pPr>
      <w:jc w:val="left"/>
    </w:pPr>
  </w:style>
  <w:style w:type="paragraph" w:styleId="16">
    <w:name w:val="Body Text"/>
    <w:basedOn w:val="1"/>
    <w:qFormat/>
    <w:uiPriority w:val="0"/>
    <w:rPr>
      <w:rFonts w:ascii="Times New Roman" w:hAnsi="Times New Roman"/>
      <w:color w:val="FF0000"/>
      <w:sz w:val="21"/>
    </w:rPr>
  </w:style>
  <w:style w:type="paragraph" w:styleId="17">
    <w:name w:val="Body Text Indent"/>
    <w:basedOn w:val="1"/>
    <w:uiPriority w:val="0"/>
    <w:pPr>
      <w:ind w:firstLine="560" w:firstLineChars="200"/>
    </w:pPr>
    <w:rPr>
      <w:sz w:val="28"/>
    </w:rPr>
  </w:style>
  <w:style w:type="paragraph" w:styleId="18">
    <w:name w:val="toc 5"/>
    <w:basedOn w:val="1"/>
    <w:next w:val="1"/>
    <w:semiHidden/>
    <w:qFormat/>
    <w:uiPriority w:val="0"/>
    <w:pPr>
      <w:ind w:left="1680" w:leftChars="800"/>
    </w:pPr>
  </w:style>
  <w:style w:type="paragraph" w:styleId="19">
    <w:name w:val="toc 3"/>
    <w:basedOn w:val="1"/>
    <w:next w:val="1"/>
    <w:semiHidden/>
    <w:qFormat/>
    <w:uiPriority w:val="0"/>
    <w:pPr>
      <w:tabs>
        <w:tab w:val="left" w:pos="1680"/>
        <w:tab w:val="right" w:leader="dot" w:pos="9639"/>
      </w:tabs>
      <w:ind w:left="960" w:leftChars="400"/>
    </w:pPr>
    <w:rPr>
      <w:sz w:val="21"/>
    </w:rPr>
  </w:style>
  <w:style w:type="paragraph" w:styleId="20">
    <w:name w:val="Plain Text"/>
    <w:basedOn w:val="1"/>
    <w:qFormat/>
    <w:uiPriority w:val="0"/>
    <w:rPr>
      <w:rFonts w:ascii="宋体" w:hAnsi="Courier New" w:eastAsia="宋体" w:cs="Courier New"/>
      <w:color w:val="auto"/>
      <w:kern w:val="2"/>
      <w:sz w:val="21"/>
      <w:szCs w:val="21"/>
    </w:rPr>
  </w:style>
  <w:style w:type="paragraph" w:styleId="21">
    <w:name w:val="toc 8"/>
    <w:basedOn w:val="1"/>
    <w:next w:val="1"/>
    <w:semiHidden/>
    <w:qFormat/>
    <w:uiPriority w:val="0"/>
    <w:pPr>
      <w:ind w:left="2940" w:leftChars="1400"/>
    </w:pPr>
  </w:style>
  <w:style w:type="paragraph" w:styleId="22">
    <w:name w:val="Balloon Text"/>
    <w:basedOn w:val="1"/>
    <w:semiHidden/>
    <w:qFormat/>
    <w:uiPriority w:val="0"/>
    <w:rPr>
      <w:sz w:val="18"/>
      <w:szCs w:val="18"/>
    </w:rPr>
  </w:style>
  <w:style w:type="paragraph" w:styleId="23">
    <w:name w:val="footer"/>
    <w:basedOn w:val="1"/>
    <w:qFormat/>
    <w:uiPriority w:val="0"/>
    <w:pPr>
      <w:tabs>
        <w:tab w:val="center" w:pos="4153"/>
        <w:tab w:val="right" w:pos="8306"/>
      </w:tabs>
      <w:snapToGrid w:val="0"/>
      <w:jc w:val="left"/>
    </w:pPr>
    <w:rPr>
      <w:sz w:val="18"/>
    </w:rPr>
  </w:style>
  <w:style w:type="paragraph" w:styleId="24">
    <w:name w:val="header"/>
    <w:basedOn w:val="1"/>
    <w:qFormat/>
    <w:uiPriority w:val="0"/>
    <w:pPr>
      <w:pBdr>
        <w:bottom w:val="single" w:color="auto" w:sz="6" w:space="1"/>
      </w:pBdr>
      <w:tabs>
        <w:tab w:val="center" w:pos="4153"/>
        <w:tab w:val="right" w:pos="8306"/>
      </w:tabs>
      <w:snapToGrid w:val="0"/>
      <w:jc w:val="center"/>
    </w:pPr>
    <w:rPr>
      <w:sz w:val="18"/>
    </w:rPr>
  </w:style>
  <w:style w:type="paragraph" w:styleId="25">
    <w:name w:val="toc 1"/>
    <w:basedOn w:val="1"/>
    <w:next w:val="1"/>
    <w:qFormat/>
    <w:uiPriority w:val="39"/>
    <w:pPr>
      <w:tabs>
        <w:tab w:val="left" w:pos="840"/>
        <w:tab w:val="right" w:leader="dot" w:pos="9639"/>
      </w:tabs>
      <w:ind w:left="283" w:leftChars="118" w:right="281" w:rightChars="117"/>
      <w:jc w:val="left"/>
    </w:pPr>
    <w:rPr>
      <w:b/>
      <w:bCs/>
      <w:shd w:val="pct10" w:color="auto" w:fill="FFFFFF"/>
    </w:rPr>
  </w:style>
  <w:style w:type="paragraph" w:styleId="26">
    <w:name w:val="toc 4"/>
    <w:basedOn w:val="1"/>
    <w:next w:val="1"/>
    <w:semiHidden/>
    <w:qFormat/>
    <w:uiPriority w:val="0"/>
    <w:pPr>
      <w:ind w:left="1260" w:leftChars="600"/>
    </w:pPr>
  </w:style>
  <w:style w:type="paragraph" w:styleId="27">
    <w:name w:val="toc 6"/>
    <w:basedOn w:val="1"/>
    <w:next w:val="1"/>
    <w:semiHidden/>
    <w:uiPriority w:val="0"/>
    <w:pPr>
      <w:ind w:left="2100" w:leftChars="1000"/>
    </w:pPr>
  </w:style>
  <w:style w:type="paragraph" w:styleId="28">
    <w:name w:val="toc 2"/>
    <w:basedOn w:val="1"/>
    <w:next w:val="1"/>
    <w:qFormat/>
    <w:uiPriority w:val="39"/>
    <w:pPr>
      <w:tabs>
        <w:tab w:val="left" w:pos="1260"/>
        <w:tab w:val="right" w:leader="dot" w:pos="9639"/>
      </w:tabs>
      <w:ind w:left="480" w:leftChars="200"/>
    </w:pPr>
    <w:rPr>
      <w:sz w:val="21"/>
      <w:szCs w:val="24"/>
    </w:rPr>
  </w:style>
  <w:style w:type="paragraph" w:styleId="29">
    <w:name w:val="toc 9"/>
    <w:basedOn w:val="1"/>
    <w:next w:val="1"/>
    <w:semiHidden/>
    <w:uiPriority w:val="0"/>
    <w:pPr>
      <w:ind w:left="3360" w:leftChars="1600"/>
    </w:pPr>
  </w:style>
  <w:style w:type="paragraph" w:styleId="30">
    <w:name w:val="annotation subject"/>
    <w:basedOn w:val="15"/>
    <w:next w:val="15"/>
    <w:semiHidden/>
    <w:qFormat/>
    <w:uiPriority w:val="0"/>
    <w:rPr>
      <w:b/>
      <w:bCs/>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page number"/>
    <w:qFormat/>
    <w:uiPriority w:val="0"/>
  </w:style>
  <w:style w:type="character" w:styleId="35">
    <w:name w:val="FollowedHyperlink"/>
    <w:uiPriority w:val="0"/>
    <w:rPr>
      <w:color w:val="800080"/>
      <w:u w:val="single"/>
    </w:rPr>
  </w:style>
  <w:style w:type="character" w:styleId="36">
    <w:name w:val="Hyperlink"/>
    <w:qFormat/>
    <w:uiPriority w:val="99"/>
    <w:rPr>
      <w:color w:val="0000FF"/>
      <w:u w:val="single"/>
    </w:rPr>
  </w:style>
  <w:style w:type="character" w:styleId="37">
    <w:name w:val="annotation reference"/>
    <w:semiHidden/>
    <w:uiPriority w:val="0"/>
    <w:rPr>
      <w:sz w:val="21"/>
      <w:szCs w:val="21"/>
    </w:rPr>
  </w:style>
  <w:style w:type="character" w:customStyle="1" w:styleId="38">
    <w:name w:val="批注文字 Char"/>
    <w:link w:val="15"/>
    <w:semiHidden/>
    <w:uiPriority w:val="0"/>
    <w:rPr>
      <w:rFonts w:ascii="Arial" w:hAnsi="Arial"/>
      <w:kern w:val="2"/>
      <w:sz w:val="24"/>
    </w:rPr>
  </w:style>
  <w:style w:type="paragraph" w:customStyle="1" w:styleId="39">
    <w:name w:val="章节标题"/>
    <w:basedOn w:val="1"/>
    <w:next w:val="40"/>
    <w:uiPriority w:val="0"/>
    <w:pPr>
      <w:numPr>
        <w:ilvl w:val="0"/>
        <w:numId w:val="2"/>
      </w:numPr>
      <w:spacing w:before="60" w:after="60"/>
      <w:ind w:right="113"/>
      <w:jc w:val="left"/>
    </w:pPr>
  </w:style>
  <w:style w:type="paragraph" w:customStyle="1" w:styleId="40">
    <w:name w:val="基准"/>
    <w:basedOn w:val="1"/>
    <w:qFormat/>
    <w:uiPriority w:val="0"/>
    <w:pPr>
      <w:tabs>
        <w:tab w:val="left" w:pos="284"/>
      </w:tabs>
      <w:ind w:right="113"/>
      <w:jc w:val="left"/>
    </w:pPr>
  </w:style>
  <w:style w:type="paragraph" w:customStyle="1" w:styleId="41">
    <w:name w:val="标准文件_段"/>
    <w:uiPriority w:val="0"/>
    <w:pPr>
      <w:autoSpaceDE w:val="0"/>
      <w:autoSpaceDN w:val="0"/>
      <w:adjustRightInd w:val="0"/>
      <w:snapToGrid w:val="0"/>
      <w:spacing w:line="276" w:lineRule="auto"/>
      <w:ind w:left="-105" w:leftChars="-50" w:right="-105" w:rightChars="-50" w:firstLine="368" w:firstLineChars="200"/>
      <w:jc w:val="both"/>
    </w:pPr>
    <w:rPr>
      <w:rFonts w:ascii="宋体" w:hAnsi="宋体" w:eastAsia="宋体" w:cs="Times New Roman"/>
      <w:spacing w:val="2"/>
      <w:sz w:val="18"/>
      <w:lang w:val="en-US" w:eastAsia="zh-CN" w:bidi="ar-SA"/>
    </w:rPr>
  </w:style>
  <w:style w:type="paragraph" w:customStyle="1" w:styleId="42">
    <w:name w:val="content"/>
    <w:basedOn w:val="1"/>
    <w:uiPriority w:val="0"/>
    <w:pPr>
      <w:spacing w:after="600" w:afterAutospacing="0" w:line="405" w:lineRule="atLeast"/>
      <w:jc w:val="left"/>
    </w:pPr>
    <w:rPr>
      <w:rFonts w:ascii="微软雅黑" w:hAnsi="微软雅黑" w:eastAsia="微软雅黑" w:cs="微软雅黑"/>
      <w:kern w:val="0"/>
      <w:sz w:val="36"/>
      <w:szCs w:val="36"/>
      <w:lang w:val="en-US" w:eastAsia="zh-CN" w:bidi="ar"/>
    </w:rPr>
  </w:style>
  <w:style w:type="paragraph" w:customStyle="1" w:styleId="43">
    <w:name w:val="正文格式"/>
    <w:basedOn w:val="1"/>
    <w:uiPriority w:val="0"/>
    <w:pPr>
      <w:spacing w:before="60" w:after="60" w:line="400" w:lineRule="exact"/>
      <w:ind w:left="300" w:leftChars="300"/>
    </w:pPr>
  </w:style>
  <w:style w:type="paragraph" w:customStyle="1" w:styleId="44">
    <w:name w:val="Indent 1"/>
    <w:basedOn w:val="1"/>
    <w:uiPriority w:val="0"/>
    <w:pPr>
      <w:keepLines/>
      <w:widowControl/>
      <w:overflowPunct w:val="0"/>
      <w:autoSpaceDE w:val="0"/>
      <w:autoSpaceDN w:val="0"/>
      <w:adjustRightInd w:val="0"/>
      <w:spacing w:after="120"/>
      <w:ind w:left="567"/>
      <w:jc w:val="left"/>
      <w:textAlignment w:val="baseline"/>
    </w:pPr>
    <w:rPr>
      <w:rFonts w:ascii="Arial" w:hAnsi="Arial" w:eastAsia="宋体"/>
      <w:kern w:val="32"/>
      <w:lang w:val="en-GB"/>
    </w:rPr>
  </w:style>
  <w:style w:type="paragraph" w:customStyle="1" w:styleId="45">
    <w:name w:val="Body text|1"/>
    <w:basedOn w:val="1"/>
    <w:uiPriority w:val="0"/>
    <w:pPr>
      <w:spacing w:line="415" w:lineRule="auto"/>
      <w:ind w:firstLine="400"/>
      <w:jc w:val="left"/>
    </w:pPr>
    <w:rPr>
      <w:rFonts w:hint="eastAsia" w:ascii="宋体" w:hAnsi="宋体"/>
      <w:color w:val="1B1B1E"/>
      <w:kern w:val="0"/>
      <w:sz w:val="28"/>
      <w:szCs w:val="28"/>
    </w:rPr>
  </w:style>
  <w:style w:type="paragraph" w:customStyle="1" w:styleId="4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7">
    <w:name w:val="xl26"/>
    <w:basedOn w:val="1"/>
    <w:uiPriority w:val="0"/>
    <w:pPr>
      <w:widowControl/>
      <w:pBdr>
        <w:bottom w:val="single" w:color="auto" w:sz="4" w:space="0"/>
        <w:right w:val="single" w:color="auto" w:sz="4" w:space="0"/>
      </w:pBdr>
      <w:spacing w:before="100" w:beforeAutospacing="1" w:after="100" w:afterAutospacing="1"/>
      <w:jc w:val="center"/>
      <w:textAlignment w:val="center"/>
    </w:pPr>
    <w:rPr>
      <w:rFonts w:eastAsia="Arial Unicode MS"/>
      <w:kern w:val="0"/>
      <w:szCs w:val="21"/>
    </w:rPr>
  </w:style>
  <w:style w:type="paragraph" w:customStyle="1" w:styleId="48">
    <w:name w:val="WPSOffice手动目录 1"/>
    <w:uiPriority w:val="0"/>
    <w:pPr>
      <w:ind w:leftChars="0"/>
    </w:pPr>
    <w:rPr>
      <w:rFonts w:ascii="Times New Roman" w:hAnsi="Times New Roman" w:eastAsia="宋体" w:cs="Times New Roman"/>
      <w:sz w:val="20"/>
      <w:szCs w:val="20"/>
    </w:rPr>
  </w:style>
  <w:style w:type="paragraph" w:customStyle="1" w:styleId="49">
    <w:name w:val="样式 标题 3 + 左"/>
    <w:basedOn w:val="16"/>
    <w:next w:val="1"/>
    <w:qFormat/>
    <w:uiPriority w:val="0"/>
    <w:pPr>
      <w:tabs>
        <w:tab w:val="left" w:pos="3240"/>
      </w:tabs>
      <w:spacing w:line="360" w:lineRule="auto"/>
      <w:outlineLvl w:val="1"/>
    </w:pPr>
    <w:rPr>
      <w:rFonts w:ascii="新宋体" w:hAnsi="新宋体" w:eastAsia="新宋体" w:cs="宋体"/>
      <w:b/>
      <w:bCs/>
      <w:szCs w:val="28"/>
    </w:rPr>
  </w:style>
  <w:style w:type="paragraph" w:customStyle="1" w:styleId="50">
    <w:name w:val="p0"/>
    <w:basedOn w:val="1"/>
    <w:qFormat/>
    <w:uiPriority w:val="0"/>
    <w:pPr>
      <w:widowControl/>
      <w:spacing w:line="480" w:lineRule="atLeast"/>
      <w:ind w:firstLine="420"/>
    </w:pPr>
    <w:rPr>
      <w:rFonts w:ascii="Times New Roman" w:hAnsi="Times New Roman"/>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P960217\LOCALS~1\Temp\GNPCP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GNPCPS</Template>
  <Pages>11</Pages>
  <Words>4295</Words>
  <Characters>5212</Characters>
  <Lines>143</Lines>
  <Paragraphs>40</Paragraphs>
  <TotalTime>13</TotalTime>
  <ScaleCrop>false</ScaleCrop>
  <LinksUpToDate>false</LinksUpToDate>
  <CharactersWithSpaces>5450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2022-01-13T06:27:00Z</dcterms:created>
  <dc:creator>秦沛</dc:creator>
  <cp:lastModifiedBy>汪雪</cp:lastModifiedBy>
  <cp:lastPrinted>2023-12-13T07:51:00Z</cp:lastPrinted>
  <dcterms:modified xsi:type="dcterms:W3CDTF">2023-12-19T06:23:05Z</dcterms:modified>
  <dc:title>文件模板</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4A82C3C0ED024F8BB98DADD0763E80E9</vt:lpwstr>
  </property>
  <property fmtid="{D5CDD505-2E9C-101B-9397-08002B2CF9AE}" pid="4" name="commondata">
    <vt:lpwstr>eyJoZGlkIjoiM2JiODIzMmZjMTU1NmU4NTQxMjY5NzBiNmUwOTM2NWUifQ==</vt:lpwstr>
  </property>
</Properties>
</file>