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93C2F">
      <w:pPr>
        <w:tabs>
          <w:tab w:val="left" w:pos="2430"/>
        </w:tabs>
        <w:rPr>
          <w:rFonts w:ascii="宋体"/>
          <w:b/>
          <w:bCs/>
          <w:color w:val="auto"/>
          <w:sz w:val="84"/>
          <w:szCs w:val="84"/>
          <w:highlight w:val="none"/>
        </w:rPr>
      </w:pPr>
    </w:p>
    <w:p w14:paraId="563DCE20">
      <w:pPr>
        <w:jc w:val="center"/>
        <w:rPr>
          <w:rFonts w:ascii="宋体"/>
          <w:b/>
          <w:bCs/>
          <w:color w:val="auto"/>
          <w:sz w:val="84"/>
          <w:highlight w:val="none"/>
        </w:rPr>
      </w:pPr>
      <w:r>
        <w:rPr>
          <w:rFonts w:hint="eastAsia" w:ascii="宋体"/>
          <w:b/>
          <w:bCs/>
          <w:color w:val="auto"/>
          <w:sz w:val="84"/>
          <w:highlight w:val="none"/>
        </w:rPr>
        <w:t xml:space="preserve"> </w:t>
      </w:r>
    </w:p>
    <w:p w14:paraId="0605A42A">
      <w:pPr>
        <w:jc w:val="center"/>
        <w:rPr>
          <w:rFonts w:ascii="宋体"/>
          <w:b/>
          <w:bCs/>
          <w:color w:val="auto"/>
          <w:sz w:val="84"/>
          <w:highlight w:val="none"/>
        </w:rPr>
      </w:pPr>
      <w:r>
        <w:rPr>
          <w:rFonts w:hint="eastAsia" w:ascii="宋体"/>
          <w:b/>
          <w:bCs/>
          <w:color w:val="auto"/>
          <w:sz w:val="84"/>
          <w:highlight w:val="none"/>
        </w:rPr>
        <w:t>招  标  文  件</w:t>
      </w:r>
    </w:p>
    <w:p w14:paraId="73D88027">
      <w:pPr>
        <w:pStyle w:val="13"/>
        <w:spacing w:line="0" w:lineRule="atLeast"/>
        <w:rPr>
          <w:b/>
          <w:color w:val="auto"/>
          <w:sz w:val="44"/>
          <w:highlight w:val="none"/>
        </w:rPr>
      </w:pPr>
    </w:p>
    <w:p w14:paraId="7E51790A">
      <w:pPr>
        <w:pStyle w:val="13"/>
        <w:tabs>
          <w:tab w:val="left" w:pos="3975"/>
        </w:tabs>
        <w:spacing w:line="0" w:lineRule="atLeast"/>
        <w:rPr>
          <w:b/>
          <w:color w:val="auto"/>
          <w:sz w:val="44"/>
          <w:highlight w:val="none"/>
        </w:rPr>
      </w:pPr>
      <w:r>
        <w:rPr>
          <w:b/>
          <w:color w:val="auto"/>
          <w:sz w:val="44"/>
          <w:highlight w:val="none"/>
        </w:rPr>
        <w:tab/>
      </w:r>
    </w:p>
    <w:p w14:paraId="00616085">
      <w:pPr>
        <w:pStyle w:val="13"/>
        <w:spacing w:line="0" w:lineRule="atLeast"/>
        <w:rPr>
          <w:b/>
          <w:color w:val="auto"/>
          <w:sz w:val="44"/>
          <w:highlight w:val="none"/>
        </w:rPr>
      </w:pPr>
    </w:p>
    <w:p w14:paraId="10C10FA6">
      <w:pPr>
        <w:pStyle w:val="13"/>
        <w:spacing w:line="0" w:lineRule="atLeast"/>
        <w:rPr>
          <w:b/>
          <w:color w:val="auto"/>
          <w:sz w:val="44"/>
          <w:highlight w:val="none"/>
        </w:rPr>
      </w:pPr>
    </w:p>
    <w:p w14:paraId="33E856ED">
      <w:pPr>
        <w:pStyle w:val="13"/>
        <w:spacing w:line="0" w:lineRule="atLeast"/>
        <w:rPr>
          <w:b/>
          <w:color w:val="auto"/>
          <w:sz w:val="44"/>
          <w:highlight w:val="none"/>
        </w:rPr>
      </w:pPr>
    </w:p>
    <w:p w14:paraId="361E251E">
      <w:pPr>
        <w:pStyle w:val="13"/>
        <w:spacing w:line="0" w:lineRule="atLeast"/>
        <w:jc w:val="center"/>
        <w:rPr>
          <w:rFonts w:hint="eastAsia" w:eastAsia="宋体"/>
          <w:b/>
          <w:bCs/>
          <w:color w:val="auto"/>
          <w:sz w:val="32"/>
          <w:szCs w:val="32"/>
          <w:highlight w:val="none"/>
          <w:u w:val="single"/>
          <w:lang w:eastAsia="zh-CN"/>
        </w:rPr>
      </w:pPr>
      <w:r>
        <w:rPr>
          <w:rFonts w:hint="eastAsia"/>
          <w:b/>
          <w:bCs/>
          <w:color w:val="auto"/>
          <w:sz w:val="32"/>
          <w:highlight w:val="none"/>
        </w:rPr>
        <w:t>项目编号：</w:t>
      </w:r>
      <w:r>
        <w:rPr>
          <w:rFonts w:hint="eastAsia"/>
          <w:b/>
          <w:bCs/>
          <w:color w:val="auto"/>
          <w:sz w:val="32"/>
          <w:highlight w:val="none"/>
          <w:u w:val="single"/>
          <w:lang w:eastAsia="zh-CN"/>
        </w:rPr>
        <w:t>2024-HCGK-SH1466</w:t>
      </w:r>
    </w:p>
    <w:p w14:paraId="2982814A">
      <w:pPr>
        <w:pStyle w:val="13"/>
        <w:spacing w:line="0" w:lineRule="atLeast"/>
        <w:jc w:val="center"/>
        <w:rPr>
          <w:b/>
          <w:bCs/>
          <w:color w:val="auto"/>
          <w:sz w:val="32"/>
          <w:highlight w:val="none"/>
          <w:u w:val="single"/>
        </w:rPr>
      </w:pPr>
    </w:p>
    <w:p w14:paraId="42C3C2E4">
      <w:pPr>
        <w:pStyle w:val="13"/>
        <w:spacing w:line="0" w:lineRule="atLeast"/>
        <w:jc w:val="center"/>
        <w:rPr>
          <w:rFonts w:hint="eastAsia" w:eastAsia="宋体"/>
          <w:b/>
          <w:bCs/>
          <w:color w:val="auto"/>
          <w:sz w:val="32"/>
          <w:highlight w:val="none"/>
          <w:u w:val="single"/>
          <w:lang w:eastAsia="zh-CN"/>
        </w:rPr>
      </w:pPr>
      <w:r>
        <w:rPr>
          <w:rFonts w:hint="eastAsia"/>
          <w:b/>
          <w:bCs/>
          <w:color w:val="auto"/>
          <w:sz w:val="32"/>
          <w:highlight w:val="none"/>
        </w:rPr>
        <w:t>项目名称：</w:t>
      </w:r>
      <w:r>
        <w:rPr>
          <w:rFonts w:hint="eastAsia"/>
          <w:b/>
          <w:bCs/>
          <w:color w:val="auto"/>
          <w:sz w:val="32"/>
          <w:highlight w:val="none"/>
          <w:u w:val="single"/>
          <w:lang w:eastAsia="zh-CN"/>
        </w:rPr>
        <w:t>厦门大学化学化工学院自动化合成反应器</w:t>
      </w:r>
    </w:p>
    <w:p w14:paraId="655ECD02">
      <w:pPr>
        <w:pStyle w:val="13"/>
        <w:spacing w:line="0" w:lineRule="atLeast"/>
        <w:rPr>
          <w:b/>
          <w:color w:val="auto"/>
          <w:sz w:val="28"/>
          <w:highlight w:val="none"/>
        </w:rPr>
      </w:pPr>
    </w:p>
    <w:p w14:paraId="1C1F2447">
      <w:pPr>
        <w:pStyle w:val="13"/>
        <w:spacing w:line="0" w:lineRule="atLeast"/>
        <w:jc w:val="center"/>
        <w:rPr>
          <w:b/>
          <w:color w:val="auto"/>
          <w:sz w:val="28"/>
          <w:highlight w:val="none"/>
        </w:rPr>
      </w:pPr>
    </w:p>
    <w:p w14:paraId="08DE7E4C">
      <w:pPr>
        <w:pStyle w:val="13"/>
        <w:spacing w:line="0" w:lineRule="atLeast"/>
        <w:jc w:val="center"/>
        <w:rPr>
          <w:b/>
          <w:color w:val="auto"/>
          <w:sz w:val="32"/>
          <w:szCs w:val="32"/>
          <w:highlight w:val="none"/>
        </w:rPr>
      </w:pPr>
    </w:p>
    <w:p w14:paraId="52C52491">
      <w:pPr>
        <w:pStyle w:val="13"/>
        <w:spacing w:line="0" w:lineRule="atLeast"/>
        <w:rPr>
          <w:b/>
          <w:color w:val="auto"/>
          <w:sz w:val="28"/>
          <w:highlight w:val="none"/>
        </w:rPr>
      </w:pPr>
    </w:p>
    <w:p w14:paraId="5315726B">
      <w:pPr>
        <w:pStyle w:val="13"/>
        <w:spacing w:line="0" w:lineRule="atLeast"/>
        <w:rPr>
          <w:b/>
          <w:color w:val="auto"/>
          <w:sz w:val="28"/>
          <w:highlight w:val="none"/>
        </w:rPr>
      </w:pPr>
    </w:p>
    <w:p w14:paraId="6EFEC0BB">
      <w:pPr>
        <w:pStyle w:val="13"/>
        <w:spacing w:line="0" w:lineRule="atLeast"/>
        <w:rPr>
          <w:b/>
          <w:color w:val="auto"/>
          <w:sz w:val="28"/>
          <w:highlight w:val="none"/>
        </w:rPr>
      </w:pPr>
    </w:p>
    <w:p w14:paraId="74C4652B">
      <w:pPr>
        <w:pStyle w:val="6"/>
        <w:spacing w:line="780" w:lineRule="exact"/>
        <w:ind w:firstLine="0"/>
        <w:outlineLvl w:val="0"/>
        <w:rPr>
          <w:rFonts w:ascii="宋体"/>
          <w:b/>
          <w:color w:val="auto"/>
          <w:sz w:val="28"/>
          <w:highlight w:val="none"/>
        </w:rPr>
      </w:pPr>
    </w:p>
    <w:p w14:paraId="3E628FBA">
      <w:pPr>
        <w:pStyle w:val="6"/>
        <w:spacing w:line="780" w:lineRule="exact"/>
        <w:ind w:firstLine="0"/>
        <w:outlineLvl w:val="0"/>
        <w:rPr>
          <w:rFonts w:ascii="宋体"/>
          <w:b/>
          <w:color w:val="auto"/>
          <w:sz w:val="28"/>
          <w:highlight w:val="none"/>
        </w:rPr>
      </w:pPr>
    </w:p>
    <w:p w14:paraId="68799030">
      <w:pPr>
        <w:pStyle w:val="6"/>
        <w:spacing w:line="360" w:lineRule="auto"/>
        <w:ind w:firstLine="0"/>
        <w:outlineLvl w:val="0"/>
        <w:rPr>
          <w:rFonts w:ascii="宋体"/>
          <w:b/>
          <w:color w:val="auto"/>
          <w:sz w:val="32"/>
          <w:szCs w:val="32"/>
          <w:highlight w:val="none"/>
        </w:rPr>
      </w:pPr>
    </w:p>
    <w:p w14:paraId="5B08A0F7">
      <w:pPr>
        <w:pStyle w:val="13"/>
        <w:spacing w:line="360" w:lineRule="auto"/>
        <w:jc w:val="center"/>
        <w:rPr>
          <w:b/>
          <w:color w:val="auto"/>
          <w:spacing w:val="20"/>
          <w:sz w:val="32"/>
          <w:szCs w:val="32"/>
          <w:highlight w:val="none"/>
          <w:u w:val="single"/>
        </w:rPr>
      </w:pPr>
      <w:r>
        <w:rPr>
          <w:rFonts w:hint="eastAsia"/>
          <w:b/>
          <w:color w:val="auto"/>
          <w:spacing w:val="20"/>
          <w:sz w:val="32"/>
          <w:szCs w:val="32"/>
          <w:highlight w:val="none"/>
        </w:rPr>
        <w:t>采购人：</w:t>
      </w:r>
      <w:r>
        <w:rPr>
          <w:rFonts w:hint="eastAsia"/>
          <w:b/>
          <w:color w:val="auto"/>
          <w:spacing w:val="20"/>
          <w:sz w:val="32"/>
          <w:szCs w:val="32"/>
          <w:highlight w:val="none"/>
          <w:u w:val="single"/>
        </w:rPr>
        <w:t>厦门大学</w:t>
      </w:r>
    </w:p>
    <w:p w14:paraId="1746B447">
      <w:pPr>
        <w:pStyle w:val="13"/>
        <w:spacing w:line="360" w:lineRule="auto"/>
        <w:jc w:val="center"/>
        <w:rPr>
          <w:b/>
          <w:color w:val="auto"/>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rPr>
        <w:t>厦门市华沧采购招标有限公司</w:t>
      </w:r>
    </w:p>
    <w:p w14:paraId="25350849">
      <w:pPr>
        <w:pStyle w:val="6"/>
        <w:spacing w:line="360" w:lineRule="auto"/>
        <w:ind w:firstLine="0"/>
        <w:jc w:val="center"/>
        <w:rPr>
          <w:rFonts w:ascii="宋体"/>
          <w:color w:val="auto"/>
          <w:sz w:val="32"/>
          <w:szCs w:val="32"/>
          <w:highlight w:val="none"/>
          <w:u w:val="single"/>
        </w:rPr>
        <w:sectPr>
          <w:headerReference r:id="rId3" w:type="default"/>
          <w:footerReference r:id="rId4" w:type="default"/>
          <w:pgSz w:w="11906" w:h="16838"/>
          <w:pgMar w:top="1134" w:right="1247" w:bottom="1134" w:left="1247" w:header="284" w:footer="567" w:gutter="0"/>
          <w:pgNumType w:start="1"/>
          <w:cols w:space="720" w:num="1"/>
          <w:docGrid w:linePitch="312" w:charSpace="0"/>
        </w:sectPr>
      </w:pPr>
      <w:bookmarkStart w:id="0" w:name="_Toc332895782"/>
      <w:bookmarkStart w:id="1" w:name="_Toc332894812"/>
      <w:r>
        <w:rPr>
          <w:rFonts w:hint="eastAsia" w:ascii="宋体"/>
          <w:b/>
          <w:color w:val="auto"/>
          <w:sz w:val="32"/>
          <w:szCs w:val="32"/>
          <w:highlight w:val="none"/>
        </w:rPr>
        <w:t>二○</w:t>
      </w:r>
      <w:bookmarkEnd w:id="0"/>
      <w:bookmarkEnd w:id="1"/>
      <w:r>
        <w:rPr>
          <w:rFonts w:hint="eastAsia" w:ascii="宋体"/>
          <w:b/>
          <w:color w:val="auto"/>
          <w:sz w:val="32"/>
          <w:szCs w:val="32"/>
          <w:highlight w:val="none"/>
        </w:rPr>
        <w:t>二四年十一月</w:t>
      </w:r>
    </w:p>
    <w:p w14:paraId="587F17DD">
      <w:pPr>
        <w:pStyle w:val="13"/>
        <w:spacing w:line="360" w:lineRule="auto"/>
        <w:jc w:val="center"/>
        <w:rPr>
          <w:b/>
          <w:bCs/>
          <w:color w:val="auto"/>
          <w:sz w:val="24"/>
          <w:szCs w:val="24"/>
          <w:highlight w:val="none"/>
        </w:rPr>
      </w:pPr>
      <w:r>
        <w:rPr>
          <w:rFonts w:hint="eastAsia"/>
          <w:b/>
          <w:bCs/>
          <w:color w:val="auto"/>
          <w:sz w:val="24"/>
          <w:szCs w:val="24"/>
          <w:highlight w:val="none"/>
        </w:rPr>
        <w:t xml:space="preserve">   </w:t>
      </w:r>
      <w:bookmarkStart w:id="2" w:name="_Toc332895783"/>
      <w:bookmarkStart w:id="3" w:name="_Toc332894813"/>
      <w:r>
        <w:rPr>
          <w:rFonts w:hint="eastAsia"/>
          <w:b/>
          <w:bCs/>
          <w:color w:val="auto"/>
          <w:sz w:val="24"/>
          <w:szCs w:val="24"/>
          <w:highlight w:val="none"/>
        </w:rPr>
        <w:t>目   录</w:t>
      </w:r>
      <w:bookmarkEnd w:id="2"/>
      <w:bookmarkEnd w:id="3"/>
    </w:p>
    <w:p w14:paraId="328DD704">
      <w:pPr>
        <w:pStyle w:val="19"/>
        <w:tabs>
          <w:tab w:val="right" w:leader="dot" w:pos="9412"/>
        </w:tabs>
        <w:rPr>
          <w:color w:val="auto"/>
          <w:highlight w:val="none"/>
        </w:rPr>
      </w:pPr>
      <w:r>
        <w:rPr>
          <w:rFonts w:hint="eastAsia" w:ascii="宋体"/>
          <w:color w:val="auto"/>
          <w:sz w:val="24"/>
          <w:szCs w:val="24"/>
          <w:highlight w:val="none"/>
        </w:rPr>
        <w:fldChar w:fldCharType="begin"/>
      </w:r>
      <w:r>
        <w:rPr>
          <w:rFonts w:hint="eastAsia" w:ascii="宋体"/>
          <w:color w:val="auto"/>
          <w:sz w:val="24"/>
          <w:szCs w:val="24"/>
          <w:highlight w:val="none"/>
        </w:rPr>
        <w:instrText xml:space="preserve"> TOC \o "1-3" \h \z \u </w:instrText>
      </w:r>
      <w:r>
        <w:rPr>
          <w:rFonts w:hint="eastAsia" w:ascii="宋体"/>
          <w:color w:val="auto"/>
          <w:sz w:val="24"/>
          <w:szCs w:val="24"/>
          <w:highlight w:val="none"/>
        </w:rPr>
        <w:fldChar w:fldCharType="separate"/>
      </w:r>
      <w:r>
        <w:rPr>
          <w:color w:val="auto"/>
          <w:highlight w:val="none"/>
        </w:rPr>
        <w:fldChar w:fldCharType="begin"/>
      </w:r>
      <w:r>
        <w:rPr>
          <w:color w:val="auto"/>
          <w:highlight w:val="none"/>
        </w:rPr>
        <w:instrText xml:space="preserve"> HYPERLINK \l "_Toc10580" </w:instrText>
      </w:r>
      <w:r>
        <w:rPr>
          <w:color w:val="auto"/>
          <w:highlight w:val="none"/>
        </w:rPr>
        <w:fldChar w:fldCharType="separate"/>
      </w:r>
      <w:r>
        <w:rPr>
          <w:rFonts w:hint="eastAsia" w:ascii="宋体"/>
          <w:color w:val="auto"/>
          <w:szCs w:val="28"/>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_Toc10580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60D48604">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"_Toc31058" </w:instrText>
      </w:r>
      <w:r>
        <w:rPr>
          <w:color w:val="auto"/>
          <w:highlight w:val="none"/>
        </w:rPr>
        <w:fldChar w:fldCharType="separate"/>
      </w:r>
      <w:r>
        <w:rPr>
          <w:rFonts w:hint="eastAsia" w:ascii="宋体"/>
          <w:color w:val="auto"/>
          <w:szCs w:val="28"/>
          <w:highlight w:val="none"/>
        </w:rPr>
        <w:t>一、投标邀请</w:t>
      </w:r>
      <w:r>
        <w:rPr>
          <w:color w:val="auto"/>
          <w:highlight w:val="none"/>
        </w:rPr>
        <w:tab/>
      </w:r>
      <w:r>
        <w:rPr>
          <w:color w:val="auto"/>
          <w:highlight w:val="none"/>
        </w:rPr>
        <w:fldChar w:fldCharType="begin"/>
      </w:r>
      <w:r>
        <w:rPr>
          <w:color w:val="auto"/>
          <w:highlight w:val="none"/>
        </w:rPr>
        <w:instrText xml:space="preserve"> PAGEREF _Toc31058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7413E9E">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"_Toc6749" </w:instrText>
      </w:r>
      <w:r>
        <w:rPr>
          <w:color w:val="auto"/>
          <w:highlight w:val="none"/>
        </w:rPr>
        <w:fldChar w:fldCharType="separate"/>
      </w:r>
      <w:r>
        <w:rPr>
          <w:rFonts w:hint="eastAsia" w:ascii="宋体"/>
          <w:color w:val="auto"/>
          <w:szCs w:val="28"/>
          <w:highlight w:val="none"/>
        </w:rPr>
        <w:t>二、招标项目一览表</w:t>
      </w:r>
      <w:r>
        <w:rPr>
          <w:color w:val="auto"/>
          <w:highlight w:val="none"/>
        </w:rPr>
        <w:tab/>
      </w:r>
      <w:r>
        <w:rPr>
          <w:color w:val="auto"/>
          <w:highlight w:val="none"/>
        </w:rPr>
        <w:fldChar w:fldCharType="begin"/>
      </w:r>
      <w:r>
        <w:rPr>
          <w:color w:val="auto"/>
          <w:highlight w:val="none"/>
        </w:rPr>
        <w:instrText xml:space="preserve"> PAGEREF _Toc6749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E8F4EEB">
      <w:pPr>
        <w:pStyle w:val="19"/>
        <w:tabs>
          <w:tab w:val="right" w:leader="dot" w:pos="9412"/>
        </w:tabs>
        <w:rPr>
          <w:color w:val="auto"/>
          <w:highlight w:val="none"/>
        </w:rPr>
      </w:pPr>
      <w:r>
        <w:rPr>
          <w:color w:val="auto"/>
          <w:highlight w:val="none"/>
        </w:rPr>
        <w:fldChar w:fldCharType="begin"/>
      </w:r>
      <w:r>
        <w:rPr>
          <w:color w:val="auto"/>
          <w:highlight w:val="none"/>
        </w:rPr>
        <w:instrText xml:space="preserve"> HYPERLINK \l "_Toc4510" </w:instrText>
      </w:r>
      <w:r>
        <w:rPr>
          <w:color w:val="auto"/>
          <w:highlight w:val="none"/>
        </w:rPr>
        <w:fldChar w:fldCharType="separate"/>
      </w:r>
      <w:r>
        <w:rPr>
          <w:rFonts w:hint="eastAsia" w:ascii="宋体"/>
          <w:color w:val="auto"/>
          <w:szCs w:val="28"/>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_Toc4510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22CE1A3">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"_Toc13412" </w:instrText>
      </w:r>
      <w:r>
        <w:rPr>
          <w:color w:val="auto"/>
          <w:highlight w:val="none"/>
        </w:rPr>
        <w:fldChar w:fldCharType="separate"/>
      </w:r>
      <w:r>
        <w:rPr>
          <w:rFonts w:hint="eastAsia" w:ascii="宋体"/>
          <w:color w:val="auto"/>
          <w:szCs w:val="28"/>
          <w:highlight w:val="none"/>
        </w:rPr>
        <w:t>投标人须知前附表1</w:t>
      </w:r>
      <w:r>
        <w:rPr>
          <w:color w:val="auto"/>
          <w:highlight w:val="none"/>
        </w:rPr>
        <w:tab/>
      </w:r>
      <w:r>
        <w:rPr>
          <w:color w:val="auto"/>
          <w:highlight w:val="none"/>
        </w:rPr>
        <w:fldChar w:fldCharType="begin"/>
      </w:r>
      <w:r>
        <w:rPr>
          <w:color w:val="auto"/>
          <w:highlight w:val="none"/>
        </w:rPr>
        <w:instrText xml:space="preserve"> PAGEREF _Toc13412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1E656EA">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"_Toc11110" </w:instrText>
      </w:r>
      <w:r>
        <w:rPr>
          <w:color w:val="auto"/>
          <w:highlight w:val="none"/>
        </w:rPr>
        <w:fldChar w:fldCharType="separate"/>
      </w:r>
      <w:r>
        <w:rPr>
          <w:rFonts w:hint="eastAsia" w:ascii="宋体"/>
          <w:bCs/>
          <w:color w:val="auto"/>
          <w:szCs w:val="28"/>
          <w:highlight w:val="none"/>
        </w:rPr>
        <w:t>投标人须知前附表2:资格性、符合性检查表</w:t>
      </w:r>
      <w:r>
        <w:rPr>
          <w:color w:val="auto"/>
          <w:highlight w:val="none"/>
        </w:rPr>
        <w:tab/>
      </w:r>
      <w:r>
        <w:rPr>
          <w:color w:val="auto"/>
          <w:highlight w:val="none"/>
        </w:rPr>
        <w:fldChar w:fldCharType="begin"/>
      </w:r>
      <w:r>
        <w:rPr>
          <w:color w:val="auto"/>
          <w:highlight w:val="none"/>
        </w:rPr>
        <w:instrText xml:space="preserve"> PAGEREF _Toc11110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CD22470">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"_Toc32149" </w:instrText>
      </w:r>
      <w:r>
        <w:rPr>
          <w:color w:val="auto"/>
          <w:highlight w:val="none"/>
        </w:rPr>
        <w:fldChar w:fldCharType="separate"/>
      </w:r>
      <w:r>
        <w:rPr>
          <w:rFonts w:hint="eastAsia" w:ascii="宋体"/>
          <w:color w:val="auto"/>
          <w:szCs w:val="28"/>
          <w:highlight w:val="none"/>
        </w:rPr>
        <w:t>投标人须知前附表3：评标方法、评标标准、定标原则</w:t>
      </w:r>
      <w:r>
        <w:rPr>
          <w:color w:val="auto"/>
          <w:highlight w:val="none"/>
        </w:rPr>
        <w:tab/>
      </w:r>
      <w:r>
        <w:rPr>
          <w:color w:val="auto"/>
          <w:highlight w:val="none"/>
        </w:rPr>
        <w:fldChar w:fldCharType="begin"/>
      </w:r>
      <w:r>
        <w:rPr>
          <w:color w:val="auto"/>
          <w:highlight w:val="none"/>
        </w:rPr>
        <w:instrText xml:space="preserve"> PAGEREF _Toc32149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1C3F257">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"_Toc8664" </w:instrText>
      </w:r>
      <w:r>
        <w:rPr>
          <w:color w:val="auto"/>
          <w:highlight w:val="none"/>
        </w:rPr>
        <w:fldChar w:fldCharType="separate"/>
      </w:r>
      <w:r>
        <w:rPr>
          <w:rFonts w:hint="eastAsia" w:ascii="宋体"/>
          <w:color w:val="auto"/>
          <w:szCs w:val="28"/>
          <w:highlight w:val="none"/>
        </w:rPr>
        <w:t>投标人须知前附表4：中小企业、监狱企业及残疾人福利性单位优惠办法</w:t>
      </w:r>
      <w:r>
        <w:rPr>
          <w:color w:val="auto"/>
          <w:highlight w:val="none"/>
        </w:rPr>
        <w:tab/>
      </w:r>
      <w:r>
        <w:rPr>
          <w:color w:val="auto"/>
          <w:highlight w:val="none"/>
        </w:rPr>
        <w:fldChar w:fldCharType="begin"/>
      </w:r>
      <w:r>
        <w:rPr>
          <w:color w:val="auto"/>
          <w:highlight w:val="none"/>
        </w:rPr>
        <w:instrText xml:space="preserve"> PAGEREF _Toc8664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17FE0BD">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"_Toc25421" </w:instrText>
      </w:r>
      <w:r>
        <w:rPr>
          <w:color w:val="auto"/>
          <w:highlight w:val="none"/>
        </w:rPr>
        <w:fldChar w:fldCharType="separate"/>
      </w:r>
      <w:r>
        <w:rPr>
          <w:rFonts w:hint="eastAsia" w:ascii="宋体"/>
          <w:color w:val="auto"/>
          <w:szCs w:val="28"/>
          <w:highlight w:val="none"/>
        </w:rPr>
        <w:t>一、说 明</w:t>
      </w:r>
      <w:r>
        <w:rPr>
          <w:color w:val="auto"/>
          <w:highlight w:val="none"/>
        </w:rPr>
        <w:tab/>
      </w:r>
      <w:r>
        <w:rPr>
          <w:color w:val="auto"/>
          <w:highlight w:val="none"/>
        </w:rPr>
        <w:fldChar w:fldCharType="begin"/>
      </w:r>
      <w:r>
        <w:rPr>
          <w:color w:val="auto"/>
          <w:highlight w:val="none"/>
        </w:rPr>
        <w:instrText xml:space="preserve"> PAGEREF _Toc25421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F4EECED">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"_Toc22557" </w:instrText>
      </w:r>
      <w:r>
        <w:rPr>
          <w:color w:val="auto"/>
          <w:highlight w:val="none"/>
        </w:rPr>
        <w:fldChar w:fldCharType="separate"/>
      </w:r>
      <w:r>
        <w:rPr>
          <w:rFonts w:hint="eastAsia" w:ascii="宋体"/>
          <w:color w:val="auto"/>
          <w:szCs w:val="28"/>
          <w:highlight w:val="none"/>
        </w:rPr>
        <w:t>二、招标文件</w:t>
      </w:r>
      <w:r>
        <w:rPr>
          <w:color w:val="auto"/>
          <w:highlight w:val="none"/>
        </w:rPr>
        <w:tab/>
      </w:r>
      <w:r>
        <w:rPr>
          <w:color w:val="auto"/>
          <w:highlight w:val="none"/>
        </w:rPr>
        <w:fldChar w:fldCharType="begin"/>
      </w:r>
      <w:r>
        <w:rPr>
          <w:color w:val="auto"/>
          <w:highlight w:val="none"/>
        </w:rPr>
        <w:instrText xml:space="preserve"> PAGEREF _Toc22557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5FF23C2">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"_Toc16975" </w:instrText>
      </w:r>
      <w:r>
        <w:rPr>
          <w:color w:val="auto"/>
          <w:highlight w:val="none"/>
        </w:rPr>
        <w:fldChar w:fldCharType="separate"/>
      </w:r>
      <w:r>
        <w:rPr>
          <w:rFonts w:hint="eastAsia" w:ascii="宋体"/>
          <w:color w:val="auto"/>
          <w:szCs w:val="28"/>
          <w:highlight w:val="none"/>
        </w:rPr>
        <w:t>三、投标文件的编写</w:t>
      </w:r>
      <w:r>
        <w:rPr>
          <w:color w:val="auto"/>
          <w:highlight w:val="none"/>
        </w:rPr>
        <w:tab/>
      </w:r>
      <w:r>
        <w:rPr>
          <w:color w:val="auto"/>
          <w:highlight w:val="none"/>
        </w:rPr>
        <w:fldChar w:fldCharType="begin"/>
      </w:r>
      <w:r>
        <w:rPr>
          <w:color w:val="auto"/>
          <w:highlight w:val="none"/>
        </w:rPr>
        <w:instrText xml:space="preserve"> PAGEREF _Toc16975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CA4FBC2">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"_Toc3396" </w:instrText>
      </w:r>
      <w:r>
        <w:rPr>
          <w:color w:val="auto"/>
          <w:highlight w:val="none"/>
        </w:rPr>
        <w:fldChar w:fldCharType="separate"/>
      </w:r>
      <w:r>
        <w:rPr>
          <w:rFonts w:hint="eastAsia" w:ascii="宋体"/>
          <w:color w:val="auto"/>
          <w:szCs w:val="28"/>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_Toc3396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6BC3524B">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"_Toc9592" </w:instrText>
      </w:r>
      <w:r>
        <w:rPr>
          <w:color w:val="auto"/>
          <w:highlight w:val="none"/>
        </w:rPr>
        <w:fldChar w:fldCharType="separate"/>
      </w:r>
      <w:r>
        <w:rPr>
          <w:rFonts w:hint="eastAsia" w:ascii="宋体"/>
          <w:color w:val="auto"/>
          <w:szCs w:val="28"/>
          <w:highlight w:val="none"/>
        </w:rPr>
        <w:t>五、投标文件的审查、比较和评估</w:t>
      </w:r>
      <w:r>
        <w:rPr>
          <w:color w:val="auto"/>
          <w:highlight w:val="none"/>
        </w:rPr>
        <w:tab/>
      </w:r>
      <w:r>
        <w:rPr>
          <w:color w:val="auto"/>
          <w:highlight w:val="none"/>
        </w:rPr>
        <w:fldChar w:fldCharType="begin"/>
      </w:r>
      <w:r>
        <w:rPr>
          <w:color w:val="auto"/>
          <w:highlight w:val="none"/>
        </w:rPr>
        <w:instrText xml:space="preserve"> PAGEREF _Toc9592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AAA9BC0">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"_Toc28818" </w:instrText>
      </w:r>
      <w:r>
        <w:rPr>
          <w:color w:val="auto"/>
          <w:highlight w:val="none"/>
        </w:rPr>
        <w:fldChar w:fldCharType="separate"/>
      </w:r>
      <w:r>
        <w:rPr>
          <w:rFonts w:hint="eastAsia" w:ascii="宋体"/>
          <w:color w:val="auto"/>
          <w:szCs w:val="28"/>
          <w:highlight w:val="none"/>
        </w:rPr>
        <w:t>六、定标与签订合同</w:t>
      </w:r>
      <w:r>
        <w:rPr>
          <w:color w:val="auto"/>
          <w:highlight w:val="none"/>
        </w:rPr>
        <w:tab/>
      </w:r>
      <w:r>
        <w:rPr>
          <w:color w:val="auto"/>
          <w:highlight w:val="none"/>
        </w:rPr>
        <w:fldChar w:fldCharType="begin"/>
      </w:r>
      <w:r>
        <w:rPr>
          <w:color w:val="auto"/>
          <w:highlight w:val="none"/>
        </w:rPr>
        <w:instrText xml:space="preserve"> PAGEREF _Toc28818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F26794B">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"_Toc5968" </w:instrText>
      </w:r>
      <w:r>
        <w:rPr>
          <w:color w:val="auto"/>
          <w:highlight w:val="none"/>
        </w:rPr>
        <w:fldChar w:fldCharType="separate"/>
      </w:r>
      <w:r>
        <w:rPr>
          <w:rFonts w:hint="eastAsia" w:ascii="宋体"/>
          <w:color w:val="auto"/>
          <w:szCs w:val="28"/>
          <w:highlight w:val="none"/>
        </w:rPr>
        <w:t>七、询问、质疑与投诉</w:t>
      </w:r>
      <w:r>
        <w:rPr>
          <w:color w:val="auto"/>
          <w:highlight w:val="none"/>
        </w:rPr>
        <w:tab/>
      </w:r>
      <w:r>
        <w:rPr>
          <w:color w:val="auto"/>
          <w:highlight w:val="none"/>
        </w:rPr>
        <w:fldChar w:fldCharType="begin"/>
      </w:r>
      <w:r>
        <w:rPr>
          <w:color w:val="auto"/>
          <w:highlight w:val="none"/>
        </w:rPr>
        <w:instrText xml:space="preserve"> PAGEREF _Toc5968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65DC33B3">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"_Toc356" </w:instrText>
      </w:r>
      <w:r>
        <w:rPr>
          <w:color w:val="auto"/>
          <w:highlight w:val="none"/>
        </w:rPr>
        <w:fldChar w:fldCharType="separate"/>
      </w:r>
      <w:r>
        <w:rPr>
          <w:rFonts w:hint="eastAsia" w:ascii="宋体"/>
          <w:color w:val="auto"/>
          <w:szCs w:val="28"/>
          <w:highlight w:val="none"/>
        </w:rPr>
        <w:t>八、其他事项</w:t>
      </w:r>
      <w:r>
        <w:rPr>
          <w:color w:val="auto"/>
          <w:highlight w:val="none"/>
        </w:rPr>
        <w:tab/>
      </w:r>
      <w:r>
        <w:rPr>
          <w:color w:val="auto"/>
          <w:highlight w:val="none"/>
        </w:rPr>
        <w:fldChar w:fldCharType="begin"/>
      </w:r>
      <w:r>
        <w:rPr>
          <w:color w:val="auto"/>
          <w:highlight w:val="none"/>
        </w:rPr>
        <w:instrText xml:space="preserve"> PAGEREF _Toc356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44E23D1C">
      <w:pPr>
        <w:pStyle w:val="19"/>
        <w:tabs>
          <w:tab w:val="right" w:leader="dot" w:pos="9412"/>
        </w:tabs>
        <w:rPr>
          <w:color w:val="auto"/>
          <w:highlight w:val="none"/>
        </w:rPr>
      </w:pPr>
      <w:r>
        <w:rPr>
          <w:color w:val="auto"/>
          <w:highlight w:val="none"/>
        </w:rPr>
        <w:fldChar w:fldCharType="begin"/>
      </w:r>
      <w:r>
        <w:rPr>
          <w:color w:val="auto"/>
          <w:highlight w:val="none"/>
        </w:rPr>
        <w:instrText xml:space="preserve"> HYPERLINK \l "_Toc1259" </w:instrText>
      </w:r>
      <w:r>
        <w:rPr>
          <w:color w:val="auto"/>
          <w:highlight w:val="none"/>
        </w:rPr>
        <w:fldChar w:fldCharType="separate"/>
      </w:r>
      <w:r>
        <w:rPr>
          <w:rFonts w:hint="eastAsia" w:ascii="宋体"/>
          <w:color w:val="auto"/>
          <w:szCs w:val="28"/>
          <w:highlight w:val="none"/>
        </w:rPr>
        <w:t>第三章  招标内容及要求</w:t>
      </w:r>
      <w:r>
        <w:rPr>
          <w:color w:val="auto"/>
          <w:highlight w:val="none"/>
        </w:rPr>
        <w:tab/>
      </w:r>
      <w:r>
        <w:rPr>
          <w:color w:val="auto"/>
          <w:highlight w:val="none"/>
        </w:rPr>
        <w:fldChar w:fldCharType="begin"/>
      </w:r>
      <w:r>
        <w:rPr>
          <w:color w:val="auto"/>
          <w:highlight w:val="none"/>
        </w:rPr>
        <w:instrText xml:space="preserve"> PAGEREF _Toc1259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57A86CC5">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"_Toc24321" </w:instrText>
      </w:r>
      <w:r>
        <w:rPr>
          <w:color w:val="auto"/>
          <w:highlight w:val="none"/>
        </w:rPr>
        <w:fldChar w:fldCharType="separate"/>
      </w:r>
      <w:r>
        <w:rPr>
          <w:rFonts w:hint="eastAsia" w:ascii="宋体"/>
          <w:color w:val="auto"/>
          <w:szCs w:val="24"/>
          <w:highlight w:val="none"/>
        </w:rPr>
        <w:t>一、项目概况</w:t>
      </w:r>
      <w:r>
        <w:rPr>
          <w:color w:val="auto"/>
          <w:highlight w:val="none"/>
        </w:rPr>
        <w:tab/>
      </w:r>
      <w:r>
        <w:rPr>
          <w:color w:val="auto"/>
          <w:highlight w:val="none"/>
        </w:rPr>
        <w:fldChar w:fldCharType="begin"/>
      </w:r>
      <w:r>
        <w:rPr>
          <w:color w:val="auto"/>
          <w:highlight w:val="none"/>
        </w:rPr>
        <w:instrText xml:space="preserve"> PAGEREF _Toc24321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C1A2439">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"_Toc25837" </w:instrText>
      </w:r>
      <w:r>
        <w:rPr>
          <w:color w:val="auto"/>
          <w:highlight w:val="none"/>
        </w:rPr>
        <w:fldChar w:fldCharType="separate"/>
      </w:r>
      <w:r>
        <w:rPr>
          <w:rFonts w:hint="eastAsia" w:ascii="宋体"/>
          <w:color w:val="auto"/>
          <w:szCs w:val="24"/>
          <w:highlight w:val="none"/>
        </w:rPr>
        <w:t>二、技术及服务要求</w:t>
      </w:r>
      <w:r>
        <w:rPr>
          <w:color w:val="auto"/>
          <w:highlight w:val="none"/>
        </w:rPr>
        <w:tab/>
      </w:r>
      <w:r>
        <w:rPr>
          <w:color w:val="auto"/>
          <w:highlight w:val="none"/>
        </w:rPr>
        <w:fldChar w:fldCharType="begin"/>
      </w:r>
      <w:r>
        <w:rPr>
          <w:color w:val="auto"/>
          <w:highlight w:val="none"/>
        </w:rPr>
        <w:instrText xml:space="preserve"> PAGEREF _Toc25837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2240F56">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"_Toc4108" </w:instrText>
      </w:r>
      <w:r>
        <w:rPr>
          <w:color w:val="auto"/>
          <w:highlight w:val="none"/>
        </w:rPr>
        <w:fldChar w:fldCharType="separate"/>
      </w:r>
      <w:r>
        <w:rPr>
          <w:rFonts w:hint="eastAsia" w:ascii="宋体" w:cs="Arial"/>
          <w:color w:val="auto"/>
          <w:szCs w:val="24"/>
          <w:highlight w:val="none"/>
        </w:rPr>
        <w:t>三、项目其他要求</w:t>
      </w:r>
      <w:r>
        <w:rPr>
          <w:color w:val="auto"/>
          <w:highlight w:val="none"/>
        </w:rPr>
        <w:tab/>
      </w:r>
      <w:r>
        <w:rPr>
          <w:color w:val="auto"/>
          <w:highlight w:val="none"/>
        </w:rPr>
        <w:fldChar w:fldCharType="begin"/>
      </w:r>
      <w:r>
        <w:rPr>
          <w:color w:val="auto"/>
          <w:highlight w:val="none"/>
        </w:rPr>
        <w:instrText xml:space="preserve"> PAGEREF _Toc4108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598A1403">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"_Toc11197" </w:instrText>
      </w:r>
      <w:r>
        <w:rPr>
          <w:color w:val="auto"/>
          <w:highlight w:val="none"/>
        </w:rPr>
        <w:fldChar w:fldCharType="separate"/>
      </w:r>
      <w:r>
        <w:rPr>
          <w:rFonts w:hint="eastAsia" w:ascii="宋体" w:cs="宋体"/>
          <w:color w:val="auto"/>
          <w:szCs w:val="24"/>
          <w:highlight w:val="none"/>
        </w:rPr>
        <w:t>四、售后服务要求</w:t>
      </w:r>
      <w:r>
        <w:rPr>
          <w:color w:val="auto"/>
          <w:highlight w:val="none"/>
        </w:rPr>
        <w:tab/>
      </w:r>
      <w:r>
        <w:rPr>
          <w:color w:val="auto"/>
          <w:highlight w:val="none"/>
        </w:rPr>
        <w:fldChar w:fldCharType="begin"/>
      </w:r>
      <w:r>
        <w:rPr>
          <w:color w:val="auto"/>
          <w:highlight w:val="none"/>
        </w:rPr>
        <w:instrText xml:space="preserve"> PAGEREF _Toc11197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5E74868D">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"_Toc18036" </w:instrText>
      </w:r>
      <w:r>
        <w:rPr>
          <w:color w:val="auto"/>
          <w:highlight w:val="none"/>
        </w:rPr>
        <w:fldChar w:fldCharType="separate"/>
      </w:r>
      <w:r>
        <w:rPr>
          <w:rFonts w:hint="eastAsia" w:ascii="宋体" w:cs="宋体"/>
          <w:color w:val="auto"/>
          <w:szCs w:val="24"/>
          <w:highlight w:val="none"/>
        </w:rPr>
        <w:t>五、验收条件及标准</w:t>
      </w:r>
      <w:r>
        <w:rPr>
          <w:color w:val="auto"/>
          <w:highlight w:val="none"/>
        </w:rPr>
        <w:tab/>
      </w:r>
      <w:r>
        <w:rPr>
          <w:color w:val="auto"/>
          <w:highlight w:val="none"/>
        </w:rPr>
        <w:fldChar w:fldCharType="begin"/>
      </w:r>
      <w:r>
        <w:rPr>
          <w:color w:val="auto"/>
          <w:highlight w:val="none"/>
        </w:rPr>
        <w:instrText xml:space="preserve"> PAGEREF _Toc18036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EC750C1">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"_Toc7710" </w:instrText>
      </w:r>
      <w:r>
        <w:rPr>
          <w:color w:val="auto"/>
          <w:highlight w:val="none"/>
        </w:rPr>
        <w:fldChar w:fldCharType="separate"/>
      </w:r>
      <w:r>
        <w:rPr>
          <w:rFonts w:hint="eastAsia" w:ascii="宋体" w:cs="宋体"/>
          <w:color w:val="auto"/>
          <w:szCs w:val="24"/>
          <w:highlight w:val="none"/>
        </w:rPr>
        <w:t>六、报价要求</w:t>
      </w:r>
      <w:r>
        <w:rPr>
          <w:color w:val="auto"/>
          <w:highlight w:val="none"/>
        </w:rPr>
        <w:tab/>
      </w:r>
      <w:r>
        <w:rPr>
          <w:color w:val="auto"/>
          <w:highlight w:val="none"/>
        </w:rPr>
        <w:fldChar w:fldCharType="begin"/>
      </w:r>
      <w:r>
        <w:rPr>
          <w:color w:val="auto"/>
          <w:highlight w:val="none"/>
        </w:rPr>
        <w:instrText xml:space="preserve"> PAGEREF _Toc7710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5F7B1DD4">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"_Toc3104" </w:instrText>
      </w:r>
      <w:r>
        <w:rPr>
          <w:color w:val="auto"/>
          <w:highlight w:val="none"/>
        </w:rPr>
        <w:fldChar w:fldCharType="separate"/>
      </w:r>
      <w:r>
        <w:rPr>
          <w:rFonts w:hint="eastAsia" w:ascii="宋体" w:cs="宋体"/>
          <w:color w:val="auto"/>
          <w:szCs w:val="24"/>
          <w:highlight w:val="none"/>
        </w:rPr>
        <w:t>七、知识产权</w:t>
      </w:r>
      <w:r>
        <w:rPr>
          <w:color w:val="auto"/>
          <w:highlight w:val="none"/>
        </w:rPr>
        <w:tab/>
      </w:r>
      <w:r>
        <w:rPr>
          <w:color w:val="auto"/>
          <w:highlight w:val="none"/>
        </w:rPr>
        <w:fldChar w:fldCharType="begin"/>
      </w:r>
      <w:r>
        <w:rPr>
          <w:color w:val="auto"/>
          <w:highlight w:val="none"/>
        </w:rPr>
        <w:instrText xml:space="preserve"> PAGEREF _Toc3104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21F3DE8">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"_Toc24012" </w:instrText>
      </w:r>
      <w:r>
        <w:rPr>
          <w:color w:val="auto"/>
          <w:highlight w:val="none"/>
        </w:rPr>
        <w:fldChar w:fldCharType="separate"/>
      </w:r>
      <w:r>
        <w:rPr>
          <w:rFonts w:hint="eastAsia" w:ascii="宋体" w:cs="宋体"/>
          <w:color w:val="auto"/>
          <w:szCs w:val="24"/>
          <w:highlight w:val="none"/>
        </w:rPr>
        <w:t>八、合同签订</w:t>
      </w:r>
      <w:r>
        <w:rPr>
          <w:color w:val="auto"/>
          <w:highlight w:val="none"/>
        </w:rPr>
        <w:tab/>
      </w:r>
      <w:r>
        <w:rPr>
          <w:color w:val="auto"/>
          <w:highlight w:val="none"/>
        </w:rPr>
        <w:fldChar w:fldCharType="begin"/>
      </w:r>
      <w:r>
        <w:rPr>
          <w:color w:val="auto"/>
          <w:highlight w:val="none"/>
        </w:rPr>
        <w:instrText xml:space="preserve"> PAGEREF _Toc24012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19EB820">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"_Toc26015" </w:instrText>
      </w:r>
      <w:r>
        <w:rPr>
          <w:color w:val="auto"/>
          <w:highlight w:val="none"/>
        </w:rPr>
        <w:fldChar w:fldCharType="separate"/>
      </w:r>
      <w:r>
        <w:rPr>
          <w:rFonts w:hint="eastAsia" w:ascii="宋体" w:cs="宋体"/>
          <w:color w:val="auto"/>
          <w:szCs w:val="24"/>
          <w:highlight w:val="none"/>
        </w:rPr>
        <w:t>九、付款方式及质量保证金</w:t>
      </w:r>
      <w:r>
        <w:rPr>
          <w:color w:val="auto"/>
          <w:highlight w:val="none"/>
        </w:rPr>
        <w:tab/>
      </w:r>
      <w:r>
        <w:rPr>
          <w:color w:val="auto"/>
          <w:highlight w:val="none"/>
        </w:rPr>
        <w:fldChar w:fldCharType="begin"/>
      </w:r>
      <w:r>
        <w:rPr>
          <w:color w:val="auto"/>
          <w:highlight w:val="none"/>
        </w:rPr>
        <w:instrText xml:space="preserve"> PAGEREF _Toc26015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42928A58">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"_Toc10195" </w:instrText>
      </w:r>
      <w:r>
        <w:rPr>
          <w:color w:val="auto"/>
          <w:highlight w:val="none"/>
        </w:rPr>
        <w:fldChar w:fldCharType="separate"/>
      </w:r>
      <w:r>
        <w:rPr>
          <w:rFonts w:hint="eastAsia"/>
          <w:color w:val="auto"/>
          <w:highlight w:val="none"/>
        </w:rPr>
        <w:t>第四章   合同格式</w:t>
      </w:r>
      <w:r>
        <w:rPr>
          <w:color w:val="auto"/>
          <w:highlight w:val="none"/>
        </w:rPr>
        <w:tab/>
      </w:r>
      <w:r>
        <w:rPr>
          <w:color w:val="auto"/>
          <w:highlight w:val="none"/>
        </w:rPr>
        <w:fldChar w:fldCharType="begin"/>
      </w:r>
      <w:r>
        <w:rPr>
          <w:color w:val="auto"/>
          <w:highlight w:val="none"/>
        </w:rPr>
        <w:instrText xml:space="preserve"> PAGEREF _Toc10195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40C8350C">
      <w:pPr>
        <w:pStyle w:val="21"/>
        <w:tabs>
          <w:tab w:val="right" w:leader="dot" w:pos="9412"/>
          <w:tab w:val="clear" w:pos="9710"/>
        </w:tabs>
        <w:rPr>
          <w:color w:val="auto"/>
          <w:highlight w:val="none"/>
        </w:rPr>
      </w:pPr>
      <w:r>
        <w:rPr>
          <w:color w:val="auto"/>
          <w:highlight w:val="none"/>
        </w:rPr>
        <w:fldChar w:fldCharType="begin"/>
      </w:r>
      <w:r>
        <w:rPr>
          <w:color w:val="auto"/>
          <w:highlight w:val="none"/>
        </w:rPr>
        <w:instrText xml:space="preserve"> HYPERLINK \l "_Toc8456" </w:instrText>
      </w:r>
      <w:r>
        <w:rPr>
          <w:color w:val="auto"/>
          <w:highlight w:val="none"/>
        </w:rPr>
        <w:fldChar w:fldCharType="separate"/>
      </w:r>
      <w:r>
        <w:rPr>
          <w:rFonts w:hint="eastAsia"/>
          <w:color w:val="auto"/>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_Toc8456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40CBEC3">
      <w:pPr>
        <w:pStyle w:val="21"/>
        <w:tabs>
          <w:tab w:val="right" w:leader="dot" w:pos="9412"/>
          <w:tab w:val="clear" w:pos="9710"/>
        </w:tabs>
        <w:rPr>
          <w:color w:val="auto"/>
          <w:highlight w:val="none"/>
        </w:rPr>
      </w:pPr>
    </w:p>
    <w:p w14:paraId="7C13DA98">
      <w:pPr>
        <w:pStyle w:val="21"/>
        <w:tabs>
          <w:tab w:val="right" w:leader="dot" w:pos="9412"/>
          <w:tab w:val="clear" w:pos="9710"/>
        </w:tabs>
        <w:rPr>
          <w:color w:val="auto"/>
          <w:highlight w:val="none"/>
        </w:rPr>
        <w:sectPr>
          <w:pgSz w:w="11906" w:h="16838"/>
          <w:pgMar w:top="851" w:right="1247" w:bottom="709" w:left="1247" w:header="851" w:footer="567" w:gutter="0"/>
          <w:cols w:space="720" w:num="1"/>
          <w:docGrid w:linePitch="312" w:charSpace="0"/>
        </w:sectPr>
      </w:pPr>
      <w:r>
        <w:rPr>
          <w:rFonts w:hint="eastAsia" w:ascii="宋体"/>
          <w:color w:val="auto"/>
          <w:szCs w:val="24"/>
          <w:highlight w:val="none"/>
        </w:rPr>
        <w:fldChar w:fldCharType="end"/>
      </w:r>
    </w:p>
    <w:p w14:paraId="5C90F6F8">
      <w:pPr>
        <w:keepLines/>
        <w:pageBreakBefore/>
        <w:spacing w:line="360" w:lineRule="auto"/>
        <w:jc w:val="center"/>
        <w:outlineLvl w:val="0"/>
        <w:rPr>
          <w:rFonts w:ascii="宋体"/>
          <w:b/>
          <w:color w:val="auto"/>
          <w:sz w:val="28"/>
          <w:szCs w:val="28"/>
          <w:highlight w:val="none"/>
        </w:rPr>
      </w:pPr>
      <w:bookmarkStart w:id="4" w:name="_Toc10580"/>
      <w:r>
        <w:rPr>
          <w:rFonts w:hint="eastAsia" w:ascii="宋体"/>
          <w:b/>
          <w:color w:val="auto"/>
          <w:sz w:val="28"/>
          <w:szCs w:val="28"/>
          <w:highlight w:val="none"/>
        </w:rPr>
        <w:t>第一章  投标邀请</w:t>
      </w:r>
      <w:bookmarkEnd w:id="4"/>
      <w:bookmarkStart w:id="5" w:name="_Toc332895784"/>
      <w:bookmarkStart w:id="6" w:name="_Toc332894814"/>
      <w:bookmarkStart w:id="7" w:name="_Toc418517536"/>
      <w:bookmarkStart w:id="8" w:name="_Toc222388514"/>
    </w:p>
    <w:p w14:paraId="64E895C4">
      <w:pPr>
        <w:pStyle w:val="3"/>
        <w:numPr>
          <w:ilvl w:val="0"/>
          <w:numId w:val="0"/>
        </w:numPr>
        <w:spacing w:before="0" w:after="0" w:line="360" w:lineRule="auto"/>
        <w:rPr>
          <w:rFonts w:ascii="宋体"/>
          <w:color w:val="auto"/>
          <w:sz w:val="28"/>
          <w:szCs w:val="28"/>
          <w:highlight w:val="none"/>
        </w:rPr>
      </w:pPr>
      <w:bookmarkStart w:id="9" w:name="_Toc10756"/>
      <w:bookmarkStart w:id="10" w:name="_Toc531742146"/>
      <w:bookmarkStart w:id="11" w:name="_Toc31058"/>
      <w:r>
        <w:rPr>
          <w:rFonts w:hint="eastAsia" w:ascii="宋体"/>
          <w:color w:val="auto"/>
          <w:sz w:val="28"/>
          <w:szCs w:val="28"/>
          <w:highlight w:val="none"/>
        </w:rPr>
        <w:t>一、投标邀请</w:t>
      </w:r>
      <w:bookmarkEnd w:id="5"/>
      <w:bookmarkEnd w:id="6"/>
      <w:bookmarkEnd w:id="7"/>
      <w:bookmarkEnd w:id="8"/>
      <w:bookmarkEnd w:id="9"/>
      <w:bookmarkEnd w:id="10"/>
      <w:bookmarkEnd w:id="11"/>
    </w:p>
    <w:p w14:paraId="2E08E2E6">
      <w:pPr>
        <w:spacing w:line="360" w:lineRule="auto"/>
        <w:ind w:firstLine="480" w:firstLineChars="200"/>
        <w:rPr>
          <w:rFonts w:ascii="宋体"/>
          <w:color w:val="auto"/>
          <w:sz w:val="24"/>
          <w:highlight w:val="none"/>
        </w:rPr>
      </w:pPr>
      <w:r>
        <w:rPr>
          <w:rFonts w:hint="eastAsia" w:ascii="宋体"/>
          <w:color w:val="auto"/>
          <w:sz w:val="24"/>
          <w:highlight w:val="none"/>
        </w:rPr>
        <w:t>受</w:t>
      </w:r>
      <w:r>
        <w:rPr>
          <w:rFonts w:hint="eastAsia" w:ascii="宋体"/>
          <w:b/>
          <w:color w:val="auto"/>
          <w:sz w:val="24"/>
          <w:highlight w:val="none"/>
          <w:u w:val="single"/>
        </w:rPr>
        <w:t>厦门大学</w:t>
      </w:r>
      <w:r>
        <w:rPr>
          <w:rFonts w:hint="eastAsia" w:ascii="宋体"/>
          <w:color w:val="auto"/>
          <w:sz w:val="24"/>
          <w:highlight w:val="none"/>
        </w:rPr>
        <w:t>委托，我司对“</w:t>
      </w:r>
      <w:r>
        <w:rPr>
          <w:rFonts w:hint="eastAsia" w:ascii="宋体"/>
          <w:b/>
          <w:bCs/>
          <w:color w:val="auto"/>
          <w:sz w:val="24"/>
          <w:highlight w:val="none"/>
          <w:u w:val="single"/>
          <w:lang w:eastAsia="zh-CN"/>
        </w:rPr>
        <w:t>厦门大学化学化工学院自动化合成反应器</w:t>
      </w:r>
      <w:r>
        <w:rPr>
          <w:rFonts w:hint="eastAsia" w:ascii="宋体"/>
          <w:color w:val="auto"/>
          <w:sz w:val="24"/>
          <w:highlight w:val="none"/>
        </w:rPr>
        <w:t>”的货物及服务进行国内公开招标，现欢迎合格的投标人前来提交密封的投标。</w:t>
      </w:r>
    </w:p>
    <w:p w14:paraId="7BB50D6A">
      <w:pPr>
        <w:numPr>
          <w:ilvl w:val="0"/>
          <w:numId w:val="2"/>
        </w:numPr>
        <w:tabs>
          <w:tab w:val="left" w:pos="142"/>
        </w:tabs>
        <w:spacing w:line="360" w:lineRule="auto"/>
        <w:rPr>
          <w:rFonts w:ascii="宋体"/>
          <w:color w:val="auto"/>
          <w:sz w:val="24"/>
          <w:highlight w:val="none"/>
        </w:rPr>
      </w:pPr>
      <w:r>
        <w:rPr>
          <w:rFonts w:hint="eastAsia" w:ascii="宋体"/>
          <w:color w:val="auto"/>
          <w:sz w:val="24"/>
          <w:highlight w:val="none"/>
        </w:rPr>
        <w:t>项目编号：</w:t>
      </w:r>
      <w:r>
        <w:rPr>
          <w:rFonts w:hint="eastAsia" w:ascii="宋体"/>
          <w:color w:val="auto"/>
          <w:sz w:val="24"/>
          <w:highlight w:val="none"/>
          <w:lang w:eastAsia="zh-CN"/>
        </w:rPr>
        <w:t>2024-HCGK-SH1466</w:t>
      </w:r>
    </w:p>
    <w:p w14:paraId="0C7415DB">
      <w:pPr>
        <w:numPr>
          <w:ilvl w:val="0"/>
          <w:numId w:val="2"/>
        </w:numPr>
        <w:tabs>
          <w:tab w:val="left" w:pos="142"/>
        </w:tabs>
        <w:spacing w:line="360" w:lineRule="auto"/>
        <w:rPr>
          <w:rFonts w:ascii="宋体"/>
          <w:color w:val="auto"/>
          <w:spacing w:val="-14"/>
          <w:sz w:val="24"/>
          <w:highlight w:val="none"/>
        </w:rPr>
      </w:pPr>
      <w:r>
        <w:rPr>
          <w:rFonts w:hint="eastAsia" w:ascii="宋体"/>
          <w:color w:val="auto"/>
          <w:spacing w:val="-14"/>
          <w:sz w:val="24"/>
          <w:highlight w:val="none"/>
        </w:rPr>
        <w:t>招标货物名称、数量及主要技术规格：见后</w:t>
      </w:r>
      <w:r>
        <w:rPr>
          <w:rFonts w:hint="eastAsia" w:ascii="宋体"/>
          <w:color w:val="auto"/>
          <w:sz w:val="24"/>
          <w:highlight w:val="none"/>
        </w:rPr>
        <w:t>附：招标项目一览表</w:t>
      </w:r>
    </w:p>
    <w:p w14:paraId="3A2B1615">
      <w:pPr>
        <w:numPr>
          <w:ilvl w:val="0"/>
          <w:numId w:val="2"/>
        </w:numPr>
        <w:tabs>
          <w:tab w:val="left" w:pos="142"/>
        </w:tabs>
        <w:spacing w:line="360" w:lineRule="auto"/>
        <w:rPr>
          <w:rFonts w:ascii="宋体"/>
          <w:color w:val="auto"/>
          <w:sz w:val="24"/>
          <w:highlight w:val="none"/>
        </w:rPr>
      </w:pPr>
      <w:r>
        <w:rPr>
          <w:rFonts w:hint="eastAsia" w:ascii="宋体"/>
          <w:color w:val="auto"/>
          <w:sz w:val="24"/>
          <w:highlight w:val="none"/>
        </w:rPr>
        <w:t>招标文件购买时间：</w:t>
      </w:r>
      <w:r>
        <w:rPr>
          <w:rFonts w:hint="eastAsia" w:ascii="宋体"/>
          <w:color w:val="auto"/>
          <w:sz w:val="24"/>
          <w:highlight w:val="none"/>
          <w:u w:val="single"/>
        </w:rPr>
        <w:t>即日起至</w:t>
      </w:r>
      <w:r>
        <w:rPr>
          <w:rFonts w:hint="eastAsia" w:ascii="宋体"/>
          <w:b/>
          <w:bCs/>
          <w:color w:val="auto"/>
          <w:sz w:val="24"/>
          <w:highlight w:val="none"/>
          <w:u w:val="single"/>
        </w:rPr>
        <w:t>[2024年</w:t>
      </w:r>
      <w:r>
        <w:rPr>
          <w:rFonts w:hint="eastAsia" w:ascii="宋体"/>
          <w:b/>
          <w:bCs/>
          <w:color w:val="auto"/>
          <w:sz w:val="24"/>
          <w:highlight w:val="none"/>
          <w:u w:val="single"/>
          <w:lang w:val="en-US" w:eastAsia="zh-CN"/>
        </w:rPr>
        <w:t>12</w:t>
      </w:r>
      <w:r>
        <w:rPr>
          <w:rFonts w:hint="eastAsia" w:ascii="宋体"/>
          <w:b/>
          <w:bCs/>
          <w:color w:val="auto"/>
          <w:sz w:val="24"/>
          <w:highlight w:val="none"/>
          <w:u w:val="single"/>
        </w:rPr>
        <w:t>月</w:t>
      </w:r>
      <w:r>
        <w:rPr>
          <w:rFonts w:hint="eastAsia" w:ascii="宋体"/>
          <w:b/>
          <w:bCs/>
          <w:color w:val="auto"/>
          <w:sz w:val="24"/>
          <w:highlight w:val="none"/>
          <w:u w:val="single"/>
          <w:lang w:val="en-US" w:eastAsia="zh-CN"/>
        </w:rPr>
        <w:t>05</w:t>
      </w:r>
      <w:r>
        <w:rPr>
          <w:rFonts w:hint="eastAsia" w:ascii="宋体"/>
          <w:b/>
          <w:bCs/>
          <w:color w:val="auto"/>
          <w:sz w:val="24"/>
          <w:highlight w:val="none"/>
          <w:u w:val="single"/>
        </w:rPr>
        <w:t>日]</w:t>
      </w:r>
      <w:r>
        <w:rPr>
          <w:rFonts w:hint="eastAsia" w:ascii="宋体"/>
          <w:color w:val="auto"/>
          <w:sz w:val="24"/>
          <w:highlight w:val="none"/>
          <w:u w:val="single"/>
        </w:rPr>
        <w:t xml:space="preserve"> </w:t>
      </w:r>
      <w:r>
        <w:rPr>
          <w:rFonts w:hint="eastAsia" w:ascii="宋体"/>
          <w:color w:val="auto"/>
          <w:sz w:val="24"/>
          <w:highlight w:val="none"/>
        </w:rPr>
        <w:t>(节假日除外) 上午[8:30:00-11:30:00]或下午[2:30:00-5:30:00]（北京时间）。</w:t>
      </w:r>
    </w:p>
    <w:p w14:paraId="589A2446">
      <w:pPr>
        <w:numPr>
          <w:ilvl w:val="0"/>
          <w:numId w:val="2"/>
        </w:numPr>
        <w:tabs>
          <w:tab w:val="left" w:pos="142"/>
        </w:tabs>
        <w:spacing w:line="360" w:lineRule="auto"/>
        <w:rPr>
          <w:rFonts w:ascii="宋体"/>
          <w:color w:val="auto"/>
          <w:sz w:val="24"/>
          <w:highlight w:val="none"/>
        </w:rPr>
      </w:pPr>
      <w:r>
        <w:rPr>
          <w:rFonts w:hint="eastAsia" w:ascii="宋体"/>
          <w:color w:val="auto"/>
          <w:sz w:val="24"/>
          <w:highlight w:val="none"/>
        </w:rPr>
        <w:t>招标文件售价：￥50元，未报名获取招标文件的投标单位其投标文件将被拒收。</w:t>
      </w:r>
    </w:p>
    <w:p w14:paraId="36806CFF">
      <w:pPr>
        <w:numPr>
          <w:ilvl w:val="0"/>
          <w:numId w:val="2"/>
        </w:numPr>
        <w:tabs>
          <w:tab w:val="left" w:pos="142"/>
        </w:tabs>
        <w:spacing w:line="360" w:lineRule="auto"/>
        <w:rPr>
          <w:rFonts w:ascii="宋体"/>
          <w:color w:val="auto"/>
          <w:sz w:val="24"/>
          <w:highlight w:val="none"/>
        </w:rPr>
      </w:pPr>
      <w:r>
        <w:rPr>
          <w:rFonts w:hint="eastAsia" w:ascii="宋体"/>
          <w:color w:val="auto"/>
          <w:sz w:val="24"/>
          <w:highlight w:val="none"/>
        </w:rPr>
        <w:t>投标截止时间：投标文件应于</w:t>
      </w:r>
      <w:r>
        <w:rPr>
          <w:rFonts w:hint="eastAsia" w:ascii="宋体"/>
          <w:b/>
          <w:bCs/>
          <w:color w:val="auto"/>
          <w:sz w:val="24"/>
          <w:highlight w:val="none"/>
        </w:rPr>
        <w:t>[</w:t>
      </w:r>
      <w:r>
        <w:rPr>
          <w:rFonts w:hint="eastAsia" w:ascii="宋体"/>
          <w:b/>
          <w:bCs/>
          <w:color w:val="auto"/>
          <w:sz w:val="24"/>
          <w:highlight w:val="none"/>
          <w:u w:val="single"/>
        </w:rPr>
        <w:t>2024年</w:t>
      </w:r>
      <w:r>
        <w:rPr>
          <w:rFonts w:hint="eastAsia" w:ascii="宋体"/>
          <w:b/>
          <w:bCs/>
          <w:color w:val="auto"/>
          <w:sz w:val="24"/>
          <w:highlight w:val="none"/>
          <w:u w:val="single"/>
          <w:lang w:val="en-US" w:eastAsia="zh-CN"/>
        </w:rPr>
        <w:t>12</w:t>
      </w:r>
      <w:r>
        <w:rPr>
          <w:rFonts w:hint="eastAsia" w:ascii="宋体"/>
          <w:b/>
          <w:bCs/>
          <w:color w:val="auto"/>
          <w:sz w:val="24"/>
          <w:highlight w:val="none"/>
          <w:u w:val="single"/>
        </w:rPr>
        <w:t>月</w:t>
      </w:r>
      <w:r>
        <w:rPr>
          <w:rFonts w:hint="eastAsia" w:ascii="宋体"/>
          <w:b/>
          <w:bCs/>
          <w:color w:val="auto"/>
          <w:sz w:val="24"/>
          <w:highlight w:val="none"/>
          <w:u w:val="single"/>
          <w:lang w:val="en-US" w:eastAsia="zh-CN"/>
        </w:rPr>
        <w:t>19</w:t>
      </w:r>
      <w:r>
        <w:rPr>
          <w:rFonts w:hint="eastAsia" w:ascii="宋体"/>
          <w:b/>
          <w:bCs/>
          <w:color w:val="auto"/>
          <w:sz w:val="24"/>
          <w:highlight w:val="none"/>
          <w:u w:val="single"/>
        </w:rPr>
        <w:t>日]</w:t>
      </w:r>
      <w:r>
        <w:rPr>
          <w:rFonts w:hint="eastAsia" w:ascii="宋体"/>
          <w:b/>
          <w:bCs/>
          <w:color w:val="auto"/>
          <w:sz w:val="24"/>
          <w:highlight w:val="none"/>
          <w:u w:val="single"/>
          <w:lang w:val="en-US" w:eastAsia="zh-CN"/>
        </w:rPr>
        <w:t>下</w:t>
      </w:r>
      <w:r>
        <w:rPr>
          <w:rFonts w:hint="eastAsia" w:ascii="宋体"/>
          <w:b/>
          <w:bCs/>
          <w:color w:val="auto"/>
          <w:sz w:val="24"/>
          <w:highlight w:val="none"/>
          <w:u w:val="single"/>
        </w:rPr>
        <w:t>午[0</w:t>
      </w:r>
      <w:r>
        <w:rPr>
          <w:rFonts w:hint="eastAsia" w:ascii="宋体"/>
          <w:b/>
          <w:bCs/>
          <w:color w:val="auto"/>
          <w:sz w:val="24"/>
          <w:highlight w:val="none"/>
          <w:u w:val="single"/>
          <w:lang w:val="en-US" w:eastAsia="zh-CN"/>
        </w:rPr>
        <w:t>3</w:t>
      </w:r>
      <w:r>
        <w:rPr>
          <w:rFonts w:hint="eastAsia" w:ascii="宋体"/>
          <w:b/>
          <w:bCs/>
          <w:color w:val="auto"/>
          <w:sz w:val="24"/>
          <w:highlight w:val="none"/>
          <w:u w:val="single"/>
        </w:rPr>
        <w:t>:</w:t>
      </w:r>
      <w:r>
        <w:rPr>
          <w:rFonts w:hint="eastAsia" w:ascii="宋体"/>
          <w:b/>
          <w:bCs/>
          <w:color w:val="auto"/>
          <w:sz w:val="24"/>
          <w:highlight w:val="none"/>
          <w:u w:val="single"/>
          <w:lang w:val="en-US" w:eastAsia="zh-CN"/>
        </w:rPr>
        <w:t>0</w:t>
      </w:r>
      <w:r>
        <w:rPr>
          <w:rFonts w:hint="eastAsia" w:ascii="宋体"/>
          <w:b/>
          <w:bCs/>
          <w:color w:val="auto"/>
          <w:sz w:val="24"/>
          <w:highlight w:val="none"/>
          <w:u w:val="single"/>
        </w:rPr>
        <w:t>0:00]</w:t>
      </w:r>
      <w:r>
        <w:rPr>
          <w:rFonts w:hint="eastAsia" w:ascii="宋体"/>
          <w:color w:val="auto"/>
          <w:sz w:val="24"/>
          <w:highlight w:val="none"/>
          <w:u w:val="single"/>
        </w:rPr>
        <w:t>（北京时间</w:t>
      </w:r>
      <w:r>
        <w:rPr>
          <w:rFonts w:hint="eastAsia" w:ascii="宋体"/>
          <w:color w:val="auto"/>
          <w:sz w:val="24"/>
          <w:highlight w:val="none"/>
        </w:rPr>
        <w:t>）之前提交到</w:t>
      </w:r>
      <w:r>
        <w:rPr>
          <w:rFonts w:hint="eastAsia" w:ascii="宋体"/>
          <w:b/>
          <w:color w:val="auto"/>
          <w:sz w:val="24"/>
          <w:highlight w:val="none"/>
          <w:u w:val="single"/>
        </w:rPr>
        <w:t>[</w:t>
      </w:r>
      <w:r>
        <w:rPr>
          <w:rFonts w:hint="eastAsia" w:ascii="宋体"/>
          <w:b/>
          <w:bCs/>
          <w:color w:val="auto"/>
          <w:sz w:val="24"/>
          <w:highlight w:val="none"/>
          <w:u w:val="single"/>
        </w:rPr>
        <w:t>厦门市思明区莲岳路221-1号（公交大厦A栋）12楼开标厅</w:t>
      </w:r>
      <w:r>
        <w:rPr>
          <w:rFonts w:hint="eastAsia" w:ascii="宋体"/>
          <w:b/>
          <w:color w:val="auto"/>
          <w:sz w:val="24"/>
          <w:highlight w:val="none"/>
          <w:u w:val="single"/>
        </w:rPr>
        <w:t>]</w:t>
      </w:r>
      <w:r>
        <w:rPr>
          <w:rFonts w:hint="eastAsia" w:ascii="宋体"/>
          <w:color w:val="auto"/>
          <w:sz w:val="24"/>
          <w:highlight w:val="none"/>
        </w:rPr>
        <w:t>，逾期递交的或不符合规定的投标文件将被拒绝。</w:t>
      </w:r>
    </w:p>
    <w:p w14:paraId="36F751E8">
      <w:pPr>
        <w:numPr>
          <w:ilvl w:val="0"/>
          <w:numId w:val="2"/>
        </w:numPr>
        <w:tabs>
          <w:tab w:val="left" w:pos="142"/>
        </w:tabs>
        <w:spacing w:line="360" w:lineRule="auto"/>
        <w:rPr>
          <w:rFonts w:ascii="宋体"/>
          <w:color w:val="auto"/>
          <w:sz w:val="24"/>
          <w:highlight w:val="none"/>
        </w:rPr>
      </w:pPr>
      <w:r>
        <w:rPr>
          <w:rFonts w:hint="eastAsia" w:ascii="宋体"/>
          <w:color w:val="auto"/>
          <w:sz w:val="24"/>
          <w:highlight w:val="none"/>
        </w:rPr>
        <w:t>开标时间、地点:</w:t>
      </w:r>
      <w:r>
        <w:rPr>
          <w:rFonts w:hint="eastAsia" w:ascii="宋体"/>
          <w:b/>
          <w:bCs/>
          <w:color w:val="auto"/>
          <w:sz w:val="24"/>
          <w:highlight w:val="none"/>
        </w:rPr>
        <w:t>[</w:t>
      </w:r>
      <w:r>
        <w:rPr>
          <w:rFonts w:hint="eastAsia" w:ascii="宋体"/>
          <w:b/>
          <w:bCs/>
          <w:color w:val="auto"/>
          <w:sz w:val="24"/>
          <w:highlight w:val="none"/>
          <w:u w:val="single"/>
        </w:rPr>
        <w:t>2024年</w:t>
      </w:r>
      <w:r>
        <w:rPr>
          <w:rFonts w:hint="eastAsia" w:ascii="宋体"/>
          <w:b/>
          <w:bCs/>
          <w:color w:val="auto"/>
          <w:sz w:val="24"/>
          <w:highlight w:val="none"/>
          <w:u w:val="single"/>
          <w:lang w:val="en-US" w:eastAsia="zh-CN"/>
        </w:rPr>
        <w:t>12</w:t>
      </w:r>
      <w:r>
        <w:rPr>
          <w:rFonts w:hint="eastAsia" w:ascii="宋体"/>
          <w:b/>
          <w:bCs/>
          <w:color w:val="auto"/>
          <w:sz w:val="24"/>
          <w:highlight w:val="none"/>
          <w:u w:val="single"/>
        </w:rPr>
        <w:t>月</w:t>
      </w:r>
      <w:r>
        <w:rPr>
          <w:rFonts w:hint="eastAsia" w:ascii="宋体"/>
          <w:b/>
          <w:bCs/>
          <w:color w:val="auto"/>
          <w:sz w:val="24"/>
          <w:highlight w:val="none"/>
          <w:u w:val="single"/>
          <w:lang w:val="en-US" w:eastAsia="zh-CN"/>
        </w:rPr>
        <w:t>19</w:t>
      </w:r>
      <w:r>
        <w:rPr>
          <w:rFonts w:hint="eastAsia" w:ascii="宋体"/>
          <w:b/>
          <w:bCs/>
          <w:color w:val="auto"/>
          <w:sz w:val="24"/>
          <w:highlight w:val="none"/>
          <w:u w:val="single"/>
        </w:rPr>
        <w:t>日]</w:t>
      </w:r>
      <w:r>
        <w:rPr>
          <w:rFonts w:hint="eastAsia" w:ascii="宋体"/>
          <w:b/>
          <w:bCs/>
          <w:color w:val="auto"/>
          <w:sz w:val="24"/>
          <w:highlight w:val="none"/>
          <w:u w:val="single"/>
          <w:lang w:val="en-US" w:eastAsia="zh-CN"/>
        </w:rPr>
        <w:t>下</w:t>
      </w:r>
      <w:r>
        <w:rPr>
          <w:rFonts w:hint="eastAsia" w:ascii="宋体"/>
          <w:b/>
          <w:bCs/>
          <w:color w:val="auto"/>
          <w:sz w:val="24"/>
          <w:highlight w:val="none"/>
          <w:u w:val="single"/>
        </w:rPr>
        <w:t>午[0</w:t>
      </w:r>
      <w:r>
        <w:rPr>
          <w:rFonts w:hint="eastAsia" w:ascii="宋体"/>
          <w:b/>
          <w:bCs/>
          <w:color w:val="auto"/>
          <w:sz w:val="24"/>
          <w:highlight w:val="none"/>
          <w:u w:val="single"/>
          <w:lang w:val="en-US" w:eastAsia="zh-CN"/>
        </w:rPr>
        <w:t>3</w:t>
      </w:r>
      <w:r>
        <w:rPr>
          <w:rFonts w:hint="eastAsia" w:ascii="宋体"/>
          <w:b/>
          <w:bCs/>
          <w:color w:val="auto"/>
          <w:sz w:val="24"/>
          <w:highlight w:val="none"/>
          <w:u w:val="single"/>
        </w:rPr>
        <w:t>:</w:t>
      </w:r>
      <w:r>
        <w:rPr>
          <w:rFonts w:hint="eastAsia" w:ascii="宋体"/>
          <w:b/>
          <w:bCs/>
          <w:color w:val="auto"/>
          <w:sz w:val="24"/>
          <w:highlight w:val="none"/>
          <w:u w:val="single"/>
          <w:lang w:val="en-US" w:eastAsia="zh-CN"/>
        </w:rPr>
        <w:t>0</w:t>
      </w:r>
      <w:r>
        <w:rPr>
          <w:rFonts w:hint="eastAsia" w:ascii="宋体"/>
          <w:b/>
          <w:bCs/>
          <w:color w:val="auto"/>
          <w:sz w:val="24"/>
          <w:highlight w:val="none"/>
          <w:u w:val="single"/>
        </w:rPr>
        <w:t>0:00]</w:t>
      </w:r>
      <w:r>
        <w:rPr>
          <w:rFonts w:hint="eastAsia" w:ascii="宋体"/>
          <w:color w:val="auto"/>
          <w:sz w:val="24"/>
          <w:highlight w:val="none"/>
          <w:u w:val="single"/>
        </w:rPr>
        <w:t>（北京时间</w:t>
      </w:r>
      <w:r>
        <w:rPr>
          <w:rFonts w:hint="eastAsia" w:ascii="宋体"/>
          <w:color w:val="auto"/>
          <w:sz w:val="24"/>
          <w:highlight w:val="none"/>
        </w:rPr>
        <w:t>）、</w:t>
      </w:r>
      <w:r>
        <w:rPr>
          <w:rFonts w:hint="eastAsia" w:ascii="宋体"/>
          <w:b/>
          <w:color w:val="auto"/>
          <w:sz w:val="24"/>
          <w:highlight w:val="none"/>
          <w:u w:val="single"/>
        </w:rPr>
        <w:t>[</w:t>
      </w:r>
      <w:r>
        <w:rPr>
          <w:rFonts w:hint="eastAsia" w:ascii="宋体"/>
          <w:b/>
          <w:bCs/>
          <w:color w:val="auto"/>
          <w:sz w:val="24"/>
          <w:highlight w:val="none"/>
          <w:u w:val="single"/>
        </w:rPr>
        <w:t>厦门市思明区莲岳路221-1号（公交大厦A栋）12楼开标厅</w:t>
      </w:r>
      <w:r>
        <w:rPr>
          <w:rFonts w:hint="eastAsia" w:ascii="宋体"/>
          <w:b/>
          <w:color w:val="auto"/>
          <w:sz w:val="24"/>
          <w:highlight w:val="none"/>
          <w:u w:val="single"/>
        </w:rPr>
        <w:t>]</w:t>
      </w:r>
      <w:r>
        <w:rPr>
          <w:rFonts w:hint="eastAsia" w:ascii="宋体"/>
          <w:b/>
          <w:color w:val="auto"/>
          <w:sz w:val="24"/>
          <w:highlight w:val="none"/>
        </w:rPr>
        <w:t>。</w:t>
      </w:r>
    </w:p>
    <w:p w14:paraId="254F08E2">
      <w:pPr>
        <w:numPr>
          <w:ilvl w:val="0"/>
          <w:numId w:val="2"/>
        </w:numPr>
        <w:tabs>
          <w:tab w:val="left" w:pos="142"/>
        </w:tabs>
        <w:spacing w:line="360" w:lineRule="auto"/>
        <w:rPr>
          <w:rFonts w:ascii="宋体"/>
          <w:b/>
          <w:color w:val="auto"/>
          <w:sz w:val="24"/>
          <w:highlight w:val="none"/>
        </w:rPr>
      </w:pPr>
      <w:r>
        <w:rPr>
          <w:rFonts w:hint="eastAsia" w:ascii="宋体"/>
          <w:b/>
          <w:color w:val="auto"/>
          <w:sz w:val="24"/>
          <w:highlight w:val="none"/>
        </w:rPr>
        <w:t>本项目不接受联合体投标。</w:t>
      </w:r>
    </w:p>
    <w:p w14:paraId="793FA24A">
      <w:pPr>
        <w:numPr>
          <w:ilvl w:val="0"/>
          <w:numId w:val="2"/>
        </w:numPr>
        <w:tabs>
          <w:tab w:val="left" w:pos="142"/>
        </w:tabs>
        <w:spacing w:line="360" w:lineRule="auto"/>
        <w:rPr>
          <w:rFonts w:ascii="宋体"/>
          <w:color w:val="auto"/>
          <w:sz w:val="24"/>
          <w:highlight w:val="none"/>
        </w:rPr>
      </w:pPr>
      <w:r>
        <w:rPr>
          <w:rFonts w:hint="eastAsia" w:ascii="宋体"/>
          <w:bCs/>
          <w:color w:val="auto"/>
          <w:sz w:val="24"/>
          <w:highlight w:val="none"/>
        </w:rPr>
        <w:t>以上信息如有变更，我司将通过中国政府采购网（http://www.ccgp.gov.cn/）、厦门市华沧采购招标有限公司网站（http://www.xm-hc.com/）等信息发布媒体通知，请投标人关注。</w:t>
      </w:r>
    </w:p>
    <w:p w14:paraId="1B94BCD6">
      <w:pPr>
        <w:tabs>
          <w:tab w:val="left" w:pos="142"/>
        </w:tabs>
        <w:spacing w:line="360" w:lineRule="auto"/>
        <w:ind w:firstLine="480" w:firstLineChars="200"/>
        <w:rPr>
          <w:rFonts w:ascii="宋体"/>
          <w:color w:val="auto"/>
          <w:sz w:val="24"/>
          <w:highlight w:val="none"/>
          <w:u w:val="single"/>
        </w:rPr>
      </w:pPr>
      <w:r>
        <w:rPr>
          <w:rFonts w:hint="eastAsia" w:ascii="宋体"/>
          <w:color w:val="auto"/>
          <w:sz w:val="24"/>
          <w:highlight w:val="none"/>
        </w:rPr>
        <w:t>采购代理机构：厦门市华沧采购招标有限公司          邮 编：361000</w:t>
      </w:r>
    </w:p>
    <w:p w14:paraId="0ED81B8E">
      <w:pPr>
        <w:tabs>
          <w:tab w:val="left" w:pos="142"/>
        </w:tabs>
        <w:spacing w:line="360" w:lineRule="auto"/>
        <w:ind w:firstLine="480" w:firstLineChars="200"/>
        <w:rPr>
          <w:rFonts w:ascii="宋体"/>
          <w:color w:val="auto"/>
          <w:sz w:val="24"/>
          <w:highlight w:val="none"/>
        </w:rPr>
      </w:pPr>
      <w:r>
        <w:rPr>
          <w:rFonts w:hint="eastAsia" w:ascii="宋体"/>
          <w:color w:val="auto"/>
          <w:sz w:val="24"/>
          <w:highlight w:val="none"/>
        </w:rPr>
        <w:t xml:space="preserve">地    址：厦门市思明区莲岳路221-1号（公交大厦A栋）11楼 </w:t>
      </w:r>
    </w:p>
    <w:p w14:paraId="0C3070FC">
      <w:pPr>
        <w:tabs>
          <w:tab w:val="left" w:pos="142"/>
        </w:tabs>
        <w:spacing w:line="360" w:lineRule="auto"/>
        <w:ind w:firstLine="1680" w:firstLineChars="700"/>
        <w:rPr>
          <w:rFonts w:ascii="宋体"/>
          <w:color w:val="auto"/>
          <w:sz w:val="24"/>
          <w:highlight w:val="none"/>
        </w:rPr>
      </w:pPr>
      <w:r>
        <w:rPr>
          <w:rFonts w:hint="eastAsia" w:ascii="宋体"/>
          <w:color w:val="auto"/>
          <w:sz w:val="24"/>
          <w:highlight w:val="none"/>
        </w:rPr>
        <w:t xml:space="preserve">厦门市海沧区沧虹路95号工商银行大厦8楼         </w:t>
      </w:r>
    </w:p>
    <w:p w14:paraId="62347B49">
      <w:pPr>
        <w:tabs>
          <w:tab w:val="left" w:pos="142"/>
        </w:tabs>
        <w:snapToGrid w:val="0"/>
        <w:spacing w:line="360" w:lineRule="auto"/>
        <w:ind w:firstLine="480" w:firstLineChars="200"/>
        <w:rPr>
          <w:rFonts w:ascii="宋体"/>
          <w:color w:val="auto"/>
          <w:sz w:val="24"/>
          <w:highlight w:val="none"/>
        </w:rPr>
      </w:pPr>
      <w:r>
        <w:rPr>
          <w:rFonts w:hint="eastAsia" w:ascii="宋体"/>
          <w:color w:val="auto"/>
          <w:sz w:val="24"/>
          <w:highlight w:val="none"/>
        </w:rPr>
        <w:t xml:space="preserve">项目经办人及联系方式：李先生  0592-5333087   </w:t>
      </w:r>
    </w:p>
    <w:p w14:paraId="7F856C70">
      <w:pPr>
        <w:tabs>
          <w:tab w:val="left" w:pos="142"/>
        </w:tabs>
        <w:snapToGrid w:val="0"/>
        <w:spacing w:line="360" w:lineRule="auto"/>
        <w:rPr>
          <w:rFonts w:ascii="宋体"/>
          <w:color w:val="auto"/>
          <w:sz w:val="24"/>
          <w:highlight w:val="none"/>
        </w:rPr>
      </w:pPr>
      <w:r>
        <w:rPr>
          <w:rFonts w:hint="eastAsia" w:ascii="宋体"/>
          <w:color w:val="auto"/>
          <w:sz w:val="24"/>
          <w:highlight w:val="none"/>
        </w:rPr>
        <w:t xml:space="preserve">    保证金经办人及联系方式：叶小姐  0592-5333806  </w:t>
      </w:r>
    </w:p>
    <w:p w14:paraId="46D1F170">
      <w:pPr>
        <w:spacing w:line="360" w:lineRule="auto"/>
        <w:ind w:firstLine="482" w:firstLineChars="200"/>
        <w:rPr>
          <w:rFonts w:ascii="宋体" w:cs="宋体"/>
          <w:color w:val="auto"/>
          <w:sz w:val="24"/>
          <w:highlight w:val="none"/>
        </w:rPr>
      </w:pPr>
      <w:r>
        <w:rPr>
          <w:rFonts w:hint="eastAsia" w:ascii="宋体"/>
          <w:b/>
          <w:color w:val="auto"/>
          <w:sz w:val="24"/>
          <w:highlight w:val="none"/>
        </w:rPr>
        <w:t>投标保证金缴交账户：</w:t>
      </w:r>
      <w:r>
        <w:rPr>
          <w:rFonts w:hint="eastAsia" w:ascii="宋体" w:cs="宋体"/>
          <w:color w:val="auto"/>
          <w:sz w:val="24"/>
          <w:highlight w:val="none"/>
        </w:rPr>
        <w:t>开户名：厦门市华沧采购招标有限公司</w:t>
      </w:r>
    </w:p>
    <w:p w14:paraId="53D12875">
      <w:pPr>
        <w:spacing w:line="360" w:lineRule="auto"/>
        <w:ind w:firstLine="480" w:firstLineChars="200"/>
        <w:rPr>
          <w:rFonts w:ascii="宋体"/>
          <w:color w:val="auto"/>
          <w:sz w:val="24"/>
          <w:highlight w:val="none"/>
          <w:u w:val="single"/>
        </w:rPr>
      </w:pPr>
      <w:r>
        <w:rPr>
          <w:rFonts w:hint="eastAsia" w:ascii="宋体" w:cs="宋体"/>
          <w:color w:val="auto"/>
          <w:sz w:val="24"/>
          <w:highlight w:val="none"/>
        </w:rPr>
        <w:t>开户行：厦门银行前埔支行   账  号：87430120540000212</w:t>
      </w:r>
    </w:p>
    <w:p w14:paraId="01064F5E">
      <w:pPr>
        <w:tabs>
          <w:tab w:val="left" w:pos="142"/>
        </w:tabs>
        <w:spacing w:line="360" w:lineRule="auto"/>
        <w:ind w:firstLine="482" w:firstLineChars="200"/>
        <w:rPr>
          <w:rFonts w:ascii="宋体"/>
          <w:color w:val="auto"/>
          <w:sz w:val="24"/>
          <w:highlight w:val="none"/>
        </w:rPr>
      </w:pPr>
      <w:r>
        <w:rPr>
          <w:rFonts w:hint="eastAsia" w:ascii="宋体"/>
          <w:b/>
          <w:color w:val="auto"/>
          <w:sz w:val="24"/>
          <w:highlight w:val="none"/>
        </w:rPr>
        <w:t>招标代理服务费缴交账户</w:t>
      </w:r>
      <w:r>
        <w:rPr>
          <w:rFonts w:hint="eastAsia" w:ascii="宋体"/>
          <w:color w:val="auto"/>
          <w:sz w:val="24"/>
          <w:highlight w:val="none"/>
        </w:rPr>
        <w:t xml:space="preserve">：开户名：厦门市华沧采购招标有限公司 </w:t>
      </w:r>
    </w:p>
    <w:p w14:paraId="5131C3C2">
      <w:pPr>
        <w:tabs>
          <w:tab w:val="left" w:pos="142"/>
        </w:tabs>
        <w:spacing w:line="360" w:lineRule="auto"/>
        <w:ind w:firstLine="480" w:firstLineChars="200"/>
        <w:rPr>
          <w:rFonts w:ascii="宋体"/>
          <w:color w:val="auto"/>
          <w:sz w:val="24"/>
          <w:highlight w:val="none"/>
        </w:rPr>
      </w:pPr>
      <w:r>
        <w:rPr>
          <w:rFonts w:hint="eastAsia" w:ascii="宋体"/>
          <w:color w:val="auto"/>
          <w:sz w:val="24"/>
          <w:highlight w:val="none"/>
        </w:rPr>
        <w:t>开户行：厦门银行银隆支行   账 号：8751020109007675</w:t>
      </w:r>
    </w:p>
    <w:p w14:paraId="635AEE8C">
      <w:pPr>
        <w:pStyle w:val="6"/>
        <w:jc w:val="right"/>
        <w:rPr>
          <w:rFonts w:ascii="宋体"/>
          <w:color w:val="auto"/>
          <w:sz w:val="24"/>
          <w:szCs w:val="24"/>
          <w:highlight w:val="none"/>
        </w:rPr>
      </w:pPr>
      <w:r>
        <w:rPr>
          <w:rFonts w:hint="eastAsia" w:ascii="宋体"/>
          <w:color w:val="auto"/>
          <w:sz w:val="24"/>
          <w:szCs w:val="24"/>
          <w:highlight w:val="none"/>
        </w:rPr>
        <w:t>厦门市华沧采购招标有限公司</w:t>
      </w:r>
    </w:p>
    <w:p w14:paraId="384CCEB1">
      <w:pPr>
        <w:pStyle w:val="6"/>
        <w:jc w:val="center"/>
        <w:rPr>
          <w:rFonts w:ascii="宋体"/>
          <w:color w:val="auto"/>
          <w:sz w:val="24"/>
          <w:szCs w:val="24"/>
          <w:highlight w:val="none"/>
        </w:rPr>
        <w:sectPr>
          <w:pgSz w:w="11906" w:h="16838"/>
          <w:pgMar w:top="851" w:right="1247" w:bottom="709" w:left="1247" w:header="851" w:footer="567" w:gutter="0"/>
          <w:cols w:space="720" w:num="1"/>
          <w:docGrid w:linePitch="312" w:charSpace="0"/>
        </w:sectPr>
      </w:pPr>
      <w:r>
        <w:rPr>
          <w:rFonts w:hint="eastAsia" w:ascii="宋体"/>
          <w:color w:val="auto"/>
          <w:sz w:val="24"/>
          <w:szCs w:val="24"/>
          <w:highlight w:val="none"/>
        </w:rPr>
        <w:t xml:space="preserve">                                                  2024年</w:t>
      </w:r>
      <w:r>
        <w:rPr>
          <w:rFonts w:hint="eastAsia" w:ascii="宋体"/>
          <w:color w:val="auto"/>
          <w:sz w:val="24"/>
          <w:szCs w:val="24"/>
          <w:highlight w:val="none"/>
          <w:lang w:val="en-US" w:eastAsia="zh-CN"/>
        </w:rPr>
        <w:t>11</w:t>
      </w:r>
      <w:r>
        <w:rPr>
          <w:rFonts w:hint="eastAsia" w:ascii="宋体"/>
          <w:color w:val="auto"/>
          <w:sz w:val="24"/>
          <w:szCs w:val="24"/>
          <w:highlight w:val="none"/>
        </w:rPr>
        <w:t>月</w:t>
      </w:r>
      <w:r>
        <w:rPr>
          <w:rFonts w:hint="eastAsia" w:ascii="宋体"/>
          <w:color w:val="auto"/>
          <w:sz w:val="24"/>
          <w:szCs w:val="24"/>
          <w:highlight w:val="none"/>
          <w:lang w:val="en-US" w:eastAsia="zh-CN"/>
        </w:rPr>
        <w:t>28</w:t>
      </w:r>
      <w:r>
        <w:rPr>
          <w:rFonts w:hint="eastAsia" w:ascii="宋体"/>
          <w:color w:val="auto"/>
          <w:sz w:val="24"/>
          <w:szCs w:val="24"/>
          <w:highlight w:val="none"/>
        </w:rPr>
        <w:t>日</w:t>
      </w:r>
    </w:p>
    <w:p w14:paraId="67962140">
      <w:pPr>
        <w:pageBreakBefore/>
        <w:spacing w:line="380" w:lineRule="exact"/>
        <w:jc w:val="center"/>
        <w:outlineLvl w:val="1"/>
        <w:rPr>
          <w:rFonts w:ascii="宋体"/>
          <w:b/>
          <w:color w:val="auto"/>
          <w:sz w:val="28"/>
          <w:szCs w:val="28"/>
          <w:highlight w:val="none"/>
        </w:rPr>
      </w:pPr>
      <w:bookmarkStart w:id="12" w:name="_Toc531742147"/>
      <w:bookmarkStart w:id="13" w:name="_Toc31789"/>
      <w:bookmarkStart w:id="14" w:name="_Toc6749"/>
      <w:r>
        <w:rPr>
          <w:rFonts w:hint="eastAsia" w:ascii="宋体"/>
          <w:b/>
          <w:color w:val="auto"/>
          <w:sz w:val="28"/>
          <w:szCs w:val="28"/>
          <w:highlight w:val="none"/>
        </w:rPr>
        <w:t>二、招标项目一览表</w:t>
      </w:r>
      <w:bookmarkEnd w:id="12"/>
      <w:bookmarkEnd w:id="13"/>
      <w:bookmarkEnd w:id="14"/>
    </w:p>
    <w:p w14:paraId="17393B37">
      <w:pPr>
        <w:spacing w:line="380" w:lineRule="exact"/>
        <w:ind w:left="-424" w:leftChars="-202" w:firstLine="236" w:firstLineChars="98"/>
        <w:rPr>
          <w:rFonts w:ascii="宋体"/>
          <w:b/>
          <w:color w:val="auto"/>
          <w:sz w:val="24"/>
          <w:highlight w:val="none"/>
        </w:rPr>
      </w:pPr>
      <w:r>
        <w:rPr>
          <w:rFonts w:hint="eastAsia" w:ascii="宋体"/>
          <w:b/>
          <w:color w:val="auto"/>
          <w:sz w:val="24"/>
          <w:highlight w:val="none"/>
        </w:rPr>
        <w:t xml:space="preserve">   </w:t>
      </w:r>
    </w:p>
    <w:tbl>
      <w:tblPr>
        <w:tblStyle w:val="28"/>
        <w:tblW w:w="10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248"/>
        <w:gridCol w:w="1100"/>
        <w:gridCol w:w="2000"/>
        <w:gridCol w:w="1573"/>
      </w:tblGrid>
      <w:tr w14:paraId="7347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14:paraId="246A80C8">
            <w:pPr>
              <w:spacing w:line="380" w:lineRule="exact"/>
              <w:jc w:val="center"/>
              <w:rPr>
                <w:rFonts w:ascii="宋体"/>
                <w:color w:val="auto"/>
                <w:sz w:val="24"/>
                <w:highlight w:val="none"/>
              </w:rPr>
            </w:pPr>
            <w:r>
              <w:rPr>
                <w:rFonts w:hint="eastAsia" w:ascii="宋体"/>
                <w:color w:val="auto"/>
                <w:sz w:val="24"/>
                <w:highlight w:val="none"/>
              </w:rPr>
              <w:t>项目名称</w:t>
            </w:r>
          </w:p>
        </w:tc>
        <w:tc>
          <w:tcPr>
            <w:tcW w:w="3248" w:type="dxa"/>
            <w:tcBorders>
              <w:top w:val="single" w:color="auto" w:sz="4" w:space="0"/>
              <w:left w:val="single" w:color="auto" w:sz="4" w:space="0"/>
              <w:bottom w:val="single" w:color="auto" w:sz="4" w:space="0"/>
              <w:right w:val="single" w:color="auto" w:sz="4" w:space="0"/>
            </w:tcBorders>
            <w:noWrap/>
            <w:vAlign w:val="center"/>
          </w:tcPr>
          <w:p w14:paraId="1ED418E1">
            <w:pPr>
              <w:spacing w:line="380" w:lineRule="exact"/>
              <w:jc w:val="center"/>
              <w:rPr>
                <w:rFonts w:ascii="宋体"/>
                <w:color w:val="auto"/>
                <w:sz w:val="24"/>
                <w:highlight w:val="none"/>
              </w:rPr>
            </w:pPr>
            <w:r>
              <w:rPr>
                <w:rFonts w:hint="eastAsia" w:ascii="宋体"/>
                <w:color w:val="auto"/>
                <w:sz w:val="24"/>
                <w:highlight w:val="none"/>
              </w:rPr>
              <w:t>项目概况与技术参数内容</w:t>
            </w:r>
          </w:p>
        </w:tc>
        <w:tc>
          <w:tcPr>
            <w:tcW w:w="1100" w:type="dxa"/>
            <w:tcBorders>
              <w:top w:val="single" w:color="auto" w:sz="4" w:space="0"/>
              <w:left w:val="single" w:color="auto" w:sz="4" w:space="0"/>
              <w:bottom w:val="single" w:color="auto" w:sz="4" w:space="0"/>
              <w:right w:val="single" w:color="auto" w:sz="4" w:space="0"/>
            </w:tcBorders>
            <w:noWrap/>
            <w:vAlign w:val="center"/>
          </w:tcPr>
          <w:p w14:paraId="47CEDC20">
            <w:pPr>
              <w:spacing w:line="380" w:lineRule="exact"/>
              <w:jc w:val="center"/>
              <w:rPr>
                <w:rFonts w:ascii="宋体"/>
                <w:color w:val="auto"/>
                <w:sz w:val="24"/>
                <w:highlight w:val="none"/>
              </w:rPr>
            </w:pPr>
            <w:r>
              <w:rPr>
                <w:rFonts w:hint="eastAsia" w:ascii="宋体"/>
                <w:color w:val="auto"/>
                <w:sz w:val="24"/>
                <w:highlight w:val="none"/>
              </w:rPr>
              <w:t>数量</w:t>
            </w:r>
          </w:p>
        </w:tc>
        <w:tc>
          <w:tcPr>
            <w:tcW w:w="2000" w:type="dxa"/>
            <w:tcBorders>
              <w:top w:val="single" w:color="auto" w:sz="4" w:space="0"/>
              <w:left w:val="single" w:color="auto" w:sz="4" w:space="0"/>
              <w:bottom w:val="single" w:color="auto" w:sz="4" w:space="0"/>
              <w:right w:val="single" w:color="auto" w:sz="4" w:space="0"/>
            </w:tcBorders>
            <w:noWrap/>
            <w:vAlign w:val="center"/>
          </w:tcPr>
          <w:p w14:paraId="53450FFA">
            <w:pPr>
              <w:spacing w:line="380" w:lineRule="exact"/>
              <w:jc w:val="center"/>
              <w:rPr>
                <w:rFonts w:ascii="宋体"/>
                <w:color w:val="auto"/>
                <w:sz w:val="24"/>
                <w:highlight w:val="none"/>
              </w:rPr>
            </w:pPr>
            <w:r>
              <w:rPr>
                <w:rFonts w:hint="eastAsia" w:ascii="宋体"/>
                <w:color w:val="auto"/>
                <w:sz w:val="24"/>
                <w:highlight w:val="none"/>
              </w:rPr>
              <w:t>预算金额</w:t>
            </w:r>
          </w:p>
        </w:tc>
        <w:tc>
          <w:tcPr>
            <w:tcW w:w="1573" w:type="dxa"/>
            <w:tcBorders>
              <w:top w:val="single" w:color="auto" w:sz="4" w:space="0"/>
              <w:left w:val="single" w:color="auto" w:sz="4" w:space="0"/>
              <w:bottom w:val="single" w:color="auto" w:sz="4" w:space="0"/>
              <w:right w:val="single" w:color="auto" w:sz="4" w:space="0"/>
            </w:tcBorders>
            <w:noWrap/>
            <w:vAlign w:val="center"/>
          </w:tcPr>
          <w:p w14:paraId="2B323C1E">
            <w:pPr>
              <w:jc w:val="center"/>
              <w:rPr>
                <w:rFonts w:ascii="宋体"/>
                <w:color w:val="auto"/>
                <w:sz w:val="24"/>
                <w:highlight w:val="none"/>
              </w:rPr>
            </w:pPr>
            <w:r>
              <w:rPr>
                <w:rFonts w:hint="eastAsia" w:ascii="宋体" w:hAnsi="宋体" w:cs="宋体"/>
                <w:b/>
                <w:bCs/>
                <w:color w:val="auto"/>
                <w:sz w:val="24"/>
                <w:szCs w:val="20"/>
                <w:highlight w:val="none"/>
                <w:lang w:bidi="ar"/>
              </w:rPr>
              <w:t>是否允许进口产品响应</w:t>
            </w:r>
          </w:p>
        </w:tc>
      </w:tr>
      <w:tr w14:paraId="1C7C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14:paraId="36CCC3D1">
            <w:pPr>
              <w:spacing w:line="380" w:lineRule="exact"/>
              <w:jc w:val="center"/>
              <w:rPr>
                <w:rFonts w:hint="eastAsia" w:ascii="宋体" w:eastAsia="宋体"/>
                <w:color w:val="auto"/>
                <w:sz w:val="24"/>
                <w:highlight w:val="none"/>
                <w:lang w:eastAsia="zh-CN"/>
              </w:rPr>
            </w:pPr>
            <w:r>
              <w:rPr>
                <w:rFonts w:hint="eastAsia" w:ascii="宋体"/>
                <w:color w:val="auto"/>
                <w:sz w:val="24"/>
                <w:highlight w:val="none"/>
                <w:lang w:eastAsia="zh-CN"/>
              </w:rPr>
              <w:t>厦门大学化学化工学院自动化合成反应器</w:t>
            </w:r>
          </w:p>
        </w:tc>
        <w:tc>
          <w:tcPr>
            <w:tcW w:w="3248" w:type="dxa"/>
            <w:tcBorders>
              <w:top w:val="single" w:color="auto" w:sz="4" w:space="0"/>
              <w:left w:val="single" w:color="auto" w:sz="4" w:space="0"/>
              <w:bottom w:val="single" w:color="auto" w:sz="4" w:space="0"/>
              <w:right w:val="single" w:color="auto" w:sz="4" w:space="0"/>
            </w:tcBorders>
            <w:noWrap/>
            <w:vAlign w:val="center"/>
          </w:tcPr>
          <w:p w14:paraId="45FD4343">
            <w:pPr>
              <w:spacing w:line="380" w:lineRule="exact"/>
              <w:jc w:val="center"/>
              <w:rPr>
                <w:rFonts w:ascii="宋体"/>
                <w:color w:val="auto"/>
                <w:sz w:val="24"/>
                <w:highlight w:val="none"/>
              </w:rPr>
            </w:pPr>
            <w:r>
              <w:rPr>
                <w:rFonts w:hint="eastAsia" w:ascii="宋体"/>
                <w:color w:val="auto"/>
                <w:sz w:val="24"/>
                <w:highlight w:val="none"/>
              </w:rPr>
              <w:t>详见第三章“招标内容及要求”。</w:t>
            </w:r>
          </w:p>
        </w:tc>
        <w:tc>
          <w:tcPr>
            <w:tcW w:w="1100" w:type="dxa"/>
            <w:tcBorders>
              <w:top w:val="single" w:color="auto" w:sz="4" w:space="0"/>
              <w:left w:val="single" w:color="auto" w:sz="4" w:space="0"/>
              <w:bottom w:val="single" w:color="auto" w:sz="4" w:space="0"/>
              <w:right w:val="single" w:color="auto" w:sz="4" w:space="0"/>
            </w:tcBorders>
            <w:noWrap/>
            <w:vAlign w:val="center"/>
          </w:tcPr>
          <w:p w14:paraId="3863B4A6">
            <w:pPr>
              <w:jc w:val="center"/>
              <w:rPr>
                <w:rFonts w:ascii="宋体"/>
                <w:color w:val="auto"/>
                <w:sz w:val="24"/>
                <w:highlight w:val="none"/>
              </w:rPr>
            </w:pPr>
            <w:r>
              <w:rPr>
                <w:rFonts w:hint="eastAsia" w:ascii="宋体"/>
                <w:color w:val="auto"/>
                <w:sz w:val="24"/>
                <w:highlight w:val="none"/>
              </w:rPr>
              <w:t>1批</w:t>
            </w:r>
          </w:p>
        </w:tc>
        <w:tc>
          <w:tcPr>
            <w:tcW w:w="2000" w:type="dxa"/>
            <w:tcBorders>
              <w:top w:val="single" w:color="auto" w:sz="4" w:space="0"/>
              <w:left w:val="single" w:color="auto" w:sz="4" w:space="0"/>
              <w:bottom w:val="single" w:color="auto" w:sz="4" w:space="0"/>
              <w:right w:val="single" w:color="auto" w:sz="4" w:space="0"/>
            </w:tcBorders>
            <w:noWrap/>
            <w:vAlign w:val="center"/>
          </w:tcPr>
          <w:p w14:paraId="3DF0FFEB">
            <w:pPr>
              <w:jc w:val="center"/>
              <w:rPr>
                <w:rFonts w:ascii="宋体"/>
                <w:color w:val="auto"/>
                <w:sz w:val="24"/>
                <w:highlight w:val="none"/>
              </w:rPr>
            </w:pPr>
            <w:r>
              <w:rPr>
                <w:rFonts w:hint="eastAsia" w:ascii="宋体"/>
                <w:color w:val="auto"/>
                <w:sz w:val="24"/>
                <w:highlight w:val="none"/>
              </w:rPr>
              <w:t>￥120万元</w:t>
            </w:r>
          </w:p>
        </w:tc>
        <w:tc>
          <w:tcPr>
            <w:tcW w:w="1573" w:type="dxa"/>
            <w:tcBorders>
              <w:top w:val="single" w:color="auto" w:sz="4" w:space="0"/>
              <w:left w:val="single" w:color="auto" w:sz="4" w:space="0"/>
              <w:bottom w:val="single" w:color="auto" w:sz="4" w:space="0"/>
              <w:right w:val="single" w:color="auto" w:sz="4" w:space="0"/>
            </w:tcBorders>
            <w:noWrap/>
            <w:vAlign w:val="center"/>
          </w:tcPr>
          <w:p w14:paraId="1E88501F">
            <w:pPr>
              <w:jc w:val="center"/>
              <w:rPr>
                <w:rFonts w:ascii="宋体"/>
                <w:color w:val="auto"/>
                <w:sz w:val="24"/>
                <w:highlight w:val="none"/>
              </w:rPr>
            </w:pPr>
            <w:r>
              <w:rPr>
                <w:rFonts w:hint="eastAsia" w:ascii="宋体"/>
                <w:color w:val="auto"/>
                <w:sz w:val="24"/>
                <w:highlight w:val="none"/>
              </w:rPr>
              <w:t>是</w:t>
            </w:r>
          </w:p>
        </w:tc>
      </w:tr>
    </w:tbl>
    <w:p w14:paraId="6FFF0C4F">
      <w:pPr>
        <w:spacing w:line="380" w:lineRule="exact"/>
        <w:rPr>
          <w:rFonts w:ascii="宋体"/>
          <w:b/>
          <w:color w:val="auto"/>
          <w:sz w:val="24"/>
          <w:highlight w:val="none"/>
        </w:rPr>
      </w:pPr>
    </w:p>
    <w:p w14:paraId="1AE236DD">
      <w:pPr>
        <w:spacing w:line="360" w:lineRule="auto"/>
        <w:rPr>
          <w:rFonts w:ascii="宋体"/>
          <w:color w:val="auto"/>
          <w:sz w:val="24"/>
          <w:highlight w:val="none"/>
        </w:rPr>
      </w:pPr>
      <w:r>
        <w:rPr>
          <w:rFonts w:hint="eastAsia" w:ascii="宋体"/>
          <w:color w:val="auto"/>
          <w:sz w:val="24"/>
          <w:highlight w:val="none"/>
        </w:rPr>
        <w:t>备注：</w:t>
      </w:r>
    </w:p>
    <w:p w14:paraId="2CAE998B">
      <w:pPr>
        <w:tabs>
          <w:tab w:val="left" w:pos="8360"/>
        </w:tabs>
        <w:spacing w:line="360" w:lineRule="auto"/>
        <w:ind w:firstLine="482" w:firstLineChars="200"/>
        <w:jc w:val="left"/>
        <w:rPr>
          <w:rFonts w:ascii="宋体"/>
          <w:b/>
          <w:bCs/>
          <w:color w:val="auto"/>
          <w:sz w:val="24"/>
          <w:highlight w:val="none"/>
        </w:rPr>
      </w:pPr>
      <w:r>
        <w:rPr>
          <w:rFonts w:hint="eastAsia" w:ascii="宋体"/>
          <w:b/>
          <w:bCs/>
          <w:color w:val="auto"/>
          <w:sz w:val="24"/>
          <w:highlight w:val="none"/>
        </w:rPr>
        <w:t>1、本次招标为整体招标,投标人须对本项目中的所有货物及服务进行完整投标响应，否则将导致无效投标响应。</w:t>
      </w:r>
    </w:p>
    <w:p w14:paraId="79DE2D2F">
      <w:pPr>
        <w:tabs>
          <w:tab w:val="left" w:pos="8360"/>
        </w:tabs>
        <w:spacing w:line="360" w:lineRule="auto"/>
        <w:ind w:firstLine="482" w:firstLineChars="200"/>
        <w:jc w:val="left"/>
        <w:rPr>
          <w:rFonts w:ascii="宋体"/>
          <w:b/>
          <w:bCs/>
          <w:color w:val="auto"/>
          <w:sz w:val="24"/>
          <w:highlight w:val="none"/>
        </w:rPr>
      </w:pPr>
      <w:r>
        <w:rPr>
          <w:rFonts w:hint="eastAsia" w:ascii="宋体"/>
          <w:b/>
          <w:bCs/>
          <w:color w:val="auto"/>
          <w:sz w:val="24"/>
          <w:highlight w:val="none"/>
        </w:rPr>
        <w:t>2、交付期：</w:t>
      </w:r>
      <w:bookmarkStart w:id="15" w:name="_Hlk145426436"/>
      <w:r>
        <w:rPr>
          <w:rFonts w:hint="eastAsia" w:ascii="宋体" w:hAnsi="宋体" w:cs="宋体"/>
          <w:b/>
          <w:bCs/>
          <w:color w:val="auto"/>
          <w:sz w:val="24"/>
          <w:szCs w:val="20"/>
          <w:highlight w:val="none"/>
        </w:rPr>
        <w:t>从中华人民共和国境内提供的货物：</w:t>
      </w:r>
      <w:r>
        <w:rPr>
          <w:rFonts w:hint="eastAsia" w:ascii="宋体"/>
          <w:b/>
          <w:bCs/>
          <w:color w:val="auto"/>
          <w:sz w:val="24"/>
          <w:highlight w:val="none"/>
        </w:rPr>
        <w:t>合同生效后</w:t>
      </w:r>
      <w:r>
        <w:rPr>
          <w:rFonts w:hint="eastAsia" w:ascii="宋体"/>
          <w:b/>
          <w:bCs/>
          <w:color w:val="auto"/>
          <w:sz w:val="24"/>
          <w:highlight w:val="none"/>
          <w:lang w:val="en-US" w:eastAsia="zh-CN"/>
        </w:rPr>
        <w:t>90</w:t>
      </w:r>
      <w:r>
        <w:rPr>
          <w:rFonts w:hint="eastAsia" w:ascii="宋体"/>
          <w:b/>
          <w:bCs/>
          <w:color w:val="auto"/>
          <w:sz w:val="24"/>
          <w:highlight w:val="none"/>
        </w:rPr>
        <w:t>个日历日内完成供货安装并通过验收；</w:t>
      </w:r>
      <w:r>
        <w:rPr>
          <w:rFonts w:hint="eastAsia" w:ascii="宋体" w:hAnsi="宋体" w:cs="宋体"/>
          <w:b/>
          <w:bCs/>
          <w:color w:val="auto"/>
          <w:sz w:val="24"/>
          <w:szCs w:val="20"/>
          <w:highlight w:val="none"/>
        </w:rPr>
        <w:t>从中华人民共和国境外提供的货物：</w:t>
      </w:r>
      <w:r>
        <w:rPr>
          <w:rFonts w:hint="eastAsia" w:ascii="宋体"/>
          <w:b/>
          <w:bCs/>
          <w:color w:val="auto"/>
          <w:sz w:val="24"/>
          <w:highlight w:val="none"/>
        </w:rPr>
        <w:t>合同生效</w:t>
      </w:r>
      <w:r>
        <w:rPr>
          <w:rFonts w:hint="eastAsia" w:ascii="宋体" w:hAnsi="宋体" w:cs="宋体"/>
          <w:b/>
          <w:bCs/>
          <w:color w:val="auto"/>
          <w:sz w:val="24"/>
          <w:szCs w:val="20"/>
          <w:highlight w:val="none"/>
        </w:rPr>
        <w:t>且免税手续办理好后</w:t>
      </w:r>
      <w:r>
        <w:rPr>
          <w:rFonts w:hint="eastAsia" w:ascii="宋体"/>
          <w:b/>
          <w:bCs/>
          <w:color w:val="auto"/>
          <w:sz w:val="24"/>
          <w:highlight w:val="none"/>
          <w:lang w:val="en-US" w:eastAsia="zh-CN"/>
        </w:rPr>
        <w:t>90</w:t>
      </w:r>
      <w:r>
        <w:rPr>
          <w:rFonts w:hint="eastAsia" w:ascii="宋体"/>
          <w:b/>
          <w:bCs/>
          <w:color w:val="auto"/>
          <w:sz w:val="24"/>
          <w:highlight w:val="none"/>
        </w:rPr>
        <w:t>个日历日</w:t>
      </w:r>
      <w:r>
        <w:rPr>
          <w:rFonts w:hint="eastAsia" w:ascii="宋体" w:hAnsi="宋体" w:cs="宋体"/>
          <w:b/>
          <w:bCs/>
          <w:color w:val="auto"/>
          <w:sz w:val="24"/>
          <w:szCs w:val="20"/>
          <w:highlight w:val="none"/>
        </w:rPr>
        <w:t>内</w:t>
      </w:r>
      <w:r>
        <w:rPr>
          <w:rFonts w:hint="eastAsia" w:ascii="宋体"/>
          <w:b/>
          <w:bCs/>
          <w:color w:val="auto"/>
          <w:sz w:val="24"/>
          <w:highlight w:val="none"/>
        </w:rPr>
        <w:t>完成供货安装并通过验收；投标人必须对此作出书面承诺。</w:t>
      </w:r>
    </w:p>
    <w:p w14:paraId="0F5996DE">
      <w:pPr>
        <w:tabs>
          <w:tab w:val="left" w:pos="8360"/>
        </w:tabs>
        <w:spacing w:line="360" w:lineRule="auto"/>
        <w:ind w:firstLine="482" w:firstLineChars="200"/>
        <w:jc w:val="left"/>
        <w:rPr>
          <w:rFonts w:ascii="宋体"/>
          <w:b/>
          <w:bCs/>
          <w:color w:val="auto"/>
          <w:sz w:val="24"/>
          <w:highlight w:val="none"/>
        </w:rPr>
      </w:pPr>
      <w:r>
        <w:rPr>
          <w:rFonts w:hint="eastAsia" w:ascii="宋体"/>
          <w:b/>
          <w:bCs/>
          <w:color w:val="auto"/>
          <w:sz w:val="24"/>
          <w:highlight w:val="none"/>
        </w:rPr>
        <w:t>3、交货地点：厦门大学翔安校区化学化工学院醇醚酯楼。</w:t>
      </w:r>
      <w:bookmarkEnd w:id="15"/>
    </w:p>
    <w:p w14:paraId="764D4F56">
      <w:pPr>
        <w:tabs>
          <w:tab w:val="left" w:pos="8360"/>
        </w:tabs>
        <w:spacing w:line="360" w:lineRule="auto"/>
        <w:ind w:firstLine="480" w:firstLineChars="200"/>
        <w:jc w:val="left"/>
        <w:rPr>
          <w:rFonts w:ascii="宋体"/>
          <w:color w:val="auto"/>
          <w:sz w:val="24"/>
          <w:highlight w:val="none"/>
        </w:rPr>
      </w:pPr>
    </w:p>
    <w:p w14:paraId="063AE12D">
      <w:pPr>
        <w:tabs>
          <w:tab w:val="left" w:pos="8360"/>
        </w:tabs>
        <w:spacing w:line="360" w:lineRule="auto"/>
        <w:ind w:right="-42" w:firstLine="480" w:firstLineChars="200"/>
        <w:jc w:val="left"/>
        <w:rPr>
          <w:rFonts w:ascii="宋体"/>
          <w:color w:val="auto"/>
          <w:sz w:val="24"/>
          <w:szCs w:val="20"/>
          <w:highlight w:val="none"/>
        </w:rPr>
      </w:pPr>
    </w:p>
    <w:p w14:paraId="20B33015">
      <w:pPr>
        <w:rPr>
          <w:rFonts w:ascii="宋体"/>
          <w:color w:val="auto"/>
          <w:sz w:val="24"/>
          <w:highlight w:val="none"/>
        </w:rPr>
        <w:sectPr>
          <w:footerReference r:id="rId5" w:type="default"/>
          <w:pgSz w:w="11906" w:h="16838"/>
          <w:pgMar w:top="1134" w:right="1247" w:bottom="1134" w:left="1247" w:header="567" w:footer="567" w:gutter="0"/>
          <w:cols w:space="720" w:num="1"/>
          <w:docGrid w:linePitch="312" w:charSpace="0"/>
        </w:sectPr>
      </w:pPr>
    </w:p>
    <w:p w14:paraId="2B837281">
      <w:pPr>
        <w:keepLines/>
        <w:pageBreakBefore/>
        <w:spacing w:line="360" w:lineRule="auto"/>
        <w:jc w:val="center"/>
        <w:outlineLvl w:val="0"/>
        <w:rPr>
          <w:rFonts w:ascii="宋体"/>
          <w:color w:val="auto"/>
          <w:sz w:val="28"/>
          <w:szCs w:val="28"/>
          <w:highlight w:val="none"/>
        </w:rPr>
      </w:pPr>
      <w:bookmarkStart w:id="16" w:name="_Toc531742148"/>
      <w:bookmarkStart w:id="17" w:name="_Toc17076"/>
      <w:bookmarkStart w:id="18" w:name="_Toc4510"/>
      <w:r>
        <w:rPr>
          <w:rFonts w:hint="eastAsia" w:ascii="宋体"/>
          <w:b/>
          <w:color w:val="auto"/>
          <w:sz w:val="28"/>
          <w:szCs w:val="28"/>
          <w:highlight w:val="none"/>
        </w:rPr>
        <w:t>第二章  投标人须知</w:t>
      </w:r>
      <w:bookmarkEnd w:id="16"/>
      <w:bookmarkEnd w:id="17"/>
      <w:bookmarkEnd w:id="18"/>
    </w:p>
    <w:p w14:paraId="70FBC162">
      <w:pPr>
        <w:pStyle w:val="3"/>
        <w:numPr>
          <w:ilvl w:val="0"/>
          <w:numId w:val="0"/>
        </w:numPr>
        <w:spacing w:before="0" w:after="0" w:line="360" w:lineRule="auto"/>
        <w:ind w:left="3060" w:leftChars="1457" w:firstLine="562" w:firstLineChars="200"/>
        <w:jc w:val="both"/>
        <w:rPr>
          <w:rFonts w:ascii="宋体"/>
          <w:color w:val="auto"/>
          <w:sz w:val="28"/>
          <w:szCs w:val="28"/>
          <w:highlight w:val="none"/>
        </w:rPr>
      </w:pPr>
      <w:bookmarkStart w:id="19" w:name="_Toc314838385"/>
      <w:bookmarkStart w:id="20" w:name="_Toc1732"/>
      <w:bookmarkStart w:id="21" w:name="_Toc332894815"/>
      <w:bookmarkStart w:id="22" w:name="_Toc13412"/>
      <w:bookmarkStart w:id="23" w:name="_Toc332895785"/>
      <w:bookmarkStart w:id="24" w:name="_Toc531742149"/>
      <w:bookmarkStart w:id="25" w:name="_Toc329098419"/>
      <w:r>
        <w:rPr>
          <w:rFonts w:hint="eastAsia" w:ascii="宋体"/>
          <w:color w:val="auto"/>
          <w:sz w:val="28"/>
          <w:szCs w:val="28"/>
          <w:highlight w:val="none"/>
        </w:rPr>
        <w:t>投标人须知前附表1</w:t>
      </w:r>
      <w:bookmarkEnd w:id="19"/>
      <w:bookmarkEnd w:id="20"/>
      <w:bookmarkEnd w:id="21"/>
      <w:bookmarkEnd w:id="22"/>
      <w:bookmarkEnd w:id="23"/>
      <w:bookmarkEnd w:id="24"/>
      <w:bookmarkEnd w:id="25"/>
    </w:p>
    <w:p w14:paraId="29AD8FFA">
      <w:pPr>
        <w:spacing w:line="360" w:lineRule="auto"/>
        <w:ind w:firstLine="525"/>
        <w:rPr>
          <w:rFonts w:ascii="宋体"/>
          <w:color w:val="auto"/>
          <w:sz w:val="24"/>
          <w:highlight w:val="none"/>
        </w:rPr>
      </w:pPr>
      <w:r>
        <w:rPr>
          <w:rFonts w:hint="eastAsia" w:ascii="宋体"/>
          <w:color w:val="auto"/>
          <w:sz w:val="24"/>
          <w:highlight w:val="none"/>
        </w:rPr>
        <w:t xml:space="preserve">本须知前附表1的条款号是与《投标人须知》中条款的项号相对应的。如果有矛盾的话，应以本须知前附表为准。 </w:t>
      </w:r>
    </w:p>
    <w:tbl>
      <w:tblPr>
        <w:tblStyle w:val="28"/>
        <w:tblW w:w="10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80"/>
        <w:gridCol w:w="8558"/>
      </w:tblGrid>
      <w:tr w14:paraId="47B0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9" w:type="dxa"/>
            <w:tcBorders>
              <w:top w:val="double" w:color="auto" w:sz="4" w:space="0"/>
              <w:left w:val="double" w:color="auto" w:sz="4" w:space="0"/>
              <w:bottom w:val="double" w:color="auto" w:sz="4" w:space="0"/>
              <w:right w:val="single" w:color="auto" w:sz="4" w:space="0"/>
            </w:tcBorders>
            <w:noWrap/>
            <w:tcMar>
              <w:top w:w="85" w:type="dxa"/>
              <w:left w:w="85" w:type="dxa"/>
              <w:bottom w:w="85" w:type="dxa"/>
              <w:right w:w="85" w:type="dxa"/>
            </w:tcMar>
            <w:vAlign w:val="center"/>
          </w:tcPr>
          <w:p w14:paraId="09196AAB">
            <w:pPr>
              <w:spacing w:line="360" w:lineRule="auto"/>
              <w:jc w:val="center"/>
              <w:rPr>
                <w:rFonts w:ascii="宋体"/>
                <w:color w:val="auto"/>
                <w:sz w:val="24"/>
                <w:highlight w:val="none"/>
              </w:rPr>
            </w:pPr>
            <w:r>
              <w:rPr>
                <w:rFonts w:hint="eastAsia" w:ascii="宋体"/>
                <w:color w:val="auto"/>
                <w:sz w:val="24"/>
                <w:highlight w:val="none"/>
              </w:rPr>
              <w:t>项号</w:t>
            </w:r>
          </w:p>
        </w:tc>
        <w:tc>
          <w:tcPr>
            <w:tcW w:w="980" w:type="dxa"/>
            <w:tcBorders>
              <w:top w:val="double" w:color="auto" w:sz="4" w:space="0"/>
              <w:left w:val="single" w:color="auto" w:sz="4" w:space="0"/>
              <w:bottom w:val="double" w:color="auto" w:sz="4" w:space="0"/>
              <w:right w:val="single" w:color="auto" w:sz="4" w:space="0"/>
            </w:tcBorders>
            <w:noWrap/>
            <w:tcMar>
              <w:top w:w="85" w:type="dxa"/>
              <w:left w:w="85" w:type="dxa"/>
              <w:bottom w:w="85" w:type="dxa"/>
              <w:right w:w="85" w:type="dxa"/>
            </w:tcMar>
            <w:vAlign w:val="center"/>
          </w:tcPr>
          <w:p w14:paraId="5F7E95B5">
            <w:pPr>
              <w:spacing w:line="360" w:lineRule="auto"/>
              <w:jc w:val="center"/>
              <w:rPr>
                <w:rFonts w:ascii="宋体"/>
                <w:color w:val="auto"/>
                <w:sz w:val="24"/>
                <w:highlight w:val="none"/>
              </w:rPr>
            </w:pPr>
            <w:r>
              <w:rPr>
                <w:rFonts w:hint="eastAsia" w:ascii="宋体"/>
                <w:color w:val="auto"/>
                <w:sz w:val="24"/>
                <w:highlight w:val="none"/>
              </w:rPr>
              <w:t>条款号</w:t>
            </w:r>
          </w:p>
        </w:tc>
        <w:tc>
          <w:tcPr>
            <w:tcW w:w="8558" w:type="dxa"/>
            <w:tcBorders>
              <w:top w:val="double" w:color="auto" w:sz="4" w:space="0"/>
              <w:left w:val="single" w:color="auto" w:sz="4" w:space="0"/>
              <w:bottom w:val="double" w:color="auto" w:sz="4" w:space="0"/>
              <w:right w:val="double" w:color="auto" w:sz="4" w:space="0"/>
            </w:tcBorders>
            <w:noWrap/>
            <w:tcMar>
              <w:top w:w="85" w:type="dxa"/>
              <w:left w:w="85" w:type="dxa"/>
              <w:bottom w:w="85" w:type="dxa"/>
              <w:right w:w="85" w:type="dxa"/>
            </w:tcMar>
            <w:vAlign w:val="center"/>
          </w:tcPr>
          <w:p w14:paraId="2C95E54A">
            <w:pPr>
              <w:spacing w:line="360" w:lineRule="auto"/>
              <w:jc w:val="center"/>
              <w:rPr>
                <w:rFonts w:ascii="宋体"/>
                <w:color w:val="auto"/>
                <w:sz w:val="24"/>
                <w:highlight w:val="none"/>
              </w:rPr>
            </w:pPr>
            <w:r>
              <w:rPr>
                <w:rFonts w:hint="eastAsia" w:ascii="宋体"/>
                <w:color w:val="auto"/>
                <w:sz w:val="24"/>
                <w:highlight w:val="none"/>
              </w:rPr>
              <w:t>编   列   内    容</w:t>
            </w:r>
          </w:p>
        </w:tc>
      </w:tr>
      <w:tr w14:paraId="58EA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double" w:color="auto" w:sz="4" w:space="0"/>
              <w:left w:val="double" w:color="auto" w:sz="4" w:space="0"/>
              <w:bottom w:val="single" w:color="auto" w:sz="4" w:space="0"/>
              <w:right w:val="single" w:color="auto" w:sz="4" w:space="0"/>
            </w:tcBorders>
            <w:noWrap/>
            <w:tcMar>
              <w:top w:w="85" w:type="dxa"/>
              <w:left w:w="85" w:type="dxa"/>
              <w:bottom w:w="85" w:type="dxa"/>
              <w:right w:w="85" w:type="dxa"/>
            </w:tcMar>
            <w:vAlign w:val="center"/>
          </w:tcPr>
          <w:p w14:paraId="051964BE">
            <w:pPr>
              <w:spacing w:line="360" w:lineRule="auto"/>
              <w:jc w:val="center"/>
              <w:rPr>
                <w:rFonts w:ascii="宋体"/>
                <w:color w:val="auto"/>
                <w:sz w:val="24"/>
                <w:highlight w:val="none"/>
              </w:rPr>
            </w:pPr>
            <w:r>
              <w:rPr>
                <w:rFonts w:hint="eastAsia" w:ascii="宋体"/>
                <w:color w:val="auto"/>
                <w:sz w:val="24"/>
                <w:highlight w:val="none"/>
              </w:rPr>
              <w:t>1</w:t>
            </w:r>
          </w:p>
        </w:tc>
        <w:tc>
          <w:tcPr>
            <w:tcW w:w="980" w:type="dxa"/>
            <w:tcBorders>
              <w:top w:val="double" w:color="auto" w:sz="4" w:space="0"/>
              <w:left w:val="single" w:color="auto" w:sz="4" w:space="0"/>
              <w:bottom w:val="single" w:color="auto" w:sz="4" w:space="0"/>
              <w:right w:val="single" w:color="auto" w:sz="4" w:space="0"/>
            </w:tcBorders>
            <w:noWrap/>
            <w:tcMar>
              <w:top w:w="85" w:type="dxa"/>
              <w:left w:w="85" w:type="dxa"/>
              <w:bottom w:w="85" w:type="dxa"/>
              <w:right w:w="85" w:type="dxa"/>
            </w:tcMar>
            <w:vAlign w:val="center"/>
          </w:tcPr>
          <w:p w14:paraId="16883624">
            <w:pPr>
              <w:spacing w:line="360" w:lineRule="auto"/>
              <w:jc w:val="center"/>
              <w:rPr>
                <w:rFonts w:ascii="宋体"/>
                <w:color w:val="auto"/>
                <w:sz w:val="24"/>
                <w:highlight w:val="none"/>
              </w:rPr>
            </w:pPr>
          </w:p>
        </w:tc>
        <w:tc>
          <w:tcPr>
            <w:tcW w:w="8558" w:type="dxa"/>
            <w:tcBorders>
              <w:top w:val="double" w:color="auto" w:sz="4" w:space="0"/>
              <w:left w:val="single" w:color="auto" w:sz="4" w:space="0"/>
              <w:bottom w:val="single" w:color="auto" w:sz="4" w:space="0"/>
              <w:right w:val="double" w:color="auto" w:sz="4" w:space="0"/>
            </w:tcBorders>
            <w:noWrap/>
            <w:tcMar>
              <w:top w:w="85" w:type="dxa"/>
              <w:left w:w="85" w:type="dxa"/>
              <w:bottom w:w="85" w:type="dxa"/>
              <w:right w:w="85" w:type="dxa"/>
            </w:tcMar>
            <w:vAlign w:val="center"/>
          </w:tcPr>
          <w:p w14:paraId="50F85E70">
            <w:pPr>
              <w:spacing w:line="360" w:lineRule="auto"/>
              <w:rPr>
                <w:rFonts w:hint="eastAsia" w:ascii="宋体" w:eastAsia="宋体"/>
                <w:color w:val="auto"/>
                <w:sz w:val="24"/>
                <w:highlight w:val="none"/>
                <w:lang w:eastAsia="zh-CN"/>
              </w:rPr>
            </w:pPr>
            <w:r>
              <w:rPr>
                <w:rFonts w:hint="eastAsia" w:ascii="宋体"/>
                <w:color w:val="auto"/>
                <w:sz w:val="24"/>
                <w:highlight w:val="none"/>
              </w:rPr>
              <w:t>项目名称：</w:t>
            </w:r>
            <w:r>
              <w:rPr>
                <w:rFonts w:hint="eastAsia" w:ascii="宋体"/>
                <w:color w:val="auto"/>
                <w:sz w:val="24"/>
                <w:highlight w:val="none"/>
                <w:u w:val="single"/>
                <w:lang w:eastAsia="zh-CN"/>
              </w:rPr>
              <w:t>厦门大学化学化工学院自动化合成反应器</w:t>
            </w:r>
          </w:p>
          <w:p w14:paraId="2D27AD42">
            <w:pPr>
              <w:spacing w:line="360" w:lineRule="auto"/>
              <w:rPr>
                <w:rFonts w:ascii="宋体"/>
                <w:color w:val="auto"/>
                <w:sz w:val="24"/>
                <w:highlight w:val="none"/>
              </w:rPr>
            </w:pPr>
            <w:r>
              <w:rPr>
                <w:rFonts w:hint="eastAsia" w:ascii="宋体"/>
                <w:color w:val="auto"/>
                <w:sz w:val="24"/>
                <w:highlight w:val="none"/>
              </w:rPr>
              <w:t>采 购 人：</w:t>
            </w:r>
            <w:r>
              <w:rPr>
                <w:rFonts w:hint="eastAsia" w:ascii="宋体"/>
                <w:color w:val="auto"/>
                <w:sz w:val="24"/>
                <w:highlight w:val="none"/>
                <w:u w:val="single"/>
              </w:rPr>
              <w:t>厦门大学</w:t>
            </w:r>
          </w:p>
          <w:p w14:paraId="2EE9A0BC">
            <w:pPr>
              <w:spacing w:line="360" w:lineRule="auto"/>
              <w:rPr>
                <w:rFonts w:ascii="宋体"/>
                <w:color w:val="auto"/>
                <w:sz w:val="24"/>
                <w:highlight w:val="none"/>
              </w:rPr>
            </w:pPr>
            <w:r>
              <w:rPr>
                <w:rFonts w:hint="eastAsia" w:ascii="宋体"/>
                <w:color w:val="auto"/>
                <w:sz w:val="24"/>
                <w:highlight w:val="none"/>
              </w:rPr>
              <w:t>项目内容：</w:t>
            </w:r>
            <w:r>
              <w:rPr>
                <w:rFonts w:hint="eastAsia" w:ascii="宋体"/>
                <w:color w:val="auto"/>
                <w:sz w:val="24"/>
                <w:highlight w:val="none"/>
                <w:u w:val="single"/>
              </w:rPr>
              <w:t>详见招标项目一览表</w:t>
            </w:r>
          </w:p>
          <w:p w14:paraId="54CA642E">
            <w:pPr>
              <w:spacing w:line="360" w:lineRule="auto"/>
              <w:rPr>
                <w:rFonts w:hint="eastAsia" w:ascii="宋体" w:eastAsia="宋体"/>
                <w:color w:val="auto"/>
                <w:sz w:val="24"/>
                <w:highlight w:val="none"/>
                <w:lang w:eastAsia="zh-CN"/>
              </w:rPr>
            </w:pPr>
            <w:r>
              <w:rPr>
                <w:rFonts w:hint="eastAsia" w:ascii="宋体"/>
                <w:color w:val="auto"/>
                <w:sz w:val="24"/>
                <w:highlight w:val="none"/>
              </w:rPr>
              <w:t>项目编号：</w:t>
            </w:r>
            <w:r>
              <w:rPr>
                <w:rFonts w:hint="eastAsia" w:ascii="宋体"/>
                <w:color w:val="auto"/>
                <w:sz w:val="24"/>
                <w:highlight w:val="none"/>
                <w:u w:val="single"/>
                <w:lang w:eastAsia="zh-CN"/>
              </w:rPr>
              <w:t>2024-HCGK-SH1466</w:t>
            </w:r>
          </w:p>
        </w:tc>
      </w:tr>
      <w:tr w14:paraId="673C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709" w:type="dxa"/>
            <w:tcBorders>
              <w:top w:val="single" w:color="auto" w:sz="4" w:space="0"/>
              <w:left w:val="double" w:color="auto" w:sz="4" w:space="0"/>
              <w:bottom w:val="double" w:color="auto" w:sz="4" w:space="0"/>
              <w:right w:val="single" w:color="auto" w:sz="4" w:space="0"/>
            </w:tcBorders>
            <w:noWrap/>
            <w:tcMar>
              <w:top w:w="85" w:type="dxa"/>
              <w:left w:w="85" w:type="dxa"/>
              <w:bottom w:w="85" w:type="dxa"/>
              <w:right w:w="85" w:type="dxa"/>
            </w:tcMar>
            <w:vAlign w:val="center"/>
          </w:tcPr>
          <w:p w14:paraId="46B38327">
            <w:pPr>
              <w:spacing w:line="360" w:lineRule="auto"/>
              <w:jc w:val="center"/>
              <w:rPr>
                <w:rFonts w:ascii="宋体"/>
                <w:color w:val="auto"/>
                <w:sz w:val="24"/>
                <w:highlight w:val="none"/>
              </w:rPr>
            </w:pPr>
            <w:r>
              <w:rPr>
                <w:rFonts w:hint="eastAsia" w:ascii="宋体"/>
                <w:color w:val="auto"/>
                <w:sz w:val="24"/>
                <w:highlight w:val="none"/>
              </w:rPr>
              <w:t>2</w:t>
            </w:r>
          </w:p>
        </w:tc>
        <w:tc>
          <w:tcPr>
            <w:tcW w:w="980" w:type="dxa"/>
            <w:tcBorders>
              <w:top w:val="single" w:color="auto" w:sz="4" w:space="0"/>
              <w:left w:val="single" w:color="auto" w:sz="4" w:space="0"/>
              <w:bottom w:val="double" w:color="auto" w:sz="4" w:space="0"/>
              <w:right w:val="single" w:color="auto" w:sz="4" w:space="0"/>
            </w:tcBorders>
            <w:noWrap/>
            <w:tcMar>
              <w:top w:w="85" w:type="dxa"/>
              <w:left w:w="85" w:type="dxa"/>
              <w:bottom w:w="85" w:type="dxa"/>
              <w:right w:w="85" w:type="dxa"/>
            </w:tcMar>
            <w:vAlign w:val="center"/>
          </w:tcPr>
          <w:p w14:paraId="56458D8D">
            <w:pPr>
              <w:spacing w:line="360" w:lineRule="auto"/>
              <w:jc w:val="center"/>
              <w:rPr>
                <w:rFonts w:ascii="宋体"/>
                <w:color w:val="auto"/>
                <w:sz w:val="24"/>
                <w:highlight w:val="none"/>
              </w:rPr>
            </w:pPr>
          </w:p>
        </w:tc>
        <w:tc>
          <w:tcPr>
            <w:tcW w:w="8558" w:type="dxa"/>
            <w:tcBorders>
              <w:top w:val="single" w:color="auto" w:sz="4" w:space="0"/>
              <w:left w:val="single" w:color="auto" w:sz="4" w:space="0"/>
              <w:bottom w:val="double" w:color="auto" w:sz="4" w:space="0"/>
              <w:right w:val="double" w:color="auto" w:sz="4" w:space="0"/>
            </w:tcBorders>
            <w:noWrap/>
            <w:tcMar>
              <w:top w:w="85" w:type="dxa"/>
              <w:left w:w="85" w:type="dxa"/>
              <w:bottom w:w="85" w:type="dxa"/>
              <w:right w:w="85" w:type="dxa"/>
            </w:tcMar>
            <w:vAlign w:val="center"/>
          </w:tcPr>
          <w:p w14:paraId="148AB9BE">
            <w:pPr>
              <w:spacing w:line="360" w:lineRule="auto"/>
              <w:rPr>
                <w:rFonts w:ascii="宋体"/>
                <w:color w:val="auto"/>
                <w:sz w:val="24"/>
                <w:highlight w:val="none"/>
              </w:rPr>
            </w:pPr>
            <w:r>
              <w:rPr>
                <w:rFonts w:hint="eastAsia" w:ascii="宋体"/>
                <w:color w:val="auto"/>
                <w:sz w:val="24"/>
                <w:highlight w:val="none"/>
              </w:rPr>
              <w:t>投标人的投标报价不得超过本项目的最高限价，否则将被视为无效投标,本项目的最高限价为：</w:t>
            </w:r>
          </w:p>
          <w:p w14:paraId="592E34A2">
            <w:pPr>
              <w:spacing w:line="360" w:lineRule="auto"/>
              <w:rPr>
                <w:rFonts w:ascii="宋体"/>
                <w:color w:val="auto"/>
                <w:sz w:val="24"/>
                <w:highlight w:val="none"/>
              </w:rPr>
            </w:pPr>
            <w:r>
              <w:rPr>
                <w:rFonts w:hint="eastAsia" w:ascii="MS Mincho" w:hAnsi="MS Mincho" w:eastAsia="MS Mincho" w:cs="MS Mincho"/>
                <w:b/>
                <w:bCs/>
                <w:color w:val="auto"/>
                <w:sz w:val="24"/>
                <w:highlight w:val="none"/>
              </w:rPr>
              <w:t>☑</w:t>
            </w:r>
            <w:r>
              <w:rPr>
                <w:rFonts w:hint="eastAsia" w:ascii="宋体"/>
                <w:b/>
                <w:bCs/>
                <w:color w:val="auto"/>
                <w:sz w:val="24"/>
                <w:highlight w:val="none"/>
              </w:rPr>
              <w:t>人民币</w:t>
            </w:r>
            <w:r>
              <w:rPr>
                <w:rFonts w:hint="eastAsia" w:ascii="宋体"/>
                <w:b/>
                <w:bCs/>
                <w:color w:val="auto"/>
                <w:sz w:val="24"/>
                <w:highlight w:val="none"/>
                <w:lang w:val="en-US" w:eastAsia="zh-CN"/>
              </w:rPr>
              <w:t>120</w:t>
            </w:r>
            <w:r>
              <w:rPr>
                <w:rFonts w:hint="eastAsia" w:ascii="宋体"/>
                <w:b/>
                <w:bCs/>
                <w:color w:val="auto"/>
                <w:sz w:val="24"/>
                <w:highlight w:val="none"/>
              </w:rPr>
              <w:t>万元；</w:t>
            </w:r>
            <w:r>
              <w:rPr>
                <w:rFonts w:hint="eastAsia" w:ascii="宋体"/>
                <w:color w:val="auto"/>
                <w:sz w:val="24"/>
                <w:highlight w:val="none"/>
              </w:rPr>
              <w:t xml:space="preserve"> </w:t>
            </w:r>
          </w:p>
          <w:p w14:paraId="59FDE0CF">
            <w:pPr>
              <w:spacing w:line="360" w:lineRule="auto"/>
              <w:rPr>
                <w:rFonts w:ascii="宋体"/>
                <w:color w:val="auto"/>
                <w:sz w:val="24"/>
                <w:highlight w:val="none"/>
              </w:rPr>
            </w:pPr>
            <w:r>
              <w:rPr>
                <w:rFonts w:hint="eastAsia" w:ascii="宋体"/>
                <w:color w:val="auto"/>
                <w:sz w:val="24"/>
                <w:highlight w:val="none"/>
              </w:rPr>
              <w:t>□ 将由相关审核机构出具，最迟在投标截止时间15个日历日前公布，请投标人关注。</w:t>
            </w:r>
          </w:p>
        </w:tc>
      </w:tr>
      <w:tr w14:paraId="5759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double" w:color="auto" w:sz="4" w:space="0"/>
              <w:left w:val="double" w:color="auto" w:sz="4" w:space="0"/>
              <w:bottom w:val="double" w:color="auto" w:sz="4" w:space="0"/>
              <w:right w:val="single" w:color="auto" w:sz="4" w:space="0"/>
            </w:tcBorders>
            <w:noWrap/>
            <w:tcMar>
              <w:top w:w="85" w:type="dxa"/>
              <w:left w:w="85" w:type="dxa"/>
              <w:bottom w:w="85" w:type="dxa"/>
              <w:right w:w="85" w:type="dxa"/>
            </w:tcMar>
            <w:vAlign w:val="center"/>
          </w:tcPr>
          <w:p w14:paraId="155D8339">
            <w:pPr>
              <w:spacing w:line="360" w:lineRule="auto"/>
              <w:jc w:val="center"/>
              <w:rPr>
                <w:rFonts w:ascii="宋体"/>
                <w:color w:val="auto"/>
                <w:sz w:val="24"/>
                <w:highlight w:val="none"/>
              </w:rPr>
            </w:pPr>
            <w:r>
              <w:rPr>
                <w:rFonts w:ascii="宋体"/>
                <w:color w:val="auto"/>
                <w:sz w:val="24"/>
                <w:highlight w:val="none"/>
              </w:rPr>
              <w:t>3</w:t>
            </w:r>
          </w:p>
        </w:tc>
        <w:tc>
          <w:tcPr>
            <w:tcW w:w="980" w:type="dxa"/>
            <w:tcBorders>
              <w:top w:val="double" w:color="auto" w:sz="4" w:space="0"/>
              <w:left w:val="single" w:color="auto" w:sz="4" w:space="0"/>
              <w:bottom w:val="double" w:color="auto" w:sz="4" w:space="0"/>
              <w:right w:val="single" w:color="auto" w:sz="4" w:space="0"/>
            </w:tcBorders>
            <w:noWrap/>
            <w:tcMar>
              <w:top w:w="85" w:type="dxa"/>
              <w:left w:w="85" w:type="dxa"/>
              <w:bottom w:w="85" w:type="dxa"/>
              <w:right w:w="85" w:type="dxa"/>
            </w:tcMar>
            <w:vAlign w:val="center"/>
          </w:tcPr>
          <w:p w14:paraId="6C936C82">
            <w:pPr>
              <w:spacing w:line="360" w:lineRule="auto"/>
              <w:jc w:val="center"/>
              <w:rPr>
                <w:rFonts w:ascii="宋体"/>
                <w:color w:val="auto"/>
                <w:sz w:val="24"/>
                <w:highlight w:val="none"/>
              </w:rPr>
            </w:pPr>
            <w:r>
              <w:rPr>
                <w:rFonts w:hint="eastAsia" w:ascii="宋体"/>
                <w:color w:val="auto"/>
                <w:sz w:val="24"/>
                <w:highlight w:val="none"/>
              </w:rPr>
              <w:t>3.1</w:t>
            </w:r>
          </w:p>
        </w:tc>
        <w:tc>
          <w:tcPr>
            <w:tcW w:w="8558" w:type="dxa"/>
            <w:tcBorders>
              <w:top w:val="double" w:color="auto" w:sz="4" w:space="0"/>
              <w:left w:val="single" w:color="auto" w:sz="4" w:space="0"/>
              <w:bottom w:val="double" w:color="auto" w:sz="4" w:space="0"/>
              <w:right w:val="double" w:color="auto" w:sz="4" w:space="0"/>
            </w:tcBorders>
            <w:noWrap/>
            <w:tcMar>
              <w:top w:w="85" w:type="dxa"/>
              <w:left w:w="85" w:type="dxa"/>
              <w:bottom w:w="85" w:type="dxa"/>
              <w:right w:w="85" w:type="dxa"/>
            </w:tcMar>
          </w:tcPr>
          <w:p w14:paraId="1E288082">
            <w:pPr>
              <w:spacing w:line="360" w:lineRule="auto"/>
              <w:rPr>
                <w:rFonts w:ascii="宋体" w:cs="Arial"/>
                <w:color w:val="auto"/>
                <w:sz w:val="24"/>
                <w:highlight w:val="none"/>
              </w:rPr>
            </w:pPr>
            <w:r>
              <w:rPr>
                <w:rFonts w:hint="eastAsia" w:ascii="宋体" w:cs="Arial"/>
                <w:color w:val="auto"/>
                <w:sz w:val="24"/>
                <w:highlight w:val="none"/>
              </w:rPr>
              <w:t>资格标准：</w:t>
            </w:r>
          </w:p>
          <w:p w14:paraId="2C340C0B">
            <w:pPr>
              <w:spacing w:line="360" w:lineRule="auto"/>
              <w:rPr>
                <w:rFonts w:ascii="宋体" w:cs="Arial"/>
                <w:color w:val="auto"/>
                <w:sz w:val="24"/>
                <w:highlight w:val="none"/>
              </w:rPr>
            </w:pPr>
            <w:r>
              <w:rPr>
                <w:rFonts w:hint="eastAsia" w:ascii="宋体" w:cs="Arial"/>
                <w:color w:val="auto"/>
                <w:sz w:val="24"/>
                <w:highlight w:val="none"/>
              </w:rPr>
              <w:t xml:space="preserve">    详见投标须知附表2、第二章《投标人须知》第3条。</w:t>
            </w:r>
          </w:p>
        </w:tc>
      </w:tr>
      <w:tr w14:paraId="4F0A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double" w:color="auto" w:sz="4" w:space="0"/>
              <w:left w:val="double" w:color="auto" w:sz="4" w:space="0"/>
              <w:bottom w:val="double" w:color="auto" w:sz="4" w:space="0"/>
              <w:right w:val="single" w:color="auto" w:sz="4" w:space="0"/>
            </w:tcBorders>
            <w:noWrap/>
            <w:tcMar>
              <w:top w:w="85" w:type="dxa"/>
              <w:left w:w="85" w:type="dxa"/>
              <w:bottom w:w="85" w:type="dxa"/>
              <w:right w:w="85" w:type="dxa"/>
            </w:tcMar>
            <w:vAlign w:val="center"/>
          </w:tcPr>
          <w:p w14:paraId="06160CE5">
            <w:pPr>
              <w:spacing w:line="360" w:lineRule="auto"/>
              <w:jc w:val="center"/>
              <w:rPr>
                <w:rFonts w:ascii="宋体"/>
                <w:color w:val="auto"/>
                <w:sz w:val="24"/>
                <w:highlight w:val="none"/>
              </w:rPr>
            </w:pPr>
            <w:r>
              <w:rPr>
                <w:rFonts w:ascii="宋体"/>
                <w:color w:val="auto"/>
                <w:sz w:val="24"/>
                <w:highlight w:val="none"/>
              </w:rPr>
              <w:t>4</w:t>
            </w:r>
          </w:p>
        </w:tc>
        <w:tc>
          <w:tcPr>
            <w:tcW w:w="980" w:type="dxa"/>
            <w:tcBorders>
              <w:top w:val="double" w:color="auto" w:sz="4" w:space="0"/>
              <w:left w:val="single" w:color="auto" w:sz="4" w:space="0"/>
              <w:bottom w:val="double" w:color="auto" w:sz="4" w:space="0"/>
              <w:right w:val="single" w:color="auto" w:sz="4" w:space="0"/>
            </w:tcBorders>
            <w:noWrap/>
            <w:tcMar>
              <w:top w:w="85" w:type="dxa"/>
              <w:left w:w="85" w:type="dxa"/>
              <w:bottom w:w="85" w:type="dxa"/>
              <w:right w:w="85" w:type="dxa"/>
            </w:tcMar>
            <w:vAlign w:val="center"/>
          </w:tcPr>
          <w:p w14:paraId="1CC59C32">
            <w:pPr>
              <w:spacing w:line="360" w:lineRule="auto"/>
              <w:jc w:val="center"/>
              <w:rPr>
                <w:rFonts w:ascii="宋体"/>
                <w:color w:val="auto"/>
                <w:sz w:val="24"/>
                <w:highlight w:val="none"/>
              </w:rPr>
            </w:pPr>
            <w:r>
              <w:rPr>
                <w:rFonts w:hint="eastAsia" w:ascii="宋体"/>
                <w:color w:val="auto"/>
                <w:sz w:val="24"/>
                <w:highlight w:val="none"/>
              </w:rPr>
              <w:t>11.1</w:t>
            </w:r>
          </w:p>
        </w:tc>
        <w:tc>
          <w:tcPr>
            <w:tcW w:w="8558" w:type="dxa"/>
            <w:tcBorders>
              <w:top w:val="double" w:color="auto" w:sz="4" w:space="0"/>
              <w:left w:val="single" w:color="auto" w:sz="4" w:space="0"/>
              <w:bottom w:val="double" w:color="auto" w:sz="4" w:space="0"/>
              <w:right w:val="double" w:color="auto" w:sz="4" w:space="0"/>
            </w:tcBorders>
            <w:noWrap/>
            <w:tcMar>
              <w:top w:w="85" w:type="dxa"/>
              <w:left w:w="85" w:type="dxa"/>
              <w:bottom w:w="85" w:type="dxa"/>
              <w:right w:w="85" w:type="dxa"/>
            </w:tcMar>
            <w:vAlign w:val="center"/>
          </w:tcPr>
          <w:p w14:paraId="5DA7C07C">
            <w:pPr>
              <w:spacing w:line="360" w:lineRule="auto"/>
              <w:rPr>
                <w:rFonts w:ascii="宋体"/>
                <w:color w:val="auto"/>
                <w:sz w:val="24"/>
                <w:highlight w:val="none"/>
              </w:rPr>
            </w:pPr>
            <w:r>
              <w:rPr>
                <w:rFonts w:hint="eastAsia" w:ascii="宋体"/>
                <w:color w:val="auto"/>
                <w:sz w:val="24"/>
                <w:highlight w:val="none"/>
              </w:rPr>
              <w:t>投标有效期：投标截止期结束后</w:t>
            </w:r>
            <w:r>
              <w:rPr>
                <w:rFonts w:hint="eastAsia" w:ascii="宋体"/>
                <w:color w:val="auto"/>
                <w:sz w:val="24"/>
                <w:highlight w:val="none"/>
                <w:u w:val="single"/>
              </w:rPr>
              <w:t>90</w:t>
            </w:r>
            <w:r>
              <w:rPr>
                <w:rFonts w:hint="eastAsia" w:ascii="宋体"/>
                <w:color w:val="auto"/>
                <w:sz w:val="24"/>
                <w:highlight w:val="none"/>
              </w:rPr>
              <w:t>个日历日。</w:t>
            </w:r>
          </w:p>
          <w:p w14:paraId="5ACC6568">
            <w:pPr>
              <w:spacing w:line="360" w:lineRule="auto"/>
              <w:rPr>
                <w:rFonts w:ascii="宋体"/>
                <w:color w:val="auto"/>
                <w:sz w:val="24"/>
                <w:highlight w:val="none"/>
              </w:rPr>
            </w:pPr>
            <w:r>
              <w:rPr>
                <w:rFonts w:hint="eastAsia" w:ascii="宋体"/>
                <w:color w:val="auto"/>
                <w:sz w:val="24"/>
                <w:highlight w:val="none"/>
              </w:rPr>
              <w:t>有效期不足将导致其投标文件被拒绝。</w:t>
            </w:r>
          </w:p>
        </w:tc>
      </w:tr>
      <w:tr w14:paraId="1530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double" w:color="auto" w:sz="4" w:space="0"/>
              <w:left w:val="double" w:color="auto" w:sz="4" w:space="0"/>
              <w:bottom w:val="double" w:color="auto" w:sz="4" w:space="0"/>
              <w:right w:val="single" w:color="auto" w:sz="4" w:space="0"/>
            </w:tcBorders>
            <w:noWrap/>
            <w:tcMar>
              <w:top w:w="85" w:type="dxa"/>
              <w:left w:w="85" w:type="dxa"/>
              <w:bottom w:w="85" w:type="dxa"/>
              <w:right w:w="85" w:type="dxa"/>
            </w:tcMar>
            <w:vAlign w:val="center"/>
          </w:tcPr>
          <w:p w14:paraId="3644F9A6">
            <w:pPr>
              <w:spacing w:line="360" w:lineRule="auto"/>
              <w:jc w:val="center"/>
              <w:rPr>
                <w:rFonts w:ascii="宋体"/>
                <w:color w:val="auto"/>
                <w:sz w:val="24"/>
                <w:highlight w:val="none"/>
              </w:rPr>
            </w:pPr>
            <w:r>
              <w:rPr>
                <w:rFonts w:ascii="宋体"/>
                <w:color w:val="auto"/>
                <w:sz w:val="24"/>
                <w:highlight w:val="none"/>
              </w:rPr>
              <w:t>5</w:t>
            </w:r>
          </w:p>
        </w:tc>
        <w:tc>
          <w:tcPr>
            <w:tcW w:w="980" w:type="dxa"/>
            <w:tcBorders>
              <w:top w:val="double" w:color="auto" w:sz="4" w:space="0"/>
              <w:left w:val="single" w:color="auto" w:sz="4" w:space="0"/>
              <w:bottom w:val="double" w:color="auto" w:sz="4" w:space="0"/>
              <w:right w:val="single" w:color="auto" w:sz="4" w:space="0"/>
            </w:tcBorders>
            <w:noWrap/>
            <w:tcMar>
              <w:top w:w="85" w:type="dxa"/>
              <w:left w:w="85" w:type="dxa"/>
              <w:bottom w:w="85" w:type="dxa"/>
              <w:right w:w="85" w:type="dxa"/>
            </w:tcMar>
            <w:vAlign w:val="center"/>
          </w:tcPr>
          <w:p w14:paraId="34E7A52D">
            <w:pPr>
              <w:spacing w:line="360" w:lineRule="auto"/>
              <w:jc w:val="center"/>
              <w:rPr>
                <w:rFonts w:ascii="宋体"/>
                <w:color w:val="auto"/>
                <w:sz w:val="24"/>
                <w:highlight w:val="none"/>
              </w:rPr>
            </w:pPr>
            <w:r>
              <w:rPr>
                <w:rFonts w:hint="eastAsia" w:ascii="宋体"/>
                <w:color w:val="auto"/>
                <w:sz w:val="24"/>
                <w:highlight w:val="none"/>
              </w:rPr>
              <w:t>13.1</w:t>
            </w:r>
          </w:p>
        </w:tc>
        <w:tc>
          <w:tcPr>
            <w:tcW w:w="8558" w:type="dxa"/>
            <w:tcBorders>
              <w:top w:val="double" w:color="auto" w:sz="4" w:space="0"/>
              <w:left w:val="single" w:color="auto" w:sz="4" w:space="0"/>
              <w:bottom w:val="double" w:color="auto" w:sz="4" w:space="0"/>
              <w:right w:val="double" w:color="auto" w:sz="4" w:space="0"/>
            </w:tcBorders>
            <w:noWrap/>
            <w:tcMar>
              <w:top w:w="85" w:type="dxa"/>
              <w:left w:w="85" w:type="dxa"/>
              <w:bottom w:w="85" w:type="dxa"/>
              <w:right w:w="85" w:type="dxa"/>
            </w:tcMar>
            <w:vAlign w:val="center"/>
          </w:tcPr>
          <w:p w14:paraId="0E9365B8">
            <w:pPr>
              <w:spacing w:line="360" w:lineRule="auto"/>
              <w:rPr>
                <w:rFonts w:ascii="宋体"/>
                <w:color w:val="auto"/>
                <w:sz w:val="24"/>
                <w:highlight w:val="none"/>
              </w:rPr>
            </w:pPr>
            <w:r>
              <w:rPr>
                <w:rFonts w:hint="eastAsia" w:ascii="宋体"/>
                <w:color w:val="auto"/>
                <w:sz w:val="24"/>
                <w:highlight w:val="none"/>
              </w:rPr>
              <w:t>投标文件份数：报价部分正本1份、副本3份，技术商务部分正本1份、副本3份，资格证明部分正本1分、副本3份，电子文本（光盘）2份。（光盘需贴上供应商名称标签，需单独密封在档案袋中，若本项目有要求提供照片、效果图等情况的应提供相关电子版光盘随投标文件一并提交）。</w:t>
            </w:r>
          </w:p>
          <w:p w14:paraId="6FD120F3">
            <w:pPr>
              <w:spacing w:line="360" w:lineRule="auto"/>
              <w:rPr>
                <w:rFonts w:ascii="宋体"/>
                <w:color w:val="auto"/>
                <w:sz w:val="24"/>
                <w:highlight w:val="none"/>
              </w:rPr>
            </w:pPr>
            <w:r>
              <w:rPr>
                <w:rFonts w:hint="eastAsia" w:ascii="宋体"/>
                <w:color w:val="auto"/>
                <w:sz w:val="24"/>
                <w:highlight w:val="none"/>
              </w:rPr>
              <w:t>投标文件递交地址：详见招标文件第一章“投标邀请”</w:t>
            </w:r>
          </w:p>
          <w:p w14:paraId="7AEF2337">
            <w:pPr>
              <w:spacing w:line="360" w:lineRule="auto"/>
              <w:rPr>
                <w:rFonts w:ascii="宋体"/>
                <w:color w:val="auto"/>
                <w:sz w:val="24"/>
                <w:highlight w:val="none"/>
              </w:rPr>
            </w:pPr>
            <w:r>
              <w:rPr>
                <w:rFonts w:hint="eastAsia" w:ascii="宋体"/>
                <w:color w:val="auto"/>
                <w:sz w:val="24"/>
                <w:highlight w:val="none"/>
              </w:rPr>
              <w:t>接收人：</w:t>
            </w:r>
            <w:r>
              <w:rPr>
                <w:rFonts w:hint="eastAsia" w:ascii="宋体"/>
                <w:color w:val="auto"/>
                <w:sz w:val="24"/>
                <w:highlight w:val="none"/>
                <w:u w:val="single"/>
              </w:rPr>
              <w:t>李先生</w:t>
            </w:r>
          </w:p>
          <w:p w14:paraId="6ADF9D3E">
            <w:pPr>
              <w:spacing w:line="360" w:lineRule="auto"/>
              <w:rPr>
                <w:rFonts w:ascii="宋体"/>
                <w:color w:val="auto"/>
                <w:sz w:val="24"/>
                <w:highlight w:val="none"/>
              </w:rPr>
            </w:pPr>
            <w:r>
              <w:rPr>
                <w:rFonts w:hint="eastAsia" w:ascii="宋体"/>
                <w:color w:val="auto"/>
                <w:sz w:val="24"/>
                <w:highlight w:val="none"/>
              </w:rPr>
              <w:t>投标截止时间：详见招标文件第一章“投标邀请”</w:t>
            </w:r>
          </w:p>
          <w:p w14:paraId="58CCFFEA">
            <w:pPr>
              <w:spacing w:line="360" w:lineRule="auto"/>
              <w:rPr>
                <w:rFonts w:ascii="宋体"/>
                <w:color w:val="auto"/>
                <w:sz w:val="24"/>
                <w:highlight w:val="none"/>
              </w:rPr>
            </w:pPr>
            <w:r>
              <w:rPr>
                <w:rFonts w:hint="eastAsia" w:ascii="宋体"/>
                <w:color w:val="auto"/>
                <w:sz w:val="24"/>
                <w:highlight w:val="none"/>
              </w:rPr>
              <w:t>在投标截止时间后递交的投标文件（若招标文件有要求提供样品的，则包括投标样品），采购代理机构将不予接收。</w:t>
            </w:r>
          </w:p>
          <w:p w14:paraId="753CFE06">
            <w:pPr>
              <w:spacing w:line="360" w:lineRule="auto"/>
              <w:rPr>
                <w:rFonts w:ascii="宋体"/>
                <w:color w:val="auto"/>
                <w:sz w:val="24"/>
                <w:highlight w:val="none"/>
              </w:rPr>
            </w:pPr>
            <w:r>
              <w:rPr>
                <w:rFonts w:hint="eastAsia" w:ascii="宋体"/>
                <w:color w:val="auto"/>
                <w:sz w:val="24"/>
                <w:highlight w:val="none"/>
              </w:rPr>
              <w:t>投标人一旦递交投标文件，即视为完全理解并接受招标文件的所有内容。</w:t>
            </w:r>
          </w:p>
        </w:tc>
      </w:tr>
      <w:tr w14:paraId="4C49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709" w:type="dxa"/>
            <w:tcBorders>
              <w:top w:val="double" w:color="auto" w:sz="4" w:space="0"/>
              <w:left w:val="double" w:color="auto" w:sz="4" w:space="0"/>
              <w:bottom w:val="single" w:color="auto" w:sz="4" w:space="0"/>
              <w:right w:val="single" w:color="auto" w:sz="4" w:space="0"/>
            </w:tcBorders>
            <w:noWrap/>
            <w:tcMar>
              <w:top w:w="85" w:type="dxa"/>
              <w:left w:w="85" w:type="dxa"/>
              <w:bottom w:w="85" w:type="dxa"/>
              <w:right w:w="85" w:type="dxa"/>
            </w:tcMar>
            <w:vAlign w:val="center"/>
          </w:tcPr>
          <w:p w14:paraId="4F413114">
            <w:pPr>
              <w:spacing w:line="360" w:lineRule="auto"/>
              <w:jc w:val="center"/>
              <w:rPr>
                <w:rFonts w:ascii="宋体"/>
                <w:color w:val="auto"/>
                <w:sz w:val="24"/>
                <w:highlight w:val="none"/>
              </w:rPr>
            </w:pPr>
            <w:r>
              <w:rPr>
                <w:rFonts w:ascii="宋体"/>
                <w:color w:val="auto"/>
                <w:sz w:val="24"/>
                <w:highlight w:val="none"/>
              </w:rPr>
              <w:t>6</w:t>
            </w:r>
          </w:p>
        </w:tc>
        <w:tc>
          <w:tcPr>
            <w:tcW w:w="980" w:type="dxa"/>
            <w:tcBorders>
              <w:top w:val="double" w:color="auto" w:sz="4" w:space="0"/>
              <w:left w:val="single" w:color="auto" w:sz="4" w:space="0"/>
              <w:bottom w:val="single" w:color="auto" w:sz="4" w:space="0"/>
              <w:right w:val="single" w:color="auto" w:sz="4" w:space="0"/>
            </w:tcBorders>
            <w:noWrap/>
            <w:tcMar>
              <w:top w:w="85" w:type="dxa"/>
              <w:left w:w="85" w:type="dxa"/>
              <w:bottom w:w="85" w:type="dxa"/>
              <w:right w:w="85" w:type="dxa"/>
            </w:tcMar>
            <w:vAlign w:val="center"/>
          </w:tcPr>
          <w:p w14:paraId="6312CEFB">
            <w:pPr>
              <w:spacing w:line="360" w:lineRule="auto"/>
              <w:jc w:val="center"/>
              <w:rPr>
                <w:rFonts w:ascii="宋体"/>
                <w:color w:val="auto"/>
                <w:sz w:val="24"/>
                <w:highlight w:val="none"/>
              </w:rPr>
            </w:pPr>
            <w:r>
              <w:rPr>
                <w:rFonts w:hint="eastAsia" w:ascii="宋体"/>
                <w:color w:val="auto"/>
                <w:sz w:val="24"/>
                <w:highlight w:val="none"/>
              </w:rPr>
              <w:t>12</w:t>
            </w:r>
          </w:p>
        </w:tc>
        <w:tc>
          <w:tcPr>
            <w:tcW w:w="8558" w:type="dxa"/>
            <w:tcBorders>
              <w:top w:val="double" w:color="auto" w:sz="4" w:space="0"/>
              <w:left w:val="single" w:color="auto" w:sz="4" w:space="0"/>
              <w:bottom w:val="single" w:color="auto" w:sz="4" w:space="0"/>
              <w:right w:val="double" w:color="auto" w:sz="4" w:space="0"/>
            </w:tcBorders>
            <w:noWrap/>
            <w:tcMar>
              <w:top w:w="85" w:type="dxa"/>
              <w:left w:w="85" w:type="dxa"/>
              <w:bottom w:w="85" w:type="dxa"/>
              <w:right w:w="85" w:type="dxa"/>
            </w:tcMar>
          </w:tcPr>
          <w:p w14:paraId="5C338671">
            <w:pPr>
              <w:spacing w:line="360" w:lineRule="auto"/>
              <w:rPr>
                <w:rFonts w:ascii="宋体"/>
                <w:b/>
                <w:color w:val="auto"/>
                <w:sz w:val="24"/>
                <w:highlight w:val="none"/>
              </w:rPr>
            </w:pPr>
            <w:r>
              <w:rPr>
                <w:rFonts w:hint="eastAsia" w:ascii="宋体"/>
                <w:b/>
                <w:color w:val="auto"/>
                <w:sz w:val="24"/>
                <w:highlight w:val="none"/>
              </w:rPr>
              <w:t>投标保证金：人民币</w:t>
            </w:r>
            <w:r>
              <w:rPr>
                <w:rFonts w:hint="eastAsia" w:ascii="宋体"/>
                <w:b/>
                <w:color w:val="auto"/>
                <w:sz w:val="24"/>
                <w:highlight w:val="none"/>
                <w:lang w:val="en-US" w:eastAsia="zh-CN"/>
              </w:rPr>
              <w:t>贰万肆仟</w:t>
            </w:r>
            <w:r>
              <w:rPr>
                <w:rFonts w:hint="eastAsia" w:ascii="宋体"/>
                <w:b/>
                <w:color w:val="auto"/>
                <w:sz w:val="24"/>
                <w:highlight w:val="none"/>
              </w:rPr>
              <w:t>元整（￥</w:t>
            </w:r>
            <w:r>
              <w:rPr>
                <w:rFonts w:hint="eastAsia" w:ascii="宋体"/>
                <w:b/>
                <w:color w:val="auto"/>
                <w:sz w:val="24"/>
                <w:highlight w:val="none"/>
                <w:lang w:val="en-US" w:eastAsia="zh-CN"/>
              </w:rPr>
              <w:t>24</w:t>
            </w:r>
            <w:r>
              <w:rPr>
                <w:rFonts w:hint="eastAsia" w:ascii="宋体"/>
                <w:b/>
                <w:color w:val="auto"/>
                <w:sz w:val="24"/>
                <w:highlight w:val="none"/>
              </w:rPr>
              <w:t>000元）。</w:t>
            </w:r>
          </w:p>
          <w:p w14:paraId="1A170ACA">
            <w:pPr>
              <w:spacing w:line="360" w:lineRule="auto"/>
              <w:rPr>
                <w:rFonts w:ascii="宋体"/>
                <w:color w:val="auto"/>
                <w:sz w:val="24"/>
                <w:highlight w:val="none"/>
              </w:rPr>
            </w:pPr>
            <w:r>
              <w:rPr>
                <w:rFonts w:hint="eastAsia" w:ascii="宋体"/>
                <w:color w:val="auto"/>
                <w:sz w:val="24"/>
                <w:highlight w:val="none"/>
              </w:rPr>
              <w:t>特别说明：</w:t>
            </w:r>
          </w:p>
          <w:p w14:paraId="4BB5F184">
            <w:pPr>
              <w:spacing w:line="360" w:lineRule="auto"/>
              <w:ind w:firstLine="480" w:firstLineChars="200"/>
              <w:rPr>
                <w:rFonts w:ascii="宋体"/>
                <w:color w:val="auto"/>
                <w:sz w:val="24"/>
                <w:highlight w:val="none"/>
              </w:rPr>
            </w:pPr>
            <w:r>
              <w:rPr>
                <w:rFonts w:hint="eastAsia" w:ascii="宋体"/>
                <w:color w:val="auto"/>
                <w:sz w:val="24"/>
                <w:highlight w:val="none"/>
              </w:rPr>
              <w:t>1、投标保证金从招标文件发售之日起即可缴纳，且必须保证在</w:t>
            </w:r>
            <w:r>
              <w:rPr>
                <w:rFonts w:hint="eastAsia" w:ascii="宋体"/>
                <w:b/>
                <w:color w:val="auto"/>
                <w:sz w:val="24"/>
                <w:highlight w:val="none"/>
              </w:rPr>
              <w:t>投标截止时间前缴交至</w:t>
            </w:r>
            <w:r>
              <w:rPr>
                <w:rFonts w:hint="eastAsia" w:ascii="宋体"/>
                <w:color w:val="auto"/>
                <w:sz w:val="24"/>
                <w:highlight w:val="none"/>
              </w:rPr>
              <w:t>指定账户，未按规定足额缴纳投标保证金的投标文件视为无效投标文件。供应商为联合体的，可以由联合体中的一方交纳投标保证金，其交纳的投标保证金对联合体各方均具有约束力。</w:t>
            </w:r>
          </w:p>
          <w:p w14:paraId="72BB3113">
            <w:pPr>
              <w:spacing w:line="360" w:lineRule="auto"/>
              <w:ind w:firstLine="480" w:firstLineChars="200"/>
              <w:rPr>
                <w:rFonts w:ascii="宋体"/>
                <w:color w:val="auto"/>
                <w:sz w:val="24"/>
                <w:highlight w:val="none"/>
              </w:rPr>
            </w:pPr>
            <w:r>
              <w:rPr>
                <w:rFonts w:hint="eastAsia" w:ascii="宋体"/>
                <w:color w:val="auto"/>
                <w:sz w:val="24"/>
                <w:highlight w:val="none"/>
              </w:rPr>
              <w:t>2、投标人应从自身账户以转账、电汇或网上银行支付等非现金形式将投标保证金缴交至我司保证金账户（详见招标文件第一章“投标邀请”）。截标前投标人应提供银行转账受理回执单，不得在投标现场缴交现金或以个人名义代缴投标保证金。</w:t>
            </w:r>
          </w:p>
          <w:p w14:paraId="263118D1">
            <w:pPr>
              <w:spacing w:line="360" w:lineRule="auto"/>
              <w:ind w:firstLine="480" w:firstLineChars="200"/>
              <w:rPr>
                <w:rFonts w:ascii="宋体"/>
                <w:color w:val="auto"/>
                <w:sz w:val="24"/>
                <w:highlight w:val="none"/>
              </w:rPr>
            </w:pPr>
            <w:r>
              <w:rPr>
                <w:rFonts w:hint="eastAsia" w:ascii="宋体"/>
                <w:color w:val="auto"/>
                <w:sz w:val="24"/>
                <w:highlight w:val="none"/>
              </w:rPr>
              <w:t>3、投标人应在投标文件中提供“投标保证金退还申请书”（格式详见本招标文件第五章），以便保证金能及时退还。</w:t>
            </w:r>
          </w:p>
        </w:tc>
      </w:tr>
      <w:tr w14:paraId="5975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9" w:type="dxa"/>
            <w:tcBorders>
              <w:top w:val="double" w:color="auto" w:sz="4" w:space="0"/>
              <w:left w:val="double" w:color="auto" w:sz="4" w:space="0"/>
              <w:bottom w:val="single" w:color="auto" w:sz="4" w:space="0"/>
              <w:right w:val="single" w:color="auto" w:sz="4" w:space="0"/>
            </w:tcBorders>
            <w:noWrap/>
            <w:tcMar>
              <w:top w:w="85" w:type="dxa"/>
              <w:left w:w="85" w:type="dxa"/>
              <w:bottom w:w="85" w:type="dxa"/>
              <w:right w:w="85" w:type="dxa"/>
            </w:tcMar>
            <w:vAlign w:val="center"/>
          </w:tcPr>
          <w:p w14:paraId="4CD697BF">
            <w:pPr>
              <w:spacing w:line="360" w:lineRule="auto"/>
              <w:jc w:val="center"/>
              <w:rPr>
                <w:rFonts w:ascii="宋体"/>
                <w:color w:val="auto"/>
                <w:sz w:val="24"/>
                <w:highlight w:val="none"/>
              </w:rPr>
            </w:pPr>
            <w:r>
              <w:rPr>
                <w:rFonts w:ascii="宋体"/>
                <w:color w:val="auto"/>
                <w:sz w:val="24"/>
                <w:highlight w:val="none"/>
              </w:rPr>
              <w:t>7</w:t>
            </w:r>
          </w:p>
        </w:tc>
        <w:tc>
          <w:tcPr>
            <w:tcW w:w="980" w:type="dxa"/>
            <w:tcBorders>
              <w:top w:val="double" w:color="auto" w:sz="4" w:space="0"/>
              <w:left w:val="single" w:color="auto" w:sz="4" w:space="0"/>
              <w:bottom w:val="single" w:color="auto" w:sz="4" w:space="0"/>
              <w:right w:val="single" w:color="auto" w:sz="4" w:space="0"/>
            </w:tcBorders>
            <w:noWrap/>
            <w:tcMar>
              <w:top w:w="85" w:type="dxa"/>
              <w:left w:w="85" w:type="dxa"/>
              <w:bottom w:w="85" w:type="dxa"/>
              <w:right w:w="85" w:type="dxa"/>
            </w:tcMar>
            <w:vAlign w:val="center"/>
          </w:tcPr>
          <w:p w14:paraId="5FD6F879">
            <w:pPr>
              <w:spacing w:line="360" w:lineRule="auto"/>
              <w:jc w:val="center"/>
              <w:rPr>
                <w:rFonts w:ascii="宋体"/>
                <w:color w:val="auto"/>
                <w:sz w:val="24"/>
                <w:highlight w:val="none"/>
              </w:rPr>
            </w:pPr>
          </w:p>
        </w:tc>
        <w:tc>
          <w:tcPr>
            <w:tcW w:w="8558" w:type="dxa"/>
            <w:tcBorders>
              <w:top w:val="double" w:color="auto" w:sz="4" w:space="0"/>
              <w:left w:val="single" w:color="auto" w:sz="4" w:space="0"/>
              <w:bottom w:val="single" w:color="auto" w:sz="4" w:space="0"/>
              <w:right w:val="double" w:color="auto" w:sz="4" w:space="0"/>
            </w:tcBorders>
            <w:noWrap/>
            <w:tcMar>
              <w:top w:w="85" w:type="dxa"/>
              <w:left w:w="85" w:type="dxa"/>
              <w:bottom w:w="85" w:type="dxa"/>
              <w:right w:w="85" w:type="dxa"/>
            </w:tcMar>
          </w:tcPr>
          <w:p w14:paraId="6B8C15CD">
            <w:pPr>
              <w:spacing w:line="360" w:lineRule="auto"/>
              <w:rPr>
                <w:rFonts w:ascii="宋体"/>
                <w:color w:val="auto"/>
                <w:sz w:val="24"/>
                <w:highlight w:val="none"/>
              </w:rPr>
            </w:pPr>
            <w:r>
              <w:rPr>
                <w:rFonts w:hint="eastAsia" w:ascii="宋体"/>
                <w:color w:val="auto"/>
                <w:sz w:val="24"/>
                <w:highlight w:val="none"/>
              </w:rPr>
              <w:t>评标方法、标准及定标原则(含推荐中标候选供应商数量)：详见《投标人须知前附表3》。</w:t>
            </w:r>
          </w:p>
        </w:tc>
      </w:tr>
      <w:tr w14:paraId="386D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double" w:color="auto" w:sz="4" w:space="0"/>
              <w:bottom w:val="double" w:color="auto" w:sz="4" w:space="0"/>
              <w:right w:val="single" w:color="auto" w:sz="4" w:space="0"/>
            </w:tcBorders>
            <w:noWrap/>
            <w:tcMar>
              <w:top w:w="85" w:type="dxa"/>
              <w:left w:w="85" w:type="dxa"/>
              <w:bottom w:w="85" w:type="dxa"/>
              <w:right w:w="85" w:type="dxa"/>
            </w:tcMar>
            <w:vAlign w:val="center"/>
          </w:tcPr>
          <w:p w14:paraId="57FF3AE0">
            <w:pPr>
              <w:spacing w:line="360" w:lineRule="auto"/>
              <w:jc w:val="center"/>
              <w:rPr>
                <w:rFonts w:ascii="宋体"/>
                <w:color w:val="auto"/>
                <w:sz w:val="24"/>
                <w:highlight w:val="none"/>
              </w:rPr>
            </w:pPr>
            <w:r>
              <w:rPr>
                <w:rFonts w:ascii="宋体"/>
                <w:color w:val="auto"/>
                <w:sz w:val="24"/>
                <w:highlight w:val="none"/>
              </w:rPr>
              <w:t>8</w:t>
            </w:r>
          </w:p>
        </w:tc>
        <w:tc>
          <w:tcPr>
            <w:tcW w:w="980" w:type="dxa"/>
            <w:tcBorders>
              <w:top w:val="single" w:color="auto" w:sz="4" w:space="0"/>
              <w:left w:val="single" w:color="auto" w:sz="4" w:space="0"/>
              <w:bottom w:val="double" w:color="auto" w:sz="4" w:space="0"/>
              <w:right w:val="single" w:color="auto" w:sz="4" w:space="0"/>
            </w:tcBorders>
            <w:noWrap/>
            <w:tcMar>
              <w:top w:w="85" w:type="dxa"/>
              <w:left w:w="85" w:type="dxa"/>
              <w:bottom w:w="85" w:type="dxa"/>
              <w:right w:w="85" w:type="dxa"/>
            </w:tcMar>
            <w:vAlign w:val="center"/>
          </w:tcPr>
          <w:p w14:paraId="43B943FB">
            <w:pPr>
              <w:spacing w:line="360" w:lineRule="auto"/>
              <w:jc w:val="center"/>
              <w:rPr>
                <w:rFonts w:ascii="宋体"/>
                <w:color w:val="auto"/>
                <w:sz w:val="24"/>
                <w:highlight w:val="none"/>
              </w:rPr>
            </w:pPr>
          </w:p>
        </w:tc>
        <w:tc>
          <w:tcPr>
            <w:tcW w:w="8558" w:type="dxa"/>
            <w:tcBorders>
              <w:top w:val="single" w:color="auto" w:sz="4" w:space="0"/>
              <w:left w:val="single" w:color="auto" w:sz="4" w:space="0"/>
              <w:bottom w:val="double" w:color="auto" w:sz="4" w:space="0"/>
              <w:right w:val="double" w:color="auto" w:sz="4" w:space="0"/>
            </w:tcBorders>
            <w:noWrap/>
            <w:tcMar>
              <w:top w:w="85" w:type="dxa"/>
              <w:left w:w="85" w:type="dxa"/>
              <w:bottom w:w="85" w:type="dxa"/>
              <w:right w:w="85" w:type="dxa"/>
            </w:tcMar>
          </w:tcPr>
          <w:p w14:paraId="3D5E5A3E">
            <w:pPr>
              <w:spacing w:line="360" w:lineRule="auto"/>
              <w:rPr>
                <w:rFonts w:ascii="宋体"/>
                <w:color w:val="auto"/>
                <w:sz w:val="24"/>
                <w:highlight w:val="none"/>
              </w:rPr>
            </w:pPr>
            <w:r>
              <w:rPr>
                <w:rFonts w:hint="eastAsia" w:ascii="宋体"/>
                <w:color w:val="auto"/>
                <w:sz w:val="24"/>
                <w:highlight w:val="none"/>
              </w:rPr>
              <w:t>本项目中标人按以下标准及方式向采购代理机构交纳招标代理服务费：</w:t>
            </w:r>
          </w:p>
          <w:p w14:paraId="43E9F312">
            <w:pPr>
              <w:spacing w:line="360" w:lineRule="auto"/>
              <w:ind w:firstLine="480" w:firstLineChars="200"/>
              <w:rPr>
                <w:rFonts w:ascii="宋体"/>
                <w:color w:val="auto"/>
                <w:sz w:val="24"/>
                <w:highlight w:val="none"/>
              </w:rPr>
            </w:pPr>
            <w:r>
              <w:rPr>
                <w:rFonts w:hint="eastAsia" w:ascii="宋体"/>
                <w:color w:val="auto"/>
                <w:sz w:val="24"/>
                <w:highlight w:val="none"/>
              </w:rPr>
              <w:t>招标代理服务费收费标准（以中标金额为基数），按差额定率累进法计费，根据下列收费标准计算结果的</w:t>
            </w:r>
            <w:r>
              <w:rPr>
                <w:rFonts w:hint="eastAsia" w:ascii="宋体"/>
                <w:b/>
                <w:bCs/>
                <w:color w:val="auto"/>
                <w:sz w:val="24"/>
                <w:highlight w:val="none"/>
                <w:u w:val="single"/>
              </w:rPr>
              <w:t xml:space="preserve">  80%  </w:t>
            </w:r>
            <w:r>
              <w:rPr>
                <w:rFonts w:hint="eastAsia" w:ascii="宋体"/>
                <w:color w:val="auto"/>
                <w:sz w:val="24"/>
                <w:highlight w:val="none"/>
              </w:rPr>
              <w:t>计取：</w:t>
            </w:r>
          </w:p>
          <w:p w14:paraId="788C1740">
            <w:pPr>
              <w:spacing w:line="360" w:lineRule="auto"/>
              <w:ind w:firstLine="480" w:firstLineChars="200"/>
              <w:rPr>
                <w:rFonts w:ascii="宋体"/>
                <w:color w:val="auto"/>
                <w:sz w:val="24"/>
                <w:highlight w:val="none"/>
              </w:rPr>
            </w:pPr>
            <w:r>
              <w:rPr>
                <w:rFonts w:hint="eastAsia" w:ascii="宋体"/>
                <w:color w:val="auto"/>
                <w:sz w:val="24"/>
                <w:highlight w:val="none"/>
              </w:rPr>
              <w:t>基数≤100万元部分，按1.0%计取；100万元≤基数≤500万元部分，按0.6%计取；分段累进计算。中标人在领取中标通知书时，应以转账、汇款等付款方式向采购代理机构一次性付清招标代理服务费。</w:t>
            </w:r>
          </w:p>
          <w:p w14:paraId="177489A3">
            <w:pPr>
              <w:spacing w:line="360" w:lineRule="auto"/>
              <w:rPr>
                <w:rFonts w:ascii="宋体"/>
                <w:color w:val="auto"/>
                <w:sz w:val="24"/>
                <w:highlight w:val="none"/>
              </w:rPr>
            </w:pPr>
            <w:r>
              <w:rPr>
                <w:rFonts w:hint="eastAsia" w:ascii="宋体"/>
                <w:bCs/>
                <w:color w:val="auto"/>
                <w:sz w:val="24"/>
                <w:highlight w:val="none"/>
              </w:rPr>
              <w:t>备注：中标人中标后不能履约的,其已交纳的招标代理服务费不予退还。</w:t>
            </w:r>
          </w:p>
        </w:tc>
      </w:tr>
      <w:tr w14:paraId="62B9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double" w:color="auto" w:sz="4" w:space="0"/>
              <w:bottom w:val="double" w:color="auto" w:sz="4" w:space="0"/>
              <w:right w:val="single" w:color="auto" w:sz="4" w:space="0"/>
            </w:tcBorders>
            <w:noWrap/>
            <w:tcMar>
              <w:top w:w="85" w:type="dxa"/>
              <w:left w:w="85" w:type="dxa"/>
              <w:bottom w:w="85" w:type="dxa"/>
              <w:right w:w="85" w:type="dxa"/>
            </w:tcMar>
            <w:vAlign w:val="center"/>
          </w:tcPr>
          <w:p w14:paraId="78C3B010">
            <w:pPr>
              <w:spacing w:line="360" w:lineRule="auto"/>
              <w:jc w:val="center"/>
              <w:rPr>
                <w:rFonts w:ascii="宋体"/>
                <w:color w:val="auto"/>
                <w:sz w:val="24"/>
                <w:highlight w:val="none"/>
              </w:rPr>
            </w:pPr>
            <w:r>
              <w:rPr>
                <w:rFonts w:ascii="宋体"/>
                <w:color w:val="auto"/>
                <w:sz w:val="24"/>
                <w:highlight w:val="none"/>
              </w:rPr>
              <w:t>9</w:t>
            </w:r>
          </w:p>
        </w:tc>
        <w:tc>
          <w:tcPr>
            <w:tcW w:w="980" w:type="dxa"/>
            <w:tcBorders>
              <w:top w:val="single" w:color="auto" w:sz="4" w:space="0"/>
              <w:left w:val="single" w:color="auto" w:sz="4" w:space="0"/>
              <w:bottom w:val="double" w:color="auto" w:sz="4" w:space="0"/>
              <w:right w:val="single" w:color="auto" w:sz="4" w:space="0"/>
            </w:tcBorders>
            <w:noWrap/>
            <w:tcMar>
              <w:top w:w="85" w:type="dxa"/>
              <w:left w:w="85" w:type="dxa"/>
              <w:bottom w:w="85" w:type="dxa"/>
              <w:right w:w="85" w:type="dxa"/>
            </w:tcMar>
            <w:vAlign w:val="center"/>
          </w:tcPr>
          <w:p w14:paraId="66BEF15E">
            <w:pPr>
              <w:spacing w:line="360" w:lineRule="auto"/>
              <w:jc w:val="center"/>
              <w:rPr>
                <w:rFonts w:ascii="宋体"/>
                <w:color w:val="auto"/>
                <w:sz w:val="24"/>
                <w:highlight w:val="none"/>
              </w:rPr>
            </w:pPr>
            <w:r>
              <w:rPr>
                <w:rFonts w:hint="eastAsia" w:ascii="宋体"/>
                <w:color w:val="auto"/>
                <w:sz w:val="24"/>
                <w:highlight w:val="none"/>
              </w:rPr>
              <w:t>25</w:t>
            </w:r>
          </w:p>
        </w:tc>
        <w:tc>
          <w:tcPr>
            <w:tcW w:w="8558" w:type="dxa"/>
            <w:tcBorders>
              <w:top w:val="single" w:color="auto" w:sz="4" w:space="0"/>
              <w:left w:val="single" w:color="auto" w:sz="4" w:space="0"/>
              <w:bottom w:val="double" w:color="auto" w:sz="4" w:space="0"/>
              <w:right w:val="double" w:color="auto" w:sz="4" w:space="0"/>
            </w:tcBorders>
            <w:noWrap/>
            <w:tcMar>
              <w:top w:w="85" w:type="dxa"/>
              <w:left w:w="85" w:type="dxa"/>
              <w:bottom w:w="85" w:type="dxa"/>
              <w:right w:w="85" w:type="dxa"/>
            </w:tcMar>
          </w:tcPr>
          <w:p w14:paraId="1F93DC3B">
            <w:pPr>
              <w:spacing w:line="360" w:lineRule="auto"/>
              <w:rPr>
                <w:rFonts w:ascii="宋体"/>
                <w:color w:val="auto"/>
                <w:sz w:val="24"/>
                <w:highlight w:val="none"/>
              </w:rPr>
            </w:pPr>
            <w:r>
              <w:rPr>
                <w:rFonts w:hint="eastAsia" w:ascii="宋体"/>
                <w:color w:val="auto"/>
                <w:sz w:val="24"/>
                <w:highlight w:val="none"/>
              </w:rPr>
              <w:t>合同签订：</w:t>
            </w:r>
          </w:p>
          <w:p w14:paraId="0311D076">
            <w:pPr>
              <w:spacing w:line="360" w:lineRule="auto"/>
              <w:ind w:firstLine="480" w:firstLineChars="200"/>
              <w:rPr>
                <w:rFonts w:ascii="宋体"/>
                <w:color w:val="auto"/>
                <w:sz w:val="24"/>
                <w:highlight w:val="none"/>
              </w:rPr>
            </w:pPr>
            <w:r>
              <w:rPr>
                <w:rFonts w:hint="eastAsia" w:ascii="宋体" w:cs="宋体"/>
                <w:color w:val="auto"/>
                <w:kern w:val="0"/>
                <w:sz w:val="24"/>
                <w:highlight w:val="none"/>
              </w:rPr>
              <w:t>采购人、中标人应当在《中标通知书》发出30日内根据招标文件确定的事项和中标人投标文件，参照本招标文件第四章的《合同》文本签订合同。双方所签订的合同不得对招标文件和中标人投标文件作实质性修改。逾期未签订合同，按照有关法律规定承担相应的法律责任。属中标人责任的，其中标资格将被取消，投标保证金将</w:t>
            </w:r>
            <w:r>
              <w:rPr>
                <w:rFonts w:hint="eastAsia" w:ascii="宋体"/>
                <w:color w:val="auto"/>
                <w:sz w:val="24"/>
                <w:highlight w:val="none"/>
              </w:rPr>
              <w:t>不退还</w:t>
            </w:r>
            <w:r>
              <w:rPr>
                <w:rFonts w:hint="eastAsia" w:ascii="宋体" w:cs="宋体"/>
                <w:color w:val="auto"/>
                <w:kern w:val="0"/>
                <w:sz w:val="24"/>
                <w:highlight w:val="none"/>
              </w:rPr>
              <w:t>，以抵偿对采购人造成的损失。采购人逾期不与中标人签订合同的，按政府采购的有关规定处理。</w:t>
            </w:r>
            <w:r>
              <w:rPr>
                <w:rFonts w:ascii="宋体" w:cs="宋体"/>
                <w:color w:val="auto"/>
                <w:kern w:val="0"/>
                <w:sz w:val="24"/>
                <w:highlight w:val="none"/>
              </w:rPr>
              <w:t xml:space="preserve"> </w:t>
            </w:r>
            <w:r>
              <w:rPr>
                <w:rFonts w:hint="eastAsia" w:ascii="宋体"/>
                <w:color w:val="auto"/>
                <w:sz w:val="24"/>
                <w:highlight w:val="none"/>
              </w:rPr>
              <w:t>招标文件、中标人的投标文件均作为合同订立的基础。合同签订后1个工作日内中标人应将合同副本（一份）送采购代理机构备案。</w:t>
            </w:r>
          </w:p>
        </w:tc>
      </w:tr>
      <w:tr w14:paraId="2948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double" w:color="auto" w:sz="4" w:space="0"/>
              <w:bottom w:val="double" w:color="auto" w:sz="4" w:space="0"/>
              <w:right w:val="single" w:color="auto" w:sz="4" w:space="0"/>
            </w:tcBorders>
            <w:noWrap/>
            <w:tcMar>
              <w:top w:w="85" w:type="dxa"/>
              <w:left w:w="85" w:type="dxa"/>
              <w:bottom w:w="85" w:type="dxa"/>
              <w:right w:w="85" w:type="dxa"/>
            </w:tcMar>
            <w:vAlign w:val="center"/>
          </w:tcPr>
          <w:p w14:paraId="5C9C6001">
            <w:pPr>
              <w:spacing w:line="360" w:lineRule="auto"/>
              <w:jc w:val="center"/>
              <w:rPr>
                <w:rFonts w:ascii="宋体"/>
                <w:color w:val="auto"/>
                <w:sz w:val="24"/>
                <w:highlight w:val="none"/>
              </w:rPr>
            </w:pPr>
            <w:r>
              <w:rPr>
                <w:rFonts w:hint="eastAsia" w:ascii="宋体"/>
                <w:color w:val="auto"/>
                <w:sz w:val="24"/>
                <w:highlight w:val="none"/>
              </w:rPr>
              <w:t>1</w:t>
            </w:r>
            <w:r>
              <w:rPr>
                <w:rFonts w:ascii="宋体"/>
                <w:color w:val="auto"/>
                <w:sz w:val="24"/>
                <w:highlight w:val="none"/>
              </w:rPr>
              <w:t>0</w:t>
            </w:r>
          </w:p>
        </w:tc>
        <w:tc>
          <w:tcPr>
            <w:tcW w:w="980" w:type="dxa"/>
            <w:tcBorders>
              <w:top w:val="single" w:color="auto" w:sz="4" w:space="0"/>
              <w:left w:val="single" w:color="auto" w:sz="4" w:space="0"/>
              <w:bottom w:val="double" w:color="auto" w:sz="4" w:space="0"/>
              <w:right w:val="single" w:color="auto" w:sz="4" w:space="0"/>
            </w:tcBorders>
            <w:noWrap/>
            <w:tcMar>
              <w:top w:w="85" w:type="dxa"/>
              <w:left w:w="85" w:type="dxa"/>
              <w:bottom w:w="85" w:type="dxa"/>
              <w:right w:w="85" w:type="dxa"/>
            </w:tcMar>
            <w:vAlign w:val="center"/>
          </w:tcPr>
          <w:p w14:paraId="7BE0FA97">
            <w:pPr>
              <w:spacing w:line="360" w:lineRule="auto"/>
              <w:jc w:val="center"/>
              <w:rPr>
                <w:rFonts w:ascii="宋体"/>
                <w:color w:val="auto"/>
                <w:sz w:val="24"/>
                <w:highlight w:val="none"/>
              </w:rPr>
            </w:pPr>
            <w:r>
              <w:rPr>
                <w:rFonts w:hint="eastAsia" w:ascii="宋体"/>
                <w:color w:val="auto"/>
                <w:sz w:val="24"/>
                <w:highlight w:val="none"/>
              </w:rPr>
              <w:t>27</w:t>
            </w:r>
          </w:p>
        </w:tc>
        <w:tc>
          <w:tcPr>
            <w:tcW w:w="8558" w:type="dxa"/>
            <w:tcBorders>
              <w:top w:val="single" w:color="auto" w:sz="4" w:space="0"/>
              <w:left w:val="single" w:color="auto" w:sz="4" w:space="0"/>
              <w:bottom w:val="double" w:color="auto" w:sz="4" w:space="0"/>
              <w:right w:val="double" w:color="auto" w:sz="4" w:space="0"/>
            </w:tcBorders>
            <w:noWrap/>
            <w:tcMar>
              <w:top w:w="85" w:type="dxa"/>
              <w:left w:w="85" w:type="dxa"/>
              <w:bottom w:w="85" w:type="dxa"/>
              <w:right w:w="85" w:type="dxa"/>
            </w:tcMar>
          </w:tcPr>
          <w:p w14:paraId="072ECE10">
            <w:pPr>
              <w:spacing w:line="360" w:lineRule="auto"/>
              <w:rPr>
                <w:rFonts w:ascii="宋体"/>
                <w:color w:val="auto"/>
                <w:sz w:val="24"/>
                <w:szCs w:val="24"/>
                <w:highlight w:val="none"/>
              </w:rPr>
            </w:pPr>
            <w:r>
              <w:rPr>
                <w:rFonts w:hint="eastAsia" w:ascii="宋体"/>
                <w:color w:val="auto"/>
                <w:sz w:val="24"/>
                <w:szCs w:val="24"/>
                <w:highlight w:val="none"/>
              </w:rPr>
              <w:t>质疑</w:t>
            </w:r>
          </w:p>
          <w:p w14:paraId="00607FAB">
            <w:pPr>
              <w:spacing w:line="360" w:lineRule="auto"/>
              <w:rPr>
                <w:rFonts w:ascii="宋体"/>
                <w:color w:val="auto"/>
                <w:sz w:val="24"/>
                <w:szCs w:val="24"/>
                <w:highlight w:val="none"/>
              </w:rPr>
            </w:pPr>
            <w:r>
              <w:rPr>
                <w:rFonts w:hint="eastAsia" w:ascii="宋体"/>
                <w:color w:val="auto"/>
                <w:sz w:val="24"/>
                <w:szCs w:val="24"/>
                <w:highlight w:val="none"/>
              </w:rPr>
              <w:t>（1）潜在投标人可在质疑时效期间内对招标文件以书面形式提出质疑。</w:t>
            </w:r>
          </w:p>
          <w:p w14:paraId="33DA400A">
            <w:pPr>
              <w:spacing w:line="360" w:lineRule="auto"/>
              <w:rPr>
                <w:rFonts w:ascii="宋体"/>
                <w:color w:val="auto"/>
                <w:sz w:val="24"/>
                <w:szCs w:val="24"/>
                <w:highlight w:val="none"/>
              </w:rPr>
            </w:pPr>
            <w:r>
              <w:rPr>
                <w:rFonts w:hint="eastAsia" w:ascii="宋体"/>
                <w:color w:val="auto"/>
                <w:sz w:val="24"/>
                <w:szCs w:val="24"/>
                <w:highlight w:val="none"/>
              </w:rPr>
              <w:t>（2）质疑时效期间：自招标文件购买之日起7个工作日内向采购代理机构提出。</w:t>
            </w:r>
          </w:p>
          <w:p w14:paraId="4BBCE352">
            <w:pPr>
              <w:spacing w:line="360" w:lineRule="auto"/>
              <w:rPr>
                <w:rFonts w:ascii="宋体"/>
                <w:color w:val="auto"/>
                <w:sz w:val="24"/>
                <w:szCs w:val="24"/>
                <w:highlight w:val="none"/>
              </w:rPr>
            </w:pPr>
            <w:r>
              <w:rPr>
                <w:rFonts w:hint="eastAsia" w:ascii="宋体"/>
                <w:color w:val="auto"/>
                <w:sz w:val="24"/>
                <w:szCs w:val="24"/>
                <w:highlight w:val="none"/>
              </w:rPr>
              <w:t>除上述规定外，对招标文件提出的质疑还应符合招标文件第三章第27.1条规定，否则按照招标文件第三章第27.3条款规定处理。</w:t>
            </w:r>
          </w:p>
          <w:p w14:paraId="760FE011">
            <w:pPr>
              <w:spacing w:line="360" w:lineRule="auto"/>
              <w:rPr>
                <w:rFonts w:ascii="宋体"/>
                <w:color w:val="auto"/>
                <w:sz w:val="24"/>
                <w:highlight w:val="none"/>
              </w:rPr>
            </w:pPr>
            <w:r>
              <w:rPr>
                <w:rFonts w:hint="eastAsia" w:ascii="宋体"/>
                <w:color w:val="auto"/>
                <w:sz w:val="24"/>
                <w:highlight w:val="none"/>
              </w:rPr>
              <w:t>（3）质疑函原件可采用下列方式向采购人提交：</w:t>
            </w:r>
            <w:r>
              <w:rPr>
                <w:rFonts w:ascii="Segoe UI Symbol" w:hAnsi="Segoe UI Symbol" w:cs="Segoe UI Symbol"/>
                <w:color w:val="auto"/>
                <w:sz w:val="24"/>
                <w:highlight w:val="none"/>
              </w:rPr>
              <w:t>☑</w:t>
            </w:r>
            <w:r>
              <w:rPr>
                <w:rFonts w:hint="eastAsia" w:ascii="宋体"/>
                <w:color w:val="auto"/>
                <w:sz w:val="24"/>
                <w:highlight w:val="none"/>
              </w:rPr>
              <w:t>现场方式。□挂号邮件或快递方式。</w:t>
            </w:r>
          </w:p>
          <w:p w14:paraId="18A5D1EB">
            <w:pPr>
              <w:spacing w:line="360" w:lineRule="auto"/>
              <w:rPr>
                <w:rFonts w:ascii="宋体"/>
                <w:color w:val="auto"/>
                <w:sz w:val="24"/>
                <w:highlight w:val="none"/>
              </w:rPr>
            </w:pPr>
            <w:r>
              <w:rPr>
                <w:rFonts w:hint="eastAsia" w:ascii="宋体"/>
                <w:color w:val="auto"/>
                <w:sz w:val="24"/>
                <w:highlight w:val="none"/>
              </w:rPr>
              <w:t>（4）采购代理机构接收质疑函联系人：李先生       联系电话：0592</w:t>
            </w:r>
            <w:r>
              <w:rPr>
                <w:rFonts w:ascii="宋体"/>
                <w:color w:val="auto"/>
                <w:sz w:val="24"/>
                <w:highlight w:val="none"/>
              </w:rPr>
              <w:t>-</w:t>
            </w:r>
            <w:r>
              <w:rPr>
                <w:rFonts w:hint="eastAsia" w:ascii="宋体"/>
                <w:color w:val="auto"/>
                <w:sz w:val="24"/>
                <w:highlight w:val="none"/>
              </w:rPr>
              <w:t>5333087</w:t>
            </w:r>
          </w:p>
          <w:p w14:paraId="66C7C6A9">
            <w:pPr>
              <w:spacing w:line="360" w:lineRule="auto"/>
              <w:rPr>
                <w:rFonts w:ascii="宋体"/>
                <w:color w:val="auto"/>
                <w:sz w:val="24"/>
                <w:highlight w:val="none"/>
              </w:rPr>
            </w:pPr>
            <w:r>
              <w:rPr>
                <w:rFonts w:hint="eastAsia" w:ascii="宋体"/>
                <w:color w:val="auto"/>
                <w:sz w:val="24"/>
                <w:highlight w:val="none"/>
              </w:rPr>
              <w:t xml:space="preserve">     通讯地址：厦门市思明区莲岳路221-1号公交大厦11楼</w:t>
            </w:r>
          </w:p>
        </w:tc>
      </w:tr>
      <w:tr w14:paraId="5AA3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double" w:color="auto" w:sz="4" w:space="0"/>
              <w:left w:val="double" w:color="auto" w:sz="4" w:space="0"/>
              <w:bottom w:val="double" w:color="auto" w:sz="4" w:space="0"/>
              <w:right w:val="single" w:color="auto" w:sz="4" w:space="0"/>
            </w:tcBorders>
            <w:noWrap/>
            <w:tcMar>
              <w:top w:w="85" w:type="dxa"/>
              <w:left w:w="85" w:type="dxa"/>
              <w:bottom w:w="85" w:type="dxa"/>
              <w:right w:w="85" w:type="dxa"/>
            </w:tcMar>
            <w:vAlign w:val="center"/>
          </w:tcPr>
          <w:p w14:paraId="29DC674F">
            <w:pPr>
              <w:spacing w:line="360" w:lineRule="auto"/>
              <w:jc w:val="center"/>
              <w:rPr>
                <w:rFonts w:ascii="宋体"/>
                <w:color w:val="auto"/>
                <w:sz w:val="24"/>
                <w:highlight w:val="none"/>
              </w:rPr>
            </w:pPr>
            <w:r>
              <w:rPr>
                <w:rFonts w:ascii="宋体"/>
                <w:color w:val="auto"/>
                <w:sz w:val="24"/>
                <w:highlight w:val="none"/>
              </w:rPr>
              <w:t>11</w:t>
            </w:r>
          </w:p>
        </w:tc>
        <w:tc>
          <w:tcPr>
            <w:tcW w:w="980" w:type="dxa"/>
            <w:tcBorders>
              <w:top w:val="double" w:color="auto" w:sz="4" w:space="0"/>
              <w:left w:val="single" w:color="auto" w:sz="4" w:space="0"/>
              <w:bottom w:val="double" w:color="auto" w:sz="4" w:space="0"/>
              <w:right w:val="single" w:color="auto" w:sz="4" w:space="0"/>
            </w:tcBorders>
            <w:noWrap/>
            <w:tcMar>
              <w:top w:w="85" w:type="dxa"/>
              <w:left w:w="85" w:type="dxa"/>
              <w:bottom w:w="85" w:type="dxa"/>
              <w:right w:w="85" w:type="dxa"/>
            </w:tcMar>
            <w:vAlign w:val="center"/>
          </w:tcPr>
          <w:p w14:paraId="4B5E8418">
            <w:pPr>
              <w:spacing w:line="360" w:lineRule="auto"/>
              <w:jc w:val="center"/>
              <w:rPr>
                <w:rFonts w:ascii="宋体"/>
                <w:color w:val="auto"/>
                <w:sz w:val="24"/>
                <w:highlight w:val="none"/>
              </w:rPr>
            </w:pPr>
          </w:p>
        </w:tc>
        <w:tc>
          <w:tcPr>
            <w:tcW w:w="8558" w:type="dxa"/>
            <w:tcBorders>
              <w:top w:val="double" w:color="auto" w:sz="4" w:space="0"/>
              <w:left w:val="single" w:color="auto" w:sz="4" w:space="0"/>
              <w:bottom w:val="double" w:color="auto" w:sz="4" w:space="0"/>
              <w:right w:val="double" w:color="auto" w:sz="4" w:space="0"/>
            </w:tcBorders>
            <w:noWrap/>
            <w:tcMar>
              <w:top w:w="85" w:type="dxa"/>
              <w:left w:w="85" w:type="dxa"/>
              <w:bottom w:w="85" w:type="dxa"/>
              <w:right w:w="85" w:type="dxa"/>
            </w:tcMar>
            <w:vAlign w:val="center"/>
          </w:tcPr>
          <w:p w14:paraId="5C0A7E7E">
            <w:pPr>
              <w:spacing w:line="360" w:lineRule="auto"/>
              <w:rPr>
                <w:rFonts w:ascii="宋体"/>
                <w:b/>
                <w:color w:val="auto"/>
                <w:sz w:val="24"/>
                <w:highlight w:val="none"/>
              </w:rPr>
            </w:pPr>
            <w:r>
              <w:rPr>
                <w:rFonts w:hint="eastAsia" w:ascii="宋体"/>
                <w:b/>
                <w:color w:val="auto"/>
                <w:sz w:val="24"/>
                <w:highlight w:val="none"/>
              </w:rPr>
              <w:t>重要提示：</w:t>
            </w:r>
          </w:p>
          <w:p w14:paraId="69B3CF30">
            <w:pPr>
              <w:spacing w:line="360" w:lineRule="auto"/>
              <w:rPr>
                <w:rFonts w:ascii="宋体"/>
                <w:color w:val="auto"/>
                <w:sz w:val="24"/>
                <w:highlight w:val="none"/>
              </w:rPr>
            </w:pPr>
            <w:r>
              <w:rPr>
                <w:rFonts w:hint="eastAsia" w:ascii="宋体"/>
                <w:color w:val="auto"/>
                <w:sz w:val="24"/>
                <w:highlight w:val="none"/>
              </w:rPr>
              <w:t>1、投标人应对所提供的文件资料逐项加盖公章，若某项内容材料有2页以上的，应逐页加盖公章或加盖骑缝章，投标文件应装订成册，不得活页装订。</w:t>
            </w:r>
          </w:p>
          <w:p w14:paraId="014A4215">
            <w:pPr>
              <w:spacing w:line="360" w:lineRule="auto"/>
              <w:rPr>
                <w:rFonts w:ascii="宋体"/>
                <w:color w:val="auto"/>
                <w:sz w:val="24"/>
                <w:highlight w:val="none"/>
              </w:rPr>
            </w:pPr>
            <w:r>
              <w:rPr>
                <w:rFonts w:hint="eastAsia" w:ascii="宋体"/>
                <w:color w:val="auto"/>
                <w:sz w:val="24"/>
                <w:highlight w:val="none"/>
              </w:rPr>
              <w:t>2、交通拥堵，递交投标文件请提前做好准备。在规定的投标截止时间之后送达的投标文件将被拒收，敬请谅解。</w:t>
            </w:r>
          </w:p>
          <w:p w14:paraId="24FAD572">
            <w:pPr>
              <w:spacing w:line="360" w:lineRule="auto"/>
              <w:rPr>
                <w:rFonts w:ascii="宋体"/>
                <w:color w:val="auto"/>
                <w:sz w:val="24"/>
                <w:highlight w:val="none"/>
              </w:rPr>
            </w:pPr>
            <w:r>
              <w:rPr>
                <w:rFonts w:hint="eastAsia" w:ascii="宋体"/>
                <w:color w:val="auto"/>
                <w:sz w:val="24"/>
                <w:highlight w:val="none"/>
              </w:rPr>
              <w:t>3、考虑到银行上班时间较迟，投标保证金应提前缴交并到账，未按规定按时足额提交投标保证金或投标保证金未实际到账的投标文件将被视为无效投标。</w:t>
            </w:r>
          </w:p>
          <w:p w14:paraId="6BC8E129">
            <w:pPr>
              <w:spacing w:line="360" w:lineRule="auto"/>
              <w:rPr>
                <w:rFonts w:ascii="宋体"/>
                <w:color w:val="auto"/>
                <w:sz w:val="24"/>
                <w:highlight w:val="none"/>
              </w:rPr>
            </w:pPr>
            <w:r>
              <w:rPr>
                <w:rFonts w:hint="eastAsia" w:ascii="宋体"/>
                <w:color w:val="auto"/>
                <w:sz w:val="24"/>
                <w:highlight w:val="none"/>
              </w:rPr>
              <w:t>4、投标保证金手续办理完毕后，请再次核对账号、收款单位是否正确，并确保在投标截止时间前到账。</w:t>
            </w:r>
          </w:p>
          <w:p w14:paraId="16F2F1A5">
            <w:pPr>
              <w:spacing w:line="360" w:lineRule="auto"/>
              <w:rPr>
                <w:rFonts w:ascii="宋体"/>
                <w:color w:val="auto"/>
                <w:sz w:val="24"/>
                <w:highlight w:val="none"/>
              </w:rPr>
            </w:pPr>
            <w:r>
              <w:rPr>
                <w:rFonts w:hint="eastAsia" w:ascii="宋体"/>
                <w:color w:val="auto"/>
                <w:sz w:val="24"/>
                <w:highlight w:val="none"/>
              </w:rPr>
              <w:t>5、报价部分、资格证明部分、技术商务部分应分别单独装订</w:t>
            </w:r>
            <w:r>
              <w:rPr>
                <w:rFonts w:ascii="宋体"/>
                <w:color w:val="auto"/>
                <w:sz w:val="24"/>
                <w:highlight w:val="none"/>
              </w:rPr>
              <w:t>，</w:t>
            </w:r>
            <w:r>
              <w:rPr>
                <w:rFonts w:hint="eastAsia" w:ascii="宋体"/>
                <w:color w:val="auto"/>
                <w:sz w:val="24"/>
                <w:highlight w:val="none"/>
              </w:rPr>
              <w:t>资格证明部分、技术商务部分投标文件禁止</w:t>
            </w:r>
            <w:r>
              <w:rPr>
                <w:rFonts w:ascii="宋体"/>
                <w:color w:val="auto"/>
                <w:sz w:val="24"/>
                <w:highlight w:val="none"/>
              </w:rPr>
              <w:t>出现</w:t>
            </w:r>
            <w:r>
              <w:rPr>
                <w:rFonts w:hint="eastAsia" w:ascii="宋体"/>
                <w:color w:val="auto"/>
                <w:sz w:val="24"/>
                <w:highlight w:val="none"/>
              </w:rPr>
              <w:t>与</w:t>
            </w:r>
            <w:r>
              <w:rPr>
                <w:rFonts w:ascii="宋体"/>
                <w:color w:val="auto"/>
                <w:sz w:val="24"/>
                <w:highlight w:val="none"/>
              </w:rPr>
              <w:t>价格有关的信息</w:t>
            </w:r>
            <w:r>
              <w:rPr>
                <w:rFonts w:hint="eastAsia" w:ascii="宋体"/>
                <w:color w:val="auto"/>
                <w:sz w:val="24"/>
                <w:highlight w:val="none"/>
              </w:rPr>
              <w:t>。</w:t>
            </w:r>
          </w:p>
          <w:p w14:paraId="006B3F05">
            <w:pPr>
              <w:spacing w:line="360" w:lineRule="auto"/>
              <w:rPr>
                <w:rFonts w:ascii="宋体"/>
                <w:color w:val="auto"/>
                <w:sz w:val="24"/>
                <w:highlight w:val="none"/>
              </w:rPr>
            </w:pPr>
            <w:r>
              <w:rPr>
                <w:rFonts w:hint="eastAsia" w:ascii="宋体"/>
                <w:color w:val="auto"/>
                <w:sz w:val="24"/>
                <w:highlight w:val="none"/>
              </w:rPr>
              <w:t>6、投标人在本项目中禁止使用“投标专用章”，必须使用投标人公章进行投标，投标文件的正、副本均须加盖公章骑缝章。</w:t>
            </w:r>
          </w:p>
          <w:p w14:paraId="0527BAE8">
            <w:pPr>
              <w:spacing w:line="360" w:lineRule="auto"/>
              <w:rPr>
                <w:rFonts w:ascii="宋体"/>
                <w:color w:val="auto"/>
                <w:sz w:val="24"/>
                <w:highlight w:val="none"/>
              </w:rPr>
            </w:pPr>
            <w:r>
              <w:rPr>
                <w:rFonts w:hint="eastAsia" w:ascii="宋体"/>
                <w:color w:val="auto"/>
                <w:sz w:val="24"/>
                <w:highlight w:val="none"/>
              </w:rPr>
              <w:t>7</w:t>
            </w:r>
            <w:r>
              <w:rPr>
                <w:rFonts w:ascii="宋体"/>
                <w:color w:val="auto"/>
                <w:sz w:val="24"/>
                <w:highlight w:val="none"/>
              </w:rPr>
              <w:t>、投标人应在投标文件中提供“</w:t>
            </w:r>
            <w:r>
              <w:rPr>
                <w:rFonts w:hint="eastAsia" w:ascii="宋体"/>
                <w:color w:val="auto"/>
                <w:sz w:val="24"/>
                <w:highlight w:val="none"/>
              </w:rPr>
              <w:t>投标</w:t>
            </w:r>
            <w:r>
              <w:rPr>
                <w:rFonts w:ascii="宋体"/>
                <w:color w:val="auto"/>
                <w:sz w:val="24"/>
                <w:highlight w:val="none"/>
              </w:rPr>
              <w:t>保证金退还申请书”（格式详见本招标文件第五章）。</w:t>
            </w:r>
          </w:p>
          <w:p w14:paraId="0A172C2D">
            <w:pPr>
              <w:spacing w:line="360" w:lineRule="auto"/>
              <w:rPr>
                <w:rFonts w:ascii="宋体"/>
                <w:color w:val="auto"/>
                <w:sz w:val="24"/>
                <w:highlight w:val="none"/>
              </w:rPr>
            </w:pPr>
            <w:r>
              <w:rPr>
                <w:rFonts w:hint="eastAsia" w:ascii="宋体"/>
                <w:color w:val="auto"/>
                <w:sz w:val="24"/>
                <w:highlight w:val="none"/>
              </w:rPr>
              <w:t>8、为确保投标文件的密封的完好性，在递交投标文件时投标人应自行检查投标文件的密封情况。投标人须确保密封的牢固性，投标文件的封口包括文件袋的袋口、袋底及侧边均应按要求进行密封。投标人应自行承担监标人在检查投标文件过程中因密封不符合规定导致投标文件被拒绝的所有责任。</w:t>
            </w:r>
          </w:p>
          <w:p w14:paraId="23BB9AF3">
            <w:pPr>
              <w:spacing w:line="360" w:lineRule="auto"/>
              <w:rPr>
                <w:rFonts w:ascii="宋体"/>
                <w:color w:val="auto"/>
                <w:sz w:val="24"/>
                <w:highlight w:val="none"/>
              </w:rPr>
            </w:pPr>
            <w:r>
              <w:rPr>
                <w:rFonts w:hint="eastAsia" w:ascii="宋体"/>
                <w:color w:val="auto"/>
                <w:sz w:val="24"/>
                <w:highlight w:val="none"/>
              </w:rPr>
              <w:t>9、如投标人所缴纳的费用需要开具增值税专用发票，请在转账当月30日前提供增值税一般纳税人的开票资料，如未提供，我公司对上述费用将开具普通发票，特此说明。</w:t>
            </w:r>
          </w:p>
        </w:tc>
      </w:tr>
    </w:tbl>
    <w:p w14:paraId="369CD84F">
      <w:pPr>
        <w:keepLines/>
        <w:pageBreakBefore/>
        <w:spacing w:line="360" w:lineRule="auto"/>
        <w:jc w:val="center"/>
        <w:outlineLvl w:val="1"/>
        <w:rPr>
          <w:rFonts w:ascii="宋体"/>
          <w:b/>
          <w:bCs/>
          <w:color w:val="auto"/>
          <w:sz w:val="28"/>
          <w:szCs w:val="28"/>
          <w:highlight w:val="none"/>
        </w:rPr>
      </w:pPr>
      <w:bookmarkStart w:id="26" w:name="_Toc18328"/>
      <w:bookmarkStart w:id="27" w:name="_Toc11110"/>
      <w:bookmarkStart w:id="28" w:name="_Toc531742150"/>
      <w:r>
        <w:rPr>
          <w:rFonts w:hint="eastAsia" w:ascii="宋体"/>
          <w:b/>
          <w:bCs/>
          <w:color w:val="auto"/>
          <w:sz w:val="28"/>
          <w:szCs w:val="28"/>
          <w:highlight w:val="none"/>
        </w:rPr>
        <w:t>投标人须知前附表2:资格性、符合性检查表</w:t>
      </w:r>
      <w:bookmarkEnd w:id="26"/>
      <w:bookmarkEnd w:id="27"/>
      <w:bookmarkEnd w:id="28"/>
    </w:p>
    <w:p w14:paraId="07D6081C">
      <w:pPr>
        <w:spacing w:line="360" w:lineRule="auto"/>
        <w:ind w:firstLine="493"/>
        <w:rPr>
          <w:rFonts w:ascii="宋体"/>
          <w:color w:val="auto"/>
          <w:sz w:val="24"/>
          <w:highlight w:val="none"/>
        </w:rPr>
      </w:pPr>
      <w:r>
        <w:rPr>
          <w:rFonts w:hint="eastAsia" w:ascii="宋体"/>
          <w:color w:val="auto"/>
          <w:sz w:val="24"/>
          <w:highlight w:val="none"/>
        </w:rPr>
        <w:t>本须知前附表2集中列示了资格性、符合性检查的所有条款，其内容是评标委员会判断投标人的投标是否有效的重要依据。</w:t>
      </w:r>
    </w:p>
    <w:tbl>
      <w:tblPr>
        <w:tblStyle w:val="28"/>
        <w:tblW w:w="10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82"/>
        <w:gridCol w:w="936"/>
        <w:gridCol w:w="8510"/>
      </w:tblGrid>
      <w:tr w14:paraId="2E10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0" w:type="dxa"/>
            <w:gridSpan w:val="4"/>
            <w:tcBorders>
              <w:top w:val="single" w:color="auto" w:sz="4" w:space="0"/>
              <w:left w:val="single" w:color="auto" w:sz="4" w:space="0"/>
              <w:bottom w:val="single" w:color="auto" w:sz="4" w:space="0"/>
              <w:right w:val="single" w:color="auto" w:sz="4" w:space="0"/>
            </w:tcBorders>
            <w:noWrap/>
            <w:vAlign w:val="center"/>
          </w:tcPr>
          <w:p w14:paraId="2DF20A7A">
            <w:pPr>
              <w:spacing w:line="360" w:lineRule="auto"/>
              <w:jc w:val="center"/>
              <w:rPr>
                <w:rFonts w:ascii="宋体"/>
                <w:b/>
                <w:color w:val="auto"/>
                <w:sz w:val="24"/>
                <w:szCs w:val="24"/>
                <w:highlight w:val="none"/>
              </w:rPr>
            </w:pPr>
            <w:r>
              <w:rPr>
                <w:rFonts w:hint="eastAsia" w:ascii="宋体"/>
                <w:b/>
                <w:color w:val="auto"/>
                <w:sz w:val="24"/>
                <w:szCs w:val="24"/>
                <w:highlight w:val="none"/>
              </w:rPr>
              <w:t>资格性要求</w:t>
            </w:r>
          </w:p>
        </w:tc>
      </w:tr>
      <w:tr w14:paraId="1845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2E382022">
            <w:pPr>
              <w:spacing w:line="360" w:lineRule="auto"/>
              <w:jc w:val="center"/>
              <w:rPr>
                <w:rFonts w:ascii="宋体"/>
                <w:color w:val="auto"/>
                <w:sz w:val="24"/>
                <w:szCs w:val="24"/>
                <w:highlight w:val="none"/>
              </w:rPr>
            </w:pPr>
            <w:r>
              <w:rPr>
                <w:rFonts w:hint="eastAsia" w:ascii="宋体"/>
                <w:color w:val="auto"/>
                <w:sz w:val="24"/>
                <w:szCs w:val="24"/>
                <w:highlight w:val="none"/>
              </w:rPr>
              <w:t>项号</w:t>
            </w:r>
          </w:p>
        </w:tc>
        <w:tc>
          <w:tcPr>
            <w:tcW w:w="482" w:type="dxa"/>
            <w:tcBorders>
              <w:top w:val="single" w:color="auto" w:sz="4" w:space="0"/>
              <w:left w:val="single" w:color="auto" w:sz="4" w:space="0"/>
              <w:bottom w:val="single" w:color="auto" w:sz="4" w:space="0"/>
              <w:right w:val="single" w:color="auto" w:sz="4" w:space="0"/>
            </w:tcBorders>
            <w:noWrap/>
            <w:vAlign w:val="center"/>
          </w:tcPr>
          <w:p w14:paraId="32E7C930">
            <w:pPr>
              <w:spacing w:line="360" w:lineRule="auto"/>
              <w:jc w:val="center"/>
              <w:rPr>
                <w:rFonts w:ascii="宋体"/>
                <w:color w:val="auto"/>
                <w:sz w:val="24"/>
                <w:szCs w:val="24"/>
                <w:highlight w:val="none"/>
              </w:rPr>
            </w:pPr>
            <w:r>
              <w:rPr>
                <w:rFonts w:hint="eastAsia" w:ascii="宋体"/>
                <w:color w:val="auto"/>
                <w:sz w:val="24"/>
                <w:szCs w:val="24"/>
                <w:highlight w:val="none"/>
              </w:rPr>
              <w:t>章</w:t>
            </w:r>
          </w:p>
        </w:tc>
        <w:tc>
          <w:tcPr>
            <w:tcW w:w="936" w:type="dxa"/>
            <w:tcBorders>
              <w:top w:val="single" w:color="auto" w:sz="4" w:space="0"/>
              <w:left w:val="single" w:color="auto" w:sz="4" w:space="0"/>
              <w:bottom w:val="single" w:color="auto" w:sz="4" w:space="0"/>
              <w:right w:val="single" w:color="auto" w:sz="4" w:space="0"/>
            </w:tcBorders>
            <w:noWrap/>
            <w:vAlign w:val="center"/>
          </w:tcPr>
          <w:p w14:paraId="346B1E42">
            <w:pPr>
              <w:spacing w:line="360" w:lineRule="auto"/>
              <w:jc w:val="center"/>
              <w:rPr>
                <w:rFonts w:ascii="宋体"/>
                <w:color w:val="auto"/>
                <w:sz w:val="24"/>
                <w:szCs w:val="24"/>
                <w:highlight w:val="none"/>
              </w:rPr>
            </w:pPr>
            <w:r>
              <w:rPr>
                <w:rFonts w:hint="eastAsia" w:ascii="宋体"/>
                <w:color w:val="auto"/>
                <w:sz w:val="24"/>
                <w:szCs w:val="24"/>
                <w:highlight w:val="none"/>
              </w:rPr>
              <w:t>条款号</w:t>
            </w:r>
          </w:p>
        </w:tc>
        <w:tc>
          <w:tcPr>
            <w:tcW w:w="8510" w:type="dxa"/>
            <w:tcBorders>
              <w:top w:val="single" w:color="auto" w:sz="4" w:space="0"/>
              <w:left w:val="single" w:color="auto" w:sz="4" w:space="0"/>
              <w:bottom w:val="single" w:color="auto" w:sz="4" w:space="0"/>
              <w:right w:val="single" w:color="auto" w:sz="4" w:space="0"/>
            </w:tcBorders>
            <w:noWrap/>
            <w:vAlign w:val="center"/>
          </w:tcPr>
          <w:p w14:paraId="4DF0EB8D">
            <w:pPr>
              <w:spacing w:line="360" w:lineRule="auto"/>
              <w:jc w:val="center"/>
              <w:rPr>
                <w:rFonts w:ascii="宋体"/>
                <w:color w:val="auto"/>
                <w:sz w:val="24"/>
                <w:szCs w:val="24"/>
                <w:highlight w:val="none"/>
              </w:rPr>
            </w:pPr>
            <w:r>
              <w:rPr>
                <w:rFonts w:hint="eastAsia" w:ascii="宋体"/>
                <w:color w:val="auto"/>
                <w:sz w:val="24"/>
                <w:szCs w:val="24"/>
                <w:highlight w:val="none"/>
              </w:rPr>
              <w:t>具体内容</w:t>
            </w:r>
          </w:p>
        </w:tc>
      </w:tr>
      <w:tr w14:paraId="64CE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42073405">
            <w:pPr>
              <w:spacing w:line="360" w:lineRule="auto"/>
              <w:jc w:val="center"/>
              <w:rPr>
                <w:rFonts w:ascii="宋体"/>
                <w:color w:val="auto"/>
                <w:sz w:val="24"/>
                <w:szCs w:val="24"/>
                <w:highlight w:val="none"/>
              </w:rPr>
            </w:pPr>
            <w:r>
              <w:rPr>
                <w:rFonts w:hint="eastAsia" w:ascii="宋体"/>
                <w:color w:val="auto"/>
                <w:sz w:val="24"/>
                <w:szCs w:val="24"/>
                <w:highlight w:val="none"/>
              </w:rPr>
              <w:t>1</w:t>
            </w:r>
          </w:p>
        </w:tc>
        <w:tc>
          <w:tcPr>
            <w:tcW w:w="482" w:type="dxa"/>
            <w:tcBorders>
              <w:top w:val="single" w:color="auto" w:sz="4" w:space="0"/>
              <w:left w:val="single" w:color="auto" w:sz="4" w:space="0"/>
              <w:bottom w:val="single" w:color="auto" w:sz="4" w:space="0"/>
              <w:right w:val="single" w:color="auto" w:sz="4" w:space="0"/>
            </w:tcBorders>
            <w:noWrap/>
            <w:vAlign w:val="center"/>
          </w:tcPr>
          <w:p w14:paraId="72B0781E">
            <w:pPr>
              <w:spacing w:line="360" w:lineRule="auto"/>
              <w:jc w:val="center"/>
              <w:rPr>
                <w:rFonts w:ascii="宋体"/>
                <w:color w:val="auto"/>
                <w:sz w:val="24"/>
                <w:szCs w:val="24"/>
                <w:highlight w:val="none"/>
              </w:rPr>
            </w:pPr>
            <w:r>
              <w:rPr>
                <w:rFonts w:hint="eastAsia" w:ascii="宋体"/>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229E8AFF">
            <w:pPr>
              <w:spacing w:line="360" w:lineRule="auto"/>
              <w:jc w:val="center"/>
              <w:rPr>
                <w:rFonts w:ascii="宋体"/>
                <w:color w:val="auto"/>
                <w:sz w:val="24"/>
                <w:szCs w:val="24"/>
                <w:highlight w:val="none"/>
              </w:rPr>
            </w:pPr>
            <w:r>
              <w:rPr>
                <w:rFonts w:hint="eastAsia" w:ascii="宋体"/>
                <w:color w:val="auto"/>
                <w:sz w:val="24"/>
                <w:szCs w:val="24"/>
                <w:highlight w:val="none"/>
              </w:rPr>
              <w:t>3</w:t>
            </w:r>
          </w:p>
        </w:tc>
        <w:tc>
          <w:tcPr>
            <w:tcW w:w="8510" w:type="dxa"/>
            <w:tcBorders>
              <w:top w:val="single" w:color="auto" w:sz="4" w:space="0"/>
              <w:left w:val="single" w:color="auto" w:sz="4" w:space="0"/>
              <w:bottom w:val="single" w:color="auto" w:sz="4" w:space="0"/>
              <w:right w:val="single" w:color="auto" w:sz="4" w:space="0"/>
            </w:tcBorders>
            <w:noWrap/>
            <w:vAlign w:val="center"/>
          </w:tcPr>
          <w:p w14:paraId="2579A0F8">
            <w:pPr>
              <w:spacing w:line="360" w:lineRule="auto"/>
              <w:rPr>
                <w:rFonts w:ascii="宋体"/>
                <w:color w:val="auto"/>
                <w:sz w:val="24"/>
                <w:szCs w:val="24"/>
                <w:highlight w:val="none"/>
              </w:rPr>
            </w:pPr>
            <w:r>
              <w:rPr>
                <w:rFonts w:hint="eastAsia" w:ascii="宋体"/>
                <w:color w:val="auto"/>
                <w:sz w:val="24"/>
                <w:szCs w:val="24"/>
                <w:highlight w:val="none"/>
              </w:rPr>
              <w:t>合格的投标人</w:t>
            </w:r>
          </w:p>
          <w:p w14:paraId="6681E0CB">
            <w:pPr>
              <w:spacing w:line="360" w:lineRule="auto"/>
              <w:rPr>
                <w:rFonts w:ascii="宋体"/>
                <w:color w:val="auto"/>
                <w:sz w:val="24"/>
                <w:szCs w:val="24"/>
                <w:highlight w:val="none"/>
              </w:rPr>
            </w:pPr>
            <w:r>
              <w:rPr>
                <w:rFonts w:hint="eastAsia" w:ascii="宋体"/>
                <w:color w:val="auto"/>
                <w:sz w:val="24"/>
                <w:szCs w:val="24"/>
                <w:highlight w:val="none"/>
              </w:rPr>
              <w:t>　　具体内容详见第二章第3条“合格的投标人”。其中针对3.4条款，投标人应仔细阅读，并在投标前对关联企业是否参与投标进行核实，开标现场各投标代表确认其所代表的企业与其它投标人之间是否存在关联关系。</w:t>
            </w:r>
          </w:p>
        </w:tc>
      </w:tr>
      <w:tr w14:paraId="60A1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43B06274">
            <w:pPr>
              <w:spacing w:line="360" w:lineRule="auto"/>
              <w:jc w:val="center"/>
              <w:rPr>
                <w:rFonts w:ascii="宋体"/>
                <w:color w:val="auto"/>
                <w:sz w:val="24"/>
                <w:szCs w:val="24"/>
                <w:highlight w:val="none"/>
              </w:rPr>
            </w:pPr>
            <w:r>
              <w:rPr>
                <w:rFonts w:hint="eastAsia" w:ascii="宋体"/>
                <w:color w:val="auto"/>
                <w:sz w:val="24"/>
                <w:szCs w:val="24"/>
                <w:highlight w:val="none"/>
              </w:rPr>
              <w:t>2</w:t>
            </w:r>
          </w:p>
        </w:tc>
        <w:tc>
          <w:tcPr>
            <w:tcW w:w="482" w:type="dxa"/>
            <w:tcBorders>
              <w:top w:val="single" w:color="auto" w:sz="4" w:space="0"/>
              <w:left w:val="single" w:color="auto" w:sz="4" w:space="0"/>
              <w:bottom w:val="single" w:color="auto" w:sz="4" w:space="0"/>
              <w:right w:val="single" w:color="auto" w:sz="4" w:space="0"/>
            </w:tcBorders>
            <w:noWrap/>
            <w:vAlign w:val="center"/>
          </w:tcPr>
          <w:p w14:paraId="1610CCC6">
            <w:pPr>
              <w:spacing w:line="360" w:lineRule="auto"/>
              <w:jc w:val="center"/>
              <w:rPr>
                <w:rFonts w:ascii="宋体"/>
                <w:color w:val="auto"/>
                <w:sz w:val="24"/>
                <w:szCs w:val="24"/>
                <w:highlight w:val="none"/>
              </w:rPr>
            </w:pPr>
            <w:r>
              <w:rPr>
                <w:rFonts w:hint="eastAsia" w:ascii="宋体"/>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7AE99CC3">
            <w:pPr>
              <w:spacing w:line="360" w:lineRule="auto"/>
              <w:jc w:val="center"/>
              <w:rPr>
                <w:rFonts w:ascii="宋体"/>
                <w:color w:val="auto"/>
                <w:sz w:val="24"/>
                <w:szCs w:val="24"/>
                <w:highlight w:val="none"/>
              </w:rPr>
            </w:pPr>
          </w:p>
        </w:tc>
        <w:tc>
          <w:tcPr>
            <w:tcW w:w="8510" w:type="dxa"/>
            <w:tcBorders>
              <w:top w:val="single" w:color="auto" w:sz="4" w:space="0"/>
              <w:left w:val="single" w:color="auto" w:sz="4" w:space="0"/>
              <w:bottom w:val="single" w:color="auto" w:sz="4" w:space="0"/>
              <w:right w:val="single" w:color="auto" w:sz="4" w:space="0"/>
            </w:tcBorders>
            <w:noWrap/>
            <w:vAlign w:val="center"/>
          </w:tcPr>
          <w:p w14:paraId="4CDA1BAF">
            <w:pPr>
              <w:spacing w:line="360" w:lineRule="auto"/>
              <w:rPr>
                <w:rFonts w:ascii="宋体" w:cs="宋体"/>
                <w:color w:val="auto"/>
                <w:sz w:val="24"/>
                <w:highlight w:val="none"/>
              </w:rPr>
            </w:pPr>
            <w:r>
              <w:rPr>
                <w:rFonts w:hint="eastAsia" w:ascii="宋体" w:cs="宋体"/>
                <w:color w:val="auto"/>
                <w:sz w:val="24"/>
                <w:highlight w:val="none"/>
              </w:rPr>
              <w:t>（一）投标人应具备《中华人民共和国政府采购法》第二十二条第一款规定的条件，并提供以下材料或做出书面声明：</w:t>
            </w:r>
          </w:p>
          <w:p w14:paraId="24F60B1E">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①法人或者其他组织的营业执照等证明文件，自然人的身份证明；</w:t>
            </w:r>
          </w:p>
          <w:p w14:paraId="3EA94905">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C79C62F">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②财务状况报告</w:t>
            </w:r>
          </w:p>
          <w:p w14:paraId="0116B369">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1、投标人提供的财务报告复印件（成立年限按照投标截止时间推算）应符合下列规定：1.1成立年限满1年及以上的投标人，提供</w:t>
            </w:r>
            <w:r>
              <w:rPr>
                <w:rFonts w:hint="eastAsia" w:ascii="宋体"/>
                <w:b/>
                <w:bCs/>
                <w:color w:val="auto"/>
                <w:sz w:val="24"/>
                <w:szCs w:val="24"/>
                <w:highlight w:val="none"/>
              </w:rPr>
              <w:t>经审计的上一年度（2023年）的年度财务报告</w:t>
            </w:r>
            <w:r>
              <w:rPr>
                <w:rFonts w:hint="eastAsia" w:ascii="宋体"/>
                <w:color w:val="auto"/>
                <w:sz w:val="24"/>
                <w:szCs w:val="24"/>
                <w:highlight w:val="none"/>
              </w:rPr>
              <w:t>。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其中：非自然人的投标人选择提供资信证明的，</w:t>
            </w:r>
            <w:r>
              <w:rPr>
                <w:rFonts w:ascii="宋体" w:hAnsi="宋体" w:cs="宋体"/>
                <w:color w:val="auto"/>
                <w:sz w:val="24"/>
                <w:szCs w:val="24"/>
                <w:highlight w:val="none"/>
              </w:rPr>
              <w:t>则须提供202</w:t>
            </w:r>
            <w:r>
              <w:rPr>
                <w:rFonts w:hint="eastAsia" w:ascii="宋体" w:hAnsi="宋体" w:cs="宋体"/>
                <w:color w:val="auto"/>
                <w:sz w:val="24"/>
                <w:szCs w:val="24"/>
                <w:highlight w:val="none"/>
              </w:rPr>
              <w:t>3</w:t>
            </w:r>
            <w:r>
              <w:rPr>
                <w:rFonts w:ascii="宋体" w:hAnsi="宋体" w:cs="宋体"/>
                <w:color w:val="auto"/>
                <w:sz w:val="24"/>
                <w:szCs w:val="24"/>
                <w:highlight w:val="none"/>
              </w:rPr>
              <w:t>年1月1日以来开户银行出具的资信证明复印件（若资信证明备注有效期的，必须在有效期内，否则为无效资信证明）</w:t>
            </w:r>
            <w:r>
              <w:rPr>
                <w:rFonts w:hint="eastAsia" w:ascii="宋体"/>
                <w:color w:val="auto"/>
                <w:sz w:val="24"/>
                <w:szCs w:val="24"/>
                <w:highlight w:val="none"/>
              </w:rPr>
              <w:t>2、投标人提供的相应证明材料复印件均应符合：内容完整、清晰、整洁，并由投标人加盖其单位公章。</w:t>
            </w:r>
          </w:p>
          <w:p w14:paraId="6BD34848">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③依法缴纳税收的相关材料</w:t>
            </w:r>
          </w:p>
          <w:p w14:paraId="4DFBFEC4">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1.1投标截止时间前（不含投标截止时间的当月）已依法缴纳税收的投标人，提供投标截止时间前六个月（不含投标截止时间的当月）中任一月份的税收凭据复印件。 1.2投标截止时间的当月成立且已依法缴纳税收的投标人，提供投标截止时间当月的税收凭据复印件。 1.3投标截止时间的当月成立但因税务机关原因导致其尚未依法缴纳税收的投标人，提供依法缴纳税收承诺书原件（格式自拟），该承诺书视同税收凭据。 1.4“依法缴纳税收证明材料”有欠缴记录的，视为未依法缴纳税收。</w:t>
            </w:r>
          </w:p>
          <w:p w14:paraId="0537104B">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④依法缴纳社会保障资金的相关材料</w:t>
            </w:r>
          </w:p>
          <w:p w14:paraId="595E5BA3">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1.1投标截止时间前（不含投标截止时间的当月）已依法缴纳社会保障资金的投标人，提供投标截止时间前六个月（不含投标截止时间的当月）中任一月份的社会保险凭据复印件。 1.2投标截止时间的当月成立且已依法缴纳社会保障资金的投标人，提供投标截止时间当月的社会保险凭据复印件。 1.3投标截止时间的当月成立但因税务机关/社会保障资金管理机关原因导致其尚未依法缴纳社会保障资金的投标人，提供依法缴纳社会保障资金承诺书原件（格式自拟），该承诺书视同社会保险凭据。 1.4“依法缴纳社会保障资金证明材料”有欠缴记录的，视为未依法缴纳社会保障资金。</w:t>
            </w:r>
          </w:p>
          <w:p w14:paraId="59DE1C6F">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⑤具备履行合同所必需的设备和专业技术能力的证明材料（可以提供证明材料或承诺书）；</w:t>
            </w:r>
          </w:p>
          <w:p w14:paraId="7A6644F7">
            <w:pPr>
              <w:spacing w:line="360" w:lineRule="auto"/>
              <w:ind w:firstLine="480" w:firstLineChars="200"/>
              <w:rPr>
                <w:rFonts w:ascii="宋体" w:cs="宋体"/>
                <w:color w:val="auto"/>
                <w:sz w:val="24"/>
                <w:highlight w:val="none"/>
              </w:rPr>
            </w:pPr>
            <w:r>
              <w:rPr>
                <w:rFonts w:hint="eastAsia" w:ascii="宋体"/>
                <w:color w:val="auto"/>
                <w:sz w:val="24"/>
                <w:szCs w:val="24"/>
                <w:highlight w:val="none"/>
              </w:rPr>
              <w:t>⑥参加采购活动前3年内在经营活动中没有重大违法记录的书面声明；</w:t>
            </w:r>
          </w:p>
          <w:p w14:paraId="67504F25">
            <w:pPr>
              <w:spacing w:line="360" w:lineRule="auto"/>
              <w:ind w:firstLine="480" w:firstLineChars="200"/>
              <w:rPr>
                <w:rFonts w:ascii="宋体" w:cs="宋体"/>
                <w:bCs/>
                <w:color w:val="auto"/>
                <w:sz w:val="24"/>
                <w:highlight w:val="none"/>
              </w:rPr>
            </w:pPr>
            <w:r>
              <w:rPr>
                <w:rFonts w:hint="eastAsia" w:ascii="宋体"/>
                <w:color w:val="auto"/>
                <w:sz w:val="24"/>
                <w:highlight w:val="none"/>
              </w:rPr>
              <w:t>⑦</w:t>
            </w:r>
            <w:r>
              <w:rPr>
                <w:rFonts w:ascii="宋体"/>
                <w:color w:val="auto"/>
                <w:sz w:val="24"/>
                <w:highlight w:val="none"/>
              </w:rPr>
              <w:t>在</w:t>
            </w:r>
            <w:r>
              <w:rPr>
                <w:rFonts w:hint="eastAsia" w:ascii="宋体"/>
                <w:color w:val="auto"/>
                <w:sz w:val="24"/>
                <w:highlight w:val="none"/>
              </w:rPr>
              <w:t>资格</w:t>
            </w:r>
            <w:r>
              <w:rPr>
                <w:rFonts w:ascii="宋体"/>
                <w:color w:val="auto"/>
                <w:sz w:val="24"/>
                <w:highlight w:val="none"/>
              </w:rPr>
              <w:t>审查时，代理机构</w:t>
            </w:r>
            <w:r>
              <w:rPr>
                <w:rFonts w:hint="eastAsia" w:ascii="宋体"/>
                <w:color w:val="auto"/>
                <w:sz w:val="24"/>
                <w:highlight w:val="none"/>
              </w:rPr>
              <w:t>将通过</w:t>
            </w:r>
            <w:r>
              <w:rPr>
                <w:rFonts w:ascii="宋体"/>
                <w:color w:val="auto"/>
                <w:sz w:val="24"/>
                <w:highlight w:val="none"/>
              </w:rPr>
              <w:t>中国政府采购网（www.ccgp.gov.cn）</w:t>
            </w:r>
            <w:r>
              <w:rPr>
                <w:rFonts w:hint="eastAsia" w:ascii="宋体"/>
                <w:color w:val="auto"/>
                <w:sz w:val="24"/>
                <w:highlight w:val="none"/>
              </w:rPr>
              <w:t>、“信用中国”网站（</w:t>
            </w:r>
            <w:r>
              <w:rPr>
                <w:rFonts w:ascii="宋体"/>
                <w:color w:val="auto"/>
                <w:sz w:val="24"/>
                <w:highlight w:val="none"/>
              </w:rPr>
              <w:t>www.creditchina.gov.cn）等渠道全面查询投标人截止开标</w:t>
            </w:r>
            <w:r>
              <w:rPr>
                <w:rFonts w:hint="eastAsia" w:ascii="宋体"/>
                <w:color w:val="auto"/>
                <w:sz w:val="24"/>
                <w:highlight w:val="none"/>
              </w:rPr>
              <w:t>当日前</w:t>
            </w:r>
            <w:r>
              <w:rPr>
                <w:rFonts w:ascii="宋体"/>
                <w:color w:val="auto"/>
                <w:sz w:val="24"/>
                <w:highlight w:val="none"/>
              </w:rPr>
              <w:t>3年内的信用及违法记录</w:t>
            </w:r>
            <w:r>
              <w:rPr>
                <w:rFonts w:hint="eastAsia" w:ascii="宋体"/>
                <w:color w:val="auto"/>
                <w:sz w:val="24"/>
                <w:highlight w:val="none"/>
              </w:rPr>
              <w:t>、行贿犯罪档案记录</w:t>
            </w:r>
            <w:r>
              <w:rPr>
                <w:rFonts w:ascii="宋体"/>
                <w:color w:val="auto"/>
                <w:sz w:val="24"/>
                <w:highlight w:val="none"/>
              </w:rPr>
              <w:t>。对参加采购活动前3年内在经营活动中有重大违法记录的供应商，</w:t>
            </w:r>
            <w:r>
              <w:rPr>
                <w:rFonts w:hint="eastAsia" w:ascii="宋体"/>
                <w:color w:val="auto"/>
                <w:sz w:val="24"/>
                <w:highlight w:val="none"/>
              </w:rPr>
              <w:t>投标无效（“重大违法记录”指供应商因违法经营受到刑事处罚或者责令停产停业、吊销许可证或者执照、较大数额罚款等行政处罚，例如被列入失信被执行人、重大税收违法案件当事人名单、采购严重违法失信行为记录名单，受到采购行政处罚或者存在行贿犯罪记录，且相关信用惩戒期限未满，以及其他不符合规定条件的。联合体成员存在重大违法记录的，视同联合体存在重大违法记录</w:t>
            </w:r>
            <w:r>
              <w:rPr>
                <w:rFonts w:ascii="宋体"/>
                <w:color w:val="auto"/>
                <w:sz w:val="24"/>
                <w:highlight w:val="none"/>
              </w:rPr>
              <w:t>）</w:t>
            </w:r>
            <w:r>
              <w:rPr>
                <w:rFonts w:hint="eastAsia" w:ascii="宋体"/>
                <w:color w:val="auto"/>
                <w:sz w:val="24"/>
                <w:highlight w:val="none"/>
              </w:rPr>
              <w:t>。</w:t>
            </w:r>
          </w:p>
          <w:p w14:paraId="4DA6F176">
            <w:pPr>
              <w:spacing w:line="360" w:lineRule="auto"/>
              <w:ind w:firstLine="480" w:firstLineChars="200"/>
              <w:rPr>
                <w:rFonts w:ascii="宋体" w:cs="宋体"/>
                <w:bCs/>
                <w:color w:val="auto"/>
                <w:sz w:val="24"/>
                <w:highlight w:val="none"/>
              </w:rPr>
            </w:pPr>
            <w:r>
              <w:rPr>
                <w:rFonts w:hint="eastAsia" w:ascii="宋体" w:cs="宋体"/>
                <w:bCs/>
                <w:color w:val="auto"/>
                <w:sz w:val="24"/>
                <w:highlight w:val="none"/>
              </w:rPr>
              <w:t>注：1、所有资格证明文件应是最新、有效、清晰的，有年检要求的应符合规定，并加盖投标人公章；有变更事宜的，变更文件应附齐全。</w:t>
            </w:r>
          </w:p>
          <w:p w14:paraId="2BE62C79">
            <w:pPr>
              <w:spacing w:line="360" w:lineRule="auto"/>
              <w:ind w:firstLine="480" w:firstLineChars="200"/>
              <w:rPr>
                <w:rFonts w:ascii="宋体"/>
                <w:color w:val="auto"/>
                <w:sz w:val="24"/>
                <w:szCs w:val="24"/>
                <w:highlight w:val="none"/>
              </w:rPr>
            </w:pPr>
            <w:r>
              <w:rPr>
                <w:rFonts w:hint="eastAsia" w:ascii="宋体" w:cs="宋体"/>
                <w:bCs/>
                <w:color w:val="auto"/>
                <w:sz w:val="24"/>
                <w:highlight w:val="none"/>
              </w:rPr>
              <w:t>2、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p>
        </w:tc>
      </w:tr>
      <w:tr w14:paraId="5050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243C9A32">
            <w:pPr>
              <w:spacing w:line="360" w:lineRule="auto"/>
              <w:jc w:val="center"/>
              <w:rPr>
                <w:rFonts w:ascii="宋体"/>
                <w:color w:val="auto"/>
                <w:sz w:val="24"/>
                <w:szCs w:val="24"/>
                <w:highlight w:val="none"/>
              </w:rPr>
            </w:pPr>
            <w:r>
              <w:rPr>
                <w:rFonts w:hint="eastAsia" w:ascii="宋体"/>
                <w:color w:val="auto"/>
                <w:sz w:val="24"/>
                <w:szCs w:val="24"/>
                <w:highlight w:val="none"/>
              </w:rPr>
              <w:t>3</w:t>
            </w:r>
          </w:p>
        </w:tc>
        <w:tc>
          <w:tcPr>
            <w:tcW w:w="482" w:type="dxa"/>
            <w:tcBorders>
              <w:top w:val="single" w:color="auto" w:sz="4" w:space="0"/>
              <w:left w:val="single" w:color="auto" w:sz="4" w:space="0"/>
              <w:bottom w:val="single" w:color="auto" w:sz="4" w:space="0"/>
              <w:right w:val="single" w:color="auto" w:sz="4" w:space="0"/>
            </w:tcBorders>
            <w:noWrap/>
            <w:vAlign w:val="center"/>
          </w:tcPr>
          <w:p w14:paraId="48F03BF8">
            <w:pPr>
              <w:spacing w:line="360" w:lineRule="auto"/>
              <w:jc w:val="center"/>
              <w:rPr>
                <w:rFonts w:ascii="宋体"/>
                <w:color w:val="auto"/>
                <w:sz w:val="24"/>
                <w:szCs w:val="24"/>
                <w:highlight w:val="none"/>
              </w:rPr>
            </w:pPr>
            <w:r>
              <w:rPr>
                <w:rFonts w:hint="eastAsia" w:ascii="宋体"/>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08D22565">
            <w:pPr>
              <w:spacing w:line="360" w:lineRule="auto"/>
              <w:jc w:val="center"/>
              <w:rPr>
                <w:rFonts w:ascii="宋体"/>
                <w:color w:val="auto"/>
                <w:sz w:val="24"/>
                <w:szCs w:val="24"/>
                <w:highlight w:val="none"/>
              </w:rPr>
            </w:pPr>
          </w:p>
        </w:tc>
        <w:tc>
          <w:tcPr>
            <w:tcW w:w="8510" w:type="dxa"/>
            <w:tcBorders>
              <w:top w:val="single" w:color="auto" w:sz="4" w:space="0"/>
              <w:left w:val="single" w:color="auto" w:sz="4" w:space="0"/>
              <w:bottom w:val="single" w:color="auto" w:sz="4" w:space="0"/>
              <w:right w:val="single" w:color="auto" w:sz="4" w:space="0"/>
            </w:tcBorders>
            <w:noWrap/>
            <w:vAlign w:val="center"/>
          </w:tcPr>
          <w:p w14:paraId="2D4254CC">
            <w:pPr>
              <w:spacing w:line="360" w:lineRule="auto"/>
              <w:rPr>
                <w:rFonts w:ascii="宋体"/>
                <w:color w:val="auto"/>
                <w:sz w:val="24"/>
                <w:szCs w:val="24"/>
                <w:highlight w:val="none"/>
              </w:rPr>
            </w:pPr>
            <w:r>
              <w:rPr>
                <w:rFonts w:hint="eastAsia" w:ascii="宋体"/>
                <w:color w:val="auto"/>
                <w:sz w:val="24"/>
                <w:szCs w:val="24"/>
                <w:highlight w:val="none"/>
              </w:rPr>
              <w:t>投标代表身份证（正反面）有效复印件，投标人代表若不是单位负责人，应提供单位负责人的授权书原件。</w:t>
            </w:r>
          </w:p>
        </w:tc>
      </w:tr>
      <w:tr w14:paraId="5FC1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1B21C999">
            <w:pPr>
              <w:spacing w:line="360" w:lineRule="auto"/>
              <w:jc w:val="center"/>
              <w:rPr>
                <w:rFonts w:ascii="宋体"/>
                <w:color w:val="auto"/>
                <w:sz w:val="24"/>
                <w:szCs w:val="24"/>
                <w:highlight w:val="none"/>
              </w:rPr>
            </w:pPr>
            <w:r>
              <w:rPr>
                <w:rFonts w:hint="eastAsia" w:ascii="宋体"/>
                <w:color w:val="auto"/>
                <w:sz w:val="24"/>
                <w:szCs w:val="24"/>
                <w:highlight w:val="none"/>
              </w:rPr>
              <w:t>4</w:t>
            </w:r>
          </w:p>
        </w:tc>
        <w:tc>
          <w:tcPr>
            <w:tcW w:w="482" w:type="dxa"/>
            <w:tcBorders>
              <w:top w:val="single" w:color="auto" w:sz="4" w:space="0"/>
              <w:left w:val="single" w:color="auto" w:sz="4" w:space="0"/>
              <w:bottom w:val="single" w:color="auto" w:sz="4" w:space="0"/>
              <w:right w:val="single" w:color="auto" w:sz="4" w:space="0"/>
            </w:tcBorders>
            <w:noWrap/>
            <w:vAlign w:val="center"/>
          </w:tcPr>
          <w:p w14:paraId="212065EA">
            <w:pPr>
              <w:spacing w:line="360" w:lineRule="auto"/>
              <w:jc w:val="center"/>
              <w:rPr>
                <w:rFonts w:ascii="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ign w:val="center"/>
          </w:tcPr>
          <w:p w14:paraId="470950AC">
            <w:pPr>
              <w:spacing w:line="360" w:lineRule="auto"/>
              <w:jc w:val="center"/>
              <w:rPr>
                <w:rFonts w:ascii="宋体"/>
                <w:color w:val="auto"/>
                <w:sz w:val="24"/>
                <w:szCs w:val="24"/>
                <w:highlight w:val="none"/>
              </w:rPr>
            </w:pPr>
          </w:p>
        </w:tc>
        <w:tc>
          <w:tcPr>
            <w:tcW w:w="8510" w:type="dxa"/>
            <w:tcBorders>
              <w:top w:val="single" w:color="auto" w:sz="4" w:space="0"/>
              <w:left w:val="single" w:color="auto" w:sz="4" w:space="0"/>
              <w:bottom w:val="single" w:color="auto" w:sz="4" w:space="0"/>
              <w:right w:val="single" w:color="auto" w:sz="4" w:space="0"/>
            </w:tcBorders>
            <w:noWrap/>
            <w:vAlign w:val="center"/>
          </w:tcPr>
          <w:p w14:paraId="3F258A30">
            <w:pPr>
              <w:spacing w:line="360" w:lineRule="auto"/>
              <w:rPr>
                <w:rFonts w:ascii="宋体"/>
                <w:color w:val="auto"/>
                <w:sz w:val="24"/>
                <w:szCs w:val="24"/>
                <w:highlight w:val="none"/>
              </w:rPr>
            </w:pPr>
            <w:r>
              <w:rPr>
                <w:rFonts w:hint="eastAsia" w:ascii="宋体"/>
                <w:b/>
                <w:bCs/>
                <w:color w:val="auto"/>
                <w:sz w:val="24"/>
                <w:szCs w:val="24"/>
                <w:highlight w:val="none"/>
              </w:rPr>
              <w:t>采购人根据采购项目的要求规定的特定条件：/</w:t>
            </w:r>
          </w:p>
        </w:tc>
      </w:tr>
      <w:tr w14:paraId="77C5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510620D5">
            <w:pPr>
              <w:spacing w:line="360" w:lineRule="auto"/>
              <w:jc w:val="center"/>
              <w:rPr>
                <w:rFonts w:ascii="宋体"/>
                <w:color w:val="auto"/>
                <w:sz w:val="24"/>
                <w:szCs w:val="24"/>
                <w:highlight w:val="none"/>
              </w:rPr>
            </w:pPr>
            <w:r>
              <w:rPr>
                <w:rFonts w:hint="eastAsia" w:ascii="宋体"/>
                <w:color w:val="auto"/>
                <w:sz w:val="24"/>
                <w:szCs w:val="24"/>
                <w:highlight w:val="none"/>
              </w:rPr>
              <w:t>5</w:t>
            </w:r>
          </w:p>
        </w:tc>
        <w:tc>
          <w:tcPr>
            <w:tcW w:w="482" w:type="dxa"/>
            <w:tcBorders>
              <w:top w:val="single" w:color="auto" w:sz="4" w:space="0"/>
              <w:left w:val="single" w:color="auto" w:sz="4" w:space="0"/>
              <w:bottom w:val="single" w:color="auto" w:sz="4" w:space="0"/>
              <w:right w:val="single" w:color="auto" w:sz="4" w:space="0"/>
            </w:tcBorders>
            <w:noWrap/>
            <w:vAlign w:val="center"/>
          </w:tcPr>
          <w:p w14:paraId="48E4C35E">
            <w:pPr>
              <w:spacing w:line="360" w:lineRule="auto"/>
              <w:jc w:val="center"/>
              <w:rPr>
                <w:rFonts w:ascii="宋体"/>
                <w:color w:val="auto"/>
                <w:sz w:val="24"/>
                <w:szCs w:val="24"/>
                <w:highlight w:val="none"/>
              </w:rPr>
            </w:pPr>
            <w:r>
              <w:rPr>
                <w:rFonts w:hint="eastAsia" w:ascii="宋体"/>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7AE9DCCA">
            <w:pPr>
              <w:spacing w:line="360" w:lineRule="auto"/>
              <w:jc w:val="center"/>
              <w:rPr>
                <w:rFonts w:ascii="宋体"/>
                <w:color w:val="auto"/>
                <w:sz w:val="24"/>
                <w:szCs w:val="24"/>
                <w:highlight w:val="none"/>
              </w:rPr>
            </w:pPr>
          </w:p>
        </w:tc>
        <w:tc>
          <w:tcPr>
            <w:tcW w:w="8510" w:type="dxa"/>
            <w:tcBorders>
              <w:top w:val="single" w:color="auto" w:sz="4" w:space="0"/>
              <w:left w:val="single" w:color="auto" w:sz="4" w:space="0"/>
              <w:bottom w:val="single" w:color="auto" w:sz="4" w:space="0"/>
              <w:right w:val="single" w:color="auto" w:sz="4" w:space="0"/>
            </w:tcBorders>
            <w:noWrap/>
            <w:vAlign w:val="center"/>
          </w:tcPr>
          <w:p w14:paraId="561E15F4">
            <w:pPr>
              <w:spacing w:line="360" w:lineRule="auto"/>
              <w:rPr>
                <w:rFonts w:ascii="宋体"/>
                <w:color w:val="auto"/>
                <w:sz w:val="24"/>
                <w:szCs w:val="24"/>
                <w:highlight w:val="none"/>
              </w:rPr>
            </w:pPr>
            <w:r>
              <w:rPr>
                <w:rFonts w:hint="eastAsia" w:ascii="宋体"/>
                <w:color w:val="auto"/>
                <w:sz w:val="24"/>
                <w:szCs w:val="24"/>
                <w:highlight w:val="none"/>
              </w:rPr>
              <w:t>□本项目接受联合体投标。</w:t>
            </w:r>
          </w:p>
          <w:p w14:paraId="69F9563A">
            <w:pPr>
              <w:spacing w:line="360" w:lineRule="auto"/>
              <w:rPr>
                <w:rFonts w:ascii="宋体"/>
                <w:color w:val="auto"/>
                <w:sz w:val="24"/>
                <w:szCs w:val="24"/>
                <w:highlight w:val="none"/>
              </w:rPr>
            </w:pPr>
            <w:r>
              <w:rPr>
                <w:rFonts w:ascii="Segoe UI Symbol" w:hAnsi="Segoe UI Symbol" w:cs="Segoe UI Symbol"/>
                <w:color w:val="auto"/>
                <w:sz w:val="24"/>
                <w:szCs w:val="24"/>
                <w:highlight w:val="none"/>
              </w:rPr>
              <w:t>☑</w:t>
            </w:r>
            <w:r>
              <w:rPr>
                <w:rFonts w:hint="eastAsia" w:ascii="宋体"/>
                <w:color w:val="auto"/>
                <w:sz w:val="24"/>
                <w:szCs w:val="24"/>
                <w:highlight w:val="none"/>
              </w:rPr>
              <w:t>本项目不接受联合体投标，取消本文件有关对联合体投标的所有要求。</w:t>
            </w:r>
          </w:p>
        </w:tc>
      </w:tr>
      <w:tr w14:paraId="6940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0" w:type="dxa"/>
            <w:gridSpan w:val="4"/>
            <w:tcBorders>
              <w:top w:val="single" w:color="auto" w:sz="4" w:space="0"/>
              <w:left w:val="single" w:color="auto" w:sz="4" w:space="0"/>
              <w:bottom w:val="single" w:color="auto" w:sz="4" w:space="0"/>
              <w:right w:val="single" w:color="auto" w:sz="4" w:space="0"/>
            </w:tcBorders>
            <w:noWrap/>
            <w:vAlign w:val="center"/>
          </w:tcPr>
          <w:p w14:paraId="7375D9D0">
            <w:pPr>
              <w:spacing w:line="360" w:lineRule="auto"/>
              <w:rPr>
                <w:rFonts w:ascii="宋体"/>
                <w:color w:val="auto"/>
                <w:sz w:val="24"/>
                <w:szCs w:val="24"/>
                <w:highlight w:val="none"/>
              </w:rPr>
            </w:pPr>
            <w:r>
              <w:rPr>
                <w:rFonts w:hint="eastAsia" w:ascii="宋体"/>
                <w:color w:val="auto"/>
                <w:sz w:val="24"/>
                <w:szCs w:val="24"/>
                <w:highlight w:val="none"/>
              </w:rPr>
              <w:t>备注：投标人不满足上述规定的资格条件或提供资格证明文件不全的，其投标将被拒绝，以上资格证明文件加盖投标人公章（自然人投标的，由自然人签字），原件备查。</w:t>
            </w:r>
          </w:p>
        </w:tc>
      </w:tr>
      <w:tr w14:paraId="419C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0" w:type="dxa"/>
            <w:gridSpan w:val="4"/>
            <w:tcBorders>
              <w:top w:val="single" w:color="auto" w:sz="4" w:space="0"/>
              <w:left w:val="single" w:color="auto" w:sz="4" w:space="0"/>
              <w:bottom w:val="single" w:color="auto" w:sz="4" w:space="0"/>
              <w:right w:val="single" w:color="auto" w:sz="4" w:space="0"/>
            </w:tcBorders>
            <w:noWrap/>
            <w:vAlign w:val="center"/>
          </w:tcPr>
          <w:p w14:paraId="4DE725A9">
            <w:pPr>
              <w:spacing w:line="360" w:lineRule="auto"/>
              <w:jc w:val="center"/>
              <w:rPr>
                <w:rFonts w:ascii="宋体"/>
                <w:b/>
                <w:color w:val="auto"/>
                <w:sz w:val="24"/>
                <w:szCs w:val="24"/>
                <w:highlight w:val="none"/>
              </w:rPr>
            </w:pPr>
            <w:r>
              <w:rPr>
                <w:rFonts w:hint="eastAsia" w:ascii="宋体"/>
                <w:b/>
                <w:color w:val="auto"/>
                <w:sz w:val="24"/>
                <w:szCs w:val="24"/>
                <w:highlight w:val="none"/>
              </w:rPr>
              <w:t>符合性要求</w:t>
            </w:r>
          </w:p>
        </w:tc>
      </w:tr>
      <w:tr w14:paraId="6ACA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4C50629B">
            <w:pPr>
              <w:spacing w:line="360" w:lineRule="auto"/>
              <w:jc w:val="center"/>
              <w:rPr>
                <w:rFonts w:ascii="宋体"/>
                <w:color w:val="auto"/>
                <w:sz w:val="24"/>
                <w:szCs w:val="24"/>
                <w:highlight w:val="none"/>
              </w:rPr>
            </w:pPr>
            <w:r>
              <w:rPr>
                <w:rFonts w:hint="eastAsia" w:ascii="宋体"/>
                <w:color w:val="auto"/>
                <w:sz w:val="24"/>
                <w:szCs w:val="24"/>
                <w:highlight w:val="none"/>
              </w:rPr>
              <w:t>项号</w:t>
            </w:r>
          </w:p>
        </w:tc>
        <w:tc>
          <w:tcPr>
            <w:tcW w:w="482" w:type="dxa"/>
            <w:tcBorders>
              <w:top w:val="single" w:color="auto" w:sz="4" w:space="0"/>
              <w:left w:val="single" w:color="auto" w:sz="4" w:space="0"/>
              <w:bottom w:val="single" w:color="auto" w:sz="4" w:space="0"/>
              <w:right w:val="single" w:color="auto" w:sz="4" w:space="0"/>
            </w:tcBorders>
            <w:noWrap/>
            <w:vAlign w:val="center"/>
          </w:tcPr>
          <w:p w14:paraId="29565C21">
            <w:pPr>
              <w:spacing w:line="360" w:lineRule="auto"/>
              <w:jc w:val="center"/>
              <w:rPr>
                <w:rFonts w:ascii="宋体"/>
                <w:color w:val="auto"/>
                <w:sz w:val="24"/>
                <w:szCs w:val="24"/>
                <w:highlight w:val="none"/>
              </w:rPr>
            </w:pPr>
            <w:r>
              <w:rPr>
                <w:rFonts w:hint="eastAsia" w:ascii="宋体"/>
                <w:color w:val="auto"/>
                <w:sz w:val="24"/>
                <w:szCs w:val="24"/>
                <w:highlight w:val="none"/>
              </w:rPr>
              <w:t>章</w:t>
            </w:r>
          </w:p>
        </w:tc>
        <w:tc>
          <w:tcPr>
            <w:tcW w:w="936" w:type="dxa"/>
            <w:tcBorders>
              <w:top w:val="single" w:color="auto" w:sz="4" w:space="0"/>
              <w:left w:val="single" w:color="auto" w:sz="4" w:space="0"/>
              <w:bottom w:val="single" w:color="auto" w:sz="4" w:space="0"/>
              <w:right w:val="single" w:color="auto" w:sz="4" w:space="0"/>
            </w:tcBorders>
            <w:noWrap/>
            <w:vAlign w:val="center"/>
          </w:tcPr>
          <w:p w14:paraId="5B447C27">
            <w:pPr>
              <w:spacing w:line="360" w:lineRule="auto"/>
              <w:jc w:val="center"/>
              <w:rPr>
                <w:rFonts w:ascii="宋体"/>
                <w:color w:val="auto"/>
                <w:sz w:val="24"/>
                <w:szCs w:val="24"/>
                <w:highlight w:val="none"/>
              </w:rPr>
            </w:pPr>
            <w:r>
              <w:rPr>
                <w:rFonts w:hint="eastAsia" w:ascii="宋体"/>
                <w:color w:val="auto"/>
                <w:sz w:val="24"/>
                <w:szCs w:val="24"/>
                <w:highlight w:val="none"/>
              </w:rPr>
              <w:t>条款号</w:t>
            </w:r>
          </w:p>
        </w:tc>
        <w:tc>
          <w:tcPr>
            <w:tcW w:w="8510" w:type="dxa"/>
            <w:tcBorders>
              <w:top w:val="single" w:color="auto" w:sz="4" w:space="0"/>
              <w:left w:val="single" w:color="auto" w:sz="4" w:space="0"/>
              <w:bottom w:val="single" w:color="auto" w:sz="4" w:space="0"/>
              <w:right w:val="single" w:color="auto" w:sz="4" w:space="0"/>
            </w:tcBorders>
            <w:noWrap/>
            <w:vAlign w:val="center"/>
          </w:tcPr>
          <w:p w14:paraId="3D1FCA92">
            <w:pPr>
              <w:spacing w:line="360" w:lineRule="auto"/>
              <w:jc w:val="center"/>
              <w:rPr>
                <w:rFonts w:ascii="宋体"/>
                <w:color w:val="auto"/>
                <w:sz w:val="24"/>
                <w:szCs w:val="24"/>
                <w:highlight w:val="none"/>
              </w:rPr>
            </w:pPr>
            <w:r>
              <w:rPr>
                <w:rFonts w:hint="eastAsia" w:ascii="宋体"/>
                <w:color w:val="auto"/>
                <w:sz w:val="24"/>
                <w:szCs w:val="24"/>
                <w:highlight w:val="none"/>
              </w:rPr>
              <w:t>具体内容</w:t>
            </w:r>
          </w:p>
        </w:tc>
      </w:tr>
      <w:tr w14:paraId="2E10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42E3FD9C">
            <w:pPr>
              <w:spacing w:line="360" w:lineRule="auto"/>
              <w:jc w:val="center"/>
              <w:rPr>
                <w:rFonts w:ascii="宋体"/>
                <w:color w:val="auto"/>
                <w:sz w:val="24"/>
                <w:szCs w:val="24"/>
                <w:highlight w:val="none"/>
              </w:rPr>
            </w:pPr>
            <w:r>
              <w:rPr>
                <w:rFonts w:hint="eastAsia" w:ascii="宋体"/>
                <w:color w:val="auto"/>
                <w:sz w:val="24"/>
                <w:szCs w:val="24"/>
                <w:highlight w:val="none"/>
              </w:rPr>
              <w:t>1</w:t>
            </w:r>
          </w:p>
        </w:tc>
        <w:tc>
          <w:tcPr>
            <w:tcW w:w="482" w:type="dxa"/>
            <w:tcBorders>
              <w:top w:val="single" w:color="auto" w:sz="4" w:space="0"/>
              <w:left w:val="single" w:color="auto" w:sz="4" w:space="0"/>
              <w:bottom w:val="single" w:color="auto" w:sz="4" w:space="0"/>
              <w:right w:val="single" w:color="auto" w:sz="4" w:space="0"/>
            </w:tcBorders>
            <w:noWrap/>
            <w:vAlign w:val="center"/>
          </w:tcPr>
          <w:p w14:paraId="3E2EA6B4">
            <w:pPr>
              <w:spacing w:line="360" w:lineRule="auto"/>
              <w:jc w:val="center"/>
              <w:rPr>
                <w:rFonts w:ascii="宋体"/>
                <w:color w:val="auto"/>
                <w:sz w:val="24"/>
                <w:szCs w:val="24"/>
                <w:highlight w:val="none"/>
              </w:rPr>
            </w:pPr>
            <w:r>
              <w:rPr>
                <w:rFonts w:hint="eastAsia" w:ascii="宋体"/>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64A2F26E">
            <w:pPr>
              <w:spacing w:line="360" w:lineRule="auto"/>
              <w:jc w:val="center"/>
              <w:rPr>
                <w:rFonts w:ascii="宋体"/>
                <w:color w:val="auto"/>
                <w:sz w:val="24"/>
                <w:szCs w:val="24"/>
                <w:highlight w:val="none"/>
              </w:rPr>
            </w:pPr>
            <w:r>
              <w:rPr>
                <w:rFonts w:hint="eastAsia" w:ascii="宋体"/>
                <w:color w:val="auto"/>
                <w:sz w:val="24"/>
                <w:szCs w:val="24"/>
                <w:highlight w:val="none"/>
              </w:rPr>
              <w:t>14.5</w:t>
            </w:r>
          </w:p>
        </w:tc>
        <w:tc>
          <w:tcPr>
            <w:tcW w:w="8510" w:type="dxa"/>
            <w:tcBorders>
              <w:top w:val="single" w:color="auto" w:sz="4" w:space="0"/>
              <w:left w:val="single" w:color="auto" w:sz="4" w:space="0"/>
              <w:bottom w:val="single" w:color="auto" w:sz="4" w:space="0"/>
              <w:right w:val="single" w:color="auto" w:sz="4" w:space="0"/>
            </w:tcBorders>
            <w:noWrap/>
            <w:vAlign w:val="center"/>
          </w:tcPr>
          <w:p w14:paraId="551C8F21">
            <w:pPr>
              <w:spacing w:line="360" w:lineRule="auto"/>
              <w:rPr>
                <w:rFonts w:ascii="宋体"/>
                <w:color w:val="auto"/>
                <w:sz w:val="24"/>
                <w:szCs w:val="24"/>
                <w:highlight w:val="none"/>
              </w:rPr>
            </w:pPr>
            <w:r>
              <w:rPr>
                <w:rFonts w:hint="eastAsia" w:ascii="宋体"/>
                <w:color w:val="auto"/>
                <w:sz w:val="24"/>
                <w:szCs w:val="24"/>
                <w:highlight w:val="none"/>
              </w:rPr>
              <w:t>投标人的投标文件未按规定的投标截止时间之前提交的，其投标将被拒绝。</w:t>
            </w:r>
          </w:p>
        </w:tc>
      </w:tr>
      <w:tr w14:paraId="22AA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437F4A2A">
            <w:pPr>
              <w:spacing w:line="360" w:lineRule="auto"/>
              <w:jc w:val="center"/>
              <w:rPr>
                <w:rFonts w:ascii="宋体"/>
                <w:color w:val="auto"/>
                <w:sz w:val="24"/>
                <w:szCs w:val="24"/>
                <w:highlight w:val="none"/>
              </w:rPr>
            </w:pPr>
            <w:r>
              <w:rPr>
                <w:rFonts w:hint="eastAsia" w:ascii="宋体"/>
                <w:color w:val="auto"/>
                <w:sz w:val="24"/>
                <w:szCs w:val="24"/>
                <w:highlight w:val="none"/>
              </w:rPr>
              <w:t>2</w:t>
            </w:r>
          </w:p>
        </w:tc>
        <w:tc>
          <w:tcPr>
            <w:tcW w:w="482" w:type="dxa"/>
            <w:tcBorders>
              <w:top w:val="single" w:color="auto" w:sz="4" w:space="0"/>
              <w:left w:val="single" w:color="auto" w:sz="4" w:space="0"/>
              <w:bottom w:val="single" w:color="auto" w:sz="4" w:space="0"/>
              <w:right w:val="single" w:color="auto" w:sz="4" w:space="0"/>
            </w:tcBorders>
            <w:noWrap/>
            <w:vAlign w:val="center"/>
          </w:tcPr>
          <w:p w14:paraId="5F576D0E">
            <w:pPr>
              <w:spacing w:line="360" w:lineRule="auto"/>
              <w:jc w:val="center"/>
              <w:rPr>
                <w:rFonts w:ascii="宋体"/>
                <w:color w:val="auto"/>
                <w:sz w:val="24"/>
                <w:szCs w:val="24"/>
                <w:highlight w:val="none"/>
              </w:rPr>
            </w:pPr>
            <w:r>
              <w:rPr>
                <w:rFonts w:hint="eastAsia" w:ascii="宋体"/>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5CE99366">
            <w:pPr>
              <w:spacing w:line="360" w:lineRule="auto"/>
              <w:jc w:val="center"/>
              <w:rPr>
                <w:rFonts w:ascii="宋体"/>
                <w:color w:val="auto"/>
                <w:sz w:val="24"/>
                <w:szCs w:val="24"/>
                <w:highlight w:val="none"/>
              </w:rPr>
            </w:pPr>
            <w:r>
              <w:rPr>
                <w:rFonts w:hint="eastAsia" w:ascii="宋体"/>
                <w:color w:val="auto"/>
                <w:sz w:val="24"/>
                <w:szCs w:val="24"/>
                <w:highlight w:val="none"/>
              </w:rPr>
              <w:t>3.7</w:t>
            </w:r>
          </w:p>
        </w:tc>
        <w:tc>
          <w:tcPr>
            <w:tcW w:w="8510" w:type="dxa"/>
            <w:tcBorders>
              <w:top w:val="single" w:color="auto" w:sz="4" w:space="0"/>
              <w:left w:val="single" w:color="auto" w:sz="4" w:space="0"/>
              <w:bottom w:val="single" w:color="auto" w:sz="4" w:space="0"/>
              <w:right w:val="single" w:color="auto" w:sz="4" w:space="0"/>
            </w:tcBorders>
            <w:noWrap/>
            <w:vAlign w:val="center"/>
          </w:tcPr>
          <w:p w14:paraId="4EF9D1C3">
            <w:pPr>
              <w:spacing w:line="360" w:lineRule="auto"/>
              <w:rPr>
                <w:rFonts w:ascii="宋体"/>
                <w:color w:val="auto"/>
                <w:sz w:val="24"/>
                <w:szCs w:val="24"/>
                <w:highlight w:val="none"/>
              </w:rPr>
            </w:pPr>
            <w:r>
              <w:rPr>
                <w:rFonts w:hint="eastAsia" w:ascii="宋体"/>
                <w:color w:val="auto"/>
                <w:sz w:val="24"/>
                <w:szCs w:val="24"/>
                <w:highlight w:val="none"/>
              </w:rPr>
              <w:t>投标人存在下列情形之一的，将被认定为串通投标行为，并作无效投标处理：</w:t>
            </w:r>
          </w:p>
          <w:p w14:paraId="770256E0">
            <w:pPr>
              <w:spacing w:line="360" w:lineRule="auto"/>
              <w:rPr>
                <w:rFonts w:ascii="宋体"/>
                <w:color w:val="auto"/>
                <w:sz w:val="24"/>
                <w:szCs w:val="24"/>
                <w:highlight w:val="none"/>
              </w:rPr>
            </w:pPr>
            <w:r>
              <w:rPr>
                <w:rFonts w:hint="eastAsia" w:ascii="宋体"/>
                <w:color w:val="auto"/>
                <w:sz w:val="24"/>
                <w:szCs w:val="24"/>
                <w:highlight w:val="none"/>
              </w:rPr>
              <w:t>（1）不同投标人的投标文件错、漏之处一致或雷同，且不能合理解释的；</w:t>
            </w:r>
          </w:p>
          <w:p w14:paraId="4FED33CA">
            <w:pPr>
              <w:spacing w:line="360" w:lineRule="auto"/>
              <w:rPr>
                <w:rFonts w:ascii="宋体"/>
                <w:color w:val="auto"/>
                <w:sz w:val="24"/>
                <w:szCs w:val="24"/>
                <w:highlight w:val="none"/>
              </w:rPr>
            </w:pPr>
            <w:r>
              <w:rPr>
                <w:rFonts w:hint="eastAsia" w:ascii="宋体"/>
                <w:color w:val="auto"/>
                <w:sz w:val="24"/>
                <w:szCs w:val="24"/>
                <w:highlight w:val="none"/>
              </w:rPr>
              <w:t>（2）不同的投标人的单位负责人、委托代理人等由同一个单位缴纳社会保险的；</w:t>
            </w:r>
          </w:p>
          <w:p w14:paraId="7DB00555">
            <w:pPr>
              <w:spacing w:line="360" w:lineRule="auto"/>
              <w:rPr>
                <w:rFonts w:ascii="宋体"/>
                <w:color w:val="auto"/>
                <w:sz w:val="24"/>
                <w:szCs w:val="24"/>
                <w:highlight w:val="none"/>
              </w:rPr>
            </w:pPr>
            <w:r>
              <w:rPr>
                <w:rFonts w:hint="eastAsia" w:ascii="宋体"/>
                <w:color w:val="auto"/>
                <w:sz w:val="24"/>
                <w:szCs w:val="24"/>
                <w:highlight w:val="none"/>
              </w:rPr>
              <w:t>（3）由同一人或分别由几个有利害关系的人携带两个以上（含两个）投标人的企业资料参与资格审查、领取招标资料，或代表两个以上（含两个）投标人参加招标答疑会、交纳或退还投标保证金、开标的；</w:t>
            </w:r>
          </w:p>
          <w:p w14:paraId="3B1D39DE">
            <w:pPr>
              <w:spacing w:line="360" w:lineRule="auto"/>
              <w:rPr>
                <w:rFonts w:ascii="宋体"/>
                <w:color w:val="auto"/>
                <w:sz w:val="24"/>
                <w:szCs w:val="24"/>
                <w:highlight w:val="none"/>
              </w:rPr>
            </w:pPr>
            <w:r>
              <w:rPr>
                <w:rFonts w:hint="eastAsia" w:ascii="宋体"/>
                <w:color w:val="auto"/>
                <w:sz w:val="24"/>
                <w:szCs w:val="24"/>
                <w:highlight w:val="none"/>
              </w:rPr>
              <w:t>（4）投标人之间协商投标报价等投标文件的实质性内容；</w:t>
            </w:r>
          </w:p>
          <w:p w14:paraId="2DFC7476">
            <w:pPr>
              <w:spacing w:line="360" w:lineRule="auto"/>
              <w:rPr>
                <w:rFonts w:ascii="宋体"/>
                <w:color w:val="auto"/>
                <w:sz w:val="24"/>
                <w:szCs w:val="24"/>
                <w:highlight w:val="none"/>
              </w:rPr>
            </w:pPr>
            <w:r>
              <w:rPr>
                <w:rFonts w:hint="eastAsia" w:ascii="宋体"/>
                <w:color w:val="auto"/>
                <w:sz w:val="24"/>
                <w:szCs w:val="24"/>
                <w:highlight w:val="none"/>
              </w:rPr>
              <w:t>（5）投标人之间约定中标人；</w:t>
            </w:r>
          </w:p>
          <w:p w14:paraId="02C3FF65">
            <w:pPr>
              <w:spacing w:line="360" w:lineRule="auto"/>
              <w:rPr>
                <w:rFonts w:ascii="宋体"/>
                <w:color w:val="auto"/>
                <w:sz w:val="24"/>
                <w:szCs w:val="24"/>
                <w:highlight w:val="none"/>
              </w:rPr>
            </w:pPr>
            <w:r>
              <w:rPr>
                <w:rFonts w:hint="eastAsia" w:ascii="宋体"/>
                <w:color w:val="auto"/>
                <w:sz w:val="24"/>
                <w:szCs w:val="24"/>
                <w:highlight w:val="none"/>
              </w:rPr>
              <w:t>（6）投标人之间约定部分投标人放弃投标或者中标；</w:t>
            </w:r>
          </w:p>
          <w:p w14:paraId="3A504C3B">
            <w:pPr>
              <w:spacing w:line="360" w:lineRule="auto"/>
              <w:rPr>
                <w:rFonts w:ascii="宋体"/>
                <w:color w:val="auto"/>
                <w:sz w:val="24"/>
                <w:szCs w:val="24"/>
                <w:highlight w:val="none"/>
              </w:rPr>
            </w:pPr>
            <w:r>
              <w:rPr>
                <w:rFonts w:hint="eastAsia" w:ascii="宋体"/>
                <w:color w:val="auto"/>
                <w:sz w:val="24"/>
                <w:szCs w:val="24"/>
                <w:highlight w:val="none"/>
              </w:rPr>
              <w:t>（7）属于同一集团、协会、商会等组织成员的投标人按照该组织要求协同投标；</w:t>
            </w:r>
          </w:p>
          <w:p w14:paraId="7B3076A0">
            <w:pPr>
              <w:spacing w:line="360" w:lineRule="auto"/>
              <w:rPr>
                <w:rFonts w:ascii="宋体"/>
                <w:color w:val="auto"/>
                <w:sz w:val="24"/>
                <w:szCs w:val="24"/>
                <w:highlight w:val="none"/>
              </w:rPr>
            </w:pPr>
            <w:r>
              <w:rPr>
                <w:rFonts w:hint="eastAsia" w:ascii="宋体"/>
                <w:color w:val="auto"/>
                <w:sz w:val="24"/>
                <w:szCs w:val="24"/>
                <w:highlight w:val="none"/>
              </w:rPr>
              <w:t>（8）投标人之间为谋取中标或者排斥特定投标人而采取的其他联合行动；</w:t>
            </w:r>
          </w:p>
          <w:p w14:paraId="07DFBA72">
            <w:pPr>
              <w:spacing w:line="360" w:lineRule="auto"/>
              <w:rPr>
                <w:rFonts w:ascii="宋体"/>
                <w:color w:val="auto"/>
                <w:sz w:val="24"/>
                <w:szCs w:val="24"/>
                <w:highlight w:val="none"/>
              </w:rPr>
            </w:pPr>
            <w:r>
              <w:rPr>
                <w:rFonts w:hint="eastAsia" w:ascii="宋体"/>
                <w:color w:val="auto"/>
                <w:sz w:val="24"/>
                <w:szCs w:val="24"/>
                <w:highlight w:val="none"/>
              </w:rPr>
              <w:t>（9）不同投标人的投标文件由同一单位或者个人编制；</w:t>
            </w:r>
          </w:p>
          <w:p w14:paraId="3BD6180F">
            <w:pPr>
              <w:spacing w:line="360" w:lineRule="auto"/>
              <w:rPr>
                <w:rFonts w:ascii="宋体"/>
                <w:color w:val="auto"/>
                <w:sz w:val="24"/>
                <w:szCs w:val="24"/>
                <w:highlight w:val="none"/>
              </w:rPr>
            </w:pPr>
            <w:r>
              <w:rPr>
                <w:rFonts w:hint="eastAsia" w:ascii="宋体"/>
                <w:color w:val="auto"/>
                <w:sz w:val="24"/>
                <w:szCs w:val="24"/>
                <w:highlight w:val="none"/>
              </w:rPr>
              <w:t>（10）不同投标人委托同一单位或者个人办理投标事宜；</w:t>
            </w:r>
          </w:p>
          <w:p w14:paraId="6FEC2811">
            <w:pPr>
              <w:spacing w:line="360" w:lineRule="auto"/>
              <w:rPr>
                <w:rFonts w:ascii="宋体"/>
                <w:color w:val="auto"/>
                <w:sz w:val="24"/>
                <w:szCs w:val="24"/>
                <w:highlight w:val="none"/>
              </w:rPr>
            </w:pPr>
            <w:r>
              <w:rPr>
                <w:rFonts w:hint="eastAsia" w:ascii="宋体"/>
                <w:color w:val="auto"/>
                <w:sz w:val="24"/>
                <w:szCs w:val="24"/>
                <w:highlight w:val="none"/>
              </w:rPr>
              <w:t>（11）不同投标人的投标文件载明的项目管理成员或者联系人员为同一人；</w:t>
            </w:r>
          </w:p>
          <w:p w14:paraId="2BBDB22F">
            <w:pPr>
              <w:spacing w:line="360" w:lineRule="auto"/>
              <w:rPr>
                <w:rFonts w:ascii="宋体"/>
                <w:color w:val="auto"/>
                <w:sz w:val="24"/>
                <w:szCs w:val="24"/>
                <w:highlight w:val="none"/>
              </w:rPr>
            </w:pPr>
            <w:r>
              <w:rPr>
                <w:rFonts w:hint="eastAsia" w:ascii="宋体"/>
                <w:color w:val="auto"/>
                <w:sz w:val="24"/>
                <w:szCs w:val="24"/>
                <w:highlight w:val="none"/>
              </w:rPr>
              <w:t>（12）不同投标人的投标文件异常一致或者投标报价呈规律性差异；</w:t>
            </w:r>
          </w:p>
          <w:p w14:paraId="559425EB">
            <w:pPr>
              <w:spacing w:line="360" w:lineRule="auto"/>
              <w:rPr>
                <w:rFonts w:ascii="宋体"/>
                <w:color w:val="auto"/>
                <w:sz w:val="24"/>
                <w:szCs w:val="24"/>
                <w:highlight w:val="none"/>
              </w:rPr>
            </w:pPr>
            <w:r>
              <w:rPr>
                <w:rFonts w:hint="eastAsia" w:ascii="宋体"/>
                <w:color w:val="auto"/>
                <w:sz w:val="24"/>
                <w:szCs w:val="24"/>
                <w:highlight w:val="none"/>
              </w:rPr>
              <w:t>（13）不同投标人的投标文件相互混装；</w:t>
            </w:r>
          </w:p>
          <w:p w14:paraId="741C39F9">
            <w:pPr>
              <w:spacing w:line="360" w:lineRule="auto"/>
              <w:rPr>
                <w:rFonts w:ascii="宋体"/>
                <w:color w:val="auto"/>
                <w:sz w:val="24"/>
                <w:szCs w:val="24"/>
                <w:highlight w:val="none"/>
              </w:rPr>
            </w:pPr>
            <w:r>
              <w:rPr>
                <w:rFonts w:hint="eastAsia" w:ascii="宋体"/>
                <w:color w:val="auto"/>
                <w:sz w:val="24"/>
                <w:szCs w:val="24"/>
                <w:highlight w:val="none"/>
              </w:rPr>
              <w:t>（14）不同投标人的投标保证金从同一单位或者个人的账户转出。</w:t>
            </w:r>
          </w:p>
          <w:p w14:paraId="57E98AF7">
            <w:pPr>
              <w:spacing w:line="360" w:lineRule="auto"/>
              <w:rPr>
                <w:rFonts w:ascii="宋体"/>
                <w:color w:val="auto"/>
                <w:sz w:val="24"/>
                <w:szCs w:val="24"/>
                <w:highlight w:val="none"/>
              </w:rPr>
            </w:pPr>
            <w:r>
              <w:rPr>
                <w:rFonts w:hint="eastAsia" w:ascii="宋体"/>
                <w:color w:val="auto"/>
                <w:sz w:val="24"/>
                <w:szCs w:val="24"/>
                <w:highlight w:val="none"/>
              </w:rPr>
              <w:t>（15）有关法律、法规或规章规定的其他串通投标行为。</w:t>
            </w:r>
          </w:p>
        </w:tc>
      </w:tr>
      <w:tr w14:paraId="62FA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163EED4C">
            <w:pPr>
              <w:spacing w:line="360" w:lineRule="auto"/>
              <w:jc w:val="center"/>
              <w:rPr>
                <w:rFonts w:ascii="宋体"/>
                <w:color w:val="auto"/>
                <w:sz w:val="24"/>
                <w:szCs w:val="24"/>
                <w:highlight w:val="none"/>
              </w:rPr>
            </w:pPr>
            <w:r>
              <w:rPr>
                <w:rFonts w:hint="eastAsia" w:ascii="宋体"/>
                <w:color w:val="auto"/>
                <w:sz w:val="24"/>
                <w:szCs w:val="24"/>
                <w:highlight w:val="none"/>
              </w:rPr>
              <w:t>3</w:t>
            </w:r>
          </w:p>
        </w:tc>
        <w:tc>
          <w:tcPr>
            <w:tcW w:w="482" w:type="dxa"/>
            <w:tcBorders>
              <w:top w:val="single" w:color="auto" w:sz="4" w:space="0"/>
              <w:left w:val="single" w:color="auto" w:sz="4" w:space="0"/>
              <w:bottom w:val="single" w:color="auto" w:sz="4" w:space="0"/>
              <w:right w:val="single" w:color="auto" w:sz="4" w:space="0"/>
            </w:tcBorders>
            <w:noWrap/>
            <w:vAlign w:val="center"/>
          </w:tcPr>
          <w:p w14:paraId="5389F810">
            <w:pPr>
              <w:spacing w:line="360" w:lineRule="auto"/>
              <w:jc w:val="center"/>
              <w:rPr>
                <w:rFonts w:ascii="宋体"/>
                <w:color w:val="auto"/>
                <w:sz w:val="24"/>
                <w:szCs w:val="24"/>
                <w:highlight w:val="none"/>
              </w:rPr>
            </w:pPr>
            <w:r>
              <w:rPr>
                <w:rFonts w:hint="eastAsia" w:ascii="宋体"/>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0005CCB6">
            <w:pPr>
              <w:spacing w:line="360" w:lineRule="auto"/>
              <w:jc w:val="center"/>
              <w:rPr>
                <w:rFonts w:ascii="宋体"/>
                <w:color w:val="auto"/>
                <w:sz w:val="24"/>
                <w:szCs w:val="24"/>
                <w:highlight w:val="none"/>
              </w:rPr>
            </w:pPr>
            <w:r>
              <w:rPr>
                <w:rFonts w:hint="eastAsia" w:ascii="宋体"/>
                <w:color w:val="auto"/>
                <w:sz w:val="24"/>
                <w:szCs w:val="24"/>
                <w:highlight w:val="none"/>
              </w:rPr>
              <w:t>11</w:t>
            </w:r>
          </w:p>
        </w:tc>
        <w:tc>
          <w:tcPr>
            <w:tcW w:w="8510" w:type="dxa"/>
            <w:tcBorders>
              <w:top w:val="single" w:color="auto" w:sz="4" w:space="0"/>
              <w:left w:val="single" w:color="auto" w:sz="4" w:space="0"/>
              <w:bottom w:val="single" w:color="auto" w:sz="4" w:space="0"/>
              <w:right w:val="single" w:color="auto" w:sz="4" w:space="0"/>
            </w:tcBorders>
            <w:noWrap/>
            <w:vAlign w:val="center"/>
          </w:tcPr>
          <w:p w14:paraId="35471A33">
            <w:pPr>
              <w:spacing w:line="360" w:lineRule="auto"/>
              <w:rPr>
                <w:rFonts w:ascii="宋体"/>
                <w:color w:val="auto"/>
                <w:sz w:val="24"/>
                <w:szCs w:val="24"/>
                <w:highlight w:val="none"/>
              </w:rPr>
            </w:pPr>
            <w:r>
              <w:rPr>
                <w:rFonts w:ascii="宋体"/>
                <w:color w:val="auto"/>
                <w:sz w:val="24"/>
                <w:highlight w:val="none"/>
              </w:rPr>
              <w:t>投标有效期：</w:t>
            </w:r>
            <w:r>
              <w:rPr>
                <w:rFonts w:hint="eastAsia" w:ascii="宋体"/>
                <w:color w:val="auto"/>
                <w:sz w:val="24"/>
                <w:highlight w:val="none"/>
              </w:rPr>
              <w:t>从提交</w:t>
            </w:r>
            <w:r>
              <w:rPr>
                <w:rFonts w:ascii="宋体"/>
                <w:color w:val="auto"/>
                <w:sz w:val="24"/>
                <w:highlight w:val="none"/>
              </w:rPr>
              <w:t>投标</w:t>
            </w:r>
            <w:r>
              <w:rPr>
                <w:rFonts w:hint="eastAsia" w:ascii="宋体"/>
                <w:color w:val="auto"/>
                <w:sz w:val="24"/>
                <w:highlight w:val="none"/>
              </w:rPr>
              <w:t>文件的</w:t>
            </w:r>
            <w:r>
              <w:rPr>
                <w:rFonts w:ascii="宋体"/>
                <w:color w:val="auto"/>
                <w:sz w:val="24"/>
                <w:highlight w:val="none"/>
              </w:rPr>
              <w:t>截止</w:t>
            </w:r>
            <w:r>
              <w:rPr>
                <w:rFonts w:hint="eastAsia" w:ascii="宋体"/>
                <w:color w:val="auto"/>
                <w:sz w:val="24"/>
                <w:highlight w:val="none"/>
              </w:rPr>
              <w:t>之日起90</w:t>
            </w:r>
            <w:r>
              <w:rPr>
                <w:rFonts w:ascii="宋体"/>
                <w:color w:val="auto"/>
                <w:sz w:val="24"/>
                <w:highlight w:val="none"/>
              </w:rPr>
              <w:t>个日历日</w:t>
            </w:r>
            <w:r>
              <w:rPr>
                <w:rFonts w:hint="eastAsia" w:ascii="宋体"/>
                <w:color w:val="auto"/>
                <w:sz w:val="24"/>
                <w:highlight w:val="none"/>
              </w:rPr>
              <w:t>内保持有效</w:t>
            </w:r>
            <w:r>
              <w:rPr>
                <w:rFonts w:ascii="宋体"/>
                <w:color w:val="auto"/>
                <w:sz w:val="24"/>
                <w:highlight w:val="none"/>
              </w:rPr>
              <w:t>。投标文件中承诺的投标有效期少于招标文件中载明的</w:t>
            </w:r>
            <w:r>
              <w:rPr>
                <w:rFonts w:hint="eastAsia" w:ascii="宋体"/>
                <w:color w:val="auto"/>
                <w:sz w:val="24"/>
                <w:highlight w:val="none"/>
              </w:rPr>
              <w:t>上述</w:t>
            </w:r>
            <w:r>
              <w:rPr>
                <w:rFonts w:ascii="宋体"/>
                <w:color w:val="auto"/>
                <w:sz w:val="24"/>
                <w:highlight w:val="none"/>
              </w:rPr>
              <w:t>投标有效期</w:t>
            </w:r>
            <w:r>
              <w:rPr>
                <w:rFonts w:hint="eastAsia" w:ascii="宋体"/>
                <w:color w:val="auto"/>
                <w:sz w:val="24"/>
                <w:highlight w:val="none"/>
              </w:rPr>
              <w:t>的，将</w:t>
            </w:r>
            <w:r>
              <w:rPr>
                <w:rFonts w:ascii="宋体"/>
                <w:color w:val="auto"/>
                <w:sz w:val="24"/>
                <w:highlight w:val="none"/>
              </w:rPr>
              <w:t>导致其投标文件被拒绝。投标有效期内投标人撤销投标文件的，采购代理机构可以不退还投标保证金。</w:t>
            </w:r>
          </w:p>
        </w:tc>
      </w:tr>
      <w:tr w14:paraId="743F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62FC9751">
            <w:pPr>
              <w:spacing w:line="360" w:lineRule="auto"/>
              <w:jc w:val="center"/>
              <w:rPr>
                <w:rFonts w:ascii="宋体"/>
                <w:color w:val="auto"/>
                <w:sz w:val="24"/>
                <w:szCs w:val="24"/>
                <w:highlight w:val="none"/>
              </w:rPr>
            </w:pPr>
            <w:r>
              <w:rPr>
                <w:rFonts w:hint="eastAsia" w:ascii="宋体"/>
                <w:color w:val="auto"/>
                <w:sz w:val="24"/>
                <w:szCs w:val="24"/>
                <w:highlight w:val="none"/>
              </w:rPr>
              <w:t>4</w:t>
            </w:r>
          </w:p>
        </w:tc>
        <w:tc>
          <w:tcPr>
            <w:tcW w:w="482" w:type="dxa"/>
            <w:tcBorders>
              <w:top w:val="single" w:color="auto" w:sz="4" w:space="0"/>
              <w:left w:val="single" w:color="auto" w:sz="4" w:space="0"/>
              <w:bottom w:val="single" w:color="auto" w:sz="4" w:space="0"/>
              <w:right w:val="single" w:color="auto" w:sz="4" w:space="0"/>
            </w:tcBorders>
            <w:noWrap/>
            <w:vAlign w:val="center"/>
          </w:tcPr>
          <w:p w14:paraId="0AEB282B">
            <w:pPr>
              <w:spacing w:line="360" w:lineRule="auto"/>
              <w:jc w:val="center"/>
              <w:rPr>
                <w:rFonts w:ascii="宋体"/>
                <w:color w:val="auto"/>
                <w:sz w:val="24"/>
                <w:szCs w:val="24"/>
                <w:highlight w:val="none"/>
              </w:rPr>
            </w:pPr>
            <w:r>
              <w:rPr>
                <w:rFonts w:hint="eastAsia" w:ascii="宋体"/>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7599A97A">
            <w:pPr>
              <w:spacing w:line="360" w:lineRule="auto"/>
              <w:jc w:val="center"/>
              <w:rPr>
                <w:rFonts w:ascii="宋体"/>
                <w:color w:val="auto"/>
                <w:sz w:val="24"/>
                <w:szCs w:val="24"/>
                <w:highlight w:val="none"/>
              </w:rPr>
            </w:pPr>
          </w:p>
        </w:tc>
        <w:tc>
          <w:tcPr>
            <w:tcW w:w="8510" w:type="dxa"/>
            <w:tcBorders>
              <w:top w:val="single" w:color="auto" w:sz="4" w:space="0"/>
              <w:left w:val="single" w:color="auto" w:sz="4" w:space="0"/>
              <w:bottom w:val="single" w:color="auto" w:sz="4" w:space="0"/>
              <w:right w:val="single" w:color="auto" w:sz="4" w:space="0"/>
            </w:tcBorders>
            <w:noWrap/>
            <w:vAlign w:val="center"/>
          </w:tcPr>
          <w:p w14:paraId="612F419C">
            <w:pPr>
              <w:spacing w:line="360" w:lineRule="auto"/>
              <w:rPr>
                <w:rFonts w:ascii="宋体"/>
                <w:color w:val="auto"/>
                <w:sz w:val="24"/>
                <w:szCs w:val="24"/>
                <w:highlight w:val="none"/>
              </w:rPr>
            </w:pPr>
            <w:r>
              <w:rPr>
                <w:rFonts w:hint="eastAsia" w:ascii="宋体"/>
                <w:color w:val="auto"/>
                <w:sz w:val="24"/>
                <w:szCs w:val="24"/>
                <w:highlight w:val="none"/>
              </w:rPr>
              <w:t>（1）实质性影响合同的范围、质量和履行；</w:t>
            </w:r>
          </w:p>
          <w:p w14:paraId="60013E26">
            <w:pPr>
              <w:spacing w:line="360" w:lineRule="auto"/>
              <w:rPr>
                <w:rFonts w:ascii="宋体"/>
                <w:color w:val="auto"/>
                <w:sz w:val="24"/>
                <w:szCs w:val="24"/>
                <w:highlight w:val="none"/>
              </w:rPr>
            </w:pPr>
            <w:r>
              <w:rPr>
                <w:rFonts w:hint="eastAsia" w:ascii="宋体"/>
                <w:color w:val="auto"/>
                <w:sz w:val="24"/>
                <w:szCs w:val="24"/>
                <w:highlight w:val="none"/>
              </w:rPr>
              <w:t>（2）实质性违背招标文件，限制了采购人的权利和中标人合同项下的义务；</w:t>
            </w:r>
          </w:p>
          <w:p w14:paraId="4CC39872">
            <w:pPr>
              <w:spacing w:line="360" w:lineRule="auto"/>
              <w:rPr>
                <w:rFonts w:ascii="宋体"/>
                <w:color w:val="auto"/>
                <w:sz w:val="24"/>
                <w:szCs w:val="24"/>
                <w:highlight w:val="none"/>
              </w:rPr>
            </w:pPr>
            <w:r>
              <w:rPr>
                <w:rFonts w:hint="eastAsia" w:ascii="宋体"/>
                <w:color w:val="auto"/>
                <w:sz w:val="24"/>
                <w:szCs w:val="24"/>
                <w:highlight w:val="none"/>
              </w:rPr>
              <w:t>（3）不公正地影响了其他作出实质性响应的投标人的竞争地位。</w:t>
            </w:r>
          </w:p>
        </w:tc>
      </w:tr>
      <w:tr w14:paraId="5ACD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7F00E74A">
            <w:pPr>
              <w:spacing w:line="360" w:lineRule="auto"/>
              <w:jc w:val="center"/>
              <w:rPr>
                <w:rFonts w:ascii="宋体"/>
                <w:color w:val="auto"/>
                <w:sz w:val="24"/>
                <w:szCs w:val="24"/>
                <w:highlight w:val="none"/>
              </w:rPr>
            </w:pPr>
            <w:r>
              <w:rPr>
                <w:rFonts w:hint="eastAsia" w:ascii="宋体"/>
                <w:color w:val="auto"/>
                <w:sz w:val="24"/>
                <w:szCs w:val="24"/>
                <w:highlight w:val="none"/>
              </w:rPr>
              <w:t>5</w:t>
            </w:r>
          </w:p>
        </w:tc>
        <w:tc>
          <w:tcPr>
            <w:tcW w:w="482" w:type="dxa"/>
            <w:tcBorders>
              <w:top w:val="single" w:color="auto" w:sz="4" w:space="0"/>
              <w:left w:val="single" w:color="auto" w:sz="4" w:space="0"/>
              <w:bottom w:val="single" w:color="auto" w:sz="4" w:space="0"/>
              <w:right w:val="single" w:color="auto" w:sz="4" w:space="0"/>
            </w:tcBorders>
            <w:noWrap/>
            <w:vAlign w:val="center"/>
          </w:tcPr>
          <w:p w14:paraId="5F7D6C19">
            <w:pPr>
              <w:spacing w:line="360" w:lineRule="auto"/>
              <w:jc w:val="center"/>
              <w:rPr>
                <w:rFonts w:ascii="宋体"/>
                <w:color w:val="auto"/>
                <w:sz w:val="24"/>
                <w:szCs w:val="24"/>
                <w:highlight w:val="none"/>
              </w:rPr>
            </w:pPr>
            <w:r>
              <w:rPr>
                <w:rFonts w:hint="eastAsia" w:ascii="宋体"/>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4D60139C">
            <w:pPr>
              <w:spacing w:line="360" w:lineRule="auto"/>
              <w:jc w:val="center"/>
              <w:rPr>
                <w:rFonts w:ascii="宋体"/>
                <w:color w:val="auto"/>
                <w:sz w:val="24"/>
                <w:szCs w:val="24"/>
                <w:highlight w:val="none"/>
              </w:rPr>
            </w:pPr>
          </w:p>
        </w:tc>
        <w:tc>
          <w:tcPr>
            <w:tcW w:w="8510" w:type="dxa"/>
            <w:tcBorders>
              <w:top w:val="single" w:color="auto" w:sz="4" w:space="0"/>
              <w:left w:val="single" w:color="auto" w:sz="4" w:space="0"/>
              <w:bottom w:val="single" w:color="auto" w:sz="4" w:space="0"/>
              <w:right w:val="single" w:color="auto" w:sz="4" w:space="0"/>
            </w:tcBorders>
            <w:noWrap/>
            <w:vAlign w:val="center"/>
          </w:tcPr>
          <w:p w14:paraId="5920DD6D">
            <w:pPr>
              <w:spacing w:line="360" w:lineRule="auto"/>
              <w:rPr>
                <w:rFonts w:ascii="宋体"/>
                <w:color w:val="auto"/>
                <w:sz w:val="24"/>
                <w:szCs w:val="24"/>
                <w:highlight w:val="none"/>
              </w:rPr>
            </w:pPr>
            <w:r>
              <w:rPr>
                <w:rFonts w:hint="eastAsia" w:ascii="宋体"/>
                <w:color w:val="auto"/>
                <w:sz w:val="24"/>
                <w:szCs w:val="24"/>
                <w:highlight w:val="none"/>
              </w:rPr>
              <w:t>投标人有下列情况之一者，投标文件将被视为未实质性响应招标文件要求：</w:t>
            </w:r>
          </w:p>
          <w:p w14:paraId="0845C60F">
            <w:pPr>
              <w:spacing w:line="360" w:lineRule="auto"/>
              <w:rPr>
                <w:rFonts w:ascii="宋体"/>
                <w:color w:val="auto"/>
                <w:sz w:val="24"/>
                <w:szCs w:val="24"/>
                <w:highlight w:val="none"/>
              </w:rPr>
            </w:pPr>
            <w:r>
              <w:rPr>
                <w:rFonts w:hint="eastAsia" w:ascii="宋体"/>
                <w:color w:val="auto"/>
                <w:sz w:val="24"/>
                <w:szCs w:val="24"/>
                <w:highlight w:val="none"/>
              </w:rPr>
              <w:t>（1）投标文件未按照本须知第14条的规定进行签署、盖章的；</w:t>
            </w:r>
          </w:p>
          <w:p w14:paraId="2F59CF7D">
            <w:pPr>
              <w:spacing w:line="360" w:lineRule="auto"/>
              <w:rPr>
                <w:rFonts w:ascii="宋体"/>
                <w:color w:val="auto"/>
                <w:sz w:val="24"/>
                <w:szCs w:val="24"/>
                <w:highlight w:val="none"/>
              </w:rPr>
            </w:pPr>
            <w:r>
              <w:rPr>
                <w:rFonts w:hint="eastAsia" w:ascii="宋体"/>
                <w:color w:val="auto"/>
                <w:sz w:val="24"/>
                <w:szCs w:val="24"/>
                <w:highlight w:val="none"/>
              </w:rPr>
              <w:t>（2）未按规定由投标人的单位负责人或其授权代表签字；或未加盖投标人公章的；或签字人未提供单位负责人有效授权委托书的；</w:t>
            </w:r>
          </w:p>
          <w:p w14:paraId="1B10FB8A">
            <w:pPr>
              <w:spacing w:line="360" w:lineRule="auto"/>
              <w:rPr>
                <w:rFonts w:ascii="宋体"/>
                <w:color w:val="auto"/>
                <w:sz w:val="24"/>
                <w:szCs w:val="24"/>
                <w:highlight w:val="none"/>
              </w:rPr>
            </w:pPr>
            <w:r>
              <w:rPr>
                <w:rFonts w:hint="eastAsia" w:ascii="宋体"/>
                <w:color w:val="auto"/>
                <w:sz w:val="24"/>
                <w:szCs w:val="24"/>
                <w:highlight w:val="none"/>
              </w:rPr>
              <w:t>（3）未按照要求提交投标保证金、或投标保证金的金额不足、或投标保证金形式不符合招标文件要求、或保证金不能确保进账的；</w:t>
            </w:r>
          </w:p>
          <w:p w14:paraId="53403202">
            <w:pPr>
              <w:spacing w:line="360" w:lineRule="auto"/>
              <w:rPr>
                <w:rFonts w:ascii="宋体"/>
                <w:color w:val="auto"/>
                <w:sz w:val="24"/>
                <w:szCs w:val="24"/>
                <w:highlight w:val="none"/>
              </w:rPr>
            </w:pPr>
            <w:r>
              <w:rPr>
                <w:rFonts w:hint="eastAsia" w:ascii="宋体"/>
                <w:color w:val="auto"/>
                <w:sz w:val="24"/>
                <w:szCs w:val="24"/>
                <w:highlight w:val="none"/>
              </w:rPr>
              <w:t>（4）投标文件的资格证明分册中没有完整提供资格证明材料的；</w:t>
            </w:r>
          </w:p>
          <w:p w14:paraId="41676B2C">
            <w:pPr>
              <w:spacing w:line="360" w:lineRule="auto"/>
              <w:rPr>
                <w:rFonts w:ascii="宋体"/>
                <w:color w:val="auto"/>
                <w:sz w:val="24"/>
                <w:szCs w:val="24"/>
                <w:highlight w:val="none"/>
              </w:rPr>
            </w:pPr>
            <w:r>
              <w:rPr>
                <w:rFonts w:hint="eastAsia" w:ascii="宋体"/>
                <w:color w:val="auto"/>
                <w:sz w:val="24"/>
                <w:szCs w:val="24"/>
                <w:highlight w:val="none"/>
              </w:rPr>
              <w:t>（5）开标一览表未加盖投标人公章，开标一览表的招标项目名称、项目编号等重要信息错误的；</w:t>
            </w:r>
          </w:p>
          <w:p w14:paraId="3B769F2B">
            <w:pPr>
              <w:spacing w:line="360" w:lineRule="auto"/>
              <w:rPr>
                <w:rFonts w:ascii="宋体"/>
                <w:color w:val="auto"/>
                <w:sz w:val="24"/>
                <w:szCs w:val="24"/>
                <w:highlight w:val="none"/>
              </w:rPr>
            </w:pPr>
            <w:r>
              <w:rPr>
                <w:rFonts w:hint="eastAsia" w:ascii="宋体"/>
                <w:color w:val="auto"/>
                <w:sz w:val="24"/>
                <w:szCs w:val="24"/>
                <w:highlight w:val="none"/>
              </w:rPr>
              <w:t>（6）投标人提交的是可选择的报价；</w:t>
            </w:r>
            <w:r>
              <w:rPr>
                <w:rFonts w:ascii="宋体"/>
                <w:color w:val="auto"/>
                <w:sz w:val="24"/>
                <w:szCs w:val="24"/>
                <w:highlight w:val="none"/>
              </w:rPr>
              <w:t xml:space="preserve"> </w:t>
            </w:r>
          </w:p>
          <w:p w14:paraId="03A970C7">
            <w:pPr>
              <w:spacing w:line="360" w:lineRule="auto"/>
              <w:rPr>
                <w:rFonts w:ascii="宋体"/>
                <w:color w:val="auto"/>
                <w:sz w:val="24"/>
                <w:szCs w:val="24"/>
                <w:highlight w:val="none"/>
              </w:rPr>
            </w:pPr>
            <w:r>
              <w:rPr>
                <w:rFonts w:hint="eastAsia" w:ascii="宋体"/>
                <w:color w:val="auto"/>
                <w:sz w:val="24"/>
                <w:szCs w:val="24"/>
                <w:highlight w:val="none"/>
              </w:rPr>
              <w:t>（7）投标人未按规定对投标进行分项报价；</w:t>
            </w:r>
            <w:r>
              <w:rPr>
                <w:rFonts w:ascii="宋体"/>
                <w:color w:val="auto"/>
                <w:sz w:val="24"/>
                <w:szCs w:val="24"/>
                <w:highlight w:val="none"/>
              </w:rPr>
              <w:t xml:space="preserve"> </w:t>
            </w:r>
          </w:p>
          <w:p w14:paraId="15CB83BB">
            <w:pPr>
              <w:spacing w:line="360" w:lineRule="auto"/>
              <w:rPr>
                <w:rFonts w:ascii="宋体"/>
                <w:color w:val="auto"/>
                <w:sz w:val="24"/>
                <w:szCs w:val="24"/>
                <w:highlight w:val="none"/>
              </w:rPr>
            </w:pPr>
            <w:r>
              <w:rPr>
                <w:rFonts w:hint="eastAsia" w:ascii="宋体"/>
                <w:color w:val="auto"/>
                <w:sz w:val="24"/>
                <w:szCs w:val="24"/>
                <w:highlight w:val="none"/>
              </w:rPr>
              <w:t>（8）投标报价超过采购预算价或最高限价；</w:t>
            </w:r>
            <w:r>
              <w:rPr>
                <w:rFonts w:ascii="宋体"/>
                <w:color w:val="auto"/>
                <w:sz w:val="24"/>
                <w:szCs w:val="24"/>
                <w:highlight w:val="none"/>
              </w:rPr>
              <w:t xml:space="preserve"> </w:t>
            </w:r>
          </w:p>
          <w:p w14:paraId="6528161D">
            <w:pPr>
              <w:spacing w:line="360" w:lineRule="auto"/>
              <w:rPr>
                <w:rFonts w:ascii="宋体"/>
                <w:color w:val="auto"/>
                <w:sz w:val="24"/>
                <w:szCs w:val="24"/>
                <w:highlight w:val="none"/>
              </w:rPr>
            </w:pPr>
            <w:r>
              <w:rPr>
                <w:rFonts w:hint="eastAsia" w:ascii="宋体"/>
                <w:color w:val="auto"/>
                <w:sz w:val="24"/>
                <w:szCs w:val="24"/>
                <w:highlight w:val="none"/>
              </w:rPr>
              <w:t>（9）投标文件载明的招标项目完成期限超过招标文件规定的；</w:t>
            </w:r>
            <w:r>
              <w:rPr>
                <w:rFonts w:ascii="宋体"/>
                <w:color w:val="auto"/>
                <w:sz w:val="24"/>
                <w:szCs w:val="24"/>
                <w:highlight w:val="none"/>
              </w:rPr>
              <w:t xml:space="preserve"> </w:t>
            </w:r>
          </w:p>
          <w:p w14:paraId="6F2B3796">
            <w:pPr>
              <w:spacing w:line="360" w:lineRule="auto"/>
              <w:rPr>
                <w:rFonts w:ascii="宋体"/>
                <w:color w:val="auto"/>
                <w:sz w:val="24"/>
                <w:szCs w:val="24"/>
                <w:highlight w:val="none"/>
              </w:rPr>
            </w:pPr>
            <w:r>
              <w:rPr>
                <w:rFonts w:hint="eastAsia" w:ascii="宋体"/>
                <w:color w:val="auto"/>
                <w:sz w:val="24"/>
                <w:szCs w:val="24"/>
                <w:highlight w:val="none"/>
              </w:rPr>
              <w:t>（10）投标联合体未提交联合体协议的；</w:t>
            </w:r>
            <w:r>
              <w:rPr>
                <w:rFonts w:ascii="宋体"/>
                <w:color w:val="auto"/>
                <w:sz w:val="24"/>
                <w:szCs w:val="24"/>
                <w:highlight w:val="none"/>
              </w:rPr>
              <w:t xml:space="preserve"> </w:t>
            </w:r>
          </w:p>
          <w:p w14:paraId="4B5D3B13">
            <w:pPr>
              <w:spacing w:line="360" w:lineRule="auto"/>
              <w:rPr>
                <w:rFonts w:ascii="宋体"/>
                <w:color w:val="auto"/>
                <w:sz w:val="24"/>
                <w:szCs w:val="24"/>
                <w:highlight w:val="none"/>
              </w:rPr>
            </w:pPr>
            <w:r>
              <w:rPr>
                <w:rFonts w:hint="eastAsia" w:ascii="宋体"/>
                <w:color w:val="auto"/>
                <w:sz w:val="24"/>
                <w:szCs w:val="24"/>
                <w:highlight w:val="none"/>
              </w:rPr>
              <w:t>（11）投标文件中提供虚假或失实资料的；</w:t>
            </w:r>
          </w:p>
          <w:p w14:paraId="03B54089">
            <w:pPr>
              <w:spacing w:line="360" w:lineRule="auto"/>
              <w:rPr>
                <w:rFonts w:ascii="宋体"/>
                <w:color w:val="auto"/>
                <w:sz w:val="24"/>
                <w:szCs w:val="24"/>
                <w:highlight w:val="none"/>
              </w:rPr>
            </w:pPr>
            <w:r>
              <w:rPr>
                <w:rFonts w:hint="eastAsia" w:ascii="宋体"/>
                <w:color w:val="auto"/>
                <w:sz w:val="24"/>
                <w:szCs w:val="24"/>
                <w:highlight w:val="none"/>
              </w:rPr>
              <w:t>（12）投标有效期不满足招标文件要求的；</w:t>
            </w:r>
          </w:p>
          <w:p w14:paraId="254A4E79">
            <w:pPr>
              <w:spacing w:line="360" w:lineRule="auto"/>
              <w:rPr>
                <w:rFonts w:ascii="宋体"/>
                <w:color w:val="auto"/>
                <w:sz w:val="24"/>
                <w:szCs w:val="24"/>
                <w:highlight w:val="none"/>
              </w:rPr>
            </w:pPr>
            <w:r>
              <w:rPr>
                <w:rFonts w:hint="eastAsia" w:ascii="宋体"/>
                <w:color w:val="auto"/>
                <w:sz w:val="24"/>
                <w:szCs w:val="24"/>
                <w:highlight w:val="none"/>
              </w:rPr>
              <w:t>（13）投标内容与招标内容及要求有重大偏离或保留的；</w:t>
            </w:r>
          </w:p>
          <w:p w14:paraId="546885D7">
            <w:pPr>
              <w:spacing w:line="360" w:lineRule="auto"/>
              <w:rPr>
                <w:rFonts w:ascii="宋体"/>
                <w:color w:val="auto"/>
                <w:sz w:val="24"/>
                <w:szCs w:val="24"/>
                <w:highlight w:val="none"/>
              </w:rPr>
            </w:pPr>
            <w:r>
              <w:rPr>
                <w:rFonts w:hint="eastAsia" w:ascii="宋体"/>
                <w:color w:val="auto"/>
                <w:sz w:val="24"/>
                <w:szCs w:val="24"/>
                <w:highlight w:val="none"/>
              </w:rPr>
              <w:t>（15）对招标文件中带“★”的条款的有任何负偏离或不满足的；</w:t>
            </w:r>
          </w:p>
          <w:p w14:paraId="563C69C3">
            <w:pPr>
              <w:spacing w:line="360" w:lineRule="auto"/>
              <w:rPr>
                <w:rFonts w:ascii="宋体"/>
                <w:color w:val="auto"/>
                <w:sz w:val="24"/>
                <w:szCs w:val="24"/>
                <w:highlight w:val="none"/>
              </w:rPr>
            </w:pPr>
            <w:r>
              <w:rPr>
                <w:rFonts w:hint="eastAsia" w:ascii="宋体"/>
                <w:color w:val="auto"/>
                <w:sz w:val="24"/>
                <w:szCs w:val="24"/>
                <w:highlight w:val="none"/>
              </w:rPr>
              <w:t>（14）投标文件含有采购人不能接受的附加条件的；</w:t>
            </w:r>
          </w:p>
          <w:p w14:paraId="4414C9B0">
            <w:pPr>
              <w:spacing w:line="360" w:lineRule="auto"/>
              <w:rPr>
                <w:rFonts w:ascii="宋体"/>
                <w:color w:val="auto"/>
                <w:sz w:val="24"/>
                <w:szCs w:val="24"/>
                <w:highlight w:val="none"/>
              </w:rPr>
            </w:pPr>
            <w:r>
              <w:rPr>
                <w:rFonts w:hint="eastAsia" w:ascii="宋体"/>
                <w:color w:val="auto"/>
                <w:sz w:val="24"/>
                <w:szCs w:val="24"/>
                <w:highlight w:val="none"/>
              </w:rPr>
              <w:t>（15）不符合招标文件中规定的其他实质性条款；</w:t>
            </w:r>
          </w:p>
          <w:p w14:paraId="6B9AB65D">
            <w:pPr>
              <w:spacing w:line="360" w:lineRule="auto"/>
              <w:rPr>
                <w:rFonts w:ascii="宋体"/>
                <w:color w:val="auto"/>
                <w:sz w:val="24"/>
                <w:szCs w:val="24"/>
                <w:highlight w:val="none"/>
              </w:rPr>
            </w:pPr>
            <w:r>
              <w:rPr>
                <w:rFonts w:hint="eastAsia" w:ascii="宋体"/>
                <w:color w:val="auto"/>
                <w:sz w:val="24"/>
                <w:szCs w:val="24"/>
                <w:highlight w:val="none"/>
              </w:rPr>
              <w:t>（16）实质性违背招标文件，限制了采购人的权利和中标人合同项下的义务；</w:t>
            </w:r>
          </w:p>
          <w:p w14:paraId="17222D3E">
            <w:pPr>
              <w:spacing w:line="360" w:lineRule="auto"/>
              <w:rPr>
                <w:rFonts w:ascii="宋体"/>
                <w:color w:val="auto"/>
                <w:sz w:val="24"/>
                <w:szCs w:val="24"/>
                <w:highlight w:val="none"/>
              </w:rPr>
            </w:pPr>
            <w:r>
              <w:rPr>
                <w:rFonts w:hint="eastAsia" w:ascii="宋体"/>
                <w:color w:val="auto"/>
                <w:sz w:val="24"/>
                <w:szCs w:val="24"/>
                <w:highlight w:val="none"/>
              </w:rPr>
              <w:t>（17）实质性影响合同的范围、质量和履行；</w:t>
            </w:r>
          </w:p>
          <w:p w14:paraId="3FF51608">
            <w:pPr>
              <w:spacing w:line="360" w:lineRule="auto"/>
              <w:rPr>
                <w:rFonts w:ascii="宋体"/>
                <w:color w:val="auto"/>
                <w:sz w:val="24"/>
                <w:szCs w:val="24"/>
                <w:highlight w:val="none"/>
              </w:rPr>
            </w:pPr>
            <w:r>
              <w:rPr>
                <w:rFonts w:hint="eastAsia" w:ascii="宋体"/>
                <w:color w:val="auto"/>
                <w:sz w:val="24"/>
                <w:szCs w:val="24"/>
                <w:highlight w:val="none"/>
              </w:rPr>
              <w:t>（18）投标人存在法律、法规和招标文件规定的其他无效情形的，投标无效。</w:t>
            </w:r>
          </w:p>
        </w:tc>
      </w:tr>
      <w:tr w14:paraId="05FC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2A9B04D0">
            <w:pPr>
              <w:spacing w:line="360" w:lineRule="auto"/>
              <w:jc w:val="center"/>
              <w:rPr>
                <w:rFonts w:ascii="宋体"/>
                <w:color w:val="auto"/>
                <w:sz w:val="24"/>
                <w:szCs w:val="24"/>
                <w:highlight w:val="none"/>
              </w:rPr>
            </w:pPr>
            <w:r>
              <w:rPr>
                <w:rFonts w:hint="eastAsia" w:ascii="宋体"/>
                <w:color w:val="auto"/>
                <w:sz w:val="24"/>
                <w:szCs w:val="24"/>
                <w:highlight w:val="none"/>
              </w:rPr>
              <w:t>6</w:t>
            </w:r>
          </w:p>
        </w:tc>
        <w:tc>
          <w:tcPr>
            <w:tcW w:w="482" w:type="dxa"/>
            <w:tcBorders>
              <w:top w:val="single" w:color="auto" w:sz="4" w:space="0"/>
              <w:left w:val="single" w:color="auto" w:sz="4" w:space="0"/>
              <w:bottom w:val="single" w:color="auto" w:sz="4" w:space="0"/>
              <w:right w:val="single" w:color="auto" w:sz="4" w:space="0"/>
            </w:tcBorders>
            <w:noWrap/>
            <w:vAlign w:val="center"/>
          </w:tcPr>
          <w:p w14:paraId="340091B1">
            <w:pPr>
              <w:spacing w:line="360" w:lineRule="auto"/>
              <w:jc w:val="center"/>
              <w:rPr>
                <w:rFonts w:ascii="宋体"/>
                <w:color w:val="auto"/>
                <w:sz w:val="24"/>
                <w:szCs w:val="24"/>
                <w:highlight w:val="none"/>
              </w:rPr>
            </w:pPr>
            <w:r>
              <w:rPr>
                <w:rFonts w:hint="eastAsia" w:ascii="宋体"/>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13DE9E4C">
            <w:pPr>
              <w:spacing w:line="360" w:lineRule="auto"/>
              <w:jc w:val="center"/>
              <w:rPr>
                <w:rFonts w:ascii="宋体"/>
                <w:color w:val="auto"/>
                <w:sz w:val="24"/>
                <w:szCs w:val="24"/>
                <w:highlight w:val="none"/>
              </w:rPr>
            </w:pPr>
            <w:r>
              <w:rPr>
                <w:rFonts w:hint="eastAsia" w:ascii="宋体"/>
                <w:color w:val="auto"/>
                <w:sz w:val="24"/>
                <w:szCs w:val="24"/>
                <w:highlight w:val="none"/>
              </w:rPr>
              <w:t>12</w:t>
            </w:r>
          </w:p>
        </w:tc>
        <w:tc>
          <w:tcPr>
            <w:tcW w:w="8510" w:type="dxa"/>
            <w:tcBorders>
              <w:top w:val="single" w:color="auto" w:sz="4" w:space="0"/>
              <w:left w:val="single" w:color="auto" w:sz="4" w:space="0"/>
              <w:bottom w:val="single" w:color="auto" w:sz="4" w:space="0"/>
              <w:right w:val="single" w:color="auto" w:sz="4" w:space="0"/>
            </w:tcBorders>
            <w:noWrap/>
            <w:vAlign w:val="center"/>
          </w:tcPr>
          <w:p w14:paraId="1026CA54">
            <w:pPr>
              <w:spacing w:line="360" w:lineRule="auto"/>
              <w:rPr>
                <w:rFonts w:ascii="宋体"/>
                <w:color w:val="auto"/>
                <w:sz w:val="24"/>
                <w:szCs w:val="24"/>
                <w:highlight w:val="none"/>
              </w:rPr>
            </w:pPr>
            <w:r>
              <w:rPr>
                <w:rFonts w:hint="eastAsia" w:ascii="宋体"/>
                <w:color w:val="auto"/>
                <w:sz w:val="24"/>
                <w:szCs w:val="24"/>
                <w:highlight w:val="none"/>
              </w:rPr>
              <w:t>减半交纳投标保证金的投标人未被评标委员会认定应当享受中小企业政策扶持待遇的，将因投标保证金缴交不足作无效投标处理。</w:t>
            </w:r>
          </w:p>
        </w:tc>
      </w:tr>
      <w:tr w14:paraId="0083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2DBE0F80">
            <w:pPr>
              <w:spacing w:line="360" w:lineRule="auto"/>
              <w:jc w:val="center"/>
              <w:rPr>
                <w:rFonts w:ascii="宋体"/>
                <w:color w:val="auto"/>
                <w:sz w:val="24"/>
                <w:szCs w:val="24"/>
                <w:highlight w:val="none"/>
              </w:rPr>
            </w:pPr>
            <w:r>
              <w:rPr>
                <w:rFonts w:hint="eastAsia" w:ascii="宋体"/>
                <w:color w:val="auto"/>
                <w:sz w:val="24"/>
                <w:szCs w:val="24"/>
                <w:highlight w:val="none"/>
              </w:rPr>
              <w:t>7</w:t>
            </w:r>
          </w:p>
        </w:tc>
        <w:tc>
          <w:tcPr>
            <w:tcW w:w="482" w:type="dxa"/>
            <w:tcBorders>
              <w:top w:val="single" w:color="auto" w:sz="4" w:space="0"/>
              <w:left w:val="single" w:color="auto" w:sz="4" w:space="0"/>
              <w:bottom w:val="single" w:color="auto" w:sz="4" w:space="0"/>
              <w:right w:val="single" w:color="auto" w:sz="4" w:space="0"/>
            </w:tcBorders>
            <w:noWrap/>
            <w:vAlign w:val="center"/>
          </w:tcPr>
          <w:p w14:paraId="3CD17072">
            <w:pPr>
              <w:spacing w:line="360" w:lineRule="auto"/>
              <w:jc w:val="center"/>
              <w:rPr>
                <w:rFonts w:ascii="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ign w:val="center"/>
          </w:tcPr>
          <w:p w14:paraId="4947ED79">
            <w:pPr>
              <w:spacing w:line="360" w:lineRule="auto"/>
              <w:jc w:val="center"/>
              <w:rPr>
                <w:rFonts w:ascii="宋体"/>
                <w:color w:val="auto"/>
                <w:sz w:val="24"/>
                <w:szCs w:val="24"/>
                <w:highlight w:val="none"/>
              </w:rPr>
            </w:pPr>
          </w:p>
        </w:tc>
        <w:tc>
          <w:tcPr>
            <w:tcW w:w="8510" w:type="dxa"/>
            <w:tcBorders>
              <w:top w:val="single" w:color="auto" w:sz="4" w:space="0"/>
              <w:left w:val="single" w:color="auto" w:sz="4" w:space="0"/>
              <w:bottom w:val="single" w:color="auto" w:sz="4" w:space="0"/>
              <w:right w:val="single" w:color="auto" w:sz="4" w:space="0"/>
            </w:tcBorders>
            <w:noWrap/>
            <w:vAlign w:val="center"/>
          </w:tcPr>
          <w:p w14:paraId="2914107D">
            <w:pPr>
              <w:spacing w:line="360" w:lineRule="auto"/>
              <w:rPr>
                <w:rFonts w:ascii="宋体"/>
                <w:color w:val="auto"/>
                <w:sz w:val="24"/>
                <w:szCs w:val="24"/>
                <w:highlight w:val="none"/>
              </w:rPr>
            </w:pPr>
            <w:r>
              <w:rPr>
                <w:rFonts w:hint="eastAsia" w:ascii="宋体"/>
                <w:color w:val="auto"/>
                <w:sz w:val="24"/>
                <w:szCs w:val="24"/>
                <w:highlight w:val="none"/>
              </w:rPr>
              <w:t>本项目的核心产品为：</w:t>
            </w:r>
            <w:bookmarkStart w:id="29" w:name="_Hlk181191885"/>
            <w:r>
              <w:rPr>
                <w:rFonts w:hint="eastAsia" w:ascii="宋体"/>
                <w:b/>
                <w:bCs/>
                <w:color w:val="auto"/>
                <w:sz w:val="24"/>
                <w:szCs w:val="24"/>
                <w:highlight w:val="none"/>
                <w:u w:val="single"/>
              </w:rPr>
              <w:t>自动化合成反应器</w:t>
            </w:r>
            <w:bookmarkEnd w:id="29"/>
            <w:r>
              <w:rPr>
                <w:rFonts w:hint="eastAsia" w:ascii="宋体"/>
                <w:b/>
                <w:bCs/>
                <w:color w:val="auto"/>
                <w:sz w:val="24"/>
                <w:szCs w:val="24"/>
                <w:highlight w:val="none"/>
                <w:u w:val="single"/>
              </w:rPr>
              <w:t>设备</w:t>
            </w:r>
            <w:r>
              <w:rPr>
                <w:rFonts w:hint="eastAsia" w:ascii="宋体"/>
                <w:color w:val="auto"/>
                <w:sz w:val="24"/>
                <w:szCs w:val="24"/>
                <w:highlight w:val="none"/>
              </w:rPr>
              <w:t>。</w:t>
            </w:r>
          </w:p>
          <w:p w14:paraId="43FC91D7">
            <w:pPr>
              <w:spacing w:line="360" w:lineRule="auto"/>
              <w:rPr>
                <w:rFonts w:ascii="宋体"/>
                <w:color w:val="auto"/>
                <w:sz w:val="24"/>
                <w:szCs w:val="24"/>
                <w:highlight w:val="none"/>
              </w:rPr>
            </w:pPr>
            <w:r>
              <w:rPr>
                <w:rFonts w:hint="eastAsia" w:ascii="宋体"/>
                <w:color w:val="auto"/>
                <w:sz w:val="24"/>
                <w:szCs w:val="24"/>
                <w:highlight w:val="none"/>
              </w:rPr>
              <w:t>多家投标人提供的核心产品品牌相同的（非单一品目或集成产品采购项目中，任一核心产品为同一品牌的），由评标委员会按照以下规定处理：</w:t>
            </w:r>
          </w:p>
          <w:p w14:paraId="10DD9EDA">
            <w:pPr>
              <w:spacing w:line="360" w:lineRule="auto"/>
              <w:rPr>
                <w:rFonts w:ascii="宋体"/>
                <w:color w:val="auto"/>
                <w:sz w:val="24"/>
                <w:szCs w:val="24"/>
                <w:highlight w:val="none"/>
              </w:rPr>
            </w:pPr>
            <w:r>
              <w:rPr>
                <w:rFonts w:hint="eastAsia" w:ascii="宋体"/>
                <w:color w:val="auto"/>
                <w:sz w:val="24"/>
                <w:szCs w:val="24"/>
                <w:highlight w:val="none"/>
              </w:rPr>
              <w:t>□最低评标价法：在同一合同包项下，各供应商所投的货物若出现同一品牌，视同提供同品牌产品，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DDD064D">
            <w:pPr>
              <w:spacing w:line="360" w:lineRule="auto"/>
              <w:rPr>
                <w:rFonts w:ascii="宋体"/>
                <w:color w:val="auto"/>
                <w:sz w:val="24"/>
                <w:szCs w:val="24"/>
                <w:highlight w:val="none"/>
              </w:rPr>
            </w:pPr>
            <w:r>
              <w:rPr>
                <w:rFonts w:ascii="Segoe UI Symbol" w:hAnsi="Segoe UI Symbol" w:cs="Segoe UI Symbol"/>
                <w:color w:val="auto"/>
                <w:sz w:val="24"/>
                <w:szCs w:val="24"/>
                <w:highlight w:val="none"/>
              </w:rPr>
              <w:t>☑</w:t>
            </w:r>
            <w:r>
              <w:rPr>
                <w:rFonts w:hint="eastAsia" w:ascii="宋体"/>
                <w:color w:val="auto"/>
                <w:sz w:val="24"/>
                <w:szCs w:val="24"/>
                <w:highlight w:val="none"/>
              </w:rPr>
              <w:t>综合评分法：在同一合同包项下，各供应商所投的货物若出现同一品牌，视同提供同品牌产品，计算供应商家数时按1家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0B75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09F64A7E">
            <w:pPr>
              <w:spacing w:line="360" w:lineRule="auto"/>
              <w:jc w:val="center"/>
              <w:rPr>
                <w:rFonts w:ascii="宋体"/>
                <w:color w:val="auto"/>
                <w:sz w:val="24"/>
                <w:szCs w:val="24"/>
                <w:highlight w:val="none"/>
              </w:rPr>
            </w:pPr>
            <w:r>
              <w:rPr>
                <w:rFonts w:hint="eastAsia" w:ascii="宋体"/>
                <w:color w:val="auto"/>
                <w:sz w:val="24"/>
                <w:szCs w:val="24"/>
                <w:highlight w:val="none"/>
              </w:rPr>
              <w:t>8</w:t>
            </w:r>
          </w:p>
        </w:tc>
        <w:tc>
          <w:tcPr>
            <w:tcW w:w="482" w:type="dxa"/>
            <w:tcBorders>
              <w:top w:val="single" w:color="auto" w:sz="4" w:space="0"/>
              <w:left w:val="single" w:color="auto" w:sz="4" w:space="0"/>
              <w:bottom w:val="single" w:color="auto" w:sz="4" w:space="0"/>
              <w:right w:val="single" w:color="auto" w:sz="4" w:space="0"/>
            </w:tcBorders>
            <w:noWrap/>
            <w:vAlign w:val="center"/>
          </w:tcPr>
          <w:p w14:paraId="76C881F1">
            <w:pPr>
              <w:spacing w:line="360" w:lineRule="auto"/>
              <w:jc w:val="center"/>
              <w:rPr>
                <w:rFonts w:ascii="宋体"/>
                <w:b/>
                <w:color w:val="auto"/>
                <w:sz w:val="24"/>
                <w:szCs w:val="24"/>
                <w:highlight w:val="none"/>
              </w:rPr>
            </w:pPr>
            <w:r>
              <w:rPr>
                <w:rFonts w:hint="eastAsia" w:ascii="宋体"/>
                <w:b/>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0135FBEE">
            <w:pPr>
              <w:spacing w:line="360" w:lineRule="auto"/>
              <w:jc w:val="center"/>
              <w:rPr>
                <w:rFonts w:ascii="宋体"/>
                <w:color w:val="auto"/>
                <w:sz w:val="24"/>
                <w:szCs w:val="24"/>
                <w:highlight w:val="none"/>
              </w:rPr>
            </w:pPr>
            <w:r>
              <w:rPr>
                <w:rFonts w:hint="eastAsia" w:ascii="宋体"/>
                <w:color w:val="auto"/>
                <w:sz w:val="24"/>
                <w:szCs w:val="24"/>
                <w:highlight w:val="none"/>
              </w:rPr>
              <w:t>20</w:t>
            </w:r>
          </w:p>
        </w:tc>
        <w:tc>
          <w:tcPr>
            <w:tcW w:w="8510" w:type="dxa"/>
            <w:tcBorders>
              <w:top w:val="single" w:color="auto" w:sz="4" w:space="0"/>
              <w:left w:val="single" w:color="auto" w:sz="4" w:space="0"/>
              <w:bottom w:val="single" w:color="auto" w:sz="4" w:space="0"/>
              <w:right w:val="single" w:color="auto" w:sz="4" w:space="0"/>
            </w:tcBorders>
            <w:noWrap/>
            <w:vAlign w:val="center"/>
          </w:tcPr>
          <w:p w14:paraId="66F2C814">
            <w:pPr>
              <w:spacing w:line="360" w:lineRule="auto"/>
              <w:rPr>
                <w:rFonts w:ascii="宋体"/>
                <w:bCs/>
                <w:color w:val="auto"/>
                <w:sz w:val="24"/>
                <w:szCs w:val="24"/>
                <w:highlight w:val="none"/>
              </w:rPr>
            </w:pPr>
            <w:r>
              <w:rPr>
                <w:rFonts w:hint="eastAsia" w:ascii="宋体"/>
                <w:b/>
                <w:bCs/>
                <w:color w:val="auto"/>
                <w:sz w:val="24"/>
                <w:szCs w:val="24"/>
                <w:highlight w:val="none"/>
              </w:rPr>
              <w:t>若投标人的报价明显低于其他有效报价，有可能影响产品质量或不能诚信履约的，投标人应按评标委员会要求作出说明并提供相关证明材料，不能合理说明或不能提供相关证明材料的，应当作无效投标处理。</w:t>
            </w:r>
          </w:p>
        </w:tc>
      </w:tr>
      <w:tr w14:paraId="43B5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17C8BD35">
            <w:pPr>
              <w:spacing w:line="360" w:lineRule="auto"/>
              <w:jc w:val="center"/>
              <w:rPr>
                <w:rFonts w:ascii="宋体"/>
                <w:color w:val="auto"/>
                <w:sz w:val="24"/>
                <w:szCs w:val="24"/>
                <w:highlight w:val="none"/>
              </w:rPr>
            </w:pPr>
            <w:r>
              <w:rPr>
                <w:rFonts w:hint="eastAsia" w:ascii="宋体"/>
                <w:color w:val="auto"/>
                <w:sz w:val="24"/>
                <w:szCs w:val="24"/>
                <w:highlight w:val="none"/>
              </w:rPr>
              <w:t>9</w:t>
            </w:r>
          </w:p>
        </w:tc>
        <w:tc>
          <w:tcPr>
            <w:tcW w:w="482" w:type="dxa"/>
            <w:tcBorders>
              <w:top w:val="single" w:color="auto" w:sz="4" w:space="0"/>
              <w:left w:val="single" w:color="auto" w:sz="4" w:space="0"/>
              <w:bottom w:val="single" w:color="auto" w:sz="4" w:space="0"/>
              <w:right w:val="single" w:color="auto" w:sz="4" w:space="0"/>
            </w:tcBorders>
            <w:noWrap/>
            <w:vAlign w:val="center"/>
          </w:tcPr>
          <w:p w14:paraId="51C33322">
            <w:pPr>
              <w:spacing w:line="360" w:lineRule="auto"/>
              <w:jc w:val="center"/>
              <w:rPr>
                <w:rFonts w:ascii="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ign w:val="center"/>
          </w:tcPr>
          <w:p w14:paraId="45C1EDAD">
            <w:pPr>
              <w:spacing w:line="360" w:lineRule="auto"/>
              <w:jc w:val="center"/>
              <w:rPr>
                <w:rFonts w:ascii="宋体"/>
                <w:color w:val="auto"/>
                <w:sz w:val="24"/>
                <w:szCs w:val="24"/>
                <w:highlight w:val="none"/>
              </w:rPr>
            </w:pPr>
          </w:p>
        </w:tc>
        <w:tc>
          <w:tcPr>
            <w:tcW w:w="8510" w:type="dxa"/>
            <w:tcBorders>
              <w:top w:val="single" w:color="auto" w:sz="4" w:space="0"/>
              <w:left w:val="single" w:color="auto" w:sz="4" w:space="0"/>
              <w:bottom w:val="single" w:color="auto" w:sz="4" w:space="0"/>
              <w:right w:val="single" w:color="auto" w:sz="4" w:space="0"/>
            </w:tcBorders>
            <w:noWrap/>
            <w:vAlign w:val="center"/>
          </w:tcPr>
          <w:p w14:paraId="097DC156">
            <w:pPr>
              <w:spacing w:line="360" w:lineRule="auto"/>
              <w:rPr>
                <w:rFonts w:ascii="宋体"/>
                <w:color w:val="auto"/>
                <w:sz w:val="24"/>
                <w:szCs w:val="24"/>
                <w:highlight w:val="none"/>
              </w:rPr>
            </w:pPr>
            <w:r>
              <w:rPr>
                <w:rFonts w:hint="eastAsia" w:ascii="宋体"/>
                <w:color w:val="auto"/>
                <w:sz w:val="24"/>
                <w:szCs w:val="24"/>
                <w:highlight w:val="none"/>
              </w:rPr>
              <w:t>投标人不得干扰采购代理机构组织评标活动，否则将其作无效投标处理。</w:t>
            </w:r>
          </w:p>
        </w:tc>
      </w:tr>
      <w:tr w14:paraId="2AE6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57D8C95C">
            <w:pPr>
              <w:spacing w:line="360" w:lineRule="auto"/>
              <w:jc w:val="center"/>
              <w:rPr>
                <w:rFonts w:ascii="宋体"/>
                <w:color w:val="auto"/>
                <w:sz w:val="24"/>
                <w:szCs w:val="24"/>
                <w:highlight w:val="none"/>
              </w:rPr>
            </w:pPr>
            <w:r>
              <w:rPr>
                <w:rFonts w:hint="eastAsia" w:ascii="宋体"/>
                <w:color w:val="auto"/>
                <w:sz w:val="24"/>
                <w:szCs w:val="24"/>
                <w:highlight w:val="none"/>
              </w:rPr>
              <w:t>10</w:t>
            </w:r>
          </w:p>
        </w:tc>
        <w:tc>
          <w:tcPr>
            <w:tcW w:w="482" w:type="dxa"/>
            <w:tcBorders>
              <w:top w:val="single" w:color="auto" w:sz="4" w:space="0"/>
              <w:left w:val="single" w:color="auto" w:sz="4" w:space="0"/>
              <w:bottom w:val="single" w:color="auto" w:sz="4" w:space="0"/>
              <w:right w:val="single" w:color="auto" w:sz="4" w:space="0"/>
            </w:tcBorders>
            <w:noWrap/>
            <w:vAlign w:val="center"/>
          </w:tcPr>
          <w:p w14:paraId="44445F64">
            <w:pPr>
              <w:spacing w:line="360" w:lineRule="auto"/>
              <w:jc w:val="center"/>
              <w:rPr>
                <w:rFonts w:ascii="宋体"/>
                <w:color w:val="auto"/>
                <w:sz w:val="24"/>
                <w:szCs w:val="24"/>
                <w:highlight w:val="none"/>
              </w:rPr>
            </w:pPr>
            <w:r>
              <w:rPr>
                <w:rFonts w:hint="eastAsia" w:ascii="宋体"/>
                <w:color w:val="auto"/>
                <w:sz w:val="24"/>
                <w:szCs w:val="24"/>
                <w:highlight w:val="none"/>
              </w:rPr>
              <w:t>二</w:t>
            </w:r>
          </w:p>
        </w:tc>
        <w:tc>
          <w:tcPr>
            <w:tcW w:w="936" w:type="dxa"/>
            <w:tcBorders>
              <w:top w:val="single" w:color="auto" w:sz="4" w:space="0"/>
              <w:left w:val="single" w:color="auto" w:sz="4" w:space="0"/>
              <w:bottom w:val="single" w:color="auto" w:sz="4" w:space="0"/>
              <w:right w:val="single" w:color="auto" w:sz="4" w:space="0"/>
            </w:tcBorders>
            <w:noWrap/>
            <w:vAlign w:val="center"/>
          </w:tcPr>
          <w:p w14:paraId="3DBEDF1A">
            <w:pPr>
              <w:spacing w:line="360" w:lineRule="auto"/>
              <w:jc w:val="center"/>
              <w:rPr>
                <w:rFonts w:ascii="宋体"/>
                <w:color w:val="auto"/>
                <w:sz w:val="24"/>
                <w:szCs w:val="24"/>
                <w:highlight w:val="none"/>
              </w:rPr>
            </w:pPr>
            <w:r>
              <w:rPr>
                <w:rFonts w:hint="eastAsia" w:ascii="宋体"/>
                <w:color w:val="auto"/>
                <w:sz w:val="24"/>
                <w:szCs w:val="24"/>
                <w:highlight w:val="none"/>
              </w:rPr>
              <w:t>22</w:t>
            </w:r>
          </w:p>
        </w:tc>
        <w:tc>
          <w:tcPr>
            <w:tcW w:w="8510" w:type="dxa"/>
            <w:tcBorders>
              <w:top w:val="single" w:color="auto" w:sz="4" w:space="0"/>
              <w:left w:val="single" w:color="auto" w:sz="4" w:space="0"/>
              <w:bottom w:val="single" w:color="auto" w:sz="4" w:space="0"/>
              <w:right w:val="single" w:color="auto" w:sz="4" w:space="0"/>
            </w:tcBorders>
            <w:noWrap/>
            <w:vAlign w:val="center"/>
          </w:tcPr>
          <w:p w14:paraId="1C913481">
            <w:pPr>
              <w:spacing w:line="360" w:lineRule="auto"/>
              <w:rPr>
                <w:rFonts w:ascii="宋体"/>
                <w:color w:val="auto"/>
                <w:sz w:val="24"/>
                <w:szCs w:val="24"/>
                <w:highlight w:val="none"/>
              </w:rPr>
            </w:pPr>
            <w:r>
              <w:rPr>
                <w:rFonts w:hint="eastAsia" w:ascii="宋体"/>
                <w:color w:val="auto"/>
                <w:sz w:val="24"/>
                <w:szCs w:val="24"/>
                <w:highlight w:val="none"/>
              </w:rPr>
              <w:t>在招标采购中，出现下列情形之一的，本项目将作为废标处理：</w:t>
            </w:r>
          </w:p>
          <w:p w14:paraId="4DA1AC22">
            <w:pPr>
              <w:spacing w:line="360" w:lineRule="auto"/>
              <w:rPr>
                <w:rFonts w:ascii="宋体"/>
                <w:color w:val="auto"/>
                <w:sz w:val="24"/>
                <w:szCs w:val="24"/>
                <w:highlight w:val="none"/>
              </w:rPr>
            </w:pPr>
            <w:r>
              <w:rPr>
                <w:rFonts w:hint="eastAsia" w:ascii="宋体"/>
                <w:color w:val="auto"/>
                <w:sz w:val="24"/>
                <w:szCs w:val="24"/>
                <w:highlight w:val="none"/>
              </w:rPr>
              <w:t>（1）符合专业条件的供应商或者对招标文件作实质性响应的供应商不足三家的；</w:t>
            </w:r>
          </w:p>
          <w:p w14:paraId="179C5E09">
            <w:pPr>
              <w:spacing w:line="360" w:lineRule="auto"/>
              <w:rPr>
                <w:rFonts w:ascii="宋体"/>
                <w:color w:val="auto"/>
                <w:sz w:val="24"/>
                <w:szCs w:val="24"/>
                <w:highlight w:val="none"/>
              </w:rPr>
            </w:pPr>
            <w:r>
              <w:rPr>
                <w:rFonts w:hint="eastAsia" w:ascii="宋体"/>
                <w:color w:val="auto"/>
                <w:sz w:val="24"/>
                <w:szCs w:val="24"/>
                <w:highlight w:val="none"/>
              </w:rPr>
              <w:t>（2）出现影响采购公正的违法、违规行为的；</w:t>
            </w:r>
          </w:p>
          <w:p w14:paraId="1848D154">
            <w:pPr>
              <w:spacing w:line="360" w:lineRule="auto"/>
              <w:rPr>
                <w:rFonts w:ascii="宋体"/>
                <w:color w:val="auto"/>
                <w:sz w:val="24"/>
                <w:szCs w:val="24"/>
                <w:highlight w:val="none"/>
              </w:rPr>
            </w:pPr>
            <w:r>
              <w:rPr>
                <w:rFonts w:hint="eastAsia" w:ascii="宋体"/>
                <w:color w:val="auto"/>
                <w:sz w:val="24"/>
                <w:szCs w:val="24"/>
                <w:highlight w:val="none"/>
              </w:rPr>
              <w:t>（3）投标人的报价均超过了采购预算价，采购人不能支付的；</w:t>
            </w:r>
          </w:p>
          <w:p w14:paraId="1F1611CB">
            <w:pPr>
              <w:spacing w:line="360" w:lineRule="auto"/>
              <w:rPr>
                <w:rFonts w:ascii="宋体"/>
                <w:color w:val="auto"/>
                <w:sz w:val="24"/>
                <w:szCs w:val="24"/>
                <w:highlight w:val="none"/>
              </w:rPr>
            </w:pPr>
            <w:r>
              <w:rPr>
                <w:rFonts w:hint="eastAsia" w:ascii="宋体"/>
                <w:color w:val="auto"/>
                <w:sz w:val="24"/>
                <w:szCs w:val="24"/>
                <w:highlight w:val="none"/>
              </w:rPr>
              <w:t>（4）因重大变故，采购任务取消的。</w:t>
            </w:r>
          </w:p>
          <w:p w14:paraId="3ACB7E34">
            <w:pPr>
              <w:spacing w:line="360" w:lineRule="auto"/>
              <w:rPr>
                <w:rFonts w:ascii="宋体"/>
                <w:color w:val="auto"/>
                <w:sz w:val="24"/>
                <w:szCs w:val="24"/>
                <w:highlight w:val="none"/>
              </w:rPr>
            </w:pPr>
            <w:r>
              <w:rPr>
                <w:rFonts w:hint="eastAsia" w:ascii="宋体"/>
                <w:color w:val="auto"/>
                <w:sz w:val="24"/>
                <w:szCs w:val="24"/>
                <w:highlight w:val="none"/>
              </w:rPr>
              <w:t>除采购任务取消情形外，招标采购单位将依法重新组织招标或者采取其他方式采购。</w:t>
            </w:r>
          </w:p>
        </w:tc>
      </w:tr>
      <w:tr w14:paraId="6981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gridSpan w:val="2"/>
            <w:tcBorders>
              <w:top w:val="single" w:color="auto" w:sz="4" w:space="0"/>
              <w:left w:val="single" w:color="auto" w:sz="4" w:space="0"/>
              <w:bottom w:val="single" w:color="auto" w:sz="4" w:space="0"/>
              <w:right w:val="single" w:color="auto" w:sz="4" w:space="0"/>
            </w:tcBorders>
            <w:noWrap/>
            <w:vAlign w:val="center"/>
          </w:tcPr>
          <w:p w14:paraId="5F65F829">
            <w:pPr>
              <w:spacing w:line="360" w:lineRule="auto"/>
              <w:jc w:val="center"/>
              <w:rPr>
                <w:rFonts w:ascii="宋体"/>
                <w:color w:val="auto"/>
                <w:sz w:val="24"/>
                <w:szCs w:val="24"/>
                <w:highlight w:val="none"/>
              </w:rPr>
            </w:pPr>
            <w:bookmarkStart w:id="30" w:name="_Toc8771"/>
            <w:bookmarkStart w:id="31" w:name="_Toc531742151"/>
            <w:r>
              <w:rPr>
                <w:rFonts w:hint="eastAsia" w:ascii="宋体"/>
                <w:color w:val="auto"/>
                <w:sz w:val="24"/>
                <w:szCs w:val="24"/>
                <w:highlight w:val="none"/>
              </w:rPr>
              <w:t>序号</w:t>
            </w:r>
          </w:p>
        </w:tc>
        <w:tc>
          <w:tcPr>
            <w:tcW w:w="9446" w:type="dxa"/>
            <w:gridSpan w:val="2"/>
            <w:tcBorders>
              <w:top w:val="single" w:color="auto" w:sz="4" w:space="0"/>
              <w:left w:val="single" w:color="auto" w:sz="4" w:space="0"/>
              <w:bottom w:val="single" w:color="auto" w:sz="4" w:space="0"/>
              <w:right w:val="single" w:color="auto" w:sz="4" w:space="0"/>
            </w:tcBorders>
            <w:noWrap/>
            <w:vAlign w:val="center"/>
          </w:tcPr>
          <w:p w14:paraId="124BF0CA">
            <w:pPr>
              <w:spacing w:line="360" w:lineRule="auto"/>
              <w:jc w:val="center"/>
              <w:rPr>
                <w:rFonts w:ascii="宋体"/>
                <w:b/>
                <w:bCs/>
                <w:color w:val="auto"/>
                <w:sz w:val="24"/>
                <w:szCs w:val="24"/>
                <w:highlight w:val="none"/>
              </w:rPr>
            </w:pPr>
            <w:r>
              <w:rPr>
                <w:rFonts w:hint="eastAsia" w:ascii="宋体"/>
                <w:b/>
                <w:bCs/>
                <w:color w:val="auto"/>
                <w:sz w:val="24"/>
                <w:szCs w:val="24"/>
                <w:highlight w:val="none"/>
              </w:rPr>
              <w:t>带“★” 条款要求汇总</w:t>
            </w:r>
          </w:p>
        </w:tc>
      </w:tr>
      <w:tr w14:paraId="3665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gridSpan w:val="2"/>
            <w:tcBorders>
              <w:top w:val="single" w:color="auto" w:sz="4" w:space="0"/>
              <w:left w:val="single" w:color="auto" w:sz="4" w:space="0"/>
              <w:bottom w:val="single" w:color="auto" w:sz="4" w:space="0"/>
              <w:right w:val="single" w:color="auto" w:sz="4" w:space="0"/>
            </w:tcBorders>
            <w:noWrap/>
            <w:vAlign w:val="center"/>
          </w:tcPr>
          <w:p w14:paraId="27D28E3D">
            <w:pPr>
              <w:pStyle w:val="24"/>
              <w:widowControl/>
              <w:spacing w:before="0" w:beforeAutospacing="0" w:after="0" w:afterAutospacing="0" w:line="360" w:lineRule="auto"/>
              <w:jc w:val="center"/>
              <w:rPr>
                <w:rFonts w:ascii="宋体"/>
                <w:color w:val="auto"/>
                <w:highlight w:val="none"/>
              </w:rPr>
            </w:pPr>
            <w:r>
              <w:rPr>
                <w:rFonts w:hint="eastAsia" w:ascii="宋体"/>
                <w:color w:val="auto"/>
                <w:highlight w:val="none"/>
              </w:rPr>
              <w:t>一</w:t>
            </w:r>
          </w:p>
        </w:tc>
        <w:tc>
          <w:tcPr>
            <w:tcW w:w="9446" w:type="dxa"/>
            <w:gridSpan w:val="2"/>
            <w:tcBorders>
              <w:top w:val="single" w:color="auto" w:sz="4" w:space="0"/>
              <w:left w:val="single" w:color="auto" w:sz="4" w:space="0"/>
              <w:bottom w:val="single" w:color="auto" w:sz="4" w:space="0"/>
              <w:right w:val="single" w:color="auto" w:sz="4" w:space="0"/>
            </w:tcBorders>
            <w:noWrap/>
            <w:vAlign w:val="center"/>
          </w:tcPr>
          <w:p w14:paraId="38311041">
            <w:pPr>
              <w:widowControl/>
              <w:adjustRightInd w:val="0"/>
              <w:jc w:val="left"/>
              <w:rPr>
                <w:rFonts w:hint="eastAsia" w:ascii="宋体" w:hAnsi="宋体" w:cs="宋体"/>
                <w:color w:val="auto"/>
                <w:sz w:val="24"/>
                <w:szCs w:val="24"/>
                <w:highlight w:val="none"/>
              </w:rPr>
            </w:pPr>
            <w:r>
              <w:rPr>
                <w:rFonts w:hint="eastAsia" w:ascii="宋体" w:cs="宋体"/>
                <w:b/>
                <w:bCs/>
                <w:color w:val="auto"/>
                <w:sz w:val="24"/>
                <w:szCs w:val="24"/>
                <w:highlight w:val="none"/>
              </w:rPr>
              <w:t>★2.本批招标货物要求投标人提供原厂商的售后服务，要求最短质保期壹年，终身维护。（投标人需提供专项承诺函）</w:t>
            </w:r>
          </w:p>
        </w:tc>
      </w:tr>
      <w:tr w14:paraId="3204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gridSpan w:val="2"/>
            <w:tcBorders>
              <w:top w:val="single" w:color="auto" w:sz="4" w:space="0"/>
              <w:left w:val="single" w:color="auto" w:sz="4" w:space="0"/>
              <w:bottom w:val="single" w:color="auto" w:sz="4" w:space="0"/>
              <w:right w:val="single" w:color="auto" w:sz="4" w:space="0"/>
            </w:tcBorders>
            <w:noWrap/>
            <w:vAlign w:val="center"/>
          </w:tcPr>
          <w:p w14:paraId="1665176E">
            <w:pPr>
              <w:pStyle w:val="24"/>
              <w:widowControl/>
              <w:spacing w:before="0" w:beforeAutospacing="0" w:after="0" w:afterAutospacing="0" w:line="360" w:lineRule="auto"/>
              <w:jc w:val="center"/>
              <w:rPr>
                <w:rFonts w:ascii="宋体"/>
                <w:color w:val="auto"/>
                <w:highlight w:val="none"/>
              </w:rPr>
            </w:pPr>
            <w:r>
              <w:rPr>
                <w:rFonts w:hint="eastAsia" w:ascii="宋体"/>
                <w:color w:val="auto"/>
                <w:highlight w:val="none"/>
              </w:rPr>
              <w:t>二</w:t>
            </w:r>
          </w:p>
        </w:tc>
        <w:tc>
          <w:tcPr>
            <w:tcW w:w="9446" w:type="dxa"/>
            <w:gridSpan w:val="2"/>
            <w:tcBorders>
              <w:top w:val="single" w:color="auto" w:sz="4" w:space="0"/>
              <w:left w:val="single" w:color="auto" w:sz="4" w:space="0"/>
              <w:bottom w:val="single" w:color="auto" w:sz="4" w:space="0"/>
              <w:right w:val="single" w:color="auto" w:sz="4" w:space="0"/>
            </w:tcBorders>
            <w:noWrap/>
            <w:vAlign w:val="center"/>
          </w:tcPr>
          <w:p w14:paraId="042A0A64">
            <w:pPr>
              <w:adjustRightInd w:val="0"/>
              <w:rPr>
                <w:rFonts w:hint="eastAsia" w:ascii="宋体" w:hAnsi="宋体" w:cs="宋体"/>
                <w:color w:val="auto"/>
                <w:sz w:val="24"/>
                <w:szCs w:val="24"/>
                <w:highlight w:val="none"/>
              </w:rPr>
            </w:pPr>
            <w:r>
              <w:rPr>
                <w:rFonts w:hint="eastAsia" w:ascii="宋体" w:cs="宋体"/>
                <w:b/>
                <w:bCs/>
                <w:color w:val="auto"/>
                <w:sz w:val="24"/>
                <w:szCs w:val="24"/>
                <w:highlight w:val="none"/>
              </w:rPr>
              <w:t>★2.投标人以人民币方式进行报价，投标总价包括但不限于：设备材料采购供应、安装、调试并经验收合格交付使用等所有可能发生的一切费用，包括采购保管、安装施工费、配件及辅助材料费、运输费、人工费、检验检测、设备调试、技术服务与培训、售后服务、税金、规费、验收费用等一切费用。一旦中标，采购人将不会对中标人总报价做出其它补偿。本次招标为交钥匙项目。（投标人需提供专项承诺函）</w:t>
            </w:r>
          </w:p>
        </w:tc>
      </w:tr>
      <w:tr w14:paraId="59F8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gridSpan w:val="2"/>
            <w:tcBorders>
              <w:top w:val="single" w:color="auto" w:sz="4" w:space="0"/>
              <w:left w:val="single" w:color="auto" w:sz="4" w:space="0"/>
              <w:bottom w:val="single" w:color="auto" w:sz="4" w:space="0"/>
              <w:right w:val="single" w:color="auto" w:sz="4" w:space="0"/>
            </w:tcBorders>
            <w:noWrap/>
            <w:vAlign w:val="center"/>
          </w:tcPr>
          <w:p w14:paraId="3D37E79D">
            <w:pPr>
              <w:pStyle w:val="24"/>
              <w:widowControl/>
              <w:spacing w:before="0" w:beforeAutospacing="0" w:after="0" w:afterAutospacing="0" w:line="360" w:lineRule="auto"/>
              <w:jc w:val="center"/>
              <w:rPr>
                <w:rFonts w:ascii="宋体"/>
                <w:color w:val="auto"/>
                <w:highlight w:val="none"/>
              </w:rPr>
            </w:pPr>
            <w:r>
              <w:rPr>
                <w:rFonts w:hint="eastAsia" w:ascii="宋体"/>
                <w:color w:val="auto"/>
                <w:highlight w:val="none"/>
              </w:rPr>
              <w:t>三</w:t>
            </w:r>
          </w:p>
        </w:tc>
        <w:tc>
          <w:tcPr>
            <w:tcW w:w="9446" w:type="dxa"/>
            <w:gridSpan w:val="2"/>
            <w:tcBorders>
              <w:top w:val="single" w:color="auto" w:sz="4" w:space="0"/>
              <w:left w:val="single" w:color="auto" w:sz="4" w:space="0"/>
              <w:bottom w:val="single" w:color="auto" w:sz="4" w:space="0"/>
              <w:right w:val="single" w:color="auto" w:sz="4" w:space="0"/>
            </w:tcBorders>
            <w:noWrap/>
            <w:vAlign w:val="center"/>
          </w:tcPr>
          <w:p w14:paraId="4360CF7D">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从中华人民共和国境外提供的货物投标报价，需按人民币包干报价。总包干报价应当包含所采购设备的出厂价、境外出口及运输费、保险费、外贸进口环节相关费用（外贸进口环节相关费用包含但不限于进口代理服务费、银行费、报关费用、商检费用、海关仓储费用、港杂费用、港口至采购人目的现场运保费、申请免税及办理各项证书等费用），货物增值税和关税除外（若有）。</w:t>
            </w:r>
          </w:p>
          <w:p w14:paraId="33A85285">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3.1厦门大学将委托指定进口外贸代理公司代为进口货物，中标人需向进口外贸代理公司支付外贸进口环节相关费用。该相关费用可按“厦门大学外贸代理公司外贸进口环节相关费用收费标准” 中列明的固定比例估算。</w:t>
            </w:r>
          </w:p>
          <w:p w14:paraId="58D224D1">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注：厦门大学可委托的外贸公司为：厦门建发高科有限公司、厦门联信诚有限公司、厦门外图进出口有限公司、赛尔网络有限公司、国药集团福建医学检验有限公司，由厦门大学根据具体情况委托指定其中一家公司代理进口。</w:t>
            </w:r>
          </w:p>
          <w:p w14:paraId="4ED51598">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3.2厦门大学外贸代理公司外贸进口环节相关费用收费标准：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3321"/>
            </w:tblGrid>
            <w:tr w14:paraId="72EF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445779AA">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设备金额（人民币）</w:t>
                  </w:r>
                </w:p>
              </w:tc>
              <w:tc>
                <w:tcPr>
                  <w:tcW w:w="3321" w:type="dxa"/>
                </w:tcPr>
                <w:p w14:paraId="39543300">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费率（%）</w:t>
                  </w:r>
                </w:p>
              </w:tc>
            </w:tr>
            <w:tr w14:paraId="4A3C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593D7A0E">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40万以下</w:t>
                  </w:r>
                </w:p>
              </w:tc>
              <w:tc>
                <w:tcPr>
                  <w:tcW w:w="3321" w:type="dxa"/>
                </w:tcPr>
                <w:p w14:paraId="6F58355B">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4500元/单</w:t>
                  </w:r>
                </w:p>
              </w:tc>
            </w:tr>
            <w:tr w14:paraId="6A8B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11CBE291">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40万（含）-100万</w:t>
                  </w:r>
                </w:p>
              </w:tc>
              <w:tc>
                <w:tcPr>
                  <w:tcW w:w="3321" w:type="dxa"/>
                </w:tcPr>
                <w:p w14:paraId="673B95E4">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w:t>
                  </w:r>
                </w:p>
              </w:tc>
            </w:tr>
            <w:tr w14:paraId="6250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29684B19">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100万（含）-500万</w:t>
                  </w:r>
                </w:p>
              </w:tc>
              <w:tc>
                <w:tcPr>
                  <w:tcW w:w="3321" w:type="dxa"/>
                </w:tcPr>
                <w:p w14:paraId="3CD20EA0">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1%，不超过30000元</w:t>
                  </w:r>
                </w:p>
              </w:tc>
            </w:tr>
            <w:tr w14:paraId="26AC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390E9D35">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500万（含）-1000万</w:t>
                  </w:r>
                </w:p>
              </w:tc>
              <w:tc>
                <w:tcPr>
                  <w:tcW w:w="3321" w:type="dxa"/>
                </w:tcPr>
                <w:p w14:paraId="6DB0E514">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0.6%，不超过50000元</w:t>
                  </w:r>
                </w:p>
              </w:tc>
            </w:tr>
            <w:tr w14:paraId="407B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58F5CDEF">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1000（含）万以上</w:t>
                  </w:r>
                </w:p>
              </w:tc>
              <w:tc>
                <w:tcPr>
                  <w:tcW w:w="3321" w:type="dxa"/>
                </w:tcPr>
                <w:p w14:paraId="73CBAC93">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0.4%，不超过80000元</w:t>
                  </w:r>
                </w:p>
              </w:tc>
            </w:tr>
          </w:tbl>
          <w:p w14:paraId="02BF778D">
            <w:pPr>
              <w:widowControl/>
              <w:jc w:val="left"/>
              <w:textAlignment w:val="center"/>
              <w:rPr>
                <w:rFonts w:hint="eastAsia" w:ascii="宋体" w:hAnsi="宋体" w:cs="宋体"/>
                <w:color w:val="auto"/>
                <w:sz w:val="24"/>
                <w:szCs w:val="24"/>
                <w:highlight w:val="none"/>
              </w:rPr>
            </w:pPr>
            <w:r>
              <w:rPr>
                <w:rFonts w:hint="eastAsia" w:ascii="宋体" w:cs="宋体"/>
                <w:b/>
                <w:bCs/>
                <w:color w:val="auto"/>
                <w:sz w:val="24"/>
                <w:szCs w:val="24"/>
                <w:highlight w:val="none"/>
              </w:rPr>
              <w:t>（上述内容投标人需提供专项承诺函）</w:t>
            </w:r>
          </w:p>
        </w:tc>
      </w:tr>
      <w:tr w14:paraId="6B32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gridSpan w:val="2"/>
            <w:tcBorders>
              <w:top w:val="single" w:color="auto" w:sz="4" w:space="0"/>
              <w:left w:val="single" w:color="auto" w:sz="4" w:space="0"/>
              <w:bottom w:val="single" w:color="auto" w:sz="4" w:space="0"/>
              <w:right w:val="single" w:color="auto" w:sz="4" w:space="0"/>
            </w:tcBorders>
            <w:noWrap/>
            <w:vAlign w:val="center"/>
          </w:tcPr>
          <w:p w14:paraId="60695A99">
            <w:pPr>
              <w:pStyle w:val="24"/>
              <w:widowControl/>
              <w:spacing w:before="0" w:beforeAutospacing="0" w:after="0" w:afterAutospacing="0" w:line="360" w:lineRule="auto"/>
              <w:jc w:val="center"/>
              <w:rPr>
                <w:rFonts w:ascii="宋体"/>
                <w:color w:val="auto"/>
                <w:highlight w:val="none"/>
              </w:rPr>
            </w:pPr>
            <w:r>
              <w:rPr>
                <w:rFonts w:hint="eastAsia" w:ascii="宋体"/>
                <w:color w:val="auto"/>
                <w:highlight w:val="none"/>
              </w:rPr>
              <w:t>四</w:t>
            </w:r>
          </w:p>
        </w:tc>
        <w:tc>
          <w:tcPr>
            <w:tcW w:w="9446" w:type="dxa"/>
            <w:gridSpan w:val="2"/>
            <w:tcBorders>
              <w:top w:val="single" w:color="auto" w:sz="4" w:space="0"/>
              <w:left w:val="single" w:color="auto" w:sz="4" w:space="0"/>
              <w:bottom w:val="single" w:color="auto" w:sz="4" w:space="0"/>
              <w:right w:val="single" w:color="auto" w:sz="4" w:space="0"/>
            </w:tcBorders>
            <w:noWrap/>
            <w:vAlign w:val="center"/>
          </w:tcPr>
          <w:p w14:paraId="43879BE2">
            <w:pPr>
              <w:spacing w:line="360" w:lineRule="auto"/>
              <w:jc w:val="left"/>
              <w:rPr>
                <w:rFonts w:hint="eastAsia" w:ascii="宋体" w:hAnsi="宋体" w:cs="宋体"/>
                <w:color w:val="auto"/>
                <w:sz w:val="24"/>
                <w:szCs w:val="24"/>
                <w:highlight w:val="none"/>
              </w:rPr>
            </w:pPr>
            <w:r>
              <w:rPr>
                <w:rFonts w:hint="eastAsia" w:ascii="宋体" w:cs="宋体"/>
                <w:b/>
                <w:bCs/>
                <w:color w:val="auto"/>
                <w:kern w:val="0"/>
                <w:sz w:val="24"/>
                <w:szCs w:val="24"/>
                <w:highlight w:val="none"/>
              </w:rPr>
              <w:t>★1.从中华人民共和国境内提供的货物：签订合同后预付合同总价的50%，全部货物终验合格且付款条件完备后30个工作日内支付合同总价的50%货款。</w:t>
            </w:r>
          </w:p>
        </w:tc>
      </w:tr>
      <w:tr w14:paraId="79D7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gridSpan w:val="2"/>
            <w:tcBorders>
              <w:top w:val="single" w:color="auto" w:sz="4" w:space="0"/>
              <w:left w:val="single" w:color="auto" w:sz="4" w:space="0"/>
              <w:bottom w:val="single" w:color="auto" w:sz="4" w:space="0"/>
              <w:right w:val="single" w:color="auto" w:sz="4" w:space="0"/>
            </w:tcBorders>
            <w:noWrap/>
            <w:vAlign w:val="center"/>
          </w:tcPr>
          <w:p w14:paraId="790C1395">
            <w:pPr>
              <w:pStyle w:val="24"/>
              <w:widowControl/>
              <w:spacing w:before="0" w:beforeAutospacing="0" w:after="0" w:afterAutospacing="0" w:line="360" w:lineRule="auto"/>
              <w:jc w:val="center"/>
              <w:rPr>
                <w:rFonts w:ascii="宋体"/>
                <w:color w:val="auto"/>
                <w:highlight w:val="none"/>
              </w:rPr>
            </w:pPr>
            <w:r>
              <w:rPr>
                <w:rFonts w:hint="eastAsia" w:ascii="宋体"/>
                <w:color w:val="auto"/>
                <w:highlight w:val="none"/>
              </w:rPr>
              <w:t>五</w:t>
            </w:r>
          </w:p>
        </w:tc>
        <w:tc>
          <w:tcPr>
            <w:tcW w:w="9446" w:type="dxa"/>
            <w:gridSpan w:val="2"/>
            <w:tcBorders>
              <w:top w:val="single" w:color="auto" w:sz="4" w:space="0"/>
              <w:left w:val="single" w:color="auto" w:sz="4" w:space="0"/>
              <w:bottom w:val="single" w:color="auto" w:sz="4" w:space="0"/>
              <w:right w:val="single" w:color="auto" w:sz="4" w:space="0"/>
            </w:tcBorders>
            <w:noWrap/>
            <w:vAlign w:val="center"/>
          </w:tcPr>
          <w:p w14:paraId="7C415708">
            <w:pPr>
              <w:jc w:val="left"/>
              <w:rPr>
                <w:rFonts w:hint="eastAsia" w:ascii="宋体" w:hAnsi="宋体" w:cs="宋体"/>
                <w:color w:val="auto"/>
                <w:sz w:val="24"/>
                <w:szCs w:val="24"/>
                <w:highlight w:val="none"/>
              </w:rPr>
            </w:pPr>
            <w:r>
              <w:rPr>
                <w:rFonts w:hint="eastAsia" w:ascii="宋体" w:cs="宋体"/>
                <w:b/>
                <w:bCs/>
                <w:color w:val="auto"/>
                <w:kern w:val="0"/>
                <w:sz w:val="24"/>
                <w:szCs w:val="24"/>
                <w:highlight w:val="none"/>
              </w:rPr>
              <w:t>★2.从中华人民共和国境外提供的货物：100%不可撤销信用证，80%见单即付，20%验收合格后付。</w:t>
            </w:r>
          </w:p>
        </w:tc>
      </w:tr>
    </w:tbl>
    <w:p w14:paraId="329C3EA8">
      <w:pPr>
        <w:keepLines/>
        <w:pageBreakBefore/>
        <w:spacing w:line="360" w:lineRule="auto"/>
        <w:jc w:val="center"/>
        <w:outlineLvl w:val="1"/>
        <w:rPr>
          <w:rFonts w:ascii="宋体"/>
          <w:b/>
          <w:color w:val="auto"/>
          <w:sz w:val="28"/>
          <w:szCs w:val="28"/>
          <w:highlight w:val="none"/>
        </w:rPr>
      </w:pPr>
      <w:bookmarkStart w:id="32" w:name="_Toc32149"/>
      <w:r>
        <w:rPr>
          <w:rFonts w:hint="eastAsia" w:ascii="宋体"/>
          <w:b/>
          <w:color w:val="auto"/>
          <w:sz w:val="28"/>
          <w:szCs w:val="28"/>
          <w:highlight w:val="none"/>
        </w:rPr>
        <w:t>投标人须知前附表3：评标方法、评标标准、定标原则</w:t>
      </w:r>
      <w:bookmarkEnd w:id="30"/>
      <w:bookmarkEnd w:id="31"/>
      <w:bookmarkEnd w:id="32"/>
    </w:p>
    <w:tbl>
      <w:tblPr>
        <w:tblStyle w:val="28"/>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8"/>
      </w:tblGrid>
      <w:tr w14:paraId="49BC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5" w:type="dxa"/>
            <w:tcBorders>
              <w:top w:val="single" w:color="auto" w:sz="4" w:space="0"/>
              <w:left w:val="single" w:color="auto" w:sz="4" w:space="0"/>
              <w:bottom w:val="single" w:color="auto" w:sz="4" w:space="0"/>
              <w:right w:val="single" w:color="auto" w:sz="4" w:space="0"/>
            </w:tcBorders>
            <w:noWrap/>
          </w:tcPr>
          <w:p w14:paraId="4E0A93F9">
            <w:pPr>
              <w:numPr>
                <w:ilvl w:val="0"/>
                <w:numId w:val="3"/>
              </w:numPr>
              <w:snapToGrid w:val="0"/>
              <w:spacing w:line="360" w:lineRule="auto"/>
              <w:rPr>
                <w:rFonts w:ascii="宋体"/>
                <w:color w:val="auto"/>
                <w:sz w:val="24"/>
                <w:szCs w:val="24"/>
                <w:highlight w:val="none"/>
              </w:rPr>
            </w:pPr>
            <w:bookmarkStart w:id="33" w:name="_Toc3251"/>
            <w:bookmarkStart w:id="34" w:name="_Toc22118"/>
            <w:bookmarkStart w:id="35" w:name="_Toc15335"/>
            <w:bookmarkStart w:id="36" w:name="_Toc24863"/>
            <w:bookmarkStart w:id="37" w:name="_Toc20665"/>
            <w:bookmarkStart w:id="38" w:name="_Toc14322"/>
            <w:bookmarkStart w:id="39" w:name="_Toc451264954"/>
            <w:bookmarkStart w:id="40" w:name="_Toc488063125"/>
            <w:bookmarkStart w:id="41" w:name="_Toc22530"/>
            <w:bookmarkStart w:id="42" w:name="_Toc7314"/>
            <w:bookmarkStart w:id="43" w:name="_Toc13428"/>
            <w:bookmarkStart w:id="44" w:name="_Toc392496240"/>
            <w:bookmarkStart w:id="45" w:name="_Toc410636417"/>
            <w:bookmarkStart w:id="46" w:name="_Toc332895787"/>
            <w:bookmarkStart w:id="47" w:name="_Toc329098421"/>
            <w:bookmarkStart w:id="48" w:name="_Toc332894817"/>
            <w:bookmarkStart w:id="49" w:name="_Toc404866203"/>
            <w:r>
              <w:rPr>
                <w:rFonts w:hint="eastAsia" w:ascii="宋体"/>
                <w:color w:val="auto"/>
                <w:sz w:val="24"/>
                <w:szCs w:val="24"/>
                <w:highlight w:val="none"/>
              </w:rPr>
              <w:t xml:space="preserve">评标方法：综合评分法 </w:t>
            </w:r>
          </w:p>
        </w:tc>
      </w:tr>
      <w:tr w14:paraId="3934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5" w:type="dxa"/>
            <w:tcBorders>
              <w:top w:val="single" w:color="auto" w:sz="4" w:space="0"/>
              <w:left w:val="single" w:color="auto" w:sz="4" w:space="0"/>
              <w:bottom w:val="single" w:color="auto" w:sz="4" w:space="0"/>
              <w:right w:val="single" w:color="auto" w:sz="4" w:space="0"/>
            </w:tcBorders>
            <w:noWrap/>
          </w:tcPr>
          <w:p w14:paraId="7FA18684">
            <w:pPr>
              <w:numPr>
                <w:ilvl w:val="0"/>
                <w:numId w:val="3"/>
              </w:numPr>
              <w:snapToGrid w:val="0"/>
              <w:spacing w:line="360" w:lineRule="auto"/>
              <w:rPr>
                <w:rFonts w:ascii="宋体"/>
                <w:color w:val="auto"/>
                <w:sz w:val="24"/>
                <w:szCs w:val="24"/>
                <w:highlight w:val="none"/>
              </w:rPr>
            </w:pPr>
            <w:r>
              <w:rPr>
                <w:rFonts w:hint="eastAsia" w:ascii="宋体"/>
                <w:color w:val="auto"/>
                <w:sz w:val="24"/>
                <w:szCs w:val="24"/>
                <w:highlight w:val="none"/>
              </w:rPr>
              <w:t>评审程序：</w:t>
            </w:r>
          </w:p>
          <w:p w14:paraId="57442DF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1、由采购人与采购代理机构组成资格审查小组，按招标文件规定的标准对各投标人递交的</w:t>
            </w:r>
            <w:r>
              <w:rPr>
                <w:rFonts w:hint="eastAsia" w:ascii="宋体"/>
                <w:b/>
                <w:color w:val="auto"/>
                <w:sz w:val="24"/>
                <w:szCs w:val="24"/>
                <w:highlight w:val="none"/>
              </w:rPr>
              <w:t>单独密封的资格证明文件</w:t>
            </w:r>
            <w:r>
              <w:rPr>
                <w:rFonts w:hint="eastAsia" w:ascii="宋体"/>
                <w:color w:val="auto"/>
                <w:sz w:val="24"/>
                <w:szCs w:val="24"/>
                <w:highlight w:val="none"/>
              </w:rPr>
              <w:t>进行资格审查，通过资格性审查的投标人满足三家或以上的方可进入符合性审查程序。</w:t>
            </w:r>
          </w:p>
          <w:p w14:paraId="4D4ED8A1">
            <w:pPr>
              <w:snapToGrid w:val="0"/>
              <w:spacing w:line="360" w:lineRule="auto"/>
              <w:ind w:left="480"/>
              <w:rPr>
                <w:rFonts w:ascii="宋体"/>
                <w:color w:val="auto"/>
                <w:sz w:val="24"/>
                <w:szCs w:val="24"/>
                <w:highlight w:val="none"/>
              </w:rPr>
            </w:pPr>
            <w:r>
              <w:rPr>
                <w:rFonts w:hint="eastAsia" w:ascii="宋体"/>
                <w:color w:val="auto"/>
                <w:sz w:val="24"/>
                <w:szCs w:val="24"/>
                <w:highlight w:val="none"/>
              </w:rPr>
              <w:t>2、由评标委员会按招标文件规定的标准对通过资格审查的投标人的投标文件进行符合</w:t>
            </w:r>
          </w:p>
          <w:p w14:paraId="2AE1BB1C">
            <w:pPr>
              <w:snapToGrid w:val="0"/>
              <w:spacing w:line="360" w:lineRule="auto"/>
              <w:rPr>
                <w:rFonts w:ascii="宋体"/>
                <w:color w:val="auto"/>
                <w:sz w:val="24"/>
                <w:szCs w:val="24"/>
                <w:highlight w:val="none"/>
              </w:rPr>
            </w:pPr>
            <w:r>
              <w:rPr>
                <w:rFonts w:hint="eastAsia" w:ascii="宋体"/>
                <w:color w:val="auto"/>
                <w:sz w:val="24"/>
                <w:szCs w:val="24"/>
                <w:highlight w:val="none"/>
              </w:rPr>
              <w:t>性审查，通过符合性审查的投标人满足三家或以上的方可进入综合评分程序，由评标委员会对资格性和符合性审查均合格的投标人进行综合评价。</w:t>
            </w:r>
          </w:p>
          <w:p w14:paraId="3651875B">
            <w:pPr>
              <w:snapToGrid w:val="0"/>
              <w:spacing w:line="360" w:lineRule="auto"/>
              <w:ind w:firstLine="480"/>
              <w:rPr>
                <w:rFonts w:ascii="宋体"/>
                <w:color w:val="auto"/>
                <w:sz w:val="24"/>
                <w:szCs w:val="24"/>
                <w:highlight w:val="none"/>
              </w:rPr>
            </w:pPr>
            <w:r>
              <w:rPr>
                <w:rFonts w:hint="eastAsia" w:ascii="宋体"/>
                <w:color w:val="auto"/>
                <w:sz w:val="24"/>
                <w:szCs w:val="24"/>
                <w:highlight w:val="none"/>
              </w:rPr>
              <w:t>3、评标委员会将严格按照招标文件的要求实行两阶段评标，第一阶段技术商务部分评标，评标委员会按照政府采购法律法规及相关规定、招标文件规定的评标方法和标准，评出实质性响应招标文件技术商务要求的投标人，并计算出各投标人技术商务部分的得分；第二阶段价格部分评标，经第一阶段评选出的实质性响应招标文件技术商务要求的投标人进入第二阶段评标。评标委员会按招标文件规定的评标方法和标准，评出实质性响应招标文件报价要求的投标人，并在各项优惠政策加分或价格扣除基础上计算出各投标人价格部分的得分或经折扣后的报价。</w:t>
            </w:r>
          </w:p>
          <w:p w14:paraId="4150E476">
            <w:pPr>
              <w:snapToGrid w:val="0"/>
              <w:spacing w:line="360" w:lineRule="auto"/>
              <w:ind w:firstLine="480"/>
              <w:rPr>
                <w:rFonts w:ascii="宋体"/>
                <w:color w:val="auto"/>
                <w:sz w:val="24"/>
                <w:szCs w:val="24"/>
                <w:highlight w:val="none"/>
              </w:rPr>
            </w:pPr>
            <w:r>
              <w:rPr>
                <w:rFonts w:hint="eastAsia" w:ascii="宋体"/>
                <w:color w:val="auto"/>
                <w:sz w:val="24"/>
                <w:szCs w:val="24"/>
                <w:highlight w:val="none"/>
              </w:rPr>
              <w:t>4、对所有投标人的评审都按照相同的程序及标准。</w:t>
            </w:r>
          </w:p>
        </w:tc>
      </w:tr>
      <w:tr w14:paraId="2A8A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5" w:type="dxa"/>
            <w:tcBorders>
              <w:top w:val="single" w:color="auto" w:sz="4" w:space="0"/>
              <w:left w:val="single" w:color="auto" w:sz="4" w:space="0"/>
              <w:bottom w:val="single" w:color="auto" w:sz="4" w:space="0"/>
              <w:right w:val="single" w:color="auto" w:sz="4" w:space="0"/>
            </w:tcBorders>
            <w:noWrap/>
          </w:tcPr>
          <w:p w14:paraId="3B45403C">
            <w:pPr>
              <w:numPr>
                <w:ilvl w:val="0"/>
                <w:numId w:val="3"/>
              </w:num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评标标准：</w:t>
            </w:r>
          </w:p>
          <w:p w14:paraId="5917E881">
            <w:pPr>
              <w:widowControl/>
              <w:numPr>
                <w:ilvl w:val="0"/>
                <w:numId w:val="4"/>
              </w:numPr>
              <w:spacing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具体的评分细则 </w:t>
            </w:r>
            <w:r>
              <w:rPr>
                <w:rFonts w:hint="eastAsia" w:ascii="宋体" w:hAnsi="宋体" w:cs="宋体"/>
                <w:color w:val="auto"/>
                <w:sz w:val="24"/>
                <w:szCs w:val="24"/>
                <w:highlight w:val="none"/>
                <w:lang w:val="en-US" w:eastAsia="zh-CN"/>
              </w:rPr>
              <w:t xml:space="preserve"> </w:t>
            </w:r>
          </w:p>
          <w:p w14:paraId="5182FC15">
            <w:pPr>
              <w:widowControl/>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技术项（F2×A2）满分为</w:t>
            </w:r>
            <w:r>
              <w:rPr>
                <w:rFonts w:hint="eastAsia" w:ascii="宋体" w:hAnsi="宋体" w:cs="宋体"/>
                <w:color w:val="auto"/>
                <w:kern w:val="0"/>
                <w:sz w:val="24"/>
                <w:szCs w:val="24"/>
                <w:highlight w:val="none"/>
                <w:u w:val="single"/>
                <w:lang w:val="en-US" w:eastAsia="zh-CN"/>
              </w:rPr>
              <w:t>50</w:t>
            </w:r>
            <w:r>
              <w:rPr>
                <w:rFonts w:hint="eastAsia" w:ascii="宋体" w:hAnsi="宋体" w:cs="宋体"/>
                <w:color w:val="auto"/>
                <w:kern w:val="0"/>
                <w:sz w:val="24"/>
                <w:szCs w:val="24"/>
                <w:highlight w:val="none"/>
              </w:rPr>
              <w:t>分。</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7667"/>
              <w:gridCol w:w="1144"/>
            </w:tblGrid>
            <w:tr w14:paraId="3475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473" w:type="pct"/>
                  <w:vAlign w:val="center"/>
                </w:tcPr>
                <w:p w14:paraId="58CABDF1">
                  <w:pPr>
                    <w:spacing w:line="360" w:lineRule="auto"/>
                    <w:jc w:val="center"/>
                    <w:rPr>
                      <w:rFonts w:hint="eastAsia" w:ascii="宋体" w:hAnsi="宋体" w:cs="宋体"/>
                      <w:b/>
                      <w:color w:val="auto"/>
                      <w:kern w:val="10"/>
                      <w:sz w:val="24"/>
                      <w:szCs w:val="24"/>
                      <w:highlight w:val="none"/>
                    </w:rPr>
                  </w:pPr>
                  <w:r>
                    <w:rPr>
                      <w:rFonts w:hint="eastAsia" w:ascii="宋体" w:hAnsi="宋体" w:cs="宋体"/>
                      <w:b/>
                      <w:color w:val="auto"/>
                      <w:kern w:val="10"/>
                      <w:sz w:val="24"/>
                      <w:szCs w:val="24"/>
                      <w:highlight w:val="none"/>
                    </w:rPr>
                    <w:t>序号</w:t>
                  </w:r>
                </w:p>
              </w:tc>
              <w:tc>
                <w:tcPr>
                  <w:tcW w:w="3939" w:type="pct"/>
                  <w:vAlign w:val="center"/>
                </w:tcPr>
                <w:p w14:paraId="3DB17DFB">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评分界定</w:t>
                  </w:r>
                </w:p>
              </w:tc>
              <w:tc>
                <w:tcPr>
                  <w:tcW w:w="587" w:type="pct"/>
                  <w:vAlign w:val="center"/>
                </w:tcPr>
                <w:p w14:paraId="3AF9C45B">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满分</w:t>
                  </w:r>
                </w:p>
                <w:p w14:paraId="145380A3">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分值</w:t>
                  </w:r>
                </w:p>
              </w:tc>
            </w:tr>
            <w:tr w14:paraId="5BC3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5000" w:type="pct"/>
                  <w:gridSpan w:val="3"/>
                  <w:vAlign w:val="center"/>
                </w:tcPr>
                <w:p w14:paraId="1D3E78B1">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bCs/>
                      <w:color w:val="auto"/>
                      <w:sz w:val="24"/>
                      <w:szCs w:val="24"/>
                      <w:highlight w:val="none"/>
                    </w:rPr>
                    <w:t>技术条款响应情况：评标委员会将根据下面的评分标准对各投标人在《标的说明一览表》中响应的设备技术参数及提供的佐证材料给予相应的评分。</w:t>
                  </w:r>
                </w:p>
              </w:tc>
            </w:tr>
            <w:tr w14:paraId="099C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73" w:type="pct"/>
                  <w:vAlign w:val="center"/>
                </w:tcPr>
                <w:p w14:paraId="2A5E9881">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3939" w:type="pct"/>
                  <w:shd w:val="clear" w:color="auto" w:fill="auto"/>
                  <w:vAlign w:val="center"/>
                </w:tcPr>
                <w:p w14:paraId="508C7B5E">
                  <w:pPr>
                    <w:pStyle w:val="11"/>
                    <w:keepNext w:val="0"/>
                    <w:keepLines w:val="0"/>
                    <w:pageBreakBefore w:val="0"/>
                    <w:kinsoku/>
                    <w:wordWrap/>
                    <w:overflowPunct/>
                    <w:topLinePunct w:val="0"/>
                    <w:autoSpaceDE/>
                    <w:autoSpaceDN/>
                    <w:bidi w:val="0"/>
                    <w:adjustRightInd/>
                    <w:snapToGrid w:val="0"/>
                    <w:spacing w:after="0" w:line="360" w:lineRule="auto"/>
                    <w:ind w:left="0" w:leftChars="0" w:right="105" w:rightChars="5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▲加热和冷却：采用固态控温装置，不需要外接冷源、油浴或冰水浴；满足得3分，不满足得0分。</w:t>
                  </w:r>
                </w:p>
              </w:tc>
              <w:tc>
                <w:tcPr>
                  <w:tcW w:w="587" w:type="pct"/>
                  <w:shd w:val="clear" w:color="auto" w:fill="auto"/>
                  <w:vAlign w:val="center"/>
                </w:tcPr>
                <w:p w14:paraId="23E94A9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r>
            <w:tr w14:paraId="669B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7396BA3B">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3939" w:type="pct"/>
                  <w:shd w:val="clear" w:color="auto" w:fill="auto"/>
                  <w:vAlign w:val="center"/>
                </w:tcPr>
                <w:p w14:paraId="5804FCB3">
                  <w:pPr>
                    <w:pStyle w:val="11"/>
                    <w:keepNext w:val="0"/>
                    <w:keepLines w:val="0"/>
                    <w:pageBreakBefore w:val="0"/>
                    <w:kinsoku/>
                    <w:wordWrap/>
                    <w:overflowPunct/>
                    <w:topLinePunct w:val="0"/>
                    <w:autoSpaceDE/>
                    <w:autoSpaceDN/>
                    <w:bidi w:val="0"/>
                    <w:adjustRightInd/>
                    <w:snapToGrid w:val="0"/>
                    <w:spacing w:after="0" w:line="360" w:lineRule="auto"/>
                    <w:ind w:left="0" w:leftChars="0" w:right="105" w:rightChars="5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温度范围：-40-180 ℃(夹套温度)；满足得2分，不满足得0分。</w:t>
                  </w:r>
                </w:p>
              </w:tc>
              <w:tc>
                <w:tcPr>
                  <w:tcW w:w="587" w:type="pct"/>
                  <w:shd w:val="clear" w:color="auto" w:fill="auto"/>
                  <w:vAlign w:val="center"/>
                </w:tcPr>
                <w:p w14:paraId="35D98EB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r>
            <w:tr w14:paraId="77F3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20679D3F">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3939" w:type="pct"/>
                  <w:shd w:val="clear" w:color="auto" w:fill="auto"/>
                  <w:vAlign w:val="center"/>
                </w:tcPr>
                <w:p w14:paraId="77C41316">
                  <w:pPr>
                    <w:pStyle w:val="11"/>
                    <w:keepNext w:val="0"/>
                    <w:keepLines w:val="0"/>
                    <w:pageBreakBefore w:val="0"/>
                    <w:kinsoku/>
                    <w:wordWrap/>
                    <w:overflowPunct/>
                    <w:topLinePunct w:val="0"/>
                    <w:autoSpaceDE/>
                    <w:autoSpaceDN/>
                    <w:bidi w:val="0"/>
                    <w:adjustRightInd/>
                    <w:snapToGrid w:val="0"/>
                    <w:spacing w:after="0" w:line="360" w:lineRule="auto"/>
                    <w:ind w:left="0" w:leftChars="0" w:right="105" w:rightChars="5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 xml:space="preserve">▲温度精度：± 0.1 ℃，长期温度稳定性±0.1℃ </w:t>
                  </w:r>
                  <w:r>
                    <w:rPr>
                      <w:rFonts w:hint="eastAsia" w:ascii="宋体" w:hAnsi="宋体" w:eastAsia="宋体" w:cs="宋体"/>
                      <w:bCs/>
                      <w:color w:val="auto"/>
                      <w:sz w:val="24"/>
                      <w:szCs w:val="24"/>
                    </w:rPr>
                    <w:t>；</w:t>
                  </w:r>
                  <w:r>
                    <w:rPr>
                      <w:rFonts w:hint="eastAsia" w:ascii="宋体" w:hAnsi="宋体" w:eastAsia="宋体" w:cs="宋体"/>
                      <w:color w:val="auto"/>
                      <w:sz w:val="24"/>
                      <w:szCs w:val="24"/>
                    </w:rPr>
                    <w:t>满足得5分，不满足得0分。</w:t>
                  </w:r>
                </w:p>
              </w:tc>
              <w:tc>
                <w:tcPr>
                  <w:tcW w:w="587" w:type="pct"/>
                  <w:shd w:val="clear" w:color="auto" w:fill="auto"/>
                  <w:vAlign w:val="center"/>
                </w:tcPr>
                <w:p w14:paraId="7F5B01B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rPr>
                    <w:t>5</w:t>
                  </w:r>
                </w:p>
              </w:tc>
            </w:tr>
            <w:tr w14:paraId="2D30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64E822E0">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3939" w:type="pct"/>
                  <w:shd w:val="clear" w:color="auto" w:fill="auto"/>
                  <w:vAlign w:val="center"/>
                </w:tcPr>
                <w:p w14:paraId="3F98775A">
                  <w:pPr>
                    <w:pStyle w:val="11"/>
                    <w:keepNext w:val="0"/>
                    <w:keepLines w:val="0"/>
                    <w:pageBreakBefore w:val="0"/>
                    <w:kinsoku/>
                    <w:wordWrap/>
                    <w:overflowPunct/>
                    <w:topLinePunct w:val="0"/>
                    <w:autoSpaceDE/>
                    <w:autoSpaceDN/>
                    <w:bidi w:val="0"/>
                    <w:adjustRightInd/>
                    <w:snapToGrid w:val="0"/>
                    <w:spacing w:after="0" w:line="360" w:lineRule="auto"/>
                    <w:ind w:left="0" w:leftChars="0" w:right="105" w:rightChars="5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▲温度分辨率：0.01 ℃；满足得3分，不满足得0分。</w:t>
                  </w:r>
                </w:p>
              </w:tc>
              <w:tc>
                <w:tcPr>
                  <w:tcW w:w="587" w:type="pct"/>
                  <w:shd w:val="clear" w:color="auto" w:fill="auto"/>
                  <w:vAlign w:val="center"/>
                </w:tcPr>
                <w:p w14:paraId="6A8DCEB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3</w:t>
                  </w:r>
                </w:p>
              </w:tc>
            </w:tr>
            <w:tr w14:paraId="7A5A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098722C7">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3939" w:type="pct"/>
                  <w:shd w:val="clear" w:color="auto" w:fill="auto"/>
                  <w:vAlign w:val="center"/>
                </w:tcPr>
                <w:p w14:paraId="6C60B5B4">
                  <w:pPr>
                    <w:pStyle w:val="11"/>
                    <w:keepNext w:val="0"/>
                    <w:keepLines w:val="0"/>
                    <w:pageBreakBefore w:val="0"/>
                    <w:kinsoku/>
                    <w:wordWrap/>
                    <w:overflowPunct/>
                    <w:topLinePunct w:val="0"/>
                    <w:autoSpaceDE/>
                    <w:autoSpaceDN/>
                    <w:bidi w:val="0"/>
                    <w:adjustRightInd/>
                    <w:snapToGrid w:val="0"/>
                    <w:spacing w:after="0" w:line="360" w:lineRule="auto"/>
                    <w:ind w:left="0" w:leftChars="0" w:right="105" w:rightChars="5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▲温度模式：夹套(Tj)模式，反应物(Tr)模式，蒸馏模式，结晶模式</w:t>
                  </w:r>
                  <w:r>
                    <w:rPr>
                      <w:rFonts w:hint="eastAsia" w:ascii="宋体" w:hAnsi="宋体" w:eastAsia="宋体" w:cs="宋体"/>
                      <w:bCs/>
                      <w:color w:val="auto"/>
                      <w:sz w:val="24"/>
                      <w:szCs w:val="24"/>
                    </w:rPr>
                    <w:t>；</w:t>
                  </w:r>
                  <w:r>
                    <w:rPr>
                      <w:rFonts w:hint="eastAsia" w:ascii="宋体" w:hAnsi="宋体" w:eastAsia="宋体" w:cs="宋体"/>
                      <w:color w:val="auto"/>
                      <w:kern w:val="0"/>
                      <w:sz w:val="24"/>
                      <w:szCs w:val="24"/>
                    </w:rPr>
                    <w:t>满足得3分，不满足得0分。</w:t>
                  </w:r>
                </w:p>
              </w:tc>
              <w:tc>
                <w:tcPr>
                  <w:tcW w:w="587" w:type="pct"/>
                  <w:shd w:val="clear" w:color="auto" w:fill="auto"/>
                  <w:vAlign w:val="center"/>
                </w:tcPr>
                <w:p w14:paraId="5B9A086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rPr>
                    <w:t>3</w:t>
                  </w:r>
                </w:p>
              </w:tc>
            </w:tr>
            <w:tr w14:paraId="533D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30132AA9">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1-6</w:t>
                  </w:r>
                </w:p>
              </w:tc>
              <w:tc>
                <w:tcPr>
                  <w:tcW w:w="3939" w:type="pct"/>
                  <w:shd w:val="clear" w:color="auto" w:fill="auto"/>
                  <w:vAlign w:val="center"/>
                </w:tcPr>
                <w:p w14:paraId="22461612">
                  <w:pPr>
                    <w:pStyle w:val="11"/>
                    <w:keepNext w:val="0"/>
                    <w:keepLines w:val="0"/>
                    <w:pageBreakBefore w:val="0"/>
                    <w:kinsoku/>
                    <w:wordWrap/>
                    <w:overflowPunct/>
                    <w:topLinePunct w:val="0"/>
                    <w:autoSpaceDE/>
                    <w:autoSpaceDN/>
                    <w:bidi w:val="0"/>
                    <w:adjustRightInd/>
                    <w:snapToGrid w:val="0"/>
                    <w:spacing w:after="0" w:line="360" w:lineRule="auto"/>
                    <w:ind w:left="0" w:leftChars="0" w:right="105" w:rightChars="5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反应釜装置： 1000 mL 分体式玻璃反应釜，7口釜盖</w:t>
                  </w:r>
                  <w:r>
                    <w:rPr>
                      <w:rFonts w:hint="eastAsia" w:ascii="宋体" w:hAnsi="宋体" w:eastAsia="宋体" w:cs="宋体"/>
                      <w:bCs/>
                      <w:color w:val="auto"/>
                      <w:sz w:val="24"/>
                      <w:szCs w:val="24"/>
                    </w:rPr>
                    <w:t>；</w:t>
                  </w:r>
                  <w:r>
                    <w:rPr>
                      <w:rFonts w:hint="eastAsia" w:ascii="宋体" w:hAnsi="宋体" w:eastAsia="宋体" w:cs="宋体"/>
                      <w:color w:val="auto"/>
                      <w:kern w:val="0"/>
                      <w:sz w:val="24"/>
                      <w:szCs w:val="24"/>
                    </w:rPr>
                    <w:t>满足得1分，不满足得0分。</w:t>
                  </w:r>
                </w:p>
              </w:tc>
              <w:tc>
                <w:tcPr>
                  <w:tcW w:w="587" w:type="pct"/>
                  <w:shd w:val="clear" w:color="auto" w:fill="auto"/>
                  <w:vAlign w:val="center"/>
                </w:tcPr>
                <w:p w14:paraId="3DEE4B3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rPr>
                    <w:t>1</w:t>
                  </w:r>
                </w:p>
              </w:tc>
            </w:tr>
            <w:tr w14:paraId="3CA1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7727159C">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3939" w:type="pct"/>
                  <w:shd w:val="clear" w:color="auto" w:fill="auto"/>
                  <w:vAlign w:val="center"/>
                </w:tcPr>
                <w:p w14:paraId="286AF9DB">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搅拌器：带有升降杆的顶置搅拌器，扭力矩测量输出，可半定量得到粘度的变化情况</w:t>
                  </w:r>
                  <w:r>
                    <w:rPr>
                      <w:rFonts w:hint="eastAsia" w:ascii="宋体" w:hAnsi="宋体" w:eastAsia="宋体" w:cs="宋体"/>
                      <w:bCs/>
                      <w:color w:val="auto"/>
                      <w:sz w:val="24"/>
                      <w:szCs w:val="24"/>
                    </w:rPr>
                    <w:t>；</w:t>
                  </w:r>
                  <w:r>
                    <w:rPr>
                      <w:rFonts w:hint="eastAsia" w:ascii="宋体" w:hAnsi="宋体" w:eastAsia="宋体" w:cs="宋体"/>
                      <w:color w:val="auto"/>
                      <w:kern w:val="0"/>
                      <w:sz w:val="24"/>
                      <w:szCs w:val="24"/>
                    </w:rPr>
                    <w:t>满足得2分，不满足得0分。</w:t>
                  </w:r>
                </w:p>
              </w:tc>
              <w:tc>
                <w:tcPr>
                  <w:tcW w:w="587" w:type="pct"/>
                  <w:shd w:val="clear" w:color="auto" w:fill="auto"/>
                  <w:vAlign w:val="center"/>
                </w:tcPr>
                <w:p w14:paraId="43937EC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rPr>
                    <w:t>2</w:t>
                  </w:r>
                </w:p>
              </w:tc>
            </w:tr>
            <w:tr w14:paraId="776F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0C2E31B0">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1-8</w:t>
                  </w:r>
                </w:p>
              </w:tc>
              <w:tc>
                <w:tcPr>
                  <w:tcW w:w="3939" w:type="pct"/>
                  <w:shd w:val="clear" w:color="auto" w:fill="auto"/>
                  <w:vAlign w:val="center"/>
                </w:tcPr>
                <w:p w14:paraId="4FC7C942">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搅拌桨：四叶向下推进式搅拌桨和锚式搅拌桨</w:t>
                  </w:r>
                  <w:r>
                    <w:rPr>
                      <w:rFonts w:hint="eastAsia" w:ascii="宋体" w:hAnsi="宋体" w:eastAsia="宋体" w:cs="宋体"/>
                      <w:bCs/>
                      <w:color w:val="auto"/>
                      <w:sz w:val="24"/>
                      <w:szCs w:val="24"/>
                    </w:rPr>
                    <w:t>；</w:t>
                  </w:r>
                  <w:r>
                    <w:rPr>
                      <w:rFonts w:hint="eastAsia" w:ascii="宋体" w:hAnsi="宋体" w:eastAsia="宋体" w:cs="宋体"/>
                      <w:color w:val="auto"/>
                      <w:sz w:val="24"/>
                      <w:szCs w:val="24"/>
                    </w:rPr>
                    <w:t>满足得1分，不满足得0分。</w:t>
                  </w:r>
                </w:p>
              </w:tc>
              <w:tc>
                <w:tcPr>
                  <w:tcW w:w="587" w:type="pct"/>
                  <w:shd w:val="clear" w:color="auto" w:fill="auto"/>
                  <w:vAlign w:val="center"/>
                </w:tcPr>
                <w:p w14:paraId="796FE96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1</w:t>
                  </w:r>
                </w:p>
              </w:tc>
            </w:tr>
            <w:tr w14:paraId="1E4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48854985">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w:t>
                  </w:r>
                </w:p>
              </w:tc>
              <w:tc>
                <w:tcPr>
                  <w:tcW w:w="3939" w:type="pct"/>
                  <w:shd w:val="clear" w:color="auto" w:fill="auto"/>
                  <w:vAlign w:val="center"/>
                </w:tcPr>
                <w:p w14:paraId="335CBCA7">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搅拌桨材质：哈氏合金C-22；满足得2分，不满足得0分。</w:t>
                  </w:r>
                </w:p>
              </w:tc>
              <w:tc>
                <w:tcPr>
                  <w:tcW w:w="587" w:type="pct"/>
                  <w:shd w:val="clear" w:color="auto" w:fill="auto"/>
                  <w:vAlign w:val="center"/>
                </w:tcPr>
                <w:p w14:paraId="077C816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2</w:t>
                  </w:r>
                </w:p>
              </w:tc>
            </w:tr>
            <w:tr w14:paraId="3D07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4436FCF2">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w:t>
                  </w:r>
                </w:p>
              </w:tc>
              <w:tc>
                <w:tcPr>
                  <w:tcW w:w="3939" w:type="pct"/>
                  <w:shd w:val="clear" w:color="auto" w:fill="auto"/>
                  <w:vAlign w:val="center"/>
                </w:tcPr>
                <w:p w14:paraId="461098A9">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搅拌速度：0-1000 rpm；可调</w:t>
                  </w:r>
                  <w:r>
                    <w:rPr>
                      <w:rFonts w:hint="eastAsia" w:ascii="宋体" w:hAnsi="宋体" w:cs="宋体"/>
                      <w:color w:val="auto"/>
                      <w:sz w:val="24"/>
                      <w:szCs w:val="24"/>
                      <w:lang w:eastAsia="zh-CN"/>
                    </w:rPr>
                    <w:t>；</w:t>
                  </w:r>
                  <w:r>
                    <w:rPr>
                      <w:rFonts w:hint="eastAsia" w:ascii="宋体" w:hAnsi="宋体" w:eastAsia="宋体" w:cs="宋体"/>
                      <w:color w:val="auto"/>
                      <w:sz w:val="24"/>
                      <w:szCs w:val="24"/>
                    </w:rPr>
                    <w:t>满足得1分，不满足得0分。</w:t>
                  </w:r>
                </w:p>
              </w:tc>
              <w:tc>
                <w:tcPr>
                  <w:tcW w:w="587" w:type="pct"/>
                  <w:shd w:val="clear" w:color="auto" w:fill="auto"/>
                  <w:vAlign w:val="center"/>
                </w:tcPr>
                <w:p w14:paraId="4E91EB8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1</w:t>
                  </w:r>
                </w:p>
              </w:tc>
            </w:tr>
            <w:tr w14:paraId="24EA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73" w:type="pct"/>
                  <w:vAlign w:val="center"/>
                </w:tcPr>
                <w:p w14:paraId="56C9DFA5">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w:t>
                  </w:r>
                </w:p>
              </w:tc>
              <w:tc>
                <w:tcPr>
                  <w:tcW w:w="3939" w:type="pct"/>
                  <w:shd w:val="clear" w:color="auto" w:fill="auto"/>
                  <w:vAlign w:val="center"/>
                </w:tcPr>
                <w:p w14:paraId="4761CB17">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搅拌控制模式:等速或梯度变化。满足得2分，不满足得0分。</w:t>
                  </w:r>
                </w:p>
              </w:tc>
              <w:tc>
                <w:tcPr>
                  <w:tcW w:w="587" w:type="pct"/>
                  <w:shd w:val="clear" w:color="auto" w:fill="auto"/>
                  <w:vAlign w:val="center"/>
                </w:tcPr>
                <w:p w14:paraId="78CC641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2</w:t>
                  </w:r>
                </w:p>
              </w:tc>
            </w:tr>
            <w:tr w14:paraId="61E6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vAlign w:val="center"/>
                </w:tcPr>
                <w:p w14:paraId="5BD7186A">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1-12</w:t>
                  </w:r>
                </w:p>
              </w:tc>
              <w:tc>
                <w:tcPr>
                  <w:tcW w:w="3939" w:type="pct"/>
                  <w:shd w:val="clear" w:color="auto" w:fill="auto"/>
                  <w:vAlign w:val="center"/>
                </w:tcPr>
                <w:p w14:paraId="0841E5F4">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加热功率: ≥700W；满足得1分，不满足得0分。</w:t>
                  </w:r>
                </w:p>
              </w:tc>
              <w:tc>
                <w:tcPr>
                  <w:tcW w:w="587" w:type="pct"/>
                  <w:shd w:val="clear" w:color="auto" w:fill="auto"/>
                  <w:vAlign w:val="center"/>
                </w:tcPr>
                <w:p w14:paraId="115560B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1</w:t>
                  </w:r>
                </w:p>
              </w:tc>
            </w:tr>
            <w:tr w14:paraId="643C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0B1DBD77">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1-13</w:t>
                  </w:r>
                </w:p>
              </w:tc>
              <w:tc>
                <w:tcPr>
                  <w:tcW w:w="3939" w:type="pct"/>
                  <w:shd w:val="clear" w:color="auto" w:fill="auto"/>
                  <w:vAlign w:val="center"/>
                </w:tcPr>
                <w:p w14:paraId="582A0AB0">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自动加料：可进行自动溶液加料，加料速度0-179mL/min；满足得2分，不满足得0分。</w:t>
                  </w:r>
                </w:p>
              </w:tc>
              <w:tc>
                <w:tcPr>
                  <w:tcW w:w="587" w:type="pct"/>
                  <w:shd w:val="clear" w:color="auto" w:fill="auto"/>
                  <w:vAlign w:val="center"/>
                </w:tcPr>
                <w:p w14:paraId="7ADD3B2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2</w:t>
                  </w:r>
                </w:p>
              </w:tc>
            </w:tr>
            <w:tr w14:paraId="1907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6F8582E3">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1-14</w:t>
                  </w:r>
                </w:p>
              </w:tc>
              <w:tc>
                <w:tcPr>
                  <w:tcW w:w="3939" w:type="pct"/>
                  <w:shd w:val="clear" w:color="auto" w:fill="auto"/>
                  <w:vAlign w:val="center"/>
                </w:tcPr>
                <w:p w14:paraId="0489148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pH测量：自动在线pH测量并实时记录数据；满足得1分，不满足得0分。</w:t>
                  </w:r>
                </w:p>
              </w:tc>
              <w:tc>
                <w:tcPr>
                  <w:tcW w:w="587" w:type="pct"/>
                  <w:shd w:val="clear" w:color="auto" w:fill="auto"/>
                  <w:vAlign w:val="center"/>
                </w:tcPr>
                <w:p w14:paraId="79BF812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1</w:t>
                  </w:r>
                </w:p>
              </w:tc>
            </w:tr>
            <w:tr w14:paraId="626C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0" w:type="auto"/>
                  <w:vAlign w:val="center"/>
                </w:tcPr>
                <w:p w14:paraId="5779F5EB">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1-15</w:t>
                  </w:r>
                </w:p>
              </w:tc>
              <w:tc>
                <w:tcPr>
                  <w:tcW w:w="3939" w:type="pct"/>
                  <w:shd w:val="clear" w:color="auto" w:fill="auto"/>
                  <w:vAlign w:val="center"/>
                </w:tcPr>
                <w:p w14:paraId="63726AA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▲须带多组LED背景灯装置，可以清楚的观测反应釜内的反应现象的变化情况；满足得3分，不满足得0分。</w:t>
                  </w:r>
                </w:p>
              </w:tc>
              <w:tc>
                <w:tcPr>
                  <w:tcW w:w="587" w:type="pct"/>
                  <w:shd w:val="clear" w:color="auto" w:fill="auto"/>
                  <w:vAlign w:val="center"/>
                </w:tcPr>
                <w:p w14:paraId="3E93E22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3</w:t>
                  </w:r>
                </w:p>
              </w:tc>
            </w:tr>
            <w:tr w14:paraId="0BE8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0" w:type="auto"/>
                  <w:vAlign w:val="center"/>
                </w:tcPr>
                <w:p w14:paraId="47BDEF51">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1-16</w:t>
                  </w:r>
                </w:p>
              </w:tc>
              <w:tc>
                <w:tcPr>
                  <w:tcW w:w="3939" w:type="pct"/>
                  <w:shd w:val="clear" w:color="auto" w:fill="auto"/>
                  <w:vAlign w:val="center"/>
                </w:tcPr>
                <w:p w14:paraId="1BD8C5AF">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▲浊度传感器：双光纤设计，分别用于传出发射光和接收背向散射；长度120mm，传感器材质哈氏合金C-22；测量范围：5-4000FTU</w:t>
                  </w:r>
                  <w:r>
                    <w:rPr>
                      <w:rFonts w:hint="eastAsia" w:hAnsi="宋体" w:cs="宋体"/>
                      <w:color w:val="auto"/>
                      <w:sz w:val="24"/>
                      <w:szCs w:val="24"/>
                      <w:lang w:eastAsia="zh-CN"/>
                    </w:rPr>
                    <w:t>；</w:t>
                  </w:r>
                  <w:r>
                    <w:rPr>
                      <w:rFonts w:hint="eastAsia" w:ascii="宋体" w:hAnsi="宋体" w:eastAsia="宋体" w:cs="宋体"/>
                      <w:color w:val="auto"/>
                      <w:sz w:val="24"/>
                      <w:szCs w:val="24"/>
                    </w:rPr>
                    <w:t>满足得5分，不满足得0分。</w:t>
                  </w:r>
                </w:p>
              </w:tc>
              <w:tc>
                <w:tcPr>
                  <w:tcW w:w="587" w:type="pct"/>
                  <w:shd w:val="clear" w:color="auto" w:fill="auto"/>
                  <w:vAlign w:val="center"/>
                </w:tcPr>
                <w:p w14:paraId="2EC8067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5</w:t>
                  </w:r>
                </w:p>
              </w:tc>
            </w:tr>
            <w:tr w14:paraId="7E01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0" w:type="auto"/>
                  <w:vAlign w:val="center"/>
                </w:tcPr>
                <w:p w14:paraId="72C5E236">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1-17</w:t>
                  </w:r>
                </w:p>
              </w:tc>
              <w:tc>
                <w:tcPr>
                  <w:tcW w:w="3939" w:type="pct"/>
                  <w:shd w:val="clear" w:color="auto" w:fill="auto"/>
                  <w:vAlign w:val="center"/>
                </w:tcPr>
                <w:p w14:paraId="4793292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浊度触摸屏显示和操作，支持英语、德语、法语、意大利语、西班牙语、葡萄牙语、俄语、日语、韩语和中文</w:t>
                  </w:r>
                  <w:r>
                    <w:rPr>
                      <w:rFonts w:hint="eastAsia" w:ascii="宋体" w:hAnsi="宋体" w:cs="宋体"/>
                      <w:color w:val="auto"/>
                      <w:sz w:val="24"/>
                      <w:szCs w:val="24"/>
                      <w:lang w:eastAsia="zh-CN"/>
                    </w:rPr>
                    <w:t>；</w:t>
                  </w:r>
                  <w:r>
                    <w:rPr>
                      <w:rFonts w:hint="eastAsia" w:ascii="宋体" w:hAnsi="宋体" w:eastAsia="宋体" w:cs="宋体"/>
                      <w:color w:val="auto"/>
                      <w:sz w:val="24"/>
                      <w:szCs w:val="24"/>
                    </w:rPr>
                    <w:t>满足得1分，不满足得0分。</w:t>
                  </w:r>
                </w:p>
              </w:tc>
              <w:tc>
                <w:tcPr>
                  <w:tcW w:w="587" w:type="pct"/>
                  <w:shd w:val="clear" w:color="auto" w:fill="auto"/>
                  <w:vAlign w:val="center"/>
                </w:tcPr>
                <w:p w14:paraId="3419786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1</w:t>
                  </w:r>
                </w:p>
              </w:tc>
            </w:tr>
            <w:tr w14:paraId="6B5D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0" w:type="auto"/>
                  <w:vAlign w:val="center"/>
                </w:tcPr>
                <w:p w14:paraId="1A439AAD">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1-18</w:t>
                  </w:r>
                </w:p>
              </w:tc>
              <w:tc>
                <w:tcPr>
                  <w:tcW w:w="3939" w:type="pct"/>
                  <w:shd w:val="clear" w:color="auto" w:fill="auto"/>
                  <w:vAlign w:val="center"/>
                </w:tcPr>
                <w:p w14:paraId="591F8481">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触摸屏控制：显示当前操作，数据和趋势曲线，直接控制，可预编反应程序并执行；满足得2分，不满足得0分。</w:t>
                  </w:r>
                </w:p>
              </w:tc>
              <w:tc>
                <w:tcPr>
                  <w:tcW w:w="587" w:type="pct"/>
                  <w:shd w:val="clear" w:color="auto" w:fill="auto"/>
                  <w:vAlign w:val="center"/>
                </w:tcPr>
                <w:p w14:paraId="1E65F6F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2</w:t>
                  </w:r>
                </w:p>
              </w:tc>
            </w:tr>
            <w:tr w14:paraId="12B7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0" w:type="auto"/>
                  <w:vAlign w:val="center"/>
                </w:tcPr>
                <w:p w14:paraId="22D06D80">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1-19</w:t>
                  </w:r>
                </w:p>
              </w:tc>
              <w:tc>
                <w:tcPr>
                  <w:tcW w:w="3939" w:type="pct"/>
                  <w:shd w:val="clear" w:color="auto" w:fill="auto"/>
                  <w:vAlign w:val="center"/>
                </w:tcPr>
                <w:p w14:paraId="4ADFD839">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数据存储：自动记录所有的数据和操作行为；满足得1分，不满足得0分。</w:t>
                  </w:r>
                </w:p>
              </w:tc>
              <w:tc>
                <w:tcPr>
                  <w:tcW w:w="587" w:type="pct"/>
                  <w:shd w:val="clear" w:color="auto" w:fill="auto"/>
                  <w:vAlign w:val="center"/>
                </w:tcPr>
                <w:p w14:paraId="71DF500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bidi="ar"/>
                    </w:rPr>
                    <w:t>1</w:t>
                  </w:r>
                </w:p>
              </w:tc>
            </w:tr>
            <w:tr w14:paraId="733C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0" w:type="auto"/>
                  <w:vAlign w:val="center"/>
                </w:tcPr>
                <w:p w14:paraId="13EE7832">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1-20</w:t>
                  </w:r>
                </w:p>
              </w:tc>
              <w:tc>
                <w:tcPr>
                  <w:tcW w:w="3939" w:type="pct"/>
                  <w:shd w:val="clear" w:color="auto" w:fill="auto"/>
                  <w:vAlign w:val="center"/>
                </w:tcPr>
                <w:p w14:paraId="6392A9CF">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联网和数据转移： CAN口连接外围设备，具备USB接口，用于存储数据输出至个人电脑；满足得1分，不满足得0分。</w:t>
                  </w:r>
                </w:p>
              </w:tc>
              <w:tc>
                <w:tcPr>
                  <w:tcW w:w="587" w:type="pct"/>
                  <w:shd w:val="clear" w:color="auto" w:fill="auto"/>
                  <w:vAlign w:val="center"/>
                </w:tcPr>
                <w:p w14:paraId="0BDE03B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bidi="ar"/>
                    </w:rPr>
                    <w:t>1</w:t>
                  </w:r>
                </w:p>
              </w:tc>
            </w:tr>
            <w:tr w14:paraId="4519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0" w:type="auto"/>
                  <w:vAlign w:val="center"/>
                </w:tcPr>
                <w:p w14:paraId="43913463">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w:t>
                  </w:r>
                </w:p>
              </w:tc>
              <w:tc>
                <w:tcPr>
                  <w:tcW w:w="3939" w:type="pct"/>
                  <w:shd w:val="clear" w:color="auto" w:fill="auto"/>
                  <w:vAlign w:val="center"/>
                </w:tcPr>
                <w:p w14:paraId="0244AFE2">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▲可扩展与在线红外、在线颗粒分析仪FBRM、在线拉曼等联进行联用，交互通迅及反馈控制；满足得5分，不满足得0分。</w:t>
                  </w:r>
                </w:p>
              </w:tc>
              <w:tc>
                <w:tcPr>
                  <w:tcW w:w="587" w:type="pct"/>
                  <w:shd w:val="clear" w:color="auto" w:fill="auto"/>
                  <w:vAlign w:val="center"/>
                </w:tcPr>
                <w:p w14:paraId="2D33452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lang w:bidi="ar"/>
                    </w:rPr>
                    <w:t>5</w:t>
                  </w:r>
                </w:p>
              </w:tc>
            </w:tr>
            <w:tr w14:paraId="4971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596F6CB0">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1-22</w:t>
                  </w:r>
                </w:p>
              </w:tc>
              <w:tc>
                <w:tcPr>
                  <w:tcW w:w="3939" w:type="pct"/>
                  <w:shd w:val="clear" w:color="auto" w:fill="auto"/>
                  <w:vAlign w:val="center"/>
                </w:tcPr>
                <w:p w14:paraId="1019946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扩展连接方式:以太网标准交互式界面，可直接连接到电脑，可扩展成反应量热仪；满足得2分，不满足得0分。</w:t>
                  </w:r>
                </w:p>
              </w:tc>
              <w:tc>
                <w:tcPr>
                  <w:tcW w:w="587" w:type="pct"/>
                  <w:shd w:val="clear" w:color="auto" w:fill="auto"/>
                  <w:vAlign w:val="center"/>
                </w:tcPr>
                <w:p w14:paraId="24CFB2A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lang w:bidi="ar"/>
                    </w:rPr>
                    <w:t>2</w:t>
                  </w:r>
                </w:p>
              </w:tc>
            </w:tr>
            <w:tr w14:paraId="3A46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73" w:type="pct"/>
                  <w:vAlign w:val="center"/>
                </w:tcPr>
                <w:p w14:paraId="76571BFF">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1-23</w:t>
                  </w:r>
                </w:p>
              </w:tc>
              <w:tc>
                <w:tcPr>
                  <w:tcW w:w="3939" w:type="pct"/>
                  <w:shd w:val="clear" w:color="auto" w:fill="auto"/>
                  <w:vAlign w:val="center"/>
                </w:tcPr>
                <w:p w14:paraId="6F970BFB">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支持语言：英文，德文，法文，西班牙文，日文，中文</w:t>
                  </w:r>
                  <w:r>
                    <w:rPr>
                      <w:rFonts w:hint="eastAsia" w:hAnsi="宋体" w:cs="宋体"/>
                      <w:color w:val="auto"/>
                      <w:sz w:val="24"/>
                      <w:szCs w:val="24"/>
                      <w:lang w:eastAsia="zh-CN"/>
                    </w:rPr>
                    <w:t>；</w:t>
                  </w:r>
                  <w:r>
                    <w:rPr>
                      <w:rFonts w:hint="eastAsia" w:ascii="宋体" w:hAnsi="宋体" w:eastAsia="宋体" w:cs="宋体"/>
                      <w:color w:val="auto"/>
                      <w:sz w:val="24"/>
                      <w:szCs w:val="24"/>
                    </w:rPr>
                    <w:t>满足得1分，不满足得0分。</w:t>
                  </w:r>
                </w:p>
              </w:tc>
              <w:tc>
                <w:tcPr>
                  <w:tcW w:w="587" w:type="pct"/>
                  <w:shd w:val="clear" w:color="auto" w:fill="auto"/>
                  <w:vAlign w:val="center"/>
                </w:tcPr>
                <w:p w14:paraId="3478E50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lang w:bidi="ar"/>
                    </w:rPr>
                    <w:t>1</w:t>
                  </w:r>
                </w:p>
              </w:tc>
            </w:tr>
          </w:tbl>
          <w:p w14:paraId="26CFDE5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2、商务项（F3×A3）满分为</w:t>
            </w:r>
            <w:r>
              <w:rPr>
                <w:rFonts w:hint="eastAsia" w:ascii="宋体" w:hAnsi="宋体" w:cs="宋体"/>
                <w:color w:val="auto"/>
                <w:kern w:val="0"/>
                <w:sz w:val="24"/>
                <w:szCs w:val="24"/>
                <w:highlight w:val="none"/>
                <w:u w:val="single"/>
                <w:lang w:val="en-US" w:eastAsia="zh-CN"/>
              </w:rPr>
              <w:t>15</w:t>
            </w:r>
            <w:r>
              <w:rPr>
                <w:rFonts w:hint="eastAsia" w:ascii="宋体" w:hAnsi="宋体" w:cs="宋体"/>
                <w:color w:val="auto"/>
                <w:kern w:val="0"/>
                <w:sz w:val="24"/>
                <w:szCs w:val="24"/>
                <w:highlight w:val="none"/>
              </w:rPr>
              <w:t>分。</w:t>
            </w:r>
          </w:p>
          <w:tbl>
            <w:tblPr>
              <w:tblStyle w:val="28"/>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7790"/>
              <w:gridCol w:w="1007"/>
            </w:tblGrid>
            <w:tr w14:paraId="56A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35" w:type="dxa"/>
                  <w:vAlign w:val="center"/>
                </w:tcPr>
                <w:p w14:paraId="07B5F390">
                  <w:pPr>
                    <w:spacing w:line="360" w:lineRule="auto"/>
                    <w:jc w:val="center"/>
                    <w:rPr>
                      <w:rFonts w:hint="eastAsia" w:ascii="宋体" w:hAnsi="宋体" w:cs="宋体"/>
                      <w:b/>
                      <w:color w:val="auto"/>
                      <w:kern w:val="10"/>
                      <w:sz w:val="24"/>
                      <w:szCs w:val="24"/>
                      <w:highlight w:val="none"/>
                    </w:rPr>
                  </w:pPr>
                  <w:r>
                    <w:rPr>
                      <w:rFonts w:hint="eastAsia" w:ascii="宋体" w:hAnsi="宋体" w:cs="宋体"/>
                      <w:b/>
                      <w:color w:val="auto"/>
                      <w:kern w:val="10"/>
                      <w:sz w:val="24"/>
                      <w:szCs w:val="24"/>
                      <w:highlight w:val="none"/>
                    </w:rPr>
                    <w:t>序号</w:t>
                  </w:r>
                </w:p>
              </w:tc>
              <w:tc>
                <w:tcPr>
                  <w:tcW w:w="7790" w:type="dxa"/>
                  <w:vAlign w:val="center"/>
                </w:tcPr>
                <w:p w14:paraId="3D336001">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评分界定</w:t>
                  </w:r>
                </w:p>
              </w:tc>
              <w:tc>
                <w:tcPr>
                  <w:tcW w:w="1007" w:type="dxa"/>
                  <w:vAlign w:val="center"/>
                </w:tcPr>
                <w:p w14:paraId="14A0ED56">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满分</w:t>
                  </w:r>
                </w:p>
                <w:p w14:paraId="496A791C">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分值</w:t>
                  </w:r>
                </w:p>
              </w:tc>
            </w:tr>
            <w:tr w14:paraId="47A3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90A4F5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7790" w:type="dxa"/>
                  <w:shd w:val="clear" w:color="auto" w:fill="auto"/>
                  <w:vAlign w:val="center"/>
                </w:tcPr>
                <w:p w14:paraId="3728CC77">
                  <w:pPr>
                    <w:spacing w:line="360" w:lineRule="auto"/>
                    <w:rPr>
                      <w:rFonts w:hint="eastAsia" w:ascii="宋体" w:hAnsi="宋体"/>
                      <w:color w:val="auto"/>
                      <w:sz w:val="28"/>
                      <w:szCs w:val="28"/>
                      <w:highlight w:val="none"/>
                    </w:rPr>
                  </w:pPr>
                  <w:r>
                    <w:rPr>
                      <w:rFonts w:hint="eastAsia" w:ascii="宋体" w:hAnsi="宋体" w:cs="宋体"/>
                      <w:color w:val="auto"/>
                      <w:kern w:val="0"/>
                      <w:sz w:val="24"/>
                    </w:rPr>
                    <w:t>故障响应时间：投标人</w:t>
                  </w:r>
                  <w:r>
                    <w:rPr>
                      <w:rFonts w:hint="eastAsia" w:ascii="宋体" w:hAnsi="宋体" w:cs="宋体"/>
                      <w:b/>
                      <w:color w:val="auto"/>
                      <w:kern w:val="0"/>
                      <w:sz w:val="24"/>
                    </w:rPr>
                    <w:t>承诺</w:t>
                  </w:r>
                  <w:r>
                    <w:rPr>
                      <w:rFonts w:hint="eastAsia" w:ascii="宋体" w:hAnsi="宋体" w:cs="宋体"/>
                      <w:color w:val="auto"/>
                      <w:kern w:val="0"/>
                      <w:sz w:val="24"/>
                    </w:rPr>
                    <w:t>能在4小时（含）内到达现场的得3分，超过4小时但在12小时（含）到达现场的得2分，超过12小时但在24小时（含）到达现场的得1分，超过24小时的不得分。</w:t>
                  </w:r>
                </w:p>
              </w:tc>
              <w:tc>
                <w:tcPr>
                  <w:tcW w:w="1007" w:type="dxa"/>
                  <w:shd w:val="clear" w:color="auto" w:fill="auto"/>
                  <w:vAlign w:val="center"/>
                </w:tcPr>
                <w:p w14:paraId="74313D77">
                  <w:pPr>
                    <w:snapToGrid w:val="0"/>
                    <w:spacing w:line="300" w:lineRule="auto"/>
                    <w:jc w:val="center"/>
                    <w:rPr>
                      <w:rFonts w:hint="eastAsia" w:ascii="宋体" w:hAnsi="宋体"/>
                      <w:color w:val="auto"/>
                      <w:sz w:val="28"/>
                      <w:szCs w:val="28"/>
                      <w:highlight w:val="none"/>
                    </w:rPr>
                  </w:pPr>
                  <w:r>
                    <w:rPr>
                      <w:rFonts w:hint="eastAsia" w:ascii="宋体" w:hAnsi="宋体" w:cs="宋体"/>
                      <w:bCs/>
                      <w:color w:val="auto"/>
                      <w:sz w:val="24"/>
                    </w:rPr>
                    <w:t>3</w:t>
                  </w:r>
                </w:p>
              </w:tc>
            </w:tr>
            <w:tr w14:paraId="7A4F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94CA9A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w:t>
                  </w:r>
                </w:p>
              </w:tc>
              <w:tc>
                <w:tcPr>
                  <w:tcW w:w="7790" w:type="dxa"/>
                  <w:shd w:val="clear" w:color="auto" w:fill="auto"/>
                  <w:vAlign w:val="center"/>
                </w:tcPr>
                <w:p w14:paraId="65BD1320">
                  <w:pPr>
                    <w:spacing w:line="360" w:lineRule="auto"/>
                    <w:rPr>
                      <w:rFonts w:hint="eastAsia" w:ascii="宋体" w:hAnsi="宋体" w:cs="宋体"/>
                      <w:color w:val="auto"/>
                      <w:kern w:val="0"/>
                      <w:sz w:val="24"/>
                      <w:highlight w:val="none"/>
                    </w:rPr>
                  </w:pPr>
                  <w:r>
                    <w:rPr>
                      <w:rFonts w:hint="eastAsia" w:ascii="宋体" w:hAnsi="宋体" w:cs="宋体"/>
                      <w:color w:val="auto"/>
                      <w:kern w:val="0"/>
                      <w:sz w:val="24"/>
                    </w:rPr>
                    <w:t>在满足招标文件要求的承诺质保期（1年）的基础上,每增加1年得1分，最多得2分。</w:t>
                  </w:r>
                </w:p>
              </w:tc>
              <w:tc>
                <w:tcPr>
                  <w:tcW w:w="1007" w:type="dxa"/>
                  <w:shd w:val="clear" w:color="auto" w:fill="auto"/>
                  <w:vAlign w:val="center"/>
                </w:tcPr>
                <w:p w14:paraId="7FA22D78">
                  <w:pPr>
                    <w:snapToGrid w:val="0"/>
                    <w:spacing w:line="300" w:lineRule="auto"/>
                    <w:jc w:val="center"/>
                    <w:rPr>
                      <w:rFonts w:hint="eastAsia" w:ascii="宋体" w:hAnsi="宋体" w:cs="宋体"/>
                      <w:bCs/>
                      <w:color w:val="auto"/>
                      <w:sz w:val="24"/>
                      <w:highlight w:val="none"/>
                    </w:rPr>
                  </w:pPr>
                  <w:r>
                    <w:rPr>
                      <w:rFonts w:hint="eastAsia" w:ascii="宋体" w:hAnsi="宋体" w:cs="宋体"/>
                      <w:bCs/>
                      <w:color w:val="auto"/>
                      <w:sz w:val="24"/>
                    </w:rPr>
                    <w:t>2</w:t>
                  </w:r>
                </w:p>
              </w:tc>
            </w:tr>
            <w:tr w14:paraId="103C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2C031B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2-3</w:t>
                  </w:r>
                </w:p>
              </w:tc>
              <w:tc>
                <w:tcPr>
                  <w:tcW w:w="7790" w:type="dxa"/>
                  <w:shd w:val="clear" w:color="auto" w:fill="auto"/>
                  <w:vAlign w:val="center"/>
                </w:tcPr>
                <w:p w14:paraId="46FA6EB3">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根据投标人对本项目售后服务方案进行评价：</w:t>
                  </w:r>
                </w:p>
                <w:p w14:paraId="31305FBF">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售后服务方案具有针对性，根据项目需求情况提出详细、具体、明确的服务流程、服务方式方法、服务效果、服务成果、服务验收、培训方案(培训方案至少包括①培训时间、地点及培训讲师的资历；②培训的主要内容（至少包含使用及日常维护内容）；③预期培训效果）；</w:t>
                  </w:r>
                </w:p>
                <w:p w14:paraId="10DF1BC6">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售后服务方案包含以上全部内容且内容详细、明确的得4分；</w:t>
                  </w:r>
                </w:p>
                <w:p w14:paraId="71469B5B">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售后服务方案包含以上部分内容且内容较为详细、较为明确的得2分；</w:t>
                  </w:r>
                </w:p>
                <w:p w14:paraId="5664DB71">
                  <w:pPr>
                    <w:spacing w:line="360" w:lineRule="auto"/>
                    <w:rPr>
                      <w:rFonts w:hint="eastAsia" w:ascii="宋体" w:hAnsi="宋体"/>
                      <w:color w:val="auto"/>
                      <w:sz w:val="28"/>
                      <w:szCs w:val="28"/>
                      <w:highlight w:val="none"/>
                    </w:rPr>
                  </w:pPr>
                  <w:r>
                    <w:rPr>
                      <w:rFonts w:hint="eastAsia" w:ascii="宋体" w:hAnsi="宋体" w:cs="宋体"/>
                      <w:color w:val="auto"/>
                      <w:kern w:val="0"/>
                      <w:sz w:val="24"/>
                    </w:rPr>
                    <w:t>无售后服务方案的得0分。</w:t>
                  </w:r>
                </w:p>
              </w:tc>
              <w:tc>
                <w:tcPr>
                  <w:tcW w:w="1007" w:type="dxa"/>
                  <w:shd w:val="clear" w:color="auto" w:fill="auto"/>
                  <w:vAlign w:val="center"/>
                </w:tcPr>
                <w:p w14:paraId="5F24840C">
                  <w:pPr>
                    <w:snapToGrid w:val="0"/>
                    <w:spacing w:line="300" w:lineRule="auto"/>
                    <w:jc w:val="center"/>
                    <w:rPr>
                      <w:rFonts w:hint="eastAsia" w:ascii="宋体" w:hAnsi="宋体"/>
                      <w:color w:val="auto"/>
                      <w:sz w:val="28"/>
                      <w:szCs w:val="28"/>
                      <w:highlight w:val="none"/>
                    </w:rPr>
                  </w:pPr>
                  <w:r>
                    <w:rPr>
                      <w:rFonts w:hint="eastAsia" w:ascii="宋体" w:hAnsi="宋体" w:cs="宋体"/>
                      <w:bCs/>
                      <w:color w:val="auto"/>
                      <w:sz w:val="24"/>
                    </w:rPr>
                    <w:t>4</w:t>
                  </w:r>
                </w:p>
              </w:tc>
            </w:tr>
            <w:tr w14:paraId="3B91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51D0A85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7790" w:type="dxa"/>
                  <w:shd w:val="clear" w:color="auto" w:fill="auto"/>
                  <w:vAlign w:val="center"/>
                </w:tcPr>
                <w:p w14:paraId="4714F3F3">
                  <w:pPr>
                    <w:spacing w:line="360" w:lineRule="auto"/>
                    <w:rPr>
                      <w:rFonts w:hint="eastAsia" w:ascii="宋体" w:hAnsi="宋体" w:cs="宋体"/>
                      <w:color w:val="auto"/>
                      <w:kern w:val="0"/>
                      <w:sz w:val="24"/>
                    </w:rPr>
                  </w:pPr>
                  <w:r>
                    <w:rPr>
                      <w:rFonts w:hint="eastAsia" w:ascii="宋体" w:hAnsi="宋体" w:cs="宋体"/>
                      <w:color w:val="auto"/>
                      <w:kern w:val="0"/>
                      <w:sz w:val="24"/>
                    </w:rPr>
                    <w:t>投标人或制造商自202</w:t>
                  </w:r>
                  <w:r>
                    <w:rPr>
                      <w:rFonts w:hint="eastAsia" w:ascii="宋体" w:hAnsi="宋体" w:cs="宋体"/>
                      <w:color w:val="auto"/>
                      <w:kern w:val="0"/>
                      <w:sz w:val="24"/>
                      <w:lang w:val="en-US" w:eastAsia="zh-CN"/>
                    </w:rPr>
                    <w:t>1</w:t>
                  </w:r>
                  <w:r>
                    <w:rPr>
                      <w:rFonts w:hint="eastAsia" w:ascii="宋体" w:hAnsi="宋体" w:cs="宋体"/>
                      <w:color w:val="auto"/>
                      <w:kern w:val="0"/>
                      <w:sz w:val="24"/>
                    </w:rPr>
                    <w:t>年1月1日至开标当日类似项目的业绩，每提供一个得1分，满分3分。投标人须提供该业绩项目的①中标（成交）公告（提供相关网站中标（成交）公告的下载网页及其网址）②中标（成交）通知书复印件③采购合同文本复印件④以及能够证明该业绩项目已经采购人验收合格的相关证明文件复印件，原件备查；如未按招标文件要求提供该项业绩完整资料的，评委对该项业绩应不予采信。</w:t>
                  </w:r>
                </w:p>
              </w:tc>
              <w:tc>
                <w:tcPr>
                  <w:tcW w:w="1007" w:type="dxa"/>
                  <w:shd w:val="clear" w:color="auto" w:fill="auto"/>
                  <w:vAlign w:val="center"/>
                </w:tcPr>
                <w:p w14:paraId="75847346">
                  <w:pPr>
                    <w:snapToGrid w:val="0"/>
                    <w:spacing w:line="300" w:lineRule="auto"/>
                    <w:jc w:val="center"/>
                    <w:rPr>
                      <w:rFonts w:hint="eastAsia" w:ascii="宋体" w:hAnsi="宋体" w:cs="宋体"/>
                      <w:bCs/>
                      <w:color w:val="auto"/>
                      <w:sz w:val="24"/>
                    </w:rPr>
                  </w:pPr>
                  <w:r>
                    <w:rPr>
                      <w:rFonts w:hint="eastAsia" w:ascii="宋体" w:hAnsi="宋体" w:cs="宋体"/>
                      <w:bCs/>
                      <w:color w:val="auto"/>
                      <w:sz w:val="24"/>
                    </w:rPr>
                    <w:t>3</w:t>
                  </w:r>
                </w:p>
              </w:tc>
            </w:tr>
            <w:tr w14:paraId="0381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64C9D4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7790" w:type="dxa"/>
                  <w:shd w:val="clear" w:color="auto" w:fill="auto"/>
                  <w:vAlign w:val="center"/>
                </w:tcPr>
                <w:p w14:paraId="245C9BEB">
                  <w:pPr>
                    <w:spacing w:line="360" w:lineRule="auto"/>
                    <w:rPr>
                      <w:rFonts w:hint="eastAsia" w:ascii="宋体" w:hAnsi="宋体" w:cs="宋体"/>
                      <w:kern w:val="0"/>
                      <w:sz w:val="24"/>
                      <w:szCs w:val="22"/>
                    </w:rPr>
                  </w:pPr>
                  <w:r>
                    <w:rPr>
                      <w:rFonts w:hint="eastAsia" w:ascii="宋体" w:hAnsi="宋体" w:cs="宋体"/>
                      <w:kern w:val="0"/>
                      <w:sz w:val="24"/>
                      <w:szCs w:val="22"/>
                    </w:rPr>
                    <w:t>投标人所投产品制造商可提供厦门市本地化服务（需在厦门市内配备专业维修工程师）的，得</w:t>
                  </w:r>
                  <w:r>
                    <w:rPr>
                      <w:rFonts w:hint="eastAsia" w:ascii="宋体" w:hAnsi="宋体" w:cs="宋体"/>
                      <w:kern w:val="0"/>
                      <w:sz w:val="24"/>
                      <w:szCs w:val="22"/>
                      <w:lang w:val="en-US" w:eastAsia="zh-CN"/>
                    </w:rPr>
                    <w:t>3</w:t>
                  </w:r>
                  <w:r>
                    <w:rPr>
                      <w:rFonts w:hint="eastAsia" w:ascii="宋体" w:hAnsi="宋体" w:cs="宋体"/>
                      <w:kern w:val="0"/>
                      <w:sz w:val="24"/>
                      <w:szCs w:val="22"/>
                    </w:rPr>
                    <w:t>分；可提供福建省本地化服务（需在福建省内配备专业维修工程师）的，得</w:t>
                  </w:r>
                  <w:r>
                    <w:rPr>
                      <w:rFonts w:hint="eastAsia" w:ascii="宋体" w:hAnsi="宋体" w:cs="宋体"/>
                      <w:kern w:val="0"/>
                      <w:sz w:val="24"/>
                      <w:szCs w:val="22"/>
                      <w:lang w:val="en-US" w:eastAsia="zh-CN"/>
                    </w:rPr>
                    <w:t>2</w:t>
                  </w:r>
                  <w:r>
                    <w:rPr>
                      <w:rFonts w:hint="eastAsia" w:ascii="宋体" w:hAnsi="宋体" w:cs="宋体"/>
                      <w:kern w:val="0"/>
                      <w:sz w:val="24"/>
                      <w:szCs w:val="22"/>
                    </w:rPr>
                    <w:t>分；</w:t>
                  </w:r>
                </w:p>
                <w:p w14:paraId="17483B9A">
                  <w:pPr>
                    <w:spacing w:line="360" w:lineRule="auto"/>
                    <w:rPr>
                      <w:rFonts w:hint="eastAsia" w:ascii="宋体" w:hAnsi="宋体" w:cs="宋体"/>
                      <w:kern w:val="0"/>
                      <w:sz w:val="24"/>
                      <w:szCs w:val="22"/>
                    </w:rPr>
                  </w:pPr>
                  <w:r>
                    <w:rPr>
                      <w:rFonts w:hint="eastAsia" w:ascii="宋体" w:hAnsi="宋体" w:cs="宋体"/>
                      <w:kern w:val="0"/>
                      <w:sz w:val="24"/>
                      <w:szCs w:val="22"/>
                    </w:rPr>
                    <w:t>投标人需提供以下证明材料：</w:t>
                  </w:r>
                </w:p>
                <w:p w14:paraId="664F4010">
                  <w:pPr>
                    <w:spacing w:line="360" w:lineRule="auto"/>
                    <w:rPr>
                      <w:rFonts w:hint="eastAsia" w:ascii="宋体" w:hAnsi="宋体" w:cs="宋体"/>
                      <w:kern w:val="0"/>
                      <w:sz w:val="24"/>
                      <w:szCs w:val="22"/>
                    </w:rPr>
                  </w:pPr>
                  <w:r>
                    <w:rPr>
                      <w:rFonts w:hint="eastAsia" w:ascii="宋体" w:hAnsi="宋体" w:cs="宋体"/>
                      <w:kern w:val="0"/>
                      <w:sz w:val="24"/>
                      <w:szCs w:val="22"/>
                    </w:rPr>
                    <w:t>（1）提供所投产品制造商在厦门（或福建）的营业执照证明，也可以提供在本地设立的项目部、办公室、办事处等机构证明，或者承诺制造商在中标后15个工作日内在本地设立本地化服务机构。</w:t>
                  </w:r>
                </w:p>
                <w:p w14:paraId="0D421A7E">
                  <w:pPr>
                    <w:spacing w:line="360" w:lineRule="auto"/>
                    <w:rPr>
                      <w:rFonts w:ascii="宋体" w:hAnsi="宋体" w:cs="宋体"/>
                      <w:color w:val="auto"/>
                      <w:kern w:val="0"/>
                      <w:sz w:val="24"/>
                      <w:szCs w:val="24"/>
                      <w:highlight w:val="none"/>
                    </w:rPr>
                  </w:pPr>
                  <w:r>
                    <w:rPr>
                      <w:rFonts w:hint="eastAsia" w:ascii="宋体" w:hAnsi="宋体" w:cs="宋体"/>
                      <w:kern w:val="0"/>
                      <w:sz w:val="24"/>
                      <w:szCs w:val="22"/>
                    </w:rPr>
                    <w:t>（2）提供本地化服务的专业维修工程师的基本信息（至少包含：姓名、身份证号码、联系方式、学历）、身份证复印件及专业能力证明材料（相关专业能力证书）。</w:t>
                  </w:r>
                </w:p>
                <w:p w14:paraId="5C597E4D">
                  <w:pPr>
                    <w:spacing w:line="360" w:lineRule="auto"/>
                    <w:rPr>
                      <w:rFonts w:hint="eastAsia" w:ascii="宋体" w:hAnsi="宋体" w:cs="宋体"/>
                      <w:color w:val="auto"/>
                      <w:kern w:val="0"/>
                      <w:sz w:val="24"/>
                    </w:rPr>
                  </w:pPr>
                  <w:r>
                    <w:rPr>
                      <w:rFonts w:hint="eastAsia" w:ascii="宋体" w:hAnsi="宋体" w:cs="宋体"/>
                      <w:color w:val="auto"/>
                      <w:kern w:val="0"/>
                      <w:sz w:val="24"/>
                      <w:szCs w:val="24"/>
                      <w:highlight w:val="none"/>
                    </w:rPr>
                    <w:t>未提供或不满足得0分。</w:t>
                  </w:r>
                </w:p>
              </w:tc>
              <w:tc>
                <w:tcPr>
                  <w:tcW w:w="1007" w:type="dxa"/>
                  <w:shd w:val="clear" w:color="auto" w:fill="auto"/>
                  <w:vAlign w:val="center"/>
                </w:tcPr>
                <w:p w14:paraId="4854BE3D">
                  <w:pPr>
                    <w:snapToGrid w:val="0"/>
                    <w:spacing w:line="300" w:lineRule="auto"/>
                    <w:jc w:val="center"/>
                    <w:rPr>
                      <w:rFonts w:hint="eastAsia" w:ascii="宋体" w:hAnsi="宋体" w:cs="宋体"/>
                      <w:bCs/>
                      <w:color w:val="auto"/>
                      <w:sz w:val="24"/>
                    </w:rPr>
                  </w:pPr>
                  <w:r>
                    <w:rPr>
                      <w:rFonts w:hint="eastAsia" w:ascii="宋体" w:hAnsi="宋体" w:cs="宋体"/>
                      <w:bCs/>
                      <w:color w:val="auto"/>
                      <w:sz w:val="24"/>
                    </w:rPr>
                    <w:t>3</w:t>
                  </w:r>
                </w:p>
              </w:tc>
            </w:tr>
          </w:tbl>
          <w:p w14:paraId="7109092E">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3、价格因素F3（满分</w:t>
            </w:r>
            <w:r>
              <w:rPr>
                <w:rFonts w:hint="eastAsia" w:ascii="宋体" w:hAnsi="宋体" w:cs="宋体"/>
                <w:b/>
                <w:bCs/>
                <w:color w:val="auto"/>
                <w:sz w:val="24"/>
                <w:szCs w:val="24"/>
                <w:highlight w:val="none"/>
                <w:lang w:val="en-US" w:eastAsia="zh-CN"/>
              </w:rPr>
              <w:t>35</w:t>
            </w:r>
            <w:r>
              <w:rPr>
                <w:rFonts w:hint="eastAsia" w:ascii="宋体" w:hAnsi="宋体" w:cs="宋体"/>
                <w:b/>
                <w:bCs/>
                <w:color w:val="auto"/>
                <w:sz w:val="24"/>
                <w:szCs w:val="24"/>
                <w:highlight w:val="none"/>
              </w:rPr>
              <w:t>分）</w:t>
            </w:r>
          </w:p>
          <w:p w14:paraId="3FD3D61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在满足招标要求的投标中，取最低有效报价为评标基准价，各有效投标报价得分=评标基准价/投标报价×</w:t>
            </w:r>
            <w:r>
              <w:rPr>
                <w:rFonts w:hint="eastAsia" w:ascii="宋体" w:hAnsi="宋体" w:cs="宋体"/>
                <w:color w:val="auto"/>
                <w:sz w:val="24"/>
                <w:szCs w:val="24"/>
                <w:highlight w:val="none"/>
                <w:lang w:val="en-US" w:eastAsia="zh-CN"/>
              </w:rPr>
              <w:t>35</w:t>
            </w:r>
            <w:r>
              <w:rPr>
                <w:rFonts w:hint="eastAsia" w:ascii="宋体" w:hAnsi="宋体" w:cs="宋体"/>
                <w:color w:val="auto"/>
                <w:sz w:val="24"/>
                <w:szCs w:val="24"/>
                <w:highlight w:val="none"/>
              </w:rPr>
              <w:t>。</w:t>
            </w:r>
          </w:p>
          <w:p w14:paraId="0E0DB5C3">
            <w:pPr>
              <w:pStyle w:val="39"/>
              <w:ind w:firstLine="480" w:firstLineChars="200"/>
              <w:rPr>
                <w:rFonts w:hint="eastAsia" w:hAnsi="宋体" w:cs="宋体"/>
                <w:color w:val="auto"/>
                <w:highlight w:val="none"/>
              </w:rPr>
            </w:pPr>
            <w:r>
              <w:rPr>
                <w:rFonts w:hint="eastAsia" w:hAnsi="宋体" w:cs="宋体"/>
                <w:color w:val="auto"/>
                <w:highlight w:val="none"/>
              </w:rPr>
              <w:t>因落实政府采购政策需进行价格扣除的，以扣除后的价格参与价格因素的计算。</w:t>
            </w:r>
          </w:p>
          <w:p w14:paraId="6A395E4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4、优先类节能产品、环境标志产品的价格扣除规则如下</w:t>
            </w:r>
          </w:p>
          <w:tbl>
            <w:tblPr>
              <w:tblStyle w:val="28"/>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6"/>
              <w:gridCol w:w="1158"/>
              <w:gridCol w:w="7319"/>
            </w:tblGrid>
            <w:tr w14:paraId="0E22D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1" w:type="pct"/>
                </w:tcPr>
                <w:p w14:paraId="099B0F09">
                  <w:pPr>
                    <w:pStyle w:val="66"/>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项目</w:t>
                  </w:r>
                </w:p>
              </w:tc>
              <w:tc>
                <w:tcPr>
                  <w:tcW w:w="595" w:type="pct"/>
                </w:tcPr>
                <w:p w14:paraId="50E32203">
                  <w:pPr>
                    <w:pStyle w:val="66"/>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比例</w:t>
                  </w:r>
                </w:p>
              </w:tc>
              <w:tc>
                <w:tcPr>
                  <w:tcW w:w="3762" w:type="pct"/>
                </w:tcPr>
                <w:p w14:paraId="69383454">
                  <w:pPr>
                    <w:pStyle w:val="66"/>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方法</w:t>
                  </w:r>
                </w:p>
              </w:tc>
            </w:tr>
            <w:tr w14:paraId="3F8CF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1" w:type="pct"/>
                  <w:vAlign w:val="center"/>
                </w:tcPr>
                <w:p w14:paraId="1C2641F7">
                  <w:pPr>
                    <w:pStyle w:val="66"/>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节能、环境标志产品</w:t>
                  </w:r>
                </w:p>
              </w:tc>
              <w:tc>
                <w:tcPr>
                  <w:tcW w:w="595" w:type="pct"/>
                  <w:vAlign w:val="center"/>
                </w:tcPr>
                <w:p w14:paraId="09DFA587">
                  <w:pPr>
                    <w:pStyle w:val="66"/>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.00%</w:t>
                  </w:r>
                </w:p>
              </w:tc>
              <w:tc>
                <w:tcPr>
                  <w:tcW w:w="3762" w:type="pct"/>
                  <w:vAlign w:val="center"/>
                </w:tcPr>
                <w:p w14:paraId="387994CF">
                  <w:pPr>
                    <w:pStyle w:val="66"/>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1.同一采购包内，对节能产品、环境标志产品政府采购品目清单范围内，实施优先采购的产品，给予产品价格报价1</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的扣除，用扣除后的价格参加评审。采购标的同时包含其它非优先采购产品的，应当在投标文件中对优先采购产品和非优先采购产品进行分项报价，非优先采购产品的报价不得享受给予节能产品、环境标志产品的价格扣除优惠。 2.同一优先采购产品中各认证证书不重复计算价格扣除。强制类节能产品不进行价格扣除。 3.投标人应分别明确节能或环境标志产品的名称、数量、分项报价、总报价并提供国家确定的认证机构出具的且处于有效期之内的产品认证证书扫描件，否则不予价格扣除。【国家确定的认证机构详见“市场监管总局关于发布参与实施政府采购节能产品、环境标志产品认证机构名录的公告”（2019年第16号）】此外，若投标人对节能或环境标志产品的报价明显高于其他同类产品的报价，投标人应按评标委员会要求作出说明并提供相关证明材料，不能合理说明或不能提供相关证明材料的，不予价格扣除。 e.若节能、环境标志产品仅是构成投标产品的部件、组件或零件，则该投标产品不享受鼓励优惠政策。</w:t>
                  </w:r>
                </w:p>
              </w:tc>
            </w:tr>
          </w:tbl>
          <w:p w14:paraId="3404438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5、各有效投标人的综合得分＝技术因素＋商务因素＋价格因素</w:t>
            </w:r>
          </w:p>
          <w:p w14:paraId="3933BDA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38805A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由于评分主要根据投标文件提供的资料进行，投标人须自行承担由于资料提供不全、错漏、或者无效而导致的不利评审，并对自身提供的投标文件、资料的真实可靠性负责，所有证明材料均应加盖投标人公章。</w:t>
            </w:r>
          </w:p>
          <w:p w14:paraId="54CC284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根据各评委的评分结果，在计算投标人技术、商务综合得分时，对评委的技术部分及商务部分的评分分值分别汇总，进行算术平均，计算出各有效投标人的技术因素得分及商务因素得分，最后根据各有效投标人的最后综合得分公式计算其综合得分。</w:t>
            </w:r>
          </w:p>
          <w:p w14:paraId="7DA26141">
            <w:pPr>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（二）推荐中标候选人名单。</w:t>
            </w:r>
          </w:p>
          <w:p w14:paraId="01317B85">
            <w:pPr>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1、中标候选人数量：</w:t>
            </w: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rPr>
              <w:t>个。</w:t>
            </w:r>
          </w:p>
          <w:p w14:paraId="01960802">
            <w:pPr>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2、中标候选人排列顺序。经投标文件初审、澄清有关问题、比较与评价评标程序后，按以下办法推荐中标候选人名单的排列顺序：</w:t>
            </w:r>
          </w:p>
          <w:p w14:paraId="641FDE40">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（1）按评审后综合得分由高到低顺序排列。</w:t>
            </w:r>
          </w:p>
          <w:p w14:paraId="2183DC9C">
            <w:pPr>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（2）综合得分相同时，按投标报价由低到高顺序排列。</w:t>
            </w:r>
          </w:p>
          <w:p w14:paraId="3BB08745">
            <w:pPr>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（3）综合得分且投标报价相同的并列，按技术项得分由高到低顺序排列。</w:t>
            </w:r>
          </w:p>
          <w:p w14:paraId="6C074ECF">
            <w:pPr>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（4）综合得分、投标报价及技术项得分均相同的并列，由采购人或采购人委托评标委员会按随机抽取方式确定中标候选人。</w:t>
            </w:r>
          </w:p>
        </w:tc>
      </w:tr>
      <w:tr w14:paraId="1375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9835" w:type="dxa"/>
            <w:tcBorders>
              <w:top w:val="single" w:color="auto" w:sz="4" w:space="0"/>
              <w:left w:val="single" w:color="auto" w:sz="4" w:space="0"/>
              <w:bottom w:val="single" w:color="auto" w:sz="4" w:space="0"/>
              <w:right w:val="single" w:color="auto" w:sz="4" w:space="0"/>
            </w:tcBorders>
            <w:noWrap/>
          </w:tcPr>
          <w:p w14:paraId="14E57A80">
            <w:pPr>
              <w:snapToGrid w:val="0"/>
              <w:spacing w:line="360" w:lineRule="auto"/>
              <w:rPr>
                <w:rFonts w:ascii="宋体"/>
                <w:color w:val="auto"/>
                <w:sz w:val="24"/>
                <w:szCs w:val="24"/>
                <w:highlight w:val="none"/>
              </w:rPr>
            </w:pPr>
            <w:r>
              <w:rPr>
                <w:rFonts w:hint="eastAsia" w:ascii="宋体"/>
                <w:color w:val="auto"/>
                <w:sz w:val="24"/>
                <w:szCs w:val="24"/>
                <w:highlight w:val="none"/>
              </w:rPr>
              <w:t>三、定标原则：</w:t>
            </w:r>
          </w:p>
          <w:p w14:paraId="5974E252">
            <w:pPr>
              <w:tabs>
                <w:tab w:val="left" w:pos="1080"/>
              </w:tabs>
              <w:spacing w:line="360" w:lineRule="auto"/>
              <w:ind w:firstLine="480" w:firstLineChars="200"/>
              <w:rPr>
                <w:rFonts w:ascii="宋体"/>
                <w:color w:val="auto"/>
                <w:sz w:val="24"/>
                <w:highlight w:val="none"/>
              </w:rPr>
            </w:pPr>
            <w:r>
              <w:rPr>
                <w:rFonts w:hint="eastAsia" w:ascii="宋体"/>
                <w:color w:val="auto"/>
                <w:sz w:val="24"/>
                <w:highlight w:val="none"/>
              </w:rPr>
              <w:t>1、采购代理机构在评标结束后2个工作日内将评标报告送采购人。</w:t>
            </w:r>
          </w:p>
          <w:p w14:paraId="24468D4C">
            <w:pPr>
              <w:tabs>
                <w:tab w:val="left" w:pos="1080"/>
              </w:tabs>
              <w:spacing w:line="360" w:lineRule="auto"/>
              <w:ind w:firstLine="480" w:firstLineChars="200"/>
              <w:rPr>
                <w:rFonts w:ascii="宋体"/>
                <w:color w:val="auto"/>
                <w:sz w:val="24"/>
                <w:highlight w:val="none"/>
              </w:rPr>
            </w:pPr>
            <w:r>
              <w:rPr>
                <w:rFonts w:hint="eastAsia" w:ascii="宋体"/>
                <w:color w:val="auto"/>
                <w:sz w:val="24"/>
                <w:highlight w:val="none"/>
              </w:rPr>
              <w:t>2、采购人自收到评标报告之日起5个工作日内，</w:t>
            </w:r>
            <w:r>
              <w:rPr>
                <w:rFonts w:ascii="宋体"/>
                <w:color w:val="auto"/>
                <w:sz w:val="24"/>
                <w:highlight w:val="none"/>
              </w:rPr>
              <w:t>在评标报告确定的中标候选人名单中按顺序确定</w:t>
            </w:r>
            <w:r>
              <w:rPr>
                <w:rFonts w:hint="eastAsia" w:ascii="宋体"/>
                <w:color w:val="auto"/>
                <w:sz w:val="24"/>
                <w:highlight w:val="none"/>
              </w:rPr>
              <w:t>一位中标人。</w:t>
            </w:r>
          </w:p>
          <w:p w14:paraId="2B0008AF">
            <w:pPr>
              <w:tabs>
                <w:tab w:val="left" w:pos="1080"/>
              </w:tabs>
              <w:spacing w:line="360" w:lineRule="auto"/>
              <w:ind w:firstLine="480" w:firstLineChars="200"/>
              <w:rPr>
                <w:rFonts w:ascii="宋体"/>
                <w:color w:val="auto"/>
                <w:sz w:val="24"/>
                <w:highlight w:val="none"/>
              </w:rPr>
            </w:pPr>
            <w:r>
              <w:rPr>
                <w:rFonts w:hint="eastAsia" w:ascii="宋体"/>
                <w:color w:val="auto"/>
                <w:sz w:val="24"/>
                <w:highlight w:val="none"/>
              </w:rPr>
              <w:t>3、采购代理机构在中标人确定之日起2个工作日内，在指定相关媒体上公告中标结果（</w:t>
            </w:r>
            <w:r>
              <w:rPr>
                <w:rFonts w:ascii="宋体"/>
                <w:color w:val="auto"/>
                <w:sz w:val="24"/>
                <w:highlight w:val="none"/>
              </w:rPr>
              <w:t>中标公告期限为1个工作日</w:t>
            </w:r>
            <w:r>
              <w:rPr>
                <w:rFonts w:hint="eastAsia" w:ascii="宋体"/>
                <w:color w:val="auto"/>
                <w:sz w:val="24"/>
                <w:highlight w:val="none"/>
              </w:rPr>
              <w:t>）及招标文件，并发出中标通知书，请投标人关注。</w:t>
            </w:r>
          </w:p>
          <w:p w14:paraId="566CC470">
            <w:pPr>
              <w:snapToGrid w:val="0"/>
              <w:spacing w:line="360" w:lineRule="auto"/>
              <w:ind w:firstLine="480" w:firstLineChars="200"/>
              <w:rPr>
                <w:rFonts w:ascii="宋体"/>
                <w:color w:val="auto"/>
                <w:sz w:val="24"/>
                <w:szCs w:val="24"/>
                <w:highlight w:val="none"/>
              </w:rPr>
            </w:pPr>
            <w:r>
              <w:rPr>
                <w:rFonts w:hint="eastAsia" w:ascii="宋体"/>
                <w:color w:val="auto"/>
                <w:sz w:val="24"/>
                <w:highlight w:val="none"/>
              </w:rPr>
              <w:t>4、中标通知书发出后，中标人拒绝与采购人签订合同的，采购人可以按照评审报告推荐的中标候选人名单排序，确定下一候选人为中标人，也可以重新开展采购活动。</w:t>
            </w:r>
          </w:p>
        </w:tc>
      </w:tr>
    </w:tbl>
    <w:p w14:paraId="61C1A271">
      <w:pPr>
        <w:pStyle w:val="3"/>
        <w:pageBreakBefore/>
        <w:numPr>
          <w:ilvl w:val="0"/>
          <w:numId w:val="0"/>
        </w:numPr>
        <w:spacing w:before="0" w:after="0" w:line="360" w:lineRule="auto"/>
        <w:rPr>
          <w:rFonts w:ascii="宋体"/>
          <w:b w:val="0"/>
          <w:color w:val="auto"/>
          <w:highlight w:val="none"/>
        </w:rPr>
      </w:pPr>
      <w:bookmarkStart w:id="50" w:name="_Toc8664"/>
      <w:r>
        <w:rPr>
          <w:rFonts w:hint="eastAsia" w:ascii="宋体"/>
          <w:color w:val="auto"/>
          <w:sz w:val="28"/>
          <w:szCs w:val="28"/>
          <w:highlight w:val="none"/>
        </w:rPr>
        <w:t>投标人须知前附表4：中小企业、监狱企业及残疾人福利性单位优惠办法</w:t>
      </w:r>
      <w:bookmarkEnd w:id="33"/>
      <w:bookmarkEnd w:id="34"/>
      <w:bookmarkEnd w:id="35"/>
      <w:bookmarkEnd w:id="36"/>
      <w:bookmarkEnd w:id="37"/>
      <w:bookmarkEnd w:id="38"/>
      <w:bookmarkEnd w:id="39"/>
      <w:bookmarkEnd w:id="40"/>
      <w:bookmarkEnd w:id="41"/>
      <w:bookmarkEnd w:id="42"/>
      <w:bookmarkEnd w:id="43"/>
      <w:bookmarkEnd w:id="50"/>
    </w:p>
    <w:tbl>
      <w:tblPr>
        <w:tblStyle w:val="2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520"/>
        <w:gridCol w:w="5986"/>
      </w:tblGrid>
      <w:tr w14:paraId="3409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08" w:type="dxa"/>
            <w:vAlign w:val="center"/>
          </w:tcPr>
          <w:p w14:paraId="60DB1475">
            <w:pPr>
              <w:spacing w:line="360" w:lineRule="auto"/>
              <w:jc w:val="center"/>
              <w:rPr>
                <w:rFonts w:hint="eastAsia" w:ascii="宋体" w:hAnsi="宋体"/>
                <w:color w:val="auto"/>
                <w:sz w:val="24"/>
                <w:highlight w:val="none"/>
              </w:rPr>
            </w:pPr>
            <w:r>
              <w:rPr>
                <w:rFonts w:hint="eastAsia" w:ascii="宋体" w:hAnsi="宋体"/>
                <w:color w:val="auto"/>
                <w:sz w:val="24"/>
                <w:highlight w:val="none"/>
              </w:rPr>
              <w:t>序号</w:t>
            </w:r>
          </w:p>
        </w:tc>
        <w:tc>
          <w:tcPr>
            <w:tcW w:w="2520" w:type="dxa"/>
            <w:vAlign w:val="center"/>
          </w:tcPr>
          <w:p w14:paraId="625D6C0A">
            <w:pPr>
              <w:spacing w:line="360" w:lineRule="auto"/>
              <w:jc w:val="center"/>
              <w:rPr>
                <w:rFonts w:hint="eastAsia" w:ascii="宋体" w:hAnsi="宋体"/>
                <w:color w:val="auto"/>
                <w:sz w:val="24"/>
                <w:highlight w:val="none"/>
              </w:rPr>
            </w:pPr>
            <w:r>
              <w:rPr>
                <w:rFonts w:hint="eastAsia" w:ascii="宋体" w:hAnsi="宋体"/>
                <w:color w:val="auto"/>
                <w:sz w:val="24"/>
                <w:highlight w:val="none"/>
              </w:rPr>
              <w:t>项目</w:t>
            </w:r>
          </w:p>
        </w:tc>
        <w:tc>
          <w:tcPr>
            <w:tcW w:w="5986" w:type="dxa"/>
            <w:vAlign w:val="center"/>
          </w:tcPr>
          <w:p w14:paraId="1328AC8D">
            <w:pPr>
              <w:spacing w:line="360" w:lineRule="auto"/>
              <w:jc w:val="center"/>
              <w:rPr>
                <w:rFonts w:hint="eastAsia" w:ascii="宋体" w:hAnsi="宋体"/>
                <w:color w:val="auto"/>
                <w:sz w:val="24"/>
                <w:highlight w:val="none"/>
              </w:rPr>
            </w:pPr>
            <w:r>
              <w:rPr>
                <w:rFonts w:hint="eastAsia" w:ascii="宋体" w:hAnsi="宋体"/>
                <w:color w:val="auto"/>
                <w:sz w:val="24"/>
                <w:highlight w:val="none"/>
              </w:rPr>
              <w:t>具体内容</w:t>
            </w:r>
          </w:p>
        </w:tc>
      </w:tr>
      <w:tr w14:paraId="0498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708" w:type="dxa"/>
            <w:vAlign w:val="center"/>
          </w:tcPr>
          <w:p w14:paraId="484EB4ED">
            <w:pPr>
              <w:spacing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2520" w:type="dxa"/>
            <w:vAlign w:val="center"/>
          </w:tcPr>
          <w:p w14:paraId="5A749882">
            <w:pPr>
              <w:spacing w:line="360" w:lineRule="auto"/>
              <w:jc w:val="center"/>
              <w:rPr>
                <w:rFonts w:hint="eastAsia" w:ascii="宋体" w:hAnsi="宋体"/>
                <w:b/>
                <w:color w:val="auto"/>
                <w:sz w:val="24"/>
                <w:highlight w:val="none"/>
              </w:rPr>
            </w:pPr>
            <w:r>
              <w:rPr>
                <w:rFonts w:hint="eastAsia" w:ascii="宋体" w:hAnsi="宋体"/>
                <w:b/>
                <w:color w:val="auto"/>
                <w:sz w:val="24"/>
                <w:highlight w:val="none"/>
              </w:rPr>
              <w:t>本项目是否属于专门面向中小企业和监狱企业的政府采购活动：</w:t>
            </w:r>
          </w:p>
        </w:tc>
        <w:tc>
          <w:tcPr>
            <w:tcW w:w="5986" w:type="dxa"/>
            <w:vAlign w:val="center"/>
          </w:tcPr>
          <w:p w14:paraId="026C71F9">
            <w:pPr>
              <w:spacing w:line="360" w:lineRule="auto"/>
              <w:rPr>
                <w:rFonts w:hint="eastAsia" w:ascii="宋体" w:hAnsi="宋体"/>
                <w:color w:val="auto"/>
                <w:sz w:val="24"/>
                <w:highlight w:val="none"/>
              </w:rPr>
            </w:pPr>
            <w:r>
              <w:rPr>
                <w:rFonts w:hint="eastAsia" w:ascii="宋体" w:hAnsi="宋体"/>
                <w:color w:val="auto"/>
                <w:sz w:val="24"/>
                <w:highlight w:val="none"/>
              </w:rPr>
              <w:sym w:font="Wingdings" w:char="F0FE"/>
            </w:r>
            <w:r>
              <w:rPr>
                <w:rFonts w:hint="eastAsia" w:ascii="宋体" w:hAnsi="宋体"/>
                <w:b/>
                <w:color w:val="auto"/>
                <w:sz w:val="24"/>
                <w:highlight w:val="none"/>
              </w:rPr>
              <w:t>否</w:t>
            </w:r>
          </w:p>
          <w:p w14:paraId="20FD9719">
            <w:pPr>
              <w:spacing w:line="360" w:lineRule="auto"/>
              <w:rPr>
                <w:rFonts w:hint="eastAsia" w:ascii="宋体" w:hAnsi="宋体" w:cs="宋体"/>
                <w:color w:val="auto"/>
                <w:kern w:val="0"/>
                <w:sz w:val="24"/>
                <w:highlight w:val="none"/>
              </w:rPr>
            </w:pPr>
            <w:r>
              <w:rPr>
                <w:rFonts w:hint="eastAsia" w:ascii="宋体" w:hAnsi="宋体"/>
                <w:color w:val="auto"/>
                <w:sz w:val="24"/>
                <w:highlight w:val="none"/>
              </w:rPr>
              <w:t>（</w:t>
            </w:r>
            <w:r>
              <w:rPr>
                <w:rFonts w:hint="eastAsia" w:ascii="宋体" w:hAnsi="宋体" w:cs="宋体"/>
                <w:color w:val="auto"/>
                <w:kern w:val="0"/>
                <w:sz w:val="24"/>
                <w:highlight w:val="none"/>
              </w:rPr>
              <w:t>监狱企业视同小型、微型企业）</w:t>
            </w:r>
          </w:p>
          <w:p w14:paraId="45676B96">
            <w:pPr>
              <w:spacing w:line="360" w:lineRule="auto"/>
              <w:rPr>
                <w:rFonts w:hint="eastAsia" w:ascii="宋体" w:hAnsi="宋体"/>
                <w:color w:val="auto"/>
                <w:sz w:val="24"/>
                <w:highlight w:val="none"/>
              </w:rPr>
            </w:pPr>
            <w:r>
              <w:rPr>
                <w:rFonts w:hint="eastAsia" w:ascii="宋体" w:hAnsi="宋体" w:cs="宋体"/>
                <w:b/>
                <w:color w:val="auto"/>
                <w:kern w:val="0"/>
                <w:sz w:val="24"/>
                <w:highlight w:val="none"/>
              </w:rPr>
              <w:t>本项目面向中小企业所属行业类型：</w:t>
            </w:r>
            <w:r>
              <w:rPr>
                <w:rFonts w:hint="eastAsia" w:ascii="宋体" w:hAnsi="宋体" w:cs="宋体"/>
                <w:color w:val="auto"/>
                <w:kern w:val="0"/>
                <w:sz w:val="24"/>
                <w:highlight w:val="none"/>
              </w:rPr>
              <w:t>工业</w:t>
            </w:r>
          </w:p>
        </w:tc>
      </w:tr>
      <w:tr w14:paraId="0984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8" w:type="dxa"/>
            <w:vAlign w:val="center"/>
          </w:tcPr>
          <w:p w14:paraId="709FE89B">
            <w:pPr>
              <w:spacing w:line="360" w:lineRule="auto"/>
              <w:jc w:val="center"/>
              <w:rPr>
                <w:rFonts w:hint="eastAsia" w:ascii="宋体" w:hAnsi="宋体"/>
                <w:b/>
                <w:color w:val="auto"/>
                <w:sz w:val="24"/>
                <w:highlight w:val="none"/>
              </w:rPr>
            </w:pPr>
            <w:r>
              <w:rPr>
                <w:rFonts w:hint="eastAsia" w:ascii="宋体" w:hAnsi="宋体"/>
                <w:b/>
                <w:color w:val="auto"/>
                <w:sz w:val="24"/>
                <w:highlight w:val="none"/>
              </w:rPr>
              <w:t>2</w:t>
            </w:r>
          </w:p>
        </w:tc>
        <w:tc>
          <w:tcPr>
            <w:tcW w:w="2520" w:type="dxa"/>
            <w:vAlign w:val="center"/>
          </w:tcPr>
          <w:p w14:paraId="2947FF4B">
            <w:pPr>
              <w:spacing w:line="360" w:lineRule="auto"/>
              <w:jc w:val="center"/>
              <w:rPr>
                <w:rFonts w:hint="eastAsia" w:ascii="宋体" w:hAnsi="宋体"/>
                <w:color w:val="auto"/>
                <w:sz w:val="24"/>
                <w:highlight w:val="none"/>
              </w:rPr>
            </w:pPr>
            <w:r>
              <w:rPr>
                <w:rFonts w:hint="eastAsia" w:ascii="宋体" w:hAnsi="宋体"/>
                <w:b/>
                <w:color w:val="auto"/>
                <w:sz w:val="24"/>
                <w:highlight w:val="none"/>
              </w:rPr>
              <w:t>中小企业扶持政策标准</w:t>
            </w:r>
          </w:p>
        </w:tc>
        <w:tc>
          <w:tcPr>
            <w:tcW w:w="5986" w:type="dxa"/>
          </w:tcPr>
          <w:p w14:paraId="1829CDC3">
            <w:pPr>
              <w:spacing w:line="360" w:lineRule="auto"/>
              <w:rPr>
                <w:rFonts w:hint="eastAsia" w:ascii="宋体" w:hAnsi="宋体"/>
                <w:color w:val="auto"/>
                <w:sz w:val="24"/>
                <w:highlight w:val="none"/>
              </w:rPr>
            </w:pPr>
            <w:r>
              <w:rPr>
                <w:rFonts w:hint="eastAsia" w:ascii="宋体" w:hAnsi="宋体"/>
                <w:b/>
                <w:color w:val="auto"/>
                <w:sz w:val="24"/>
                <w:highlight w:val="none"/>
              </w:rPr>
              <w:t>（1）若本项目为专门面向中小企业采购的货物类项目</w:t>
            </w:r>
            <w:r>
              <w:rPr>
                <w:rFonts w:hint="eastAsia" w:ascii="宋体" w:hAnsi="宋体"/>
                <w:color w:val="auto"/>
                <w:sz w:val="24"/>
                <w:highlight w:val="none"/>
              </w:rPr>
              <w:t>，投标人应符合下列规定，否则投标无效：根据《政府采购促进中小企业发展管理办法》（财库﹝2020﹞46号）的规定，投标人提供的主要货物（配件、辅材除外）应全部由符合政策要求的中小企企业制造。投标人应按照本项目采购标的所属行业及《关于印发中小企业划型标准规定的通知》（工信部联企业〔2011〕300号）规定的中小行业划型标准，按照采购文件“第五章 报价及资格证明文件格式”中</w:t>
            </w:r>
            <w:r>
              <w:rPr>
                <w:rFonts w:ascii="宋体" w:hAnsi="宋体"/>
                <w:color w:val="auto"/>
                <w:sz w:val="24"/>
                <w:highlight w:val="none"/>
              </w:rPr>
              <w:t>《中小企业声明函》</w:t>
            </w:r>
            <w:r>
              <w:rPr>
                <w:rFonts w:hint="eastAsia" w:ascii="宋体" w:hAnsi="宋体"/>
                <w:color w:val="auto"/>
                <w:sz w:val="24"/>
                <w:highlight w:val="none"/>
              </w:rPr>
              <w:t>格式如实提供声明函，</w:t>
            </w:r>
            <w:r>
              <w:rPr>
                <w:rFonts w:hint="eastAsia" w:ascii="宋体" w:hAnsi="宋体"/>
                <w:b/>
                <w:color w:val="auto"/>
                <w:sz w:val="24"/>
                <w:highlight w:val="none"/>
              </w:rPr>
              <w:t>未提供的投标无效。</w:t>
            </w:r>
            <w:r>
              <w:rPr>
                <w:rFonts w:hint="eastAsia" w:ascii="宋体" w:hAnsi="宋体"/>
                <w:color w:val="auto"/>
                <w:sz w:val="24"/>
                <w:highlight w:val="none"/>
              </w:rPr>
              <w:t>专门面向中小企业采购的货物类项目供应商不再享受价格扣除优惠。</w:t>
            </w:r>
          </w:p>
          <w:p w14:paraId="2F8186E3">
            <w:pPr>
              <w:spacing w:line="360" w:lineRule="auto"/>
              <w:rPr>
                <w:rFonts w:hint="eastAsia" w:ascii="宋体" w:hAnsi="宋体"/>
                <w:color w:val="auto"/>
                <w:sz w:val="24"/>
                <w:highlight w:val="none"/>
              </w:rPr>
            </w:pPr>
            <w:r>
              <w:rPr>
                <w:rFonts w:hint="eastAsia" w:ascii="宋体" w:hAnsi="宋体"/>
                <w:b/>
                <w:color w:val="auto"/>
                <w:sz w:val="24"/>
                <w:highlight w:val="none"/>
              </w:rPr>
              <w:t>（2）若本项目为非专门面向中小企业采购的货物类项目</w:t>
            </w:r>
            <w:r>
              <w:rPr>
                <w:rFonts w:hint="eastAsia" w:ascii="宋体" w:hAnsi="宋体"/>
                <w:color w:val="auto"/>
                <w:sz w:val="24"/>
                <w:highlight w:val="none"/>
              </w:rPr>
              <w:t>，根据《政府采购促进中小企业发展管理办法》（财库﹝2020﹞46号）的规定，投标人提供的主要货物（配件、辅材除外）全部由符合政策要求的中小企企业制造，且投标人按照本项目采购标的所属行业及《关于印发中小企业划型标准规定的通知》（工信部联企业〔2011〕300号）规定的中小行业划型标准，按照采购文件“第五章 报价及资格证明文件格式”中</w:t>
            </w:r>
            <w:r>
              <w:rPr>
                <w:rFonts w:ascii="宋体" w:hAnsi="宋体"/>
                <w:color w:val="auto"/>
                <w:sz w:val="24"/>
                <w:highlight w:val="none"/>
              </w:rPr>
              <w:t>《中小企业声明函》</w:t>
            </w:r>
            <w:r>
              <w:rPr>
                <w:rFonts w:hint="eastAsia" w:ascii="宋体" w:hAnsi="宋体"/>
                <w:color w:val="auto"/>
                <w:sz w:val="24"/>
                <w:highlight w:val="none"/>
              </w:rPr>
              <w:t>格式如实提供声明函的，可以享受中小企业扶持政策。</w:t>
            </w:r>
          </w:p>
          <w:p w14:paraId="3B8F27C4">
            <w:pPr>
              <w:spacing w:line="360" w:lineRule="auto"/>
              <w:rPr>
                <w:rFonts w:hint="eastAsia"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中小企业认定标准按照《工业和信息化部、国家统计局、国家发展和改革委员会、财政部关于印发中小企业划型标准规定的通知》（工信部联企业〔2011〕300号）执行。</w:t>
            </w:r>
          </w:p>
        </w:tc>
      </w:tr>
      <w:tr w14:paraId="611E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08" w:type="dxa"/>
            <w:vAlign w:val="center"/>
          </w:tcPr>
          <w:p w14:paraId="0D1D22AE">
            <w:pPr>
              <w:spacing w:line="360" w:lineRule="auto"/>
              <w:jc w:val="center"/>
              <w:rPr>
                <w:rFonts w:hint="eastAsia" w:ascii="宋体" w:hAnsi="宋体"/>
                <w:b/>
                <w:color w:val="auto"/>
                <w:sz w:val="24"/>
                <w:highlight w:val="none"/>
              </w:rPr>
            </w:pPr>
            <w:r>
              <w:rPr>
                <w:rFonts w:hint="eastAsia" w:ascii="宋体" w:hAnsi="宋体"/>
                <w:b/>
                <w:color w:val="auto"/>
                <w:sz w:val="24"/>
                <w:highlight w:val="none"/>
              </w:rPr>
              <w:t>3</w:t>
            </w:r>
          </w:p>
        </w:tc>
        <w:tc>
          <w:tcPr>
            <w:tcW w:w="2520" w:type="dxa"/>
            <w:vAlign w:val="center"/>
          </w:tcPr>
          <w:p w14:paraId="72DFBC3D">
            <w:pPr>
              <w:spacing w:line="360" w:lineRule="auto"/>
              <w:jc w:val="center"/>
              <w:rPr>
                <w:rFonts w:hint="eastAsia" w:ascii="宋体" w:hAnsi="宋体"/>
                <w:b/>
                <w:color w:val="auto"/>
                <w:sz w:val="24"/>
                <w:highlight w:val="none"/>
              </w:rPr>
            </w:pPr>
            <w:r>
              <w:rPr>
                <w:rFonts w:hint="eastAsia" w:ascii="宋体" w:hAnsi="宋体"/>
                <w:b/>
                <w:color w:val="auto"/>
                <w:sz w:val="24"/>
                <w:highlight w:val="none"/>
              </w:rPr>
              <w:t>监狱企业的认定标准</w:t>
            </w:r>
          </w:p>
        </w:tc>
        <w:tc>
          <w:tcPr>
            <w:tcW w:w="5986" w:type="dxa"/>
          </w:tcPr>
          <w:p w14:paraId="45CAB388">
            <w:pPr>
              <w:spacing w:line="360" w:lineRule="auto"/>
              <w:rPr>
                <w:rFonts w:hint="eastAsia" w:ascii="宋体" w:hAnsi="宋体"/>
                <w:color w:val="auto"/>
                <w:sz w:val="24"/>
                <w:highlight w:val="none"/>
              </w:rPr>
            </w:pPr>
            <w:r>
              <w:rPr>
                <w:rFonts w:hint="eastAsia" w:ascii="宋体" w:hAnsi="宋体" w:cs="宋体"/>
                <w:color w:val="auto"/>
                <w:kern w:val="0"/>
                <w:sz w:val="24"/>
                <w:highlight w:val="none"/>
              </w:rPr>
              <w:t>需提供由省级以上监狱管理局、戒毒管理局（含新疆生产建设兵团）出具的属于监狱企业的证明文件的企业。</w:t>
            </w:r>
          </w:p>
        </w:tc>
      </w:tr>
      <w:tr w14:paraId="2013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08" w:type="dxa"/>
            <w:vAlign w:val="center"/>
          </w:tcPr>
          <w:p w14:paraId="23EAE05C">
            <w:pPr>
              <w:spacing w:line="360" w:lineRule="auto"/>
              <w:jc w:val="center"/>
              <w:rPr>
                <w:rFonts w:hint="eastAsia" w:ascii="宋体" w:hAnsi="宋体"/>
                <w:b/>
                <w:color w:val="auto"/>
                <w:sz w:val="24"/>
                <w:highlight w:val="none"/>
              </w:rPr>
            </w:pPr>
            <w:r>
              <w:rPr>
                <w:rFonts w:hint="eastAsia" w:ascii="宋体" w:hAnsi="宋体"/>
                <w:b/>
                <w:color w:val="auto"/>
                <w:sz w:val="24"/>
                <w:highlight w:val="none"/>
              </w:rPr>
              <w:t>4</w:t>
            </w:r>
          </w:p>
        </w:tc>
        <w:tc>
          <w:tcPr>
            <w:tcW w:w="2520" w:type="dxa"/>
            <w:vAlign w:val="center"/>
          </w:tcPr>
          <w:p w14:paraId="1855A9D7">
            <w:pPr>
              <w:spacing w:line="360" w:lineRule="auto"/>
              <w:jc w:val="center"/>
              <w:rPr>
                <w:rFonts w:hint="eastAsia" w:ascii="宋体" w:hAnsi="宋体"/>
                <w:b/>
                <w:color w:val="auto"/>
                <w:sz w:val="24"/>
                <w:highlight w:val="none"/>
              </w:rPr>
            </w:pPr>
            <w:r>
              <w:rPr>
                <w:rFonts w:hint="eastAsia" w:ascii="宋体" w:hAnsi="宋体"/>
                <w:b/>
                <w:color w:val="auto"/>
                <w:sz w:val="24"/>
                <w:highlight w:val="none"/>
              </w:rPr>
              <w:t>残疾人福利性企业认定标准</w:t>
            </w:r>
          </w:p>
        </w:tc>
        <w:tc>
          <w:tcPr>
            <w:tcW w:w="5986" w:type="dxa"/>
          </w:tcPr>
          <w:p w14:paraId="370E3532">
            <w:pPr>
              <w:spacing w:line="360" w:lineRule="auto"/>
              <w:rPr>
                <w:rFonts w:hint="eastAsia" w:ascii="宋体" w:hAnsi="宋体" w:cs="宋体"/>
                <w:color w:val="auto"/>
                <w:kern w:val="0"/>
                <w:sz w:val="24"/>
                <w:highlight w:val="none"/>
              </w:rPr>
            </w:pPr>
            <w:r>
              <w:rPr>
                <w:rFonts w:hint="eastAsia" w:ascii="宋体" w:hAnsi="宋体"/>
                <w:color w:val="auto"/>
                <w:sz w:val="24"/>
                <w:highlight w:val="none"/>
              </w:rPr>
              <w:t>残疾人福利性单位参加政府采购活动时，应当提供财库〔2017〕141号文规定格式的《残疾人福利性单位声明函》并加单位公章。</w:t>
            </w:r>
          </w:p>
        </w:tc>
      </w:tr>
      <w:tr w14:paraId="46D3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08" w:type="dxa"/>
            <w:vAlign w:val="center"/>
          </w:tcPr>
          <w:p w14:paraId="1D5B64B4">
            <w:pPr>
              <w:widowControl/>
              <w:spacing w:line="360" w:lineRule="auto"/>
              <w:jc w:val="center"/>
              <w:rPr>
                <w:rFonts w:hint="eastAsia" w:ascii="宋体" w:hAnsi="宋体"/>
                <w:b/>
                <w:color w:val="auto"/>
                <w:sz w:val="24"/>
                <w:highlight w:val="none"/>
              </w:rPr>
            </w:pPr>
            <w:r>
              <w:rPr>
                <w:rFonts w:hint="eastAsia" w:ascii="宋体" w:hAnsi="宋体"/>
                <w:b/>
                <w:color w:val="auto"/>
                <w:sz w:val="24"/>
                <w:highlight w:val="none"/>
              </w:rPr>
              <w:t>5</w:t>
            </w:r>
          </w:p>
        </w:tc>
        <w:tc>
          <w:tcPr>
            <w:tcW w:w="2520" w:type="dxa"/>
            <w:vAlign w:val="center"/>
          </w:tcPr>
          <w:p w14:paraId="65A04F59">
            <w:pPr>
              <w:widowControl/>
              <w:spacing w:line="360" w:lineRule="auto"/>
              <w:jc w:val="center"/>
              <w:rPr>
                <w:rFonts w:hint="eastAsia" w:ascii="宋体" w:hAnsi="宋体"/>
                <w:b/>
                <w:color w:val="auto"/>
                <w:sz w:val="24"/>
                <w:highlight w:val="none"/>
              </w:rPr>
            </w:pPr>
            <w:r>
              <w:rPr>
                <w:rFonts w:hint="eastAsia" w:ascii="宋体" w:hAnsi="宋体"/>
                <w:b/>
                <w:color w:val="auto"/>
                <w:sz w:val="24"/>
                <w:highlight w:val="none"/>
              </w:rPr>
              <w:t>中小企业扶持政策：</w:t>
            </w:r>
          </w:p>
        </w:tc>
        <w:tc>
          <w:tcPr>
            <w:tcW w:w="5986" w:type="dxa"/>
            <w:tcBorders>
              <w:bottom w:val="single" w:color="auto" w:sz="4" w:space="0"/>
            </w:tcBorders>
          </w:tcPr>
          <w:p w14:paraId="5EEB9813">
            <w:pPr>
              <w:spacing w:line="300" w:lineRule="exact"/>
              <w:rPr>
                <w:rFonts w:hint="eastAsia" w:ascii="宋体" w:hAnsi="宋体"/>
                <w:color w:val="auto"/>
                <w:sz w:val="24"/>
                <w:highlight w:val="none"/>
              </w:rPr>
            </w:pPr>
            <w:r>
              <w:rPr>
                <w:rFonts w:hint="eastAsia" w:ascii="宋体" w:hAnsi="宋体"/>
                <w:color w:val="auto"/>
                <w:sz w:val="24"/>
                <w:highlight w:val="none"/>
              </w:rPr>
              <w:t>1.降低投标保证金交纳比例：投标保证金按要求的50％交纳。</w:t>
            </w:r>
          </w:p>
          <w:p w14:paraId="051234AF">
            <w:pPr>
              <w:spacing w:line="360" w:lineRule="auto"/>
              <w:rPr>
                <w:rFonts w:hint="eastAsia" w:ascii="宋体" w:hAnsi="宋体"/>
                <w:color w:val="auto"/>
                <w:spacing w:val="-4"/>
                <w:sz w:val="24"/>
                <w:highlight w:val="none"/>
              </w:rPr>
            </w:pPr>
            <w:r>
              <w:rPr>
                <w:rFonts w:hint="eastAsia" w:ascii="宋体" w:hAnsi="宋体"/>
                <w:color w:val="auto"/>
                <w:spacing w:val="-4"/>
                <w:sz w:val="24"/>
                <w:highlight w:val="none"/>
              </w:rPr>
              <w:t>2.价格扣除优惠：</w:t>
            </w:r>
            <w:r>
              <w:rPr>
                <w:rFonts w:hint="eastAsia" w:ascii="宋体" w:hAnsi="宋体"/>
                <w:b/>
                <w:color w:val="auto"/>
                <w:spacing w:val="-4"/>
                <w:sz w:val="24"/>
                <w:highlight w:val="none"/>
              </w:rPr>
              <w:t>属于小微企业的</w:t>
            </w:r>
            <w:r>
              <w:rPr>
                <w:rFonts w:hint="eastAsia" w:ascii="宋体" w:hAnsi="宋体"/>
                <w:color w:val="auto"/>
                <w:spacing w:val="-4"/>
                <w:sz w:val="24"/>
                <w:highlight w:val="none"/>
              </w:rPr>
              <w:t>，按报价的</w:t>
            </w:r>
            <w:r>
              <w:rPr>
                <w:rFonts w:hint="eastAsia" w:ascii="宋体" w:hAnsi="宋体"/>
                <w:b/>
                <w:color w:val="auto"/>
                <w:spacing w:val="-4"/>
                <w:sz w:val="24"/>
                <w:highlight w:val="none"/>
                <w:u w:val="single"/>
              </w:rPr>
              <w:t>88%</w:t>
            </w:r>
            <w:r>
              <w:rPr>
                <w:rFonts w:hint="eastAsia" w:ascii="宋体" w:hAnsi="宋体"/>
                <w:color w:val="auto"/>
                <w:spacing w:val="-4"/>
                <w:sz w:val="24"/>
                <w:highlight w:val="none"/>
              </w:rPr>
              <w:t>计算评审价。</w:t>
            </w:r>
          </w:p>
        </w:tc>
      </w:tr>
      <w:tr w14:paraId="6870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08" w:type="dxa"/>
            <w:vAlign w:val="center"/>
          </w:tcPr>
          <w:p w14:paraId="3BF35B64">
            <w:pPr>
              <w:widowControl/>
              <w:spacing w:line="360" w:lineRule="auto"/>
              <w:jc w:val="center"/>
              <w:rPr>
                <w:rFonts w:hint="eastAsia" w:ascii="宋体" w:hAnsi="宋体"/>
                <w:b/>
                <w:color w:val="auto"/>
                <w:sz w:val="24"/>
                <w:highlight w:val="none"/>
              </w:rPr>
            </w:pPr>
            <w:r>
              <w:rPr>
                <w:rFonts w:hint="eastAsia" w:ascii="宋体" w:hAnsi="宋体"/>
                <w:b/>
                <w:color w:val="auto"/>
                <w:sz w:val="24"/>
                <w:highlight w:val="none"/>
              </w:rPr>
              <w:t>6</w:t>
            </w:r>
          </w:p>
        </w:tc>
        <w:tc>
          <w:tcPr>
            <w:tcW w:w="2520" w:type="dxa"/>
            <w:vAlign w:val="center"/>
          </w:tcPr>
          <w:p w14:paraId="371D78F0">
            <w:pPr>
              <w:widowControl/>
              <w:spacing w:line="360" w:lineRule="auto"/>
              <w:jc w:val="center"/>
              <w:rPr>
                <w:rFonts w:hint="eastAsia" w:ascii="宋体" w:hAnsi="宋体"/>
                <w:b/>
                <w:color w:val="auto"/>
                <w:sz w:val="24"/>
                <w:highlight w:val="none"/>
              </w:rPr>
            </w:pPr>
            <w:r>
              <w:rPr>
                <w:rFonts w:hint="eastAsia" w:ascii="宋体" w:hAnsi="宋体"/>
                <w:b/>
                <w:color w:val="auto"/>
                <w:sz w:val="24"/>
                <w:highlight w:val="none"/>
              </w:rPr>
              <w:t>相关风险</w:t>
            </w:r>
          </w:p>
        </w:tc>
        <w:tc>
          <w:tcPr>
            <w:tcW w:w="5986" w:type="dxa"/>
          </w:tcPr>
          <w:p w14:paraId="1B2A1670">
            <w:pPr>
              <w:spacing w:line="360" w:lineRule="auto"/>
              <w:ind w:firstLine="482" w:firstLineChars="200"/>
              <w:rPr>
                <w:rFonts w:hint="eastAsia" w:ascii="宋体" w:hAnsi="宋体" w:cs="SimSun-Identity-H"/>
                <w:color w:val="auto"/>
                <w:kern w:val="0"/>
                <w:sz w:val="24"/>
                <w:highlight w:val="none"/>
              </w:rPr>
            </w:pPr>
            <w:r>
              <w:rPr>
                <w:rFonts w:hint="eastAsia" w:ascii="宋体" w:hAnsi="宋体" w:cs="SimSun-Identity-H"/>
                <w:b/>
                <w:color w:val="auto"/>
                <w:kern w:val="0"/>
                <w:sz w:val="24"/>
                <w:highlight w:val="none"/>
              </w:rPr>
              <w:t>中标人提供的</w:t>
            </w:r>
            <w:r>
              <w:rPr>
                <w:rFonts w:ascii="宋体" w:hAnsi="宋体"/>
                <w:b/>
                <w:color w:val="auto"/>
                <w:sz w:val="24"/>
                <w:highlight w:val="none"/>
              </w:rPr>
              <w:t>《中小企业声明函》</w:t>
            </w:r>
            <w:r>
              <w:rPr>
                <w:rFonts w:hint="eastAsia" w:ascii="宋体" w:hAnsi="宋体"/>
                <w:b/>
                <w:color w:val="auto"/>
                <w:sz w:val="24"/>
                <w:highlight w:val="none"/>
              </w:rPr>
              <w:t>将与中标公告一起网上公示。</w:t>
            </w:r>
            <w:r>
              <w:rPr>
                <w:rFonts w:hint="eastAsia" w:ascii="宋体" w:hAnsi="宋体" w:cs="SimSun-Identity-H"/>
                <w:color w:val="auto"/>
                <w:kern w:val="0"/>
                <w:sz w:val="24"/>
                <w:highlight w:val="none"/>
              </w:rPr>
              <w:t>投标人为享受中小企业扶持政策而提供虚假证明材料，提供声明函内容不实的，属于提供虚假材料谋取中标、成交。在评审过程中发现的，按无效响应处理，投标保证金不予退还；已取得中标资格的，无论该行为是否影响中标，均取消其中标资格，保证金、服务费不予退还，该投标人还应承担由此引起的其他经济、法律责任。出现此种情形时，采购人、采购代理机构将有关情况上报政府采购监管部门，由监管部门按有关规定对其进行相应处罚。</w:t>
            </w:r>
          </w:p>
          <w:p w14:paraId="6CFBA950">
            <w:pPr>
              <w:spacing w:line="360" w:lineRule="auto"/>
              <w:ind w:firstLine="480" w:firstLineChars="200"/>
              <w:rPr>
                <w:rFonts w:hint="eastAsia" w:ascii="宋体" w:hAnsi="宋体"/>
                <w:color w:val="auto"/>
                <w:sz w:val="24"/>
                <w:highlight w:val="none"/>
              </w:rPr>
            </w:pPr>
            <w:r>
              <w:rPr>
                <w:rFonts w:hint="eastAsia" w:ascii="宋体" w:hAnsi="宋体" w:cs="SimSun-Identity-H"/>
                <w:color w:val="auto"/>
                <w:kern w:val="0"/>
                <w:sz w:val="24"/>
                <w:highlight w:val="none"/>
              </w:rPr>
              <w:t>采购人、采购代理机构</w:t>
            </w:r>
            <w:r>
              <w:rPr>
                <w:rFonts w:hint="eastAsia" w:ascii="宋体" w:hAnsi="宋体"/>
                <w:color w:val="auto"/>
                <w:sz w:val="24"/>
                <w:highlight w:val="none"/>
              </w:rPr>
              <w:t>有权上报财政部门，建议财政部门将该报价人列入不良行为记录名单，在一至三年内禁止该报价人参加政府采购活动并予以通报。</w:t>
            </w:r>
          </w:p>
        </w:tc>
      </w:tr>
      <w:tr w14:paraId="4497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08" w:type="dxa"/>
            <w:vAlign w:val="center"/>
          </w:tcPr>
          <w:p w14:paraId="529242B9">
            <w:pPr>
              <w:widowControl/>
              <w:spacing w:line="360" w:lineRule="auto"/>
              <w:jc w:val="center"/>
              <w:rPr>
                <w:rFonts w:hint="eastAsia" w:ascii="宋体" w:hAnsi="宋体"/>
                <w:b/>
                <w:color w:val="auto"/>
                <w:sz w:val="24"/>
                <w:highlight w:val="none"/>
              </w:rPr>
            </w:pPr>
            <w:r>
              <w:rPr>
                <w:rFonts w:hint="eastAsia" w:ascii="宋体" w:hAnsi="宋体"/>
                <w:b/>
                <w:color w:val="auto"/>
                <w:sz w:val="24"/>
                <w:highlight w:val="none"/>
              </w:rPr>
              <w:t>7</w:t>
            </w:r>
          </w:p>
        </w:tc>
        <w:tc>
          <w:tcPr>
            <w:tcW w:w="2520" w:type="dxa"/>
            <w:vAlign w:val="center"/>
          </w:tcPr>
          <w:p w14:paraId="32117ECF">
            <w:pPr>
              <w:widowControl/>
              <w:spacing w:line="360" w:lineRule="auto"/>
              <w:jc w:val="center"/>
              <w:rPr>
                <w:rFonts w:hint="eastAsia" w:ascii="宋体" w:hAnsi="宋体"/>
                <w:b/>
                <w:color w:val="auto"/>
                <w:sz w:val="24"/>
                <w:highlight w:val="none"/>
              </w:rPr>
            </w:pPr>
            <w:r>
              <w:rPr>
                <w:rFonts w:hint="eastAsia" w:ascii="宋体" w:hAnsi="宋体"/>
                <w:b/>
                <w:color w:val="auto"/>
                <w:sz w:val="24"/>
                <w:highlight w:val="none"/>
              </w:rPr>
              <w:t>说明</w:t>
            </w:r>
          </w:p>
        </w:tc>
        <w:tc>
          <w:tcPr>
            <w:tcW w:w="5986" w:type="dxa"/>
            <w:tcBorders>
              <w:bottom w:val="single" w:color="auto" w:sz="4" w:space="0"/>
            </w:tcBorders>
          </w:tcPr>
          <w:p w14:paraId="29F2AD68">
            <w:pPr>
              <w:spacing w:line="360" w:lineRule="auto"/>
              <w:rPr>
                <w:rFonts w:hint="eastAsia" w:ascii="宋体" w:hAnsi="宋体"/>
                <w:b/>
                <w:color w:val="auto"/>
                <w:sz w:val="24"/>
                <w:highlight w:val="none"/>
              </w:rPr>
            </w:pPr>
            <w:r>
              <w:rPr>
                <w:rFonts w:hint="eastAsia" w:ascii="宋体" w:hAnsi="宋体"/>
                <w:color w:val="auto"/>
                <w:sz w:val="24"/>
                <w:highlight w:val="none"/>
              </w:rPr>
              <w:t>投标人同时满足中小企业或监狱企业或残疾人福利性企业扶持政策的，价格扣除优惠只享受一次，不累加计算。</w:t>
            </w:r>
          </w:p>
        </w:tc>
      </w:tr>
    </w:tbl>
    <w:p w14:paraId="229639E7">
      <w:pPr>
        <w:spacing w:line="360" w:lineRule="auto"/>
        <w:rPr>
          <w:rFonts w:ascii="宋体"/>
          <w:color w:val="auto"/>
          <w:sz w:val="24"/>
          <w:highlight w:val="none"/>
        </w:rPr>
      </w:pPr>
    </w:p>
    <w:p w14:paraId="2562E3F1">
      <w:pPr>
        <w:pStyle w:val="3"/>
        <w:pageBreakBefore/>
        <w:numPr>
          <w:ilvl w:val="0"/>
          <w:numId w:val="0"/>
        </w:numPr>
        <w:spacing w:before="0" w:after="0" w:line="360" w:lineRule="auto"/>
        <w:rPr>
          <w:rFonts w:ascii="宋体"/>
          <w:color w:val="auto"/>
          <w:sz w:val="28"/>
          <w:szCs w:val="28"/>
          <w:highlight w:val="none"/>
        </w:rPr>
      </w:pPr>
      <w:bookmarkStart w:id="51" w:name="_Toc25421"/>
      <w:bookmarkStart w:id="52" w:name="_Toc531742153"/>
      <w:bookmarkStart w:id="53" w:name="_Toc7173"/>
      <w:r>
        <w:rPr>
          <w:rFonts w:hint="eastAsia" w:ascii="宋体"/>
          <w:color w:val="auto"/>
          <w:sz w:val="28"/>
          <w:szCs w:val="28"/>
          <w:highlight w:val="none"/>
        </w:rPr>
        <w:t>一、说 明</w:t>
      </w:r>
      <w:bookmarkEnd w:id="44"/>
      <w:bookmarkEnd w:id="45"/>
      <w:bookmarkEnd w:id="46"/>
      <w:bookmarkEnd w:id="47"/>
      <w:bookmarkEnd w:id="48"/>
      <w:bookmarkEnd w:id="49"/>
      <w:bookmarkEnd w:id="51"/>
      <w:bookmarkEnd w:id="52"/>
      <w:bookmarkEnd w:id="53"/>
    </w:p>
    <w:p w14:paraId="4ABDBFB9">
      <w:pPr>
        <w:spacing w:line="360" w:lineRule="auto"/>
        <w:rPr>
          <w:rFonts w:ascii="宋体"/>
          <w:b/>
          <w:color w:val="auto"/>
          <w:sz w:val="24"/>
          <w:highlight w:val="none"/>
        </w:rPr>
      </w:pPr>
      <w:r>
        <w:rPr>
          <w:rFonts w:hint="eastAsia" w:ascii="宋体"/>
          <w:b/>
          <w:color w:val="auto"/>
          <w:sz w:val="24"/>
          <w:highlight w:val="none"/>
        </w:rPr>
        <w:t>1、适用范围</w:t>
      </w:r>
    </w:p>
    <w:p w14:paraId="5032934B">
      <w:pPr>
        <w:spacing w:line="360" w:lineRule="auto"/>
        <w:ind w:firstLine="480" w:firstLineChars="200"/>
        <w:rPr>
          <w:rFonts w:ascii="宋体"/>
          <w:color w:val="auto"/>
          <w:sz w:val="24"/>
          <w:highlight w:val="none"/>
        </w:rPr>
      </w:pPr>
      <w:r>
        <w:rPr>
          <w:rFonts w:hint="eastAsia" w:ascii="宋体"/>
          <w:color w:val="auto"/>
          <w:sz w:val="24"/>
          <w:highlight w:val="none"/>
        </w:rPr>
        <w:t>1.1本招标文件仅适用于投标邀请中所叙述项目的货物及服务采购。</w:t>
      </w:r>
    </w:p>
    <w:p w14:paraId="6EC6F3E6">
      <w:pPr>
        <w:spacing w:line="360" w:lineRule="auto"/>
        <w:rPr>
          <w:rFonts w:ascii="宋体"/>
          <w:b/>
          <w:color w:val="auto"/>
          <w:sz w:val="24"/>
          <w:highlight w:val="none"/>
        </w:rPr>
      </w:pPr>
      <w:r>
        <w:rPr>
          <w:rFonts w:hint="eastAsia" w:ascii="宋体"/>
          <w:b/>
          <w:color w:val="auto"/>
          <w:sz w:val="24"/>
          <w:highlight w:val="none"/>
        </w:rPr>
        <w:t>2、定义</w:t>
      </w:r>
    </w:p>
    <w:p w14:paraId="2197A4CF">
      <w:pPr>
        <w:spacing w:line="360" w:lineRule="auto"/>
        <w:ind w:firstLine="480" w:firstLineChars="200"/>
        <w:rPr>
          <w:rFonts w:ascii="宋体"/>
          <w:color w:val="auto"/>
          <w:sz w:val="24"/>
          <w:highlight w:val="none"/>
        </w:rPr>
      </w:pPr>
      <w:r>
        <w:rPr>
          <w:rFonts w:hint="eastAsia" w:ascii="宋体"/>
          <w:color w:val="auto"/>
          <w:sz w:val="24"/>
          <w:highlight w:val="none"/>
        </w:rPr>
        <w:t>2.1“采购人”系指本次采购项目的业主方。</w:t>
      </w:r>
    </w:p>
    <w:p w14:paraId="143C274F">
      <w:pPr>
        <w:spacing w:line="360" w:lineRule="auto"/>
        <w:ind w:firstLine="480" w:firstLineChars="200"/>
        <w:rPr>
          <w:rFonts w:ascii="宋体"/>
          <w:color w:val="auto"/>
          <w:sz w:val="24"/>
          <w:highlight w:val="none"/>
        </w:rPr>
      </w:pPr>
      <w:r>
        <w:rPr>
          <w:rFonts w:hint="eastAsia" w:ascii="宋体"/>
          <w:color w:val="auto"/>
          <w:sz w:val="24"/>
          <w:highlight w:val="none"/>
        </w:rPr>
        <w:t>2.2“招标采购人”系指组织本次招标活动的采购人或采购代理机构。</w:t>
      </w:r>
    </w:p>
    <w:p w14:paraId="04F6B21E">
      <w:pPr>
        <w:spacing w:line="360" w:lineRule="auto"/>
        <w:ind w:firstLine="480" w:firstLineChars="200"/>
        <w:rPr>
          <w:rFonts w:ascii="宋体"/>
          <w:color w:val="auto"/>
          <w:sz w:val="24"/>
          <w:highlight w:val="none"/>
        </w:rPr>
      </w:pPr>
      <w:r>
        <w:rPr>
          <w:rFonts w:hint="eastAsia" w:ascii="宋体"/>
          <w:color w:val="auto"/>
          <w:sz w:val="24"/>
          <w:highlight w:val="none"/>
        </w:rPr>
        <w:t>2.3“采购代理机构”系指本次招标采购项目活动组织方。</w:t>
      </w:r>
    </w:p>
    <w:p w14:paraId="4CF7CBD0">
      <w:pPr>
        <w:spacing w:line="360" w:lineRule="auto"/>
        <w:ind w:firstLine="480" w:firstLineChars="200"/>
        <w:rPr>
          <w:rFonts w:ascii="宋体"/>
          <w:color w:val="auto"/>
          <w:sz w:val="24"/>
          <w:highlight w:val="none"/>
        </w:rPr>
      </w:pPr>
      <w:r>
        <w:rPr>
          <w:rFonts w:hint="eastAsia" w:ascii="宋体"/>
          <w:color w:val="auto"/>
          <w:sz w:val="24"/>
          <w:highlight w:val="none"/>
        </w:rPr>
        <w:t>2.4 “潜在投标人”指按照招标文件第一章规定进行报名且有意向参加本项目投标的供应商。</w:t>
      </w:r>
    </w:p>
    <w:p w14:paraId="0766A789">
      <w:pPr>
        <w:spacing w:line="360" w:lineRule="auto"/>
        <w:ind w:firstLine="480" w:firstLineChars="200"/>
        <w:rPr>
          <w:rFonts w:ascii="宋体"/>
          <w:color w:val="auto"/>
          <w:sz w:val="24"/>
          <w:highlight w:val="none"/>
        </w:rPr>
      </w:pPr>
      <w:r>
        <w:rPr>
          <w:rFonts w:hint="eastAsia" w:ascii="宋体"/>
          <w:color w:val="auto"/>
          <w:sz w:val="24"/>
          <w:highlight w:val="none"/>
        </w:rPr>
        <w:t>2.5“投标人”系指招标文件第一章规定进行报名并参加本项目投标的供应商。</w:t>
      </w:r>
    </w:p>
    <w:p w14:paraId="25C16811">
      <w:pPr>
        <w:spacing w:line="360" w:lineRule="auto"/>
        <w:ind w:firstLine="480" w:firstLineChars="200"/>
        <w:rPr>
          <w:rFonts w:ascii="宋体"/>
          <w:color w:val="auto"/>
          <w:sz w:val="24"/>
          <w:highlight w:val="none"/>
        </w:rPr>
      </w:pPr>
      <w:r>
        <w:rPr>
          <w:rFonts w:hint="eastAsia" w:ascii="宋体"/>
          <w:color w:val="auto"/>
          <w:sz w:val="24"/>
          <w:highlight w:val="none"/>
        </w:rPr>
        <w:t>2.6“单位负责人”指单位法定代表人或法律、法规规定代表单位行使职权的主要负责人。</w:t>
      </w:r>
    </w:p>
    <w:p w14:paraId="7E94C542">
      <w:pPr>
        <w:spacing w:line="360" w:lineRule="auto"/>
        <w:ind w:firstLine="480" w:firstLineChars="200"/>
        <w:rPr>
          <w:rFonts w:ascii="宋体"/>
          <w:color w:val="auto"/>
          <w:sz w:val="24"/>
          <w:highlight w:val="none"/>
        </w:rPr>
      </w:pPr>
      <w:r>
        <w:rPr>
          <w:rFonts w:hint="eastAsia" w:ascii="宋体"/>
          <w:color w:val="auto"/>
          <w:sz w:val="24"/>
          <w:highlight w:val="none"/>
        </w:rPr>
        <w:t xml:space="preserve">2.6.1企业（银行、保险、石油石化、电力、电信等行业除外）、事业单位和社会团体法人的“单位负责人”指法定代表人，即与实际提交的“营业执照等证明文件”载明的一致。 </w:t>
      </w:r>
    </w:p>
    <w:p w14:paraId="283AB3F5">
      <w:pPr>
        <w:spacing w:line="360" w:lineRule="auto"/>
        <w:ind w:firstLine="480" w:firstLineChars="200"/>
        <w:rPr>
          <w:rFonts w:ascii="宋体"/>
          <w:color w:val="auto"/>
          <w:sz w:val="24"/>
          <w:highlight w:val="none"/>
        </w:rPr>
      </w:pPr>
      <w:r>
        <w:rPr>
          <w:rFonts w:hint="eastAsia" w:ascii="宋体"/>
          <w:color w:val="auto"/>
          <w:sz w:val="24"/>
          <w:highlight w:val="none"/>
        </w:rPr>
        <w:t>2.6.2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8FC87C8">
      <w:pPr>
        <w:spacing w:line="360" w:lineRule="auto"/>
        <w:ind w:firstLine="480" w:firstLineChars="200"/>
        <w:rPr>
          <w:rFonts w:ascii="宋体"/>
          <w:color w:val="auto"/>
          <w:sz w:val="24"/>
          <w:highlight w:val="none"/>
        </w:rPr>
      </w:pPr>
      <w:r>
        <w:rPr>
          <w:rFonts w:hint="eastAsia" w:ascii="宋体"/>
          <w:color w:val="auto"/>
          <w:sz w:val="24"/>
          <w:highlight w:val="none"/>
        </w:rPr>
        <w:t>2.7“货物”系指卖方按招标文件规定向买方提供的一切设备、机械、仪器仪表、备品备件、工具、手册及其他有关技术资料和材料。</w:t>
      </w:r>
    </w:p>
    <w:p w14:paraId="6A8EF23B">
      <w:pPr>
        <w:spacing w:line="360" w:lineRule="auto"/>
        <w:ind w:firstLine="480" w:firstLineChars="200"/>
        <w:rPr>
          <w:rFonts w:ascii="宋体"/>
          <w:color w:val="auto"/>
          <w:sz w:val="24"/>
          <w:highlight w:val="none"/>
        </w:rPr>
      </w:pPr>
      <w:r>
        <w:rPr>
          <w:rFonts w:hint="eastAsia" w:ascii="宋体"/>
          <w:color w:val="auto"/>
          <w:sz w:val="24"/>
          <w:highlight w:val="none"/>
        </w:rPr>
        <w:t>2.8“服务”系指招标文件规定卖方须承担的安装、调试、技术协助、校准、培训以及其他类似的义务。</w:t>
      </w:r>
    </w:p>
    <w:p w14:paraId="7C3404D3">
      <w:pPr>
        <w:spacing w:line="360" w:lineRule="auto"/>
        <w:rPr>
          <w:rFonts w:ascii="宋体"/>
          <w:b/>
          <w:color w:val="auto"/>
          <w:sz w:val="24"/>
          <w:highlight w:val="none"/>
        </w:rPr>
      </w:pPr>
      <w:r>
        <w:rPr>
          <w:rFonts w:hint="eastAsia" w:ascii="宋体"/>
          <w:b/>
          <w:color w:val="auto"/>
          <w:sz w:val="24"/>
          <w:highlight w:val="none"/>
        </w:rPr>
        <w:t>3、合格的投标人</w:t>
      </w:r>
    </w:p>
    <w:p w14:paraId="30EAEBA0">
      <w:pPr>
        <w:spacing w:line="360" w:lineRule="auto"/>
        <w:ind w:firstLine="480" w:firstLineChars="200"/>
        <w:rPr>
          <w:rFonts w:ascii="宋体"/>
          <w:color w:val="auto"/>
          <w:sz w:val="24"/>
          <w:highlight w:val="none"/>
        </w:rPr>
      </w:pPr>
      <w:r>
        <w:rPr>
          <w:rFonts w:hint="eastAsia" w:ascii="宋体"/>
          <w:color w:val="auto"/>
          <w:sz w:val="24"/>
          <w:highlight w:val="none"/>
        </w:rPr>
        <w:t>3.1凡有能力提供本招标文件所述货物及服务的，具备《中华人民共和国政府采购法》第二十二条第一款规定的条件且符合本招标文件规定资格要求的境内供货商或制造商均可能成为合格的投标人。</w:t>
      </w:r>
    </w:p>
    <w:p w14:paraId="30B8347B">
      <w:pPr>
        <w:spacing w:line="360" w:lineRule="auto"/>
        <w:ind w:firstLine="480" w:firstLineChars="200"/>
        <w:rPr>
          <w:rFonts w:ascii="宋体"/>
          <w:color w:val="auto"/>
          <w:sz w:val="24"/>
          <w:highlight w:val="none"/>
        </w:rPr>
      </w:pPr>
      <w:r>
        <w:rPr>
          <w:rFonts w:hint="eastAsia" w:ascii="宋体"/>
          <w:color w:val="auto"/>
          <w:sz w:val="24"/>
          <w:highlight w:val="none"/>
        </w:rPr>
        <w:t>3.2投标人应遵守政府采购法及实施条例、政府采购招投标管理办法及财政部、福建省财政厅有关政府采购文件的规定，同时还应遵守有关法律、法规和规章的强制性规定。</w:t>
      </w:r>
    </w:p>
    <w:p w14:paraId="4CEEDB3D">
      <w:pPr>
        <w:spacing w:line="360" w:lineRule="auto"/>
        <w:ind w:firstLine="480" w:firstLineChars="200"/>
        <w:rPr>
          <w:rFonts w:ascii="宋体"/>
          <w:color w:val="auto"/>
          <w:sz w:val="24"/>
          <w:highlight w:val="none"/>
        </w:rPr>
      </w:pPr>
      <w:r>
        <w:rPr>
          <w:rFonts w:hint="eastAsia" w:ascii="宋体"/>
          <w:color w:val="auto"/>
          <w:sz w:val="24"/>
          <w:highlight w:val="none"/>
        </w:rPr>
        <w:t>3.3一个投标人只能提交一个投标文件。如果投标人之间存在下列互为关联关系的情形之一的，不得同时参加本项目投标：</w:t>
      </w:r>
    </w:p>
    <w:p w14:paraId="4E6F46A4">
      <w:pPr>
        <w:spacing w:line="360" w:lineRule="auto"/>
        <w:ind w:firstLine="480" w:firstLineChars="200"/>
        <w:rPr>
          <w:rFonts w:ascii="宋体"/>
          <w:color w:val="auto"/>
          <w:sz w:val="24"/>
          <w:highlight w:val="none"/>
        </w:rPr>
      </w:pPr>
      <w:r>
        <w:rPr>
          <w:rFonts w:hint="eastAsia" w:ascii="宋体"/>
          <w:color w:val="auto"/>
          <w:sz w:val="24"/>
          <w:highlight w:val="none"/>
        </w:rPr>
        <w:t>(1)单位负责人为同一人的两个及两个以上法人；（单位负责人（董事长或总经理）为同一人的不同单位，不得参加同一合同包的投标）</w:t>
      </w:r>
    </w:p>
    <w:p w14:paraId="721A1EE1">
      <w:pPr>
        <w:spacing w:line="360" w:lineRule="auto"/>
        <w:ind w:firstLine="480" w:firstLineChars="200"/>
        <w:rPr>
          <w:rFonts w:ascii="宋体"/>
          <w:color w:val="auto"/>
          <w:sz w:val="24"/>
          <w:highlight w:val="none"/>
        </w:rPr>
      </w:pPr>
      <w:r>
        <w:rPr>
          <w:rFonts w:hint="eastAsia" w:ascii="宋体"/>
          <w:color w:val="auto"/>
          <w:sz w:val="24"/>
          <w:highlight w:val="none"/>
        </w:rPr>
        <w:t>(2)母公司及其直接或间接持股50％及以上的被投资公司；</w:t>
      </w:r>
    </w:p>
    <w:p w14:paraId="0331DD4E">
      <w:pPr>
        <w:spacing w:line="360" w:lineRule="auto"/>
        <w:ind w:firstLine="480" w:firstLineChars="200"/>
        <w:rPr>
          <w:rFonts w:ascii="宋体"/>
          <w:color w:val="auto"/>
          <w:sz w:val="24"/>
          <w:highlight w:val="none"/>
        </w:rPr>
      </w:pPr>
      <w:r>
        <w:rPr>
          <w:rFonts w:hint="eastAsia" w:ascii="宋体"/>
          <w:color w:val="auto"/>
          <w:sz w:val="24"/>
          <w:highlight w:val="none"/>
        </w:rPr>
        <w:t>(3)均为同一家母公司直接或间接持股50％及以上的被投资公司。</w:t>
      </w:r>
    </w:p>
    <w:p w14:paraId="5498258E">
      <w:pPr>
        <w:spacing w:line="360" w:lineRule="auto"/>
        <w:ind w:firstLine="480" w:firstLineChars="200"/>
        <w:rPr>
          <w:rFonts w:ascii="宋体"/>
          <w:color w:val="auto"/>
          <w:sz w:val="24"/>
          <w:highlight w:val="none"/>
        </w:rPr>
      </w:pPr>
      <w:r>
        <w:rPr>
          <w:rFonts w:hint="eastAsia" w:ascii="宋体"/>
          <w:color w:val="auto"/>
          <w:sz w:val="24"/>
          <w:highlight w:val="none"/>
        </w:rPr>
        <w:t xml:space="preserve">3.4投标人不得与本次招标项下设计、编制技术规格和其他文件的公司或提供咨询服务的公司包括其附属机构有任何关联。 </w:t>
      </w:r>
    </w:p>
    <w:p w14:paraId="2B1F81CA">
      <w:pPr>
        <w:spacing w:line="360" w:lineRule="auto"/>
        <w:ind w:firstLine="480" w:firstLineChars="200"/>
        <w:rPr>
          <w:rFonts w:ascii="宋体"/>
          <w:color w:val="auto"/>
          <w:sz w:val="24"/>
          <w:highlight w:val="none"/>
        </w:rPr>
      </w:pPr>
      <w:r>
        <w:rPr>
          <w:rFonts w:hint="eastAsia" w:ascii="宋体"/>
          <w:color w:val="auto"/>
          <w:sz w:val="24"/>
          <w:highlight w:val="none"/>
        </w:rPr>
        <w:t>3.5如本项目接受联合体投标，则两个或者两个以上投标人可以组成一个投标联合体，以一个投标人的身份投标。</w:t>
      </w:r>
    </w:p>
    <w:p w14:paraId="05145C5C">
      <w:pPr>
        <w:spacing w:line="360" w:lineRule="auto"/>
        <w:ind w:firstLine="480" w:firstLineChars="200"/>
        <w:rPr>
          <w:rFonts w:ascii="宋体"/>
          <w:color w:val="auto"/>
          <w:sz w:val="24"/>
          <w:highlight w:val="none"/>
        </w:rPr>
      </w:pPr>
      <w:r>
        <w:rPr>
          <w:rFonts w:hint="eastAsia" w:ascii="宋体"/>
          <w:color w:val="auto"/>
          <w:sz w:val="24"/>
          <w:highlight w:val="none"/>
        </w:rPr>
        <w:t>（1）以联合体形式参加投标的，联合体各方均应当符合合格的投标人相关规定。采购人根据采购项目的特殊要求规定投标人特定条件的，联合体各方中至少应当有一方符合采购人规定的全部特定条件，如联合体各方中没有一方符合全部特定条件的，该联合体投标无效。</w:t>
      </w:r>
    </w:p>
    <w:p w14:paraId="53339989">
      <w:pPr>
        <w:spacing w:line="360" w:lineRule="auto"/>
        <w:ind w:firstLine="480" w:firstLineChars="200"/>
        <w:rPr>
          <w:rFonts w:ascii="宋体"/>
          <w:color w:val="auto"/>
          <w:sz w:val="24"/>
          <w:highlight w:val="none"/>
        </w:rPr>
      </w:pPr>
      <w:r>
        <w:rPr>
          <w:rFonts w:hint="eastAsia" w:ascii="宋体"/>
          <w:color w:val="auto"/>
          <w:sz w:val="24"/>
          <w:highlight w:val="none"/>
        </w:rPr>
        <w:t>（2）联合体各方之间应当签订共同投标协议，明确约定联合体各方承担的工作和相应的责任，并将共同投标协议连同投标文件一并提交采购代理机构。联合体各方签订共同投标协议后，不得再以自己名义单独在同一项目中投标，也不得组成新的联合体参加同一项目投标。</w:t>
      </w:r>
    </w:p>
    <w:p w14:paraId="744A49BA">
      <w:pPr>
        <w:spacing w:line="360" w:lineRule="auto"/>
        <w:ind w:firstLine="480" w:firstLineChars="200"/>
        <w:rPr>
          <w:rFonts w:ascii="宋体"/>
          <w:color w:val="auto"/>
          <w:sz w:val="24"/>
          <w:highlight w:val="none"/>
        </w:rPr>
      </w:pPr>
      <w:r>
        <w:rPr>
          <w:rFonts w:hint="eastAsia" w:ascii="宋体"/>
          <w:color w:val="auto"/>
          <w:sz w:val="24"/>
          <w:highlight w:val="none"/>
        </w:rPr>
        <w:t>（3）项目如涉及资质要求，该部分内容应由联合体中具有该资质要求的供应商承担。联合体协议及签订的采购合同应包含此项内容。</w:t>
      </w:r>
    </w:p>
    <w:p w14:paraId="63DBDC85">
      <w:pPr>
        <w:spacing w:line="360" w:lineRule="auto"/>
        <w:ind w:firstLine="480" w:firstLineChars="200"/>
        <w:rPr>
          <w:rFonts w:ascii="宋体"/>
          <w:color w:val="auto"/>
          <w:sz w:val="24"/>
          <w:highlight w:val="none"/>
        </w:rPr>
      </w:pPr>
      <w:r>
        <w:rPr>
          <w:rFonts w:hint="eastAsia" w:ascii="宋体"/>
          <w:color w:val="auto"/>
          <w:sz w:val="24"/>
          <w:highlight w:val="none"/>
        </w:rPr>
        <w:t>（4）联合体中有同类资质的供应商按照联合体分工承担相同工作的，应当按照资质等级较低的供应商确定资质等级。</w:t>
      </w:r>
    </w:p>
    <w:p w14:paraId="5C94EEAF">
      <w:pPr>
        <w:spacing w:line="360" w:lineRule="auto"/>
        <w:ind w:firstLine="480" w:firstLineChars="200"/>
        <w:rPr>
          <w:rFonts w:ascii="宋体"/>
          <w:color w:val="auto"/>
          <w:sz w:val="24"/>
          <w:highlight w:val="none"/>
        </w:rPr>
      </w:pPr>
      <w:r>
        <w:rPr>
          <w:rFonts w:hint="eastAsia" w:ascii="宋体"/>
          <w:color w:val="auto"/>
          <w:sz w:val="24"/>
          <w:highlight w:val="none"/>
        </w:rPr>
        <w:t>3.6投标代理人在同一个项目中只能接受一个投标人的委托参加投标。</w:t>
      </w:r>
    </w:p>
    <w:p w14:paraId="1730AF47">
      <w:pPr>
        <w:spacing w:line="360" w:lineRule="auto"/>
        <w:ind w:firstLine="480" w:firstLineChars="200"/>
        <w:rPr>
          <w:rFonts w:ascii="宋体"/>
          <w:color w:val="auto"/>
          <w:sz w:val="24"/>
          <w:highlight w:val="none"/>
        </w:rPr>
      </w:pPr>
      <w:r>
        <w:rPr>
          <w:rFonts w:hint="eastAsia" w:ascii="宋体"/>
          <w:color w:val="auto"/>
          <w:sz w:val="24"/>
          <w:highlight w:val="none"/>
        </w:rPr>
        <w:t>3.7投标人存在下列情形之一的，将被认定为串通投标行为并作无效投标处理：</w:t>
      </w:r>
    </w:p>
    <w:p w14:paraId="1D51595C">
      <w:pPr>
        <w:spacing w:line="360" w:lineRule="auto"/>
        <w:ind w:firstLine="480" w:firstLineChars="200"/>
        <w:rPr>
          <w:rFonts w:ascii="宋体"/>
          <w:color w:val="auto"/>
          <w:sz w:val="24"/>
          <w:highlight w:val="none"/>
        </w:rPr>
      </w:pPr>
      <w:r>
        <w:rPr>
          <w:rFonts w:hint="eastAsia" w:ascii="宋体"/>
          <w:color w:val="auto"/>
          <w:sz w:val="24"/>
          <w:highlight w:val="none"/>
        </w:rPr>
        <w:t>3.7.1</w:t>
      </w:r>
      <w:r>
        <w:rPr>
          <w:rFonts w:hint="eastAsia" w:ascii="宋体"/>
          <w:color w:val="auto"/>
          <w:sz w:val="24"/>
          <w:highlight w:val="none"/>
        </w:rPr>
        <w:tab/>
      </w:r>
      <w:r>
        <w:rPr>
          <w:rFonts w:hint="eastAsia" w:ascii="宋体"/>
          <w:color w:val="auto"/>
          <w:sz w:val="24"/>
          <w:highlight w:val="none"/>
        </w:rPr>
        <w:t>不同投标人的投标文件错、漏之处一致或雷同，且不能合理解释的；</w:t>
      </w:r>
    </w:p>
    <w:p w14:paraId="67D3180A">
      <w:pPr>
        <w:spacing w:line="360" w:lineRule="auto"/>
        <w:ind w:firstLine="480" w:firstLineChars="200"/>
        <w:rPr>
          <w:rFonts w:ascii="宋体"/>
          <w:color w:val="auto"/>
          <w:sz w:val="24"/>
          <w:highlight w:val="none"/>
        </w:rPr>
      </w:pPr>
      <w:r>
        <w:rPr>
          <w:rFonts w:hint="eastAsia" w:ascii="宋体"/>
          <w:color w:val="auto"/>
          <w:sz w:val="24"/>
          <w:highlight w:val="none"/>
        </w:rPr>
        <w:t>3.7.2</w:t>
      </w:r>
      <w:r>
        <w:rPr>
          <w:rFonts w:hint="eastAsia" w:ascii="宋体"/>
          <w:color w:val="auto"/>
          <w:sz w:val="24"/>
          <w:highlight w:val="none"/>
        </w:rPr>
        <w:tab/>
      </w:r>
      <w:r>
        <w:rPr>
          <w:rFonts w:hint="eastAsia" w:ascii="宋体"/>
          <w:color w:val="auto"/>
          <w:sz w:val="24"/>
          <w:highlight w:val="none"/>
        </w:rPr>
        <w:t>不同的投标人的单位负责人、委托代理人等由同一个单位缴纳社会保险的；</w:t>
      </w:r>
    </w:p>
    <w:p w14:paraId="27CBD45B">
      <w:pPr>
        <w:spacing w:line="360" w:lineRule="auto"/>
        <w:ind w:firstLine="480" w:firstLineChars="200"/>
        <w:rPr>
          <w:rFonts w:ascii="宋体"/>
          <w:color w:val="auto"/>
          <w:sz w:val="24"/>
          <w:highlight w:val="none"/>
        </w:rPr>
      </w:pPr>
      <w:r>
        <w:rPr>
          <w:rFonts w:hint="eastAsia" w:ascii="宋体"/>
          <w:color w:val="auto"/>
          <w:sz w:val="24"/>
          <w:highlight w:val="none"/>
        </w:rPr>
        <w:t>3.7.3</w:t>
      </w:r>
      <w:r>
        <w:rPr>
          <w:rFonts w:hint="eastAsia" w:ascii="宋体"/>
          <w:color w:val="auto"/>
          <w:sz w:val="24"/>
          <w:highlight w:val="none"/>
        </w:rPr>
        <w:tab/>
      </w:r>
      <w:r>
        <w:rPr>
          <w:rFonts w:hint="eastAsia" w:ascii="宋体"/>
          <w:color w:val="auto"/>
          <w:sz w:val="24"/>
          <w:highlight w:val="none"/>
        </w:rPr>
        <w:t>由同一人或分别由几个有利害关系的人携带两个以上（含两个）投标人的企业资料参与资格审查、领取招标资料，或代表两个以上（含两个）投标人参加招标答疑会、交纳或退还投标保证金、开标的；</w:t>
      </w:r>
    </w:p>
    <w:p w14:paraId="385CD989">
      <w:pPr>
        <w:spacing w:line="360" w:lineRule="auto"/>
        <w:ind w:firstLine="480" w:firstLineChars="200"/>
        <w:rPr>
          <w:rFonts w:ascii="宋体"/>
          <w:color w:val="auto"/>
          <w:sz w:val="24"/>
          <w:highlight w:val="none"/>
        </w:rPr>
      </w:pPr>
      <w:r>
        <w:rPr>
          <w:rFonts w:hint="eastAsia" w:ascii="宋体"/>
          <w:color w:val="auto"/>
          <w:sz w:val="24"/>
          <w:highlight w:val="none"/>
        </w:rPr>
        <w:t>3.7.4</w:t>
      </w:r>
      <w:r>
        <w:rPr>
          <w:rFonts w:hint="eastAsia" w:ascii="宋体"/>
          <w:color w:val="auto"/>
          <w:sz w:val="24"/>
          <w:highlight w:val="none"/>
        </w:rPr>
        <w:tab/>
      </w:r>
      <w:r>
        <w:rPr>
          <w:rFonts w:hint="eastAsia" w:ascii="宋体"/>
          <w:color w:val="auto"/>
          <w:sz w:val="24"/>
          <w:highlight w:val="none"/>
        </w:rPr>
        <w:t>投标人之间协商投标报价等投标文件的实质性内容；</w:t>
      </w:r>
    </w:p>
    <w:p w14:paraId="6340FEBF">
      <w:pPr>
        <w:spacing w:line="360" w:lineRule="auto"/>
        <w:ind w:firstLine="480" w:firstLineChars="200"/>
        <w:rPr>
          <w:rFonts w:ascii="宋体"/>
          <w:color w:val="auto"/>
          <w:sz w:val="24"/>
          <w:highlight w:val="none"/>
        </w:rPr>
      </w:pPr>
      <w:r>
        <w:rPr>
          <w:rFonts w:hint="eastAsia" w:ascii="宋体"/>
          <w:color w:val="auto"/>
          <w:sz w:val="24"/>
          <w:highlight w:val="none"/>
        </w:rPr>
        <w:t>3.7.5</w:t>
      </w:r>
      <w:r>
        <w:rPr>
          <w:rFonts w:hint="eastAsia" w:ascii="宋体"/>
          <w:color w:val="auto"/>
          <w:sz w:val="24"/>
          <w:highlight w:val="none"/>
        </w:rPr>
        <w:tab/>
      </w:r>
      <w:r>
        <w:rPr>
          <w:rFonts w:hint="eastAsia" w:ascii="宋体"/>
          <w:color w:val="auto"/>
          <w:sz w:val="24"/>
          <w:highlight w:val="none"/>
        </w:rPr>
        <w:t>投标人之间约定中标人；</w:t>
      </w:r>
    </w:p>
    <w:p w14:paraId="7EE88291">
      <w:pPr>
        <w:spacing w:line="360" w:lineRule="auto"/>
        <w:ind w:firstLine="480" w:firstLineChars="200"/>
        <w:rPr>
          <w:rFonts w:ascii="宋体"/>
          <w:color w:val="auto"/>
          <w:sz w:val="24"/>
          <w:highlight w:val="none"/>
        </w:rPr>
      </w:pPr>
      <w:r>
        <w:rPr>
          <w:rFonts w:hint="eastAsia" w:ascii="宋体"/>
          <w:color w:val="auto"/>
          <w:sz w:val="24"/>
          <w:highlight w:val="none"/>
        </w:rPr>
        <w:t>3.7.6</w:t>
      </w:r>
      <w:r>
        <w:rPr>
          <w:rFonts w:hint="eastAsia" w:ascii="宋体"/>
          <w:color w:val="auto"/>
          <w:sz w:val="24"/>
          <w:highlight w:val="none"/>
        </w:rPr>
        <w:tab/>
      </w:r>
      <w:r>
        <w:rPr>
          <w:rFonts w:hint="eastAsia" w:ascii="宋体"/>
          <w:color w:val="auto"/>
          <w:sz w:val="24"/>
          <w:highlight w:val="none"/>
        </w:rPr>
        <w:t>投标人之间约定部分投标人放弃投标或者中标；</w:t>
      </w:r>
    </w:p>
    <w:p w14:paraId="3E5F0733">
      <w:pPr>
        <w:spacing w:line="360" w:lineRule="auto"/>
        <w:ind w:firstLine="480" w:firstLineChars="200"/>
        <w:rPr>
          <w:rFonts w:ascii="宋体"/>
          <w:color w:val="auto"/>
          <w:sz w:val="24"/>
          <w:highlight w:val="none"/>
        </w:rPr>
      </w:pPr>
      <w:r>
        <w:rPr>
          <w:rFonts w:hint="eastAsia" w:ascii="宋体"/>
          <w:color w:val="auto"/>
          <w:sz w:val="24"/>
          <w:highlight w:val="none"/>
        </w:rPr>
        <w:t>3.7.7</w:t>
      </w:r>
      <w:r>
        <w:rPr>
          <w:rFonts w:hint="eastAsia" w:ascii="宋体"/>
          <w:color w:val="auto"/>
          <w:sz w:val="24"/>
          <w:highlight w:val="none"/>
        </w:rPr>
        <w:tab/>
      </w:r>
      <w:r>
        <w:rPr>
          <w:rFonts w:hint="eastAsia" w:ascii="宋体"/>
          <w:color w:val="auto"/>
          <w:sz w:val="24"/>
          <w:highlight w:val="none"/>
        </w:rPr>
        <w:t>属于同一集团、协会、商会等组织成员的投标人按照该组织要求协同投标；</w:t>
      </w:r>
    </w:p>
    <w:p w14:paraId="2D1E3CFD">
      <w:pPr>
        <w:spacing w:line="360" w:lineRule="auto"/>
        <w:ind w:firstLine="480" w:firstLineChars="200"/>
        <w:rPr>
          <w:rFonts w:ascii="宋体"/>
          <w:color w:val="auto"/>
          <w:sz w:val="24"/>
          <w:highlight w:val="none"/>
        </w:rPr>
      </w:pPr>
      <w:r>
        <w:rPr>
          <w:rFonts w:hint="eastAsia" w:ascii="宋体"/>
          <w:color w:val="auto"/>
          <w:sz w:val="24"/>
          <w:highlight w:val="none"/>
        </w:rPr>
        <w:t>3.7.8</w:t>
      </w:r>
      <w:r>
        <w:rPr>
          <w:rFonts w:hint="eastAsia" w:ascii="宋体"/>
          <w:color w:val="auto"/>
          <w:sz w:val="24"/>
          <w:highlight w:val="none"/>
        </w:rPr>
        <w:tab/>
      </w:r>
      <w:r>
        <w:rPr>
          <w:rFonts w:hint="eastAsia" w:ascii="宋体"/>
          <w:color w:val="auto"/>
          <w:sz w:val="24"/>
          <w:highlight w:val="none"/>
        </w:rPr>
        <w:t>投标人之间为谋取中标或者排斥特定投标人而采取的其他联合行动；</w:t>
      </w:r>
    </w:p>
    <w:p w14:paraId="098F48BE">
      <w:pPr>
        <w:spacing w:line="360" w:lineRule="auto"/>
        <w:ind w:firstLine="480" w:firstLineChars="200"/>
        <w:rPr>
          <w:rFonts w:ascii="宋体"/>
          <w:color w:val="auto"/>
          <w:sz w:val="24"/>
          <w:highlight w:val="none"/>
        </w:rPr>
      </w:pPr>
      <w:r>
        <w:rPr>
          <w:rFonts w:hint="eastAsia" w:ascii="宋体"/>
          <w:color w:val="auto"/>
          <w:sz w:val="24"/>
          <w:highlight w:val="none"/>
        </w:rPr>
        <w:t>3.7.9</w:t>
      </w:r>
      <w:r>
        <w:rPr>
          <w:rFonts w:hint="eastAsia" w:ascii="宋体"/>
          <w:color w:val="auto"/>
          <w:sz w:val="24"/>
          <w:highlight w:val="none"/>
        </w:rPr>
        <w:tab/>
      </w:r>
      <w:r>
        <w:rPr>
          <w:rFonts w:hint="eastAsia" w:ascii="宋体"/>
          <w:color w:val="auto"/>
          <w:sz w:val="24"/>
          <w:highlight w:val="none"/>
        </w:rPr>
        <w:t>不同投标人的投标文件由同一单位或者个人编制；</w:t>
      </w:r>
    </w:p>
    <w:p w14:paraId="7AA8A861">
      <w:pPr>
        <w:spacing w:line="360" w:lineRule="auto"/>
        <w:ind w:firstLine="480" w:firstLineChars="200"/>
        <w:rPr>
          <w:rFonts w:ascii="宋体"/>
          <w:color w:val="auto"/>
          <w:sz w:val="24"/>
          <w:highlight w:val="none"/>
        </w:rPr>
      </w:pPr>
      <w:r>
        <w:rPr>
          <w:rFonts w:hint="eastAsia" w:ascii="宋体"/>
          <w:color w:val="auto"/>
          <w:sz w:val="24"/>
          <w:highlight w:val="none"/>
        </w:rPr>
        <w:t>3.7.10</w:t>
      </w:r>
      <w:r>
        <w:rPr>
          <w:rFonts w:hint="eastAsia" w:ascii="宋体"/>
          <w:color w:val="auto"/>
          <w:sz w:val="24"/>
          <w:highlight w:val="none"/>
        </w:rPr>
        <w:tab/>
      </w:r>
      <w:r>
        <w:rPr>
          <w:rFonts w:hint="eastAsia" w:ascii="宋体"/>
          <w:color w:val="auto"/>
          <w:sz w:val="24"/>
          <w:highlight w:val="none"/>
        </w:rPr>
        <w:t>不同投标人委托同一单位或者个人办理投标事宜；</w:t>
      </w:r>
    </w:p>
    <w:p w14:paraId="4E70F0F2">
      <w:pPr>
        <w:spacing w:line="360" w:lineRule="auto"/>
        <w:ind w:firstLine="480" w:firstLineChars="200"/>
        <w:rPr>
          <w:rFonts w:ascii="宋体"/>
          <w:color w:val="auto"/>
          <w:sz w:val="24"/>
          <w:highlight w:val="none"/>
        </w:rPr>
      </w:pPr>
      <w:r>
        <w:rPr>
          <w:rFonts w:hint="eastAsia" w:ascii="宋体"/>
          <w:color w:val="auto"/>
          <w:sz w:val="24"/>
          <w:highlight w:val="none"/>
        </w:rPr>
        <w:t>3.7.11</w:t>
      </w:r>
      <w:r>
        <w:rPr>
          <w:rFonts w:hint="eastAsia" w:ascii="宋体"/>
          <w:color w:val="auto"/>
          <w:sz w:val="24"/>
          <w:highlight w:val="none"/>
        </w:rPr>
        <w:tab/>
      </w:r>
      <w:r>
        <w:rPr>
          <w:rFonts w:hint="eastAsia" w:ascii="宋体"/>
          <w:color w:val="auto"/>
          <w:sz w:val="24"/>
          <w:highlight w:val="none"/>
        </w:rPr>
        <w:t>不同投标人的投标文件载明的项目管理成员或者联系人员为同一人；</w:t>
      </w:r>
    </w:p>
    <w:p w14:paraId="55852C1A">
      <w:pPr>
        <w:spacing w:line="360" w:lineRule="auto"/>
        <w:ind w:firstLine="480" w:firstLineChars="200"/>
        <w:rPr>
          <w:rFonts w:ascii="宋体"/>
          <w:color w:val="auto"/>
          <w:sz w:val="24"/>
          <w:highlight w:val="none"/>
        </w:rPr>
      </w:pPr>
      <w:r>
        <w:rPr>
          <w:rFonts w:hint="eastAsia" w:ascii="宋体"/>
          <w:color w:val="auto"/>
          <w:sz w:val="24"/>
          <w:highlight w:val="none"/>
        </w:rPr>
        <w:t>3.7.12</w:t>
      </w:r>
      <w:r>
        <w:rPr>
          <w:rFonts w:hint="eastAsia" w:ascii="宋体"/>
          <w:color w:val="auto"/>
          <w:sz w:val="24"/>
          <w:highlight w:val="none"/>
        </w:rPr>
        <w:tab/>
      </w:r>
      <w:r>
        <w:rPr>
          <w:rFonts w:hint="eastAsia" w:ascii="宋体"/>
          <w:color w:val="auto"/>
          <w:sz w:val="24"/>
          <w:highlight w:val="none"/>
        </w:rPr>
        <w:t>不同投标人的投标文件异常一致或者投标报价呈规律性差异；</w:t>
      </w:r>
    </w:p>
    <w:p w14:paraId="241D8D1F">
      <w:pPr>
        <w:spacing w:line="360" w:lineRule="auto"/>
        <w:ind w:firstLine="480" w:firstLineChars="200"/>
        <w:rPr>
          <w:rFonts w:ascii="宋体"/>
          <w:color w:val="auto"/>
          <w:sz w:val="24"/>
          <w:highlight w:val="none"/>
        </w:rPr>
      </w:pPr>
      <w:r>
        <w:rPr>
          <w:rFonts w:hint="eastAsia" w:ascii="宋体"/>
          <w:color w:val="auto"/>
          <w:sz w:val="24"/>
          <w:highlight w:val="none"/>
        </w:rPr>
        <w:t>3.7.13</w:t>
      </w:r>
      <w:r>
        <w:rPr>
          <w:rFonts w:hint="eastAsia" w:ascii="宋体"/>
          <w:color w:val="auto"/>
          <w:sz w:val="24"/>
          <w:highlight w:val="none"/>
        </w:rPr>
        <w:tab/>
      </w:r>
      <w:r>
        <w:rPr>
          <w:rFonts w:hint="eastAsia" w:ascii="宋体"/>
          <w:color w:val="auto"/>
          <w:sz w:val="24"/>
          <w:highlight w:val="none"/>
        </w:rPr>
        <w:t>不同投标人的投标文件相互混装；</w:t>
      </w:r>
    </w:p>
    <w:p w14:paraId="7199B272">
      <w:pPr>
        <w:spacing w:line="360" w:lineRule="auto"/>
        <w:ind w:firstLine="480" w:firstLineChars="200"/>
        <w:rPr>
          <w:rFonts w:ascii="宋体"/>
          <w:color w:val="auto"/>
          <w:sz w:val="24"/>
          <w:highlight w:val="none"/>
        </w:rPr>
      </w:pPr>
      <w:r>
        <w:rPr>
          <w:rFonts w:hint="eastAsia" w:ascii="宋体"/>
          <w:color w:val="auto"/>
          <w:sz w:val="24"/>
          <w:highlight w:val="none"/>
        </w:rPr>
        <w:t>3.7.14</w:t>
      </w:r>
      <w:r>
        <w:rPr>
          <w:rFonts w:hint="eastAsia" w:ascii="宋体"/>
          <w:color w:val="auto"/>
          <w:sz w:val="24"/>
          <w:highlight w:val="none"/>
        </w:rPr>
        <w:tab/>
      </w:r>
      <w:r>
        <w:rPr>
          <w:rFonts w:hint="eastAsia" w:ascii="宋体"/>
          <w:color w:val="auto"/>
          <w:sz w:val="24"/>
          <w:highlight w:val="none"/>
        </w:rPr>
        <w:t>不同投标人的投标保证金从同一单位或者个人的账户转出；</w:t>
      </w:r>
    </w:p>
    <w:p w14:paraId="17FB9C99">
      <w:pPr>
        <w:spacing w:line="360" w:lineRule="auto"/>
        <w:ind w:firstLine="480" w:firstLineChars="200"/>
        <w:rPr>
          <w:rFonts w:ascii="宋体"/>
          <w:color w:val="auto"/>
          <w:sz w:val="24"/>
          <w:highlight w:val="none"/>
        </w:rPr>
      </w:pPr>
      <w:r>
        <w:rPr>
          <w:rFonts w:hint="eastAsia" w:ascii="宋体"/>
          <w:color w:val="auto"/>
          <w:sz w:val="24"/>
          <w:highlight w:val="none"/>
        </w:rPr>
        <w:t>3.7.15</w:t>
      </w:r>
      <w:r>
        <w:rPr>
          <w:rFonts w:hint="eastAsia" w:ascii="宋体"/>
          <w:color w:val="auto"/>
          <w:sz w:val="24"/>
          <w:highlight w:val="none"/>
        </w:rPr>
        <w:tab/>
      </w:r>
      <w:r>
        <w:rPr>
          <w:rFonts w:hint="eastAsia" w:ascii="宋体"/>
          <w:color w:val="auto"/>
          <w:sz w:val="24"/>
          <w:highlight w:val="none"/>
        </w:rPr>
        <w:t>有关法律、法规或规章规定的其他串通投标行为。</w:t>
      </w:r>
    </w:p>
    <w:p w14:paraId="06C08A5E">
      <w:pPr>
        <w:spacing w:line="360" w:lineRule="auto"/>
        <w:ind w:firstLine="480" w:firstLineChars="200"/>
        <w:rPr>
          <w:rFonts w:ascii="宋体"/>
          <w:color w:val="auto"/>
          <w:sz w:val="24"/>
          <w:highlight w:val="none"/>
        </w:rPr>
      </w:pPr>
      <w:r>
        <w:rPr>
          <w:rFonts w:hint="eastAsia" w:ascii="宋体"/>
          <w:color w:val="auto"/>
          <w:sz w:val="24"/>
          <w:highlight w:val="none"/>
        </w:rPr>
        <w:t>3.8 投标人存在法律、法规和招标文件规定的其他无效情形的，投标无效。</w:t>
      </w:r>
    </w:p>
    <w:p w14:paraId="20EF8181">
      <w:pPr>
        <w:spacing w:line="360" w:lineRule="auto"/>
        <w:rPr>
          <w:rFonts w:ascii="宋体"/>
          <w:b/>
          <w:color w:val="auto"/>
          <w:sz w:val="24"/>
          <w:highlight w:val="none"/>
        </w:rPr>
      </w:pPr>
      <w:r>
        <w:rPr>
          <w:rFonts w:hint="eastAsia" w:ascii="宋体"/>
          <w:b/>
          <w:color w:val="auto"/>
          <w:sz w:val="24"/>
          <w:highlight w:val="none"/>
        </w:rPr>
        <w:t>4、投标费用</w:t>
      </w:r>
    </w:p>
    <w:p w14:paraId="6639C539">
      <w:pPr>
        <w:spacing w:line="360" w:lineRule="auto"/>
        <w:ind w:firstLine="480" w:firstLineChars="200"/>
        <w:rPr>
          <w:rFonts w:ascii="宋体"/>
          <w:color w:val="auto"/>
          <w:szCs w:val="21"/>
          <w:highlight w:val="none"/>
        </w:rPr>
      </w:pPr>
      <w:r>
        <w:rPr>
          <w:rFonts w:hint="eastAsia" w:ascii="宋体"/>
          <w:color w:val="auto"/>
          <w:sz w:val="24"/>
          <w:highlight w:val="none"/>
        </w:rPr>
        <w:t>4.1投标人自行承担其参加投标所涉及的一切费用。</w:t>
      </w:r>
    </w:p>
    <w:p w14:paraId="6E9A1F97">
      <w:pPr>
        <w:pStyle w:val="3"/>
        <w:numPr>
          <w:ilvl w:val="0"/>
          <w:numId w:val="0"/>
        </w:numPr>
        <w:spacing w:before="0" w:after="0" w:line="360" w:lineRule="auto"/>
        <w:rPr>
          <w:rFonts w:ascii="宋体"/>
          <w:color w:val="auto"/>
          <w:sz w:val="28"/>
          <w:szCs w:val="28"/>
          <w:highlight w:val="none"/>
        </w:rPr>
      </w:pPr>
      <w:bookmarkStart w:id="54" w:name="_Toc531742154"/>
      <w:bookmarkStart w:id="55" w:name="_Toc329098422"/>
      <w:bookmarkStart w:id="56" w:name="_Toc332894818"/>
      <w:bookmarkStart w:id="57" w:name="_Toc410636418"/>
      <w:bookmarkStart w:id="58" w:name="_Toc392496241"/>
      <w:bookmarkStart w:id="59" w:name="_Toc22557"/>
      <w:bookmarkStart w:id="60" w:name="_Toc332895788"/>
      <w:bookmarkStart w:id="61" w:name="_Toc11387"/>
      <w:bookmarkStart w:id="62" w:name="_Toc404866204"/>
      <w:r>
        <w:rPr>
          <w:rFonts w:hint="eastAsia" w:ascii="宋体"/>
          <w:color w:val="auto"/>
          <w:sz w:val="28"/>
          <w:szCs w:val="28"/>
          <w:highlight w:val="none"/>
        </w:rPr>
        <w:t>二、招标文件</w:t>
      </w:r>
      <w:bookmarkEnd w:id="54"/>
      <w:bookmarkEnd w:id="55"/>
      <w:bookmarkEnd w:id="56"/>
      <w:bookmarkEnd w:id="57"/>
      <w:bookmarkEnd w:id="58"/>
      <w:bookmarkEnd w:id="59"/>
      <w:bookmarkEnd w:id="60"/>
      <w:bookmarkEnd w:id="61"/>
      <w:bookmarkEnd w:id="62"/>
    </w:p>
    <w:p w14:paraId="049B2E60">
      <w:pPr>
        <w:spacing w:line="360" w:lineRule="auto"/>
        <w:rPr>
          <w:rFonts w:ascii="宋体"/>
          <w:b/>
          <w:color w:val="auto"/>
          <w:sz w:val="24"/>
          <w:highlight w:val="none"/>
        </w:rPr>
      </w:pPr>
      <w:r>
        <w:rPr>
          <w:rFonts w:hint="eastAsia" w:ascii="宋体"/>
          <w:b/>
          <w:color w:val="auto"/>
          <w:sz w:val="24"/>
          <w:highlight w:val="none"/>
        </w:rPr>
        <w:t>5、招标文件的组成</w:t>
      </w:r>
    </w:p>
    <w:p w14:paraId="144A08BE">
      <w:pPr>
        <w:spacing w:line="360" w:lineRule="auto"/>
        <w:ind w:firstLine="360" w:firstLineChars="150"/>
        <w:rPr>
          <w:rFonts w:ascii="宋体"/>
          <w:color w:val="auto"/>
          <w:sz w:val="24"/>
          <w:highlight w:val="none"/>
        </w:rPr>
      </w:pPr>
      <w:r>
        <w:rPr>
          <w:rFonts w:hint="eastAsia" w:ascii="宋体"/>
          <w:color w:val="auto"/>
          <w:sz w:val="24"/>
          <w:highlight w:val="none"/>
        </w:rPr>
        <w:t xml:space="preserve"> 5.1招标文件用以阐明所需货物及服务招标程序、内容和合同主要条款。招标文件由下述部分组成：</w:t>
      </w:r>
    </w:p>
    <w:p w14:paraId="41C3E32F">
      <w:pPr>
        <w:spacing w:line="360" w:lineRule="auto"/>
        <w:ind w:firstLine="480"/>
        <w:rPr>
          <w:rFonts w:ascii="宋体"/>
          <w:color w:val="auto"/>
          <w:sz w:val="24"/>
          <w:highlight w:val="none"/>
        </w:rPr>
      </w:pPr>
      <w:r>
        <w:rPr>
          <w:rFonts w:hint="eastAsia" w:ascii="宋体"/>
          <w:color w:val="auto"/>
          <w:sz w:val="24"/>
          <w:highlight w:val="none"/>
        </w:rPr>
        <w:t>（1）投标邀请</w:t>
      </w:r>
    </w:p>
    <w:p w14:paraId="5D16F5DF">
      <w:pPr>
        <w:spacing w:line="360" w:lineRule="auto"/>
        <w:ind w:firstLine="480"/>
        <w:rPr>
          <w:rFonts w:ascii="宋体"/>
          <w:color w:val="auto"/>
          <w:sz w:val="24"/>
          <w:highlight w:val="none"/>
        </w:rPr>
      </w:pPr>
      <w:r>
        <w:rPr>
          <w:rFonts w:hint="eastAsia" w:ascii="宋体"/>
          <w:color w:val="auto"/>
          <w:sz w:val="24"/>
          <w:highlight w:val="none"/>
        </w:rPr>
        <w:t xml:space="preserve">（2）投标人须知 </w:t>
      </w:r>
    </w:p>
    <w:p w14:paraId="4CCE186A">
      <w:pPr>
        <w:spacing w:line="360" w:lineRule="auto"/>
        <w:ind w:firstLine="480"/>
        <w:rPr>
          <w:rFonts w:ascii="宋体"/>
          <w:color w:val="auto"/>
          <w:sz w:val="24"/>
          <w:highlight w:val="none"/>
        </w:rPr>
      </w:pPr>
      <w:r>
        <w:rPr>
          <w:rFonts w:hint="eastAsia" w:ascii="宋体"/>
          <w:color w:val="auto"/>
          <w:sz w:val="24"/>
          <w:highlight w:val="none"/>
        </w:rPr>
        <w:t>（3）招标内容及要求</w:t>
      </w:r>
    </w:p>
    <w:p w14:paraId="06E2B8E0">
      <w:pPr>
        <w:spacing w:line="360" w:lineRule="auto"/>
        <w:ind w:firstLine="480"/>
        <w:rPr>
          <w:rFonts w:ascii="宋体"/>
          <w:color w:val="auto"/>
          <w:sz w:val="24"/>
          <w:highlight w:val="none"/>
        </w:rPr>
      </w:pPr>
      <w:r>
        <w:rPr>
          <w:rFonts w:hint="eastAsia" w:ascii="宋体"/>
          <w:color w:val="auto"/>
          <w:sz w:val="24"/>
          <w:highlight w:val="none"/>
        </w:rPr>
        <w:t>（4）合同主要条款</w:t>
      </w:r>
    </w:p>
    <w:p w14:paraId="4D86C44E">
      <w:pPr>
        <w:spacing w:line="360" w:lineRule="auto"/>
        <w:ind w:firstLine="480"/>
        <w:rPr>
          <w:rFonts w:ascii="宋体"/>
          <w:color w:val="auto"/>
          <w:sz w:val="24"/>
          <w:highlight w:val="none"/>
        </w:rPr>
      </w:pPr>
      <w:r>
        <w:rPr>
          <w:rFonts w:hint="eastAsia" w:ascii="宋体"/>
          <w:color w:val="auto"/>
          <w:sz w:val="24"/>
          <w:highlight w:val="none"/>
        </w:rPr>
        <w:t>（5）投标文件格式</w:t>
      </w:r>
    </w:p>
    <w:p w14:paraId="1F56BD80">
      <w:pPr>
        <w:spacing w:line="360" w:lineRule="auto"/>
        <w:rPr>
          <w:rFonts w:ascii="宋体"/>
          <w:b/>
          <w:color w:val="auto"/>
          <w:sz w:val="24"/>
          <w:highlight w:val="none"/>
        </w:rPr>
      </w:pPr>
      <w:r>
        <w:rPr>
          <w:rFonts w:hint="eastAsia" w:ascii="宋体"/>
          <w:b/>
          <w:color w:val="auto"/>
          <w:sz w:val="24"/>
          <w:highlight w:val="none"/>
        </w:rPr>
        <w:t>6、招标文件的澄清</w:t>
      </w:r>
    </w:p>
    <w:p w14:paraId="2E2C14CA">
      <w:pPr>
        <w:spacing w:line="360" w:lineRule="auto"/>
        <w:ind w:firstLine="480"/>
        <w:rPr>
          <w:rFonts w:ascii="宋体"/>
          <w:color w:val="auto"/>
          <w:sz w:val="24"/>
          <w:highlight w:val="none"/>
        </w:rPr>
      </w:pPr>
      <w:r>
        <w:rPr>
          <w:rFonts w:hint="eastAsia" w:ascii="宋体"/>
          <w:color w:val="auto"/>
          <w:sz w:val="24"/>
          <w:highlight w:val="none"/>
        </w:rPr>
        <w:t>6.1投标人对招标文件如有疑点，可要求澄清。要求澄清应按投标邀请中载明的地址以书面形式（包括信函、电报或传真，下同）通知采购代理机构。采购代理机构将视情况在投标截止时间15个日历日（如至原定截止时间不足15个日历日，则需延长开标时间）前将不标明查询来源的书面答复发给所有投标人，并在原采购信息发布媒体上发布更正公告。该澄清内容为招标文件的组成部分。</w:t>
      </w:r>
    </w:p>
    <w:p w14:paraId="0DE38F99">
      <w:pPr>
        <w:spacing w:line="360" w:lineRule="auto"/>
        <w:rPr>
          <w:rFonts w:ascii="宋体"/>
          <w:b/>
          <w:color w:val="auto"/>
          <w:sz w:val="24"/>
          <w:highlight w:val="none"/>
        </w:rPr>
      </w:pPr>
      <w:r>
        <w:rPr>
          <w:rFonts w:hint="eastAsia" w:ascii="宋体"/>
          <w:b/>
          <w:color w:val="auto"/>
          <w:sz w:val="24"/>
          <w:highlight w:val="none"/>
        </w:rPr>
        <w:t>7、招标文件的修改</w:t>
      </w:r>
    </w:p>
    <w:p w14:paraId="1B6BE63E">
      <w:pPr>
        <w:spacing w:line="360" w:lineRule="auto"/>
        <w:ind w:firstLine="480"/>
        <w:rPr>
          <w:rFonts w:ascii="宋体"/>
          <w:color w:val="auto"/>
          <w:sz w:val="24"/>
          <w:highlight w:val="none"/>
        </w:rPr>
      </w:pPr>
      <w:r>
        <w:rPr>
          <w:rFonts w:hint="eastAsia" w:ascii="宋体"/>
          <w:color w:val="auto"/>
          <w:sz w:val="24"/>
          <w:highlight w:val="none"/>
        </w:rPr>
        <w:t>7.1至投标截止时间15日（如至原定截止时间不足15个日历日，则需延长开标时间）前，采购代理机构可主动或依投标人要求澄清的问题而修改招标文件，但应当在原信息发布媒体上发布更正公告，并以书面形式通知所有招标文件收受人，投标人在收到该通知后应当立即以电报或传真的形式予以确认。该修改内容为招标文件的组成部分，对投标人具有约束力。但本招标文件第7.2条规定的推迟投标截止时间和开标时间情形不受本条约束。</w:t>
      </w:r>
    </w:p>
    <w:p w14:paraId="119BBE47">
      <w:pPr>
        <w:spacing w:line="360" w:lineRule="auto"/>
        <w:ind w:firstLine="480"/>
        <w:rPr>
          <w:rFonts w:ascii="宋体"/>
          <w:color w:val="auto"/>
          <w:sz w:val="24"/>
          <w:highlight w:val="none"/>
        </w:rPr>
      </w:pPr>
      <w:r>
        <w:rPr>
          <w:rFonts w:hint="eastAsia" w:ascii="宋体"/>
          <w:color w:val="auto"/>
          <w:sz w:val="24"/>
          <w:highlight w:val="none"/>
        </w:rPr>
        <w:t>7.2 为使投标人在准备投标文件时有合理的时间考虑投标文件的修改，采购代理机构可酌情推迟投标截止时间和开标时间，但应当至少在投标截止时间3个日历日前将变更时间以书面形式通知所有招标文件收受人，并在原采购信息发布媒体上发布更正公告。在此情况下，采购人和投标人受投标截止期制约的所有权利和义务均应延长至新的截止日期。</w:t>
      </w:r>
    </w:p>
    <w:p w14:paraId="2B7EDC35">
      <w:pPr>
        <w:spacing w:line="360" w:lineRule="auto"/>
        <w:ind w:firstLine="480"/>
        <w:rPr>
          <w:rFonts w:ascii="宋体"/>
          <w:color w:val="auto"/>
          <w:szCs w:val="21"/>
          <w:highlight w:val="none"/>
        </w:rPr>
      </w:pPr>
      <w:r>
        <w:rPr>
          <w:rFonts w:hint="eastAsia" w:ascii="宋体"/>
          <w:color w:val="auto"/>
          <w:sz w:val="24"/>
          <w:highlight w:val="none"/>
        </w:rPr>
        <w:t>7.3 招标答疑文件、补充通知、修改通知将构成招标文件的一部分，对招投标方均具有约束力；招标答疑文件、补充通知、修改通知与招标文件不一致的部分及内容以前者为准；招标答疑文件、补充通知、修改通知内容不一致的，以最后一次发出的为准。</w:t>
      </w:r>
    </w:p>
    <w:p w14:paraId="13CF129F">
      <w:pPr>
        <w:pStyle w:val="3"/>
        <w:numPr>
          <w:ilvl w:val="0"/>
          <w:numId w:val="0"/>
        </w:numPr>
        <w:spacing w:before="0" w:after="0" w:line="360" w:lineRule="auto"/>
        <w:rPr>
          <w:rFonts w:ascii="宋体"/>
          <w:color w:val="auto"/>
          <w:sz w:val="28"/>
          <w:szCs w:val="28"/>
          <w:highlight w:val="none"/>
        </w:rPr>
      </w:pPr>
      <w:bookmarkStart w:id="63" w:name="_Toc404866205"/>
      <w:bookmarkStart w:id="64" w:name="_Toc410636419"/>
      <w:bookmarkStart w:id="65" w:name="_Toc332895789"/>
      <w:bookmarkStart w:id="66" w:name="_Toc392496242"/>
      <w:bookmarkStart w:id="67" w:name="_Toc332894819"/>
      <w:bookmarkStart w:id="68" w:name="_Toc531742155"/>
      <w:bookmarkStart w:id="69" w:name="_Toc232"/>
      <w:bookmarkStart w:id="70" w:name="_Toc16975"/>
      <w:bookmarkStart w:id="71" w:name="_Toc329098423"/>
      <w:r>
        <w:rPr>
          <w:rFonts w:hint="eastAsia" w:ascii="宋体"/>
          <w:color w:val="auto"/>
          <w:sz w:val="28"/>
          <w:szCs w:val="28"/>
          <w:highlight w:val="none"/>
        </w:rPr>
        <w:t>三、投标文件的编写</w:t>
      </w:r>
      <w:bookmarkEnd w:id="63"/>
      <w:bookmarkEnd w:id="64"/>
      <w:bookmarkEnd w:id="65"/>
      <w:bookmarkEnd w:id="66"/>
      <w:bookmarkEnd w:id="67"/>
      <w:bookmarkEnd w:id="68"/>
      <w:bookmarkEnd w:id="69"/>
      <w:bookmarkEnd w:id="70"/>
      <w:bookmarkEnd w:id="71"/>
    </w:p>
    <w:p w14:paraId="2203DDA1">
      <w:pPr>
        <w:spacing w:line="360" w:lineRule="auto"/>
        <w:rPr>
          <w:rFonts w:ascii="宋体"/>
          <w:b/>
          <w:color w:val="auto"/>
          <w:sz w:val="24"/>
          <w:highlight w:val="none"/>
        </w:rPr>
      </w:pPr>
      <w:r>
        <w:rPr>
          <w:rFonts w:hint="eastAsia" w:ascii="宋体"/>
          <w:b/>
          <w:color w:val="auto"/>
          <w:sz w:val="24"/>
          <w:highlight w:val="none"/>
        </w:rPr>
        <w:t>8、要求</w:t>
      </w:r>
    </w:p>
    <w:p w14:paraId="4794C53D">
      <w:pPr>
        <w:spacing w:line="360" w:lineRule="auto"/>
        <w:rPr>
          <w:rFonts w:ascii="宋体"/>
          <w:color w:val="auto"/>
          <w:sz w:val="24"/>
          <w:highlight w:val="none"/>
        </w:rPr>
      </w:pPr>
      <w:r>
        <w:rPr>
          <w:rFonts w:hint="eastAsia" w:ascii="宋体"/>
          <w:color w:val="auto"/>
          <w:sz w:val="24"/>
          <w:highlight w:val="none"/>
        </w:rPr>
        <w:t xml:space="preserve">    8.1投标人应仔细阅读招标文件的所有内容，按照招标文件的要求提交投标文件。投标文件应对招标文件的要求作出实质性响应，并保证所提供的全部资料的真实性，否则其投标将被拒绝。</w:t>
      </w:r>
    </w:p>
    <w:p w14:paraId="1F651948">
      <w:pPr>
        <w:tabs>
          <w:tab w:val="left" w:pos="900"/>
        </w:tabs>
        <w:spacing w:after="120" w:line="360" w:lineRule="auto"/>
        <w:ind w:firstLine="480" w:firstLineChars="200"/>
        <w:rPr>
          <w:rFonts w:ascii="宋体"/>
          <w:color w:val="auto"/>
          <w:sz w:val="24"/>
          <w:highlight w:val="none"/>
        </w:rPr>
      </w:pPr>
      <w:r>
        <w:rPr>
          <w:rFonts w:hint="eastAsia" w:ascii="宋体"/>
          <w:color w:val="auto"/>
          <w:sz w:val="24"/>
          <w:highlight w:val="none"/>
        </w:rPr>
        <w:t>8.2除非有另外的规定，投标人可对招标项目一览表所列的全部合同包或部分合同包进行投标。采购代理机构不接受有任何可选择性的报价，每一种货物（服务）只能有一个报价。</w:t>
      </w:r>
    </w:p>
    <w:p w14:paraId="3DDC8290">
      <w:pPr>
        <w:spacing w:line="360" w:lineRule="auto"/>
        <w:rPr>
          <w:rFonts w:ascii="宋体"/>
          <w:b/>
          <w:color w:val="auto"/>
          <w:sz w:val="24"/>
          <w:highlight w:val="none"/>
        </w:rPr>
      </w:pPr>
      <w:r>
        <w:rPr>
          <w:rFonts w:hint="eastAsia" w:ascii="宋体"/>
          <w:b/>
          <w:color w:val="auto"/>
          <w:sz w:val="24"/>
          <w:highlight w:val="none"/>
        </w:rPr>
        <w:t>9、投标文件语言</w:t>
      </w:r>
    </w:p>
    <w:p w14:paraId="7EED77D1">
      <w:pPr>
        <w:spacing w:line="360" w:lineRule="auto"/>
        <w:ind w:firstLine="480" w:firstLineChars="200"/>
        <w:rPr>
          <w:rFonts w:ascii="宋体"/>
          <w:color w:val="auto"/>
          <w:sz w:val="24"/>
          <w:highlight w:val="none"/>
        </w:rPr>
      </w:pPr>
      <w:r>
        <w:rPr>
          <w:rFonts w:hint="eastAsia" w:ascii="宋体"/>
          <w:color w:val="auto"/>
          <w:sz w:val="24"/>
          <w:highlight w:val="none"/>
        </w:rPr>
        <w:t>9.1投标文件应用中文书写。投标文件中所附或所引用的原件不是中文时，应附中文译本。各种计量单位及符号应采用国际上统一使用的公制计量单位和符号。</w:t>
      </w:r>
    </w:p>
    <w:p w14:paraId="23988B2E">
      <w:pPr>
        <w:spacing w:line="360" w:lineRule="auto"/>
        <w:rPr>
          <w:rFonts w:ascii="宋体"/>
          <w:b/>
          <w:color w:val="auto"/>
          <w:sz w:val="24"/>
          <w:highlight w:val="none"/>
        </w:rPr>
      </w:pPr>
      <w:r>
        <w:rPr>
          <w:rFonts w:hint="eastAsia" w:ascii="宋体"/>
          <w:b/>
          <w:color w:val="auto"/>
          <w:sz w:val="24"/>
          <w:highlight w:val="none"/>
        </w:rPr>
        <w:t>10、投标文件的组成</w:t>
      </w:r>
    </w:p>
    <w:p w14:paraId="77038292">
      <w:pPr>
        <w:spacing w:line="360" w:lineRule="auto"/>
        <w:ind w:firstLine="465"/>
        <w:rPr>
          <w:rFonts w:ascii="宋体"/>
          <w:color w:val="auto"/>
          <w:sz w:val="24"/>
          <w:highlight w:val="none"/>
        </w:rPr>
      </w:pPr>
      <w:r>
        <w:rPr>
          <w:rFonts w:hint="eastAsia" w:ascii="宋体"/>
          <w:color w:val="auto"/>
          <w:sz w:val="24"/>
          <w:highlight w:val="none"/>
        </w:rPr>
        <w:t>10.1投标文件应包括下列三个部分（三个部分均应单独装订）</w:t>
      </w:r>
    </w:p>
    <w:p w14:paraId="043B7E4B">
      <w:pPr>
        <w:spacing w:line="360" w:lineRule="auto"/>
        <w:ind w:firstLine="465"/>
        <w:rPr>
          <w:rFonts w:ascii="宋体"/>
          <w:color w:val="auto"/>
          <w:sz w:val="24"/>
          <w:highlight w:val="none"/>
        </w:rPr>
      </w:pPr>
      <w:r>
        <w:rPr>
          <w:rFonts w:hint="eastAsia" w:ascii="宋体"/>
          <w:color w:val="auto"/>
          <w:sz w:val="24"/>
          <w:highlight w:val="none"/>
        </w:rPr>
        <w:t>10.1.1报价部分（单独装订）</w:t>
      </w:r>
    </w:p>
    <w:p w14:paraId="28A459B0">
      <w:pPr>
        <w:spacing w:line="360" w:lineRule="auto"/>
        <w:ind w:firstLine="840" w:firstLineChars="350"/>
        <w:rPr>
          <w:rFonts w:ascii="宋体"/>
          <w:color w:val="auto"/>
          <w:sz w:val="24"/>
          <w:highlight w:val="none"/>
        </w:rPr>
      </w:pPr>
      <w:r>
        <w:rPr>
          <w:rFonts w:hint="eastAsia" w:ascii="宋体"/>
          <w:color w:val="auto"/>
          <w:sz w:val="24"/>
          <w:highlight w:val="none"/>
        </w:rPr>
        <w:t>10.1.1.1开标一览表</w:t>
      </w:r>
    </w:p>
    <w:p w14:paraId="541532FB">
      <w:pPr>
        <w:spacing w:line="360" w:lineRule="auto"/>
        <w:ind w:firstLine="840" w:firstLineChars="350"/>
        <w:rPr>
          <w:rFonts w:ascii="宋体"/>
          <w:color w:val="auto"/>
          <w:sz w:val="24"/>
          <w:highlight w:val="none"/>
        </w:rPr>
      </w:pPr>
      <w:r>
        <w:rPr>
          <w:rFonts w:hint="eastAsia" w:ascii="宋体"/>
          <w:color w:val="auto"/>
          <w:sz w:val="24"/>
          <w:highlight w:val="none"/>
        </w:rPr>
        <w:t>10.1.1.2投标分项报价表</w:t>
      </w:r>
    </w:p>
    <w:p w14:paraId="228C59B1">
      <w:pPr>
        <w:spacing w:line="360" w:lineRule="auto"/>
        <w:ind w:firstLine="840" w:firstLineChars="350"/>
        <w:rPr>
          <w:rFonts w:ascii="宋体"/>
          <w:color w:val="auto"/>
          <w:sz w:val="24"/>
          <w:highlight w:val="none"/>
        </w:rPr>
      </w:pPr>
      <w:r>
        <w:rPr>
          <w:rFonts w:hint="eastAsia" w:ascii="宋体"/>
          <w:color w:val="auto"/>
          <w:sz w:val="24"/>
          <w:highlight w:val="none"/>
        </w:rPr>
        <w:t>10.1.1.3小型、微型企业产品价格扣除材料（若有）</w:t>
      </w:r>
    </w:p>
    <w:p w14:paraId="3205903D">
      <w:pPr>
        <w:spacing w:line="360" w:lineRule="auto"/>
        <w:ind w:firstLine="1780" w:firstLineChars="742"/>
        <w:rPr>
          <w:rFonts w:ascii="宋体"/>
          <w:color w:val="auto"/>
          <w:sz w:val="24"/>
          <w:highlight w:val="none"/>
        </w:rPr>
      </w:pPr>
      <w:r>
        <w:rPr>
          <w:rFonts w:hint="eastAsia" w:ascii="宋体"/>
          <w:color w:val="auto"/>
          <w:sz w:val="24"/>
          <w:highlight w:val="none"/>
        </w:rPr>
        <w:t>（1）中小企业声明函</w:t>
      </w:r>
    </w:p>
    <w:p w14:paraId="16A8CFD4">
      <w:pPr>
        <w:spacing w:line="360" w:lineRule="auto"/>
        <w:ind w:firstLine="1780" w:firstLineChars="742"/>
        <w:rPr>
          <w:rFonts w:ascii="宋体"/>
          <w:color w:val="auto"/>
          <w:sz w:val="24"/>
          <w:highlight w:val="none"/>
        </w:rPr>
      </w:pPr>
      <w:r>
        <w:rPr>
          <w:rFonts w:hint="eastAsia" w:ascii="宋体"/>
          <w:color w:val="auto"/>
          <w:sz w:val="24"/>
          <w:highlight w:val="none"/>
        </w:rPr>
        <w:t>（2）残疾人福利性单位声明函（若有）</w:t>
      </w:r>
    </w:p>
    <w:p w14:paraId="29DD1136">
      <w:pPr>
        <w:spacing w:line="360" w:lineRule="auto"/>
        <w:ind w:firstLine="840" w:firstLineChars="350"/>
        <w:rPr>
          <w:rFonts w:ascii="宋体"/>
          <w:color w:val="auto"/>
          <w:sz w:val="24"/>
          <w:highlight w:val="none"/>
        </w:rPr>
      </w:pPr>
      <w:r>
        <w:rPr>
          <w:rFonts w:hint="eastAsia" w:ascii="宋体"/>
          <w:color w:val="auto"/>
          <w:sz w:val="24"/>
          <w:highlight w:val="none"/>
        </w:rPr>
        <w:t>10.1.1.4投标人提交的其他资料（若有）</w:t>
      </w:r>
    </w:p>
    <w:p w14:paraId="2273FB96">
      <w:pPr>
        <w:spacing w:line="360" w:lineRule="auto"/>
        <w:rPr>
          <w:rFonts w:ascii="宋体"/>
          <w:color w:val="auto"/>
          <w:sz w:val="24"/>
          <w:highlight w:val="none"/>
        </w:rPr>
      </w:pPr>
      <w:r>
        <w:rPr>
          <w:rFonts w:hint="eastAsia" w:ascii="宋体"/>
          <w:color w:val="auto"/>
          <w:sz w:val="24"/>
          <w:highlight w:val="none"/>
        </w:rPr>
        <w:t xml:space="preserve">     10.1.2投标人的资格证明部分（投标人应严格按照本资格条件要求完整提供相关的资格性证明文件，并单独装订，未在本册中完整提供资格证明文件的，投标无效）</w:t>
      </w:r>
    </w:p>
    <w:p w14:paraId="7B047E6D">
      <w:pPr>
        <w:spacing w:line="360" w:lineRule="auto"/>
        <w:rPr>
          <w:rFonts w:ascii="宋体"/>
          <w:color w:val="auto"/>
          <w:sz w:val="24"/>
          <w:highlight w:val="none"/>
        </w:rPr>
      </w:pPr>
      <w:r>
        <w:rPr>
          <w:rFonts w:hint="eastAsia" w:ascii="宋体"/>
          <w:color w:val="auto"/>
          <w:sz w:val="24"/>
          <w:highlight w:val="none"/>
        </w:rPr>
        <w:t xml:space="preserve">        10.1.2.1投标函</w:t>
      </w:r>
    </w:p>
    <w:p w14:paraId="5F98CA05">
      <w:pPr>
        <w:spacing w:line="360" w:lineRule="auto"/>
        <w:rPr>
          <w:rFonts w:ascii="宋体"/>
          <w:color w:val="auto"/>
          <w:sz w:val="24"/>
          <w:highlight w:val="none"/>
        </w:rPr>
      </w:pPr>
      <w:r>
        <w:rPr>
          <w:rFonts w:hint="eastAsia" w:ascii="宋体"/>
          <w:color w:val="auto"/>
          <w:sz w:val="24"/>
          <w:highlight w:val="none"/>
        </w:rPr>
        <w:t xml:space="preserve">        10.1.2.2单位负责人授权书</w:t>
      </w:r>
    </w:p>
    <w:p w14:paraId="1EC974F1">
      <w:pPr>
        <w:spacing w:line="360" w:lineRule="auto"/>
        <w:rPr>
          <w:rFonts w:ascii="宋体"/>
          <w:color w:val="auto"/>
          <w:sz w:val="24"/>
          <w:highlight w:val="none"/>
        </w:rPr>
      </w:pPr>
      <w:r>
        <w:rPr>
          <w:rFonts w:hint="eastAsia" w:ascii="宋体"/>
          <w:color w:val="auto"/>
          <w:sz w:val="24"/>
          <w:highlight w:val="none"/>
        </w:rPr>
        <w:t xml:space="preserve">        10.1.2.3法人或者其他组织的营业执照等证明文件，自然人的身份证明</w:t>
      </w:r>
    </w:p>
    <w:p w14:paraId="53DB8A3C">
      <w:pPr>
        <w:spacing w:line="360" w:lineRule="auto"/>
        <w:rPr>
          <w:rFonts w:ascii="宋体"/>
          <w:color w:val="auto"/>
          <w:sz w:val="24"/>
          <w:highlight w:val="none"/>
        </w:rPr>
      </w:pPr>
      <w:r>
        <w:rPr>
          <w:rFonts w:hint="eastAsia" w:ascii="宋体"/>
          <w:color w:val="auto"/>
          <w:sz w:val="24"/>
          <w:highlight w:val="none"/>
        </w:rPr>
        <w:t xml:space="preserve">        10.1.2.4财务状况报告</w:t>
      </w:r>
    </w:p>
    <w:p w14:paraId="0190DD4D">
      <w:pPr>
        <w:spacing w:line="360" w:lineRule="auto"/>
        <w:rPr>
          <w:rFonts w:ascii="宋体"/>
          <w:color w:val="auto"/>
          <w:sz w:val="24"/>
          <w:highlight w:val="none"/>
        </w:rPr>
      </w:pPr>
      <w:r>
        <w:rPr>
          <w:rFonts w:hint="eastAsia" w:ascii="宋体"/>
          <w:color w:val="auto"/>
          <w:sz w:val="24"/>
          <w:highlight w:val="none"/>
        </w:rPr>
        <w:t xml:space="preserve">        10.1.2.5依法缴纳税收的相关材料</w:t>
      </w:r>
    </w:p>
    <w:p w14:paraId="15D066DA">
      <w:pPr>
        <w:spacing w:line="360" w:lineRule="auto"/>
        <w:rPr>
          <w:rFonts w:ascii="宋体"/>
          <w:color w:val="auto"/>
          <w:sz w:val="24"/>
          <w:highlight w:val="none"/>
        </w:rPr>
      </w:pPr>
      <w:r>
        <w:rPr>
          <w:rFonts w:hint="eastAsia" w:ascii="宋体"/>
          <w:color w:val="auto"/>
          <w:sz w:val="24"/>
          <w:highlight w:val="none"/>
        </w:rPr>
        <w:t xml:space="preserve">        10.1.2.6依法缴纳社会保障资金的相关材料</w:t>
      </w:r>
    </w:p>
    <w:p w14:paraId="13A1B79A">
      <w:pPr>
        <w:spacing w:line="360" w:lineRule="auto"/>
        <w:rPr>
          <w:rFonts w:ascii="宋体"/>
          <w:color w:val="auto"/>
          <w:sz w:val="24"/>
          <w:highlight w:val="none"/>
        </w:rPr>
      </w:pPr>
      <w:r>
        <w:rPr>
          <w:rFonts w:hint="eastAsia" w:ascii="宋体"/>
          <w:color w:val="auto"/>
          <w:sz w:val="24"/>
          <w:highlight w:val="none"/>
        </w:rPr>
        <w:t xml:space="preserve">        10.1.2.7具备履行合同所必需的设备和专业技术能力的证明材料</w:t>
      </w:r>
    </w:p>
    <w:p w14:paraId="141376C0">
      <w:pPr>
        <w:spacing w:line="360" w:lineRule="auto"/>
        <w:rPr>
          <w:rFonts w:ascii="宋体"/>
          <w:color w:val="auto"/>
          <w:sz w:val="24"/>
          <w:highlight w:val="none"/>
        </w:rPr>
      </w:pPr>
      <w:r>
        <w:rPr>
          <w:rFonts w:hint="eastAsia" w:ascii="宋体"/>
          <w:color w:val="auto"/>
          <w:sz w:val="24"/>
          <w:highlight w:val="none"/>
        </w:rPr>
        <w:t xml:space="preserve">        10.1.2.8参加采购活动前3年内在经营活动中没有重大违法记录的书面声明</w:t>
      </w:r>
    </w:p>
    <w:p w14:paraId="525C0B8B">
      <w:pPr>
        <w:spacing w:line="360" w:lineRule="auto"/>
        <w:rPr>
          <w:rFonts w:ascii="宋体"/>
          <w:color w:val="auto"/>
          <w:sz w:val="24"/>
          <w:highlight w:val="none"/>
        </w:rPr>
      </w:pPr>
      <w:r>
        <w:rPr>
          <w:rFonts w:hint="eastAsia" w:ascii="宋体"/>
          <w:color w:val="auto"/>
          <w:sz w:val="24"/>
          <w:highlight w:val="none"/>
        </w:rPr>
        <w:t xml:space="preserve">        10.1.2.9投标保证金缴交凭证</w:t>
      </w:r>
    </w:p>
    <w:p w14:paraId="4E0A2ACA">
      <w:pPr>
        <w:spacing w:line="360" w:lineRule="auto"/>
        <w:rPr>
          <w:rFonts w:ascii="宋体"/>
          <w:color w:val="auto"/>
          <w:sz w:val="24"/>
          <w:highlight w:val="none"/>
        </w:rPr>
      </w:pPr>
      <w:r>
        <w:rPr>
          <w:rFonts w:hint="eastAsia" w:ascii="宋体"/>
          <w:color w:val="auto"/>
          <w:sz w:val="24"/>
          <w:highlight w:val="none"/>
        </w:rPr>
        <w:t xml:space="preserve">        10.1.2.10资格要求特定条件证明文件（若有）</w:t>
      </w:r>
    </w:p>
    <w:p w14:paraId="7532959D">
      <w:pPr>
        <w:spacing w:line="360" w:lineRule="auto"/>
        <w:rPr>
          <w:rFonts w:ascii="宋体"/>
          <w:color w:val="auto"/>
          <w:sz w:val="24"/>
          <w:highlight w:val="none"/>
        </w:rPr>
      </w:pPr>
      <w:r>
        <w:rPr>
          <w:rFonts w:hint="eastAsia" w:ascii="宋体"/>
          <w:color w:val="auto"/>
          <w:sz w:val="24"/>
          <w:highlight w:val="none"/>
        </w:rPr>
        <w:t xml:space="preserve">        10.1.2.11联合体协议（若有）</w:t>
      </w:r>
    </w:p>
    <w:p w14:paraId="6BE8A781">
      <w:pPr>
        <w:spacing w:line="360" w:lineRule="auto"/>
        <w:ind w:firstLine="460" w:firstLineChars="192"/>
        <w:rPr>
          <w:rFonts w:ascii="宋体"/>
          <w:color w:val="auto"/>
          <w:sz w:val="24"/>
          <w:highlight w:val="none"/>
        </w:rPr>
      </w:pPr>
      <w:r>
        <w:rPr>
          <w:rFonts w:hint="eastAsia" w:ascii="宋体"/>
          <w:color w:val="auto"/>
          <w:sz w:val="24"/>
          <w:highlight w:val="none"/>
        </w:rPr>
        <w:t>10.1.3技术商务部分（单独装订）</w:t>
      </w:r>
    </w:p>
    <w:p w14:paraId="784A2417">
      <w:pPr>
        <w:spacing w:line="360" w:lineRule="auto"/>
        <w:ind w:firstLine="1134"/>
        <w:rPr>
          <w:rFonts w:ascii="宋体"/>
          <w:color w:val="auto"/>
          <w:sz w:val="24"/>
          <w:highlight w:val="none"/>
        </w:rPr>
      </w:pPr>
      <w:r>
        <w:rPr>
          <w:rFonts w:hint="eastAsia" w:ascii="宋体"/>
          <w:color w:val="auto"/>
          <w:sz w:val="24"/>
          <w:highlight w:val="none"/>
        </w:rPr>
        <w:t>10.1.3.1技术、服务及商务要求响应内容</w:t>
      </w:r>
    </w:p>
    <w:p w14:paraId="03452170">
      <w:pPr>
        <w:spacing w:line="360" w:lineRule="auto"/>
        <w:rPr>
          <w:rFonts w:ascii="宋体"/>
          <w:color w:val="auto"/>
          <w:sz w:val="24"/>
          <w:highlight w:val="none"/>
        </w:rPr>
      </w:pPr>
      <w:r>
        <w:rPr>
          <w:rFonts w:hint="eastAsia" w:ascii="宋体"/>
          <w:color w:val="auto"/>
          <w:sz w:val="24"/>
          <w:highlight w:val="none"/>
        </w:rPr>
        <w:t xml:space="preserve">          （1）标的说明一览表</w:t>
      </w:r>
    </w:p>
    <w:p w14:paraId="226CBCCD">
      <w:pPr>
        <w:spacing w:line="360" w:lineRule="auto"/>
        <w:ind w:firstLine="1200" w:firstLineChars="500"/>
        <w:rPr>
          <w:rFonts w:ascii="宋体"/>
          <w:color w:val="auto"/>
          <w:sz w:val="24"/>
          <w:szCs w:val="24"/>
          <w:highlight w:val="none"/>
        </w:rPr>
      </w:pPr>
      <w:r>
        <w:rPr>
          <w:rFonts w:hint="eastAsia" w:ascii="宋体"/>
          <w:color w:val="auto"/>
          <w:sz w:val="24"/>
          <w:highlight w:val="none"/>
        </w:rPr>
        <w:t>（2）</w:t>
      </w:r>
      <w:r>
        <w:rPr>
          <w:rFonts w:hint="eastAsia" w:ascii="宋体"/>
          <w:color w:val="auto"/>
          <w:sz w:val="24"/>
          <w:szCs w:val="24"/>
          <w:highlight w:val="none"/>
        </w:rPr>
        <w:t>技术、服务及商务要求响应表</w:t>
      </w:r>
    </w:p>
    <w:p w14:paraId="7926965A">
      <w:pPr>
        <w:spacing w:line="360" w:lineRule="auto"/>
        <w:ind w:firstLine="1200" w:firstLineChars="500"/>
        <w:rPr>
          <w:rFonts w:ascii="宋体"/>
          <w:color w:val="auto"/>
          <w:sz w:val="24"/>
          <w:highlight w:val="none"/>
        </w:rPr>
      </w:pPr>
      <w:r>
        <w:rPr>
          <w:rFonts w:hint="eastAsia" w:ascii="宋体"/>
          <w:color w:val="auto"/>
          <w:sz w:val="24"/>
          <w:highlight w:val="none"/>
        </w:rPr>
        <w:t>（3）带“★”号条款逐条响应情况表</w:t>
      </w:r>
    </w:p>
    <w:p w14:paraId="68DA1A3F">
      <w:pPr>
        <w:spacing w:line="360" w:lineRule="auto"/>
        <w:ind w:firstLine="1200" w:firstLineChars="500"/>
        <w:rPr>
          <w:rFonts w:ascii="宋体"/>
          <w:color w:val="auto"/>
          <w:sz w:val="24"/>
          <w:highlight w:val="none"/>
        </w:rPr>
      </w:pPr>
      <w:r>
        <w:rPr>
          <w:rFonts w:hint="eastAsia" w:ascii="宋体"/>
          <w:color w:val="auto"/>
          <w:sz w:val="24"/>
          <w:highlight w:val="none"/>
        </w:rPr>
        <w:t>（4）</w:t>
      </w:r>
      <w:r>
        <w:rPr>
          <w:rFonts w:hint="eastAsia" w:ascii="宋体"/>
          <w:color w:val="auto"/>
          <w:sz w:val="24"/>
          <w:szCs w:val="24"/>
          <w:highlight w:val="none"/>
        </w:rPr>
        <w:t>带“★”号条款专项承诺函</w:t>
      </w:r>
    </w:p>
    <w:p w14:paraId="4DE5CDA3">
      <w:pPr>
        <w:spacing w:line="360" w:lineRule="auto"/>
        <w:ind w:firstLine="1134"/>
        <w:rPr>
          <w:rFonts w:ascii="宋体"/>
          <w:color w:val="auto"/>
          <w:sz w:val="24"/>
          <w:highlight w:val="none"/>
        </w:rPr>
      </w:pPr>
      <w:r>
        <w:rPr>
          <w:rFonts w:hint="eastAsia" w:ascii="宋体"/>
          <w:color w:val="auto"/>
          <w:sz w:val="24"/>
          <w:highlight w:val="none"/>
        </w:rPr>
        <w:t>10.1.3.2投标人提交的其他资料（若有）</w:t>
      </w:r>
    </w:p>
    <w:p w14:paraId="3E44AD57">
      <w:pPr>
        <w:spacing w:line="360" w:lineRule="auto"/>
        <w:rPr>
          <w:rFonts w:ascii="宋体"/>
          <w:b/>
          <w:color w:val="auto"/>
          <w:sz w:val="24"/>
          <w:highlight w:val="none"/>
        </w:rPr>
      </w:pPr>
      <w:r>
        <w:rPr>
          <w:rFonts w:hint="eastAsia" w:ascii="宋体"/>
          <w:b/>
          <w:color w:val="auto"/>
          <w:sz w:val="24"/>
          <w:highlight w:val="none"/>
        </w:rPr>
        <w:t>11、投标有效期</w:t>
      </w:r>
    </w:p>
    <w:p w14:paraId="0058646D">
      <w:pPr>
        <w:spacing w:line="360" w:lineRule="auto"/>
        <w:rPr>
          <w:rFonts w:ascii="宋体"/>
          <w:color w:val="auto"/>
          <w:sz w:val="24"/>
          <w:highlight w:val="none"/>
        </w:rPr>
      </w:pPr>
      <w:r>
        <w:rPr>
          <w:rFonts w:hint="eastAsia" w:ascii="宋体"/>
          <w:color w:val="auto"/>
          <w:sz w:val="24"/>
          <w:highlight w:val="none"/>
        </w:rPr>
        <w:t xml:space="preserve">    11.1投标文件从《</w:t>
      </w:r>
      <w:r>
        <w:rPr>
          <w:rFonts w:hint="eastAsia" w:ascii="宋体"/>
          <w:bCs/>
          <w:color w:val="auto"/>
          <w:sz w:val="24"/>
          <w:highlight w:val="none"/>
        </w:rPr>
        <w:t>投标人须知前附表1</w:t>
      </w:r>
      <w:r>
        <w:rPr>
          <w:rFonts w:hint="eastAsia" w:ascii="宋体"/>
          <w:color w:val="auto"/>
          <w:sz w:val="24"/>
          <w:highlight w:val="none"/>
        </w:rPr>
        <w:t>》第6项所规定的投标截止期之后开始生效，在</w:t>
      </w:r>
      <w:r>
        <w:rPr>
          <w:rFonts w:hint="eastAsia" w:ascii="宋体"/>
          <w:bCs/>
          <w:color w:val="auto"/>
          <w:sz w:val="24"/>
          <w:highlight w:val="none"/>
        </w:rPr>
        <w:t>《投标人须知前附表1》</w:t>
      </w:r>
      <w:r>
        <w:rPr>
          <w:rFonts w:hint="eastAsia" w:ascii="宋体"/>
          <w:color w:val="auto"/>
          <w:sz w:val="24"/>
          <w:highlight w:val="none"/>
        </w:rPr>
        <w:t>第5项所规定的期限内保持有效。有效期不足将导致其投标文件被拒绝。</w:t>
      </w:r>
    </w:p>
    <w:p w14:paraId="2D70B8FB">
      <w:pPr>
        <w:spacing w:line="360" w:lineRule="auto"/>
        <w:rPr>
          <w:rFonts w:ascii="宋体"/>
          <w:color w:val="auto"/>
          <w:sz w:val="24"/>
          <w:highlight w:val="none"/>
        </w:rPr>
      </w:pPr>
      <w:r>
        <w:rPr>
          <w:rFonts w:hint="eastAsia" w:ascii="宋体"/>
          <w:color w:val="auto"/>
          <w:sz w:val="24"/>
          <w:highlight w:val="none"/>
        </w:rPr>
        <w:t xml:space="preserve">    11.2特殊情况下采购代理机构可于投标有效期满之前书面要求投标人同意延长有效期，投标人应在采购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37D44217">
      <w:pPr>
        <w:spacing w:line="360" w:lineRule="auto"/>
        <w:rPr>
          <w:rFonts w:ascii="宋体"/>
          <w:b/>
          <w:color w:val="auto"/>
          <w:sz w:val="24"/>
          <w:highlight w:val="none"/>
        </w:rPr>
      </w:pPr>
      <w:r>
        <w:rPr>
          <w:rFonts w:hint="eastAsia" w:ascii="宋体"/>
          <w:b/>
          <w:color w:val="auto"/>
          <w:sz w:val="24"/>
          <w:highlight w:val="none"/>
        </w:rPr>
        <w:t>12、投标保证金</w:t>
      </w:r>
    </w:p>
    <w:p w14:paraId="5E34AFB4">
      <w:pPr>
        <w:spacing w:line="360" w:lineRule="auto"/>
        <w:ind w:firstLine="480"/>
        <w:rPr>
          <w:rFonts w:ascii="宋体"/>
          <w:color w:val="auto"/>
          <w:sz w:val="24"/>
          <w:highlight w:val="none"/>
        </w:rPr>
      </w:pPr>
      <w:r>
        <w:rPr>
          <w:rFonts w:hint="eastAsia" w:ascii="宋体"/>
          <w:color w:val="auto"/>
          <w:sz w:val="24"/>
          <w:highlight w:val="none"/>
        </w:rPr>
        <w:t>12.1投标保证金为投标文件的组成部分之一。</w:t>
      </w:r>
    </w:p>
    <w:p w14:paraId="329FFA4A">
      <w:pPr>
        <w:spacing w:line="360" w:lineRule="auto"/>
        <w:ind w:firstLine="480"/>
        <w:rPr>
          <w:rFonts w:ascii="宋体"/>
          <w:color w:val="auto"/>
          <w:sz w:val="24"/>
          <w:highlight w:val="none"/>
        </w:rPr>
      </w:pPr>
      <w:r>
        <w:rPr>
          <w:rFonts w:hint="eastAsia" w:ascii="宋体"/>
          <w:color w:val="auto"/>
          <w:sz w:val="24"/>
          <w:highlight w:val="none"/>
        </w:rPr>
        <w:t>12.2投标人应在提交投标文件之前向采购代理机构指定的采购保证金专户缴交投标人须知前附表1第7项要求的投标保证金。</w:t>
      </w:r>
    </w:p>
    <w:p w14:paraId="4F55B67A">
      <w:pPr>
        <w:spacing w:line="360" w:lineRule="auto"/>
        <w:rPr>
          <w:rFonts w:ascii="宋体"/>
          <w:color w:val="auto"/>
          <w:sz w:val="24"/>
          <w:highlight w:val="none"/>
        </w:rPr>
      </w:pPr>
      <w:r>
        <w:rPr>
          <w:rFonts w:hint="eastAsia" w:ascii="宋体"/>
          <w:color w:val="auto"/>
          <w:sz w:val="24"/>
          <w:highlight w:val="none"/>
        </w:rPr>
        <w:t xml:space="preserve">    12.3投标保证金用于保护本次招标活动免受投标人的行为而引起的风险。</w:t>
      </w:r>
    </w:p>
    <w:p w14:paraId="7C362E9E">
      <w:pPr>
        <w:spacing w:line="360" w:lineRule="auto"/>
        <w:rPr>
          <w:rFonts w:ascii="宋体"/>
          <w:color w:val="auto"/>
          <w:sz w:val="24"/>
          <w:highlight w:val="none"/>
        </w:rPr>
      </w:pPr>
      <w:r>
        <w:rPr>
          <w:rFonts w:hint="eastAsia" w:ascii="宋体"/>
          <w:color w:val="auto"/>
          <w:sz w:val="24"/>
          <w:highlight w:val="none"/>
        </w:rPr>
        <w:t xml:space="preserve">    12.4投标保证金以转账、电汇或网上银行支付等非现金形式提交。</w:t>
      </w:r>
    </w:p>
    <w:p w14:paraId="0542BBBD">
      <w:pPr>
        <w:spacing w:line="360" w:lineRule="auto"/>
        <w:rPr>
          <w:rFonts w:ascii="宋体"/>
          <w:color w:val="auto"/>
          <w:sz w:val="24"/>
          <w:highlight w:val="none"/>
        </w:rPr>
      </w:pPr>
      <w:r>
        <w:rPr>
          <w:rFonts w:hint="eastAsia" w:ascii="宋体"/>
          <w:color w:val="auto"/>
          <w:sz w:val="24"/>
          <w:highlight w:val="none"/>
        </w:rPr>
        <w:t xml:space="preserve">    12.5未按规定缴交投标保证金的投标，将被视为无效投标。</w:t>
      </w:r>
    </w:p>
    <w:p w14:paraId="73CEC813">
      <w:pPr>
        <w:snapToGrid w:val="0"/>
        <w:spacing w:line="360" w:lineRule="auto"/>
        <w:rPr>
          <w:rFonts w:ascii="宋体"/>
          <w:color w:val="auto"/>
          <w:sz w:val="24"/>
          <w:szCs w:val="20"/>
          <w:highlight w:val="none"/>
        </w:rPr>
      </w:pPr>
      <w:r>
        <w:rPr>
          <w:rFonts w:hint="eastAsia" w:ascii="宋体"/>
          <w:color w:val="auto"/>
          <w:sz w:val="24"/>
          <w:szCs w:val="20"/>
          <w:highlight w:val="none"/>
        </w:rPr>
        <w:t xml:space="preserve">    12.6未中标的投标人在中标人确定后，凭投标人开具的“</w:t>
      </w:r>
      <w:r>
        <w:rPr>
          <w:rFonts w:hint="eastAsia" w:ascii="宋体"/>
          <w:color w:val="auto"/>
          <w:sz w:val="24"/>
          <w:highlight w:val="none"/>
        </w:rPr>
        <w:t>投标保证金退还申请书</w:t>
      </w:r>
      <w:r>
        <w:rPr>
          <w:rFonts w:hint="eastAsia" w:ascii="宋体"/>
          <w:color w:val="auto"/>
          <w:sz w:val="24"/>
          <w:szCs w:val="20"/>
          <w:highlight w:val="none"/>
        </w:rPr>
        <w:t>”办理退还其投标保证金手续，采购代理机构在收到“</w:t>
      </w:r>
      <w:r>
        <w:rPr>
          <w:rFonts w:hint="eastAsia" w:ascii="宋体"/>
          <w:color w:val="auto"/>
          <w:sz w:val="24"/>
          <w:highlight w:val="none"/>
        </w:rPr>
        <w:t>投标保证金退还申请书</w:t>
      </w:r>
      <w:r>
        <w:rPr>
          <w:rFonts w:hint="eastAsia" w:ascii="宋体"/>
          <w:color w:val="auto"/>
          <w:sz w:val="24"/>
          <w:szCs w:val="20"/>
          <w:highlight w:val="none"/>
        </w:rPr>
        <w:t>”后的5个工作日内将保证金原额无息退返投标人。</w:t>
      </w:r>
    </w:p>
    <w:p w14:paraId="21232A7E">
      <w:pPr>
        <w:snapToGrid w:val="0"/>
        <w:spacing w:line="360" w:lineRule="auto"/>
        <w:ind w:firstLine="480" w:firstLineChars="200"/>
        <w:rPr>
          <w:rFonts w:ascii="宋体"/>
          <w:color w:val="auto"/>
          <w:sz w:val="24"/>
          <w:szCs w:val="20"/>
          <w:highlight w:val="none"/>
        </w:rPr>
      </w:pPr>
      <w:r>
        <w:rPr>
          <w:rFonts w:hint="eastAsia" w:ascii="宋体"/>
          <w:color w:val="auto"/>
          <w:sz w:val="24"/>
          <w:szCs w:val="20"/>
          <w:highlight w:val="none"/>
        </w:rPr>
        <w:t>12.7在中标人支付所有招标代理服务费并签订合同后（采购人如有要求中标人支付履约保证金的，则增加：并向采购人支付履约保证金），中标人凭其签定的合同副本和开具的“</w:t>
      </w:r>
      <w:r>
        <w:rPr>
          <w:rFonts w:hint="eastAsia" w:ascii="宋体"/>
          <w:color w:val="auto"/>
          <w:sz w:val="24"/>
          <w:highlight w:val="none"/>
        </w:rPr>
        <w:t>投标保证金退还申请书</w:t>
      </w:r>
      <w:r>
        <w:rPr>
          <w:rFonts w:hint="eastAsia" w:ascii="宋体"/>
          <w:color w:val="auto"/>
          <w:sz w:val="24"/>
          <w:szCs w:val="20"/>
          <w:highlight w:val="none"/>
        </w:rPr>
        <w:t>”办理退还其投标保证金手续，采购代理机构在收到“</w:t>
      </w:r>
      <w:r>
        <w:rPr>
          <w:rFonts w:hint="eastAsia" w:ascii="宋体"/>
          <w:color w:val="auto"/>
          <w:sz w:val="24"/>
          <w:highlight w:val="none"/>
        </w:rPr>
        <w:t>投标保证金退还申请书</w:t>
      </w:r>
      <w:r>
        <w:rPr>
          <w:rFonts w:hint="eastAsia" w:ascii="宋体"/>
          <w:color w:val="auto"/>
          <w:sz w:val="24"/>
          <w:szCs w:val="20"/>
          <w:highlight w:val="none"/>
        </w:rPr>
        <w:t>”及合同副本后的5个工作日内将保证金原额无息退返中标人。</w:t>
      </w:r>
    </w:p>
    <w:p w14:paraId="5EAC2CEE">
      <w:pPr>
        <w:spacing w:line="360" w:lineRule="auto"/>
        <w:rPr>
          <w:rFonts w:ascii="宋体"/>
          <w:color w:val="auto"/>
          <w:sz w:val="24"/>
          <w:highlight w:val="none"/>
        </w:rPr>
      </w:pPr>
      <w:r>
        <w:rPr>
          <w:rFonts w:hint="eastAsia" w:ascii="宋体"/>
          <w:color w:val="auto"/>
          <w:sz w:val="24"/>
          <w:highlight w:val="none"/>
        </w:rPr>
        <w:t xml:space="preserve">    12.8投标保证金的有效期为投标有效期及其后的30个日历日。</w:t>
      </w:r>
    </w:p>
    <w:p w14:paraId="296254CD">
      <w:pPr>
        <w:spacing w:line="360" w:lineRule="auto"/>
        <w:rPr>
          <w:rFonts w:ascii="宋体"/>
          <w:color w:val="auto"/>
          <w:sz w:val="24"/>
          <w:highlight w:val="none"/>
        </w:rPr>
      </w:pPr>
      <w:r>
        <w:rPr>
          <w:rFonts w:hint="eastAsia" w:ascii="宋体"/>
          <w:color w:val="auto"/>
          <w:sz w:val="24"/>
          <w:highlight w:val="none"/>
        </w:rPr>
        <w:t xml:space="preserve">    12.9发生以下情形之一的，投标保证金将不予退还，由采购代理机构上缴相关部门：</w:t>
      </w:r>
    </w:p>
    <w:p w14:paraId="14F8E641">
      <w:pPr>
        <w:snapToGrid w:val="0"/>
        <w:spacing w:line="360" w:lineRule="auto"/>
        <w:ind w:firstLine="480" w:firstLineChars="200"/>
        <w:rPr>
          <w:rFonts w:ascii="宋体"/>
          <w:color w:val="auto"/>
          <w:sz w:val="24"/>
          <w:highlight w:val="none"/>
        </w:rPr>
      </w:pPr>
      <w:r>
        <w:rPr>
          <w:rFonts w:hint="eastAsia" w:ascii="宋体"/>
          <w:color w:val="auto"/>
          <w:sz w:val="24"/>
          <w:highlight w:val="none"/>
        </w:rPr>
        <w:t>（1）投标人在投标截止时间后，投标有效期内撤回投标；</w:t>
      </w:r>
    </w:p>
    <w:p w14:paraId="1FEEDA8D">
      <w:pPr>
        <w:spacing w:line="360" w:lineRule="auto"/>
        <w:ind w:left="239" w:leftChars="114" w:firstLine="240" w:firstLineChars="100"/>
        <w:rPr>
          <w:rFonts w:ascii="宋体"/>
          <w:color w:val="auto"/>
          <w:sz w:val="24"/>
          <w:highlight w:val="none"/>
        </w:rPr>
      </w:pPr>
      <w:r>
        <w:rPr>
          <w:rFonts w:hint="eastAsia" w:ascii="宋体"/>
          <w:color w:val="auto"/>
          <w:sz w:val="24"/>
          <w:highlight w:val="none"/>
        </w:rPr>
        <w:t>（2）除因不可抗力或采购文件认可的情形外，中标人未能按本须知第22条规定签订合同；</w:t>
      </w:r>
    </w:p>
    <w:p w14:paraId="443E5480">
      <w:pPr>
        <w:spacing w:line="360" w:lineRule="auto"/>
        <w:ind w:left="1" w:firstLine="480" w:firstLineChars="200"/>
        <w:rPr>
          <w:rFonts w:ascii="宋体"/>
          <w:color w:val="auto"/>
          <w:sz w:val="24"/>
          <w:highlight w:val="none"/>
        </w:rPr>
      </w:pPr>
      <w:r>
        <w:rPr>
          <w:rFonts w:hint="eastAsia" w:ascii="宋体"/>
          <w:color w:val="auto"/>
          <w:sz w:val="24"/>
          <w:highlight w:val="none"/>
        </w:rPr>
        <w:t>（3）中标人未按《投标人须知前附表1》规定缴纳招标代理服务费；（采购人如有要求中标人支付履约保证金的，增加：“中标人未按本须知第12.7条规定提交履约保证金的；）</w:t>
      </w:r>
    </w:p>
    <w:p w14:paraId="3F653430">
      <w:pPr>
        <w:spacing w:line="360" w:lineRule="auto"/>
        <w:ind w:firstLine="480" w:firstLineChars="200"/>
        <w:rPr>
          <w:rFonts w:ascii="宋体"/>
          <w:color w:val="auto"/>
          <w:sz w:val="24"/>
          <w:highlight w:val="none"/>
        </w:rPr>
      </w:pPr>
      <w:r>
        <w:rPr>
          <w:rFonts w:hint="eastAsia" w:ascii="宋体"/>
          <w:color w:val="auto"/>
          <w:sz w:val="24"/>
          <w:highlight w:val="none"/>
        </w:rPr>
        <w:t>（4） 以他人名义投标或者以其他方式弄虚作假，骗取中标；</w:t>
      </w:r>
    </w:p>
    <w:p w14:paraId="3ED7F6CB">
      <w:pPr>
        <w:spacing w:line="360" w:lineRule="auto"/>
        <w:ind w:firstLine="480" w:firstLineChars="200"/>
        <w:rPr>
          <w:rFonts w:ascii="宋体"/>
          <w:color w:val="auto"/>
          <w:sz w:val="24"/>
          <w:highlight w:val="none"/>
        </w:rPr>
      </w:pPr>
      <w:r>
        <w:rPr>
          <w:rFonts w:hint="eastAsia" w:ascii="宋体"/>
          <w:color w:val="auto"/>
          <w:sz w:val="24"/>
          <w:highlight w:val="none"/>
        </w:rPr>
        <w:t>（5）投标人在投标文件中提供虚假材料的；</w:t>
      </w:r>
    </w:p>
    <w:p w14:paraId="719F5140">
      <w:pPr>
        <w:spacing w:line="360" w:lineRule="auto"/>
        <w:ind w:firstLine="480" w:firstLineChars="200"/>
        <w:rPr>
          <w:rFonts w:ascii="宋体"/>
          <w:color w:val="auto"/>
          <w:sz w:val="24"/>
          <w:highlight w:val="none"/>
        </w:rPr>
      </w:pPr>
      <w:r>
        <w:rPr>
          <w:rFonts w:hint="eastAsia" w:ascii="宋体"/>
          <w:color w:val="auto"/>
          <w:sz w:val="24"/>
          <w:highlight w:val="none"/>
        </w:rPr>
        <w:t>（6）在禁止参加采购活动的处罚有效期内，仍参加采购活动的；</w:t>
      </w:r>
    </w:p>
    <w:p w14:paraId="6BF9BCDD">
      <w:pPr>
        <w:spacing w:line="360" w:lineRule="auto"/>
        <w:ind w:firstLine="480" w:firstLineChars="200"/>
        <w:rPr>
          <w:rFonts w:ascii="宋体"/>
          <w:color w:val="auto"/>
          <w:sz w:val="24"/>
          <w:highlight w:val="none"/>
        </w:rPr>
      </w:pPr>
      <w:r>
        <w:rPr>
          <w:rFonts w:hint="eastAsia" w:ascii="宋体"/>
          <w:color w:val="auto"/>
          <w:sz w:val="24"/>
          <w:highlight w:val="none"/>
        </w:rPr>
        <w:t>（7）以不正当手段诋毁、排挤其他供应商的；</w:t>
      </w:r>
    </w:p>
    <w:p w14:paraId="6052E1DD">
      <w:pPr>
        <w:spacing w:line="360" w:lineRule="auto"/>
        <w:ind w:firstLine="480" w:firstLineChars="200"/>
        <w:rPr>
          <w:rFonts w:ascii="宋体"/>
          <w:color w:val="auto"/>
          <w:sz w:val="24"/>
          <w:highlight w:val="none"/>
        </w:rPr>
      </w:pPr>
      <w:r>
        <w:rPr>
          <w:rFonts w:hint="eastAsia" w:ascii="宋体"/>
          <w:color w:val="auto"/>
          <w:sz w:val="24"/>
          <w:highlight w:val="none"/>
        </w:rPr>
        <w:t>（8）因本项目采购过程中的违法行为，受到行政处罚的；</w:t>
      </w:r>
    </w:p>
    <w:p w14:paraId="55883E76">
      <w:pPr>
        <w:spacing w:line="360" w:lineRule="auto"/>
        <w:ind w:firstLine="480" w:firstLineChars="200"/>
        <w:rPr>
          <w:rFonts w:ascii="宋体"/>
          <w:color w:val="auto"/>
          <w:sz w:val="24"/>
          <w:highlight w:val="none"/>
        </w:rPr>
      </w:pPr>
      <w:r>
        <w:rPr>
          <w:rFonts w:hint="eastAsia" w:ascii="宋体"/>
          <w:color w:val="auto"/>
          <w:sz w:val="24"/>
          <w:highlight w:val="none"/>
        </w:rPr>
        <w:t>（9）与采购人、其他供应商或者采购代理机构恶意串通的；</w:t>
      </w:r>
    </w:p>
    <w:p w14:paraId="64857126">
      <w:pPr>
        <w:spacing w:line="360" w:lineRule="auto"/>
        <w:ind w:left="239" w:leftChars="114" w:firstLine="240" w:firstLineChars="100"/>
        <w:rPr>
          <w:rFonts w:ascii="宋体"/>
          <w:color w:val="auto"/>
          <w:sz w:val="24"/>
          <w:highlight w:val="none"/>
        </w:rPr>
      </w:pPr>
      <w:r>
        <w:rPr>
          <w:rFonts w:hint="eastAsia" w:ascii="宋体"/>
          <w:color w:val="auto"/>
          <w:sz w:val="24"/>
          <w:highlight w:val="none"/>
        </w:rPr>
        <w:t>（10）法律、法规、规章及本招标文件中规定的其他不退还投标保证金的情形。</w:t>
      </w:r>
    </w:p>
    <w:p w14:paraId="27F92597">
      <w:pPr>
        <w:spacing w:line="360" w:lineRule="auto"/>
        <w:ind w:firstLine="480" w:firstLineChars="200"/>
        <w:rPr>
          <w:rFonts w:ascii="宋体"/>
          <w:color w:val="auto"/>
          <w:sz w:val="24"/>
          <w:highlight w:val="none"/>
        </w:rPr>
      </w:pPr>
      <w:r>
        <w:rPr>
          <w:rFonts w:hint="eastAsia" w:ascii="宋体"/>
          <w:color w:val="auto"/>
          <w:sz w:val="24"/>
          <w:highlight w:val="none"/>
        </w:rPr>
        <w:t>上述不予退还投标保证金的情形给招标采购人造成损失的，相关责任人还应当承担赔偿责任。</w:t>
      </w:r>
    </w:p>
    <w:p w14:paraId="3B8CE9A6">
      <w:pPr>
        <w:spacing w:line="360" w:lineRule="auto"/>
        <w:rPr>
          <w:rFonts w:ascii="宋体"/>
          <w:b/>
          <w:color w:val="auto"/>
          <w:sz w:val="24"/>
          <w:highlight w:val="none"/>
        </w:rPr>
      </w:pPr>
      <w:r>
        <w:rPr>
          <w:rFonts w:hint="eastAsia" w:ascii="宋体"/>
          <w:b/>
          <w:color w:val="auto"/>
          <w:sz w:val="24"/>
          <w:highlight w:val="none"/>
        </w:rPr>
        <w:t>13、投标文件的格式</w:t>
      </w:r>
    </w:p>
    <w:p w14:paraId="0D73D3CD">
      <w:pPr>
        <w:spacing w:line="360" w:lineRule="auto"/>
        <w:rPr>
          <w:rFonts w:ascii="宋体"/>
          <w:color w:val="auto"/>
          <w:sz w:val="24"/>
          <w:highlight w:val="none"/>
        </w:rPr>
      </w:pPr>
      <w:r>
        <w:rPr>
          <w:rFonts w:hint="eastAsia" w:ascii="宋体"/>
          <w:color w:val="auto"/>
          <w:sz w:val="24"/>
          <w:highlight w:val="none"/>
        </w:rPr>
        <w:t xml:space="preserve">    13.1投标人须编制由本须知第10条规定文件组成的投标文件正本及副本（份数以《投标人须知附表1》为准），正本必须用A4幅面纸张打印装订，副本可以用正本的完整复印件，并在封面标明“正本”、“副本”字样。正本与副本如有不一致，则以正本为准。</w:t>
      </w:r>
    </w:p>
    <w:p w14:paraId="09A40327">
      <w:pPr>
        <w:spacing w:line="360" w:lineRule="auto"/>
        <w:rPr>
          <w:rFonts w:ascii="宋体"/>
          <w:color w:val="auto"/>
          <w:sz w:val="24"/>
          <w:highlight w:val="none"/>
        </w:rPr>
      </w:pPr>
      <w:r>
        <w:rPr>
          <w:rFonts w:hint="eastAsia" w:ascii="宋体"/>
          <w:color w:val="auto"/>
          <w:sz w:val="24"/>
          <w:highlight w:val="none"/>
        </w:rPr>
        <w:t xml:space="preserve">    13.2投标文件应由投标人的单位负责人或者其授权代表签字并加盖公章，如由后者签字，应提供“单位负责人授权书”。</w:t>
      </w:r>
    </w:p>
    <w:p w14:paraId="3CBFDD79">
      <w:pPr>
        <w:spacing w:line="360" w:lineRule="auto"/>
        <w:rPr>
          <w:rFonts w:ascii="宋体"/>
          <w:color w:val="auto"/>
          <w:sz w:val="24"/>
          <w:highlight w:val="none"/>
        </w:rPr>
      </w:pPr>
      <w:r>
        <w:rPr>
          <w:rFonts w:hint="eastAsia" w:ascii="宋体"/>
          <w:color w:val="auto"/>
          <w:sz w:val="24"/>
          <w:highlight w:val="none"/>
        </w:rPr>
        <w:t xml:space="preserve">    13.3除非有另外的规定或许可，投标使用货币为人民币。</w:t>
      </w:r>
    </w:p>
    <w:p w14:paraId="776C34E6">
      <w:pPr>
        <w:spacing w:line="360" w:lineRule="auto"/>
        <w:rPr>
          <w:rFonts w:ascii="宋体"/>
          <w:color w:val="auto"/>
          <w:sz w:val="24"/>
          <w:highlight w:val="none"/>
        </w:rPr>
      </w:pPr>
      <w:r>
        <w:rPr>
          <w:rFonts w:hint="eastAsia" w:ascii="宋体"/>
          <w:color w:val="auto"/>
          <w:sz w:val="24"/>
          <w:highlight w:val="none"/>
        </w:rPr>
        <w:t xml:space="preserve">    13.4投标人应提交证明其拟供货物（服务）符合招标文件要求的技术响应文件，该文件可以是文字资料、图纸和数据，并须提供货物（服务）主要技术性能的详细描述。                                  </w:t>
      </w:r>
    </w:p>
    <w:p w14:paraId="299BC3E3">
      <w:pPr>
        <w:spacing w:line="360" w:lineRule="auto"/>
        <w:rPr>
          <w:rFonts w:ascii="宋体"/>
          <w:color w:val="auto"/>
          <w:sz w:val="24"/>
          <w:highlight w:val="none"/>
        </w:rPr>
      </w:pPr>
      <w:r>
        <w:rPr>
          <w:rFonts w:hint="eastAsia" w:ascii="宋体"/>
          <w:color w:val="auto"/>
          <w:sz w:val="24"/>
          <w:highlight w:val="none"/>
        </w:rPr>
        <w:t xml:space="preserve">    13.5 投标文件的正本和全部副本均应使用不能擦去的墨料或墨水打印、书写或复印，并由单位负责人或其授权代表签署，盖投标人公章。</w:t>
      </w:r>
    </w:p>
    <w:p w14:paraId="1B1C777F">
      <w:pPr>
        <w:spacing w:line="360" w:lineRule="auto"/>
        <w:ind w:firstLine="480"/>
        <w:rPr>
          <w:rFonts w:ascii="宋体"/>
          <w:color w:val="auto"/>
          <w:sz w:val="24"/>
          <w:highlight w:val="none"/>
        </w:rPr>
      </w:pPr>
      <w:r>
        <w:rPr>
          <w:rFonts w:hint="eastAsia" w:ascii="宋体"/>
          <w:color w:val="auto"/>
          <w:sz w:val="24"/>
          <w:highlight w:val="none"/>
        </w:rPr>
        <w:t xml:space="preserve">13.6全套投标文件应无涂改和行间插字，除非这些改动是根据采购代理机构的指示进行的，或者是为改正投标人造成的必须修改的错误而进行的。有改动时，修改处应当由单位负责人或授权代表签字证明或加盖校正章。 </w:t>
      </w:r>
    </w:p>
    <w:p w14:paraId="21829E1A">
      <w:pPr>
        <w:spacing w:line="360" w:lineRule="auto"/>
        <w:ind w:firstLine="480"/>
        <w:rPr>
          <w:rFonts w:ascii="宋体"/>
          <w:color w:val="auto"/>
          <w:sz w:val="24"/>
          <w:highlight w:val="none"/>
        </w:rPr>
      </w:pPr>
      <w:r>
        <w:rPr>
          <w:rFonts w:hint="eastAsia" w:ascii="宋体"/>
          <w:color w:val="auto"/>
          <w:sz w:val="24"/>
          <w:highlight w:val="none"/>
        </w:rPr>
        <w:t>13.7未按本须知规定的格式填写投标文件、投标文件字迹模糊不清的，其投标将被拒绝。</w:t>
      </w:r>
    </w:p>
    <w:p w14:paraId="64EBC651">
      <w:pPr>
        <w:spacing w:line="360" w:lineRule="auto"/>
        <w:ind w:firstLine="480"/>
        <w:rPr>
          <w:rFonts w:ascii="宋体"/>
          <w:color w:val="auto"/>
          <w:sz w:val="24"/>
          <w:highlight w:val="none"/>
        </w:rPr>
      </w:pPr>
      <w:r>
        <w:rPr>
          <w:rFonts w:hint="eastAsia" w:ascii="宋体"/>
          <w:color w:val="auto"/>
          <w:sz w:val="24"/>
          <w:highlight w:val="none"/>
        </w:rPr>
        <w:t>13.8所有资格证明文件复印件并加盖投标人公章。</w:t>
      </w:r>
    </w:p>
    <w:p w14:paraId="3FE4D486">
      <w:pPr>
        <w:spacing w:line="360" w:lineRule="auto"/>
        <w:ind w:firstLine="480" w:firstLineChars="200"/>
        <w:rPr>
          <w:rFonts w:ascii="宋体"/>
          <w:color w:val="auto"/>
          <w:szCs w:val="21"/>
          <w:highlight w:val="none"/>
        </w:rPr>
      </w:pPr>
      <w:r>
        <w:rPr>
          <w:rFonts w:hint="eastAsia" w:ascii="宋体"/>
          <w:color w:val="auto"/>
          <w:sz w:val="24"/>
          <w:highlight w:val="none"/>
        </w:rPr>
        <w:t>13.9 投标人应将上述文件按顺序胶装成册、打印页码，并编列投标文件目录、资料清单，由于装订不规范或编排顺序混乱而导致投标文件被误读或漏读，该投标可能被视为无效投标或承担不利的评标结果。</w:t>
      </w:r>
    </w:p>
    <w:p w14:paraId="50049208">
      <w:pPr>
        <w:pStyle w:val="3"/>
        <w:numPr>
          <w:ilvl w:val="0"/>
          <w:numId w:val="0"/>
        </w:numPr>
        <w:spacing w:before="0" w:after="0" w:line="360" w:lineRule="auto"/>
        <w:rPr>
          <w:rFonts w:ascii="宋体"/>
          <w:color w:val="auto"/>
          <w:sz w:val="28"/>
          <w:szCs w:val="28"/>
          <w:highlight w:val="none"/>
        </w:rPr>
      </w:pPr>
      <w:bookmarkStart w:id="72" w:name="_Toc404866206"/>
      <w:bookmarkStart w:id="73" w:name="_Toc3396"/>
      <w:bookmarkStart w:id="74" w:name="_Toc332894822"/>
      <w:bookmarkStart w:id="75" w:name="_Toc531742156"/>
      <w:bookmarkStart w:id="76" w:name="_Toc410636420"/>
      <w:bookmarkStart w:id="77" w:name="_Toc30885"/>
      <w:bookmarkStart w:id="78" w:name="_Toc392496243"/>
      <w:bookmarkStart w:id="79" w:name="_Toc332895792"/>
      <w:bookmarkStart w:id="80" w:name="_Toc329098424"/>
      <w:r>
        <w:rPr>
          <w:rFonts w:hint="eastAsia" w:ascii="宋体"/>
          <w:color w:val="auto"/>
          <w:sz w:val="28"/>
          <w:szCs w:val="28"/>
          <w:highlight w:val="none"/>
        </w:rPr>
        <w:t>四、投标文件的提交</w:t>
      </w:r>
      <w:bookmarkEnd w:id="72"/>
      <w:bookmarkEnd w:id="73"/>
      <w:bookmarkEnd w:id="74"/>
      <w:bookmarkEnd w:id="75"/>
      <w:bookmarkEnd w:id="76"/>
      <w:bookmarkEnd w:id="77"/>
      <w:bookmarkEnd w:id="78"/>
      <w:bookmarkEnd w:id="79"/>
      <w:bookmarkEnd w:id="80"/>
    </w:p>
    <w:p w14:paraId="6D30FC0A">
      <w:pPr>
        <w:spacing w:line="360" w:lineRule="auto"/>
        <w:rPr>
          <w:rFonts w:ascii="宋体"/>
          <w:color w:val="auto"/>
          <w:sz w:val="24"/>
          <w:highlight w:val="none"/>
        </w:rPr>
      </w:pPr>
      <w:r>
        <w:rPr>
          <w:rFonts w:hint="eastAsia" w:ascii="宋体"/>
          <w:color w:val="auto"/>
          <w:sz w:val="24"/>
          <w:highlight w:val="none"/>
        </w:rPr>
        <w:t>14、投标文件的密封和递交</w:t>
      </w:r>
    </w:p>
    <w:p w14:paraId="15169A4E">
      <w:pPr>
        <w:spacing w:line="360" w:lineRule="auto"/>
        <w:ind w:firstLine="480"/>
        <w:rPr>
          <w:rFonts w:ascii="宋体"/>
          <w:color w:val="auto"/>
          <w:sz w:val="24"/>
          <w:highlight w:val="none"/>
        </w:rPr>
      </w:pPr>
      <w:r>
        <w:rPr>
          <w:rFonts w:hint="eastAsia" w:ascii="宋体"/>
          <w:color w:val="auto"/>
          <w:sz w:val="24"/>
          <w:highlight w:val="none"/>
        </w:rPr>
        <w:t>14.1投标人应将投标文件正本和全部副本密封，并标明项目编号、投标人名称、投标货物名称及“正本”或“副本”字样。投标文件未密封将导致其投标被拒绝。</w:t>
      </w:r>
    </w:p>
    <w:p w14:paraId="4C86A419">
      <w:pPr>
        <w:spacing w:line="360" w:lineRule="auto"/>
        <w:ind w:firstLine="480"/>
        <w:rPr>
          <w:rFonts w:ascii="宋体"/>
          <w:color w:val="auto"/>
          <w:sz w:val="24"/>
          <w:highlight w:val="none"/>
        </w:rPr>
      </w:pPr>
      <w:r>
        <w:rPr>
          <w:rFonts w:hint="eastAsia" w:ascii="宋体"/>
          <w:color w:val="auto"/>
          <w:sz w:val="24"/>
          <w:highlight w:val="none"/>
        </w:rPr>
        <w:t>14.2每一密封处应注明“于</w:t>
      </w:r>
      <w:r>
        <w:rPr>
          <w:rFonts w:hint="eastAsia" w:ascii="宋体"/>
          <w:color w:val="auto"/>
          <w:sz w:val="24"/>
          <w:highlight w:val="none"/>
          <w:u w:val="single"/>
        </w:rPr>
        <w:t xml:space="preserve">         </w:t>
      </w:r>
      <w:r>
        <w:rPr>
          <w:rFonts w:hint="eastAsia" w:ascii="宋体"/>
          <w:color w:val="auto"/>
          <w:sz w:val="24"/>
          <w:highlight w:val="none"/>
        </w:rPr>
        <w:t>之前（指招标邀请中规定的开标日期及时间）不准启封”的字样，并加盖投标人公章或由投标代表签字。</w:t>
      </w:r>
    </w:p>
    <w:p w14:paraId="4536A68D">
      <w:pPr>
        <w:spacing w:line="360" w:lineRule="auto"/>
        <w:ind w:firstLine="480"/>
        <w:rPr>
          <w:rFonts w:ascii="宋体"/>
          <w:color w:val="auto"/>
          <w:sz w:val="24"/>
          <w:highlight w:val="none"/>
        </w:rPr>
      </w:pPr>
      <w:r>
        <w:rPr>
          <w:rFonts w:hint="eastAsia" w:ascii="宋体"/>
          <w:color w:val="auto"/>
          <w:sz w:val="24"/>
          <w:highlight w:val="none"/>
        </w:rPr>
        <w:t>14.3如果投标文件由邮局或专人送交，投标人应将投标文件按照本须知第14.1条至第14.2条的规定进行密封后，按《投标人须知前附表1》注明的地址送至接收人。</w:t>
      </w:r>
    </w:p>
    <w:p w14:paraId="6D5D88B2">
      <w:pPr>
        <w:spacing w:line="360" w:lineRule="auto"/>
        <w:ind w:firstLine="480"/>
        <w:rPr>
          <w:rFonts w:ascii="宋体"/>
          <w:color w:val="auto"/>
          <w:sz w:val="24"/>
          <w:highlight w:val="none"/>
        </w:rPr>
      </w:pPr>
      <w:r>
        <w:rPr>
          <w:rFonts w:hint="eastAsia" w:ascii="宋体"/>
          <w:color w:val="auto"/>
          <w:sz w:val="24"/>
          <w:highlight w:val="none"/>
        </w:rPr>
        <w:t>14.4如果未按上述规定进行密封，采购代理机构将不承担由此造成的对投标文件的误投或提前拆封的责任。</w:t>
      </w:r>
    </w:p>
    <w:p w14:paraId="020331A7">
      <w:pPr>
        <w:spacing w:line="360" w:lineRule="auto"/>
        <w:ind w:firstLine="480"/>
        <w:rPr>
          <w:rFonts w:ascii="宋体"/>
          <w:color w:val="auto"/>
          <w:sz w:val="24"/>
          <w:highlight w:val="none"/>
        </w:rPr>
      </w:pPr>
      <w:r>
        <w:rPr>
          <w:rFonts w:hint="eastAsia" w:ascii="宋体"/>
          <w:color w:val="auto"/>
          <w:sz w:val="24"/>
          <w:highlight w:val="none"/>
        </w:rPr>
        <w:t>14.5投标文件应在投标邀请中规定的截止时间前送达，迟到的投标文件为无效投标文件, 将被拒收。</w:t>
      </w:r>
    </w:p>
    <w:p w14:paraId="6A8B3C9C">
      <w:pPr>
        <w:spacing w:line="360" w:lineRule="auto"/>
        <w:ind w:firstLine="480"/>
        <w:rPr>
          <w:rFonts w:ascii="宋体"/>
          <w:color w:val="auto"/>
          <w:sz w:val="24"/>
          <w:highlight w:val="none"/>
        </w:rPr>
      </w:pPr>
      <w:r>
        <w:rPr>
          <w:rFonts w:hint="eastAsia" w:ascii="宋体"/>
          <w:color w:val="auto"/>
          <w:sz w:val="24"/>
          <w:highlight w:val="none"/>
        </w:rPr>
        <w:t>14.6投标人在投标截止时间前，可以对所提交的投标文件进行修改或者撤回，并书面通知采购代理机构。修改的内容和撤回通知应当按本须知要求签署、盖章、密封，并作为投标文件的组成部分。</w:t>
      </w:r>
    </w:p>
    <w:p w14:paraId="0B53EA65">
      <w:pPr>
        <w:spacing w:line="360" w:lineRule="auto"/>
        <w:ind w:firstLine="480"/>
        <w:rPr>
          <w:rFonts w:ascii="宋体"/>
          <w:color w:val="auto"/>
          <w:sz w:val="24"/>
          <w:highlight w:val="none"/>
        </w:rPr>
      </w:pPr>
      <w:r>
        <w:rPr>
          <w:rFonts w:hint="eastAsia" w:ascii="宋体"/>
          <w:color w:val="auto"/>
          <w:sz w:val="24"/>
          <w:highlight w:val="none"/>
        </w:rPr>
        <w:t>14.7投标人在投标截止时间后不得修改、撤回投标文件。投标人在投标截止时间后修改投标文件的，其投标将被拒绝。</w:t>
      </w:r>
    </w:p>
    <w:p w14:paraId="51289208">
      <w:pPr>
        <w:spacing w:line="360" w:lineRule="auto"/>
        <w:ind w:firstLine="480"/>
        <w:rPr>
          <w:rFonts w:ascii="宋体"/>
          <w:color w:val="auto"/>
          <w:sz w:val="24"/>
          <w:highlight w:val="none"/>
        </w:rPr>
      </w:pPr>
      <w:r>
        <w:rPr>
          <w:rFonts w:hint="eastAsia" w:ascii="宋体"/>
          <w:color w:val="auto"/>
          <w:sz w:val="24"/>
          <w:highlight w:val="none"/>
        </w:rPr>
        <w:t>14.8投标截止时间结束后参加投标的投标人不足3家的，本次招标程序终止，除采购任务取消情形外，招标采购人将依法重新组织招标或者采取其他方式采购。</w:t>
      </w:r>
    </w:p>
    <w:p w14:paraId="59D577BB">
      <w:pPr>
        <w:pStyle w:val="3"/>
        <w:numPr>
          <w:ilvl w:val="0"/>
          <w:numId w:val="0"/>
        </w:numPr>
        <w:spacing w:before="0" w:after="0" w:line="360" w:lineRule="auto"/>
        <w:rPr>
          <w:rFonts w:ascii="宋体"/>
          <w:color w:val="auto"/>
          <w:sz w:val="28"/>
          <w:szCs w:val="28"/>
          <w:highlight w:val="none"/>
        </w:rPr>
      </w:pPr>
      <w:bookmarkStart w:id="81" w:name="_Toc531742157"/>
      <w:bookmarkStart w:id="82" w:name="_Toc24339"/>
      <w:bookmarkStart w:id="83" w:name="_Toc392496244"/>
      <w:bookmarkStart w:id="84" w:name="_Toc332894823"/>
      <w:bookmarkStart w:id="85" w:name="_Toc404866207"/>
      <w:bookmarkStart w:id="86" w:name="_Toc329098425"/>
      <w:bookmarkStart w:id="87" w:name="_Toc410636421"/>
      <w:bookmarkStart w:id="88" w:name="_Toc332895793"/>
      <w:bookmarkStart w:id="89" w:name="_Toc9592"/>
      <w:r>
        <w:rPr>
          <w:rFonts w:hint="eastAsia" w:ascii="宋体"/>
          <w:color w:val="auto"/>
          <w:sz w:val="28"/>
          <w:szCs w:val="28"/>
          <w:highlight w:val="none"/>
        </w:rPr>
        <w:t>五、投标文件的审查、比较和评估</w:t>
      </w:r>
      <w:bookmarkEnd w:id="81"/>
      <w:bookmarkEnd w:id="82"/>
      <w:bookmarkEnd w:id="83"/>
      <w:bookmarkEnd w:id="84"/>
      <w:bookmarkEnd w:id="85"/>
      <w:bookmarkEnd w:id="86"/>
      <w:bookmarkEnd w:id="87"/>
      <w:bookmarkEnd w:id="88"/>
      <w:bookmarkEnd w:id="89"/>
    </w:p>
    <w:p w14:paraId="3EC486D2">
      <w:pPr>
        <w:spacing w:line="360" w:lineRule="auto"/>
        <w:rPr>
          <w:rFonts w:ascii="宋体"/>
          <w:b/>
          <w:color w:val="auto"/>
          <w:sz w:val="24"/>
          <w:highlight w:val="none"/>
        </w:rPr>
      </w:pPr>
      <w:r>
        <w:rPr>
          <w:rFonts w:hint="eastAsia" w:ascii="宋体"/>
          <w:b/>
          <w:color w:val="auto"/>
          <w:sz w:val="24"/>
          <w:highlight w:val="none"/>
        </w:rPr>
        <w:t>15、开标</w:t>
      </w:r>
    </w:p>
    <w:p w14:paraId="4E717891">
      <w:pPr>
        <w:spacing w:line="360" w:lineRule="auto"/>
        <w:ind w:firstLine="480" w:firstLineChars="200"/>
        <w:rPr>
          <w:rFonts w:ascii="宋体"/>
          <w:color w:val="auto"/>
          <w:sz w:val="24"/>
          <w:highlight w:val="none"/>
        </w:rPr>
      </w:pPr>
      <w:r>
        <w:rPr>
          <w:rFonts w:hint="eastAsia" w:ascii="宋体"/>
          <w:color w:val="auto"/>
          <w:sz w:val="24"/>
          <w:highlight w:val="none"/>
        </w:rPr>
        <w:t>15.1在《投标人须知前附表1》中所规定的时间、地点开标（如有推迟情形，以推迟后的时间、地点为准）。</w:t>
      </w:r>
    </w:p>
    <w:p w14:paraId="0BC989ED">
      <w:pPr>
        <w:spacing w:line="360" w:lineRule="auto"/>
        <w:ind w:firstLine="480" w:firstLineChars="200"/>
        <w:rPr>
          <w:rFonts w:ascii="宋体"/>
          <w:color w:val="auto"/>
          <w:sz w:val="24"/>
          <w:highlight w:val="none"/>
        </w:rPr>
      </w:pPr>
      <w:r>
        <w:rPr>
          <w:rFonts w:hint="eastAsia" w:ascii="宋体"/>
          <w:color w:val="auto"/>
          <w:sz w:val="24"/>
          <w:highlight w:val="none"/>
        </w:rPr>
        <w:t>15.2开标由采购代理机构主持，邀请采购人、投标人和有关方面代表参加。投标人一般应派代表参加开标会，并办理签到手续。</w:t>
      </w:r>
    </w:p>
    <w:p w14:paraId="537EB7F4">
      <w:pPr>
        <w:spacing w:line="360" w:lineRule="auto"/>
        <w:ind w:firstLine="480" w:firstLineChars="200"/>
        <w:rPr>
          <w:rFonts w:ascii="宋体"/>
          <w:color w:val="auto"/>
          <w:sz w:val="24"/>
          <w:highlight w:val="none"/>
        </w:rPr>
      </w:pPr>
      <w:r>
        <w:rPr>
          <w:rFonts w:hint="eastAsia" w:ascii="宋体"/>
          <w:color w:val="auto"/>
          <w:sz w:val="24"/>
          <w:highlight w:val="none"/>
        </w:rPr>
        <w:t>15.3开标时，由投标人或其推选的代表检查投标文件的密封情况。采购代理机构对符合密封要求的投标文件按照提交投标文件时间的先后顺序（或者逆顺序）当场逐一拆封，由开标会主持人按规定宣唱“开标一览表”等规定内容。采购代理机构对唱标内容作开标记录，由投标人代表及相关人员签字确认。</w:t>
      </w:r>
    </w:p>
    <w:p w14:paraId="6482F35D">
      <w:pPr>
        <w:spacing w:line="360" w:lineRule="auto"/>
        <w:rPr>
          <w:rFonts w:ascii="宋体"/>
          <w:b/>
          <w:color w:val="auto"/>
          <w:sz w:val="24"/>
          <w:highlight w:val="none"/>
        </w:rPr>
      </w:pPr>
      <w:r>
        <w:rPr>
          <w:rFonts w:hint="eastAsia" w:ascii="宋体"/>
          <w:b/>
          <w:color w:val="auto"/>
          <w:sz w:val="24"/>
          <w:highlight w:val="none"/>
        </w:rPr>
        <w:t>16、资格性检查</w:t>
      </w:r>
    </w:p>
    <w:p w14:paraId="791F1A23">
      <w:pPr>
        <w:spacing w:line="360" w:lineRule="auto"/>
        <w:rPr>
          <w:rFonts w:ascii="宋体"/>
          <w:color w:val="auto"/>
          <w:sz w:val="24"/>
          <w:highlight w:val="none"/>
        </w:rPr>
      </w:pPr>
      <w:r>
        <w:rPr>
          <w:rFonts w:hint="eastAsia" w:ascii="宋体"/>
          <w:color w:val="auto"/>
          <w:sz w:val="24"/>
          <w:highlight w:val="none"/>
        </w:rPr>
        <w:t xml:space="preserve">    16.1依据法律法规的相关规定，在对投标文件详细评估之前，成立由3人组成的资格审查小组，负责具体资格审查事务，其中：由采购人派出的采购人代表至少1人，由采购代理机构派出的工作人员至少1人，其余1人可为采购人代表或采购代理机构的工作人员。资格审查小组按照招标文件《投标人须知前附表2:资格性、符合性检查表》中的资格性要求，对投标人提交</w:t>
      </w:r>
      <w:r>
        <w:rPr>
          <w:rFonts w:hint="eastAsia" w:ascii="宋体"/>
          <w:b/>
          <w:color w:val="auto"/>
          <w:sz w:val="24"/>
          <w:highlight w:val="none"/>
        </w:rPr>
        <w:t>单独装订的资格证明文件分册</w:t>
      </w:r>
      <w:r>
        <w:rPr>
          <w:rFonts w:hint="eastAsia" w:ascii="宋体"/>
          <w:color w:val="auto"/>
          <w:sz w:val="24"/>
          <w:highlight w:val="none"/>
        </w:rPr>
        <w:t>进行资格审查, 以确定其是否具备投标资格。如果投标人在资格证明文件分册中提供的资格证明文件不全的或不满足招标文件资格性要求的，其投标无效。</w:t>
      </w:r>
    </w:p>
    <w:p w14:paraId="7717219B">
      <w:pPr>
        <w:spacing w:line="360" w:lineRule="auto"/>
        <w:ind w:firstLine="480" w:firstLineChars="200"/>
        <w:rPr>
          <w:rFonts w:ascii="宋体"/>
          <w:color w:val="auto"/>
          <w:sz w:val="24"/>
          <w:highlight w:val="none"/>
        </w:rPr>
      </w:pPr>
      <w:r>
        <w:rPr>
          <w:rFonts w:hint="eastAsia" w:ascii="宋体"/>
          <w:color w:val="auto"/>
          <w:sz w:val="24"/>
          <w:highlight w:val="none"/>
        </w:rPr>
        <w:t>16.2若通过资格性审查的投标人不足三家的，则采购代理机构将不再组织评标委员会进行评标，本次招标程序终止，除采购任务取消情形外，采购人或者采购代理机构将依法重新组织招标或者采取其他方式采购。</w:t>
      </w:r>
    </w:p>
    <w:p w14:paraId="434EFFBE">
      <w:pPr>
        <w:spacing w:line="360" w:lineRule="auto"/>
        <w:rPr>
          <w:rFonts w:ascii="宋体"/>
          <w:b/>
          <w:color w:val="auto"/>
          <w:sz w:val="24"/>
          <w:highlight w:val="none"/>
        </w:rPr>
      </w:pPr>
      <w:r>
        <w:rPr>
          <w:rFonts w:hint="eastAsia" w:ascii="宋体"/>
          <w:b/>
          <w:color w:val="auto"/>
          <w:sz w:val="24"/>
          <w:highlight w:val="none"/>
        </w:rPr>
        <w:t>17、评标委员会</w:t>
      </w:r>
    </w:p>
    <w:p w14:paraId="3722A8A4">
      <w:pPr>
        <w:spacing w:line="360" w:lineRule="auto"/>
        <w:ind w:firstLine="480" w:firstLineChars="200"/>
        <w:rPr>
          <w:rFonts w:ascii="宋体"/>
          <w:color w:val="auto"/>
          <w:sz w:val="24"/>
          <w:highlight w:val="none"/>
        </w:rPr>
      </w:pPr>
      <w:r>
        <w:rPr>
          <w:rFonts w:hint="eastAsia" w:ascii="宋体"/>
          <w:color w:val="auto"/>
          <w:sz w:val="24"/>
          <w:highlight w:val="none"/>
        </w:rPr>
        <w:t>17.1采购代理机构根据招标项目的特点依法组建评标委员会。评标委员会由技术、经济、法律方面的专家和采购人代表组成。成员为5人以上单数组成，专家人数不少于2/3。采购预算金额在1000万元以上、技术复杂或社会影响较大的项目，评标委员会成员人数应当为7人以上单数，专家人数不少于2/3。</w:t>
      </w:r>
    </w:p>
    <w:p w14:paraId="778804F4">
      <w:pPr>
        <w:spacing w:line="360" w:lineRule="auto"/>
        <w:ind w:firstLine="480" w:firstLineChars="200"/>
        <w:rPr>
          <w:rFonts w:ascii="宋体"/>
          <w:color w:val="auto"/>
          <w:sz w:val="24"/>
          <w:highlight w:val="none"/>
        </w:rPr>
      </w:pPr>
      <w:r>
        <w:rPr>
          <w:rFonts w:hint="eastAsia" w:ascii="宋体"/>
          <w:color w:val="auto"/>
          <w:sz w:val="24"/>
          <w:highlight w:val="none"/>
        </w:rPr>
        <w:t>17.2开标会结束后，对通过资格性审查的投标人，由评标委员会负责具体评标事务，并独立履行下列职责：</w:t>
      </w:r>
    </w:p>
    <w:p w14:paraId="3ABC9122">
      <w:pPr>
        <w:spacing w:line="360" w:lineRule="auto"/>
        <w:ind w:firstLine="480" w:firstLineChars="200"/>
        <w:rPr>
          <w:rFonts w:ascii="宋体"/>
          <w:color w:val="auto"/>
          <w:sz w:val="24"/>
          <w:highlight w:val="none"/>
        </w:rPr>
      </w:pPr>
      <w:r>
        <w:rPr>
          <w:rFonts w:hint="eastAsia" w:ascii="宋体"/>
          <w:color w:val="auto"/>
          <w:sz w:val="24"/>
          <w:highlight w:val="none"/>
        </w:rPr>
        <w:t>17.2.1</w:t>
      </w:r>
      <w:r>
        <w:rPr>
          <w:rFonts w:hint="eastAsia" w:ascii="宋体"/>
          <w:color w:val="auto"/>
          <w:sz w:val="24"/>
          <w:highlight w:val="none"/>
        </w:rPr>
        <w:tab/>
      </w:r>
      <w:r>
        <w:rPr>
          <w:rFonts w:hint="eastAsia" w:ascii="宋体"/>
          <w:color w:val="auto"/>
          <w:sz w:val="24"/>
          <w:highlight w:val="none"/>
        </w:rPr>
        <w:t>审查、评价投标文件是否符合招标文件的商务、技术等实质性要求；</w:t>
      </w:r>
    </w:p>
    <w:p w14:paraId="2EA691AD">
      <w:pPr>
        <w:spacing w:line="360" w:lineRule="auto"/>
        <w:ind w:firstLine="480" w:firstLineChars="200"/>
        <w:rPr>
          <w:rFonts w:ascii="宋体"/>
          <w:color w:val="auto"/>
          <w:sz w:val="24"/>
          <w:highlight w:val="none"/>
        </w:rPr>
      </w:pPr>
      <w:r>
        <w:rPr>
          <w:rFonts w:hint="eastAsia" w:ascii="宋体"/>
          <w:color w:val="auto"/>
          <w:sz w:val="24"/>
          <w:highlight w:val="none"/>
        </w:rPr>
        <w:t>17.2.2要求投标人对投标文件有关事项作出澄清或者说明（若有必要的）；</w:t>
      </w:r>
    </w:p>
    <w:p w14:paraId="2DF722EB">
      <w:pPr>
        <w:spacing w:line="360" w:lineRule="auto"/>
        <w:ind w:firstLine="480" w:firstLineChars="200"/>
        <w:rPr>
          <w:rFonts w:ascii="宋体"/>
          <w:color w:val="auto"/>
          <w:sz w:val="24"/>
          <w:highlight w:val="none"/>
        </w:rPr>
      </w:pPr>
      <w:r>
        <w:rPr>
          <w:rFonts w:hint="eastAsia" w:ascii="宋体"/>
          <w:color w:val="auto"/>
          <w:sz w:val="24"/>
          <w:highlight w:val="none"/>
        </w:rPr>
        <w:t>17.2.3</w:t>
      </w:r>
      <w:r>
        <w:rPr>
          <w:rFonts w:hint="eastAsia" w:ascii="宋体"/>
          <w:color w:val="auto"/>
          <w:sz w:val="24"/>
          <w:highlight w:val="none"/>
        </w:rPr>
        <w:tab/>
      </w:r>
      <w:r>
        <w:rPr>
          <w:rFonts w:hint="eastAsia" w:ascii="宋体"/>
          <w:color w:val="auto"/>
          <w:sz w:val="24"/>
          <w:highlight w:val="none"/>
        </w:rPr>
        <w:t>对投标文件进行比较和评价；</w:t>
      </w:r>
    </w:p>
    <w:p w14:paraId="454A9F62">
      <w:pPr>
        <w:spacing w:line="360" w:lineRule="auto"/>
        <w:ind w:firstLine="480" w:firstLineChars="200"/>
        <w:rPr>
          <w:rFonts w:ascii="宋体"/>
          <w:color w:val="auto"/>
          <w:sz w:val="24"/>
          <w:highlight w:val="none"/>
        </w:rPr>
      </w:pPr>
      <w:r>
        <w:rPr>
          <w:rFonts w:hint="eastAsia" w:ascii="宋体"/>
          <w:color w:val="auto"/>
          <w:sz w:val="24"/>
          <w:highlight w:val="none"/>
        </w:rPr>
        <w:t>17.2.4</w:t>
      </w:r>
      <w:r>
        <w:rPr>
          <w:rFonts w:hint="eastAsia" w:ascii="宋体"/>
          <w:color w:val="auto"/>
          <w:sz w:val="24"/>
          <w:highlight w:val="none"/>
        </w:rPr>
        <w:tab/>
      </w:r>
      <w:r>
        <w:rPr>
          <w:rFonts w:hint="eastAsia" w:ascii="宋体"/>
          <w:color w:val="auto"/>
          <w:sz w:val="24"/>
          <w:highlight w:val="none"/>
        </w:rPr>
        <w:t>确定中标候选人名单，以及根据采购人委托直接确定中标人；</w:t>
      </w:r>
    </w:p>
    <w:p w14:paraId="760DD970">
      <w:pPr>
        <w:spacing w:line="360" w:lineRule="auto"/>
        <w:ind w:firstLine="480" w:firstLineChars="200"/>
        <w:rPr>
          <w:rFonts w:ascii="宋体"/>
          <w:color w:val="auto"/>
          <w:sz w:val="24"/>
          <w:highlight w:val="none"/>
        </w:rPr>
      </w:pPr>
      <w:r>
        <w:rPr>
          <w:rFonts w:hint="eastAsia" w:ascii="宋体"/>
          <w:color w:val="auto"/>
          <w:sz w:val="24"/>
          <w:highlight w:val="none"/>
        </w:rPr>
        <w:t>17.2.5</w:t>
      </w:r>
      <w:r>
        <w:rPr>
          <w:rFonts w:hint="eastAsia" w:ascii="宋体"/>
          <w:color w:val="auto"/>
          <w:sz w:val="24"/>
          <w:highlight w:val="none"/>
        </w:rPr>
        <w:tab/>
      </w:r>
      <w:r>
        <w:rPr>
          <w:rFonts w:hint="eastAsia" w:ascii="宋体"/>
          <w:color w:val="auto"/>
          <w:sz w:val="24"/>
          <w:highlight w:val="none"/>
        </w:rPr>
        <w:t>向采购人、采购代理机构或者有关部门报告评标中发现的违法行为（若有）。</w:t>
      </w:r>
    </w:p>
    <w:p w14:paraId="54DB4F30">
      <w:pPr>
        <w:spacing w:line="360" w:lineRule="auto"/>
        <w:rPr>
          <w:rFonts w:ascii="宋体"/>
          <w:color w:val="auto"/>
          <w:sz w:val="24"/>
          <w:highlight w:val="none"/>
        </w:rPr>
      </w:pPr>
      <w:r>
        <w:rPr>
          <w:rFonts w:hint="eastAsia" w:ascii="宋体"/>
          <w:b/>
          <w:color w:val="auto"/>
          <w:sz w:val="24"/>
          <w:highlight w:val="none"/>
        </w:rPr>
        <w:t>18.符合性检查</w:t>
      </w:r>
    </w:p>
    <w:p w14:paraId="114C4334">
      <w:pPr>
        <w:spacing w:line="360" w:lineRule="auto"/>
        <w:ind w:firstLine="480" w:firstLineChars="200"/>
        <w:rPr>
          <w:rFonts w:ascii="宋体"/>
          <w:color w:val="auto"/>
          <w:sz w:val="24"/>
          <w:highlight w:val="none"/>
        </w:rPr>
      </w:pPr>
      <w:r>
        <w:rPr>
          <w:rFonts w:hint="eastAsia" w:ascii="宋体"/>
          <w:color w:val="auto"/>
          <w:sz w:val="24"/>
          <w:highlight w:val="none"/>
        </w:rPr>
        <w:t>18.1依据招标文件的规定，评标委员会将对符合资格的投标人的投标文件进行符合性审查，以确定其是否符合招标文件的实质性要求。评标委员会将对投标人提交的投标文件按《投标人须知前附表2》规定的符合性要求对投标人进行审查，对没有实质性响应的投标文件将不进行评估，其投标无效。</w:t>
      </w:r>
    </w:p>
    <w:p w14:paraId="4C657E2D">
      <w:pPr>
        <w:spacing w:line="360" w:lineRule="auto"/>
        <w:ind w:firstLine="480" w:firstLineChars="200"/>
        <w:rPr>
          <w:rFonts w:ascii="宋体"/>
          <w:color w:val="auto"/>
          <w:sz w:val="24"/>
          <w:highlight w:val="none"/>
        </w:rPr>
      </w:pPr>
      <w:r>
        <w:rPr>
          <w:rFonts w:hint="eastAsia" w:ascii="宋体"/>
          <w:color w:val="auto"/>
          <w:sz w:val="24"/>
          <w:highlight w:val="none"/>
        </w:rPr>
        <w:t>18.2评标委员会确定投标的响应性只根据投标文件本身的内容，而不寻求其他的外部证据。</w:t>
      </w:r>
    </w:p>
    <w:p w14:paraId="4CDF214E">
      <w:pPr>
        <w:spacing w:line="360" w:lineRule="auto"/>
        <w:rPr>
          <w:rFonts w:ascii="宋体"/>
          <w:b/>
          <w:color w:val="auto"/>
          <w:sz w:val="24"/>
          <w:highlight w:val="none"/>
        </w:rPr>
      </w:pPr>
      <w:r>
        <w:rPr>
          <w:rFonts w:hint="eastAsia" w:ascii="宋体"/>
          <w:b/>
          <w:color w:val="auto"/>
          <w:sz w:val="24"/>
          <w:highlight w:val="none"/>
        </w:rPr>
        <w:t>19、投标文件的初审</w:t>
      </w:r>
    </w:p>
    <w:p w14:paraId="34CE64EC">
      <w:pPr>
        <w:spacing w:line="360" w:lineRule="auto"/>
        <w:ind w:firstLine="480" w:firstLineChars="200"/>
        <w:rPr>
          <w:rFonts w:ascii="宋体"/>
          <w:color w:val="auto"/>
          <w:sz w:val="24"/>
          <w:highlight w:val="none"/>
        </w:rPr>
      </w:pPr>
      <w:r>
        <w:rPr>
          <w:rFonts w:hint="eastAsia" w:ascii="宋体"/>
          <w:color w:val="auto"/>
          <w:sz w:val="24"/>
          <w:highlight w:val="none"/>
        </w:rPr>
        <w:t>19.1对所有通过资格审查投标人的评估，都采用相同的程序和标准。评议过程将严格按照招标文件的要求和条件进行。</w:t>
      </w:r>
    </w:p>
    <w:p w14:paraId="4A64DE2A">
      <w:pPr>
        <w:spacing w:line="360" w:lineRule="auto"/>
        <w:ind w:firstLine="480" w:firstLineChars="200"/>
        <w:rPr>
          <w:rFonts w:ascii="宋体"/>
          <w:color w:val="auto"/>
          <w:sz w:val="24"/>
          <w:highlight w:val="none"/>
        </w:rPr>
      </w:pPr>
      <w:r>
        <w:rPr>
          <w:rFonts w:hint="eastAsia" w:ascii="宋体"/>
          <w:color w:val="auto"/>
          <w:sz w:val="24"/>
          <w:highlight w:val="none"/>
        </w:rPr>
        <w:t>19.2有关投标文件的审查、澄清、评估和比较以及推荐中标候选人的一切情况都不得透露给任一投标人或与上述评标工作无关的人员。</w:t>
      </w:r>
    </w:p>
    <w:p w14:paraId="2E7BF038">
      <w:pPr>
        <w:spacing w:line="360" w:lineRule="auto"/>
        <w:ind w:firstLine="480" w:firstLineChars="200"/>
        <w:rPr>
          <w:rFonts w:ascii="宋体"/>
          <w:color w:val="auto"/>
          <w:sz w:val="24"/>
          <w:highlight w:val="none"/>
        </w:rPr>
      </w:pPr>
      <w:r>
        <w:rPr>
          <w:rFonts w:hint="eastAsia" w:ascii="宋体"/>
          <w:color w:val="auto"/>
          <w:sz w:val="24"/>
          <w:highlight w:val="none"/>
        </w:rPr>
        <w:t>19.3投标人任何试图影响评标委员会对投标文件的评估、比较或者推荐候选人的行为，都将导致其投标被拒绝，并不退还投标保证金。</w:t>
      </w:r>
    </w:p>
    <w:p w14:paraId="24DFDFF1">
      <w:pPr>
        <w:spacing w:line="360" w:lineRule="auto"/>
        <w:ind w:firstLine="480" w:firstLineChars="200"/>
        <w:rPr>
          <w:rFonts w:ascii="宋体"/>
          <w:color w:val="auto"/>
          <w:sz w:val="24"/>
          <w:highlight w:val="none"/>
        </w:rPr>
      </w:pPr>
      <w:r>
        <w:rPr>
          <w:rFonts w:hint="eastAsia" w:ascii="宋体"/>
          <w:color w:val="auto"/>
          <w:sz w:val="24"/>
          <w:highlight w:val="none"/>
        </w:rPr>
        <w:t xml:space="preserve">19.4评委会将对投标文件进行审查，以确定投标文件是否完整、有无计算上的错误、是否提交了投标保证金、文件是否已正确签署。 </w:t>
      </w:r>
    </w:p>
    <w:p w14:paraId="6654F104">
      <w:pPr>
        <w:spacing w:line="360" w:lineRule="auto"/>
        <w:ind w:firstLine="480" w:firstLineChars="200"/>
        <w:rPr>
          <w:rFonts w:ascii="宋体"/>
          <w:color w:val="auto"/>
          <w:sz w:val="24"/>
          <w:highlight w:val="none"/>
        </w:rPr>
      </w:pPr>
      <w:r>
        <w:rPr>
          <w:rFonts w:hint="eastAsia" w:ascii="宋体"/>
          <w:color w:val="auto"/>
          <w:sz w:val="24"/>
          <w:highlight w:val="none"/>
        </w:rPr>
        <w:t>19.5投标文件出现报价前后不一致的，按以下方法修正：</w:t>
      </w:r>
    </w:p>
    <w:p w14:paraId="46B261B1">
      <w:pPr>
        <w:spacing w:line="360" w:lineRule="auto"/>
        <w:ind w:firstLine="480" w:firstLineChars="200"/>
        <w:rPr>
          <w:rFonts w:ascii="宋体"/>
          <w:color w:val="auto"/>
          <w:sz w:val="24"/>
          <w:highlight w:val="none"/>
        </w:rPr>
      </w:pPr>
      <w:r>
        <w:rPr>
          <w:rFonts w:hint="eastAsia" w:ascii="宋体"/>
          <w:color w:val="auto"/>
          <w:sz w:val="24"/>
          <w:highlight w:val="none"/>
        </w:rPr>
        <w:t>（1）投标文件中开标一览表(报价表)内容与投标文件中相应内容不一致的，以开标一览表(报价表)为准；</w:t>
      </w:r>
    </w:p>
    <w:p w14:paraId="5161E1AB">
      <w:pPr>
        <w:spacing w:line="360" w:lineRule="auto"/>
        <w:ind w:firstLine="480" w:firstLineChars="200"/>
        <w:rPr>
          <w:rFonts w:ascii="宋体"/>
          <w:color w:val="auto"/>
          <w:sz w:val="24"/>
          <w:highlight w:val="none"/>
        </w:rPr>
      </w:pPr>
      <w:r>
        <w:rPr>
          <w:rFonts w:hint="eastAsia" w:ascii="宋体"/>
          <w:color w:val="auto"/>
          <w:sz w:val="24"/>
          <w:highlight w:val="none"/>
        </w:rPr>
        <w:t>（2）大写金额和小写金额不一致的，以大写金额为准；</w:t>
      </w:r>
    </w:p>
    <w:p w14:paraId="16457FA1">
      <w:pPr>
        <w:spacing w:line="360" w:lineRule="auto"/>
        <w:ind w:firstLine="480" w:firstLineChars="200"/>
        <w:rPr>
          <w:rFonts w:ascii="宋体"/>
          <w:color w:val="auto"/>
          <w:sz w:val="24"/>
          <w:highlight w:val="none"/>
        </w:rPr>
      </w:pPr>
      <w:r>
        <w:rPr>
          <w:rFonts w:hint="eastAsia" w:ascii="宋体"/>
          <w:color w:val="auto"/>
          <w:sz w:val="24"/>
          <w:highlight w:val="none"/>
        </w:rPr>
        <w:t>（3）单价金额小数点或者百分比有明显错位的，以开标一览表总价为准，并修改单价；</w:t>
      </w:r>
    </w:p>
    <w:p w14:paraId="73C1B2FA">
      <w:pPr>
        <w:spacing w:line="360" w:lineRule="auto"/>
        <w:ind w:firstLine="480" w:firstLineChars="200"/>
        <w:rPr>
          <w:rFonts w:ascii="宋体"/>
          <w:color w:val="auto"/>
          <w:sz w:val="24"/>
          <w:highlight w:val="none"/>
        </w:rPr>
      </w:pPr>
      <w:r>
        <w:rPr>
          <w:rFonts w:hint="eastAsia" w:ascii="宋体"/>
          <w:color w:val="auto"/>
          <w:sz w:val="24"/>
          <w:highlight w:val="none"/>
        </w:rPr>
        <w:t>（4）总价金额与按单价汇总金额不一致的，以单价金额计算结果为准；</w:t>
      </w:r>
    </w:p>
    <w:p w14:paraId="0793D11E">
      <w:pPr>
        <w:spacing w:line="360" w:lineRule="auto"/>
        <w:ind w:firstLine="480" w:firstLineChars="200"/>
        <w:rPr>
          <w:rFonts w:ascii="宋体"/>
          <w:color w:val="auto"/>
          <w:sz w:val="24"/>
          <w:highlight w:val="none"/>
        </w:rPr>
      </w:pPr>
      <w:r>
        <w:rPr>
          <w:rFonts w:hint="eastAsia" w:ascii="宋体"/>
          <w:color w:val="auto"/>
          <w:sz w:val="24"/>
          <w:highlight w:val="none"/>
        </w:rPr>
        <w:t>同时出现两种以上不一致的，按照前款规定的顺序修正。修正后的报价按照“20、投标文件的澄清”规定经投标人确认后产生约束力，投标人不确认的，其投标无效。</w:t>
      </w:r>
    </w:p>
    <w:p w14:paraId="3FBFF34E">
      <w:pPr>
        <w:spacing w:line="360" w:lineRule="auto"/>
        <w:rPr>
          <w:rFonts w:ascii="宋体"/>
          <w:b/>
          <w:color w:val="auto"/>
          <w:sz w:val="24"/>
          <w:highlight w:val="none"/>
        </w:rPr>
      </w:pPr>
      <w:r>
        <w:rPr>
          <w:rFonts w:hint="eastAsia" w:ascii="宋体"/>
          <w:b/>
          <w:color w:val="auto"/>
          <w:sz w:val="24"/>
          <w:highlight w:val="none"/>
        </w:rPr>
        <w:t xml:space="preserve">20、投标文件的澄清 </w:t>
      </w:r>
    </w:p>
    <w:p w14:paraId="5A7815CC">
      <w:pPr>
        <w:spacing w:line="360" w:lineRule="auto"/>
        <w:ind w:firstLine="480" w:firstLineChars="200"/>
        <w:rPr>
          <w:rFonts w:ascii="宋体"/>
          <w:color w:val="auto"/>
          <w:sz w:val="24"/>
          <w:highlight w:val="none"/>
        </w:rPr>
      </w:pPr>
      <w:r>
        <w:rPr>
          <w:rFonts w:hint="eastAsia" w:ascii="宋体"/>
          <w:color w:val="auto"/>
          <w:sz w:val="24"/>
          <w:highlight w:val="none"/>
        </w:rPr>
        <w:t>20.1对投标文件中含义不明确、同类问题表述不一致或者有明显文字和计算错误的内容，评标委员会应当以书面形式要求投标人作出必要的澄清、说明或者补正。投标人的澄清、说明或者补正应当在评标委员会规定的时间内以书面形式作出，并加盖投标人公章或由单位负责人或其授权的代表签字。投标人的澄清、说明或者补正并不得超出投标文件的范围或者改变投标文件的实质性内容。</w:t>
      </w:r>
    </w:p>
    <w:p w14:paraId="4F601F6C">
      <w:pPr>
        <w:spacing w:line="360" w:lineRule="auto"/>
        <w:rPr>
          <w:rFonts w:ascii="宋体"/>
          <w:b/>
          <w:color w:val="auto"/>
          <w:sz w:val="24"/>
          <w:highlight w:val="none"/>
        </w:rPr>
      </w:pPr>
      <w:r>
        <w:rPr>
          <w:rFonts w:hint="eastAsia" w:ascii="宋体"/>
          <w:b/>
          <w:color w:val="auto"/>
          <w:sz w:val="24"/>
          <w:highlight w:val="none"/>
        </w:rPr>
        <w:t>21、比较与评价</w:t>
      </w:r>
    </w:p>
    <w:p w14:paraId="4CF5B00D">
      <w:pPr>
        <w:spacing w:line="360" w:lineRule="auto"/>
        <w:ind w:firstLine="480" w:firstLineChars="200"/>
        <w:rPr>
          <w:rFonts w:ascii="宋体"/>
          <w:color w:val="auto"/>
          <w:sz w:val="24"/>
          <w:highlight w:val="none"/>
        </w:rPr>
      </w:pPr>
      <w:r>
        <w:rPr>
          <w:rFonts w:hint="eastAsia" w:ascii="宋体"/>
          <w:color w:val="auto"/>
          <w:sz w:val="24"/>
          <w:highlight w:val="none"/>
        </w:rPr>
        <w:t>21.1评标委员会将按《投标人须知前附表3》所规定评标方法和标准，对符合性检查合格的投标文件进行商务和技术评估，综合比较与评价。</w:t>
      </w:r>
    </w:p>
    <w:p w14:paraId="1949F335">
      <w:pPr>
        <w:spacing w:line="360" w:lineRule="auto"/>
        <w:ind w:firstLine="480" w:firstLineChars="200"/>
        <w:rPr>
          <w:rFonts w:ascii="宋体"/>
          <w:color w:val="auto"/>
          <w:sz w:val="24"/>
          <w:highlight w:val="none"/>
        </w:rPr>
      </w:pPr>
      <w:r>
        <w:rPr>
          <w:rFonts w:hint="eastAsia" w:ascii="宋体"/>
          <w:color w:val="auto"/>
          <w:sz w:val="24"/>
          <w:highlight w:val="none"/>
        </w:rPr>
        <w:t>21.2对漏（缺）报项的处理：招标文件中要求列入报价的费用（含配置、功能），漏（缺）报的视同已含在投标总价中。但在评标时取有效投标人该项最高报价加入漏（缺）报投标人的评标价进行评标。对多报项及赠送项的价格评标时不予核减，全部进入评标价评议。</w:t>
      </w:r>
    </w:p>
    <w:p w14:paraId="65F64006">
      <w:pPr>
        <w:spacing w:line="360" w:lineRule="auto"/>
        <w:ind w:firstLine="480" w:firstLineChars="200"/>
        <w:rPr>
          <w:rFonts w:ascii="宋体"/>
          <w:color w:val="auto"/>
          <w:sz w:val="24"/>
          <w:highlight w:val="none"/>
        </w:rPr>
      </w:pPr>
      <w:r>
        <w:rPr>
          <w:rFonts w:hint="eastAsia" w:ascii="宋体"/>
          <w:color w:val="auto"/>
          <w:sz w:val="24"/>
          <w:highlight w:val="none"/>
        </w:rPr>
        <w:t>21.3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应当将其作为无效投标处理。</w:t>
      </w:r>
    </w:p>
    <w:p w14:paraId="4C7747D8">
      <w:pPr>
        <w:spacing w:line="360" w:lineRule="auto"/>
        <w:ind w:firstLine="480" w:firstLineChars="200"/>
        <w:rPr>
          <w:rFonts w:ascii="宋体"/>
          <w:color w:val="auto"/>
          <w:sz w:val="24"/>
          <w:highlight w:val="none"/>
        </w:rPr>
      </w:pPr>
      <w:r>
        <w:rPr>
          <w:rFonts w:hint="eastAsia" w:ascii="宋体"/>
          <w:color w:val="auto"/>
          <w:sz w:val="24"/>
          <w:highlight w:val="none"/>
        </w:rPr>
        <w:t>21.4评标委员会将按比较与评价最优在先原则, 排列评价顺序, 根据在《投标人须知前附表3》中确定的中标候选人数量推荐出中标候选人。</w:t>
      </w:r>
    </w:p>
    <w:p w14:paraId="4020A227">
      <w:pPr>
        <w:spacing w:line="360" w:lineRule="auto"/>
        <w:ind w:firstLine="480" w:firstLineChars="200"/>
        <w:rPr>
          <w:rFonts w:ascii="宋体"/>
          <w:color w:val="auto"/>
          <w:sz w:val="24"/>
          <w:highlight w:val="none"/>
        </w:rPr>
      </w:pPr>
      <w:r>
        <w:rPr>
          <w:rFonts w:hint="eastAsia" w:ascii="宋体"/>
          <w:color w:val="auto"/>
          <w:sz w:val="24"/>
          <w:highlight w:val="none"/>
        </w:rPr>
        <w:t>22、在招标采购中，出现下列情形之一的，本项目将作为废标处理：</w:t>
      </w:r>
    </w:p>
    <w:p w14:paraId="674501E5">
      <w:pPr>
        <w:spacing w:line="360" w:lineRule="auto"/>
        <w:ind w:left="479" w:leftChars="228"/>
        <w:rPr>
          <w:rFonts w:ascii="宋体"/>
          <w:color w:val="auto"/>
          <w:sz w:val="24"/>
          <w:highlight w:val="none"/>
        </w:rPr>
      </w:pPr>
      <w:r>
        <w:rPr>
          <w:rFonts w:hint="eastAsia" w:ascii="宋体"/>
          <w:color w:val="auto"/>
          <w:sz w:val="24"/>
          <w:highlight w:val="none"/>
        </w:rPr>
        <w:t>22.1符合专业条件的供应商或者对招标文件作实质性响应的供应商不足三家的；</w:t>
      </w:r>
    </w:p>
    <w:p w14:paraId="34C2854A">
      <w:pPr>
        <w:spacing w:line="360" w:lineRule="auto"/>
        <w:ind w:left="479" w:leftChars="228"/>
        <w:rPr>
          <w:rFonts w:ascii="宋体"/>
          <w:color w:val="auto"/>
          <w:sz w:val="24"/>
          <w:highlight w:val="none"/>
        </w:rPr>
      </w:pPr>
      <w:r>
        <w:rPr>
          <w:rFonts w:hint="eastAsia" w:ascii="宋体"/>
          <w:color w:val="auto"/>
          <w:sz w:val="24"/>
          <w:highlight w:val="none"/>
        </w:rPr>
        <w:t>22.2出现影响采购公正的违法、违规行为的；</w:t>
      </w:r>
    </w:p>
    <w:p w14:paraId="783F6C1B">
      <w:pPr>
        <w:spacing w:line="360" w:lineRule="auto"/>
        <w:ind w:firstLine="480" w:firstLineChars="200"/>
        <w:rPr>
          <w:rFonts w:ascii="宋体"/>
          <w:color w:val="auto"/>
          <w:sz w:val="24"/>
          <w:highlight w:val="none"/>
        </w:rPr>
      </w:pPr>
      <w:r>
        <w:rPr>
          <w:rFonts w:hint="eastAsia" w:ascii="宋体"/>
          <w:color w:val="auto"/>
          <w:sz w:val="24"/>
          <w:highlight w:val="none"/>
        </w:rPr>
        <w:t>22.3投标人的报价均超过了采购预算价，采购人不能支付的；</w:t>
      </w:r>
    </w:p>
    <w:p w14:paraId="6533FCA5">
      <w:pPr>
        <w:spacing w:line="360" w:lineRule="auto"/>
        <w:ind w:firstLine="480" w:firstLineChars="200"/>
        <w:rPr>
          <w:rFonts w:ascii="宋体"/>
          <w:color w:val="auto"/>
          <w:sz w:val="24"/>
          <w:highlight w:val="none"/>
        </w:rPr>
      </w:pPr>
      <w:r>
        <w:rPr>
          <w:rFonts w:hint="eastAsia" w:ascii="宋体"/>
          <w:color w:val="auto"/>
          <w:sz w:val="24"/>
          <w:highlight w:val="none"/>
        </w:rPr>
        <w:t>22.4因重大变故，采购任务取消的。</w:t>
      </w:r>
    </w:p>
    <w:p w14:paraId="02B1EC2D">
      <w:pPr>
        <w:spacing w:line="360" w:lineRule="auto"/>
        <w:ind w:firstLine="480" w:firstLineChars="200"/>
        <w:rPr>
          <w:rFonts w:ascii="宋体"/>
          <w:color w:val="auto"/>
          <w:szCs w:val="21"/>
          <w:highlight w:val="none"/>
        </w:rPr>
      </w:pPr>
      <w:r>
        <w:rPr>
          <w:rFonts w:hint="eastAsia" w:ascii="宋体"/>
          <w:color w:val="auto"/>
          <w:sz w:val="24"/>
          <w:highlight w:val="none"/>
        </w:rPr>
        <w:t>除采购任务取消情形外，招标采购人将依法重新组织招标或者采取其他方式采购。</w:t>
      </w:r>
    </w:p>
    <w:p w14:paraId="3A5F1632">
      <w:pPr>
        <w:pStyle w:val="3"/>
        <w:numPr>
          <w:ilvl w:val="0"/>
          <w:numId w:val="0"/>
        </w:numPr>
        <w:spacing w:before="0" w:after="0" w:line="360" w:lineRule="auto"/>
        <w:rPr>
          <w:rFonts w:ascii="宋体"/>
          <w:color w:val="auto"/>
          <w:sz w:val="28"/>
          <w:szCs w:val="28"/>
          <w:highlight w:val="none"/>
        </w:rPr>
      </w:pPr>
      <w:bookmarkStart w:id="90" w:name="_Toc329098426"/>
      <w:bookmarkStart w:id="91" w:name="_Toc392496245"/>
      <w:bookmarkStart w:id="92" w:name="_Toc404866208"/>
      <w:bookmarkStart w:id="93" w:name="_Toc410636422"/>
      <w:bookmarkStart w:id="94" w:name="_Toc332894824"/>
      <w:bookmarkStart w:id="95" w:name="_Toc332895794"/>
      <w:bookmarkStart w:id="96" w:name="_Toc531742158"/>
      <w:bookmarkStart w:id="97" w:name="_Toc28818"/>
      <w:bookmarkStart w:id="98" w:name="_Toc31944"/>
      <w:r>
        <w:rPr>
          <w:rFonts w:hint="eastAsia" w:ascii="宋体"/>
          <w:color w:val="auto"/>
          <w:sz w:val="28"/>
          <w:szCs w:val="28"/>
          <w:highlight w:val="none"/>
        </w:rPr>
        <w:t>六、定标与签订合同</w:t>
      </w:r>
      <w:bookmarkEnd w:id="90"/>
      <w:bookmarkEnd w:id="91"/>
      <w:bookmarkEnd w:id="92"/>
      <w:bookmarkEnd w:id="93"/>
      <w:bookmarkEnd w:id="94"/>
      <w:bookmarkEnd w:id="95"/>
      <w:bookmarkEnd w:id="96"/>
      <w:bookmarkEnd w:id="97"/>
      <w:bookmarkEnd w:id="98"/>
    </w:p>
    <w:p w14:paraId="1E2DF1B2">
      <w:pPr>
        <w:spacing w:line="360" w:lineRule="auto"/>
        <w:rPr>
          <w:rFonts w:ascii="宋体"/>
          <w:color w:val="auto"/>
          <w:sz w:val="24"/>
          <w:highlight w:val="none"/>
        </w:rPr>
      </w:pPr>
      <w:r>
        <w:rPr>
          <w:rFonts w:hint="eastAsia" w:ascii="宋体"/>
          <w:color w:val="auto"/>
          <w:sz w:val="24"/>
          <w:highlight w:val="none"/>
        </w:rPr>
        <w:t>23、定标准则</w:t>
      </w:r>
    </w:p>
    <w:p w14:paraId="1C6379FA">
      <w:pPr>
        <w:spacing w:line="360" w:lineRule="auto"/>
        <w:ind w:firstLine="480" w:firstLineChars="200"/>
        <w:rPr>
          <w:rFonts w:ascii="宋体"/>
          <w:color w:val="auto"/>
          <w:sz w:val="24"/>
          <w:highlight w:val="none"/>
        </w:rPr>
      </w:pPr>
      <w:r>
        <w:rPr>
          <w:rFonts w:hint="eastAsia" w:ascii="宋体"/>
          <w:color w:val="auto"/>
          <w:sz w:val="24"/>
          <w:highlight w:val="none"/>
        </w:rPr>
        <w:t>23.1最低投标价不作为中标的保证。</w:t>
      </w:r>
    </w:p>
    <w:p w14:paraId="5FE32383">
      <w:pPr>
        <w:spacing w:line="360" w:lineRule="auto"/>
        <w:ind w:firstLine="480" w:firstLineChars="200"/>
        <w:rPr>
          <w:rFonts w:ascii="宋体"/>
          <w:color w:val="auto"/>
          <w:sz w:val="24"/>
          <w:highlight w:val="none"/>
        </w:rPr>
      </w:pPr>
      <w:r>
        <w:rPr>
          <w:rFonts w:hint="eastAsia" w:ascii="宋体"/>
          <w:color w:val="auto"/>
          <w:sz w:val="24"/>
          <w:highlight w:val="none"/>
        </w:rPr>
        <w:t>23.2投标人的投标文件符合招标文件要求，按招标文件确定评标方法、标准，经评委评审并推荐中标候选人。</w:t>
      </w:r>
    </w:p>
    <w:p w14:paraId="2AEDD6AE">
      <w:pPr>
        <w:spacing w:line="360" w:lineRule="auto"/>
        <w:rPr>
          <w:rFonts w:ascii="宋体"/>
          <w:color w:val="auto"/>
          <w:sz w:val="24"/>
          <w:highlight w:val="none"/>
        </w:rPr>
      </w:pPr>
      <w:r>
        <w:rPr>
          <w:rFonts w:hint="eastAsia" w:ascii="宋体"/>
          <w:color w:val="auto"/>
          <w:sz w:val="24"/>
          <w:highlight w:val="none"/>
        </w:rPr>
        <w:t>24、中标通知</w:t>
      </w:r>
    </w:p>
    <w:p w14:paraId="6F158AF4">
      <w:pPr>
        <w:spacing w:line="360" w:lineRule="auto"/>
        <w:ind w:firstLine="480" w:firstLineChars="200"/>
        <w:rPr>
          <w:rFonts w:ascii="宋体"/>
          <w:color w:val="auto"/>
          <w:sz w:val="24"/>
          <w:highlight w:val="none"/>
        </w:rPr>
      </w:pPr>
      <w:r>
        <w:rPr>
          <w:rFonts w:hint="eastAsia" w:ascii="宋体"/>
          <w:color w:val="auto"/>
          <w:sz w:val="24"/>
          <w:highlight w:val="none"/>
        </w:rPr>
        <w:t>24.1评标结束后，评标结果经采购人确认后，采购代理机构方应在刊登本采购项目招标公告的媒介上对中标结果进行公告，同时采购代理机构向中标人发出中标通知书，向落中标人发出落标通知书。中标通知书对采购人和中标人具有同等法律效力。中标通知书发出后，采购人改变中标结果，或者中标人放弃中标，应当承担相应的法律责任。</w:t>
      </w:r>
    </w:p>
    <w:p w14:paraId="4806A146">
      <w:pPr>
        <w:spacing w:line="360" w:lineRule="auto"/>
        <w:ind w:firstLine="480" w:firstLineChars="200"/>
        <w:rPr>
          <w:rFonts w:ascii="宋体"/>
          <w:color w:val="auto"/>
          <w:sz w:val="24"/>
          <w:highlight w:val="none"/>
        </w:rPr>
      </w:pPr>
      <w:r>
        <w:rPr>
          <w:rFonts w:hint="eastAsia" w:ascii="宋体"/>
          <w:color w:val="auto"/>
          <w:sz w:val="24"/>
          <w:highlight w:val="none"/>
        </w:rPr>
        <w:t>24.2投标人对中标公告有异议的，应当在中标公告发布之日起7个工作日内，以书面形式向采购代理机构提出质疑。采购人、采购代理机构应当在收到投标人书面质疑后7个工作日内，对质疑内容作出答复。</w:t>
      </w:r>
    </w:p>
    <w:p w14:paraId="358C2D4B">
      <w:pPr>
        <w:spacing w:line="360" w:lineRule="auto"/>
        <w:ind w:firstLine="480" w:firstLineChars="200"/>
        <w:rPr>
          <w:rFonts w:ascii="宋体"/>
          <w:color w:val="auto"/>
          <w:sz w:val="24"/>
          <w:highlight w:val="none"/>
        </w:rPr>
      </w:pPr>
      <w:r>
        <w:rPr>
          <w:rFonts w:hint="eastAsia" w:ascii="宋体"/>
          <w:color w:val="auto"/>
          <w:sz w:val="24"/>
          <w:highlight w:val="none"/>
        </w:rPr>
        <w:t>24.3《中标通知书》将作为签订采购合同的依据。采购合同签订后，《中标通知书》成为合同的一部分。</w:t>
      </w:r>
    </w:p>
    <w:p w14:paraId="4EB0FC82">
      <w:pPr>
        <w:spacing w:line="360" w:lineRule="auto"/>
        <w:rPr>
          <w:rFonts w:ascii="宋体"/>
          <w:b/>
          <w:color w:val="auto"/>
          <w:sz w:val="24"/>
          <w:highlight w:val="none"/>
        </w:rPr>
      </w:pPr>
      <w:r>
        <w:rPr>
          <w:rFonts w:hint="eastAsia" w:ascii="宋体"/>
          <w:b/>
          <w:color w:val="auto"/>
          <w:sz w:val="24"/>
          <w:highlight w:val="none"/>
        </w:rPr>
        <w:t>25、签订合同</w:t>
      </w:r>
    </w:p>
    <w:p w14:paraId="31D8254B">
      <w:pPr>
        <w:spacing w:line="360" w:lineRule="auto"/>
        <w:ind w:firstLine="480" w:firstLineChars="200"/>
        <w:rPr>
          <w:rFonts w:ascii="宋体"/>
          <w:color w:val="auto"/>
          <w:sz w:val="24"/>
          <w:highlight w:val="none"/>
        </w:rPr>
      </w:pPr>
      <w:r>
        <w:rPr>
          <w:rFonts w:hint="eastAsia" w:ascii="宋体"/>
          <w:color w:val="auto"/>
          <w:sz w:val="24"/>
          <w:highlight w:val="none"/>
        </w:rPr>
        <w:t>25.1采购人、中标人应当在《中标通知书》发出之日起30日内根据招标文件确定的事项和中标人投标文件，参照本招标文件第四章的《合同》文本签订合同。双方所签订的合同不得对招标文件和中标人投标文件作实质性修改。逾期未签订合同，按照有关法律规定承担相应的法律责任。属中标人责任的，采购代理机构将不退还其投标保证金，以抵偿对采购人造成的损失。采购人逾期不与中标人签订合同的，按政府采购的有关规定处理。</w:t>
      </w:r>
    </w:p>
    <w:p w14:paraId="060BFCBE">
      <w:pPr>
        <w:spacing w:line="360" w:lineRule="auto"/>
        <w:ind w:firstLine="480" w:firstLineChars="200"/>
        <w:rPr>
          <w:rFonts w:ascii="宋体"/>
          <w:color w:val="auto"/>
          <w:sz w:val="24"/>
          <w:highlight w:val="none"/>
        </w:rPr>
      </w:pPr>
      <w:r>
        <w:rPr>
          <w:rFonts w:hint="eastAsia" w:ascii="宋体"/>
          <w:color w:val="auto"/>
          <w:sz w:val="24"/>
          <w:highlight w:val="none"/>
        </w:rPr>
        <w:t>25.2招标文件、招标文件的修改文件、中标人的投标文件、补充或修改的文件及澄清或承诺文件等，均为双方签订采购合同的组成部分，并与合同一并作为本招标文件所列采购项目的互补性法律文件，与合同具有同等法律效力。</w:t>
      </w:r>
    </w:p>
    <w:p w14:paraId="77D89A5D">
      <w:pPr>
        <w:spacing w:line="360" w:lineRule="auto"/>
        <w:ind w:firstLine="480" w:firstLineChars="200"/>
        <w:rPr>
          <w:rFonts w:ascii="宋体"/>
          <w:color w:val="auto"/>
          <w:sz w:val="24"/>
          <w:highlight w:val="none"/>
        </w:rPr>
      </w:pPr>
      <w:r>
        <w:rPr>
          <w:rFonts w:hint="eastAsia" w:ascii="宋体"/>
          <w:color w:val="auto"/>
          <w:sz w:val="24"/>
          <w:highlight w:val="none"/>
        </w:rPr>
        <w:t xml:space="preserve">25.3采购人在合同履行中，需追加与合同标的相同的货物或者服务的，在不改变合同其他条款的前提下，可与供应商协商签订补充合同，但所有补充合同的采购金额不得超过原合同采购金额的10%。 </w:t>
      </w:r>
    </w:p>
    <w:p w14:paraId="1F890397">
      <w:pPr>
        <w:spacing w:line="360" w:lineRule="auto"/>
        <w:ind w:firstLine="420"/>
        <w:rPr>
          <w:rFonts w:ascii="宋体"/>
          <w:color w:val="auto"/>
          <w:sz w:val="24"/>
          <w:highlight w:val="none"/>
        </w:rPr>
      </w:pPr>
      <w:r>
        <w:rPr>
          <w:rFonts w:hint="eastAsia" w:ascii="宋体"/>
          <w:color w:val="auto"/>
          <w:sz w:val="24"/>
          <w:highlight w:val="none"/>
        </w:rPr>
        <w:t>25.4中标人因不可抗力或者自身原因不能履行采购合同的，采购人可以与排位在中标人之后第一位的中标候选供应商签订采购合同，以此类推。</w:t>
      </w:r>
    </w:p>
    <w:p w14:paraId="22C1FFBD">
      <w:pPr>
        <w:pStyle w:val="3"/>
        <w:numPr>
          <w:ilvl w:val="0"/>
          <w:numId w:val="0"/>
        </w:numPr>
        <w:spacing w:before="0" w:after="0" w:line="360" w:lineRule="auto"/>
        <w:rPr>
          <w:rFonts w:ascii="宋体"/>
          <w:color w:val="auto"/>
          <w:sz w:val="28"/>
          <w:szCs w:val="28"/>
          <w:highlight w:val="none"/>
        </w:rPr>
      </w:pPr>
      <w:bookmarkStart w:id="99" w:name="_Toc17115"/>
      <w:bookmarkStart w:id="100" w:name="_Toc5968"/>
      <w:bookmarkStart w:id="101" w:name="_Toc531742159"/>
      <w:r>
        <w:rPr>
          <w:rFonts w:hint="eastAsia" w:ascii="宋体"/>
          <w:color w:val="auto"/>
          <w:sz w:val="28"/>
          <w:szCs w:val="28"/>
          <w:highlight w:val="none"/>
        </w:rPr>
        <w:t>七、询问、质疑与投诉</w:t>
      </w:r>
      <w:bookmarkEnd w:id="99"/>
      <w:bookmarkEnd w:id="100"/>
      <w:bookmarkEnd w:id="101"/>
    </w:p>
    <w:p w14:paraId="560E8EB6">
      <w:pPr>
        <w:spacing w:line="360" w:lineRule="auto"/>
        <w:rPr>
          <w:rFonts w:ascii="宋体"/>
          <w:color w:val="auto"/>
          <w:sz w:val="24"/>
          <w:highlight w:val="none"/>
        </w:rPr>
      </w:pPr>
      <w:r>
        <w:rPr>
          <w:rFonts w:hint="eastAsia" w:ascii="宋体"/>
          <w:color w:val="auto"/>
          <w:sz w:val="24"/>
          <w:highlight w:val="none"/>
        </w:rPr>
        <w:t>26、询问</w:t>
      </w:r>
    </w:p>
    <w:p w14:paraId="40188076">
      <w:pPr>
        <w:spacing w:line="360" w:lineRule="auto"/>
        <w:ind w:firstLine="480" w:firstLineChars="200"/>
        <w:rPr>
          <w:rFonts w:ascii="宋体"/>
          <w:color w:val="auto"/>
          <w:sz w:val="24"/>
          <w:highlight w:val="none"/>
        </w:rPr>
      </w:pPr>
      <w:r>
        <w:rPr>
          <w:rFonts w:hint="eastAsia" w:ascii="宋体"/>
          <w:color w:val="auto"/>
          <w:sz w:val="24"/>
          <w:highlight w:val="none"/>
        </w:rPr>
        <w:t>26.1潜在投标人或投标人对本次采购活动的有关事项若有疑问，可向采购人提出询问，采购人将按照政府采购法及实施条例的有关规定进行答复。</w:t>
      </w:r>
    </w:p>
    <w:p w14:paraId="27F85230">
      <w:pPr>
        <w:spacing w:line="360" w:lineRule="auto"/>
        <w:rPr>
          <w:rFonts w:ascii="宋体"/>
          <w:color w:val="auto"/>
          <w:sz w:val="24"/>
          <w:highlight w:val="none"/>
        </w:rPr>
      </w:pPr>
      <w:r>
        <w:rPr>
          <w:rFonts w:hint="eastAsia" w:ascii="宋体"/>
          <w:color w:val="auto"/>
          <w:sz w:val="24"/>
          <w:highlight w:val="none"/>
        </w:rPr>
        <w:t>27、质疑</w:t>
      </w:r>
    </w:p>
    <w:p w14:paraId="02443E7B">
      <w:pPr>
        <w:spacing w:line="360" w:lineRule="auto"/>
        <w:ind w:firstLine="480" w:firstLineChars="200"/>
        <w:rPr>
          <w:rFonts w:ascii="宋体"/>
          <w:color w:val="auto"/>
          <w:sz w:val="24"/>
          <w:highlight w:val="none"/>
        </w:rPr>
      </w:pPr>
      <w:r>
        <w:rPr>
          <w:rFonts w:hint="eastAsia" w:ascii="宋体"/>
          <w:color w:val="auto"/>
          <w:sz w:val="24"/>
          <w:highlight w:val="none"/>
        </w:rPr>
        <w:t>27.1质疑应在政府采购法及实施条例规定的时限内提出，并符合下列条件：</w:t>
      </w:r>
    </w:p>
    <w:p w14:paraId="58F29E9C">
      <w:pPr>
        <w:spacing w:line="360" w:lineRule="auto"/>
        <w:ind w:firstLine="480" w:firstLineChars="200"/>
        <w:rPr>
          <w:rFonts w:ascii="宋体"/>
          <w:color w:val="auto"/>
          <w:sz w:val="24"/>
          <w:highlight w:val="none"/>
        </w:rPr>
      </w:pPr>
      <w:r>
        <w:rPr>
          <w:rFonts w:hint="eastAsia" w:ascii="宋体"/>
          <w:color w:val="auto"/>
          <w:sz w:val="24"/>
          <w:highlight w:val="none"/>
        </w:rPr>
        <w:t>（1）对招标文件提出质疑的，质疑人应为潜在投标人，且两者的身份、名称等均应保持一致。对采购过程、结果提出质疑的，质疑人应为投标人，且两者的身份、名称等均应保持一致。</w:t>
      </w:r>
    </w:p>
    <w:p w14:paraId="0D87C171">
      <w:pPr>
        <w:spacing w:line="360" w:lineRule="auto"/>
        <w:ind w:firstLine="480" w:firstLineChars="200"/>
        <w:rPr>
          <w:rFonts w:ascii="宋体"/>
          <w:color w:val="auto"/>
          <w:sz w:val="24"/>
          <w:highlight w:val="none"/>
        </w:rPr>
      </w:pPr>
      <w:r>
        <w:rPr>
          <w:rFonts w:hint="eastAsia" w:ascii="宋体"/>
          <w:color w:val="auto"/>
          <w:sz w:val="24"/>
          <w:highlight w:val="none"/>
        </w:rPr>
        <w:t>（2）质疑人应按照招标文件第二章规定方式提交质疑函原件。</w:t>
      </w:r>
    </w:p>
    <w:p w14:paraId="267A5D82">
      <w:pPr>
        <w:spacing w:line="360" w:lineRule="auto"/>
        <w:ind w:firstLine="480" w:firstLineChars="200"/>
        <w:rPr>
          <w:rFonts w:ascii="宋体"/>
          <w:color w:val="auto"/>
          <w:sz w:val="24"/>
          <w:highlight w:val="none"/>
        </w:rPr>
      </w:pPr>
      <w:r>
        <w:rPr>
          <w:rFonts w:hint="eastAsia" w:ascii="宋体"/>
          <w:color w:val="auto"/>
          <w:sz w:val="24"/>
          <w:highlight w:val="none"/>
        </w:rPr>
        <w:t>（3）质疑函应包括下列主要内容：</w:t>
      </w:r>
    </w:p>
    <w:p w14:paraId="69944E3D">
      <w:pPr>
        <w:spacing w:line="360" w:lineRule="auto"/>
        <w:ind w:firstLine="480" w:firstLineChars="200"/>
        <w:rPr>
          <w:rFonts w:ascii="宋体"/>
          <w:color w:val="auto"/>
          <w:sz w:val="24"/>
          <w:highlight w:val="none"/>
        </w:rPr>
      </w:pPr>
      <w:r>
        <w:rPr>
          <w:rFonts w:hint="eastAsia" w:ascii="宋体"/>
          <w:color w:val="auto"/>
          <w:sz w:val="24"/>
          <w:highlight w:val="none"/>
        </w:rPr>
        <w:t>①质疑人的基本信息，至少包括：质疑人全称、地址、邮政编码等；</w:t>
      </w:r>
    </w:p>
    <w:p w14:paraId="1FE1E914">
      <w:pPr>
        <w:spacing w:line="360" w:lineRule="auto"/>
        <w:ind w:firstLine="424" w:firstLineChars="177"/>
        <w:rPr>
          <w:rFonts w:ascii="宋体"/>
          <w:color w:val="auto"/>
          <w:sz w:val="24"/>
          <w:highlight w:val="none"/>
        </w:rPr>
      </w:pPr>
      <w:r>
        <w:rPr>
          <w:rFonts w:hint="eastAsia" w:ascii="宋体"/>
          <w:color w:val="auto"/>
          <w:sz w:val="24"/>
          <w:highlight w:val="none"/>
        </w:rPr>
        <w:t>②所质疑项目的基本信息，至少包括：项目编号、项目名称等；</w:t>
      </w:r>
    </w:p>
    <w:p w14:paraId="289BBCC6">
      <w:pPr>
        <w:spacing w:line="360" w:lineRule="auto"/>
        <w:ind w:firstLine="424" w:firstLineChars="177"/>
        <w:rPr>
          <w:rFonts w:ascii="宋体"/>
          <w:color w:val="auto"/>
          <w:sz w:val="24"/>
          <w:highlight w:val="none"/>
        </w:rPr>
      </w:pPr>
      <w:r>
        <w:rPr>
          <w:rFonts w:hint="eastAsia" w:ascii="宋体"/>
          <w:color w:val="auto"/>
          <w:sz w:val="24"/>
          <w:highlight w:val="none"/>
        </w:rPr>
        <w:t>③具体、明确的质疑事项（以下简称：“质疑事项”）；</w:t>
      </w:r>
    </w:p>
    <w:p w14:paraId="519A761B">
      <w:pPr>
        <w:spacing w:line="360" w:lineRule="auto"/>
        <w:ind w:firstLine="424" w:firstLineChars="177"/>
        <w:rPr>
          <w:rFonts w:ascii="宋体"/>
          <w:color w:val="auto"/>
          <w:sz w:val="24"/>
          <w:highlight w:val="none"/>
        </w:rPr>
      </w:pPr>
      <w:r>
        <w:rPr>
          <w:rFonts w:hint="eastAsia" w:ascii="宋体"/>
          <w:color w:val="auto"/>
          <w:sz w:val="24"/>
          <w:highlight w:val="none"/>
        </w:rPr>
        <w:t>④针对质疑事项提出的明确请求，前述明确请求指质疑人提出质疑的目的、希望采购人对其质疑作出的处理结果，如：暂停招标投标活动、修改招标文件、停止或纠正违法违规行为、中标结果无效、废标、重新招标等；</w:t>
      </w:r>
    </w:p>
    <w:p w14:paraId="79FBF717">
      <w:pPr>
        <w:spacing w:line="360" w:lineRule="auto"/>
        <w:ind w:firstLine="424" w:firstLineChars="177"/>
        <w:rPr>
          <w:rFonts w:ascii="宋体"/>
          <w:color w:val="auto"/>
          <w:sz w:val="24"/>
          <w:highlight w:val="none"/>
        </w:rPr>
      </w:pPr>
      <w:r>
        <w:rPr>
          <w:rFonts w:hint="eastAsia" w:ascii="宋体"/>
          <w:color w:val="auto"/>
          <w:sz w:val="24"/>
          <w:highlight w:val="none"/>
        </w:rPr>
        <w:t>⑤针对质疑事项导致质疑人自身权益受到损害的必要证明材料，至少包括：</w:t>
      </w:r>
    </w:p>
    <w:p w14:paraId="0A1FA49C">
      <w:pPr>
        <w:spacing w:line="360" w:lineRule="auto"/>
        <w:ind w:firstLine="424" w:firstLineChars="177"/>
        <w:rPr>
          <w:rFonts w:ascii="宋体"/>
          <w:color w:val="auto"/>
          <w:sz w:val="24"/>
          <w:highlight w:val="none"/>
        </w:rPr>
      </w:pPr>
      <w:r>
        <w:rPr>
          <w:rFonts w:hint="eastAsia" w:ascii="宋体"/>
          <w:color w:val="auto"/>
          <w:sz w:val="24"/>
          <w:highlight w:val="none"/>
        </w:rPr>
        <w:t>a.质疑人代表的身份证明材料：</w:t>
      </w:r>
    </w:p>
    <w:p w14:paraId="47805538">
      <w:pPr>
        <w:spacing w:line="360" w:lineRule="auto"/>
        <w:ind w:firstLine="424" w:firstLineChars="177"/>
        <w:rPr>
          <w:rFonts w:ascii="宋体"/>
          <w:color w:val="auto"/>
          <w:sz w:val="24"/>
          <w:highlight w:val="none"/>
        </w:rPr>
      </w:pPr>
      <w:r>
        <w:rPr>
          <w:rFonts w:hint="eastAsia" w:ascii="宋体"/>
          <w:color w:val="auto"/>
          <w:sz w:val="24"/>
          <w:highlight w:val="none"/>
        </w:rPr>
        <w:t>a1质疑人为法人或其他组织的，提供统一社会信用代码营业执照的副本复印件、单位负责人的身份证复印件；质疑人代表为委托代理人的，还应同时提供单位负责人授权书和委托代理人的身份证复印件。</w:t>
      </w:r>
    </w:p>
    <w:p w14:paraId="5AC3D6E3">
      <w:pPr>
        <w:spacing w:line="360" w:lineRule="auto"/>
        <w:ind w:firstLine="424" w:firstLineChars="177"/>
        <w:rPr>
          <w:rFonts w:ascii="宋体"/>
          <w:color w:val="auto"/>
          <w:sz w:val="24"/>
          <w:highlight w:val="none"/>
        </w:rPr>
      </w:pPr>
      <w:r>
        <w:rPr>
          <w:rFonts w:hint="eastAsia" w:ascii="宋体"/>
          <w:color w:val="auto"/>
          <w:sz w:val="24"/>
          <w:highlight w:val="none"/>
        </w:rPr>
        <w:t>a2若本项目接受自然人投标且质疑人为自然人的，提供本人的身份证复印件。</w:t>
      </w:r>
    </w:p>
    <w:p w14:paraId="1B887C35">
      <w:pPr>
        <w:spacing w:line="360" w:lineRule="auto"/>
        <w:ind w:firstLine="424" w:firstLineChars="177"/>
        <w:rPr>
          <w:rFonts w:ascii="宋体"/>
          <w:color w:val="auto"/>
          <w:sz w:val="24"/>
          <w:highlight w:val="none"/>
        </w:rPr>
      </w:pPr>
      <w:r>
        <w:rPr>
          <w:rFonts w:hint="eastAsia" w:ascii="宋体"/>
          <w:color w:val="auto"/>
          <w:sz w:val="24"/>
          <w:highlight w:val="none"/>
        </w:rPr>
        <w:t>b.其他证明材料，包括但不限于下列材料：</w:t>
      </w:r>
    </w:p>
    <w:p w14:paraId="26CD4945">
      <w:pPr>
        <w:spacing w:line="360" w:lineRule="auto"/>
        <w:ind w:firstLine="424" w:firstLineChars="177"/>
        <w:rPr>
          <w:rFonts w:ascii="宋体"/>
          <w:color w:val="auto"/>
          <w:sz w:val="24"/>
          <w:highlight w:val="none"/>
        </w:rPr>
      </w:pPr>
      <w:r>
        <w:rPr>
          <w:rFonts w:hint="eastAsia" w:ascii="宋体"/>
          <w:color w:val="auto"/>
          <w:sz w:val="24"/>
          <w:highlight w:val="none"/>
        </w:rPr>
        <w:t>b1所质疑的具体事项是与自已有利害关系的证明材料；</w:t>
      </w:r>
    </w:p>
    <w:p w14:paraId="3728EB23">
      <w:pPr>
        <w:spacing w:line="360" w:lineRule="auto"/>
        <w:ind w:firstLine="424" w:firstLineChars="177"/>
        <w:rPr>
          <w:rFonts w:ascii="宋体"/>
          <w:color w:val="auto"/>
          <w:sz w:val="24"/>
          <w:highlight w:val="none"/>
        </w:rPr>
      </w:pPr>
      <w:r>
        <w:rPr>
          <w:rFonts w:hint="eastAsia" w:ascii="宋体"/>
          <w:color w:val="auto"/>
          <w:sz w:val="24"/>
          <w:highlight w:val="none"/>
        </w:rPr>
        <w:t>b2质疑函所述事实存在的证明材料，如：采购文件、采购过程或中标结果违法违规或不符合采购文件要求等证明材料；</w:t>
      </w:r>
    </w:p>
    <w:p w14:paraId="23754DA8">
      <w:pPr>
        <w:spacing w:line="360" w:lineRule="auto"/>
        <w:ind w:firstLine="424" w:firstLineChars="177"/>
        <w:rPr>
          <w:rFonts w:ascii="宋体"/>
          <w:color w:val="auto"/>
          <w:sz w:val="24"/>
          <w:highlight w:val="none"/>
        </w:rPr>
      </w:pPr>
      <w:r>
        <w:rPr>
          <w:rFonts w:hint="eastAsia" w:ascii="宋体"/>
          <w:color w:val="auto"/>
          <w:sz w:val="24"/>
          <w:highlight w:val="none"/>
        </w:rPr>
        <w:t>b3依法应终止采购程序的证明材料；</w:t>
      </w:r>
    </w:p>
    <w:p w14:paraId="52E866D5">
      <w:pPr>
        <w:spacing w:line="360" w:lineRule="auto"/>
        <w:ind w:firstLine="424" w:firstLineChars="177"/>
        <w:rPr>
          <w:rFonts w:ascii="宋体"/>
          <w:color w:val="auto"/>
          <w:sz w:val="24"/>
          <w:highlight w:val="none"/>
        </w:rPr>
      </w:pPr>
      <w:r>
        <w:rPr>
          <w:rFonts w:hint="eastAsia" w:ascii="宋体"/>
          <w:color w:val="auto"/>
          <w:sz w:val="24"/>
          <w:highlight w:val="none"/>
        </w:rPr>
        <w:t>b4应重新采购的证明材料；</w:t>
      </w:r>
    </w:p>
    <w:p w14:paraId="6C4DEE89">
      <w:pPr>
        <w:spacing w:line="360" w:lineRule="auto"/>
        <w:ind w:firstLine="424" w:firstLineChars="177"/>
        <w:rPr>
          <w:rFonts w:ascii="宋体"/>
          <w:color w:val="auto"/>
          <w:sz w:val="24"/>
          <w:highlight w:val="none"/>
        </w:rPr>
      </w:pPr>
      <w:r>
        <w:rPr>
          <w:rFonts w:hint="eastAsia" w:ascii="宋体"/>
          <w:color w:val="auto"/>
          <w:sz w:val="24"/>
          <w:highlight w:val="none"/>
        </w:rPr>
        <w:t>b5采购文件、采购过程或中标、成交结果损害自已合法权益的证明材料等；</w:t>
      </w:r>
    </w:p>
    <w:p w14:paraId="5ED4718A">
      <w:pPr>
        <w:spacing w:line="360" w:lineRule="auto"/>
        <w:ind w:firstLine="424" w:firstLineChars="177"/>
        <w:rPr>
          <w:rFonts w:ascii="宋体"/>
          <w:color w:val="auto"/>
          <w:sz w:val="24"/>
          <w:highlight w:val="none"/>
        </w:rPr>
      </w:pPr>
      <w:r>
        <w:rPr>
          <w:rFonts w:hint="eastAsia" w:ascii="宋体"/>
          <w:color w:val="auto"/>
          <w:sz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B7BEC61">
      <w:pPr>
        <w:spacing w:line="360" w:lineRule="auto"/>
        <w:ind w:firstLine="424" w:firstLineChars="177"/>
        <w:rPr>
          <w:rFonts w:ascii="宋体"/>
          <w:color w:val="auto"/>
          <w:sz w:val="24"/>
          <w:highlight w:val="none"/>
        </w:rPr>
      </w:pPr>
      <w:r>
        <w:rPr>
          <w:rFonts w:hint="eastAsia" w:ascii="宋体"/>
          <w:color w:val="auto"/>
          <w:sz w:val="24"/>
          <w:highlight w:val="none"/>
        </w:rPr>
        <w:t>⑥质疑人代表及其联系方式的信息，至少包括：姓名、手机、电子信箱、邮寄地址等。</w:t>
      </w:r>
    </w:p>
    <w:p w14:paraId="79BC04BB">
      <w:pPr>
        <w:spacing w:line="360" w:lineRule="auto"/>
        <w:ind w:firstLine="424" w:firstLineChars="177"/>
        <w:rPr>
          <w:rFonts w:ascii="宋体"/>
          <w:color w:val="auto"/>
          <w:sz w:val="24"/>
          <w:highlight w:val="none"/>
        </w:rPr>
      </w:pPr>
      <w:r>
        <w:rPr>
          <w:rFonts w:hint="eastAsia" w:ascii="宋体"/>
          <w:color w:val="auto"/>
          <w:sz w:val="24"/>
          <w:highlight w:val="none"/>
        </w:rPr>
        <w:t>⑦提出质疑的日期。</w:t>
      </w:r>
    </w:p>
    <w:p w14:paraId="63081BF6">
      <w:pPr>
        <w:spacing w:line="360" w:lineRule="auto"/>
        <w:ind w:firstLine="424" w:firstLineChars="177"/>
        <w:rPr>
          <w:rFonts w:ascii="Arial" w:hAnsi="Arial" w:cs="Arial"/>
          <w:color w:val="auto"/>
          <w:kern w:val="0"/>
          <w:sz w:val="24"/>
          <w:szCs w:val="24"/>
          <w:highlight w:val="none"/>
        </w:rPr>
      </w:pPr>
      <w:r>
        <w:rPr>
          <w:rFonts w:ascii="Arial" w:hAnsi="Arial" w:cs="Arial"/>
          <w:color w:val="auto"/>
          <w:kern w:val="0"/>
          <w:sz w:val="24"/>
          <w:szCs w:val="24"/>
          <w:highlight w:val="none"/>
        </w:rPr>
        <w:t>供应商为自然人的，应当由本人签字；供应商为法人或者其他组织的，应当由法定代表人、主要负责人，或者其授权代表签字或者盖章，并加盖公章。</w:t>
      </w:r>
    </w:p>
    <w:p w14:paraId="66C7B018">
      <w:pPr>
        <w:spacing w:line="360" w:lineRule="auto"/>
        <w:ind w:firstLine="424" w:firstLineChars="177"/>
        <w:rPr>
          <w:rFonts w:ascii="宋体" w:cs="Arial"/>
          <w:color w:val="auto"/>
          <w:kern w:val="0"/>
          <w:sz w:val="24"/>
          <w:szCs w:val="24"/>
          <w:highlight w:val="none"/>
        </w:rPr>
      </w:pPr>
      <w:r>
        <w:rPr>
          <w:rFonts w:hint="eastAsia" w:ascii="宋体" w:cs="Arial"/>
          <w:color w:val="auto"/>
          <w:kern w:val="0"/>
          <w:sz w:val="24"/>
          <w:szCs w:val="24"/>
          <w:highlight w:val="none"/>
        </w:rPr>
        <w:t>27.2质疑人应在法定质疑期内一次性提出针对同一采购程序环节的质疑，采购人、采购代理机构不接受同一质疑人对同一采购程序环节的多次质疑。</w:t>
      </w:r>
    </w:p>
    <w:p w14:paraId="44D7A7F4">
      <w:pPr>
        <w:spacing w:line="360" w:lineRule="auto"/>
        <w:ind w:firstLine="424" w:firstLineChars="177"/>
        <w:rPr>
          <w:rFonts w:ascii="宋体"/>
          <w:color w:val="auto"/>
          <w:sz w:val="24"/>
          <w:highlight w:val="none"/>
        </w:rPr>
      </w:pPr>
      <w:r>
        <w:rPr>
          <w:rFonts w:hint="eastAsia" w:ascii="宋体" w:cs="Arial"/>
          <w:color w:val="auto"/>
          <w:kern w:val="0"/>
          <w:sz w:val="24"/>
          <w:szCs w:val="24"/>
          <w:highlight w:val="none"/>
        </w:rPr>
        <w:t>27.3</w:t>
      </w:r>
      <w:r>
        <w:rPr>
          <w:rFonts w:hint="eastAsia" w:ascii="宋体"/>
          <w:color w:val="auto"/>
          <w:sz w:val="24"/>
          <w:highlight w:val="none"/>
        </w:rPr>
        <w:t>对不符合本章第27.1条规定的质疑，采购人将按照下列规定进行处理：</w:t>
      </w:r>
    </w:p>
    <w:p w14:paraId="04736433">
      <w:pPr>
        <w:spacing w:line="360" w:lineRule="auto"/>
        <w:ind w:firstLine="424" w:firstLineChars="177"/>
        <w:rPr>
          <w:rFonts w:ascii="宋体"/>
          <w:color w:val="auto"/>
          <w:sz w:val="24"/>
          <w:highlight w:val="none"/>
        </w:rPr>
      </w:pPr>
      <w:r>
        <w:rPr>
          <w:rFonts w:hint="eastAsia" w:ascii="宋体"/>
          <w:color w:val="auto"/>
          <w:sz w:val="24"/>
          <w:highlight w:val="none"/>
        </w:rPr>
        <w:t>（1）不符合其中第（1）、（2）条规定的，书面告知质疑人不予受理及其理由。</w:t>
      </w:r>
    </w:p>
    <w:p w14:paraId="2D4E477B">
      <w:pPr>
        <w:spacing w:line="360" w:lineRule="auto"/>
        <w:ind w:firstLine="424" w:firstLineChars="177"/>
        <w:rPr>
          <w:rFonts w:ascii="宋体"/>
          <w:color w:val="auto"/>
          <w:sz w:val="24"/>
          <w:highlight w:val="none"/>
        </w:rPr>
      </w:pPr>
      <w:r>
        <w:rPr>
          <w:rFonts w:hint="eastAsia" w:ascii="宋体"/>
          <w:color w:val="auto"/>
          <w:sz w:val="24"/>
          <w:highlight w:val="none"/>
        </w:rPr>
        <w:t>（2）不符合其中第（3）条规定的，书面告知质疑人修改、补充后在规定时限内重新提交质疑函原件。</w:t>
      </w:r>
    </w:p>
    <w:p w14:paraId="594C9401">
      <w:pPr>
        <w:spacing w:line="360" w:lineRule="auto"/>
        <w:ind w:firstLine="480" w:firstLineChars="200"/>
        <w:rPr>
          <w:rFonts w:ascii="宋体"/>
          <w:color w:val="auto"/>
          <w:sz w:val="24"/>
          <w:highlight w:val="none"/>
        </w:rPr>
      </w:pPr>
      <w:r>
        <w:rPr>
          <w:rFonts w:hint="eastAsia" w:ascii="宋体"/>
          <w:color w:val="auto"/>
          <w:sz w:val="24"/>
          <w:highlight w:val="none"/>
        </w:rPr>
        <w:t>27.4对符合本章第27.1条规定的质疑，采购人、采购代理机构将按照政府采购法及实施条例的有关规定进行答复。</w:t>
      </w:r>
    </w:p>
    <w:p w14:paraId="6A1B777A">
      <w:pPr>
        <w:widowControl/>
        <w:spacing w:line="360" w:lineRule="auto"/>
        <w:ind w:firstLine="480" w:firstLineChars="200"/>
        <w:jc w:val="left"/>
        <w:rPr>
          <w:rFonts w:ascii="Arial" w:hAnsi="Arial" w:cs="Arial"/>
          <w:color w:val="auto"/>
          <w:kern w:val="0"/>
          <w:sz w:val="24"/>
          <w:szCs w:val="24"/>
          <w:highlight w:val="none"/>
        </w:rPr>
      </w:pPr>
      <w:r>
        <w:rPr>
          <w:rFonts w:hint="eastAsia" w:ascii="宋体"/>
          <w:color w:val="auto"/>
          <w:sz w:val="24"/>
          <w:highlight w:val="none"/>
        </w:rPr>
        <w:t>27.5</w:t>
      </w:r>
      <w:r>
        <w:rPr>
          <w:rFonts w:ascii="Arial" w:hAnsi="Arial" w:cs="Arial"/>
          <w:color w:val="auto"/>
          <w:kern w:val="0"/>
          <w:sz w:val="24"/>
          <w:szCs w:val="24"/>
          <w:highlight w:val="none"/>
        </w:rPr>
        <w:t>采购人、采购代理机构认为供应商质疑不成立，或者成立但未对中标、成交结果构成影响的，继续开展采购活动；认为供应商质疑成立且影响或者可能影响中标、成交结果的，按照下列情况处理：</w:t>
      </w:r>
    </w:p>
    <w:p w14:paraId="76E1B729">
      <w:pPr>
        <w:widowControl/>
        <w:spacing w:line="360" w:lineRule="auto"/>
        <w:jc w:val="left"/>
        <w:rPr>
          <w:rFonts w:ascii="Arial" w:hAnsi="Arial" w:cs="Arial"/>
          <w:color w:val="auto"/>
          <w:kern w:val="0"/>
          <w:sz w:val="24"/>
          <w:szCs w:val="24"/>
          <w:highlight w:val="none"/>
        </w:rPr>
      </w:pPr>
      <w:r>
        <w:rPr>
          <w:rFonts w:ascii="Arial" w:hAnsi="Arial" w:cs="Arial"/>
          <w:color w:val="auto"/>
          <w:kern w:val="0"/>
          <w:sz w:val="24"/>
          <w:szCs w:val="24"/>
          <w:highlight w:val="none"/>
        </w:rPr>
        <w:t>　</w:t>
      </w:r>
      <w:r>
        <w:rPr>
          <w:rFonts w:ascii="宋体" w:cs="Arial"/>
          <w:color w:val="auto"/>
          <w:kern w:val="0"/>
          <w:sz w:val="24"/>
          <w:szCs w:val="24"/>
          <w:highlight w:val="none"/>
        </w:rPr>
        <w:t>　</w:t>
      </w:r>
      <w:r>
        <w:rPr>
          <w:rFonts w:hint="eastAsia" w:ascii="宋体" w:cs="Arial"/>
          <w:color w:val="auto"/>
          <w:kern w:val="0"/>
          <w:sz w:val="24"/>
          <w:szCs w:val="24"/>
          <w:highlight w:val="none"/>
        </w:rPr>
        <w:t>27.5.1</w:t>
      </w:r>
      <w:r>
        <w:rPr>
          <w:rFonts w:ascii="宋体" w:cs="Arial"/>
          <w:color w:val="auto"/>
          <w:kern w:val="0"/>
          <w:sz w:val="24"/>
          <w:szCs w:val="24"/>
          <w:highlight w:val="none"/>
        </w:rPr>
        <w:t>对</w:t>
      </w:r>
      <w:r>
        <w:rPr>
          <w:rFonts w:ascii="Arial" w:hAnsi="Arial" w:cs="Arial"/>
          <w:color w:val="auto"/>
          <w:kern w:val="0"/>
          <w:sz w:val="24"/>
          <w:szCs w:val="24"/>
          <w:highlight w:val="none"/>
        </w:rPr>
        <w:t>采购文件提出的质疑，依法通过澄清或者修改可以继续开展采购活动的，澄清或者修改采购文件后继续开展采购活动；否则应当修改采购文件后重新开展采购活动。</w:t>
      </w:r>
    </w:p>
    <w:p w14:paraId="19C37E80">
      <w:pPr>
        <w:spacing w:line="360" w:lineRule="auto"/>
        <w:ind w:firstLine="480" w:firstLineChars="200"/>
        <w:rPr>
          <w:rFonts w:ascii="宋体"/>
          <w:color w:val="auto"/>
          <w:sz w:val="24"/>
          <w:highlight w:val="none"/>
        </w:rPr>
      </w:pPr>
      <w:r>
        <w:rPr>
          <w:rFonts w:hint="eastAsia" w:ascii="宋体" w:cs="Arial"/>
          <w:color w:val="auto"/>
          <w:kern w:val="0"/>
          <w:sz w:val="24"/>
          <w:szCs w:val="24"/>
          <w:highlight w:val="none"/>
        </w:rPr>
        <w:t>27.5.2</w:t>
      </w:r>
      <w:r>
        <w:rPr>
          <w:rFonts w:ascii="Arial" w:hAnsi="Arial" w:cs="Arial"/>
          <w:color w:val="auto"/>
          <w:kern w:val="0"/>
          <w:sz w:val="24"/>
          <w:szCs w:val="24"/>
          <w:highlight w:val="none"/>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7AD59730">
      <w:pPr>
        <w:pStyle w:val="3"/>
        <w:numPr>
          <w:ilvl w:val="0"/>
          <w:numId w:val="0"/>
        </w:numPr>
        <w:spacing w:before="0" w:after="0" w:line="360" w:lineRule="auto"/>
        <w:rPr>
          <w:rFonts w:ascii="宋体"/>
          <w:color w:val="auto"/>
          <w:sz w:val="28"/>
          <w:szCs w:val="28"/>
          <w:highlight w:val="none"/>
        </w:rPr>
      </w:pPr>
      <w:bookmarkStart w:id="102" w:name="_Toc385858436"/>
      <w:bookmarkStart w:id="103" w:name="_Toc392496246"/>
      <w:bookmarkStart w:id="104" w:name="_Toc410636423"/>
      <w:bookmarkStart w:id="105" w:name="_Toc404866209"/>
      <w:bookmarkStart w:id="106" w:name="_Toc7288"/>
      <w:bookmarkStart w:id="107" w:name="_Toc531742160"/>
      <w:bookmarkStart w:id="108" w:name="_Toc386030338"/>
      <w:bookmarkStart w:id="109" w:name="_Toc356"/>
      <w:r>
        <w:rPr>
          <w:rFonts w:hint="eastAsia" w:ascii="宋体"/>
          <w:color w:val="auto"/>
          <w:sz w:val="28"/>
          <w:szCs w:val="28"/>
          <w:highlight w:val="none"/>
        </w:rPr>
        <w:t>八、其他事项</w:t>
      </w:r>
      <w:bookmarkEnd w:id="102"/>
      <w:bookmarkEnd w:id="103"/>
      <w:bookmarkEnd w:id="104"/>
      <w:bookmarkEnd w:id="105"/>
      <w:bookmarkEnd w:id="106"/>
      <w:bookmarkEnd w:id="107"/>
      <w:bookmarkEnd w:id="108"/>
      <w:bookmarkEnd w:id="109"/>
    </w:p>
    <w:p w14:paraId="015E5BBB">
      <w:pPr>
        <w:spacing w:line="440" w:lineRule="exact"/>
        <w:rPr>
          <w:rFonts w:ascii="宋体"/>
          <w:color w:val="auto"/>
          <w:sz w:val="24"/>
          <w:highlight w:val="none"/>
        </w:rPr>
      </w:pPr>
      <w:r>
        <w:rPr>
          <w:rFonts w:hint="eastAsia" w:ascii="宋体"/>
          <w:color w:val="auto"/>
          <w:sz w:val="24"/>
          <w:highlight w:val="none"/>
        </w:rPr>
        <w:t>2</w:t>
      </w:r>
      <w:r>
        <w:rPr>
          <w:rFonts w:ascii="宋体"/>
          <w:color w:val="auto"/>
          <w:sz w:val="24"/>
          <w:highlight w:val="none"/>
        </w:rPr>
        <w:t>8</w:t>
      </w:r>
      <w:r>
        <w:rPr>
          <w:rFonts w:hint="eastAsia" w:ascii="宋体"/>
          <w:color w:val="auto"/>
          <w:sz w:val="24"/>
          <w:highlight w:val="none"/>
        </w:rPr>
        <w:t>、招标代理服务费</w:t>
      </w:r>
    </w:p>
    <w:p w14:paraId="5F65ABB8">
      <w:pPr>
        <w:spacing w:line="440" w:lineRule="exact"/>
        <w:ind w:firstLine="480" w:firstLineChars="200"/>
        <w:rPr>
          <w:rFonts w:ascii="宋体"/>
          <w:color w:val="auto"/>
          <w:sz w:val="24"/>
          <w:highlight w:val="none"/>
        </w:rPr>
      </w:pPr>
      <w:r>
        <w:rPr>
          <w:rFonts w:hint="eastAsia" w:ascii="宋体"/>
          <w:color w:val="auto"/>
          <w:sz w:val="24"/>
          <w:highlight w:val="none"/>
        </w:rPr>
        <w:t>2</w:t>
      </w:r>
      <w:r>
        <w:rPr>
          <w:rFonts w:ascii="宋体"/>
          <w:color w:val="auto"/>
          <w:sz w:val="24"/>
          <w:highlight w:val="none"/>
        </w:rPr>
        <w:t>8</w:t>
      </w:r>
      <w:r>
        <w:rPr>
          <w:rFonts w:hint="eastAsia" w:ascii="宋体"/>
          <w:color w:val="auto"/>
          <w:sz w:val="24"/>
          <w:highlight w:val="none"/>
        </w:rPr>
        <w:t>.1中标人应按投标人须知前附表规定的标准向采购代理机构缴纳招标代理服务费。招标代理服务费在领取《中标通知书》的同时，以电汇、转账、银行现金解款等付款方式一次性缴清。</w:t>
      </w:r>
    </w:p>
    <w:p w14:paraId="02F88B30">
      <w:pPr>
        <w:spacing w:line="440" w:lineRule="exact"/>
        <w:ind w:firstLine="480" w:firstLineChars="200"/>
        <w:rPr>
          <w:rFonts w:ascii="宋体"/>
          <w:color w:val="auto"/>
          <w:sz w:val="24"/>
          <w:highlight w:val="none"/>
        </w:rPr>
      </w:pPr>
      <w:r>
        <w:rPr>
          <w:rFonts w:hint="eastAsia" w:ascii="宋体"/>
          <w:color w:val="auto"/>
          <w:sz w:val="24"/>
          <w:highlight w:val="none"/>
        </w:rPr>
        <w:t>2</w:t>
      </w:r>
      <w:r>
        <w:rPr>
          <w:rFonts w:ascii="宋体"/>
          <w:color w:val="auto"/>
          <w:sz w:val="24"/>
          <w:highlight w:val="none"/>
        </w:rPr>
        <w:t>8</w:t>
      </w:r>
      <w:r>
        <w:rPr>
          <w:rFonts w:hint="eastAsia" w:ascii="宋体"/>
          <w:color w:val="auto"/>
          <w:sz w:val="24"/>
          <w:highlight w:val="none"/>
        </w:rPr>
        <w:t>.2中标人在中标公告发布后或中标通知书发出后30日内未向采购代理机构缴交招标代理服务费的，采购代理机构将从其投标保证金中等额扣除招标代理服务费，余额退还中标人；投标保证金不足以支付招标代理服务费的，中标人应当向采购代理机构补足。若中标人存在恶意拖欠缴纳招标代理服务费的，采购代理机构可视情对中标人采取报请采购监督管理部门处理或法律手段追索等。</w:t>
      </w:r>
    </w:p>
    <w:p w14:paraId="56346616">
      <w:pPr>
        <w:spacing w:line="440" w:lineRule="exact"/>
        <w:rPr>
          <w:rFonts w:ascii="宋体"/>
          <w:color w:val="auto"/>
          <w:sz w:val="24"/>
          <w:highlight w:val="none"/>
        </w:rPr>
      </w:pPr>
      <w:r>
        <w:rPr>
          <w:rFonts w:ascii="宋体"/>
          <w:color w:val="auto"/>
          <w:sz w:val="24"/>
          <w:highlight w:val="none"/>
        </w:rPr>
        <w:t>29</w:t>
      </w:r>
      <w:r>
        <w:rPr>
          <w:rFonts w:hint="eastAsia" w:ascii="宋体"/>
          <w:color w:val="auto"/>
          <w:sz w:val="24"/>
          <w:highlight w:val="none"/>
        </w:rPr>
        <w:t>、招标文件的解释</w:t>
      </w:r>
    </w:p>
    <w:p w14:paraId="374CC243">
      <w:pPr>
        <w:spacing w:line="440" w:lineRule="exact"/>
        <w:ind w:firstLine="480" w:firstLineChars="200"/>
        <w:rPr>
          <w:rFonts w:ascii="宋体"/>
          <w:color w:val="auto"/>
          <w:sz w:val="24"/>
          <w:highlight w:val="none"/>
        </w:rPr>
      </w:pPr>
      <w:r>
        <w:rPr>
          <w:rFonts w:hint="eastAsia" w:ascii="宋体"/>
          <w:color w:val="auto"/>
          <w:sz w:val="24"/>
          <w:highlight w:val="none"/>
        </w:rPr>
        <w:t>本招标文件的解释权归厦门市华沧采购招标有限公司。</w:t>
      </w:r>
    </w:p>
    <w:p w14:paraId="48BDB577">
      <w:pPr>
        <w:spacing w:line="360" w:lineRule="auto"/>
        <w:ind w:firstLine="600" w:firstLineChars="250"/>
        <w:rPr>
          <w:rFonts w:ascii="宋体"/>
          <w:color w:val="auto"/>
          <w:sz w:val="24"/>
          <w:highlight w:val="none"/>
        </w:rPr>
      </w:pPr>
      <w:bookmarkStart w:id="110" w:name="_Toc531742172"/>
    </w:p>
    <w:p w14:paraId="4B4C1DCE">
      <w:pPr>
        <w:spacing w:line="360" w:lineRule="auto"/>
        <w:ind w:firstLine="600" w:firstLineChars="250"/>
        <w:rPr>
          <w:rFonts w:ascii="宋体"/>
          <w:color w:val="auto"/>
          <w:sz w:val="24"/>
          <w:highlight w:val="none"/>
        </w:rPr>
      </w:pPr>
    </w:p>
    <w:p w14:paraId="4DBD0FB8">
      <w:pPr>
        <w:spacing w:line="360" w:lineRule="auto"/>
        <w:rPr>
          <w:rFonts w:ascii="宋体"/>
          <w:color w:val="auto"/>
          <w:sz w:val="24"/>
          <w:highlight w:val="none"/>
        </w:rPr>
      </w:pPr>
    </w:p>
    <w:p w14:paraId="085604B4">
      <w:pPr>
        <w:spacing w:line="360" w:lineRule="auto"/>
        <w:rPr>
          <w:rFonts w:ascii="宋体"/>
          <w:color w:val="auto"/>
          <w:sz w:val="24"/>
          <w:highlight w:val="none"/>
        </w:rPr>
      </w:pPr>
    </w:p>
    <w:p w14:paraId="67753CBB">
      <w:pPr>
        <w:keepLines/>
        <w:pageBreakBefore/>
        <w:spacing w:line="360" w:lineRule="auto"/>
        <w:ind w:firstLine="562" w:firstLineChars="200"/>
        <w:jc w:val="center"/>
        <w:outlineLvl w:val="0"/>
        <w:rPr>
          <w:rFonts w:ascii="宋体"/>
          <w:b/>
          <w:bCs/>
          <w:color w:val="auto"/>
          <w:sz w:val="28"/>
          <w:szCs w:val="28"/>
          <w:highlight w:val="none"/>
        </w:rPr>
      </w:pPr>
      <w:bookmarkStart w:id="111" w:name="_Toc531742161"/>
      <w:bookmarkStart w:id="112" w:name="_Toc1259"/>
      <w:bookmarkStart w:id="113" w:name="_Toc12242"/>
      <w:r>
        <w:rPr>
          <w:rFonts w:hint="eastAsia" w:ascii="宋体"/>
          <w:b/>
          <w:color w:val="auto"/>
          <w:sz w:val="28"/>
          <w:szCs w:val="28"/>
          <w:highlight w:val="none"/>
        </w:rPr>
        <w:t>第三章  招标内容及要求</w:t>
      </w:r>
      <w:bookmarkEnd w:id="111"/>
      <w:bookmarkEnd w:id="112"/>
      <w:bookmarkEnd w:id="113"/>
    </w:p>
    <w:p w14:paraId="16E1A162">
      <w:pPr>
        <w:pStyle w:val="3"/>
        <w:numPr>
          <w:ilvl w:val="0"/>
          <w:numId w:val="0"/>
        </w:numPr>
        <w:spacing w:before="0" w:after="0" w:line="360" w:lineRule="auto"/>
        <w:jc w:val="left"/>
        <w:rPr>
          <w:rFonts w:ascii="宋体"/>
          <w:color w:val="auto"/>
          <w:sz w:val="24"/>
          <w:szCs w:val="24"/>
          <w:highlight w:val="none"/>
        </w:rPr>
      </w:pPr>
      <w:bookmarkStart w:id="114" w:name="_Toc169877489"/>
      <w:bookmarkStart w:id="115" w:name="_Toc314838394"/>
      <w:bookmarkStart w:id="116" w:name="_Toc169944036"/>
      <w:bookmarkStart w:id="117" w:name="_Toc483493164"/>
      <w:bookmarkStart w:id="118" w:name="_Toc332894825"/>
      <w:bookmarkStart w:id="119" w:name="_Toc329098428"/>
      <w:bookmarkStart w:id="120" w:name="_Toc24321"/>
      <w:bookmarkStart w:id="121" w:name="_Toc27172"/>
      <w:bookmarkStart w:id="122" w:name="_Toc332895795"/>
      <w:bookmarkStart w:id="123" w:name="_Toc531742162"/>
      <w:r>
        <w:rPr>
          <w:rFonts w:hint="eastAsia" w:ascii="宋体"/>
          <w:color w:val="auto"/>
          <w:sz w:val="24"/>
          <w:szCs w:val="24"/>
          <w:highlight w:val="none"/>
        </w:rPr>
        <w:t>一、</w:t>
      </w:r>
      <w:bookmarkEnd w:id="114"/>
      <w:bookmarkEnd w:id="115"/>
      <w:bookmarkEnd w:id="116"/>
      <w:r>
        <w:rPr>
          <w:rFonts w:hint="eastAsia" w:ascii="宋体"/>
          <w:color w:val="auto"/>
          <w:sz w:val="24"/>
          <w:szCs w:val="24"/>
          <w:highlight w:val="none"/>
        </w:rPr>
        <w:t>项目概况</w:t>
      </w:r>
      <w:bookmarkEnd w:id="117"/>
      <w:bookmarkEnd w:id="118"/>
      <w:bookmarkEnd w:id="119"/>
      <w:bookmarkEnd w:id="120"/>
      <w:bookmarkEnd w:id="121"/>
      <w:bookmarkEnd w:id="122"/>
      <w:bookmarkEnd w:id="123"/>
    </w:p>
    <w:p w14:paraId="1F3FBBD5">
      <w:pPr>
        <w:widowControl/>
        <w:spacing w:line="360" w:lineRule="auto"/>
        <w:ind w:firstLine="480" w:firstLineChars="200"/>
        <w:jc w:val="left"/>
        <w:textAlignment w:val="center"/>
        <w:rPr>
          <w:rFonts w:hint="eastAsia" w:ascii="宋体" w:hAnsi="宋体" w:cs="宋体"/>
          <w:color w:val="auto"/>
          <w:sz w:val="24"/>
          <w:highlight w:val="none"/>
        </w:rPr>
      </w:pPr>
      <w:bookmarkStart w:id="124" w:name="_Toc4312"/>
      <w:bookmarkStart w:id="125" w:name="_Toc8002"/>
      <w:bookmarkStart w:id="126" w:name="_Toc8024"/>
      <w:bookmarkStart w:id="127" w:name="_Toc169944039"/>
      <w:bookmarkStart w:id="128" w:name="_Toc464493122"/>
      <w:bookmarkStart w:id="129" w:name="_Toc451269205"/>
      <w:bookmarkStart w:id="130" w:name="_Toc169877492"/>
      <w:bookmarkStart w:id="131" w:name="_Toc329098429"/>
      <w:bookmarkStart w:id="132" w:name="_Toc531742163"/>
      <w:bookmarkStart w:id="133" w:name="_Toc314838395"/>
      <w:r>
        <w:rPr>
          <w:rFonts w:hint="eastAsia" w:ascii="宋体" w:cs="宋体"/>
          <w:color w:val="auto"/>
          <w:kern w:val="0"/>
          <w:sz w:val="24"/>
          <w:szCs w:val="24"/>
          <w:highlight w:val="none"/>
        </w:rPr>
        <w:t>本次项目为</w:t>
      </w:r>
      <w:r>
        <w:rPr>
          <w:rFonts w:hint="eastAsia" w:ascii="宋体" w:cs="宋体"/>
          <w:color w:val="auto"/>
          <w:kern w:val="0"/>
          <w:sz w:val="24"/>
          <w:szCs w:val="24"/>
          <w:highlight w:val="none"/>
          <w:lang w:eastAsia="zh-CN"/>
        </w:rPr>
        <w:t>厦门大学化学化工学院自动化合成反应器</w:t>
      </w:r>
      <w:r>
        <w:rPr>
          <w:rFonts w:hint="eastAsia" w:ascii="宋体" w:cs="宋体"/>
          <w:color w:val="auto"/>
          <w:kern w:val="0"/>
          <w:sz w:val="24"/>
          <w:szCs w:val="24"/>
          <w:highlight w:val="none"/>
        </w:rPr>
        <w:t>。各投标人所提供的产品要求符合招标文件要求及国家相关标准，各投标人应详细核算市场价格波动成本及相关费用并进行报价。</w:t>
      </w:r>
      <w:bookmarkEnd w:id="124"/>
      <w:bookmarkEnd w:id="125"/>
      <w:bookmarkEnd w:id="126"/>
    </w:p>
    <w:p w14:paraId="599C140F">
      <w:pPr>
        <w:pStyle w:val="3"/>
        <w:numPr>
          <w:ilvl w:val="1"/>
          <w:numId w:val="0"/>
        </w:numPr>
        <w:spacing w:before="0" w:after="0"/>
        <w:jc w:val="both"/>
        <w:rPr>
          <w:rFonts w:hint="eastAsia" w:ascii="宋体" w:hAnsi="宋体" w:cs="宋体"/>
          <w:color w:val="auto"/>
          <w:highlight w:val="none"/>
        </w:rPr>
      </w:pPr>
      <w:bookmarkStart w:id="134" w:name="_Toc25837"/>
      <w:r>
        <w:rPr>
          <w:rFonts w:hint="eastAsia" w:ascii="宋体"/>
          <w:color w:val="auto"/>
          <w:sz w:val="24"/>
          <w:szCs w:val="24"/>
          <w:highlight w:val="none"/>
        </w:rPr>
        <w:t>二、技术及服务要求</w:t>
      </w:r>
      <w:bookmarkEnd w:id="134"/>
    </w:p>
    <w:p w14:paraId="767CD592">
      <w:pPr>
        <w:widowControl/>
        <w:spacing w:line="360" w:lineRule="auto"/>
        <w:ind w:firstLine="482" w:firstLineChars="200"/>
        <w:jc w:val="left"/>
        <w:textAlignment w:val="center"/>
        <w:rPr>
          <w:rFonts w:hint="eastAsia" w:ascii="宋体" w:hAnsi="宋体" w:cs="宋体"/>
          <w:b/>
          <w:bCs/>
          <w:color w:val="auto"/>
          <w:sz w:val="24"/>
          <w:highlight w:val="none"/>
        </w:rPr>
      </w:pPr>
      <w:r>
        <w:rPr>
          <w:rFonts w:hint="eastAsia" w:ascii="宋体" w:cs="宋体"/>
          <w:b/>
          <w:bCs/>
          <w:color w:val="auto"/>
          <w:kern w:val="0"/>
          <w:sz w:val="24"/>
          <w:szCs w:val="24"/>
          <w:highlight w:val="none"/>
        </w:rPr>
        <w:t>1.</w:t>
      </w:r>
      <w:r>
        <w:rPr>
          <w:rFonts w:hint="eastAsia" w:ascii="宋体" w:hAnsi="宋体" w:cs="宋体"/>
          <w:b/>
          <w:bCs/>
          <w:color w:val="auto"/>
          <w:sz w:val="24"/>
          <w:highlight w:val="none"/>
        </w:rPr>
        <w:t>采购清单</w:t>
      </w:r>
    </w:p>
    <w:tbl>
      <w:tblPr>
        <w:tblStyle w:val="2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3184"/>
        <w:gridCol w:w="1677"/>
        <w:gridCol w:w="978"/>
        <w:gridCol w:w="2218"/>
      </w:tblGrid>
      <w:tr w14:paraId="30B7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82" w:type="dxa"/>
            <w:vAlign w:val="center"/>
          </w:tcPr>
          <w:p w14:paraId="64DC600A">
            <w:pPr>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序号</w:t>
            </w:r>
          </w:p>
        </w:tc>
        <w:tc>
          <w:tcPr>
            <w:tcW w:w="3184" w:type="dxa"/>
            <w:vAlign w:val="center"/>
          </w:tcPr>
          <w:p w14:paraId="63CA94C9">
            <w:pPr>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货物名称</w:t>
            </w:r>
          </w:p>
        </w:tc>
        <w:tc>
          <w:tcPr>
            <w:tcW w:w="1677" w:type="dxa"/>
            <w:vAlign w:val="center"/>
          </w:tcPr>
          <w:p w14:paraId="253D7A83">
            <w:pPr>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配置及技术参数要求</w:t>
            </w:r>
          </w:p>
        </w:tc>
        <w:tc>
          <w:tcPr>
            <w:tcW w:w="978" w:type="dxa"/>
            <w:vAlign w:val="center"/>
          </w:tcPr>
          <w:p w14:paraId="26828D6B">
            <w:pPr>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数量</w:t>
            </w:r>
          </w:p>
        </w:tc>
        <w:tc>
          <w:tcPr>
            <w:tcW w:w="2218" w:type="dxa"/>
            <w:vAlign w:val="center"/>
          </w:tcPr>
          <w:p w14:paraId="3C1DAD61">
            <w:pPr>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控制价</w:t>
            </w:r>
          </w:p>
          <w:p w14:paraId="3857F5ED">
            <w:pPr>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（万元）</w:t>
            </w:r>
          </w:p>
        </w:tc>
      </w:tr>
      <w:tr w14:paraId="7DBA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2" w:type="dxa"/>
            <w:shd w:val="clear" w:color="auto" w:fill="auto"/>
            <w:vAlign w:val="center"/>
          </w:tcPr>
          <w:p w14:paraId="0D9530C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184" w:type="dxa"/>
            <w:shd w:val="clear" w:color="auto" w:fill="auto"/>
            <w:vAlign w:val="center"/>
          </w:tcPr>
          <w:p w14:paraId="7992A8E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自动化合成反应器</w:t>
            </w:r>
          </w:p>
        </w:tc>
        <w:tc>
          <w:tcPr>
            <w:tcW w:w="1677" w:type="dxa"/>
            <w:vAlign w:val="center"/>
          </w:tcPr>
          <w:p w14:paraId="7770164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详见本章技术要求</w:t>
            </w:r>
          </w:p>
        </w:tc>
        <w:tc>
          <w:tcPr>
            <w:tcW w:w="978" w:type="dxa"/>
            <w:vAlign w:val="center"/>
          </w:tcPr>
          <w:p w14:paraId="32E0AE79">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218" w:type="dxa"/>
            <w:vAlign w:val="center"/>
          </w:tcPr>
          <w:p w14:paraId="4DF8DD05">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120</w:t>
            </w:r>
          </w:p>
        </w:tc>
      </w:tr>
    </w:tbl>
    <w:p w14:paraId="2D006B5A">
      <w:pPr>
        <w:widowControl/>
        <w:spacing w:line="360" w:lineRule="auto"/>
        <w:ind w:firstLine="480" w:firstLineChars="200"/>
        <w:jc w:val="left"/>
        <w:textAlignment w:val="center"/>
        <w:rPr>
          <w:rFonts w:ascii="宋体" w:cs="宋体"/>
          <w:color w:val="auto"/>
          <w:kern w:val="0"/>
          <w:sz w:val="24"/>
          <w:szCs w:val="24"/>
          <w:highlight w:val="none"/>
        </w:rPr>
      </w:pPr>
      <w:r>
        <w:rPr>
          <w:rFonts w:hint="eastAsia" w:ascii="宋体" w:cs="宋体"/>
          <w:color w:val="auto"/>
          <w:kern w:val="0"/>
          <w:sz w:val="24"/>
          <w:szCs w:val="24"/>
          <w:highlight w:val="none"/>
        </w:rPr>
        <w:t>以上设备中除招标文件要求的附件和专用工具外，投标人应提供仪器设备的正常运行和常规保养所需的全套标准附件、专用工具和消耗品。</w:t>
      </w:r>
    </w:p>
    <w:p w14:paraId="2A9F954B">
      <w:pPr>
        <w:widowControl/>
        <w:spacing w:line="360" w:lineRule="auto"/>
        <w:ind w:firstLine="480" w:firstLineChars="200"/>
        <w:jc w:val="left"/>
        <w:textAlignment w:val="center"/>
        <w:rPr>
          <w:rFonts w:ascii="宋体" w:cs="宋体"/>
          <w:color w:val="auto"/>
          <w:kern w:val="0"/>
          <w:sz w:val="24"/>
          <w:szCs w:val="24"/>
          <w:highlight w:val="none"/>
        </w:rPr>
      </w:pPr>
      <w:r>
        <w:rPr>
          <w:rFonts w:hint="eastAsia" w:ascii="宋体" w:cs="宋体"/>
          <w:color w:val="auto"/>
          <w:kern w:val="0"/>
          <w:sz w:val="24"/>
          <w:szCs w:val="24"/>
          <w:highlight w:val="none"/>
        </w:rPr>
        <w:t>1.1招标文件中涉及设备的技术指标均为参考指标，投标人可投与之同等或更高等级指标的相应设备。如提供优于招标文件要求的货物，需附上相关技术证明文件</w:t>
      </w:r>
    </w:p>
    <w:p w14:paraId="0389849E">
      <w:pPr>
        <w:widowControl/>
        <w:spacing w:line="360" w:lineRule="auto"/>
        <w:ind w:firstLine="480" w:firstLineChars="200"/>
        <w:jc w:val="left"/>
        <w:textAlignment w:val="center"/>
        <w:rPr>
          <w:rFonts w:ascii="宋体" w:cs="宋体"/>
          <w:color w:val="auto"/>
          <w:kern w:val="0"/>
          <w:sz w:val="24"/>
          <w:szCs w:val="24"/>
          <w:highlight w:val="none"/>
        </w:rPr>
      </w:pPr>
      <w:r>
        <w:rPr>
          <w:rFonts w:hint="eastAsia" w:ascii="宋体" w:cs="宋体"/>
          <w:color w:val="auto"/>
          <w:kern w:val="0"/>
          <w:sz w:val="24"/>
          <w:szCs w:val="24"/>
          <w:highlight w:val="none"/>
        </w:rPr>
        <w:t>1.2所有设备的设计、制造、安装、检查、试验及特性都应满足建设要求所涉及内容。</w:t>
      </w:r>
    </w:p>
    <w:p w14:paraId="5BB16917">
      <w:pPr>
        <w:widowControl/>
        <w:spacing w:line="360" w:lineRule="auto"/>
        <w:ind w:firstLine="480" w:firstLineChars="200"/>
        <w:jc w:val="left"/>
        <w:textAlignment w:val="center"/>
        <w:rPr>
          <w:rFonts w:ascii="宋体" w:cs="宋体"/>
          <w:color w:val="auto"/>
          <w:kern w:val="0"/>
          <w:sz w:val="24"/>
          <w:szCs w:val="24"/>
          <w:highlight w:val="none"/>
        </w:rPr>
      </w:pPr>
      <w:r>
        <w:rPr>
          <w:rFonts w:hint="eastAsia" w:ascii="宋体" w:cs="宋体"/>
          <w:color w:val="auto"/>
          <w:kern w:val="0"/>
          <w:sz w:val="24"/>
          <w:szCs w:val="24"/>
          <w:highlight w:val="none"/>
        </w:rPr>
        <w:t>1.3投标人所提供的货物必须是全新的原装正品、正规渠道的产品（不接受OEM产品）不得已冒充及伪劣产品替代。</w:t>
      </w:r>
    </w:p>
    <w:p w14:paraId="1D4D79F3">
      <w:pPr>
        <w:widowControl/>
        <w:spacing w:line="360" w:lineRule="auto"/>
        <w:ind w:firstLine="480" w:firstLineChars="200"/>
        <w:jc w:val="left"/>
        <w:textAlignment w:val="center"/>
        <w:rPr>
          <w:rFonts w:ascii="宋体" w:cs="宋体"/>
          <w:color w:val="auto"/>
          <w:kern w:val="0"/>
          <w:sz w:val="24"/>
          <w:szCs w:val="24"/>
          <w:highlight w:val="none"/>
        </w:rPr>
      </w:pPr>
      <w:r>
        <w:rPr>
          <w:rFonts w:hint="eastAsia" w:ascii="宋体" w:cs="宋体"/>
          <w:color w:val="auto"/>
          <w:kern w:val="0"/>
          <w:sz w:val="24"/>
          <w:szCs w:val="24"/>
          <w:highlight w:val="none"/>
        </w:rPr>
        <w:t>1.4有设备开箱检验时必须完好、无破损，配置与装箱单相符。数量、质量及性能不低于招标文件的要求。设备外观整洁，标记编号以及盘面显示等字体清晰，明确。</w:t>
      </w:r>
    </w:p>
    <w:p w14:paraId="174F15BB">
      <w:pPr>
        <w:widowControl/>
        <w:spacing w:line="360" w:lineRule="auto"/>
        <w:ind w:firstLine="482" w:firstLineChars="200"/>
        <w:jc w:val="left"/>
        <w:textAlignment w:val="center"/>
        <w:rPr>
          <w:rFonts w:ascii="宋体" w:cs="宋体"/>
          <w:b/>
          <w:bCs/>
          <w:color w:val="auto"/>
          <w:kern w:val="0"/>
          <w:sz w:val="24"/>
          <w:szCs w:val="24"/>
          <w:highlight w:val="none"/>
        </w:rPr>
      </w:pPr>
      <w:r>
        <w:rPr>
          <w:rFonts w:hint="eastAsia" w:ascii="宋体" w:cs="宋体"/>
          <w:b/>
          <w:bCs/>
          <w:color w:val="auto"/>
          <w:kern w:val="0"/>
          <w:sz w:val="24"/>
          <w:szCs w:val="24"/>
          <w:highlight w:val="none"/>
        </w:rPr>
        <w:t>2.技术要求</w:t>
      </w:r>
    </w:p>
    <w:bookmarkEnd w:id="127"/>
    <w:bookmarkEnd w:id="128"/>
    <w:bookmarkEnd w:id="129"/>
    <w:bookmarkEnd w:id="130"/>
    <w:bookmarkEnd w:id="131"/>
    <w:bookmarkEnd w:id="132"/>
    <w:bookmarkEnd w:id="133"/>
    <w:p w14:paraId="7AEEC776">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w:t>
      </w:r>
      <w:r>
        <w:rPr>
          <w:rFonts w:hint="default" w:ascii="宋体" w:hAnsi="Times New Roman" w:eastAsia="宋体" w:cs="宋体"/>
          <w:color w:val="auto"/>
          <w:kern w:val="0"/>
          <w:sz w:val="24"/>
          <w:szCs w:val="24"/>
          <w:highlight w:val="none"/>
          <w:lang w:val="en-US" w:eastAsia="zh-CN" w:bidi="ar-SA"/>
        </w:rPr>
        <w:t>2.1</w:t>
      </w:r>
      <w:r>
        <w:rPr>
          <w:rFonts w:hint="eastAsia" w:ascii="宋体" w:hAnsi="Times New Roman" w:eastAsia="宋体" w:cs="宋体"/>
          <w:color w:val="auto"/>
          <w:kern w:val="0"/>
          <w:sz w:val="24"/>
          <w:szCs w:val="24"/>
          <w:highlight w:val="none"/>
          <w:lang w:val="en-US" w:eastAsia="zh-CN" w:bidi="ar-SA"/>
        </w:rPr>
        <w:t>加热和冷却：采用固态控温装置，不需要外接冷源、油浴或冰水浴；</w:t>
      </w:r>
    </w:p>
    <w:p w14:paraId="35670190">
      <w:pPr>
        <w:pStyle w:val="13"/>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2.2</w:t>
      </w:r>
      <w:r>
        <w:rPr>
          <w:rFonts w:hint="eastAsia" w:ascii="宋体" w:hAnsi="Times New Roman" w:eastAsia="宋体" w:cs="宋体"/>
          <w:color w:val="auto"/>
          <w:kern w:val="0"/>
          <w:sz w:val="24"/>
          <w:szCs w:val="24"/>
          <w:highlight w:val="none"/>
          <w:lang w:val="en-US" w:eastAsia="zh-CN" w:bidi="ar-SA"/>
        </w:rPr>
        <w:t>温度范围：-40-180 ℃ (夹套温度)；</w:t>
      </w:r>
    </w:p>
    <w:p w14:paraId="4BB3C95A">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w:t>
      </w:r>
      <w:r>
        <w:rPr>
          <w:rFonts w:hint="default" w:ascii="宋体" w:hAnsi="Times New Roman" w:eastAsia="宋体" w:cs="宋体"/>
          <w:color w:val="auto"/>
          <w:kern w:val="0"/>
          <w:sz w:val="24"/>
          <w:szCs w:val="24"/>
          <w:highlight w:val="none"/>
          <w:lang w:val="en-US" w:eastAsia="zh-CN" w:bidi="ar-SA"/>
        </w:rPr>
        <w:t>2.3</w:t>
      </w:r>
      <w:r>
        <w:rPr>
          <w:rFonts w:hint="eastAsia" w:ascii="宋体" w:hAnsi="Times New Roman" w:eastAsia="宋体" w:cs="宋体"/>
          <w:color w:val="auto"/>
          <w:kern w:val="0"/>
          <w:sz w:val="24"/>
          <w:szCs w:val="24"/>
          <w:highlight w:val="none"/>
          <w:lang w:val="en-US" w:eastAsia="zh-CN" w:bidi="ar-SA"/>
        </w:rPr>
        <w:t>温度精度：± 0.1 ℃，长期温度稳定性±0.1℃；</w:t>
      </w:r>
    </w:p>
    <w:p w14:paraId="4B406BF1">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w:t>
      </w:r>
      <w:r>
        <w:rPr>
          <w:rFonts w:hint="default" w:ascii="宋体" w:hAnsi="Times New Roman" w:eastAsia="宋体" w:cs="宋体"/>
          <w:color w:val="auto"/>
          <w:kern w:val="0"/>
          <w:sz w:val="24"/>
          <w:szCs w:val="24"/>
          <w:highlight w:val="none"/>
          <w:lang w:val="en-US" w:eastAsia="zh-CN" w:bidi="ar-SA"/>
        </w:rPr>
        <w:t>2.4</w:t>
      </w:r>
      <w:r>
        <w:rPr>
          <w:rFonts w:hint="eastAsia" w:ascii="宋体" w:hAnsi="Times New Roman" w:eastAsia="宋体" w:cs="宋体"/>
          <w:color w:val="auto"/>
          <w:kern w:val="0"/>
          <w:sz w:val="24"/>
          <w:szCs w:val="24"/>
          <w:highlight w:val="none"/>
          <w:lang w:val="en-US" w:eastAsia="zh-CN" w:bidi="ar-SA"/>
        </w:rPr>
        <w:t>温度分辨率：0.01 ℃；</w:t>
      </w:r>
    </w:p>
    <w:p w14:paraId="0179EC20">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w:t>
      </w:r>
      <w:r>
        <w:rPr>
          <w:rFonts w:hint="default" w:ascii="宋体" w:hAnsi="Times New Roman" w:eastAsia="宋体" w:cs="宋体"/>
          <w:color w:val="auto"/>
          <w:kern w:val="0"/>
          <w:sz w:val="24"/>
          <w:szCs w:val="24"/>
          <w:highlight w:val="none"/>
          <w:lang w:val="en-US" w:eastAsia="zh-CN" w:bidi="ar-SA"/>
        </w:rPr>
        <w:t>2.5</w:t>
      </w:r>
      <w:r>
        <w:rPr>
          <w:rFonts w:hint="eastAsia" w:ascii="宋体" w:hAnsi="Times New Roman" w:eastAsia="宋体" w:cs="宋体"/>
          <w:color w:val="auto"/>
          <w:kern w:val="0"/>
          <w:sz w:val="24"/>
          <w:szCs w:val="24"/>
          <w:highlight w:val="none"/>
          <w:lang w:val="en-US" w:eastAsia="zh-CN" w:bidi="ar-SA"/>
        </w:rPr>
        <w:t>温度模式：夹套(Tj)模式，反应物(Tr)模式，蒸馏模式，结晶模式；</w:t>
      </w:r>
    </w:p>
    <w:p w14:paraId="3D64267F">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2.6</w:t>
      </w:r>
      <w:r>
        <w:rPr>
          <w:rFonts w:hint="eastAsia" w:ascii="宋体" w:hAnsi="Times New Roman" w:eastAsia="宋体" w:cs="宋体"/>
          <w:color w:val="auto"/>
          <w:kern w:val="0"/>
          <w:sz w:val="24"/>
          <w:szCs w:val="24"/>
          <w:highlight w:val="none"/>
          <w:lang w:val="en-US" w:eastAsia="zh-CN" w:bidi="ar-SA"/>
        </w:rPr>
        <w:t>反应釜装置：1000 mL 分体式玻璃反应釜，7口釜盖；</w:t>
      </w:r>
    </w:p>
    <w:p w14:paraId="4625A9AF">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2.7</w:t>
      </w:r>
      <w:r>
        <w:rPr>
          <w:rFonts w:hint="eastAsia" w:ascii="宋体" w:hAnsi="Times New Roman" w:eastAsia="宋体" w:cs="宋体"/>
          <w:color w:val="auto"/>
          <w:kern w:val="0"/>
          <w:sz w:val="24"/>
          <w:szCs w:val="24"/>
          <w:highlight w:val="none"/>
          <w:lang w:val="en-US" w:eastAsia="zh-CN" w:bidi="ar-SA"/>
        </w:rPr>
        <w:t>搅拌器：带有升降杆的顶置搅拌器，扭力矩测量输出，可半定量得到粘度的变化情况；</w:t>
      </w:r>
    </w:p>
    <w:p w14:paraId="2DEB71D2">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2.8</w:t>
      </w:r>
      <w:r>
        <w:rPr>
          <w:rFonts w:hint="eastAsia" w:ascii="宋体" w:hAnsi="Times New Roman" w:eastAsia="宋体" w:cs="宋体"/>
          <w:color w:val="auto"/>
          <w:kern w:val="0"/>
          <w:sz w:val="24"/>
          <w:szCs w:val="24"/>
          <w:highlight w:val="none"/>
          <w:lang w:val="en-US" w:eastAsia="zh-CN" w:bidi="ar-SA"/>
        </w:rPr>
        <w:t>搅拌桨：四叶向下推进式搅拌桨和锚式搅拌桨；</w:t>
      </w:r>
    </w:p>
    <w:p w14:paraId="3C7A5790">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2.9</w:t>
      </w:r>
      <w:r>
        <w:rPr>
          <w:rFonts w:hint="eastAsia" w:ascii="宋体" w:hAnsi="Times New Roman" w:eastAsia="宋体" w:cs="宋体"/>
          <w:color w:val="auto"/>
          <w:kern w:val="0"/>
          <w:sz w:val="24"/>
          <w:szCs w:val="24"/>
          <w:highlight w:val="none"/>
          <w:lang w:val="en-US" w:eastAsia="zh-CN" w:bidi="ar-SA"/>
        </w:rPr>
        <w:t>搅拌桨材质：哈氏合金C-22；</w:t>
      </w:r>
    </w:p>
    <w:p w14:paraId="3C7DF3B9">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2.10</w:t>
      </w:r>
      <w:r>
        <w:rPr>
          <w:rFonts w:hint="eastAsia" w:ascii="宋体" w:hAnsi="Times New Roman" w:eastAsia="宋体" w:cs="宋体"/>
          <w:color w:val="auto"/>
          <w:kern w:val="0"/>
          <w:sz w:val="24"/>
          <w:szCs w:val="24"/>
          <w:highlight w:val="none"/>
          <w:lang w:val="en-US" w:eastAsia="zh-CN" w:bidi="ar-SA"/>
        </w:rPr>
        <w:t>搅拌速度：0-1000 rpm；</w:t>
      </w:r>
    </w:p>
    <w:p w14:paraId="46FBD3D4">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2.11</w:t>
      </w:r>
      <w:r>
        <w:rPr>
          <w:rFonts w:hint="eastAsia" w:ascii="宋体" w:hAnsi="Times New Roman" w:eastAsia="宋体" w:cs="宋体"/>
          <w:color w:val="auto"/>
          <w:kern w:val="0"/>
          <w:sz w:val="24"/>
          <w:szCs w:val="24"/>
          <w:highlight w:val="none"/>
          <w:lang w:val="en-US" w:eastAsia="zh-CN" w:bidi="ar-SA"/>
        </w:rPr>
        <w:t>搅拌控制模式:等速或梯度变化；</w:t>
      </w:r>
    </w:p>
    <w:p w14:paraId="45FA3AC4">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2.12</w:t>
      </w:r>
      <w:r>
        <w:rPr>
          <w:rFonts w:hint="eastAsia" w:ascii="宋体" w:hAnsi="Times New Roman" w:eastAsia="宋体" w:cs="宋体"/>
          <w:color w:val="auto"/>
          <w:kern w:val="0"/>
          <w:sz w:val="24"/>
          <w:szCs w:val="24"/>
          <w:highlight w:val="none"/>
          <w:lang w:val="en-US" w:eastAsia="zh-CN" w:bidi="ar-SA"/>
        </w:rPr>
        <w:t>加热功率:≥700W；</w:t>
      </w:r>
    </w:p>
    <w:p w14:paraId="2BAD475F">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2.13</w:t>
      </w:r>
      <w:r>
        <w:rPr>
          <w:rFonts w:hint="eastAsia" w:ascii="宋体" w:hAnsi="Times New Roman" w:eastAsia="宋体" w:cs="宋体"/>
          <w:color w:val="auto"/>
          <w:kern w:val="0"/>
          <w:sz w:val="24"/>
          <w:szCs w:val="24"/>
          <w:highlight w:val="none"/>
          <w:lang w:val="en-US" w:eastAsia="zh-CN" w:bidi="ar-SA"/>
        </w:rPr>
        <w:t>自动加料：可进行自动溶液加料，加料速度0-179mL/min；</w:t>
      </w:r>
    </w:p>
    <w:p w14:paraId="3197DD02">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2.14</w:t>
      </w:r>
      <w:r>
        <w:rPr>
          <w:rFonts w:hint="eastAsia" w:cs="宋体"/>
          <w:color w:val="auto"/>
          <w:kern w:val="0"/>
          <w:sz w:val="24"/>
          <w:szCs w:val="24"/>
          <w:highlight w:val="none"/>
          <w:lang w:val="en-US" w:eastAsia="zh-CN" w:bidi="ar-SA"/>
        </w:rPr>
        <w:t xml:space="preserve"> </w:t>
      </w:r>
      <w:r>
        <w:rPr>
          <w:rFonts w:hint="eastAsia" w:ascii="宋体" w:hAnsi="Times New Roman" w:eastAsia="宋体" w:cs="宋体"/>
          <w:color w:val="auto"/>
          <w:kern w:val="0"/>
          <w:sz w:val="24"/>
          <w:szCs w:val="24"/>
          <w:highlight w:val="none"/>
          <w:lang w:val="en-US" w:eastAsia="zh-CN" w:bidi="ar-SA"/>
        </w:rPr>
        <w:t>pH测量：自动在线pH测量并实时记录数据；</w:t>
      </w:r>
    </w:p>
    <w:p w14:paraId="50BCCF48">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2.15</w:t>
      </w:r>
      <w:r>
        <w:rPr>
          <w:rFonts w:hint="eastAsia" w:ascii="宋体" w:hAnsi="Times New Roman" w:eastAsia="宋体" w:cs="宋体"/>
          <w:color w:val="auto"/>
          <w:kern w:val="0"/>
          <w:sz w:val="24"/>
          <w:szCs w:val="24"/>
          <w:highlight w:val="none"/>
          <w:lang w:val="en-US" w:eastAsia="zh-CN" w:bidi="ar-SA"/>
        </w:rPr>
        <w:t>浊度测量：实时在线测量浊度数据；</w:t>
      </w:r>
    </w:p>
    <w:p w14:paraId="3B5F3D0E">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w:t>
      </w:r>
      <w:r>
        <w:rPr>
          <w:rFonts w:hint="default" w:ascii="宋体" w:hAnsi="Times New Roman" w:eastAsia="宋体" w:cs="宋体"/>
          <w:color w:val="auto"/>
          <w:kern w:val="0"/>
          <w:sz w:val="24"/>
          <w:szCs w:val="24"/>
          <w:highlight w:val="none"/>
          <w:lang w:val="en-US" w:eastAsia="zh-CN" w:bidi="ar-SA"/>
        </w:rPr>
        <w:t>2.16</w:t>
      </w:r>
      <w:r>
        <w:rPr>
          <w:rFonts w:hint="eastAsia" w:ascii="宋体" w:hAnsi="Times New Roman" w:eastAsia="宋体" w:cs="宋体"/>
          <w:color w:val="auto"/>
          <w:kern w:val="0"/>
          <w:sz w:val="24"/>
          <w:szCs w:val="24"/>
          <w:highlight w:val="none"/>
          <w:lang w:val="en-US" w:eastAsia="zh-CN" w:bidi="ar-SA"/>
        </w:rPr>
        <w:t>浊度传感器：双光纤设计，分别用于传出发射光和接收背向散射；长度120mm，传感器材质哈氏合金C-22；测量范围：5-4000FTU；</w:t>
      </w:r>
    </w:p>
    <w:p w14:paraId="4D357E3B">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2.17</w:t>
      </w:r>
      <w:r>
        <w:rPr>
          <w:rFonts w:hint="eastAsia" w:ascii="宋体" w:hAnsi="Times New Roman" w:eastAsia="宋体" w:cs="宋体"/>
          <w:color w:val="auto"/>
          <w:kern w:val="0"/>
          <w:sz w:val="24"/>
          <w:szCs w:val="24"/>
          <w:highlight w:val="none"/>
          <w:lang w:val="en-US" w:eastAsia="zh-CN" w:bidi="ar-SA"/>
        </w:rPr>
        <w:t>浊度触摸屏显示和操作，支持英语、德语、法语、意大利语、西班牙语、葡萄牙语、俄语、日语、韩语和中文；</w:t>
      </w:r>
    </w:p>
    <w:p w14:paraId="2A0652DF">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w:t>
      </w:r>
      <w:r>
        <w:rPr>
          <w:rFonts w:hint="default" w:ascii="宋体" w:hAnsi="Times New Roman" w:eastAsia="宋体" w:cs="宋体"/>
          <w:color w:val="auto"/>
          <w:kern w:val="0"/>
          <w:sz w:val="24"/>
          <w:szCs w:val="24"/>
          <w:highlight w:val="none"/>
          <w:lang w:val="en-US" w:eastAsia="zh-CN" w:bidi="ar-SA"/>
        </w:rPr>
        <w:t>2.18</w:t>
      </w:r>
      <w:r>
        <w:rPr>
          <w:rFonts w:hint="eastAsia" w:ascii="宋体" w:hAnsi="Times New Roman" w:eastAsia="宋体" w:cs="宋体"/>
          <w:color w:val="auto"/>
          <w:kern w:val="0"/>
          <w:sz w:val="24"/>
          <w:szCs w:val="24"/>
          <w:highlight w:val="none"/>
          <w:lang w:val="en-US" w:eastAsia="zh-CN" w:bidi="ar-SA"/>
        </w:rPr>
        <w:t>须带多组LED背景灯装置，可以清楚的观测反应釜内的反应现象的变化情况；</w:t>
      </w:r>
    </w:p>
    <w:p w14:paraId="4FA5F0E1">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2.19</w:t>
      </w:r>
      <w:r>
        <w:rPr>
          <w:rFonts w:hint="eastAsia" w:ascii="宋体" w:hAnsi="Times New Roman" w:eastAsia="宋体" w:cs="宋体"/>
          <w:color w:val="auto"/>
          <w:kern w:val="0"/>
          <w:sz w:val="24"/>
          <w:szCs w:val="24"/>
          <w:highlight w:val="none"/>
          <w:lang w:val="en-US" w:eastAsia="zh-CN" w:bidi="ar-SA"/>
        </w:rPr>
        <w:t>触摸屏控制：显示当前操作，数据和趋势曲线，直接控制，可预编反应程序并执行；</w:t>
      </w:r>
    </w:p>
    <w:p w14:paraId="2C16C699">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2.20</w:t>
      </w:r>
      <w:r>
        <w:rPr>
          <w:rFonts w:hint="eastAsia" w:ascii="宋体" w:hAnsi="Times New Roman" w:eastAsia="宋体" w:cs="宋体"/>
          <w:color w:val="auto"/>
          <w:kern w:val="0"/>
          <w:sz w:val="24"/>
          <w:szCs w:val="24"/>
          <w:highlight w:val="none"/>
          <w:lang w:val="en-US" w:eastAsia="zh-CN" w:bidi="ar-SA"/>
        </w:rPr>
        <w:t>数据存储：自动记录所有的数据和操作行为；</w:t>
      </w:r>
    </w:p>
    <w:p w14:paraId="00CDB3C7">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2.21</w:t>
      </w:r>
      <w:r>
        <w:rPr>
          <w:rFonts w:hint="eastAsia" w:ascii="宋体" w:hAnsi="Times New Roman" w:eastAsia="宋体" w:cs="宋体"/>
          <w:color w:val="auto"/>
          <w:kern w:val="0"/>
          <w:sz w:val="24"/>
          <w:szCs w:val="24"/>
          <w:highlight w:val="none"/>
          <w:lang w:val="en-US" w:eastAsia="zh-CN" w:bidi="ar-SA"/>
        </w:rPr>
        <w:t>联网和数据转移：CAN口连接外围设备，具备USB接口，用于存储数据输出至个人电脑；</w:t>
      </w:r>
    </w:p>
    <w:p w14:paraId="7ED8668A">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w:t>
      </w:r>
      <w:r>
        <w:rPr>
          <w:rFonts w:hint="default" w:ascii="宋体" w:hAnsi="Times New Roman" w:eastAsia="宋体" w:cs="宋体"/>
          <w:color w:val="auto"/>
          <w:kern w:val="0"/>
          <w:sz w:val="24"/>
          <w:szCs w:val="24"/>
          <w:highlight w:val="none"/>
          <w:lang w:val="en-US" w:eastAsia="zh-CN" w:bidi="ar-SA"/>
        </w:rPr>
        <w:t>2.22</w:t>
      </w:r>
      <w:r>
        <w:rPr>
          <w:rFonts w:hint="eastAsia" w:ascii="宋体" w:hAnsi="Times New Roman" w:eastAsia="宋体" w:cs="宋体"/>
          <w:color w:val="auto"/>
          <w:kern w:val="0"/>
          <w:sz w:val="24"/>
          <w:szCs w:val="24"/>
          <w:highlight w:val="none"/>
          <w:lang w:val="en-US" w:eastAsia="zh-CN" w:bidi="ar-SA"/>
        </w:rPr>
        <w:t>可扩展与在线红外、在线颗粒分析仪FBRM、在线拉曼等联进行联用，交互通迅及反馈控制；</w:t>
      </w:r>
    </w:p>
    <w:p w14:paraId="6E7684C0">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default" w:ascii="宋体" w:hAnsi="Times New Roman" w:eastAsia="宋体" w:cs="宋体"/>
          <w:color w:val="auto"/>
          <w:kern w:val="0"/>
          <w:sz w:val="24"/>
          <w:szCs w:val="24"/>
          <w:highlight w:val="none"/>
          <w:lang w:val="en-US" w:eastAsia="zh-CN" w:bidi="ar-SA"/>
        </w:rPr>
        <w:t>2.23</w:t>
      </w:r>
      <w:r>
        <w:rPr>
          <w:rFonts w:hint="eastAsia" w:ascii="宋体" w:hAnsi="Times New Roman" w:eastAsia="宋体" w:cs="宋体"/>
          <w:color w:val="auto"/>
          <w:kern w:val="0"/>
          <w:sz w:val="24"/>
          <w:szCs w:val="24"/>
          <w:highlight w:val="none"/>
          <w:lang w:val="en-US" w:eastAsia="zh-CN" w:bidi="ar-SA"/>
        </w:rPr>
        <w:t>扩展连接方式:以太网标准交互式界面，可直接连接到电脑，可扩展成反应量热仪；</w:t>
      </w:r>
    </w:p>
    <w:p w14:paraId="0576EA69">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default" w:ascii="宋体" w:hAnsi="Times New Roman"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w:t>
      </w:r>
      <w:r>
        <w:rPr>
          <w:rFonts w:hint="default" w:ascii="宋体" w:hAnsi="Times New Roman" w:eastAsia="宋体" w:cs="宋体"/>
          <w:color w:val="auto"/>
          <w:kern w:val="0"/>
          <w:sz w:val="24"/>
          <w:szCs w:val="24"/>
          <w:highlight w:val="none"/>
          <w:lang w:val="en-US" w:eastAsia="zh-CN" w:bidi="ar-SA"/>
        </w:rPr>
        <w:t>24支持语言：英文，德文，法文，西班牙文，日文，中文</w:t>
      </w:r>
    </w:p>
    <w:p w14:paraId="403F7B7A">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default" w:ascii="宋体" w:hAnsi="Times New Roman"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w:t>
      </w:r>
      <w:r>
        <w:rPr>
          <w:rFonts w:hint="default" w:ascii="宋体" w:hAnsi="Times New Roman" w:eastAsia="宋体" w:cs="宋体"/>
          <w:color w:val="auto"/>
          <w:kern w:val="0"/>
          <w:sz w:val="24"/>
          <w:szCs w:val="24"/>
          <w:highlight w:val="none"/>
          <w:lang w:val="en-US" w:eastAsia="zh-CN" w:bidi="ar-SA"/>
        </w:rPr>
        <w:t>25自动化合成反应器配置：自动化合成反应器主机系统，包含1000ml 分体式反应釜的部分重要的零部件和控温系统。</w:t>
      </w:r>
    </w:p>
    <w:p w14:paraId="131FB63B">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default" w:ascii="宋体" w:hAnsi="Times New Roman"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w:t>
      </w:r>
      <w:r>
        <w:rPr>
          <w:rFonts w:hint="default" w:ascii="宋体" w:hAnsi="Times New Roman" w:eastAsia="宋体" w:cs="宋体"/>
          <w:color w:val="auto"/>
          <w:kern w:val="0"/>
          <w:sz w:val="24"/>
          <w:szCs w:val="24"/>
          <w:highlight w:val="none"/>
          <w:lang w:val="en-US" w:eastAsia="zh-CN" w:bidi="ar-SA"/>
        </w:rPr>
        <w:t>26自动加料装置</w:t>
      </w:r>
    </w:p>
    <w:p w14:paraId="0B7166B9">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default" w:ascii="宋体" w:hAnsi="Times New Roman"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w:t>
      </w:r>
      <w:r>
        <w:rPr>
          <w:rFonts w:hint="default" w:ascii="宋体" w:hAnsi="Times New Roman" w:eastAsia="宋体" w:cs="宋体"/>
          <w:color w:val="auto"/>
          <w:kern w:val="0"/>
          <w:sz w:val="24"/>
          <w:szCs w:val="24"/>
          <w:highlight w:val="none"/>
          <w:lang w:val="en-US" w:eastAsia="zh-CN" w:bidi="ar-SA"/>
        </w:rPr>
        <w:t>27自动pH计，包含PH传感器，连接电缆，适配器密封圈</w:t>
      </w:r>
      <w:bookmarkStart w:id="255" w:name="_GoBack"/>
      <w:bookmarkEnd w:id="255"/>
    </w:p>
    <w:p w14:paraId="78E0A227">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color w:val="auto"/>
          <w:highlight w:val="none"/>
        </w:rPr>
      </w:pPr>
      <w:r>
        <w:rPr>
          <w:rFonts w:hint="eastAsia" w:cs="宋体"/>
          <w:color w:val="auto"/>
          <w:kern w:val="0"/>
          <w:sz w:val="24"/>
          <w:szCs w:val="24"/>
          <w:highlight w:val="none"/>
          <w:lang w:val="en-US" w:eastAsia="zh-CN" w:bidi="ar-SA"/>
        </w:rPr>
        <w:t>2.</w:t>
      </w:r>
      <w:r>
        <w:rPr>
          <w:rFonts w:hint="default" w:ascii="宋体" w:hAnsi="Times New Roman" w:eastAsia="宋体" w:cs="宋体"/>
          <w:color w:val="auto"/>
          <w:kern w:val="0"/>
          <w:sz w:val="24"/>
          <w:szCs w:val="24"/>
          <w:highlight w:val="none"/>
          <w:lang w:val="en-US" w:eastAsia="zh-CN" w:bidi="ar-SA"/>
        </w:rPr>
        <w:t>28浊度部件，包含浊度传感器和显示控制终端</w:t>
      </w:r>
      <w:r>
        <w:rPr>
          <w:rFonts w:hint="eastAsia" w:cs="宋体"/>
          <w:color w:val="auto"/>
          <w:kern w:val="0"/>
          <w:sz w:val="24"/>
          <w:szCs w:val="24"/>
          <w:highlight w:val="none"/>
          <w:lang w:val="en-US" w:eastAsia="zh-CN" w:bidi="ar-SA"/>
        </w:rPr>
        <w:t>；</w:t>
      </w:r>
    </w:p>
    <w:p w14:paraId="34426C30">
      <w:pPr>
        <w:pStyle w:val="3"/>
        <w:numPr>
          <w:ilvl w:val="0"/>
          <w:numId w:val="0"/>
        </w:numPr>
        <w:spacing w:before="0" w:after="0" w:line="360" w:lineRule="auto"/>
        <w:jc w:val="left"/>
        <w:rPr>
          <w:color w:val="auto"/>
          <w:highlight w:val="none"/>
        </w:rPr>
      </w:pPr>
      <w:bookmarkStart w:id="135" w:name="_Toc6060"/>
      <w:bookmarkStart w:id="136" w:name="_Toc483493166"/>
      <w:bookmarkStart w:id="137" w:name="_Toc4108"/>
      <w:bookmarkStart w:id="138" w:name="_Toc531742164"/>
      <w:r>
        <w:rPr>
          <w:rFonts w:hint="eastAsia" w:ascii="宋体" w:cs="Arial"/>
          <w:color w:val="auto"/>
          <w:sz w:val="24"/>
          <w:szCs w:val="24"/>
          <w:highlight w:val="none"/>
        </w:rPr>
        <w:t>三、项目其他要求</w:t>
      </w:r>
      <w:bookmarkEnd w:id="135"/>
      <w:bookmarkEnd w:id="136"/>
      <w:bookmarkEnd w:id="137"/>
      <w:bookmarkEnd w:id="138"/>
    </w:p>
    <w:p w14:paraId="18F618AD">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1.</w:t>
      </w:r>
      <w:r>
        <w:rPr>
          <w:rFonts w:hint="eastAsia"/>
          <w:color w:val="auto"/>
          <w:highlight w:val="none"/>
        </w:rPr>
        <w:t>项目所需购置的产品，投标人应提出详细的</w:t>
      </w:r>
      <w:r>
        <w:rPr>
          <w:rFonts w:hint="eastAsia"/>
          <w:b/>
          <w:bCs/>
          <w:color w:val="auto"/>
          <w:highlight w:val="none"/>
        </w:rPr>
        <w:t>投标方案及产品配置</w:t>
      </w:r>
      <w:r>
        <w:rPr>
          <w:rFonts w:hint="eastAsia"/>
          <w:color w:val="auto"/>
          <w:highlight w:val="none"/>
        </w:rPr>
        <w:t>，包括产品品牌型号、产地、生产厂家、技术性能指标、报价、配置，本次采购所提供的技术为基础参数，在满足采购技术参数前提下，投标人可提供更高的配置</w:t>
      </w:r>
      <w:r>
        <w:rPr>
          <w:rFonts w:hint="eastAsia" w:ascii="宋体" w:cs="宋体"/>
          <w:color w:val="auto"/>
          <w:highlight w:val="none"/>
        </w:rPr>
        <w:t>。</w:t>
      </w:r>
    </w:p>
    <w:p w14:paraId="717F2767">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2.投标人所提供的货物必须是全新的原装正品、正规渠道的产品，每个包装箱内的清单、中文使用说明书、质量证书、保修卡等所有资料应齐全，不得以假冒及伪劣产品替代。投标人必须承诺提供原厂安装、集成及调试服务。</w:t>
      </w:r>
    </w:p>
    <w:p w14:paraId="60C2DD55">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3.投标人所投产品的制造标准、安装标准及技术标准等有关资料必须符合国家规定的有关标准、规范要求，且必须满足招标文件的相关要求。</w:t>
      </w:r>
    </w:p>
    <w:p w14:paraId="665E5774">
      <w:pPr>
        <w:pStyle w:val="24"/>
        <w:widowControl/>
        <w:spacing w:before="0" w:beforeAutospacing="0" w:after="0" w:afterAutospacing="0" w:line="360" w:lineRule="auto"/>
        <w:ind w:firstLine="482" w:firstLineChars="200"/>
        <w:rPr>
          <w:rFonts w:ascii="宋体" w:cs="宋体"/>
          <w:b/>
          <w:bCs/>
          <w:color w:val="auto"/>
          <w:highlight w:val="none"/>
        </w:rPr>
      </w:pPr>
      <w:r>
        <w:rPr>
          <w:rFonts w:hint="eastAsia" w:ascii="宋体" w:cs="宋体"/>
          <w:b/>
          <w:bCs/>
          <w:color w:val="auto"/>
          <w:highlight w:val="none"/>
        </w:rPr>
        <w:t>4.</w:t>
      </w:r>
      <w:r>
        <w:rPr>
          <w:rFonts w:hint="eastAsia"/>
          <w:b/>
          <w:bCs/>
          <w:color w:val="auto"/>
          <w:highlight w:val="none"/>
        </w:rPr>
        <w:t>投标文件必须包含投标函、开标一览表、投标分项报价表、</w:t>
      </w:r>
      <w:r>
        <w:rPr>
          <w:rFonts w:hint="eastAsia"/>
          <w:b/>
          <w:color w:val="auto"/>
          <w:highlight w:val="none"/>
        </w:rPr>
        <w:t>标的说明一览表</w:t>
      </w:r>
      <w:r>
        <w:rPr>
          <w:rFonts w:hint="eastAsia"/>
          <w:b/>
          <w:bCs/>
          <w:color w:val="auto"/>
          <w:highlight w:val="none"/>
        </w:rPr>
        <w:t>、售后服务承诺及本招标文件要求的其他主要内容，以上材料均须加盖投标人公章。</w:t>
      </w:r>
    </w:p>
    <w:p w14:paraId="638A52B4">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5.对于本标书未能提出但投标人所提供的产品已具有的功能及相关技术性能指标，投标人应在货物说明一览表中予以补充说明，并提供相关技术资料及详细说明。</w:t>
      </w:r>
    </w:p>
    <w:p w14:paraId="0CB1986B">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6.投标人需提供企业供货、履约能力基本情况的说明，并提供类似项目的业绩、经验的有效证明文件（中标通知书、合同、验收报告等复印件）。</w:t>
      </w:r>
    </w:p>
    <w:p w14:paraId="1D78BA9B">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7.投标人应具有良好的商业信誉和健全的财务会计制度，具有履行合同所必需的产品和专业技术能力，有依法缴纳税收和社会保障资金的良好记录。</w:t>
      </w:r>
    </w:p>
    <w:p w14:paraId="06EF42BB">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8.投标人应对其投标货物的制造标准、安装标准、技术规范和货物的可维护性、适用性、安全、节能环保、可靠性等方面进行综合描述，必须符合我国现行的有关标准、规范要求，且必须满足招标文件的相关要求。</w:t>
      </w:r>
    </w:p>
    <w:p w14:paraId="6A2309EA">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9.投标人应明确投标产品和招标要求存在正负偏离情况，对照招标文件要求，逐条说明所提供货物和服务已对采购人的技术规格、商务要求做出了实质性的响应，或申明与技术规范书、商务要求条文的偏差和例外并列于《技术、服务及商务要求响应表》中。特别对于有具体参数要求的指标，投标人必须提供所投产品的具体参数值。</w:t>
      </w:r>
    </w:p>
    <w:p w14:paraId="29F3B0C6">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10.投标人应依据招标文件要求及投标文件所作承诺履行职责，如有违约，采购人有权根据协议、合同采取措施保证本次采购服务的顺利进行，并相应追究违约方的违约责任。</w:t>
      </w:r>
    </w:p>
    <w:p w14:paraId="728A917D">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11.投标人不得虚报各项技术指标，若所提供的产品性能及产品指标不能达到招标文件要求及投标响应文件的承诺和相关技术规范、行业规定等技术要求，中标人必须接受全额退还货款，并承担由此给采购人造成的经济损失。</w:t>
      </w:r>
    </w:p>
    <w:p w14:paraId="66241AEF">
      <w:pPr>
        <w:pStyle w:val="24"/>
        <w:widowControl/>
        <w:spacing w:before="0" w:beforeAutospacing="0" w:after="0" w:afterAutospacing="0" w:line="360" w:lineRule="auto"/>
        <w:ind w:firstLine="482" w:firstLineChars="200"/>
        <w:rPr>
          <w:rFonts w:ascii="宋体" w:cs="宋体"/>
          <w:b/>
          <w:bCs/>
          <w:color w:val="auto"/>
          <w:szCs w:val="21"/>
          <w:highlight w:val="none"/>
        </w:rPr>
      </w:pPr>
      <w:r>
        <w:rPr>
          <w:rFonts w:hint="eastAsia" w:ascii="宋体" w:cs="宋体"/>
          <w:b/>
          <w:bCs/>
          <w:color w:val="auto"/>
          <w:highlight w:val="none"/>
        </w:rPr>
        <w:t>12.本招标文件中若有列明具体产品或材料型号、产地或品牌的，并非限制只能投用该型号或产地或品牌，而仅作为招标产品及技术指标的相关说明，投标人可以在满足招标文件相关具体选型技术与使用等要求的基础上，自行合理确定具体投报的实际型号（规格、技术参数）、产地、品牌并适当加以说明</w:t>
      </w:r>
      <w:r>
        <w:rPr>
          <w:rFonts w:hint="eastAsia" w:ascii="宋体" w:cs="宋体"/>
          <w:b/>
          <w:bCs/>
          <w:color w:val="auto"/>
          <w:szCs w:val="21"/>
          <w:highlight w:val="none"/>
        </w:rPr>
        <w:t>。</w:t>
      </w:r>
    </w:p>
    <w:p w14:paraId="3E7B432A">
      <w:pPr>
        <w:pStyle w:val="3"/>
        <w:numPr>
          <w:ilvl w:val="0"/>
          <w:numId w:val="0"/>
        </w:numPr>
        <w:spacing w:before="0" w:after="0" w:line="360" w:lineRule="auto"/>
        <w:jc w:val="both"/>
        <w:rPr>
          <w:rFonts w:ascii="宋体" w:cs="宋体"/>
          <w:color w:val="auto"/>
          <w:sz w:val="24"/>
          <w:szCs w:val="24"/>
          <w:highlight w:val="none"/>
        </w:rPr>
      </w:pPr>
      <w:bookmarkStart w:id="139" w:name="_Toc11197"/>
      <w:r>
        <w:rPr>
          <w:rFonts w:hint="eastAsia" w:ascii="宋体" w:cs="宋体"/>
          <w:color w:val="auto"/>
          <w:sz w:val="24"/>
          <w:szCs w:val="24"/>
          <w:highlight w:val="none"/>
        </w:rPr>
        <w:t>四、售后服务要求</w:t>
      </w:r>
      <w:bookmarkEnd w:id="139"/>
    </w:p>
    <w:p w14:paraId="70D2EC14">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1.投标人应按照本采购项目特点提供长期良好的售后服务，并在投标文件中提供详细具体的售后服务承诺条款及保证。</w:t>
      </w:r>
    </w:p>
    <w:p w14:paraId="14B705EC">
      <w:pPr>
        <w:widowControl/>
        <w:spacing w:line="360" w:lineRule="auto"/>
        <w:ind w:firstLine="482" w:firstLineChars="200"/>
        <w:jc w:val="left"/>
        <w:textAlignment w:val="center"/>
        <w:rPr>
          <w:rFonts w:ascii="宋体" w:cs="宋体"/>
          <w:b/>
          <w:bCs/>
          <w:color w:val="auto"/>
          <w:sz w:val="24"/>
          <w:szCs w:val="24"/>
          <w:highlight w:val="none"/>
        </w:rPr>
      </w:pPr>
      <w:r>
        <w:rPr>
          <w:rFonts w:hint="eastAsia" w:ascii="宋体" w:cs="宋体"/>
          <w:b/>
          <w:bCs/>
          <w:color w:val="auto"/>
          <w:sz w:val="24"/>
          <w:szCs w:val="24"/>
          <w:highlight w:val="none"/>
        </w:rPr>
        <w:t>★2.本批招标货物要求投标人提供原厂商的售后服务，要求最短质保期壹年，终身维护。（投标人需提供专项承诺函）</w:t>
      </w:r>
    </w:p>
    <w:p w14:paraId="59C6EB27">
      <w:pPr>
        <w:widowControl/>
        <w:spacing w:line="360" w:lineRule="auto"/>
        <w:ind w:firstLine="480" w:firstLineChars="200"/>
        <w:jc w:val="left"/>
        <w:textAlignment w:val="center"/>
        <w:rPr>
          <w:rFonts w:ascii="宋体" w:cs="宋体"/>
          <w:color w:val="auto"/>
          <w:kern w:val="0"/>
          <w:sz w:val="24"/>
          <w:szCs w:val="24"/>
          <w:highlight w:val="none"/>
        </w:rPr>
      </w:pPr>
      <w:r>
        <w:rPr>
          <w:rFonts w:hint="eastAsia" w:ascii="宋体" w:cs="宋体"/>
          <w:color w:val="auto"/>
          <w:kern w:val="0"/>
          <w:sz w:val="24"/>
          <w:szCs w:val="24"/>
          <w:highlight w:val="none"/>
        </w:rPr>
        <w:t>3.售后维修响应时间：中标人应在4小时内对用户的服务要求作出响应；提供电话诊断和远程检测，需要在现场解决问题的，应在</w:t>
      </w:r>
      <w:r>
        <w:rPr>
          <w:rFonts w:hint="eastAsia" w:ascii="宋体" w:cs="宋体"/>
          <w:color w:val="auto"/>
          <w:kern w:val="0"/>
          <w:sz w:val="24"/>
          <w:szCs w:val="24"/>
          <w:highlight w:val="none"/>
          <w:lang w:val="en-US" w:eastAsia="zh-CN"/>
        </w:rPr>
        <w:t>24</w:t>
      </w:r>
      <w:r>
        <w:rPr>
          <w:rFonts w:hint="eastAsia" w:ascii="宋体" w:cs="宋体"/>
          <w:color w:val="auto"/>
          <w:kern w:val="0"/>
          <w:sz w:val="24"/>
          <w:szCs w:val="24"/>
          <w:highlight w:val="none"/>
        </w:rPr>
        <w:t>小时内到达仪器现场。中标人维修时间不得超过15天，设备无法使用超过1个月，质保期顺延。</w:t>
      </w:r>
    </w:p>
    <w:p w14:paraId="4A80AF9E">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4.中标人应为用户单位提供设备操作使用及维护的培训服务（培训内容包括仪器的技术原理、仪器操作、数据处理、仪器基本维护等），所需的费用应包含在投标报价中。</w:t>
      </w:r>
    </w:p>
    <w:p w14:paraId="3BE49314">
      <w:pPr>
        <w:pStyle w:val="24"/>
        <w:widowControl/>
        <w:spacing w:before="0" w:beforeAutospacing="0" w:after="0" w:afterAutospacing="0" w:line="360" w:lineRule="auto"/>
        <w:ind w:firstLine="480" w:firstLineChars="200"/>
        <w:rPr>
          <w:rFonts w:ascii="宋体" w:cs="宋体"/>
          <w:color w:val="auto"/>
          <w:highlight w:val="none"/>
        </w:rPr>
      </w:pPr>
      <w:r>
        <w:rPr>
          <w:rFonts w:hint="eastAsia" w:ascii="宋体" w:cs="宋体"/>
          <w:color w:val="auto"/>
          <w:highlight w:val="none"/>
        </w:rPr>
        <w:t>5.投标人应承诺中标后能提供本地化的技术、售后服务。</w:t>
      </w:r>
    </w:p>
    <w:p w14:paraId="35C544AC">
      <w:pPr>
        <w:pStyle w:val="3"/>
        <w:numPr>
          <w:ilvl w:val="0"/>
          <w:numId w:val="0"/>
        </w:numPr>
        <w:spacing w:before="0" w:after="0" w:line="360" w:lineRule="auto"/>
        <w:jc w:val="both"/>
        <w:rPr>
          <w:rFonts w:ascii="宋体" w:cs="宋体"/>
          <w:color w:val="auto"/>
          <w:sz w:val="24"/>
          <w:szCs w:val="24"/>
          <w:highlight w:val="none"/>
        </w:rPr>
      </w:pPr>
      <w:bookmarkStart w:id="140" w:name="_Toc531742165"/>
      <w:bookmarkStart w:id="141" w:name="_Toc18036"/>
      <w:bookmarkStart w:id="142" w:name="_Toc4766"/>
      <w:r>
        <w:rPr>
          <w:rFonts w:hint="eastAsia" w:ascii="宋体" w:cs="宋体"/>
          <w:color w:val="auto"/>
          <w:sz w:val="24"/>
          <w:szCs w:val="24"/>
          <w:highlight w:val="none"/>
        </w:rPr>
        <w:t>五、</w:t>
      </w:r>
      <w:bookmarkEnd w:id="140"/>
      <w:r>
        <w:rPr>
          <w:rFonts w:hint="eastAsia" w:ascii="宋体" w:cs="宋体"/>
          <w:color w:val="auto"/>
          <w:sz w:val="24"/>
          <w:szCs w:val="24"/>
          <w:highlight w:val="none"/>
        </w:rPr>
        <w:t>验收条件及标准</w:t>
      </w:r>
      <w:bookmarkEnd w:id="141"/>
      <w:bookmarkEnd w:id="142"/>
    </w:p>
    <w:p w14:paraId="224DBFE1">
      <w:pPr>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1.验收依据：招标文件、投标文件、厂家货物技术标准说明及国家有关的质量标准规定，均为验收依据。</w:t>
      </w:r>
    </w:p>
    <w:p w14:paraId="4BEAEA7D">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2.安装前，用户单位对货物的品牌、数量、包装等方面进行验收。中标人提供的所有单独包装的货物均应具有原始的完好的标准包装。如遇交付前已拆封的货物，用户单位有权拒绝或要求更换。</w:t>
      </w:r>
    </w:p>
    <w:p w14:paraId="4D18296E">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3.用户单位根据货物装箱单进行货物主件及附件等的验收。中标人交货时，必需提供所有产品原厂或总代理出具的供货证明。</w:t>
      </w:r>
    </w:p>
    <w:p w14:paraId="71F44F10">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4.中标人根据招标要求进行设备安装、调试后，由用户单位组织正式验收。</w:t>
      </w:r>
    </w:p>
    <w:p w14:paraId="4BB9F38A">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5.验收时中标人代表必须在场。验收合格后，中标人凭用户出具的验收合格书至厦门大学资产与后勤事务管理处根据合同规定办理付款手续。</w:t>
      </w:r>
    </w:p>
    <w:p w14:paraId="3B0B8708">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6.验收过程所发生的一切费用由中标人承担。</w:t>
      </w:r>
      <w:bookmarkStart w:id="143" w:name="_Toc22314518"/>
      <w:bookmarkStart w:id="144" w:name="_Toc971"/>
      <w:bookmarkStart w:id="145" w:name="_Toc20263222"/>
      <w:bookmarkStart w:id="146" w:name="_Toc189832478"/>
      <w:bookmarkStart w:id="147" w:name="_Toc169877486"/>
      <w:bookmarkStart w:id="148" w:name="_Toc169944033"/>
    </w:p>
    <w:bookmarkEnd w:id="143"/>
    <w:bookmarkEnd w:id="144"/>
    <w:bookmarkEnd w:id="145"/>
    <w:bookmarkEnd w:id="146"/>
    <w:bookmarkEnd w:id="147"/>
    <w:bookmarkEnd w:id="148"/>
    <w:p w14:paraId="60130ECD">
      <w:pPr>
        <w:pStyle w:val="3"/>
        <w:numPr>
          <w:ilvl w:val="0"/>
          <w:numId w:val="0"/>
        </w:numPr>
        <w:spacing w:before="0" w:after="0" w:line="360" w:lineRule="auto"/>
        <w:jc w:val="left"/>
        <w:rPr>
          <w:rFonts w:ascii="宋体" w:cs="宋体"/>
          <w:color w:val="auto"/>
          <w:sz w:val="24"/>
          <w:szCs w:val="24"/>
          <w:highlight w:val="none"/>
        </w:rPr>
      </w:pPr>
      <w:bookmarkStart w:id="149" w:name="_Toc483493167"/>
      <w:bookmarkStart w:id="150" w:name="_Toc7710"/>
      <w:bookmarkStart w:id="151" w:name="_Toc18136"/>
      <w:bookmarkStart w:id="152" w:name="_Toc531742167"/>
      <w:r>
        <w:rPr>
          <w:rFonts w:hint="eastAsia" w:ascii="宋体" w:cs="宋体"/>
          <w:color w:val="auto"/>
          <w:sz w:val="24"/>
          <w:szCs w:val="24"/>
          <w:highlight w:val="none"/>
        </w:rPr>
        <w:t>六、</w:t>
      </w:r>
      <w:bookmarkEnd w:id="149"/>
      <w:r>
        <w:rPr>
          <w:rFonts w:hint="eastAsia" w:ascii="宋体" w:cs="宋体"/>
          <w:color w:val="auto"/>
          <w:sz w:val="24"/>
          <w:szCs w:val="24"/>
          <w:highlight w:val="none"/>
        </w:rPr>
        <w:t>报价要求</w:t>
      </w:r>
      <w:bookmarkEnd w:id="150"/>
      <w:bookmarkEnd w:id="151"/>
      <w:bookmarkEnd w:id="152"/>
    </w:p>
    <w:p w14:paraId="4A41672A">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1.报价以人民币为货币单位，应分单价、小计和总价。</w:t>
      </w:r>
    </w:p>
    <w:p w14:paraId="16CFFC1A">
      <w:pPr>
        <w:spacing w:line="460" w:lineRule="exact"/>
        <w:ind w:firstLine="482" w:firstLineChars="200"/>
        <w:rPr>
          <w:rFonts w:hint="eastAsia" w:ascii="宋体" w:hAnsi="宋体" w:cs="宋体"/>
          <w:b/>
          <w:bCs/>
          <w:color w:val="auto"/>
          <w:highlight w:val="none"/>
        </w:rPr>
      </w:pPr>
      <w:r>
        <w:rPr>
          <w:rFonts w:hint="eastAsia" w:ascii="宋体" w:cs="宋体"/>
          <w:b/>
          <w:bCs/>
          <w:color w:val="auto"/>
          <w:sz w:val="24"/>
          <w:szCs w:val="24"/>
          <w:highlight w:val="none"/>
        </w:rPr>
        <w:t>★2.投标人以人民币方式进行报价，投标总价包括但不限于：设备材料采购供应、安装、调试并经验收合格交付使用等所有可能发生的一切费用，包括采购保管、安装施工费、配件及辅助材料费、运输费、人工费、检验检测、设备调试、技术服务与培训、售后服务、税金、规费、验收费用等一切费用。一旦中标，采购人将不会对中标人总报价做出其它补偿。本次招标为交钥匙项目。（投标人需提供专项承诺函）</w:t>
      </w:r>
    </w:p>
    <w:p w14:paraId="48C650FD">
      <w:pPr>
        <w:pStyle w:val="64"/>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从中华人民共和国境外提供的货物投标报价，需按人民币包干报价。总包干报价应当包含所采购设备的出厂价、境外出口及运输费、保险费、外贸进口环节相关费用（外贸进口环节相关费用包含但不限于进口代理服务费、银行费、报关费用、商检费用、海关仓储费用、港杂费用、港口至采购人目的现场运保费、申请免税及办理各项证书等费用），货物增值税和关税除外（若有）。</w:t>
      </w:r>
    </w:p>
    <w:p w14:paraId="2735CDA1">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3.1厦门大学将委托指定进口外贸代理公司代为进口货物，中标人需向进口外贸代理公司支付外贸进口环节相关费用。该相关费用可按“厦门大学外贸代理公司外贸进口环节相关费用收费标准” 中列明的固定比例估算。</w:t>
      </w:r>
    </w:p>
    <w:p w14:paraId="561E6ADC">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注：厦门大学可委托的外贸公司为：厦门建发高科有限公司、厦门联信诚有限公司、厦门外图进出口有限公司、赛尔网络有限公司、国药集团福建医学检验有限公司，由厦门大学根据具体情况委托指定其中一家公司代理进口。</w:t>
      </w:r>
    </w:p>
    <w:p w14:paraId="67F65DCD">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3.2厦门大学外贸代理公司外贸进口环节相关费用收费标准：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321"/>
      </w:tblGrid>
      <w:tr w14:paraId="3718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7179602E">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设备金额（人民币）</w:t>
            </w:r>
          </w:p>
        </w:tc>
        <w:tc>
          <w:tcPr>
            <w:tcW w:w="3321" w:type="dxa"/>
          </w:tcPr>
          <w:p w14:paraId="586BB554">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费率（%）</w:t>
            </w:r>
          </w:p>
        </w:tc>
      </w:tr>
      <w:tr w14:paraId="4F67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3635C137">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40万以下</w:t>
            </w:r>
          </w:p>
        </w:tc>
        <w:tc>
          <w:tcPr>
            <w:tcW w:w="3321" w:type="dxa"/>
          </w:tcPr>
          <w:p w14:paraId="474223E3">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4500元/单</w:t>
            </w:r>
          </w:p>
        </w:tc>
      </w:tr>
      <w:tr w14:paraId="49E3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52539477">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40万（含）-100万</w:t>
            </w:r>
          </w:p>
        </w:tc>
        <w:tc>
          <w:tcPr>
            <w:tcW w:w="3321" w:type="dxa"/>
          </w:tcPr>
          <w:p w14:paraId="6B7385E0">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w:t>
            </w:r>
          </w:p>
        </w:tc>
      </w:tr>
      <w:tr w14:paraId="561B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42E602A3">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100万（含）-500万</w:t>
            </w:r>
          </w:p>
        </w:tc>
        <w:tc>
          <w:tcPr>
            <w:tcW w:w="3321" w:type="dxa"/>
          </w:tcPr>
          <w:p w14:paraId="0D000DB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1%，不超过30000元</w:t>
            </w:r>
          </w:p>
        </w:tc>
      </w:tr>
      <w:tr w14:paraId="16AF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678A9E63">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500万（含）-1000万</w:t>
            </w:r>
          </w:p>
        </w:tc>
        <w:tc>
          <w:tcPr>
            <w:tcW w:w="3321" w:type="dxa"/>
          </w:tcPr>
          <w:p w14:paraId="4BEB2324">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0.6%，不超过50000元</w:t>
            </w:r>
          </w:p>
        </w:tc>
      </w:tr>
      <w:tr w14:paraId="3D9C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78296227">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1000（含）万以上</w:t>
            </w:r>
          </w:p>
        </w:tc>
        <w:tc>
          <w:tcPr>
            <w:tcW w:w="3321" w:type="dxa"/>
          </w:tcPr>
          <w:p w14:paraId="66A75CB7">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0.4%，不超过80000元</w:t>
            </w:r>
          </w:p>
        </w:tc>
      </w:tr>
    </w:tbl>
    <w:p w14:paraId="370AC191">
      <w:pPr>
        <w:spacing w:line="360" w:lineRule="auto"/>
        <w:ind w:firstLine="482" w:firstLineChars="200"/>
        <w:rPr>
          <w:rFonts w:hint="eastAsia" w:ascii="宋体" w:hAnsi="宋体" w:cs="宋体"/>
          <w:color w:val="auto"/>
          <w:sz w:val="24"/>
          <w:szCs w:val="24"/>
          <w:highlight w:val="none"/>
        </w:rPr>
      </w:pPr>
      <w:r>
        <w:rPr>
          <w:rFonts w:hint="eastAsia" w:ascii="宋体" w:cs="宋体"/>
          <w:b/>
          <w:bCs/>
          <w:color w:val="auto"/>
          <w:sz w:val="24"/>
          <w:szCs w:val="24"/>
          <w:highlight w:val="none"/>
        </w:rPr>
        <w:t>（上述内容投标人需提供专项承诺函）</w:t>
      </w:r>
    </w:p>
    <w:p w14:paraId="014A3EB5">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4.投标人漏报的单价或每单价报价中漏报、少报的费用，视为此项费用已隐含在投标</w:t>
      </w:r>
      <w:r>
        <w:rPr>
          <w:rFonts w:hint="eastAsia" w:ascii="宋体" w:cs="宋体"/>
          <w:color w:val="auto"/>
          <w:sz w:val="24"/>
          <w:szCs w:val="24"/>
          <w:highlight w:val="none"/>
        </w:rPr>
        <w:t>报价中，中标后不得再向采购人收取任何费用。</w:t>
      </w:r>
    </w:p>
    <w:p w14:paraId="2CCF56FC">
      <w:pPr>
        <w:spacing w:line="360" w:lineRule="auto"/>
        <w:ind w:firstLine="482" w:firstLineChars="200"/>
        <w:rPr>
          <w:rFonts w:ascii="宋体" w:cs="宋体"/>
          <w:b/>
          <w:bCs/>
          <w:color w:val="auto"/>
          <w:sz w:val="24"/>
          <w:szCs w:val="24"/>
          <w:highlight w:val="none"/>
        </w:rPr>
      </w:pPr>
      <w:r>
        <w:rPr>
          <w:rFonts w:hint="eastAsia" w:ascii="宋体" w:cs="宋体"/>
          <w:b/>
          <w:bCs/>
          <w:color w:val="auto"/>
          <w:sz w:val="24"/>
          <w:szCs w:val="24"/>
          <w:highlight w:val="none"/>
        </w:rPr>
        <w:t>5.投标人的投标报价超过本项目最高限价或相应控制单价的，则其投标响应将被视为无效投标响应。</w:t>
      </w:r>
    </w:p>
    <w:p w14:paraId="3D8FFD49">
      <w:pPr>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6.投标人对本项目只能有一个报价，招标采购单位不接受有选择的报价。</w:t>
      </w:r>
    </w:p>
    <w:p w14:paraId="4E563CEE">
      <w:pPr>
        <w:pStyle w:val="3"/>
        <w:numPr>
          <w:ilvl w:val="0"/>
          <w:numId w:val="0"/>
        </w:numPr>
        <w:spacing w:before="0" w:after="0" w:line="360" w:lineRule="auto"/>
        <w:jc w:val="left"/>
        <w:rPr>
          <w:rFonts w:ascii="宋体" w:cs="宋体"/>
          <w:color w:val="auto"/>
          <w:sz w:val="24"/>
          <w:szCs w:val="24"/>
          <w:highlight w:val="none"/>
        </w:rPr>
      </w:pPr>
      <w:bookmarkStart w:id="153" w:name="_Toc483493168"/>
      <w:bookmarkStart w:id="154" w:name="_Toc531742168"/>
      <w:bookmarkStart w:id="155" w:name="_Toc3104"/>
      <w:bookmarkStart w:id="156" w:name="_Toc16428"/>
      <w:r>
        <w:rPr>
          <w:rFonts w:hint="eastAsia" w:ascii="宋体" w:cs="宋体"/>
          <w:color w:val="auto"/>
          <w:sz w:val="24"/>
          <w:szCs w:val="24"/>
          <w:highlight w:val="none"/>
        </w:rPr>
        <w:t>七、</w:t>
      </w:r>
      <w:bookmarkEnd w:id="153"/>
      <w:bookmarkEnd w:id="154"/>
      <w:r>
        <w:rPr>
          <w:rFonts w:hint="eastAsia" w:ascii="宋体" w:cs="宋体"/>
          <w:color w:val="auto"/>
          <w:sz w:val="24"/>
          <w:szCs w:val="24"/>
          <w:highlight w:val="none"/>
        </w:rPr>
        <w:t>知识产权</w:t>
      </w:r>
      <w:bookmarkEnd w:id="155"/>
      <w:bookmarkEnd w:id="156"/>
    </w:p>
    <w:p w14:paraId="16918E74">
      <w:pPr>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投标人必须保证采购人在使用其中标货物过程的任何时候不受到知识产权或版权的纠纷，否则，由此产生的任何责任完全由中标人承担。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04BDED74">
      <w:pPr>
        <w:pStyle w:val="3"/>
        <w:numPr>
          <w:ilvl w:val="0"/>
          <w:numId w:val="0"/>
        </w:numPr>
        <w:spacing w:before="0" w:after="0" w:line="360" w:lineRule="auto"/>
        <w:jc w:val="both"/>
        <w:rPr>
          <w:rFonts w:ascii="宋体" w:cs="宋体"/>
          <w:color w:val="auto"/>
          <w:sz w:val="24"/>
          <w:szCs w:val="24"/>
          <w:highlight w:val="none"/>
        </w:rPr>
      </w:pPr>
      <w:bookmarkStart w:id="157" w:name="_Toc20676"/>
      <w:bookmarkStart w:id="158" w:name="_Toc531742170"/>
      <w:bookmarkStart w:id="159" w:name="_Toc483493170"/>
      <w:bookmarkStart w:id="160" w:name="_Toc24012"/>
      <w:r>
        <w:rPr>
          <w:rFonts w:hint="eastAsia" w:ascii="宋体" w:cs="宋体"/>
          <w:color w:val="auto"/>
          <w:sz w:val="24"/>
          <w:szCs w:val="24"/>
          <w:highlight w:val="none"/>
        </w:rPr>
        <w:t>八、合同签订</w:t>
      </w:r>
      <w:bookmarkEnd w:id="157"/>
      <w:bookmarkEnd w:id="158"/>
      <w:bookmarkEnd w:id="159"/>
      <w:bookmarkEnd w:id="160"/>
      <w:bookmarkStart w:id="161" w:name="_Toc531742171"/>
      <w:bookmarkStart w:id="162" w:name="_Toc483493171"/>
    </w:p>
    <w:p w14:paraId="2C8BE4B1">
      <w:pPr>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1、本项目的用户单位为</w:t>
      </w:r>
      <w:r>
        <w:rPr>
          <w:rFonts w:hint="eastAsia" w:ascii="宋体" w:cs="宋体"/>
          <w:color w:val="auto"/>
          <w:sz w:val="24"/>
          <w:szCs w:val="24"/>
          <w:highlight w:val="none"/>
          <w:u w:val="single"/>
        </w:rPr>
        <w:t>厦门大学化学化工学院</w:t>
      </w:r>
      <w:r>
        <w:rPr>
          <w:rFonts w:hint="eastAsia" w:ascii="宋体" w:cs="宋体"/>
          <w:color w:val="auto"/>
          <w:sz w:val="24"/>
          <w:szCs w:val="24"/>
          <w:highlight w:val="none"/>
        </w:rPr>
        <w:t>，中标人接到《中标通知书》后，持中标通知书与用户签订技术和服务协议，然后与厦门大学资产与后勤事务管理处签订合同。招标文件、中标人的投标文件及其澄清文件均作为签订技术和服务协议、合同订立的基础。中标人应在合同签订后的1个工作日内将合同副本送采购代理机构备案。</w:t>
      </w:r>
    </w:p>
    <w:p w14:paraId="43CC27C1">
      <w:pPr>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 xml:space="preserve">2、中标人与采购人签订合同后，须及时凭合同有效复印件及招标代理服务费缴交凭证办理投标保证金退还手续。 </w:t>
      </w:r>
    </w:p>
    <w:p w14:paraId="4E2158D0">
      <w:pPr>
        <w:spacing w:line="360" w:lineRule="auto"/>
        <w:ind w:firstLine="480" w:firstLineChars="200"/>
        <w:rPr>
          <w:rFonts w:ascii="宋体" w:cs="宋体"/>
          <w:color w:val="auto"/>
          <w:kern w:val="0"/>
          <w:sz w:val="24"/>
          <w:szCs w:val="24"/>
          <w:highlight w:val="none"/>
        </w:rPr>
      </w:pPr>
      <w:r>
        <w:rPr>
          <w:rFonts w:hint="eastAsia" w:ascii="宋体" w:cs="宋体"/>
          <w:color w:val="auto"/>
          <w:sz w:val="24"/>
          <w:szCs w:val="24"/>
          <w:highlight w:val="none"/>
        </w:rPr>
        <w:t>3、中标人未在规定时间内签订合同的，视为自动放弃中标资格，投标保证金将被没收，且应承担因违约造成的采购人的损失。</w:t>
      </w:r>
    </w:p>
    <w:p w14:paraId="76E220E9">
      <w:pPr>
        <w:pStyle w:val="3"/>
        <w:numPr>
          <w:ilvl w:val="0"/>
          <w:numId w:val="0"/>
        </w:numPr>
        <w:spacing w:before="0" w:after="0" w:line="360" w:lineRule="auto"/>
        <w:jc w:val="left"/>
        <w:rPr>
          <w:rFonts w:ascii="宋体" w:cs="宋体"/>
          <w:color w:val="auto"/>
          <w:sz w:val="24"/>
          <w:szCs w:val="24"/>
          <w:highlight w:val="none"/>
        </w:rPr>
      </w:pPr>
      <w:bookmarkStart w:id="163" w:name="_Toc20979"/>
      <w:bookmarkStart w:id="164" w:name="_Toc26015"/>
      <w:r>
        <w:rPr>
          <w:rFonts w:hint="eastAsia" w:ascii="宋体" w:cs="宋体"/>
          <w:color w:val="auto"/>
          <w:sz w:val="24"/>
          <w:szCs w:val="24"/>
          <w:highlight w:val="none"/>
        </w:rPr>
        <w:t>九、付款方式</w:t>
      </w:r>
      <w:bookmarkEnd w:id="161"/>
      <w:bookmarkEnd w:id="162"/>
      <w:bookmarkEnd w:id="163"/>
      <w:r>
        <w:rPr>
          <w:rFonts w:hint="eastAsia" w:ascii="宋体" w:cs="宋体"/>
          <w:color w:val="auto"/>
          <w:sz w:val="24"/>
          <w:szCs w:val="24"/>
          <w:highlight w:val="none"/>
        </w:rPr>
        <w:t>及质量保证金</w:t>
      </w:r>
      <w:bookmarkEnd w:id="164"/>
    </w:p>
    <w:p w14:paraId="6E0CE344">
      <w:pPr>
        <w:spacing w:line="360" w:lineRule="auto"/>
        <w:ind w:firstLine="602" w:firstLineChars="250"/>
        <w:jc w:val="left"/>
        <w:rPr>
          <w:rFonts w:ascii="宋体" w:cs="宋体"/>
          <w:b/>
          <w:bCs/>
          <w:color w:val="auto"/>
          <w:sz w:val="24"/>
          <w:szCs w:val="24"/>
          <w:highlight w:val="none"/>
        </w:rPr>
      </w:pPr>
      <w:r>
        <w:rPr>
          <w:rFonts w:hint="eastAsia" w:ascii="宋体" w:cs="宋体"/>
          <w:b/>
          <w:bCs/>
          <w:color w:val="auto"/>
          <w:kern w:val="0"/>
          <w:sz w:val="24"/>
          <w:szCs w:val="24"/>
          <w:highlight w:val="none"/>
        </w:rPr>
        <w:t>★1.从中华人民共和国境内提供的货物：签订合同后预付合同总价的50%，全部货物终验合格且付款条件完备后30个工作日内支付合同总价的50%货款。</w:t>
      </w:r>
    </w:p>
    <w:p w14:paraId="685F6971">
      <w:pPr>
        <w:spacing w:line="360" w:lineRule="auto"/>
        <w:ind w:firstLine="602" w:firstLineChars="250"/>
        <w:jc w:val="left"/>
        <w:rPr>
          <w:rFonts w:ascii="宋体" w:cs="宋体"/>
          <w:b/>
          <w:bCs/>
          <w:color w:val="auto"/>
          <w:sz w:val="24"/>
          <w:szCs w:val="24"/>
          <w:highlight w:val="none"/>
        </w:rPr>
      </w:pPr>
      <w:bookmarkStart w:id="165" w:name="OLE_LINK1"/>
      <w:r>
        <w:rPr>
          <w:rFonts w:hint="eastAsia" w:ascii="宋体" w:cs="宋体"/>
          <w:b/>
          <w:bCs/>
          <w:color w:val="auto"/>
          <w:kern w:val="0"/>
          <w:sz w:val="24"/>
          <w:szCs w:val="24"/>
          <w:highlight w:val="none"/>
        </w:rPr>
        <w:t>★2.</w:t>
      </w:r>
      <w:r>
        <w:rPr>
          <w:rFonts w:hint="eastAsia"/>
          <w:color w:val="auto"/>
          <w:highlight w:val="none"/>
        </w:rPr>
        <w:t xml:space="preserve"> </w:t>
      </w:r>
      <w:r>
        <w:rPr>
          <w:rFonts w:hint="eastAsia" w:ascii="宋体" w:cs="宋体"/>
          <w:b/>
          <w:bCs/>
          <w:color w:val="auto"/>
          <w:kern w:val="0"/>
          <w:sz w:val="24"/>
          <w:szCs w:val="24"/>
          <w:highlight w:val="none"/>
        </w:rPr>
        <w:t>从中华人民共和国境外提供的货物：100%不可撤销信用证，80%见单即付，20%验收合格后付。</w:t>
      </w:r>
    </w:p>
    <w:bookmarkEnd w:id="165"/>
    <w:p w14:paraId="7420F3EC">
      <w:pPr>
        <w:spacing w:line="360" w:lineRule="auto"/>
        <w:ind w:firstLine="602" w:firstLineChars="250"/>
        <w:jc w:val="left"/>
        <w:rPr>
          <w:rFonts w:ascii="宋体" w:cs="宋体"/>
          <w:b/>
          <w:bCs/>
          <w:color w:val="auto"/>
          <w:sz w:val="24"/>
          <w:szCs w:val="24"/>
          <w:highlight w:val="none"/>
        </w:rPr>
      </w:pPr>
      <w:r>
        <w:rPr>
          <w:rFonts w:hint="eastAsia" w:ascii="宋体" w:cs="宋体"/>
          <w:b/>
          <w:bCs/>
          <w:color w:val="auto"/>
          <w:sz w:val="24"/>
          <w:szCs w:val="24"/>
          <w:highlight w:val="none"/>
        </w:rPr>
        <w:t>（投标人需提供专项承诺函）</w:t>
      </w:r>
    </w:p>
    <w:p w14:paraId="13381638">
      <w:pPr>
        <w:spacing w:line="360" w:lineRule="auto"/>
        <w:ind w:firstLine="600" w:firstLineChars="250"/>
        <w:jc w:val="left"/>
        <w:rPr>
          <w:rFonts w:ascii="宋体" w:cs="宋体"/>
          <w:color w:val="auto"/>
          <w:kern w:val="0"/>
          <w:sz w:val="24"/>
          <w:szCs w:val="24"/>
          <w:highlight w:val="none"/>
        </w:rPr>
      </w:pPr>
      <w:r>
        <w:rPr>
          <w:rFonts w:hint="eastAsia" w:ascii="宋体" w:cs="宋体"/>
          <w:color w:val="auto"/>
          <w:kern w:val="0"/>
          <w:sz w:val="24"/>
          <w:szCs w:val="24"/>
          <w:highlight w:val="none"/>
        </w:rPr>
        <w:t>以上付款方式需投标人进行完全响应。具体付款事宜由厦门大学资产与后勤事务管理处负责。</w:t>
      </w:r>
    </w:p>
    <w:p w14:paraId="6E196EDD">
      <w:pPr>
        <w:rPr>
          <w:rStyle w:val="38"/>
          <w:rFonts w:hint="eastAsia"/>
          <w:color w:val="auto"/>
          <w:highlight w:val="none"/>
        </w:rPr>
      </w:pPr>
      <w:bookmarkStart w:id="166" w:name="_Toc31596"/>
      <w:bookmarkStart w:id="167" w:name="_Toc10195"/>
      <w:r>
        <w:rPr>
          <w:rStyle w:val="38"/>
          <w:rFonts w:hint="eastAsia"/>
          <w:color w:val="auto"/>
          <w:highlight w:val="none"/>
        </w:rPr>
        <w:br w:type="page"/>
      </w:r>
    </w:p>
    <w:p w14:paraId="58723EEA">
      <w:pPr>
        <w:spacing w:line="360" w:lineRule="auto"/>
        <w:ind w:firstLine="753" w:firstLineChars="250"/>
        <w:jc w:val="center"/>
        <w:rPr>
          <w:rFonts w:ascii="宋体"/>
          <w:color w:val="auto"/>
          <w:sz w:val="24"/>
          <w:highlight w:val="none"/>
        </w:rPr>
      </w:pPr>
      <w:r>
        <w:rPr>
          <w:rStyle w:val="38"/>
          <w:rFonts w:hint="eastAsia"/>
          <w:color w:val="auto"/>
          <w:highlight w:val="none"/>
        </w:rPr>
        <w:t xml:space="preserve">第四章   </w:t>
      </w:r>
      <w:bookmarkEnd w:id="110"/>
      <w:bookmarkEnd w:id="166"/>
      <w:r>
        <w:rPr>
          <w:rStyle w:val="38"/>
          <w:rFonts w:hint="eastAsia"/>
          <w:color w:val="auto"/>
          <w:highlight w:val="none"/>
        </w:rPr>
        <w:t>合同格式</w:t>
      </w:r>
      <w:bookmarkEnd w:id="167"/>
    </w:p>
    <w:p w14:paraId="4B29BB6F">
      <w:pPr>
        <w:spacing w:line="360" w:lineRule="auto"/>
        <w:rPr>
          <w:b/>
          <w:bCs/>
          <w:color w:val="auto"/>
          <w:sz w:val="36"/>
          <w:szCs w:val="36"/>
          <w:highlight w:val="none"/>
        </w:rPr>
      </w:pPr>
      <w:r>
        <w:rPr>
          <w:rFonts w:hint="eastAsia"/>
          <w:b/>
          <w:bCs/>
          <w:color w:val="auto"/>
          <w:sz w:val="28"/>
          <w:highlight w:val="none"/>
        </w:rPr>
        <w:t>一、合同（格式范本）</w:t>
      </w:r>
    </w:p>
    <w:p w14:paraId="445CD421">
      <w:pPr>
        <w:spacing w:line="360" w:lineRule="auto"/>
        <w:jc w:val="center"/>
        <w:rPr>
          <w:b/>
          <w:bCs/>
          <w:color w:val="auto"/>
          <w:sz w:val="18"/>
          <w:szCs w:val="18"/>
          <w:highlight w:val="none"/>
        </w:rPr>
      </w:pPr>
    </w:p>
    <w:p w14:paraId="1A559FC6">
      <w:pPr>
        <w:spacing w:line="360" w:lineRule="auto"/>
        <w:jc w:val="center"/>
        <w:rPr>
          <w:b/>
          <w:bCs/>
          <w:color w:val="auto"/>
          <w:sz w:val="36"/>
          <w:szCs w:val="36"/>
          <w:highlight w:val="none"/>
        </w:rPr>
      </w:pPr>
      <w:r>
        <w:rPr>
          <w:rFonts w:hint="eastAsia"/>
          <w:b/>
          <w:bCs/>
          <w:color w:val="auto"/>
          <w:sz w:val="36"/>
          <w:szCs w:val="36"/>
          <w:highlight w:val="none"/>
        </w:rPr>
        <w:t>厦门大学货物采购合同</w:t>
      </w:r>
    </w:p>
    <w:p w14:paraId="61DF40AD">
      <w:pPr>
        <w:widowControl/>
        <w:shd w:val="clear" w:color="auto" w:fill="FFFFFF"/>
        <w:wordWrap w:val="0"/>
        <w:spacing w:line="420" w:lineRule="atLeast"/>
        <w:jc w:val="right"/>
        <w:rPr>
          <w:rFonts w:hint="eastAsia" w:ascii="宋体" w:hAnsi="宋体" w:cs="宋体"/>
          <w:color w:val="auto"/>
          <w:kern w:val="0"/>
          <w:szCs w:val="21"/>
          <w:highlight w:val="none"/>
        </w:rPr>
      </w:pPr>
    </w:p>
    <w:p w14:paraId="4CC10D34">
      <w:pPr>
        <w:widowControl/>
        <w:shd w:val="clear" w:color="auto" w:fill="FFFFFF"/>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甲方(采购人)：厦门大学               签订地点：福建省厦门市</w:t>
      </w:r>
    </w:p>
    <w:p w14:paraId="2524745C">
      <w:pPr>
        <w:widowControl/>
        <w:shd w:val="clear" w:color="auto" w:fill="FFFFFF"/>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 xml:space="preserve">乙方（中标人）：                    </w:t>
      </w:r>
    </w:p>
    <w:p w14:paraId="0290B98E">
      <w:pPr>
        <w:widowControl/>
        <w:shd w:val="clear" w:color="auto" w:fill="FFFFFF"/>
        <w:spacing w:line="440" w:lineRule="atLeas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根据甲方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进行招标采购（招标编号：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）的招标结果，乙方为中标人，现依照招标文件、投标文件及有关法律、法规、规章规定的内容，双方达成如下协议：</w:t>
      </w:r>
    </w:p>
    <w:p w14:paraId="052B1EAF">
      <w:pPr>
        <w:widowControl/>
        <w:shd w:val="clear" w:color="auto" w:fill="FFFFFF"/>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1、合同标的和合同价格</w:t>
      </w:r>
      <w:r>
        <w:rPr>
          <w:rFonts w:hint="eastAsia" w:ascii="宋体" w:hAnsi="宋体" w:cs="宋体"/>
          <w:b/>
          <w:color w:val="auto"/>
          <w:kern w:val="0"/>
          <w:sz w:val="24"/>
          <w:highlight w:val="none"/>
        </w:rPr>
        <w:t>（详细参数、质量要求见技术协议）</w:t>
      </w:r>
    </w:p>
    <w:tbl>
      <w:tblPr>
        <w:tblStyle w:val="28"/>
        <w:tblW w:w="8698" w:type="dxa"/>
        <w:tblInd w:w="-17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91"/>
        <w:gridCol w:w="1190"/>
        <w:gridCol w:w="1505"/>
        <w:gridCol w:w="732"/>
        <w:gridCol w:w="1228"/>
        <w:gridCol w:w="1526"/>
        <w:gridCol w:w="1526"/>
      </w:tblGrid>
      <w:tr w14:paraId="14125A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851" w:hRule="atLeast"/>
        </w:trPr>
        <w:tc>
          <w:tcPr>
            <w:tcW w:w="9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44C57D">
            <w:pPr>
              <w:widowControl/>
              <w:spacing w:line="44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产品</w:t>
            </w:r>
          </w:p>
          <w:p w14:paraId="035939CD">
            <w:pPr>
              <w:widowControl/>
              <w:spacing w:line="440" w:lineRule="atLeast"/>
              <w:jc w:val="center"/>
              <w:rPr>
                <w:rFonts w:hint="eastAsia" w:ascii="宋体" w:hAnsi="宋体" w:cs="宋体"/>
                <w:color w:val="auto"/>
                <w:kern w:val="0"/>
                <w:szCs w:val="21"/>
                <w:highlight w:val="none"/>
              </w:rPr>
            </w:pPr>
            <w:r>
              <w:rPr>
                <w:rFonts w:hint="eastAsia" w:ascii="宋体" w:hAnsi="宋体" w:cs="宋体"/>
                <w:color w:val="auto"/>
                <w:kern w:val="0"/>
                <w:sz w:val="24"/>
                <w:highlight w:val="none"/>
              </w:rPr>
              <w:t>名称</w:t>
            </w:r>
          </w:p>
        </w:tc>
        <w:tc>
          <w:tcPr>
            <w:tcW w:w="1190"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14:paraId="110B1929">
            <w:pPr>
              <w:widowControl/>
              <w:spacing w:line="440" w:lineRule="atLeast"/>
              <w:jc w:val="center"/>
              <w:rPr>
                <w:rFonts w:hint="eastAsia" w:ascii="宋体" w:hAnsi="宋体" w:cs="宋体"/>
                <w:color w:val="auto"/>
                <w:kern w:val="0"/>
                <w:szCs w:val="21"/>
                <w:highlight w:val="none"/>
              </w:rPr>
            </w:pPr>
            <w:r>
              <w:rPr>
                <w:rFonts w:hint="eastAsia" w:ascii="宋体" w:hAnsi="宋体" w:cs="宋体"/>
                <w:color w:val="auto"/>
                <w:kern w:val="0"/>
                <w:sz w:val="24"/>
                <w:highlight w:val="none"/>
              </w:rPr>
              <w:t>规格型号</w:t>
            </w:r>
          </w:p>
        </w:tc>
        <w:tc>
          <w:tcPr>
            <w:tcW w:w="1505"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14:paraId="71D0E965">
            <w:pPr>
              <w:widowControl/>
              <w:spacing w:line="440" w:lineRule="atLeast"/>
              <w:jc w:val="center"/>
              <w:rPr>
                <w:rFonts w:hint="eastAsia" w:ascii="宋体" w:hAnsi="宋体" w:cs="宋体"/>
                <w:color w:val="auto"/>
                <w:kern w:val="0"/>
                <w:szCs w:val="21"/>
                <w:highlight w:val="none"/>
              </w:rPr>
            </w:pPr>
            <w:r>
              <w:rPr>
                <w:rFonts w:hint="eastAsia" w:ascii="宋体" w:hAnsi="宋体" w:cs="宋体"/>
                <w:color w:val="auto"/>
                <w:kern w:val="0"/>
                <w:sz w:val="24"/>
                <w:highlight w:val="none"/>
              </w:rPr>
              <w:t>生产厂家</w:t>
            </w:r>
          </w:p>
        </w:tc>
        <w:tc>
          <w:tcPr>
            <w:tcW w:w="732"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14:paraId="7696CE09">
            <w:pPr>
              <w:widowControl/>
              <w:spacing w:line="440" w:lineRule="atLeast"/>
              <w:jc w:val="center"/>
              <w:rPr>
                <w:rFonts w:hint="eastAsia" w:ascii="宋体" w:hAnsi="宋体" w:cs="宋体"/>
                <w:color w:val="auto"/>
                <w:kern w:val="0"/>
                <w:szCs w:val="21"/>
                <w:highlight w:val="none"/>
              </w:rPr>
            </w:pPr>
            <w:r>
              <w:rPr>
                <w:rFonts w:hint="eastAsia" w:ascii="宋体" w:hAnsi="宋体" w:cs="宋体"/>
                <w:color w:val="auto"/>
                <w:kern w:val="0"/>
                <w:sz w:val="24"/>
                <w:highlight w:val="none"/>
              </w:rPr>
              <w:t>数 量</w:t>
            </w:r>
          </w:p>
        </w:tc>
        <w:tc>
          <w:tcPr>
            <w:tcW w:w="1228"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14:paraId="126B2356">
            <w:pPr>
              <w:widowControl/>
              <w:spacing w:line="440" w:lineRule="atLeast"/>
              <w:jc w:val="center"/>
              <w:rPr>
                <w:rFonts w:hint="eastAsia" w:ascii="宋体" w:hAnsi="宋体" w:cs="宋体"/>
                <w:color w:val="auto"/>
                <w:kern w:val="0"/>
                <w:szCs w:val="21"/>
                <w:highlight w:val="none"/>
              </w:rPr>
            </w:pPr>
            <w:r>
              <w:rPr>
                <w:rFonts w:hint="eastAsia" w:ascii="宋体" w:hAnsi="宋体" w:cs="宋体"/>
                <w:color w:val="auto"/>
                <w:kern w:val="0"/>
                <w:sz w:val="24"/>
                <w:highlight w:val="none"/>
              </w:rPr>
              <w:t>单 价</w:t>
            </w:r>
          </w:p>
        </w:tc>
        <w:tc>
          <w:tcPr>
            <w:tcW w:w="1526"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14:paraId="33375BA8">
            <w:pPr>
              <w:widowControl/>
              <w:spacing w:line="440" w:lineRule="atLeast"/>
              <w:jc w:val="center"/>
              <w:rPr>
                <w:rFonts w:hint="eastAsia" w:ascii="宋体" w:hAnsi="宋体" w:cs="宋体"/>
                <w:color w:val="auto"/>
                <w:kern w:val="0"/>
                <w:szCs w:val="21"/>
                <w:highlight w:val="none"/>
              </w:rPr>
            </w:pPr>
            <w:r>
              <w:rPr>
                <w:rFonts w:hint="eastAsia" w:ascii="宋体" w:hAnsi="宋体" w:cs="宋体"/>
                <w:color w:val="auto"/>
                <w:kern w:val="0"/>
                <w:sz w:val="24"/>
                <w:highlight w:val="none"/>
              </w:rPr>
              <w:t>总 价</w:t>
            </w:r>
          </w:p>
        </w:tc>
        <w:tc>
          <w:tcPr>
            <w:tcW w:w="1526"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14:paraId="6DC40575">
            <w:pPr>
              <w:widowControl/>
              <w:spacing w:line="440" w:lineRule="atLeast"/>
              <w:jc w:val="center"/>
              <w:rPr>
                <w:rFonts w:hint="eastAsia" w:ascii="宋体" w:hAnsi="宋体" w:cs="宋体"/>
                <w:color w:val="auto"/>
                <w:kern w:val="0"/>
                <w:szCs w:val="21"/>
                <w:highlight w:val="none"/>
              </w:rPr>
            </w:pPr>
            <w:r>
              <w:rPr>
                <w:rFonts w:hint="eastAsia" w:ascii="宋体" w:hAnsi="宋体" w:cs="宋体"/>
                <w:color w:val="auto"/>
                <w:kern w:val="0"/>
                <w:sz w:val="24"/>
                <w:highlight w:val="none"/>
              </w:rPr>
              <w:t>交货期</w:t>
            </w:r>
          </w:p>
        </w:tc>
      </w:tr>
      <w:tr w14:paraId="7B1D2A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trPr>
        <w:tc>
          <w:tcPr>
            <w:tcW w:w="991" w:type="dxa"/>
            <w:tcBorders>
              <w:top w:val="outset" w:color="ECE9D8" w:sz="6"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F13C5FC">
            <w:pPr>
              <w:widowControl/>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549F246B">
            <w:pPr>
              <w:widowControl/>
              <w:spacing w:line="440" w:lineRule="atLeast"/>
              <w:jc w:val="left"/>
              <w:rPr>
                <w:rFonts w:hint="eastAsia" w:ascii="宋体" w:hAnsi="宋体" w:cs="宋体"/>
                <w:color w:val="auto"/>
                <w:kern w:val="0"/>
                <w:szCs w:val="21"/>
                <w:highlight w:val="none"/>
              </w:rPr>
            </w:pPr>
          </w:p>
        </w:tc>
        <w:tc>
          <w:tcPr>
            <w:tcW w:w="1190"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14:paraId="78450ED5">
            <w:pPr>
              <w:widowControl/>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1505"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14:paraId="0C570C26">
            <w:pPr>
              <w:widowControl/>
              <w:spacing w:line="440" w:lineRule="atLeast"/>
              <w:jc w:val="left"/>
              <w:rPr>
                <w:rFonts w:hint="eastAsia" w:ascii="宋体" w:hAnsi="宋体" w:cs="宋体"/>
                <w:color w:val="auto"/>
                <w:kern w:val="0"/>
                <w:szCs w:val="21"/>
                <w:highlight w:val="none"/>
              </w:rPr>
            </w:pPr>
          </w:p>
        </w:tc>
        <w:tc>
          <w:tcPr>
            <w:tcW w:w="732"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14:paraId="0279D092">
            <w:pPr>
              <w:widowControl/>
              <w:spacing w:line="440" w:lineRule="atLeast"/>
              <w:jc w:val="left"/>
              <w:rPr>
                <w:rFonts w:hint="eastAsia" w:ascii="宋体" w:hAnsi="宋体" w:cs="宋体"/>
                <w:color w:val="auto"/>
                <w:kern w:val="0"/>
                <w:szCs w:val="21"/>
                <w:highlight w:val="none"/>
              </w:rPr>
            </w:pPr>
          </w:p>
        </w:tc>
        <w:tc>
          <w:tcPr>
            <w:tcW w:w="1228"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14:paraId="16431E73">
            <w:pPr>
              <w:widowControl/>
              <w:spacing w:line="440" w:lineRule="atLeast"/>
              <w:jc w:val="left"/>
              <w:rPr>
                <w:rFonts w:hint="eastAsia" w:ascii="宋体" w:hAnsi="宋体" w:cs="宋体"/>
                <w:color w:val="auto"/>
                <w:kern w:val="0"/>
                <w:szCs w:val="21"/>
                <w:highlight w:val="none"/>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14:paraId="27F3D81B">
            <w:pPr>
              <w:widowControl/>
              <w:spacing w:line="440" w:lineRule="atLeast"/>
              <w:jc w:val="left"/>
              <w:rPr>
                <w:rFonts w:hint="eastAsia" w:ascii="宋体" w:hAnsi="宋体" w:cs="宋体"/>
                <w:color w:val="auto"/>
                <w:kern w:val="0"/>
                <w:szCs w:val="21"/>
                <w:highlight w:val="none"/>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14:paraId="50B6425F">
            <w:pPr>
              <w:widowControl/>
              <w:spacing w:line="440" w:lineRule="atLeast"/>
              <w:jc w:val="left"/>
              <w:rPr>
                <w:rFonts w:hint="eastAsia" w:ascii="宋体" w:hAnsi="宋体" w:cs="宋体"/>
                <w:color w:val="auto"/>
                <w:kern w:val="0"/>
                <w:szCs w:val="21"/>
                <w:highlight w:val="none"/>
              </w:rPr>
            </w:pPr>
          </w:p>
        </w:tc>
      </w:tr>
      <w:tr w14:paraId="64F164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trPr>
        <w:tc>
          <w:tcPr>
            <w:tcW w:w="991" w:type="dxa"/>
            <w:tcBorders>
              <w:top w:val="outset" w:color="ECE9D8" w:sz="6"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14:paraId="28E31203">
            <w:pPr>
              <w:widowControl/>
              <w:spacing w:line="440" w:lineRule="atLeast"/>
              <w:jc w:val="left"/>
              <w:rPr>
                <w:rFonts w:hint="eastAsia" w:ascii="宋体" w:hAnsi="宋体" w:cs="宋体"/>
                <w:color w:val="auto"/>
                <w:kern w:val="0"/>
                <w:szCs w:val="21"/>
                <w:highlight w:val="none"/>
              </w:rPr>
            </w:pPr>
          </w:p>
          <w:p w14:paraId="2A36B61D">
            <w:pPr>
              <w:widowControl/>
              <w:spacing w:line="440" w:lineRule="atLeast"/>
              <w:jc w:val="left"/>
              <w:rPr>
                <w:rFonts w:hint="eastAsia" w:ascii="宋体" w:hAnsi="宋体" w:cs="宋体"/>
                <w:color w:val="auto"/>
                <w:kern w:val="0"/>
                <w:szCs w:val="21"/>
                <w:highlight w:val="none"/>
              </w:rPr>
            </w:pPr>
          </w:p>
        </w:tc>
        <w:tc>
          <w:tcPr>
            <w:tcW w:w="1190" w:type="dxa"/>
            <w:tcBorders>
              <w:top w:val="outset" w:color="ECE9D8" w:sz="6" w:space="0"/>
              <w:left w:val="outset" w:color="ECE9D8" w:sz="6" w:space="0"/>
              <w:bottom w:val="single" w:color="auto" w:sz="4" w:space="0"/>
              <w:right w:val="single" w:color="auto" w:sz="8" w:space="0"/>
            </w:tcBorders>
            <w:shd w:val="clear" w:color="auto" w:fill="FFFFFF"/>
            <w:tcMar>
              <w:top w:w="0" w:type="dxa"/>
              <w:left w:w="108" w:type="dxa"/>
              <w:bottom w:w="0" w:type="dxa"/>
              <w:right w:w="108" w:type="dxa"/>
            </w:tcMar>
          </w:tcPr>
          <w:p w14:paraId="0FF532C8">
            <w:pPr>
              <w:widowControl/>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1505" w:type="dxa"/>
            <w:tcBorders>
              <w:top w:val="outset" w:color="ECE9D8" w:sz="6" w:space="0"/>
              <w:left w:val="outset" w:color="ECE9D8" w:sz="6" w:space="0"/>
              <w:bottom w:val="single" w:color="auto" w:sz="4" w:space="0"/>
              <w:right w:val="single" w:color="auto" w:sz="8" w:space="0"/>
            </w:tcBorders>
            <w:shd w:val="clear" w:color="auto" w:fill="FFFFFF"/>
            <w:tcMar>
              <w:top w:w="0" w:type="dxa"/>
              <w:left w:w="108" w:type="dxa"/>
              <w:bottom w:w="0" w:type="dxa"/>
              <w:right w:w="108" w:type="dxa"/>
            </w:tcMar>
          </w:tcPr>
          <w:p w14:paraId="4CA9D7A1">
            <w:pPr>
              <w:widowControl/>
              <w:spacing w:line="440" w:lineRule="atLeast"/>
              <w:jc w:val="left"/>
              <w:rPr>
                <w:rFonts w:hint="eastAsia" w:ascii="宋体" w:hAnsi="宋体" w:cs="宋体"/>
                <w:color w:val="auto"/>
                <w:kern w:val="0"/>
                <w:szCs w:val="21"/>
                <w:highlight w:val="none"/>
              </w:rPr>
            </w:pPr>
          </w:p>
        </w:tc>
        <w:tc>
          <w:tcPr>
            <w:tcW w:w="732" w:type="dxa"/>
            <w:tcBorders>
              <w:top w:val="outset" w:color="ECE9D8" w:sz="6" w:space="0"/>
              <w:left w:val="outset" w:color="ECE9D8" w:sz="6" w:space="0"/>
              <w:bottom w:val="single" w:color="auto" w:sz="4" w:space="0"/>
              <w:right w:val="single" w:color="auto" w:sz="8" w:space="0"/>
            </w:tcBorders>
            <w:shd w:val="clear" w:color="auto" w:fill="FFFFFF"/>
            <w:tcMar>
              <w:top w:w="0" w:type="dxa"/>
              <w:left w:w="108" w:type="dxa"/>
              <w:bottom w:w="0" w:type="dxa"/>
              <w:right w:w="108" w:type="dxa"/>
            </w:tcMar>
          </w:tcPr>
          <w:p w14:paraId="2AC22570">
            <w:pPr>
              <w:widowControl/>
              <w:spacing w:line="440" w:lineRule="atLeast"/>
              <w:jc w:val="left"/>
              <w:rPr>
                <w:rFonts w:hint="eastAsia" w:ascii="宋体" w:hAnsi="宋体" w:cs="宋体"/>
                <w:color w:val="auto"/>
                <w:kern w:val="0"/>
                <w:szCs w:val="21"/>
                <w:highlight w:val="none"/>
              </w:rPr>
            </w:pPr>
          </w:p>
        </w:tc>
        <w:tc>
          <w:tcPr>
            <w:tcW w:w="1228" w:type="dxa"/>
            <w:tcBorders>
              <w:top w:val="outset" w:color="ECE9D8" w:sz="6" w:space="0"/>
              <w:left w:val="outset" w:color="ECE9D8" w:sz="6" w:space="0"/>
              <w:bottom w:val="single" w:color="auto" w:sz="4" w:space="0"/>
              <w:right w:val="single" w:color="auto" w:sz="8" w:space="0"/>
            </w:tcBorders>
            <w:shd w:val="clear" w:color="auto" w:fill="FFFFFF"/>
            <w:tcMar>
              <w:top w:w="0" w:type="dxa"/>
              <w:left w:w="108" w:type="dxa"/>
              <w:bottom w:w="0" w:type="dxa"/>
              <w:right w:w="108" w:type="dxa"/>
            </w:tcMar>
          </w:tcPr>
          <w:p w14:paraId="75230D61">
            <w:pPr>
              <w:widowControl/>
              <w:spacing w:line="440" w:lineRule="atLeast"/>
              <w:jc w:val="left"/>
              <w:rPr>
                <w:rFonts w:hint="eastAsia" w:ascii="宋体" w:hAnsi="宋体" w:cs="宋体"/>
                <w:color w:val="auto"/>
                <w:kern w:val="0"/>
                <w:szCs w:val="21"/>
                <w:highlight w:val="none"/>
              </w:rPr>
            </w:pPr>
          </w:p>
        </w:tc>
        <w:tc>
          <w:tcPr>
            <w:tcW w:w="1526" w:type="dxa"/>
            <w:tcBorders>
              <w:top w:val="outset" w:color="ECE9D8" w:sz="6" w:space="0"/>
              <w:left w:val="outset" w:color="ECE9D8" w:sz="6" w:space="0"/>
              <w:bottom w:val="single" w:color="auto" w:sz="4" w:space="0"/>
              <w:right w:val="single" w:color="auto" w:sz="8" w:space="0"/>
            </w:tcBorders>
            <w:shd w:val="clear" w:color="auto" w:fill="FFFFFF"/>
            <w:tcMar>
              <w:top w:w="0" w:type="dxa"/>
              <w:left w:w="108" w:type="dxa"/>
              <w:bottom w:w="0" w:type="dxa"/>
              <w:right w:w="108" w:type="dxa"/>
            </w:tcMar>
          </w:tcPr>
          <w:p w14:paraId="5CC53E51">
            <w:pPr>
              <w:widowControl/>
              <w:spacing w:line="440" w:lineRule="atLeast"/>
              <w:jc w:val="left"/>
              <w:rPr>
                <w:rFonts w:hint="eastAsia" w:ascii="宋体" w:hAnsi="宋体" w:cs="宋体"/>
                <w:color w:val="auto"/>
                <w:kern w:val="0"/>
                <w:szCs w:val="21"/>
                <w:highlight w:val="none"/>
              </w:rPr>
            </w:pPr>
          </w:p>
        </w:tc>
        <w:tc>
          <w:tcPr>
            <w:tcW w:w="1526" w:type="dxa"/>
            <w:tcBorders>
              <w:top w:val="outset" w:color="ECE9D8" w:sz="6" w:space="0"/>
              <w:left w:val="outset" w:color="ECE9D8" w:sz="6" w:space="0"/>
              <w:bottom w:val="single" w:color="auto" w:sz="4" w:space="0"/>
              <w:right w:val="single" w:color="auto" w:sz="8" w:space="0"/>
            </w:tcBorders>
            <w:shd w:val="clear" w:color="auto" w:fill="FFFFFF"/>
            <w:tcMar>
              <w:top w:w="0" w:type="dxa"/>
              <w:left w:w="108" w:type="dxa"/>
              <w:bottom w:w="0" w:type="dxa"/>
              <w:right w:w="108" w:type="dxa"/>
            </w:tcMar>
          </w:tcPr>
          <w:p w14:paraId="15F4A1D7">
            <w:pPr>
              <w:widowControl/>
              <w:spacing w:line="440" w:lineRule="atLeast"/>
              <w:jc w:val="left"/>
              <w:rPr>
                <w:rFonts w:hint="eastAsia" w:ascii="宋体" w:hAnsi="宋体" w:cs="宋体"/>
                <w:color w:val="auto"/>
                <w:kern w:val="0"/>
                <w:szCs w:val="21"/>
                <w:highlight w:val="none"/>
              </w:rPr>
            </w:pPr>
          </w:p>
        </w:tc>
      </w:tr>
      <w:tr w14:paraId="4522CB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trPr>
        <w:tc>
          <w:tcPr>
            <w:tcW w:w="9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1BAD94A8">
            <w:pPr>
              <w:widowControl/>
              <w:spacing w:line="440" w:lineRule="atLeast"/>
              <w:jc w:val="left"/>
              <w:rPr>
                <w:rFonts w:hint="eastAsia" w:ascii="宋体" w:hAnsi="宋体" w:cs="宋体"/>
                <w:color w:val="auto"/>
                <w:kern w:val="0"/>
                <w:szCs w:val="21"/>
                <w:highlight w:val="none"/>
              </w:rPr>
            </w:pPr>
          </w:p>
          <w:p w14:paraId="6D2CBEA8">
            <w:pPr>
              <w:widowControl/>
              <w:spacing w:line="440" w:lineRule="atLeast"/>
              <w:jc w:val="left"/>
              <w:rPr>
                <w:rFonts w:hint="eastAsia" w:ascii="宋体" w:hAnsi="宋体" w:cs="宋体"/>
                <w:color w:val="auto"/>
                <w:kern w:val="0"/>
                <w:szCs w:val="21"/>
                <w:highlight w:val="none"/>
              </w:rPr>
            </w:pPr>
          </w:p>
        </w:tc>
        <w:tc>
          <w:tcPr>
            <w:tcW w:w="11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689B13C3">
            <w:pPr>
              <w:widowControl/>
              <w:spacing w:line="440" w:lineRule="atLeast"/>
              <w:jc w:val="left"/>
              <w:rPr>
                <w:rFonts w:hint="eastAsia" w:ascii="宋体" w:hAnsi="宋体" w:cs="宋体"/>
                <w:color w:val="auto"/>
                <w:kern w:val="0"/>
                <w:szCs w:val="21"/>
                <w:highlight w:val="none"/>
              </w:rPr>
            </w:pPr>
          </w:p>
        </w:tc>
        <w:tc>
          <w:tcPr>
            <w:tcW w:w="150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20520CDD">
            <w:pPr>
              <w:widowControl/>
              <w:spacing w:line="440" w:lineRule="atLeast"/>
              <w:jc w:val="left"/>
              <w:rPr>
                <w:rFonts w:hint="eastAsia" w:ascii="宋体" w:hAnsi="宋体" w:cs="宋体"/>
                <w:color w:val="auto"/>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06C438C7">
            <w:pPr>
              <w:widowControl/>
              <w:spacing w:line="440" w:lineRule="atLeast"/>
              <w:jc w:val="left"/>
              <w:rPr>
                <w:rFonts w:hint="eastAsia" w:ascii="宋体" w:hAnsi="宋体" w:cs="宋体"/>
                <w:color w:val="auto"/>
                <w:kern w:val="0"/>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30C2F081">
            <w:pPr>
              <w:widowControl/>
              <w:spacing w:line="440" w:lineRule="atLeast"/>
              <w:jc w:val="left"/>
              <w:rPr>
                <w:rFonts w:hint="eastAsia" w:ascii="宋体" w:hAnsi="宋体" w:cs="宋体"/>
                <w:color w:val="auto"/>
                <w:kern w:val="0"/>
                <w:szCs w:val="21"/>
                <w:highlight w:val="none"/>
              </w:rPr>
            </w:pPr>
          </w:p>
        </w:tc>
        <w:tc>
          <w:tcPr>
            <w:tcW w:w="15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41913FE8">
            <w:pPr>
              <w:widowControl/>
              <w:spacing w:line="440" w:lineRule="atLeast"/>
              <w:jc w:val="left"/>
              <w:rPr>
                <w:rFonts w:hint="eastAsia" w:ascii="宋体" w:hAnsi="宋体" w:cs="宋体"/>
                <w:color w:val="auto"/>
                <w:kern w:val="0"/>
                <w:szCs w:val="21"/>
                <w:highlight w:val="none"/>
              </w:rPr>
            </w:pPr>
          </w:p>
        </w:tc>
        <w:tc>
          <w:tcPr>
            <w:tcW w:w="15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7C4D8636">
            <w:pPr>
              <w:widowControl/>
              <w:spacing w:line="440" w:lineRule="atLeast"/>
              <w:jc w:val="left"/>
              <w:rPr>
                <w:rFonts w:hint="eastAsia" w:ascii="宋体" w:hAnsi="宋体" w:cs="宋体"/>
                <w:color w:val="auto"/>
                <w:kern w:val="0"/>
                <w:szCs w:val="21"/>
                <w:highlight w:val="none"/>
              </w:rPr>
            </w:pPr>
          </w:p>
        </w:tc>
      </w:tr>
      <w:tr w14:paraId="57C5FD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trPr>
        <w:tc>
          <w:tcPr>
            <w:tcW w:w="9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62D7F1ED">
            <w:pPr>
              <w:widowControl/>
              <w:spacing w:line="440" w:lineRule="atLeast"/>
              <w:jc w:val="left"/>
              <w:rPr>
                <w:rFonts w:hint="eastAsia" w:ascii="宋体" w:hAnsi="宋体" w:cs="宋体"/>
                <w:color w:val="auto"/>
                <w:kern w:val="0"/>
                <w:szCs w:val="21"/>
                <w:highlight w:val="none"/>
              </w:rPr>
            </w:pPr>
          </w:p>
          <w:p w14:paraId="116906BD">
            <w:pPr>
              <w:widowControl/>
              <w:spacing w:line="440" w:lineRule="atLeast"/>
              <w:jc w:val="left"/>
              <w:rPr>
                <w:rFonts w:hint="eastAsia" w:ascii="宋体" w:hAnsi="宋体" w:cs="宋体"/>
                <w:color w:val="auto"/>
                <w:kern w:val="0"/>
                <w:szCs w:val="21"/>
                <w:highlight w:val="none"/>
              </w:rPr>
            </w:pPr>
          </w:p>
        </w:tc>
        <w:tc>
          <w:tcPr>
            <w:tcW w:w="11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05343AE2">
            <w:pPr>
              <w:widowControl/>
              <w:spacing w:line="440" w:lineRule="atLeast"/>
              <w:jc w:val="left"/>
              <w:rPr>
                <w:rFonts w:hint="eastAsia" w:ascii="宋体" w:hAnsi="宋体" w:cs="宋体"/>
                <w:color w:val="auto"/>
                <w:kern w:val="0"/>
                <w:szCs w:val="21"/>
                <w:highlight w:val="none"/>
              </w:rPr>
            </w:pPr>
          </w:p>
        </w:tc>
        <w:tc>
          <w:tcPr>
            <w:tcW w:w="150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3FC3A8BF">
            <w:pPr>
              <w:widowControl/>
              <w:spacing w:line="440" w:lineRule="atLeast"/>
              <w:jc w:val="left"/>
              <w:rPr>
                <w:rFonts w:hint="eastAsia" w:ascii="宋体" w:hAnsi="宋体" w:cs="宋体"/>
                <w:color w:val="auto"/>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502D8D83">
            <w:pPr>
              <w:widowControl/>
              <w:spacing w:line="440" w:lineRule="atLeast"/>
              <w:jc w:val="left"/>
              <w:rPr>
                <w:rFonts w:hint="eastAsia" w:ascii="宋体" w:hAnsi="宋体" w:cs="宋体"/>
                <w:color w:val="auto"/>
                <w:kern w:val="0"/>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7E9ACA87">
            <w:pPr>
              <w:widowControl/>
              <w:spacing w:line="440" w:lineRule="atLeast"/>
              <w:jc w:val="left"/>
              <w:rPr>
                <w:rFonts w:hint="eastAsia" w:ascii="宋体" w:hAnsi="宋体" w:cs="宋体"/>
                <w:color w:val="auto"/>
                <w:kern w:val="0"/>
                <w:szCs w:val="21"/>
                <w:highlight w:val="none"/>
              </w:rPr>
            </w:pPr>
          </w:p>
        </w:tc>
        <w:tc>
          <w:tcPr>
            <w:tcW w:w="15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1358AB7C">
            <w:pPr>
              <w:widowControl/>
              <w:spacing w:line="440" w:lineRule="atLeast"/>
              <w:jc w:val="left"/>
              <w:rPr>
                <w:rFonts w:hint="eastAsia" w:ascii="宋体" w:hAnsi="宋体" w:cs="宋体"/>
                <w:color w:val="auto"/>
                <w:kern w:val="0"/>
                <w:szCs w:val="21"/>
                <w:highlight w:val="none"/>
              </w:rPr>
            </w:pPr>
          </w:p>
        </w:tc>
        <w:tc>
          <w:tcPr>
            <w:tcW w:w="15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4BB77310">
            <w:pPr>
              <w:widowControl/>
              <w:spacing w:line="440" w:lineRule="atLeast"/>
              <w:jc w:val="left"/>
              <w:rPr>
                <w:rFonts w:hint="eastAsia" w:ascii="宋体" w:hAnsi="宋体" w:cs="宋体"/>
                <w:color w:val="auto"/>
                <w:kern w:val="0"/>
                <w:szCs w:val="21"/>
                <w:highlight w:val="none"/>
              </w:rPr>
            </w:pPr>
          </w:p>
        </w:tc>
      </w:tr>
      <w:tr w14:paraId="7C384B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567" w:hRule="atLeast"/>
        </w:trPr>
        <w:tc>
          <w:tcPr>
            <w:tcW w:w="8698" w:type="dxa"/>
            <w:gridSpan w:val="7"/>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6198763F">
            <w:pPr>
              <w:widowControl/>
              <w:spacing w:line="440" w:lineRule="atLeast"/>
              <w:jc w:val="left"/>
              <w:rPr>
                <w:rFonts w:hint="eastAsia" w:ascii="宋体" w:hAnsi="宋体"/>
                <w:color w:val="auto"/>
                <w:sz w:val="24"/>
                <w:highlight w:val="none"/>
              </w:rPr>
            </w:pPr>
            <w:r>
              <w:rPr>
                <w:rFonts w:hint="eastAsia" w:ascii="宋体" w:hAnsi="宋体"/>
                <w:color w:val="auto"/>
                <w:sz w:val="24"/>
                <w:highlight w:val="none"/>
              </w:rPr>
              <w:t xml:space="preserve">合同总价(大写):  </w:t>
            </w:r>
            <w:r>
              <w:rPr>
                <w:rFonts w:ascii="宋体" w:hAnsi="宋体"/>
                <w:color w:val="auto"/>
                <w:sz w:val="24"/>
                <w:highlight w:val="none"/>
              </w:rPr>
              <w:t xml:space="preserve">   </w:t>
            </w:r>
            <w:r>
              <w:rPr>
                <w:rFonts w:hint="eastAsia" w:ascii="宋体" w:hAnsi="宋体"/>
                <w:color w:val="auto"/>
                <w:sz w:val="24"/>
                <w:highlight w:val="none"/>
              </w:rPr>
              <w:t>(小写)</w:t>
            </w:r>
          </w:p>
          <w:p w14:paraId="30FD3072">
            <w:pPr>
              <w:widowControl/>
              <w:spacing w:line="440" w:lineRule="atLeast"/>
              <w:ind w:firstLine="480" w:firstLineChars="200"/>
              <w:jc w:val="left"/>
              <w:rPr>
                <w:rFonts w:hint="eastAsia" w:ascii="宋体" w:hAnsi="宋体" w:cs="宋体"/>
                <w:color w:val="auto"/>
                <w:kern w:val="0"/>
                <w:szCs w:val="21"/>
                <w:highlight w:val="none"/>
              </w:rPr>
            </w:pPr>
            <w:r>
              <w:rPr>
                <w:rFonts w:hint="eastAsia" w:ascii="宋体" w:hAnsi="宋体"/>
                <w:color w:val="auto"/>
                <w:sz w:val="24"/>
                <w:highlight w:val="none"/>
              </w:rPr>
              <w:t>该价格为本次货物安装调试完毕，经使用方验收小组验收合格并交付使用所有可能发生的费用，包括货物制造、运输、采购保管、产品检验检测、安装调试、施工配合费、税收以及售后服务等费用。</w:t>
            </w:r>
          </w:p>
        </w:tc>
      </w:tr>
    </w:tbl>
    <w:p w14:paraId="16C573A7">
      <w:pPr>
        <w:spacing w:line="400" w:lineRule="exact"/>
        <w:ind w:firstLine="480"/>
        <w:jc w:val="left"/>
        <w:outlineLvl w:val="0"/>
        <w:rPr>
          <w:bCs/>
          <w:color w:val="auto"/>
          <w:sz w:val="24"/>
          <w:highlight w:val="none"/>
        </w:rPr>
      </w:pPr>
      <w:bookmarkStart w:id="168" w:name="_Toc13560"/>
      <w:bookmarkStart w:id="169" w:name="_Toc26697"/>
      <w:bookmarkStart w:id="170" w:name="_Toc9119"/>
      <w:r>
        <w:rPr>
          <w:rFonts w:asciiTheme="majorEastAsia" w:hAnsiTheme="majorEastAsia" w:eastAsiaTheme="majorEastAsia"/>
          <w:bCs/>
          <w:color w:val="auto"/>
          <w:sz w:val="24"/>
          <w:highlight w:val="none"/>
        </w:rPr>
        <w:t>2</w:t>
      </w:r>
      <w:r>
        <w:rPr>
          <w:rFonts w:hint="eastAsia" w:asciiTheme="majorEastAsia" w:hAnsiTheme="majorEastAsia" w:eastAsiaTheme="majorEastAsia"/>
          <w:bCs/>
          <w:color w:val="auto"/>
          <w:sz w:val="24"/>
          <w:highlight w:val="none"/>
        </w:rPr>
        <w:t>、</w:t>
      </w:r>
      <w:r>
        <w:rPr>
          <w:rFonts w:hint="eastAsia"/>
          <w:bCs/>
          <w:color w:val="auto"/>
          <w:sz w:val="24"/>
          <w:highlight w:val="none"/>
        </w:rPr>
        <w:t>质量与保修</w:t>
      </w:r>
      <w:bookmarkEnd w:id="168"/>
      <w:bookmarkEnd w:id="169"/>
      <w:bookmarkEnd w:id="170"/>
    </w:p>
    <w:p w14:paraId="2FF29C1F">
      <w:pPr>
        <w:spacing w:line="400" w:lineRule="exact"/>
        <w:ind w:firstLine="480" w:firstLineChars="200"/>
        <w:jc w:val="left"/>
        <w:outlineLvl w:val="0"/>
        <w:rPr>
          <w:color w:val="auto"/>
          <w:sz w:val="24"/>
          <w:highlight w:val="none"/>
        </w:rPr>
      </w:pPr>
      <w:bookmarkStart w:id="171" w:name="_Toc24611"/>
      <w:bookmarkStart w:id="172" w:name="_Toc15026"/>
      <w:bookmarkStart w:id="173" w:name="_Toc17141"/>
      <w:r>
        <w:rPr>
          <w:rFonts w:asciiTheme="majorEastAsia" w:hAnsiTheme="majorEastAsia" w:eastAsiaTheme="majorEastAsia"/>
          <w:color w:val="auto"/>
          <w:sz w:val="24"/>
          <w:highlight w:val="none"/>
        </w:rPr>
        <w:t>2.1</w:t>
      </w:r>
      <w:r>
        <w:rPr>
          <w:rFonts w:hint="eastAsia"/>
          <w:color w:val="auto"/>
          <w:sz w:val="24"/>
          <w:highlight w:val="none"/>
        </w:rPr>
        <w:t>乙方须保证提供的产品是由乙方制造、生产或乙方经合法方式取得的有经销权的产品，并保证乙方交付的所有协议产品（包括包装等）均符合产品说明书及国家相关标准的规定。</w:t>
      </w:r>
      <w:bookmarkEnd w:id="171"/>
      <w:bookmarkEnd w:id="172"/>
      <w:bookmarkEnd w:id="173"/>
    </w:p>
    <w:p w14:paraId="095C0B8F">
      <w:pPr>
        <w:spacing w:line="400" w:lineRule="exact"/>
        <w:ind w:firstLine="480" w:firstLineChars="200"/>
        <w:jc w:val="left"/>
        <w:rPr>
          <w:color w:val="auto"/>
          <w:sz w:val="24"/>
          <w:highlight w:val="none"/>
        </w:rPr>
      </w:pPr>
      <w:r>
        <w:rPr>
          <w:rFonts w:asciiTheme="minorEastAsia" w:hAnsiTheme="minorEastAsia" w:eastAsiaTheme="minorEastAsia"/>
          <w:color w:val="auto"/>
          <w:sz w:val="24"/>
          <w:highlight w:val="none"/>
        </w:rPr>
        <w:t>2.2</w:t>
      </w:r>
      <w:r>
        <w:rPr>
          <w:rFonts w:hint="eastAsia"/>
          <w:color w:val="auto"/>
          <w:sz w:val="24"/>
          <w:highlight w:val="none"/>
        </w:rPr>
        <w:t>若采购的货物为家具，甲方有权在</w:t>
      </w:r>
      <w:r>
        <w:rPr>
          <w:color w:val="auto"/>
          <w:sz w:val="24"/>
          <w:highlight w:val="none"/>
        </w:rPr>
        <w:t>乙方</w:t>
      </w:r>
      <w:r>
        <w:rPr>
          <w:rFonts w:hint="eastAsia"/>
          <w:color w:val="auto"/>
          <w:sz w:val="24"/>
          <w:highlight w:val="none"/>
        </w:rPr>
        <w:t>提供</w:t>
      </w:r>
      <w:r>
        <w:rPr>
          <w:color w:val="auto"/>
          <w:sz w:val="24"/>
          <w:highlight w:val="none"/>
        </w:rPr>
        <w:t>产品的</w:t>
      </w:r>
      <w:r>
        <w:rPr>
          <w:rFonts w:hint="eastAsia"/>
          <w:color w:val="auto"/>
          <w:sz w:val="24"/>
          <w:highlight w:val="none"/>
        </w:rPr>
        <w:t>生产过程中到产品</w:t>
      </w:r>
      <w:r>
        <w:rPr>
          <w:color w:val="auto"/>
          <w:sz w:val="24"/>
          <w:highlight w:val="none"/>
        </w:rPr>
        <w:t>生产</w:t>
      </w:r>
      <w:r>
        <w:rPr>
          <w:rFonts w:hint="eastAsia"/>
          <w:color w:val="auto"/>
          <w:sz w:val="24"/>
          <w:highlight w:val="none"/>
        </w:rPr>
        <w:t>工厂跟踪生产进度，随机抽取一定数量板材、胶水、油漆等小样带回交由有资质的环保检测公司检验</w:t>
      </w:r>
      <w:r>
        <w:rPr>
          <w:color w:val="auto"/>
          <w:sz w:val="24"/>
          <w:highlight w:val="none"/>
        </w:rPr>
        <w:t>，</w:t>
      </w:r>
      <w:r>
        <w:rPr>
          <w:rFonts w:hint="eastAsia"/>
          <w:color w:val="auto"/>
          <w:sz w:val="24"/>
          <w:highlight w:val="none"/>
        </w:rPr>
        <w:t>乙方要给予积极配合。乙方也可留用相同批次、数量的小样以备甲方检测不合格后自行复检。检测费用由乙方承担。如果甲方带回的小样检测不合格，甲方有权要求乙方更换原材料，以保证供应给甲方的家具检测合格，乙方不得以此为由拖延工期，若由此给甲方造成延期交付、退换货物等直接、间接损失，由乙方赔偿。</w:t>
      </w:r>
    </w:p>
    <w:p w14:paraId="2B342C91">
      <w:pPr>
        <w:widowControl/>
        <w:shd w:val="clear" w:color="auto" w:fill="FFFFFF"/>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3、交货时间和交货地点</w:t>
      </w:r>
    </w:p>
    <w:p w14:paraId="0B9E7252">
      <w:pPr>
        <w:widowControl/>
        <w:shd w:val="clear" w:color="auto" w:fill="FFFFFF"/>
        <w:spacing w:line="440" w:lineRule="atLeast"/>
        <w:ind w:firstLine="480"/>
        <w:jc w:val="left"/>
        <w:rPr>
          <w:color w:val="auto"/>
          <w:sz w:val="24"/>
          <w:highlight w:val="none"/>
        </w:rPr>
      </w:pPr>
      <w:r>
        <w:rPr>
          <w:rFonts w:hint="eastAsia" w:ascii="宋体" w:hAnsi="宋体" w:cs="宋体"/>
          <w:color w:val="auto"/>
          <w:kern w:val="0"/>
          <w:sz w:val="24"/>
          <w:highlight w:val="none"/>
        </w:rPr>
        <w:t>3.1交货时间：</w:t>
      </w:r>
      <w:r>
        <w:rPr>
          <w:rFonts w:hint="eastAsia"/>
          <w:color w:val="auto"/>
          <w:sz w:val="24"/>
          <w:highlight w:val="none"/>
        </w:rPr>
        <w:t>所有货物在</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日前全部到货安装完毕并可试运行。如甲方暂无法提供交货场地或具备安装条件（水、电、通风管路位置），则双方重新商定交货时间，甲方不另行承担仓储费及其他费用。</w:t>
      </w:r>
    </w:p>
    <w:p w14:paraId="58947DBE">
      <w:pPr>
        <w:widowControl/>
        <w:shd w:val="clear" w:color="auto" w:fill="FFFFFF"/>
        <w:spacing w:line="44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.2</w:t>
      </w:r>
      <w:r>
        <w:rPr>
          <w:rFonts w:hint="eastAsia" w:ascii="宋体" w:hAnsi="宋体" w:cs="宋体"/>
          <w:color w:val="auto"/>
          <w:kern w:val="0"/>
          <w:sz w:val="24"/>
          <w:highlight w:val="none"/>
        </w:rPr>
        <w:t>终验时间：</w:t>
      </w:r>
      <w:r>
        <w:rPr>
          <w:rFonts w:hint="eastAsia"/>
          <w:color w:val="auto"/>
          <w:sz w:val="24"/>
          <w:highlight w:val="none"/>
        </w:rPr>
        <w:t>所有货物在交货后</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rFonts w:hint="eastAsia"/>
          <w:color w:val="auto"/>
          <w:sz w:val="24"/>
          <w:highlight w:val="none"/>
        </w:rPr>
        <w:t>日内组织验收，经甲方终验合格后正式交付。终验不合格的，乙方应立即进行换货、补货，换货、补货期限计入终验时间之内。</w:t>
      </w:r>
    </w:p>
    <w:p w14:paraId="53A8C694">
      <w:pPr>
        <w:widowControl/>
        <w:shd w:val="clear" w:color="auto" w:fill="FFFFFF"/>
        <w:spacing w:line="44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3</w:t>
      </w:r>
      <w:r>
        <w:rPr>
          <w:rFonts w:hint="eastAsia" w:ascii="宋体" w:hAnsi="宋体" w:cs="宋体"/>
          <w:color w:val="auto"/>
          <w:kern w:val="0"/>
          <w:sz w:val="24"/>
          <w:highlight w:val="none"/>
        </w:rPr>
        <w:t>交货地点：</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p>
    <w:p w14:paraId="0CD6EC78">
      <w:pPr>
        <w:widowControl/>
        <w:shd w:val="clear" w:color="auto" w:fill="FFFFFF"/>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4、包装及供货清单</w:t>
      </w:r>
    </w:p>
    <w:p w14:paraId="2C3A5CC2">
      <w:pPr>
        <w:widowControl/>
        <w:shd w:val="clear" w:color="auto" w:fill="FFFFFF"/>
        <w:spacing w:line="44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4.1乙方提供的全部货物，均应采用相应的标准保护措施进行包装，使包装适应于远距离运输、防潮、防震、防锈和防粗暴装卸，确保货物安全无损运抵现场。由于包装不善所引起的货物锈蚀、损坏和损失均由乙方承担。（甲方对包装及运输有特别要求的，应作具体约定。）</w:t>
      </w:r>
    </w:p>
    <w:p w14:paraId="56055BE9">
      <w:pPr>
        <w:widowControl/>
        <w:shd w:val="clear" w:color="auto" w:fill="FFFFFF"/>
        <w:spacing w:line="44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4.2供货清单：包括产品主机、随机备品备件、专用工具的名称及数量、</w:t>
      </w:r>
      <w:r>
        <w:rPr>
          <w:rFonts w:hint="eastAsia"/>
          <w:color w:val="auto"/>
          <w:sz w:val="24"/>
          <w:highlight w:val="none"/>
        </w:rPr>
        <w:t>用户手册、出厂质量检验合格证及其他必要的资料</w:t>
      </w:r>
      <w:r>
        <w:rPr>
          <w:rFonts w:hint="eastAsia" w:ascii="宋体" w:hAnsi="宋体" w:cs="宋体"/>
          <w:color w:val="auto"/>
          <w:kern w:val="0"/>
          <w:sz w:val="24"/>
          <w:highlight w:val="none"/>
        </w:rPr>
        <w:t>。</w:t>
      </w:r>
    </w:p>
    <w:p w14:paraId="26A3E6E4">
      <w:pPr>
        <w:widowControl/>
        <w:shd w:val="clear" w:color="auto" w:fill="FFFFFF"/>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5、安装调试、技术服务、人员培训及技术资料</w:t>
      </w:r>
    </w:p>
    <w:p w14:paraId="78DD8C38">
      <w:pPr>
        <w:widowControl/>
        <w:shd w:val="clear" w:color="auto" w:fill="FFFFFF"/>
        <w:spacing w:line="44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.1</w:t>
      </w:r>
      <w:r>
        <w:rPr>
          <w:rFonts w:hint="eastAsia" w:ascii="宋体" w:hAnsi="宋体" w:cs="宋体"/>
          <w:color w:val="auto"/>
          <w:kern w:val="0"/>
          <w:sz w:val="24"/>
          <w:highlight w:val="none"/>
        </w:rPr>
        <w:t>乙方在现场安装时要注意保管未交付甲方的货物，同时注意安装地点及周围的环境卫生，严格进行文明施工，装卸、运输、安装时不得损坏办公地面和其他设施，如损坏需由乙方赔偿甲方全部维修费用。在安装过程中甲方将随机抽取一定数量的货物送国家认可的质量检测机构检测，检测费用由乙方承担，如果因检测对部分货物造成的破损，乙方应无偿在安装、调试完所有货物前给予修复。若达不到投标书中承诺及国家标准的品质及环保要求的，甲方有权要求乙方整改或退回不合格产品，由此造成的损失由乙方承担。</w:t>
      </w:r>
    </w:p>
    <w:p w14:paraId="665946EA">
      <w:pPr>
        <w:widowControl/>
        <w:shd w:val="clear" w:color="auto" w:fill="FFFFFF"/>
        <w:spacing w:line="44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5.2货物安装调试期间的现场管理由使用方负责。</w:t>
      </w:r>
    </w:p>
    <w:p w14:paraId="0A02618B">
      <w:pPr>
        <w:widowControl/>
        <w:shd w:val="clear" w:color="auto" w:fill="FFFFFF"/>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6、验收</w:t>
      </w:r>
      <w:r>
        <w:rPr>
          <w:rFonts w:hint="eastAsia" w:ascii="宋体" w:hAnsi="宋体" w:cs="宋体"/>
          <w:b/>
          <w:color w:val="auto"/>
          <w:kern w:val="0"/>
          <w:sz w:val="24"/>
          <w:highlight w:val="none"/>
        </w:rPr>
        <w:t>(按投标文件填写)</w:t>
      </w:r>
    </w:p>
    <w:p w14:paraId="1864BF81">
      <w:pPr>
        <w:widowControl/>
        <w:shd w:val="clear" w:color="auto" w:fill="FFFFFF"/>
        <w:spacing w:line="440" w:lineRule="atLeas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甲乙双方需按照《厦门大学货物和服务验收管理办法》验收。</w:t>
      </w:r>
    </w:p>
    <w:p w14:paraId="6C137F91">
      <w:pPr>
        <w:widowControl/>
        <w:shd w:val="clear" w:color="auto" w:fill="FFFFFF"/>
        <w:spacing w:line="440" w:lineRule="atLeas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可细分为初验、终验。初验为使用方到货时根据采购文件、合同清单对货物外包装、品牌型号、规格、数量等进行验收，并查验相关的合格证书及技术资料，并出具初验确认单。终验为货物完成安装且使用正常，对货物技术参数、性能等方面的质量验收。对于复杂货物需另行约定验收方式的，详见附件。</w:t>
      </w:r>
    </w:p>
    <w:p w14:paraId="4311D75C">
      <w:pPr>
        <w:widowControl/>
        <w:shd w:val="clear" w:color="auto" w:fill="FFFFFF"/>
        <w:spacing w:line="440" w:lineRule="atLeast"/>
        <w:ind w:firstLine="480"/>
        <w:jc w:val="left"/>
        <w:rPr>
          <w:rFonts w:hint="eastAsia" w:ascii="宋体" w:hAnsi="宋体" w:cs="宋体"/>
          <w:color w:val="auto"/>
          <w:kern w:val="0"/>
          <w:szCs w:val="21"/>
          <w:highlight w:val="none"/>
        </w:rPr>
      </w:pPr>
      <w:r>
        <w:rPr>
          <w:rFonts w:hint="eastAsia"/>
          <w:color w:val="auto"/>
          <w:sz w:val="24"/>
          <w:highlight w:val="none"/>
        </w:rPr>
        <w:t>使用方在收到乙方书面通知1</w:t>
      </w:r>
      <w:r>
        <w:rPr>
          <w:color w:val="auto"/>
          <w:sz w:val="24"/>
          <w:highlight w:val="none"/>
        </w:rPr>
        <w:t>5</w:t>
      </w:r>
      <w:r>
        <w:rPr>
          <w:rFonts w:hint="eastAsia"/>
          <w:color w:val="auto"/>
          <w:sz w:val="24"/>
          <w:highlight w:val="none"/>
        </w:rPr>
        <w:t>个工作日内，应组织人员进行终验，</w:t>
      </w:r>
      <w:r>
        <w:rPr>
          <w:rFonts w:hint="eastAsia" w:ascii="宋体" w:hAnsi="宋体" w:cs="宋体"/>
          <w:color w:val="auto"/>
          <w:kern w:val="0"/>
          <w:sz w:val="24"/>
          <w:highlight w:val="none"/>
        </w:rPr>
        <w:t>验收结果经双方确认后，双方代表必须按规定的验收交接单上的项目对照本合同填好验收结果并签名盖章。</w:t>
      </w:r>
    </w:p>
    <w:p w14:paraId="1E7FBDAA">
      <w:pPr>
        <w:widowControl/>
        <w:shd w:val="clear" w:color="auto" w:fill="FFFFFF"/>
        <w:spacing w:line="440" w:lineRule="atLeas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验收不合格的，乙方须先进行整改，仍旧不合格的，甲方有权退货，甲方不退还履约保证金并要求乙方赔偿由此给使用方造成的损失。</w:t>
      </w:r>
    </w:p>
    <w:p w14:paraId="259BE30C">
      <w:pPr>
        <w:widowControl/>
        <w:shd w:val="clear" w:color="auto" w:fill="FFFFFF"/>
        <w:spacing w:line="44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7、履约保证金</w:t>
      </w:r>
    </w:p>
    <w:p w14:paraId="6862175A">
      <w:pPr>
        <w:widowControl/>
        <w:shd w:val="clear" w:color="auto" w:fill="FFFFFF"/>
        <w:spacing w:line="44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合同签订前，乙方应向甲方缴纳合同金额的</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rFonts w:hint="eastAsia" w:ascii="宋体" w:hAnsi="宋体" w:cs="宋体"/>
          <w:color w:val="auto"/>
          <w:kern w:val="0"/>
          <w:sz w:val="24"/>
          <w:highlight w:val="none"/>
        </w:rPr>
        <w:t>%（人民币大写）</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rFonts w:hint="eastAsia" w:ascii="宋体" w:hAnsi="宋体" w:cs="宋体"/>
          <w:color w:val="auto"/>
          <w:kern w:val="0"/>
          <w:sz w:val="24"/>
          <w:highlight w:val="none"/>
        </w:rPr>
        <w:t>元整（¥</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rFonts w:hint="eastAsia" w:ascii="宋体" w:hAnsi="宋体" w:cs="宋体"/>
          <w:color w:val="auto"/>
          <w:kern w:val="0"/>
          <w:sz w:val="24"/>
          <w:highlight w:val="none"/>
        </w:rPr>
        <w:t>）作为履约保证金。履约保证金可以支票、汇票、本票或者金融机构、担保机构出具的保函等非现金形式提交。在验收合格之后十五个工作日内予以退还。</w:t>
      </w:r>
    </w:p>
    <w:p w14:paraId="1626C94A">
      <w:pPr>
        <w:widowControl/>
        <w:shd w:val="clear" w:color="auto" w:fill="FFFFFF"/>
        <w:spacing w:line="44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8、质保金</w:t>
      </w:r>
    </w:p>
    <w:p w14:paraId="6904DD71">
      <w:pPr>
        <w:widowControl/>
        <w:shd w:val="clear" w:color="auto" w:fill="FFFFFF"/>
        <w:spacing w:line="440" w:lineRule="atLeast"/>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 </w:t>
      </w:r>
      <w:r>
        <w:rPr>
          <w:rFonts w:ascii="宋体" w:hAnsi="宋体" w:cs="宋体"/>
          <w:b/>
          <w:color w:val="auto"/>
          <w:kern w:val="0"/>
          <w:sz w:val="24"/>
          <w:highlight w:val="none"/>
        </w:rPr>
        <w:t xml:space="preserve"> </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货物验收合格后且甲方支付全额货款前，乙方应向甲方缴纳合同金额的5%（人民币大写）</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元整（¥</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rFonts w:hint="eastAsia" w:ascii="宋体" w:hAnsi="宋体" w:cs="宋体"/>
          <w:color w:val="auto"/>
          <w:kern w:val="0"/>
          <w:sz w:val="24"/>
          <w:highlight w:val="none"/>
        </w:rPr>
        <w:t>）作为质保金，在</w:t>
      </w:r>
      <w:r>
        <w:rPr>
          <w:rFonts w:hint="eastAsia"/>
          <w:color w:val="auto"/>
          <w:sz w:val="24"/>
          <w:highlight w:val="none"/>
        </w:rPr>
        <w:t>终验合格满____年后，由甲方资产后勤处在</w:t>
      </w:r>
      <w:r>
        <w:rPr>
          <w:color w:val="auto"/>
          <w:sz w:val="24"/>
          <w:highlight w:val="none"/>
        </w:rPr>
        <w:t>30</w:t>
      </w:r>
      <w:r>
        <w:rPr>
          <w:rFonts w:hint="eastAsia"/>
          <w:color w:val="auto"/>
          <w:sz w:val="24"/>
          <w:highlight w:val="none"/>
        </w:rPr>
        <w:t>日内予以退还。使用方应对乙方在维修保证期内是否按合同约定履行维保义务进行监督，若乙方未按约定履约，使用方应及时反馈并在满足退还条件前10日内书面报告甲方资产后勤处。</w:t>
      </w:r>
    </w:p>
    <w:p w14:paraId="7AB035C7">
      <w:pPr>
        <w:widowControl/>
        <w:shd w:val="clear" w:color="auto" w:fill="FFFFFF"/>
        <w:spacing w:line="440" w:lineRule="atLeast"/>
        <w:jc w:val="left"/>
        <w:rPr>
          <w:rFonts w:hint="eastAsia" w:ascii="宋体" w:hAnsi="宋体" w:cs="宋体"/>
          <w:color w:val="auto"/>
          <w:kern w:val="0"/>
          <w:szCs w:val="21"/>
          <w:highlight w:val="none"/>
        </w:rPr>
      </w:pPr>
      <w:r>
        <w:rPr>
          <w:rFonts w:ascii="宋体" w:hAnsi="宋体" w:cs="宋体"/>
          <w:color w:val="auto"/>
          <w:kern w:val="0"/>
          <w:sz w:val="24"/>
          <w:highlight w:val="none"/>
        </w:rPr>
        <w:t>9</w:t>
      </w:r>
      <w:r>
        <w:rPr>
          <w:rFonts w:hint="eastAsia" w:ascii="宋体" w:hAnsi="宋体" w:cs="宋体"/>
          <w:color w:val="auto"/>
          <w:kern w:val="0"/>
          <w:sz w:val="24"/>
          <w:highlight w:val="none"/>
        </w:rPr>
        <w:t>、付款方式与条件</w:t>
      </w:r>
    </w:p>
    <w:p w14:paraId="550C0B8D">
      <w:pPr>
        <w:spacing w:line="360" w:lineRule="auto"/>
        <w:ind w:firstLine="480" w:firstLineChars="200"/>
        <w:rPr>
          <w:color w:val="auto"/>
          <w:sz w:val="24"/>
          <w:highlight w:val="none"/>
        </w:rPr>
      </w:pPr>
      <w:r>
        <w:rPr>
          <w:rFonts w:hint="eastAsia"/>
          <w:color w:val="auto"/>
          <w:sz w:val="24"/>
          <w:highlight w:val="none"/>
        </w:rPr>
        <w:t>甲、乙双方采用下列第</w:t>
      </w:r>
      <w:r>
        <w:rPr>
          <w:rFonts w:hint="eastAsia"/>
          <w:color w:val="auto"/>
          <w:sz w:val="24"/>
          <w:highlight w:val="none"/>
          <w:u w:val="single"/>
        </w:rPr>
        <w:t xml:space="preserve">    </w:t>
      </w:r>
      <w:r>
        <w:rPr>
          <w:rFonts w:hint="eastAsia"/>
          <w:color w:val="auto"/>
          <w:sz w:val="24"/>
          <w:highlight w:val="none"/>
        </w:rPr>
        <w:t>种方式交货付款：</w:t>
      </w:r>
    </w:p>
    <w:p w14:paraId="4A240E97">
      <w:pPr>
        <w:spacing w:line="360" w:lineRule="auto"/>
        <w:ind w:firstLine="480" w:firstLineChars="200"/>
        <w:rPr>
          <w:color w:val="auto"/>
          <w:sz w:val="24"/>
          <w:highlight w:val="none"/>
        </w:rPr>
      </w:pPr>
      <w:r>
        <w:rPr>
          <w:rFonts w:hint="eastAsia"/>
          <w:color w:val="auto"/>
          <w:sz w:val="24"/>
          <w:highlight w:val="none"/>
        </w:rPr>
        <w:t>①全部货物终验合格且付款条件完备后3</w:t>
      </w:r>
      <w:r>
        <w:rPr>
          <w:color w:val="auto"/>
          <w:sz w:val="24"/>
          <w:highlight w:val="none"/>
        </w:rPr>
        <w:t>0</w:t>
      </w:r>
      <w:r>
        <w:rPr>
          <w:rFonts w:hint="eastAsia"/>
          <w:color w:val="auto"/>
          <w:sz w:val="24"/>
          <w:highlight w:val="none"/>
        </w:rPr>
        <w:t>日内支付货款的</w:t>
      </w:r>
      <w:r>
        <w:rPr>
          <w:color w:val="auto"/>
          <w:sz w:val="24"/>
          <w:highlight w:val="none"/>
        </w:rPr>
        <w:t>100</w:t>
      </w:r>
      <w:r>
        <w:rPr>
          <w:rFonts w:hint="eastAsia"/>
          <w:color w:val="auto"/>
          <w:sz w:val="24"/>
          <w:highlight w:val="none"/>
        </w:rPr>
        <w:t>％（</w:t>
      </w:r>
      <w:r>
        <w:rPr>
          <w:rFonts w:hint="eastAsia" w:ascii="宋体" w:hAnsi="宋体" w:cs="宋体"/>
          <w:color w:val="auto"/>
          <w:kern w:val="0"/>
          <w:sz w:val="24"/>
          <w:highlight w:val="none"/>
        </w:rPr>
        <w:t>人民币大写</w:t>
      </w:r>
      <w:r>
        <w:rPr>
          <w:rFonts w:hint="eastAsia"/>
          <w:color w:val="auto"/>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color w:val="auto"/>
          <w:sz w:val="24"/>
          <w:highlight w:val="none"/>
        </w:rPr>
        <w:t>。</w:t>
      </w:r>
      <w:r>
        <w:rPr>
          <w:color w:val="auto"/>
          <w:sz w:val="24"/>
          <w:highlight w:val="none"/>
        </w:rPr>
        <w:t xml:space="preserve"> </w:t>
      </w:r>
    </w:p>
    <w:p w14:paraId="6450A60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②合同签订后，甲方预付货款的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color w:val="auto"/>
          <w:sz w:val="24"/>
          <w:highlight w:val="none"/>
        </w:rPr>
        <w:t>（</w:t>
      </w:r>
      <w:r>
        <w:rPr>
          <w:rFonts w:hint="eastAsia" w:ascii="宋体" w:hAnsi="宋体" w:cs="宋体"/>
          <w:color w:val="auto"/>
          <w:kern w:val="0"/>
          <w:sz w:val="24"/>
          <w:highlight w:val="none"/>
        </w:rPr>
        <w:t>人民币大写</w:t>
      </w:r>
      <w:r>
        <w:rPr>
          <w:rFonts w:hint="eastAsia"/>
          <w:color w:val="auto"/>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），在全部货物终验合格</w:t>
      </w:r>
      <w:r>
        <w:rPr>
          <w:rFonts w:hint="eastAsia"/>
          <w:color w:val="auto"/>
          <w:sz w:val="24"/>
          <w:highlight w:val="none"/>
        </w:rPr>
        <w:t>且付款条件完备后3</w:t>
      </w:r>
      <w:r>
        <w:rPr>
          <w:color w:val="auto"/>
          <w:sz w:val="24"/>
          <w:highlight w:val="none"/>
        </w:rPr>
        <w:t>0</w:t>
      </w:r>
      <w:r>
        <w:rPr>
          <w:rFonts w:hint="eastAsia"/>
          <w:color w:val="auto"/>
          <w:sz w:val="24"/>
          <w:highlight w:val="none"/>
        </w:rPr>
        <w:t>日内支付剩余货款（</w:t>
      </w:r>
      <w:r>
        <w:rPr>
          <w:rFonts w:hint="eastAsia" w:ascii="宋体" w:hAnsi="宋体" w:cs="宋体"/>
          <w:color w:val="auto"/>
          <w:kern w:val="0"/>
          <w:sz w:val="24"/>
          <w:highlight w:val="none"/>
        </w:rPr>
        <w:t>人民币大写</w:t>
      </w:r>
      <w:r>
        <w:rPr>
          <w:rFonts w:hint="eastAsia"/>
          <w:color w:val="auto"/>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color w:val="auto"/>
          <w:sz w:val="24"/>
          <w:highlight w:val="none"/>
        </w:rPr>
        <w:t>。</w:t>
      </w:r>
    </w:p>
    <w:p w14:paraId="04FF097B">
      <w:pPr>
        <w:widowControl/>
        <w:shd w:val="clear" w:color="auto" w:fill="FFFFFF"/>
        <w:spacing w:line="440" w:lineRule="atLeast"/>
        <w:ind w:firstLine="480"/>
        <w:jc w:val="left"/>
        <w:rPr>
          <w:color w:val="auto"/>
          <w:sz w:val="24"/>
          <w:highlight w:val="none"/>
        </w:rPr>
      </w:pPr>
      <w:r>
        <w:rPr>
          <w:rFonts w:hint="eastAsia" w:ascii="宋体" w:hAnsi="宋体"/>
          <w:color w:val="auto"/>
          <w:sz w:val="24"/>
          <w:highlight w:val="none"/>
        </w:rPr>
        <w:t>③</w:t>
      </w:r>
      <w:r>
        <w:rPr>
          <w:rFonts w:hint="eastAsia" w:ascii="宋体" w:hAnsi="宋体" w:cs="宋体"/>
          <w:color w:val="auto"/>
          <w:kern w:val="0"/>
          <w:sz w:val="24"/>
          <w:highlight w:val="none"/>
        </w:rPr>
        <w:t>合同签订后，甲方预付货款的</w:t>
      </w:r>
      <w:r>
        <w:rPr>
          <w:rFonts w:ascii="宋体" w:hAnsi="宋体" w:cs="宋体"/>
          <w:color w:val="auto"/>
          <w:kern w:val="0"/>
          <w:sz w:val="24"/>
          <w:highlight w:val="none"/>
        </w:rPr>
        <w:t>100</w:t>
      </w:r>
      <w:r>
        <w:rPr>
          <w:rFonts w:hint="eastAsia"/>
          <w:color w:val="auto"/>
          <w:sz w:val="24"/>
          <w:highlight w:val="none"/>
        </w:rPr>
        <w:t>％（</w:t>
      </w:r>
      <w:r>
        <w:rPr>
          <w:rFonts w:hint="eastAsia" w:ascii="宋体" w:hAnsi="宋体" w:cs="宋体"/>
          <w:color w:val="auto"/>
          <w:kern w:val="0"/>
          <w:sz w:val="24"/>
          <w:highlight w:val="none"/>
        </w:rPr>
        <w:t>人民币大写</w:t>
      </w:r>
      <w:r>
        <w:rPr>
          <w:rFonts w:hint="eastAsia"/>
          <w:color w:val="auto"/>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color w:val="auto"/>
          <w:sz w:val="24"/>
          <w:highlight w:val="none"/>
        </w:rPr>
        <w:t>。</w:t>
      </w:r>
    </w:p>
    <w:p w14:paraId="471B7578">
      <w:pPr>
        <w:widowControl/>
        <w:shd w:val="clear" w:color="auto" w:fill="FFFFFF"/>
        <w:spacing w:line="440" w:lineRule="atLeast"/>
        <w:ind w:firstLine="480"/>
        <w:jc w:val="left"/>
        <w:rPr>
          <w:color w:val="auto"/>
          <w:sz w:val="24"/>
          <w:highlight w:val="none"/>
        </w:rPr>
      </w:pPr>
      <w:r>
        <w:rPr>
          <w:rFonts w:hint="eastAsia"/>
          <w:color w:val="auto"/>
          <w:sz w:val="24"/>
          <w:highlight w:val="none"/>
        </w:rPr>
        <w:t>若甲方付款时需要对应金额的发票，乙方应及时提供。</w:t>
      </w:r>
    </w:p>
    <w:p w14:paraId="037668DF">
      <w:pPr>
        <w:widowControl/>
        <w:shd w:val="clear" w:color="auto" w:fill="FFFFFF"/>
        <w:spacing w:line="440" w:lineRule="atLeast"/>
        <w:jc w:val="left"/>
        <w:rPr>
          <w:rFonts w:hint="eastAsia" w:ascii="宋体" w:hAnsi="宋体" w:cs="宋体"/>
          <w:color w:val="auto"/>
          <w:kern w:val="0"/>
          <w:szCs w:val="21"/>
          <w:highlight w:val="none"/>
        </w:rPr>
      </w:pPr>
      <w:r>
        <w:rPr>
          <w:rFonts w:ascii="宋体" w:hAnsi="宋体" w:cs="宋体"/>
          <w:color w:val="auto"/>
          <w:kern w:val="0"/>
          <w:sz w:val="24"/>
          <w:highlight w:val="none"/>
        </w:rPr>
        <w:t>10</w:t>
      </w:r>
      <w:r>
        <w:rPr>
          <w:rFonts w:hint="eastAsia" w:ascii="宋体" w:hAnsi="宋体" w:cs="宋体"/>
          <w:color w:val="auto"/>
          <w:kern w:val="0"/>
          <w:sz w:val="24"/>
          <w:highlight w:val="none"/>
        </w:rPr>
        <w:t>、售后服务</w:t>
      </w:r>
      <w:r>
        <w:rPr>
          <w:rFonts w:hint="eastAsia" w:ascii="宋体" w:hAnsi="宋体" w:cs="宋体"/>
          <w:b/>
          <w:color w:val="auto"/>
          <w:kern w:val="0"/>
          <w:sz w:val="24"/>
          <w:highlight w:val="none"/>
        </w:rPr>
        <w:t>(按投标文件填写)</w:t>
      </w:r>
    </w:p>
    <w:p w14:paraId="70A1D22E">
      <w:pPr>
        <w:widowControl/>
        <w:shd w:val="clear" w:color="auto" w:fill="FFFFFF"/>
        <w:spacing w:line="440" w:lineRule="atLeas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各合同包货物质保期要求均为货物经终验合格后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个月，在质量保证期内设备运行发生故障时，乙方在接到甲方故障通知后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小时内应委派专业技术人员到现场免费提供咨询、维修和更换零部件等服务，并及时填写维修报告（包括故障原因、处理情况及甲方意见等）报甲方备案，若</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小时内无法排除故障，则应先提供同档次备用机供甲方使用。其间发生一切费用由乙方承担。质量保证期内乙方有责任对设备进行不定期的巡查检修（可根据乙方投标文件中提供的更优、更合理的维修服务承诺进行修改）。</w:t>
      </w:r>
    </w:p>
    <w:p w14:paraId="0B091E22">
      <w:pPr>
        <w:widowControl/>
        <w:shd w:val="clear" w:color="auto" w:fill="FFFFFF"/>
        <w:spacing w:line="44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乙方在质保期内对货物提供免费保修，质保期过后乙方提供终身维修。</w:t>
      </w:r>
    </w:p>
    <w:p w14:paraId="77D5B5B8">
      <w:pPr>
        <w:widowControl/>
        <w:shd w:val="clear" w:color="auto" w:fill="FFFFFF"/>
        <w:spacing w:line="44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质保期过后，甲方向乙方购置本合同购买货物的配套配件时，乙方应按配件原价__折（优惠__%）出售，配件原价以当年度厂家官网清单、销售彩页价格等最低官方报价为准。</w:t>
      </w:r>
    </w:p>
    <w:p w14:paraId="5CA95CF6">
      <w:pPr>
        <w:widowControl/>
        <w:shd w:val="clear" w:color="auto" w:fill="FFFFFF"/>
        <w:spacing w:line="44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1</w:t>
      </w:r>
      <w:r>
        <w:rPr>
          <w:rFonts w:hint="eastAsia" w:ascii="宋体" w:hAnsi="宋体" w:cs="宋体"/>
          <w:color w:val="auto"/>
          <w:kern w:val="0"/>
          <w:sz w:val="24"/>
          <w:highlight w:val="none"/>
        </w:rPr>
        <w:t>、知识产权</w:t>
      </w:r>
    </w:p>
    <w:p w14:paraId="686032CA">
      <w:pPr>
        <w:widowControl/>
        <w:shd w:val="clear" w:color="auto" w:fill="FFFFFF"/>
        <w:spacing w:line="44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乙方须保障甲方在使用该货物或其任何一部分时不受到第三方关于侵犯专利权、商标权或工业设计权等知识产权的指控。任何第三方提出侵权指控与甲方无关，乙方须与第三方交涉并承担可能发生的责任与一切费用。如甲方因此而遭致损失的，乙方应赔偿该损失。</w:t>
      </w:r>
    </w:p>
    <w:p w14:paraId="4D895F07">
      <w:pPr>
        <w:widowControl/>
        <w:shd w:val="clear" w:color="auto" w:fill="FFFFFF"/>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2</w:t>
      </w:r>
      <w:r>
        <w:rPr>
          <w:rFonts w:hint="eastAsia" w:ascii="宋体" w:hAnsi="宋体" w:cs="宋体"/>
          <w:color w:val="auto"/>
          <w:kern w:val="0"/>
          <w:sz w:val="24"/>
          <w:highlight w:val="none"/>
        </w:rPr>
        <w:t>、违约责任</w:t>
      </w:r>
    </w:p>
    <w:p w14:paraId="2A0F5BBF">
      <w:pPr>
        <w:widowControl/>
        <w:shd w:val="clear" w:color="auto" w:fill="FFFFFF"/>
        <w:spacing w:line="44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2</w:t>
      </w:r>
      <w:r>
        <w:rPr>
          <w:rFonts w:hint="eastAsia" w:ascii="宋体" w:hAnsi="宋体" w:cs="宋体"/>
          <w:color w:val="auto"/>
          <w:kern w:val="0"/>
          <w:sz w:val="24"/>
          <w:highlight w:val="none"/>
        </w:rPr>
        <w:t>.1未按期交货的违约责任</w:t>
      </w:r>
    </w:p>
    <w:p w14:paraId="2A3F7DD0">
      <w:pPr>
        <w:widowControl/>
        <w:shd w:val="clear" w:color="auto" w:fill="FFFFFF"/>
        <w:spacing w:line="44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如果乙方未按照合同规定的时间交货和完成验收，甲方可不退还履约保证金并从货款中扣除违约金，违约金应按合同总价的5‰/日计收。</w:t>
      </w:r>
    </w:p>
    <w:p w14:paraId="60CA5CB7">
      <w:pPr>
        <w:widowControl/>
        <w:shd w:val="clear" w:color="auto" w:fill="FFFFFF"/>
        <w:spacing w:line="440" w:lineRule="atLeast"/>
        <w:ind w:firstLine="480"/>
        <w:jc w:val="left"/>
        <w:rPr>
          <w:rFonts w:hint="eastAsia" w:ascii="宋体" w:hAnsi="宋体" w:cs="宋体"/>
          <w:color w:val="auto"/>
          <w:kern w:val="0"/>
          <w:sz w:val="24"/>
          <w:highlight w:val="none"/>
        </w:rPr>
      </w:pPr>
      <w:r>
        <w:rPr>
          <w:rFonts w:ascii="宋体" w:hAnsi="宋体" w:cs="宋体"/>
          <w:color w:val="auto"/>
          <w:kern w:val="0"/>
          <w:sz w:val="24"/>
          <w:highlight w:val="none"/>
        </w:rPr>
        <w:t>12.2未按时付款的违约责任</w:t>
      </w:r>
    </w:p>
    <w:p w14:paraId="4E53D59C">
      <w:pPr>
        <w:widowControl/>
        <w:shd w:val="clear" w:color="auto" w:fill="FFFFFF"/>
        <w:spacing w:line="440" w:lineRule="atLeas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如果甲方未按照合同规定的时间付款，违约金应按未支付金额的</w:t>
      </w:r>
      <w:r>
        <w:rPr>
          <w:rFonts w:ascii="宋体" w:hAnsi="宋体" w:cs="宋体"/>
          <w:color w:val="auto"/>
          <w:kern w:val="0"/>
          <w:sz w:val="24"/>
          <w:highlight w:val="none"/>
        </w:rPr>
        <w:t>5‰/日</w:t>
      </w:r>
      <w:r>
        <w:rPr>
          <w:rFonts w:hint="eastAsia" w:ascii="宋体" w:hAnsi="宋体" w:cs="宋体"/>
          <w:color w:val="auto"/>
          <w:kern w:val="0"/>
          <w:sz w:val="24"/>
          <w:highlight w:val="none"/>
        </w:rPr>
        <w:t>计收，总违约金不超过合同总价的</w:t>
      </w:r>
      <w:r>
        <w:rPr>
          <w:rFonts w:ascii="宋体" w:hAnsi="宋体" w:cs="宋体"/>
          <w:color w:val="auto"/>
          <w:kern w:val="0"/>
          <w:sz w:val="24"/>
          <w:highlight w:val="none"/>
        </w:rPr>
        <w:t>30%</w:t>
      </w:r>
      <w:r>
        <w:rPr>
          <w:rFonts w:hint="eastAsia" w:ascii="宋体" w:hAnsi="宋体" w:cs="宋体"/>
          <w:color w:val="auto"/>
          <w:kern w:val="0"/>
          <w:sz w:val="24"/>
          <w:highlight w:val="none"/>
        </w:rPr>
        <w:t>。</w:t>
      </w:r>
    </w:p>
    <w:p w14:paraId="0136A88D">
      <w:pPr>
        <w:widowControl/>
        <w:shd w:val="clear" w:color="auto" w:fill="FFFFFF"/>
        <w:spacing w:line="440" w:lineRule="atLeas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2.3</w:t>
      </w:r>
      <w:r>
        <w:rPr>
          <w:rFonts w:hint="eastAsia" w:ascii="宋体" w:hAnsi="宋体" w:cs="宋体"/>
          <w:color w:val="auto"/>
          <w:kern w:val="0"/>
          <w:sz w:val="24"/>
          <w:highlight w:val="none"/>
        </w:rPr>
        <w:t>违反《厦门大学采购供应商管理办法（试行）》规定的责任</w:t>
      </w:r>
    </w:p>
    <w:p w14:paraId="28ECEBC3">
      <w:pPr>
        <w:widowControl/>
        <w:shd w:val="clear" w:color="auto" w:fill="FFFFFF"/>
        <w:spacing w:line="440" w:lineRule="atLeas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乙方应当按照《厦门大学采购供应商管理办法（试行）》规定接受甲方管理，对违反《厦门大学采购供应商管理办法（试行）》规定的行为承担相应责任。</w:t>
      </w:r>
    </w:p>
    <w:p w14:paraId="241D56B5">
      <w:pPr>
        <w:widowControl/>
        <w:shd w:val="clear" w:color="auto" w:fill="FFFFFF"/>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3</w:t>
      </w:r>
      <w:r>
        <w:rPr>
          <w:rFonts w:hint="eastAsia" w:ascii="宋体" w:hAnsi="宋体" w:cs="宋体"/>
          <w:color w:val="auto"/>
          <w:kern w:val="0"/>
          <w:sz w:val="24"/>
          <w:highlight w:val="none"/>
        </w:rPr>
        <w:t>、终止合同</w:t>
      </w:r>
    </w:p>
    <w:p w14:paraId="14942BF2">
      <w:pPr>
        <w:widowControl/>
        <w:shd w:val="clear" w:color="auto" w:fill="FFFFFF"/>
        <w:spacing w:line="440" w:lineRule="atLeas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在补救违约而采取的任何其他措施未能实现的情况下，即在甲方发出的违约通知后30天内仍未纠正其下述任何一种违约行为，甲方有权向乙方发出书面通知，终止本合同：</w:t>
      </w:r>
    </w:p>
    <w:p w14:paraId="13669801">
      <w:pPr>
        <w:widowControl/>
        <w:shd w:val="clear" w:color="auto" w:fill="FFFFFF"/>
        <w:spacing w:line="440" w:lineRule="atLeas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3</w:t>
      </w:r>
      <w:r>
        <w:rPr>
          <w:rFonts w:hint="eastAsia" w:ascii="宋体" w:hAnsi="宋体" w:cs="宋体"/>
          <w:color w:val="auto"/>
          <w:kern w:val="0"/>
          <w:sz w:val="24"/>
          <w:highlight w:val="none"/>
        </w:rPr>
        <w:t>.1如果乙方未能在合同规定的期限内或双方另行确定的延期交货时间内交付合同约定的货物。</w:t>
      </w:r>
    </w:p>
    <w:p w14:paraId="61E21938">
      <w:pPr>
        <w:widowControl/>
        <w:shd w:val="clear" w:color="auto" w:fill="FFFFFF"/>
        <w:spacing w:line="440" w:lineRule="atLeas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3</w:t>
      </w:r>
      <w:r>
        <w:rPr>
          <w:rFonts w:hint="eastAsia" w:ascii="宋体" w:hAnsi="宋体" w:cs="宋体"/>
          <w:color w:val="auto"/>
          <w:kern w:val="0"/>
          <w:sz w:val="24"/>
          <w:highlight w:val="none"/>
        </w:rPr>
        <w:t>.2乙方未能履行合同项下的任何其他义务。</w:t>
      </w:r>
    </w:p>
    <w:p w14:paraId="39EE5A0A">
      <w:pPr>
        <w:widowControl/>
        <w:shd w:val="clear" w:color="auto" w:fill="FFFFFF"/>
        <w:spacing w:line="440" w:lineRule="atLeast"/>
        <w:ind w:firstLine="120"/>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4</w:t>
      </w:r>
      <w:r>
        <w:rPr>
          <w:rFonts w:hint="eastAsia" w:ascii="宋体" w:hAnsi="宋体" w:cs="宋体"/>
          <w:color w:val="auto"/>
          <w:kern w:val="0"/>
          <w:sz w:val="24"/>
          <w:highlight w:val="none"/>
        </w:rPr>
        <w:t>、不可抗力</w:t>
      </w:r>
    </w:p>
    <w:p w14:paraId="080107F4">
      <w:pPr>
        <w:widowControl/>
        <w:shd w:val="clear" w:color="auto" w:fill="FFFFFF"/>
        <w:spacing w:line="440" w:lineRule="atLeast"/>
        <w:ind w:firstLine="480"/>
        <w:jc w:val="left"/>
        <w:rPr>
          <w:rFonts w:hint="eastAsia" w:ascii="宋体" w:hAnsi="宋体"/>
          <w:color w:val="auto"/>
          <w:sz w:val="24"/>
          <w:highlight w:val="none"/>
        </w:rPr>
      </w:pPr>
      <w:r>
        <w:rPr>
          <w:rFonts w:hint="eastAsia" w:ascii="宋体" w:hAnsi="宋体" w:cs="宋体"/>
          <w:color w:val="auto"/>
          <w:kern w:val="0"/>
          <w:sz w:val="24"/>
          <w:highlight w:val="none"/>
        </w:rPr>
        <w:t>因不可抗力造成违约的，遭受不可抗力一方应立即书面向对方通报不能履行或不能完全履行的理由，并在该事件发生15日内向另一方提供不可抗力发生以及持续期间的充分证据。基于以上行为，允许遭受不可抗力一方延期履行、部分履行或者不履行合同，并根据情况可部分或全部免于承担违约责任。</w:t>
      </w:r>
      <w:r>
        <w:rPr>
          <w:rFonts w:hint="eastAsia" w:ascii="宋体" w:hAnsi="宋体"/>
          <w:color w:val="auto"/>
          <w:sz w:val="24"/>
          <w:highlight w:val="none"/>
        </w:rPr>
        <w:t>受影响方应在不可抗力对其履行义务的影响结束后的24小时内就此通知另一方，并应立即恢复其义务的履行。</w:t>
      </w:r>
    </w:p>
    <w:p w14:paraId="2A9AD8B5">
      <w:pPr>
        <w:widowControl/>
        <w:shd w:val="clear" w:color="auto" w:fill="FFFFFF"/>
        <w:spacing w:line="440" w:lineRule="atLeast"/>
        <w:ind w:firstLine="480"/>
        <w:jc w:val="left"/>
        <w:rPr>
          <w:rFonts w:hint="eastAsia" w:ascii="宋体" w:hAnsi="宋体" w:cs="宋体"/>
          <w:color w:val="auto"/>
          <w:kern w:val="0"/>
          <w:szCs w:val="21"/>
          <w:highlight w:val="none"/>
        </w:rPr>
      </w:pPr>
      <w:r>
        <w:rPr>
          <w:rFonts w:hint="eastAsia" w:ascii="宋体" w:hAnsi="宋体"/>
          <w:color w:val="auto"/>
          <w:sz w:val="24"/>
          <w:highlight w:val="none"/>
        </w:rPr>
        <w:t>如果不可抗力持续6个月以上，任何一方可以通过向另一方发出书面通知的形式终止本合同及因不可抗力的影响而未履行完毕的订单，本合同及因不可抗力的影响而未履行完毕的订单于该等通知送达另一方时终止，依据本款规定而发出终止通知并不构成违约。</w:t>
      </w:r>
    </w:p>
    <w:p w14:paraId="11787305">
      <w:pPr>
        <w:widowControl/>
        <w:shd w:val="clear" w:color="auto" w:fill="FFFFFF"/>
        <w:spacing w:line="440" w:lineRule="atLeas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14:paraId="54E1436F">
      <w:pPr>
        <w:widowControl/>
        <w:shd w:val="clear" w:color="auto" w:fill="FFFFFF"/>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5</w:t>
      </w:r>
      <w:r>
        <w:rPr>
          <w:rFonts w:hint="eastAsia" w:ascii="宋体" w:hAnsi="宋体" w:cs="宋体"/>
          <w:color w:val="auto"/>
          <w:kern w:val="0"/>
          <w:sz w:val="24"/>
          <w:highlight w:val="none"/>
        </w:rPr>
        <w:t>、合同纠纷处理方式：合同履行过程中若发生争议，采取协商解决，若协商不成时向甲方所在地人民法院提起诉讼。</w:t>
      </w:r>
    </w:p>
    <w:p w14:paraId="60E4D123">
      <w:pPr>
        <w:widowControl/>
        <w:shd w:val="clear" w:color="auto" w:fill="FFFFFF"/>
        <w:spacing w:line="440" w:lineRule="atLeast"/>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6</w:t>
      </w:r>
      <w:r>
        <w:rPr>
          <w:rFonts w:hint="eastAsia" w:ascii="宋体" w:hAnsi="宋体" w:cs="宋体"/>
          <w:color w:val="auto"/>
          <w:kern w:val="0"/>
          <w:sz w:val="24"/>
          <w:highlight w:val="none"/>
        </w:rPr>
        <w:t>、其他约定</w:t>
      </w:r>
    </w:p>
    <w:p w14:paraId="4538276C">
      <w:pPr>
        <w:widowControl/>
        <w:shd w:val="clear" w:color="auto" w:fill="FFFFFF"/>
        <w:spacing w:line="44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6</w:t>
      </w:r>
      <w:r>
        <w:rPr>
          <w:rFonts w:hint="eastAsia" w:ascii="宋体" w:hAnsi="宋体" w:cs="宋体"/>
          <w:color w:val="auto"/>
          <w:kern w:val="0"/>
          <w:sz w:val="24"/>
          <w:highlight w:val="none"/>
        </w:rPr>
        <w:t>.1本采购项目的招标文件、中标人的投标文件以及相关的澄清确认函（如有）均为本合同不可分割的一部分，与本合同具有同等法律效力。</w:t>
      </w:r>
    </w:p>
    <w:p w14:paraId="164D2FCE">
      <w:pPr>
        <w:widowControl/>
        <w:shd w:val="clear" w:color="auto" w:fill="FFFFFF"/>
        <w:spacing w:line="44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6</w:t>
      </w:r>
      <w:r>
        <w:rPr>
          <w:rFonts w:hint="eastAsia" w:ascii="宋体" w:hAnsi="宋体" w:cs="宋体"/>
          <w:color w:val="auto"/>
          <w:kern w:val="0"/>
          <w:sz w:val="24"/>
          <w:highlight w:val="none"/>
        </w:rPr>
        <w:t>.2乙方应做好生产、运输、拆卸、安装、调试等安全管理工作，货物安装调试人员必须具备相关资质并按照规范流程操作，乙方应为相关人员、设备、车辆等购买保险，如果在全部货物调试完毕交付甲方使用之前发生任何安全责任事故，乙方须承担全部责任，与甲方无关。</w:t>
      </w:r>
    </w:p>
    <w:p w14:paraId="2A2FB5F3">
      <w:pPr>
        <w:widowControl/>
        <w:shd w:val="clear" w:color="auto" w:fill="FFFFFF"/>
        <w:spacing w:line="440" w:lineRule="atLeas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6</w:t>
      </w:r>
      <w:r>
        <w:rPr>
          <w:rFonts w:hint="eastAsia" w:ascii="宋体" w:hAnsi="宋体" w:cs="宋体"/>
          <w:color w:val="auto"/>
          <w:kern w:val="0"/>
          <w:sz w:val="24"/>
          <w:highlight w:val="none"/>
        </w:rPr>
        <w:t>.3本合同未尽事宜，双方另行补充。</w:t>
      </w:r>
    </w:p>
    <w:p w14:paraId="0363E307">
      <w:pPr>
        <w:widowControl/>
        <w:shd w:val="clear" w:color="auto" w:fill="FFFFFF"/>
        <w:spacing w:line="44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6</w:t>
      </w:r>
      <w:r>
        <w:rPr>
          <w:rFonts w:hint="eastAsia" w:ascii="宋体" w:hAnsi="宋体" w:cs="宋体"/>
          <w:color w:val="auto"/>
          <w:kern w:val="0"/>
          <w:sz w:val="24"/>
          <w:highlight w:val="none"/>
        </w:rPr>
        <w:t>.4本合同一式肆份，经双方授权代表签字并加盖公章后生效。使用方、乙方各执一份，送厦门大学资产与后勤事务管理处、财务处各备案一份，电子合同具有同等法律效力。</w:t>
      </w:r>
    </w:p>
    <w:p w14:paraId="2A093C6A">
      <w:pPr>
        <w:widowControl/>
        <w:shd w:val="clear" w:color="auto" w:fill="FFFFFF"/>
        <w:spacing w:line="440" w:lineRule="atLeast"/>
        <w:jc w:val="left"/>
        <w:rPr>
          <w:rFonts w:hint="eastAsia" w:ascii="宋体" w:hAnsi="宋体" w:cs="宋体"/>
          <w:color w:val="auto"/>
          <w:kern w:val="0"/>
          <w:sz w:val="24"/>
          <w:highlight w:val="none"/>
        </w:rPr>
      </w:pPr>
      <w:r>
        <w:rPr>
          <w:rFonts w:hint="eastAsia" w:ascii="宋体" w:hAnsi="宋体" w:cs="宋体"/>
          <w:color w:val="auto"/>
          <w:kern w:val="0"/>
          <w:szCs w:val="21"/>
          <w:highlight w:val="none"/>
        </w:rPr>
        <w:t> </w:t>
      </w:r>
    </w:p>
    <w:p w14:paraId="3F5F832D">
      <w:pPr>
        <w:tabs>
          <w:tab w:val="left" w:pos="4536"/>
        </w:tabs>
        <w:spacing w:line="460" w:lineRule="exact"/>
        <w:ind w:left="-540" w:leftChars="-257"/>
        <w:jc w:val="left"/>
        <w:rPr>
          <w:color w:val="auto"/>
          <w:sz w:val="24"/>
          <w:highlight w:val="none"/>
        </w:rPr>
      </w:pPr>
      <w:r>
        <w:rPr>
          <w:rFonts w:hint="eastAsia"/>
          <w:color w:val="auto"/>
          <w:sz w:val="24"/>
          <w:highlight w:val="none"/>
        </w:rPr>
        <w:t>甲方：厦门大学</w:t>
      </w:r>
      <w:r>
        <w:rPr>
          <w:rFonts w:hint="eastAsia"/>
          <w:bCs/>
          <w:color w:val="auto"/>
          <w:sz w:val="24"/>
          <w:highlight w:val="none"/>
        </w:rPr>
        <w:t xml:space="preserve">        </w:t>
      </w:r>
      <w:r>
        <w:rPr>
          <w:rFonts w:hint="eastAsia"/>
          <w:color w:val="auto"/>
          <w:sz w:val="24"/>
          <w:highlight w:val="none"/>
        </w:rPr>
        <w:t xml:space="preserve">                  </w:t>
      </w:r>
      <w:r>
        <w:rPr>
          <w:color w:val="auto"/>
          <w:sz w:val="24"/>
          <w:highlight w:val="none"/>
        </w:rPr>
        <w:tab/>
      </w:r>
      <w:r>
        <w:rPr>
          <w:rFonts w:hint="eastAsia"/>
          <w:color w:val="auto"/>
          <w:sz w:val="24"/>
          <w:highlight w:val="none"/>
        </w:rPr>
        <w:t>乙方： （</w:t>
      </w:r>
      <w:r>
        <w:rPr>
          <w:rFonts w:hint="eastAsia"/>
          <w:b/>
          <w:color w:val="auto"/>
          <w:sz w:val="24"/>
          <w:highlight w:val="none"/>
        </w:rPr>
        <w:t>签字</w:t>
      </w:r>
      <w:r>
        <w:rPr>
          <w:rFonts w:hint="eastAsia"/>
          <w:color w:val="auto"/>
          <w:sz w:val="24"/>
          <w:highlight w:val="none"/>
        </w:rPr>
        <w:t>并盖章）</w:t>
      </w:r>
    </w:p>
    <w:p w14:paraId="4E3838ED">
      <w:pPr>
        <w:tabs>
          <w:tab w:val="left" w:pos="4536"/>
        </w:tabs>
        <w:spacing w:line="460" w:lineRule="exact"/>
        <w:ind w:left="-179" w:leftChars="-257" w:hanging="361"/>
        <w:jc w:val="left"/>
        <w:rPr>
          <w:color w:val="auto"/>
          <w:sz w:val="24"/>
          <w:highlight w:val="none"/>
        </w:rPr>
      </w:pPr>
      <w:r>
        <w:rPr>
          <w:rFonts w:hint="eastAsia"/>
          <w:color w:val="auto"/>
          <w:sz w:val="24"/>
          <w:highlight w:val="none"/>
        </w:rPr>
        <w:t xml:space="preserve">签约代表：                              </w:t>
      </w:r>
      <w:r>
        <w:rPr>
          <w:color w:val="auto"/>
          <w:sz w:val="24"/>
          <w:highlight w:val="none"/>
        </w:rPr>
        <w:tab/>
      </w:r>
      <w:r>
        <w:rPr>
          <w:rFonts w:hint="eastAsia"/>
          <w:color w:val="auto"/>
          <w:sz w:val="24"/>
          <w:highlight w:val="none"/>
        </w:rPr>
        <w:t>代表：</w:t>
      </w:r>
    </w:p>
    <w:p w14:paraId="5DECC54C">
      <w:pPr>
        <w:tabs>
          <w:tab w:val="left" w:pos="4536"/>
        </w:tabs>
        <w:spacing w:line="460" w:lineRule="exact"/>
        <w:ind w:left="-179" w:leftChars="-257" w:hanging="361"/>
        <w:jc w:val="left"/>
        <w:rPr>
          <w:color w:val="auto"/>
          <w:sz w:val="24"/>
          <w:highlight w:val="none"/>
        </w:rPr>
      </w:pPr>
      <w:r>
        <w:rPr>
          <w:rFonts w:hint="eastAsia"/>
          <w:color w:val="auto"/>
          <w:sz w:val="24"/>
          <w:highlight w:val="none"/>
        </w:rPr>
        <w:t xml:space="preserve">开户行：厦门市工行厦门大学支行          </w:t>
      </w:r>
      <w:r>
        <w:rPr>
          <w:color w:val="auto"/>
          <w:sz w:val="24"/>
          <w:highlight w:val="none"/>
        </w:rPr>
        <w:tab/>
      </w:r>
      <w:r>
        <w:rPr>
          <w:rFonts w:hint="eastAsia"/>
          <w:color w:val="auto"/>
          <w:sz w:val="24"/>
          <w:highlight w:val="none"/>
        </w:rPr>
        <w:t>开户行：</w:t>
      </w:r>
    </w:p>
    <w:p w14:paraId="5F59CF59">
      <w:pPr>
        <w:tabs>
          <w:tab w:val="left" w:pos="4536"/>
        </w:tabs>
        <w:spacing w:line="460" w:lineRule="exact"/>
        <w:ind w:left="-179" w:leftChars="-257" w:hanging="361"/>
        <w:jc w:val="left"/>
        <w:rPr>
          <w:color w:val="auto"/>
          <w:sz w:val="24"/>
          <w:highlight w:val="none"/>
        </w:rPr>
      </w:pPr>
      <w:r>
        <w:rPr>
          <w:rFonts w:hint="eastAsia"/>
          <w:color w:val="auto"/>
          <w:sz w:val="24"/>
          <w:highlight w:val="none"/>
        </w:rPr>
        <w:t>账号:</w:t>
      </w:r>
      <w:r>
        <w:rPr>
          <w:color w:val="auto"/>
          <w:highlight w:val="none"/>
        </w:rPr>
        <w:t xml:space="preserve"> </w:t>
      </w:r>
      <w:r>
        <w:rPr>
          <w:color w:val="auto"/>
          <w:sz w:val="24"/>
          <w:highlight w:val="none"/>
        </w:rPr>
        <w:t>4100 0217 0902 4904 620</w:t>
      </w:r>
      <w:r>
        <w:rPr>
          <w:rFonts w:hint="eastAsia"/>
          <w:color w:val="auto"/>
          <w:sz w:val="24"/>
          <w:highlight w:val="none"/>
        </w:rPr>
        <w:t xml:space="preserve">      </w:t>
      </w:r>
      <w:r>
        <w:rPr>
          <w:color w:val="auto"/>
          <w:sz w:val="24"/>
          <w:highlight w:val="none"/>
        </w:rPr>
        <w:t xml:space="preserve">        </w:t>
      </w:r>
      <w:r>
        <w:rPr>
          <w:color w:val="auto"/>
          <w:sz w:val="24"/>
          <w:highlight w:val="none"/>
        </w:rPr>
        <w:tab/>
      </w:r>
      <w:r>
        <w:rPr>
          <w:rFonts w:hint="eastAsia"/>
          <w:color w:val="auto"/>
          <w:sz w:val="24"/>
          <w:highlight w:val="none"/>
        </w:rPr>
        <w:t>账号：</w:t>
      </w:r>
    </w:p>
    <w:p w14:paraId="137461E6">
      <w:pPr>
        <w:tabs>
          <w:tab w:val="left" w:pos="4536"/>
        </w:tabs>
        <w:spacing w:line="460" w:lineRule="exact"/>
        <w:ind w:left="-179" w:leftChars="-257" w:hanging="361"/>
        <w:jc w:val="left"/>
        <w:rPr>
          <w:color w:val="auto"/>
          <w:sz w:val="24"/>
          <w:highlight w:val="none"/>
        </w:rPr>
      </w:pPr>
      <w:r>
        <w:rPr>
          <w:rFonts w:hint="eastAsia" w:ascii="宋体" w:hAnsi="宋体"/>
          <w:color w:val="auto"/>
          <w:sz w:val="24"/>
          <w:highlight w:val="none"/>
        </w:rPr>
        <w:t>纳税人识别号：12100000B36952193C</w:t>
      </w:r>
      <w:r>
        <w:rPr>
          <w:rFonts w:hint="eastAsia"/>
          <w:color w:val="auto"/>
          <w:sz w:val="24"/>
          <w:highlight w:val="none"/>
        </w:rPr>
        <w:t xml:space="preserve">        </w:t>
      </w:r>
      <w:r>
        <w:rPr>
          <w:color w:val="auto"/>
          <w:sz w:val="24"/>
          <w:highlight w:val="none"/>
        </w:rPr>
        <w:tab/>
      </w:r>
      <w:r>
        <w:rPr>
          <w:rFonts w:hint="eastAsia"/>
          <w:color w:val="auto"/>
          <w:sz w:val="24"/>
          <w:highlight w:val="none"/>
        </w:rPr>
        <w:t>地址：</w:t>
      </w:r>
    </w:p>
    <w:p w14:paraId="72DC82DA">
      <w:pPr>
        <w:tabs>
          <w:tab w:val="left" w:pos="4536"/>
        </w:tabs>
        <w:spacing w:line="460" w:lineRule="exact"/>
        <w:ind w:left="-179" w:leftChars="-257" w:hanging="361"/>
        <w:jc w:val="left"/>
        <w:rPr>
          <w:color w:val="auto"/>
          <w:sz w:val="24"/>
          <w:highlight w:val="none"/>
        </w:rPr>
      </w:pPr>
      <w:r>
        <w:rPr>
          <w:rFonts w:hint="eastAsia"/>
          <w:color w:val="auto"/>
          <w:sz w:val="24"/>
          <w:highlight w:val="none"/>
        </w:rPr>
        <w:t>合同邮寄地址：思明区</w:t>
      </w:r>
      <w:r>
        <w:rPr>
          <w:rFonts w:hint="eastAsia" w:ascii="宋体" w:hAnsi="宋体"/>
          <w:color w:val="auto"/>
          <w:sz w:val="24"/>
          <w:highlight w:val="none"/>
        </w:rPr>
        <w:t xml:space="preserve">厦门大学嘉庚主楼711 </w:t>
      </w:r>
      <w:r>
        <w:rPr>
          <w:rFonts w:ascii="宋体" w:hAnsi="宋体"/>
          <w:color w:val="auto"/>
          <w:sz w:val="24"/>
          <w:highlight w:val="none"/>
        </w:rPr>
        <w:tab/>
      </w:r>
      <w:r>
        <w:rPr>
          <w:rFonts w:hint="eastAsia"/>
          <w:color w:val="auto"/>
          <w:sz w:val="24"/>
          <w:highlight w:val="none"/>
        </w:rPr>
        <w:t>电话：</w:t>
      </w:r>
    </w:p>
    <w:p w14:paraId="1094DE48">
      <w:pPr>
        <w:tabs>
          <w:tab w:val="left" w:pos="4536"/>
        </w:tabs>
        <w:spacing w:line="460" w:lineRule="exact"/>
        <w:ind w:left="-179" w:leftChars="-257" w:hanging="361"/>
        <w:jc w:val="left"/>
        <w:rPr>
          <w:color w:val="auto"/>
          <w:sz w:val="24"/>
          <w:highlight w:val="none"/>
        </w:rPr>
      </w:pPr>
      <w:r>
        <w:rPr>
          <w:rFonts w:hint="eastAsia"/>
          <w:color w:val="auto"/>
          <w:sz w:val="24"/>
          <w:highlight w:val="none"/>
        </w:rPr>
        <w:t xml:space="preserve">电话：0592-2181872、2181873/2186100      </w:t>
      </w:r>
      <w:r>
        <w:rPr>
          <w:color w:val="auto"/>
          <w:sz w:val="24"/>
          <w:highlight w:val="none"/>
        </w:rPr>
        <w:tab/>
      </w:r>
      <w:r>
        <w:rPr>
          <w:rFonts w:hint="eastAsia"/>
          <w:color w:val="auto"/>
          <w:sz w:val="24"/>
          <w:highlight w:val="none"/>
        </w:rPr>
        <w:t>传真：</w:t>
      </w:r>
    </w:p>
    <w:p w14:paraId="3A203803">
      <w:pPr>
        <w:tabs>
          <w:tab w:val="left" w:pos="4536"/>
        </w:tabs>
        <w:spacing w:line="460" w:lineRule="exact"/>
        <w:ind w:left="-179" w:leftChars="-257" w:hanging="361"/>
        <w:jc w:val="left"/>
        <w:rPr>
          <w:color w:val="auto"/>
          <w:sz w:val="24"/>
          <w:highlight w:val="none"/>
        </w:rPr>
      </w:pPr>
      <w:r>
        <w:rPr>
          <w:rFonts w:hint="eastAsia"/>
          <w:color w:val="auto"/>
          <w:sz w:val="24"/>
          <w:highlight w:val="none"/>
        </w:rPr>
        <w:t xml:space="preserve">传真：0592-2181872、2181873/2186100-608  </w:t>
      </w:r>
      <w:r>
        <w:rPr>
          <w:color w:val="auto"/>
          <w:sz w:val="24"/>
          <w:highlight w:val="none"/>
        </w:rPr>
        <w:t xml:space="preserve"> </w:t>
      </w:r>
      <w:r>
        <w:rPr>
          <w:color w:val="auto"/>
          <w:sz w:val="24"/>
          <w:highlight w:val="none"/>
        </w:rPr>
        <w:tab/>
      </w:r>
      <w:r>
        <w:rPr>
          <w:rFonts w:hint="eastAsia"/>
          <w:color w:val="auto"/>
          <w:sz w:val="24"/>
          <w:highlight w:val="none"/>
        </w:rPr>
        <w:t>移动电话：</w:t>
      </w:r>
    </w:p>
    <w:p w14:paraId="0111AC5A">
      <w:pPr>
        <w:spacing w:line="460" w:lineRule="exact"/>
        <w:jc w:val="left"/>
        <w:rPr>
          <w:color w:val="auto"/>
          <w:sz w:val="24"/>
          <w:highlight w:val="none"/>
        </w:rPr>
      </w:pPr>
    </w:p>
    <w:p w14:paraId="1E0DA355">
      <w:pPr>
        <w:spacing w:line="460" w:lineRule="exact"/>
        <w:ind w:left="-179" w:leftChars="-257" w:hanging="361"/>
        <w:jc w:val="left"/>
        <w:rPr>
          <w:color w:val="auto"/>
          <w:sz w:val="24"/>
          <w:highlight w:val="none"/>
        </w:rPr>
      </w:pPr>
      <w:r>
        <w:rPr>
          <w:rFonts w:hint="eastAsia"/>
          <w:color w:val="auto"/>
          <w:sz w:val="24"/>
          <w:highlight w:val="none"/>
        </w:rPr>
        <w:t>使用方：</w:t>
      </w:r>
    </w:p>
    <w:p w14:paraId="0C3FB4EC">
      <w:pPr>
        <w:spacing w:line="460" w:lineRule="exact"/>
        <w:ind w:left="-179" w:leftChars="-257" w:hanging="361"/>
        <w:jc w:val="left"/>
        <w:rPr>
          <w:color w:val="auto"/>
          <w:sz w:val="24"/>
          <w:highlight w:val="none"/>
        </w:rPr>
      </w:pPr>
      <w:r>
        <w:rPr>
          <w:rFonts w:hint="eastAsia"/>
          <w:color w:val="auto"/>
          <w:sz w:val="24"/>
          <w:highlight w:val="none"/>
        </w:rPr>
        <w:t>使用方代表及电话：</w:t>
      </w:r>
    </w:p>
    <w:p w14:paraId="030C73D4">
      <w:pPr>
        <w:spacing w:line="460" w:lineRule="exact"/>
        <w:ind w:left="-179" w:leftChars="-257" w:hanging="361"/>
        <w:jc w:val="left"/>
        <w:rPr>
          <w:color w:val="auto"/>
          <w:sz w:val="24"/>
          <w:highlight w:val="none"/>
        </w:rPr>
      </w:pPr>
      <w:r>
        <w:rPr>
          <w:rFonts w:hint="eastAsia"/>
          <w:color w:val="auto"/>
          <w:sz w:val="24"/>
          <w:highlight w:val="none"/>
        </w:rPr>
        <w:t>收货地址：</w:t>
      </w:r>
    </w:p>
    <w:p w14:paraId="0FC43CAF">
      <w:pPr>
        <w:spacing w:line="460" w:lineRule="exact"/>
        <w:ind w:left="-179" w:leftChars="-257" w:hanging="361"/>
        <w:jc w:val="left"/>
        <w:rPr>
          <w:color w:val="auto"/>
          <w:sz w:val="24"/>
          <w:highlight w:val="none"/>
        </w:rPr>
      </w:pPr>
    </w:p>
    <w:p w14:paraId="549F878C">
      <w:pPr>
        <w:rPr>
          <w:color w:val="auto"/>
          <w:sz w:val="24"/>
          <w:highlight w:val="none"/>
        </w:rPr>
      </w:pPr>
      <w:r>
        <w:rPr>
          <w:rFonts w:hint="eastAsia"/>
          <w:color w:val="auto"/>
          <w:sz w:val="24"/>
          <w:highlight w:val="none"/>
        </w:rPr>
        <w:t xml:space="preserve">签订日期：  年  月  日  </w:t>
      </w:r>
    </w:p>
    <w:p w14:paraId="6D463542">
      <w:pPr>
        <w:rPr>
          <w:color w:val="auto"/>
          <w:sz w:val="24"/>
          <w:highlight w:val="none"/>
        </w:rPr>
      </w:pPr>
      <w:r>
        <w:rPr>
          <w:rFonts w:hint="eastAsia"/>
          <w:color w:val="auto"/>
          <w:sz w:val="24"/>
          <w:highlight w:val="none"/>
        </w:rPr>
        <w:br w:type="page"/>
      </w:r>
    </w:p>
    <w:p w14:paraId="18FFDF0F">
      <w:pPr>
        <w:ind w:firstLine="1799" w:firstLineChars="640"/>
        <w:jc w:val="left"/>
        <w:rPr>
          <w:b/>
          <w:bCs/>
          <w:color w:val="auto"/>
          <w:sz w:val="28"/>
          <w:highlight w:val="none"/>
        </w:rPr>
      </w:pPr>
      <w:r>
        <w:rPr>
          <w:rFonts w:hint="eastAsia"/>
          <w:b/>
          <w:bCs/>
          <w:color w:val="auto"/>
          <w:sz w:val="28"/>
          <w:highlight w:val="none"/>
        </w:rPr>
        <w:t>二、供货及技术服务协议（格式范本）</w:t>
      </w:r>
    </w:p>
    <w:p w14:paraId="2B1D13F9">
      <w:pPr>
        <w:ind w:firstLine="1157" w:firstLineChars="640"/>
        <w:jc w:val="left"/>
        <w:rPr>
          <w:b/>
          <w:bCs/>
          <w:color w:val="auto"/>
          <w:sz w:val="18"/>
          <w:szCs w:val="18"/>
          <w:highlight w:val="none"/>
        </w:rPr>
      </w:pPr>
    </w:p>
    <w:p w14:paraId="159402EA">
      <w:pPr>
        <w:jc w:val="center"/>
        <w:rPr>
          <w:color w:val="auto"/>
          <w:sz w:val="28"/>
          <w:szCs w:val="28"/>
          <w:highlight w:val="none"/>
        </w:rPr>
      </w:pPr>
      <w:r>
        <w:rPr>
          <w:rFonts w:hint="eastAsia"/>
          <w:b/>
          <w:color w:val="auto"/>
          <w:sz w:val="28"/>
          <w:szCs w:val="28"/>
          <w:highlight w:val="none"/>
        </w:rPr>
        <w:t>供货及技术服务协议</w:t>
      </w:r>
    </w:p>
    <w:p w14:paraId="6A407B1C">
      <w:pPr>
        <w:rPr>
          <w:bCs/>
          <w:color w:val="auto"/>
          <w:sz w:val="28"/>
          <w:highlight w:val="none"/>
        </w:rPr>
      </w:pPr>
      <w:r>
        <w:rPr>
          <w:rFonts w:hint="eastAsia"/>
          <w:bCs/>
          <w:color w:val="auto"/>
          <w:sz w:val="28"/>
          <w:highlight w:val="none"/>
        </w:rPr>
        <w:t>甲方：厦门大学</w:t>
      </w:r>
    </w:p>
    <w:p w14:paraId="46BFD28A">
      <w:pPr>
        <w:rPr>
          <w:bCs/>
          <w:color w:val="auto"/>
          <w:sz w:val="28"/>
          <w:highlight w:val="none"/>
        </w:rPr>
      </w:pPr>
      <w:r>
        <w:rPr>
          <w:rFonts w:hint="eastAsia"/>
          <w:bCs/>
          <w:color w:val="auto"/>
          <w:sz w:val="28"/>
          <w:highlight w:val="none"/>
        </w:rPr>
        <w:t>（用户单位：xx学院）</w:t>
      </w:r>
    </w:p>
    <w:p w14:paraId="47FCCB27">
      <w:pPr>
        <w:rPr>
          <w:bCs/>
          <w:color w:val="auto"/>
          <w:sz w:val="28"/>
          <w:highlight w:val="none"/>
        </w:rPr>
      </w:pPr>
      <w:r>
        <w:rPr>
          <w:rFonts w:hint="eastAsia"/>
          <w:bCs/>
          <w:color w:val="auto"/>
          <w:sz w:val="28"/>
          <w:highlight w:val="none"/>
        </w:rPr>
        <w:t>乙方：</w:t>
      </w:r>
    </w:p>
    <w:p w14:paraId="480A7AE6">
      <w:pPr>
        <w:spacing w:line="400" w:lineRule="exact"/>
        <w:ind w:firstLine="480" w:firstLineChars="200"/>
        <w:rPr>
          <w:color w:val="auto"/>
          <w:spacing w:val="24"/>
          <w:sz w:val="24"/>
          <w:highlight w:val="none"/>
        </w:rPr>
      </w:pPr>
      <w:r>
        <w:rPr>
          <w:rFonts w:hint="eastAsia" w:ascii="宋体"/>
          <w:color w:val="auto"/>
          <w:sz w:val="24"/>
          <w:highlight w:val="none"/>
        </w:rPr>
        <w:t>兹甲方向乙方购买</w:t>
      </w:r>
      <w:r>
        <w:rPr>
          <w:rFonts w:hint="eastAsia"/>
          <w:bCs/>
          <w:color w:val="auto"/>
          <w:sz w:val="28"/>
          <w:highlight w:val="none"/>
        </w:rPr>
        <w:sym w:font="Wingdings 2" w:char="F0CD"/>
      </w:r>
      <w:r>
        <w:rPr>
          <w:rFonts w:hint="eastAsia"/>
          <w:bCs/>
          <w:color w:val="auto"/>
          <w:sz w:val="28"/>
          <w:highlight w:val="none"/>
        </w:rPr>
        <w:sym w:font="Wingdings 2" w:char="F0CD"/>
      </w:r>
      <w:r>
        <w:rPr>
          <w:rFonts w:hint="eastAsia" w:ascii="宋体"/>
          <w:color w:val="auto"/>
          <w:sz w:val="24"/>
          <w:highlight w:val="none"/>
        </w:rPr>
        <w:t>公司生产的</w:t>
      </w:r>
      <w:r>
        <w:rPr>
          <w:rFonts w:hint="eastAsia"/>
          <w:bCs/>
          <w:color w:val="auto"/>
          <w:sz w:val="28"/>
          <w:highlight w:val="none"/>
        </w:rPr>
        <w:sym w:font="Wingdings 2" w:char="F0CD"/>
      </w:r>
      <w:r>
        <w:rPr>
          <w:rFonts w:hint="eastAsia"/>
          <w:bCs/>
          <w:color w:val="auto"/>
          <w:sz w:val="28"/>
          <w:highlight w:val="none"/>
        </w:rPr>
        <w:sym w:font="Wingdings 2" w:char="F0CD"/>
      </w:r>
      <w:r>
        <w:rPr>
          <w:rFonts w:hint="eastAsia" w:ascii="宋体"/>
          <w:color w:val="auto"/>
          <w:sz w:val="24"/>
          <w:highlight w:val="none"/>
        </w:rPr>
        <w:t>，经双方共同议定，达成如下协议</w:t>
      </w:r>
      <w:r>
        <w:rPr>
          <w:rFonts w:hint="eastAsia"/>
          <w:bCs/>
          <w:color w:val="auto"/>
          <w:sz w:val="24"/>
          <w:highlight w:val="none"/>
        </w:rPr>
        <w:t>：</w:t>
      </w:r>
    </w:p>
    <w:p w14:paraId="55199A54">
      <w:pPr>
        <w:tabs>
          <w:tab w:val="left" w:pos="3420"/>
        </w:tabs>
        <w:spacing w:line="400" w:lineRule="exact"/>
        <w:rPr>
          <w:bCs/>
          <w:color w:val="auto"/>
          <w:sz w:val="24"/>
          <w:highlight w:val="none"/>
        </w:rPr>
      </w:pPr>
      <w:r>
        <w:rPr>
          <w:rFonts w:hint="eastAsia"/>
          <w:bCs/>
          <w:color w:val="auto"/>
          <w:sz w:val="24"/>
          <w:highlight w:val="none"/>
        </w:rPr>
        <w:t>1．供货内容及价格：</w:t>
      </w:r>
    </w:p>
    <w:tbl>
      <w:tblPr>
        <w:tblStyle w:val="28"/>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3"/>
        <w:gridCol w:w="769"/>
        <w:gridCol w:w="384"/>
        <w:gridCol w:w="1153"/>
        <w:gridCol w:w="1153"/>
        <w:gridCol w:w="1153"/>
        <w:gridCol w:w="1153"/>
        <w:gridCol w:w="1153"/>
      </w:tblGrid>
      <w:tr w14:paraId="3739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52" w:type="dxa"/>
            <w:vAlign w:val="center"/>
          </w:tcPr>
          <w:p w14:paraId="52425B03">
            <w:pPr>
              <w:spacing w:line="460" w:lineRule="atLeast"/>
              <w:jc w:val="center"/>
              <w:rPr>
                <w:rFonts w:ascii="宋体"/>
                <w:bCs/>
                <w:color w:val="auto"/>
                <w:sz w:val="24"/>
                <w:highlight w:val="none"/>
              </w:rPr>
            </w:pPr>
            <w:r>
              <w:rPr>
                <w:rFonts w:hint="eastAsia" w:ascii="宋体"/>
                <w:bCs/>
                <w:color w:val="auto"/>
                <w:sz w:val="24"/>
                <w:highlight w:val="none"/>
              </w:rPr>
              <w:t>序号</w:t>
            </w:r>
          </w:p>
        </w:tc>
        <w:tc>
          <w:tcPr>
            <w:tcW w:w="1153" w:type="dxa"/>
            <w:vAlign w:val="center"/>
          </w:tcPr>
          <w:p w14:paraId="56AA5B67">
            <w:pPr>
              <w:spacing w:line="460" w:lineRule="atLeast"/>
              <w:jc w:val="center"/>
              <w:rPr>
                <w:rFonts w:ascii="宋体"/>
                <w:bCs/>
                <w:color w:val="auto"/>
                <w:sz w:val="24"/>
                <w:highlight w:val="none"/>
              </w:rPr>
            </w:pPr>
            <w:r>
              <w:rPr>
                <w:rFonts w:hint="eastAsia" w:ascii="宋体"/>
                <w:bCs/>
                <w:color w:val="auto"/>
                <w:sz w:val="24"/>
                <w:highlight w:val="none"/>
              </w:rPr>
              <w:t>产品</w:t>
            </w:r>
          </w:p>
          <w:p w14:paraId="60816C09">
            <w:pPr>
              <w:spacing w:line="460" w:lineRule="atLeast"/>
              <w:jc w:val="center"/>
              <w:rPr>
                <w:rFonts w:ascii="宋体"/>
                <w:bCs/>
                <w:color w:val="auto"/>
                <w:sz w:val="24"/>
                <w:highlight w:val="none"/>
              </w:rPr>
            </w:pPr>
            <w:r>
              <w:rPr>
                <w:rFonts w:hint="eastAsia" w:ascii="宋体"/>
                <w:bCs/>
                <w:color w:val="auto"/>
                <w:sz w:val="24"/>
                <w:highlight w:val="none"/>
              </w:rPr>
              <w:t>名称</w:t>
            </w:r>
          </w:p>
        </w:tc>
        <w:tc>
          <w:tcPr>
            <w:tcW w:w="1153" w:type="dxa"/>
            <w:gridSpan w:val="2"/>
            <w:vAlign w:val="center"/>
          </w:tcPr>
          <w:p w14:paraId="601A8B81">
            <w:pPr>
              <w:spacing w:line="460" w:lineRule="atLeast"/>
              <w:jc w:val="center"/>
              <w:rPr>
                <w:rFonts w:ascii="宋体"/>
                <w:bCs/>
                <w:color w:val="auto"/>
                <w:sz w:val="24"/>
                <w:highlight w:val="none"/>
              </w:rPr>
            </w:pPr>
            <w:r>
              <w:rPr>
                <w:rFonts w:hint="eastAsia" w:ascii="宋体"/>
                <w:bCs/>
                <w:color w:val="auto"/>
                <w:sz w:val="24"/>
                <w:highlight w:val="none"/>
              </w:rPr>
              <w:t>规格</w:t>
            </w:r>
          </w:p>
          <w:p w14:paraId="7566C5D4">
            <w:pPr>
              <w:spacing w:line="460" w:lineRule="atLeast"/>
              <w:jc w:val="center"/>
              <w:rPr>
                <w:color w:val="auto"/>
                <w:highlight w:val="none"/>
              </w:rPr>
            </w:pPr>
            <w:r>
              <w:rPr>
                <w:rFonts w:hint="eastAsia" w:ascii="宋体"/>
                <w:bCs/>
                <w:color w:val="auto"/>
                <w:sz w:val="24"/>
                <w:highlight w:val="none"/>
              </w:rPr>
              <w:t>型号</w:t>
            </w:r>
          </w:p>
        </w:tc>
        <w:tc>
          <w:tcPr>
            <w:tcW w:w="1153" w:type="dxa"/>
            <w:vAlign w:val="center"/>
          </w:tcPr>
          <w:p w14:paraId="02C03A6C">
            <w:pPr>
              <w:spacing w:line="460" w:lineRule="atLeast"/>
              <w:jc w:val="center"/>
              <w:rPr>
                <w:rFonts w:ascii="宋体"/>
                <w:bCs/>
                <w:color w:val="auto"/>
                <w:sz w:val="24"/>
                <w:highlight w:val="none"/>
              </w:rPr>
            </w:pPr>
            <w:r>
              <w:rPr>
                <w:rFonts w:hint="eastAsia" w:ascii="宋体"/>
                <w:bCs/>
                <w:color w:val="auto"/>
                <w:sz w:val="24"/>
                <w:highlight w:val="none"/>
              </w:rPr>
              <w:t>生产</w:t>
            </w:r>
          </w:p>
          <w:p w14:paraId="238E03FF">
            <w:pPr>
              <w:spacing w:line="460" w:lineRule="atLeast"/>
              <w:jc w:val="center"/>
              <w:rPr>
                <w:rFonts w:hint="eastAsia" w:ascii="宋体" w:hAnsi="宋体" w:cs="宋体"/>
                <w:color w:val="auto"/>
                <w:sz w:val="24"/>
                <w:highlight w:val="none"/>
              </w:rPr>
            </w:pPr>
            <w:r>
              <w:rPr>
                <w:rFonts w:hint="eastAsia" w:ascii="宋体"/>
                <w:bCs/>
                <w:color w:val="auto"/>
                <w:sz w:val="24"/>
                <w:highlight w:val="none"/>
              </w:rPr>
              <w:t>厂家</w:t>
            </w:r>
          </w:p>
        </w:tc>
        <w:tc>
          <w:tcPr>
            <w:tcW w:w="1153" w:type="dxa"/>
            <w:vAlign w:val="center"/>
          </w:tcPr>
          <w:p w14:paraId="1A3C2169">
            <w:pPr>
              <w:spacing w:line="460" w:lineRule="atLeast"/>
              <w:jc w:val="center"/>
              <w:rPr>
                <w:rFonts w:ascii="宋体"/>
                <w:bCs/>
                <w:color w:val="auto"/>
                <w:sz w:val="24"/>
                <w:highlight w:val="none"/>
              </w:rPr>
            </w:pPr>
            <w:r>
              <w:rPr>
                <w:rFonts w:hint="eastAsia" w:ascii="宋体"/>
                <w:bCs/>
                <w:color w:val="auto"/>
                <w:sz w:val="24"/>
                <w:highlight w:val="none"/>
              </w:rPr>
              <w:t>数量</w:t>
            </w:r>
          </w:p>
        </w:tc>
        <w:tc>
          <w:tcPr>
            <w:tcW w:w="1153" w:type="dxa"/>
            <w:vAlign w:val="center"/>
          </w:tcPr>
          <w:p w14:paraId="0FDA8679">
            <w:pPr>
              <w:spacing w:line="460" w:lineRule="atLeast"/>
              <w:jc w:val="center"/>
              <w:rPr>
                <w:rFonts w:hint="eastAsia" w:ascii="宋体" w:hAnsi="宋体" w:cs="宋体"/>
                <w:color w:val="auto"/>
                <w:sz w:val="24"/>
                <w:highlight w:val="none"/>
              </w:rPr>
            </w:pPr>
            <w:r>
              <w:rPr>
                <w:rFonts w:hint="eastAsia" w:ascii="宋体"/>
                <w:bCs/>
                <w:color w:val="auto"/>
                <w:sz w:val="24"/>
                <w:highlight w:val="none"/>
              </w:rPr>
              <w:t>单位</w:t>
            </w:r>
          </w:p>
        </w:tc>
        <w:tc>
          <w:tcPr>
            <w:tcW w:w="1153" w:type="dxa"/>
            <w:vAlign w:val="center"/>
          </w:tcPr>
          <w:p w14:paraId="4D6594D1">
            <w:pPr>
              <w:spacing w:line="460" w:lineRule="atLeast"/>
              <w:jc w:val="center"/>
              <w:rPr>
                <w:rFonts w:ascii="宋体"/>
                <w:bCs/>
                <w:color w:val="auto"/>
                <w:sz w:val="24"/>
                <w:highlight w:val="none"/>
              </w:rPr>
            </w:pPr>
            <w:r>
              <w:rPr>
                <w:rFonts w:hint="eastAsia" w:ascii="宋体"/>
                <w:bCs/>
                <w:color w:val="auto"/>
                <w:sz w:val="24"/>
                <w:highlight w:val="none"/>
              </w:rPr>
              <w:t>单价</w:t>
            </w:r>
          </w:p>
          <w:p w14:paraId="4D0AECFE">
            <w:pPr>
              <w:spacing w:line="460" w:lineRule="atLeast"/>
              <w:jc w:val="center"/>
              <w:rPr>
                <w:rFonts w:ascii="宋体"/>
                <w:bCs/>
                <w:color w:val="auto"/>
                <w:sz w:val="24"/>
                <w:highlight w:val="none"/>
              </w:rPr>
            </w:pPr>
            <w:r>
              <w:rPr>
                <w:rFonts w:hint="eastAsia" w:ascii="宋体"/>
                <w:bCs/>
                <w:color w:val="auto"/>
                <w:sz w:val="24"/>
                <w:highlight w:val="none"/>
              </w:rPr>
              <w:t>（美元）</w:t>
            </w:r>
          </w:p>
        </w:tc>
        <w:tc>
          <w:tcPr>
            <w:tcW w:w="1153" w:type="dxa"/>
            <w:vAlign w:val="center"/>
          </w:tcPr>
          <w:p w14:paraId="3732A8A9">
            <w:pPr>
              <w:spacing w:line="460" w:lineRule="atLeast"/>
              <w:jc w:val="center"/>
              <w:rPr>
                <w:rFonts w:ascii="宋体"/>
                <w:bCs/>
                <w:color w:val="auto"/>
                <w:sz w:val="24"/>
                <w:highlight w:val="none"/>
              </w:rPr>
            </w:pPr>
            <w:r>
              <w:rPr>
                <w:rFonts w:hint="eastAsia" w:ascii="宋体"/>
                <w:bCs/>
                <w:color w:val="auto"/>
                <w:sz w:val="24"/>
                <w:highlight w:val="none"/>
              </w:rPr>
              <w:t>总价</w:t>
            </w:r>
          </w:p>
          <w:p w14:paraId="2D7D33D0">
            <w:pPr>
              <w:spacing w:line="460" w:lineRule="atLeast"/>
              <w:jc w:val="center"/>
              <w:rPr>
                <w:rFonts w:ascii="宋体"/>
                <w:bCs/>
                <w:color w:val="auto"/>
                <w:sz w:val="24"/>
                <w:highlight w:val="none"/>
              </w:rPr>
            </w:pPr>
            <w:r>
              <w:rPr>
                <w:rFonts w:hint="eastAsia" w:ascii="宋体"/>
                <w:bCs/>
                <w:color w:val="auto"/>
                <w:sz w:val="24"/>
                <w:highlight w:val="none"/>
              </w:rPr>
              <w:t>（美元）</w:t>
            </w:r>
          </w:p>
        </w:tc>
      </w:tr>
      <w:tr w14:paraId="7BEF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52" w:type="dxa"/>
            <w:vAlign w:val="center"/>
          </w:tcPr>
          <w:p w14:paraId="31FAC910">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53" w:type="dxa"/>
            <w:vAlign w:val="center"/>
          </w:tcPr>
          <w:p w14:paraId="7D0031EB">
            <w:pPr>
              <w:jc w:val="center"/>
              <w:rPr>
                <w:rFonts w:hint="eastAsia" w:ascii="宋体" w:hAnsi="宋体" w:cs="宋体"/>
                <w:color w:val="auto"/>
                <w:sz w:val="24"/>
                <w:highlight w:val="none"/>
              </w:rPr>
            </w:pPr>
          </w:p>
        </w:tc>
        <w:tc>
          <w:tcPr>
            <w:tcW w:w="1153" w:type="dxa"/>
            <w:gridSpan w:val="2"/>
            <w:vAlign w:val="center"/>
          </w:tcPr>
          <w:p w14:paraId="0B87ECAD">
            <w:pPr>
              <w:jc w:val="center"/>
              <w:rPr>
                <w:rFonts w:hint="eastAsia" w:ascii="宋体" w:hAnsi="宋体" w:cs="宋体"/>
                <w:color w:val="auto"/>
                <w:sz w:val="24"/>
                <w:highlight w:val="none"/>
              </w:rPr>
            </w:pPr>
          </w:p>
        </w:tc>
        <w:tc>
          <w:tcPr>
            <w:tcW w:w="1153" w:type="dxa"/>
            <w:vAlign w:val="center"/>
          </w:tcPr>
          <w:p w14:paraId="788F5653">
            <w:pPr>
              <w:jc w:val="center"/>
              <w:rPr>
                <w:rFonts w:hint="eastAsia" w:ascii="宋体" w:hAnsi="宋体" w:cs="宋体"/>
                <w:color w:val="auto"/>
                <w:sz w:val="24"/>
                <w:highlight w:val="none"/>
              </w:rPr>
            </w:pPr>
          </w:p>
        </w:tc>
        <w:tc>
          <w:tcPr>
            <w:tcW w:w="1153" w:type="dxa"/>
            <w:vAlign w:val="center"/>
          </w:tcPr>
          <w:p w14:paraId="2DEFB82C">
            <w:pPr>
              <w:jc w:val="center"/>
              <w:rPr>
                <w:rFonts w:hint="eastAsia" w:ascii="宋体" w:hAnsi="宋体" w:cs="宋体"/>
                <w:color w:val="auto"/>
                <w:sz w:val="24"/>
                <w:highlight w:val="none"/>
              </w:rPr>
            </w:pPr>
          </w:p>
        </w:tc>
        <w:tc>
          <w:tcPr>
            <w:tcW w:w="1153" w:type="dxa"/>
            <w:vAlign w:val="center"/>
          </w:tcPr>
          <w:p w14:paraId="607939F0">
            <w:pPr>
              <w:jc w:val="center"/>
              <w:rPr>
                <w:rFonts w:hint="eastAsia" w:ascii="宋体" w:hAnsi="宋体" w:cs="宋体"/>
                <w:color w:val="auto"/>
                <w:sz w:val="24"/>
                <w:highlight w:val="none"/>
              </w:rPr>
            </w:pPr>
          </w:p>
        </w:tc>
        <w:tc>
          <w:tcPr>
            <w:tcW w:w="1153" w:type="dxa"/>
            <w:vAlign w:val="center"/>
          </w:tcPr>
          <w:p w14:paraId="25B090BE">
            <w:pPr>
              <w:pStyle w:val="24"/>
              <w:spacing w:line="0" w:lineRule="atLeast"/>
              <w:jc w:val="center"/>
              <w:rPr>
                <w:bCs/>
                <w:color w:val="auto"/>
                <w:kern w:val="2"/>
                <w:highlight w:val="none"/>
              </w:rPr>
            </w:pPr>
          </w:p>
        </w:tc>
        <w:tc>
          <w:tcPr>
            <w:tcW w:w="1153" w:type="dxa"/>
            <w:vAlign w:val="center"/>
          </w:tcPr>
          <w:p w14:paraId="01AD99BA">
            <w:pPr>
              <w:pStyle w:val="24"/>
              <w:spacing w:line="0" w:lineRule="atLeast"/>
              <w:jc w:val="center"/>
              <w:rPr>
                <w:bCs/>
                <w:color w:val="auto"/>
                <w:kern w:val="2"/>
                <w:highlight w:val="none"/>
              </w:rPr>
            </w:pPr>
          </w:p>
        </w:tc>
      </w:tr>
      <w:tr w14:paraId="3889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74" w:type="dxa"/>
            <w:gridSpan w:val="3"/>
            <w:vAlign w:val="center"/>
          </w:tcPr>
          <w:p w14:paraId="1EBB1EBD">
            <w:pPr>
              <w:tabs>
                <w:tab w:val="left" w:pos="846"/>
              </w:tabs>
              <w:jc w:val="center"/>
              <w:rPr>
                <w:rFonts w:hint="eastAsia" w:ascii="宋体" w:hAnsi="宋体"/>
                <w:bCs/>
                <w:color w:val="auto"/>
                <w:sz w:val="24"/>
                <w:highlight w:val="none"/>
              </w:rPr>
            </w:pPr>
            <w:r>
              <w:rPr>
                <w:rFonts w:hint="eastAsia"/>
                <w:bCs/>
                <w:color w:val="auto"/>
                <w:sz w:val="24"/>
                <w:highlight w:val="none"/>
              </w:rPr>
              <w:t>合计总金额</w:t>
            </w:r>
          </w:p>
        </w:tc>
        <w:tc>
          <w:tcPr>
            <w:tcW w:w="6149" w:type="dxa"/>
            <w:gridSpan w:val="6"/>
            <w:vAlign w:val="center"/>
          </w:tcPr>
          <w:p w14:paraId="0B96F030">
            <w:pPr>
              <w:jc w:val="center"/>
              <w:rPr>
                <w:bCs/>
                <w:color w:val="auto"/>
                <w:sz w:val="24"/>
                <w:highlight w:val="none"/>
              </w:rPr>
            </w:pPr>
            <w:r>
              <w:rPr>
                <w:rFonts w:hint="eastAsia"/>
                <w:bCs/>
                <w:color w:val="auto"/>
                <w:sz w:val="24"/>
                <w:highlight w:val="none"/>
              </w:rPr>
              <w:t>USD：（大写：美金）</w:t>
            </w:r>
          </w:p>
        </w:tc>
      </w:tr>
    </w:tbl>
    <w:p w14:paraId="7BA12172">
      <w:pPr>
        <w:spacing w:line="400" w:lineRule="exact"/>
        <w:rPr>
          <w:bCs/>
          <w:color w:val="auto"/>
          <w:sz w:val="24"/>
          <w:highlight w:val="none"/>
        </w:rPr>
      </w:pPr>
      <w:r>
        <w:rPr>
          <w:rFonts w:hint="eastAsia"/>
          <w:bCs/>
          <w:color w:val="auto"/>
          <w:sz w:val="24"/>
          <w:highlight w:val="none"/>
        </w:rPr>
        <w:t>2．交货时间：合同签订后</w:t>
      </w:r>
      <w:r>
        <w:rPr>
          <w:rFonts w:hint="eastAsia"/>
          <w:bCs/>
          <w:color w:val="auto"/>
          <w:sz w:val="28"/>
          <w:highlight w:val="none"/>
        </w:rPr>
        <w:sym w:font="Wingdings 2" w:char="F0CD"/>
      </w:r>
      <w:r>
        <w:rPr>
          <w:rFonts w:hint="eastAsia"/>
          <w:bCs/>
          <w:color w:val="auto"/>
          <w:sz w:val="28"/>
          <w:highlight w:val="none"/>
        </w:rPr>
        <w:sym w:font="Wingdings 2" w:char="F0CD"/>
      </w:r>
      <w:r>
        <w:rPr>
          <w:rFonts w:hint="eastAsia"/>
          <w:bCs/>
          <w:color w:val="auto"/>
          <w:sz w:val="24"/>
          <w:highlight w:val="none"/>
        </w:rPr>
        <w:t>天内。</w:t>
      </w:r>
      <w:r>
        <w:rPr>
          <w:rFonts w:hint="eastAsia" w:ascii="宋体" w:hAnsi="宋体" w:cs="宋体"/>
          <w:color w:val="auto"/>
          <w:kern w:val="0"/>
          <w:sz w:val="24"/>
          <w:highlight w:val="none"/>
        </w:rPr>
        <w:t>如果乙方没有按照规定时间交货和提供服务，甲方可从货款中扣除违约赔偿费，每日赔偿费按合同价的5‰计收。</w:t>
      </w:r>
      <w:r>
        <w:rPr>
          <w:rFonts w:hint="eastAsia"/>
          <w:color w:val="auto"/>
          <w:sz w:val="24"/>
          <w:highlight w:val="none"/>
        </w:rPr>
        <w:t>逾期</w:t>
      </w:r>
      <w:r>
        <w:rPr>
          <w:rFonts w:hint="eastAsia"/>
          <w:bCs/>
          <w:color w:val="auto"/>
          <w:sz w:val="28"/>
          <w:highlight w:val="none"/>
        </w:rPr>
        <w:sym w:font="Wingdings 2" w:char="F0CD"/>
      </w:r>
      <w:r>
        <w:rPr>
          <w:rFonts w:hint="eastAsia"/>
          <w:bCs/>
          <w:color w:val="auto"/>
          <w:sz w:val="28"/>
          <w:highlight w:val="none"/>
        </w:rPr>
        <w:sym w:font="Wingdings 2" w:char="F0CD"/>
      </w:r>
      <w:r>
        <w:rPr>
          <w:rFonts w:hint="eastAsia"/>
          <w:color w:val="auto"/>
          <w:sz w:val="24"/>
          <w:highlight w:val="none"/>
        </w:rPr>
        <w:t>日的，甲方有权单方解除本协议，</w:t>
      </w:r>
      <w:r>
        <w:rPr>
          <w:rFonts w:hint="eastAsia" w:ascii="宋体" w:hAnsi="宋体"/>
          <w:color w:val="auto"/>
          <w:sz w:val="24"/>
          <w:highlight w:val="none"/>
        </w:rPr>
        <w:t>一切因乙方不履行协议或逾期履行协议所致之损失均由乙方承担。</w:t>
      </w:r>
      <w:r>
        <w:rPr>
          <w:color w:val="auto"/>
          <w:sz w:val="24"/>
          <w:highlight w:val="none"/>
        </w:rPr>
        <w:br w:type="textWrapping"/>
      </w:r>
      <w:r>
        <w:rPr>
          <w:rFonts w:hint="eastAsia"/>
          <w:bCs/>
          <w:color w:val="auto"/>
          <w:sz w:val="24"/>
          <w:highlight w:val="none"/>
        </w:rPr>
        <w:t>3．运输方式及到港站：</w:t>
      </w:r>
      <w:r>
        <w:rPr>
          <w:rFonts w:hint="eastAsia"/>
          <w:b/>
          <w:bCs/>
          <w:color w:val="auto"/>
          <w:sz w:val="24"/>
          <w:highlight w:val="none"/>
        </w:rPr>
        <w:t>CIP厦门</w:t>
      </w:r>
    </w:p>
    <w:p w14:paraId="6F8D1B3B">
      <w:pPr>
        <w:spacing w:line="400" w:lineRule="exact"/>
        <w:rPr>
          <w:bCs/>
          <w:color w:val="auto"/>
          <w:sz w:val="24"/>
          <w:highlight w:val="none"/>
        </w:rPr>
      </w:pPr>
      <w:r>
        <w:rPr>
          <w:rFonts w:hint="eastAsia"/>
          <w:bCs/>
          <w:color w:val="auto"/>
          <w:sz w:val="24"/>
          <w:highlight w:val="none"/>
        </w:rPr>
        <w:t>4．技术配置方案见附件。</w:t>
      </w:r>
    </w:p>
    <w:p w14:paraId="135A9A5A">
      <w:pPr>
        <w:spacing w:line="400" w:lineRule="exact"/>
        <w:rPr>
          <w:bCs/>
          <w:color w:val="auto"/>
          <w:sz w:val="24"/>
          <w:highlight w:val="none"/>
        </w:rPr>
      </w:pPr>
      <w:r>
        <w:rPr>
          <w:rFonts w:hint="eastAsia"/>
          <w:bCs/>
          <w:color w:val="auto"/>
          <w:sz w:val="24"/>
          <w:highlight w:val="none"/>
        </w:rPr>
        <w:t>5．外贸合同签订：</w:t>
      </w:r>
    </w:p>
    <w:p w14:paraId="15E0222D">
      <w:pPr>
        <w:spacing w:line="400" w:lineRule="exact"/>
        <w:rPr>
          <w:bCs/>
          <w:color w:val="auto"/>
          <w:sz w:val="24"/>
          <w:highlight w:val="none"/>
        </w:rPr>
      </w:pPr>
      <w:r>
        <w:rPr>
          <w:rFonts w:hint="eastAsia"/>
          <w:bCs/>
          <w:color w:val="auto"/>
          <w:sz w:val="24"/>
          <w:highlight w:val="none"/>
        </w:rPr>
        <w:t>甲方委托</w:t>
      </w:r>
      <w:r>
        <w:rPr>
          <w:rFonts w:hint="eastAsia"/>
          <w:bCs/>
          <w:color w:val="auto"/>
          <w:sz w:val="24"/>
          <w:highlight w:val="none"/>
          <w:u w:val="single"/>
        </w:rPr>
        <w:t>（</w:t>
      </w:r>
      <w:r>
        <w:rPr>
          <w:rFonts w:hint="eastAsia"/>
          <w:bCs/>
          <w:color w:val="auto"/>
          <w:sz w:val="24"/>
          <w:highlight w:val="none"/>
        </w:rPr>
        <w:t>外贸代理公司由学校从入围的进口外贸代理服务商选定）签订外贸合同，协助办理免税及办理进口报关、报检等手续。</w:t>
      </w:r>
    </w:p>
    <w:p w14:paraId="528BC3A8">
      <w:pPr>
        <w:spacing w:line="400" w:lineRule="exact"/>
        <w:rPr>
          <w:bCs/>
          <w:color w:val="auto"/>
          <w:sz w:val="24"/>
          <w:highlight w:val="none"/>
        </w:rPr>
      </w:pPr>
      <w:r>
        <w:rPr>
          <w:rFonts w:hint="eastAsia"/>
          <w:bCs/>
          <w:color w:val="auto"/>
          <w:sz w:val="24"/>
          <w:highlight w:val="none"/>
        </w:rPr>
        <w:t>乙方（委托）签订外贸合同及办理出口事宜。</w:t>
      </w:r>
    </w:p>
    <w:p w14:paraId="56DDDD6B">
      <w:pPr>
        <w:spacing w:line="400" w:lineRule="exact"/>
        <w:rPr>
          <w:rFonts w:ascii="宋体"/>
          <w:bCs/>
          <w:color w:val="auto"/>
          <w:sz w:val="24"/>
          <w:highlight w:val="none"/>
        </w:rPr>
      </w:pPr>
      <w:r>
        <w:rPr>
          <w:bCs/>
          <w:color w:val="auto"/>
          <w:sz w:val="24"/>
          <w:highlight w:val="none"/>
        </w:rPr>
        <w:t>6．付款</w:t>
      </w:r>
      <w:r>
        <w:rPr>
          <w:rFonts w:hint="eastAsia" w:ascii="宋体"/>
          <w:bCs/>
          <w:color w:val="auto"/>
          <w:sz w:val="24"/>
          <w:highlight w:val="none"/>
        </w:rPr>
        <w:t>方式：甲方通过受其委托的</w:t>
      </w:r>
      <w:r>
        <w:rPr>
          <w:rFonts w:hint="eastAsia" w:ascii="宋体"/>
          <w:bCs/>
          <w:color w:val="auto"/>
          <w:sz w:val="24"/>
          <w:highlight w:val="none"/>
          <w:u w:val="single"/>
        </w:rPr>
        <w:t>（</w:t>
      </w:r>
      <w:r>
        <w:rPr>
          <w:rFonts w:hint="eastAsia" w:ascii="宋体"/>
          <w:bCs/>
          <w:color w:val="auto"/>
          <w:sz w:val="24"/>
          <w:highlight w:val="none"/>
        </w:rPr>
        <w:t>外贸代理公司）付款，乙方授权受其委托的</w:t>
      </w:r>
      <w:r>
        <w:rPr>
          <w:rFonts w:hint="eastAsia" w:ascii="宋体"/>
          <w:bCs/>
          <w:color w:val="auto"/>
          <w:sz w:val="24"/>
          <w:highlight w:val="none"/>
          <w:u w:val="single"/>
        </w:rPr>
        <w:t>（前述乙方委托其签订外贸合同的出口商，一般为制造商）收款，</w:t>
      </w:r>
      <w:r>
        <w:rPr>
          <w:rFonts w:hint="eastAsia" w:ascii="宋体"/>
          <w:bCs/>
          <w:color w:val="auto"/>
          <w:sz w:val="24"/>
          <w:highlight w:val="none"/>
        </w:rPr>
        <w:t>付款方式为：开具100%信用证，</w:t>
      </w:r>
      <w:r>
        <w:rPr>
          <w:rFonts w:ascii="宋体"/>
          <w:bCs/>
          <w:color w:val="auto"/>
          <w:sz w:val="24"/>
          <w:highlight w:val="none"/>
          <w:u w:val="single"/>
        </w:rPr>
        <w:t xml:space="preserve">    </w:t>
      </w:r>
      <w:r>
        <w:rPr>
          <w:rFonts w:hint="eastAsia" w:ascii="宋体"/>
          <w:bCs/>
          <w:color w:val="auto"/>
          <w:sz w:val="24"/>
          <w:highlight w:val="none"/>
        </w:rPr>
        <w:t>见单即付，</w:t>
      </w:r>
      <w:r>
        <w:rPr>
          <w:rFonts w:ascii="宋体"/>
          <w:bCs/>
          <w:color w:val="auto"/>
          <w:sz w:val="24"/>
          <w:highlight w:val="none"/>
          <w:u w:val="single"/>
        </w:rPr>
        <w:t xml:space="preserve">     </w:t>
      </w:r>
      <w:r>
        <w:rPr>
          <w:rFonts w:hint="eastAsia" w:ascii="宋体"/>
          <w:bCs/>
          <w:color w:val="auto"/>
          <w:sz w:val="24"/>
          <w:highlight w:val="none"/>
        </w:rPr>
        <w:t>货到验收合格后凭最终用户（厦门大学</w:t>
      </w:r>
      <w:r>
        <w:rPr>
          <w:rFonts w:hint="eastAsia"/>
          <w:bCs/>
          <w:color w:val="auto"/>
          <w:sz w:val="28"/>
          <w:highlight w:val="none"/>
        </w:rPr>
        <w:sym w:font="Wingdings 2" w:char="F0CD"/>
      </w:r>
      <w:r>
        <w:rPr>
          <w:rFonts w:hint="eastAsia"/>
          <w:bCs/>
          <w:color w:val="auto"/>
          <w:sz w:val="28"/>
          <w:highlight w:val="none"/>
        </w:rPr>
        <w:sym w:font="Wingdings 2" w:char="F0CD"/>
      </w:r>
      <w:r>
        <w:rPr>
          <w:rFonts w:hint="eastAsia" w:ascii="宋体"/>
          <w:bCs/>
          <w:color w:val="auto"/>
          <w:sz w:val="24"/>
          <w:highlight w:val="none"/>
        </w:rPr>
        <w:t>学院）的验收合格报告单支付</w:t>
      </w:r>
    </w:p>
    <w:p w14:paraId="18844676">
      <w:pPr>
        <w:spacing w:line="400" w:lineRule="exact"/>
        <w:jc w:val="left"/>
        <w:rPr>
          <w:rFonts w:ascii="宋体"/>
          <w:bCs/>
          <w:color w:val="auto"/>
          <w:sz w:val="24"/>
          <w:highlight w:val="none"/>
        </w:rPr>
      </w:pPr>
      <w:r>
        <w:rPr>
          <w:bCs/>
          <w:color w:val="auto"/>
          <w:sz w:val="24"/>
          <w:highlight w:val="none"/>
        </w:rPr>
        <w:t>7．</w:t>
      </w:r>
      <w:r>
        <w:rPr>
          <w:rFonts w:hint="eastAsia" w:ascii="宋体"/>
          <w:bCs/>
          <w:color w:val="auto"/>
          <w:sz w:val="24"/>
          <w:highlight w:val="none"/>
        </w:rPr>
        <w:t>验收方式：</w:t>
      </w:r>
    </w:p>
    <w:p w14:paraId="258FE89F">
      <w:pPr>
        <w:spacing w:line="400" w:lineRule="exact"/>
        <w:rPr>
          <w:rFonts w:ascii="宋体"/>
          <w:bCs/>
          <w:color w:val="auto"/>
          <w:sz w:val="24"/>
          <w:highlight w:val="none"/>
        </w:rPr>
      </w:pPr>
      <w:r>
        <w:rPr>
          <w:rFonts w:hint="eastAsia" w:ascii="宋体"/>
          <w:bCs/>
          <w:color w:val="auto"/>
          <w:sz w:val="24"/>
          <w:highlight w:val="none"/>
        </w:rPr>
        <w:t xml:space="preserve">    货物到达甲方指定地点，乙方收到甲方通知7个工作日内组织安装调试，具备验收条件后，由甲方组织验收。若仪器设备或配件数量缺少、技术资料不齐全、外观破损或者仪器性能达不到技术指标要求，按以下方式理赔：</w:t>
      </w:r>
    </w:p>
    <w:p w14:paraId="1CDBE7BE">
      <w:pPr>
        <w:spacing w:line="400" w:lineRule="exact"/>
        <w:ind w:left="360"/>
        <w:rPr>
          <w:rFonts w:ascii="宋体"/>
          <w:bCs/>
          <w:color w:val="auto"/>
          <w:sz w:val="24"/>
          <w:highlight w:val="none"/>
        </w:rPr>
      </w:pPr>
      <w:r>
        <w:rPr>
          <w:rFonts w:hint="eastAsia" w:ascii="宋体"/>
          <w:bCs/>
          <w:color w:val="auto"/>
          <w:sz w:val="24"/>
          <w:highlight w:val="none"/>
        </w:rPr>
        <w:t>①乙方负责调换有瑕疵的货物或补足短缺。补货、换货必须全新，且满足原规格、质量和性能要求，乙方负担因此而产生的一切费用和甲方遭受的一切直接损失。若更换调试6个月后仍验收不合格,在乙方继续采取上述救济措施的同时，甲方有权不再支付尾款</w:t>
      </w:r>
      <w:r>
        <w:rPr>
          <w:rFonts w:hint="eastAsia"/>
          <w:color w:val="auto"/>
          <w:sz w:val="24"/>
          <w:highlight w:val="none"/>
        </w:rPr>
        <w:t>。</w:t>
      </w:r>
    </w:p>
    <w:p w14:paraId="3B561E8B">
      <w:pPr>
        <w:spacing w:line="400" w:lineRule="exact"/>
        <w:ind w:left="360"/>
        <w:rPr>
          <w:rFonts w:ascii="宋体"/>
          <w:bCs/>
          <w:color w:val="auto"/>
          <w:sz w:val="24"/>
          <w:highlight w:val="none"/>
        </w:rPr>
      </w:pPr>
      <w:r>
        <w:rPr>
          <w:rFonts w:hint="eastAsia"/>
          <w:color w:val="auto"/>
          <w:sz w:val="24"/>
          <w:highlight w:val="none"/>
        </w:rPr>
        <w:t>②</w:t>
      </w:r>
      <w:r>
        <w:rPr>
          <w:rFonts w:hint="eastAsia" w:ascii="宋体"/>
          <w:bCs/>
          <w:color w:val="auto"/>
          <w:sz w:val="24"/>
          <w:highlight w:val="none"/>
        </w:rPr>
        <w:t>若乙方采取调换、补货、换货等措施后仍无法满足甲方需求的，甲方有权退货，乙方须将退货金额以成交原币种退还甲方，并负担因退货而发生的一切直接损失和费用，包括利息、银行费用、运费、保险费、商检费、仓租、码头装卸费以及为保管退货而发生的一切其他必要费用。</w:t>
      </w:r>
    </w:p>
    <w:p w14:paraId="71DE8F03">
      <w:pPr>
        <w:spacing w:line="400" w:lineRule="exact"/>
        <w:jc w:val="left"/>
        <w:rPr>
          <w:rFonts w:ascii="宋体"/>
          <w:bCs/>
          <w:color w:val="auto"/>
          <w:sz w:val="24"/>
          <w:highlight w:val="none"/>
        </w:rPr>
      </w:pPr>
      <w:r>
        <w:rPr>
          <w:rFonts w:hint="eastAsia" w:ascii="宋体"/>
          <w:bCs/>
          <w:color w:val="auto"/>
          <w:sz w:val="24"/>
          <w:highlight w:val="none"/>
        </w:rPr>
        <w:t>8．售后服务：</w:t>
      </w:r>
    </w:p>
    <w:p w14:paraId="0221621A">
      <w:pPr>
        <w:tabs>
          <w:tab w:val="left" w:pos="0"/>
        </w:tabs>
        <w:spacing w:line="400" w:lineRule="exact"/>
        <w:jc w:val="left"/>
        <w:rPr>
          <w:rFonts w:ascii="宋体"/>
          <w:bCs/>
          <w:color w:val="auto"/>
          <w:sz w:val="24"/>
          <w:highlight w:val="none"/>
        </w:rPr>
      </w:pPr>
      <w:r>
        <w:rPr>
          <w:rFonts w:hint="eastAsia" w:ascii="宋体"/>
          <w:bCs/>
          <w:color w:val="auto"/>
          <w:sz w:val="24"/>
          <w:highlight w:val="none"/>
        </w:rPr>
        <w:t>①保修期限：自装机验收完成并经甲方签字确认合格之日起计，乙方对甲方购买的仪器保修时间为年，保修期间，因产品质量问题导致的一切费用均由乙方承担（人为损坏除外）。</w:t>
      </w:r>
    </w:p>
    <w:p w14:paraId="55BD243C">
      <w:pPr>
        <w:spacing w:line="400" w:lineRule="exact"/>
        <w:jc w:val="left"/>
        <w:rPr>
          <w:color w:val="auto"/>
          <w:sz w:val="24"/>
          <w:highlight w:val="none"/>
        </w:rPr>
      </w:pPr>
      <w:r>
        <w:rPr>
          <w:rFonts w:hint="eastAsia"/>
          <w:color w:val="auto"/>
          <w:sz w:val="24"/>
          <w:highlight w:val="none"/>
        </w:rPr>
        <w:t>②乙方需向甲方提供原厂维修服务（含保修期间的保修服务）。</w:t>
      </w:r>
    </w:p>
    <w:p w14:paraId="5423F2C1">
      <w:pPr>
        <w:spacing w:line="400" w:lineRule="exact"/>
        <w:jc w:val="left"/>
        <w:rPr>
          <w:rFonts w:ascii="宋体"/>
          <w:bCs/>
          <w:color w:val="auto"/>
          <w:sz w:val="24"/>
          <w:highlight w:val="none"/>
        </w:rPr>
      </w:pPr>
      <w:r>
        <w:rPr>
          <w:rFonts w:hint="eastAsia" w:ascii="宋体"/>
          <w:bCs/>
          <w:color w:val="auto"/>
          <w:sz w:val="24"/>
          <w:highlight w:val="none"/>
        </w:rPr>
        <w:t>③乙方负责免费提供现场仪器操作培训。</w:t>
      </w:r>
    </w:p>
    <w:p w14:paraId="0224C89C">
      <w:pPr>
        <w:spacing w:line="400" w:lineRule="exact"/>
        <w:jc w:val="left"/>
        <w:rPr>
          <w:rFonts w:ascii="宋体"/>
          <w:bCs/>
          <w:color w:val="auto"/>
          <w:sz w:val="24"/>
          <w:highlight w:val="none"/>
        </w:rPr>
      </w:pPr>
      <w:r>
        <w:rPr>
          <w:rFonts w:hint="eastAsia" w:ascii="宋体" w:hAnsi="宋体"/>
          <w:bCs/>
          <w:color w:val="auto"/>
          <w:sz w:val="24"/>
          <w:highlight w:val="none"/>
        </w:rPr>
        <w:t>④</w:t>
      </w:r>
      <w:r>
        <w:rPr>
          <w:rFonts w:hint="eastAsia"/>
          <w:color w:val="auto"/>
          <w:sz w:val="24"/>
          <w:highlight w:val="none"/>
        </w:rPr>
        <w:t>设备验收前提供一套完整的技术资料，包括：原厂说明书、用户手册、装箱单、出厂质量检验合格证及其他必要的资料</w:t>
      </w:r>
      <w:r>
        <w:rPr>
          <w:rFonts w:hint="eastAsia" w:ascii="宋体"/>
          <w:bCs/>
          <w:color w:val="auto"/>
          <w:sz w:val="24"/>
          <w:highlight w:val="none"/>
        </w:rPr>
        <w:t>。</w:t>
      </w:r>
    </w:p>
    <w:p w14:paraId="5830AAC3">
      <w:pPr>
        <w:spacing w:line="400" w:lineRule="exact"/>
        <w:jc w:val="left"/>
        <w:rPr>
          <w:rFonts w:ascii="宋体"/>
          <w:bCs/>
          <w:color w:val="auto"/>
          <w:sz w:val="24"/>
          <w:highlight w:val="none"/>
        </w:rPr>
      </w:pPr>
      <w:r>
        <w:rPr>
          <w:rFonts w:hint="eastAsia" w:ascii="宋体"/>
          <w:bCs/>
          <w:color w:val="auto"/>
          <w:sz w:val="24"/>
          <w:highlight w:val="none"/>
        </w:rPr>
        <w:t>9.其它约定事项：双方协商。</w:t>
      </w:r>
    </w:p>
    <w:p w14:paraId="5E13ED7B">
      <w:pPr>
        <w:spacing w:line="400" w:lineRule="exact"/>
        <w:jc w:val="left"/>
        <w:rPr>
          <w:rFonts w:ascii="宋体"/>
          <w:bCs/>
          <w:color w:val="auto"/>
          <w:sz w:val="24"/>
          <w:highlight w:val="none"/>
        </w:rPr>
      </w:pPr>
      <w:r>
        <w:rPr>
          <w:rFonts w:hint="eastAsia" w:ascii="宋体"/>
          <w:bCs/>
          <w:color w:val="auto"/>
          <w:sz w:val="24"/>
          <w:highlight w:val="none"/>
        </w:rPr>
        <w:t>10.争议解决：凡因本合同引起的或与本合同有关的争议，应协商解决；协商不成，各方均有权将争议提交甲方所在地人民法院</w:t>
      </w:r>
      <w:r>
        <w:rPr>
          <w:rFonts w:hint="eastAsia" w:ascii="宋体"/>
          <w:bCs/>
          <w:color w:val="auto"/>
          <w:sz w:val="24"/>
          <w:highlight w:val="none"/>
          <w:u w:val="single"/>
        </w:rPr>
        <w:t>适用中华人民共和国法律诉讼</w:t>
      </w:r>
      <w:r>
        <w:rPr>
          <w:rFonts w:hint="eastAsia" w:ascii="宋体"/>
          <w:bCs/>
          <w:color w:val="auto"/>
          <w:sz w:val="24"/>
          <w:highlight w:val="none"/>
        </w:rPr>
        <w:t>解决。守约方因维护自身合法权益而支出的包括但不限于诉讼费、仲裁费、律师费等在内的一切费用，均由违约方承担。</w:t>
      </w:r>
    </w:p>
    <w:p w14:paraId="3D8A7514">
      <w:pPr>
        <w:spacing w:line="400" w:lineRule="exact"/>
        <w:jc w:val="left"/>
        <w:rPr>
          <w:rFonts w:ascii="宋体"/>
          <w:bCs/>
          <w:color w:val="auto"/>
          <w:sz w:val="24"/>
          <w:highlight w:val="none"/>
        </w:rPr>
      </w:pPr>
      <w:r>
        <w:rPr>
          <w:rFonts w:ascii="宋体"/>
          <w:bCs/>
          <w:color w:val="auto"/>
          <w:sz w:val="24"/>
          <w:highlight w:val="none"/>
        </w:rPr>
        <w:t>11</w:t>
      </w:r>
      <w:r>
        <w:rPr>
          <w:rFonts w:hint="eastAsia" w:ascii="宋体"/>
          <w:bCs/>
          <w:color w:val="auto"/>
          <w:sz w:val="24"/>
          <w:highlight w:val="none"/>
        </w:rPr>
        <w:t>.本协议壹式肆份，由甲方、甲方用户单位、乙方、厦门大学资产后勤处各执壹份，具有同等法律效力。</w:t>
      </w:r>
    </w:p>
    <w:p w14:paraId="03BA619A">
      <w:pPr>
        <w:spacing w:line="400" w:lineRule="exact"/>
        <w:jc w:val="left"/>
        <w:rPr>
          <w:rFonts w:ascii="宋体"/>
          <w:bCs/>
          <w:color w:val="auto"/>
          <w:sz w:val="24"/>
          <w:highlight w:val="none"/>
        </w:rPr>
      </w:pPr>
    </w:p>
    <w:p w14:paraId="203F028D">
      <w:pPr>
        <w:spacing w:line="400" w:lineRule="exact"/>
        <w:rPr>
          <w:bCs/>
          <w:color w:val="auto"/>
          <w:sz w:val="24"/>
          <w:highlight w:val="none"/>
        </w:rPr>
      </w:pPr>
      <w:r>
        <w:rPr>
          <w:rFonts w:hint="eastAsia" w:ascii="宋体"/>
          <w:bCs/>
          <w:color w:val="auto"/>
          <w:sz w:val="24"/>
          <w:highlight w:val="none"/>
        </w:rPr>
        <w:t>甲方：</w:t>
      </w:r>
      <w:r>
        <w:rPr>
          <w:rFonts w:hint="eastAsia"/>
          <w:bCs/>
          <w:color w:val="auto"/>
          <w:sz w:val="24"/>
          <w:highlight w:val="none"/>
        </w:rPr>
        <w:t xml:space="preserve">厦门大学 </w:t>
      </w:r>
      <w:r>
        <w:rPr>
          <w:bCs/>
          <w:color w:val="auto"/>
          <w:sz w:val="24"/>
          <w:highlight w:val="none"/>
        </w:rPr>
        <w:t xml:space="preserve">                  </w:t>
      </w:r>
      <w:r>
        <w:rPr>
          <w:rFonts w:hint="eastAsia" w:ascii="宋体"/>
          <w:bCs/>
          <w:color w:val="auto"/>
          <w:sz w:val="24"/>
          <w:highlight w:val="none"/>
        </w:rPr>
        <w:t>乙方：</w:t>
      </w:r>
    </w:p>
    <w:p w14:paraId="2C519824">
      <w:pPr>
        <w:spacing w:line="400" w:lineRule="exact"/>
        <w:ind w:left="627" w:leftChars="13" w:hanging="600" w:hangingChars="250"/>
        <w:rPr>
          <w:rFonts w:ascii="宋体"/>
          <w:bCs/>
          <w:color w:val="auto"/>
          <w:sz w:val="24"/>
          <w:highlight w:val="none"/>
        </w:rPr>
      </w:pPr>
      <w:r>
        <w:rPr>
          <w:rFonts w:hint="eastAsia" w:ascii="宋体"/>
          <w:bCs/>
          <w:color w:val="auto"/>
          <w:sz w:val="24"/>
          <w:highlight w:val="none"/>
        </w:rPr>
        <w:t>地址：                           地址：</w:t>
      </w:r>
    </w:p>
    <w:p w14:paraId="51466A67">
      <w:pPr>
        <w:spacing w:line="400" w:lineRule="exact"/>
        <w:rPr>
          <w:rFonts w:ascii="宋体"/>
          <w:bCs/>
          <w:color w:val="auto"/>
          <w:sz w:val="24"/>
          <w:highlight w:val="none"/>
        </w:rPr>
      </w:pPr>
      <w:r>
        <w:rPr>
          <w:rFonts w:hint="eastAsia" w:ascii="宋体"/>
          <w:bCs/>
          <w:color w:val="auto"/>
          <w:sz w:val="24"/>
          <w:highlight w:val="none"/>
        </w:rPr>
        <w:t xml:space="preserve">用户代表人： </w:t>
      </w:r>
      <w:r>
        <w:rPr>
          <w:rFonts w:ascii="宋体"/>
          <w:bCs/>
          <w:color w:val="auto"/>
          <w:sz w:val="24"/>
          <w:highlight w:val="none"/>
        </w:rPr>
        <w:t xml:space="preserve">                </w:t>
      </w:r>
      <w:r>
        <w:rPr>
          <w:rFonts w:hint="eastAsia" w:ascii="宋体"/>
          <w:bCs/>
          <w:color w:val="auto"/>
          <w:sz w:val="24"/>
          <w:highlight w:val="none"/>
        </w:rPr>
        <w:t>法定代表人：</w:t>
      </w:r>
    </w:p>
    <w:p w14:paraId="156CDCA5">
      <w:pPr>
        <w:spacing w:line="400" w:lineRule="exact"/>
        <w:rPr>
          <w:rFonts w:ascii="宋体"/>
          <w:bCs/>
          <w:color w:val="auto"/>
          <w:sz w:val="24"/>
          <w:highlight w:val="none"/>
        </w:rPr>
      </w:pPr>
      <w:r>
        <w:rPr>
          <w:rFonts w:hint="eastAsia" w:ascii="宋体"/>
          <w:bCs/>
          <w:color w:val="auto"/>
          <w:sz w:val="24"/>
          <w:highlight w:val="none"/>
        </w:rPr>
        <w:t xml:space="preserve">电话： </w:t>
      </w:r>
      <w:r>
        <w:rPr>
          <w:rFonts w:ascii="宋体"/>
          <w:bCs/>
          <w:color w:val="auto"/>
          <w:sz w:val="24"/>
          <w:highlight w:val="none"/>
        </w:rPr>
        <w:t xml:space="preserve">                      </w:t>
      </w:r>
      <w:r>
        <w:rPr>
          <w:rFonts w:hint="eastAsia" w:ascii="宋体"/>
          <w:bCs/>
          <w:color w:val="auto"/>
          <w:sz w:val="24"/>
          <w:highlight w:val="none"/>
        </w:rPr>
        <w:t>委托代表人：</w:t>
      </w:r>
    </w:p>
    <w:p w14:paraId="0C5956A6">
      <w:pPr>
        <w:spacing w:line="400" w:lineRule="exact"/>
        <w:rPr>
          <w:rFonts w:ascii="宋体"/>
          <w:bCs/>
          <w:color w:val="auto"/>
          <w:sz w:val="24"/>
          <w:highlight w:val="none"/>
        </w:rPr>
      </w:pPr>
      <w:r>
        <w:rPr>
          <w:rFonts w:hint="eastAsia" w:ascii="宋体"/>
          <w:bCs/>
          <w:color w:val="auto"/>
          <w:sz w:val="24"/>
          <w:highlight w:val="none"/>
        </w:rPr>
        <w:t xml:space="preserve">移动电话： </w:t>
      </w:r>
      <w:r>
        <w:rPr>
          <w:rFonts w:ascii="宋体"/>
          <w:bCs/>
          <w:color w:val="auto"/>
          <w:sz w:val="24"/>
          <w:highlight w:val="none"/>
        </w:rPr>
        <w:t xml:space="preserve">                        </w:t>
      </w:r>
      <w:r>
        <w:rPr>
          <w:rFonts w:hint="eastAsia" w:ascii="宋体"/>
          <w:bCs/>
          <w:color w:val="auto"/>
          <w:sz w:val="24"/>
          <w:highlight w:val="none"/>
        </w:rPr>
        <w:t>电话：</w:t>
      </w:r>
    </w:p>
    <w:p w14:paraId="5A5DD454">
      <w:pPr>
        <w:spacing w:line="400" w:lineRule="exact"/>
        <w:ind w:left="-78"/>
        <w:rPr>
          <w:rFonts w:ascii="宋体"/>
          <w:bCs/>
          <w:color w:val="auto"/>
          <w:sz w:val="24"/>
          <w:highlight w:val="none"/>
        </w:rPr>
      </w:pPr>
      <w:r>
        <w:rPr>
          <w:rFonts w:hint="eastAsia" w:ascii="宋体"/>
          <w:bCs/>
          <w:color w:val="auto"/>
          <w:sz w:val="24"/>
          <w:highlight w:val="none"/>
        </w:rPr>
        <w:t xml:space="preserve">日期： </w:t>
      </w:r>
      <w:r>
        <w:rPr>
          <w:rFonts w:ascii="宋体"/>
          <w:bCs/>
          <w:color w:val="auto"/>
          <w:sz w:val="24"/>
          <w:highlight w:val="none"/>
        </w:rPr>
        <w:t xml:space="preserve">                             </w:t>
      </w:r>
      <w:r>
        <w:rPr>
          <w:rFonts w:hint="eastAsia" w:ascii="宋体"/>
          <w:bCs/>
          <w:color w:val="auto"/>
          <w:sz w:val="24"/>
          <w:highlight w:val="none"/>
        </w:rPr>
        <w:t>传真：</w:t>
      </w:r>
    </w:p>
    <w:p w14:paraId="5CA772EE">
      <w:pPr>
        <w:spacing w:line="400" w:lineRule="exact"/>
        <w:ind w:firstLine="4200" w:firstLineChars="1750"/>
        <w:rPr>
          <w:rFonts w:ascii="宋体"/>
          <w:bCs/>
          <w:color w:val="auto"/>
          <w:sz w:val="24"/>
          <w:highlight w:val="none"/>
        </w:rPr>
      </w:pPr>
      <w:r>
        <w:rPr>
          <w:rFonts w:hint="eastAsia" w:ascii="宋体"/>
          <w:bCs/>
          <w:color w:val="auto"/>
          <w:sz w:val="24"/>
          <w:highlight w:val="none"/>
        </w:rPr>
        <w:t>日期：</w:t>
      </w:r>
    </w:p>
    <w:p w14:paraId="1EF0FB31">
      <w:pPr>
        <w:spacing w:line="400" w:lineRule="exact"/>
        <w:ind w:firstLine="3960" w:firstLineChars="1650"/>
        <w:rPr>
          <w:rFonts w:ascii="宋体"/>
          <w:bCs/>
          <w:color w:val="auto"/>
          <w:sz w:val="24"/>
          <w:highlight w:val="none"/>
        </w:rPr>
      </w:pPr>
    </w:p>
    <w:p w14:paraId="1DE13B67">
      <w:pPr>
        <w:spacing w:line="400" w:lineRule="exact"/>
        <w:ind w:left="-78"/>
        <w:rPr>
          <w:rFonts w:ascii="宋体"/>
          <w:bCs/>
          <w:color w:val="auto"/>
          <w:sz w:val="24"/>
          <w:highlight w:val="none"/>
        </w:rPr>
      </w:pPr>
      <w:r>
        <w:rPr>
          <w:rFonts w:hint="eastAsia" w:ascii="宋体"/>
          <w:bCs/>
          <w:color w:val="auto"/>
          <w:sz w:val="24"/>
          <w:highlight w:val="none"/>
        </w:rPr>
        <w:t>用户代表人所在学院签章：</w:t>
      </w:r>
    </w:p>
    <w:p w14:paraId="213A5ABF">
      <w:pPr>
        <w:rPr>
          <w:color w:val="auto"/>
          <w:highlight w:val="none"/>
        </w:rPr>
      </w:pPr>
      <w:r>
        <w:rPr>
          <w:rFonts w:hint="eastAsia"/>
          <w:color w:val="auto"/>
          <w:sz w:val="24"/>
          <w:highlight w:val="none"/>
        </w:rPr>
        <w:t xml:space="preserve">  </w:t>
      </w:r>
    </w:p>
    <w:p w14:paraId="22AAF8A3">
      <w:pPr>
        <w:spacing w:line="460" w:lineRule="exact"/>
        <w:ind w:left="-181" w:leftChars="-86" w:firstLine="4080" w:firstLineChars="1700"/>
        <w:jc w:val="left"/>
        <w:rPr>
          <w:color w:val="auto"/>
          <w:sz w:val="24"/>
          <w:highlight w:val="none"/>
        </w:rPr>
      </w:pPr>
    </w:p>
    <w:p w14:paraId="2AFFA4A2">
      <w:pPr>
        <w:spacing w:line="460" w:lineRule="exact"/>
        <w:ind w:left="-181" w:leftChars="-86" w:firstLine="4080" w:firstLineChars="1700"/>
        <w:jc w:val="left"/>
        <w:rPr>
          <w:color w:val="auto"/>
          <w:sz w:val="24"/>
          <w:highlight w:val="none"/>
        </w:rPr>
      </w:pPr>
    </w:p>
    <w:p w14:paraId="0A441BDC">
      <w:pPr>
        <w:spacing w:line="460" w:lineRule="exact"/>
        <w:ind w:left="-181" w:leftChars="-86" w:firstLine="4080" w:firstLineChars="1700"/>
        <w:jc w:val="left"/>
        <w:rPr>
          <w:color w:val="auto"/>
          <w:sz w:val="24"/>
          <w:highlight w:val="none"/>
        </w:rPr>
      </w:pPr>
    </w:p>
    <w:p w14:paraId="5C473193">
      <w:pPr>
        <w:spacing w:line="460" w:lineRule="exact"/>
        <w:ind w:left="-181" w:leftChars="-86" w:firstLine="4080" w:firstLineChars="1700"/>
        <w:jc w:val="left"/>
        <w:rPr>
          <w:color w:val="auto"/>
          <w:sz w:val="24"/>
          <w:highlight w:val="none"/>
        </w:rPr>
      </w:pPr>
    </w:p>
    <w:p w14:paraId="61FDF1E1">
      <w:pPr>
        <w:spacing w:line="460" w:lineRule="exact"/>
        <w:ind w:left="-181" w:leftChars="-86" w:firstLine="4080" w:firstLineChars="1700"/>
        <w:jc w:val="left"/>
        <w:rPr>
          <w:color w:val="auto"/>
          <w:sz w:val="24"/>
          <w:highlight w:val="none"/>
        </w:rPr>
      </w:pPr>
    </w:p>
    <w:p w14:paraId="30045272">
      <w:pPr>
        <w:spacing w:line="460" w:lineRule="exact"/>
        <w:ind w:left="-181" w:leftChars="-86" w:firstLine="4080" w:firstLineChars="1700"/>
        <w:jc w:val="left"/>
        <w:rPr>
          <w:color w:val="auto"/>
          <w:sz w:val="24"/>
          <w:highlight w:val="none"/>
        </w:rPr>
      </w:pPr>
    </w:p>
    <w:p w14:paraId="4D424CBE">
      <w:pPr>
        <w:spacing w:line="460" w:lineRule="exact"/>
        <w:ind w:left="-181" w:leftChars="-86" w:firstLine="4080" w:firstLineChars="1700"/>
        <w:jc w:val="left"/>
        <w:rPr>
          <w:color w:val="auto"/>
          <w:sz w:val="24"/>
          <w:highlight w:val="none"/>
        </w:rPr>
      </w:pPr>
    </w:p>
    <w:p w14:paraId="323D710C">
      <w:pPr>
        <w:spacing w:line="460" w:lineRule="exact"/>
        <w:jc w:val="left"/>
        <w:rPr>
          <w:color w:val="auto"/>
          <w:sz w:val="24"/>
          <w:highlight w:val="none"/>
        </w:rPr>
      </w:pPr>
    </w:p>
    <w:p w14:paraId="7C3329BB">
      <w:pPr>
        <w:rPr>
          <w:rStyle w:val="38"/>
          <w:color w:val="auto"/>
          <w:highlight w:val="none"/>
        </w:rPr>
      </w:pPr>
      <w:bookmarkStart w:id="174" w:name="_Toc531742173"/>
      <w:bookmarkStart w:id="175" w:name="_Toc26145"/>
      <w:bookmarkStart w:id="176" w:name="_Toc13242"/>
      <w:r>
        <w:rPr>
          <w:rStyle w:val="38"/>
          <w:rFonts w:hint="eastAsia"/>
          <w:color w:val="auto"/>
          <w:highlight w:val="none"/>
        </w:rPr>
        <w:br w:type="page"/>
      </w:r>
    </w:p>
    <w:p w14:paraId="047A3A00">
      <w:pPr>
        <w:spacing w:line="360" w:lineRule="auto"/>
        <w:ind w:firstLine="753" w:firstLineChars="250"/>
        <w:jc w:val="center"/>
        <w:rPr>
          <w:rStyle w:val="38"/>
          <w:color w:val="auto"/>
          <w:highlight w:val="none"/>
        </w:rPr>
      </w:pPr>
      <w:bookmarkStart w:id="177" w:name="_Toc8456"/>
      <w:r>
        <w:rPr>
          <w:rStyle w:val="38"/>
          <w:rFonts w:hint="eastAsia"/>
          <w:color w:val="auto"/>
          <w:highlight w:val="none"/>
        </w:rPr>
        <w:t>第五章   投标文件格式</w:t>
      </w:r>
      <w:bookmarkEnd w:id="174"/>
      <w:bookmarkEnd w:id="175"/>
      <w:bookmarkEnd w:id="176"/>
    </w:p>
    <w:bookmarkEnd w:id="177"/>
    <w:p w14:paraId="49B0202B">
      <w:pPr>
        <w:pStyle w:val="39"/>
        <w:rPr>
          <w:color w:val="auto"/>
          <w:sz w:val="21"/>
          <w:szCs w:val="21"/>
          <w:highlight w:val="none"/>
        </w:rPr>
      </w:pPr>
    </w:p>
    <w:p w14:paraId="11184539">
      <w:pPr>
        <w:jc w:val="center"/>
        <w:rPr>
          <w:rFonts w:ascii="宋体"/>
          <w:b/>
          <w:color w:val="auto"/>
          <w:highlight w:val="none"/>
        </w:rPr>
      </w:pPr>
      <w:r>
        <w:rPr>
          <w:rFonts w:hint="eastAsia" w:ascii="宋体"/>
          <w:b/>
          <w:color w:val="auto"/>
          <w:highlight w:val="none"/>
        </w:rPr>
        <w:t>（本章格式文件可供参考，投标人可根据项目实际需求进行编制）</w:t>
      </w:r>
    </w:p>
    <w:p w14:paraId="05CC4BA8">
      <w:pPr>
        <w:pStyle w:val="39"/>
        <w:rPr>
          <w:color w:val="auto"/>
          <w:highlight w:val="none"/>
        </w:rPr>
      </w:pPr>
      <w:r>
        <w:rPr>
          <w:rFonts w:hint="eastAsia"/>
          <w:color w:val="auto"/>
          <w:highlight w:val="none"/>
        </w:rPr>
        <w:t xml:space="preserve">                             </w:t>
      </w:r>
    </w:p>
    <w:p w14:paraId="57913857">
      <w:pPr>
        <w:keepLines/>
        <w:pageBreakBefore/>
        <w:spacing w:line="360" w:lineRule="auto"/>
        <w:jc w:val="center"/>
        <w:rPr>
          <w:rFonts w:ascii="宋体"/>
          <w:b/>
          <w:color w:val="auto"/>
          <w:sz w:val="72"/>
          <w:highlight w:val="none"/>
        </w:rPr>
      </w:pPr>
      <w:r>
        <w:rPr>
          <w:rFonts w:hint="eastAsia" w:ascii="宋体"/>
          <w:b/>
          <w:color w:val="auto"/>
          <w:sz w:val="72"/>
          <w:highlight w:val="none"/>
        </w:rPr>
        <w:t>采购项目</w:t>
      </w:r>
    </w:p>
    <w:p w14:paraId="5A8AFFEC">
      <w:pPr>
        <w:spacing w:line="360" w:lineRule="auto"/>
        <w:jc w:val="center"/>
        <w:rPr>
          <w:rFonts w:ascii="宋体"/>
          <w:b/>
          <w:color w:val="auto"/>
          <w:sz w:val="72"/>
          <w:highlight w:val="none"/>
        </w:rPr>
      </w:pPr>
      <w:r>
        <w:rPr>
          <w:rFonts w:hint="eastAsia" w:ascii="宋体"/>
          <w:b/>
          <w:color w:val="auto"/>
          <w:sz w:val="72"/>
          <w:highlight w:val="none"/>
        </w:rPr>
        <w:t>投  标  文  件</w:t>
      </w:r>
    </w:p>
    <w:p w14:paraId="4B6EDA67">
      <w:pPr>
        <w:jc w:val="center"/>
        <w:outlineLvl w:val="1"/>
        <w:rPr>
          <w:color w:val="auto"/>
          <w:sz w:val="36"/>
          <w:szCs w:val="36"/>
          <w:highlight w:val="none"/>
        </w:rPr>
      </w:pPr>
      <w:bookmarkStart w:id="178" w:name="_Toc488063146"/>
      <w:bookmarkStart w:id="179" w:name="_Toc478067443"/>
      <w:bookmarkStart w:id="180" w:name="_Toc19083"/>
      <w:bookmarkStart w:id="181" w:name="_Toc26135"/>
      <w:bookmarkStart w:id="182" w:name="_Toc531742174"/>
      <w:r>
        <w:rPr>
          <w:rFonts w:hint="eastAsia"/>
          <w:b/>
          <w:color w:val="auto"/>
          <w:sz w:val="48"/>
          <w:szCs w:val="48"/>
          <w:highlight w:val="none"/>
        </w:rPr>
        <w:t>（报价部分）</w:t>
      </w:r>
      <w:bookmarkEnd w:id="178"/>
      <w:bookmarkEnd w:id="179"/>
      <w:bookmarkEnd w:id="180"/>
      <w:bookmarkEnd w:id="181"/>
      <w:bookmarkEnd w:id="182"/>
    </w:p>
    <w:p w14:paraId="23CE674E">
      <w:pPr>
        <w:spacing w:line="360" w:lineRule="auto"/>
        <w:rPr>
          <w:color w:val="auto"/>
          <w:sz w:val="36"/>
          <w:szCs w:val="36"/>
          <w:highlight w:val="none"/>
        </w:rPr>
      </w:pPr>
    </w:p>
    <w:p w14:paraId="1024FD7E">
      <w:pPr>
        <w:spacing w:line="360" w:lineRule="auto"/>
        <w:jc w:val="center"/>
        <w:rPr>
          <w:b/>
          <w:color w:val="auto"/>
          <w:sz w:val="36"/>
          <w:szCs w:val="36"/>
          <w:highlight w:val="none"/>
          <w:u w:val="single"/>
        </w:rPr>
      </w:pPr>
      <w:r>
        <w:rPr>
          <w:rFonts w:hint="eastAsia"/>
          <w:b/>
          <w:color w:val="auto"/>
          <w:sz w:val="36"/>
          <w:szCs w:val="36"/>
          <w:highlight w:val="none"/>
          <w:u w:val="single"/>
        </w:rPr>
        <w:t>（填写正本或副本）</w:t>
      </w:r>
    </w:p>
    <w:p w14:paraId="0D5D5AB5">
      <w:pPr>
        <w:spacing w:line="360" w:lineRule="auto"/>
        <w:rPr>
          <w:color w:val="auto"/>
          <w:sz w:val="36"/>
          <w:szCs w:val="36"/>
          <w:highlight w:val="none"/>
        </w:rPr>
      </w:pPr>
    </w:p>
    <w:p w14:paraId="1AB2C285">
      <w:pPr>
        <w:spacing w:line="360" w:lineRule="auto"/>
        <w:ind w:firstLine="1928" w:firstLineChars="600"/>
        <w:jc w:val="left"/>
        <w:rPr>
          <w:b/>
          <w:color w:val="auto"/>
          <w:sz w:val="32"/>
          <w:szCs w:val="32"/>
          <w:highlight w:val="none"/>
          <w:u w:val="single"/>
        </w:rPr>
      </w:pPr>
      <w:r>
        <w:rPr>
          <w:rFonts w:hint="eastAsia"/>
          <w:b/>
          <w:color w:val="auto"/>
          <w:sz w:val="32"/>
          <w:szCs w:val="32"/>
          <w:highlight w:val="none"/>
        </w:rPr>
        <w:t>项目名称：</w:t>
      </w:r>
      <w:r>
        <w:rPr>
          <w:rFonts w:hint="eastAsia"/>
          <w:b/>
          <w:color w:val="auto"/>
          <w:sz w:val="32"/>
          <w:szCs w:val="32"/>
          <w:highlight w:val="none"/>
          <w:u w:val="single"/>
        </w:rPr>
        <w:t>（由投标人填写）</w:t>
      </w:r>
    </w:p>
    <w:p w14:paraId="3B4302DF">
      <w:pPr>
        <w:spacing w:line="360" w:lineRule="auto"/>
        <w:ind w:firstLine="1928" w:firstLineChars="600"/>
        <w:jc w:val="left"/>
        <w:rPr>
          <w:b/>
          <w:color w:val="auto"/>
          <w:sz w:val="32"/>
          <w:szCs w:val="32"/>
          <w:highlight w:val="none"/>
          <w:u w:val="single"/>
        </w:rPr>
      </w:pPr>
      <w:r>
        <w:rPr>
          <w:rFonts w:hint="eastAsia"/>
          <w:b/>
          <w:color w:val="auto"/>
          <w:sz w:val="32"/>
          <w:szCs w:val="32"/>
          <w:highlight w:val="none"/>
        </w:rPr>
        <w:t>项目编号：</w:t>
      </w:r>
      <w:r>
        <w:rPr>
          <w:rFonts w:hint="eastAsia"/>
          <w:b/>
          <w:color w:val="auto"/>
          <w:sz w:val="32"/>
          <w:szCs w:val="32"/>
          <w:highlight w:val="none"/>
          <w:u w:val="single"/>
        </w:rPr>
        <w:t>（由投标人填写）</w:t>
      </w:r>
    </w:p>
    <w:p w14:paraId="4DF39894">
      <w:pPr>
        <w:spacing w:line="360" w:lineRule="auto"/>
        <w:ind w:firstLine="2160" w:firstLineChars="600"/>
        <w:jc w:val="left"/>
        <w:rPr>
          <w:color w:val="auto"/>
          <w:sz w:val="36"/>
          <w:szCs w:val="36"/>
          <w:highlight w:val="none"/>
        </w:rPr>
      </w:pPr>
    </w:p>
    <w:p w14:paraId="26966A72">
      <w:pPr>
        <w:spacing w:line="360" w:lineRule="auto"/>
        <w:rPr>
          <w:color w:val="auto"/>
          <w:sz w:val="36"/>
          <w:szCs w:val="36"/>
          <w:highlight w:val="none"/>
        </w:rPr>
      </w:pPr>
    </w:p>
    <w:p w14:paraId="32268AD0">
      <w:pPr>
        <w:spacing w:line="360" w:lineRule="auto"/>
        <w:rPr>
          <w:color w:val="auto"/>
          <w:sz w:val="36"/>
          <w:szCs w:val="36"/>
          <w:highlight w:val="none"/>
        </w:rPr>
      </w:pPr>
    </w:p>
    <w:p w14:paraId="6B39B3F4">
      <w:pPr>
        <w:spacing w:line="360" w:lineRule="auto"/>
        <w:rPr>
          <w:color w:val="auto"/>
          <w:sz w:val="36"/>
          <w:szCs w:val="36"/>
          <w:highlight w:val="none"/>
        </w:rPr>
      </w:pPr>
    </w:p>
    <w:p w14:paraId="78070EDD">
      <w:pPr>
        <w:spacing w:line="360" w:lineRule="auto"/>
        <w:jc w:val="center"/>
        <w:rPr>
          <w:b/>
          <w:color w:val="auto"/>
          <w:sz w:val="32"/>
          <w:szCs w:val="32"/>
          <w:highlight w:val="none"/>
        </w:rPr>
      </w:pPr>
      <w:r>
        <w:rPr>
          <w:rFonts w:hint="eastAsia"/>
          <w:b/>
          <w:color w:val="auto"/>
          <w:sz w:val="32"/>
          <w:szCs w:val="32"/>
          <w:highlight w:val="none"/>
        </w:rPr>
        <w:t>投标人：</w:t>
      </w:r>
      <w:r>
        <w:rPr>
          <w:rFonts w:hint="eastAsia"/>
          <w:b/>
          <w:color w:val="auto"/>
          <w:sz w:val="32"/>
          <w:szCs w:val="32"/>
          <w:highlight w:val="none"/>
          <w:u w:val="single"/>
        </w:rPr>
        <w:t>（填写“全称”）</w:t>
      </w:r>
    </w:p>
    <w:p w14:paraId="6651E4C3">
      <w:pPr>
        <w:spacing w:line="360" w:lineRule="auto"/>
        <w:rPr>
          <w:b/>
          <w:color w:val="auto"/>
          <w:sz w:val="32"/>
          <w:szCs w:val="32"/>
          <w:highlight w:val="none"/>
          <w:u w:val="single"/>
        </w:rPr>
      </w:pPr>
    </w:p>
    <w:p w14:paraId="3C031FCD">
      <w:pPr>
        <w:spacing w:line="360" w:lineRule="auto"/>
        <w:ind w:firstLine="1911" w:firstLineChars="595"/>
        <w:rPr>
          <w:rFonts w:ascii="宋体"/>
          <w:b/>
          <w:color w:val="auto"/>
          <w:sz w:val="36"/>
          <w:highlight w:val="none"/>
        </w:rPr>
      </w:pPr>
      <w:r>
        <w:rPr>
          <w:rFonts w:hint="eastAsia"/>
          <w:b/>
          <w:color w:val="auto"/>
          <w:sz w:val="32"/>
          <w:szCs w:val="32"/>
          <w:highlight w:val="none"/>
          <w:u w:val="single"/>
        </w:rPr>
        <w:t>（由投标人填写）</w:t>
      </w:r>
      <w:r>
        <w:rPr>
          <w:rFonts w:hint="eastAsia"/>
          <w:b/>
          <w:color w:val="auto"/>
          <w:sz w:val="32"/>
          <w:szCs w:val="32"/>
          <w:highlight w:val="none"/>
        </w:rPr>
        <w:t>年</w:t>
      </w:r>
      <w:r>
        <w:rPr>
          <w:rFonts w:hint="eastAsia"/>
          <w:b/>
          <w:color w:val="auto"/>
          <w:sz w:val="32"/>
          <w:szCs w:val="32"/>
          <w:highlight w:val="none"/>
          <w:u w:val="single"/>
        </w:rPr>
        <w:t>（由投标人填写）</w:t>
      </w:r>
      <w:r>
        <w:rPr>
          <w:rFonts w:hint="eastAsia"/>
          <w:b/>
          <w:color w:val="auto"/>
          <w:sz w:val="32"/>
          <w:szCs w:val="32"/>
          <w:highlight w:val="none"/>
        </w:rPr>
        <w:t>月</w:t>
      </w:r>
    </w:p>
    <w:p w14:paraId="3D76EAC3">
      <w:pPr>
        <w:pStyle w:val="45"/>
        <w:spacing w:line="360" w:lineRule="auto"/>
        <w:outlineLvl w:val="9"/>
        <w:rPr>
          <w:b/>
          <w:color w:val="auto"/>
          <w:sz w:val="24"/>
          <w:highlight w:val="none"/>
        </w:rPr>
      </w:pPr>
    </w:p>
    <w:p w14:paraId="0167A484">
      <w:pPr>
        <w:pStyle w:val="45"/>
        <w:spacing w:line="360" w:lineRule="auto"/>
        <w:outlineLvl w:val="9"/>
        <w:rPr>
          <w:b/>
          <w:color w:val="auto"/>
          <w:sz w:val="24"/>
          <w:highlight w:val="none"/>
        </w:rPr>
      </w:pPr>
    </w:p>
    <w:p w14:paraId="62A3F011">
      <w:pPr>
        <w:pStyle w:val="45"/>
        <w:spacing w:line="360" w:lineRule="auto"/>
        <w:outlineLvl w:val="9"/>
        <w:rPr>
          <w:b/>
          <w:color w:val="auto"/>
          <w:sz w:val="24"/>
          <w:highlight w:val="none"/>
        </w:rPr>
      </w:pPr>
    </w:p>
    <w:p w14:paraId="0EE855E8">
      <w:pPr>
        <w:jc w:val="center"/>
        <w:rPr>
          <w:b/>
          <w:color w:val="auto"/>
          <w:sz w:val="24"/>
          <w:szCs w:val="24"/>
          <w:highlight w:val="none"/>
        </w:rPr>
      </w:pPr>
      <w:bookmarkStart w:id="183" w:name="_Toc484527756"/>
      <w:r>
        <w:rPr>
          <w:b/>
          <w:color w:val="auto"/>
          <w:sz w:val="24"/>
          <w:highlight w:val="none"/>
        </w:rPr>
        <w:br w:type="page"/>
      </w:r>
      <w:r>
        <w:rPr>
          <w:rFonts w:hint="eastAsia"/>
          <w:b/>
          <w:color w:val="auto"/>
          <w:sz w:val="24"/>
          <w:szCs w:val="24"/>
          <w:highlight w:val="none"/>
        </w:rPr>
        <w:t>索引</w:t>
      </w:r>
      <w:bookmarkEnd w:id="183"/>
    </w:p>
    <w:p w14:paraId="492F0649">
      <w:pPr>
        <w:pStyle w:val="45"/>
        <w:spacing w:line="360" w:lineRule="auto"/>
        <w:outlineLvl w:val="9"/>
        <w:rPr>
          <w:b/>
          <w:color w:val="auto"/>
          <w:sz w:val="24"/>
          <w:highlight w:val="none"/>
        </w:rPr>
      </w:pPr>
    </w:p>
    <w:p w14:paraId="5B440AEA">
      <w:pPr>
        <w:pStyle w:val="45"/>
        <w:spacing w:line="360" w:lineRule="auto"/>
        <w:outlineLvl w:val="9"/>
        <w:rPr>
          <w:b/>
          <w:color w:val="auto"/>
          <w:sz w:val="24"/>
          <w:highlight w:val="none"/>
        </w:rPr>
      </w:pPr>
    </w:p>
    <w:p w14:paraId="17FD0E67">
      <w:pPr>
        <w:spacing w:line="360" w:lineRule="auto"/>
        <w:rPr>
          <w:rFonts w:ascii="宋体"/>
          <w:color w:val="auto"/>
          <w:sz w:val="24"/>
          <w:highlight w:val="none"/>
        </w:rPr>
      </w:pPr>
      <w:bookmarkStart w:id="184" w:name="_Toc484527757"/>
      <w:r>
        <w:rPr>
          <w:rFonts w:hint="eastAsia" w:ascii="宋体"/>
          <w:color w:val="auto"/>
          <w:sz w:val="24"/>
          <w:highlight w:val="none"/>
        </w:rPr>
        <w:t>一、开标一览表</w:t>
      </w:r>
      <w:bookmarkEnd w:id="184"/>
    </w:p>
    <w:p w14:paraId="3A928458">
      <w:pPr>
        <w:spacing w:line="360" w:lineRule="auto"/>
        <w:rPr>
          <w:rFonts w:ascii="宋体"/>
          <w:color w:val="auto"/>
          <w:sz w:val="24"/>
          <w:highlight w:val="none"/>
        </w:rPr>
      </w:pPr>
      <w:bookmarkStart w:id="185" w:name="_Toc484527758"/>
      <w:r>
        <w:rPr>
          <w:rFonts w:hint="eastAsia" w:ascii="宋体"/>
          <w:color w:val="auto"/>
          <w:sz w:val="24"/>
          <w:highlight w:val="none"/>
        </w:rPr>
        <w:t>二、投标分项报价表</w:t>
      </w:r>
      <w:bookmarkEnd w:id="185"/>
    </w:p>
    <w:p w14:paraId="3C04CF62">
      <w:pPr>
        <w:spacing w:line="360" w:lineRule="auto"/>
        <w:rPr>
          <w:rFonts w:ascii="宋体"/>
          <w:color w:val="auto"/>
          <w:sz w:val="24"/>
          <w:highlight w:val="none"/>
        </w:rPr>
      </w:pPr>
      <w:r>
        <w:rPr>
          <w:rFonts w:hint="eastAsia" w:ascii="宋体"/>
          <w:color w:val="auto"/>
          <w:sz w:val="24"/>
          <w:highlight w:val="none"/>
        </w:rPr>
        <w:t>三、中小企业声明函（若有）</w:t>
      </w:r>
    </w:p>
    <w:p w14:paraId="4ECE8EF8">
      <w:pPr>
        <w:spacing w:line="360" w:lineRule="auto"/>
        <w:rPr>
          <w:rFonts w:ascii="宋体"/>
          <w:color w:val="auto"/>
          <w:sz w:val="24"/>
          <w:highlight w:val="none"/>
        </w:rPr>
      </w:pPr>
      <w:bookmarkStart w:id="186" w:name="_Toc484527766"/>
      <w:r>
        <w:rPr>
          <w:rFonts w:hint="eastAsia" w:ascii="宋体"/>
          <w:color w:val="auto"/>
          <w:sz w:val="24"/>
          <w:highlight w:val="none"/>
        </w:rPr>
        <w:t>四、投标人提交的其他资料（若有）</w:t>
      </w:r>
      <w:bookmarkEnd w:id="186"/>
    </w:p>
    <w:p w14:paraId="0DE6D3AE">
      <w:pPr>
        <w:pStyle w:val="45"/>
        <w:spacing w:line="360" w:lineRule="auto"/>
        <w:outlineLvl w:val="9"/>
        <w:rPr>
          <w:b/>
          <w:color w:val="auto"/>
          <w:sz w:val="24"/>
          <w:highlight w:val="none"/>
        </w:rPr>
      </w:pPr>
    </w:p>
    <w:p w14:paraId="60EF56BC">
      <w:pPr>
        <w:ind w:firstLine="424" w:firstLineChars="177"/>
        <w:rPr>
          <w:rFonts w:ascii="宋体"/>
          <w:color w:val="auto"/>
          <w:sz w:val="24"/>
          <w:highlight w:val="none"/>
        </w:rPr>
      </w:pPr>
    </w:p>
    <w:p w14:paraId="439A5E4A">
      <w:pPr>
        <w:spacing w:line="360" w:lineRule="auto"/>
        <w:rPr>
          <w:rFonts w:ascii="宋体"/>
          <w:color w:val="auto"/>
          <w:sz w:val="24"/>
          <w:highlight w:val="none"/>
        </w:rPr>
        <w:sectPr>
          <w:pgSz w:w="11906" w:h="16838"/>
          <w:pgMar w:top="1134" w:right="1247" w:bottom="1134" w:left="1247" w:header="567" w:footer="567" w:gutter="0"/>
          <w:cols w:space="720" w:num="1"/>
          <w:docGrid w:linePitch="286" w:charSpace="0"/>
        </w:sectPr>
      </w:pPr>
    </w:p>
    <w:p w14:paraId="22FD766A">
      <w:pPr>
        <w:jc w:val="center"/>
        <w:rPr>
          <w:b/>
          <w:color w:val="auto"/>
          <w:sz w:val="24"/>
          <w:szCs w:val="24"/>
          <w:highlight w:val="none"/>
        </w:rPr>
      </w:pPr>
      <w:bookmarkStart w:id="187" w:name="_Toc332895803"/>
      <w:bookmarkStart w:id="188" w:name="_Toc332894833"/>
      <w:bookmarkStart w:id="189" w:name="_Toc484527767"/>
      <w:r>
        <w:rPr>
          <w:rFonts w:hint="eastAsia"/>
          <w:b/>
          <w:color w:val="auto"/>
          <w:sz w:val="24"/>
          <w:szCs w:val="24"/>
          <w:highlight w:val="none"/>
        </w:rPr>
        <w:t>开标一览表</w:t>
      </w:r>
      <w:bookmarkEnd w:id="187"/>
      <w:bookmarkEnd w:id="188"/>
      <w:bookmarkEnd w:id="189"/>
    </w:p>
    <w:p w14:paraId="14AE7CF2">
      <w:pPr>
        <w:spacing w:line="380" w:lineRule="exact"/>
        <w:rPr>
          <w:rFonts w:ascii="宋体"/>
          <w:color w:val="auto"/>
          <w:sz w:val="24"/>
          <w:highlight w:val="none"/>
        </w:rPr>
      </w:pPr>
      <w:r>
        <w:rPr>
          <w:rFonts w:hint="eastAsia" w:ascii="宋体"/>
          <w:color w:val="auto"/>
          <w:sz w:val="24"/>
          <w:highlight w:val="none"/>
        </w:rPr>
        <w:t>项目名称：                  项目编号∶               货币单位：</w:t>
      </w:r>
    </w:p>
    <w:tbl>
      <w:tblPr>
        <w:tblStyle w:val="28"/>
        <w:tblW w:w="952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016"/>
        <w:gridCol w:w="1342"/>
        <w:gridCol w:w="2137"/>
        <w:gridCol w:w="984"/>
        <w:gridCol w:w="999"/>
        <w:gridCol w:w="999"/>
        <w:gridCol w:w="999"/>
      </w:tblGrid>
      <w:tr w14:paraId="57FE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045" w:type="dxa"/>
            <w:vAlign w:val="center"/>
          </w:tcPr>
          <w:p w14:paraId="3B17D682">
            <w:pPr>
              <w:tabs>
                <w:tab w:val="left" w:pos="3570"/>
              </w:tabs>
              <w:spacing w:line="360" w:lineRule="auto"/>
              <w:ind w:right="-21" w:rightChars="-1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合同包</w:t>
            </w:r>
          </w:p>
        </w:tc>
        <w:tc>
          <w:tcPr>
            <w:tcW w:w="1016" w:type="dxa"/>
            <w:vAlign w:val="center"/>
          </w:tcPr>
          <w:p w14:paraId="6DF62D3E">
            <w:pPr>
              <w:tabs>
                <w:tab w:val="left" w:pos="3570"/>
              </w:tabs>
              <w:spacing w:line="360" w:lineRule="auto"/>
              <w:ind w:right="-21" w:rightChars="-1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342" w:type="dxa"/>
            <w:vAlign w:val="center"/>
          </w:tcPr>
          <w:p w14:paraId="0AA8E409">
            <w:pPr>
              <w:tabs>
                <w:tab w:val="left" w:pos="3570"/>
              </w:tabs>
              <w:spacing w:line="360" w:lineRule="auto"/>
              <w:ind w:right="-21" w:rightChars="-1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货物名称</w:t>
            </w:r>
          </w:p>
        </w:tc>
        <w:tc>
          <w:tcPr>
            <w:tcW w:w="2137" w:type="dxa"/>
            <w:vAlign w:val="center"/>
          </w:tcPr>
          <w:p w14:paraId="649D4077">
            <w:pPr>
              <w:tabs>
                <w:tab w:val="left" w:pos="3570"/>
              </w:tabs>
              <w:spacing w:line="360" w:lineRule="auto"/>
              <w:ind w:right="-21" w:rightChars="-1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型号、规格</w:t>
            </w:r>
          </w:p>
          <w:p w14:paraId="23B49B61">
            <w:pPr>
              <w:tabs>
                <w:tab w:val="left" w:pos="3570"/>
              </w:tabs>
              <w:spacing w:line="360" w:lineRule="auto"/>
              <w:ind w:right="-21" w:rightChars="-1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品牌或制造商</w:t>
            </w:r>
          </w:p>
        </w:tc>
        <w:tc>
          <w:tcPr>
            <w:tcW w:w="984" w:type="dxa"/>
            <w:vAlign w:val="center"/>
          </w:tcPr>
          <w:p w14:paraId="01FBFE83">
            <w:pPr>
              <w:tabs>
                <w:tab w:val="left" w:pos="3570"/>
              </w:tabs>
              <w:spacing w:line="360" w:lineRule="auto"/>
              <w:ind w:right="-21" w:rightChars="-1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999" w:type="dxa"/>
            <w:vAlign w:val="center"/>
          </w:tcPr>
          <w:p w14:paraId="1AE43896">
            <w:pPr>
              <w:tabs>
                <w:tab w:val="left" w:pos="3570"/>
              </w:tabs>
              <w:spacing w:line="360" w:lineRule="auto"/>
              <w:ind w:right="-21" w:rightChars="-1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单价</w:t>
            </w:r>
          </w:p>
        </w:tc>
        <w:tc>
          <w:tcPr>
            <w:tcW w:w="999" w:type="dxa"/>
            <w:vAlign w:val="center"/>
          </w:tcPr>
          <w:p w14:paraId="31E03430">
            <w:pPr>
              <w:tabs>
                <w:tab w:val="left" w:pos="3570"/>
              </w:tabs>
              <w:spacing w:line="360" w:lineRule="auto"/>
              <w:ind w:right="-21" w:rightChars="-1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合价</w:t>
            </w:r>
          </w:p>
        </w:tc>
        <w:tc>
          <w:tcPr>
            <w:tcW w:w="999" w:type="dxa"/>
            <w:vAlign w:val="center"/>
          </w:tcPr>
          <w:p w14:paraId="6B6AB42A">
            <w:pPr>
              <w:tabs>
                <w:tab w:val="left" w:pos="3570"/>
              </w:tabs>
              <w:spacing w:line="360" w:lineRule="auto"/>
              <w:ind w:right="-21" w:rightChars="-1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质保期</w:t>
            </w:r>
          </w:p>
        </w:tc>
      </w:tr>
      <w:tr w14:paraId="0A41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45" w:type="dxa"/>
            <w:vAlign w:val="center"/>
          </w:tcPr>
          <w:p w14:paraId="6986D0A1">
            <w:pPr>
              <w:tabs>
                <w:tab w:val="left" w:pos="3570"/>
              </w:tabs>
              <w:spacing w:line="360" w:lineRule="auto"/>
              <w:ind w:right="-21" w:rightChars="-10"/>
              <w:jc w:val="center"/>
              <w:rPr>
                <w:rFonts w:hint="eastAsia" w:ascii="宋体" w:hAnsi="宋体" w:cs="宋体"/>
                <w:color w:val="auto"/>
                <w:sz w:val="24"/>
                <w:szCs w:val="24"/>
                <w:highlight w:val="none"/>
              </w:rPr>
            </w:pPr>
          </w:p>
        </w:tc>
        <w:tc>
          <w:tcPr>
            <w:tcW w:w="1016" w:type="dxa"/>
            <w:vAlign w:val="center"/>
          </w:tcPr>
          <w:p w14:paraId="58CA88FC">
            <w:pPr>
              <w:tabs>
                <w:tab w:val="left" w:pos="3570"/>
              </w:tabs>
              <w:spacing w:line="360" w:lineRule="auto"/>
              <w:ind w:right="-21" w:rightChars="-10"/>
              <w:rPr>
                <w:rFonts w:hint="eastAsia" w:ascii="宋体" w:hAnsi="宋体" w:cs="宋体"/>
                <w:color w:val="auto"/>
                <w:sz w:val="24"/>
                <w:szCs w:val="24"/>
                <w:highlight w:val="none"/>
                <w:u w:val="single"/>
              </w:rPr>
            </w:pPr>
          </w:p>
        </w:tc>
        <w:tc>
          <w:tcPr>
            <w:tcW w:w="1342" w:type="dxa"/>
            <w:vAlign w:val="center"/>
          </w:tcPr>
          <w:p w14:paraId="1F46D4C0">
            <w:pPr>
              <w:tabs>
                <w:tab w:val="left" w:pos="3570"/>
              </w:tabs>
              <w:spacing w:line="360" w:lineRule="auto"/>
              <w:ind w:right="-21" w:rightChars="-10"/>
              <w:jc w:val="center"/>
              <w:rPr>
                <w:rFonts w:hint="eastAsia" w:ascii="宋体" w:hAnsi="宋体" w:cs="宋体"/>
                <w:color w:val="auto"/>
                <w:sz w:val="24"/>
                <w:szCs w:val="24"/>
                <w:highlight w:val="none"/>
                <w:u w:val="single"/>
              </w:rPr>
            </w:pPr>
          </w:p>
        </w:tc>
        <w:tc>
          <w:tcPr>
            <w:tcW w:w="2137" w:type="dxa"/>
            <w:vAlign w:val="center"/>
          </w:tcPr>
          <w:p w14:paraId="3442A69F">
            <w:pPr>
              <w:tabs>
                <w:tab w:val="left" w:pos="3570"/>
              </w:tabs>
              <w:spacing w:line="360" w:lineRule="auto"/>
              <w:ind w:right="-21" w:rightChars="-10"/>
              <w:jc w:val="center"/>
              <w:rPr>
                <w:rFonts w:hint="eastAsia" w:ascii="宋体" w:hAnsi="宋体" w:cs="宋体"/>
                <w:color w:val="auto"/>
                <w:sz w:val="24"/>
                <w:szCs w:val="24"/>
                <w:highlight w:val="none"/>
                <w:u w:val="single"/>
              </w:rPr>
            </w:pPr>
          </w:p>
        </w:tc>
        <w:tc>
          <w:tcPr>
            <w:tcW w:w="984" w:type="dxa"/>
            <w:vAlign w:val="center"/>
          </w:tcPr>
          <w:p w14:paraId="7D65ECD6">
            <w:pPr>
              <w:tabs>
                <w:tab w:val="left" w:pos="3570"/>
              </w:tabs>
              <w:spacing w:line="360" w:lineRule="auto"/>
              <w:ind w:right="-21" w:rightChars="-10"/>
              <w:jc w:val="center"/>
              <w:rPr>
                <w:rFonts w:hint="eastAsia" w:ascii="宋体" w:hAnsi="宋体" w:cs="宋体"/>
                <w:color w:val="auto"/>
                <w:sz w:val="24"/>
                <w:szCs w:val="24"/>
                <w:highlight w:val="none"/>
                <w:u w:val="single"/>
              </w:rPr>
            </w:pPr>
          </w:p>
        </w:tc>
        <w:tc>
          <w:tcPr>
            <w:tcW w:w="999" w:type="dxa"/>
            <w:vAlign w:val="center"/>
          </w:tcPr>
          <w:p w14:paraId="49399345">
            <w:pPr>
              <w:tabs>
                <w:tab w:val="left" w:pos="3570"/>
              </w:tabs>
              <w:spacing w:line="360" w:lineRule="auto"/>
              <w:ind w:right="-21" w:rightChars="-10"/>
              <w:jc w:val="center"/>
              <w:rPr>
                <w:rFonts w:hint="eastAsia" w:ascii="宋体" w:hAnsi="宋体" w:cs="宋体"/>
                <w:color w:val="auto"/>
                <w:sz w:val="24"/>
                <w:szCs w:val="24"/>
                <w:highlight w:val="none"/>
                <w:u w:val="single"/>
              </w:rPr>
            </w:pPr>
          </w:p>
        </w:tc>
        <w:tc>
          <w:tcPr>
            <w:tcW w:w="999" w:type="dxa"/>
            <w:vAlign w:val="center"/>
          </w:tcPr>
          <w:p w14:paraId="760E591B">
            <w:pPr>
              <w:tabs>
                <w:tab w:val="left" w:pos="3570"/>
              </w:tabs>
              <w:spacing w:line="360" w:lineRule="auto"/>
              <w:ind w:right="-21" w:rightChars="-10"/>
              <w:jc w:val="center"/>
              <w:rPr>
                <w:rFonts w:hint="eastAsia" w:ascii="宋体" w:hAnsi="宋体" w:cs="宋体"/>
                <w:color w:val="auto"/>
                <w:sz w:val="24"/>
                <w:szCs w:val="24"/>
                <w:highlight w:val="none"/>
                <w:u w:val="single"/>
              </w:rPr>
            </w:pPr>
          </w:p>
        </w:tc>
        <w:tc>
          <w:tcPr>
            <w:tcW w:w="999" w:type="dxa"/>
          </w:tcPr>
          <w:p w14:paraId="3F2998CC">
            <w:pPr>
              <w:tabs>
                <w:tab w:val="left" w:pos="3570"/>
              </w:tabs>
              <w:spacing w:line="360" w:lineRule="auto"/>
              <w:ind w:right="-21" w:rightChars="-10"/>
              <w:jc w:val="center"/>
              <w:rPr>
                <w:rFonts w:hint="eastAsia" w:ascii="宋体" w:hAnsi="宋体" w:cs="宋体"/>
                <w:color w:val="auto"/>
                <w:sz w:val="24"/>
                <w:szCs w:val="24"/>
                <w:highlight w:val="none"/>
                <w:u w:val="single"/>
              </w:rPr>
            </w:pPr>
          </w:p>
        </w:tc>
      </w:tr>
      <w:tr w14:paraId="25A8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5" w:type="dxa"/>
            <w:vAlign w:val="center"/>
          </w:tcPr>
          <w:p w14:paraId="736CB79B">
            <w:pPr>
              <w:tabs>
                <w:tab w:val="left" w:pos="3570"/>
              </w:tabs>
              <w:spacing w:line="360" w:lineRule="auto"/>
              <w:ind w:right="-21" w:rightChars="-10"/>
              <w:rPr>
                <w:rFonts w:hint="eastAsia" w:ascii="宋体" w:hAnsi="宋体" w:cs="宋体"/>
                <w:color w:val="auto"/>
                <w:sz w:val="24"/>
                <w:szCs w:val="24"/>
                <w:highlight w:val="none"/>
              </w:rPr>
            </w:pPr>
          </w:p>
        </w:tc>
        <w:tc>
          <w:tcPr>
            <w:tcW w:w="1016" w:type="dxa"/>
            <w:vAlign w:val="center"/>
          </w:tcPr>
          <w:p w14:paraId="63A4DDDF">
            <w:pPr>
              <w:tabs>
                <w:tab w:val="left" w:pos="3570"/>
              </w:tabs>
              <w:spacing w:line="360" w:lineRule="auto"/>
              <w:ind w:right="-21" w:rightChars="-10"/>
              <w:rPr>
                <w:rFonts w:hint="eastAsia" w:ascii="宋体" w:hAnsi="宋体" w:cs="宋体"/>
                <w:color w:val="auto"/>
                <w:sz w:val="24"/>
                <w:szCs w:val="24"/>
                <w:highlight w:val="none"/>
                <w:u w:val="single"/>
              </w:rPr>
            </w:pPr>
          </w:p>
        </w:tc>
        <w:tc>
          <w:tcPr>
            <w:tcW w:w="1342" w:type="dxa"/>
            <w:vAlign w:val="center"/>
          </w:tcPr>
          <w:p w14:paraId="0A23982F">
            <w:pPr>
              <w:tabs>
                <w:tab w:val="left" w:pos="3570"/>
              </w:tabs>
              <w:spacing w:line="360" w:lineRule="auto"/>
              <w:ind w:right="-21" w:rightChars="-10"/>
              <w:jc w:val="center"/>
              <w:rPr>
                <w:rFonts w:hint="eastAsia" w:ascii="宋体" w:hAnsi="宋体" w:cs="宋体"/>
                <w:color w:val="auto"/>
                <w:sz w:val="24"/>
                <w:szCs w:val="24"/>
                <w:highlight w:val="none"/>
                <w:u w:val="single"/>
              </w:rPr>
            </w:pPr>
          </w:p>
        </w:tc>
        <w:tc>
          <w:tcPr>
            <w:tcW w:w="2137" w:type="dxa"/>
            <w:vAlign w:val="center"/>
          </w:tcPr>
          <w:p w14:paraId="2103F7FC">
            <w:pPr>
              <w:tabs>
                <w:tab w:val="left" w:pos="3570"/>
              </w:tabs>
              <w:spacing w:line="360" w:lineRule="auto"/>
              <w:ind w:right="-21" w:rightChars="-10"/>
              <w:jc w:val="center"/>
              <w:rPr>
                <w:rFonts w:hint="eastAsia" w:ascii="宋体" w:hAnsi="宋体" w:cs="宋体"/>
                <w:color w:val="auto"/>
                <w:sz w:val="24"/>
                <w:szCs w:val="24"/>
                <w:highlight w:val="none"/>
                <w:u w:val="single"/>
              </w:rPr>
            </w:pPr>
          </w:p>
        </w:tc>
        <w:tc>
          <w:tcPr>
            <w:tcW w:w="984" w:type="dxa"/>
            <w:vAlign w:val="center"/>
          </w:tcPr>
          <w:p w14:paraId="47C4A017">
            <w:pPr>
              <w:tabs>
                <w:tab w:val="left" w:pos="3570"/>
              </w:tabs>
              <w:spacing w:line="360" w:lineRule="auto"/>
              <w:ind w:right="-21" w:rightChars="-10"/>
              <w:jc w:val="center"/>
              <w:rPr>
                <w:rFonts w:hint="eastAsia" w:ascii="宋体" w:hAnsi="宋体" w:cs="宋体"/>
                <w:color w:val="auto"/>
                <w:sz w:val="24"/>
                <w:szCs w:val="24"/>
                <w:highlight w:val="none"/>
                <w:u w:val="single"/>
              </w:rPr>
            </w:pPr>
          </w:p>
        </w:tc>
        <w:tc>
          <w:tcPr>
            <w:tcW w:w="999" w:type="dxa"/>
            <w:vAlign w:val="center"/>
          </w:tcPr>
          <w:p w14:paraId="3FA2BB04">
            <w:pPr>
              <w:tabs>
                <w:tab w:val="left" w:pos="3570"/>
              </w:tabs>
              <w:spacing w:line="360" w:lineRule="auto"/>
              <w:ind w:right="-21" w:rightChars="-10"/>
              <w:jc w:val="center"/>
              <w:rPr>
                <w:rFonts w:hint="eastAsia" w:ascii="宋体" w:hAnsi="宋体" w:cs="宋体"/>
                <w:color w:val="auto"/>
                <w:sz w:val="24"/>
                <w:szCs w:val="24"/>
                <w:highlight w:val="none"/>
                <w:u w:val="single"/>
              </w:rPr>
            </w:pPr>
          </w:p>
        </w:tc>
        <w:tc>
          <w:tcPr>
            <w:tcW w:w="999" w:type="dxa"/>
            <w:vAlign w:val="center"/>
          </w:tcPr>
          <w:p w14:paraId="1EFE9D53">
            <w:pPr>
              <w:tabs>
                <w:tab w:val="left" w:pos="3570"/>
              </w:tabs>
              <w:spacing w:line="360" w:lineRule="auto"/>
              <w:ind w:right="-21" w:rightChars="-10"/>
              <w:jc w:val="center"/>
              <w:rPr>
                <w:rFonts w:hint="eastAsia" w:ascii="宋体" w:hAnsi="宋体" w:cs="宋体"/>
                <w:color w:val="auto"/>
                <w:sz w:val="24"/>
                <w:szCs w:val="24"/>
                <w:highlight w:val="none"/>
                <w:u w:val="single"/>
              </w:rPr>
            </w:pPr>
          </w:p>
        </w:tc>
        <w:tc>
          <w:tcPr>
            <w:tcW w:w="999" w:type="dxa"/>
          </w:tcPr>
          <w:p w14:paraId="615132D8">
            <w:pPr>
              <w:tabs>
                <w:tab w:val="left" w:pos="3570"/>
              </w:tabs>
              <w:spacing w:line="360" w:lineRule="auto"/>
              <w:ind w:right="-21" w:rightChars="-10"/>
              <w:jc w:val="center"/>
              <w:rPr>
                <w:rFonts w:hint="eastAsia" w:ascii="宋体" w:hAnsi="宋体" w:cs="宋体"/>
                <w:color w:val="auto"/>
                <w:sz w:val="24"/>
                <w:szCs w:val="24"/>
                <w:highlight w:val="none"/>
                <w:u w:val="single"/>
              </w:rPr>
            </w:pPr>
          </w:p>
        </w:tc>
      </w:tr>
      <w:tr w14:paraId="69F7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521" w:type="dxa"/>
            <w:gridSpan w:val="8"/>
            <w:vAlign w:val="center"/>
          </w:tcPr>
          <w:p w14:paraId="7F5690AB">
            <w:pPr>
              <w:tabs>
                <w:tab w:val="left" w:pos="3570"/>
              </w:tabs>
              <w:spacing w:line="360" w:lineRule="auto"/>
              <w:ind w:right="-21" w:rightChars="-10"/>
              <w:rPr>
                <w:rFonts w:hint="eastAsia" w:ascii="宋体" w:hAnsi="宋体" w:cs="宋体"/>
                <w:color w:val="auto"/>
                <w:sz w:val="24"/>
                <w:szCs w:val="24"/>
                <w:highlight w:val="none"/>
              </w:rPr>
            </w:pPr>
            <w:r>
              <w:rPr>
                <w:rFonts w:hint="eastAsia" w:ascii="宋体" w:hAnsi="宋体" w:cs="宋体"/>
                <w:color w:val="auto"/>
                <w:sz w:val="24"/>
                <w:szCs w:val="24"/>
                <w:highlight w:val="none"/>
              </w:rPr>
              <w:t>中小企业声明：</w:t>
            </w:r>
          </w:p>
        </w:tc>
      </w:tr>
      <w:tr w14:paraId="5283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521" w:type="dxa"/>
            <w:gridSpan w:val="8"/>
            <w:vAlign w:val="center"/>
          </w:tcPr>
          <w:p w14:paraId="0CD92A2E">
            <w:pPr>
              <w:tabs>
                <w:tab w:val="left" w:pos="3570"/>
              </w:tabs>
              <w:spacing w:line="360" w:lineRule="auto"/>
              <w:ind w:right="-21" w:rightChars="-10"/>
              <w:rPr>
                <w:rFonts w:hint="eastAsia" w:ascii="宋体" w:hAnsi="宋体" w:cs="宋体"/>
                <w:color w:val="auto"/>
                <w:sz w:val="24"/>
                <w:szCs w:val="24"/>
                <w:highlight w:val="none"/>
              </w:rPr>
            </w:pPr>
            <w:r>
              <w:rPr>
                <w:rFonts w:hint="eastAsia" w:ascii="宋体" w:hAnsi="宋体" w:cs="宋体"/>
                <w:color w:val="auto"/>
                <w:sz w:val="24"/>
                <w:szCs w:val="24"/>
                <w:highlight w:val="none"/>
              </w:rPr>
              <w:t>合同包1投标总报价：（大写）：                  小写：</w:t>
            </w:r>
          </w:p>
        </w:tc>
      </w:tr>
    </w:tbl>
    <w:p w14:paraId="140D75E4">
      <w:pPr>
        <w:spacing w:line="380" w:lineRule="exact"/>
        <w:rPr>
          <w:rFonts w:ascii="宋体"/>
          <w:color w:val="auto"/>
          <w:sz w:val="24"/>
          <w:highlight w:val="none"/>
        </w:rPr>
      </w:pPr>
    </w:p>
    <w:p w14:paraId="6494E731">
      <w:pPr>
        <w:spacing w:line="360" w:lineRule="auto"/>
        <w:rPr>
          <w:rFonts w:ascii="宋体"/>
          <w:color w:val="auto"/>
          <w:sz w:val="24"/>
          <w:highlight w:val="none"/>
        </w:rPr>
      </w:pPr>
      <w:r>
        <w:rPr>
          <w:rFonts w:hint="eastAsia" w:ascii="宋体"/>
          <w:color w:val="auto"/>
          <w:sz w:val="24"/>
          <w:highlight w:val="none"/>
        </w:rPr>
        <w:t>1、请投标人按照此格式填写，若招标文件有多个合同包，须按照所投合同包的顺序依次填写，反之则删除相应内容；若未按照此格式填写，将被视为没有实质性响应招标文件要求。</w:t>
      </w:r>
    </w:p>
    <w:p w14:paraId="1BB64D24">
      <w:pPr>
        <w:spacing w:line="360" w:lineRule="auto"/>
        <w:rPr>
          <w:rFonts w:ascii="宋体"/>
          <w:color w:val="auto"/>
          <w:sz w:val="24"/>
          <w:highlight w:val="none"/>
        </w:rPr>
      </w:pPr>
      <w:r>
        <w:rPr>
          <w:rFonts w:hint="eastAsia" w:ascii="宋体"/>
          <w:color w:val="auto"/>
          <w:sz w:val="24"/>
          <w:highlight w:val="none"/>
        </w:rPr>
        <w:t>2、开标一览表列示的合同包必须与投标分项报价表列示的合同包一致（即若开标一览表列示为合同包1，则投标分项报价表也必须列示为合同包1，以此类推），否则投标无效。</w:t>
      </w:r>
    </w:p>
    <w:p w14:paraId="6BFD3ADA">
      <w:pPr>
        <w:spacing w:line="360" w:lineRule="auto"/>
        <w:rPr>
          <w:rFonts w:ascii="宋体"/>
          <w:color w:val="auto"/>
          <w:sz w:val="24"/>
          <w:highlight w:val="none"/>
        </w:rPr>
      </w:pPr>
      <w:r>
        <w:rPr>
          <w:rFonts w:hint="eastAsia" w:ascii="宋体"/>
          <w:color w:val="auto"/>
          <w:sz w:val="24"/>
          <w:highlight w:val="none"/>
        </w:rPr>
        <w:t>3、“大写金额”指投标总价用“壹、贰、叁、肆、伍、陆、柒、捌、玖、拾、佰、仟、万、亿、元、角、分、零”等字样进行填写。</w:t>
      </w:r>
    </w:p>
    <w:p w14:paraId="23CD45D4">
      <w:pPr>
        <w:tabs>
          <w:tab w:val="left" w:pos="13000"/>
        </w:tabs>
        <w:spacing w:line="360" w:lineRule="auto"/>
        <w:ind w:firstLine="470" w:firstLineChars="196"/>
        <w:rPr>
          <w:rFonts w:ascii="宋体"/>
          <w:color w:val="auto"/>
          <w:sz w:val="24"/>
          <w:highlight w:val="none"/>
        </w:rPr>
      </w:pPr>
    </w:p>
    <w:p w14:paraId="052FB08E">
      <w:pPr>
        <w:spacing w:line="380" w:lineRule="exact"/>
        <w:ind w:firstLine="480"/>
        <w:rPr>
          <w:rFonts w:ascii="宋体"/>
          <w:color w:val="auto"/>
          <w:sz w:val="24"/>
          <w:highlight w:val="none"/>
        </w:rPr>
      </w:pPr>
    </w:p>
    <w:p w14:paraId="2F7889D1">
      <w:pPr>
        <w:spacing w:line="380" w:lineRule="exact"/>
        <w:ind w:firstLine="480"/>
        <w:rPr>
          <w:rFonts w:ascii="宋体"/>
          <w:color w:val="auto"/>
          <w:sz w:val="24"/>
          <w:highlight w:val="none"/>
        </w:rPr>
      </w:pPr>
    </w:p>
    <w:p w14:paraId="3BC1B893">
      <w:pPr>
        <w:spacing w:line="360" w:lineRule="auto"/>
        <w:ind w:firstLine="5244" w:firstLineChars="2185"/>
        <w:rPr>
          <w:rFonts w:ascii="宋体"/>
          <w:color w:val="auto"/>
          <w:sz w:val="24"/>
          <w:highlight w:val="none"/>
        </w:rPr>
      </w:pPr>
      <w:r>
        <w:rPr>
          <w:rFonts w:hint="eastAsia" w:ascii="宋体"/>
          <w:color w:val="auto"/>
          <w:sz w:val="24"/>
          <w:highlight w:val="none"/>
        </w:rPr>
        <w:t>投标人</w:t>
      </w:r>
      <w:r>
        <w:rPr>
          <w:rFonts w:hint="eastAsia"/>
          <w:color w:val="auto"/>
          <w:sz w:val="24"/>
          <w:highlight w:val="none"/>
        </w:rPr>
        <w:t>名称</w:t>
      </w:r>
      <w:r>
        <w:rPr>
          <w:rFonts w:hint="eastAsia" w:ascii="宋体"/>
          <w:color w:val="auto"/>
          <w:sz w:val="24"/>
          <w:highlight w:val="none"/>
        </w:rPr>
        <w:t>（全称并加盖公章）：</w:t>
      </w:r>
      <w:r>
        <w:rPr>
          <w:rFonts w:hint="eastAsia" w:ascii="宋体"/>
          <w:color w:val="auto"/>
          <w:sz w:val="24"/>
          <w:highlight w:val="none"/>
          <w:u w:val="single"/>
        </w:rPr>
        <w:t xml:space="preserve">     </w:t>
      </w:r>
    </w:p>
    <w:p w14:paraId="2435C4B1">
      <w:pPr>
        <w:spacing w:line="360" w:lineRule="auto"/>
        <w:ind w:firstLine="5244" w:firstLineChars="2185"/>
        <w:rPr>
          <w:rFonts w:ascii="宋体"/>
          <w:color w:val="auto"/>
          <w:sz w:val="24"/>
          <w:highlight w:val="none"/>
          <w:u w:val="single"/>
        </w:rPr>
      </w:pPr>
      <w:r>
        <w:rPr>
          <w:rFonts w:hint="eastAsia" w:ascii="宋体"/>
          <w:color w:val="auto"/>
          <w:sz w:val="24"/>
          <w:highlight w:val="none"/>
        </w:rPr>
        <w:t>投标人代表签字：</w:t>
      </w:r>
      <w:r>
        <w:rPr>
          <w:rFonts w:hint="eastAsia" w:ascii="宋体"/>
          <w:color w:val="auto"/>
          <w:sz w:val="24"/>
          <w:highlight w:val="none"/>
          <w:u w:val="single"/>
        </w:rPr>
        <w:t xml:space="preserve">                   </w:t>
      </w:r>
    </w:p>
    <w:p w14:paraId="74804F1C">
      <w:pPr>
        <w:spacing w:line="360" w:lineRule="auto"/>
        <w:ind w:firstLine="5244" w:firstLineChars="2185"/>
        <w:rPr>
          <w:rFonts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 xml:space="preserve">月 </w:t>
      </w:r>
      <w:r>
        <w:rPr>
          <w:rFonts w:hint="eastAsia" w:ascii="宋体"/>
          <w:color w:val="auto"/>
          <w:sz w:val="24"/>
          <w:highlight w:val="none"/>
          <w:u w:val="single"/>
        </w:rPr>
        <w:t xml:space="preserve">        </w:t>
      </w:r>
      <w:r>
        <w:rPr>
          <w:rFonts w:hint="eastAsia" w:ascii="宋体"/>
          <w:color w:val="auto"/>
          <w:sz w:val="24"/>
          <w:highlight w:val="none"/>
        </w:rPr>
        <w:t>日</w:t>
      </w:r>
    </w:p>
    <w:p w14:paraId="5E85408C">
      <w:pPr>
        <w:spacing w:line="360" w:lineRule="auto"/>
        <w:ind w:firstLine="482"/>
        <w:rPr>
          <w:rFonts w:ascii="宋体"/>
          <w:color w:val="auto"/>
          <w:sz w:val="24"/>
          <w:highlight w:val="none"/>
        </w:rPr>
        <w:sectPr>
          <w:pgSz w:w="11906" w:h="16838"/>
          <w:pgMar w:top="1134" w:right="1247" w:bottom="1134" w:left="1247" w:header="851" w:footer="992" w:gutter="0"/>
          <w:cols w:space="720" w:num="1"/>
          <w:docGrid w:linePitch="323" w:charSpace="-2"/>
        </w:sectPr>
      </w:pPr>
    </w:p>
    <w:p w14:paraId="4C9993C4">
      <w:pPr>
        <w:jc w:val="center"/>
        <w:rPr>
          <w:b/>
          <w:color w:val="auto"/>
          <w:sz w:val="24"/>
          <w:szCs w:val="24"/>
          <w:highlight w:val="none"/>
        </w:rPr>
      </w:pPr>
      <w:bookmarkStart w:id="190" w:name="_Toc332894834"/>
      <w:bookmarkStart w:id="191" w:name="_Toc484527768"/>
      <w:bookmarkStart w:id="192" w:name="_Toc332895804"/>
      <w:bookmarkStart w:id="193" w:name="_Toc428545308"/>
      <w:bookmarkStart w:id="194" w:name="_Toc247620897"/>
      <w:bookmarkStart w:id="195" w:name="_Toc406776927"/>
      <w:r>
        <w:rPr>
          <w:rFonts w:hint="eastAsia"/>
          <w:b/>
          <w:color w:val="auto"/>
          <w:sz w:val="24"/>
          <w:szCs w:val="24"/>
          <w:highlight w:val="none"/>
        </w:rPr>
        <w:t>投标分项报价表</w:t>
      </w:r>
      <w:bookmarkEnd w:id="190"/>
      <w:bookmarkEnd w:id="191"/>
      <w:bookmarkEnd w:id="192"/>
      <w:bookmarkEnd w:id="193"/>
      <w:bookmarkEnd w:id="194"/>
    </w:p>
    <w:p w14:paraId="6BAE86D6">
      <w:pPr>
        <w:pStyle w:val="13"/>
        <w:snapToGrid w:val="0"/>
        <w:jc w:val="center"/>
        <w:rPr>
          <w:color w:val="auto"/>
          <w:sz w:val="24"/>
          <w:highlight w:val="none"/>
        </w:rPr>
      </w:pPr>
      <w:bookmarkStart w:id="196" w:name="_Toc417379527"/>
    </w:p>
    <w:bookmarkEnd w:id="196"/>
    <w:p w14:paraId="0A602682">
      <w:pPr>
        <w:pStyle w:val="13"/>
        <w:snapToGrid w:val="0"/>
        <w:rPr>
          <w:color w:val="auto"/>
          <w:sz w:val="24"/>
          <w:highlight w:val="none"/>
        </w:rPr>
      </w:pPr>
      <w:r>
        <w:rPr>
          <w:rFonts w:hint="eastAsia"/>
          <w:color w:val="auto"/>
          <w:sz w:val="24"/>
          <w:highlight w:val="none"/>
        </w:rPr>
        <w:t xml:space="preserve">项目名称：               项目编号：                     货币单位：  </w:t>
      </w:r>
    </w:p>
    <w:tbl>
      <w:tblPr>
        <w:tblStyle w:val="28"/>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76"/>
        <w:gridCol w:w="1276"/>
        <w:gridCol w:w="992"/>
        <w:gridCol w:w="1559"/>
        <w:gridCol w:w="993"/>
        <w:gridCol w:w="850"/>
        <w:gridCol w:w="709"/>
        <w:gridCol w:w="709"/>
        <w:gridCol w:w="850"/>
      </w:tblGrid>
      <w:tr w14:paraId="6FC7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44" w:type="dxa"/>
            <w:vAlign w:val="center"/>
          </w:tcPr>
          <w:p w14:paraId="25828DC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76" w:type="dxa"/>
            <w:vAlign w:val="center"/>
          </w:tcPr>
          <w:p w14:paraId="57448B5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货物名称</w:t>
            </w:r>
          </w:p>
        </w:tc>
        <w:tc>
          <w:tcPr>
            <w:tcW w:w="1276" w:type="dxa"/>
            <w:vAlign w:val="center"/>
          </w:tcPr>
          <w:p w14:paraId="251B89D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品牌/型号</w:t>
            </w:r>
          </w:p>
        </w:tc>
        <w:tc>
          <w:tcPr>
            <w:tcW w:w="992" w:type="dxa"/>
            <w:vAlign w:val="center"/>
          </w:tcPr>
          <w:p w14:paraId="493EAF5F">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原产地</w:t>
            </w:r>
          </w:p>
        </w:tc>
        <w:tc>
          <w:tcPr>
            <w:tcW w:w="1559" w:type="dxa"/>
            <w:vAlign w:val="center"/>
          </w:tcPr>
          <w:p w14:paraId="2550FDE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制造商名称</w:t>
            </w:r>
          </w:p>
        </w:tc>
        <w:tc>
          <w:tcPr>
            <w:tcW w:w="993" w:type="dxa"/>
            <w:vAlign w:val="center"/>
          </w:tcPr>
          <w:p w14:paraId="7357D21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850" w:type="dxa"/>
            <w:vAlign w:val="center"/>
          </w:tcPr>
          <w:p w14:paraId="0E44A46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709" w:type="dxa"/>
            <w:vAlign w:val="center"/>
          </w:tcPr>
          <w:p w14:paraId="55BF260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709" w:type="dxa"/>
            <w:vAlign w:val="center"/>
          </w:tcPr>
          <w:p w14:paraId="2A91CCA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合价(元)</w:t>
            </w:r>
          </w:p>
        </w:tc>
        <w:tc>
          <w:tcPr>
            <w:tcW w:w="850" w:type="dxa"/>
            <w:vAlign w:val="center"/>
          </w:tcPr>
          <w:p w14:paraId="24E9C98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0FB8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4" w:type="dxa"/>
          </w:tcPr>
          <w:p w14:paraId="6D94584E">
            <w:pPr>
              <w:rPr>
                <w:rFonts w:hint="eastAsia" w:asciiTheme="minorEastAsia" w:hAnsiTheme="minorEastAsia" w:eastAsiaTheme="minorEastAsia" w:cstheme="minorEastAsia"/>
                <w:color w:val="auto"/>
                <w:sz w:val="24"/>
                <w:szCs w:val="24"/>
                <w:highlight w:val="none"/>
              </w:rPr>
            </w:pPr>
          </w:p>
        </w:tc>
        <w:tc>
          <w:tcPr>
            <w:tcW w:w="1276" w:type="dxa"/>
          </w:tcPr>
          <w:p w14:paraId="67FBFC27">
            <w:pPr>
              <w:rPr>
                <w:rFonts w:hint="eastAsia" w:asciiTheme="minorEastAsia" w:hAnsiTheme="minorEastAsia" w:eastAsiaTheme="minorEastAsia" w:cstheme="minorEastAsia"/>
                <w:color w:val="auto"/>
                <w:sz w:val="24"/>
                <w:szCs w:val="24"/>
                <w:highlight w:val="none"/>
              </w:rPr>
            </w:pPr>
          </w:p>
        </w:tc>
        <w:tc>
          <w:tcPr>
            <w:tcW w:w="1276" w:type="dxa"/>
          </w:tcPr>
          <w:p w14:paraId="332C6740">
            <w:pPr>
              <w:rPr>
                <w:rFonts w:hint="eastAsia" w:asciiTheme="minorEastAsia" w:hAnsiTheme="minorEastAsia" w:eastAsiaTheme="minorEastAsia" w:cstheme="minorEastAsia"/>
                <w:color w:val="auto"/>
                <w:sz w:val="24"/>
                <w:szCs w:val="24"/>
                <w:highlight w:val="none"/>
              </w:rPr>
            </w:pPr>
          </w:p>
        </w:tc>
        <w:tc>
          <w:tcPr>
            <w:tcW w:w="992" w:type="dxa"/>
          </w:tcPr>
          <w:p w14:paraId="02B5D67D">
            <w:pPr>
              <w:rPr>
                <w:rFonts w:hint="eastAsia" w:asciiTheme="minorEastAsia" w:hAnsiTheme="minorEastAsia" w:eastAsiaTheme="minorEastAsia" w:cstheme="minorEastAsia"/>
                <w:color w:val="auto"/>
                <w:sz w:val="24"/>
                <w:szCs w:val="24"/>
                <w:highlight w:val="none"/>
              </w:rPr>
            </w:pPr>
          </w:p>
        </w:tc>
        <w:tc>
          <w:tcPr>
            <w:tcW w:w="1559" w:type="dxa"/>
          </w:tcPr>
          <w:p w14:paraId="4DA81343">
            <w:pPr>
              <w:rPr>
                <w:rFonts w:hint="eastAsia" w:asciiTheme="minorEastAsia" w:hAnsiTheme="minorEastAsia" w:eastAsiaTheme="minorEastAsia" w:cstheme="minorEastAsia"/>
                <w:color w:val="auto"/>
                <w:sz w:val="24"/>
                <w:szCs w:val="24"/>
                <w:highlight w:val="none"/>
              </w:rPr>
            </w:pPr>
          </w:p>
        </w:tc>
        <w:tc>
          <w:tcPr>
            <w:tcW w:w="993" w:type="dxa"/>
          </w:tcPr>
          <w:p w14:paraId="270A15D7">
            <w:pPr>
              <w:rPr>
                <w:rFonts w:hint="eastAsia" w:asciiTheme="minorEastAsia" w:hAnsiTheme="minorEastAsia" w:eastAsiaTheme="minorEastAsia" w:cstheme="minorEastAsia"/>
                <w:color w:val="auto"/>
                <w:sz w:val="24"/>
                <w:szCs w:val="24"/>
                <w:highlight w:val="none"/>
              </w:rPr>
            </w:pPr>
          </w:p>
        </w:tc>
        <w:tc>
          <w:tcPr>
            <w:tcW w:w="850" w:type="dxa"/>
          </w:tcPr>
          <w:p w14:paraId="41C3AC5C">
            <w:pPr>
              <w:rPr>
                <w:rFonts w:hint="eastAsia" w:asciiTheme="minorEastAsia" w:hAnsiTheme="minorEastAsia" w:eastAsiaTheme="minorEastAsia" w:cstheme="minorEastAsia"/>
                <w:color w:val="auto"/>
                <w:sz w:val="24"/>
                <w:szCs w:val="24"/>
                <w:highlight w:val="none"/>
              </w:rPr>
            </w:pPr>
          </w:p>
        </w:tc>
        <w:tc>
          <w:tcPr>
            <w:tcW w:w="709" w:type="dxa"/>
          </w:tcPr>
          <w:p w14:paraId="308B9A18">
            <w:pPr>
              <w:rPr>
                <w:rFonts w:hint="eastAsia" w:asciiTheme="minorEastAsia" w:hAnsiTheme="minorEastAsia" w:eastAsiaTheme="minorEastAsia" w:cstheme="minorEastAsia"/>
                <w:color w:val="auto"/>
                <w:sz w:val="24"/>
                <w:szCs w:val="24"/>
                <w:highlight w:val="none"/>
              </w:rPr>
            </w:pPr>
          </w:p>
        </w:tc>
        <w:tc>
          <w:tcPr>
            <w:tcW w:w="709" w:type="dxa"/>
          </w:tcPr>
          <w:p w14:paraId="33D82679">
            <w:pPr>
              <w:rPr>
                <w:rFonts w:hint="eastAsia" w:asciiTheme="minorEastAsia" w:hAnsiTheme="minorEastAsia" w:eastAsiaTheme="minorEastAsia" w:cstheme="minorEastAsia"/>
                <w:color w:val="auto"/>
                <w:sz w:val="24"/>
                <w:szCs w:val="24"/>
                <w:highlight w:val="none"/>
              </w:rPr>
            </w:pPr>
          </w:p>
        </w:tc>
        <w:tc>
          <w:tcPr>
            <w:tcW w:w="850" w:type="dxa"/>
          </w:tcPr>
          <w:p w14:paraId="18C23D6A">
            <w:pPr>
              <w:rPr>
                <w:rFonts w:hint="eastAsia" w:asciiTheme="minorEastAsia" w:hAnsiTheme="minorEastAsia" w:eastAsiaTheme="minorEastAsia" w:cstheme="minorEastAsia"/>
                <w:color w:val="auto"/>
                <w:sz w:val="24"/>
                <w:szCs w:val="24"/>
                <w:highlight w:val="none"/>
              </w:rPr>
            </w:pPr>
          </w:p>
        </w:tc>
      </w:tr>
      <w:tr w14:paraId="0A2F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4" w:type="dxa"/>
          </w:tcPr>
          <w:p w14:paraId="41788B9D">
            <w:pPr>
              <w:rPr>
                <w:rFonts w:hint="eastAsia" w:asciiTheme="minorEastAsia" w:hAnsiTheme="minorEastAsia" w:eastAsiaTheme="minorEastAsia" w:cstheme="minorEastAsia"/>
                <w:color w:val="auto"/>
                <w:sz w:val="24"/>
                <w:szCs w:val="24"/>
                <w:highlight w:val="none"/>
              </w:rPr>
            </w:pPr>
          </w:p>
        </w:tc>
        <w:tc>
          <w:tcPr>
            <w:tcW w:w="1276" w:type="dxa"/>
          </w:tcPr>
          <w:p w14:paraId="47D82816">
            <w:pPr>
              <w:rPr>
                <w:rFonts w:hint="eastAsia" w:asciiTheme="minorEastAsia" w:hAnsiTheme="minorEastAsia" w:eastAsiaTheme="minorEastAsia" w:cstheme="minorEastAsia"/>
                <w:color w:val="auto"/>
                <w:sz w:val="24"/>
                <w:szCs w:val="24"/>
                <w:highlight w:val="none"/>
              </w:rPr>
            </w:pPr>
          </w:p>
        </w:tc>
        <w:tc>
          <w:tcPr>
            <w:tcW w:w="1276" w:type="dxa"/>
          </w:tcPr>
          <w:p w14:paraId="7E98DB34">
            <w:pPr>
              <w:rPr>
                <w:rFonts w:hint="eastAsia" w:asciiTheme="minorEastAsia" w:hAnsiTheme="minorEastAsia" w:eastAsiaTheme="minorEastAsia" w:cstheme="minorEastAsia"/>
                <w:color w:val="auto"/>
                <w:sz w:val="24"/>
                <w:szCs w:val="24"/>
                <w:highlight w:val="none"/>
              </w:rPr>
            </w:pPr>
          </w:p>
        </w:tc>
        <w:tc>
          <w:tcPr>
            <w:tcW w:w="992" w:type="dxa"/>
          </w:tcPr>
          <w:p w14:paraId="0F658D54">
            <w:pPr>
              <w:rPr>
                <w:rFonts w:hint="eastAsia" w:asciiTheme="minorEastAsia" w:hAnsiTheme="minorEastAsia" w:eastAsiaTheme="minorEastAsia" w:cstheme="minorEastAsia"/>
                <w:color w:val="auto"/>
                <w:sz w:val="24"/>
                <w:szCs w:val="24"/>
                <w:highlight w:val="none"/>
              </w:rPr>
            </w:pPr>
          </w:p>
        </w:tc>
        <w:tc>
          <w:tcPr>
            <w:tcW w:w="1559" w:type="dxa"/>
          </w:tcPr>
          <w:p w14:paraId="3AA8B292">
            <w:pPr>
              <w:rPr>
                <w:rFonts w:hint="eastAsia" w:asciiTheme="minorEastAsia" w:hAnsiTheme="minorEastAsia" w:eastAsiaTheme="minorEastAsia" w:cstheme="minorEastAsia"/>
                <w:color w:val="auto"/>
                <w:sz w:val="24"/>
                <w:szCs w:val="24"/>
                <w:highlight w:val="none"/>
              </w:rPr>
            </w:pPr>
          </w:p>
        </w:tc>
        <w:tc>
          <w:tcPr>
            <w:tcW w:w="993" w:type="dxa"/>
          </w:tcPr>
          <w:p w14:paraId="1AC567F0">
            <w:pPr>
              <w:rPr>
                <w:rFonts w:hint="eastAsia" w:asciiTheme="minorEastAsia" w:hAnsiTheme="minorEastAsia" w:eastAsiaTheme="minorEastAsia" w:cstheme="minorEastAsia"/>
                <w:color w:val="auto"/>
                <w:sz w:val="24"/>
                <w:szCs w:val="24"/>
                <w:highlight w:val="none"/>
              </w:rPr>
            </w:pPr>
          </w:p>
        </w:tc>
        <w:tc>
          <w:tcPr>
            <w:tcW w:w="850" w:type="dxa"/>
          </w:tcPr>
          <w:p w14:paraId="4592908B">
            <w:pPr>
              <w:rPr>
                <w:rFonts w:hint="eastAsia" w:asciiTheme="minorEastAsia" w:hAnsiTheme="minorEastAsia" w:eastAsiaTheme="minorEastAsia" w:cstheme="minorEastAsia"/>
                <w:color w:val="auto"/>
                <w:sz w:val="24"/>
                <w:szCs w:val="24"/>
                <w:highlight w:val="none"/>
              </w:rPr>
            </w:pPr>
          </w:p>
        </w:tc>
        <w:tc>
          <w:tcPr>
            <w:tcW w:w="709" w:type="dxa"/>
          </w:tcPr>
          <w:p w14:paraId="16943697">
            <w:pPr>
              <w:rPr>
                <w:rFonts w:hint="eastAsia" w:asciiTheme="minorEastAsia" w:hAnsiTheme="minorEastAsia" w:eastAsiaTheme="minorEastAsia" w:cstheme="minorEastAsia"/>
                <w:color w:val="auto"/>
                <w:sz w:val="24"/>
                <w:szCs w:val="24"/>
                <w:highlight w:val="none"/>
              </w:rPr>
            </w:pPr>
          </w:p>
        </w:tc>
        <w:tc>
          <w:tcPr>
            <w:tcW w:w="709" w:type="dxa"/>
          </w:tcPr>
          <w:p w14:paraId="1D35A751">
            <w:pPr>
              <w:rPr>
                <w:rFonts w:hint="eastAsia" w:asciiTheme="minorEastAsia" w:hAnsiTheme="minorEastAsia" w:eastAsiaTheme="minorEastAsia" w:cstheme="minorEastAsia"/>
                <w:color w:val="auto"/>
                <w:sz w:val="24"/>
                <w:szCs w:val="24"/>
                <w:highlight w:val="none"/>
              </w:rPr>
            </w:pPr>
          </w:p>
        </w:tc>
        <w:tc>
          <w:tcPr>
            <w:tcW w:w="850" w:type="dxa"/>
          </w:tcPr>
          <w:p w14:paraId="689E3DF9">
            <w:pPr>
              <w:rPr>
                <w:rFonts w:hint="eastAsia" w:asciiTheme="minorEastAsia" w:hAnsiTheme="minorEastAsia" w:eastAsiaTheme="minorEastAsia" w:cstheme="minorEastAsia"/>
                <w:color w:val="auto"/>
                <w:sz w:val="24"/>
                <w:szCs w:val="24"/>
                <w:highlight w:val="none"/>
              </w:rPr>
            </w:pPr>
          </w:p>
        </w:tc>
      </w:tr>
    </w:tbl>
    <w:p w14:paraId="3251D29E">
      <w:pPr>
        <w:spacing w:line="360" w:lineRule="auto"/>
        <w:rPr>
          <w:rFonts w:ascii="宋体"/>
          <w:color w:val="auto"/>
          <w:sz w:val="24"/>
          <w:highlight w:val="none"/>
        </w:rPr>
      </w:pPr>
      <w:r>
        <w:rPr>
          <w:rFonts w:hint="eastAsia" w:ascii="宋体"/>
          <w:color w:val="auto"/>
          <w:sz w:val="24"/>
          <w:highlight w:val="none"/>
        </w:rPr>
        <w:t>注：</w:t>
      </w:r>
    </w:p>
    <w:p w14:paraId="5B4043C6">
      <w:pPr>
        <w:spacing w:line="360" w:lineRule="auto"/>
        <w:rPr>
          <w:rFonts w:ascii="宋体"/>
          <w:color w:val="auto"/>
          <w:sz w:val="24"/>
          <w:highlight w:val="none"/>
        </w:rPr>
      </w:pPr>
      <w:r>
        <w:rPr>
          <w:rFonts w:hint="eastAsia" w:ascii="宋体"/>
          <w:color w:val="auto"/>
          <w:sz w:val="24"/>
          <w:highlight w:val="none"/>
        </w:rPr>
        <w:t>1、开标一览表的投标总价必须与项目报价表的投标总价一致。</w:t>
      </w:r>
    </w:p>
    <w:p w14:paraId="51768BCA">
      <w:pPr>
        <w:spacing w:line="360" w:lineRule="auto"/>
        <w:rPr>
          <w:rFonts w:ascii="宋体"/>
          <w:color w:val="auto"/>
          <w:sz w:val="24"/>
          <w:highlight w:val="none"/>
        </w:rPr>
      </w:pPr>
      <w:r>
        <w:rPr>
          <w:rFonts w:hint="eastAsia" w:ascii="宋体"/>
          <w:color w:val="auto"/>
          <w:sz w:val="24"/>
          <w:highlight w:val="none"/>
        </w:rPr>
        <w:t>2、“原产地”是指该产品的实际生产加工地，而非品牌总公司所在地。如所投产品属于定制类的非量产货物，投标供应商无需填写型号等，但应在开标一览表中予以备注。</w:t>
      </w:r>
    </w:p>
    <w:p w14:paraId="3D9AE551">
      <w:pPr>
        <w:spacing w:line="360" w:lineRule="auto"/>
        <w:rPr>
          <w:rFonts w:ascii="宋体"/>
          <w:color w:val="auto"/>
          <w:sz w:val="24"/>
          <w:highlight w:val="none"/>
        </w:rPr>
      </w:pPr>
      <w:r>
        <w:rPr>
          <w:rFonts w:hint="eastAsia" w:ascii="宋体"/>
          <w:color w:val="auto"/>
          <w:sz w:val="24"/>
          <w:highlight w:val="none"/>
        </w:rPr>
        <w:t>3、上表中投标人有漏报少报情况的，采购人将视此费用已包括在分项报价的其它单价及合计中而不予支付；</w:t>
      </w:r>
    </w:p>
    <w:p w14:paraId="181DCA3E">
      <w:pPr>
        <w:spacing w:line="360" w:lineRule="auto"/>
        <w:rPr>
          <w:rFonts w:ascii="宋体"/>
          <w:color w:val="auto"/>
          <w:sz w:val="24"/>
          <w:highlight w:val="none"/>
        </w:rPr>
      </w:pPr>
      <w:r>
        <w:rPr>
          <w:rFonts w:hint="eastAsia" w:ascii="宋体"/>
          <w:color w:val="auto"/>
          <w:sz w:val="24"/>
          <w:highlight w:val="none"/>
        </w:rPr>
        <w:t>4、如本表格式内容不能满足需要，投标人可根据本表格格式自行划表填写，但应体现以上内容。</w:t>
      </w:r>
    </w:p>
    <w:p w14:paraId="6B8AA991">
      <w:pPr>
        <w:spacing w:line="360" w:lineRule="auto"/>
        <w:rPr>
          <w:rFonts w:ascii="宋体"/>
          <w:color w:val="auto"/>
          <w:sz w:val="24"/>
          <w:highlight w:val="none"/>
        </w:rPr>
      </w:pPr>
    </w:p>
    <w:p w14:paraId="6A1E898B">
      <w:pPr>
        <w:rPr>
          <w:b/>
          <w:color w:val="auto"/>
          <w:sz w:val="24"/>
          <w:szCs w:val="24"/>
          <w:highlight w:val="none"/>
        </w:rPr>
      </w:pPr>
      <w:bookmarkStart w:id="197" w:name="_Toc484527772"/>
      <w:bookmarkStart w:id="198" w:name="_Toc399687918"/>
      <w:bookmarkStart w:id="199" w:name="_Toc428545311"/>
      <w:bookmarkStart w:id="200" w:name="_Toc406776930"/>
      <w:bookmarkStart w:id="201" w:name="_Toc404691509"/>
      <w:bookmarkStart w:id="202" w:name="_Toc405820982"/>
      <w:bookmarkStart w:id="203" w:name="_Toc404274023"/>
    </w:p>
    <w:p w14:paraId="2EC51DB5">
      <w:pPr>
        <w:jc w:val="center"/>
        <w:rPr>
          <w:b/>
          <w:color w:val="auto"/>
          <w:sz w:val="24"/>
          <w:szCs w:val="24"/>
          <w:highlight w:val="none"/>
        </w:rPr>
      </w:pPr>
    </w:p>
    <w:p w14:paraId="7E6AB239">
      <w:pPr>
        <w:spacing w:line="360" w:lineRule="auto"/>
        <w:ind w:firstLine="5244" w:firstLineChars="2185"/>
        <w:rPr>
          <w:rFonts w:ascii="宋体"/>
          <w:color w:val="auto"/>
          <w:sz w:val="24"/>
          <w:highlight w:val="none"/>
        </w:rPr>
      </w:pPr>
      <w:r>
        <w:rPr>
          <w:rFonts w:hint="eastAsia" w:ascii="宋体"/>
          <w:color w:val="auto"/>
          <w:sz w:val="24"/>
          <w:highlight w:val="none"/>
        </w:rPr>
        <w:t>投标人</w:t>
      </w:r>
      <w:r>
        <w:rPr>
          <w:rFonts w:hint="eastAsia"/>
          <w:color w:val="auto"/>
          <w:sz w:val="24"/>
          <w:highlight w:val="none"/>
        </w:rPr>
        <w:t>名称</w:t>
      </w:r>
      <w:r>
        <w:rPr>
          <w:rFonts w:hint="eastAsia" w:ascii="宋体"/>
          <w:color w:val="auto"/>
          <w:sz w:val="24"/>
          <w:highlight w:val="none"/>
        </w:rPr>
        <w:t>（全称并加盖公章）：</w:t>
      </w:r>
      <w:r>
        <w:rPr>
          <w:rFonts w:hint="eastAsia" w:ascii="宋体"/>
          <w:color w:val="auto"/>
          <w:sz w:val="24"/>
          <w:highlight w:val="none"/>
          <w:u w:val="single"/>
        </w:rPr>
        <w:t xml:space="preserve">     </w:t>
      </w:r>
    </w:p>
    <w:p w14:paraId="3CAE0D87">
      <w:pPr>
        <w:spacing w:line="360" w:lineRule="auto"/>
        <w:ind w:firstLine="5244" w:firstLineChars="2185"/>
        <w:rPr>
          <w:rFonts w:ascii="宋体"/>
          <w:color w:val="auto"/>
          <w:sz w:val="24"/>
          <w:highlight w:val="none"/>
          <w:u w:val="single"/>
        </w:rPr>
      </w:pPr>
      <w:r>
        <w:rPr>
          <w:rFonts w:hint="eastAsia" w:ascii="宋体"/>
          <w:color w:val="auto"/>
          <w:sz w:val="24"/>
          <w:highlight w:val="none"/>
        </w:rPr>
        <w:t>投标人代表签字：</w:t>
      </w:r>
      <w:r>
        <w:rPr>
          <w:rFonts w:hint="eastAsia" w:ascii="宋体"/>
          <w:color w:val="auto"/>
          <w:sz w:val="24"/>
          <w:highlight w:val="none"/>
          <w:u w:val="single"/>
        </w:rPr>
        <w:t xml:space="preserve">                   </w:t>
      </w:r>
    </w:p>
    <w:p w14:paraId="62D503B5">
      <w:pPr>
        <w:spacing w:line="360" w:lineRule="auto"/>
        <w:jc w:val="right"/>
        <w:rPr>
          <w:rFonts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 xml:space="preserve">月 </w:t>
      </w:r>
      <w:r>
        <w:rPr>
          <w:rFonts w:hint="eastAsia" w:ascii="宋体"/>
          <w:color w:val="auto"/>
          <w:sz w:val="24"/>
          <w:highlight w:val="none"/>
          <w:u w:val="single"/>
        </w:rPr>
        <w:t xml:space="preserve">        </w:t>
      </w:r>
      <w:r>
        <w:rPr>
          <w:rFonts w:hint="eastAsia" w:ascii="宋体"/>
          <w:color w:val="auto"/>
          <w:sz w:val="24"/>
          <w:highlight w:val="none"/>
        </w:rPr>
        <w:t>日</w:t>
      </w:r>
    </w:p>
    <w:p w14:paraId="4FADBCA1">
      <w:pPr>
        <w:rPr>
          <w:rFonts w:ascii="宋体"/>
          <w:color w:val="auto"/>
          <w:sz w:val="24"/>
          <w:highlight w:val="none"/>
        </w:rPr>
      </w:pPr>
      <w:r>
        <w:rPr>
          <w:rFonts w:hint="eastAsia" w:ascii="宋体"/>
          <w:color w:val="auto"/>
          <w:sz w:val="24"/>
          <w:highlight w:val="none"/>
        </w:rPr>
        <w:br w:type="page"/>
      </w:r>
    </w:p>
    <w:p w14:paraId="455441E3">
      <w:pPr>
        <w:jc w:val="center"/>
        <w:rPr>
          <w:b/>
          <w:color w:val="auto"/>
          <w:sz w:val="24"/>
          <w:szCs w:val="24"/>
          <w:highlight w:val="none"/>
        </w:rPr>
      </w:pPr>
      <w:r>
        <w:rPr>
          <w:rFonts w:hint="eastAsia"/>
          <w:b/>
          <w:color w:val="auto"/>
          <w:sz w:val="24"/>
          <w:szCs w:val="24"/>
          <w:highlight w:val="none"/>
        </w:rPr>
        <w:t>中小企业声明函</w:t>
      </w:r>
    </w:p>
    <w:p w14:paraId="76E1B44D">
      <w:pPr>
        <w:widowControl/>
        <w:adjustRightInd w:val="0"/>
        <w:snapToGrid w:val="0"/>
        <w:spacing w:line="360" w:lineRule="auto"/>
        <w:jc w:val="left"/>
        <w:rPr>
          <w:rFonts w:ascii="宋体" w:cs="宋体"/>
          <w:color w:val="auto"/>
          <w:kern w:val="0"/>
          <w:sz w:val="24"/>
          <w:highlight w:val="none"/>
        </w:rPr>
      </w:pPr>
    </w:p>
    <w:p w14:paraId="7EADDFA5">
      <w:pPr>
        <w:pStyle w:val="24"/>
        <w:widowControl/>
        <w:spacing w:line="360" w:lineRule="auto"/>
        <w:ind w:firstLine="420"/>
        <w:rPr>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（厦门大学）</w:t>
      </w:r>
      <w:r>
        <w:rPr>
          <w:rFonts w:hint="eastAsia" w:ascii="宋体" w:hAnsi="宋体" w:cs="宋体"/>
          <w:color w:val="auto"/>
          <w:highlight w:val="none"/>
        </w:rPr>
        <w:t>的</w:t>
      </w:r>
      <w:r>
        <w:rPr>
          <w:rFonts w:hint="eastAsia" w:ascii="宋体" w:hAnsi="宋体" w:cs="宋体"/>
          <w:color w:val="auto"/>
          <w:highlight w:val="none"/>
          <w:u w:val="single"/>
        </w:rPr>
        <w:t>（</w:t>
      </w:r>
      <w:r>
        <w:rPr>
          <w:rFonts w:hint="eastAsia" w:ascii="宋体" w:cs="宋体"/>
          <w:color w:val="auto"/>
          <w:highlight w:val="none"/>
          <w:u w:val="single"/>
          <w:lang w:eastAsia="zh-CN"/>
        </w:rPr>
        <w:t>厦门大学化学化工学院自动化合成反应器</w:t>
      </w:r>
      <w:r>
        <w:rPr>
          <w:rFonts w:hint="eastAsia" w:ascii="宋体" w:hAnsi="宋体" w:cs="宋体"/>
          <w:color w:val="auto"/>
          <w:highlight w:val="none"/>
          <w:u w:val="single"/>
        </w:rPr>
        <w:t>）</w:t>
      </w:r>
      <w:r>
        <w:rPr>
          <w:rFonts w:hint="eastAsia" w:ascii="宋体" w:hAnsi="宋体" w:cs="宋体"/>
          <w:color w:val="auto"/>
          <w:highlight w:val="none"/>
        </w:rPr>
        <w:t>采购活动，提供的货物全部由符合政策要求的中小企业制造。相关企业（含联合体中的中小企业、签订的分包意向协议的中小企业）的具体情况如下：</w:t>
      </w:r>
    </w:p>
    <w:p w14:paraId="1B9AE1E1">
      <w:pPr>
        <w:pStyle w:val="24"/>
        <w:widowControl/>
        <w:spacing w:line="360" w:lineRule="auto"/>
        <w:rPr>
          <w:rFonts w:hint="eastAsia" w:ascii="宋体" w:hAnsi="宋体" w:cs="宋体"/>
          <w:i/>
          <w:iCs/>
          <w:color w:val="auto"/>
          <w:highlight w:val="none"/>
        </w:rPr>
      </w:pPr>
      <w:r>
        <w:rPr>
          <w:rStyle w:val="31"/>
          <w:rFonts w:hint="eastAsia" w:ascii="宋体" w:hAnsi="宋体" w:cs="宋体"/>
          <w:color w:val="auto"/>
          <w:highlight w:val="none"/>
        </w:rPr>
        <w:t>1、</w:t>
      </w:r>
      <w:r>
        <w:rPr>
          <w:rStyle w:val="31"/>
          <w:rFonts w:hint="eastAsia" w:ascii="宋体" w:hAnsi="宋体" w:cs="宋体"/>
          <w:color w:val="auto"/>
          <w:highlight w:val="none"/>
          <w:u w:val="single"/>
        </w:rPr>
        <w:t xml:space="preserve"> 自动化合成反应器</w:t>
      </w:r>
      <w:r>
        <w:rPr>
          <w:rFonts w:hint="eastAsia" w:ascii="宋体" w:hAnsi="宋体" w:cs="宋体"/>
          <w:color w:val="auto"/>
          <w:highlight w:val="none"/>
        </w:rPr>
        <w:t>，属于</w:t>
      </w:r>
      <w:r>
        <w:rPr>
          <w:rFonts w:hint="eastAsia" w:ascii="宋体" w:hAnsi="宋体" w:cs="宋体"/>
          <w:b/>
          <w:bCs/>
          <w:color w:val="auto"/>
          <w:highlight w:val="none"/>
          <w:u w:val="single"/>
        </w:rPr>
        <w:t>工业</w:t>
      </w:r>
      <w:r>
        <w:rPr>
          <w:rFonts w:hint="eastAsia" w:ascii="宋体" w:hAnsi="宋体" w:cs="宋体"/>
          <w:color w:val="auto"/>
          <w:highlight w:val="none"/>
        </w:rPr>
        <w:t>；制造商为</w:t>
      </w:r>
      <w:r>
        <w:rPr>
          <w:rFonts w:hint="eastAsia" w:ascii="宋体" w:hAnsi="宋体" w:cs="宋体"/>
          <w:color w:val="auto"/>
          <w:highlight w:val="none"/>
          <w:u w:val="single"/>
        </w:rPr>
        <w:t>（企业名 称）</w:t>
      </w:r>
      <w:r>
        <w:rPr>
          <w:rFonts w:hint="eastAsia" w:ascii="宋体" w:hAnsi="宋体" w:cs="宋体"/>
          <w:color w:val="auto"/>
          <w:highlight w:val="none"/>
        </w:rPr>
        <w:t>，从 业人员</w:t>
      </w:r>
      <w:r>
        <w:rPr>
          <w:rFonts w:hint="eastAsia" w:ascii="宋体" w:hAnsi="宋体" w:cs="宋体"/>
          <w:color w:val="auto"/>
          <w:highlight w:val="none"/>
          <w:u w:val="single"/>
        </w:rPr>
        <w:t>  </w:t>
      </w:r>
      <w:r>
        <w:rPr>
          <w:rFonts w:hint="eastAsia" w:ascii="宋体" w:hAnsi="宋体" w:cs="宋体"/>
          <w:color w:val="auto"/>
          <w:highlight w:val="none"/>
        </w:rPr>
        <w:t>人，营 业收入为</w:t>
      </w:r>
      <w:r>
        <w:rPr>
          <w:rFonts w:hint="eastAsia" w:ascii="宋体" w:hAnsi="宋体" w:cs="宋体"/>
          <w:color w:val="auto"/>
          <w:highlight w:val="none"/>
          <w:u w:val="single"/>
        </w:rPr>
        <w:t>  </w:t>
      </w:r>
      <w:r>
        <w:rPr>
          <w:rFonts w:hint="eastAsia" w:ascii="宋体" w:hAnsi="宋体" w:cs="宋体"/>
          <w:color w:val="auto"/>
          <w:highlight w:val="none"/>
        </w:rPr>
        <w:t>万元，资 产总额为</w:t>
      </w:r>
      <w:r>
        <w:rPr>
          <w:rFonts w:hint="eastAsia" w:ascii="宋体" w:hAnsi="宋体" w:cs="宋体"/>
          <w:color w:val="auto"/>
          <w:highlight w:val="none"/>
          <w:u w:val="single"/>
        </w:rPr>
        <w:t>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r>
        <w:rPr>
          <w:rFonts w:hint="eastAsia" w:ascii="宋体" w:hAnsi="宋体" w:cs="宋体"/>
          <w:i/>
          <w:iCs/>
          <w:color w:val="auto"/>
          <w:highlight w:val="none"/>
        </w:rPr>
        <w:t>（投标人须根据实际划型情况，选择其中一种类型填写）</w:t>
      </w:r>
    </w:p>
    <w:p w14:paraId="10B513D8">
      <w:pPr>
        <w:pStyle w:val="24"/>
        <w:widowControl/>
        <w:spacing w:line="360" w:lineRule="auto"/>
        <w:rPr>
          <w:rFonts w:hint="eastAsia" w:ascii="宋体" w:hAnsi="宋体" w:cs="宋体"/>
          <w:i/>
          <w:iCs/>
          <w:color w:val="auto"/>
          <w:highlight w:val="none"/>
        </w:rPr>
      </w:pPr>
      <w:r>
        <w:rPr>
          <w:rFonts w:hint="eastAsia" w:ascii="宋体" w:hAnsi="宋体" w:cs="宋体"/>
          <w:i/>
          <w:iCs/>
          <w:color w:val="auto"/>
          <w:highlight w:val="none"/>
        </w:rPr>
        <w:t xml:space="preserve">       </w:t>
      </w:r>
    </w:p>
    <w:p w14:paraId="5BD61474">
      <w:pPr>
        <w:pStyle w:val="24"/>
        <w:widowControl/>
        <w:spacing w:before="0" w:beforeAutospacing="0" w:after="0" w:afterAutospacing="0" w:line="360" w:lineRule="auto"/>
        <w:rPr>
          <w:color w:val="auto"/>
          <w:highlight w:val="none"/>
        </w:rPr>
      </w:pPr>
      <w:r>
        <w:rPr>
          <w:rFonts w:hint="eastAsia" w:ascii="宋体" w:hAnsi="宋体" w:cs="宋体"/>
          <w:color w:val="auto"/>
          <w:highlight w:val="none"/>
        </w:rPr>
        <w:t> 以上企业，不属于大企业的分支机构，不存在控股股东为大企业的情形，也不存在与大企业的负责人为同一人的情形。</w:t>
      </w:r>
    </w:p>
    <w:p w14:paraId="03DA81CE">
      <w:pPr>
        <w:pStyle w:val="24"/>
        <w:widowControl/>
        <w:spacing w:before="0" w:beforeAutospacing="0" w:after="0" w:afterAutospacing="0" w:line="360" w:lineRule="auto"/>
        <w:rPr>
          <w:color w:val="auto"/>
          <w:highlight w:val="none"/>
        </w:rPr>
      </w:pPr>
      <w:r>
        <w:rPr>
          <w:rFonts w:hint="eastAsia" w:ascii="宋体" w:hAnsi="宋体" w:cs="宋体"/>
          <w:color w:val="auto"/>
          <w:highlight w:val="none"/>
        </w:rPr>
        <w:t> 本企业对上述声明内容的真实性负责。如有虚假，将依法承担相应责任。</w:t>
      </w:r>
    </w:p>
    <w:p w14:paraId="2FAAEBC4">
      <w:pPr>
        <w:spacing w:line="360" w:lineRule="auto"/>
        <w:ind w:firstLine="4560" w:firstLineChars="1900"/>
        <w:rPr>
          <w:rFonts w:ascii="宋体"/>
          <w:color w:val="auto"/>
          <w:sz w:val="24"/>
          <w:szCs w:val="24"/>
          <w:highlight w:val="none"/>
        </w:rPr>
      </w:pPr>
      <w:r>
        <w:rPr>
          <w:rFonts w:hint="eastAsia" w:ascii="宋体" w:hAnsi="宋体" w:cs="宋体"/>
          <w:color w:val="auto"/>
          <w:sz w:val="24"/>
          <w:szCs w:val="24"/>
          <w:highlight w:val="none"/>
        </w:rPr>
        <w:t> </w:t>
      </w: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143C039A">
      <w:pPr>
        <w:spacing w:line="360" w:lineRule="auto"/>
        <w:ind w:firstLine="4800" w:firstLineChars="2000"/>
        <w:rPr>
          <w:rFonts w:ascii="宋体"/>
          <w:color w:val="auto"/>
          <w:sz w:val="24"/>
          <w:szCs w:val="24"/>
          <w:highlight w:val="non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w:t>
      </w:r>
    </w:p>
    <w:p w14:paraId="4E9F5EBF">
      <w:pPr>
        <w:spacing w:line="360" w:lineRule="auto"/>
        <w:ind w:firstLine="5244" w:firstLineChars="2185"/>
        <w:rPr>
          <w:rFonts w:ascii="宋体"/>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43B553CD">
      <w:pPr>
        <w:pStyle w:val="24"/>
        <w:widowControl/>
        <w:spacing w:before="0" w:beforeAutospacing="0" w:after="0" w:afterAutospacing="0" w:line="360" w:lineRule="auto"/>
        <w:rPr>
          <w:color w:val="auto"/>
          <w:highlight w:val="none"/>
        </w:rPr>
      </w:pPr>
      <w:r>
        <w:rPr>
          <w:rFonts w:hint="eastAsia" w:ascii="宋体" w:hAnsi="宋体" w:cs="宋体"/>
          <w:color w:val="auto"/>
          <w:highlight w:val="none"/>
        </w:rPr>
        <w:t xml:space="preserve">                                    </w:t>
      </w:r>
    </w:p>
    <w:p w14:paraId="23F46B31">
      <w:pPr>
        <w:pStyle w:val="24"/>
        <w:widowControl/>
        <w:spacing w:before="0" w:beforeAutospacing="0" w:after="0" w:afterAutospacing="0" w:line="360" w:lineRule="auto"/>
        <w:rPr>
          <w:color w:val="auto"/>
          <w:highlight w:val="none"/>
        </w:rPr>
      </w:pPr>
      <w:r>
        <w:rPr>
          <w:rStyle w:val="31"/>
          <w:rFonts w:hint="eastAsia" w:ascii="宋体" w:hAnsi="宋体" w:cs="宋体"/>
          <w:color w:val="auto"/>
          <w:highlight w:val="none"/>
        </w:rPr>
        <w:t>※注：</w:t>
      </w:r>
    </w:p>
    <w:p w14:paraId="329AD7C8">
      <w:pPr>
        <w:ind w:firstLine="482" w:firstLineChars="200"/>
        <w:rPr>
          <w:rFonts w:ascii="宋体"/>
          <w:b/>
          <w:color w:val="auto"/>
          <w:sz w:val="24"/>
          <w:szCs w:val="24"/>
          <w:highlight w:val="none"/>
        </w:rPr>
      </w:pPr>
      <w:r>
        <w:rPr>
          <w:rFonts w:hint="eastAsia" w:ascii="宋体"/>
          <w:b/>
          <w:color w:val="auto"/>
          <w:sz w:val="24"/>
          <w:szCs w:val="24"/>
          <w:highlight w:val="none"/>
        </w:rPr>
        <w:t>从业人员、营业收入、资产总额填报上一年度数据，无上一年度数据的新成立企业可不填报。</w:t>
      </w:r>
    </w:p>
    <w:p w14:paraId="607D85CF">
      <w:pPr>
        <w:rPr>
          <w:rFonts w:ascii="宋体"/>
          <w:b/>
          <w:color w:val="auto"/>
          <w:sz w:val="24"/>
          <w:szCs w:val="24"/>
          <w:highlight w:val="none"/>
        </w:rPr>
      </w:pPr>
      <w:r>
        <w:rPr>
          <w:rFonts w:hint="eastAsia" w:ascii="宋体"/>
          <w:b/>
          <w:color w:val="auto"/>
          <w:sz w:val="24"/>
          <w:szCs w:val="24"/>
          <w:highlight w:val="none"/>
        </w:rPr>
        <w:br w:type="page"/>
      </w:r>
    </w:p>
    <w:p w14:paraId="6B802813">
      <w:pPr>
        <w:spacing w:line="360" w:lineRule="auto"/>
        <w:jc w:val="center"/>
        <w:rPr>
          <w:rFonts w:ascii="宋体"/>
          <w:b/>
          <w:color w:val="auto"/>
          <w:sz w:val="24"/>
          <w:szCs w:val="24"/>
          <w:highlight w:val="none"/>
        </w:rPr>
      </w:pPr>
      <w:r>
        <w:rPr>
          <w:rFonts w:hint="eastAsia" w:ascii="宋体"/>
          <w:b/>
          <w:color w:val="auto"/>
          <w:sz w:val="24"/>
          <w:szCs w:val="24"/>
          <w:highlight w:val="none"/>
        </w:rPr>
        <w:t>残疾人福利性单位声明函</w:t>
      </w:r>
    </w:p>
    <w:p w14:paraId="0DB49E6B">
      <w:pPr>
        <w:spacing w:line="360" w:lineRule="auto"/>
        <w:rPr>
          <w:rFonts w:ascii="宋体"/>
          <w:color w:val="auto"/>
          <w:sz w:val="24"/>
          <w:szCs w:val="24"/>
          <w:highlight w:val="none"/>
        </w:rPr>
      </w:pPr>
      <w:r>
        <w:rPr>
          <w:rFonts w:ascii="宋体"/>
          <w:color w:val="auto"/>
          <w:sz w:val="24"/>
          <w:szCs w:val="24"/>
          <w:highlight w:val="none"/>
        </w:rPr>
        <w:t xml:space="preserve"> </w:t>
      </w:r>
    </w:p>
    <w:p w14:paraId="12312E3E">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color w:val="auto"/>
          <w:sz w:val="24"/>
          <w:szCs w:val="24"/>
          <w:highlight w:val="none"/>
          <w:u w:val="single"/>
        </w:rPr>
        <w:t>（填写“项目名称”）</w:t>
      </w:r>
      <w:r>
        <w:rPr>
          <w:rFonts w:hint="eastAsia" w:ascii="宋体"/>
          <w:color w:val="auto"/>
          <w:sz w:val="24"/>
          <w:szCs w:val="24"/>
          <w:highlight w:val="none"/>
        </w:rPr>
        <w:t>项目采购活动：</w:t>
      </w:r>
    </w:p>
    <w:p w14:paraId="3860B59D">
      <w:pPr>
        <w:spacing w:line="360" w:lineRule="auto"/>
        <w:rPr>
          <w:rFonts w:ascii="宋体"/>
          <w:color w:val="auto"/>
          <w:sz w:val="24"/>
          <w:szCs w:val="24"/>
          <w:highlight w:val="none"/>
        </w:rPr>
      </w:pPr>
      <w:r>
        <w:rPr>
          <w:rFonts w:hint="eastAsia" w:ascii="宋体"/>
          <w:color w:val="auto"/>
          <w:sz w:val="24"/>
          <w:szCs w:val="24"/>
          <w:highlight w:val="none"/>
        </w:rPr>
        <w:t>（ ）提供本投标人制造的</w:t>
      </w:r>
      <w:r>
        <w:rPr>
          <w:rFonts w:hint="eastAsia" w:ascii="宋体"/>
          <w:color w:val="auto"/>
          <w:sz w:val="24"/>
          <w:szCs w:val="24"/>
          <w:highlight w:val="none"/>
          <w:u w:val="single"/>
        </w:rPr>
        <w:t>（填写“所投合同包、品目号”）</w:t>
      </w:r>
      <w:r>
        <w:rPr>
          <w:rFonts w:hint="eastAsia" w:ascii="宋体"/>
          <w:color w:val="auto"/>
          <w:sz w:val="24"/>
          <w:szCs w:val="24"/>
          <w:highlight w:val="none"/>
        </w:rPr>
        <w:t>货物，</w:t>
      </w:r>
    </w:p>
    <w:p w14:paraId="3F60EE3B">
      <w:pPr>
        <w:spacing w:line="360" w:lineRule="auto"/>
        <w:rPr>
          <w:rFonts w:ascii="宋体"/>
          <w:color w:val="auto"/>
          <w:sz w:val="24"/>
          <w:szCs w:val="24"/>
          <w:highlight w:val="none"/>
        </w:rPr>
      </w:pPr>
      <w:r>
        <w:rPr>
          <w:rFonts w:hint="eastAsia" w:ascii="宋体"/>
          <w:color w:val="auto"/>
          <w:sz w:val="24"/>
          <w:szCs w:val="24"/>
          <w:highlight w:val="none"/>
        </w:rPr>
        <w:t>（ ）由本投标人承担的</w:t>
      </w:r>
      <w:r>
        <w:rPr>
          <w:rFonts w:hint="eastAsia" w:ascii="宋体"/>
          <w:color w:val="auto"/>
          <w:sz w:val="24"/>
          <w:szCs w:val="24"/>
          <w:highlight w:val="none"/>
          <w:u w:val="single"/>
        </w:rPr>
        <w:t>（填写“所投合同包、品目号”）</w:t>
      </w:r>
      <w:r>
        <w:rPr>
          <w:rFonts w:hint="eastAsia" w:ascii="宋体"/>
          <w:color w:val="auto"/>
          <w:sz w:val="24"/>
          <w:szCs w:val="24"/>
          <w:highlight w:val="none"/>
        </w:rPr>
        <w:t>工程，</w:t>
      </w:r>
    </w:p>
    <w:p w14:paraId="59DCDABC">
      <w:pPr>
        <w:spacing w:line="360" w:lineRule="auto"/>
        <w:rPr>
          <w:rFonts w:ascii="宋体"/>
          <w:color w:val="auto"/>
          <w:sz w:val="24"/>
          <w:szCs w:val="24"/>
          <w:highlight w:val="none"/>
        </w:rPr>
      </w:pPr>
      <w:r>
        <w:rPr>
          <w:rFonts w:hint="eastAsia" w:ascii="宋体"/>
          <w:color w:val="auto"/>
          <w:sz w:val="24"/>
          <w:szCs w:val="24"/>
          <w:highlight w:val="none"/>
        </w:rPr>
        <w:t>（ ）由本投标人提供的</w:t>
      </w:r>
      <w:r>
        <w:rPr>
          <w:rFonts w:hint="eastAsia" w:ascii="宋体"/>
          <w:color w:val="auto"/>
          <w:sz w:val="24"/>
          <w:szCs w:val="24"/>
          <w:highlight w:val="none"/>
          <w:u w:val="single"/>
        </w:rPr>
        <w:t>（填写“所投合同包、品目号”）</w:t>
      </w:r>
      <w:r>
        <w:rPr>
          <w:rFonts w:hint="eastAsia" w:ascii="宋体"/>
          <w:color w:val="auto"/>
          <w:sz w:val="24"/>
          <w:szCs w:val="24"/>
          <w:highlight w:val="none"/>
        </w:rPr>
        <w:t>服务；或</w:t>
      </w:r>
    </w:p>
    <w:p w14:paraId="1D0CA7A4">
      <w:pPr>
        <w:spacing w:line="360" w:lineRule="auto"/>
        <w:rPr>
          <w:rFonts w:ascii="宋体"/>
          <w:color w:val="auto"/>
          <w:sz w:val="24"/>
          <w:szCs w:val="24"/>
          <w:highlight w:val="none"/>
        </w:rPr>
      </w:pPr>
      <w:r>
        <w:rPr>
          <w:rFonts w:hint="eastAsia" w:ascii="宋体"/>
          <w:color w:val="auto"/>
          <w:sz w:val="24"/>
          <w:szCs w:val="24"/>
          <w:highlight w:val="none"/>
        </w:rPr>
        <w:t>（ ）提供其他残疾人福利性单位制造的</w:t>
      </w:r>
      <w:r>
        <w:rPr>
          <w:rFonts w:hint="eastAsia" w:ascii="宋体"/>
          <w:color w:val="auto"/>
          <w:sz w:val="24"/>
          <w:szCs w:val="24"/>
          <w:highlight w:val="none"/>
          <w:u w:val="single"/>
        </w:rPr>
        <w:t>（填写“所投合同包、品目号”）</w:t>
      </w:r>
      <w:r>
        <w:rPr>
          <w:rFonts w:hint="eastAsia" w:ascii="宋体"/>
          <w:color w:val="auto"/>
          <w:sz w:val="24"/>
          <w:szCs w:val="24"/>
          <w:highlight w:val="none"/>
        </w:rPr>
        <w:t>货物（不包括使用非残疾人福利性单位注册商标的货物）。</w:t>
      </w:r>
    </w:p>
    <w:p w14:paraId="4FE2E1DD">
      <w:pPr>
        <w:spacing w:line="360" w:lineRule="auto"/>
        <w:rPr>
          <w:rFonts w:ascii="宋体"/>
          <w:color w:val="auto"/>
          <w:sz w:val="24"/>
          <w:szCs w:val="24"/>
          <w:highlight w:val="none"/>
        </w:rPr>
      </w:pPr>
      <w:r>
        <w:rPr>
          <w:rFonts w:hint="eastAsia" w:ascii="宋体"/>
          <w:color w:val="auto"/>
          <w:sz w:val="24"/>
          <w:szCs w:val="24"/>
          <w:highlight w:val="none"/>
        </w:rPr>
        <w:t>本投标人对上述声明的真实性负责。如有虚假，将依法承担相应责任。</w:t>
      </w:r>
    </w:p>
    <w:p w14:paraId="087648E6">
      <w:pPr>
        <w:spacing w:line="360" w:lineRule="auto"/>
        <w:rPr>
          <w:rFonts w:ascii="宋体"/>
          <w:color w:val="auto"/>
          <w:sz w:val="24"/>
          <w:szCs w:val="24"/>
          <w:highlight w:val="none"/>
        </w:rPr>
      </w:pPr>
      <w:r>
        <w:rPr>
          <w:rFonts w:ascii="宋体"/>
          <w:color w:val="auto"/>
          <w:sz w:val="24"/>
          <w:szCs w:val="24"/>
          <w:highlight w:val="none"/>
        </w:rPr>
        <w:t xml:space="preserve"> </w:t>
      </w:r>
    </w:p>
    <w:p w14:paraId="463E885B">
      <w:pPr>
        <w:spacing w:line="360" w:lineRule="auto"/>
        <w:rPr>
          <w:rFonts w:ascii="宋体"/>
          <w:color w:val="auto"/>
          <w:sz w:val="24"/>
          <w:szCs w:val="24"/>
          <w:highlight w:val="none"/>
        </w:rPr>
      </w:pPr>
      <w:r>
        <w:rPr>
          <w:rFonts w:hint="eastAsia" w:ascii="宋体"/>
          <w:color w:val="auto"/>
          <w:sz w:val="24"/>
          <w:szCs w:val="24"/>
          <w:highlight w:val="none"/>
        </w:rPr>
        <w:t>注意：</w:t>
      </w:r>
    </w:p>
    <w:p w14:paraId="14DA98EC">
      <w:pPr>
        <w:spacing w:line="360" w:lineRule="auto"/>
        <w:rPr>
          <w:rFonts w:ascii="宋体"/>
          <w:color w:val="auto"/>
          <w:sz w:val="24"/>
          <w:szCs w:val="24"/>
          <w:highlight w:val="none"/>
        </w:rPr>
      </w:pPr>
      <w:r>
        <w:rPr>
          <w:rFonts w:hint="eastAsia" w:ascii="宋体"/>
          <w:color w:val="auto"/>
          <w:sz w:val="24"/>
          <w:szCs w:val="24"/>
          <w:highlight w:val="none"/>
        </w:rPr>
        <w:t>1、请投标人按照实际情况编制填写本声明函，并在相应的（）中打“√”。</w:t>
      </w:r>
    </w:p>
    <w:p w14:paraId="293A1CC4">
      <w:pPr>
        <w:spacing w:line="360" w:lineRule="auto"/>
        <w:rPr>
          <w:rFonts w:ascii="宋体"/>
          <w:color w:val="auto"/>
          <w:sz w:val="24"/>
          <w:szCs w:val="24"/>
          <w:highlight w:val="none"/>
        </w:rPr>
      </w:pPr>
      <w:r>
        <w:rPr>
          <w:rFonts w:hint="eastAsia" w:ascii="宋体"/>
          <w:color w:val="auto"/>
          <w:sz w:val="24"/>
          <w:szCs w:val="24"/>
          <w:highlight w:val="none"/>
        </w:rPr>
        <w:t>2、投标文件正本中的本声明函（若有）应为原件。</w:t>
      </w:r>
    </w:p>
    <w:p w14:paraId="2EE8E55D">
      <w:pPr>
        <w:spacing w:line="360" w:lineRule="auto"/>
        <w:rPr>
          <w:rFonts w:ascii="宋体"/>
          <w:color w:val="auto"/>
          <w:sz w:val="24"/>
          <w:szCs w:val="24"/>
          <w:highlight w:val="none"/>
        </w:rPr>
      </w:pPr>
      <w:r>
        <w:rPr>
          <w:rFonts w:hint="eastAsia" w:ascii="宋体"/>
          <w:color w:val="auto"/>
          <w:sz w:val="24"/>
          <w:szCs w:val="24"/>
          <w:highlight w:val="none"/>
        </w:rPr>
        <w:t>3、若《残疾人福利性单位声明函》内容不真实，视为提供虚假材料。</w:t>
      </w:r>
    </w:p>
    <w:p w14:paraId="2895B4A1">
      <w:pPr>
        <w:spacing w:line="360" w:lineRule="auto"/>
        <w:rPr>
          <w:rFonts w:ascii="宋体"/>
          <w:color w:val="auto"/>
          <w:sz w:val="24"/>
          <w:szCs w:val="24"/>
          <w:highlight w:val="none"/>
        </w:rPr>
      </w:pPr>
      <w:r>
        <w:rPr>
          <w:rFonts w:hint="eastAsia" w:ascii="宋体"/>
          <w:color w:val="auto"/>
          <w:sz w:val="24"/>
          <w:szCs w:val="24"/>
          <w:highlight w:val="none"/>
        </w:rPr>
        <w:t>4、符合财政部、民政部、中国残联文件（财库[2017]141号）规定的残疾人福利性单位提供本单位制造的货物、承担的工程或服务，或提供其他残疾人福利性单位制造的货物（不包括使用非残疾人福利性单位注册商标的货物）可享受价格扣除。</w:t>
      </w:r>
    </w:p>
    <w:p w14:paraId="49B72405">
      <w:pPr>
        <w:spacing w:line="360" w:lineRule="auto"/>
        <w:rPr>
          <w:rFonts w:ascii="宋体"/>
          <w:color w:val="auto"/>
          <w:sz w:val="24"/>
          <w:szCs w:val="24"/>
          <w:highlight w:val="none"/>
        </w:rPr>
      </w:pPr>
      <w:r>
        <w:rPr>
          <w:rFonts w:ascii="宋体"/>
          <w:color w:val="auto"/>
          <w:sz w:val="24"/>
          <w:szCs w:val="24"/>
          <w:highlight w:val="none"/>
        </w:rPr>
        <w:t xml:space="preserve"> </w:t>
      </w:r>
    </w:p>
    <w:p w14:paraId="0C32ECBE">
      <w:pPr>
        <w:spacing w:line="360" w:lineRule="auto"/>
        <w:rPr>
          <w:rFonts w:ascii="宋体"/>
          <w:color w:val="auto"/>
          <w:sz w:val="24"/>
          <w:szCs w:val="24"/>
          <w:highlight w:val="none"/>
        </w:rPr>
      </w:pPr>
      <w:r>
        <w:rPr>
          <w:rFonts w:ascii="宋体"/>
          <w:color w:val="auto"/>
          <w:sz w:val="24"/>
          <w:szCs w:val="24"/>
          <w:highlight w:val="none"/>
        </w:rPr>
        <w:t xml:space="preserve"> </w:t>
      </w:r>
    </w:p>
    <w:p w14:paraId="306AE4B0">
      <w:pPr>
        <w:spacing w:line="360" w:lineRule="auto"/>
        <w:ind w:firstLine="4800" w:firstLineChars="2000"/>
        <w:rPr>
          <w:rFonts w:ascii="宋体"/>
          <w:color w:val="auto"/>
          <w:sz w:val="24"/>
          <w:szCs w:val="24"/>
          <w:highlight w:val="none"/>
        </w:rPr>
      </w:pP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12BD6228">
      <w:pPr>
        <w:spacing w:line="360" w:lineRule="auto"/>
        <w:ind w:firstLine="4800" w:firstLineChars="2000"/>
        <w:rPr>
          <w:rFonts w:ascii="宋体"/>
          <w:color w:val="auto"/>
          <w:sz w:val="24"/>
          <w:szCs w:val="24"/>
          <w:highlight w:val="non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w:t>
      </w:r>
    </w:p>
    <w:p w14:paraId="60F7B501">
      <w:pPr>
        <w:wordWrap w:val="0"/>
        <w:spacing w:line="360" w:lineRule="auto"/>
        <w:jc w:val="right"/>
        <w:rPr>
          <w:rFonts w:ascii="宋体"/>
          <w:color w:val="auto"/>
          <w:sz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日     </w:t>
      </w:r>
    </w:p>
    <w:p w14:paraId="2D1A13DD">
      <w:pPr>
        <w:jc w:val="center"/>
        <w:rPr>
          <w:b/>
          <w:color w:val="auto"/>
          <w:sz w:val="24"/>
          <w:szCs w:val="24"/>
          <w:highlight w:val="none"/>
        </w:rPr>
      </w:pPr>
    </w:p>
    <w:p w14:paraId="6937BBC2">
      <w:pPr>
        <w:jc w:val="center"/>
        <w:rPr>
          <w:b/>
          <w:color w:val="auto"/>
          <w:sz w:val="24"/>
          <w:szCs w:val="24"/>
          <w:highlight w:val="none"/>
        </w:rPr>
      </w:pPr>
    </w:p>
    <w:bookmarkEnd w:id="197"/>
    <w:p w14:paraId="7DB0854C">
      <w:pPr>
        <w:spacing w:line="360" w:lineRule="auto"/>
        <w:rPr>
          <w:rFonts w:ascii="宋体"/>
          <w:color w:val="auto"/>
          <w:sz w:val="24"/>
          <w:szCs w:val="24"/>
          <w:highlight w:val="none"/>
        </w:rPr>
      </w:pPr>
    </w:p>
    <w:p w14:paraId="151B997A">
      <w:pPr>
        <w:jc w:val="center"/>
        <w:rPr>
          <w:b/>
          <w:color w:val="auto"/>
          <w:sz w:val="24"/>
          <w:szCs w:val="24"/>
          <w:highlight w:val="none"/>
        </w:rPr>
      </w:pPr>
      <w:r>
        <w:rPr>
          <w:rFonts w:ascii="宋体"/>
          <w:b/>
          <w:color w:val="auto"/>
          <w:sz w:val="24"/>
          <w:szCs w:val="24"/>
          <w:highlight w:val="none"/>
        </w:rPr>
        <w:br w:type="page"/>
      </w:r>
      <w:r>
        <w:rPr>
          <w:b/>
          <w:color w:val="auto"/>
          <w:sz w:val="24"/>
          <w:szCs w:val="24"/>
          <w:highlight w:val="none"/>
        </w:rPr>
        <w:t>投标人提交的其他资料（若有）</w:t>
      </w:r>
    </w:p>
    <w:p w14:paraId="183A1DC3">
      <w:pPr>
        <w:rPr>
          <w:rFonts w:ascii="宋体"/>
          <w:color w:val="auto"/>
          <w:highlight w:val="none"/>
        </w:rPr>
      </w:pPr>
    </w:p>
    <w:p w14:paraId="036D4C45">
      <w:pPr>
        <w:rPr>
          <w:rFonts w:ascii="宋体"/>
          <w:color w:val="auto"/>
          <w:highlight w:val="none"/>
        </w:rPr>
      </w:pPr>
    </w:p>
    <w:p w14:paraId="150DF6A2">
      <w:pPr>
        <w:spacing w:line="360" w:lineRule="auto"/>
        <w:jc w:val="center"/>
        <w:rPr>
          <w:rFonts w:ascii="宋体"/>
          <w:color w:val="auto"/>
          <w:sz w:val="24"/>
          <w:szCs w:val="24"/>
          <w:highlight w:val="none"/>
        </w:rPr>
      </w:pPr>
      <w:r>
        <w:rPr>
          <w:rFonts w:hint="eastAsia" w:ascii="宋体"/>
          <w:color w:val="auto"/>
          <w:sz w:val="24"/>
          <w:szCs w:val="24"/>
          <w:highlight w:val="none"/>
        </w:rPr>
        <w:t>编制说明</w:t>
      </w:r>
    </w:p>
    <w:p w14:paraId="45BABB62">
      <w:pPr>
        <w:spacing w:line="360" w:lineRule="auto"/>
        <w:rPr>
          <w:rFonts w:ascii="宋体"/>
          <w:color w:val="auto"/>
          <w:sz w:val="24"/>
          <w:szCs w:val="24"/>
          <w:highlight w:val="none"/>
        </w:rPr>
      </w:pPr>
    </w:p>
    <w:p w14:paraId="48A11999">
      <w:pPr>
        <w:spacing w:line="360" w:lineRule="auto"/>
        <w:jc w:val="left"/>
        <w:rPr>
          <w:rFonts w:ascii="宋体"/>
          <w:color w:val="auto"/>
          <w:sz w:val="24"/>
          <w:szCs w:val="24"/>
          <w:highlight w:val="none"/>
        </w:rPr>
      </w:pPr>
      <w:r>
        <w:rPr>
          <w:rFonts w:hint="eastAsia" w:ascii="宋体"/>
          <w:color w:val="auto"/>
          <w:sz w:val="24"/>
          <w:szCs w:val="24"/>
          <w:highlight w:val="none"/>
        </w:rPr>
        <w:t>1、招标文件要求提交的除</w:t>
      </w:r>
      <w:r>
        <w:rPr>
          <w:rFonts w:hint="eastAsia" w:ascii="宋体"/>
          <w:b/>
          <w:color w:val="auto"/>
          <w:sz w:val="24"/>
          <w:szCs w:val="24"/>
          <w:highlight w:val="none"/>
        </w:rPr>
        <w:t>“小型、微型企业产品价格扣除材料”</w:t>
      </w:r>
      <w:r>
        <w:rPr>
          <w:rFonts w:hint="eastAsia" w:ascii="宋体"/>
          <w:color w:val="auto"/>
          <w:sz w:val="24"/>
          <w:szCs w:val="24"/>
          <w:highlight w:val="none"/>
        </w:rPr>
        <w:t>之外的其他加分或价格扣除资料加盖投标人的单位公章后可在此项下提交；</w:t>
      </w:r>
    </w:p>
    <w:p w14:paraId="777720B4">
      <w:pPr>
        <w:rPr>
          <w:rFonts w:ascii="宋体"/>
          <w:color w:val="auto"/>
          <w:sz w:val="24"/>
          <w:szCs w:val="24"/>
          <w:highlight w:val="none"/>
        </w:rPr>
      </w:pPr>
      <w:r>
        <w:rPr>
          <w:rFonts w:hint="eastAsia" w:ascii="宋体"/>
          <w:color w:val="auto"/>
          <w:sz w:val="24"/>
          <w:szCs w:val="24"/>
          <w:highlight w:val="none"/>
        </w:rPr>
        <w:t>2、投标人认为需要提交的其他价格材料或资料加盖投标人的单位公章后可在此项下提交。</w:t>
      </w:r>
    </w:p>
    <w:p w14:paraId="4B072A22">
      <w:pPr>
        <w:spacing w:line="360" w:lineRule="auto"/>
        <w:jc w:val="left"/>
        <w:rPr>
          <w:rFonts w:ascii="宋体"/>
          <w:color w:val="auto"/>
          <w:sz w:val="24"/>
          <w:szCs w:val="24"/>
          <w:highlight w:val="none"/>
        </w:rPr>
      </w:pPr>
    </w:p>
    <w:p w14:paraId="29E909B9">
      <w:pPr>
        <w:keepLines/>
        <w:pageBreakBefore/>
        <w:spacing w:line="360" w:lineRule="auto"/>
        <w:jc w:val="center"/>
        <w:rPr>
          <w:rFonts w:ascii="宋体"/>
          <w:b/>
          <w:color w:val="auto"/>
          <w:sz w:val="72"/>
          <w:highlight w:val="none"/>
        </w:rPr>
      </w:pPr>
      <w:r>
        <w:rPr>
          <w:rFonts w:hint="eastAsia" w:ascii="宋体"/>
          <w:b/>
          <w:color w:val="auto"/>
          <w:sz w:val="72"/>
          <w:highlight w:val="none"/>
        </w:rPr>
        <w:t>采购项目</w:t>
      </w:r>
    </w:p>
    <w:p w14:paraId="79596F15">
      <w:pPr>
        <w:spacing w:line="360" w:lineRule="auto"/>
        <w:jc w:val="center"/>
        <w:rPr>
          <w:b/>
          <w:color w:val="auto"/>
          <w:sz w:val="48"/>
          <w:szCs w:val="48"/>
          <w:highlight w:val="none"/>
        </w:rPr>
      </w:pPr>
      <w:r>
        <w:rPr>
          <w:rFonts w:hint="eastAsia" w:ascii="宋体"/>
          <w:b/>
          <w:color w:val="auto"/>
          <w:sz w:val="72"/>
          <w:highlight w:val="none"/>
        </w:rPr>
        <w:t>投  标  文  件</w:t>
      </w:r>
      <w:bookmarkStart w:id="204" w:name="_Toc1448"/>
      <w:bookmarkStart w:id="205" w:name="_Toc531742175"/>
      <w:bookmarkStart w:id="206" w:name="_Toc488063147"/>
    </w:p>
    <w:p w14:paraId="142329DB">
      <w:pPr>
        <w:jc w:val="center"/>
        <w:outlineLvl w:val="1"/>
        <w:rPr>
          <w:color w:val="auto"/>
          <w:sz w:val="36"/>
          <w:szCs w:val="36"/>
          <w:highlight w:val="none"/>
        </w:rPr>
      </w:pPr>
      <w:bookmarkStart w:id="207" w:name="_Toc23264"/>
      <w:r>
        <w:rPr>
          <w:rFonts w:hint="eastAsia"/>
          <w:b/>
          <w:color w:val="auto"/>
          <w:sz w:val="48"/>
          <w:szCs w:val="48"/>
          <w:highlight w:val="none"/>
        </w:rPr>
        <w:t>（资格证明部分）</w:t>
      </w:r>
      <w:bookmarkEnd w:id="204"/>
      <w:bookmarkEnd w:id="205"/>
      <w:bookmarkEnd w:id="206"/>
      <w:bookmarkEnd w:id="207"/>
    </w:p>
    <w:p w14:paraId="512B6AD4">
      <w:pPr>
        <w:spacing w:line="360" w:lineRule="auto"/>
        <w:rPr>
          <w:color w:val="auto"/>
          <w:sz w:val="36"/>
          <w:szCs w:val="36"/>
          <w:highlight w:val="none"/>
        </w:rPr>
      </w:pPr>
    </w:p>
    <w:p w14:paraId="7B0FA35F">
      <w:pPr>
        <w:spacing w:line="360" w:lineRule="auto"/>
        <w:jc w:val="center"/>
        <w:rPr>
          <w:b/>
          <w:color w:val="auto"/>
          <w:sz w:val="36"/>
          <w:szCs w:val="36"/>
          <w:highlight w:val="none"/>
          <w:u w:val="single"/>
        </w:rPr>
      </w:pPr>
      <w:r>
        <w:rPr>
          <w:rFonts w:hint="eastAsia"/>
          <w:b/>
          <w:color w:val="auto"/>
          <w:sz w:val="36"/>
          <w:szCs w:val="36"/>
          <w:highlight w:val="none"/>
          <w:u w:val="single"/>
        </w:rPr>
        <w:t>（填写正本或副本）</w:t>
      </w:r>
    </w:p>
    <w:p w14:paraId="63899A31">
      <w:pPr>
        <w:spacing w:line="360" w:lineRule="auto"/>
        <w:rPr>
          <w:color w:val="auto"/>
          <w:sz w:val="36"/>
          <w:szCs w:val="36"/>
          <w:highlight w:val="none"/>
        </w:rPr>
      </w:pPr>
    </w:p>
    <w:p w14:paraId="0A5B1F37">
      <w:pPr>
        <w:spacing w:line="360" w:lineRule="auto"/>
        <w:ind w:firstLine="1928" w:firstLineChars="600"/>
        <w:jc w:val="left"/>
        <w:rPr>
          <w:b/>
          <w:color w:val="auto"/>
          <w:sz w:val="32"/>
          <w:szCs w:val="32"/>
          <w:highlight w:val="none"/>
          <w:u w:val="single"/>
        </w:rPr>
      </w:pPr>
      <w:r>
        <w:rPr>
          <w:rFonts w:hint="eastAsia"/>
          <w:b/>
          <w:color w:val="auto"/>
          <w:sz w:val="32"/>
          <w:szCs w:val="32"/>
          <w:highlight w:val="none"/>
        </w:rPr>
        <w:t>项目名称：</w:t>
      </w:r>
      <w:r>
        <w:rPr>
          <w:rFonts w:hint="eastAsia"/>
          <w:b/>
          <w:color w:val="auto"/>
          <w:sz w:val="32"/>
          <w:szCs w:val="32"/>
          <w:highlight w:val="none"/>
          <w:u w:val="single"/>
        </w:rPr>
        <w:t>（由投标人填写）</w:t>
      </w:r>
    </w:p>
    <w:p w14:paraId="2BD79553">
      <w:pPr>
        <w:spacing w:line="360" w:lineRule="auto"/>
        <w:ind w:firstLine="1928" w:firstLineChars="600"/>
        <w:jc w:val="left"/>
        <w:rPr>
          <w:b/>
          <w:color w:val="auto"/>
          <w:sz w:val="32"/>
          <w:szCs w:val="32"/>
          <w:highlight w:val="none"/>
          <w:u w:val="single"/>
        </w:rPr>
      </w:pPr>
      <w:r>
        <w:rPr>
          <w:rFonts w:hint="eastAsia"/>
          <w:b/>
          <w:color w:val="auto"/>
          <w:sz w:val="32"/>
          <w:szCs w:val="32"/>
          <w:highlight w:val="none"/>
        </w:rPr>
        <w:t>项目编号：</w:t>
      </w:r>
      <w:r>
        <w:rPr>
          <w:rFonts w:hint="eastAsia"/>
          <w:b/>
          <w:color w:val="auto"/>
          <w:sz w:val="32"/>
          <w:szCs w:val="32"/>
          <w:highlight w:val="none"/>
          <w:u w:val="single"/>
        </w:rPr>
        <w:t>（由投标人填写）</w:t>
      </w:r>
    </w:p>
    <w:p w14:paraId="69266D05">
      <w:pPr>
        <w:spacing w:line="360" w:lineRule="auto"/>
        <w:ind w:firstLine="2160" w:firstLineChars="600"/>
        <w:jc w:val="left"/>
        <w:rPr>
          <w:color w:val="auto"/>
          <w:sz w:val="36"/>
          <w:szCs w:val="36"/>
          <w:highlight w:val="none"/>
        </w:rPr>
      </w:pPr>
    </w:p>
    <w:p w14:paraId="0B175540">
      <w:pPr>
        <w:spacing w:line="360" w:lineRule="auto"/>
        <w:rPr>
          <w:color w:val="auto"/>
          <w:sz w:val="36"/>
          <w:szCs w:val="36"/>
          <w:highlight w:val="none"/>
        </w:rPr>
      </w:pPr>
    </w:p>
    <w:p w14:paraId="6A08BE46">
      <w:pPr>
        <w:spacing w:line="360" w:lineRule="auto"/>
        <w:rPr>
          <w:color w:val="auto"/>
          <w:sz w:val="36"/>
          <w:szCs w:val="36"/>
          <w:highlight w:val="none"/>
        </w:rPr>
      </w:pPr>
    </w:p>
    <w:p w14:paraId="2C0CA40D">
      <w:pPr>
        <w:spacing w:line="360" w:lineRule="auto"/>
        <w:rPr>
          <w:color w:val="auto"/>
          <w:sz w:val="36"/>
          <w:szCs w:val="36"/>
          <w:highlight w:val="none"/>
        </w:rPr>
      </w:pPr>
    </w:p>
    <w:p w14:paraId="1B4F70B1">
      <w:pPr>
        <w:spacing w:line="360" w:lineRule="auto"/>
        <w:jc w:val="center"/>
        <w:rPr>
          <w:b/>
          <w:color w:val="auto"/>
          <w:sz w:val="32"/>
          <w:szCs w:val="32"/>
          <w:highlight w:val="none"/>
        </w:rPr>
      </w:pPr>
      <w:r>
        <w:rPr>
          <w:rFonts w:hint="eastAsia"/>
          <w:b/>
          <w:color w:val="auto"/>
          <w:sz w:val="32"/>
          <w:szCs w:val="32"/>
          <w:highlight w:val="none"/>
        </w:rPr>
        <w:t>投标人：</w:t>
      </w:r>
      <w:r>
        <w:rPr>
          <w:rFonts w:hint="eastAsia"/>
          <w:b/>
          <w:color w:val="auto"/>
          <w:sz w:val="32"/>
          <w:szCs w:val="32"/>
          <w:highlight w:val="none"/>
          <w:u w:val="single"/>
        </w:rPr>
        <w:t>（填写“全称”）</w:t>
      </w:r>
    </w:p>
    <w:p w14:paraId="6BC3C469">
      <w:pPr>
        <w:spacing w:line="360" w:lineRule="auto"/>
        <w:rPr>
          <w:b/>
          <w:color w:val="auto"/>
          <w:sz w:val="32"/>
          <w:szCs w:val="32"/>
          <w:highlight w:val="none"/>
          <w:u w:val="single"/>
        </w:rPr>
      </w:pPr>
    </w:p>
    <w:p w14:paraId="2CF56600">
      <w:pPr>
        <w:spacing w:line="360" w:lineRule="auto"/>
        <w:ind w:firstLine="1911" w:firstLineChars="595"/>
        <w:rPr>
          <w:b/>
          <w:color w:val="auto"/>
          <w:sz w:val="28"/>
          <w:szCs w:val="28"/>
          <w:highlight w:val="none"/>
        </w:rPr>
      </w:pPr>
      <w:r>
        <w:rPr>
          <w:rFonts w:hint="eastAsia"/>
          <w:b/>
          <w:color w:val="auto"/>
          <w:sz w:val="32"/>
          <w:szCs w:val="32"/>
          <w:highlight w:val="none"/>
          <w:u w:val="single"/>
        </w:rPr>
        <w:t>（由投标人填写）</w:t>
      </w:r>
      <w:r>
        <w:rPr>
          <w:rFonts w:hint="eastAsia"/>
          <w:b/>
          <w:color w:val="auto"/>
          <w:sz w:val="32"/>
          <w:szCs w:val="32"/>
          <w:highlight w:val="none"/>
        </w:rPr>
        <w:t>年</w:t>
      </w:r>
      <w:r>
        <w:rPr>
          <w:rFonts w:hint="eastAsia"/>
          <w:b/>
          <w:color w:val="auto"/>
          <w:sz w:val="32"/>
          <w:szCs w:val="32"/>
          <w:highlight w:val="none"/>
          <w:u w:val="single"/>
        </w:rPr>
        <w:t>（由投标人填写）</w:t>
      </w:r>
      <w:r>
        <w:rPr>
          <w:rFonts w:hint="eastAsia"/>
          <w:b/>
          <w:color w:val="auto"/>
          <w:sz w:val="32"/>
          <w:szCs w:val="32"/>
          <w:highlight w:val="none"/>
        </w:rPr>
        <w:t>月</w:t>
      </w:r>
      <w:bookmarkStart w:id="208" w:name="_Toc478067451"/>
    </w:p>
    <w:p w14:paraId="0609CE57">
      <w:pPr>
        <w:jc w:val="center"/>
        <w:rPr>
          <w:b/>
          <w:color w:val="auto"/>
          <w:sz w:val="24"/>
          <w:szCs w:val="24"/>
          <w:highlight w:val="none"/>
        </w:rPr>
        <w:sectPr>
          <w:pgSz w:w="11906" w:h="16838"/>
          <w:pgMar w:top="1134" w:right="1247" w:bottom="1134" w:left="1247" w:header="851" w:footer="992" w:gutter="0"/>
          <w:cols w:space="720" w:num="1"/>
          <w:docGrid w:type="lines" w:linePitch="312" w:charSpace="0"/>
        </w:sectPr>
      </w:pPr>
      <w:bookmarkStart w:id="209" w:name="_Toc484527778"/>
    </w:p>
    <w:p w14:paraId="43A9E6EC">
      <w:pPr>
        <w:jc w:val="center"/>
        <w:rPr>
          <w:b/>
          <w:color w:val="auto"/>
          <w:sz w:val="24"/>
          <w:szCs w:val="24"/>
          <w:highlight w:val="none"/>
        </w:rPr>
      </w:pPr>
      <w:r>
        <w:rPr>
          <w:b/>
          <w:color w:val="auto"/>
          <w:sz w:val="24"/>
          <w:szCs w:val="24"/>
          <w:highlight w:val="none"/>
        </w:rPr>
        <w:t>索引</w:t>
      </w:r>
      <w:bookmarkEnd w:id="208"/>
      <w:bookmarkEnd w:id="209"/>
    </w:p>
    <w:p w14:paraId="5C2487DF">
      <w:pPr>
        <w:rPr>
          <w:rFonts w:ascii="宋体"/>
          <w:color w:val="auto"/>
          <w:sz w:val="24"/>
          <w:szCs w:val="24"/>
          <w:highlight w:val="none"/>
        </w:rPr>
      </w:pPr>
    </w:p>
    <w:p w14:paraId="6CBC9B96">
      <w:pPr>
        <w:rPr>
          <w:rFonts w:ascii="宋体"/>
          <w:color w:val="auto"/>
          <w:sz w:val="24"/>
          <w:szCs w:val="24"/>
          <w:highlight w:val="none"/>
        </w:rPr>
      </w:pPr>
    </w:p>
    <w:p w14:paraId="14DE0763">
      <w:pPr>
        <w:spacing w:line="360" w:lineRule="auto"/>
        <w:rPr>
          <w:rFonts w:ascii="宋体"/>
          <w:color w:val="auto"/>
          <w:sz w:val="24"/>
          <w:szCs w:val="24"/>
          <w:highlight w:val="none"/>
        </w:rPr>
      </w:pPr>
      <w:r>
        <w:rPr>
          <w:rFonts w:hint="eastAsia" w:ascii="宋体"/>
          <w:color w:val="auto"/>
          <w:sz w:val="24"/>
          <w:szCs w:val="24"/>
          <w:highlight w:val="none"/>
        </w:rPr>
        <w:t>1、投标函</w:t>
      </w:r>
    </w:p>
    <w:p w14:paraId="5656F990">
      <w:pPr>
        <w:spacing w:line="360" w:lineRule="auto"/>
        <w:rPr>
          <w:rFonts w:ascii="宋体"/>
          <w:color w:val="auto"/>
          <w:sz w:val="24"/>
          <w:szCs w:val="24"/>
          <w:highlight w:val="none"/>
        </w:rPr>
      </w:pPr>
      <w:r>
        <w:rPr>
          <w:rFonts w:hint="eastAsia" w:ascii="宋体"/>
          <w:color w:val="auto"/>
          <w:sz w:val="24"/>
          <w:szCs w:val="24"/>
          <w:highlight w:val="none"/>
        </w:rPr>
        <w:t>2、单位负责人授权书</w:t>
      </w:r>
    </w:p>
    <w:p w14:paraId="44478F77">
      <w:pPr>
        <w:spacing w:line="360" w:lineRule="auto"/>
        <w:rPr>
          <w:rFonts w:ascii="宋体"/>
          <w:color w:val="auto"/>
          <w:sz w:val="24"/>
          <w:szCs w:val="24"/>
          <w:highlight w:val="none"/>
        </w:rPr>
      </w:pPr>
      <w:r>
        <w:rPr>
          <w:rFonts w:hint="eastAsia" w:ascii="宋体"/>
          <w:color w:val="auto"/>
          <w:sz w:val="24"/>
          <w:szCs w:val="24"/>
          <w:highlight w:val="none"/>
        </w:rPr>
        <w:t>3、法人或者其他组织的营业执照等证明文件，自然人的身份证明</w:t>
      </w:r>
    </w:p>
    <w:p w14:paraId="4613021D">
      <w:pPr>
        <w:spacing w:line="360" w:lineRule="auto"/>
        <w:rPr>
          <w:rFonts w:ascii="宋体"/>
          <w:color w:val="auto"/>
          <w:sz w:val="24"/>
          <w:szCs w:val="24"/>
          <w:highlight w:val="none"/>
        </w:rPr>
      </w:pPr>
      <w:r>
        <w:rPr>
          <w:rFonts w:hint="eastAsia" w:ascii="宋体"/>
          <w:color w:val="auto"/>
          <w:sz w:val="24"/>
          <w:szCs w:val="24"/>
          <w:highlight w:val="none"/>
        </w:rPr>
        <w:t>4、财务状况报告</w:t>
      </w:r>
    </w:p>
    <w:p w14:paraId="184ED41B">
      <w:pPr>
        <w:spacing w:line="360" w:lineRule="auto"/>
        <w:rPr>
          <w:rFonts w:ascii="宋体"/>
          <w:color w:val="auto"/>
          <w:sz w:val="24"/>
          <w:szCs w:val="24"/>
          <w:highlight w:val="none"/>
        </w:rPr>
      </w:pPr>
      <w:r>
        <w:rPr>
          <w:rFonts w:hint="eastAsia" w:ascii="宋体"/>
          <w:color w:val="auto"/>
          <w:sz w:val="24"/>
          <w:szCs w:val="24"/>
          <w:highlight w:val="none"/>
        </w:rPr>
        <w:t>5、依法缴纳税收的相关材料</w:t>
      </w:r>
    </w:p>
    <w:p w14:paraId="6466D9F4">
      <w:pPr>
        <w:spacing w:line="360" w:lineRule="auto"/>
        <w:rPr>
          <w:rFonts w:ascii="宋体"/>
          <w:color w:val="auto"/>
          <w:sz w:val="24"/>
          <w:szCs w:val="24"/>
          <w:highlight w:val="none"/>
        </w:rPr>
      </w:pPr>
      <w:r>
        <w:rPr>
          <w:rFonts w:hint="eastAsia" w:ascii="宋体"/>
          <w:color w:val="auto"/>
          <w:sz w:val="24"/>
          <w:szCs w:val="24"/>
          <w:highlight w:val="none"/>
        </w:rPr>
        <w:t>6、依法缴纳社会保障资金的相关材料</w:t>
      </w:r>
    </w:p>
    <w:p w14:paraId="6A8DFAE6">
      <w:pPr>
        <w:spacing w:line="360" w:lineRule="auto"/>
        <w:rPr>
          <w:rFonts w:ascii="宋体"/>
          <w:color w:val="auto"/>
          <w:sz w:val="24"/>
          <w:szCs w:val="24"/>
          <w:highlight w:val="none"/>
        </w:rPr>
      </w:pPr>
      <w:r>
        <w:rPr>
          <w:rFonts w:hint="eastAsia" w:ascii="宋体"/>
          <w:color w:val="auto"/>
          <w:sz w:val="24"/>
          <w:highlight w:val="none"/>
        </w:rPr>
        <w:t>7、具备履行合同所必需的设备和专业技术能力的证明材料（可以提供证明材料或承诺书）</w:t>
      </w:r>
    </w:p>
    <w:p w14:paraId="2F72E75E">
      <w:pPr>
        <w:spacing w:line="360" w:lineRule="auto"/>
        <w:rPr>
          <w:rFonts w:ascii="宋体"/>
          <w:color w:val="auto"/>
          <w:sz w:val="24"/>
          <w:szCs w:val="24"/>
          <w:highlight w:val="none"/>
        </w:rPr>
      </w:pPr>
      <w:r>
        <w:rPr>
          <w:rFonts w:hint="eastAsia" w:ascii="宋体"/>
          <w:color w:val="auto"/>
          <w:sz w:val="24"/>
          <w:szCs w:val="24"/>
          <w:highlight w:val="none"/>
        </w:rPr>
        <w:t>8、参加采购活动前3年内在经营活动中没有重大违法记录的书面声明</w:t>
      </w:r>
    </w:p>
    <w:p w14:paraId="2FE6230A">
      <w:pPr>
        <w:spacing w:line="360" w:lineRule="auto"/>
        <w:rPr>
          <w:rFonts w:ascii="宋体"/>
          <w:color w:val="auto"/>
          <w:sz w:val="24"/>
          <w:szCs w:val="24"/>
          <w:highlight w:val="none"/>
        </w:rPr>
      </w:pPr>
      <w:r>
        <w:rPr>
          <w:rFonts w:ascii="宋体"/>
          <w:color w:val="auto"/>
          <w:sz w:val="24"/>
          <w:szCs w:val="24"/>
          <w:highlight w:val="none"/>
        </w:rPr>
        <w:t>9</w:t>
      </w:r>
      <w:r>
        <w:rPr>
          <w:rFonts w:hint="eastAsia" w:ascii="宋体"/>
          <w:color w:val="auto"/>
          <w:sz w:val="24"/>
          <w:szCs w:val="24"/>
          <w:highlight w:val="none"/>
        </w:rPr>
        <w:t>、投标保证金</w:t>
      </w:r>
    </w:p>
    <w:p w14:paraId="07150E66">
      <w:pPr>
        <w:spacing w:line="360" w:lineRule="auto"/>
        <w:rPr>
          <w:rFonts w:ascii="宋体"/>
          <w:color w:val="auto"/>
          <w:sz w:val="24"/>
          <w:szCs w:val="24"/>
          <w:highlight w:val="none"/>
        </w:rPr>
      </w:pPr>
      <w:r>
        <w:rPr>
          <w:rFonts w:hint="eastAsia" w:ascii="宋体"/>
          <w:color w:val="auto"/>
          <w:sz w:val="24"/>
          <w:szCs w:val="24"/>
          <w:highlight w:val="none"/>
        </w:rPr>
        <w:t>1</w:t>
      </w:r>
      <w:r>
        <w:rPr>
          <w:rFonts w:ascii="宋体"/>
          <w:color w:val="auto"/>
          <w:sz w:val="24"/>
          <w:szCs w:val="24"/>
          <w:highlight w:val="none"/>
        </w:rPr>
        <w:t>0</w:t>
      </w:r>
      <w:r>
        <w:rPr>
          <w:rFonts w:hint="eastAsia" w:ascii="宋体"/>
          <w:color w:val="auto"/>
          <w:sz w:val="24"/>
          <w:szCs w:val="24"/>
          <w:highlight w:val="none"/>
        </w:rPr>
        <w:t>、资格要求特定条件证明文件</w:t>
      </w:r>
    </w:p>
    <w:p w14:paraId="05CE6842">
      <w:pPr>
        <w:spacing w:line="360" w:lineRule="auto"/>
        <w:rPr>
          <w:rFonts w:ascii="宋体"/>
          <w:color w:val="auto"/>
          <w:sz w:val="24"/>
          <w:szCs w:val="24"/>
          <w:highlight w:val="none"/>
        </w:rPr>
      </w:pPr>
      <w:r>
        <w:rPr>
          <w:rFonts w:hint="eastAsia" w:ascii="宋体"/>
          <w:color w:val="auto"/>
          <w:sz w:val="24"/>
          <w:szCs w:val="24"/>
          <w:highlight w:val="none"/>
        </w:rPr>
        <w:t>1</w:t>
      </w:r>
      <w:r>
        <w:rPr>
          <w:rFonts w:ascii="宋体"/>
          <w:color w:val="auto"/>
          <w:sz w:val="24"/>
          <w:szCs w:val="24"/>
          <w:highlight w:val="none"/>
        </w:rPr>
        <w:t>1</w:t>
      </w:r>
      <w:r>
        <w:rPr>
          <w:rFonts w:hint="eastAsia" w:ascii="宋体"/>
          <w:color w:val="auto"/>
          <w:sz w:val="24"/>
          <w:szCs w:val="24"/>
          <w:highlight w:val="none"/>
        </w:rPr>
        <w:t>、联合体协议（若有）</w:t>
      </w:r>
    </w:p>
    <w:p w14:paraId="54C8D510">
      <w:pPr>
        <w:rPr>
          <w:rFonts w:ascii="宋体"/>
          <w:color w:val="auto"/>
          <w:sz w:val="24"/>
          <w:szCs w:val="24"/>
          <w:highlight w:val="none"/>
        </w:rPr>
      </w:pPr>
    </w:p>
    <w:p w14:paraId="31CED603">
      <w:pPr>
        <w:spacing w:line="360" w:lineRule="auto"/>
        <w:jc w:val="center"/>
        <w:rPr>
          <w:b/>
          <w:color w:val="auto"/>
          <w:sz w:val="24"/>
          <w:szCs w:val="24"/>
          <w:highlight w:val="none"/>
        </w:rPr>
      </w:pPr>
      <w:bookmarkStart w:id="210" w:name="_Toc478067452"/>
      <w:r>
        <w:rPr>
          <w:b/>
          <w:color w:val="auto"/>
          <w:sz w:val="24"/>
          <w:szCs w:val="24"/>
          <w:highlight w:val="none"/>
        </w:rPr>
        <w:br w:type="page"/>
      </w:r>
      <w:r>
        <w:rPr>
          <w:rFonts w:hint="eastAsia"/>
          <w:b/>
          <w:color w:val="auto"/>
          <w:sz w:val="24"/>
          <w:szCs w:val="24"/>
          <w:highlight w:val="none"/>
        </w:rPr>
        <w:t>1、投标函</w:t>
      </w:r>
      <w:bookmarkEnd w:id="210"/>
    </w:p>
    <w:p w14:paraId="588A0247">
      <w:pPr>
        <w:rPr>
          <w:rFonts w:ascii="宋体"/>
          <w:color w:val="auto"/>
          <w:sz w:val="24"/>
          <w:szCs w:val="24"/>
          <w:highlight w:val="none"/>
        </w:rPr>
      </w:pPr>
    </w:p>
    <w:p w14:paraId="1CA6B794">
      <w:pPr>
        <w:spacing w:line="400" w:lineRule="exact"/>
        <w:rPr>
          <w:rFonts w:ascii="宋体"/>
          <w:color w:val="auto"/>
          <w:sz w:val="24"/>
          <w:szCs w:val="24"/>
          <w:highlight w:val="none"/>
          <w:u w:val="single"/>
        </w:rPr>
      </w:pPr>
      <w:r>
        <w:rPr>
          <w:rFonts w:hint="eastAsia" w:ascii="宋体"/>
          <w:color w:val="auto"/>
          <w:sz w:val="24"/>
          <w:szCs w:val="24"/>
          <w:highlight w:val="none"/>
        </w:rPr>
        <w:t>致：</w:t>
      </w:r>
      <w:r>
        <w:rPr>
          <w:rFonts w:hint="eastAsia" w:ascii="宋体"/>
          <w:color w:val="auto"/>
          <w:sz w:val="24"/>
          <w:szCs w:val="24"/>
          <w:highlight w:val="none"/>
          <w:u w:val="single"/>
        </w:rPr>
        <w:t xml:space="preserve">                     </w:t>
      </w:r>
    </w:p>
    <w:p w14:paraId="24C69CA7">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兹收到贵单位关于</w:t>
      </w:r>
      <w:r>
        <w:rPr>
          <w:rFonts w:hint="eastAsia" w:ascii="宋体"/>
          <w:color w:val="auto"/>
          <w:sz w:val="24"/>
          <w:szCs w:val="24"/>
          <w:highlight w:val="none"/>
          <w:u w:val="single"/>
        </w:rPr>
        <w:t>（填写“项目名称”）</w:t>
      </w:r>
      <w:r>
        <w:rPr>
          <w:rFonts w:hint="eastAsia" w:ascii="宋体"/>
          <w:color w:val="auto"/>
          <w:sz w:val="24"/>
          <w:szCs w:val="24"/>
          <w:highlight w:val="none"/>
        </w:rPr>
        <w:t>项目（项目编号：</w:t>
      </w:r>
      <w:r>
        <w:rPr>
          <w:rFonts w:hint="eastAsia" w:ascii="宋体"/>
          <w:color w:val="auto"/>
          <w:sz w:val="24"/>
          <w:szCs w:val="24"/>
          <w:highlight w:val="none"/>
          <w:u w:val="single"/>
        </w:rPr>
        <w:t xml:space="preserve">     </w:t>
      </w:r>
      <w:r>
        <w:rPr>
          <w:rFonts w:hint="eastAsia" w:ascii="宋体"/>
          <w:color w:val="auto"/>
          <w:sz w:val="24"/>
          <w:szCs w:val="24"/>
          <w:highlight w:val="none"/>
        </w:rPr>
        <w:t>）的投标邀请，本投标人代表</w:t>
      </w:r>
      <w:r>
        <w:rPr>
          <w:rFonts w:hint="eastAsia" w:ascii="宋体"/>
          <w:color w:val="auto"/>
          <w:sz w:val="24"/>
          <w:szCs w:val="24"/>
          <w:highlight w:val="none"/>
          <w:u w:val="single"/>
        </w:rPr>
        <w:t>（填写“全名”）</w:t>
      </w:r>
      <w:r>
        <w:rPr>
          <w:rFonts w:hint="eastAsia" w:ascii="宋体"/>
          <w:color w:val="auto"/>
          <w:sz w:val="24"/>
          <w:szCs w:val="24"/>
          <w:highlight w:val="none"/>
        </w:rPr>
        <w:t>已获得我方正式授权并代表投标人</w:t>
      </w:r>
      <w:r>
        <w:rPr>
          <w:rFonts w:hint="eastAsia" w:ascii="宋体"/>
          <w:color w:val="auto"/>
          <w:sz w:val="24"/>
          <w:szCs w:val="24"/>
          <w:highlight w:val="none"/>
          <w:u w:val="single"/>
        </w:rPr>
        <w:t>（填写“全称”）</w:t>
      </w:r>
      <w:r>
        <w:rPr>
          <w:rFonts w:hint="eastAsia" w:ascii="宋体"/>
          <w:color w:val="auto"/>
          <w:sz w:val="24"/>
          <w:szCs w:val="24"/>
          <w:highlight w:val="none"/>
        </w:rPr>
        <w:t>参加投标，并提交招标文件规定份数的投标文件正本和副本。我方提交的全部投标文件均由下述部分组成：</w:t>
      </w:r>
    </w:p>
    <w:p w14:paraId="61C31E41">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一、报价部分</w:t>
      </w:r>
    </w:p>
    <w:p w14:paraId="489F7AF0">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1、开标一览表</w:t>
      </w:r>
    </w:p>
    <w:p w14:paraId="041E26F8">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2、投标分项报价表</w:t>
      </w:r>
    </w:p>
    <w:p w14:paraId="621155EC">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3、中小企业声明函（若有）</w:t>
      </w:r>
    </w:p>
    <w:p w14:paraId="612DAB98">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4、投标人提交的其他资料（若有）</w:t>
      </w:r>
    </w:p>
    <w:p w14:paraId="12573DFB">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二、资格证明部分</w:t>
      </w:r>
    </w:p>
    <w:p w14:paraId="51079B2D">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1、投标函</w:t>
      </w:r>
    </w:p>
    <w:p w14:paraId="6C6D3D5A">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2、单位负责人授权书</w:t>
      </w:r>
    </w:p>
    <w:p w14:paraId="5ABED8D8">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3、法人或者其他组织的营业执照等证明文件，自然人的身份证明</w:t>
      </w:r>
    </w:p>
    <w:p w14:paraId="55A0FD5A">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4、财务状况报告</w:t>
      </w:r>
    </w:p>
    <w:p w14:paraId="3AE0FCB0">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5、依法缴纳税收的相关材料</w:t>
      </w:r>
    </w:p>
    <w:p w14:paraId="79206496">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6、依法缴纳社会保障资金的相关材料</w:t>
      </w:r>
    </w:p>
    <w:p w14:paraId="7653D94B">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7、具备履行合同所必需的设备和专业技术能力的证明材料</w:t>
      </w:r>
    </w:p>
    <w:p w14:paraId="152E3208">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8、参加采购活动前3年内在经营活动中没有重大违法记录的书面声明</w:t>
      </w:r>
    </w:p>
    <w:p w14:paraId="687C7D9B">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9、投标保证金</w:t>
      </w:r>
    </w:p>
    <w:p w14:paraId="32B7C515">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10、资格要求特定条件证明文件</w:t>
      </w:r>
    </w:p>
    <w:p w14:paraId="58E2C199">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11、联合体协议（若有）</w:t>
      </w:r>
    </w:p>
    <w:p w14:paraId="5ED70F87">
      <w:pPr>
        <w:spacing w:line="400" w:lineRule="exact"/>
        <w:ind w:firstLine="480" w:firstLineChars="200"/>
        <w:rPr>
          <w:rFonts w:ascii="宋体"/>
          <w:color w:val="auto"/>
          <w:sz w:val="24"/>
          <w:szCs w:val="24"/>
          <w:highlight w:val="none"/>
        </w:rPr>
      </w:pPr>
    </w:p>
    <w:p w14:paraId="4F831BA0">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三、技术商务部分</w:t>
      </w:r>
    </w:p>
    <w:p w14:paraId="56472365">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1、技术和服务要求响应内容</w:t>
      </w:r>
    </w:p>
    <w:p w14:paraId="417FEA59">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2、商务条件响应表</w:t>
      </w:r>
    </w:p>
    <w:p w14:paraId="78DD8531">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3、其他资料</w:t>
      </w:r>
    </w:p>
    <w:p w14:paraId="3DEF83E2">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根据本函，本投标人代表宣布我方保证遵守招标文件的全部规定，同时：</w:t>
      </w:r>
    </w:p>
    <w:p w14:paraId="5BDAEEEF">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一、</w:t>
      </w:r>
      <w:r>
        <w:rPr>
          <w:rFonts w:hint="eastAsia" w:ascii="宋体"/>
          <w:b/>
          <w:color w:val="auto"/>
          <w:sz w:val="24"/>
          <w:szCs w:val="24"/>
          <w:highlight w:val="none"/>
        </w:rPr>
        <w:t>确认：</w:t>
      </w:r>
    </w:p>
    <w:p w14:paraId="17324CF0">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1、所投合同包的投标报价详见“开标一览表”及“投标分项报价表”。</w:t>
      </w:r>
    </w:p>
    <w:p w14:paraId="1AC35210">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2、我方已详细审查全部招标文件[包括但不限于：有关附件（若有）、澄清或修改（若有）等]，并自行承担因对全部招标文件理解不正确或误解而产生的相应后果和责任。</w:t>
      </w:r>
    </w:p>
    <w:p w14:paraId="3115E84C">
      <w:pPr>
        <w:spacing w:line="400" w:lineRule="exact"/>
        <w:ind w:firstLine="480" w:firstLineChars="200"/>
        <w:rPr>
          <w:rFonts w:ascii="宋体"/>
          <w:b/>
          <w:color w:val="auto"/>
          <w:sz w:val="24"/>
          <w:szCs w:val="24"/>
          <w:highlight w:val="none"/>
        </w:rPr>
      </w:pPr>
      <w:r>
        <w:rPr>
          <w:rFonts w:hint="eastAsia" w:ascii="宋体"/>
          <w:color w:val="auto"/>
          <w:sz w:val="24"/>
          <w:szCs w:val="24"/>
          <w:highlight w:val="none"/>
        </w:rPr>
        <w:t>二、</w:t>
      </w:r>
      <w:r>
        <w:rPr>
          <w:rFonts w:hint="eastAsia" w:ascii="宋体"/>
          <w:b/>
          <w:color w:val="auto"/>
          <w:sz w:val="24"/>
          <w:szCs w:val="24"/>
          <w:highlight w:val="none"/>
        </w:rPr>
        <w:t>承诺及声明：</w:t>
      </w:r>
    </w:p>
    <w:p w14:paraId="757A5894">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1、我方具备招标文件第二章载明的“投标人的资格要求”之规定，否则</w:t>
      </w:r>
      <w:r>
        <w:rPr>
          <w:rFonts w:hint="eastAsia" w:ascii="宋体"/>
          <w:b/>
          <w:color w:val="auto"/>
          <w:sz w:val="24"/>
          <w:szCs w:val="24"/>
          <w:highlight w:val="none"/>
        </w:rPr>
        <w:t>投标无效</w:t>
      </w:r>
      <w:r>
        <w:rPr>
          <w:rFonts w:hint="eastAsia" w:ascii="宋体"/>
          <w:color w:val="auto"/>
          <w:sz w:val="24"/>
          <w:szCs w:val="24"/>
          <w:highlight w:val="none"/>
        </w:rPr>
        <w:t>。</w:t>
      </w:r>
    </w:p>
    <w:p w14:paraId="6B306AD3">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2、我方提交的投标文件各组成部分的全部内容及资料是不可割离且真实、有效、准确、完整和不具有任何误导性的，否则产生不利后果由我方承担责任。</w:t>
      </w:r>
    </w:p>
    <w:p w14:paraId="660AE464">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3、投标保证金：若出现招标文件第二章规定的情形，同意贵单位不予退还。</w:t>
      </w:r>
    </w:p>
    <w:p w14:paraId="57E247EF">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4、投标有效期：按照招标文件第二章规定执行，并在招标文件第二章载明的期限内保持有效。</w:t>
      </w:r>
    </w:p>
    <w:p w14:paraId="70B46345">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5、若中标，将按照招标文件、我方投标文件及采购合同履行责任和义务。</w:t>
      </w:r>
    </w:p>
    <w:p w14:paraId="7769F0B8">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6、若贵单位要求，我方同意提供与本项目投标有关的一切资料、数据或文件，并完全理解贵单位不一定要接受最低的投标报价或收到的任何投标。</w:t>
      </w:r>
    </w:p>
    <w:p w14:paraId="05D55F2B">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7、除招标文件另有规定外，对于贵单位按照下述联络方式发出的任何信息或通知，均视为我方已收悉前述信息或通知的全部内容：</w:t>
      </w:r>
    </w:p>
    <w:p w14:paraId="1231139D">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8、</w:t>
      </w:r>
      <w:r>
        <w:rPr>
          <w:rFonts w:ascii="宋体"/>
          <w:color w:val="auto"/>
          <w:sz w:val="24"/>
          <w:szCs w:val="24"/>
          <w:highlight w:val="none"/>
        </w:rPr>
        <w:t>我方承诺所提供标的价格不高于同期市场价格，否则产生不利后果由我方承担责任。</w:t>
      </w:r>
    </w:p>
    <w:p w14:paraId="374066D4">
      <w:pPr>
        <w:spacing w:line="400" w:lineRule="exact"/>
        <w:ind w:firstLine="480" w:firstLineChars="200"/>
        <w:rPr>
          <w:rFonts w:ascii="宋体"/>
          <w:color w:val="auto"/>
          <w:sz w:val="24"/>
          <w:szCs w:val="24"/>
          <w:highlight w:val="none"/>
          <w:u w:val="single"/>
        </w:rPr>
      </w:pPr>
      <w:r>
        <w:rPr>
          <w:rFonts w:hint="eastAsia" w:ascii="宋体"/>
          <w:color w:val="auto"/>
          <w:sz w:val="24"/>
          <w:szCs w:val="24"/>
          <w:highlight w:val="none"/>
        </w:rPr>
        <w:t>通信地址：</w:t>
      </w:r>
      <w:r>
        <w:rPr>
          <w:rFonts w:hint="eastAsia" w:ascii="宋体"/>
          <w:color w:val="auto"/>
          <w:sz w:val="24"/>
          <w:szCs w:val="24"/>
          <w:highlight w:val="none"/>
          <w:u w:val="single"/>
        </w:rPr>
        <w:t xml:space="preserve">                                        </w:t>
      </w:r>
      <w:r>
        <w:rPr>
          <w:rFonts w:hint="eastAsia" w:ascii="宋体"/>
          <w:color w:val="auto"/>
          <w:sz w:val="24"/>
          <w:szCs w:val="24"/>
          <w:highlight w:val="none"/>
        </w:rPr>
        <w:t>邮编：</w:t>
      </w:r>
      <w:r>
        <w:rPr>
          <w:rFonts w:hint="eastAsia" w:ascii="宋体"/>
          <w:color w:val="auto"/>
          <w:sz w:val="24"/>
          <w:szCs w:val="24"/>
          <w:highlight w:val="none"/>
          <w:u w:val="single"/>
        </w:rPr>
        <w:t xml:space="preserve">                 </w:t>
      </w:r>
    </w:p>
    <w:p w14:paraId="34529775">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联系方法：</w:t>
      </w:r>
      <w:r>
        <w:rPr>
          <w:rFonts w:hint="eastAsia" w:ascii="宋体"/>
          <w:color w:val="auto"/>
          <w:sz w:val="24"/>
          <w:szCs w:val="24"/>
          <w:highlight w:val="none"/>
          <w:u w:val="single"/>
        </w:rPr>
        <w:t>（包括但不限于：传真、固话、手机、电子邮箱等）</w:t>
      </w:r>
    </w:p>
    <w:p w14:paraId="0F2617C4">
      <w:pPr>
        <w:spacing w:line="400" w:lineRule="exact"/>
        <w:ind w:firstLine="480" w:firstLineChars="200"/>
        <w:rPr>
          <w:rFonts w:ascii="宋体"/>
          <w:color w:val="auto"/>
          <w:sz w:val="24"/>
          <w:szCs w:val="24"/>
          <w:highlight w:val="none"/>
        </w:rPr>
      </w:pPr>
    </w:p>
    <w:p w14:paraId="5EFA649D">
      <w:pPr>
        <w:spacing w:line="400" w:lineRule="exact"/>
        <w:ind w:firstLine="5244" w:firstLineChars="2185"/>
        <w:rPr>
          <w:rFonts w:ascii="宋体"/>
          <w:color w:val="auto"/>
          <w:sz w:val="24"/>
          <w:szCs w:val="24"/>
          <w:highlight w:val="none"/>
          <w:u w:val="single"/>
        </w:rPr>
      </w:pP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0F39ADD3">
      <w:pPr>
        <w:spacing w:line="400" w:lineRule="exact"/>
        <w:ind w:firstLine="5244" w:firstLineChars="2185"/>
        <w:rPr>
          <w:rFonts w:ascii="宋体"/>
          <w:color w:val="auto"/>
          <w:sz w:val="24"/>
          <w:szCs w:val="24"/>
          <w:highlight w:val="none"/>
          <w:u w:val="singl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p>
    <w:p w14:paraId="774083A4">
      <w:pPr>
        <w:spacing w:line="400" w:lineRule="exact"/>
        <w:ind w:firstLine="5244" w:firstLineChars="2185"/>
        <w:rPr>
          <w:rFonts w:ascii="宋体"/>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2D8029CA">
      <w:pPr>
        <w:jc w:val="center"/>
        <w:rPr>
          <w:b/>
          <w:color w:val="auto"/>
          <w:highlight w:val="none"/>
        </w:rPr>
      </w:pPr>
    </w:p>
    <w:p w14:paraId="231007F2">
      <w:pPr>
        <w:jc w:val="center"/>
        <w:rPr>
          <w:b/>
          <w:color w:val="auto"/>
          <w:highlight w:val="none"/>
        </w:rPr>
      </w:pPr>
    </w:p>
    <w:p w14:paraId="451AC7F4">
      <w:pPr>
        <w:jc w:val="center"/>
        <w:rPr>
          <w:b/>
          <w:color w:val="auto"/>
          <w:sz w:val="24"/>
          <w:szCs w:val="24"/>
          <w:highlight w:val="none"/>
        </w:rPr>
      </w:pPr>
      <w:r>
        <w:rPr>
          <w:b/>
          <w:color w:val="auto"/>
          <w:highlight w:val="none"/>
        </w:rPr>
        <w:br w:type="page"/>
      </w:r>
      <w:r>
        <w:rPr>
          <w:rFonts w:hint="eastAsia"/>
          <w:b/>
          <w:color w:val="auto"/>
          <w:sz w:val="24"/>
          <w:szCs w:val="24"/>
          <w:highlight w:val="none"/>
        </w:rPr>
        <w:t>2、单位负责人授权书</w:t>
      </w:r>
    </w:p>
    <w:p w14:paraId="20C46B45">
      <w:pPr>
        <w:rPr>
          <w:color w:val="auto"/>
          <w:sz w:val="24"/>
          <w:szCs w:val="24"/>
          <w:highlight w:val="none"/>
        </w:rPr>
      </w:pPr>
    </w:p>
    <w:p w14:paraId="3707E814">
      <w:pPr>
        <w:spacing w:before="156" w:beforeLines="50" w:after="156" w:afterLines="50" w:line="360" w:lineRule="auto"/>
        <w:rPr>
          <w:rFonts w:ascii="宋体"/>
          <w:color w:val="auto"/>
          <w:sz w:val="24"/>
          <w:highlight w:val="none"/>
          <w:u w:val="single"/>
        </w:rPr>
      </w:pPr>
      <w:r>
        <w:rPr>
          <w:rFonts w:hint="eastAsia" w:ascii="宋体"/>
          <w:color w:val="auto"/>
          <w:sz w:val="24"/>
          <w:highlight w:val="none"/>
          <w:u w:val="single"/>
        </w:rPr>
        <w:t xml:space="preserve">致：（采购代理机构）           </w:t>
      </w:r>
    </w:p>
    <w:p w14:paraId="634AF29D">
      <w:pPr>
        <w:spacing w:line="360" w:lineRule="auto"/>
        <w:ind w:firstLine="480" w:firstLineChars="200"/>
        <w:jc w:val="left"/>
        <w:rPr>
          <w:rFonts w:ascii="宋体"/>
          <w:color w:val="auto"/>
          <w:sz w:val="24"/>
          <w:highlight w:val="none"/>
        </w:rPr>
      </w:pPr>
      <w:r>
        <w:rPr>
          <w:rFonts w:hint="eastAsia" w:ascii="宋体"/>
          <w:color w:val="auto"/>
          <w:sz w:val="24"/>
          <w:highlight w:val="none"/>
          <w:u w:val="single"/>
        </w:rPr>
        <w:t>（投标人全称）</w:t>
      </w:r>
      <w:r>
        <w:rPr>
          <w:rFonts w:hint="eastAsia" w:ascii="宋体"/>
          <w:color w:val="auto"/>
          <w:sz w:val="24"/>
          <w:highlight w:val="none"/>
        </w:rPr>
        <w:t>单位负责人</w:t>
      </w:r>
      <w:r>
        <w:rPr>
          <w:rFonts w:hint="eastAsia" w:ascii="宋体"/>
          <w:color w:val="auto"/>
          <w:sz w:val="24"/>
          <w:highlight w:val="none"/>
          <w:u w:val="single"/>
        </w:rPr>
        <w:t xml:space="preserve">        </w:t>
      </w:r>
      <w:r>
        <w:rPr>
          <w:rFonts w:hint="eastAsia" w:ascii="宋体"/>
          <w:color w:val="auto"/>
          <w:sz w:val="24"/>
          <w:highlight w:val="none"/>
        </w:rPr>
        <w:t xml:space="preserve"> 授权</w:t>
      </w:r>
      <w:r>
        <w:rPr>
          <w:rFonts w:hint="eastAsia" w:ascii="宋体"/>
          <w:color w:val="auto"/>
          <w:sz w:val="24"/>
          <w:highlight w:val="none"/>
          <w:u w:val="single"/>
        </w:rPr>
        <w:t xml:space="preserve">  （投标人代表姓名）</w:t>
      </w:r>
      <w:r>
        <w:rPr>
          <w:rFonts w:hint="eastAsia" w:ascii="宋体"/>
          <w:color w:val="auto"/>
          <w:sz w:val="24"/>
          <w:highlight w:val="none"/>
        </w:rPr>
        <w:t>为投标人代表，代表本公司参加贵司组织的</w:t>
      </w:r>
      <w:r>
        <w:rPr>
          <w:rFonts w:hint="eastAsia" w:ascii="宋体"/>
          <w:color w:val="auto"/>
          <w:sz w:val="24"/>
          <w:highlight w:val="none"/>
          <w:u w:val="single"/>
        </w:rPr>
        <w:t xml:space="preserve">            </w:t>
      </w:r>
      <w:r>
        <w:rPr>
          <w:rFonts w:hint="eastAsia" w:ascii="宋体"/>
          <w:color w:val="auto"/>
          <w:sz w:val="24"/>
          <w:highlight w:val="none"/>
        </w:rPr>
        <w:t>项目（项目编号</w:t>
      </w:r>
      <w:r>
        <w:rPr>
          <w:rFonts w:hint="eastAsia" w:ascii="宋体"/>
          <w:color w:val="auto"/>
          <w:sz w:val="24"/>
          <w:highlight w:val="none"/>
          <w:u w:val="single"/>
        </w:rPr>
        <w:t xml:space="preserve">       </w:t>
      </w:r>
      <w:r>
        <w:rPr>
          <w:rFonts w:hint="eastAsia" w:ascii="宋体"/>
          <w:color w:val="auto"/>
          <w:sz w:val="24"/>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76927867">
      <w:pPr>
        <w:pStyle w:val="13"/>
        <w:snapToGrid w:val="0"/>
        <w:spacing w:line="360" w:lineRule="auto"/>
        <w:ind w:firstLine="480" w:firstLineChars="200"/>
        <w:jc w:val="left"/>
        <w:rPr>
          <w:color w:val="auto"/>
          <w:sz w:val="24"/>
          <w:highlight w:val="none"/>
        </w:rPr>
      </w:pPr>
      <w:r>
        <w:rPr>
          <w:rFonts w:hint="eastAsia"/>
          <w:color w:val="auto"/>
          <w:sz w:val="24"/>
          <w:highlight w:val="none"/>
        </w:rPr>
        <w:t>本授权书自出具之日起生效。</w:t>
      </w:r>
    </w:p>
    <w:p w14:paraId="67054A66">
      <w:pPr>
        <w:spacing w:line="360" w:lineRule="auto"/>
        <w:rPr>
          <w:rFonts w:ascii="宋体"/>
          <w:color w:val="auto"/>
          <w:sz w:val="24"/>
          <w:highlight w:val="none"/>
        </w:rPr>
      </w:pPr>
    </w:p>
    <w:p w14:paraId="152B11ED">
      <w:pPr>
        <w:spacing w:line="360" w:lineRule="auto"/>
        <w:ind w:firstLine="480" w:firstLineChars="200"/>
        <w:rPr>
          <w:rFonts w:ascii="宋体"/>
          <w:color w:val="auto"/>
          <w:sz w:val="24"/>
          <w:highlight w:val="none"/>
        </w:rPr>
      </w:pPr>
      <w:r>
        <w:rPr>
          <w:rFonts w:hint="eastAsia" w:ascii="宋体"/>
          <w:color w:val="auto"/>
          <w:sz w:val="24"/>
          <w:highlight w:val="none"/>
        </w:rPr>
        <w:t>投标人代表：</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ascii="宋体"/>
          <w:color w:val="auto"/>
          <w:sz w:val="24"/>
          <w:highlight w:val="none"/>
        </w:rPr>
        <w:t xml:space="preserve">  </w:t>
      </w:r>
      <w:r>
        <w:rPr>
          <w:rFonts w:hint="eastAsia" w:ascii="宋体"/>
          <w:color w:val="auto"/>
          <w:sz w:val="24"/>
          <w:highlight w:val="none"/>
        </w:rPr>
        <w:t>性别：</w:t>
      </w:r>
      <w:r>
        <w:rPr>
          <w:rFonts w:ascii="宋体"/>
          <w:color w:val="auto"/>
          <w:sz w:val="24"/>
          <w:highlight w:val="none"/>
          <w:u w:val="singl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    身份证号：</w:t>
      </w:r>
      <w:r>
        <w:rPr>
          <w:rFonts w:ascii="宋体"/>
          <w:color w:val="auto"/>
          <w:sz w:val="24"/>
          <w:highlight w:val="none"/>
          <w:u w:val="single"/>
        </w:rPr>
        <w:t xml:space="preserve">   </w:t>
      </w:r>
      <w:r>
        <w:rPr>
          <w:rFonts w:hint="eastAsia" w:ascii="宋体"/>
          <w:color w:val="auto"/>
          <w:sz w:val="24"/>
          <w:highlight w:val="none"/>
          <w:u w:val="single"/>
        </w:rPr>
        <w:t xml:space="preserve">               </w:t>
      </w:r>
    </w:p>
    <w:p w14:paraId="5D1C9E0B">
      <w:pPr>
        <w:spacing w:line="360" w:lineRule="auto"/>
        <w:ind w:firstLine="480" w:firstLineChars="200"/>
        <w:rPr>
          <w:rFonts w:ascii="宋体"/>
          <w:color w:val="auto"/>
          <w:sz w:val="24"/>
          <w:highlight w:val="none"/>
        </w:rPr>
      </w:pPr>
      <w:r>
        <w:rPr>
          <w:rFonts w:hint="eastAsia" w:ascii="宋体"/>
          <w:color w:val="auto"/>
          <w:sz w:val="24"/>
          <w:highlight w:val="none"/>
        </w:rPr>
        <w:t>单  位：</w:t>
      </w:r>
      <w:r>
        <w:rPr>
          <w:rFonts w:ascii="宋体"/>
          <w:color w:val="auto"/>
          <w:sz w:val="24"/>
          <w:highlight w:val="none"/>
          <w:u w:val="single"/>
        </w:rPr>
        <w:t xml:space="preserve">                </w:t>
      </w:r>
      <w:r>
        <w:rPr>
          <w:rFonts w:ascii="宋体"/>
          <w:color w:val="auto"/>
          <w:sz w:val="24"/>
          <w:highlight w:val="none"/>
        </w:rPr>
        <w:t xml:space="preserve">  </w:t>
      </w:r>
      <w:r>
        <w:rPr>
          <w:rFonts w:hint="eastAsia" w:ascii="宋体"/>
          <w:color w:val="auto"/>
          <w:sz w:val="24"/>
          <w:highlight w:val="none"/>
        </w:rPr>
        <w:t>部门：</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ascii="宋体"/>
          <w:color w:val="auto"/>
          <w:sz w:val="24"/>
          <w:highlight w:val="none"/>
        </w:rPr>
        <w:t xml:space="preserve">  </w:t>
      </w:r>
      <w:r>
        <w:rPr>
          <w:rFonts w:hint="eastAsia" w:ascii="宋体"/>
          <w:color w:val="auto"/>
          <w:sz w:val="24"/>
          <w:highlight w:val="none"/>
        </w:rPr>
        <w:t xml:space="preserve">  职务：</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p>
    <w:p w14:paraId="7A1C85C2">
      <w:pPr>
        <w:spacing w:line="360" w:lineRule="auto"/>
        <w:ind w:firstLine="480" w:firstLineChars="200"/>
        <w:rPr>
          <w:rFonts w:ascii="宋体"/>
          <w:color w:val="auto"/>
          <w:sz w:val="24"/>
          <w:highlight w:val="none"/>
        </w:rPr>
      </w:pPr>
      <w:r>
        <w:rPr>
          <w:rFonts w:hint="eastAsia" w:ascii="宋体"/>
          <w:color w:val="auto"/>
          <w:sz w:val="24"/>
          <w:highlight w:val="none"/>
        </w:rPr>
        <w:t>详细通讯地址：</w:t>
      </w:r>
      <w:r>
        <w:rPr>
          <w:rFonts w:hint="eastAsia" w:ascii="宋体"/>
          <w:color w:val="auto"/>
          <w:sz w:val="24"/>
          <w:highlight w:val="none"/>
          <w:u w:val="single"/>
        </w:rPr>
        <w:t xml:space="preserve">          </w:t>
      </w:r>
      <w:r>
        <w:rPr>
          <w:rFonts w:hint="eastAsia" w:ascii="宋体"/>
          <w:color w:val="auto"/>
          <w:sz w:val="24"/>
          <w:highlight w:val="none"/>
        </w:rPr>
        <w:t xml:space="preserve"> </w:t>
      </w:r>
      <w:r>
        <w:rPr>
          <w:rFonts w:hint="eastAsia" w:ascii="宋体"/>
          <w:b/>
          <w:bCs/>
          <w:color w:val="auto"/>
          <w:sz w:val="24"/>
          <w:highlight w:val="none"/>
        </w:rPr>
        <w:t xml:space="preserve"> </w:t>
      </w:r>
      <w:r>
        <w:rPr>
          <w:rFonts w:hint="eastAsia" w:ascii="宋体"/>
          <w:color w:val="auto"/>
          <w:sz w:val="24"/>
          <w:highlight w:val="none"/>
        </w:rPr>
        <w:t>邮政编码</w:t>
      </w:r>
      <w:r>
        <w:rPr>
          <w:rFonts w:ascii="宋体"/>
          <w:color w:val="auto"/>
          <w:sz w:val="24"/>
          <w:highlight w:val="none"/>
        </w:rPr>
        <w:t>:</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  电话：</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p>
    <w:p w14:paraId="42C96585">
      <w:pPr>
        <w:spacing w:line="360" w:lineRule="auto"/>
        <w:rPr>
          <w:rFonts w:ascii="宋体"/>
          <w:color w:val="auto"/>
          <w:sz w:val="24"/>
          <w:highlight w:val="none"/>
        </w:rPr>
      </w:pPr>
    </w:p>
    <w:p w14:paraId="705BDA4E">
      <w:pPr>
        <w:spacing w:line="360" w:lineRule="auto"/>
        <w:rPr>
          <w:rFonts w:ascii="宋体"/>
          <w:color w:val="auto"/>
          <w:sz w:val="24"/>
          <w:highlight w:val="none"/>
        </w:rPr>
      </w:pPr>
      <w:r>
        <w:rPr>
          <w:rFonts w:hint="eastAsia" w:ascii="宋体"/>
          <w:color w:val="auto"/>
          <w:sz w:val="24"/>
          <w:highlight w:val="none"/>
        </w:rPr>
        <w:t>附：被授权人身份证(正反面</w:t>
      </w:r>
      <w:r>
        <w:rPr>
          <w:rFonts w:ascii="宋体"/>
          <w:color w:val="auto"/>
          <w:sz w:val="24"/>
          <w:highlight w:val="none"/>
        </w:rPr>
        <w:t>)</w:t>
      </w:r>
      <w:r>
        <w:rPr>
          <w:rFonts w:hint="eastAsia" w:ascii="宋体"/>
          <w:color w:val="auto"/>
          <w:sz w:val="24"/>
          <w:highlight w:val="none"/>
        </w:rPr>
        <w:t>有效复印件</w:t>
      </w:r>
    </w:p>
    <w:p w14:paraId="79F55788">
      <w:pPr>
        <w:spacing w:line="360" w:lineRule="auto"/>
        <w:rPr>
          <w:rFonts w:ascii="宋体"/>
          <w:color w:val="auto"/>
          <w:sz w:val="24"/>
          <w:highlight w:val="none"/>
        </w:rPr>
      </w:pPr>
    </w:p>
    <w:p w14:paraId="1D9F11DB">
      <w:pPr>
        <w:spacing w:line="360" w:lineRule="auto"/>
        <w:ind w:firstLine="4080" w:firstLineChars="1700"/>
        <w:jc w:val="left"/>
        <w:rPr>
          <w:rFonts w:ascii="宋体"/>
          <w:color w:val="auto"/>
          <w:sz w:val="24"/>
          <w:highlight w:val="none"/>
        </w:rPr>
      </w:pPr>
      <w:r>
        <w:rPr>
          <w:rFonts w:hint="eastAsia" w:ascii="宋体"/>
          <w:color w:val="auto"/>
          <w:sz w:val="24"/>
          <w:highlight w:val="none"/>
        </w:rPr>
        <w:t>授权方</w:t>
      </w:r>
    </w:p>
    <w:p w14:paraId="0AF23A7B">
      <w:pPr>
        <w:spacing w:line="360" w:lineRule="auto"/>
        <w:ind w:firstLine="4320" w:firstLineChars="1800"/>
        <w:rPr>
          <w:rFonts w:ascii="宋体"/>
          <w:color w:val="auto"/>
          <w:sz w:val="24"/>
          <w:highlight w:val="none"/>
        </w:rPr>
      </w:pPr>
      <w:r>
        <w:rPr>
          <w:rFonts w:hint="eastAsia" w:ascii="宋体"/>
          <w:color w:val="auto"/>
          <w:sz w:val="24"/>
          <w:highlight w:val="none"/>
        </w:rPr>
        <w:t>投标人全称（加盖公章）：</w:t>
      </w:r>
      <w:r>
        <w:rPr>
          <w:rFonts w:hint="eastAsia" w:ascii="宋体"/>
          <w:color w:val="auto"/>
          <w:sz w:val="24"/>
          <w:highlight w:val="none"/>
          <w:u w:val="single"/>
        </w:rPr>
        <w:t xml:space="preserve">              </w:t>
      </w:r>
    </w:p>
    <w:p w14:paraId="2A32F360">
      <w:pPr>
        <w:spacing w:line="360" w:lineRule="auto"/>
        <w:ind w:firstLine="4320" w:firstLineChars="1800"/>
        <w:rPr>
          <w:rFonts w:ascii="宋体"/>
          <w:color w:val="auto"/>
          <w:sz w:val="24"/>
          <w:highlight w:val="none"/>
        </w:rPr>
      </w:pPr>
      <w:r>
        <w:rPr>
          <w:rFonts w:hint="eastAsia" w:ascii="宋体"/>
          <w:color w:val="auto"/>
          <w:sz w:val="24"/>
          <w:highlight w:val="none"/>
        </w:rPr>
        <w:t>单位负责人签字：</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p>
    <w:p w14:paraId="578EEB86">
      <w:pPr>
        <w:spacing w:line="360" w:lineRule="auto"/>
        <w:ind w:firstLine="4320" w:firstLineChars="1800"/>
        <w:rPr>
          <w:rFonts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5F5A892">
      <w:pPr>
        <w:spacing w:line="360" w:lineRule="auto"/>
        <w:ind w:firstLine="4080" w:firstLineChars="1700"/>
        <w:rPr>
          <w:rFonts w:ascii="宋体"/>
          <w:color w:val="auto"/>
          <w:sz w:val="24"/>
          <w:highlight w:val="none"/>
        </w:rPr>
      </w:pPr>
    </w:p>
    <w:p w14:paraId="120C4011">
      <w:pPr>
        <w:spacing w:line="360" w:lineRule="auto"/>
        <w:ind w:firstLine="4080" w:firstLineChars="1700"/>
        <w:rPr>
          <w:rFonts w:ascii="宋体"/>
          <w:color w:val="auto"/>
          <w:sz w:val="24"/>
          <w:highlight w:val="none"/>
        </w:rPr>
      </w:pPr>
    </w:p>
    <w:p w14:paraId="5884FAAB">
      <w:pPr>
        <w:spacing w:line="360" w:lineRule="auto"/>
        <w:ind w:firstLine="4080" w:firstLineChars="1700"/>
        <w:rPr>
          <w:rFonts w:ascii="宋体"/>
          <w:color w:val="auto"/>
          <w:sz w:val="24"/>
          <w:highlight w:val="none"/>
        </w:rPr>
      </w:pPr>
    </w:p>
    <w:p w14:paraId="7F97CB4A">
      <w:pPr>
        <w:spacing w:line="360" w:lineRule="auto"/>
        <w:ind w:firstLine="4080" w:firstLineChars="1700"/>
        <w:rPr>
          <w:rFonts w:ascii="宋体"/>
          <w:color w:val="auto"/>
          <w:sz w:val="24"/>
          <w:highlight w:val="none"/>
        </w:rPr>
      </w:pPr>
      <w:r>
        <w:rPr>
          <w:rFonts w:hint="eastAsia" w:ascii="宋体"/>
          <w:color w:val="auto"/>
          <w:sz w:val="24"/>
          <w:highlight w:val="none"/>
        </w:rPr>
        <w:t>接受授权方</w:t>
      </w:r>
    </w:p>
    <w:p w14:paraId="25629AFF">
      <w:pPr>
        <w:spacing w:line="360" w:lineRule="auto"/>
        <w:ind w:firstLine="4320" w:firstLineChars="1800"/>
        <w:rPr>
          <w:rFonts w:ascii="宋体"/>
          <w:color w:val="auto"/>
          <w:sz w:val="24"/>
          <w:highlight w:val="none"/>
        </w:rPr>
      </w:pPr>
      <w:r>
        <w:rPr>
          <w:rFonts w:hint="eastAsia" w:ascii="宋体"/>
          <w:color w:val="auto"/>
          <w:sz w:val="24"/>
          <w:highlight w:val="none"/>
        </w:rPr>
        <w:t>投标人代表签字：</w:t>
      </w:r>
      <w:r>
        <w:rPr>
          <w:rFonts w:hint="eastAsia" w:ascii="宋体"/>
          <w:color w:val="auto"/>
          <w:sz w:val="24"/>
          <w:highlight w:val="none"/>
          <w:u w:val="single"/>
        </w:rPr>
        <w:t xml:space="preserve">                      </w:t>
      </w:r>
    </w:p>
    <w:p w14:paraId="3787210E">
      <w:pPr>
        <w:ind w:firstLine="4320" w:firstLineChars="1800"/>
        <w:rPr>
          <w:rFonts w:ascii="宋体"/>
          <w:color w:val="auto"/>
          <w:sz w:val="24"/>
          <w:szCs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3A4D6B1F">
      <w:pPr>
        <w:jc w:val="center"/>
        <w:rPr>
          <w:rFonts w:ascii="宋体"/>
          <w:b/>
          <w:color w:val="auto"/>
          <w:sz w:val="24"/>
          <w:szCs w:val="24"/>
          <w:highlight w:val="none"/>
        </w:rPr>
      </w:pPr>
    </w:p>
    <w:p w14:paraId="06EB92A0">
      <w:pPr>
        <w:jc w:val="center"/>
        <w:rPr>
          <w:rFonts w:ascii="宋体"/>
          <w:b/>
          <w:color w:val="auto"/>
          <w:sz w:val="24"/>
          <w:szCs w:val="24"/>
          <w:highlight w:val="none"/>
        </w:rPr>
      </w:pPr>
    </w:p>
    <w:p w14:paraId="206DC299">
      <w:pPr>
        <w:jc w:val="center"/>
        <w:rPr>
          <w:b/>
          <w:color w:val="auto"/>
          <w:sz w:val="24"/>
          <w:szCs w:val="24"/>
          <w:highlight w:val="none"/>
        </w:rPr>
      </w:pPr>
      <w:r>
        <w:rPr>
          <w:b/>
          <w:color w:val="auto"/>
          <w:sz w:val="24"/>
          <w:szCs w:val="24"/>
          <w:highlight w:val="none"/>
        </w:rPr>
        <w:br w:type="page"/>
      </w:r>
      <w:r>
        <w:rPr>
          <w:rFonts w:hint="eastAsia"/>
          <w:b/>
          <w:color w:val="auto"/>
          <w:sz w:val="24"/>
          <w:szCs w:val="24"/>
          <w:highlight w:val="none"/>
        </w:rPr>
        <w:t>3、法人或者其他组织的营业执照等证明文件，自然人的身份证明</w:t>
      </w:r>
    </w:p>
    <w:p w14:paraId="30140D9E">
      <w:pPr>
        <w:spacing w:line="360" w:lineRule="auto"/>
        <w:rPr>
          <w:rFonts w:ascii="宋体"/>
          <w:color w:val="auto"/>
          <w:sz w:val="24"/>
          <w:szCs w:val="24"/>
          <w:highlight w:val="none"/>
        </w:rPr>
      </w:pPr>
    </w:p>
    <w:p w14:paraId="78AAEFB0">
      <w:pPr>
        <w:spacing w:line="360" w:lineRule="auto"/>
        <w:rPr>
          <w:rFonts w:ascii="宋体"/>
          <w:color w:val="auto"/>
          <w:sz w:val="24"/>
          <w:szCs w:val="24"/>
          <w:highlight w:val="none"/>
          <w:u w:val="single"/>
        </w:rPr>
      </w:pPr>
      <w:r>
        <w:rPr>
          <w:rFonts w:hint="eastAsia" w:ascii="宋体"/>
          <w:color w:val="auto"/>
          <w:sz w:val="24"/>
          <w:szCs w:val="24"/>
          <w:highlight w:val="none"/>
        </w:rPr>
        <w:t>致：</w:t>
      </w:r>
      <w:r>
        <w:rPr>
          <w:rFonts w:hint="eastAsia" w:ascii="宋体"/>
          <w:color w:val="auto"/>
          <w:sz w:val="24"/>
          <w:szCs w:val="24"/>
          <w:highlight w:val="none"/>
          <w:u w:val="single"/>
        </w:rPr>
        <w:t xml:space="preserve">                     </w:t>
      </w:r>
    </w:p>
    <w:p w14:paraId="4A5A8531">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现附上由</w:t>
      </w:r>
      <w:r>
        <w:rPr>
          <w:rFonts w:hint="eastAsia" w:ascii="宋体"/>
          <w:color w:val="auto"/>
          <w:sz w:val="24"/>
          <w:szCs w:val="24"/>
          <w:highlight w:val="none"/>
          <w:u w:val="single"/>
        </w:rPr>
        <w:t>（填写“签发机关全称”）</w:t>
      </w:r>
      <w:r>
        <w:rPr>
          <w:rFonts w:hint="eastAsia" w:ascii="宋体"/>
          <w:color w:val="auto"/>
          <w:sz w:val="24"/>
          <w:szCs w:val="24"/>
          <w:highlight w:val="none"/>
        </w:rPr>
        <w:t>签发的我方</w:t>
      </w:r>
      <w:r>
        <w:rPr>
          <w:rFonts w:hint="eastAsia" w:ascii="宋体"/>
          <w:color w:val="auto"/>
          <w:sz w:val="24"/>
          <w:szCs w:val="24"/>
          <w:highlight w:val="none"/>
          <w:u w:val="single"/>
        </w:rPr>
        <w:t>（请根据实际提交的“营业执照/事业法人单位证书/社团证</w:t>
      </w:r>
      <w:r>
        <w:rPr>
          <w:rFonts w:ascii="宋体"/>
          <w:color w:val="auto"/>
          <w:sz w:val="24"/>
          <w:szCs w:val="24"/>
          <w:highlight w:val="none"/>
          <w:u w:val="single"/>
        </w:rPr>
        <w:t>…</w:t>
      </w:r>
      <w:r>
        <w:rPr>
          <w:rFonts w:hint="eastAsia" w:ascii="宋体"/>
          <w:color w:val="auto"/>
          <w:sz w:val="24"/>
          <w:szCs w:val="24"/>
          <w:highlight w:val="none"/>
          <w:u w:val="single"/>
        </w:rPr>
        <w:t>”填写）</w:t>
      </w:r>
      <w:r>
        <w:rPr>
          <w:rFonts w:hint="eastAsia" w:ascii="宋体"/>
          <w:color w:val="auto"/>
          <w:sz w:val="24"/>
          <w:szCs w:val="24"/>
          <w:highlight w:val="none"/>
        </w:rPr>
        <w:t>副本复印件，该证照真实有效，否则我方负全部责任。</w:t>
      </w:r>
    </w:p>
    <w:p w14:paraId="7CA43B96">
      <w:pPr>
        <w:spacing w:line="360" w:lineRule="auto"/>
        <w:rPr>
          <w:rFonts w:ascii="宋体"/>
          <w:color w:val="auto"/>
          <w:sz w:val="24"/>
          <w:szCs w:val="24"/>
          <w:highlight w:val="none"/>
        </w:rPr>
      </w:pPr>
    </w:p>
    <w:p w14:paraId="2F98713B">
      <w:pPr>
        <w:spacing w:line="360" w:lineRule="auto"/>
        <w:rPr>
          <w:rFonts w:ascii="宋体"/>
          <w:color w:val="auto"/>
          <w:sz w:val="24"/>
          <w:szCs w:val="24"/>
          <w:highlight w:val="none"/>
        </w:rPr>
      </w:pPr>
    </w:p>
    <w:p w14:paraId="2306A8D1">
      <w:pPr>
        <w:spacing w:line="360" w:lineRule="auto"/>
        <w:rPr>
          <w:rFonts w:ascii="宋体"/>
          <w:color w:val="auto"/>
          <w:sz w:val="24"/>
          <w:szCs w:val="24"/>
          <w:highlight w:val="none"/>
        </w:rPr>
      </w:pPr>
      <w:r>
        <w:rPr>
          <w:rFonts w:hint="eastAsia" w:ascii="宋体"/>
          <w:color w:val="auto"/>
          <w:sz w:val="24"/>
          <w:szCs w:val="24"/>
          <w:highlight w:val="none"/>
        </w:rPr>
        <w:t>注意：</w:t>
      </w:r>
    </w:p>
    <w:p w14:paraId="5BEC26B2">
      <w:pPr>
        <w:spacing w:line="360" w:lineRule="auto"/>
        <w:rPr>
          <w:rFonts w:ascii="宋体"/>
          <w:color w:val="auto"/>
          <w:sz w:val="24"/>
          <w:szCs w:val="24"/>
          <w:highlight w:val="none"/>
        </w:rPr>
      </w:pPr>
      <w:r>
        <w:rPr>
          <w:rFonts w:hint="eastAsia" w:ascii="宋体"/>
          <w:color w:val="auto"/>
          <w:sz w:val="24"/>
          <w:szCs w:val="24"/>
          <w:highlight w:val="none"/>
        </w:rPr>
        <w:t>1、投标人提供的相应证照复印件均应符合：内容完整、清晰、整洁，并由投标人加盖投标人的单位公章。</w:t>
      </w:r>
    </w:p>
    <w:p w14:paraId="08EAB254">
      <w:pPr>
        <w:spacing w:line="360" w:lineRule="auto"/>
        <w:rPr>
          <w:rFonts w:ascii="宋体"/>
          <w:color w:val="auto"/>
          <w:sz w:val="24"/>
          <w:szCs w:val="24"/>
          <w:highlight w:val="none"/>
        </w:rPr>
      </w:pPr>
    </w:p>
    <w:p w14:paraId="065861AC">
      <w:pPr>
        <w:spacing w:line="360" w:lineRule="auto"/>
        <w:rPr>
          <w:rFonts w:ascii="宋体"/>
          <w:color w:val="auto"/>
          <w:sz w:val="24"/>
          <w:szCs w:val="24"/>
          <w:highlight w:val="none"/>
        </w:rPr>
      </w:pPr>
    </w:p>
    <w:p w14:paraId="1F58664B">
      <w:pPr>
        <w:spacing w:line="360" w:lineRule="auto"/>
        <w:ind w:firstLine="4960" w:firstLineChars="2067"/>
        <w:rPr>
          <w:rFonts w:ascii="宋体"/>
          <w:color w:val="auto"/>
          <w:sz w:val="24"/>
          <w:szCs w:val="24"/>
          <w:highlight w:val="none"/>
          <w:u w:val="single"/>
        </w:rPr>
      </w:pP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602A7304">
      <w:pPr>
        <w:spacing w:line="360" w:lineRule="auto"/>
        <w:ind w:firstLine="4960" w:firstLineChars="2067"/>
        <w:rPr>
          <w:rFonts w:ascii="宋体"/>
          <w:color w:val="auto"/>
          <w:sz w:val="24"/>
          <w:szCs w:val="24"/>
          <w:highlight w:val="non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p>
    <w:p w14:paraId="72B9BB31">
      <w:pPr>
        <w:spacing w:line="360" w:lineRule="auto"/>
        <w:ind w:firstLine="4960" w:firstLineChars="2067"/>
        <w:rPr>
          <w:rFonts w:ascii="宋体"/>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41BACB5C">
      <w:pPr>
        <w:jc w:val="center"/>
        <w:rPr>
          <w:b/>
          <w:color w:val="auto"/>
          <w:sz w:val="24"/>
          <w:szCs w:val="24"/>
          <w:highlight w:val="none"/>
        </w:rPr>
      </w:pPr>
      <w:r>
        <w:rPr>
          <w:rFonts w:ascii="宋体"/>
          <w:b/>
          <w:color w:val="auto"/>
          <w:sz w:val="24"/>
          <w:szCs w:val="24"/>
          <w:highlight w:val="none"/>
        </w:rPr>
        <w:br w:type="page"/>
      </w:r>
      <w:r>
        <w:rPr>
          <w:rFonts w:hint="eastAsia"/>
          <w:b/>
          <w:color w:val="auto"/>
          <w:sz w:val="24"/>
          <w:szCs w:val="24"/>
          <w:highlight w:val="none"/>
        </w:rPr>
        <w:t>4、</w:t>
      </w:r>
      <w:r>
        <w:rPr>
          <w:b/>
          <w:color w:val="auto"/>
          <w:sz w:val="24"/>
          <w:szCs w:val="24"/>
          <w:highlight w:val="none"/>
        </w:rPr>
        <w:t>财务状况报告</w:t>
      </w:r>
    </w:p>
    <w:p w14:paraId="74D32C93">
      <w:pPr>
        <w:spacing w:line="360" w:lineRule="auto"/>
        <w:rPr>
          <w:rFonts w:ascii="宋体"/>
          <w:color w:val="auto"/>
          <w:sz w:val="24"/>
          <w:szCs w:val="24"/>
          <w:highlight w:val="none"/>
          <w:u w:val="single"/>
        </w:rPr>
      </w:pPr>
      <w:r>
        <w:rPr>
          <w:rFonts w:hint="eastAsia" w:ascii="宋体"/>
          <w:color w:val="auto"/>
          <w:sz w:val="24"/>
          <w:szCs w:val="24"/>
          <w:highlight w:val="none"/>
        </w:rPr>
        <w:t>致：</w:t>
      </w:r>
      <w:r>
        <w:rPr>
          <w:rFonts w:hint="eastAsia" w:ascii="宋体"/>
          <w:color w:val="auto"/>
          <w:sz w:val="24"/>
          <w:szCs w:val="24"/>
          <w:highlight w:val="none"/>
          <w:u w:val="single"/>
        </w:rPr>
        <w:t xml:space="preserve">                     </w:t>
      </w:r>
    </w:p>
    <w:p w14:paraId="419C33C3">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 ）现附上</w:t>
      </w:r>
      <w:r>
        <w:rPr>
          <w:rFonts w:hint="eastAsia" w:ascii="宋体"/>
          <w:color w:val="auto"/>
          <w:sz w:val="24"/>
          <w:szCs w:val="24"/>
          <w:highlight w:val="none"/>
          <w:u w:val="single"/>
        </w:rPr>
        <w:t>（填写“具体日期”）</w:t>
      </w:r>
      <w:r>
        <w:rPr>
          <w:rFonts w:hint="eastAsia" w:ascii="宋体"/>
          <w:color w:val="auto"/>
          <w:sz w:val="24"/>
          <w:szCs w:val="24"/>
          <w:highlight w:val="none"/>
        </w:rPr>
        <w:t>我方财务报告复印件，包括资产负债表、利润表、现金流量表、所有者权益变动表，上述资料真实有效，否则我方负全部责任。</w:t>
      </w:r>
    </w:p>
    <w:p w14:paraId="5EC44771">
      <w:pPr>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rPr>
        <w:t>（ ）我方基本开户银行：</w:t>
      </w:r>
      <w:r>
        <w:rPr>
          <w:rFonts w:hint="eastAsia" w:ascii="宋体"/>
          <w:color w:val="auto"/>
          <w:sz w:val="24"/>
          <w:szCs w:val="24"/>
          <w:highlight w:val="none"/>
          <w:u w:val="single"/>
        </w:rPr>
        <w:t>（填写“开户银行全称”）</w:t>
      </w:r>
    </w:p>
    <w:p w14:paraId="5AF6A33A">
      <w:pPr>
        <w:spacing w:line="360" w:lineRule="auto"/>
        <w:ind w:firstLine="720" w:firstLineChars="300"/>
        <w:rPr>
          <w:rFonts w:ascii="宋体"/>
          <w:color w:val="auto"/>
          <w:sz w:val="24"/>
          <w:szCs w:val="24"/>
          <w:highlight w:val="none"/>
        </w:rPr>
      </w:pPr>
      <w:r>
        <w:rPr>
          <w:rFonts w:hint="eastAsia" w:ascii="宋体"/>
          <w:color w:val="auto"/>
          <w:sz w:val="24"/>
          <w:szCs w:val="24"/>
          <w:highlight w:val="none"/>
        </w:rPr>
        <w:t>现附上由我方基本开户银行出具的资信证明复印件，上述资料真实有效，否则我方负全部责任。</w:t>
      </w:r>
    </w:p>
    <w:p w14:paraId="211A6DEE">
      <w:pPr>
        <w:spacing w:line="360" w:lineRule="auto"/>
        <w:rPr>
          <w:rFonts w:ascii="宋体"/>
          <w:color w:val="auto"/>
          <w:sz w:val="24"/>
          <w:szCs w:val="24"/>
          <w:highlight w:val="none"/>
        </w:rPr>
      </w:pPr>
    </w:p>
    <w:p w14:paraId="2E7F379F">
      <w:pPr>
        <w:spacing w:line="360" w:lineRule="auto"/>
        <w:rPr>
          <w:rFonts w:ascii="宋体"/>
          <w:color w:val="auto"/>
          <w:sz w:val="24"/>
          <w:szCs w:val="24"/>
          <w:highlight w:val="none"/>
        </w:rPr>
      </w:pPr>
      <w:r>
        <w:rPr>
          <w:rFonts w:hint="eastAsia" w:ascii="宋体"/>
          <w:color w:val="auto"/>
          <w:sz w:val="24"/>
          <w:szCs w:val="24"/>
          <w:highlight w:val="none"/>
        </w:rPr>
        <w:t>注意：</w:t>
      </w:r>
    </w:p>
    <w:p w14:paraId="796B9E96">
      <w:pPr>
        <w:spacing w:line="360" w:lineRule="auto"/>
        <w:rPr>
          <w:rFonts w:ascii="宋体"/>
          <w:color w:val="auto"/>
          <w:sz w:val="24"/>
          <w:szCs w:val="24"/>
          <w:highlight w:val="none"/>
        </w:rPr>
      </w:pPr>
      <w:r>
        <w:rPr>
          <w:rFonts w:hint="eastAsia" w:ascii="宋体"/>
          <w:color w:val="auto"/>
          <w:sz w:val="24"/>
          <w:szCs w:val="24"/>
          <w:highlight w:val="none"/>
        </w:rPr>
        <w:t>1、请投标人根据实际情况填写，在相应的（ ）中打“√”，并按照本格式的要求提供相应资料的复印件。</w:t>
      </w:r>
    </w:p>
    <w:p w14:paraId="3D3BD0D1">
      <w:pPr>
        <w:spacing w:line="360" w:lineRule="auto"/>
        <w:rPr>
          <w:rFonts w:ascii="宋体"/>
          <w:color w:val="auto"/>
          <w:sz w:val="24"/>
          <w:szCs w:val="24"/>
          <w:highlight w:val="none"/>
        </w:rPr>
      </w:pPr>
      <w:r>
        <w:rPr>
          <w:rFonts w:hint="eastAsia" w:ascii="宋体"/>
          <w:color w:val="auto"/>
          <w:sz w:val="24"/>
          <w:szCs w:val="24"/>
          <w:highlight w:val="none"/>
        </w:rPr>
        <w:t>2、投标人提供的相应资料复印件均应符合：内容完整、清晰、整洁，并由投标人加盖投标人的单位公章。</w:t>
      </w:r>
    </w:p>
    <w:p w14:paraId="29BDB37B">
      <w:pPr>
        <w:spacing w:line="360" w:lineRule="auto"/>
        <w:rPr>
          <w:rFonts w:ascii="宋体"/>
          <w:color w:val="auto"/>
          <w:sz w:val="24"/>
          <w:szCs w:val="24"/>
          <w:highlight w:val="none"/>
        </w:rPr>
      </w:pPr>
    </w:p>
    <w:p w14:paraId="10473CAD">
      <w:pPr>
        <w:spacing w:line="360" w:lineRule="auto"/>
        <w:rPr>
          <w:rFonts w:ascii="宋体"/>
          <w:color w:val="auto"/>
          <w:sz w:val="24"/>
          <w:szCs w:val="24"/>
          <w:highlight w:val="none"/>
        </w:rPr>
      </w:pPr>
    </w:p>
    <w:p w14:paraId="0F307F59">
      <w:pPr>
        <w:spacing w:line="360" w:lineRule="auto"/>
        <w:ind w:firstLine="5668" w:firstLineChars="2362"/>
        <w:rPr>
          <w:rFonts w:ascii="宋体"/>
          <w:color w:val="auto"/>
          <w:sz w:val="24"/>
          <w:szCs w:val="24"/>
          <w:highlight w:val="none"/>
          <w:u w:val="single"/>
        </w:rPr>
      </w:pP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0A145D85">
      <w:pPr>
        <w:spacing w:line="360" w:lineRule="auto"/>
        <w:ind w:firstLine="5668" w:firstLineChars="2362"/>
        <w:rPr>
          <w:rFonts w:ascii="宋体"/>
          <w:color w:val="auto"/>
          <w:sz w:val="24"/>
          <w:szCs w:val="24"/>
          <w:highlight w:val="non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p>
    <w:p w14:paraId="25168639">
      <w:pPr>
        <w:spacing w:line="360" w:lineRule="auto"/>
        <w:ind w:firstLine="5668" w:firstLineChars="2362"/>
        <w:rPr>
          <w:rFonts w:ascii="宋体"/>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4F16004C">
      <w:pPr>
        <w:jc w:val="center"/>
        <w:rPr>
          <w:b/>
          <w:color w:val="auto"/>
          <w:sz w:val="24"/>
          <w:szCs w:val="24"/>
          <w:highlight w:val="none"/>
        </w:rPr>
      </w:pPr>
      <w:r>
        <w:rPr>
          <w:b/>
          <w:color w:val="auto"/>
          <w:highlight w:val="none"/>
        </w:rPr>
        <w:br w:type="page"/>
      </w:r>
      <w:r>
        <w:rPr>
          <w:rFonts w:hint="eastAsia"/>
          <w:b/>
          <w:color w:val="auto"/>
          <w:sz w:val="24"/>
          <w:szCs w:val="24"/>
          <w:highlight w:val="none"/>
        </w:rPr>
        <w:t>5、</w:t>
      </w:r>
      <w:r>
        <w:rPr>
          <w:b/>
          <w:color w:val="auto"/>
          <w:sz w:val="24"/>
          <w:szCs w:val="24"/>
          <w:highlight w:val="none"/>
        </w:rPr>
        <w:t>依法缴纳税收证明材料</w:t>
      </w:r>
    </w:p>
    <w:p w14:paraId="047A764A">
      <w:pPr>
        <w:rPr>
          <w:rFonts w:ascii="宋体"/>
          <w:color w:val="auto"/>
          <w:sz w:val="24"/>
          <w:szCs w:val="24"/>
          <w:highlight w:val="none"/>
        </w:rPr>
      </w:pPr>
    </w:p>
    <w:p w14:paraId="6F4B6EFB">
      <w:pPr>
        <w:spacing w:line="360" w:lineRule="auto"/>
        <w:rPr>
          <w:rFonts w:ascii="宋体"/>
          <w:color w:val="auto"/>
          <w:sz w:val="24"/>
          <w:szCs w:val="24"/>
          <w:highlight w:val="none"/>
          <w:u w:val="single"/>
        </w:rPr>
      </w:pPr>
      <w:r>
        <w:rPr>
          <w:rFonts w:hint="eastAsia" w:ascii="宋体"/>
          <w:color w:val="auto"/>
          <w:sz w:val="24"/>
          <w:szCs w:val="24"/>
          <w:highlight w:val="none"/>
        </w:rPr>
        <w:t>致：</w:t>
      </w:r>
      <w:r>
        <w:rPr>
          <w:rFonts w:hint="eastAsia" w:ascii="宋体"/>
          <w:color w:val="auto"/>
          <w:sz w:val="24"/>
          <w:szCs w:val="24"/>
          <w:highlight w:val="none"/>
          <w:u w:val="single"/>
        </w:rPr>
        <w:t xml:space="preserve">                     </w:t>
      </w:r>
    </w:p>
    <w:p w14:paraId="6E910F55">
      <w:pPr>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rPr>
        <w:t>1、依法缴纳税收的投标人</w:t>
      </w:r>
    </w:p>
    <w:p w14:paraId="5C9FDCE6">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 ）法人（包括企业、机关、事业单位和社会团体）的</w:t>
      </w:r>
    </w:p>
    <w:p w14:paraId="0C0AD786">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现附上自</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日至</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日期间我方缴纳的</w:t>
      </w:r>
      <w:r>
        <w:rPr>
          <w:rFonts w:hint="eastAsia" w:ascii="宋体"/>
          <w:color w:val="auto"/>
          <w:sz w:val="24"/>
          <w:szCs w:val="24"/>
          <w:highlight w:val="none"/>
          <w:u w:val="single"/>
        </w:rPr>
        <w:t>（按照投标人实际缴纳的税种名称填写，如：增值税、所得税等）</w:t>
      </w:r>
      <w:r>
        <w:rPr>
          <w:rFonts w:hint="eastAsia" w:ascii="宋体"/>
          <w:color w:val="auto"/>
          <w:sz w:val="24"/>
          <w:szCs w:val="24"/>
          <w:highlight w:val="none"/>
        </w:rPr>
        <w:t>税收凭据复印件，上述资料真实有效，否则我方负全部责任。</w:t>
      </w:r>
    </w:p>
    <w:p w14:paraId="6A6A45EA">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 ）非法人（包括其他组织、自然人）的</w:t>
      </w:r>
    </w:p>
    <w:p w14:paraId="4A27E291">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现附上自</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日至</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日期间我方缴纳的</w:t>
      </w:r>
      <w:r>
        <w:rPr>
          <w:rFonts w:hint="eastAsia" w:ascii="宋体"/>
          <w:color w:val="auto"/>
          <w:sz w:val="24"/>
          <w:szCs w:val="24"/>
          <w:highlight w:val="none"/>
          <w:u w:val="single"/>
        </w:rPr>
        <w:t>（按照投标人实际缴纳的税种名称填写）</w:t>
      </w:r>
      <w:r>
        <w:rPr>
          <w:rFonts w:hint="eastAsia" w:ascii="宋体"/>
          <w:color w:val="auto"/>
          <w:sz w:val="24"/>
          <w:szCs w:val="24"/>
          <w:highlight w:val="none"/>
        </w:rPr>
        <w:t>税收凭据复印件，上述资料真实有效，否则我方负全部责任。</w:t>
      </w:r>
    </w:p>
    <w:p w14:paraId="57AC5C63">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2、依法免税的投标人</w:t>
      </w:r>
    </w:p>
    <w:p w14:paraId="50D25CC8">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 ）现附上我方依法免税证明材料复印件，上述资料真实有效，否则我方负全部责任。</w:t>
      </w:r>
    </w:p>
    <w:p w14:paraId="58A7F9BD">
      <w:pPr>
        <w:spacing w:line="360" w:lineRule="auto"/>
        <w:rPr>
          <w:rFonts w:ascii="宋体"/>
          <w:color w:val="auto"/>
          <w:sz w:val="24"/>
          <w:szCs w:val="24"/>
          <w:highlight w:val="none"/>
        </w:rPr>
      </w:pPr>
    </w:p>
    <w:p w14:paraId="74A90F45">
      <w:pPr>
        <w:spacing w:line="360" w:lineRule="auto"/>
        <w:rPr>
          <w:rFonts w:ascii="宋体"/>
          <w:color w:val="auto"/>
          <w:sz w:val="24"/>
          <w:szCs w:val="24"/>
          <w:highlight w:val="none"/>
        </w:rPr>
      </w:pPr>
      <w:r>
        <w:rPr>
          <w:rFonts w:hint="eastAsia" w:ascii="宋体"/>
          <w:color w:val="auto"/>
          <w:sz w:val="24"/>
          <w:szCs w:val="24"/>
          <w:highlight w:val="none"/>
        </w:rPr>
        <w:t>注意：</w:t>
      </w:r>
    </w:p>
    <w:p w14:paraId="53D4D597">
      <w:pPr>
        <w:spacing w:line="360" w:lineRule="auto"/>
        <w:rPr>
          <w:rFonts w:ascii="宋体"/>
          <w:color w:val="auto"/>
          <w:sz w:val="24"/>
          <w:szCs w:val="24"/>
          <w:highlight w:val="none"/>
        </w:rPr>
      </w:pPr>
      <w:r>
        <w:rPr>
          <w:rFonts w:hint="eastAsia" w:ascii="宋体"/>
          <w:color w:val="auto"/>
          <w:sz w:val="24"/>
          <w:szCs w:val="24"/>
          <w:highlight w:val="none"/>
        </w:rPr>
        <w:t>1、请投标人根据实际情况填写，在相应的（）中打“√”，并按照本格式的要求提供相应资料的复印件。</w:t>
      </w:r>
    </w:p>
    <w:p w14:paraId="46C3BD33">
      <w:pPr>
        <w:spacing w:line="360" w:lineRule="auto"/>
        <w:rPr>
          <w:rFonts w:ascii="宋体"/>
          <w:color w:val="auto"/>
          <w:sz w:val="24"/>
          <w:szCs w:val="24"/>
          <w:highlight w:val="none"/>
        </w:rPr>
      </w:pPr>
      <w:r>
        <w:rPr>
          <w:rFonts w:hint="eastAsia" w:ascii="宋体"/>
          <w:color w:val="auto"/>
          <w:sz w:val="24"/>
          <w:szCs w:val="24"/>
          <w:highlight w:val="none"/>
        </w:rPr>
        <w:t>2、投标人提供的相应资料复印件均应符合：内容完整、清晰、整洁，并由投标人加盖投标人的单位公章。</w:t>
      </w:r>
    </w:p>
    <w:p w14:paraId="0094FE95">
      <w:pPr>
        <w:spacing w:line="360" w:lineRule="auto"/>
        <w:rPr>
          <w:rFonts w:ascii="宋体"/>
          <w:color w:val="auto"/>
          <w:sz w:val="24"/>
          <w:szCs w:val="24"/>
          <w:highlight w:val="none"/>
        </w:rPr>
      </w:pPr>
    </w:p>
    <w:p w14:paraId="79D741A7">
      <w:pPr>
        <w:spacing w:line="360" w:lineRule="auto"/>
        <w:rPr>
          <w:rFonts w:ascii="宋体"/>
          <w:color w:val="auto"/>
          <w:sz w:val="24"/>
          <w:szCs w:val="24"/>
          <w:highlight w:val="none"/>
        </w:rPr>
      </w:pPr>
    </w:p>
    <w:p w14:paraId="1936A9D2">
      <w:pPr>
        <w:spacing w:line="360" w:lineRule="auto"/>
        <w:ind w:firstLine="5385" w:firstLineChars="2244"/>
        <w:rPr>
          <w:rFonts w:ascii="宋体"/>
          <w:color w:val="auto"/>
          <w:sz w:val="24"/>
          <w:szCs w:val="24"/>
          <w:highlight w:val="none"/>
          <w:u w:val="single"/>
        </w:rPr>
      </w:pP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3CFEFC43">
      <w:pPr>
        <w:spacing w:line="360" w:lineRule="auto"/>
        <w:ind w:firstLine="5385" w:firstLineChars="2244"/>
        <w:rPr>
          <w:rFonts w:ascii="宋体"/>
          <w:color w:val="auto"/>
          <w:sz w:val="24"/>
          <w:szCs w:val="24"/>
          <w:highlight w:val="non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p>
    <w:p w14:paraId="45B31BEA">
      <w:pPr>
        <w:spacing w:line="360" w:lineRule="auto"/>
        <w:ind w:firstLine="5385" w:firstLineChars="2244"/>
        <w:rPr>
          <w:rFonts w:ascii="宋体"/>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47F49AB7">
      <w:pPr>
        <w:jc w:val="center"/>
        <w:rPr>
          <w:b/>
          <w:color w:val="auto"/>
          <w:sz w:val="24"/>
          <w:szCs w:val="24"/>
          <w:highlight w:val="none"/>
        </w:rPr>
      </w:pPr>
      <w:r>
        <w:rPr>
          <w:rFonts w:ascii="宋体"/>
          <w:b/>
          <w:color w:val="auto"/>
          <w:sz w:val="24"/>
          <w:szCs w:val="24"/>
          <w:highlight w:val="none"/>
        </w:rPr>
        <w:br w:type="page"/>
      </w:r>
      <w:r>
        <w:rPr>
          <w:rFonts w:hint="eastAsia"/>
          <w:b/>
          <w:color w:val="auto"/>
          <w:sz w:val="24"/>
          <w:szCs w:val="24"/>
          <w:highlight w:val="none"/>
        </w:rPr>
        <w:t>6、</w:t>
      </w:r>
      <w:r>
        <w:rPr>
          <w:b/>
          <w:color w:val="auto"/>
          <w:sz w:val="24"/>
          <w:szCs w:val="24"/>
          <w:highlight w:val="none"/>
        </w:rPr>
        <w:t>依法缴纳社会保障资金证明材料</w:t>
      </w:r>
    </w:p>
    <w:p w14:paraId="115870B6">
      <w:pPr>
        <w:spacing w:line="360" w:lineRule="auto"/>
        <w:rPr>
          <w:rFonts w:ascii="宋体"/>
          <w:color w:val="auto"/>
          <w:sz w:val="24"/>
          <w:szCs w:val="24"/>
          <w:highlight w:val="none"/>
        </w:rPr>
      </w:pPr>
    </w:p>
    <w:p w14:paraId="042A9DC1">
      <w:pPr>
        <w:spacing w:line="360" w:lineRule="auto"/>
        <w:rPr>
          <w:rFonts w:ascii="宋体"/>
          <w:color w:val="auto"/>
          <w:sz w:val="24"/>
          <w:szCs w:val="24"/>
          <w:highlight w:val="none"/>
          <w:u w:val="single"/>
        </w:rPr>
      </w:pPr>
      <w:r>
        <w:rPr>
          <w:rFonts w:hint="eastAsia" w:ascii="宋体"/>
          <w:color w:val="auto"/>
          <w:sz w:val="24"/>
          <w:szCs w:val="24"/>
          <w:highlight w:val="none"/>
        </w:rPr>
        <w:t>致：</w:t>
      </w:r>
      <w:r>
        <w:rPr>
          <w:rFonts w:hint="eastAsia" w:ascii="宋体"/>
          <w:color w:val="auto"/>
          <w:sz w:val="24"/>
          <w:szCs w:val="24"/>
          <w:highlight w:val="none"/>
          <w:u w:val="single"/>
        </w:rPr>
        <w:t xml:space="preserve">                     </w:t>
      </w:r>
    </w:p>
    <w:p w14:paraId="3BBEB1D5">
      <w:pPr>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rPr>
        <w:t>1、依法缴纳</w:t>
      </w:r>
      <w:r>
        <w:rPr>
          <w:rFonts w:ascii="宋体"/>
          <w:color w:val="auto"/>
          <w:sz w:val="24"/>
          <w:szCs w:val="24"/>
          <w:highlight w:val="none"/>
        </w:rPr>
        <w:t>社会保障资金</w:t>
      </w:r>
      <w:r>
        <w:rPr>
          <w:rFonts w:hint="eastAsia" w:ascii="宋体"/>
          <w:color w:val="auto"/>
          <w:sz w:val="24"/>
          <w:szCs w:val="24"/>
          <w:highlight w:val="none"/>
        </w:rPr>
        <w:t>的投标人</w:t>
      </w:r>
    </w:p>
    <w:p w14:paraId="5FA0AF12">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 ）现附上自</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日至</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日期间我方缴纳的社会保险凭据（限：税务机关/社会保障资金管理机关的专用收据或社会保险缴纳清单，或社会保险的银行缴款收讫凭证）复印件，上述资料真实有效，否则我方负全部责任。</w:t>
      </w:r>
    </w:p>
    <w:p w14:paraId="67DD5712">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2、依法不需要缴纳</w:t>
      </w:r>
      <w:r>
        <w:rPr>
          <w:rFonts w:ascii="宋体"/>
          <w:color w:val="auto"/>
          <w:sz w:val="24"/>
          <w:szCs w:val="24"/>
          <w:highlight w:val="none"/>
        </w:rPr>
        <w:t>社会保障资金</w:t>
      </w:r>
      <w:r>
        <w:rPr>
          <w:rFonts w:hint="eastAsia" w:ascii="宋体"/>
          <w:color w:val="auto"/>
          <w:sz w:val="24"/>
          <w:szCs w:val="24"/>
          <w:highlight w:val="none"/>
        </w:rPr>
        <w:t>的投标人</w:t>
      </w:r>
    </w:p>
    <w:p w14:paraId="172D9193">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 ）现附上我方依法不需要缴纳社会保障资金证明材料复印件，上述资料真实有效，否则我方负全部责任。</w:t>
      </w:r>
    </w:p>
    <w:p w14:paraId="51EE084B">
      <w:pPr>
        <w:spacing w:line="360" w:lineRule="auto"/>
        <w:rPr>
          <w:rFonts w:ascii="宋体"/>
          <w:color w:val="auto"/>
          <w:sz w:val="24"/>
          <w:szCs w:val="24"/>
          <w:highlight w:val="none"/>
        </w:rPr>
      </w:pPr>
    </w:p>
    <w:p w14:paraId="453624E0">
      <w:pPr>
        <w:spacing w:line="360" w:lineRule="auto"/>
        <w:rPr>
          <w:rFonts w:ascii="宋体"/>
          <w:color w:val="auto"/>
          <w:sz w:val="24"/>
          <w:szCs w:val="24"/>
          <w:highlight w:val="none"/>
        </w:rPr>
      </w:pPr>
      <w:r>
        <w:rPr>
          <w:rFonts w:hint="eastAsia" w:ascii="宋体"/>
          <w:color w:val="auto"/>
          <w:sz w:val="24"/>
          <w:szCs w:val="24"/>
          <w:highlight w:val="none"/>
        </w:rPr>
        <w:t>注意：</w:t>
      </w:r>
    </w:p>
    <w:p w14:paraId="0B57D203">
      <w:pPr>
        <w:spacing w:line="360" w:lineRule="auto"/>
        <w:rPr>
          <w:rFonts w:ascii="宋体"/>
          <w:color w:val="auto"/>
          <w:sz w:val="24"/>
          <w:szCs w:val="24"/>
          <w:highlight w:val="none"/>
        </w:rPr>
      </w:pPr>
      <w:r>
        <w:rPr>
          <w:rFonts w:hint="eastAsia" w:ascii="宋体"/>
          <w:color w:val="auto"/>
          <w:sz w:val="24"/>
          <w:szCs w:val="24"/>
          <w:highlight w:val="none"/>
        </w:rPr>
        <w:t>1、请投标人根据实际情况填写，在相应的（）中打“√”，并按照本格式的要求提供相应资料的复印件。</w:t>
      </w:r>
    </w:p>
    <w:p w14:paraId="330A0B7A">
      <w:pPr>
        <w:spacing w:line="360" w:lineRule="auto"/>
        <w:rPr>
          <w:rFonts w:ascii="宋体"/>
          <w:color w:val="auto"/>
          <w:sz w:val="24"/>
          <w:szCs w:val="24"/>
          <w:highlight w:val="none"/>
        </w:rPr>
      </w:pPr>
      <w:r>
        <w:rPr>
          <w:rFonts w:hint="eastAsia" w:ascii="宋体"/>
          <w:color w:val="auto"/>
          <w:sz w:val="24"/>
          <w:szCs w:val="24"/>
          <w:highlight w:val="none"/>
        </w:rPr>
        <w:t>2、投标人提供的相应资料复印件均应符合：内容完整、清晰、整洁，并由投标人加盖投标人的单位公章。</w:t>
      </w:r>
    </w:p>
    <w:p w14:paraId="4450F816">
      <w:pPr>
        <w:spacing w:line="360" w:lineRule="auto"/>
        <w:rPr>
          <w:rFonts w:ascii="宋体"/>
          <w:color w:val="auto"/>
          <w:sz w:val="24"/>
          <w:szCs w:val="24"/>
          <w:highlight w:val="none"/>
        </w:rPr>
      </w:pPr>
    </w:p>
    <w:p w14:paraId="41061AF4">
      <w:pPr>
        <w:spacing w:line="360" w:lineRule="auto"/>
        <w:rPr>
          <w:rFonts w:ascii="宋体"/>
          <w:color w:val="auto"/>
          <w:sz w:val="24"/>
          <w:szCs w:val="24"/>
          <w:highlight w:val="none"/>
        </w:rPr>
      </w:pPr>
    </w:p>
    <w:p w14:paraId="58280F39">
      <w:pPr>
        <w:spacing w:line="360" w:lineRule="auto"/>
        <w:ind w:firstLine="5244" w:firstLineChars="2185"/>
        <w:rPr>
          <w:rFonts w:ascii="宋体"/>
          <w:color w:val="auto"/>
          <w:sz w:val="24"/>
          <w:szCs w:val="24"/>
          <w:highlight w:val="none"/>
          <w:u w:val="single"/>
        </w:rPr>
      </w:pP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56581B52">
      <w:pPr>
        <w:spacing w:line="360" w:lineRule="auto"/>
        <w:ind w:firstLine="5244" w:firstLineChars="2185"/>
        <w:rPr>
          <w:rFonts w:ascii="宋体"/>
          <w:color w:val="auto"/>
          <w:sz w:val="24"/>
          <w:szCs w:val="24"/>
          <w:highlight w:val="non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p>
    <w:p w14:paraId="4B4410A4">
      <w:pPr>
        <w:spacing w:line="360" w:lineRule="auto"/>
        <w:ind w:firstLine="5244" w:firstLineChars="2185"/>
        <w:rPr>
          <w:rFonts w:ascii="宋体"/>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7E317A79">
      <w:pPr>
        <w:spacing w:line="360" w:lineRule="auto"/>
        <w:ind w:firstLine="5244" w:firstLineChars="2185"/>
        <w:rPr>
          <w:rFonts w:ascii="宋体"/>
          <w:color w:val="auto"/>
          <w:sz w:val="24"/>
          <w:szCs w:val="24"/>
          <w:highlight w:val="none"/>
        </w:rPr>
      </w:pPr>
    </w:p>
    <w:p w14:paraId="69741BCC">
      <w:pPr>
        <w:jc w:val="center"/>
        <w:rPr>
          <w:b/>
          <w:color w:val="auto"/>
          <w:sz w:val="24"/>
          <w:szCs w:val="24"/>
          <w:highlight w:val="none"/>
        </w:rPr>
      </w:pPr>
      <w:r>
        <w:rPr>
          <w:rFonts w:ascii="宋体"/>
          <w:b/>
          <w:color w:val="auto"/>
          <w:sz w:val="24"/>
          <w:szCs w:val="24"/>
          <w:highlight w:val="none"/>
        </w:rPr>
        <w:br w:type="page"/>
      </w:r>
      <w:bookmarkStart w:id="211" w:name="_Toc470192301"/>
      <w:r>
        <w:rPr>
          <w:rFonts w:hint="eastAsia" w:ascii="宋体"/>
          <w:b/>
          <w:color w:val="auto"/>
          <w:sz w:val="24"/>
          <w:szCs w:val="24"/>
          <w:highlight w:val="none"/>
        </w:rPr>
        <w:t>7、</w:t>
      </w:r>
      <w:r>
        <w:rPr>
          <w:rFonts w:hint="eastAsia"/>
          <w:b/>
          <w:color w:val="auto"/>
          <w:sz w:val="24"/>
          <w:szCs w:val="24"/>
          <w:highlight w:val="none"/>
        </w:rPr>
        <w:t>具备履行合同所必需的设备和专业技术能力的承诺书</w:t>
      </w:r>
      <w:bookmarkEnd w:id="211"/>
    </w:p>
    <w:p w14:paraId="6406AEE1">
      <w:pPr>
        <w:spacing w:line="360" w:lineRule="auto"/>
        <w:rPr>
          <w:rFonts w:ascii="宋体"/>
          <w:b/>
          <w:color w:val="auto"/>
          <w:sz w:val="32"/>
          <w:szCs w:val="32"/>
          <w:highlight w:val="none"/>
        </w:rPr>
      </w:pPr>
    </w:p>
    <w:p w14:paraId="15FDFC9F">
      <w:pPr>
        <w:widowControl/>
        <w:spacing w:line="360" w:lineRule="auto"/>
        <w:ind w:left="2"/>
        <w:jc w:val="left"/>
        <w:rPr>
          <w:rFonts w:ascii="宋体" w:cs="宋体"/>
          <w:color w:val="auto"/>
          <w:kern w:val="0"/>
          <w:sz w:val="24"/>
          <w:highlight w:val="none"/>
        </w:rPr>
      </w:pPr>
      <w:r>
        <w:rPr>
          <w:rFonts w:hint="eastAsia" w:ascii="宋体" w:cs="宋体"/>
          <w:color w:val="auto"/>
          <w:kern w:val="0"/>
          <w:sz w:val="24"/>
          <w:highlight w:val="none"/>
        </w:rPr>
        <w:t>致：</w:t>
      </w:r>
      <w:r>
        <w:rPr>
          <w:rFonts w:hint="eastAsia" w:ascii="宋体" w:cs="宋体"/>
          <w:color w:val="auto"/>
          <w:kern w:val="0"/>
          <w:sz w:val="24"/>
          <w:highlight w:val="none"/>
          <w:u w:val="single"/>
        </w:rPr>
        <w:t>厦门市华沧采购招标有限公司</w:t>
      </w:r>
    </w:p>
    <w:p w14:paraId="1FA2C4DD">
      <w:pPr>
        <w:widowControl/>
        <w:spacing w:line="360" w:lineRule="auto"/>
        <w:ind w:left="2" w:leftChars="1" w:firstLine="480" w:firstLineChars="200"/>
        <w:jc w:val="left"/>
        <w:rPr>
          <w:rFonts w:ascii="宋体" w:cs="宋体"/>
          <w:color w:val="auto"/>
          <w:kern w:val="0"/>
          <w:sz w:val="24"/>
          <w:highlight w:val="none"/>
        </w:rPr>
      </w:pPr>
      <w:r>
        <w:rPr>
          <w:rFonts w:hint="eastAsia" w:ascii="宋体" w:cs="宋体"/>
          <w:color w:val="auto"/>
          <w:kern w:val="0"/>
          <w:sz w:val="24"/>
          <w:highlight w:val="none"/>
        </w:rPr>
        <w:t>我司承诺：我司具备履行本次</w:t>
      </w:r>
      <w:r>
        <w:rPr>
          <w:rFonts w:hint="eastAsia" w:ascii="宋体" w:cs="宋体"/>
          <w:color w:val="auto"/>
          <w:kern w:val="0"/>
          <w:sz w:val="24"/>
          <w:highlight w:val="none"/>
          <w:u w:val="single"/>
        </w:rPr>
        <w:t xml:space="preserve">   （项目编号、项目名称）    </w:t>
      </w:r>
      <w:r>
        <w:rPr>
          <w:rFonts w:hint="eastAsia" w:ascii="宋体" w:cs="宋体"/>
          <w:color w:val="auto"/>
          <w:kern w:val="0"/>
          <w:sz w:val="24"/>
          <w:highlight w:val="none"/>
        </w:rPr>
        <w:t>项目合同所必需的设备和专业技术能力。</w:t>
      </w:r>
    </w:p>
    <w:p w14:paraId="6278AF96">
      <w:pPr>
        <w:widowControl/>
        <w:spacing w:line="360" w:lineRule="auto"/>
        <w:ind w:left="2" w:leftChars="1" w:firstLine="480" w:firstLineChars="200"/>
        <w:jc w:val="left"/>
        <w:rPr>
          <w:rFonts w:ascii="宋体" w:cs="宋体"/>
          <w:color w:val="auto"/>
          <w:kern w:val="0"/>
          <w:sz w:val="24"/>
          <w:highlight w:val="none"/>
        </w:rPr>
      </w:pPr>
    </w:p>
    <w:p w14:paraId="79BAD6F7">
      <w:pPr>
        <w:spacing w:line="360" w:lineRule="auto"/>
        <w:rPr>
          <w:rFonts w:ascii="宋体" w:cs="宋体"/>
          <w:color w:val="auto"/>
          <w:kern w:val="0"/>
          <w:sz w:val="24"/>
          <w:highlight w:val="none"/>
        </w:rPr>
      </w:pPr>
      <w:r>
        <w:rPr>
          <w:rFonts w:hint="eastAsia" w:ascii="宋体" w:cs="宋体"/>
          <w:color w:val="auto"/>
          <w:kern w:val="0"/>
          <w:sz w:val="24"/>
          <w:highlight w:val="none"/>
        </w:rPr>
        <w:t>                                                </w:t>
      </w:r>
    </w:p>
    <w:p w14:paraId="7C0B75AE">
      <w:pPr>
        <w:spacing w:line="360" w:lineRule="auto"/>
        <w:rPr>
          <w:rFonts w:ascii="宋体" w:cs="宋体"/>
          <w:color w:val="auto"/>
          <w:kern w:val="0"/>
          <w:sz w:val="24"/>
          <w:highlight w:val="none"/>
        </w:rPr>
      </w:pPr>
      <w:r>
        <w:rPr>
          <w:rFonts w:hint="eastAsia" w:ascii="宋体" w:cs="宋体"/>
          <w:color w:val="auto"/>
          <w:kern w:val="0"/>
          <w:sz w:val="24"/>
          <w:highlight w:val="none"/>
        </w:rPr>
        <w:t>   </w:t>
      </w:r>
    </w:p>
    <w:p w14:paraId="6C1CE1F9">
      <w:pPr>
        <w:spacing w:line="360" w:lineRule="auto"/>
        <w:rPr>
          <w:rFonts w:ascii="宋体" w:cs="宋体"/>
          <w:color w:val="auto"/>
          <w:kern w:val="0"/>
          <w:sz w:val="24"/>
          <w:highlight w:val="none"/>
        </w:rPr>
      </w:pPr>
    </w:p>
    <w:p w14:paraId="25E9B8B4">
      <w:pPr>
        <w:spacing w:line="360" w:lineRule="auto"/>
        <w:ind w:firstLine="4680" w:firstLineChars="1950"/>
        <w:rPr>
          <w:rFonts w:ascii="宋体"/>
          <w:color w:val="auto"/>
          <w:sz w:val="24"/>
          <w:highlight w:val="none"/>
        </w:rPr>
      </w:pPr>
      <w:r>
        <w:rPr>
          <w:rFonts w:hint="eastAsia" w:ascii="宋体"/>
          <w:color w:val="auto"/>
          <w:sz w:val="24"/>
          <w:highlight w:val="none"/>
        </w:rPr>
        <w:t>投标人（全称并加盖公章）：</w:t>
      </w:r>
      <w:r>
        <w:rPr>
          <w:rFonts w:hint="eastAsia" w:ascii="宋体"/>
          <w:color w:val="auto"/>
          <w:sz w:val="24"/>
          <w:highlight w:val="none"/>
          <w:u w:val="single"/>
        </w:rPr>
        <w:t xml:space="preserve">              </w:t>
      </w:r>
    </w:p>
    <w:p w14:paraId="11739A05">
      <w:pPr>
        <w:spacing w:line="360" w:lineRule="auto"/>
        <w:ind w:firstLine="4680" w:firstLineChars="1950"/>
        <w:rPr>
          <w:rFonts w:ascii="宋体" w:cs="宋体"/>
          <w:color w:val="auto"/>
          <w:kern w:val="0"/>
          <w:sz w:val="24"/>
          <w:highlight w:val="none"/>
          <w:u w:val="single"/>
        </w:rPr>
      </w:pPr>
      <w:r>
        <w:rPr>
          <w:rFonts w:hint="eastAsia" w:ascii="宋体"/>
          <w:color w:val="auto"/>
          <w:sz w:val="24"/>
          <w:highlight w:val="none"/>
        </w:rPr>
        <w:t>投标人代表签字：</w:t>
      </w:r>
      <w:r>
        <w:rPr>
          <w:rFonts w:hint="eastAsia" w:ascii="宋体"/>
          <w:color w:val="auto"/>
          <w:sz w:val="24"/>
          <w:highlight w:val="none"/>
          <w:u w:val="single"/>
        </w:rPr>
        <w:t xml:space="preserve">                        </w:t>
      </w:r>
    </w:p>
    <w:p w14:paraId="645687E1">
      <w:pPr>
        <w:jc w:val="center"/>
        <w:rPr>
          <w:rFonts w:ascii="宋体"/>
          <w:b/>
          <w:color w:val="auto"/>
          <w:sz w:val="24"/>
          <w:szCs w:val="24"/>
          <w:highlight w:val="none"/>
        </w:rPr>
      </w:pPr>
      <w:r>
        <w:rPr>
          <w:rFonts w:hint="eastAsia" w:ascii="宋体" w:cs="宋体"/>
          <w:color w:val="auto"/>
          <w:kern w:val="0"/>
          <w:sz w:val="24"/>
          <w:highlight w:val="none"/>
        </w:rPr>
        <w:t xml:space="preserve">                             </w:t>
      </w:r>
      <w:r>
        <w:rPr>
          <w:rFonts w:ascii="宋体" w:cs="宋体"/>
          <w:color w:val="auto"/>
          <w:kern w:val="0"/>
          <w:sz w:val="24"/>
          <w:highlight w:val="none"/>
        </w:rPr>
        <w:t>日 期：</w:t>
      </w:r>
      <w:r>
        <w:rPr>
          <w:rFonts w:hint="eastAsia" w:ascii="宋体" w:cs="宋体"/>
          <w:color w:val="auto"/>
          <w:kern w:val="0"/>
          <w:sz w:val="24"/>
          <w:highlight w:val="none"/>
          <w:u w:val="single"/>
        </w:rPr>
        <w:t xml:space="preserve">        </w:t>
      </w:r>
      <w:r>
        <w:rPr>
          <w:rFonts w:hint="eastAsia" w:ascii="宋体" w:cs="宋体"/>
          <w:color w:val="auto"/>
          <w:kern w:val="0"/>
          <w:sz w:val="24"/>
          <w:highlight w:val="none"/>
        </w:rPr>
        <w:t>年</w:t>
      </w:r>
      <w:r>
        <w:rPr>
          <w:rFonts w:hint="eastAsia" w:ascii="宋体" w:cs="宋体"/>
          <w:color w:val="auto"/>
          <w:kern w:val="0"/>
          <w:sz w:val="24"/>
          <w:highlight w:val="none"/>
          <w:u w:val="single"/>
        </w:rPr>
        <w:t xml:space="preserve">    </w:t>
      </w:r>
      <w:r>
        <w:rPr>
          <w:rFonts w:hint="eastAsia" w:ascii="宋体" w:cs="宋体"/>
          <w:color w:val="auto"/>
          <w:kern w:val="0"/>
          <w:sz w:val="24"/>
          <w:highlight w:val="none"/>
        </w:rPr>
        <w:t>月</w:t>
      </w:r>
      <w:r>
        <w:rPr>
          <w:rFonts w:hint="eastAsia" w:ascii="宋体" w:cs="宋体"/>
          <w:color w:val="auto"/>
          <w:kern w:val="0"/>
          <w:sz w:val="24"/>
          <w:highlight w:val="none"/>
          <w:u w:val="single"/>
        </w:rPr>
        <w:t xml:space="preserve">    </w:t>
      </w:r>
      <w:r>
        <w:rPr>
          <w:rFonts w:hint="eastAsia" w:ascii="宋体" w:cs="宋体"/>
          <w:color w:val="auto"/>
          <w:kern w:val="0"/>
          <w:sz w:val="24"/>
          <w:highlight w:val="none"/>
        </w:rPr>
        <w:t>日</w:t>
      </w:r>
    </w:p>
    <w:p w14:paraId="7F8119B8">
      <w:pPr>
        <w:jc w:val="center"/>
        <w:rPr>
          <w:rFonts w:ascii="宋体"/>
          <w:b/>
          <w:color w:val="auto"/>
          <w:sz w:val="24"/>
          <w:szCs w:val="24"/>
          <w:highlight w:val="none"/>
        </w:rPr>
      </w:pPr>
    </w:p>
    <w:p w14:paraId="4D860414">
      <w:pPr>
        <w:jc w:val="center"/>
        <w:rPr>
          <w:b/>
          <w:color w:val="auto"/>
          <w:sz w:val="24"/>
          <w:szCs w:val="24"/>
          <w:highlight w:val="none"/>
        </w:rPr>
      </w:pPr>
      <w:r>
        <w:rPr>
          <w:b/>
          <w:color w:val="auto"/>
          <w:sz w:val="24"/>
          <w:szCs w:val="24"/>
          <w:highlight w:val="none"/>
        </w:rPr>
        <w:br w:type="page"/>
      </w:r>
      <w:r>
        <w:rPr>
          <w:rFonts w:hint="eastAsia"/>
          <w:b/>
          <w:color w:val="auto"/>
          <w:sz w:val="24"/>
          <w:szCs w:val="24"/>
          <w:highlight w:val="none"/>
        </w:rPr>
        <w:t>8、</w:t>
      </w:r>
      <w:r>
        <w:rPr>
          <w:b/>
          <w:color w:val="auto"/>
          <w:sz w:val="24"/>
          <w:szCs w:val="24"/>
          <w:highlight w:val="none"/>
        </w:rPr>
        <w:t>参</w:t>
      </w:r>
      <w:r>
        <w:rPr>
          <w:rFonts w:hint="eastAsia"/>
          <w:b/>
          <w:color w:val="auto"/>
          <w:sz w:val="24"/>
          <w:szCs w:val="24"/>
          <w:highlight w:val="none"/>
        </w:rPr>
        <w:t>加</w:t>
      </w:r>
      <w:r>
        <w:rPr>
          <w:b/>
          <w:color w:val="auto"/>
          <w:sz w:val="24"/>
          <w:szCs w:val="24"/>
          <w:highlight w:val="none"/>
        </w:rPr>
        <w:t>采购活动前三年内在经营活动中没有重大违法记录书面声明</w:t>
      </w:r>
    </w:p>
    <w:p w14:paraId="4CA85ADD">
      <w:pPr>
        <w:spacing w:line="360" w:lineRule="auto"/>
        <w:rPr>
          <w:rFonts w:ascii="宋体"/>
          <w:color w:val="auto"/>
          <w:sz w:val="24"/>
          <w:szCs w:val="24"/>
          <w:highlight w:val="none"/>
        </w:rPr>
      </w:pPr>
    </w:p>
    <w:p w14:paraId="098F2E3D">
      <w:pPr>
        <w:spacing w:line="360" w:lineRule="auto"/>
        <w:rPr>
          <w:rFonts w:ascii="宋体"/>
          <w:color w:val="auto"/>
          <w:sz w:val="24"/>
          <w:szCs w:val="24"/>
          <w:highlight w:val="none"/>
          <w:u w:val="single"/>
        </w:rPr>
      </w:pPr>
      <w:r>
        <w:rPr>
          <w:rFonts w:hint="eastAsia" w:ascii="宋体"/>
          <w:color w:val="auto"/>
          <w:sz w:val="24"/>
          <w:szCs w:val="24"/>
          <w:highlight w:val="none"/>
        </w:rPr>
        <w:t>致：</w:t>
      </w:r>
      <w:r>
        <w:rPr>
          <w:rFonts w:hint="eastAsia" w:ascii="宋体"/>
          <w:color w:val="auto"/>
          <w:sz w:val="24"/>
          <w:szCs w:val="24"/>
          <w:highlight w:val="none"/>
          <w:u w:val="single"/>
        </w:rPr>
        <w:t xml:space="preserve">                     </w:t>
      </w:r>
    </w:p>
    <w:p w14:paraId="165C4A22">
      <w:pPr>
        <w:spacing w:line="360" w:lineRule="auto"/>
        <w:ind w:firstLine="480" w:firstLineChars="200"/>
        <w:rPr>
          <w:rFonts w:ascii="宋体"/>
          <w:color w:val="auto"/>
          <w:sz w:val="24"/>
          <w:szCs w:val="24"/>
          <w:highlight w:val="none"/>
        </w:rPr>
      </w:pPr>
      <w:r>
        <w:rPr>
          <w:rFonts w:ascii="宋体"/>
          <w:color w:val="auto"/>
          <w:sz w:val="24"/>
          <w:szCs w:val="24"/>
          <w:highlight w:val="none"/>
        </w:rPr>
        <w:t>参</w:t>
      </w:r>
      <w:r>
        <w:rPr>
          <w:rFonts w:hint="eastAsia" w:ascii="宋体"/>
          <w:color w:val="auto"/>
          <w:sz w:val="24"/>
          <w:szCs w:val="24"/>
          <w:highlight w:val="none"/>
        </w:rPr>
        <w:t>加</w:t>
      </w:r>
      <w:r>
        <w:rPr>
          <w:rFonts w:ascii="宋体"/>
          <w:color w:val="auto"/>
          <w:sz w:val="24"/>
          <w:szCs w:val="24"/>
          <w:highlight w:val="none"/>
        </w:rPr>
        <w:t>采购活动前三年内</w:t>
      </w:r>
      <w:r>
        <w:rPr>
          <w:rFonts w:hint="eastAsia" w:ascii="宋体"/>
          <w:color w:val="auto"/>
          <w:sz w:val="24"/>
          <w:szCs w:val="24"/>
          <w:highlight w:val="none"/>
        </w:rPr>
        <w:t>，</w:t>
      </w:r>
      <w:r>
        <w:rPr>
          <w:rFonts w:ascii="宋体"/>
          <w:color w:val="auto"/>
          <w:sz w:val="24"/>
          <w:szCs w:val="24"/>
          <w:highlight w:val="none"/>
        </w:rPr>
        <w:t>我方在经营活动中没有重大违法记录</w:t>
      </w:r>
      <w:r>
        <w:rPr>
          <w:rFonts w:hint="eastAsia" w:ascii="宋体"/>
          <w:color w:val="auto"/>
          <w:sz w:val="24"/>
          <w:szCs w:val="24"/>
          <w:highlight w:val="none"/>
        </w:rPr>
        <w:t>。</w:t>
      </w:r>
    </w:p>
    <w:p w14:paraId="51A807AC">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特此声明。</w:t>
      </w:r>
    </w:p>
    <w:p w14:paraId="1CC7DD68">
      <w:pPr>
        <w:spacing w:line="360" w:lineRule="auto"/>
        <w:rPr>
          <w:rFonts w:ascii="宋体"/>
          <w:color w:val="auto"/>
          <w:sz w:val="24"/>
          <w:szCs w:val="24"/>
          <w:highlight w:val="none"/>
        </w:rPr>
      </w:pPr>
    </w:p>
    <w:p w14:paraId="556F53D7">
      <w:pPr>
        <w:spacing w:line="360" w:lineRule="auto"/>
        <w:rPr>
          <w:rFonts w:ascii="宋体"/>
          <w:color w:val="auto"/>
          <w:sz w:val="24"/>
          <w:szCs w:val="24"/>
          <w:highlight w:val="none"/>
        </w:rPr>
      </w:pPr>
      <w:r>
        <w:rPr>
          <w:rFonts w:hint="eastAsia" w:ascii="宋体"/>
          <w:color w:val="auto"/>
          <w:sz w:val="24"/>
          <w:szCs w:val="24"/>
          <w:highlight w:val="none"/>
        </w:rPr>
        <w:t>注意：</w:t>
      </w:r>
    </w:p>
    <w:p w14:paraId="5F37523F">
      <w:pPr>
        <w:spacing w:line="360" w:lineRule="auto"/>
        <w:rPr>
          <w:rFonts w:ascii="宋体"/>
          <w:color w:val="auto"/>
          <w:sz w:val="24"/>
          <w:szCs w:val="24"/>
          <w:highlight w:val="none"/>
        </w:rPr>
      </w:pPr>
      <w:r>
        <w:rPr>
          <w:rFonts w:hint="eastAsia" w:ascii="宋体"/>
          <w:color w:val="auto"/>
          <w:sz w:val="24"/>
          <w:szCs w:val="24"/>
          <w:highlight w:val="none"/>
        </w:rPr>
        <w:t>1、“重大违法记录”指投标人因违法经营受到刑事处罚或责令停产停业、吊销许可证或执照、较大数额罚款等行政处罚。</w:t>
      </w:r>
    </w:p>
    <w:p w14:paraId="36F69CD3">
      <w:pPr>
        <w:spacing w:line="360" w:lineRule="auto"/>
        <w:rPr>
          <w:rFonts w:ascii="宋体"/>
          <w:color w:val="auto"/>
          <w:sz w:val="24"/>
          <w:szCs w:val="24"/>
          <w:highlight w:val="none"/>
        </w:rPr>
      </w:pPr>
      <w:r>
        <w:rPr>
          <w:rFonts w:hint="eastAsia" w:ascii="宋体"/>
          <w:color w:val="auto"/>
          <w:sz w:val="24"/>
          <w:szCs w:val="24"/>
          <w:highlight w:val="none"/>
        </w:rPr>
        <w:t>2、请投标人根据实际情况进行声明，若声明不真实，视为提供虚假材料。</w:t>
      </w:r>
    </w:p>
    <w:p w14:paraId="0A539DCD">
      <w:pPr>
        <w:spacing w:line="360" w:lineRule="auto"/>
        <w:rPr>
          <w:rFonts w:ascii="宋体"/>
          <w:color w:val="auto"/>
          <w:sz w:val="24"/>
          <w:szCs w:val="24"/>
          <w:highlight w:val="none"/>
        </w:rPr>
      </w:pPr>
    </w:p>
    <w:p w14:paraId="52E48B93">
      <w:pPr>
        <w:spacing w:line="360" w:lineRule="auto"/>
        <w:rPr>
          <w:rFonts w:ascii="宋体"/>
          <w:color w:val="auto"/>
          <w:sz w:val="24"/>
          <w:szCs w:val="24"/>
          <w:highlight w:val="none"/>
        </w:rPr>
      </w:pPr>
    </w:p>
    <w:p w14:paraId="2528C438">
      <w:pPr>
        <w:spacing w:line="360" w:lineRule="auto"/>
        <w:ind w:firstLine="5244" w:firstLineChars="2185"/>
        <w:rPr>
          <w:rFonts w:ascii="宋体"/>
          <w:color w:val="auto"/>
          <w:sz w:val="24"/>
          <w:szCs w:val="24"/>
          <w:highlight w:val="none"/>
          <w:u w:val="single"/>
        </w:rPr>
      </w:pP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0FA0EF88">
      <w:pPr>
        <w:spacing w:line="360" w:lineRule="auto"/>
        <w:ind w:firstLine="5244" w:firstLineChars="2185"/>
        <w:rPr>
          <w:rFonts w:ascii="宋体"/>
          <w:color w:val="auto"/>
          <w:sz w:val="24"/>
          <w:szCs w:val="24"/>
          <w:highlight w:val="non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p>
    <w:p w14:paraId="1EF5937C">
      <w:pPr>
        <w:spacing w:line="360" w:lineRule="auto"/>
        <w:ind w:firstLine="5244" w:firstLineChars="2185"/>
        <w:rPr>
          <w:rFonts w:ascii="宋体"/>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300D9A14">
      <w:pPr>
        <w:spacing w:line="360" w:lineRule="auto"/>
        <w:ind w:firstLine="5244" w:firstLineChars="2185"/>
        <w:rPr>
          <w:rFonts w:ascii="宋体"/>
          <w:color w:val="auto"/>
          <w:sz w:val="24"/>
          <w:szCs w:val="24"/>
          <w:highlight w:val="none"/>
        </w:rPr>
      </w:pPr>
    </w:p>
    <w:p w14:paraId="43435C57">
      <w:pPr>
        <w:jc w:val="center"/>
        <w:rPr>
          <w:b/>
          <w:color w:val="auto"/>
          <w:sz w:val="24"/>
          <w:szCs w:val="24"/>
          <w:highlight w:val="none"/>
        </w:rPr>
      </w:pPr>
      <w:r>
        <w:rPr>
          <w:rFonts w:ascii="宋体"/>
          <w:b/>
          <w:color w:val="auto"/>
          <w:sz w:val="24"/>
          <w:szCs w:val="24"/>
          <w:highlight w:val="none"/>
        </w:rPr>
        <w:br w:type="page"/>
      </w:r>
      <w:bookmarkStart w:id="212" w:name="_Toc478067453"/>
      <w:bookmarkStart w:id="213" w:name="_Toc484527779"/>
      <w:r>
        <w:rPr>
          <w:b/>
          <w:color w:val="auto"/>
          <w:sz w:val="24"/>
          <w:szCs w:val="24"/>
          <w:highlight w:val="none"/>
        </w:rPr>
        <w:t>9</w:t>
      </w:r>
      <w:r>
        <w:rPr>
          <w:rFonts w:hint="eastAsia"/>
          <w:b/>
          <w:color w:val="auto"/>
          <w:sz w:val="24"/>
          <w:szCs w:val="24"/>
          <w:highlight w:val="none"/>
        </w:rPr>
        <w:t>、</w:t>
      </w:r>
      <w:r>
        <w:rPr>
          <w:b/>
          <w:color w:val="auto"/>
          <w:sz w:val="24"/>
          <w:szCs w:val="24"/>
          <w:highlight w:val="none"/>
        </w:rPr>
        <w:t>投标保证金</w:t>
      </w:r>
      <w:bookmarkEnd w:id="212"/>
      <w:bookmarkEnd w:id="213"/>
    </w:p>
    <w:p w14:paraId="4F140CA1">
      <w:pPr>
        <w:spacing w:line="360" w:lineRule="auto"/>
        <w:rPr>
          <w:rFonts w:ascii="宋体"/>
          <w:color w:val="auto"/>
          <w:sz w:val="24"/>
          <w:szCs w:val="24"/>
          <w:highlight w:val="none"/>
        </w:rPr>
      </w:pPr>
    </w:p>
    <w:p w14:paraId="307E901E">
      <w:pPr>
        <w:spacing w:line="360" w:lineRule="auto"/>
        <w:jc w:val="center"/>
        <w:rPr>
          <w:rFonts w:ascii="宋体"/>
          <w:color w:val="auto"/>
          <w:sz w:val="24"/>
          <w:szCs w:val="24"/>
          <w:highlight w:val="none"/>
        </w:rPr>
      </w:pPr>
      <w:r>
        <w:rPr>
          <w:rFonts w:hint="eastAsia" w:ascii="宋体"/>
          <w:color w:val="auto"/>
          <w:sz w:val="24"/>
          <w:szCs w:val="24"/>
          <w:highlight w:val="none"/>
        </w:rPr>
        <w:t>编制说明</w:t>
      </w:r>
    </w:p>
    <w:p w14:paraId="67684A8F">
      <w:pPr>
        <w:spacing w:line="360" w:lineRule="auto"/>
        <w:rPr>
          <w:rFonts w:ascii="宋体"/>
          <w:color w:val="auto"/>
          <w:sz w:val="24"/>
          <w:szCs w:val="24"/>
          <w:highlight w:val="none"/>
        </w:rPr>
      </w:pPr>
    </w:p>
    <w:p w14:paraId="609AA5D7">
      <w:pPr>
        <w:spacing w:line="360" w:lineRule="auto"/>
        <w:rPr>
          <w:rFonts w:ascii="宋体"/>
          <w:color w:val="auto"/>
          <w:sz w:val="24"/>
          <w:szCs w:val="24"/>
          <w:highlight w:val="none"/>
        </w:rPr>
      </w:pPr>
      <w:r>
        <w:rPr>
          <w:rFonts w:hint="eastAsia" w:ascii="宋体"/>
          <w:color w:val="auto"/>
          <w:sz w:val="24"/>
          <w:szCs w:val="24"/>
          <w:highlight w:val="none"/>
        </w:rPr>
        <w:t>1、在此项下提交的</w:t>
      </w:r>
      <w:r>
        <w:rPr>
          <w:rFonts w:hint="eastAsia" w:ascii="宋体"/>
          <w:b/>
          <w:color w:val="auto"/>
          <w:sz w:val="24"/>
          <w:szCs w:val="24"/>
          <w:highlight w:val="none"/>
        </w:rPr>
        <w:t>“投标保证金”</w:t>
      </w:r>
      <w:r>
        <w:rPr>
          <w:rFonts w:hint="eastAsia" w:ascii="宋体"/>
          <w:color w:val="auto"/>
          <w:sz w:val="24"/>
          <w:szCs w:val="24"/>
          <w:highlight w:val="none"/>
        </w:rPr>
        <w:t>材料可使用转账凭证（电汇凭证）复印件。</w:t>
      </w:r>
    </w:p>
    <w:p w14:paraId="606835D5">
      <w:pPr>
        <w:spacing w:line="360" w:lineRule="auto"/>
        <w:rPr>
          <w:rFonts w:ascii="宋体"/>
          <w:color w:val="auto"/>
          <w:sz w:val="24"/>
          <w:szCs w:val="24"/>
          <w:highlight w:val="none"/>
        </w:rPr>
      </w:pPr>
      <w:r>
        <w:rPr>
          <w:rFonts w:hint="eastAsia" w:ascii="宋体"/>
          <w:color w:val="auto"/>
          <w:sz w:val="24"/>
          <w:szCs w:val="24"/>
          <w:highlight w:val="none"/>
        </w:rPr>
        <w:t>2、投标保证金是否已提交按照招标文件第三章规定执行。</w:t>
      </w:r>
    </w:p>
    <w:p w14:paraId="108D6918">
      <w:pPr>
        <w:spacing w:line="360" w:lineRule="auto"/>
        <w:rPr>
          <w:rFonts w:ascii="宋体"/>
          <w:color w:val="auto"/>
          <w:sz w:val="24"/>
          <w:szCs w:val="24"/>
          <w:highlight w:val="none"/>
        </w:rPr>
      </w:pPr>
    </w:p>
    <w:p w14:paraId="2D6CCFC4">
      <w:pPr>
        <w:spacing w:line="360" w:lineRule="auto"/>
        <w:rPr>
          <w:rFonts w:ascii="宋体"/>
          <w:color w:val="auto"/>
          <w:sz w:val="24"/>
          <w:szCs w:val="24"/>
          <w:highlight w:val="none"/>
        </w:rPr>
      </w:pPr>
    </w:p>
    <w:p w14:paraId="7F345878">
      <w:pPr>
        <w:spacing w:line="360" w:lineRule="auto"/>
        <w:rPr>
          <w:rFonts w:ascii="宋体"/>
          <w:color w:val="auto"/>
          <w:sz w:val="24"/>
          <w:szCs w:val="24"/>
          <w:highlight w:val="none"/>
        </w:rPr>
      </w:pPr>
    </w:p>
    <w:p w14:paraId="7C28F046">
      <w:pPr>
        <w:spacing w:line="360" w:lineRule="auto"/>
        <w:rPr>
          <w:rFonts w:ascii="宋体"/>
          <w:color w:val="auto"/>
          <w:sz w:val="24"/>
          <w:szCs w:val="24"/>
          <w:highlight w:val="none"/>
        </w:rPr>
      </w:pPr>
    </w:p>
    <w:p w14:paraId="7D4944F7">
      <w:pPr>
        <w:spacing w:line="360" w:lineRule="auto"/>
        <w:rPr>
          <w:rFonts w:ascii="宋体"/>
          <w:color w:val="auto"/>
          <w:sz w:val="24"/>
          <w:szCs w:val="24"/>
          <w:highlight w:val="none"/>
        </w:rPr>
      </w:pPr>
    </w:p>
    <w:p w14:paraId="409FE054">
      <w:pPr>
        <w:spacing w:line="360" w:lineRule="auto"/>
        <w:jc w:val="center"/>
        <w:rPr>
          <w:rFonts w:ascii="宋体"/>
          <w:b/>
          <w:color w:val="auto"/>
          <w:sz w:val="24"/>
          <w:szCs w:val="24"/>
          <w:highlight w:val="none"/>
        </w:rPr>
      </w:pPr>
      <w:bookmarkStart w:id="214" w:name="_Toc478067454"/>
      <w:r>
        <w:rPr>
          <w:rFonts w:hint="eastAsia" w:ascii="宋体"/>
          <w:b/>
          <w:color w:val="auto"/>
          <w:sz w:val="24"/>
          <w:szCs w:val="24"/>
          <w:highlight w:val="none"/>
        </w:rPr>
        <w:t>1</w:t>
      </w:r>
      <w:r>
        <w:rPr>
          <w:rFonts w:ascii="宋体"/>
          <w:b/>
          <w:color w:val="auto"/>
          <w:sz w:val="24"/>
          <w:szCs w:val="24"/>
          <w:highlight w:val="none"/>
        </w:rPr>
        <w:t>0</w:t>
      </w:r>
      <w:r>
        <w:rPr>
          <w:rFonts w:hint="eastAsia" w:ascii="宋体"/>
          <w:b/>
          <w:color w:val="auto"/>
          <w:sz w:val="24"/>
          <w:szCs w:val="24"/>
          <w:highlight w:val="none"/>
        </w:rPr>
        <w:t>、资格要求特定条件证明文件</w:t>
      </w:r>
      <w:bookmarkEnd w:id="214"/>
    </w:p>
    <w:p w14:paraId="3CAD57AE">
      <w:pPr>
        <w:spacing w:line="360" w:lineRule="auto"/>
        <w:jc w:val="center"/>
        <w:rPr>
          <w:rFonts w:ascii="宋体"/>
          <w:color w:val="auto"/>
          <w:sz w:val="24"/>
          <w:szCs w:val="24"/>
          <w:highlight w:val="none"/>
        </w:rPr>
      </w:pPr>
      <w:r>
        <w:rPr>
          <w:rFonts w:hint="eastAsia" w:ascii="宋体"/>
          <w:color w:val="auto"/>
          <w:sz w:val="24"/>
          <w:szCs w:val="24"/>
          <w:highlight w:val="none"/>
        </w:rPr>
        <w:t>编制说明</w:t>
      </w:r>
    </w:p>
    <w:p w14:paraId="4F49EDCC">
      <w:pPr>
        <w:spacing w:line="360" w:lineRule="auto"/>
        <w:rPr>
          <w:rFonts w:ascii="宋体"/>
          <w:color w:val="auto"/>
          <w:sz w:val="24"/>
          <w:szCs w:val="24"/>
          <w:highlight w:val="none"/>
        </w:rPr>
      </w:pPr>
    </w:p>
    <w:p w14:paraId="271E0160">
      <w:pPr>
        <w:jc w:val="center"/>
        <w:rPr>
          <w:rFonts w:ascii="宋体"/>
          <w:color w:val="auto"/>
          <w:sz w:val="24"/>
          <w:szCs w:val="24"/>
          <w:highlight w:val="none"/>
        </w:rPr>
      </w:pPr>
      <w:r>
        <w:rPr>
          <w:rFonts w:hint="eastAsia" w:ascii="宋体"/>
          <w:color w:val="auto"/>
          <w:sz w:val="24"/>
          <w:szCs w:val="24"/>
          <w:highlight w:val="none"/>
        </w:rPr>
        <w:t>1、在此项下提交的“资格要求特定条件证明文件材料”由投标人根据招标文件第一章第5条“投标人的资格要求”中“特定条件要求”进行填写可。</w:t>
      </w:r>
    </w:p>
    <w:p w14:paraId="03FE4D9B">
      <w:pPr>
        <w:jc w:val="center"/>
        <w:rPr>
          <w:b/>
          <w:color w:val="auto"/>
          <w:sz w:val="24"/>
          <w:szCs w:val="24"/>
          <w:highlight w:val="none"/>
        </w:rPr>
      </w:pPr>
      <w:r>
        <w:rPr>
          <w:rFonts w:ascii="宋体"/>
          <w:b/>
          <w:color w:val="auto"/>
          <w:sz w:val="24"/>
          <w:szCs w:val="24"/>
          <w:highlight w:val="none"/>
        </w:rPr>
        <w:br w:type="page"/>
      </w:r>
      <w:r>
        <w:rPr>
          <w:rFonts w:hint="eastAsia"/>
          <w:b/>
          <w:color w:val="auto"/>
          <w:sz w:val="24"/>
          <w:szCs w:val="24"/>
          <w:highlight w:val="none"/>
        </w:rPr>
        <w:t>1</w:t>
      </w:r>
      <w:r>
        <w:rPr>
          <w:b/>
          <w:color w:val="auto"/>
          <w:sz w:val="24"/>
          <w:szCs w:val="24"/>
          <w:highlight w:val="none"/>
        </w:rPr>
        <w:t>1</w:t>
      </w:r>
      <w:r>
        <w:rPr>
          <w:rFonts w:hint="eastAsia"/>
          <w:b/>
          <w:color w:val="auto"/>
          <w:sz w:val="24"/>
          <w:szCs w:val="24"/>
          <w:highlight w:val="none"/>
        </w:rPr>
        <w:t>、联合体协议（如本项目接受）</w:t>
      </w:r>
    </w:p>
    <w:p w14:paraId="3ABDA1B1">
      <w:pPr>
        <w:spacing w:line="400" w:lineRule="exact"/>
        <w:rPr>
          <w:rFonts w:ascii="宋体"/>
          <w:color w:val="auto"/>
          <w:sz w:val="24"/>
          <w:szCs w:val="24"/>
          <w:highlight w:val="none"/>
        </w:rPr>
      </w:pPr>
    </w:p>
    <w:p w14:paraId="6DF1A12C">
      <w:pPr>
        <w:spacing w:line="400" w:lineRule="exact"/>
        <w:rPr>
          <w:rFonts w:ascii="宋体"/>
          <w:color w:val="auto"/>
          <w:sz w:val="24"/>
          <w:szCs w:val="24"/>
          <w:highlight w:val="none"/>
          <w:u w:val="single"/>
        </w:rPr>
      </w:pPr>
      <w:r>
        <w:rPr>
          <w:rFonts w:hint="eastAsia" w:ascii="宋体"/>
          <w:color w:val="auto"/>
          <w:sz w:val="24"/>
          <w:szCs w:val="24"/>
          <w:highlight w:val="none"/>
        </w:rPr>
        <w:t>致：</w:t>
      </w:r>
      <w:r>
        <w:rPr>
          <w:rFonts w:hint="eastAsia" w:ascii="宋体"/>
          <w:color w:val="auto"/>
          <w:sz w:val="24"/>
          <w:szCs w:val="24"/>
          <w:highlight w:val="none"/>
          <w:u w:val="single"/>
        </w:rPr>
        <w:t xml:space="preserve">                     </w:t>
      </w:r>
    </w:p>
    <w:p w14:paraId="33B9D8FB">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兹有</w:t>
      </w:r>
      <w:r>
        <w:rPr>
          <w:rFonts w:hint="eastAsia" w:ascii="宋体"/>
          <w:color w:val="auto"/>
          <w:sz w:val="24"/>
          <w:szCs w:val="24"/>
          <w:highlight w:val="none"/>
          <w:u w:val="single"/>
        </w:rPr>
        <w:t>（填写“联合体中各方的全称”，各方的全称之间请用“、”分割）</w:t>
      </w:r>
      <w:r>
        <w:rPr>
          <w:rFonts w:hint="eastAsia" w:ascii="宋体"/>
          <w:color w:val="auto"/>
          <w:sz w:val="24"/>
          <w:szCs w:val="24"/>
          <w:highlight w:val="none"/>
        </w:rPr>
        <w:t>自愿组成联合体，共同参加</w:t>
      </w:r>
      <w:r>
        <w:rPr>
          <w:rFonts w:hint="eastAsia" w:ascii="宋体"/>
          <w:color w:val="auto"/>
          <w:sz w:val="24"/>
          <w:szCs w:val="24"/>
          <w:highlight w:val="none"/>
          <w:u w:val="single"/>
        </w:rPr>
        <w:t xml:space="preserve">（填写“项目名称”） </w:t>
      </w:r>
      <w:r>
        <w:rPr>
          <w:rFonts w:hint="eastAsia" w:ascii="宋体"/>
          <w:color w:val="auto"/>
          <w:sz w:val="24"/>
          <w:szCs w:val="24"/>
          <w:highlight w:val="none"/>
        </w:rPr>
        <w:t>项目（项目编号：</w:t>
      </w:r>
      <w:r>
        <w:rPr>
          <w:rFonts w:hint="eastAsia" w:ascii="宋体"/>
          <w:color w:val="auto"/>
          <w:sz w:val="24"/>
          <w:szCs w:val="24"/>
          <w:highlight w:val="none"/>
          <w:u w:val="single"/>
        </w:rPr>
        <w:t xml:space="preserve">         </w:t>
      </w:r>
      <w:r>
        <w:rPr>
          <w:rFonts w:hint="eastAsia" w:ascii="宋体"/>
          <w:color w:val="auto"/>
          <w:sz w:val="24"/>
          <w:szCs w:val="24"/>
          <w:highlight w:val="none"/>
        </w:rPr>
        <w:t>）的投标。现就联合体参加本项目投标的有关事宜达成下列协议：</w:t>
      </w:r>
    </w:p>
    <w:p w14:paraId="23DAF8F2">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一、联合体各方应承担的工作和义务具体如下：</w:t>
      </w:r>
    </w:p>
    <w:p w14:paraId="4A1DA88D">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1、牵头方（</w:t>
      </w:r>
      <w:r>
        <w:rPr>
          <w:rFonts w:hint="eastAsia" w:ascii="宋体"/>
          <w:color w:val="auto"/>
          <w:sz w:val="24"/>
          <w:szCs w:val="24"/>
          <w:highlight w:val="none"/>
          <w:u w:val="single"/>
        </w:rPr>
        <w:t>全称</w:t>
      </w:r>
      <w:r>
        <w:rPr>
          <w:rFonts w:hint="eastAsia" w:ascii="宋体"/>
          <w:color w:val="auto"/>
          <w:sz w:val="24"/>
          <w:szCs w:val="24"/>
          <w:highlight w:val="none"/>
        </w:rPr>
        <w:t>）：</w:t>
      </w:r>
      <w:r>
        <w:rPr>
          <w:rFonts w:hint="eastAsia" w:ascii="宋体"/>
          <w:color w:val="auto"/>
          <w:sz w:val="24"/>
          <w:szCs w:val="24"/>
          <w:highlight w:val="none"/>
          <w:u w:val="single"/>
        </w:rPr>
        <w:t xml:space="preserve"> （填写“工作及义务的具体内容”） </w:t>
      </w:r>
      <w:r>
        <w:rPr>
          <w:rFonts w:hint="eastAsia" w:ascii="宋体"/>
          <w:color w:val="auto"/>
          <w:sz w:val="24"/>
          <w:szCs w:val="24"/>
          <w:highlight w:val="none"/>
        </w:rPr>
        <w:t>；</w:t>
      </w:r>
    </w:p>
    <w:p w14:paraId="62F06327">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2、成员方：</w:t>
      </w:r>
    </w:p>
    <w:p w14:paraId="17C7DCD9">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2.1</w:t>
      </w:r>
      <w:r>
        <w:rPr>
          <w:rFonts w:hint="eastAsia" w:ascii="宋体"/>
          <w:color w:val="auto"/>
          <w:sz w:val="24"/>
          <w:szCs w:val="24"/>
          <w:highlight w:val="none"/>
          <w:u w:val="single"/>
        </w:rPr>
        <w:t>（成员一的全称）</w:t>
      </w:r>
      <w:r>
        <w:rPr>
          <w:rFonts w:hint="eastAsia" w:ascii="宋体"/>
          <w:color w:val="auto"/>
          <w:sz w:val="24"/>
          <w:szCs w:val="24"/>
          <w:highlight w:val="none"/>
        </w:rPr>
        <w:t>：</w:t>
      </w:r>
      <w:r>
        <w:rPr>
          <w:rFonts w:hint="eastAsia" w:ascii="宋体"/>
          <w:color w:val="auto"/>
          <w:sz w:val="24"/>
          <w:szCs w:val="24"/>
          <w:highlight w:val="none"/>
          <w:u w:val="single"/>
        </w:rPr>
        <w:t xml:space="preserve"> （填写“工作及义务的具体内容”） </w:t>
      </w:r>
      <w:r>
        <w:rPr>
          <w:rFonts w:hint="eastAsia" w:ascii="宋体"/>
          <w:color w:val="auto"/>
          <w:sz w:val="24"/>
          <w:szCs w:val="24"/>
          <w:highlight w:val="none"/>
        </w:rPr>
        <w:t>；</w:t>
      </w:r>
    </w:p>
    <w:p w14:paraId="33D91D5A">
      <w:pPr>
        <w:spacing w:line="400" w:lineRule="exact"/>
        <w:ind w:firstLine="480" w:firstLineChars="200"/>
        <w:rPr>
          <w:rFonts w:ascii="宋体"/>
          <w:color w:val="auto"/>
          <w:sz w:val="24"/>
          <w:szCs w:val="24"/>
          <w:highlight w:val="none"/>
        </w:rPr>
      </w:pPr>
      <w:r>
        <w:rPr>
          <w:rFonts w:ascii="宋体"/>
          <w:color w:val="auto"/>
          <w:sz w:val="24"/>
          <w:szCs w:val="24"/>
          <w:highlight w:val="none"/>
        </w:rPr>
        <w:t>……</w:t>
      </w:r>
      <w:r>
        <w:rPr>
          <w:rFonts w:hint="eastAsia" w:ascii="宋体"/>
          <w:color w:val="auto"/>
          <w:sz w:val="24"/>
          <w:szCs w:val="24"/>
          <w:highlight w:val="none"/>
        </w:rPr>
        <w:t>。</w:t>
      </w:r>
    </w:p>
    <w:p w14:paraId="7A5C2303">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二、联合体各方约定由</w:t>
      </w:r>
      <w:r>
        <w:rPr>
          <w:rFonts w:hint="eastAsia" w:ascii="宋体"/>
          <w:color w:val="auto"/>
          <w:sz w:val="24"/>
          <w:szCs w:val="24"/>
          <w:highlight w:val="none"/>
          <w:u w:val="single"/>
        </w:rPr>
        <w:t>（填写“牵头方的全称”）</w:t>
      </w:r>
      <w:r>
        <w:rPr>
          <w:rFonts w:hint="eastAsia" w:ascii="宋体"/>
          <w:color w:val="auto"/>
          <w:sz w:val="24"/>
          <w:szCs w:val="24"/>
          <w:highlight w:val="none"/>
        </w:rPr>
        <w:t>代表联合体办理参加本项目投标的有关事宜（包括但不限于：派出投标人代表、提交投标文件及参加开标、谈判、澄清等），在此过程中，投标人代表签署的一切文件和处理结果，联合体均予以认可并对此承担责任。</w:t>
      </w:r>
    </w:p>
    <w:p w14:paraId="5AF6586F">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三、联合体各方约定由</w:t>
      </w:r>
      <w:r>
        <w:rPr>
          <w:rFonts w:hint="eastAsia" w:ascii="宋体"/>
          <w:color w:val="auto"/>
          <w:sz w:val="24"/>
          <w:szCs w:val="24"/>
          <w:highlight w:val="none"/>
          <w:u w:val="single"/>
        </w:rPr>
        <w:t>（填写“牵头方的全称”）</w:t>
      </w:r>
      <w:r>
        <w:rPr>
          <w:rFonts w:hint="eastAsia" w:ascii="宋体"/>
          <w:color w:val="auto"/>
          <w:sz w:val="24"/>
          <w:szCs w:val="24"/>
          <w:highlight w:val="none"/>
        </w:rPr>
        <w:t>代表联合体办理投标保证金事宜。</w:t>
      </w:r>
    </w:p>
    <w:p w14:paraId="61596565">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四、若中标，牵头方将代表联合体与采购人就合同签订事宜进行协商；若协商一致，则联合体各方将共同与采购人签订采购合同，并就采购合同约定的事项对采购人承担连带责任。</w:t>
      </w:r>
    </w:p>
    <w:p w14:paraId="472B7387">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五、本协议自签署之日起生效，采购合同履行完毕后自动失效。</w:t>
      </w:r>
    </w:p>
    <w:p w14:paraId="733A79C7">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六、本协议一式</w:t>
      </w:r>
      <w:r>
        <w:rPr>
          <w:rFonts w:hint="eastAsia" w:ascii="宋体"/>
          <w:color w:val="auto"/>
          <w:sz w:val="24"/>
          <w:szCs w:val="24"/>
          <w:highlight w:val="none"/>
          <w:u w:val="single"/>
        </w:rPr>
        <w:t>（填写具体份数）</w:t>
      </w:r>
      <w:r>
        <w:rPr>
          <w:rFonts w:hint="eastAsia" w:ascii="宋体"/>
          <w:color w:val="auto"/>
          <w:sz w:val="24"/>
          <w:szCs w:val="24"/>
          <w:highlight w:val="none"/>
        </w:rPr>
        <w:t>份，联合体各方各执一份，投标文件中提交一份。</w:t>
      </w:r>
    </w:p>
    <w:p w14:paraId="5D9EA79D">
      <w:pPr>
        <w:spacing w:line="400" w:lineRule="exact"/>
        <w:jc w:val="center"/>
        <w:rPr>
          <w:rFonts w:ascii="宋体"/>
          <w:color w:val="auto"/>
          <w:sz w:val="24"/>
          <w:szCs w:val="24"/>
          <w:highlight w:val="none"/>
        </w:rPr>
      </w:pPr>
      <w:r>
        <w:rPr>
          <w:rFonts w:hint="eastAsia" w:ascii="宋体"/>
          <w:color w:val="auto"/>
          <w:sz w:val="24"/>
          <w:szCs w:val="24"/>
          <w:highlight w:val="none"/>
        </w:rPr>
        <w:t>（以下无正文）</w:t>
      </w:r>
    </w:p>
    <w:p w14:paraId="2F68FAF9">
      <w:pPr>
        <w:spacing w:line="400" w:lineRule="exact"/>
        <w:rPr>
          <w:rFonts w:ascii="宋体"/>
          <w:color w:val="auto"/>
          <w:sz w:val="24"/>
          <w:szCs w:val="24"/>
          <w:highlight w:val="none"/>
          <w:u w:val="single"/>
        </w:rPr>
      </w:pPr>
      <w:r>
        <w:rPr>
          <w:rFonts w:hint="eastAsia" w:ascii="宋体"/>
          <w:color w:val="auto"/>
          <w:sz w:val="24"/>
          <w:szCs w:val="24"/>
          <w:highlight w:val="none"/>
        </w:rPr>
        <w:t>牵头方：</w:t>
      </w:r>
      <w:r>
        <w:rPr>
          <w:rFonts w:hint="eastAsia" w:ascii="宋体"/>
          <w:color w:val="auto"/>
          <w:sz w:val="24"/>
          <w:szCs w:val="24"/>
          <w:highlight w:val="none"/>
          <w:u w:val="single"/>
        </w:rPr>
        <w:t>（全称并加盖单位公章）</w:t>
      </w:r>
    </w:p>
    <w:p w14:paraId="44558ABC">
      <w:pPr>
        <w:spacing w:line="400" w:lineRule="exact"/>
        <w:rPr>
          <w:rFonts w:ascii="宋体"/>
          <w:color w:val="auto"/>
          <w:sz w:val="24"/>
          <w:szCs w:val="24"/>
          <w:highlight w:val="none"/>
        </w:rPr>
      </w:pPr>
      <w:r>
        <w:rPr>
          <w:rFonts w:hint="eastAsia" w:ascii="宋体"/>
          <w:color w:val="auto"/>
          <w:sz w:val="24"/>
          <w:szCs w:val="24"/>
          <w:highlight w:val="none"/>
        </w:rPr>
        <w:t>单位负责人或其委托代理人：</w:t>
      </w:r>
      <w:r>
        <w:rPr>
          <w:rFonts w:hint="eastAsia" w:ascii="宋体"/>
          <w:color w:val="auto"/>
          <w:sz w:val="24"/>
          <w:szCs w:val="24"/>
          <w:highlight w:val="none"/>
          <w:u w:val="single"/>
        </w:rPr>
        <w:t xml:space="preserve">  （签字或盖章）  </w:t>
      </w:r>
    </w:p>
    <w:p w14:paraId="57F86A92">
      <w:pPr>
        <w:spacing w:line="400" w:lineRule="exact"/>
        <w:rPr>
          <w:rFonts w:ascii="宋体"/>
          <w:color w:val="auto"/>
          <w:sz w:val="24"/>
          <w:szCs w:val="24"/>
          <w:highlight w:val="none"/>
        </w:rPr>
      </w:pPr>
    </w:p>
    <w:p w14:paraId="59A9090F">
      <w:pPr>
        <w:spacing w:line="400" w:lineRule="exact"/>
        <w:rPr>
          <w:rFonts w:ascii="宋体"/>
          <w:color w:val="auto"/>
          <w:sz w:val="24"/>
          <w:szCs w:val="24"/>
          <w:highlight w:val="none"/>
          <w:u w:val="single"/>
        </w:rPr>
      </w:pPr>
      <w:r>
        <w:rPr>
          <w:rFonts w:hint="eastAsia" w:ascii="宋体"/>
          <w:color w:val="auto"/>
          <w:sz w:val="24"/>
          <w:szCs w:val="24"/>
          <w:highlight w:val="none"/>
        </w:rPr>
        <w:t>成员一：</w:t>
      </w:r>
      <w:r>
        <w:rPr>
          <w:rFonts w:hint="eastAsia" w:ascii="宋体"/>
          <w:color w:val="auto"/>
          <w:sz w:val="24"/>
          <w:szCs w:val="24"/>
          <w:highlight w:val="none"/>
          <w:u w:val="single"/>
        </w:rPr>
        <w:t>（全称并加盖成员一的单位公章）</w:t>
      </w:r>
    </w:p>
    <w:p w14:paraId="030972CD">
      <w:pPr>
        <w:spacing w:line="400" w:lineRule="exact"/>
        <w:rPr>
          <w:rFonts w:ascii="宋体"/>
          <w:color w:val="auto"/>
          <w:sz w:val="24"/>
          <w:szCs w:val="24"/>
          <w:highlight w:val="none"/>
        </w:rPr>
      </w:pPr>
      <w:r>
        <w:rPr>
          <w:rFonts w:hint="eastAsia" w:ascii="宋体"/>
          <w:color w:val="auto"/>
          <w:sz w:val="24"/>
          <w:szCs w:val="24"/>
          <w:highlight w:val="none"/>
        </w:rPr>
        <w:t>单位负责人或其委托代理人：</w:t>
      </w:r>
      <w:r>
        <w:rPr>
          <w:rFonts w:hint="eastAsia" w:ascii="宋体"/>
          <w:color w:val="auto"/>
          <w:sz w:val="24"/>
          <w:szCs w:val="24"/>
          <w:highlight w:val="none"/>
          <w:u w:val="single"/>
        </w:rPr>
        <w:t xml:space="preserve">  （签字或盖章）  </w:t>
      </w:r>
    </w:p>
    <w:p w14:paraId="1F4519A4">
      <w:pPr>
        <w:spacing w:line="400" w:lineRule="exact"/>
        <w:rPr>
          <w:rFonts w:ascii="宋体"/>
          <w:color w:val="auto"/>
          <w:sz w:val="24"/>
          <w:szCs w:val="24"/>
          <w:highlight w:val="none"/>
        </w:rPr>
      </w:pPr>
      <w:r>
        <w:rPr>
          <w:rFonts w:hint="eastAsia" w:ascii="宋体"/>
          <w:color w:val="auto"/>
          <w:sz w:val="24"/>
          <w:szCs w:val="24"/>
          <w:highlight w:val="none"/>
        </w:rPr>
        <w:t>……</w:t>
      </w:r>
    </w:p>
    <w:p w14:paraId="3EF69F87">
      <w:pPr>
        <w:spacing w:line="400" w:lineRule="exact"/>
        <w:rPr>
          <w:rFonts w:ascii="宋体"/>
          <w:color w:val="auto"/>
          <w:sz w:val="24"/>
          <w:szCs w:val="24"/>
          <w:highlight w:val="none"/>
        </w:rPr>
      </w:pPr>
      <w:r>
        <w:rPr>
          <w:rFonts w:ascii="宋体"/>
          <w:color w:val="auto"/>
          <w:sz w:val="24"/>
          <w:szCs w:val="24"/>
          <w:highlight w:val="none"/>
        </w:rPr>
        <w:t>成员</w:t>
      </w:r>
      <w:r>
        <w:rPr>
          <w:rFonts w:hint="eastAsia" w:ascii="宋体"/>
          <w:color w:val="auto"/>
          <w:sz w:val="24"/>
          <w:szCs w:val="24"/>
          <w:highlight w:val="none"/>
        </w:rPr>
        <w:t>…：</w:t>
      </w:r>
      <w:r>
        <w:rPr>
          <w:rFonts w:hint="eastAsia" w:ascii="宋体"/>
          <w:color w:val="auto"/>
          <w:sz w:val="24"/>
          <w:szCs w:val="24"/>
          <w:highlight w:val="none"/>
          <w:u w:val="single"/>
        </w:rPr>
        <w:t>（全称并加盖成员</w:t>
      </w:r>
      <w:r>
        <w:rPr>
          <w:rFonts w:hint="eastAsia" w:ascii="宋体"/>
          <w:color w:val="auto"/>
          <w:sz w:val="24"/>
          <w:szCs w:val="24"/>
          <w:highlight w:val="none"/>
        </w:rPr>
        <w:t>…</w:t>
      </w:r>
      <w:r>
        <w:rPr>
          <w:rFonts w:hint="eastAsia" w:ascii="宋体"/>
          <w:color w:val="auto"/>
          <w:sz w:val="24"/>
          <w:szCs w:val="24"/>
          <w:highlight w:val="none"/>
          <w:u w:val="single"/>
        </w:rPr>
        <w:t>的单位公章）</w:t>
      </w:r>
    </w:p>
    <w:p w14:paraId="12D888EB">
      <w:pPr>
        <w:spacing w:line="400" w:lineRule="exact"/>
        <w:rPr>
          <w:rFonts w:ascii="宋体"/>
          <w:color w:val="auto"/>
          <w:sz w:val="24"/>
          <w:szCs w:val="24"/>
          <w:highlight w:val="none"/>
        </w:rPr>
      </w:pPr>
      <w:r>
        <w:rPr>
          <w:rFonts w:hint="eastAsia" w:ascii="宋体"/>
          <w:color w:val="auto"/>
          <w:sz w:val="24"/>
          <w:szCs w:val="24"/>
          <w:highlight w:val="none"/>
        </w:rPr>
        <w:t>单位负责人或其委托代理人：</w:t>
      </w:r>
      <w:r>
        <w:rPr>
          <w:rFonts w:hint="eastAsia" w:ascii="宋体"/>
          <w:color w:val="auto"/>
          <w:sz w:val="24"/>
          <w:szCs w:val="24"/>
          <w:highlight w:val="none"/>
          <w:u w:val="single"/>
        </w:rPr>
        <w:t xml:space="preserve">  （签字或盖章）  </w:t>
      </w:r>
    </w:p>
    <w:p w14:paraId="591A8055">
      <w:pPr>
        <w:spacing w:line="400" w:lineRule="exact"/>
        <w:rPr>
          <w:rFonts w:ascii="宋体"/>
          <w:color w:val="auto"/>
          <w:sz w:val="24"/>
          <w:szCs w:val="24"/>
          <w:highlight w:val="none"/>
        </w:rPr>
      </w:pPr>
    </w:p>
    <w:p w14:paraId="348D7116">
      <w:pPr>
        <w:spacing w:line="400" w:lineRule="exact"/>
        <w:ind w:right="240"/>
        <w:jc w:val="right"/>
        <w:rPr>
          <w:rFonts w:ascii="宋体"/>
          <w:color w:val="auto"/>
          <w:sz w:val="24"/>
          <w:szCs w:val="24"/>
          <w:highlight w:val="none"/>
        </w:rPr>
      </w:pPr>
      <w:r>
        <w:rPr>
          <w:rFonts w:hint="eastAsia" w:ascii="宋体"/>
          <w:color w:val="auto"/>
          <w:sz w:val="24"/>
          <w:szCs w:val="24"/>
          <w:highlight w:val="none"/>
        </w:rPr>
        <w:t>签署日期：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47736B47">
      <w:pPr>
        <w:spacing w:line="400" w:lineRule="exact"/>
        <w:rPr>
          <w:rFonts w:ascii="宋体"/>
          <w:color w:val="auto"/>
          <w:sz w:val="24"/>
          <w:szCs w:val="24"/>
          <w:highlight w:val="none"/>
        </w:rPr>
      </w:pPr>
      <w:r>
        <w:rPr>
          <w:rFonts w:hint="eastAsia" w:ascii="宋体"/>
          <w:color w:val="auto"/>
          <w:sz w:val="24"/>
          <w:szCs w:val="24"/>
          <w:highlight w:val="none"/>
        </w:rPr>
        <w:t>注意：</w:t>
      </w:r>
    </w:p>
    <w:p w14:paraId="1E9426C8">
      <w:pPr>
        <w:spacing w:line="400" w:lineRule="exact"/>
        <w:rPr>
          <w:rFonts w:ascii="宋体"/>
          <w:color w:val="auto"/>
          <w:sz w:val="24"/>
          <w:szCs w:val="24"/>
          <w:highlight w:val="none"/>
        </w:rPr>
      </w:pPr>
      <w:r>
        <w:rPr>
          <w:rFonts w:hint="eastAsia" w:ascii="宋体"/>
          <w:color w:val="auto"/>
          <w:sz w:val="24"/>
          <w:szCs w:val="24"/>
          <w:highlight w:val="none"/>
        </w:rPr>
        <w:t>1、本协议由委托代理人签字或盖章的，应按照本章载明的格式提供“单位负责人授权书”。</w:t>
      </w:r>
    </w:p>
    <w:p w14:paraId="43B8DC15">
      <w:pPr>
        <w:spacing w:line="400" w:lineRule="exact"/>
        <w:rPr>
          <w:rFonts w:ascii="宋体"/>
          <w:color w:val="auto"/>
          <w:sz w:val="24"/>
          <w:szCs w:val="24"/>
          <w:highlight w:val="none"/>
        </w:rPr>
      </w:pPr>
      <w:r>
        <w:rPr>
          <w:rFonts w:hint="eastAsia" w:ascii="宋体"/>
          <w:color w:val="auto"/>
          <w:sz w:val="24"/>
          <w:szCs w:val="24"/>
          <w:highlight w:val="none"/>
        </w:rPr>
        <w:t>2、本格式只针对允许招标文件中联合体投标且投标人以联合体形式参与投标的。</w:t>
      </w:r>
    </w:p>
    <w:p w14:paraId="0F9EDB38">
      <w:pPr>
        <w:spacing w:line="400" w:lineRule="exact"/>
        <w:rPr>
          <w:rFonts w:ascii="宋体"/>
          <w:color w:val="auto"/>
          <w:sz w:val="24"/>
          <w:szCs w:val="24"/>
          <w:highlight w:val="none"/>
        </w:rPr>
      </w:pPr>
    </w:p>
    <w:p w14:paraId="6C9923D9">
      <w:pPr>
        <w:keepLines/>
        <w:pageBreakBefore/>
        <w:spacing w:line="360" w:lineRule="auto"/>
        <w:jc w:val="center"/>
        <w:rPr>
          <w:rFonts w:ascii="宋体"/>
          <w:b/>
          <w:color w:val="auto"/>
          <w:sz w:val="72"/>
          <w:highlight w:val="none"/>
        </w:rPr>
      </w:pPr>
      <w:r>
        <w:rPr>
          <w:rFonts w:hint="eastAsia" w:ascii="宋体"/>
          <w:b/>
          <w:color w:val="auto"/>
          <w:sz w:val="72"/>
          <w:highlight w:val="none"/>
        </w:rPr>
        <w:t>采购项目</w:t>
      </w:r>
    </w:p>
    <w:p w14:paraId="52F0142D">
      <w:pPr>
        <w:spacing w:line="360" w:lineRule="auto"/>
        <w:jc w:val="center"/>
        <w:rPr>
          <w:b/>
          <w:color w:val="auto"/>
          <w:sz w:val="48"/>
          <w:szCs w:val="48"/>
          <w:highlight w:val="none"/>
        </w:rPr>
      </w:pPr>
      <w:r>
        <w:rPr>
          <w:rFonts w:hint="eastAsia" w:ascii="宋体"/>
          <w:b/>
          <w:color w:val="auto"/>
          <w:sz w:val="72"/>
          <w:highlight w:val="none"/>
        </w:rPr>
        <w:t>投  标  文  件</w:t>
      </w:r>
    </w:p>
    <w:p w14:paraId="02822B6C">
      <w:pPr>
        <w:jc w:val="center"/>
        <w:outlineLvl w:val="1"/>
        <w:rPr>
          <w:color w:val="auto"/>
          <w:sz w:val="36"/>
          <w:szCs w:val="36"/>
          <w:highlight w:val="none"/>
        </w:rPr>
      </w:pPr>
      <w:bookmarkStart w:id="215" w:name="_Toc27017"/>
      <w:bookmarkStart w:id="216" w:name="_Toc531742176"/>
      <w:bookmarkStart w:id="217" w:name="_Toc23540"/>
      <w:r>
        <w:rPr>
          <w:rFonts w:hint="eastAsia"/>
          <w:b/>
          <w:color w:val="auto"/>
          <w:sz w:val="48"/>
          <w:szCs w:val="48"/>
          <w:highlight w:val="none"/>
        </w:rPr>
        <w:t>（技术商务部分）</w:t>
      </w:r>
      <w:bookmarkEnd w:id="215"/>
      <w:bookmarkEnd w:id="216"/>
      <w:bookmarkEnd w:id="217"/>
    </w:p>
    <w:p w14:paraId="058FB89F">
      <w:pPr>
        <w:spacing w:line="360" w:lineRule="auto"/>
        <w:rPr>
          <w:color w:val="auto"/>
          <w:sz w:val="36"/>
          <w:szCs w:val="36"/>
          <w:highlight w:val="none"/>
        </w:rPr>
      </w:pPr>
    </w:p>
    <w:p w14:paraId="07C3EF09">
      <w:pPr>
        <w:spacing w:line="360" w:lineRule="auto"/>
        <w:jc w:val="center"/>
        <w:rPr>
          <w:b/>
          <w:color w:val="auto"/>
          <w:sz w:val="36"/>
          <w:szCs w:val="36"/>
          <w:highlight w:val="none"/>
          <w:u w:val="single"/>
        </w:rPr>
      </w:pPr>
      <w:r>
        <w:rPr>
          <w:rFonts w:hint="eastAsia"/>
          <w:b/>
          <w:color w:val="auto"/>
          <w:sz w:val="36"/>
          <w:szCs w:val="36"/>
          <w:highlight w:val="none"/>
          <w:u w:val="single"/>
        </w:rPr>
        <w:t>（填写正本或副本）</w:t>
      </w:r>
    </w:p>
    <w:p w14:paraId="5BE4E8BA">
      <w:pPr>
        <w:spacing w:line="360" w:lineRule="auto"/>
        <w:rPr>
          <w:color w:val="auto"/>
          <w:sz w:val="36"/>
          <w:szCs w:val="36"/>
          <w:highlight w:val="none"/>
        </w:rPr>
      </w:pPr>
    </w:p>
    <w:p w14:paraId="6B555C86">
      <w:pPr>
        <w:spacing w:line="360" w:lineRule="auto"/>
        <w:ind w:firstLine="1928" w:firstLineChars="600"/>
        <w:jc w:val="left"/>
        <w:rPr>
          <w:b/>
          <w:color w:val="auto"/>
          <w:sz w:val="32"/>
          <w:szCs w:val="32"/>
          <w:highlight w:val="none"/>
          <w:u w:val="single"/>
        </w:rPr>
      </w:pPr>
      <w:r>
        <w:rPr>
          <w:rFonts w:hint="eastAsia"/>
          <w:b/>
          <w:color w:val="auto"/>
          <w:sz w:val="32"/>
          <w:szCs w:val="32"/>
          <w:highlight w:val="none"/>
        </w:rPr>
        <w:t>项目名称：</w:t>
      </w:r>
      <w:r>
        <w:rPr>
          <w:rFonts w:hint="eastAsia"/>
          <w:b/>
          <w:color w:val="auto"/>
          <w:sz w:val="32"/>
          <w:szCs w:val="32"/>
          <w:highlight w:val="none"/>
          <w:u w:val="single"/>
        </w:rPr>
        <w:t>（由投标人填写）</w:t>
      </w:r>
    </w:p>
    <w:p w14:paraId="3BDE1A77">
      <w:pPr>
        <w:spacing w:line="360" w:lineRule="auto"/>
        <w:ind w:firstLine="1928" w:firstLineChars="600"/>
        <w:jc w:val="left"/>
        <w:rPr>
          <w:b/>
          <w:color w:val="auto"/>
          <w:sz w:val="32"/>
          <w:szCs w:val="32"/>
          <w:highlight w:val="none"/>
          <w:u w:val="single"/>
        </w:rPr>
      </w:pPr>
      <w:r>
        <w:rPr>
          <w:rFonts w:hint="eastAsia"/>
          <w:b/>
          <w:color w:val="auto"/>
          <w:sz w:val="32"/>
          <w:szCs w:val="32"/>
          <w:highlight w:val="none"/>
        </w:rPr>
        <w:t>项目编号：</w:t>
      </w:r>
      <w:r>
        <w:rPr>
          <w:rFonts w:hint="eastAsia"/>
          <w:b/>
          <w:color w:val="auto"/>
          <w:sz w:val="32"/>
          <w:szCs w:val="32"/>
          <w:highlight w:val="none"/>
          <w:u w:val="single"/>
        </w:rPr>
        <w:t>（由投标人填写）</w:t>
      </w:r>
    </w:p>
    <w:p w14:paraId="6BAD89C4">
      <w:pPr>
        <w:spacing w:line="360" w:lineRule="auto"/>
        <w:ind w:firstLine="2160" w:firstLineChars="600"/>
        <w:jc w:val="left"/>
        <w:rPr>
          <w:color w:val="auto"/>
          <w:sz w:val="36"/>
          <w:szCs w:val="36"/>
          <w:highlight w:val="none"/>
        </w:rPr>
      </w:pPr>
    </w:p>
    <w:p w14:paraId="0FF4C4CE">
      <w:pPr>
        <w:spacing w:line="360" w:lineRule="auto"/>
        <w:rPr>
          <w:color w:val="auto"/>
          <w:sz w:val="36"/>
          <w:szCs w:val="36"/>
          <w:highlight w:val="none"/>
        </w:rPr>
      </w:pPr>
    </w:p>
    <w:p w14:paraId="3DE6BD0A">
      <w:pPr>
        <w:spacing w:line="360" w:lineRule="auto"/>
        <w:rPr>
          <w:color w:val="auto"/>
          <w:sz w:val="36"/>
          <w:szCs w:val="36"/>
          <w:highlight w:val="none"/>
        </w:rPr>
      </w:pPr>
    </w:p>
    <w:p w14:paraId="30D54328">
      <w:pPr>
        <w:spacing w:line="360" w:lineRule="auto"/>
        <w:rPr>
          <w:color w:val="auto"/>
          <w:sz w:val="36"/>
          <w:szCs w:val="36"/>
          <w:highlight w:val="none"/>
        </w:rPr>
      </w:pPr>
    </w:p>
    <w:p w14:paraId="4531745E">
      <w:pPr>
        <w:spacing w:line="360" w:lineRule="auto"/>
        <w:jc w:val="center"/>
        <w:rPr>
          <w:b/>
          <w:color w:val="auto"/>
          <w:sz w:val="32"/>
          <w:szCs w:val="32"/>
          <w:highlight w:val="none"/>
        </w:rPr>
      </w:pPr>
      <w:r>
        <w:rPr>
          <w:rFonts w:hint="eastAsia"/>
          <w:b/>
          <w:color w:val="auto"/>
          <w:sz w:val="32"/>
          <w:szCs w:val="32"/>
          <w:highlight w:val="none"/>
        </w:rPr>
        <w:t>投标人：</w:t>
      </w:r>
      <w:r>
        <w:rPr>
          <w:rFonts w:hint="eastAsia"/>
          <w:b/>
          <w:color w:val="auto"/>
          <w:sz w:val="32"/>
          <w:szCs w:val="32"/>
          <w:highlight w:val="none"/>
          <w:u w:val="single"/>
        </w:rPr>
        <w:t>（填写“全称”）</w:t>
      </w:r>
    </w:p>
    <w:p w14:paraId="136676E4">
      <w:pPr>
        <w:spacing w:line="360" w:lineRule="auto"/>
        <w:rPr>
          <w:b/>
          <w:color w:val="auto"/>
          <w:sz w:val="32"/>
          <w:szCs w:val="32"/>
          <w:highlight w:val="none"/>
          <w:u w:val="single"/>
        </w:rPr>
      </w:pPr>
    </w:p>
    <w:p w14:paraId="63BCE67C">
      <w:pPr>
        <w:spacing w:line="360" w:lineRule="auto"/>
        <w:ind w:firstLine="1911" w:firstLineChars="595"/>
        <w:rPr>
          <w:b/>
          <w:color w:val="auto"/>
          <w:sz w:val="28"/>
          <w:szCs w:val="28"/>
          <w:highlight w:val="none"/>
        </w:rPr>
      </w:pPr>
      <w:r>
        <w:rPr>
          <w:rFonts w:hint="eastAsia"/>
          <w:b/>
          <w:color w:val="auto"/>
          <w:sz w:val="32"/>
          <w:szCs w:val="32"/>
          <w:highlight w:val="none"/>
          <w:u w:val="single"/>
        </w:rPr>
        <w:t>（由投标人填写）</w:t>
      </w:r>
      <w:r>
        <w:rPr>
          <w:rFonts w:hint="eastAsia"/>
          <w:b/>
          <w:color w:val="auto"/>
          <w:sz w:val="32"/>
          <w:szCs w:val="32"/>
          <w:highlight w:val="none"/>
        </w:rPr>
        <w:t>年</w:t>
      </w:r>
      <w:r>
        <w:rPr>
          <w:rFonts w:hint="eastAsia"/>
          <w:b/>
          <w:color w:val="auto"/>
          <w:sz w:val="32"/>
          <w:szCs w:val="32"/>
          <w:highlight w:val="none"/>
          <w:u w:val="single"/>
        </w:rPr>
        <w:t>（由投标人填写）</w:t>
      </w:r>
      <w:r>
        <w:rPr>
          <w:rFonts w:hint="eastAsia"/>
          <w:b/>
          <w:color w:val="auto"/>
          <w:sz w:val="32"/>
          <w:szCs w:val="32"/>
          <w:highlight w:val="none"/>
        </w:rPr>
        <w:t>月</w:t>
      </w:r>
    </w:p>
    <w:p w14:paraId="38859713">
      <w:pPr>
        <w:jc w:val="center"/>
        <w:rPr>
          <w:b/>
          <w:color w:val="auto"/>
          <w:sz w:val="24"/>
          <w:szCs w:val="24"/>
          <w:highlight w:val="none"/>
        </w:rPr>
        <w:sectPr>
          <w:pgSz w:w="11906" w:h="16838"/>
          <w:pgMar w:top="1134" w:right="1247" w:bottom="1134" w:left="1247" w:header="851" w:footer="992" w:gutter="0"/>
          <w:cols w:space="720" w:num="1"/>
          <w:docGrid w:type="lines" w:linePitch="312" w:charSpace="0"/>
        </w:sectPr>
      </w:pPr>
    </w:p>
    <w:p w14:paraId="32E2A746">
      <w:pPr>
        <w:jc w:val="center"/>
        <w:rPr>
          <w:b/>
          <w:color w:val="auto"/>
          <w:sz w:val="24"/>
          <w:szCs w:val="24"/>
          <w:highlight w:val="none"/>
        </w:rPr>
      </w:pPr>
      <w:r>
        <w:rPr>
          <w:b/>
          <w:color w:val="auto"/>
          <w:sz w:val="24"/>
          <w:szCs w:val="24"/>
          <w:highlight w:val="none"/>
        </w:rPr>
        <w:t>索引</w:t>
      </w:r>
    </w:p>
    <w:p w14:paraId="135ABB29">
      <w:pPr>
        <w:rPr>
          <w:rFonts w:ascii="宋体"/>
          <w:color w:val="auto"/>
          <w:sz w:val="24"/>
          <w:szCs w:val="24"/>
          <w:highlight w:val="none"/>
        </w:rPr>
      </w:pPr>
    </w:p>
    <w:p w14:paraId="00BF7096">
      <w:pPr>
        <w:spacing w:line="360" w:lineRule="auto"/>
        <w:rPr>
          <w:rFonts w:ascii="宋体"/>
          <w:color w:val="auto"/>
          <w:sz w:val="24"/>
          <w:szCs w:val="24"/>
          <w:highlight w:val="none"/>
        </w:rPr>
      </w:pPr>
      <w:r>
        <w:rPr>
          <w:rFonts w:hint="eastAsia" w:ascii="宋体"/>
          <w:color w:val="auto"/>
          <w:sz w:val="24"/>
          <w:szCs w:val="24"/>
          <w:highlight w:val="none"/>
        </w:rPr>
        <w:t>一、技术、服务及商务响应内容</w:t>
      </w:r>
    </w:p>
    <w:p w14:paraId="51F37762">
      <w:pPr>
        <w:spacing w:line="360" w:lineRule="auto"/>
        <w:rPr>
          <w:rFonts w:ascii="宋体"/>
          <w:color w:val="auto"/>
          <w:sz w:val="24"/>
          <w:szCs w:val="24"/>
          <w:highlight w:val="none"/>
        </w:rPr>
      </w:pPr>
      <w:r>
        <w:rPr>
          <w:rFonts w:hint="eastAsia" w:ascii="宋体"/>
          <w:color w:val="auto"/>
          <w:sz w:val="24"/>
          <w:szCs w:val="24"/>
          <w:highlight w:val="none"/>
        </w:rPr>
        <w:t>1、标的说明一览表</w:t>
      </w:r>
    </w:p>
    <w:p w14:paraId="3D39FED6">
      <w:pPr>
        <w:spacing w:line="360" w:lineRule="auto"/>
        <w:rPr>
          <w:rFonts w:ascii="宋体"/>
          <w:color w:val="auto"/>
          <w:sz w:val="24"/>
          <w:szCs w:val="24"/>
          <w:highlight w:val="none"/>
        </w:rPr>
      </w:pPr>
      <w:r>
        <w:rPr>
          <w:rFonts w:hint="eastAsia" w:ascii="宋体"/>
          <w:color w:val="auto"/>
          <w:sz w:val="24"/>
          <w:szCs w:val="24"/>
          <w:highlight w:val="none"/>
        </w:rPr>
        <w:t>2、技术、服务及商务要求响应表</w:t>
      </w:r>
    </w:p>
    <w:p w14:paraId="69A3875B">
      <w:pPr>
        <w:spacing w:line="360" w:lineRule="auto"/>
        <w:rPr>
          <w:rFonts w:ascii="宋体"/>
          <w:color w:val="auto"/>
          <w:sz w:val="24"/>
          <w:szCs w:val="24"/>
          <w:highlight w:val="none"/>
        </w:rPr>
      </w:pPr>
      <w:r>
        <w:rPr>
          <w:rFonts w:hint="eastAsia" w:ascii="宋体"/>
          <w:color w:val="auto"/>
          <w:sz w:val="24"/>
          <w:szCs w:val="24"/>
          <w:highlight w:val="none"/>
        </w:rPr>
        <w:t>3、带“★”号条款逐条响应情况表</w:t>
      </w:r>
    </w:p>
    <w:p w14:paraId="7EE3FB17">
      <w:pPr>
        <w:spacing w:line="360" w:lineRule="auto"/>
        <w:rPr>
          <w:rFonts w:ascii="宋体"/>
          <w:color w:val="auto"/>
          <w:sz w:val="24"/>
          <w:szCs w:val="24"/>
          <w:highlight w:val="none"/>
        </w:rPr>
      </w:pPr>
      <w:r>
        <w:rPr>
          <w:rFonts w:hint="eastAsia" w:ascii="宋体"/>
          <w:color w:val="auto"/>
          <w:sz w:val="24"/>
          <w:szCs w:val="24"/>
          <w:highlight w:val="none"/>
        </w:rPr>
        <w:t>4、带“★”号条款专项承诺函</w:t>
      </w:r>
    </w:p>
    <w:p w14:paraId="0BFCF398">
      <w:pPr>
        <w:spacing w:line="360" w:lineRule="auto"/>
        <w:rPr>
          <w:rFonts w:ascii="宋体"/>
          <w:color w:val="auto"/>
          <w:sz w:val="24"/>
          <w:szCs w:val="24"/>
          <w:highlight w:val="none"/>
          <w:u w:val="single"/>
        </w:rPr>
      </w:pPr>
      <w:r>
        <w:rPr>
          <w:rFonts w:hint="eastAsia" w:ascii="宋体"/>
          <w:color w:val="auto"/>
          <w:sz w:val="24"/>
          <w:szCs w:val="24"/>
          <w:highlight w:val="none"/>
        </w:rPr>
        <w:t>二、投标人提交的其他资料（若有）</w:t>
      </w:r>
    </w:p>
    <w:p w14:paraId="42AA80C0">
      <w:pPr>
        <w:spacing w:line="360" w:lineRule="auto"/>
        <w:rPr>
          <w:rFonts w:ascii="宋体"/>
          <w:color w:val="auto"/>
          <w:sz w:val="24"/>
          <w:szCs w:val="24"/>
          <w:highlight w:val="none"/>
        </w:rPr>
      </w:pPr>
    </w:p>
    <w:p w14:paraId="681A98A6">
      <w:pPr>
        <w:spacing w:line="400" w:lineRule="exact"/>
        <w:rPr>
          <w:rFonts w:ascii="宋体"/>
          <w:color w:val="auto"/>
          <w:sz w:val="24"/>
          <w:szCs w:val="24"/>
          <w:highlight w:val="none"/>
        </w:rPr>
      </w:pPr>
    </w:p>
    <w:p w14:paraId="5096E2B9">
      <w:pPr>
        <w:spacing w:line="400" w:lineRule="exact"/>
        <w:rPr>
          <w:rFonts w:ascii="宋体"/>
          <w:color w:val="auto"/>
          <w:sz w:val="24"/>
          <w:szCs w:val="24"/>
          <w:highlight w:val="none"/>
        </w:rPr>
      </w:pPr>
    </w:p>
    <w:p w14:paraId="69BB4E64">
      <w:pPr>
        <w:spacing w:line="400" w:lineRule="exact"/>
        <w:rPr>
          <w:rFonts w:ascii="宋体"/>
          <w:color w:val="auto"/>
          <w:sz w:val="24"/>
          <w:szCs w:val="24"/>
          <w:highlight w:val="none"/>
        </w:rPr>
      </w:pPr>
    </w:p>
    <w:p w14:paraId="511EA3BC">
      <w:pPr>
        <w:spacing w:line="400" w:lineRule="exact"/>
        <w:rPr>
          <w:rFonts w:ascii="宋体"/>
          <w:color w:val="auto"/>
          <w:sz w:val="24"/>
          <w:szCs w:val="24"/>
          <w:highlight w:val="none"/>
        </w:rPr>
      </w:pPr>
    </w:p>
    <w:p w14:paraId="1C515A91">
      <w:pPr>
        <w:spacing w:line="400" w:lineRule="exact"/>
        <w:rPr>
          <w:rFonts w:ascii="宋体"/>
          <w:color w:val="auto"/>
          <w:sz w:val="24"/>
          <w:szCs w:val="24"/>
          <w:highlight w:val="none"/>
        </w:rPr>
      </w:pPr>
    </w:p>
    <w:p w14:paraId="4A04C9C9">
      <w:pPr>
        <w:spacing w:line="400" w:lineRule="exact"/>
        <w:rPr>
          <w:rFonts w:ascii="宋体"/>
          <w:color w:val="auto"/>
          <w:sz w:val="24"/>
          <w:szCs w:val="24"/>
          <w:highlight w:val="none"/>
        </w:rPr>
      </w:pPr>
    </w:p>
    <w:p w14:paraId="2602B067">
      <w:pPr>
        <w:spacing w:line="400" w:lineRule="exact"/>
        <w:rPr>
          <w:rFonts w:ascii="宋体"/>
          <w:color w:val="auto"/>
          <w:sz w:val="24"/>
          <w:szCs w:val="24"/>
          <w:highlight w:val="none"/>
        </w:rPr>
      </w:pPr>
    </w:p>
    <w:p w14:paraId="19359495">
      <w:pPr>
        <w:spacing w:line="400" w:lineRule="exact"/>
        <w:rPr>
          <w:rFonts w:ascii="宋体"/>
          <w:color w:val="auto"/>
          <w:sz w:val="24"/>
          <w:szCs w:val="24"/>
          <w:highlight w:val="none"/>
        </w:rPr>
      </w:pPr>
    </w:p>
    <w:p w14:paraId="55085F02">
      <w:pPr>
        <w:spacing w:line="400" w:lineRule="exact"/>
        <w:rPr>
          <w:rFonts w:ascii="宋体"/>
          <w:color w:val="auto"/>
          <w:sz w:val="24"/>
          <w:szCs w:val="24"/>
          <w:highlight w:val="none"/>
        </w:rPr>
      </w:pPr>
    </w:p>
    <w:p w14:paraId="216A655A">
      <w:pPr>
        <w:spacing w:line="400" w:lineRule="exact"/>
        <w:rPr>
          <w:rFonts w:ascii="宋体"/>
          <w:color w:val="auto"/>
          <w:sz w:val="24"/>
          <w:szCs w:val="24"/>
          <w:highlight w:val="none"/>
        </w:rPr>
      </w:pPr>
    </w:p>
    <w:p w14:paraId="66B5D86A">
      <w:pPr>
        <w:spacing w:line="400" w:lineRule="exact"/>
        <w:rPr>
          <w:rFonts w:ascii="宋体"/>
          <w:color w:val="auto"/>
          <w:sz w:val="24"/>
          <w:szCs w:val="24"/>
          <w:highlight w:val="none"/>
        </w:rPr>
      </w:pPr>
    </w:p>
    <w:p w14:paraId="2D99D239">
      <w:pPr>
        <w:spacing w:line="400" w:lineRule="exact"/>
        <w:rPr>
          <w:rFonts w:ascii="宋体"/>
          <w:color w:val="auto"/>
          <w:sz w:val="24"/>
          <w:szCs w:val="24"/>
          <w:highlight w:val="none"/>
        </w:rPr>
      </w:pPr>
    </w:p>
    <w:p w14:paraId="09AA1B6C">
      <w:pPr>
        <w:spacing w:line="400" w:lineRule="exact"/>
        <w:rPr>
          <w:rFonts w:ascii="宋体"/>
          <w:color w:val="auto"/>
          <w:sz w:val="24"/>
          <w:szCs w:val="24"/>
          <w:highlight w:val="none"/>
        </w:rPr>
      </w:pPr>
    </w:p>
    <w:p w14:paraId="756FBAB6">
      <w:pPr>
        <w:spacing w:line="400" w:lineRule="exact"/>
        <w:rPr>
          <w:rFonts w:ascii="宋体"/>
          <w:color w:val="auto"/>
          <w:sz w:val="24"/>
          <w:szCs w:val="24"/>
          <w:highlight w:val="none"/>
        </w:rPr>
      </w:pPr>
    </w:p>
    <w:p w14:paraId="79B07BA0">
      <w:pPr>
        <w:spacing w:line="400" w:lineRule="exact"/>
        <w:rPr>
          <w:rFonts w:ascii="宋体"/>
          <w:color w:val="auto"/>
          <w:sz w:val="24"/>
          <w:szCs w:val="24"/>
          <w:highlight w:val="none"/>
        </w:rPr>
      </w:pPr>
    </w:p>
    <w:p w14:paraId="7A61E487">
      <w:pPr>
        <w:spacing w:line="400" w:lineRule="exact"/>
        <w:rPr>
          <w:rFonts w:ascii="宋体"/>
          <w:color w:val="auto"/>
          <w:sz w:val="24"/>
          <w:szCs w:val="24"/>
          <w:highlight w:val="none"/>
        </w:rPr>
      </w:pPr>
    </w:p>
    <w:p w14:paraId="15933887">
      <w:pPr>
        <w:spacing w:line="400" w:lineRule="exact"/>
        <w:rPr>
          <w:rFonts w:ascii="宋体"/>
          <w:color w:val="auto"/>
          <w:sz w:val="24"/>
          <w:szCs w:val="24"/>
          <w:highlight w:val="none"/>
        </w:rPr>
      </w:pPr>
    </w:p>
    <w:p w14:paraId="31FF7322">
      <w:pPr>
        <w:spacing w:line="400" w:lineRule="exact"/>
        <w:rPr>
          <w:rFonts w:ascii="宋体"/>
          <w:color w:val="auto"/>
          <w:sz w:val="24"/>
          <w:szCs w:val="24"/>
          <w:highlight w:val="none"/>
        </w:rPr>
      </w:pPr>
    </w:p>
    <w:p w14:paraId="2D1C90CA">
      <w:pPr>
        <w:spacing w:line="400" w:lineRule="exact"/>
        <w:rPr>
          <w:rFonts w:ascii="宋体"/>
          <w:color w:val="auto"/>
          <w:sz w:val="24"/>
          <w:szCs w:val="24"/>
          <w:highlight w:val="none"/>
        </w:rPr>
      </w:pPr>
    </w:p>
    <w:p w14:paraId="57D832ED">
      <w:pPr>
        <w:spacing w:line="400" w:lineRule="exact"/>
        <w:rPr>
          <w:rFonts w:ascii="宋体"/>
          <w:color w:val="auto"/>
          <w:sz w:val="24"/>
          <w:szCs w:val="24"/>
          <w:highlight w:val="none"/>
        </w:rPr>
      </w:pPr>
    </w:p>
    <w:p w14:paraId="09906D4F">
      <w:pPr>
        <w:spacing w:line="400" w:lineRule="exact"/>
        <w:rPr>
          <w:rFonts w:ascii="宋体"/>
          <w:color w:val="auto"/>
          <w:sz w:val="24"/>
          <w:szCs w:val="24"/>
          <w:highlight w:val="none"/>
        </w:rPr>
      </w:pPr>
    </w:p>
    <w:p w14:paraId="52DD8F0D">
      <w:pPr>
        <w:spacing w:line="400" w:lineRule="exact"/>
        <w:rPr>
          <w:rFonts w:ascii="宋体"/>
          <w:color w:val="auto"/>
          <w:sz w:val="24"/>
          <w:szCs w:val="24"/>
          <w:highlight w:val="none"/>
        </w:rPr>
      </w:pPr>
    </w:p>
    <w:p w14:paraId="2D0C0FC7">
      <w:pPr>
        <w:spacing w:line="400" w:lineRule="exact"/>
        <w:rPr>
          <w:rFonts w:ascii="宋体"/>
          <w:color w:val="auto"/>
          <w:sz w:val="24"/>
          <w:szCs w:val="24"/>
          <w:highlight w:val="none"/>
        </w:rPr>
      </w:pPr>
    </w:p>
    <w:p w14:paraId="5CCB776C">
      <w:pPr>
        <w:spacing w:line="400" w:lineRule="exact"/>
        <w:rPr>
          <w:rFonts w:ascii="宋体"/>
          <w:color w:val="auto"/>
          <w:sz w:val="24"/>
          <w:szCs w:val="24"/>
          <w:highlight w:val="none"/>
        </w:rPr>
      </w:pPr>
    </w:p>
    <w:p w14:paraId="0AB74D73">
      <w:pPr>
        <w:jc w:val="center"/>
        <w:rPr>
          <w:b/>
          <w:color w:val="auto"/>
          <w:sz w:val="24"/>
          <w:szCs w:val="24"/>
          <w:highlight w:val="none"/>
        </w:rPr>
      </w:pPr>
      <w:bookmarkStart w:id="218" w:name="_Toc478067455"/>
      <w:bookmarkStart w:id="219" w:name="_Toc484527780"/>
    </w:p>
    <w:p w14:paraId="348C8902">
      <w:pPr>
        <w:jc w:val="center"/>
        <w:rPr>
          <w:b/>
          <w:color w:val="auto"/>
          <w:sz w:val="24"/>
          <w:szCs w:val="24"/>
          <w:highlight w:val="none"/>
        </w:rPr>
      </w:pPr>
      <w:r>
        <w:rPr>
          <w:rFonts w:hint="eastAsia"/>
          <w:b/>
          <w:color w:val="auto"/>
          <w:sz w:val="24"/>
          <w:szCs w:val="24"/>
          <w:highlight w:val="none"/>
        </w:rPr>
        <w:t>一、技术、服务及商务</w:t>
      </w:r>
      <w:r>
        <w:rPr>
          <w:b/>
          <w:color w:val="auto"/>
          <w:sz w:val="24"/>
          <w:szCs w:val="24"/>
          <w:highlight w:val="none"/>
        </w:rPr>
        <w:t>要求响应</w:t>
      </w:r>
      <w:bookmarkEnd w:id="218"/>
      <w:r>
        <w:rPr>
          <w:rFonts w:hint="eastAsia"/>
          <w:b/>
          <w:color w:val="auto"/>
          <w:sz w:val="24"/>
          <w:szCs w:val="24"/>
          <w:highlight w:val="none"/>
        </w:rPr>
        <w:t>内容</w:t>
      </w:r>
      <w:bookmarkEnd w:id="219"/>
    </w:p>
    <w:bookmarkEnd w:id="195"/>
    <w:bookmarkEnd w:id="198"/>
    <w:bookmarkEnd w:id="199"/>
    <w:bookmarkEnd w:id="200"/>
    <w:bookmarkEnd w:id="201"/>
    <w:bookmarkEnd w:id="202"/>
    <w:bookmarkEnd w:id="203"/>
    <w:p w14:paraId="0A52EDA9">
      <w:pPr>
        <w:jc w:val="center"/>
        <w:rPr>
          <w:b/>
          <w:color w:val="auto"/>
          <w:sz w:val="24"/>
          <w:szCs w:val="24"/>
          <w:highlight w:val="none"/>
        </w:rPr>
      </w:pPr>
      <w:bookmarkStart w:id="220" w:name="_Toc484527781"/>
      <w:r>
        <w:rPr>
          <w:rFonts w:hint="eastAsia"/>
          <w:b/>
          <w:color w:val="auto"/>
          <w:sz w:val="24"/>
          <w:szCs w:val="24"/>
          <w:highlight w:val="none"/>
        </w:rPr>
        <w:t>1、标的说明</w:t>
      </w:r>
      <w:bookmarkEnd w:id="220"/>
      <w:r>
        <w:rPr>
          <w:rFonts w:hint="eastAsia"/>
          <w:b/>
          <w:color w:val="auto"/>
          <w:sz w:val="24"/>
          <w:szCs w:val="24"/>
          <w:highlight w:val="none"/>
        </w:rPr>
        <w:t>一览表</w:t>
      </w:r>
    </w:p>
    <w:p w14:paraId="72573D3E">
      <w:pPr>
        <w:spacing w:line="380" w:lineRule="exact"/>
        <w:rPr>
          <w:rFonts w:ascii="宋体"/>
          <w:color w:val="auto"/>
          <w:sz w:val="24"/>
          <w:szCs w:val="24"/>
          <w:highlight w:val="none"/>
        </w:rPr>
      </w:pPr>
      <w:r>
        <w:rPr>
          <w:rFonts w:hint="eastAsia" w:ascii="宋体"/>
          <w:color w:val="auto"/>
          <w:sz w:val="24"/>
          <w:szCs w:val="24"/>
          <w:highlight w:val="none"/>
        </w:rPr>
        <w:t>1.1、标的说明一览表（若招标文件有多个合同包、品目的，须按照所投合同包的品目顺序依次填写）</w:t>
      </w:r>
    </w:p>
    <w:tbl>
      <w:tblPr>
        <w:tblStyle w:val="28"/>
        <w:tblW w:w="988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800"/>
        <w:gridCol w:w="1545"/>
        <w:gridCol w:w="2036"/>
        <w:gridCol w:w="1239"/>
        <w:gridCol w:w="2001"/>
      </w:tblGrid>
      <w:tr w14:paraId="10D9364A">
        <w:tblPrEx>
          <w:tblCellMar>
            <w:top w:w="0" w:type="dxa"/>
            <w:left w:w="108" w:type="dxa"/>
            <w:bottom w:w="0" w:type="dxa"/>
            <w:right w:w="108" w:type="dxa"/>
          </w:tblCellMar>
        </w:tblPrEx>
        <w:trPr>
          <w:trHeight w:val="789" w:hRule="atLeast"/>
        </w:trPr>
        <w:tc>
          <w:tcPr>
            <w:tcW w:w="1260" w:type="dxa"/>
            <w:tcBorders>
              <w:top w:val="single" w:color="auto" w:sz="4" w:space="0"/>
              <w:left w:val="single" w:color="auto" w:sz="4" w:space="0"/>
              <w:bottom w:val="single" w:color="auto" w:sz="4" w:space="0"/>
              <w:right w:val="single" w:color="auto" w:sz="4" w:space="0"/>
            </w:tcBorders>
            <w:noWrap/>
            <w:vAlign w:val="center"/>
          </w:tcPr>
          <w:p w14:paraId="2AA4FE33">
            <w:pPr>
              <w:spacing w:line="380" w:lineRule="exact"/>
              <w:rPr>
                <w:rFonts w:ascii="宋体"/>
                <w:color w:val="auto"/>
                <w:sz w:val="24"/>
                <w:szCs w:val="24"/>
                <w:highlight w:val="none"/>
              </w:rPr>
            </w:pPr>
            <w:r>
              <w:rPr>
                <w:rFonts w:ascii="宋体"/>
                <w:color w:val="auto"/>
                <w:sz w:val="24"/>
                <w:szCs w:val="24"/>
                <w:highlight w:val="none"/>
              </w:rPr>
              <w:t>合同包号</w:t>
            </w:r>
            <w:r>
              <w:rPr>
                <w:rFonts w:hint="eastAsia" w:ascii="宋体"/>
                <w:color w:val="auto"/>
                <w:sz w:val="24"/>
                <w:szCs w:val="24"/>
                <w:highlight w:val="none"/>
              </w:rPr>
              <w:t>/品目号</w:t>
            </w:r>
          </w:p>
        </w:tc>
        <w:tc>
          <w:tcPr>
            <w:tcW w:w="1800" w:type="dxa"/>
            <w:tcBorders>
              <w:top w:val="single" w:color="auto" w:sz="4" w:space="0"/>
              <w:left w:val="single" w:color="auto" w:sz="4" w:space="0"/>
              <w:bottom w:val="single" w:color="auto" w:sz="4" w:space="0"/>
              <w:right w:val="single" w:color="auto" w:sz="4" w:space="0"/>
            </w:tcBorders>
            <w:noWrap/>
            <w:vAlign w:val="center"/>
          </w:tcPr>
          <w:p w14:paraId="497AE067">
            <w:pPr>
              <w:spacing w:line="380" w:lineRule="exact"/>
              <w:rPr>
                <w:rFonts w:ascii="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ign w:val="center"/>
          </w:tcPr>
          <w:p w14:paraId="463962D0">
            <w:pPr>
              <w:spacing w:line="380" w:lineRule="exact"/>
              <w:rPr>
                <w:rFonts w:ascii="宋体"/>
                <w:color w:val="auto"/>
                <w:sz w:val="24"/>
                <w:szCs w:val="24"/>
                <w:highlight w:val="none"/>
              </w:rPr>
            </w:pPr>
            <w:r>
              <w:rPr>
                <w:rFonts w:hint="eastAsia" w:ascii="宋体"/>
                <w:color w:val="auto"/>
                <w:sz w:val="24"/>
                <w:szCs w:val="24"/>
                <w:highlight w:val="none"/>
              </w:rPr>
              <w:t>标的</w:t>
            </w:r>
            <w:r>
              <w:rPr>
                <w:rFonts w:ascii="宋体"/>
                <w:color w:val="auto"/>
                <w:sz w:val="24"/>
                <w:szCs w:val="24"/>
                <w:highlight w:val="none"/>
              </w:rPr>
              <w:t>名称</w:t>
            </w:r>
          </w:p>
        </w:tc>
        <w:tc>
          <w:tcPr>
            <w:tcW w:w="2036" w:type="dxa"/>
            <w:tcBorders>
              <w:top w:val="single" w:color="auto" w:sz="4" w:space="0"/>
              <w:left w:val="single" w:color="auto" w:sz="4" w:space="0"/>
              <w:bottom w:val="single" w:color="auto" w:sz="4" w:space="0"/>
              <w:right w:val="single" w:color="auto" w:sz="4" w:space="0"/>
            </w:tcBorders>
            <w:noWrap/>
            <w:vAlign w:val="center"/>
          </w:tcPr>
          <w:p w14:paraId="46359231">
            <w:pPr>
              <w:spacing w:line="380" w:lineRule="exact"/>
              <w:rPr>
                <w:rFonts w:ascii="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noWrap/>
            <w:vAlign w:val="center"/>
          </w:tcPr>
          <w:p w14:paraId="18FFC196">
            <w:pPr>
              <w:spacing w:line="380" w:lineRule="exact"/>
              <w:rPr>
                <w:rFonts w:ascii="宋体"/>
                <w:color w:val="auto"/>
                <w:sz w:val="24"/>
                <w:szCs w:val="24"/>
                <w:highlight w:val="none"/>
              </w:rPr>
            </w:pPr>
            <w:r>
              <w:rPr>
                <w:rFonts w:ascii="宋体"/>
                <w:color w:val="auto"/>
                <w:sz w:val="24"/>
                <w:szCs w:val="24"/>
                <w:highlight w:val="none"/>
              </w:rPr>
              <w:t>数量</w:t>
            </w:r>
          </w:p>
        </w:tc>
        <w:tc>
          <w:tcPr>
            <w:tcW w:w="2001" w:type="dxa"/>
            <w:tcBorders>
              <w:top w:val="single" w:color="auto" w:sz="4" w:space="0"/>
              <w:left w:val="single" w:color="auto" w:sz="4" w:space="0"/>
              <w:bottom w:val="single" w:color="auto" w:sz="4" w:space="0"/>
              <w:right w:val="single" w:color="auto" w:sz="4" w:space="0"/>
            </w:tcBorders>
            <w:noWrap/>
            <w:vAlign w:val="center"/>
          </w:tcPr>
          <w:p w14:paraId="5470058D">
            <w:pPr>
              <w:spacing w:line="380" w:lineRule="exact"/>
              <w:ind w:right="590" w:rightChars="281"/>
              <w:rPr>
                <w:rFonts w:ascii="宋体"/>
                <w:color w:val="auto"/>
                <w:sz w:val="24"/>
                <w:szCs w:val="24"/>
                <w:highlight w:val="none"/>
              </w:rPr>
            </w:pPr>
          </w:p>
        </w:tc>
      </w:tr>
      <w:tr w14:paraId="7E8D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60" w:type="dxa"/>
            <w:tcBorders>
              <w:top w:val="single" w:color="auto" w:sz="4" w:space="0"/>
              <w:left w:val="single" w:color="auto" w:sz="4" w:space="0"/>
              <w:bottom w:val="single" w:color="auto" w:sz="4" w:space="0"/>
              <w:right w:val="single" w:color="auto" w:sz="4" w:space="0"/>
            </w:tcBorders>
            <w:noWrap/>
            <w:vAlign w:val="center"/>
          </w:tcPr>
          <w:p w14:paraId="587D249A">
            <w:pPr>
              <w:spacing w:line="380" w:lineRule="exact"/>
              <w:rPr>
                <w:rFonts w:ascii="宋体"/>
                <w:color w:val="auto"/>
                <w:sz w:val="24"/>
                <w:szCs w:val="24"/>
                <w:highlight w:val="none"/>
              </w:rPr>
            </w:pPr>
            <w:r>
              <w:rPr>
                <w:rFonts w:ascii="宋体"/>
                <w:color w:val="auto"/>
                <w:sz w:val="24"/>
                <w:szCs w:val="24"/>
                <w:highlight w:val="none"/>
              </w:rPr>
              <w:t>原产地及制造商</w:t>
            </w:r>
            <w:r>
              <w:rPr>
                <w:rFonts w:hint="eastAsia" w:ascii="宋体"/>
                <w:color w:val="auto"/>
                <w:sz w:val="24"/>
                <w:szCs w:val="24"/>
                <w:highlight w:val="none"/>
              </w:rPr>
              <w:t>/服务商</w:t>
            </w:r>
            <w:r>
              <w:rPr>
                <w:rFonts w:ascii="宋体"/>
                <w:color w:val="auto"/>
                <w:sz w:val="24"/>
                <w:szCs w:val="24"/>
                <w:highlight w:val="none"/>
              </w:rPr>
              <w:t>名称</w:t>
            </w:r>
          </w:p>
        </w:tc>
        <w:tc>
          <w:tcPr>
            <w:tcW w:w="1800" w:type="dxa"/>
            <w:tcBorders>
              <w:top w:val="single" w:color="auto" w:sz="4" w:space="0"/>
              <w:left w:val="single" w:color="auto" w:sz="4" w:space="0"/>
              <w:bottom w:val="single" w:color="auto" w:sz="4" w:space="0"/>
              <w:right w:val="single" w:color="auto" w:sz="4" w:space="0"/>
            </w:tcBorders>
            <w:noWrap/>
            <w:vAlign w:val="center"/>
          </w:tcPr>
          <w:p w14:paraId="05A6336B">
            <w:pPr>
              <w:spacing w:line="380" w:lineRule="exact"/>
              <w:rPr>
                <w:rFonts w:ascii="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ign w:val="center"/>
          </w:tcPr>
          <w:p w14:paraId="56F6C9D1">
            <w:pPr>
              <w:spacing w:line="380" w:lineRule="exact"/>
              <w:rPr>
                <w:rFonts w:ascii="宋体"/>
                <w:color w:val="auto"/>
                <w:sz w:val="24"/>
                <w:szCs w:val="24"/>
                <w:highlight w:val="none"/>
              </w:rPr>
            </w:pPr>
            <w:r>
              <w:rPr>
                <w:rFonts w:ascii="宋体"/>
                <w:color w:val="auto"/>
                <w:sz w:val="24"/>
                <w:szCs w:val="24"/>
                <w:highlight w:val="none"/>
              </w:rPr>
              <w:t>型号规格</w:t>
            </w:r>
          </w:p>
        </w:tc>
        <w:tc>
          <w:tcPr>
            <w:tcW w:w="2036" w:type="dxa"/>
            <w:tcBorders>
              <w:top w:val="single" w:color="auto" w:sz="4" w:space="0"/>
              <w:left w:val="single" w:color="auto" w:sz="4" w:space="0"/>
              <w:bottom w:val="single" w:color="auto" w:sz="4" w:space="0"/>
              <w:right w:val="single" w:color="auto" w:sz="4" w:space="0"/>
            </w:tcBorders>
            <w:noWrap/>
            <w:vAlign w:val="center"/>
          </w:tcPr>
          <w:p w14:paraId="7B05DDDF">
            <w:pPr>
              <w:spacing w:line="380" w:lineRule="exact"/>
              <w:rPr>
                <w:rFonts w:ascii="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noWrap/>
            <w:vAlign w:val="center"/>
          </w:tcPr>
          <w:p w14:paraId="395FB68D">
            <w:pPr>
              <w:spacing w:line="380" w:lineRule="exact"/>
              <w:rPr>
                <w:rFonts w:ascii="宋体"/>
                <w:color w:val="auto"/>
                <w:sz w:val="24"/>
                <w:szCs w:val="24"/>
                <w:highlight w:val="none"/>
              </w:rPr>
            </w:pPr>
            <w:r>
              <w:rPr>
                <w:rFonts w:ascii="宋体"/>
                <w:color w:val="auto"/>
                <w:sz w:val="24"/>
                <w:szCs w:val="24"/>
                <w:highlight w:val="none"/>
              </w:rPr>
              <w:t>品牌</w:t>
            </w:r>
          </w:p>
        </w:tc>
        <w:tc>
          <w:tcPr>
            <w:tcW w:w="2001" w:type="dxa"/>
            <w:tcBorders>
              <w:top w:val="single" w:color="auto" w:sz="4" w:space="0"/>
              <w:left w:val="single" w:color="auto" w:sz="4" w:space="0"/>
              <w:bottom w:val="single" w:color="auto" w:sz="4" w:space="0"/>
              <w:right w:val="single" w:color="auto" w:sz="4" w:space="0"/>
            </w:tcBorders>
            <w:noWrap/>
            <w:vAlign w:val="center"/>
          </w:tcPr>
          <w:p w14:paraId="376E4B7C">
            <w:pPr>
              <w:spacing w:line="380" w:lineRule="exact"/>
              <w:rPr>
                <w:rFonts w:ascii="宋体"/>
                <w:color w:val="auto"/>
                <w:sz w:val="24"/>
                <w:szCs w:val="24"/>
                <w:highlight w:val="none"/>
              </w:rPr>
            </w:pPr>
          </w:p>
        </w:tc>
      </w:tr>
      <w:tr w14:paraId="7089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5" w:hRule="atLeast"/>
        </w:trPr>
        <w:tc>
          <w:tcPr>
            <w:tcW w:w="1260" w:type="dxa"/>
            <w:tcBorders>
              <w:top w:val="single" w:color="auto" w:sz="4" w:space="0"/>
              <w:left w:val="single" w:color="auto" w:sz="4" w:space="0"/>
              <w:bottom w:val="single" w:color="auto" w:sz="4" w:space="0"/>
              <w:right w:val="single" w:color="auto" w:sz="4" w:space="0"/>
            </w:tcBorders>
            <w:noWrap/>
            <w:vAlign w:val="center"/>
          </w:tcPr>
          <w:p w14:paraId="3516CEE0">
            <w:pPr>
              <w:spacing w:line="380" w:lineRule="exact"/>
              <w:rPr>
                <w:rFonts w:ascii="宋体"/>
                <w:color w:val="auto"/>
                <w:sz w:val="24"/>
                <w:szCs w:val="24"/>
                <w:highlight w:val="none"/>
              </w:rPr>
            </w:pPr>
            <w:r>
              <w:rPr>
                <w:rFonts w:ascii="宋体"/>
                <w:color w:val="auto"/>
                <w:sz w:val="24"/>
                <w:szCs w:val="24"/>
                <w:highlight w:val="none"/>
              </w:rPr>
              <w:t>详细性能说明</w:t>
            </w:r>
          </w:p>
        </w:tc>
        <w:tc>
          <w:tcPr>
            <w:tcW w:w="8621" w:type="dxa"/>
            <w:gridSpan w:val="5"/>
            <w:tcBorders>
              <w:top w:val="single" w:color="auto" w:sz="4" w:space="0"/>
              <w:left w:val="single" w:color="auto" w:sz="4" w:space="0"/>
              <w:bottom w:val="single" w:color="auto" w:sz="4" w:space="0"/>
              <w:right w:val="single" w:color="auto" w:sz="4" w:space="0"/>
            </w:tcBorders>
            <w:noWrap/>
            <w:vAlign w:val="center"/>
          </w:tcPr>
          <w:p w14:paraId="5E58AF6D">
            <w:pPr>
              <w:spacing w:line="380" w:lineRule="exact"/>
              <w:rPr>
                <w:rFonts w:ascii="宋体"/>
                <w:color w:val="auto"/>
                <w:sz w:val="24"/>
                <w:szCs w:val="24"/>
                <w:highlight w:val="none"/>
              </w:rPr>
            </w:pPr>
          </w:p>
        </w:tc>
      </w:tr>
      <w:tr w14:paraId="6F07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5" w:hRule="atLeast"/>
        </w:trPr>
        <w:tc>
          <w:tcPr>
            <w:tcW w:w="1260" w:type="dxa"/>
            <w:tcBorders>
              <w:top w:val="single" w:color="auto" w:sz="4" w:space="0"/>
              <w:left w:val="single" w:color="auto" w:sz="4" w:space="0"/>
              <w:bottom w:val="single" w:color="auto" w:sz="4" w:space="0"/>
              <w:right w:val="single" w:color="auto" w:sz="4" w:space="0"/>
            </w:tcBorders>
            <w:noWrap/>
            <w:vAlign w:val="center"/>
          </w:tcPr>
          <w:p w14:paraId="3CE91F2F">
            <w:pPr>
              <w:spacing w:line="380" w:lineRule="exact"/>
              <w:rPr>
                <w:rFonts w:ascii="宋体"/>
                <w:color w:val="auto"/>
                <w:sz w:val="24"/>
                <w:szCs w:val="24"/>
                <w:highlight w:val="none"/>
              </w:rPr>
            </w:pPr>
            <w:r>
              <w:rPr>
                <w:rFonts w:hint="eastAsia" w:ascii="宋体"/>
                <w:color w:val="auto"/>
                <w:sz w:val="24"/>
                <w:szCs w:val="24"/>
                <w:highlight w:val="none"/>
              </w:rPr>
              <w:t>配置/组成清单说明（若有）</w:t>
            </w:r>
          </w:p>
        </w:tc>
        <w:tc>
          <w:tcPr>
            <w:tcW w:w="8621" w:type="dxa"/>
            <w:gridSpan w:val="5"/>
            <w:tcBorders>
              <w:top w:val="single" w:color="auto" w:sz="4" w:space="0"/>
              <w:left w:val="single" w:color="auto" w:sz="4" w:space="0"/>
              <w:bottom w:val="single" w:color="auto" w:sz="4" w:space="0"/>
              <w:right w:val="single" w:color="auto" w:sz="4" w:space="0"/>
            </w:tcBorders>
            <w:noWrap/>
            <w:vAlign w:val="center"/>
          </w:tcPr>
          <w:p w14:paraId="35BF188B">
            <w:pPr>
              <w:spacing w:line="380" w:lineRule="exact"/>
              <w:rPr>
                <w:rFonts w:ascii="宋体"/>
                <w:color w:val="auto"/>
                <w:sz w:val="24"/>
                <w:szCs w:val="24"/>
                <w:highlight w:val="none"/>
              </w:rPr>
            </w:pPr>
          </w:p>
        </w:tc>
      </w:tr>
    </w:tbl>
    <w:p w14:paraId="616442AB">
      <w:pPr>
        <w:spacing w:line="380" w:lineRule="exact"/>
        <w:rPr>
          <w:rFonts w:ascii="宋体"/>
          <w:b/>
          <w:bCs/>
          <w:color w:val="auto"/>
          <w:sz w:val="24"/>
          <w:szCs w:val="24"/>
          <w:highlight w:val="none"/>
        </w:rPr>
      </w:pPr>
      <w:r>
        <w:rPr>
          <w:rFonts w:hint="eastAsia" w:ascii="宋体"/>
          <w:b/>
          <w:bCs/>
          <w:color w:val="auto"/>
          <w:sz w:val="24"/>
          <w:szCs w:val="24"/>
          <w:highlight w:val="none"/>
        </w:rPr>
        <w:t>注：投标人必须在此项下提供关于投标货物的配置、技术参数、功能等方面的详细说明、描述，相关产品彩页、产品说明书等均可提供在此项，技术方面符合性审查及评分项中对招标需求的响应情况以此项的投标货物说明内容为准。</w:t>
      </w:r>
    </w:p>
    <w:p w14:paraId="5A732431">
      <w:pPr>
        <w:spacing w:line="380" w:lineRule="exact"/>
        <w:rPr>
          <w:rFonts w:ascii="宋体"/>
          <w:color w:val="auto"/>
          <w:sz w:val="24"/>
          <w:szCs w:val="24"/>
          <w:highlight w:val="none"/>
        </w:rPr>
      </w:pPr>
    </w:p>
    <w:p w14:paraId="401EB9C3">
      <w:pPr>
        <w:rPr>
          <w:rFonts w:ascii="宋体"/>
          <w:color w:val="auto"/>
          <w:sz w:val="24"/>
          <w:szCs w:val="24"/>
          <w:highlight w:val="none"/>
          <w:u w:val="single"/>
        </w:rPr>
      </w:pP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5C82AF16">
      <w:pPr>
        <w:rPr>
          <w:rFonts w:ascii="宋体"/>
          <w:color w:val="auto"/>
          <w:sz w:val="24"/>
          <w:szCs w:val="24"/>
          <w:highlight w:val="non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p>
    <w:p w14:paraId="6A6CF5B8">
      <w:pPr>
        <w:spacing w:line="400" w:lineRule="exact"/>
        <w:rPr>
          <w:rFonts w:ascii="宋体"/>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4BA6A272">
      <w:pPr>
        <w:spacing w:line="360" w:lineRule="auto"/>
        <w:ind w:firstLine="5244" w:firstLineChars="2185"/>
        <w:rPr>
          <w:rFonts w:ascii="宋体"/>
          <w:color w:val="auto"/>
          <w:sz w:val="24"/>
          <w:szCs w:val="24"/>
          <w:highlight w:val="none"/>
        </w:rPr>
      </w:pPr>
    </w:p>
    <w:p w14:paraId="35F43627">
      <w:pPr>
        <w:jc w:val="center"/>
        <w:rPr>
          <w:b/>
          <w:color w:val="auto"/>
          <w:sz w:val="24"/>
          <w:szCs w:val="24"/>
          <w:highlight w:val="none"/>
        </w:rPr>
      </w:pPr>
      <w:r>
        <w:rPr>
          <w:rFonts w:ascii="宋体"/>
          <w:b/>
          <w:color w:val="auto"/>
          <w:sz w:val="24"/>
          <w:szCs w:val="24"/>
          <w:highlight w:val="none"/>
        </w:rPr>
        <w:br w:type="page"/>
      </w:r>
      <w:r>
        <w:rPr>
          <w:rFonts w:hint="eastAsia"/>
          <w:b/>
          <w:color w:val="auto"/>
          <w:sz w:val="24"/>
          <w:szCs w:val="24"/>
          <w:highlight w:val="none"/>
        </w:rPr>
        <w:t>2、技术、服务及商务</w:t>
      </w:r>
      <w:r>
        <w:rPr>
          <w:b/>
          <w:color w:val="auto"/>
          <w:sz w:val="24"/>
          <w:szCs w:val="24"/>
          <w:highlight w:val="none"/>
        </w:rPr>
        <w:t>要求响应表</w:t>
      </w:r>
    </w:p>
    <w:p w14:paraId="58810C96">
      <w:pPr>
        <w:spacing w:line="360" w:lineRule="auto"/>
        <w:rPr>
          <w:rFonts w:ascii="宋体"/>
          <w:color w:val="auto"/>
          <w:sz w:val="24"/>
          <w:szCs w:val="24"/>
          <w:highlight w:val="none"/>
        </w:rPr>
      </w:pPr>
    </w:p>
    <w:p w14:paraId="117A06FF">
      <w:pPr>
        <w:spacing w:line="360" w:lineRule="auto"/>
        <w:rPr>
          <w:rFonts w:ascii="宋体"/>
          <w:color w:val="auto"/>
          <w:sz w:val="24"/>
          <w:szCs w:val="24"/>
          <w:highlight w:val="none"/>
          <w:u w:val="single"/>
        </w:rPr>
      </w:pPr>
      <w:r>
        <w:rPr>
          <w:rFonts w:hint="eastAsia" w:ascii="宋体"/>
          <w:color w:val="auto"/>
          <w:sz w:val="24"/>
          <w:szCs w:val="24"/>
          <w:highlight w:val="none"/>
        </w:rPr>
        <w:t>项目名称：</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项目编号：</w:t>
      </w:r>
      <w:r>
        <w:rPr>
          <w:rFonts w:hint="eastAsia" w:ascii="宋体"/>
          <w:color w:val="auto"/>
          <w:sz w:val="24"/>
          <w:szCs w:val="24"/>
          <w:highlight w:val="none"/>
          <w:u w:val="single"/>
        </w:rPr>
        <w:t xml:space="preserve">                   </w:t>
      </w:r>
    </w:p>
    <w:tbl>
      <w:tblPr>
        <w:tblStyle w:val="28"/>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09"/>
        <w:gridCol w:w="1585"/>
        <w:gridCol w:w="1559"/>
        <w:gridCol w:w="1417"/>
        <w:gridCol w:w="2410"/>
      </w:tblGrid>
      <w:tr w14:paraId="405C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254" w:type="dxa"/>
            <w:gridSpan w:val="3"/>
            <w:tcBorders>
              <w:top w:val="single" w:color="auto" w:sz="4" w:space="0"/>
              <w:left w:val="single" w:color="auto" w:sz="4" w:space="0"/>
              <w:bottom w:val="single" w:color="auto" w:sz="4" w:space="0"/>
              <w:right w:val="single" w:color="auto" w:sz="4" w:space="0"/>
            </w:tcBorders>
            <w:vAlign w:val="center"/>
          </w:tcPr>
          <w:p w14:paraId="42AD4717">
            <w:pPr>
              <w:spacing w:line="3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采购要求</w:t>
            </w:r>
          </w:p>
        </w:tc>
        <w:tc>
          <w:tcPr>
            <w:tcW w:w="5386" w:type="dxa"/>
            <w:gridSpan w:val="3"/>
            <w:tcBorders>
              <w:top w:val="single" w:color="auto" w:sz="4" w:space="0"/>
              <w:left w:val="single" w:color="auto" w:sz="4" w:space="0"/>
              <w:bottom w:val="single" w:color="auto" w:sz="4" w:space="0"/>
              <w:right w:val="single" w:color="auto" w:sz="4" w:space="0"/>
            </w:tcBorders>
            <w:vAlign w:val="center"/>
          </w:tcPr>
          <w:p w14:paraId="01613FAC">
            <w:pPr>
              <w:spacing w:line="3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投标响应</w:t>
            </w:r>
          </w:p>
        </w:tc>
      </w:tr>
      <w:tr w14:paraId="21A6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560" w:type="dxa"/>
            <w:tcBorders>
              <w:top w:val="single" w:color="auto" w:sz="4" w:space="0"/>
              <w:left w:val="single" w:color="auto" w:sz="4" w:space="0"/>
              <w:bottom w:val="single" w:color="auto" w:sz="4" w:space="0"/>
              <w:right w:val="single" w:color="auto" w:sz="4" w:space="0"/>
            </w:tcBorders>
            <w:vAlign w:val="center"/>
          </w:tcPr>
          <w:p w14:paraId="2DDA1279">
            <w:pPr>
              <w:spacing w:line="3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14:paraId="4BB6D45D">
            <w:pPr>
              <w:spacing w:line="3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货物名称</w:t>
            </w:r>
          </w:p>
        </w:tc>
        <w:tc>
          <w:tcPr>
            <w:tcW w:w="1585" w:type="dxa"/>
            <w:tcBorders>
              <w:top w:val="single" w:color="auto" w:sz="4" w:space="0"/>
              <w:left w:val="single" w:color="auto" w:sz="4" w:space="0"/>
              <w:bottom w:val="single" w:color="auto" w:sz="4" w:space="0"/>
              <w:right w:val="single" w:color="auto" w:sz="4" w:space="0"/>
            </w:tcBorders>
            <w:vAlign w:val="center"/>
          </w:tcPr>
          <w:p w14:paraId="49445C3D">
            <w:pPr>
              <w:spacing w:line="3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采购文件要求</w:t>
            </w:r>
          </w:p>
        </w:tc>
        <w:tc>
          <w:tcPr>
            <w:tcW w:w="1559" w:type="dxa"/>
            <w:tcBorders>
              <w:top w:val="single" w:color="auto" w:sz="4" w:space="0"/>
              <w:left w:val="single" w:color="auto" w:sz="4" w:space="0"/>
              <w:bottom w:val="single" w:color="auto" w:sz="4" w:space="0"/>
              <w:right w:val="single" w:color="auto" w:sz="4" w:space="0"/>
            </w:tcBorders>
            <w:vAlign w:val="center"/>
          </w:tcPr>
          <w:p w14:paraId="500056FE">
            <w:pPr>
              <w:spacing w:line="3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投标响应情况</w:t>
            </w:r>
          </w:p>
        </w:tc>
        <w:tc>
          <w:tcPr>
            <w:tcW w:w="1417" w:type="dxa"/>
            <w:tcBorders>
              <w:top w:val="single" w:color="auto" w:sz="4" w:space="0"/>
              <w:left w:val="single" w:color="auto" w:sz="4" w:space="0"/>
              <w:bottom w:val="single" w:color="auto" w:sz="4" w:space="0"/>
              <w:right w:val="single" w:color="auto" w:sz="4" w:space="0"/>
            </w:tcBorders>
            <w:vAlign w:val="center"/>
          </w:tcPr>
          <w:p w14:paraId="57CEDC24">
            <w:pPr>
              <w:spacing w:line="3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投标响应（证明材料）对应的页码</w:t>
            </w:r>
          </w:p>
        </w:tc>
        <w:tc>
          <w:tcPr>
            <w:tcW w:w="2410" w:type="dxa"/>
            <w:tcBorders>
              <w:top w:val="single" w:color="auto" w:sz="4" w:space="0"/>
              <w:left w:val="single" w:color="auto" w:sz="4" w:space="0"/>
              <w:bottom w:val="single" w:color="auto" w:sz="4" w:space="0"/>
              <w:right w:val="single" w:color="auto" w:sz="4" w:space="0"/>
            </w:tcBorders>
            <w:vAlign w:val="center"/>
          </w:tcPr>
          <w:p w14:paraId="6259B2E1">
            <w:pPr>
              <w:spacing w:line="3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偏离说明（正偏离/</w:t>
            </w:r>
            <w:r>
              <w:rPr>
                <w:rFonts w:hint="eastAsia" w:ascii="宋体"/>
                <w:color w:val="auto"/>
                <w:sz w:val="24"/>
                <w:szCs w:val="24"/>
                <w:highlight w:val="none"/>
              </w:rPr>
              <w:t>无偏离</w:t>
            </w:r>
            <w:r>
              <w:rPr>
                <w:rFonts w:hint="eastAsia" w:ascii="宋体" w:hAnsi="宋体" w:cs="宋体"/>
                <w:color w:val="auto"/>
                <w:sz w:val="24"/>
                <w:szCs w:val="24"/>
                <w:highlight w:val="none"/>
              </w:rPr>
              <w:t xml:space="preserve"> /负偏离）</w:t>
            </w:r>
          </w:p>
        </w:tc>
      </w:tr>
      <w:tr w14:paraId="5E17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60" w:type="dxa"/>
            <w:tcBorders>
              <w:top w:val="single" w:color="auto" w:sz="4" w:space="0"/>
              <w:left w:val="single" w:color="auto" w:sz="4" w:space="0"/>
              <w:bottom w:val="single" w:color="auto" w:sz="4" w:space="0"/>
              <w:right w:val="single" w:color="auto" w:sz="4" w:space="0"/>
            </w:tcBorders>
          </w:tcPr>
          <w:p w14:paraId="62CF59F0">
            <w:pPr>
              <w:spacing w:line="380" w:lineRule="exact"/>
              <w:rPr>
                <w:rFonts w:hint="eastAsia" w:ascii="宋体" w:hAnsi="宋体" w:cs="宋体"/>
                <w:color w:val="auto"/>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tcPr>
          <w:p w14:paraId="17320F57">
            <w:pPr>
              <w:spacing w:line="380" w:lineRule="exact"/>
              <w:rPr>
                <w:rFonts w:hint="eastAsia" w:ascii="宋体" w:hAnsi="宋体" w:cs="宋体"/>
                <w:color w:val="auto"/>
                <w:sz w:val="24"/>
                <w:szCs w:val="24"/>
                <w:highlight w:val="none"/>
              </w:rPr>
            </w:pPr>
          </w:p>
        </w:tc>
        <w:tc>
          <w:tcPr>
            <w:tcW w:w="1585" w:type="dxa"/>
            <w:tcBorders>
              <w:top w:val="single" w:color="auto" w:sz="4" w:space="0"/>
              <w:left w:val="single" w:color="auto" w:sz="4" w:space="0"/>
              <w:bottom w:val="single" w:color="auto" w:sz="4" w:space="0"/>
              <w:right w:val="single" w:color="auto" w:sz="4" w:space="0"/>
            </w:tcBorders>
          </w:tcPr>
          <w:p w14:paraId="16E4C591">
            <w:pPr>
              <w:spacing w:line="380" w:lineRule="exact"/>
              <w:rPr>
                <w:rFonts w:hint="eastAsia" w:ascii="宋体" w:hAnsi="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46C51F6">
            <w:pPr>
              <w:spacing w:line="380" w:lineRule="exact"/>
              <w:rPr>
                <w:rFonts w:hint="eastAsia" w:ascii="宋体" w:hAnsi="宋体" w:cs="宋体"/>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3044187D">
            <w:pPr>
              <w:spacing w:line="380" w:lineRule="exact"/>
              <w:rPr>
                <w:rFonts w:hint="eastAsia" w:ascii="宋体" w:hAnsi="宋体" w:cs="宋体"/>
                <w:color w:val="auto"/>
                <w:sz w:val="24"/>
                <w:szCs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117753F7">
            <w:pPr>
              <w:spacing w:line="380" w:lineRule="exact"/>
              <w:rPr>
                <w:rFonts w:hint="eastAsia" w:ascii="宋体" w:hAnsi="宋体" w:cs="宋体"/>
                <w:color w:val="auto"/>
                <w:sz w:val="24"/>
                <w:szCs w:val="24"/>
                <w:highlight w:val="none"/>
              </w:rPr>
            </w:pPr>
          </w:p>
        </w:tc>
      </w:tr>
      <w:tr w14:paraId="0B8C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560" w:type="dxa"/>
            <w:tcBorders>
              <w:top w:val="single" w:color="auto" w:sz="4" w:space="0"/>
              <w:left w:val="single" w:color="auto" w:sz="4" w:space="0"/>
              <w:bottom w:val="single" w:color="auto" w:sz="4" w:space="0"/>
              <w:right w:val="single" w:color="auto" w:sz="4" w:space="0"/>
            </w:tcBorders>
          </w:tcPr>
          <w:p w14:paraId="5937BF3E">
            <w:pPr>
              <w:spacing w:line="380" w:lineRule="exact"/>
              <w:rPr>
                <w:rFonts w:hint="eastAsia" w:ascii="宋体" w:hAnsi="宋体" w:cs="宋体"/>
                <w:color w:val="auto"/>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tcPr>
          <w:p w14:paraId="04211D39">
            <w:pPr>
              <w:spacing w:line="380" w:lineRule="exact"/>
              <w:rPr>
                <w:rFonts w:hint="eastAsia" w:ascii="宋体" w:hAnsi="宋体" w:cs="宋体"/>
                <w:color w:val="auto"/>
                <w:sz w:val="24"/>
                <w:szCs w:val="24"/>
                <w:highlight w:val="none"/>
              </w:rPr>
            </w:pPr>
          </w:p>
        </w:tc>
        <w:tc>
          <w:tcPr>
            <w:tcW w:w="1585" w:type="dxa"/>
            <w:tcBorders>
              <w:top w:val="single" w:color="auto" w:sz="4" w:space="0"/>
              <w:left w:val="single" w:color="auto" w:sz="4" w:space="0"/>
              <w:bottom w:val="single" w:color="auto" w:sz="4" w:space="0"/>
              <w:right w:val="single" w:color="auto" w:sz="4" w:space="0"/>
            </w:tcBorders>
          </w:tcPr>
          <w:p w14:paraId="4EF00C6D">
            <w:pPr>
              <w:spacing w:line="380" w:lineRule="exact"/>
              <w:rPr>
                <w:rFonts w:hint="eastAsia" w:ascii="宋体" w:hAnsi="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CB7926A">
            <w:pPr>
              <w:spacing w:line="380" w:lineRule="exact"/>
              <w:rPr>
                <w:rFonts w:hint="eastAsia" w:ascii="宋体" w:hAnsi="宋体" w:cs="宋体"/>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2BE6E1FE">
            <w:pPr>
              <w:spacing w:line="380" w:lineRule="exact"/>
              <w:rPr>
                <w:rFonts w:hint="eastAsia" w:ascii="宋体" w:hAnsi="宋体" w:cs="宋体"/>
                <w:color w:val="auto"/>
                <w:sz w:val="24"/>
                <w:szCs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56B74A6A">
            <w:pPr>
              <w:spacing w:line="380" w:lineRule="exact"/>
              <w:rPr>
                <w:rFonts w:hint="eastAsia" w:ascii="宋体" w:hAnsi="宋体" w:cs="宋体"/>
                <w:color w:val="auto"/>
                <w:sz w:val="24"/>
                <w:szCs w:val="24"/>
                <w:highlight w:val="none"/>
              </w:rPr>
            </w:pPr>
          </w:p>
        </w:tc>
      </w:tr>
    </w:tbl>
    <w:p w14:paraId="4DDF8069">
      <w:pPr>
        <w:spacing w:line="360" w:lineRule="auto"/>
        <w:rPr>
          <w:rFonts w:ascii="宋体"/>
          <w:color w:val="auto"/>
          <w:sz w:val="24"/>
          <w:szCs w:val="24"/>
          <w:highlight w:val="none"/>
        </w:rPr>
      </w:pPr>
      <w:r>
        <w:rPr>
          <w:rFonts w:hint="eastAsia" w:ascii="宋体"/>
          <w:color w:val="auto"/>
          <w:sz w:val="24"/>
          <w:szCs w:val="24"/>
          <w:highlight w:val="none"/>
        </w:rPr>
        <w:t>注意：</w:t>
      </w:r>
    </w:p>
    <w:p w14:paraId="678815F7">
      <w:pPr>
        <w:spacing w:line="360" w:lineRule="auto"/>
        <w:rPr>
          <w:rFonts w:ascii="宋体"/>
          <w:color w:val="auto"/>
          <w:sz w:val="24"/>
          <w:szCs w:val="24"/>
          <w:highlight w:val="none"/>
        </w:rPr>
      </w:pPr>
      <w:r>
        <w:rPr>
          <w:rFonts w:hint="eastAsia" w:ascii="宋体"/>
          <w:color w:val="auto"/>
          <w:sz w:val="24"/>
          <w:szCs w:val="24"/>
          <w:highlight w:val="none"/>
        </w:rPr>
        <w:t>1.1</w:t>
      </w:r>
      <w:r>
        <w:rPr>
          <w:rFonts w:hint="eastAsia" w:ascii="宋体" w:hAnsi="宋体"/>
          <w:color w:val="auto"/>
          <w:sz w:val="24"/>
          <w:highlight w:val="none"/>
        </w:rPr>
        <w:t>投标人提交的投标文件中应将投标货物或服务项目中带“★”号条款以外的技术、服务及商务等要求逐条列明，说明投标响应情况</w:t>
      </w:r>
      <w:r>
        <w:rPr>
          <w:rFonts w:hint="eastAsia" w:ascii="宋体"/>
          <w:color w:val="auto"/>
          <w:sz w:val="24"/>
          <w:szCs w:val="24"/>
          <w:highlight w:val="none"/>
        </w:rPr>
        <w:t>：</w:t>
      </w:r>
    </w:p>
    <w:p w14:paraId="6EE323E2">
      <w:pPr>
        <w:spacing w:line="360" w:lineRule="auto"/>
        <w:rPr>
          <w:rFonts w:ascii="宋体"/>
          <w:color w:val="auto"/>
          <w:sz w:val="24"/>
          <w:szCs w:val="24"/>
          <w:highlight w:val="none"/>
        </w:rPr>
      </w:pPr>
      <w:r>
        <w:rPr>
          <w:rFonts w:hint="eastAsia" w:ascii="宋体"/>
          <w:color w:val="auto"/>
          <w:sz w:val="24"/>
          <w:szCs w:val="24"/>
          <w:highlight w:val="none"/>
        </w:rPr>
        <w:t>1.2货物为节能清单产品的，本表中所填品牌应与节能清单所列品牌名称一致。</w:t>
      </w:r>
    </w:p>
    <w:p w14:paraId="64A9E239">
      <w:pPr>
        <w:spacing w:line="360" w:lineRule="auto"/>
        <w:rPr>
          <w:rFonts w:ascii="宋体"/>
          <w:color w:val="auto"/>
          <w:sz w:val="24"/>
          <w:szCs w:val="24"/>
          <w:highlight w:val="none"/>
        </w:rPr>
      </w:pPr>
      <w:r>
        <w:rPr>
          <w:rFonts w:hint="eastAsia" w:ascii="宋体"/>
          <w:color w:val="auto"/>
          <w:sz w:val="24"/>
          <w:szCs w:val="24"/>
          <w:highlight w:val="none"/>
        </w:rPr>
        <w:t>1.3对招标文件关于“大于（或小于）等于”等某个区间值范围内的内容，投标响应应填写具体的数值。</w:t>
      </w:r>
    </w:p>
    <w:p w14:paraId="5A2EC489">
      <w:pPr>
        <w:spacing w:line="360" w:lineRule="auto"/>
        <w:rPr>
          <w:rFonts w:ascii="宋体"/>
          <w:color w:val="auto"/>
          <w:sz w:val="24"/>
          <w:szCs w:val="24"/>
          <w:highlight w:val="none"/>
        </w:rPr>
      </w:pPr>
      <w:r>
        <w:rPr>
          <w:rFonts w:hint="eastAsia" w:ascii="宋体"/>
          <w:color w:val="auto"/>
          <w:sz w:val="24"/>
          <w:szCs w:val="24"/>
          <w:highlight w:val="none"/>
        </w:rPr>
        <w:t>1.4“</w:t>
      </w:r>
      <w:r>
        <w:rPr>
          <w:rFonts w:hint="eastAsia" w:ascii="宋体" w:hAnsi="宋体" w:cs="宋体"/>
          <w:color w:val="auto"/>
          <w:sz w:val="24"/>
          <w:szCs w:val="24"/>
          <w:highlight w:val="none"/>
        </w:rPr>
        <w:t>偏离说明</w:t>
      </w:r>
      <w:r>
        <w:rPr>
          <w:rFonts w:hint="eastAsia" w:ascii="宋体"/>
          <w:color w:val="auto"/>
          <w:sz w:val="24"/>
          <w:szCs w:val="24"/>
          <w:highlight w:val="none"/>
        </w:rPr>
        <w:t>”项下应按下列规定填写：优于的，填写“正偏离”；符合的，填写“无偏离”；低于的，填写“负偏离”。</w:t>
      </w:r>
    </w:p>
    <w:p w14:paraId="1689FE60">
      <w:pPr>
        <w:spacing w:line="360" w:lineRule="auto"/>
        <w:rPr>
          <w:rFonts w:ascii="宋体"/>
          <w:color w:val="auto"/>
          <w:sz w:val="24"/>
          <w:szCs w:val="24"/>
          <w:highlight w:val="none"/>
        </w:rPr>
      </w:pPr>
      <w:r>
        <w:rPr>
          <w:rFonts w:hint="eastAsia" w:ascii="宋体"/>
          <w:color w:val="auto"/>
          <w:sz w:val="24"/>
          <w:szCs w:val="24"/>
          <w:highlight w:val="none"/>
        </w:rPr>
        <w:t>2、若需要说明的内容因招标文件中的格式特殊或需特殊表达的，应先在本表中填写说明，再另页应答。</w:t>
      </w:r>
    </w:p>
    <w:p w14:paraId="11D0BAA8">
      <w:pPr>
        <w:spacing w:line="360" w:lineRule="auto"/>
        <w:rPr>
          <w:rFonts w:ascii="宋体"/>
          <w:color w:val="auto"/>
          <w:sz w:val="24"/>
          <w:szCs w:val="24"/>
          <w:highlight w:val="none"/>
        </w:rPr>
      </w:pPr>
    </w:p>
    <w:p w14:paraId="3BF38B7E">
      <w:pPr>
        <w:spacing w:line="360" w:lineRule="auto"/>
        <w:rPr>
          <w:rFonts w:ascii="宋体"/>
          <w:color w:val="auto"/>
          <w:sz w:val="24"/>
          <w:szCs w:val="24"/>
          <w:highlight w:val="none"/>
        </w:rPr>
      </w:pPr>
    </w:p>
    <w:p w14:paraId="13260C3D">
      <w:pPr>
        <w:spacing w:line="360" w:lineRule="auto"/>
        <w:ind w:firstLine="4677" w:firstLineChars="1949"/>
        <w:rPr>
          <w:rFonts w:ascii="宋体"/>
          <w:color w:val="auto"/>
          <w:sz w:val="24"/>
          <w:szCs w:val="24"/>
          <w:highlight w:val="none"/>
          <w:u w:val="single"/>
        </w:rPr>
      </w:pP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3AE09B8D">
      <w:pPr>
        <w:spacing w:line="360" w:lineRule="auto"/>
        <w:ind w:firstLine="4677" w:firstLineChars="1949"/>
        <w:rPr>
          <w:rFonts w:ascii="宋体"/>
          <w:color w:val="auto"/>
          <w:sz w:val="24"/>
          <w:szCs w:val="24"/>
          <w:highlight w:val="non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p>
    <w:p w14:paraId="1B164A3C">
      <w:pPr>
        <w:spacing w:line="360" w:lineRule="auto"/>
        <w:ind w:firstLine="4677" w:firstLineChars="1949"/>
        <w:rPr>
          <w:rFonts w:ascii="宋体"/>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5BD7FC63">
      <w:pPr>
        <w:spacing w:line="360" w:lineRule="auto"/>
        <w:rPr>
          <w:rFonts w:ascii="宋体"/>
          <w:color w:val="auto"/>
          <w:sz w:val="24"/>
          <w:szCs w:val="24"/>
          <w:highlight w:val="none"/>
        </w:rPr>
      </w:pPr>
    </w:p>
    <w:p w14:paraId="0E1CCAF2">
      <w:pPr>
        <w:spacing w:line="360" w:lineRule="auto"/>
        <w:ind w:firstLine="4108" w:firstLineChars="1712"/>
        <w:rPr>
          <w:rFonts w:ascii="宋体"/>
          <w:color w:val="auto"/>
          <w:sz w:val="24"/>
          <w:szCs w:val="24"/>
          <w:highlight w:val="none"/>
        </w:rPr>
        <w:sectPr>
          <w:pgSz w:w="11906" w:h="16838"/>
          <w:pgMar w:top="1134" w:right="1247" w:bottom="1134" w:left="1247" w:header="851" w:footer="992" w:gutter="0"/>
          <w:cols w:space="720" w:num="1"/>
          <w:docGrid w:type="lines" w:linePitch="312" w:charSpace="0"/>
        </w:sectPr>
      </w:pPr>
    </w:p>
    <w:p w14:paraId="4C8C6C2E">
      <w:pPr>
        <w:jc w:val="center"/>
        <w:rPr>
          <w:b/>
          <w:color w:val="auto"/>
          <w:sz w:val="24"/>
          <w:szCs w:val="24"/>
          <w:highlight w:val="none"/>
        </w:rPr>
      </w:pPr>
      <w:r>
        <w:rPr>
          <w:rFonts w:hint="eastAsia"/>
          <w:b/>
          <w:color w:val="auto"/>
          <w:sz w:val="24"/>
          <w:szCs w:val="24"/>
          <w:highlight w:val="none"/>
        </w:rPr>
        <w:t>3、带“★”号条款逐条响应情况表</w:t>
      </w:r>
    </w:p>
    <w:p w14:paraId="1589F878">
      <w:pPr>
        <w:spacing w:line="360" w:lineRule="auto"/>
        <w:rPr>
          <w:rFonts w:ascii="宋体"/>
          <w:color w:val="auto"/>
          <w:sz w:val="24"/>
          <w:szCs w:val="24"/>
          <w:highlight w:val="none"/>
        </w:rPr>
      </w:pPr>
    </w:p>
    <w:p w14:paraId="176086CB">
      <w:pPr>
        <w:spacing w:line="360" w:lineRule="auto"/>
        <w:rPr>
          <w:rFonts w:ascii="宋体"/>
          <w:color w:val="auto"/>
          <w:sz w:val="24"/>
          <w:szCs w:val="24"/>
          <w:highlight w:val="none"/>
          <w:u w:val="single"/>
        </w:rPr>
      </w:pPr>
      <w:r>
        <w:rPr>
          <w:rFonts w:hint="eastAsia" w:ascii="宋体"/>
          <w:color w:val="auto"/>
          <w:sz w:val="24"/>
          <w:szCs w:val="24"/>
          <w:highlight w:val="none"/>
        </w:rPr>
        <w:t>项目名称：</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项目编号：</w:t>
      </w:r>
      <w:r>
        <w:rPr>
          <w:rFonts w:hint="eastAsia" w:ascii="宋体"/>
          <w:color w:val="auto"/>
          <w:sz w:val="24"/>
          <w:szCs w:val="24"/>
          <w:highlight w:val="none"/>
          <w:u w:val="single"/>
        </w:rPr>
        <w:t xml:space="preserve">                   </w:t>
      </w:r>
    </w:p>
    <w:p w14:paraId="1B2D7EA0">
      <w:pPr>
        <w:spacing w:line="380" w:lineRule="exact"/>
        <w:rPr>
          <w:rFonts w:hint="eastAsia" w:ascii="宋体" w:hAnsi="宋体"/>
          <w:color w:val="auto"/>
          <w:sz w:val="24"/>
          <w:highlight w:val="none"/>
        </w:rPr>
      </w:pPr>
      <w:r>
        <w:rPr>
          <w:rFonts w:hint="eastAsia" w:ascii="宋体" w:hAnsi="宋体" w:cs="宋体"/>
          <w:color w:val="auto"/>
          <w:sz w:val="24"/>
          <w:highlight w:val="none"/>
        </w:rPr>
        <w:t>合同包：</w:t>
      </w:r>
    </w:p>
    <w:tbl>
      <w:tblPr>
        <w:tblStyle w:val="28"/>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885"/>
        <w:gridCol w:w="7178"/>
        <w:gridCol w:w="1565"/>
      </w:tblGrid>
      <w:tr w14:paraId="525A8D2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885" w:type="dxa"/>
            <w:vAlign w:val="center"/>
          </w:tcPr>
          <w:p w14:paraId="53A441A9">
            <w:pPr>
              <w:spacing w:line="300" w:lineRule="exact"/>
              <w:jc w:val="center"/>
              <w:rPr>
                <w:rFonts w:hint="eastAsia" w:ascii="宋体" w:hAnsi="宋体"/>
                <w:b/>
                <w:bCs/>
                <w:color w:val="auto"/>
                <w:sz w:val="24"/>
                <w:highlight w:val="none"/>
              </w:rPr>
            </w:pPr>
            <w:r>
              <w:rPr>
                <w:rFonts w:hint="eastAsia" w:ascii="宋体" w:hAnsi="宋体"/>
                <w:b/>
                <w:bCs/>
                <w:color w:val="auto"/>
                <w:sz w:val="24"/>
                <w:highlight w:val="none"/>
              </w:rPr>
              <w:t>序号</w:t>
            </w:r>
          </w:p>
        </w:tc>
        <w:tc>
          <w:tcPr>
            <w:tcW w:w="7178" w:type="dxa"/>
            <w:vAlign w:val="center"/>
          </w:tcPr>
          <w:p w14:paraId="667D7714">
            <w:pPr>
              <w:spacing w:line="300" w:lineRule="exact"/>
              <w:jc w:val="center"/>
              <w:rPr>
                <w:rFonts w:hint="eastAsia" w:ascii="宋体" w:hAnsi="宋体"/>
                <w:b/>
                <w:bCs/>
                <w:color w:val="auto"/>
                <w:sz w:val="24"/>
                <w:highlight w:val="none"/>
              </w:rPr>
            </w:pPr>
            <w:r>
              <w:rPr>
                <w:rFonts w:hint="eastAsia" w:ascii="宋体" w:hAnsi="宋体"/>
                <w:b/>
                <w:bCs/>
                <w:color w:val="auto"/>
                <w:sz w:val="24"/>
                <w:highlight w:val="none"/>
              </w:rPr>
              <w:t>招标文件中带“★”号的条款</w:t>
            </w:r>
          </w:p>
        </w:tc>
        <w:tc>
          <w:tcPr>
            <w:tcW w:w="1565" w:type="dxa"/>
            <w:vAlign w:val="center"/>
          </w:tcPr>
          <w:p w14:paraId="5466C6E0">
            <w:pPr>
              <w:spacing w:line="300" w:lineRule="exact"/>
              <w:jc w:val="center"/>
              <w:rPr>
                <w:rFonts w:hint="eastAsia" w:ascii="宋体" w:hAnsi="宋体"/>
                <w:b/>
                <w:bCs/>
                <w:color w:val="auto"/>
                <w:sz w:val="24"/>
                <w:highlight w:val="none"/>
              </w:rPr>
            </w:pPr>
            <w:r>
              <w:rPr>
                <w:rFonts w:hint="eastAsia" w:ascii="宋体" w:hAnsi="宋体"/>
                <w:b/>
                <w:bCs/>
                <w:color w:val="auto"/>
                <w:sz w:val="24"/>
                <w:highlight w:val="none"/>
              </w:rPr>
              <w:t>具体响应内容及证明材料对应投标文件页码</w:t>
            </w:r>
          </w:p>
        </w:tc>
      </w:tr>
      <w:tr w14:paraId="79C7C51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885" w:type="dxa"/>
            <w:shd w:val="clear" w:color="auto" w:fill="auto"/>
            <w:vAlign w:val="center"/>
          </w:tcPr>
          <w:p w14:paraId="0EC90E2A">
            <w:pPr>
              <w:pStyle w:val="24"/>
              <w:widowControl/>
              <w:spacing w:before="0" w:beforeAutospacing="0" w:after="0" w:afterAutospacing="0" w:line="360" w:lineRule="auto"/>
              <w:jc w:val="center"/>
              <w:rPr>
                <w:rFonts w:ascii="宋体" w:hAnsi="Times New Roman" w:eastAsia="宋体" w:cs="Times New Roman"/>
                <w:color w:val="auto"/>
                <w:kern w:val="0"/>
                <w:sz w:val="24"/>
                <w:szCs w:val="24"/>
                <w:highlight w:val="none"/>
                <w:lang w:val="en-US" w:eastAsia="zh-CN" w:bidi="ar-SA"/>
              </w:rPr>
            </w:pPr>
            <w:r>
              <w:rPr>
                <w:rFonts w:hint="eastAsia" w:ascii="宋体"/>
                <w:color w:val="auto"/>
                <w:highlight w:val="none"/>
              </w:rPr>
              <w:t>一</w:t>
            </w:r>
          </w:p>
        </w:tc>
        <w:tc>
          <w:tcPr>
            <w:tcW w:w="7178" w:type="dxa"/>
            <w:shd w:val="clear" w:color="auto" w:fill="auto"/>
            <w:vAlign w:val="center"/>
          </w:tcPr>
          <w:p w14:paraId="0D5A72B9">
            <w:pPr>
              <w:widowControl/>
              <w:adjustRightInd w:val="0"/>
              <w:jc w:val="left"/>
              <w:rPr>
                <w:rFonts w:hint="eastAsia" w:ascii="宋体" w:hAnsi="宋体" w:eastAsia="宋体" w:cs="宋体"/>
                <w:color w:val="auto"/>
                <w:kern w:val="2"/>
                <w:sz w:val="24"/>
                <w:szCs w:val="24"/>
                <w:highlight w:val="none"/>
                <w:lang w:val="en-US" w:eastAsia="zh-CN" w:bidi="ar-SA"/>
              </w:rPr>
            </w:pPr>
            <w:r>
              <w:rPr>
                <w:rFonts w:hint="eastAsia" w:ascii="宋体" w:cs="宋体"/>
                <w:b/>
                <w:bCs/>
                <w:color w:val="auto"/>
                <w:sz w:val="24"/>
                <w:szCs w:val="24"/>
                <w:highlight w:val="none"/>
              </w:rPr>
              <w:t>★2.本批招标货物要求投标人提供原厂商的售后服务，要求最短质保期壹年，终身维护。（投标人需提供专项承诺函）</w:t>
            </w:r>
          </w:p>
        </w:tc>
        <w:tc>
          <w:tcPr>
            <w:tcW w:w="1565" w:type="dxa"/>
            <w:vAlign w:val="center"/>
          </w:tcPr>
          <w:p w14:paraId="5B7E0455">
            <w:pPr>
              <w:spacing w:line="300" w:lineRule="exact"/>
              <w:rPr>
                <w:rFonts w:hint="eastAsia" w:ascii="宋体" w:hAnsi="宋体"/>
                <w:color w:val="auto"/>
                <w:sz w:val="24"/>
                <w:highlight w:val="none"/>
              </w:rPr>
            </w:pPr>
          </w:p>
        </w:tc>
      </w:tr>
      <w:tr w14:paraId="423C9FA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885" w:type="dxa"/>
            <w:shd w:val="clear" w:color="auto" w:fill="auto"/>
            <w:vAlign w:val="center"/>
          </w:tcPr>
          <w:p w14:paraId="7F99D615">
            <w:pPr>
              <w:pStyle w:val="24"/>
              <w:widowControl/>
              <w:spacing w:before="0" w:beforeAutospacing="0" w:after="0" w:afterAutospacing="0" w:line="360" w:lineRule="auto"/>
              <w:jc w:val="center"/>
              <w:rPr>
                <w:rFonts w:ascii="宋体" w:hAnsi="Times New Roman" w:eastAsia="宋体" w:cs="Times New Roman"/>
                <w:color w:val="auto"/>
                <w:kern w:val="0"/>
                <w:sz w:val="24"/>
                <w:szCs w:val="24"/>
                <w:highlight w:val="none"/>
                <w:lang w:val="en-US" w:eastAsia="zh-CN" w:bidi="ar-SA"/>
              </w:rPr>
            </w:pPr>
            <w:r>
              <w:rPr>
                <w:rFonts w:hint="eastAsia" w:ascii="宋体"/>
                <w:color w:val="auto"/>
                <w:highlight w:val="none"/>
              </w:rPr>
              <w:t>二</w:t>
            </w:r>
          </w:p>
        </w:tc>
        <w:tc>
          <w:tcPr>
            <w:tcW w:w="7178" w:type="dxa"/>
            <w:shd w:val="clear" w:color="auto" w:fill="auto"/>
            <w:vAlign w:val="center"/>
          </w:tcPr>
          <w:p w14:paraId="1386CFBE">
            <w:pPr>
              <w:adjustRightInd w:val="0"/>
              <w:rPr>
                <w:rFonts w:hint="eastAsia" w:ascii="宋体" w:hAnsi="宋体" w:eastAsia="宋体" w:cs="宋体"/>
                <w:color w:val="auto"/>
                <w:kern w:val="2"/>
                <w:sz w:val="24"/>
                <w:szCs w:val="24"/>
                <w:highlight w:val="none"/>
                <w:lang w:val="en-US" w:eastAsia="zh-CN" w:bidi="ar-SA"/>
              </w:rPr>
            </w:pPr>
            <w:r>
              <w:rPr>
                <w:rFonts w:hint="eastAsia" w:ascii="宋体" w:cs="宋体"/>
                <w:b/>
                <w:bCs/>
                <w:color w:val="auto"/>
                <w:sz w:val="24"/>
                <w:szCs w:val="24"/>
                <w:highlight w:val="none"/>
              </w:rPr>
              <w:t>★2.投标人以人民币方式进行报价，投标总价包括但不限于：设备材料采购供应、安装、调试并经验收合格交付使用等所有可能发生的一切费用，包括采购保管、安装施工费、配件及辅助材料费、运输费、人工费、检验检测、设备调试、技术服务与培训、售后服务、税金、规费、验收费用等一切费用。一旦中标，采购人将不会对中标人总报价做出其它补偿。本次招标为交钥匙项目。（投标人需提供专项承诺函）</w:t>
            </w:r>
          </w:p>
        </w:tc>
        <w:tc>
          <w:tcPr>
            <w:tcW w:w="1565" w:type="dxa"/>
            <w:vAlign w:val="center"/>
          </w:tcPr>
          <w:p w14:paraId="37B435A5">
            <w:pPr>
              <w:spacing w:line="300" w:lineRule="exact"/>
              <w:rPr>
                <w:rFonts w:hint="eastAsia" w:ascii="宋体" w:hAnsi="宋体"/>
                <w:color w:val="auto"/>
                <w:sz w:val="24"/>
                <w:highlight w:val="none"/>
              </w:rPr>
            </w:pPr>
          </w:p>
        </w:tc>
      </w:tr>
      <w:tr w14:paraId="5D7992C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885" w:type="dxa"/>
            <w:shd w:val="clear" w:color="auto" w:fill="auto"/>
            <w:vAlign w:val="center"/>
          </w:tcPr>
          <w:p w14:paraId="1C15040F">
            <w:pPr>
              <w:pStyle w:val="24"/>
              <w:widowControl/>
              <w:spacing w:before="0" w:beforeAutospacing="0" w:after="0" w:afterAutospacing="0" w:line="360" w:lineRule="auto"/>
              <w:jc w:val="center"/>
              <w:rPr>
                <w:rFonts w:ascii="宋体" w:hAnsi="Times New Roman" w:eastAsia="宋体" w:cs="Times New Roman"/>
                <w:color w:val="auto"/>
                <w:kern w:val="0"/>
                <w:sz w:val="24"/>
                <w:szCs w:val="24"/>
                <w:highlight w:val="none"/>
                <w:lang w:val="en-US" w:eastAsia="zh-CN" w:bidi="ar-SA"/>
              </w:rPr>
            </w:pPr>
            <w:r>
              <w:rPr>
                <w:rFonts w:hint="eastAsia" w:ascii="宋体"/>
                <w:color w:val="auto"/>
                <w:highlight w:val="none"/>
              </w:rPr>
              <w:t>三</w:t>
            </w:r>
          </w:p>
        </w:tc>
        <w:tc>
          <w:tcPr>
            <w:tcW w:w="7178" w:type="dxa"/>
            <w:shd w:val="clear" w:color="auto" w:fill="auto"/>
            <w:vAlign w:val="center"/>
          </w:tcPr>
          <w:p w14:paraId="66BA1BE3">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从中华人民共和国境外提供的货物投标报价，需按人民币包干报价。总包干报价应当包含所采购设备的出厂价、境外出口及运输费、保险费、外贸进口环节相关费用（外贸进口环节相关费用包含但不限于进口代理服务费、银行费、报关费用、商检费用、海关仓储费用、港杂费用、港口至采购人目的现场运保费、申请免税及办理各项证书等费用），货物增值税和关税除外（若有）。</w:t>
            </w:r>
          </w:p>
          <w:p w14:paraId="573426C3">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3.1厦门大学将委托指定进口外贸代理公司代为进口货物，中标人需向进口外贸代理公司支付外贸进口环节相关费用。该相关费用可按“厦门大学外贸代理公司外贸进口环节相关费用收费标准” 中列明的固定比例估算。</w:t>
            </w:r>
          </w:p>
          <w:p w14:paraId="78DAFA7F">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注：厦门大学可委托的外贸公司为：厦门建发高科有限公司、厦门联信诚有限公司、厦门外图进出口有限公司、赛尔网络有限公司、国药集团福建医学检验有限公司，由厦门大学根据具体情况委托指定其中一家公司代理进口。</w:t>
            </w:r>
          </w:p>
          <w:p w14:paraId="1CBFE10D">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3.2厦门大学外贸代理公司外贸进口环节相关费用收费标准：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321"/>
            </w:tblGrid>
            <w:tr w14:paraId="3D9C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68E1EAF6">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设备金额（人民币）</w:t>
                  </w:r>
                </w:p>
              </w:tc>
              <w:tc>
                <w:tcPr>
                  <w:tcW w:w="3321" w:type="dxa"/>
                </w:tcPr>
                <w:p w14:paraId="2B01DCB1">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费率（%）</w:t>
                  </w:r>
                </w:p>
              </w:tc>
            </w:tr>
            <w:tr w14:paraId="6CD1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7E33B886">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40万以下</w:t>
                  </w:r>
                </w:p>
              </w:tc>
              <w:tc>
                <w:tcPr>
                  <w:tcW w:w="3321" w:type="dxa"/>
                </w:tcPr>
                <w:p w14:paraId="30D9444E">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4500元/单</w:t>
                  </w:r>
                </w:p>
              </w:tc>
            </w:tr>
            <w:tr w14:paraId="434B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03C3970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40万（含）-100万</w:t>
                  </w:r>
                </w:p>
              </w:tc>
              <w:tc>
                <w:tcPr>
                  <w:tcW w:w="3321" w:type="dxa"/>
                </w:tcPr>
                <w:p w14:paraId="1708A08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w:t>
                  </w:r>
                </w:p>
              </w:tc>
            </w:tr>
            <w:tr w14:paraId="78C4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674434AF">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100万（含）-500万</w:t>
                  </w:r>
                </w:p>
              </w:tc>
              <w:tc>
                <w:tcPr>
                  <w:tcW w:w="3321" w:type="dxa"/>
                </w:tcPr>
                <w:p w14:paraId="3B884D39">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1%，不超过30000元</w:t>
                  </w:r>
                </w:p>
              </w:tc>
            </w:tr>
            <w:tr w14:paraId="1A4F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333CB83B">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500万（含）-1000万</w:t>
                  </w:r>
                </w:p>
              </w:tc>
              <w:tc>
                <w:tcPr>
                  <w:tcW w:w="3321" w:type="dxa"/>
                </w:tcPr>
                <w:p w14:paraId="6CF0445C">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0.6%，不超过50000元</w:t>
                  </w:r>
                </w:p>
              </w:tc>
            </w:tr>
            <w:tr w14:paraId="190C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06F45C8E">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1000（含）万以上</w:t>
                  </w:r>
                </w:p>
              </w:tc>
              <w:tc>
                <w:tcPr>
                  <w:tcW w:w="3321" w:type="dxa"/>
                </w:tcPr>
                <w:p w14:paraId="2F39F651">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0.4%，不超过80000元</w:t>
                  </w:r>
                </w:p>
              </w:tc>
            </w:tr>
          </w:tbl>
          <w:p w14:paraId="6BDC7DB2">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cs="宋体"/>
                <w:b/>
                <w:bCs/>
                <w:color w:val="auto"/>
                <w:sz w:val="24"/>
                <w:szCs w:val="24"/>
                <w:highlight w:val="none"/>
              </w:rPr>
              <w:t>（上述内容投标人需提供专项承诺函）</w:t>
            </w:r>
          </w:p>
        </w:tc>
        <w:tc>
          <w:tcPr>
            <w:tcW w:w="1565" w:type="dxa"/>
            <w:vAlign w:val="center"/>
          </w:tcPr>
          <w:p w14:paraId="47CBB8CB">
            <w:pPr>
              <w:spacing w:line="300" w:lineRule="exact"/>
              <w:rPr>
                <w:rFonts w:hint="eastAsia" w:ascii="宋体" w:hAnsi="宋体"/>
                <w:color w:val="auto"/>
                <w:sz w:val="24"/>
                <w:highlight w:val="none"/>
              </w:rPr>
            </w:pPr>
          </w:p>
        </w:tc>
      </w:tr>
      <w:tr w14:paraId="1EB6325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885" w:type="dxa"/>
            <w:shd w:val="clear" w:color="auto" w:fill="auto"/>
            <w:vAlign w:val="center"/>
          </w:tcPr>
          <w:p w14:paraId="6A572AC7">
            <w:pPr>
              <w:pStyle w:val="24"/>
              <w:widowControl/>
              <w:spacing w:before="0" w:beforeAutospacing="0" w:after="0" w:afterAutospacing="0" w:line="360" w:lineRule="auto"/>
              <w:jc w:val="center"/>
              <w:rPr>
                <w:rFonts w:ascii="宋体" w:hAnsi="Times New Roman" w:eastAsia="宋体" w:cs="Times New Roman"/>
                <w:color w:val="auto"/>
                <w:kern w:val="0"/>
                <w:sz w:val="24"/>
                <w:szCs w:val="24"/>
                <w:highlight w:val="none"/>
                <w:lang w:val="en-US" w:eastAsia="zh-CN" w:bidi="ar-SA"/>
              </w:rPr>
            </w:pPr>
            <w:r>
              <w:rPr>
                <w:rFonts w:hint="eastAsia" w:ascii="宋体"/>
                <w:color w:val="auto"/>
                <w:highlight w:val="none"/>
              </w:rPr>
              <w:t>四</w:t>
            </w:r>
          </w:p>
        </w:tc>
        <w:tc>
          <w:tcPr>
            <w:tcW w:w="7178" w:type="dxa"/>
            <w:shd w:val="clear" w:color="auto" w:fill="auto"/>
            <w:vAlign w:val="center"/>
          </w:tcPr>
          <w:p w14:paraId="2A92D0B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cs="宋体"/>
                <w:b/>
                <w:bCs/>
                <w:color w:val="auto"/>
                <w:kern w:val="0"/>
                <w:sz w:val="24"/>
                <w:szCs w:val="24"/>
                <w:highlight w:val="none"/>
              </w:rPr>
              <w:t>★1.从中华人民共和国境内提供的货物：签订合同后预付合同总价的50%，全部货物终验合格且付款条件完备后30个工作日内支付合同总价的50%货款。</w:t>
            </w:r>
          </w:p>
        </w:tc>
        <w:tc>
          <w:tcPr>
            <w:tcW w:w="1565" w:type="dxa"/>
            <w:vAlign w:val="center"/>
          </w:tcPr>
          <w:p w14:paraId="55E774CE">
            <w:pPr>
              <w:spacing w:line="300" w:lineRule="exact"/>
              <w:rPr>
                <w:rFonts w:hint="eastAsia" w:ascii="宋体" w:hAnsi="宋体"/>
                <w:color w:val="auto"/>
                <w:sz w:val="24"/>
                <w:highlight w:val="none"/>
              </w:rPr>
            </w:pPr>
          </w:p>
        </w:tc>
      </w:tr>
      <w:tr w14:paraId="3704DB2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0" w:type="auto"/>
            <w:shd w:val="clear" w:color="auto" w:fill="auto"/>
            <w:vAlign w:val="center"/>
          </w:tcPr>
          <w:p w14:paraId="7444993F">
            <w:pPr>
              <w:pStyle w:val="24"/>
              <w:widowControl/>
              <w:spacing w:before="0" w:beforeAutospacing="0" w:after="0" w:afterAutospacing="0" w:line="360" w:lineRule="auto"/>
              <w:jc w:val="center"/>
              <w:rPr>
                <w:rFonts w:ascii="宋体" w:hAnsi="Times New Roman" w:eastAsia="宋体" w:cs="Times New Roman"/>
                <w:color w:val="auto"/>
                <w:kern w:val="0"/>
                <w:sz w:val="24"/>
                <w:szCs w:val="24"/>
                <w:highlight w:val="none"/>
                <w:lang w:val="en-US" w:eastAsia="zh-CN" w:bidi="ar-SA"/>
              </w:rPr>
            </w:pPr>
            <w:r>
              <w:rPr>
                <w:rFonts w:hint="eastAsia" w:ascii="宋体"/>
                <w:color w:val="auto"/>
                <w:highlight w:val="none"/>
              </w:rPr>
              <w:t>五</w:t>
            </w:r>
          </w:p>
        </w:tc>
        <w:tc>
          <w:tcPr>
            <w:tcW w:w="7178" w:type="dxa"/>
            <w:shd w:val="clear" w:color="auto" w:fill="auto"/>
            <w:vAlign w:val="center"/>
          </w:tcPr>
          <w:p w14:paraId="47A172CF">
            <w:pPr>
              <w:jc w:val="left"/>
              <w:rPr>
                <w:rFonts w:hint="eastAsia" w:ascii="宋体" w:hAnsi="宋体" w:eastAsia="宋体" w:cs="宋体"/>
                <w:color w:val="auto"/>
                <w:kern w:val="2"/>
                <w:sz w:val="24"/>
                <w:szCs w:val="24"/>
                <w:highlight w:val="none"/>
                <w:lang w:val="en-US" w:eastAsia="zh-CN" w:bidi="ar-SA"/>
              </w:rPr>
            </w:pPr>
            <w:r>
              <w:rPr>
                <w:rFonts w:hint="eastAsia" w:ascii="宋体" w:cs="宋体"/>
                <w:b/>
                <w:bCs/>
                <w:color w:val="auto"/>
                <w:kern w:val="0"/>
                <w:sz w:val="24"/>
                <w:szCs w:val="24"/>
                <w:highlight w:val="none"/>
              </w:rPr>
              <w:t>★2.从中华人民共和国境外提供的货物：100%不可撤销信用证，80%见单即付，20%验收合格后付。</w:t>
            </w:r>
          </w:p>
        </w:tc>
        <w:tc>
          <w:tcPr>
            <w:tcW w:w="1565" w:type="dxa"/>
          </w:tcPr>
          <w:p w14:paraId="6C55BC2F">
            <w:pPr>
              <w:spacing w:line="300" w:lineRule="exact"/>
              <w:rPr>
                <w:rFonts w:hint="eastAsia" w:ascii="宋体" w:hAnsi="宋体"/>
                <w:color w:val="auto"/>
                <w:sz w:val="24"/>
                <w:highlight w:val="none"/>
              </w:rPr>
            </w:pPr>
          </w:p>
        </w:tc>
      </w:tr>
    </w:tbl>
    <w:p w14:paraId="2FCDA9F6">
      <w:pPr>
        <w:spacing w:line="38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以上★号条款为招标文件中的所有★号条款，无论是技术指标或文字描述要求，投标人必须逐条如实地书面响应。</w:t>
      </w:r>
    </w:p>
    <w:p w14:paraId="6AB0DBE1">
      <w:pPr>
        <w:spacing w:line="360" w:lineRule="auto"/>
        <w:ind w:firstLine="4108" w:firstLineChars="1712"/>
        <w:rPr>
          <w:rFonts w:ascii="宋体"/>
          <w:color w:val="auto"/>
          <w:sz w:val="24"/>
          <w:szCs w:val="24"/>
          <w:highlight w:val="none"/>
        </w:rPr>
      </w:pPr>
    </w:p>
    <w:p w14:paraId="2CB47A79">
      <w:pPr>
        <w:spacing w:line="360" w:lineRule="auto"/>
        <w:rPr>
          <w:rFonts w:ascii="宋体"/>
          <w:color w:val="auto"/>
          <w:sz w:val="24"/>
          <w:szCs w:val="24"/>
          <w:highlight w:val="none"/>
        </w:rPr>
      </w:pPr>
    </w:p>
    <w:p w14:paraId="450BDE13">
      <w:pPr>
        <w:spacing w:line="360" w:lineRule="auto"/>
        <w:ind w:firstLine="4677" w:firstLineChars="1949"/>
        <w:rPr>
          <w:rFonts w:ascii="宋体"/>
          <w:color w:val="auto"/>
          <w:sz w:val="24"/>
          <w:szCs w:val="24"/>
          <w:highlight w:val="none"/>
          <w:u w:val="single"/>
        </w:rPr>
      </w:pP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42CEF8C1">
      <w:pPr>
        <w:spacing w:line="360" w:lineRule="auto"/>
        <w:ind w:firstLine="4677" w:firstLineChars="1949"/>
        <w:rPr>
          <w:rFonts w:ascii="宋体"/>
          <w:color w:val="auto"/>
          <w:sz w:val="24"/>
          <w:szCs w:val="24"/>
          <w:highlight w:val="non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p>
    <w:p w14:paraId="4BDE2420">
      <w:pPr>
        <w:spacing w:line="360" w:lineRule="auto"/>
        <w:ind w:firstLine="4677" w:firstLineChars="1949"/>
        <w:rPr>
          <w:rFonts w:ascii="宋体"/>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3CA62C3E">
      <w:pPr>
        <w:spacing w:line="360" w:lineRule="auto"/>
        <w:ind w:firstLine="4108" w:firstLineChars="1712"/>
        <w:rPr>
          <w:rFonts w:ascii="宋体"/>
          <w:color w:val="auto"/>
          <w:sz w:val="24"/>
          <w:szCs w:val="24"/>
          <w:highlight w:val="none"/>
        </w:rPr>
      </w:pPr>
    </w:p>
    <w:p w14:paraId="54005A6E">
      <w:pPr>
        <w:rPr>
          <w:b/>
          <w:color w:val="auto"/>
          <w:sz w:val="24"/>
          <w:szCs w:val="24"/>
          <w:highlight w:val="none"/>
        </w:rPr>
      </w:pPr>
      <w:r>
        <w:rPr>
          <w:rFonts w:hint="eastAsia"/>
          <w:b/>
          <w:color w:val="auto"/>
          <w:sz w:val="24"/>
          <w:szCs w:val="24"/>
          <w:highlight w:val="none"/>
        </w:rPr>
        <w:br w:type="page"/>
      </w:r>
    </w:p>
    <w:p w14:paraId="523195CC">
      <w:pPr>
        <w:jc w:val="center"/>
        <w:rPr>
          <w:b/>
          <w:color w:val="auto"/>
          <w:sz w:val="24"/>
          <w:szCs w:val="24"/>
          <w:highlight w:val="none"/>
        </w:rPr>
      </w:pPr>
      <w:r>
        <w:rPr>
          <w:rFonts w:hint="eastAsia"/>
          <w:b/>
          <w:color w:val="auto"/>
          <w:sz w:val="24"/>
          <w:szCs w:val="24"/>
          <w:highlight w:val="none"/>
        </w:rPr>
        <w:t>4、带“★”号条款专项承诺函</w:t>
      </w:r>
    </w:p>
    <w:p w14:paraId="0A5D28C0">
      <w:pPr>
        <w:spacing w:line="360" w:lineRule="auto"/>
        <w:rPr>
          <w:rFonts w:ascii="宋体"/>
          <w:color w:val="auto"/>
          <w:sz w:val="24"/>
          <w:szCs w:val="24"/>
          <w:highlight w:val="none"/>
        </w:rPr>
      </w:pPr>
    </w:p>
    <w:p w14:paraId="509C7715">
      <w:pPr>
        <w:spacing w:before="312" w:beforeLines="100" w:line="360" w:lineRule="auto"/>
        <w:rPr>
          <w:rFonts w:ascii="宋体"/>
          <w:color w:val="auto"/>
          <w:sz w:val="24"/>
          <w:highlight w:val="none"/>
        </w:rPr>
      </w:pPr>
      <w:r>
        <w:rPr>
          <w:rFonts w:hint="eastAsia" w:ascii="宋体"/>
          <w:color w:val="auto"/>
          <w:sz w:val="24"/>
          <w:highlight w:val="none"/>
        </w:rPr>
        <w:t>致：厦门市华沧采购招标有限公司</w:t>
      </w:r>
    </w:p>
    <w:p w14:paraId="377C4A65">
      <w:pPr>
        <w:spacing w:line="360" w:lineRule="auto"/>
        <w:ind w:firstLine="480" w:firstLineChars="200"/>
        <w:rPr>
          <w:rFonts w:ascii="宋体"/>
          <w:color w:val="auto"/>
          <w:sz w:val="24"/>
          <w:highlight w:val="none"/>
        </w:rPr>
      </w:pPr>
      <w:r>
        <w:rPr>
          <w:rFonts w:hint="eastAsia" w:ascii="宋体"/>
          <w:color w:val="auto"/>
          <w:sz w:val="24"/>
          <w:highlight w:val="none"/>
        </w:rPr>
        <w:t>根据贵方</w:t>
      </w:r>
      <w:r>
        <w:rPr>
          <w:rFonts w:hint="eastAsia" w:ascii="宋体"/>
          <w:color w:val="auto"/>
          <w:sz w:val="24"/>
          <w:highlight w:val="none"/>
          <w:u w:val="single"/>
        </w:rPr>
        <w:t xml:space="preserve">                  </w:t>
      </w:r>
      <w:r>
        <w:rPr>
          <w:rFonts w:hint="eastAsia" w:ascii="宋体"/>
          <w:color w:val="auto"/>
          <w:sz w:val="24"/>
          <w:highlight w:val="none"/>
        </w:rPr>
        <w:t>招标项目的投标邀请，我司对该项目带“★”号条款要求承诺如下：</w:t>
      </w:r>
    </w:p>
    <w:p w14:paraId="6E537996">
      <w:pPr>
        <w:ind w:firstLine="482" w:firstLineChars="200"/>
        <w:rPr>
          <w:rFonts w:ascii="宋体" w:cs="宋体"/>
          <w:b/>
          <w:bCs/>
          <w:color w:val="auto"/>
          <w:sz w:val="24"/>
          <w:szCs w:val="24"/>
          <w:highlight w:val="none"/>
        </w:rPr>
      </w:pPr>
      <w:r>
        <w:rPr>
          <w:rFonts w:hint="eastAsia" w:ascii="宋体" w:cs="宋体"/>
          <w:b/>
          <w:bCs/>
          <w:color w:val="auto"/>
          <w:sz w:val="24"/>
          <w:szCs w:val="24"/>
          <w:highlight w:val="none"/>
        </w:rPr>
        <w:t>（</w:t>
      </w:r>
      <w:r>
        <w:rPr>
          <w:rFonts w:hint="eastAsia" w:ascii="宋体" w:cs="宋体"/>
          <w:b/>
          <w:bCs/>
          <w:color w:val="auto"/>
          <w:sz w:val="24"/>
          <w:szCs w:val="24"/>
          <w:highlight w:val="none"/>
          <w:lang w:val="en-US" w:eastAsia="zh-CN"/>
        </w:rPr>
        <w:t>1</w:t>
      </w:r>
      <w:r>
        <w:rPr>
          <w:rFonts w:hint="eastAsia" w:ascii="宋体" w:cs="宋体"/>
          <w:b/>
          <w:bCs/>
          <w:color w:val="auto"/>
          <w:sz w:val="24"/>
          <w:szCs w:val="24"/>
          <w:highlight w:val="none"/>
        </w:rPr>
        <w:t>）本批招标货物我司提供原厂商的售后服务，质保期为</w:t>
      </w:r>
      <w:r>
        <w:rPr>
          <w:rFonts w:hint="eastAsia" w:ascii="宋体" w:cs="宋体"/>
          <w:b/>
          <w:bCs/>
          <w:color w:val="auto"/>
          <w:sz w:val="24"/>
          <w:szCs w:val="24"/>
          <w:highlight w:val="none"/>
          <w:u w:val="single"/>
        </w:rPr>
        <w:t xml:space="preserve">      年</w:t>
      </w:r>
      <w:r>
        <w:rPr>
          <w:rFonts w:hint="eastAsia" w:ascii="宋体" w:cs="宋体"/>
          <w:b/>
          <w:bCs/>
          <w:color w:val="auto"/>
          <w:sz w:val="24"/>
          <w:szCs w:val="24"/>
          <w:highlight w:val="none"/>
        </w:rPr>
        <w:t>，终身维护。</w:t>
      </w:r>
    </w:p>
    <w:p w14:paraId="55775483">
      <w:pPr>
        <w:ind w:firstLine="482" w:firstLineChars="200"/>
        <w:rPr>
          <w:rFonts w:hint="eastAsia" w:ascii="宋体" w:hAnsi="宋体" w:cs="宋体"/>
          <w:b/>
          <w:bCs/>
          <w:color w:val="auto"/>
          <w:highlight w:val="none"/>
        </w:rPr>
      </w:pPr>
      <w:r>
        <w:rPr>
          <w:rFonts w:hint="eastAsia" w:ascii="宋体" w:cs="宋体"/>
          <w:b/>
          <w:bCs/>
          <w:color w:val="auto"/>
          <w:sz w:val="24"/>
          <w:szCs w:val="24"/>
          <w:highlight w:val="none"/>
        </w:rPr>
        <w:t>（</w:t>
      </w:r>
      <w:r>
        <w:rPr>
          <w:rFonts w:hint="eastAsia" w:ascii="宋体" w:cs="宋体"/>
          <w:b/>
          <w:bCs/>
          <w:color w:val="auto"/>
          <w:sz w:val="24"/>
          <w:szCs w:val="24"/>
          <w:highlight w:val="none"/>
          <w:lang w:val="en-US" w:eastAsia="zh-CN"/>
        </w:rPr>
        <w:t>2</w:t>
      </w:r>
      <w:r>
        <w:rPr>
          <w:rFonts w:hint="eastAsia" w:ascii="宋体" w:cs="宋体"/>
          <w:b/>
          <w:bCs/>
          <w:color w:val="auto"/>
          <w:sz w:val="24"/>
          <w:szCs w:val="24"/>
          <w:highlight w:val="none"/>
        </w:rPr>
        <w:t>）我司以人民币方式进行报价，投标总价包括但不限于：设备材料采购供应、安装、调试并经验收合格交付使用等所有可能发生的一切费用，包括采购保管、安装施工费、配件及辅助材料费、运输费、人工费、检验检测、设备调试、技术服务与培训、售后服务、税金、规费、验收费用等一切费用。一旦中标，采购人无需对我司总报价做出其它补偿。本次招标为交钥匙项目。</w:t>
      </w:r>
    </w:p>
    <w:p w14:paraId="4A26F833">
      <w:pPr>
        <w:pStyle w:val="64"/>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从中华人民共和国境外提供的货物投标报价，需按人民币包干报价。总包干报价应当包含所采购设备的出厂价、境外出口及运输费、保险费、外贸进口环节相关费用（外贸进口环节相关费用包含但不限于进口代理服务费、银行费、报关费用、商检费用、海关仓储费用、港杂费用、港口至采购人目的现场运保费、申请免税及办理各项证书等费用），货物增值税和关税除外（若有）。</w:t>
      </w:r>
    </w:p>
    <w:p w14:paraId="535A8FD6">
      <w:pPr>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  厦门大学将委托指定进口外贸代理公司代为进口货物，中标人需向进口外贸代理公司支付外贸进口环节相关费用。该相关费用可按“厦门大学外贸代理公司外贸进口环节相关费用收费标准” 中列明的固定比例估算。</w:t>
      </w:r>
    </w:p>
    <w:p w14:paraId="303015BC">
      <w:pPr>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注：厦门大学可委托的外贸公司为：厦门建发高科有限公司、厦门联信诚有限公司、厦门外图进出口有限公司、赛尔网络有限公司、国药集团福建医学检验有限公司，由厦门大学根据具体情况委托指定其中一家公司代理进口。</w:t>
      </w:r>
    </w:p>
    <w:p w14:paraId="40173E26">
      <w:pPr>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  厦门大学外贸代理公司外贸进口环节相关费用收费标准：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321"/>
      </w:tblGrid>
      <w:tr w14:paraId="3135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1D5F83E3">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设备金额（人民币）</w:t>
            </w:r>
          </w:p>
        </w:tc>
        <w:tc>
          <w:tcPr>
            <w:tcW w:w="3321" w:type="dxa"/>
          </w:tcPr>
          <w:p w14:paraId="3F321B32">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费率（%）</w:t>
            </w:r>
          </w:p>
        </w:tc>
      </w:tr>
      <w:tr w14:paraId="0117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59088A1A">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40万以下</w:t>
            </w:r>
          </w:p>
        </w:tc>
        <w:tc>
          <w:tcPr>
            <w:tcW w:w="3321" w:type="dxa"/>
          </w:tcPr>
          <w:p w14:paraId="2A24138F">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4500元/单</w:t>
            </w:r>
          </w:p>
        </w:tc>
      </w:tr>
      <w:tr w14:paraId="21E3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5BB98B75">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40万（含）-100万</w:t>
            </w:r>
          </w:p>
        </w:tc>
        <w:tc>
          <w:tcPr>
            <w:tcW w:w="3321" w:type="dxa"/>
          </w:tcPr>
          <w:p w14:paraId="7EEED9C3">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w:t>
            </w:r>
          </w:p>
        </w:tc>
      </w:tr>
      <w:tr w14:paraId="1021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01F8C570">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100万（含）-500万</w:t>
            </w:r>
          </w:p>
        </w:tc>
        <w:tc>
          <w:tcPr>
            <w:tcW w:w="3321" w:type="dxa"/>
          </w:tcPr>
          <w:p w14:paraId="3771A050">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1%，不超过30000元</w:t>
            </w:r>
          </w:p>
        </w:tc>
      </w:tr>
      <w:tr w14:paraId="3F38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390FAF7F">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500万（含）-1000万</w:t>
            </w:r>
          </w:p>
        </w:tc>
        <w:tc>
          <w:tcPr>
            <w:tcW w:w="3321" w:type="dxa"/>
          </w:tcPr>
          <w:p w14:paraId="66B7DD4B">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0.6%，不超过50000元</w:t>
            </w:r>
          </w:p>
        </w:tc>
      </w:tr>
      <w:tr w14:paraId="5E94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7" w:type="dxa"/>
          </w:tcPr>
          <w:p w14:paraId="706FB45D">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1000（含）万以上</w:t>
            </w:r>
          </w:p>
        </w:tc>
        <w:tc>
          <w:tcPr>
            <w:tcW w:w="3321" w:type="dxa"/>
          </w:tcPr>
          <w:p w14:paraId="04F640EC">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0.4%，不超过80000元</w:t>
            </w:r>
          </w:p>
        </w:tc>
      </w:tr>
    </w:tbl>
    <w:p w14:paraId="2F2C5F67">
      <w:pPr>
        <w:ind w:firstLine="602" w:firstLineChars="250"/>
        <w:jc w:val="left"/>
        <w:rPr>
          <w:rFonts w:ascii="宋体" w:cs="宋体"/>
          <w:b/>
          <w:bCs/>
          <w:color w:val="auto"/>
          <w:kern w:val="0"/>
          <w:sz w:val="24"/>
          <w:szCs w:val="24"/>
          <w:highlight w:val="none"/>
        </w:rPr>
      </w:pPr>
      <w:r>
        <w:rPr>
          <w:rFonts w:hint="eastAsia" w:ascii="宋体" w:cs="宋体"/>
          <w:b/>
          <w:bCs/>
          <w:color w:val="auto"/>
          <w:kern w:val="0"/>
          <w:sz w:val="24"/>
          <w:szCs w:val="24"/>
          <w:highlight w:val="none"/>
        </w:rPr>
        <w:t>（</w:t>
      </w:r>
      <w:r>
        <w:rPr>
          <w:rFonts w:hint="eastAsia" w:ascii="宋体" w:cs="宋体"/>
          <w:b/>
          <w:bCs/>
          <w:color w:val="auto"/>
          <w:kern w:val="0"/>
          <w:sz w:val="24"/>
          <w:szCs w:val="24"/>
          <w:highlight w:val="none"/>
          <w:lang w:val="en-US" w:eastAsia="zh-CN"/>
        </w:rPr>
        <w:t>4</w:t>
      </w:r>
      <w:r>
        <w:rPr>
          <w:rFonts w:hint="eastAsia" w:ascii="宋体" w:cs="宋体"/>
          <w:b/>
          <w:bCs/>
          <w:color w:val="auto"/>
          <w:kern w:val="0"/>
          <w:sz w:val="24"/>
          <w:szCs w:val="24"/>
          <w:highlight w:val="none"/>
        </w:rPr>
        <w:t>）付款方式</w:t>
      </w:r>
    </w:p>
    <w:p w14:paraId="2CBD07F6">
      <w:pPr>
        <w:ind w:firstLine="602" w:firstLineChars="250"/>
        <w:jc w:val="left"/>
        <w:rPr>
          <w:rFonts w:ascii="宋体" w:cs="宋体"/>
          <w:b/>
          <w:bCs/>
          <w:color w:val="auto"/>
          <w:sz w:val="24"/>
          <w:szCs w:val="24"/>
          <w:highlight w:val="none"/>
        </w:rPr>
      </w:pPr>
      <w:r>
        <w:rPr>
          <w:rFonts w:hint="eastAsia" w:ascii="宋体" w:cs="宋体"/>
          <w:b/>
          <w:bCs/>
          <w:color w:val="auto"/>
          <w:kern w:val="0"/>
          <w:sz w:val="24"/>
          <w:szCs w:val="24"/>
          <w:highlight w:val="none"/>
        </w:rPr>
        <w:t xml:space="preserve">   从中华人民共和国境内提供的货物：签订合同后预付合同总价的</w:t>
      </w:r>
      <w:r>
        <w:rPr>
          <w:rFonts w:hint="eastAsia" w:ascii="宋体" w:cs="宋体"/>
          <w:b/>
          <w:bCs/>
          <w:color w:val="auto"/>
          <w:kern w:val="0"/>
          <w:sz w:val="24"/>
          <w:szCs w:val="24"/>
          <w:highlight w:val="none"/>
          <w:lang w:val="en-US" w:eastAsia="zh-CN"/>
        </w:rPr>
        <w:t>5</w:t>
      </w:r>
      <w:r>
        <w:rPr>
          <w:rFonts w:hint="eastAsia" w:ascii="宋体" w:cs="宋体"/>
          <w:b/>
          <w:bCs/>
          <w:color w:val="auto"/>
          <w:kern w:val="0"/>
          <w:sz w:val="24"/>
          <w:szCs w:val="24"/>
          <w:highlight w:val="none"/>
        </w:rPr>
        <w:t>0%，全部货物终验合格且付款条件完备后30个工作日内支付合同总价的</w:t>
      </w:r>
      <w:r>
        <w:rPr>
          <w:rFonts w:hint="eastAsia" w:ascii="宋体" w:cs="宋体"/>
          <w:b/>
          <w:bCs/>
          <w:color w:val="auto"/>
          <w:kern w:val="0"/>
          <w:sz w:val="24"/>
          <w:szCs w:val="24"/>
          <w:highlight w:val="none"/>
          <w:lang w:val="en-US" w:eastAsia="zh-CN"/>
        </w:rPr>
        <w:t>5</w:t>
      </w:r>
      <w:r>
        <w:rPr>
          <w:rFonts w:hint="eastAsia" w:ascii="宋体" w:cs="宋体"/>
          <w:b/>
          <w:bCs/>
          <w:color w:val="auto"/>
          <w:kern w:val="0"/>
          <w:sz w:val="24"/>
          <w:szCs w:val="24"/>
          <w:highlight w:val="none"/>
        </w:rPr>
        <w:t>0%货款。</w:t>
      </w:r>
    </w:p>
    <w:p w14:paraId="2EA0DB33">
      <w:pPr>
        <w:ind w:firstLine="602" w:firstLineChars="250"/>
        <w:jc w:val="left"/>
        <w:rPr>
          <w:rFonts w:ascii="宋体" w:cs="宋体"/>
          <w:b/>
          <w:bCs/>
          <w:color w:val="auto"/>
          <w:sz w:val="24"/>
          <w:szCs w:val="24"/>
          <w:highlight w:val="none"/>
        </w:rPr>
      </w:pPr>
      <w:r>
        <w:rPr>
          <w:rFonts w:hint="eastAsia" w:ascii="宋体" w:cs="宋体"/>
          <w:b/>
          <w:bCs/>
          <w:color w:val="auto"/>
          <w:kern w:val="0"/>
          <w:sz w:val="24"/>
          <w:szCs w:val="24"/>
          <w:highlight w:val="none"/>
        </w:rPr>
        <w:t xml:space="preserve">  从中华人民共和国境外提供的货物：100%不可撤销信用证，80%见单即付，20%验收合格后付。</w:t>
      </w:r>
    </w:p>
    <w:p w14:paraId="0D8175C4">
      <w:pPr>
        <w:spacing w:line="360" w:lineRule="auto"/>
        <w:ind w:firstLine="482" w:firstLineChars="200"/>
        <w:rPr>
          <w:rFonts w:ascii="宋体"/>
          <w:b/>
          <w:bCs/>
          <w:color w:val="auto"/>
          <w:sz w:val="24"/>
          <w:highlight w:val="none"/>
        </w:rPr>
      </w:pPr>
      <w:r>
        <w:rPr>
          <w:rFonts w:hint="eastAsia" w:ascii="宋体"/>
          <w:b/>
          <w:bCs/>
          <w:color w:val="auto"/>
          <w:sz w:val="24"/>
          <w:highlight w:val="none"/>
        </w:rPr>
        <w:t>（</w:t>
      </w:r>
      <w:r>
        <w:rPr>
          <w:rFonts w:hint="eastAsia" w:ascii="宋体"/>
          <w:b/>
          <w:bCs/>
          <w:color w:val="auto"/>
          <w:sz w:val="24"/>
          <w:highlight w:val="none"/>
          <w:lang w:val="en-US" w:eastAsia="zh-CN"/>
        </w:rPr>
        <w:t>5</w:t>
      </w:r>
      <w:r>
        <w:rPr>
          <w:rFonts w:hint="eastAsia" w:ascii="宋体"/>
          <w:b/>
          <w:bCs/>
          <w:color w:val="auto"/>
          <w:sz w:val="24"/>
          <w:highlight w:val="none"/>
        </w:rPr>
        <w:t>）交付期：</w:t>
      </w:r>
    </w:p>
    <w:p w14:paraId="409B3A33">
      <w:pPr>
        <w:spacing w:line="360" w:lineRule="auto"/>
        <w:ind w:firstLine="482" w:firstLineChars="200"/>
        <w:rPr>
          <w:rFonts w:ascii="宋体"/>
          <w:b/>
          <w:bCs/>
          <w:color w:val="auto"/>
          <w:sz w:val="24"/>
          <w:highlight w:val="none"/>
        </w:rPr>
      </w:pPr>
      <w:r>
        <w:rPr>
          <w:rFonts w:hint="eastAsia" w:ascii="宋体" w:hAnsi="宋体" w:cs="宋体"/>
          <w:b/>
          <w:bCs/>
          <w:color w:val="auto"/>
          <w:sz w:val="24"/>
          <w:szCs w:val="20"/>
          <w:highlight w:val="none"/>
        </w:rPr>
        <w:t>从中华人民共和国境内提供的货物：</w:t>
      </w:r>
      <w:r>
        <w:rPr>
          <w:rFonts w:hint="eastAsia" w:ascii="宋体"/>
          <w:b/>
          <w:bCs/>
          <w:color w:val="auto"/>
          <w:sz w:val="24"/>
          <w:highlight w:val="none"/>
        </w:rPr>
        <w:t>合同生效后</w:t>
      </w:r>
      <w:r>
        <w:rPr>
          <w:rFonts w:hint="eastAsia" w:ascii="宋体"/>
          <w:b/>
          <w:bCs/>
          <w:color w:val="auto"/>
          <w:sz w:val="24"/>
          <w:highlight w:val="none"/>
          <w:u w:val="single"/>
        </w:rPr>
        <w:t xml:space="preserve">   </w:t>
      </w:r>
      <w:r>
        <w:rPr>
          <w:rFonts w:hint="eastAsia" w:ascii="宋体"/>
          <w:b/>
          <w:bCs/>
          <w:color w:val="auto"/>
          <w:sz w:val="24"/>
          <w:highlight w:val="none"/>
        </w:rPr>
        <w:t>个日历日内完成供货安装并通过验收；</w:t>
      </w:r>
    </w:p>
    <w:p w14:paraId="339B9A62">
      <w:pPr>
        <w:spacing w:line="360" w:lineRule="auto"/>
        <w:ind w:firstLine="482" w:firstLineChars="200"/>
        <w:rPr>
          <w:rFonts w:ascii="宋体"/>
          <w:color w:val="auto"/>
          <w:sz w:val="24"/>
          <w:highlight w:val="none"/>
        </w:rPr>
      </w:pPr>
      <w:r>
        <w:rPr>
          <w:rFonts w:hint="eastAsia" w:ascii="宋体" w:hAnsi="宋体" w:cs="宋体"/>
          <w:b/>
          <w:bCs/>
          <w:color w:val="auto"/>
          <w:sz w:val="24"/>
          <w:szCs w:val="20"/>
          <w:highlight w:val="none"/>
        </w:rPr>
        <w:t>从中华人民共和国境外提供的货物：</w:t>
      </w:r>
      <w:r>
        <w:rPr>
          <w:rFonts w:hint="eastAsia" w:ascii="宋体"/>
          <w:b/>
          <w:bCs/>
          <w:color w:val="auto"/>
          <w:sz w:val="24"/>
          <w:highlight w:val="none"/>
        </w:rPr>
        <w:t>合同生效</w:t>
      </w:r>
      <w:r>
        <w:rPr>
          <w:rFonts w:hint="eastAsia" w:ascii="宋体" w:hAnsi="宋体" w:cs="宋体"/>
          <w:b/>
          <w:bCs/>
          <w:color w:val="auto"/>
          <w:sz w:val="24"/>
          <w:szCs w:val="20"/>
          <w:highlight w:val="none"/>
        </w:rPr>
        <w:t>且免税手续办理好后</w:t>
      </w:r>
      <w:r>
        <w:rPr>
          <w:rFonts w:hint="eastAsia" w:ascii="宋体"/>
          <w:b/>
          <w:bCs/>
          <w:color w:val="auto"/>
          <w:sz w:val="24"/>
          <w:highlight w:val="none"/>
          <w:u w:val="single"/>
        </w:rPr>
        <w:t xml:space="preserve">   </w:t>
      </w:r>
      <w:r>
        <w:rPr>
          <w:rFonts w:hint="eastAsia" w:ascii="宋体"/>
          <w:b/>
          <w:bCs/>
          <w:color w:val="auto"/>
          <w:sz w:val="24"/>
          <w:highlight w:val="none"/>
        </w:rPr>
        <w:t>个日历日</w:t>
      </w:r>
      <w:r>
        <w:rPr>
          <w:rFonts w:hint="eastAsia" w:ascii="宋体" w:hAnsi="宋体" w:cs="宋体"/>
          <w:b/>
          <w:bCs/>
          <w:color w:val="auto"/>
          <w:sz w:val="24"/>
          <w:szCs w:val="20"/>
          <w:highlight w:val="none"/>
        </w:rPr>
        <w:t>内</w:t>
      </w:r>
      <w:r>
        <w:rPr>
          <w:rFonts w:hint="eastAsia" w:ascii="宋体"/>
          <w:b/>
          <w:bCs/>
          <w:color w:val="auto"/>
          <w:sz w:val="24"/>
          <w:highlight w:val="none"/>
        </w:rPr>
        <w:t>完成供货安装并通过验收；</w:t>
      </w:r>
    </w:p>
    <w:p w14:paraId="53BD02C0">
      <w:pPr>
        <w:spacing w:line="360" w:lineRule="auto"/>
        <w:rPr>
          <w:rFonts w:ascii="宋体"/>
          <w:color w:val="auto"/>
          <w:sz w:val="24"/>
          <w:highlight w:val="none"/>
        </w:rPr>
      </w:pPr>
    </w:p>
    <w:p w14:paraId="36766F9E">
      <w:pPr>
        <w:spacing w:line="360" w:lineRule="auto"/>
        <w:rPr>
          <w:rFonts w:ascii="宋体"/>
          <w:i/>
          <w:iCs/>
          <w:color w:val="auto"/>
          <w:sz w:val="24"/>
          <w:highlight w:val="none"/>
        </w:rPr>
      </w:pPr>
    </w:p>
    <w:p w14:paraId="5AD6429F">
      <w:pPr>
        <w:spacing w:line="360" w:lineRule="auto"/>
        <w:ind w:firstLine="4560" w:firstLineChars="1900"/>
        <w:rPr>
          <w:rFonts w:ascii="宋体"/>
          <w:color w:val="auto"/>
          <w:sz w:val="24"/>
          <w:highlight w:val="none"/>
        </w:rPr>
      </w:pPr>
      <w:r>
        <w:rPr>
          <w:rFonts w:hint="eastAsia" w:ascii="宋体"/>
          <w:color w:val="auto"/>
          <w:sz w:val="24"/>
          <w:highlight w:val="none"/>
        </w:rPr>
        <w:t>投标人</w:t>
      </w:r>
      <w:r>
        <w:rPr>
          <w:rFonts w:hint="eastAsia"/>
          <w:color w:val="auto"/>
          <w:sz w:val="24"/>
          <w:highlight w:val="none"/>
        </w:rPr>
        <w:t>名称</w:t>
      </w:r>
      <w:r>
        <w:rPr>
          <w:rFonts w:hint="eastAsia" w:ascii="宋体"/>
          <w:color w:val="auto"/>
          <w:sz w:val="24"/>
          <w:highlight w:val="none"/>
        </w:rPr>
        <w:t>（全称并加盖公章）：</w:t>
      </w:r>
      <w:r>
        <w:rPr>
          <w:rFonts w:hint="eastAsia" w:ascii="宋体"/>
          <w:color w:val="auto"/>
          <w:sz w:val="24"/>
          <w:highlight w:val="none"/>
          <w:u w:val="single"/>
        </w:rPr>
        <w:t xml:space="preserve">   </w:t>
      </w:r>
    </w:p>
    <w:p w14:paraId="3A6FE495">
      <w:pPr>
        <w:spacing w:line="360" w:lineRule="auto"/>
        <w:ind w:firstLine="4560" w:firstLineChars="1900"/>
        <w:rPr>
          <w:rFonts w:ascii="宋体"/>
          <w:color w:val="auto"/>
          <w:sz w:val="24"/>
          <w:highlight w:val="none"/>
          <w:u w:val="single"/>
        </w:rPr>
      </w:pPr>
      <w:r>
        <w:rPr>
          <w:rFonts w:hint="eastAsia" w:ascii="宋体"/>
          <w:color w:val="auto"/>
          <w:sz w:val="24"/>
          <w:highlight w:val="none"/>
        </w:rPr>
        <w:t>投标人代表签字：</w:t>
      </w:r>
      <w:r>
        <w:rPr>
          <w:rFonts w:hint="eastAsia" w:ascii="宋体"/>
          <w:color w:val="auto"/>
          <w:sz w:val="24"/>
          <w:highlight w:val="none"/>
          <w:u w:val="single"/>
        </w:rPr>
        <w:t xml:space="preserve">                  </w:t>
      </w:r>
    </w:p>
    <w:p w14:paraId="658FA13D">
      <w:pPr>
        <w:spacing w:line="360" w:lineRule="auto"/>
        <w:ind w:firstLine="4588" w:firstLineChars="1912"/>
        <w:rPr>
          <w:rFonts w:ascii="宋体"/>
          <w:color w:val="auto"/>
          <w:sz w:val="24"/>
          <w:szCs w:val="24"/>
          <w:highlight w:val="none"/>
        </w:rPr>
        <w:sectPr>
          <w:pgSz w:w="11906" w:h="16838"/>
          <w:pgMar w:top="1134" w:right="1247" w:bottom="1134" w:left="1247" w:header="851" w:footer="992" w:gutter="0"/>
          <w:cols w:space="720" w:num="1"/>
          <w:docGrid w:type="lines" w:linePitch="312" w:charSpace="0"/>
        </w:sect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 xml:space="preserve">月 </w:t>
      </w:r>
      <w:r>
        <w:rPr>
          <w:rFonts w:hint="eastAsia" w:ascii="宋体"/>
          <w:color w:val="auto"/>
          <w:sz w:val="24"/>
          <w:highlight w:val="none"/>
          <w:u w:val="single"/>
        </w:rPr>
        <w:t xml:space="preserve">        </w:t>
      </w:r>
      <w:r>
        <w:rPr>
          <w:rFonts w:hint="eastAsia" w:ascii="宋体"/>
          <w:color w:val="auto"/>
          <w:sz w:val="24"/>
          <w:highlight w:val="none"/>
        </w:rPr>
        <w:t>日</w:t>
      </w:r>
    </w:p>
    <w:p w14:paraId="4729151E">
      <w:pPr>
        <w:spacing w:line="360" w:lineRule="auto"/>
        <w:ind w:firstLine="4108" w:firstLineChars="1712"/>
        <w:rPr>
          <w:rFonts w:ascii="宋体"/>
          <w:color w:val="auto"/>
          <w:sz w:val="24"/>
          <w:szCs w:val="24"/>
          <w:highlight w:val="none"/>
        </w:rPr>
      </w:pPr>
    </w:p>
    <w:p w14:paraId="52BFE1CB">
      <w:pPr>
        <w:jc w:val="center"/>
        <w:rPr>
          <w:b/>
          <w:color w:val="auto"/>
          <w:sz w:val="24"/>
          <w:szCs w:val="24"/>
          <w:highlight w:val="none"/>
        </w:rPr>
      </w:pPr>
      <w:bookmarkStart w:id="221" w:name="_Toc484527783"/>
      <w:bookmarkStart w:id="222" w:name="_Toc478067457"/>
      <w:r>
        <w:rPr>
          <w:rFonts w:hint="eastAsia"/>
          <w:b/>
          <w:color w:val="auto"/>
          <w:sz w:val="24"/>
          <w:szCs w:val="24"/>
          <w:highlight w:val="none"/>
        </w:rPr>
        <w:t>二、</w:t>
      </w:r>
      <w:r>
        <w:rPr>
          <w:b/>
          <w:color w:val="auto"/>
          <w:sz w:val="24"/>
          <w:szCs w:val="24"/>
          <w:highlight w:val="none"/>
        </w:rPr>
        <w:t>投标人提交的其他资料（若有）</w:t>
      </w:r>
      <w:bookmarkEnd w:id="221"/>
      <w:bookmarkEnd w:id="222"/>
    </w:p>
    <w:p w14:paraId="25F53442">
      <w:pPr>
        <w:spacing w:line="360" w:lineRule="auto"/>
        <w:rPr>
          <w:rFonts w:ascii="宋体"/>
          <w:color w:val="auto"/>
          <w:sz w:val="24"/>
          <w:szCs w:val="24"/>
          <w:highlight w:val="none"/>
        </w:rPr>
      </w:pPr>
    </w:p>
    <w:p w14:paraId="787A924F">
      <w:pPr>
        <w:spacing w:line="360" w:lineRule="auto"/>
        <w:rPr>
          <w:rFonts w:ascii="宋体"/>
          <w:color w:val="auto"/>
          <w:sz w:val="24"/>
          <w:szCs w:val="24"/>
          <w:highlight w:val="none"/>
        </w:rPr>
      </w:pPr>
    </w:p>
    <w:p w14:paraId="0F67734E">
      <w:pPr>
        <w:spacing w:line="360" w:lineRule="auto"/>
        <w:jc w:val="center"/>
        <w:rPr>
          <w:rFonts w:ascii="宋体"/>
          <w:color w:val="auto"/>
          <w:sz w:val="24"/>
          <w:szCs w:val="24"/>
          <w:highlight w:val="none"/>
        </w:rPr>
      </w:pPr>
      <w:r>
        <w:rPr>
          <w:rFonts w:hint="eastAsia" w:ascii="宋体"/>
          <w:color w:val="auto"/>
          <w:sz w:val="24"/>
          <w:szCs w:val="24"/>
          <w:highlight w:val="none"/>
        </w:rPr>
        <w:t>编制说明</w:t>
      </w:r>
    </w:p>
    <w:p w14:paraId="659FBCDD">
      <w:pPr>
        <w:spacing w:line="360" w:lineRule="auto"/>
        <w:rPr>
          <w:rFonts w:ascii="宋体"/>
          <w:color w:val="auto"/>
          <w:sz w:val="24"/>
          <w:szCs w:val="24"/>
          <w:highlight w:val="none"/>
        </w:rPr>
      </w:pPr>
    </w:p>
    <w:p w14:paraId="073AB64D">
      <w:pPr>
        <w:spacing w:line="360" w:lineRule="auto"/>
        <w:jc w:val="left"/>
        <w:rPr>
          <w:rFonts w:ascii="宋体"/>
          <w:color w:val="auto"/>
          <w:sz w:val="24"/>
          <w:szCs w:val="24"/>
          <w:highlight w:val="none"/>
        </w:rPr>
      </w:pPr>
      <w:r>
        <w:rPr>
          <w:rFonts w:hint="eastAsia" w:ascii="宋体"/>
          <w:color w:val="auto"/>
          <w:sz w:val="24"/>
          <w:szCs w:val="24"/>
          <w:highlight w:val="none"/>
        </w:rPr>
        <w:t>1、招标文件要求提交的除上述内容之外的其他材料或资料加盖投标人的单位公章后可在此项下提交。</w:t>
      </w:r>
    </w:p>
    <w:p w14:paraId="2522B2CC">
      <w:pPr>
        <w:spacing w:line="360" w:lineRule="auto"/>
        <w:rPr>
          <w:rFonts w:ascii="宋体"/>
          <w:color w:val="auto"/>
          <w:sz w:val="24"/>
          <w:szCs w:val="24"/>
          <w:highlight w:val="none"/>
        </w:rPr>
      </w:pPr>
      <w:r>
        <w:rPr>
          <w:rFonts w:hint="eastAsia" w:ascii="宋体"/>
          <w:color w:val="auto"/>
          <w:sz w:val="24"/>
          <w:szCs w:val="24"/>
          <w:highlight w:val="none"/>
        </w:rPr>
        <w:t>2、投标人认为需要提交的其他材料或资料加盖投标人的单位公章后可在此项下提交。</w:t>
      </w:r>
    </w:p>
    <w:p w14:paraId="386E75FD">
      <w:pPr>
        <w:keepLines/>
        <w:pageBreakBefore/>
        <w:spacing w:line="360" w:lineRule="auto"/>
        <w:jc w:val="center"/>
        <w:outlineLvl w:val="1"/>
        <w:rPr>
          <w:rFonts w:ascii="宋体" w:cs="仿宋"/>
          <w:b/>
          <w:color w:val="auto"/>
          <w:sz w:val="24"/>
          <w:szCs w:val="24"/>
          <w:highlight w:val="none"/>
        </w:rPr>
        <w:sectPr>
          <w:pgSz w:w="11906" w:h="16838"/>
          <w:pgMar w:top="1134" w:right="1247" w:bottom="1134" w:left="1247" w:header="851" w:footer="992" w:gutter="0"/>
          <w:cols w:space="720" w:num="1"/>
          <w:docGrid w:type="lines" w:linePitch="312" w:charSpace="0"/>
        </w:sectPr>
      </w:pPr>
      <w:bookmarkStart w:id="223" w:name="_Toc525602507"/>
      <w:bookmarkStart w:id="224" w:name="_Toc531742181"/>
      <w:bookmarkStart w:id="225" w:name="_Toc17758"/>
      <w:bookmarkStart w:id="226" w:name="_Toc3121"/>
      <w:bookmarkStart w:id="227" w:name="_Toc525031065"/>
      <w:bookmarkStart w:id="228" w:name="_Toc26661"/>
      <w:bookmarkStart w:id="229" w:name="_Toc240"/>
      <w:bookmarkStart w:id="230" w:name="_Toc523752356"/>
      <w:bookmarkStart w:id="231" w:name="_Toc480474883"/>
    </w:p>
    <w:p w14:paraId="41B98066">
      <w:pPr>
        <w:keepLines/>
        <w:pageBreakBefore/>
        <w:spacing w:line="360" w:lineRule="auto"/>
        <w:jc w:val="center"/>
        <w:outlineLvl w:val="1"/>
        <w:rPr>
          <w:rFonts w:ascii="宋体" w:cs="仿宋"/>
          <w:b/>
          <w:color w:val="auto"/>
          <w:sz w:val="24"/>
          <w:szCs w:val="24"/>
          <w:highlight w:val="none"/>
        </w:rPr>
      </w:pPr>
      <w:bookmarkStart w:id="232" w:name="_Toc25131"/>
      <w:bookmarkStart w:id="233" w:name="_Toc16883"/>
      <w:bookmarkStart w:id="234" w:name="_Toc29431"/>
      <w:bookmarkStart w:id="235" w:name="_Toc30827"/>
      <w:bookmarkStart w:id="236" w:name="_Toc483561171"/>
      <w:bookmarkStart w:id="237" w:name="_Toc2234"/>
      <w:bookmarkStart w:id="238" w:name="_Toc2121001"/>
      <w:bookmarkStart w:id="239" w:name="_Toc31025"/>
      <w:bookmarkStart w:id="240" w:name="_Toc11622"/>
      <w:bookmarkStart w:id="241" w:name="_Toc15381"/>
      <w:bookmarkStart w:id="242" w:name="_Toc31378"/>
      <w:bookmarkStart w:id="243" w:name="_Toc20573"/>
      <w:bookmarkStart w:id="244" w:name="_Toc20577"/>
      <w:bookmarkStart w:id="245" w:name="_Toc525084325"/>
      <w:r>
        <w:rPr>
          <w:rFonts w:hint="eastAsia" w:ascii="宋体" w:cs="仿宋"/>
          <w:b/>
          <w:color w:val="auto"/>
          <w:sz w:val="24"/>
          <w:szCs w:val="24"/>
          <w:highlight w:val="none"/>
        </w:rPr>
        <w:t>1、服务团队人员配备情况表</w:t>
      </w:r>
      <w:bookmarkEnd w:id="232"/>
      <w:bookmarkEnd w:id="233"/>
      <w:bookmarkEnd w:id="234"/>
      <w:bookmarkEnd w:id="235"/>
      <w:bookmarkEnd w:id="236"/>
    </w:p>
    <w:p w14:paraId="72EE0AA2">
      <w:pPr>
        <w:tabs>
          <w:tab w:val="left" w:pos="630"/>
          <w:tab w:val="left" w:pos="1260"/>
        </w:tabs>
        <w:spacing w:line="480" w:lineRule="auto"/>
        <w:rPr>
          <w:rFonts w:ascii="Arial" w:hAnsi="Arial" w:cs="Arial"/>
          <w:color w:val="auto"/>
          <w:highlight w:val="none"/>
          <w:u w:val="single"/>
        </w:rPr>
      </w:pPr>
      <w:r>
        <w:rPr>
          <w:rFonts w:hint="eastAsia" w:cs="宋体"/>
          <w:color w:val="auto"/>
          <w:highlight w:val="none"/>
        </w:rPr>
        <w:t>项目名称：                          项目编号∶</w:t>
      </w:r>
      <w:r>
        <w:rPr>
          <w:rFonts w:hint="eastAsia" w:cs="宋体"/>
          <w:color w:val="auto"/>
          <w:highlight w:val="none"/>
        </w:rPr>
        <w:tab/>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
        <w:gridCol w:w="606"/>
        <w:gridCol w:w="605"/>
        <w:gridCol w:w="605"/>
        <w:gridCol w:w="1831"/>
        <w:gridCol w:w="2168"/>
        <w:gridCol w:w="798"/>
        <w:gridCol w:w="616"/>
        <w:gridCol w:w="585"/>
        <w:gridCol w:w="818"/>
      </w:tblGrid>
      <w:tr w14:paraId="302F4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7" w:type="pct"/>
            <w:vMerge w:val="restart"/>
            <w:tcBorders>
              <w:top w:val="single" w:color="auto" w:sz="12" w:space="0"/>
              <w:left w:val="single" w:color="auto" w:sz="12" w:space="0"/>
              <w:bottom w:val="single" w:color="auto" w:sz="4" w:space="0"/>
              <w:right w:val="single" w:color="auto" w:sz="4" w:space="0"/>
            </w:tcBorders>
            <w:noWrap/>
            <w:vAlign w:val="center"/>
          </w:tcPr>
          <w:p w14:paraId="055957F7">
            <w:pPr>
              <w:tabs>
                <w:tab w:val="left" w:pos="630"/>
                <w:tab w:val="left" w:pos="1260"/>
              </w:tabs>
              <w:jc w:val="center"/>
              <w:rPr>
                <w:rFonts w:cs="Arial"/>
                <w:color w:val="auto"/>
                <w:highlight w:val="none"/>
              </w:rPr>
            </w:pPr>
            <w:r>
              <w:rPr>
                <w:rFonts w:hint="eastAsia" w:cs="Arial"/>
                <w:color w:val="auto"/>
                <w:highlight w:val="none"/>
              </w:rPr>
              <w:t>拟任职位</w:t>
            </w:r>
          </w:p>
        </w:tc>
        <w:tc>
          <w:tcPr>
            <w:tcW w:w="314" w:type="pct"/>
            <w:vMerge w:val="restart"/>
            <w:tcBorders>
              <w:top w:val="single" w:color="auto" w:sz="12" w:space="0"/>
              <w:left w:val="single" w:color="auto" w:sz="4" w:space="0"/>
              <w:bottom w:val="single" w:color="auto" w:sz="4" w:space="0"/>
              <w:right w:val="single" w:color="auto" w:sz="4" w:space="0"/>
            </w:tcBorders>
            <w:noWrap/>
            <w:vAlign w:val="center"/>
          </w:tcPr>
          <w:p w14:paraId="388AA3C7">
            <w:pPr>
              <w:tabs>
                <w:tab w:val="left" w:pos="630"/>
                <w:tab w:val="left" w:pos="1260"/>
              </w:tabs>
              <w:jc w:val="center"/>
              <w:rPr>
                <w:rFonts w:cs="Arial"/>
                <w:color w:val="auto"/>
                <w:highlight w:val="none"/>
              </w:rPr>
            </w:pPr>
            <w:r>
              <w:rPr>
                <w:rFonts w:hint="eastAsia" w:cs="Arial"/>
                <w:color w:val="auto"/>
                <w:highlight w:val="none"/>
              </w:rPr>
              <w:t>姓名</w:t>
            </w:r>
          </w:p>
        </w:tc>
        <w:tc>
          <w:tcPr>
            <w:tcW w:w="314" w:type="pct"/>
            <w:vMerge w:val="restart"/>
            <w:tcBorders>
              <w:top w:val="single" w:color="auto" w:sz="12" w:space="0"/>
              <w:left w:val="single" w:color="auto" w:sz="4" w:space="0"/>
              <w:bottom w:val="single" w:color="auto" w:sz="4" w:space="0"/>
              <w:right w:val="single" w:color="auto" w:sz="4" w:space="0"/>
            </w:tcBorders>
            <w:noWrap/>
            <w:vAlign w:val="center"/>
          </w:tcPr>
          <w:p w14:paraId="03AC7C66">
            <w:pPr>
              <w:tabs>
                <w:tab w:val="left" w:pos="630"/>
                <w:tab w:val="left" w:pos="1260"/>
              </w:tabs>
              <w:jc w:val="center"/>
              <w:rPr>
                <w:rFonts w:cs="Arial"/>
                <w:color w:val="auto"/>
                <w:highlight w:val="none"/>
              </w:rPr>
            </w:pPr>
            <w:r>
              <w:rPr>
                <w:rFonts w:hint="eastAsia" w:cs="Arial"/>
                <w:color w:val="auto"/>
                <w:highlight w:val="none"/>
              </w:rPr>
              <w:t>职称</w:t>
            </w:r>
          </w:p>
        </w:tc>
        <w:tc>
          <w:tcPr>
            <w:tcW w:w="314" w:type="pct"/>
            <w:vMerge w:val="restart"/>
            <w:tcBorders>
              <w:top w:val="single" w:color="auto" w:sz="12" w:space="0"/>
              <w:left w:val="single" w:color="auto" w:sz="4" w:space="0"/>
              <w:bottom w:val="single" w:color="auto" w:sz="4" w:space="0"/>
              <w:right w:val="single" w:color="auto" w:sz="4" w:space="0"/>
            </w:tcBorders>
            <w:noWrap/>
            <w:vAlign w:val="center"/>
          </w:tcPr>
          <w:p w14:paraId="5B5A4E7E">
            <w:pPr>
              <w:tabs>
                <w:tab w:val="left" w:pos="630"/>
                <w:tab w:val="left" w:pos="1260"/>
              </w:tabs>
              <w:jc w:val="center"/>
              <w:rPr>
                <w:rFonts w:cs="Arial"/>
                <w:color w:val="auto"/>
                <w:highlight w:val="none"/>
              </w:rPr>
            </w:pPr>
            <w:r>
              <w:rPr>
                <w:rFonts w:hint="eastAsia" w:cs="Arial"/>
                <w:color w:val="auto"/>
                <w:highlight w:val="none"/>
              </w:rPr>
              <w:t>学历</w:t>
            </w:r>
          </w:p>
        </w:tc>
        <w:tc>
          <w:tcPr>
            <w:tcW w:w="950" w:type="pct"/>
            <w:vMerge w:val="restart"/>
            <w:tcBorders>
              <w:top w:val="single" w:color="auto" w:sz="12" w:space="0"/>
              <w:left w:val="single" w:color="auto" w:sz="4" w:space="0"/>
              <w:bottom w:val="single" w:color="auto" w:sz="4" w:space="0"/>
              <w:right w:val="single" w:color="auto" w:sz="4" w:space="0"/>
            </w:tcBorders>
            <w:noWrap/>
            <w:vAlign w:val="center"/>
          </w:tcPr>
          <w:p w14:paraId="448A7383">
            <w:pPr>
              <w:tabs>
                <w:tab w:val="left" w:pos="630"/>
                <w:tab w:val="left" w:pos="1260"/>
              </w:tabs>
              <w:jc w:val="center"/>
              <w:rPr>
                <w:rFonts w:cs="Arial"/>
                <w:color w:val="auto"/>
                <w:highlight w:val="none"/>
              </w:rPr>
            </w:pPr>
            <w:r>
              <w:rPr>
                <w:rFonts w:hint="eastAsia" w:cs="Arial"/>
                <w:color w:val="auto"/>
                <w:highlight w:val="none"/>
              </w:rPr>
              <w:t>工作/业务经历年限</w:t>
            </w:r>
          </w:p>
        </w:tc>
        <w:tc>
          <w:tcPr>
            <w:tcW w:w="1125" w:type="pct"/>
            <w:vMerge w:val="restart"/>
            <w:tcBorders>
              <w:top w:val="single" w:color="auto" w:sz="12" w:space="0"/>
              <w:left w:val="single" w:color="auto" w:sz="4" w:space="0"/>
              <w:bottom w:val="single" w:color="auto" w:sz="4" w:space="0"/>
              <w:right w:val="single" w:color="auto" w:sz="4" w:space="0"/>
            </w:tcBorders>
            <w:noWrap/>
            <w:vAlign w:val="center"/>
          </w:tcPr>
          <w:p w14:paraId="79ED4E15">
            <w:pPr>
              <w:tabs>
                <w:tab w:val="left" w:pos="630"/>
                <w:tab w:val="left" w:pos="1260"/>
              </w:tabs>
              <w:jc w:val="center"/>
              <w:rPr>
                <w:rFonts w:cs="Arial"/>
                <w:color w:val="auto"/>
                <w:highlight w:val="none"/>
              </w:rPr>
            </w:pPr>
            <w:r>
              <w:rPr>
                <w:rFonts w:hint="eastAsia" w:cs="Arial"/>
                <w:color w:val="auto"/>
                <w:highlight w:val="none"/>
              </w:rPr>
              <w:t>类似职位工作经历年限</w:t>
            </w:r>
          </w:p>
        </w:tc>
        <w:tc>
          <w:tcPr>
            <w:tcW w:w="1463" w:type="pct"/>
            <w:gridSpan w:val="4"/>
            <w:tcBorders>
              <w:top w:val="single" w:color="auto" w:sz="12" w:space="0"/>
              <w:left w:val="single" w:color="auto" w:sz="4" w:space="0"/>
              <w:bottom w:val="single" w:color="auto" w:sz="4" w:space="0"/>
              <w:right w:val="single" w:color="auto" w:sz="4" w:space="0"/>
            </w:tcBorders>
            <w:noWrap/>
            <w:vAlign w:val="center"/>
          </w:tcPr>
          <w:p w14:paraId="3CB96D82">
            <w:pPr>
              <w:tabs>
                <w:tab w:val="left" w:pos="630"/>
                <w:tab w:val="left" w:pos="1260"/>
              </w:tabs>
              <w:jc w:val="center"/>
              <w:rPr>
                <w:rFonts w:cs="Arial"/>
                <w:color w:val="auto"/>
                <w:highlight w:val="none"/>
              </w:rPr>
            </w:pPr>
            <w:r>
              <w:rPr>
                <w:rFonts w:hint="eastAsia" w:cs="Arial"/>
                <w:color w:val="auto"/>
                <w:highlight w:val="none"/>
              </w:rPr>
              <w:t>技术能力证明</w:t>
            </w:r>
          </w:p>
        </w:tc>
      </w:tr>
      <w:tr w14:paraId="076C7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517" w:type="pct"/>
            <w:vMerge w:val="continue"/>
            <w:tcBorders>
              <w:top w:val="single" w:color="auto" w:sz="12" w:space="0"/>
              <w:left w:val="single" w:color="auto" w:sz="12" w:space="0"/>
              <w:bottom w:val="single" w:color="auto" w:sz="4" w:space="0"/>
              <w:right w:val="single" w:color="auto" w:sz="4" w:space="0"/>
            </w:tcBorders>
            <w:noWrap/>
            <w:vAlign w:val="center"/>
          </w:tcPr>
          <w:p w14:paraId="65CF482F">
            <w:pPr>
              <w:rPr>
                <w:color w:val="auto"/>
                <w:highlight w:val="none"/>
              </w:rPr>
            </w:pPr>
          </w:p>
        </w:tc>
        <w:tc>
          <w:tcPr>
            <w:tcW w:w="314" w:type="pct"/>
            <w:vMerge w:val="continue"/>
            <w:tcBorders>
              <w:top w:val="single" w:color="auto" w:sz="12" w:space="0"/>
              <w:left w:val="single" w:color="auto" w:sz="4" w:space="0"/>
              <w:bottom w:val="single" w:color="auto" w:sz="4" w:space="0"/>
              <w:right w:val="single" w:color="auto" w:sz="4" w:space="0"/>
            </w:tcBorders>
            <w:noWrap/>
            <w:vAlign w:val="center"/>
          </w:tcPr>
          <w:p w14:paraId="4FA3C776">
            <w:pPr>
              <w:rPr>
                <w:color w:val="auto"/>
                <w:highlight w:val="none"/>
              </w:rPr>
            </w:pPr>
          </w:p>
        </w:tc>
        <w:tc>
          <w:tcPr>
            <w:tcW w:w="314" w:type="pct"/>
            <w:vMerge w:val="continue"/>
            <w:tcBorders>
              <w:top w:val="single" w:color="auto" w:sz="12" w:space="0"/>
              <w:left w:val="single" w:color="auto" w:sz="4" w:space="0"/>
              <w:bottom w:val="single" w:color="auto" w:sz="4" w:space="0"/>
              <w:right w:val="single" w:color="auto" w:sz="4" w:space="0"/>
            </w:tcBorders>
            <w:noWrap/>
            <w:vAlign w:val="center"/>
          </w:tcPr>
          <w:p w14:paraId="501A912F">
            <w:pPr>
              <w:rPr>
                <w:color w:val="auto"/>
                <w:highlight w:val="none"/>
              </w:rPr>
            </w:pPr>
          </w:p>
        </w:tc>
        <w:tc>
          <w:tcPr>
            <w:tcW w:w="314" w:type="pct"/>
            <w:vMerge w:val="continue"/>
            <w:tcBorders>
              <w:top w:val="single" w:color="auto" w:sz="12" w:space="0"/>
              <w:left w:val="single" w:color="auto" w:sz="4" w:space="0"/>
              <w:bottom w:val="single" w:color="auto" w:sz="4" w:space="0"/>
              <w:right w:val="single" w:color="auto" w:sz="4" w:space="0"/>
            </w:tcBorders>
            <w:noWrap/>
            <w:vAlign w:val="center"/>
          </w:tcPr>
          <w:p w14:paraId="6368271A">
            <w:pPr>
              <w:rPr>
                <w:color w:val="auto"/>
                <w:highlight w:val="none"/>
              </w:rPr>
            </w:pPr>
          </w:p>
        </w:tc>
        <w:tc>
          <w:tcPr>
            <w:tcW w:w="950" w:type="pct"/>
            <w:vMerge w:val="continue"/>
            <w:tcBorders>
              <w:top w:val="single" w:color="auto" w:sz="12" w:space="0"/>
              <w:left w:val="single" w:color="auto" w:sz="4" w:space="0"/>
              <w:bottom w:val="single" w:color="auto" w:sz="4" w:space="0"/>
              <w:right w:val="single" w:color="auto" w:sz="4" w:space="0"/>
            </w:tcBorders>
            <w:noWrap/>
            <w:vAlign w:val="center"/>
          </w:tcPr>
          <w:p w14:paraId="327DA38C">
            <w:pPr>
              <w:rPr>
                <w:color w:val="auto"/>
                <w:highlight w:val="none"/>
              </w:rPr>
            </w:pPr>
          </w:p>
        </w:tc>
        <w:tc>
          <w:tcPr>
            <w:tcW w:w="1125" w:type="pct"/>
            <w:vMerge w:val="continue"/>
            <w:tcBorders>
              <w:top w:val="single" w:color="auto" w:sz="12" w:space="0"/>
              <w:left w:val="single" w:color="auto" w:sz="4" w:space="0"/>
              <w:bottom w:val="single" w:color="auto" w:sz="4" w:space="0"/>
              <w:right w:val="single" w:color="auto" w:sz="4" w:space="0"/>
            </w:tcBorders>
            <w:noWrap/>
            <w:vAlign w:val="center"/>
          </w:tcPr>
          <w:p w14:paraId="241A7A0E">
            <w:pPr>
              <w:rPr>
                <w:color w:val="auto"/>
                <w:highlight w:val="none"/>
              </w:rPr>
            </w:pPr>
          </w:p>
        </w:tc>
        <w:tc>
          <w:tcPr>
            <w:tcW w:w="414" w:type="pct"/>
            <w:tcBorders>
              <w:top w:val="single" w:color="auto" w:sz="4" w:space="0"/>
              <w:left w:val="single" w:color="auto" w:sz="4" w:space="0"/>
              <w:bottom w:val="single" w:color="auto" w:sz="4" w:space="0"/>
              <w:right w:val="single" w:color="auto" w:sz="4" w:space="0"/>
            </w:tcBorders>
            <w:noWrap/>
            <w:vAlign w:val="center"/>
          </w:tcPr>
          <w:p w14:paraId="2D5C67A7">
            <w:pPr>
              <w:tabs>
                <w:tab w:val="left" w:pos="630"/>
                <w:tab w:val="left" w:pos="1235"/>
              </w:tabs>
              <w:jc w:val="center"/>
              <w:rPr>
                <w:rFonts w:cs="Arial"/>
                <w:color w:val="auto"/>
                <w:highlight w:val="none"/>
              </w:rPr>
            </w:pPr>
            <w:r>
              <w:rPr>
                <w:rFonts w:hint="eastAsia" w:cs="Arial"/>
                <w:color w:val="auto"/>
                <w:highlight w:val="none"/>
              </w:rPr>
              <w:t>证书名称</w:t>
            </w:r>
          </w:p>
        </w:tc>
        <w:tc>
          <w:tcPr>
            <w:tcW w:w="320" w:type="pct"/>
            <w:tcBorders>
              <w:top w:val="single" w:color="auto" w:sz="4" w:space="0"/>
              <w:left w:val="single" w:color="auto" w:sz="4" w:space="0"/>
              <w:bottom w:val="single" w:color="auto" w:sz="4" w:space="0"/>
              <w:right w:val="single" w:color="auto" w:sz="4" w:space="0"/>
            </w:tcBorders>
            <w:noWrap/>
            <w:vAlign w:val="center"/>
          </w:tcPr>
          <w:p w14:paraId="6A916EB4">
            <w:pPr>
              <w:tabs>
                <w:tab w:val="left" w:pos="630"/>
                <w:tab w:val="left" w:pos="1260"/>
              </w:tabs>
              <w:jc w:val="center"/>
              <w:rPr>
                <w:rFonts w:cs="Arial"/>
                <w:color w:val="auto"/>
                <w:highlight w:val="none"/>
              </w:rPr>
            </w:pPr>
            <w:r>
              <w:rPr>
                <w:rFonts w:hint="eastAsia" w:cs="Arial"/>
                <w:color w:val="auto"/>
                <w:highlight w:val="none"/>
              </w:rPr>
              <w:t>级别</w:t>
            </w:r>
          </w:p>
        </w:tc>
        <w:tc>
          <w:tcPr>
            <w:tcW w:w="304" w:type="pct"/>
            <w:tcBorders>
              <w:top w:val="single" w:color="auto" w:sz="4" w:space="0"/>
              <w:left w:val="single" w:color="auto" w:sz="4" w:space="0"/>
              <w:bottom w:val="single" w:color="auto" w:sz="4" w:space="0"/>
              <w:right w:val="single" w:color="auto" w:sz="4" w:space="0"/>
            </w:tcBorders>
            <w:noWrap/>
            <w:vAlign w:val="center"/>
          </w:tcPr>
          <w:p w14:paraId="5CE6B901">
            <w:pPr>
              <w:tabs>
                <w:tab w:val="left" w:pos="630"/>
                <w:tab w:val="left" w:pos="1260"/>
              </w:tabs>
              <w:jc w:val="center"/>
              <w:rPr>
                <w:rFonts w:cs="Arial"/>
                <w:color w:val="auto"/>
                <w:highlight w:val="none"/>
              </w:rPr>
            </w:pPr>
            <w:r>
              <w:rPr>
                <w:rFonts w:hint="eastAsia" w:cs="Arial"/>
                <w:color w:val="auto"/>
                <w:highlight w:val="none"/>
              </w:rPr>
              <w:t>证号</w:t>
            </w:r>
          </w:p>
        </w:tc>
        <w:tc>
          <w:tcPr>
            <w:tcW w:w="424" w:type="pct"/>
            <w:tcBorders>
              <w:top w:val="single" w:color="auto" w:sz="4" w:space="0"/>
              <w:left w:val="single" w:color="auto" w:sz="4" w:space="0"/>
              <w:bottom w:val="single" w:color="auto" w:sz="4" w:space="0"/>
              <w:right w:val="single" w:color="auto" w:sz="4" w:space="0"/>
            </w:tcBorders>
            <w:noWrap/>
            <w:vAlign w:val="center"/>
          </w:tcPr>
          <w:p w14:paraId="19001678">
            <w:pPr>
              <w:tabs>
                <w:tab w:val="left" w:pos="630"/>
                <w:tab w:val="left" w:pos="1260"/>
              </w:tabs>
              <w:jc w:val="center"/>
              <w:rPr>
                <w:rFonts w:cs="Arial"/>
                <w:color w:val="auto"/>
                <w:highlight w:val="none"/>
              </w:rPr>
            </w:pPr>
            <w:r>
              <w:rPr>
                <w:rFonts w:hint="eastAsia" w:cs="Arial"/>
                <w:color w:val="auto"/>
                <w:highlight w:val="none"/>
              </w:rPr>
              <w:t>专业</w:t>
            </w:r>
          </w:p>
        </w:tc>
      </w:tr>
      <w:tr w14:paraId="0173A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17" w:type="pct"/>
            <w:tcBorders>
              <w:top w:val="single" w:color="auto" w:sz="4" w:space="0"/>
              <w:left w:val="single" w:color="auto" w:sz="12" w:space="0"/>
              <w:bottom w:val="single" w:color="auto" w:sz="4" w:space="0"/>
              <w:right w:val="single" w:color="auto" w:sz="4" w:space="0"/>
            </w:tcBorders>
            <w:noWrap/>
            <w:vAlign w:val="center"/>
          </w:tcPr>
          <w:p w14:paraId="0FC4B139">
            <w:pPr>
              <w:tabs>
                <w:tab w:val="left" w:pos="630"/>
                <w:tab w:val="left" w:pos="1260"/>
              </w:tabs>
              <w:spacing w:line="480" w:lineRule="auto"/>
              <w:rPr>
                <w:rFonts w:ascii="Arial" w:hAnsi="Arial" w:cs="Arial"/>
                <w:bCs/>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3524B9DE">
            <w:pPr>
              <w:tabs>
                <w:tab w:val="left" w:pos="630"/>
                <w:tab w:val="left" w:pos="1260"/>
              </w:tabs>
              <w:spacing w:line="480" w:lineRule="auto"/>
              <w:rPr>
                <w:rFonts w:ascii="Arial" w:hAnsi="Arial" w:cs="Arial"/>
                <w:bCs/>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0B037535">
            <w:pPr>
              <w:tabs>
                <w:tab w:val="left" w:pos="630"/>
                <w:tab w:val="left" w:pos="1260"/>
              </w:tabs>
              <w:spacing w:line="480" w:lineRule="auto"/>
              <w:rPr>
                <w:rFonts w:ascii="Arial" w:hAnsi="Arial" w:cs="Arial"/>
                <w:bCs/>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189FCDC2">
            <w:pPr>
              <w:tabs>
                <w:tab w:val="left" w:pos="630"/>
                <w:tab w:val="left" w:pos="1260"/>
              </w:tabs>
              <w:spacing w:line="480" w:lineRule="auto"/>
              <w:rPr>
                <w:rFonts w:ascii="Arial" w:hAnsi="Arial" w:cs="Arial"/>
                <w:bCs/>
                <w:color w:val="auto"/>
                <w:highlight w:val="none"/>
              </w:rPr>
            </w:pPr>
          </w:p>
        </w:tc>
        <w:tc>
          <w:tcPr>
            <w:tcW w:w="950" w:type="pct"/>
            <w:tcBorders>
              <w:top w:val="single" w:color="auto" w:sz="4" w:space="0"/>
              <w:left w:val="single" w:color="auto" w:sz="4" w:space="0"/>
              <w:bottom w:val="single" w:color="auto" w:sz="4" w:space="0"/>
              <w:right w:val="single" w:color="auto" w:sz="4" w:space="0"/>
            </w:tcBorders>
            <w:noWrap/>
            <w:vAlign w:val="center"/>
          </w:tcPr>
          <w:p w14:paraId="4876D9D9">
            <w:pPr>
              <w:tabs>
                <w:tab w:val="left" w:pos="630"/>
                <w:tab w:val="left" w:pos="1260"/>
              </w:tabs>
              <w:spacing w:line="480" w:lineRule="auto"/>
              <w:rPr>
                <w:rFonts w:ascii="Arial" w:hAnsi="Arial" w:cs="Arial"/>
                <w:bCs/>
                <w:color w:val="auto"/>
                <w:highlight w:val="none"/>
              </w:rPr>
            </w:pPr>
          </w:p>
        </w:tc>
        <w:tc>
          <w:tcPr>
            <w:tcW w:w="1125" w:type="pct"/>
            <w:tcBorders>
              <w:top w:val="single" w:color="auto" w:sz="4" w:space="0"/>
              <w:left w:val="single" w:color="auto" w:sz="4" w:space="0"/>
              <w:bottom w:val="single" w:color="auto" w:sz="4" w:space="0"/>
              <w:right w:val="single" w:color="auto" w:sz="4" w:space="0"/>
            </w:tcBorders>
            <w:noWrap/>
            <w:vAlign w:val="center"/>
          </w:tcPr>
          <w:p w14:paraId="2F81B396">
            <w:pPr>
              <w:tabs>
                <w:tab w:val="left" w:pos="630"/>
                <w:tab w:val="left" w:pos="1260"/>
              </w:tabs>
              <w:spacing w:line="480" w:lineRule="auto"/>
              <w:rPr>
                <w:rFonts w:ascii="Arial" w:hAnsi="Arial" w:cs="Arial"/>
                <w:bCs/>
                <w:color w:val="auto"/>
                <w:highlight w:val="none"/>
              </w:rPr>
            </w:pPr>
          </w:p>
        </w:tc>
        <w:tc>
          <w:tcPr>
            <w:tcW w:w="414" w:type="pct"/>
            <w:tcBorders>
              <w:top w:val="single" w:color="auto" w:sz="4" w:space="0"/>
              <w:left w:val="single" w:color="auto" w:sz="4" w:space="0"/>
              <w:bottom w:val="single" w:color="auto" w:sz="4" w:space="0"/>
              <w:right w:val="single" w:color="auto" w:sz="4" w:space="0"/>
            </w:tcBorders>
            <w:noWrap/>
            <w:vAlign w:val="center"/>
          </w:tcPr>
          <w:p w14:paraId="5A17C9EB">
            <w:pPr>
              <w:tabs>
                <w:tab w:val="left" w:pos="630"/>
                <w:tab w:val="left" w:pos="1260"/>
              </w:tabs>
              <w:spacing w:line="480" w:lineRule="auto"/>
              <w:rPr>
                <w:rFonts w:ascii="Arial" w:hAnsi="Arial" w:cs="Arial"/>
                <w:bCs/>
                <w:color w:val="auto"/>
                <w:highlight w:val="none"/>
              </w:rPr>
            </w:pPr>
          </w:p>
        </w:tc>
        <w:tc>
          <w:tcPr>
            <w:tcW w:w="320" w:type="pct"/>
            <w:tcBorders>
              <w:top w:val="single" w:color="auto" w:sz="4" w:space="0"/>
              <w:left w:val="single" w:color="auto" w:sz="4" w:space="0"/>
              <w:bottom w:val="single" w:color="auto" w:sz="4" w:space="0"/>
              <w:right w:val="single" w:color="auto" w:sz="4" w:space="0"/>
            </w:tcBorders>
            <w:noWrap/>
            <w:vAlign w:val="center"/>
          </w:tcPr>
          <w:p w14:paraId="7F24B924">
            <w:pPr>
              <w:tabs>
                <w:tab w:val="left" w:pos="630"/>
                <w:tab w:val="left" w:pos="1260"/>
              </w:tabs>
              <w:spacing w:line="480" w:lineRule="auto"/>
              <w:rPr>
                <w:rFonts w:ascii="Arial" w:hAnsi="Arial" w:cs="Arial"/>
                <w:bCs/>
                <w:color w:val="auto"/>
                <w:highlight w:val="none"/>
              </w:rPr>
            </w:pPr>
          </w:p>
        </w:tc>
        <w:tc>
          <w:tcPr>
            <w:tcW w:w="304" w:type="pct"/>
            <w:tcBorders>
              <w:top w:val="single" w:color="auto" w:sz="4" w:space="0"/>
              <w:left w:val="single" w:color="auto" w:sz="4" w:space="0"/>
              <w:bottom w:val="single" w:color="auto" w:sz="4" w:space="0"/>
              <w:right w:val="single" w:color="auto" w:sz="4" w:space="0"/>
            </w:tcBorders>
            <w:noWrap/>
            <w:vAlign w:val="center"/>
          </w:tcPr>
          <w:p w14:paraId="5A69DF33">
            <w:pPr>
              <w:tabs>
                <w:tab w:val="left" w:pos="630"/>
                <w:tab w:val="left" w:pos="1260"/>
              </w:tabs>
              <w:spacing w:line="480" w:lineRule="auto"/>
              <w:rPr>
                <w:rFonts w:ascii="Arial" w:hAnsi="Arial" w:cs="Arial"/>
                <w:bCs/>
                <w:color w:val="auto"/>
                <w:highlight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14:paraId="352EBF55">
            <w:pPr>
              <w:tabs>
                <w:tab w:val="left" w:pos="630"/>
                <w:tab w:val="left" w:pos="1260"/>
              </w:tabs>
              <w:spacing w:line="480" w:lineRule="auto"/>
              <w:rPr>
                <w:rFonts w:ascii="Arial" w:hAnsi="Arial" w:cs="Arial"/>
                <w:bCs/>
                <w:color w:val="auto"/>
                <w:highlight w:val="none"/>
              </w:rPr>
            </w:pPr>
          </w:p>
        </w:tc>
      </w:tr>
      <w:tr w14:paraId="7927B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17" w:type="pct"/>
            <w:tcBorders>
              <w:top w:val="single" w:color="auto" w:sz="4" w:space="0"/>
              <w:left w:val="single" w:color="auto" w:sz="12" w:space="0"/>
              <w:bottom w:val="single" w:color="auto" w:sz="4" w:space="0"/>
              <w:right w:val="single" w:color="auto" w:sz="4" w:space="0"/>
            </w:tcBorders>
            <w:noWrap/>
            <w:vAlign w:val="center"/>
          </w:tcPr>
          <w:p w14:paraId="69FE6DBA">
            <w:pPr>
              <w:tabs>
                <w:tab w:val="left" w:pos="630"/>
                <w:tab w:val="left" w:pos="1260"/>
              </w:tabs>
              <w:spacing w:line="480" w:lineRule="auto"/>
              <w:rPr>
                <w:rFonts w:ascii="Arial" w:hAnsi="Arial" w:cs="Arial"/>
                <w:bCs/>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3BE47F4C">
            <w:pPr>
              <w:tabs>
                <w:tab w:val="left" w:pos="630"/>
                <w:tab w:val="left" w:pos="1260"/>
              </w:tabs>
              <w:spacing w:line="480" w:lineRule="auto"/>
              <w:rPr>
                <w:rFonts w:ascii="Arial" w:hAnsi="Arial" w:cs="Arial"/>
                <w:bCs/>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7367901A">
            <w:pPr>
              <w:tabs>
                <w:tab w:val="left" w:pos="630"/>
                <w:tab w:val="left" w:pos="1260"/>
              </w:tabs>
              <w:spacing w:line="480" w:lineRule="auto"/>
              <w:rPr>
                <w:rFonts w:ascii="Arial" w:hAnsi="Arial" w:cs="Arial"/>
                <w:bCs/>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3C16EE63">
            <w:pPr>
              <w:tabs>
                <w:tab w:val="left" w:pos="630"/>
                <w:tab w:val="left" w:pos="1260"/>
              </w:tabs>
              <w:spacing w:line="480" w:lineRule="auto"/>
              <w:rPr>
                <w:rFonts w:ascii="Arial" w:hAnsi="Arial" w:cs="Arial"/>
                <w:bCs/>
                <w:color w:val="auto"/>
                <w:highlight w:val="none"/>
              </w:rPr>
            </w:pPr>
          </w:p>
        </w:tc>
        <w:tc>
          <w:tcPr>
            <w:tcW w:w="950" w:type="pct"/>
            <w:tcBorders>
              <w:top w:val="single" w:color="auto" w:sz="4" w:space="0"/>
              <w:left w:val="single" w:color="auto" w:sz="4" w:space="0"/>
              <w:bottom w:val="single" w:color="auto" w:sz="4" w:space="0"/>
              <w:right w:val="single" w:color="auto" w:sz="4" w:space="0"/>
            </w:tcBorders>
            <w:noWrap/>
            <w:vAlign w:val="center"/>
          </w:tcPr>
          <w:p w14:paraId="7C93398C">
            <w:pPr>
              <w:tabs>
                <w:tab w:val="left" w:pos="630"/>
                <w:tab w:val="left" w:pos="1260"/>
              </w:tabs>
              <w:spacing w:line="480" w:lineRule="auto"/>
              <w:rPr>
                <w:rFonts w:ascii="Arial" w:hAnsi="Arial" w:cs="Arial"/>
                <w:bCs/>
                <w:color w:val="auto"/>
                <w:highlight w:val="none"/>
              </w:rPr>
            </w:pPr>
          </w:p>
        </w:tc>
        <w:tc>
          <w:tcPr>
            <w:tcW w:w="1125" w:type="pct"/>
            <w:tcBorders>
              <w:top w:val="single" w:color="auto" w:sz="4" w:space="0"/>
              <w:left w:val="single" w:color="auto" w:sz="4" w:space="0"/>
              <w:bottom w:val="single" w:color="auto" w:sz="4" w:space="0"/>
              <w:right w:val="single" w:color="auto" w:sz="4" w:space="0"/>
            </w:tcBorders>
            <w:noWrap/>
            <w:vAlign w:val="center"/>
          </w:tcPr>
          <w:p w14:paraId="33FFF3F8">
            <w:pPr>
              <w:tabs>
                <w:tab w:val="left" w:pos="630"/>
                <w:tab w:val="left" w:pos="1260"/>
              </w:tabs>
              <w:spacing w:line="480" w:lineRule="auto"/>
              <w:rPr>
                <w:rFonts w:ascii="Arial" w:hAnsi="Arial" w:cs="Arial"/>
                <w:bCs/>
                <w:color w:val="auto"/>
                <w:highlight w:val="none"/>
              </w:rPr>
            </w:pPr>
          </w:p>
        </w:tc>
        <w:tc>
          <w:tcPr>
            <w:tcW w:w="414" w:type="pct"/>
            <w:tcBorders>
              <w:top w:val="single" w:color="auto" w:sz="4" w:space="0"/>
              <w:left w:val="single" w:color="auto" w:sz="4" w:space="0"/>
              <w:bottom w:val="single" w:color="auto" w:sz="4" w:space="0"/>
              <w:right w:val="single" w:color="auto" w:sz="4" w:space="0"/>
            </w:tcBorders>
            <w:noWrap/>
            <w:vAlign w:val="center"/>
          </w:tcPr>
          <w:p w14:paraId="7958012A">
            <w:pPr>
              <w:tabs>
                <w:tab w:val="left" w:pos="630"/>
                <w:tab w:val="left" w:pos="1260"/>
              </w:tabs>
              <w:spacing w:line="480" w:lineRule="auto"/>
              <w:rPr>
                <w:rFonts w:ascii="Arial" w:hAnsi="Arial" w:cs="Arial"/>
                <w:bCs/>
                <w:color w:val="auto"/>
                <w:highlight w:val="none"/>
              </w:rPr>
            </w:pPr>
          </w:p>
        </w:tc>
        <w:tc>
          <w:tcPr>
            <w:tcW w:w="320" w:type="pct"/>
            <w:tcBorders>
              <w:top w:val="single" w:color="auto" w:sz="4" w:space="0"/>
              <w:left w:val="single" w:color="auto" w:sz="4" w:space="0"/>
              <w:bottom w:val="single" w:color="auto" w:sz="4" w:space="0"/>
              <w:right w:val="single" w:color="auto" w:sz="4" w:space="0"/>
            </w:tcBorders>
            <w:noWrap/>
            <w:vAlign w:val="center"/>
          </w:tcPr>
          <w:p w14:paraId="6D0D60A1">
            <w:pPr>
              <w:tabs>
                <w:tab w:val="left" w:pos="630"/>
                <w:tab w:val="left" w:pos="1260"/>
              </w:tabs>
              <w:spacing w:line="480" w:lineRule="auto"/>
              <w:rPr>
                <w:rFonts w:ascii="Arial" w:hAnsi="Arial" w:cs="Arial"/>
                <w:bCs/>
                <w:color w:val="auto"/>
                <w:highlight w:val="none"/>
              </w:rPr>
            </w:pPr>
          </w:p>
        </w:tc>
        <w:tc>
          <w:tcPr>
            <w:tcW w:w="304" w:type="pct"/>
            <w:tcBorders>
              <w:top w:val="single" w:color="auto" w:sz="4" w:space="0"/>
              <w:left w:val="single" w:color="auto" w:sz="4" w:space="0"/>
              <w:bottom w:val="single" w:color="auto" w:sz="4" w:space="0"/>
              <w:right w:val="single" w:color="auto" w:sz="4" w:space="0"/>
            </w:tcBorders>
            <w:noWrap/>
            <w:vAlign w:val="center"/>
          </w:tcPr>
          <w:p w14:paraId="68236CCD">
            <w:pPr>
              <w:tabs>
                <w:tab w:val="left" w:pos="630"/>
                <w:tab w:val="left" w:pos="1260"/>
              </w:tabs>
              <w:spacing w:line="480" w:lineRule="auto"/>
              <w:rPr>
                <w:rFonts w:ascii="Arial" w:hAnsi="Arial" w:cs="Arial"/>
                <w:bCs/>
                <w:color w:val="auto"/>
                <w:highlight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14:paraId="060ED081">
            <w:pPr>
              <w:tabs>
                <w:tab w:val="left" w:pos="630"/>
                <w:tab w:val="left" w:pos="1260"/>
              </w:tabs>
              <w:spacing w:line="480" w:lineRule="auto"/>
              <w:rPr>
                <w:rFonts w:ascii="Arial" w:hAnsi="Arial" w:cs="Arial"/>
                <w:bCs/>
                <w:color w:val="auto"/>
                <w:highlight w:val="none"/>
              </w:rPr>
            </w:pPr>
          </w:p>
        </w:tc>
      </w:tr>
      <w:tr w14:paraId="02432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17" w:type="pct"/>
            <w:tcBorders>
              <w:top w:val="single" w:color="auto" w:sz="4" w:space="0"/>
              <w:left w:val="single" w:color="auto" w:sz="12" w:space="0"/>
              <w:bottom w:val="single" w:color="auto" w:sz="4" w:space="0"/>
              <w:right w:val="single" w:color="auto" w:sz="4" w:space="0"/>
            </w:tcBorders>
            <w:noWrap/>
            <w:vAlign w:val="center"/>
          </w:tcPr>
          <w:p w14:paraId="7117FDA9">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47B31C0E">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4CDE752B">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67F3E025">
            <w:pPr>
              <w:tabs>
                <w:tab w:val="left" w:pos="630"/>
                <w:tab w:val="left" w:pos="1260"/>
              </w:tabs>
              <w:spacing w:line="480" w:lineRule="auto"/>
              <w:rPr>
                <w:rFonts w:ascii="Arial" w:hAnsi="Arial" w:cs="Arial"/>
                <w:b/>
                <w:color w:val="auto"/>
                <w:highlight w:val="none"/>
              </w:rPr>
            </w:pPr>
          </w:p>
        </w:tc>
        <w:tc>
          <w:tcPr>
            <w:tcW w:w="950" w:type="pct"/>
            <w:tcBorders>
              <w:top w:val="single" w:color="auto" w:sz="4" w:space="0"/>
              <w:left w:val="single" w:color="auto" w:sz="4" w:space="0"/>
              <w:bottom w:val="single" w:color="auto" w:sz="4" w:space="0"/>
              <w:right w:val="single" w:color="auto" w:sz="4" w:space="0"/>
            </w:tcBorders>
            <w:noWrap/>
            <w:vAlign w:val="center"/>
          </w:tcPr>
          <w:p w14:paraId="7C64A838">
            <w:pPr>
              <w:tabs>
                <w:tab w:val="left" w:pos="630"/>
                <w:tab w:val="left" w:pos="1260"/>
              </w:tabs>
              <w:spacing w:line="480" w:lineRule="auto"/>
              <w:rPr>
                <w:rFonts w:ascii="Arial" w:hAnsi="Arial" w:cs="Arial"/>
                <w:b/>
                <w:color w:val="auto"/>
                <w:highlight w:val="none"/>
              </w:rPr>
            </w:pPr>
          </w:p>
        </w:tc>
        <w:tc>
          <w:tcPr>
            <w:tcW w:w="1125" w:type="pct"/>
            <w:tcBorders>
              <w:top w:val="single" w:color="auto" w:sz="4" w:space="0"/>
              <w:left w:val="single" w:color="auto" w:sz="4" w:space="0"/>
              <w:bottom w:val="single" w:color="auto" w:sz="4" w:space="0"/>
              <w:right w:val="single" w:color="auto" w:sz="4" w:space="0"/>
            </w:tcBorders>
            <w:noWrap/>
            <w:vAlign w:val="center"/>
          </w:tcPr>
          <w:p w14:paraId="4338C0C7">
            <w:pPr>
              <w:tabs>
                <w:tab w:val="left" w:pos="630"/>
                <w:tab w:val="left" w:pos="1260"/>
              </w:tabs>
              <w:spacing w:line="480" w:lineRule="auto"/>
              <w:rPr>
                <w:rFonts w:ascii="Arial" w:hAnsi="Arial" w:cs="Arial"/>
                <w:b/>
                <w:color w:val="auto"/>
                <w:highlight w:val="none"/>
              </w:rPr>
            </w:pPr>
          </w:p>
        </w:tc>
        <w:tc>
          <w:tcPr>
            <w:tcW w:w="414" w:type="pct"/>
            <w:tcBorders>
              <w:top w:val="single" w:color="auto" w:sz="4" w:space="0"/>
              <w:left w:val="single" w:color="auto" w:sz="4" w:space="0"/>
              <w:bottom w:val="single" w:color="auto" w:sz="4" w:space="0"/>
              <w:right w:val="single" w:color="auto" w:sz="4" w:space="0"/>
            </w:tcBorders>
            <w:noWrap/>
            <w:vAlign w:val="center"/>
          </w:tcPr>
          <w:p w14:paraId="4BD204BF">
            <w:pPr>
              <w:tabs>
                <w:tab w:val="left" w:pos="630"/>
                <w:tab w:val="left" w:pos="1260"/>
              </w:tabs>
              <w:spacing w:line="480" w:lineRule="auto"/>
              <w:rPr>
                <w:rFonts w:ascii="Arial" w:hAnsi="Arial" w:cs="Arial"/>
                <w:b/>
                <w:color w:val="auto"/>
                <w:highlight w:val="none"/>
              </w:rPr>
            </w:pPr>
          </w:p>
        </w:tc>
        <w:tc>
          <w:tcPr>
            <w:tcW w:w="320" w:type="pct"/>
            <w:tcBorders>
              <w:top w:val="single" w:color="auto" w:sz="4" w:space="0"/>
              <w:left w:val="single" w:color="auto" w:sz="4" w:space="0"/>
              <w:bottom w:val="single" w:color="auto" w:sz="4" w:space="0"/>
              <w:right w:val="single" w:color="auto" w:sz="4" w:space="0"/>
            </w:tcBorders>
            <w:noWrap/>
            <w:vAlign w:val="center"/>
          </w:tcPr>
          <w:p w14:paraId="58082787">
            <w:pPr>
              <w:tabs>
                <w:tab w:val="left" w:pos="630"/>
                <w:tab w:val="left" w:pos="1260"/>
              </w:tabs>
              <w:spacing w:line="480" w:lineRule="auto"/>
              <w:rPr>
                <w:rFonts w:ascii="Arial" w:hAnsi="Arial" w:cs="Arial"/>
                <w:b/>
                <w:color w:val="auto"/>
                <w:highlight w:val="none"/>
              </w:rPr>
            </w:pPr>
          </w:p>
        </w:tc>
        <w:tc>
          <w:tcPr>
            <w:tcW w:w="304" w:type="pct"/>
            <w:tcBorders>
              <w:top w:val="single" w:color="auto" w:sz="4" w:space="0"/>
              <w:left w:val="single" w:color="auto" w:sz="4" w:space="0"/>
              <w:bottom w:val="single" w:color="auto" w:sz="4" w:space="0"/>
              <w:right w:val="single" w:color="auto" w:sz="4" w:space="0"/>
            </w:tcBorders>
            <w:noWrap/>
            <w:vAlign w:val="center"/>
          </w:tcPr>
          <w:p w14:paraId="1D8BE9DB">
            <w:pPr>
              <w:tabs>
                <w:tab w:val="left" w:pos="630"/>
                <w:tab w:val="left" w:pos="1260"/>
              </w:tabs>
              <w:spacing w:line="480" w:lineRule="auto"/>
              <w:rPr>
                <w:rFonts w:ascii="Arial" w:hAnsi="Arial" w:cs="Arial"/>
                <w:b/>
                <w:color w:val="auto"/>
                <w:highlight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14:paraId="76DD2D0D">
            <w:pPr>
              <w:tabs>
                <w:tab w:val="left" w:pos="630"/>
                <w:tab w:val="left" w:pos="1260"/>
              </w:tabs>
              <w:spacing w:line="480" w:lineRule="auto"/>
              <w:rPr>
                <w:rFonts w:ascii="Arial" w:hAnsi="Arial" w:cs="Arial"/>
                <w:b/>
                <w:color w:val="auto"/>
                <w:highlight w:val="none"/>
              </w:rPr>
            </w:pPr>
          </w:p>
        </w:tc>
      </w:tr>
      <w:tr w14:paraId="0CB27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17" w:type="pct"/>
            <w:tcBorders>
              <w:top w:val="single" w:color="auto" w:sz="4" w:space="0"/>
              <w:left w:val="single" w:color="auto" w:sz="12" w:space="0"/>
              <w:bottom w:val="single" w:color="auto" w:sz="4" w:space="0"/>
              <w:right w:val="single" w:color="auto" w:sz="4" w:space="0"/>
            </w:tcBorders>
            <w:noWrap/>
            <w:vAlign w:val="center"/>
          </w:tcPr>
          <w:p w14:paraId="2CB95EBC">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617FC3B0">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5AE26C09">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57194FDD">
            <w:pPr>
              <w:tabs>
                <w:tab w:val="left" w:pos="630"/>
                <w:tab w:val="left" w:pos="1260"/>
              </w:tabs>
              <w:spacing w:line="480" w:lineRule="auto"/>
              <w:rPr>
                <w:rFonts w:ascii="Arial" w:hAnsi="Arial" w:cs="Arial"/>
                <w:b/>
                <w:color w:val="auto"/>
                <w:highlight w:val="none"/>
              </w:rPr>
            </w:pPr>
          </w:p>
        </w:tc>
        <w:tc>
          <w:tcPr>
            <w:tcW w:w="950" w:type="pct"/>
            <w:tcBorders>
              <w:top w:val="single" w:color="auto" w:sz="4" w:space="0"/>
              <w:left w:val="single" w:color="auto" w:sz="4" w:space="0"/>
              <w:bottom w:val="single" w:color="auto" w:sz="4" w:space="0"/>
              <w:right w:val="single" w:color="auto" w:sz="4" w:space="0"/>
            </w:tcBorders>
            <w:noWrap/>
            <w:vAlign w:val="center"/>
          </w:tcPr>
          <w:p w14:paraId="3361DA00">
            <w:pPr>
              <w:tabs>
                <w:tab w:val="left" w:pos="630"/>
                <w:tab w:val="left" w:pos="1260"/>
              </w:tabs>
              <w:spacing w:line="480" w:lineRule="auto"/>
              <w:rPr>
                <w:rFonts w:ascii="Arial" w:hAnsi="Arial" w:cs="Arial"/>
                <w:b/>
                <w:color w:val="auto"/>
                <w:highlight w:val="none"/>
              </w:rPr>
            </w:pPr>
          </w:p>
        </w:tc>
        <w:tc>
          <w:tcPr>
            <w:tcW w:w="1125" w:type="pct"/>
            <w:tcBorders>
              <w:top w:val="single" w:color="auto" w:sz="4" w:space="0"/>
              <w:left w:val="single" w:color="auto" w:sz="4" w:space="0"/>
              <w:bottom w:val="single" w:color="auto" w:sz="4" w:space="0"/>
              <w:right w:val="single" w:color="auto" w:sz="4" w:space="0"/>
            </w:tcBorders>
            <w:noWrap/>
            <w:vAlign w:val="center"/>
          </w:tcPr>
          <w:p w14:paraId="3332338C">
            <w:pPr>
              <w:tabs>
                <w:tab w:val="left" w:pos="630"/>
                <w:tab w:val="left" w:pos="1260"/>
              </w:tabs>
              <w:spacing w:line="480" w:lineRule="auto"/>
              <w:rPr>
                <w:rFonts w:ascii="Arial" w:hAnsi="Arial" w:cs="Arial"/>
                <w:b/>
                <w:color w:val="auto"/>
                <w:highlight w:val="none"/>
              </w:rPr>
            </w:pPr>
          </w:p>
        </w:tc>
        <w:tc>
          <w:tcPr>
            <w:tcW w:w="414" w:type="pct"/>
            <w:tcBorders>
              <w:top w:val="single" w:color="auto" w:sz="4" w:space="0"/>
              <w:left w:val="single" w:color="auto" w:sz="4" w:space="0"/>
              <w:bottom w:val="single" w:color="auto" w:sz="4" w:space="0"/>
              <w:right w:val="single" w:color="auto" w:sz="4" w:space="0"/>
            </w:tcBorders>
            <w:noWrap/>
            <w:vAlign w:val="center"/>
          </w:tcPr>
          <w:p w14:paraId="2EC0AD74">
            <w:pPr>
              <w:tabs>
                <w:tab w:val="left" w:pos="630"/>
                <w:tab w:val="left" w:pos="1260"/>
              </w:tabs>
              <w:spacing w:line="480" w:lineRule="auto"/>
              <w:rPr>
                <w:rFonts w:ascii="Arial" w:hAnsi="Arial" w:cs="Arial"/>
                <w:b/>
                <w:color w:val="auto"/>
                <w:highlight w:val="none"/>
              </w:rPr>
            </w:pPr>
          </w:p>
        </w:tc>
        <w:tc>
          <w:tcPr>
            <w:tcW w:w="320" w:type="pct"/>
            <w:tcBorders>
              <w:top w:val="single" w:color="auto" w:sz="4" w:space="0"/>
              <w:left w:val="single" w:color="auto" w:sz="4" w:space="0"/>
              <w:bottom w:val="single" w:color="auto" w:sz="4" w:space="0"/>
              <w:right w:val="single" w:color="auto" w:sz="4" w:space="0"/>
            </w:tcBorders>
            <w:noWrap/>
            <w:vAlign w:val="center"/>
          </w:tcPr>
          <w:p w14:paraId="5F2E03C2">
            <w:pPr>
              <w:tabs>
                <w:tab w:val="left" w:pos="630"/>
                <w:tab w:val="left" w:pos="1260"/>
              </w:tabs>
              <w:spacing w:line="480" w:lineRule="auto"/>
              <w:rPr>
                <w:rFonts w:ascii="Arial" w:hAnsi="Arial" w:cs="Arial"/>
                <w:b/>
                <w:color w:val="auto"/>
                <w:highlight w:val="none"/>
              </w:rPr>
            </w:pPr>
          </w:p>
        </w:tc>
        <w:tc>
          <w:tcPr>
            <w:tcW w:w="304" w:type="pct"/>
            <w:tcBorders>
              <w:top w:val="single" w:color="auto" w:sz="4" w:space="0"/>
              <w:left w:val="single" w:color="auto" w:sz="4" w:space="0"/>
              <w:bottom w:val="single" w:color="auto" w:sz="4" w:space="0"/>
              <w:right w:val="single" w:color="auto" w:sz="4" w:space="0"/>
            </w:tcBorders>
            <w:noWrap/>
            <w:vAlign w:val="center"/>
          </w:tcPr>
          <w:p w14:paraId="34D7E0CC">
            <w:pPr>
              <w:tabs>
                <w:tab w:val="left" w:pos="630"/>
                <w:tab w:val="left" w:pos="1260"/>
              </w:tabs>
              <w:spacing w:line="480" w:lineRule="auto"/>
              <w:rPr>
                <w:rFonts w:ascii="Arial" w:hAnsi="Arial" w:cs="Arial"/>
                <w:b/>
                <w:color w:val="auto"/>
                <w:highlight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14:paraId="4255AB68">
            <w:pPr>
              <w:tabs>
                <w:tab w:val="left" w:pos="630"/>
                <w:tab w:val="left" w:pos="1260"/>
              </w:tabs>
              <w:spacing w:line="480" w:lineRule="auto"/>
              <w:rPr>
                <w:rFonts w:ascii="Arial" w:hAnsi="Arial" w:cs="Arial"/>
                <w:b/>
                <w:color w:val="auto"/>
                <w:highlight w:val="none"/>
              </w:rPr>
            </w:pPr>
          </w:p>
        </w:tc>
      </w:tr>
      <w:tr w14:paraId="02516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17" w:type="pct"/>
            <w:tcBorders>
              <w:top w:val="single" w:color="auto" w:sz="4" w:space="0"/>
              <w:left w:val="single" w:color="auto" w:sz="12" w:space="0"/>
              <w:bottom w:val="single" w:color="auto" w:sz="4" w:space="0"/>
              <w:right w:val="single" w:color="auto" w:sz="4" w:space="0"/>
            </w:tcBorders>
            <w:noWrap/>
            <w:vAlign w:val="center"/>
          </w:tcPr>
          <w:p w14:paraId="480FD7F9">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5E99F2E7">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32C3A08F">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6A555F8E">
            <w:pPr>
              <w:tabs>
                <w:tab w:val="left" w:pos="630"/>
                <w:tab w:val="left" w:pos="1260"/>
              </w:tabs>
              <w:spacing w:line="480" w:lineRule="auto"/>
              <w:rPr>
                <w:rFonts w:ascii="Arial" w:hAnsi="Arial" w:cs="Arial"/>
                <w:b/>
                <w:color w:val="auto"/>
                <w:highlight w:val="none"/>
              </w:rPr>
            </w:pPr>
          </w:p>
        </w:tc>
        <w:tc>
          <w:tcPr>
            <w:tcW w:w="950" w:type="pct"/>
            <w:tcBorders>
              <w:top w:val="single" w:color="auto" w:sz="4" w:space="0"/>
              <w:left w:val="single" w:color="auto" w:sz="4" w:space="0"/>
              <w:bottom w:val="single" w:color="auto" w:sz="4" w:space="0"/>
              <w:right w:val="single" w:color="auto" w:sz="4" w:space="0"/>
            </w:tcBorders>
            <w:noWrap/>
            <w:vAlign w:val="center"/>
          </w:tcPr>
          <w:p w14:paraId="383EEC44">
            <w:pPr>
              <w:tabs>
                <w:tab w:val="left" w:pos="630"/>
                <w:tab w:val="left" w:pos="1260"/>
              </w:tabs>
              <w:spacing w:line="480" w:lineRule="auto"/>
              <w:rPr>
                <w:rFonts w:ascii="Arial" w:hAnsi="Arial" w:cs="Arial"/>
                <w:b/>
                <w:color w:val="auto"/>
                <w:highlight w:val="none"/>
              </w:rPr>
            </w:pPr>
          </w:p>
        </w:tc>
        <w:tc>
          <w:tcPr>
            <w:tcW w:w="1125" w:type="pct"/>
            <w:tcBorders>
              <w:top w:val="single" w:color="auto" w:sz="4" w:space="0"/>
              <w:left w:val="single" w:color="auto" w:sz="4" w:space="0"/>
              <w:bottom w:val="single" w:color="auto" w:sz="4" w:space="0"/>
              <w:right w:val="single" w:color="auto" w:sz="4" w:space="0"/>
            </w:tcBorders>
            <w:noWrap/>
            <w:vAlign w:val="center"/>
          </w:tcPr>
          <w:p w14:paraId="5240E55F">
            <w:pPr>
              <w:tabs>
                <w:tab w:val="left" w:pos="630"/>
                <w:tab w:val="left" w:pos="1260"/>
              </w:tabs>
              <w:spacing w:line="480" w:lineRule="auto"/>
              <w:rPr>
                <w:rFonts w:ascii="Arial" w:hAnsi="Arial" w:cs="Arial"/>
                <w:b/>
                <w:color w:val="auto"/>
                <w:highlight w:val="none"/>
              </w:rPr>
            </w:pPr>
          </w:p>
        </w:tc>
        <w:tc>
          <w:tcPr>
            <w:tcW w:w="414" w:type="pct"/>
            <w:tcBorders>
              <w:top w:val="single" w:color="auto" w:sz="4" w:space="0"/>
              <w:left w:val="single" w:color="auto" w:sz="4" w:space="0"/>
              <w:bottom w:val="single" w:color="auto" w:sz="4" w:space="0"/>
              <w:right w:val="single" w:color="auto" w:sz="4" w:space="0"/>
            </w:tcBorders>
            <w:noWrap/>
            <w:vAlign w:val="center"/>
          </w:tcPr>
          <w:p w14:paraId="30E18295">
            <w:pPr>
              <w:tabs>
                <w:tab w:val="left" w:pos="630"/>
                <w:tab w:val="left" w:pos="1260"/>
              </w:tabs>
              <w:spacing w:line="480" w:lineRule="auto"/>
              <w:rPr>
                <w:rFonts w:ascii="Arial" w:hAnsi="Arial" w:cs="Arial"/>
                <w:b/>
                <w:color w:val="auto"/>
                <w:highlight w:val="none"/>
              </w:rPr>
            </w:pPr>
          </w:p>
        </w:tc>
        <w:tc>
          <w:tcPr>
            <w:tcW w:w="320" w:type="pct"/>
            <w:tcBorders>
              <w:top w:val="single" w:color="auto" w:sz="4" w:space="0"/>
              <w:left w:val="single" w:color="auto" w:sz="4" w:space="0"/>
              <w:bottom w:val="single" w:color="auto" w:sz="4" w:space="0"/>
              <w:right w:val="single" w:color="auto" w:sz="4" w:space="0"/>
            </w:tcBorders>
            <w:noWrap/>
            <w:vAlign w:val="center"/>
          </w:tcPr>
          <w:p w14:paraId="1F2502C4">
            <w:pPr>
              <w:tabs>
                <w:tab w:val="left" w:pos="630"/>
                <w:tab w:val="left" w:pos="1260"/>
              </w:tabs>
              <w:spacing w:line="480" w:lineRule="auto"/>
              <w:rPr>
                <w:rFonts w:ascii="Arial" w:hAnsi="Arial" w:cs="Arial"/>
                <w:b/>
                <w:color w:val="auto"/>
                <w:highlight w:val="none"/>
              </w:rPr>
            </w:pPr>
          </w:p>
        </w:tc>
        <w:tc>
          <w:tcPr>
            <w:tcW w:w="304" w:type="pct"/>
            <w:tcBorders>
              <w:top w:val="single" w:color="auto" w:sz="4" w:space="0"/>
              <w:left w:val="single" w:color="auto" w:sz="4" w:space="0"/>
              <w:bottom w:val="single" w:color="auto" w:sz="4" w:space="0"/>
              <w:right w:val="single" w:color="auto" w:sz="4" w:space="0"/>
            </w:tcBorders>
            <w:noWrap/>
            <w:vAlign w:val="center"/>
          </w:tcPr>
          <w:p w14:paraId="3516DFC1">
            <w:pPr>
              <w:tabs>
                <w:tab w:val="left" w:pos="630"/>
                <w:tab w:val="left" w:pos="1260"/>
              </w:tabs>
              <w:spacing w:line="480" w:lineRule="auto"/>
              <w:rPr>
                <w:rFonts w:ascii="Arial" w:hAnsi="Arial" w:cs="Arial"/>
                <w:b/>
                <w:color w:val="auto"/>
                <w:highlight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14:paraId="4D8FFEC9">
            <w:pPr>
              <w:tabs>
                <w:tab w:val="left" w:pos="630"/>
                <w:tab w:val="left" w:pos="1260"/>
              </w:tabs>
              <w:spacing w:line="480" w:lineRule="auto"/>
              <w:rPr>
                <w:rFonts w:ascii="Arial" w:hAnsi="Arial" w:cs="Arial"/>
                <w:b/>
                <w:color w:val="auto"/>
                <w:highlight w:val="none"/>
              </w:rPr>
            </w:pPr>
          </w:p>
        </w:tc>
      </w:tr>
      <w:tr w14:paraId="3CFC6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17" w:type="pct"/>
            <w:tcBorders>
              <w:top w:val="single" w:color="auto" w:sz="4" w:space="0"/>
              <w:left w:val="single" w:color="auto" w:sz="12" w:space="0"/>
              <w:bottom w:val="single" w:color="auto" w:sz="12" w:space="0"/>
              <w:right w:val="single" w:color="auto" w:sz="4" w:space="0"/>
            </w:tcBorders>
            <w:noWrap/>
            <w:vAlign w:val="center"/>
          </w:tcPr>
          <w:p w14:paraId="5EE8039E">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12" w:space="0"/>
              <w:right w:val="single" w:color="auto" w:sz="4" w:space="0"/>
            </w:tcBorders>
            <w:noWrap/>
            <w:vAlign w:val="center"/>
          </w:tcPr>
          <w:p w14:paraId="5475B5A7">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12" w:space="0"/>
              <w:right w:val="single" w:color="auto" w:sz="4" w:space="0"/>
            </w:tcBorders>
            <w:noWrap/>
            <w:vAlign w:val="center"/>
          </w:tcPr>
          <w:p w14:paraId="5213CA27">
            <w:pPr>
              <w:tabs>
                <w:tab w:val="left" w:pos="630"/>
                <w:tab w:val="left" w:pos="1260"/>
              </w:tabs>
              <w:spacing w:line="480" w:lineRule="auto"/>
              <w:rPr>
                <w:rFonts w:ascii="Arial" w:hAnsi="Arial" w:cs="Arial"/>
                <w:b/>
                <w:color w:val="auto"/>
                <w:highlight w:val="none"/>
              </w:rPr>
            </w:pPr>
          </w:p>
        </w:tc>
        <w:tc>
          <w:tcPr>
            <w:tcW w:w="314" w:type="pct"/>
            <w:tcBorders>
              <w:top w:val="single" w:color="auto" w:sz="4" w:space="0"/>
              <w:left w:val="single" w:color="auto" w:sz="4" w:space="0"/>
              <w:bottom w:val="single" w:color="auto" w:sz="12" w:space="0"/>
              <w:right w:val="single" w:color="auto" w:sz="4" w:space="0"/>
            </w:tcBorders>
            <w:noWrap/>
            <w:vAlign w:val="center"/>
          </w:tcPr>
          <w:p w14:paraId="4F2DC52B">
            <w:pPr>
              <w:tabs>
                <w:tab w:val="left" w:pos="630"/>
                <w:tab w:val="left" w:pos="1260"/>
              </w:tabs>
              <w:spacing w:line="480" w:lineRule="auto"/>
              <w:rPr>
                <w:rFonts w:ascii="Arial" w:hAnsi="Arial" w:cs="Arial"/>
                <w:b/>
                <w:color w:val="auto"/>
                <w:highlight w:val="none"/>
              </w:rPr>
            </w:pPr>
          </w:p>
        </w:tc>
        <w:tc>
          <w:tcPr>
            <w:tcW w:w="950" w:type="pct"/>
            <w:tcBorders>
              <w:top w:val="single" w:color="auto" w:sz="4" w:space="0"/>
              <w:left w:val="single" w:color="auto" w:sz="4" w:space="0"/>
              <w:bottom w:val="single" w:color="auto" w:sz="12" w:space="0"/>
              <w:right w:val="single" w:color="auto" w:sz="4" w:space="0"/>
            </w:tcBorders>
            <w:noWrap/>
            <w:vAlign w:val="center"/>
          </w:tcPr>
          <w:p w14:paraId="7840865B">
            <w:pPr>
              <w:tabs>
                <w:tab w:val="left" w:pos="630"/>
                <w:tab w:val="left" w:pos="1260"/>
              </w:tabs>
              <w:spacing w:line="480" w:lineRule="auto"/>
              <w:rPr>
                <w:rFonts w:ascii="Arial" w:hAnsi="Arial" w:cs="Arial"/>
                <w:b/>
                <w:color w:val="auto"/>
                <w:highlight w:val="none"/>
              </w:rPr>
            </w:pPr>
          </w:p>
        </w:tc>
        <w:tc>
          <w:tcPr>
            <w:tcW w:w="1125" w:type="pct"/>
            <w:tcBorders>
              <w:top w:val="single" w:color="auto" w:sz="4" w:space="0"/>
              <w:left w:val="single" w:color="auto" w:sz="4" w:space="0"/>
              <w:bottom w:val="single" w:color="auto" w:sz="12" w:space="0"/>
              <w:right w:val="single" w:color="auto" w:sz="4" w:space="0"/>
            </w:tcBorders>
            <w:noWrap/>
            <w:vAlign w:val="center"/>
          </w:tcPr>
          <w:p w14:paraId="53BDDA2B">
            <w:pPr>
              <w:tabs>
                <w:tab w:val="left" w:pos="630"/>
                <w:tab w:val="left" w:pos="1260"/>
              </w:tabs>
              <w:spacing w:line="480" w:lineRule="auto"/>
              <w:rPr>
                <w:rFonts w:ascii="Arial" w:hAnsi="Arial" w:cs="Arial"/>
                <w:b/>
                <w:color w:val="auto"/>
                <w:highlight w:val="none"/>
              </w:rPr>
            </w:pPr>
          </w:p>
        </w:tc>
        <w:tc>
          <w:tcPr>
            <w:tcW w:w="414" w:type="pct"/>
            <w:tcBorders>
              <w:top w:val="single" w:color="auto" w:sz="4" w:space="0"/>
              <w:left w:val="single" w:color="auto" w:sz="4" w:space="0"/>
              <w:bottom w:val="single" w:color="auto" w:sz="12" w:space="0"/>
              <w:right w:val="single" w:color="auto" w:sz="4" w:space="0"/>
            </w:tcBorders>
            <w:noWrap/>
            <w:vAlign w:val="center"/>
          </w:tcPr>
          <w:p w14:paraId="2CB40568">
            <w:pPr>
              <w:tabs>
                <w:tab w:val="left" w:pos="630"/>
                <w:tab w:val="left" w:pos="1260"/>
              </w:tabs>
              <w:spacing w:line="480" w:lineRule="auto"/>
              <w:rPr>
                <w:rFonts w:ascii="Arial" w:hAnsi="Arial" w:cs="Arial"/>
                <w:b/>
                <w:color w:val="auto"/>
                <w:highlight w:val="none"/>
              </w:rPr>
            </w:pPr>
          </w:p>
        </w:tc>
        <w:tc>
          <w:tcPr>
            <w:tcW w:w="320" w:type="pct"/>
            <w:tcBorders>
              <w:top w:val="single" w:color="auto" w:sz="4" w:space="0"/>
              <w:left w:val="single" w:color="auto" w:sz="4" w:space="0"/>
              <w:bottom w:val="single" w:color="auto" w:sz="12" w:space="0"/>
              <w:right w:val="single" w:color="auto" w:sz="4" w:space="0"/>
            </w:tcBorders>
            <w:noWrap/>
            <w:vAlign w:val="center"/>
          </w:tcPr>
          <w:p w14:paraId="7C2DCE94">
            <w:pPr>
              <w:tabs>
                <w:tab w:val="left" w:pos="630"/>
                <w:tab w:val="left" w:pos="1260"/>
              </w:tabs>
              <w:spacing w:line="480" w:lineRule="auto"/>
              <w:rPr>
                <w:rFonts w:ascii="Arial" w:hAnsi="Arial" w:cs="Arial"/>
                <w:b/>
                <w:color w:val="auto"/>
                <w:highlight w:val="none"/>
              </w:rPr>
            </w:pPr>
          </w:p>
        </w:tc>
        <w:tc>
          <w:tcPr>
            <w:tcW w:w="304" w:type="pct"/>
            <w:tcBorders>
              <w:top w:val="single" w:color="auto" w:sz="4" w:space="0"/>
              <w:left w:val="single" w:color="auto" w:sz="4" w:space="0"/>
              <w:bottom w:val="single" w:color="auto" w:sz="12" w:space="0"/>
              <w:right w:val="single" w:color="auto" w:sz="4" w:space="0"/>
            </w:tcBorders>
            <w:noWrap/>
            <w:vAlign w:val="center"/>
          </w:tcPr>
          <w:p w14:paraId="1B01507C">
            <w:pPr>
              <w:tabs>
                <w:tab w:val="left" w:pos="630"/>
                <w:tab w:val="left" w:pos="1260"/>
              </w:tabs>
              <w:spacing w:line="480" w:lineRule="auto"/>
              <w:rPr>
                <w:rFonts w:ascii="Arial" w:hAnsi="Arial" w:cs="Arial"/>
                <w:b/>
                <w:color w:val="auto"/>
                <w:highlight w:val="none"/>
              </w:rPr>
            </w:pPr>
          </w:p>
        </w:tc>
        <w:tc>
          <w:tcPr>
            <w:tcW w:w="424" w:type="pct"/>
            <w:tcBorders>
              <w:top w:val="single" w:color="auto" w:sz="4" w:space="0"/>
              <w:left w:val="single" w:color="auto" w:sz="4" w:space="0"/>
              <w:bottom w:val="single" w:color="auto" w:sz="12" w:space="0"/>
              <w:right w:val="single" w:color="auto" w:sz="4" w:space="0"/>
            </w:tcBorders>
            <w:noWrap/>
            <w:vAlign w:val="center"/>
          </w:tcPr>
          <w:p w14:paraId="4E171E62">
            <w:pPr>
              <w:tabs>
                <w:tab w:val="left" w:pos="630"/>
                <w:tab w:val="left" w:pos="1260"/>
              </w:tabs>
              <w:spacing w:line="480" w:lineRule="auto"/>
              <w:rPr>
                <w:rFonts w:ascii="Arial" w:hAnsi="Arial" w:cs="Arial"/>
                <w:b/>
                <w:color w:val="auto"/>
                <w:highlight w:val="none"/>
              </w:rPr>
            </w:pPr>
          </w:p>
        </w:tc>
      </w:tr>
    </w:tbl>
    <w:p w14:paraId="631D06D4">
      <w:pPr>
        <w:tabs>
          <w:tab w:val="left" w:pos="630"/>
          <w:tab w:val="left" w:pos="1260"/>
        </w:tabs>
        <w:spacing w:line="360" w:lineRule="auto"/>
        <w:rPr>
          <w:rFonts w:cs="Arial"/>
          <w:bCs/>
          <w:color w:val="auto"/>
          <w:highlight w:val="none"/>
        </w:rPr>
      </w:pPr>
      <w:r>
        <w:rPr>
          <w:rFonts w:hint="eastAsia" w:cs="Arial"/>
          <w:bCs/>
          <w:color w:val="auto"/>
          <w:highlight w:val="none"/>
        </w:rPr>
        <w:t>注：1、工作/业务经验是指从事与本项目同类设备安装或售后服务工作/业务的年限；</w:t>
      </w:r>
    </w:p>
    <w:p w14:paraId="3658AFFB">
      <w:pPr>
        <w:tabs>
          <w:tab w:val="left" w:pos="630"/>
          <w:tab w:val="left" w:pos="1260"/>
        </w:tabs>
        <w:spacing w:line="360" w:lineRule="auto"/>
        <w:ind w:firstLine="411" w:firstLineChars="196"/>
        <w:rPr>
          <w:rFonts w:cs="Arial"/>
          <w:bCs/>
          <w:color w:val="auto"/>
          <w:highlight w:val="none"/>
        </w:rPr>
      </w:pPr>
      <w:r>
        <w:rPr>
          <w:rFonts w:hint="eastAsia" w:cs="Arial"/>
          <w:bCs/>
          <w:color w:val="auto"/>
          <w:highlight w:val="none"/>
        </w:rPr>
        <w:t>2、类似职位工作经历年限是指从事与本项目同类设备安装或售后服务类似职位的工作经历年限；</w:t>
      </w:r>
    </w:p>
    <w:p w14:paraId="126C04B5">
      <w:pPr>
        <w:tabs>
          <w:tab w:val="left" w:pos="630"/>
          <w:tab w:val="left" w:pos="1260"/>
        </w:tabs>
        <w:spacing w:line="360" w:lineRule="auto"/>
        <w:ind w:firstLine="420" w:firstLineChars="200"/>
        <w:rPr>
          <w:rFonts w:cs="Arial"/>
          <w:bCs/>
          <w:color w:val="auto"/>
          <w:highlight w:val="none"/>
        </w:rPr>
      </w:pPr>
      <w:r>
        <w:rPr>
          <w:rFonts w:hint="eastAsia" w:cs="Arial"/>
          <w:bCs/>
          <w:color w:val="auto"/>
          <w:highlight w:val="none"/>
        </w:rPr>
        <w:t>3、本表不够填写，可自行增页。</w:t>
      </w:r>
    </w:p>
    <w:p w14:paraId="7F17B30E">
      <w:pPr>
        <w:spacing w:line="360" w:lineRule="auto"/>
        <w:ind w:firstLine="420" w:firstLineChars="200"/>
        <w:rPr>
          <w:rFonts w:cs="Arial"/>
          <w:bCs/>
          <w:color w:val="auto"/>
          <w:highlight w:val="none"/>
        </w:rPr>
      </w:pPr>
      <w:r>
        <w:rPr>
          <w:rFonts w:hint="eastAsia" w:cs="Arial"/>
          <w:bCs/>
          <w:color w:val="auto"/>
          <w:highlight w:val="none"/>
        </w:rPr>
        <w:t>4、提供所列证书的复印件。</w:t>
      </w:r>
    </w:p>
    <w:p w14:paraId="31FD32CC">
      <w:pPr>
        <w:spacing w:line="380" w:lineRule="exact"/>
        <w:ind w:firstLine="420" w:firstLineChars="200"/>
        <w:rPr>
          <w:rFonts w:cs="Arial"/>
          <w:bCs/>
          <w:color w:val="auto"/>
          <w:highlight w:val="none"/>
        </w:rPr>
      </w:pPr>
    </w:p>
    <w:p w14:paraId="65E8210E">
      <w:pPr>
        <w:spacing w:line="360" w:lineRule="auto"/>
        <w:ind w:firstLine="4677" w:firstLineChars="1949"/>
        <w:rPr>
          <w:rFonts w:ascii="宋体"/>
          <w:color w:val="auto"/>
          <w:sz w:val="24"/>
          <w:szCs w:val="24"/>
          <w:highlight w:val="none"/>
          <w:u w:val="single"/>
        </w:rPr>
      </w:pPr>
      <w:r>
        <w:rPr>
          <w:rFonts w:hint="eastAsia" w:ascii="宋体"/>
          <w:color w:val="auto"/>
          <w:sz w:val="24"/>
          <w:szCs w:val="24"/>
          <w:highlight w:val="none"/>
        </w:rPr>
        <w:t>投标人：</w:t>
      </w:r>
      <w:r>
        <w:rPr>
          <w:rFonts w:hint="eastAsia" w:ascii="宋体"/>
          <w:color w:val="auto"/>
          <w:sz w:val="24"/>
          <w:szCs w:val="24"/>
          <w:highlight w:val="none"/>
          <w:u w:val="single"/>
        </w:rPr>
        <w:t>（全称并加盖单位公章）</w:t>
      </w:r>
    </w:p>
    <w:p w14:paraId="35F4F103">
      <w:pPr>
        <w:spacing w:line="360" w:lineRule="auto"/>
        <w:ind w:firstLine="4677" w:firstLineChars="1949"/>
        <w:rPr>
          <w:rFonts w:ascii="宋体"/>
          <w:color w:val="auto"/>
          <w:sz w:val="24"/>
          <w:szCs w:val="24"/>
          <w:highlight w:val="none"/>
        </w:rPr>
      </w:pPr>
      <w:r>
        <w:rPr>
          <w:rFonts w:hint="eastAsia" w:ascii="宋体"/>
          <w:color w:val="auto"/>
          <w:sz w:val="24"/>
          <w:szCs w:val="24"/>
          <w:highlight w:val="none"/>
        </w:rPr>
        <w:t>投标人代表签字：</w:t>
      </w:r>
      <w:r>
        <w:rPr>
          <w:rFonts w:hint="eastAsia" w:ascii="宋体"/>
          <w:color w:val="auto"/>
          <w:sz w:val="24"/>
          <w:szCs w:val="24"/>
          <w:highlight w:val="none"/>
          <w:u w:val="single"/>
        </w:rPr>
        <w:t xml:space="preserve">                   </w:t>
      </w:r>
    </w:p>
    <w:p w14:paraId="281ACB00">
      <w:pPr>
        <w:spacing w:line="360" w:lineRule="auto"/>
        <w:ind w:firstLine="4677" w:firstLineChars="1949"/>
        <w:rPr>
          <w:rFonts w:ascii="宋体"/>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03504271">
      <w:pPr>
        <w:widowControl/>
        <w:spacing w:line="360" w:lineRule="auto"/>
        <w:rPr>
          <w:rFonts w:cs="宋体"/>
          <w:b/>
          <w:color w:val="auto"/>
          <w:highlight w:val="none"/>
          <w:u w:val="single"/>
        </w:rPr>
      </w:pPr>
    </w:p>
    <w:p w14:paraId="60501F51">
      <w:pPr>
        <w:widowControl/>
        <w:spacing w:line="360" w:lineRule="auto"/>
        <w:rPr>
          <w:rFonts w:cs="宋体"/>
          <w:b/>
          <w:color w:val="auto"/>
          <w:highlight w:val="none"/>
          <w:u w:val="single"/>
        </w:rPr>
      </w:pPr>
    </w:p>
    <w:p w14:paraId="40624293">
      <w:pPr>
        <w:widowControl/>
        <w:spacing w:line="360" w:lineRule="auto"/>
        <w:rPr>
          <w:rFonts w:cs="宋体"/>
          <w:b/>
          <w:color w:val="auto"/>
          <w:highlight w:val="none"/>
          <w:u w:val="single"/>
        </w:rPr>
      </w:pPr>
    </w:p>
    <w:p w14:paraId="71067882">
      <w:pPr>
        <w:widowControl/>
        <w:spacing w:line="360" w:lineRule="auto"/>
        <w:rPr>
          <w:rFonts w:cs="宋体"/>
          <w:b/>
          <w:color w:val="auto"/>
          <w:highlight w:val="none"/>
          <w:u w:val="single"/>
        </w:rPr>
      </w:pPr>
    </w:p>
    <w:p w14:paraId="7A172DEE">
      <w:pPr>
        <w:widowControl/>
        <w:spacing w:line="360" w:lineRule="auto"/>
        <w:rPr>
          <w:rFonts w:cs="宋体"/>
          <w:b/>
          <w:color w:val="auto"/>
          <w:highlight w:val="none"/>
          <w:u w:val="single"/>
        </w:rPr>
      </w:pPr>
    </w:p>
    <w:p w14:paraId="02D29EA9">
      <w:pPr>
        <w:widowControl/>
        <w:spacing w:line="360" w:lineRule="auto"/>
        <w:rPr>
          <w:rFonts w:cs="宋体"/>
          <w:b/>
          <w:color w:val="auto"/>
          <w:highlight w:val="none"/>
          <w:u w:val="single"/>
        </w:rPr>
      </w:pPr>
    </w:p>
    <w:p w14:paraId="318BFDEA">
      <w:pPr>
        <w:widowControl/>
        <w:spacing w:line="360" w:lineRule="auto"/>
        <w:rPr>
          <w:rFonts w:cs="宋体"/>
          <w:b/>
          <w:color w:val="auto"/>
          <w:highlight w:val="none"/>
          <w:u w:val="single"/>
        </w:rPr>
      </w:pPr>
    </w:p>
    <w:p w14:paraId="030C441A">
      <w:pPr>
        <w:widowControl/>
        <w:spacing w:line="360" w:lineRule="auto"/>
        <w:rPr>
          <w:rFonts w:cs="宋体"/>
          <w:b/>
          <w:color w:val="auto"/>
          <w:highlight w:val="none"/>
          <w:u w:val="single"/>
        </w:rPr>
      </w:pPr>
    </w:p>
    <w:p w14:paraId="0CF80E4C">
      <w:pPr>
        <w:spacing w:line="380" w:lineRule="exact"/>
        <w:rPr>
          <w:rFonts w:cs="宋体"/>
          <w:b/>
          <w:color w:val="auto"/>
          <w:highlight w:val="none"/>
        </w:rPr>
      </w:pPr>
    </w:p>
    <w:p w14:paraId="189B8C9C">
      <w:pPr>
        <w:pStyle w:val="13"/>
        <w:keepLines/>
        <w:pageBreakBefore/>
        <w:snapToGrid w:val="0"/>
        <w:jc w:val="center"/>
        <w:outlineLvl w:val="1"/>
        <w:rPr>
          <w:rFonts w:cs="仿宋"/>
          <w:b/>
          <w:color w:val="auto"/>
          <w:sz w:val="24"/>
          <w:szCs w:val="24"/>
          <w:highlight w:val="none"/>
        </w:rPr>
        <w:sectPr>
          <w:pgSz w:w="11906" w:h="16838"/>
          <w:pgMar w:top="1134" w:right="1247" w:bottom="1134" w:left="1247" w:header="851" w:footer="992" w:gutter="0"/>
          <w:cols w:space="720" w:num="1"/>
          <w:docGrid w:type="lines" w:linePitch="312" w:charSpace="0"/>
        </w:sectPr>
      </w:pPr>
    </w:p>
    <w:p w14:paraId="779F58B7">
      <w:pPr>
        <w:pStyle w:val="13"/>
        <w:keepLines/>
        <w:pageBreakBefore/>
        <w:snapToGrid w:val="0"/>
        <w:jc w:val="center"/>
        <w:outlineLvl w:val="1"/>
        <w:rPr>
          <w:b/>
          <w:color w:val="auto"/>
          <w:sz w:val="24"/>
          <w:szCs w:val="24"/>
          <w:highlight w:val="none"/>
        </w:rPr>
      </w:pPr>
      <w:bookmarkStart w:id="246" w:name="_Toc19740"/>
      <w:bookmarkStart w:id="247" w:name="_Toc24555"/>
      <w:bookmarkStart w:id="248" w:name="_Toc9146"/>
      <w:r>
        <w:rPr>
          <w:rFonts w:hint="eastAsia" w:cs="仿宋"/>
          <w:b/>
          <w:color w:val="auto"/>
          <w:sz w:val="24"/>
          <w:szCs w:val="24"/>
          <w:highlight w:val="none"/>
        </w:rPr>
        <w:t>2、售后服务承诺书</w:t>
      </w:r>
      <w:bookmarkEnd w:id="237"/>
      <w:bookmarkEnd w:id="238"/>
      <w:bookmarkEnd w:id="239"/>
      <w:bookmarkEnd w:id="240"/>
      <w:bookmarkEnd w:id="241"/>
      <w:bookmarkEnd w:id="242"/>
      <w:bookmarkEnd w:id="243"/>
      <w:bookmarkEnd w:id="244"/>
      <w:bookmarkEnd w:id="245"/>
      <w:bookmarkEnd w:id="246"/>
      <w:bookmarkEnd w:id="247"/>
      <w:bookmarkEnd w:id="248"/>
    </w:p>
    <w:p w14:paraId="2CB57FF1">
      <w:pPr>
        <w:spacing w:before="312" w:beforeLines="100" w:line="360" w:lineRule="auto"/>
        <w:rPr>
          <w:rFonts w:ascii="宋体"/>
          <w:color w:val="auto"/>
          <w:sz w:val="24"/>
          <w:highlight w:val="none"/>
        </w:rPr>
      </w:pPr>
      <w:r>
        <w:rPr>
          <w:rFonts w:hint="eastAsia" w:ascii="宋体"/>
          <w:color w:val="auto"/>
          <w:sz w:val="24"/>
          <w:highlight w:val="none"/>
        </w:rPr>
        <w:t>致：厦门市华沧采购招标有限公司</w:t>
      </w:r>
    </w:p>
    <w:p w14:paraId="4EDC5E3A">
      <w:pPr>
        <w:spacing w:line="360" w:lineRule="auto"/>
        <w:ind w:firstLine="480" w:firstLineChars="200"/>
        <w:rPr>
          <w:rFonts w:ascii="宋体"/>
          <w:color w:val="auto"/>
          <w:sz w:val="24"/>
          <w:highlight w:val="none"/>
        </w:rPr>
      </w:pPr>
      <w:r>
        <w:rPr>
          <w:rFonts w:hint="eastAsia" w:ascii="宋体"/>
          <w:color w:val="auto"/>
          <w:sz w:val="24"/>
          <w:highlight w:val="none"/>
        </w:rPr>
        <w:t>根据贵方</w:t>
      </w:r>
      <w:r>
        <w:rPr>
          <w:rFonts w:hint="eastAsia" w:ascii="宋体"/>
          <w:color w:val="auto"/>
          <w:sz w:val="24"/>
          <w:highlight w:val="none"/>
          <w:u w:val="single"/>
        </w:rPr>
        <w:t xml:space="preserve">                  </w:t>
      </w:r>
      <w:r>
        <w:rPr>
          <w:rFonts w:hint="eastAsia" w:ascii="宋体"/>
          <w:color w:val="auto"/>
          <w:sz w:val="24"/>
          <w:highlight w:val="none"/>
        </w:rPr>
        <w:t>招标项目的投标邀请，我司对该项目售后服务承诺如下：</w:t>
      </w:r>
    </w:p>
    <w:p w14:paraId="2F015A4E">
      <w:pPr>
        <w:spacing w:line="360" w:lineRule="auto"/>
        <w:rPr>
          <w:rFonts w:ascii="宋体"/>
          <w:color w:val="auto"/>
          <w:sz w:val="24"/>
          <w:highlight w:val="none"/>
        </w:rPr>
      </w:pPr>
    </w:p>
    <w:p w14:paraId="7E890022">
      <w:pPr>
        <w:spacing w:line="360" w:lineRule="auto"/>
        <w:jc w:val="center"/>
        <w:rPr>
          <w:rFonts w:ascii="宋体"/>
          <w:color w:val="auto"/>
          <w:sz w:val="24"/>
          <w:highlight w:val="none"/>
        </w:rPr>
      </w:pPr>
    </w:p>
    <w:p w14:paraId="5B1F6506">
      <w:pPr>
        <w:spacing w:line="360" w:lineRule="auto"/>
        <w:jc w:val="center"/>
        <w:rPr>
          <w:rFonts w:ascii="宋体"/>
          <w:color w:val="auto"/>
          <w:sz w:val="24"/>
          <w:highlight w:val="none"/>
        </w:rPr>
      </w:pPr>
    </w:p>
    <w:p w14:paraId="2E114696">
      <w:pPr>
        <w:spacing w:line="360" w:lineRule="auto"/>
        <w:jc w:val="center"/>
        <w:rPr>
          <w:rFonts w:ascii="宋体"/>
          <w:color w:val="auto"/>
          <w:sz w:val="24"/>
          <w:highlight w:val="none"/>
        </w:rPr>
      </w:pPr>
      <w:r>
        <w:rPr>
          <w:rFonts w:hint="eastAsia" w:ascii="宋体"/>
          <w:color w:val="auto"/>
          <w:sz w:val="24"/>
          <w:highlight w:val="none"/>
        </w:rPr>
        <w:t>（内容根据招标文件要求自拟）</w:t>
      </w:r>
    </w:p>
    <w:p w14:paraId="693E92F0">
      <w:pPr>
        <w:spacing w:line="360" w:lineRule="auto"/>
        <w:rPr>
          <w:rFonts w:ascii="宋体"/>
          <w:color w:val="auto"/>
          <w:sz w:val="24"/>
          <w:highlight w:val="none"/>
        </w:rPr>
      </w:pPr>
    </w:p>
    <w:p w14:paraId="51EA8BBF">
      <w:pPr>
        <w:spacing w:line="360" w:lineRule="auto"/>
        <w:rPr>
          <w:rFonts w:ascii="宋体"/>
          <w:color w:val="auto"/>
          <w:sz w:val="24"/>
          <w:highlight w:val="none"/>
        </w:rPr>
      </w:pPr>
    </w:p>
    <w:p w14:paraId="63F344ED">
      <w:pPr>
        <w:spacing w:line="360" w:lineRule="auto"/>
        <w:rPr>
          <w:rFonts w:ascii="宋体"/>
          <w:color w:val="auto"/>
          <w:sz w:val="24"/>
          <w:highlight w:val="none"/>
        </w:rPr>
      </w:pPr>
    </w:p>
    <w:p w14:paraId="1E47BCBB">
      <w:pPr>
        <w:spacing w:line="360" w:lineRule="auto"/>
        <w:rPr>
          <w:rFonts w:ascii="宋体"/>
          <w:color w:val="auto"/>
          <w:sz w:val="24"/>
          <w:highlight w:val="none"/>
        </w:rPr>
      </w:pPr>
    </w:p>
    <w:p w14:paraId="497D27A4">
      <w:pPr>
        <w:spacing w:line="360" w:lineRule="auto"/>
        <w:rPr>
          <w:rFonts w:ascii="宋体"/>
          <w:color w:val="auto"/>
          <w:sz w:val="24"/>
          <w:highlight w:val="none"/>
        </w:rPr>
      </w:pPr>
    </w:p>
    <w:p w14:paraId="73EF4339">
      <w:pPr>
        <w:spacing w:line="360" w:lineRule="auto"/>
        <w:ind w:firstLine="4560" w:firstLineChars="1900"/>
        <w:rPr>
          <w:rFonts w:ascii="宋体"/>
          <w:color w:val="auto"/>
          <w:sz w:val="24"/>
          <w:highlight w:val="none"/>
        </w:rPr>
      </w:pPr>
      <w:r>
        <w:rPr>
          <w:rFonts w:hint="eastAsia" w:ascii="宋体"/>
          <w:color w:val="auto"/>
          <w:sz w:val="24"/>
          <w:highlight w:val="none"/>
        </w:rPr>
        <w:t>投标人</w:t>
      </w:r>
      <w:r>
        <w:rPr>
          <w:rFonts w:hint="eastAsia"/>
          <w:color w:val="auto"/>
          <w:sz w:val="24"/>
          <w:highlight w:val="none"/>
        </w:rPr>
        <w:t>名称</w:t>
      </w:r>
      <w:r>
        <w:rPr>
          <w:rFonts w:hint="eastAsia" w:ascii="宋体"/>
          <w:color w:val="auto"/>
          <w:sz w:val="24"/>
          <w:highlight w:val="none"/>
        </w:rPr>
        <w:t>（全称并加盖公章）：</w:t>
      </w:r>
      <w:r>
        <w:rPr>
          <w:rFonts w:hint="eastAsia" w:ascii="宋体"/>
          <w:color w:val="auto"/>
          <w:sz w:val="24"/>
          <w:highlight w:val="none"/>
          <w:u w:val="single"/>
        </w:rPr>
        <w:t xml:space="preserve">   </w:t>
      </w:r>
    </w:p>
    <w:p w14:paraId="0979B1DB">
      <w:pPr>
        <w:spacing w:line="360" w:lineRule="auto"/>
        <w:ind w:firstLine="4560" w:firstLineChars="1900"/>
        <w:rPr>
          <w:rFonts w:ascii="宋体"/>
          <w:color w:val="auto"/>
          <w:sz w:val="24"/>
          <w:highlight w:val="none"/>
          <w:u w:val="single"/>
        </w:rPr>
      </w:pPr>
      <w:r>
        <w:rPr>
          <w:rFonts w:hint="eastAsia" w:ascii="宋体"/>
          <w:color w:val="auto"/>
          <w:sz w:val="24"/>
          <w:highlight w:val="none"/>
        </w:rPr>
        <w:t>投标人代表签字：</w:t>
      </w:r>
      <w:r>
        <w:rPr>
          <w:rFonts w:hint="eastAsia" w:ascii="宋体"/>
          <w:color w:val="auto"/>
          <w:sz w:val="24"/>
          <w:highlight w:val="none"/>
          <w:u w:val="single"/>
        </w:rPr>
        <w:t xml:space="preserve">                  </w:t>
      </w:r>
    </w:p>
    <w:p w14:paraId="3F7719FD">
      <w:pPr>
        <w:spacing w:line="360" w:lineRule="auto"/>
        <w:ind w:firstLine="4560" w:firstLineChars="1900"/>
        <w:rPr>
          <w:rFonts w:ascii="宋体"/>
          <w:color w:val="auto"/>
          <w:sz w:val="24"/>
          <w:szCs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 xml:space="preserve">月 </w:t>
      </w:r>
      <w:r>
        <w:rPr>
          <w:rFonts w:hint="eastAsia" w:ascii="宋体"/>
          <w:color w:val="auto"/>
          <w:sz w:val="24"/>
          <w:highlight w:val="none"/>
          <w:u w:val="single"/>
        </w:rPr>
        <w:t xml:space="preserve">        </w:t>
      </w:r>
      <w:r>
        <w:rPr>
          <w:rFonts w:hint="eastAsia" w:ascii="宋体"/>
          <w:color w:val="auto"/>
          <w:sz w:val="24"/>
          <w:highlight w:val="none"/>
        </w:rPr>
        <w:t>日</w:t>
      </w:r>
    </w:p>
    <w:p w14:paraId="289E4CBC">
      <w:pPr>
        <w:keepLines/>
        <w:pageBreakBefore/>
        <w:spacing w:line="360" w:lineRule="auto"/>
        <w:jc w:val="center"/>
        <w:outlineLvl w:val="1"/>
        <w:rPr>
          <w:rFonts w:ascii="宋体" w:cs="仿宋"/>
          <w:b/>
          <w:color w:val="auto"/>
          <w:sz w:val="24"/>
          <w:szCs w:val="24"/>
          <w:highlight w:val="none"/>
        </w:rPr>
        <w:sectPr>
          <w:pgSz w:w="11906" w:h="16838"/>
          <w:pgMar w:top="1134" w:right="1247" w:bottom="1134" w:left="1247" w:header="851" w:footer="992" w:gutter="0"/>
          <w:cols w:space="720" w:num="1"/>
          <w:docGrid w:type="lines" w:linePitch="312" w:charSpace="0"/>
        </w:sectPr>
      </w:pPr>
    </w:p>
    <w:p w14:paraId="7E9CF8CB">
      <w:pPr>
        <w:keepLines/>
        <w:pageBreakBefore/>
        <w:spacing w:line="360" w:lineRule="auto"/>
        <w:jc w:val="center"/>
        <w:outlineLvl w:val="1"/>
        <w:rPr>
          <w:rFonts w:ascii="宋体" w:cs="仿宋"/>
          <w:b/>
          <w:color w:val="auto"/>
          <w:sz w:val="24"/>
          <w:szCs w:val="24"/>
          <w:highlight w:val="none"/>
        </w:rPr>
      </w:pPr>
      <w:bookmarkStart w:id="249" w:name="_Toc16369"/>
      <w:bookmarkStart w:id="250" w:name="_Toc24238"/>
      <w:bookmarkStart w:id="251" w:name="_Toc9085"/>
      <w:r>
        <w:rPr>
          <w:rFonts w:hint="eastAsia" w:ascii="宋体" w:cs="仿宋"/>
          <w:b/>
          <w:color w:val="auto"/>
          <w:sz w:val="24"/>
          <w:szCs w:val="24"/>
          <w:highlight w:val="none"/>
        </w:rPr>
        <w:t>3、招标代理服务费承诺书</w:t>
      </w:r>
      <w:bookmarkEnd w:id="223"/>
      <w:bookmarkEnd w:id="224"/>
      <w:bookmarkEnd w:id="225"/>
      <w:bookmarkEnd w:id="226"/>
      <w:bookmarkEnd w:id="227"/>
      <w:bookmarkEnd w:id="228"/>
      <w:bookmarkEnd w:id="229"/>
      <w:bookmarkEnd w:id="230"/>
      <w:bookmarkEnd w:id="231"/>
      <w:bookmarkEnd w:id="249"/>
      <w:bookmarkEnd w:id="250"/>
      <w:bookmarkEnd w:id="251"/>
    </w:p>
    <w:p w14:paraId="72786E94">
      <w:pPr>
        <w:pStyle w:val="45"/>
        <w:spacing w:line="360" w:lineRule="auto"/>
        <w:rPr>
          <w:color w:val="auto"/>
          <w:sz w:val="21"/>
          <w:highlight w:val="none"/>
        </w:rPr>
      </w:pPr>
    </w:p>
    <w:p w14:paraId="2E2BD0CA">
      <w:pPr>
        <w:spacing w:line="360" w:lineRule="auto"/>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厦门市华沧采购招标有限公司</w:t>
      </w:r>
    </w:p>
    <w:p w14:paraId="380FB1B7">
      <w:pPr>
        <w:spacing w:line="360" w:lineRule="auto"/>
        <w:rPr>
          <w:rFonts w:ascii="宋体"/>
          <w:color w:val="auto"/>
          <w:sz w:val="24"/>
          <w:highlight w:val="none"/>
        </w:rPr>
      </w:pPr>
    </w:p>
    <w:p w14:paraId="293AF771">
      <w:pPr>
        <w:spacing w:line="360" w:lineRule="auto"/>
        <w:ind w:firstLine="480" w:firstLineChars="200"/>
        <w:rPr>
          <w:rFonts w:ascii="宋体"/>
          <w:color w:val="auto"/>
          <w:sz w:val="24"/>
          <w:highlight w:val="none"/>
        </w:rPr>
      </w:pPr>
      <w:r>
        <w:rPr>
          <w:rFonts w:hint="eastAsia" w:ascii="宋体"/>
          <w:color w:val="auto"/>
          <w:sz w:val="24"/>
          <w:highlight w:val="none"/>
        </w:rPr>
        <w:t>我们在贵公司组织的</w:t>
      </w:r>
      <w:r>
        <w:rPr>
          <w:rFonts w:hint="eastAsia" w:ascii="宋体"/>
          <w:color w:val="auto"/>
          <w:sz w:val="24"/>
          <w:highlight w:val="none"/>
          <w:u w:val="single"/>
        </w:rPr>
        <w:t xml:space="preserve">                           </w:t>
      </w:r>
      <w:r>
        <w:rPr>
          <w:rFonts w:hint="eastAsia" w:ascii="宋体"/>
          <w:color w:val="auto"/>
          <w:sz w:val="24"/>
          <w:highlight w:val="none"/>
        </w:rPr>
        <w:t xml:space="preserve">项目招标中投标（项目编号： </w:t>
      </w:r>
      <w:r>
        <w:rPr>
          <w:rFonts w:hint="eastAsia" w:ascii="宋体"/>
          <w:color w:val="auto"/>
          <w:sz w:val="24"/>
          <w:highlight w:val="none"/>
          <w:u w:val="single"/>
        </w:rPr>
        <w:t xml:space="preserve">          </w:t>
      </w:r>
      <w:r>
        <w:rPr>
          <w:rFonts w:hint="eastAsia" w:ascii="宋体"/>
          <w:color w:val="auto"/>
          <w:sz w:val="24"/>
          <w:highlight w:val="none"/>
        </w:rPr>
        <w:t>），如获中标，我们保证按招标文件的规定，以转账、汇款或经贵公司认可的其他付款方式，向贵公司缴交招标代理服务费。</w:t>
      </w:r>
    </w:p>
    <w:p w14:paraId="7143ED62">
      <w:pPr>
        <w:spacing w:line="360" w:lineRule="auto"/>
        <w:ind w:firstLine="480" w:firstLineChars="200"/>
        <w:rPr>
          <w:rFonts w:ascii="宋体"/>
          <w:color w:val="auto"/>
          <w:sz w:val="24"/>
          <w:highlight w:val="none"/>
        </w:rPr>
      </w:pPr>
      <w:r>
        <w:rPr>
          <w:rFonts w:hint="eastAsia" w:ascii="宋体"/>
          <w:color w:val="auto"/>
          <w:sz w:val="24"/>
          <w:highlight w:val="none"/>
        </w:rPr>
        <w:t>我方如违反上述承诺，所提交的上述项目的投标保证金将不予退还我方，我方对此无异议。</w:t>
      </w:r>
    </w:p>
    <w:p w14:paraId="325E6288">
      <w:pPr>
        <w:spacing w:line="360" w:lineRule="auto"/>
        <w:rPr>
          <w:rFonts w:ascii="宋体"/>
          <w:color w:val="auto"/>
          <w:sz w:val="24"/>
          <w:highlight w:val="none"/>
        </w:rPr>
      </w:pPr>
    </w:p>
    <w:p w14:paraId="102E2E4A">
      <w:pPr>
        <w:spacing w:line="360" w:lineRule="auto"/>
        <w:ind w:firstLine="480" w:firstLineChars="200"/>
        <w:rPr>
          <w:rFonts w:ascii="宋体"/>
          <w:color w:val="auto"/>
          <w:sz w:val="24"/>
          <w:highlight w:val="none"/>
        </w:rPr>
      </w:pPr>
      <w:r>
        <w:rPr>
          <w:rFonts w:hint="eastAsia" w:ascii="宋体"/>
          <w:color w:val="auto"/>
          <w:sz w:val="24"/>
          <w:highlight w:val="none"/>
        </w:rPr>
        <w:t>特此承诺！</w:t>
      </w:r>
    </w:p>
    <w:p w14:paraId="788617B0">
      <w:pPr>
        <w:spacing w:line="360" w:lineRule="auto"/>
        <w:rPr>
          <w:rFonts w:ascii="宋体"/>
          <w:color w:val="auto"/>
          <w:sz w:val="24"/>
          <w:highlight w:val="none"/>
        </w:rPr>
      </w:pPr>
    </w:p>
    <w:p w14:paraId="14553549">
      <w:pPr>
        <w:spacing w:line="360" w:lineRule="auto"/>
        <w:rPr>
          <w:rFonts w:ascii="宋体"/>
          <w:color w:val="auto"/>
          <w:sz w:val="24"/>
          <w:highlight w:val="none"/>
        </w:rPr>
      </w:pPr>
    </w:p>
    <w:p w14:paraId="4FA4F0C8">
      <w:pPr>
        <w:spacing w:line="360" w:lineRule="auto"/>
        <w:rPr>
          <w:rFonts w:ascii="宋体"/>
          <w:color w:val="auto"/>
          <w:sz w:val="24"/>
          <w:highlight w:val="none"/>
        </w:rPr>
      </w:pPr>
    </w:p>
    <w:p w14:paraId="51AF0E3A">
      <w:pPr>
        <w:spacing w:line="360" w:lineRule="auto"/>
        <w:rPr>
          <w:rFonts w:ascii="宋体"/>
          <w:color w:val="auto"/>
          <w:sz w:val="24"/>
          <w:highlight w:val="none"/>
        </w:rPr>
      </w:pPr>
    </w:p>
    <w:p w14:paraId="02D62087">
      <w:pPr>
        <w:spacing w:line="360" w:lineRule="auto"/>
        <w:rPr>
          <w:rFonts w:ascii="宋体"/>
          <w:color w:val="auto"/>
          <w:sz w:val="24"/>
          <w:highlight w:val="none"/>
        </w:rPr>
      </w:pPr>
    </w:p>
    <w:p w14:paraId="3B53967E">
      <w:pPr>
        <w:spacing w:line="360" w:lineRule="auto"/>
        <w:rPr>
          <w:rFonts w:ascii="宋体"/>
          <w:color w:val="auto"/>
          <w:sz w:val="24"/>
          <w:highlight w:val="none"/>
        </w:rPr>
      </w:pPr>
    </w:p>
    <w:p w14:paraId="359DA628">
      <w:pPr>
        <w:spacing w:line="360" w:lineRule="auto"/>
        <w:rPr>
          <w:rFonts w:ascii="宋体"/>
          <w:color w:val="auto"/>
          <w:sz w:val="24"/>
          <w:highlight w:val="none"/>
        </w:rPr>
      </w:pPr>
    </w:p>
    <w:p w14:paraId="65C70348">
      <w:pPr>
        <w:spacing w:line="360" w:lineRule="auto"/>
        <w:rPr>
          <w:rFonts w:ascii="宋体"/>
          <w:color w:val="auto"/>
          <w:sz w:val="24"/>
          <w:highlight w:val="none"/>
        </w:rPr>
      </w:pPr>
    </w:p>
    <w:p w14:paraId="65B3F5F0">
      <w:pPr>
        <w:spacing w:line="360" w:lineRule="auto"/>
        <w:ind w:firstLine="4080" w:firstLineChars="1700"/>
        <w:rPr>
          <w:rFonts w:ascii="宋体"/>
          <w:color w:val="auto"/>
          <w:sz w:val="24"/>
          <w:highlight w:val="none"/>
          <w:u w:val="single"/>
        </w:rPr>
      </w:pPr>
      <w:r>
        <w:rPr>
          <w:rFonts w:hint="eastAsia" w:ascii="宋体"/>
          <w:color w:val="auto"/>
          <w:sz w:val="24"/>
          <w:highlight w:val="none"/>
        </w:rPr>
        <w:t xml:space="preserve">投标人（全称并加盖公章）： </w:t>
      </w:r>
      <w:r>
        <w:rPr>
          <w:rFonts w:hint="eastAsia" w:ascii="宋体"/>
          <w:color w:val="auto"/>
          <w:sz w:val="24"/>
          <w:highlight w:val="none"/>
          <w:u w:val="single"/>
        </w:rPr>
        <w:t xml:space="preserve">               </w:t>
      </w:r>
    </w:p>
    <w:p w14:paraId="50BB70A4">
      <w:pPr>
        <w:spacing w:line="360" w:lineRule="auto"/>
        <w:ind w:firstLine="4080" w:firstLineChars="1700"/>
        <w:rPr>
          <w:rFonts w:ascii="宋体"/>
          <w:color w:val="auto"/>
          <w:sz w:val="24"/>
          <w:highlight w:val="none"/>
        </w:rPr>
      </w:pPr>
      <w:r>
        <w:rPr>
          <w:rFonts w:hint="eastAsia" w:ascii="宋体"/>
          <w:color w:val="auto"/>
          <w:sz w:val="24"/>
          <w:highlight w:val="none"/>
        </w:rPr>
        <w:t>投标人代表签字：</w:t>
      </w:r>
      <w:r>
        <w:rPr>
          <w:rFonts w:hint="eastAsia" w:ascii="宋体"/>
          <w:color w:val="auto"/>
          <w:sz w:val="24"/>
          <w:highlight w:val="none"/>
          <w:u w:val="single"/>
        </w:rPr>
        <w:t xml:space="preserve">                         </w:t>
      </w:r>
    </w:p>
    <w:p w14:paraId="5822FFD8">
      <w:pPr>
        <w:spacing w:line="360" w:lineRule="auto"/>
        <w:ind w:firstLine="4080" w:firstLineChars="1700"/>
        <w:rPr>
          <w:rFonts w:ascii="宋体"/>
          <w:color w:val="auto"/>
          <w:sz w:val="24"/>
          <w:highlight w:val="none"/>
          <w:u w:val="single"/>
        </w:rPr>
      </w:pPr>
      <w:r>
        <w:rPr>
          <w:rFonts w:hint="eastAsia" w:ascii="宋体"/>
          <w:color w:val="auto"/>
          <w:sz w:val="24"/>
          <w:highlight w:val="none"/>
        </w:rPr>
        <w:t>邮 编：</w:t>
      </w:r>
      <w:r>
        <w:rPr>
          <w:rFonts w:hint="eastAsia" w:ascii="宋体"/>
          <w:color w:val="auto"/>
          <w:sz w:val="24"/>
          <w:highlight w:val="none"/>
          <w:u w:val="single"/>
        </w:rPr>
        <w:t xml:space="preserve">           </w:t>
      </w:r>
      <w:r>
        <w:rPr>
          <w:rFonts w:hint="eastAsia" w:ascii="宋体"/>
          <w:color w:val="auto"/>
          <w:sz w:val="24"/>
          <w:highlight w:val="none"/>
        </w:rPr>
        <w:t>电 话：</w:t>
      </w:r>
      <w:r>
        <w:rPr>
          <w:rFonts w:hint="eastAsia" w:ascii="宋体"/>
          <w:color w:val="auto"/>
          <w:sz w:val="24"/>
          <w:highlight w:val="none"/>
          <w:u w:val="single"/>
        </w:rPr>
        <w:t xml:space="preserve">                </w:t>
      </w:r>
    </w:p>
    <w:p w14:paraId="6A8685E1">
      <w:pPr>
        <w:spacing w:line="380" w:lineRule="exact"/>
        <w:ind w:firstLine="4080" w:firstLineChars="1700"/>
        <w:rPr>
          <w:rFonts w:ascii="宋体"/>
          <w:color w:val="auto"/>
          <w:highlight w:val="none"/>
        </w:rPr>
      </w:pPr>
      <w:r>
        <w:rPr>
          <w:rFonts w:hint="eastAsia" w:ascii="宋体"/>
          <w:color w:val="auto"/>
          <w:sz w:val="24"/>
          <w:highlight w:val="none"/>
        </w:rPr>
        <w:t>传 真：</w:t>
      </w:r>
      <w:r>
        <w:rPr>
          <w:rFonts w:hint="eastAsia" w:ascii="宋体"/>
          <w:color w:val="auto"/>
          <w:sz w:val="24"/>
          <w:highlight w:val="none"/>
          <w:u w:val="single"/>
        </w:rPr>
        <w:t xml:space="preserve">           </w:t>
      </w:r>
      <w:r>
        <w:rPr>
          <w:rFonts w:hint="eastAsia" w:ascii="宋体"/>
          <w:color w:val="auto"/>
          <w:sz w:val="24"/>
          <w:highlight w:val="none"/>
        </w:rPr>
        <w:t xml:space="preserve">日 期： </w:t>
      </w:r>
      <w:r>
        <w:rPr>
          <w:rFonts w:hint="eastAsia" w:ascii="宋体"/>
          <w:color w:val="auto"/>
          <w:sz w:val="24"/>
          <w:highlight w:val="none"/>
          <w:u w:val="single"/>
        </w:rPr>
        <w:t xml:space="preserve">               </w:t>
      </w:r>
    </w:p>
    <w:p w14:paraId="02DBC027">
      <w:pPr>
        <w:jc w:val="center"/>
        <w:rPr>
          <w:b/>
          <w:color w:val="auto"/>
          <w:sz w:val="24"/>
          <w:szCs w:val="24"/>
          <w:highlight w:val="none"/>
        </w:rPr>
        <w:sectPr>
          <w:pgSz w:w="11906" w:h="16838"/>
          <w:pgMar w:top="1134" w:right="1247" w:bottom="1134" w:left="1247" w:header="851" w:footer="992" w:gutter="0"/>
          <w:cols w:space="720" w:num="1"/>
          <w:docGrid w:type="lines" w:linePitch="312" w:charSpace="0"/>
        </w:sectPr>
      </w:pPr>
    </w:p>
    <w:p w14:paraId="3203258F">
      <w:pPr>
        <w:keepLines/>
        <w:pageBreakBefore/>
        <w:spacing w:line="360" w:lineRule="auto"/>
        <w:jc w:val="center"/>
        <w:outlineLvl w:val="1"/>
        <w:rPr>
          <w:rFonts w:ascii="宋体" w:cs="仿宋"/>
          <w:b/>
          <w:color w:val="auto"/>
          <w:sz w:val="24"/>
          <w:szCs w:val="24"/>
          <w:highlight w:val="none"/>
        </w:rPr>
      </w:pPr>
      <w:bookmarkStart w:id="252" w:name="_Toc8696"/>
      <w:bookmarkStart w:id="253" w:name="_Toc15402"/>
      <w:bookmarkStart w:id="254" w:name="_Toc27484"/>
      <w:r>
        <w:rPr>
          <w:rFonts w:hint="eastAsia" w:ascii="宋体" w:cs="仿宋"/>
          <w:b/>
          <w:color w:val="auto"/>
          <w:sz w:val="24"/>
          <w:szCs w:val="24"/>
          <w:highlight w:val="none"/>
        </w:rPr>
        <w:t>4、投标保证金退还申请书（参考格式）</w:t>
      </w:r>
      <w:bookmarkEnd w:id="252"/>
      <w:bookmarkEnd w:id="253"/>
      <w:bookmarkEnd w:id="254"/>
    </w:p>
    <w:p w14:paraId="57D55D8D">
      <w:pPr>
        <w:spacing w:line="360" w:lineRule="auto"/>
        <w:jc w:val="center"/>
        <w:rPr>
          <w:rFonts w:ascii="宋体"/>
          <w:color w:val="auto"/>
          <w:sz w:val="30"/>
          <w:szCs w:val="30"/>
          <w:highlight w:val="none"/>
        </w:rPr>
      </w:pPr>
    </w:p>
    <w:p w14:paraId="67B083B6">
      <w:pPr>
        <w:spacing w:line="360" w:lineRule="auto"/>
        <w:rPr>
          <w:rFonts w:ascii="宋体"/>
          <w:color w:val="auto"/>
          <w:sz w:val="24"/>
          <w:highlight w:val="none"/>
          <w:u w:val="single"/>
        </w:rPr>
      </w:pPr>
      <w:r>
        <w:rPr>
          <w:rFonts w:hint="eastAsia" w:ascii="宋体"/>
          <w:color w:val="auto"/>
          <w:sz w:val="24"/>
          <w:highlight w:val="none"/>
          <w:u w:val="single"/>
        </w:rPr>
        <w:t>厦门市华沧采购招标有限公司：</w:t>
      </w:r>
    </w:p>
    <w:p w14:paraId="103199D8">
      <w:pPr>
        <w:spacing w:line="360" w:lineRule="auto"/>
        <w:ind w:firstLine="600"/>
        <w:rPr>
          <w:rFonts w:ascii="宋体"/>
          <w:color w:val="auto"/>
          <w:sz w:val="24"/>
          <w:highlight w:val="none"/>
        </w:rPr>
      </w:pPr>
      <w:r>
        <w:rPr>
          <w:rFonts w:hint="eastAsia" w:ascii="宋体"/>
          <w:color w:val="auto"/>
          <w:sz w:val="24"/>
          <w:highlight w:val="none"/>
        </w:rPr>
        <w:t>我单位为</w:t>
      </w:r>
      <w:r>
        <w:rPr>
          <w:rFonts w:hint="eastAsia" w:ascii="宋体"/>
          <w:color w:val="auto"/>
          <w:sz w:val="24"/>
          <w:highlight w:val="none"/>
          <w:u w:val="single"/>
        </w:rPr>
        <w:t>（采购项目名称）</w:t>
      </w:r>
      <w:r>
        <w:rPr>
          <w:rFonts w:hint="eastAsia" w:ascii="宋体"/>
          <w:color w:val="auto"/>
          <w:sz w:val="24"/>
          <w:highlight w:val="none"/>
        </w:rPr>
        <w:t>项目（采购编号：</w:t>
      </w:r>
      <w:r>
        <w:rPr>
          <w:rFonts w:hint="eastAsia" w:ascii="宋体"/>
          <w:color w:val="auto"/>
          <w:sz w:val="24"/>
          <w:highlight w:val="none"/>
          <w:u w:val="single"/>
        </w:rPr>
        <w:t xml:space="preserve">        </w:t>
      </w:r>
      <w:r>
        <w:rPr>
          <w:rFonts w:hint="eastAsia" w:ascii="宋体"/>
          <w:color w:val="auto"/>
          <w:sz w:val="24"/>
          <w:highlight w:val="none"/>
        </w:rPr>
        <w:t>）的（□中标或成交；□未中标或未成交；□已报名但未投标或未报价）供应商。</w:t>
      </w:r>
    </w:p>
    <w:p w14:paraId="293F7FB8">
      <w:pPr>
        <w:spacing w:line="360" w:lineRule="auto"/>
        <w:ind w:firstLine="600"/>
        <w:rPr>
          <w:rFonts w:ascii="宋体"/>
          <w:color w:val="auto"/>
          <w:sz w:val="24"/>
          <w:highlight w:val="none"/>
        </w:rPr>
      </w:pPr>
      <w:r>
        <w:rPr>
          <w:rFonts w:hint="eastAsia" w:ascii="宋体"/>
          <w:color w:val="auto"/>
          <w:sz w:val="24"/>
          <w:highlight w:val="none"/>
        </w:rPr>
        <w:t>现申请将为此项目已缴交的采购保证金</w:t>
      </w:r>
      <w:r>
        <w:rPr>
          <w:rFonts w:hint="eastAsia" w:ascii="宋体"/>
          <w:color w:val="auto"/>
          <w:sz w:val="24"/>
          <w:highlight w:val="none"/>
          <w:u w:val="single"/>
        </w:rPr>
        <w:t xml:space="preserve">     </w:t>
      </w:r>
      <w:r>
        <w:rPr>
          <w:rFonts w:hint="eastAsia" w:ascii="宋体"/>
          <w:color w:val="auto"/>
          <w:sz w:val="24"/>
          <w:highlight w:val="none"/>
        </w:rPr>
        <w:t>元按缴款时的付款单位、账号、开户银行退还我单位。</w:t>
      </w:r>
    </w:p>
    <w:p w14:paraId="5E8B746E">
      <w:pPr>
        <w:spacing w:line="360" w:lineRule="auto"/>
        <w:ind w:firstLine="600"/>
        <w:rPr>
          <w:rFonts w:ascii="宋体"/>
          <w:color w:val="auto"/>
          <w:sz w:val="24"/>
          <w:highlight w:val="none"/>
        </w:rPr>
      </w:pPr>
      <w:r>
        <w:rPr>
          <w:rFonts w:hint="eastAsia" w:ascii="宋体"/>
          <w:color w:val="auto"/>
          <w:sz w:val="24"/>
          <w:highlight w:val="none"/>
        </w:rPr>
        <w:t>收款单位：</w:t>
      </w:r>
      <w:r>
        <w:rPr>
          <w:rFonts w:hint="eastAsia" w:ascii="宋体"/>
          <w:color w:val="auto"/>
          <w:sz w:val="24"/>
          <w:highlight w:val="none"/>
          <w:u w:val="single"/>
        </w:rPr>
        <w:t>（供应商名称）</w:t>
      </w:r>
    </w:p>
    <w:p w14:paraId="2633FCD0">
      <w:pPr>
        <w:spacing w:line="360" w:lineRule="auto"/>
        <w:ind w:firstLine="600"/>
        <w:rPr>
          <w:rFonts w:ascii="宋体"/>
          <w:color w:val="auto"/>
          <w:sz w:val="24"/>
          <w:highlight w:val="none"/>
        </w:rPr>
      </w:pPr>
      <w:r>
        <w:rPr>
          <w:rFonts w:hint="eastAsia" w:ascii="宋体"/>
          <w:color w:val="auto"/>
          <w:sz w:val="24"/>
          <w:highlight w:val="none"/>
        </w:rPr>
        <w:t>账号：</w:t>
      </w:r>
    </w:p>
    <w:p w14:paraId="0FA38A53">
      <w:pPr>
        <w:spacing w:line="360" w:lineRule="auto"/>
        <w:ind w:firstLine="600"/>
        <w:rPr>
          <w:rFonts w:ascii="宋体"/>
          <w:color w:val="auto"/>
          <w:sz w:val="24"/>
          <w:highlight w:val="none"/>
        </w:rPr>
      </w:pPr>
      <w:r>
        <w:rPr>
          <w:rFonts w:hint="eastAsia" w:ascii="宋体"/>
          <w:color w:val="auto"/>
          <w:sz w:val="24"/>
          <w:highlight w:val="none"/>
        </w:rPr>
        <w:t>开户银行：</w:t>
      </w:r>
    </w:p>
    <w:p w14:paraId="42F367D3">
      <w:pPr>
        <w:spacing w:line="360" w:lineRule="auto"/>
        <w:ind w:firstLine="600"/>
        <w:rPr>
          <w:rFonts w:ascii="宋体"/>
          <w:color w:val="auto"/>
          <w:sz w:val="24"/>
          <w:highlight w:val="none"/>
        </w:rPr>
      </w:pPr>
      <w:r>
        <w:rPr>
          <w:rFonts w:hint="eastAsia" w:ascii="宋体"/>
          <w:color w:val="auto"/>
          <w:sz w:val="24"/>
          <w:highlight w:val="none"/>
        </w:rPr>
        <w:t>请予办理。</w:t>
      </w:r>
    </w:p>
    <w:p w14:paraId="7A70FEC3">
      <w:pPr>
        <w:spacing w:line="360" w:lineRule="auto"/>
        <w:ind w:firstLine="600"/>
        <w:rPr>
          <w:rFonts w:ascii="宋体"/>
          <w:color w:val="auto"/>
          <w:sz w:val="24"/>
          <w:highlight w:val="none"/>
        </w:rPr>
      </w:pPr>
    </w:p>
    <w:p w14:paraId="10670927">
      <w:pPr>
        <w:spacing w:line="360" w:lineRule="auto"/>
        <w:ind w:firstLine="600"/>
        <w:rPr>
          <w:rFonts w:ascii="宋体"/>
          <w:color w:val="auto"/>
          <w:sz w:val="24"/>
          <w:highlight w:val="none"/>
          <w:u w:val="single"/>
        </w:rPr>
      </w:pPr>
      <w:r>
        <w:rPr>
          <w:rFonts w:hint="eastAsia" w:ascii="宋体"/>
          <w:color w:val="auto"/>
          <w:sz w:val="24"/>
          <w:highlight w:val="none"/>
        </w:rPr>
        <w:t xml:space="preserve">                            </w:t>
      </w:r>
      <w:r>
        <w:rPr>
          <w:rFonts w:hint="eastAsia" w:ascii="宋体"/>
          <w:color w:val="auto"/>
          <w:sz w:val="24"/>
          <w:highlight w:val="none"/>
          <w:u w:val="single"/>
        </w:rPr>
        <w:t>（供应商名称、加盖公章）</w:t>
      </w:r>
    </w:p>
    <w:p w14:paraId="08A269D1">
      <w:pPr>
        <w:spacing w:line="360" w:lineRule="auto"/>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3E98CA7">
      <w:pPr>
        <w:spacing w:line="360" w:lineRule="auto"/>
        <w:rPr>
          <w:rFonts w:ascii="宋体"/>
          <w:color w:val="auto"/>
          <w:sz w:val="24"/>
          <w:highlight w:val="none"/>
        </w:rPr>
      </w:pPr>
    </w:p>
    <w:p w14:paraId="014BA5D1">
      <w:pPr>
        <w:spacing w:line="360" w:lineRule="auto"/>
        <w:rPr>
          <w:rFonts w:ascii="宋体"/>
          <w:b/>
          <w:color w:val="auto"/>
          <w:sz w:val="24"/>
          <w:highlight w:val="none"/>
        </w:rPr>
      </w:pPr>
      <w:r>
        <w:rPr>
          <w:rFonts w:hint="eastAsia" w:ascii="宋体"/>
          <w:b/>
          <w:color w:val="auto"/>
          <w:sz w:val="24"/>
          <w:highlight w:val="none"/>
        </w:rPr>
        <w:t>备注：投标人在提供投标文件时需将此申请书填写完整并加盖投标人公章连同开标一览表、投标保证金凭证一起密封在小信封袋内。申请书中“（□中标或成交；□未中标或未成交；□已报名但未投标或未报价）”可先不打“√”。</w:t>
      </w:r>
    </w:p>
    <w:p w14:paraId="605E32C6">
      <w:pPr>
        <w:spacing w:line="360" w:lineRule="auto"/>
        <w:rPr>
          <w:rFonts w:ascii="宋体"/>
          <w:b/>
          <w:color w:val="auto"/>
          <w:sz w:val="24"/>
          <w:highlight w:val="none"/>
        </w:rPr>
      </w:pPr>
    </w:p>
    <w:p w14:paraId="6D8BD0F4">
      <w:pPr>
        <w:spacing w:line="360" w:lineRule="auto"/>
        <w:rPr>
          <w:rFonts w:ascii="宋体"/>
          <w:color w:val="auto"/>
          <w:sz w:val="24"/>
          <w:szCs w:val="24"/>
          <w:highlight w:val="none"/>
        </w:rPr>
      </w:pPr>
    </w:p>
    <w:sectPr>
      <w:pgSz w:w="11906" w:h="16838"/>
      <w:pgMar w:top="113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panose1 w:val="02020603050405020304"/>
    <w:charset w:val="00"/>
    <w:family w:val="roman"/>
    <w:pitch w:val="default"/>
    <w:sig w:usb0="00000007"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SimSun-Identity-H">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C065">
    <w:pPr>
      <w:pStyle w:val="17"/>
      <w:tabs>
        <w:tab w:val="left" w:pos="6480"/>
      </w:tabs>
      <w:ind w:left="2" w:leftChars="1" w:right="-447" w:rightChars="-213"/>
      <w:rPr>
        <w:rFonts w:ascii="宋体"/>
      </w:rPr>
    </w:pPr>
    <w:r>
      <w:rPr>
        <w:rFonts w:hint="eastAsia" w:ascii="宋体"/>
      </w:rPr>
      <w:t xml:space="preserve">   </w:t>
    </w:r>
    <w:r>
      <mc:AlternateContent>
        <mc:Choice Requires="wps">
          <w:drawing>
            <wp:anchor distT="0" distB="0" distL="113665" distR="113665" simplePos="0" relativeHeight="251659264" behindDoc="0" locked="0" layoutInCell="1" allowOverlap="1">
              <wp:simplePos x="0" y="0"/>
              <wp:positionH relativeFrom="column">
                <wp:posOffset>-2540</wp:posOffset>
              </wp:positionH>
              <wp:positionV relativeFrom="paragraph">
                <wp:posOffset>-31115</wp:posOffset>
              </wp:positionV>
              <wp:extent cx="5935345" cy="2540"/>
              <wp:effectExtent l="0" t="0" r="0" b="0"/>
              <wp:wrapNone/>
              <wp:docPr id="4" name="Line 2"/>
              <wp:cNvGraphicFramePr/>
              <a:graphic xmlns:a="http://schemas.openxmlformats.org/drawingml/2006/main">
                <a:graphicData uri="http://schemas.microsoft.com/office/word/2010/wordprocessingShape">
                  <wps:wsp>
                    <wps:cNvCnPr/>
                    <wps:spPr>
                      <a:xfrm>
                        <a:off x="0" y="0"/>
                        <a:ext cx="5935345" cy="2539"/>
                      </a:xfrm>
                      <a:prstGeom prst="line">
                        <a:avLst/>
                      </a:prstGeom>
                      <a:noFill/>
                      <a:ln w="9525" cap="flat" cmpd="sng">
                        <a:solidFill>
                          <a:srgbClr val="000000"/>
                        </a:solidFill>
                        <a:prstDash val="solid"/>
                        <a:round/>
                      </a:ln>
                    </wps:spPr>
                    <wps:bodyPr/>
                  </wps:wsp>
                </a:graphicData>
              </a:graphic>
            </wp:anchor>
          </w:drawing>
        </mc:Choice>
        <mc:Fallback>
          <w:pict>
            <v:line id="Line 2" o:spid="_x0000_s1026" o:spt="20" style="position:absolute;left:0pt;margin-left:-0.2pt;margin-top:-2.45pt;height:0.2pt;width:467.35pt;z-index:251659264;mso-width-relative:page;mso-height-relative:page;" filled="f" stroked="t" coordsize="21600,21600" o:gfxdata="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9uKLrVAAAABwEAAA8AAAAAAAAAAQAgAAAAIgAAAGRycy9kb3ducmV2LnhtbFBL&#10;AQIUABQAAAAIAIdO4kDNOdoOwAEAAJEDAAAOAAAAAAAAAAEAIAAAACQBAABkcnMvZTJvRG9jLnht&#10;bFBLBQYAAAAABgAGAFkBAABWBQAAAAA=&#10;">
              <v:fill on="f" focussize="0,0"/>
              <v:stroke color="#000000" joinstyle="round"/>
              <v:imagedata o:title=""/>
              <o:lock v:ext="edit" aspectratio="f"/>
            </v:line>
          </w:pict>
        </mc:Fallback>
      </mc:AlternateContent>
    </w:r>
    <w:r>
      <w:rPr>
        <w:rFonts w:hint="eastAsia" w:ascii="宋体"/>
      </w:rPr>
      <w:t>厦门市华沧采购招标有限公司</w:t>
    </w:r>
    <w:r>
      <w:rPr>
        <w:rFonts w:hint="eastAsia" w:ascii="宋体"/>
        <w:sz w:val="20"/>
      </w:rPr>
      <w:t xml:space="preserve">  </w:t>
    </w:r>
    <w:r>
      <w:rPr>
        <w:rFonts w:hint="eastAsia" w:ascii="宋体"/>
      </w:rPr>
      <w:t xml:space="preserve">电 话： 0592-5333115   传 真： 0592-5333807  </w:t>
    </w:r>
    <w:r>
      <w:fldChar w:fldCharType="begin"/>
    </w:r>
    <w:r>
      <w:instrText xml:space="preserve"> HYPERLINK "http://www.xm-hc.com" </w:instrText>
    </w:r>
    <w:r>
      <w:fldChar w:fldCharType="separate"/>
    </w:r>
    <w:r>
      <w:rPr>
        <w:rStyle w:val="33"/>
        <w:rFonts w:hint="eastAsia" w:ascii="宋体"/>
      </w:rPr>
      <w:t>http://www.xm-hc.com</w:t>
    </w:r>
    <w:r>
      <w:rPr>
        <w:rStyle w:val="33"/>
        <w:rFonts w:hint="eastAsia" w:ascii="宋体"/>
      </w:rPr>
      <w:fldChar w:fldCharType="end"/>
    </w:r>
    <w:r>
      <w:rPr>
        <w:rFonts w:hint="eastAsia" w:ascii="宋体"/>
      </w:rPr>
      <w:t xml:space="preserve">   </w:t>
    </w:r>
    <w:r>
      <w:rPr>
        <w:rFonts w:ascii="宋体"/>
      </w:rPr>
      <w:fldChar w:fldCharType="begin"/>
    </w:r>
    <w:r>
      <w:rPr>
        <w:rFonts w:ascii="宋体"/>
      </w:rPr>
      <w:instrText xml:space="preserve"> PAGE </w:instrText>
    </w:r>
    <w:r>
      <w:rPr>
        <w:rFonts w:ascii="宋体"/>
      </w:rPr>
      <w:fldChar w:fldCharType="separate"/>
    </w:r>
    <w:r>
      <w:rPr>
        <w:rFonts w:ascii="宋体"/>
      </w:rPr>
      <w:t>3</w:t>
    </w:r>
    <w:r>
      <w:rPr>
        <w:rFonts w:ascii="宋体"/>
      </w:rPr>
      <w:fldChar w:fldCharType="end"/>
    </w:r>
    <w:r>
      <w:rPr>
        <w:rFonts w:hint="eastAsia" w:ascii="宋体"/>
      </w:rPr>
      <w:t>-</w:t>
    </w:r>
    <w:r>
      <w:rPr>
        <w:rFonts w:ascii="宋体"/>
      </w:rPr>
      <w:fldChar w:fldCharType="begin"/>
    </w:r>
    <w:r>
      <w:rPr>
        <w:rFonts w:ascii="宋体"/>
      </w:rPr>
      <w:instrText xml:space="preserve"> NUMPAGES </w:instrText>
    </w:r>
    <w:r>
      <w:rPr>
        <w:rFonts w:ascii="宋体"/>
      </w:rPr>
      <w:fldChar w:fldCharType="separate"/>
    </w:r>
    <w:r>
      <w:rPr>
        <w:rFonts w:ascii="宋体"/>
      </w:rPr>
      <w:t>83</w:t>
    </w:r>
    <w:r>
      <w:rPr>
        <w:rFonts w:asci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444C">
    <w:pPr>
      <w:pStyle w:val="17"/>
      <w:tabs>
        <w:tab w:val="left" w:pos="6480"/>
      </w:tabs>
      <w:ind w:left="2" w:leftChars="1" w:right="-447" w:rightChars="-213"/>
      <w:rPr>
        <w:rFonts w:ascii="宋体"/>
      </w:rPr>
    </w:pPr>
    <w:r>
      <mc:AlternateContent>
        <mc:Choice Requires="wps">
          <w:drawing>
            <wp:anchor distT="0" distB="0" distL="113665" distR="113665" simplePos="0" relativeHeight="251660288" behindDoc="0" locked="0" layoutInCell="1" allowOverlap="1">
              <wp:simplePos x="0" y="0"/>
              <wp:positionH relativeFrom="column">
                <wp:posOffset>-2540</wp:posOffset>
              </wp:positionH>
              <wp:positionV relativeFrom="paragraph">
                <wp:posOffset>-31115</wp:posOffset>
              </wp:positionV>
              <wp:extent cx="6035675" cy="2540"/>
              <wp:effectExtent l="0" t="0" r="0" b="0"/>
              <wp:wrapNone/>
              <wp:docPr id="6" name="Line 1"/>
              <wp:cNvGraphicFramePr/>
              <a:graphic xmlns:a="http://schemas.openxmlformats.org/drawingml/2006/main">
                <a:graphicData uri="http://schemas.microsoft.com/office/word/2010/wordprocessingShape">
                  <wps:wsp>
                    <wps:cNvCnPr/>
                    <wps:spPr>
                      <a:xfrm>
                        <a:off x="0" y="0"/>
                        <a:ext cx="6035674" cy="2539"/>
                      </a:xfrm>
                      <a:prstGeom prst="line">
                        <a:avLst/>
                      </a:prstGeom>
                      <a:noFill/>
                      <a:ln w="9525" cap="flat" cmpd="sng">
                        <a:solidFill>
                          <a:srgbClr val="000000"/>
                        </a:solidFill>
                        <a:prstDash val="solid"/>
                        <a:round/>
                      </a:ln>
                    </wps:spPr>
                    <wps:bodyPr/>
                  </wps:wsp>
                </a:graphicData>
              </a:graphic>
            </wp:anchor>
          </w:drawing>
        </mc:Choice>
        <mc:Fallback>
          <w:pict>
            <v:line id="Line 1" o:spid="_x0000_s1026" o:spt="20" style="position:absolute;left:0pt;margin-left:-0.2pt;margin-top:-2.45pt;height:0.2pt;width:475.25pt;z-index:251660288;mso-width-relative:page;mso-height-relative:page;" filled="f" stroked="t" coordsize="21600,21600" o:gfxdata="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fIbw1QAAAAcBAAAPAAAAAAAAAAEAIAAAACIAAABkcnMvZG93bnJldi54bWxQ&#10;SwECFAAUAAAACACHTuJAQNg9wcEBAACRAwAADgAAAAAAAAABACAAAAAkAQAAZHJzL2Uyb0RvYy54&#10;bWxQSwUGAAAAAAYABgBZAQAAVwUAAAAA&#10;">
              <v:fill on="f" focussize="0,0"/>
              <v:stroke color="#000000" joinstyle="round"/>
              <v:imagedata o:title=""/>
              <o:lock v:ext="edit" aspectratio="f"/>
            </v:line>
          </w:pict>
        </mc:Fallback>
      </mc:AlternateContent>
    </w:r>
    <w:r>
      <w:rPr>
        <w:rFonts w:hint="eastAsia" w:ascii="宋体"/>
      </w:rPr>
      <w:t>厦门市华沧采购招标有限公司</w:t>
    </w:r>
    <w:r>
      <w:rPr>
        <w:rFonts w:hint="eastAsia" w:ascii="宋体"/>
        <w:sz w:val="20"/>
      </w:rPr>
      <w:t xml:space="preserve">    </w:t>
    </w:r>
    <w:r>
      <w:rPr>
        <w:rFonts w:hint="eastAsia" w:ascii="宋体"/>
      </w:rPr>
      <w:t xml:space="preserve">电 话： 0592-5333115   传 真： 0592-5333807  </w:t>
    </w:r>
    <w:r>
      <w:fldChar w:fldCharType="begin"/>
    </w:r>
    <w:r>
      <w:instrText xml:space="preserve"> HYPERLINK "http://www.xm-hc.com" </w:instrText>
    </w:r>
    <w:r>
      <w:fldChar w:fldCharType="separate"/>
    </w:r>
    <w:r>
      <w:rPr>
        <w:rStyle w:val="33"/>
        <w:rFonts w:hint="eastAsia" w:ascii="宋体"/>
      </w:rPr>
      <w:t>http://www.xm-hc.com</w:t>
    </w:r>
    <w:r>
      <w:rPr>
        <w:rStyle w:val="33"/>
        <w:rFonts w:hint="eastAsia" w:ascii="宋体"/>
      </w:rPr>
      <w:fldChar w:fldCharType="end"/>
    </w:r>
    <w:r>
      <w:rPr>
        <w:rFonts w:hint="eastAsia" w:ascii="宋体"/>
      </w:rPr>
      <w:t xml:space="preserve">   </w:t>
    </w:r>
    <w:r>
      <w:rPr>
        <w:rFonts w:hint="eastAsia" w:ascii="宋体"/>
      </w:rPr>
      <w:fldChar w:fldCharType="begin"/>
    </w:r>
    <w:r>
      <w:rPr>
        <w:rFonts w:hint="eastAsia" w:ascii="宋体"/>
      </w:rPr>
      <w:instrText xml:space="preserve"> PAGE </w:instrText>
    </w:r>
    <w:r>
      <w:rPr>
        <w:rFonts w:hint="eastAsia" w:ascii="宋体"/>
      </w:rPr>
      <w:fldChar w:fldCharType="separate"/>
    </w:r>
    <w:r>
      <w:rPr>
        <w:rFonts w:ascii="宋体"/>
      </w:rPr>
      <w:t>76</w:t>
    </w:r>
    <w:r>
      <w:rPr>
        <w:rFonts w:hint="eastAsia" w:ascii="宋体"/>
      </w:rPr>
      <w:fldChar w:fldCharType="end"/>
    </w:r>
    <w:r>
      <w:rPr>
        <w:rFonts w:hint="eastAsia" w:ascii="宋体"/>
      </w:rPr>
      <w:t>-</w:t>
    </w:r>
    <w:r>
      <w:rPr>
        <w:rFonts w:hint="eastAsia" w:ascii="宋体"/>
      </w:rPr>
      <w:fldChar w:fldCharType="begin"/>
    </w:r>
    <w:r>
      <w:rPr>
        <w:rFonts w:hint="eastAsia" w:ascii="宋体"/>
      </w:rPr>
      <w:instrText xml:space="preserve"> NUMPAGES </w:instrText>
    </w:r>
    <w:r>
      <w:rPr>
        <w:rFonts w:hint="eastAsia" w:ascii="宋体"/>
      </w:rPr>
      <w:fldChar w:fldCharType="separate"/>
    </w:r>
    <w:r>
      <w:rPr>
        <w:rFonts w:ascii="宋体"/>
      </w:rPr>
      <w:t>81</w:t>
    </w:r>
    <w:r>
      <w:rPr>
        <w:rFonts w:hint="eastAsia" w:asci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55D1">
    <w:pPr>
      <w:pStyle w:val="18"/>
      <w:jc w:val="left"/>
      <w:rPr>
        <w:rFonts w:hint="eastAsia" w:ascii="宋体" w:eastAsia="宋体"/>
        <w:lang w:eastAsia="zh-CN"/>
      </w:rPr>
    </w:pPr>
    <w:r>
      <w:drawing>
        <wp:inline distT="0" distB="0" distL="0" distR="0">
          <wp:extent cx="861060" cy="414655"/>
          <wp:effectExtent l="0" t="0" r="13" b="39"/>
          <wp:docPr id="1" name="图片 0" descr="说明: 商标--2016.09.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说明: 商标--2016.09.18.png"/>
                  <pic:cNvPicPr>
                    <a:picLocks noChangeAspect="1"/>
                  </pic:cNvPicPr>
                </pic:nvPicPr>
                <pic:blipFill>
                  <a:blip r:embed="rId1"/>
                  <a:stretch>
                    <a:fillRect/>
                  </a:stretch>
                </pic:blipFill>
                <pic:spPr>
                  <a:xfrm>
                    <a:off x="0" y="0"/>
                    <a:ext cx="861060" cy="414655"/>
                  </a:xfrm>
                  <a:prstGeom prst="rect">
                    <a:avLst/>
                  </a:prstGeom>
                  <a:noFill/>
                  <a:ln w="9525" cap="flat" cmpd="sng">
                    <a:noFill/>
                    <a:prstDash val="solid"/>
                    <a:round/>
                  </a:ln>
                </pic:spPr>
              </pic:pic>
            </a:graphicData>
          </a:graphic>
        </wp:inline>
      </w:drawing>
    </w:r>
    <w:r>
      <w:rPr>
        <w:rFonts w:hint="eastAsia"/>
      </w:rPr>
      <w:t>厦门市华沧采购招标有限公司</w:t>
    </w:r>
    <w:r>
      <w:rPr>
        <w:rFonts w:hint="eastAsia" w:ascii="宋体"/>
        <w:bCs/>
      </w:rPr>
      <w:t xml:space="preserve">                                     </w:t>
    </w:r>
    <w:r>
      <w:rPr>
        <w:rFonts w:hint="eastAsia" w:ascii="宋体"/>
      </w:rPr>
      <w:t>项目编号：</w:t>
    </w:r>
    <w:r>
      <w:rPr>
        <w:rFonts w:hint="eastAsia" w:ascii="宋体"/>
        <w:lang w:eastAsia="zh-CN"/>
      </w:rPr>
      <w:t>2024-HCGK-SH1466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22B40"/>
    <w:multiLevelType w:val="multilevel"/>
    <w:tmpl w:val="25C22B40"/>
    <w:lvl w:ilvl="0" w:tentative="0">
      <w:start w:val="1"/>
      <w:numFmt w:val="japaneseCounting"/>
      <w:lvlText w:val="%1、"/>
      <w:lvlJc w:val="left"/>
      <w:pPr>
        <w:ind w:left="480" w:hanging="48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
    <w:nsid w:val="28020941"/>
    <w:multiLevelType w:val="multilevel"/>
    <w:tmpl w:val="28020941"/>
    <w:lvl w:ilvl="0" w:tentative="0">
      <w:start w:val="1"/>
      <w:numFmt w:val="chineseCountingThousand"/>
      <w:suff w:val="nothing"/>
      <w:lvlText w:val="第%1部分"/>
      <w:lvlJc w:val="left"/>
      <w:pPr>
        <w:ind w:left="0" w:firstLine="0"/>
      </w:pPr>
      <w:rPr>
        <w:rFonts w:hint="eastAsia" w:ascii="黑体" w:hAnsi="黑体" w:eastAsia="黑体"/>
        <w:sz w:val="32"/>
      </w:rPr>
    </w:lvl>
    <w:lvl w:ilvl="1" w:tentative="0">
      <w:start w:val="1"/>
      <w:numFmt w:val="upperLetter"/>
      <w:pStyle w:val="3"/>
      <w:suff w:val="nothing"/>
      <w:lvlText w:val="%2"/>
      <w:lvlJc w:val="left"/>
      <w:pPr>
        <w:ind w:left="306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hAnsi="宋体" w:eastAsia="宋体"/>
        <w:b/>
        <w:i w:val="0"/>
        <w:sz w:val="28"/>
      </w:r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439F6D34"/>
    <w:multiLevelType w:val="multilevel"/>
    <w:tmpl w:val="439F6D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3B0F5F"/>
    <w:multiLevelType w:val="singleLevel"/>
    <w:tmpl w:val="743B0F5F"/>
    <w:lvl w:ilvl="0" w:tentative="0">
      <w:start w:val="1"/>
      <w:numFmt w:val="chineseCounting"/>
      <w:suff w:val="nothing"/>
      <w:lvlText w:val="（%1）"/>
      <w:lvlJc w:val="left"/>
      <w:pPr>
        <w:ind w:left="0" w:firstLine="0"/>
      </w:pPr>
      <w:rPr>
        <w:rFonts w:hint="eastAsia"/>
      </w:rPr>
    </w:lvl>
  </w:abstractNum>
  <w:num w:numId="1">
    <w:abstractNumId w:val="1"/>
  </w:num>
  <w:num w:numId="2">
    <w:abstractNumId w:val="2"/>
  </w:num>
  <w:num w:numId="3">
    <w:abstractNumId w:val="0"/>
    <w:lvlOverride w:ilvl="0">
      <w:startOverride w:val="1"/>
      <w:lvl w:ilvl="0" w:tentative="1">
        <w:start w:val="1"/>
        <w:numFmt w:val="japaneseCounting"/>
        <w:lvlText w:val="%1、"/>
        <w:lvlJc w:val="left"/>
        <w:pPr>
          <w:ind w:left="480" w:hanging="480"/>
        </w:pPr>
      </w:lvl>
    </w:lvlOverride>
    <w:lvlOverride w:ilvl="1">
      <w:startOverride w:val="1"/>
      <w:lvl w:ilvl="1" w:tentative="1">
        <w:start w:val="1"/>
        <w:numFmt w:val="decimal"/>
        <w:lvlText w:val="%2."/>
        <w:lvlJc w:val="left"/>
        <w:pPr>
          <w:ind w:left="1440" w:hanging="360"/>
        </w:pPr>
      </w:lvl>
    </w:lvlOverride>
    <w:lvlOverride w:ilvl="2">
      <w:startOverride w:val="1"/>
      <w:lvl w:ilvl="2" w:tentative="1">
        <w:start w:val="1"/>
        <w:numFmt w:val="decimal"/>
        <w:lvlText w:val="%3."/>
        <w:lvlJc w:val="left"/>
        <w:pPr>
          <w:ind w:left="2160" w:hanging="36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decimal"/>
        <w:lvlText w:val="%5."/>
        <w:lvlJc w:val="left"/>
        <w:pPr>
          <w:ind w:left="3600" w:hanging="360"/>
        </w:pPr>
      </w:lvl>
    </w:lvlOverride>
    <w:lvlOverride w:ilvl="5">
      <w:startOverride w:val="1"/>
      <w:lvl w:ilvl="5" w:tentative="1">
        <w:start w:val="1"/>
        <w:numFmt w:val="decimal"/>
        <w:lvlText w:val="%6."/>
        <w:lvlJc w:val="left"/>
        <w:pPr>
          <w:ind w:left="4320" w:hanging="36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decimal"/>
        <w:lvlText w:val="%8."/>
        <w:lvlJc w:val="left"/>
        <w:pPr>
          <w:ind w:left="5760" w:hanging="360"/>
        </w:pPr>
      </w:lvl>
    </w:lvlOverride>
    <w:lvlOverride w:ilvl="8">
      <w:startOverride w:val="1"/>
      <w:lvl w:ilvl="8" w:tentative="1">
        <w:start w:val="1"/>
        <w:numFmt w:val="decimal"/>
        <w:lvlText w:val="%9."/>
        <w:lvlJc w:val="left"/>
        <w:pPr>
          <w:ind w:left="6480" w:hanging="360"/>
        </w:p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wZWNiMjdlMmU3Njg5NmJmMTEyNmUxODJhMWM2ZTkifQ=="/>
  </w:docVars>
  <w:rsids>
    <w:rsidRoot w:val="00617010"/>
    <w:rsid w:val="00011F08"/>
    <w:rsid w:val="00030361"/>
    <w:rsid w:val="00054EB8"/>
    <w:rsid w:val="00071182"/>
    <w:rsid w:val="000B7211"/>
    <w:rsid w:val="000D2013"/>
    <w:rsid w:val="001A07EB"/>
    <w:rsid w:val="001A76F5"/>
    <w:rsid w:val="002422B9"/>
    <w:rsid w:val="002764D2"/>
    <w:rsid w:val="002935E4"/>
    <w:rsid w:val="002C636D"/>
    <w:rsid w:val="00302D5E"/>
    <w:rsid w:val="00325E52"/>
    <w:rsid w:val="00347BDB"/>
    <w:rsid w:val="00395F1B"/>
    <w:rsid w:val="00402AB1"/>
    <w:rsid w:val="004157F1"/>
    <w:rsid w:val="00490262"/>
    <w:rsid w:val="004B7EA9"/>
    <w:rsid w:val="005330A8"/>
    <w:rsid w:val="00586FEC"/>
    <w:rsid w:val="005B33D6"/>
    <w:rsid w:val="005C122A"/>
    <w:rsid w:val="005C7456"/>
    <w:rsid w:val="005D0342"/>
    <w:rsid w:val="00617010"/>
    <w:rsid w:val="00636099"/>
    <w:rsid w:val="00697A29"/>
    <w:rsid w:val="006A5E1C"/>
    <w:rsid w:val="006C64AF"/>
    <w:rsid w:val="00743B76"/>
    <w:rsid w:val="007B5434"/>
    <w:rsid w:val="008129CA"/>
    <w:rsid w:val="00816543"/>
    <w:rsid w:val="00820DFF"/>
    <w:rsid w:val="00854684"/>
    <w:rsid w:val="008802E2"/>
    <w:rsid w:val="00896D23"/>
    <w:rsid w:val="008B241F"/>
    <w:rsid w:val="009002C1"/>
    <w:rsid w:val="009A31FA"/>
    <w:rsid w:val="009F536C"/>
    <w:rsid w:val="00A66D5D"/>
    <w:rsid w:val="00A85A86"/>
    <w:rsid w:val="00AD38BF"/>
    <w:rsid w:val="00AD7338"/>
    <w:rsid w:val="00BA3B56"/>
    <w:rsid w:val="00BC1484"/>
    <w:rsid w:val="00BC1A30"/>
    <w:rsid w:val="00C32232"/>
    <w:rsid w:val="00C7316C"/>
    <w:rsid w:val="00CC5F95"/>
    <w:rsid w:val="00CC63D4"/>
    <w:rsid w:val="00CD43D2"/>
    <w:rsid w:val="00D83F5E"/>
    <w:rsid w:val="00DA276E"/>
    <w:rsid w:val="00DE5509"/>
    <w:rsid w:val="00E2131D"/>
    <w:rsid w:val="00E71BF5"/>
    <w:rsid w:val="00E87CD6"/>
    <w:rsid w:val="00EA7D99"/>
    <w:rsid w:val="00F13BD0"/>
    <w:rsid w:val="00F34C94"/>
    <w:rsid w:val="00FB62F5"/>
    <w:rsid w:val="00FD670F"/>
    <w:rsid w:val="00FE1942"/>
    <w:rsid w:val="010551F6"/>
    <w:rsid w:val="01220F2D"/>
    <w:rsid w:val="013E4434"/>
    <w:rsid w:val="015109AC"/>
    <w:rsid w:val="0174353B"/>
    <w:rsid w:val="017936BE"/>
    <w:rsid w:val="017C5480"/>
    <w:rsid w:val="01D10B24"/>
    <w:rsid w:val="01D628BE"/>
    <w:rsid w:val="01E74ACC"/>
    <w:rsid w:val="022841F2"/>
    <w:rsid w:val="02355837"/>
    <w:rsid w:val="023F66B6"/>
    <w:rsid w:val="02497534"/>
    <w:rsid w:val="025657AD"/>
    <w:rsid w:val="02622E53"/>
    <w:rsid w:val="02710CE4"/>
    <w:rsid w:val="029D33DC"/>
    <w:rsid w:val="02B81FC4"/>
    <w:rsid w:val="02BA21E0"/>
    <w:rsid w:val="02BA3F8E"/>
    <w:rsid w:val="02E5641E"/>
    <w:rsid w:val="02EE59E6"/>
    <w:rsid w:val="02F833AC"/>
    <w:rsid w:val="030560A3"/>
    <w:rsid w:val="030D40BE"/>
    <w:rsid w:val="03337F28"/>
    <w:rsid w:val="035E2049"/>
    <w:rsid w:val="036353BF"/>
    <w:rsid w:val="03681C3C"/>
    <w:rsid w:val="03901577"/>
    <w:rsid w:val="03A94B4F"/>
    <w:rsid w:val="03B64756"/>
    <w:rsid w:val="03BD79D5"/>
    <w:rsid w:val="03C926DB"/>
    <w:rsid w:val="03DE3CAC"/>
    <w:rsid w:val="03FA4C2E"/>
    <w:rsid w:val="040556DD"/>
    <w:rsid w:val="040B458F"/>
    <w:rsid w:val="04177352"/>
    <w:rsid w:val="04180F6C"/>
    <w:rsid w:val="04204776"/>
    <w:rsid w:val="042C34A1"/>
    <w:rsid w:val="042E674D"/>
    <w:rsid w:val="044A6E71"/>
    <w:rsid w:val="046E5030"/>
    <w:rsid w:val="047A7FDB"/>
    <w:rsid w:val="047C774D"/>
    <w:rsid w:val="04812FB5"/>
    <w:rsid w:val="04A873DD"/>
    <w:rsid w:val="04E05C53"/>
    <w:rsid w:val="04F25C61"/>
    <w:rsid w:val="04F4421B"/>
    <w:rsid w:val="051A5FA9"/>
    <w:rsid w:val="05290F57"/>
    <w:rsid w:val="05334381"/>
    <w:rsid w:val="0575419C"/>
    <w:rsid w:val="0580680F"/>
    <w:rsid w:val="058D500B"/>
    <w:rsid w:val="05A607FA"/>
    <w:rsid w:val="05B9725B"/>
    <w:rsid w:val="05DD246D"/>
    <w:rsid w:val="06411E4B"/>
    <w:rsid w:val="064F49ED"/>
    <w:rsid w:val="065D535C"/>
    <w:rsid w:val="06A25465"/>
    <w:rsid w:val="06A66576"/>
    <w:rsid w:val="06B55198"/>
    <w:rsid w:val="070103DE"/>
    <w:rsid w:val="070B6B66"/>
    <w:rsid w:val="07827063"/>
    <w:rsid w:val="07D653C6"/>
    <w:rsid w:val="07F72DDE"/>
    <w:rsid w:val="07F84BBF"/>
    <w:rsid w:val="08017F69"/>
    <w:rsid w:val="08200101"/>
    <w:rsid w:val="083E2F6B"/>
    <w:rsid w:val="085123DA"/>
    <w:rsid w:val="08606D9F"/>
    <w:rsid w:val="0861482B"/>
    <w:rsid w:val="08634780"/>
    <w:rsid w:val="08C26B7A"/>
    <w:rsid w:val="08D15B8E"/>
    <w:rsid w:val="08DC1E32"/>
    <w:rsid w:val="08E43B13"/>
    <w:rsid w:val="08F57ACE"/>
    <w:rsid w:val="08FC2330"/>
    <w:rsid w:val="09067414"/>
    <w:rsid w:val="092F52F0"/>
    <w:rsid w:val="09306D58"/>
    <w:rsid w:val="09806E59"/>
    <w:rsid w:val="09C6116D"/>
    <w:rsid w:val="09D45935"/>
    <w:rsid w:val="0A00497C"/>
    <w:rsid w:val="0A025AB6"/>
    <w:rsid w:val="0A0317EE"/>
    <w:rsid w:val="0A387859"/>
    <w:rsid w:val="0AB02B25"/>
    <w:rsid w:val="0AF73FD1"/>
    <w:rsid w:val="0B0E30C9"/>
    <w:rsid w:val="0BD76ACC"/>
    <w:rsid w:val="0BF70001"/>
    <w:rsid w:val="0C1055C4"/>
    <w:rsid w:val="0C14470F"/>
    <w:rsid w:val="0C2D0AF3"/>
    <w:rsid w:val="0C360B29"/>
    <w:rsid w:val="0C3B60A9"/>
    <w:rsid w:val="0C5745FC"/>
    <w:rsid w:val="0C667E95"/>
    <w:rsid w:val="0C9823C7"/>
    <w:rsid w:val="0CAA5073"/>
    <w:rsid w:val="0CB52F3C"/>
    <w:rsid w:val="0CB71960"/>
    <w:rsid w:val="0CBB102F"/>
    <w:rsid w:val="0CBC020F"/>
    <w:rsid w:val="0CC21526"/>
    <w:rsid w:val="0CC223BD"/>
    <w:rsid w:val="0CE95B9C"/>
    <w:rsid w:val="0D3D239C"/>
    <w:rsid w:val="0D4D6BD9"/>
    <w:rsid w:val="0D605732"/>
    <w:rsid w:val="0D6F0D16"/>
    <w:rsid w:val="0D896A37"/>
    <w:rsid w:val="0DC12675"/>
    <w:rsid w:val="0DDF6F9F"/>
    <w:rsid w:val="0DE77C19"/>
    <w:rsid w:val="0E100F06"/>
    <w:rsid w:val="0E2C024F"/>
    <w:rsid w:val="0E306767"/>
    <w:rsid w:val="0E523A66"/>
    <w:rsid w:val="0E796AAB"/>
    <w:rsid w:val="0E807E3A"/>
    <w:rsid w:val="0EA57957"/>
    <w:rsid w:val="0EAF4BC3"/>
    <w:rsid w:val="0EBB70C4"/>
    <w:rsid w:val="0EF10D38"/>
    <w:rsid w:val="0EF95E3E"/>
    <w:rsid w:val="0F0C791F"/>
    <w:rsid w:val="0F144A26"/>
    <w:rsid w:val="0F170659"/>
    <w:rsid w:val="0F492922"/>
    <w:rsid w:val="0F4D3CE0"/>
    <w:rsid w:val="0F6F0C52"/>
    <w:rsid w:val="0FBD35DB"/>
    <w:rsid w:val="0FC47D2E"/>
    <w:rsid w:val="103045D8"/>
    <w:rsid w:val="104A6951"/>
    <w:rsid w:val="106317C1"/>
    <w:rsid w:val="108136B5"/>
    <w:rsid w:val="10863702"/>
    <w:rsid w:val="10BB784F"/>
    <w:rsid w:val="10DA7B9E"/>
    <w:rsid w:val="110E5BD1"/>
    <w:rsid w:val="111B6540"/>
    <w:rsid w:val="1126147A"/>
    <w:rsid w:val="112C24FB"/>
    <w:rsid w:val="112E1369"/>
    <w:rsid w:val="114333A1"/>
    <w:rsid w:val="11713EF6"/>
    <w:rsid w:val="11936D7C"/>
    <w:rsid w:val="11A16A45"/>
    <w:rsid w:val="11AA3420"/>
    <w:rsid w:val="11B00A36"/>
    <w:rsid w:val="11C664AC"/>
    <w:rsid w:val="11D07E36"/>
    <w:rsid w:val="11E64458"/>
    <w:rsid w:val="11F32576"/>
    <w:rsid w:val="11F77B10"/>
    <w:rsid w:val="125A3098"/>
    <w:rsid w:val="12971BF6"/>
    <w:rsid w:val="12A165D1"/>
    <w:rsid w:val="12B22812"/>
    <w:rsid w:val="12C86373"/>
    <w:rsid w:val="12EB21EA"/>
    <w:rsid w:val="13054DB2"/>
    <w:rsid w:val="13207E3D"/>
    <w:rsid w:val="13224A7B"/>
    <w:rsid w:val="134224E3"/>
    <w:rsid w:val="1352431F"/>
    <w:rsid w:val="13791A3E"/>
    <w:rsid w:val="13890E0A"/>
    <w:rsid w:val="13A4790B"/>
    <w:rsid w:val="13A77FF5"/>
    <w:rsid w:val="13A95775"/>
    <w:rsid w:val="13D03611"/>
    <w:rsid w:val="13D65F26"/>
    <w:rsid w:val="140D4D70"/>
    <w:rsid w:val="14196AC8"/>
    <w:rsid w:val="141A2ADF"/>
    <w:rsid w:val="142448CF"/>
    <w:rsid w:val="14451FF6"/>
    <w:rsid w:val="144C7508"/>
    <w:rsid w:val="14726477"/>
    <w:rsid w:val="14763D07"/>
    <w:rsid w:val="147F6BC8"/>
    <w:rsid w:val="14961592"/>
    <w:rsid w:val="14A34882"/>
    <w:rsid w:val="14AD71EF"/>
    <w:rsid w:val="14B27425"/>
    <w:rsid w:val="14C447F8"/>
    <w:rsid w:val="14F6001F"/>
    <w:rsid w:val="152C0D1B"/>
    <w:rsid w:val="153C6769"/>
    <w:rsid w:val="15456448"/>
    <w:rsid w:val="15785D0F"/>
    <w:rsid w:val="15840B95"/>
    <w:rsid w:val="15A5462A"/>
    <w:rsid w:val="15D066FD"/>
    <w:rsid w:val="1603255F"/>
    <w:rsid w:val="164015EB"/>
    <w:rsid w:val="165E3157"/>
    <w:rsid w:val="16B5089D"/>
    <w:rsid w:val="16CB5763"/>
    <w:rsid w:val="16CF6366"/>
    <w:rsid w:val="16D06F70"/>
    <w:rsid w:val="16DC407B"/>
    <w:rsid w:val="16EA49EA"/>
    <w:rsid w:val="17026E31"/>
    <w:rsid w:val="173532F2"/>
    <w:rsid w:val="17811D51"/>
    <w:rsid w:val="179E56CF"/>
    <w:rsid w:val="17C57205"/>
    <w:rsid w:val="189C7F66"/>
    <w:rsid w:val="18AA0C65"/>
    <w:rsid w:val="18AB01A9"/>
    <w:rsid w:val="18B00ADC"/>
    <w:rsid w:val="18E92BE3"/>
    <w:rsid w:val="19153875"/>
    <w:rsid w:val="19B364E2"/>
    <w:rsid w:val="19BE3F0C"/>
    <w:rsid w:val="19E54F54"/>
    <w:rsid w:val="1A0D1406"/>
    <w:rsid w:val="1A295829"/>
    <w:rsid w:val="1A41695D"/>
    <w:rsid w:val="1A420699"/>
    <w:rsid w:val="1A642D06"/>
    <w:rsid w:val="1A8B4448"/>
    <w:rsid w:val="1A970237"/>
    <w:rsid w:val="1AA475A6"/>
    <w:rsid w:val="1AED482B"/>
    <w:rsid w:val="1B376449"/>
    <w:rsid w:val="1B4626D4"/>
    <w:rsid w:val="1B462CD5"/>
    <w:rsid w:val="1B4D0BEE"/>
    <w:rsid w:val="1B55264E"/>
    <w:rsid w:val="1B722C0B"/>
    <w:rsid w:val="1B8D003A"/>
    <w:rsid w:val="1BA17641"/>
    <w:rsid w:val="1BAB3592"/>
    <w:rsid w:val="1BBB6955"/>
    <w:rsid w:val="1BCD6688"/>
    <w:rsid w:val="1BD306FA"/>
    <w:rsid w:val="1BF12377"/>
    <w:rsid w:val="1BF956CF"/>
    <w:rsid w:val="1C104568"/>
    <w:rsid w:val="1C32588F"/>
    <w:rsid w:val="1C33473D"/>
    <w:rsid w:val="1C5823F6"/>
    <w:rsid w:val="1CDB3E53"/>
    <w:rsid w:val="1CF30371"/>
    <w:rsid w:val="1CFF0AC4"/>
    <w:rsid w:val="1D02731D"/>
    <w:rsid w:val="1D100488"/>
    <w:rsid w:val="1D2166D1"/>
    <w:rsid w:val="1D531D9D"/>
    <w:rsid w:val="1D687F77"/>
    <w:rsid w:val="1D7E6719"/>
    <w:rsid w:val="1D86771F"/>
    <w:rsid w:val="1D8D60CF"/>
    <w:rsid w:val="1DC23CB5"/>
    <w:rsid w:val="1DF12B02"/>
    <w:rsid w:val="1E002D45"/>
    <w:rsid w:val="1E0A068D"/>
    <w:rsid w:val="1E133B1D"/>
    <w:rsid w:val="1E177335"/>
    <w:rsid w:val="1E253FE6"/>
    <w:rsid w:val="1E8A6AB3"/>
    <w:rsid w:val="1ED65854"/>
    <w:rsid w:val="1ED9268B"/>
    <w:rsid w:val="1F0C74C8"/>
    <w:rsid w:val="1F3507CD"/>
    <w:rsid w:val="1F664E2A"/>
    <w:rsid w:val="1F7C63FB"/>
    <w:rsid w:val="1F996FAD"/>
    <w:rsid w:val="1F9D6372"/>
    <w:rsid w:val="1FAE4CCB"/>
    <w:rsid w:val="1FAF3D9F"/>
    <w:rsid w:val="1FCB626F"/>
    <w:rsid w:val="200C39EB"/>
    <w:rsid w:val="20174376"/>
    <w:rsid w:val="2031368A"/>
    <w:rsid w:val="20347017"/>
    <w:rsid w:val="20641088"/>
    <w:rsid w:val="20D003E8"/>
    <w:rsid w:val="20E22BD6"/>
    <w:rsid w:val="20F36B91"/>
    <w:rsid w:val="21042B4C"/>
    <w:rsid w:val="217C0A1F"/>
    <w:rsid w:val="21983295"/>
    <w:rsid w:val="21CB366A"/>
    <w:rsid w:val="21E5472C"/>
    <w:rsid w:val="22116A1C"/>
    <w:rsid w:val="22235254"/>
    <w:rsid w:val="223034CD"/>
    <w:rsid w:val="22317971"/>
    <w:rsid w:val="22681AF0"/>
    <w:rsid w:val="22721B39"/>
    <w:rsid w:val="2278441E"/>
    <w:rsid w:val="22B41147"/>
    <w:rsid w:val="22BB0875"/>
    <w:rsid w:val="22CC1448"/>
    <w:rsid w:val="22D447A0"/>
    <w:rsid w:val="22E04EF3"/>
    <w:rsid w:val="22FD3CF7"/>
    <w:rsid w:val="22FF7A6F"/>
    <w:rsid w:val="2329689A"/>
    <w:rsid w:val="232C0139"/>
    <w:rsid w:val="233D40F4"/>
    <w:rsid w:val="234822FE"/>
    <w:rsid w:val="238F4A93"/>
    <w:rsid w:val="23913B66"/>
    <w:rsid w:val="239758BD"/>
    <w:rsid w:val="239D2DE4"/>
    <w:rsid w:val="23C71C0F"/>
    <w:rsid w:val="23FC2C27"/>
    <w:rsid w:val="2410518A"/>
    <w:rsid w:val="24294678"/>
    <w:rsid w:val="242B630C"/>
    <w:rsid w:val="2432177F"/>
    <w:rsid w:val="24350B0E"/>
    <w:rsid w:val="244C25DB"/>
    <w:rsid w:val="24505D36"/>
    <w:rsid w:val="245E07C6"/>
    <w:rsid w:val="246851A0"/>
    <w:rsid w:val="24EA2FCE"/>
    <w:rsid w:val="254554E2"/>
    <w:rsid w:val="25627E42"/>
    <w:rsid w:val="25640244"/>
    <w:rsid w:val="25714529"/>
    <w:rsid w:val="258204E4"/>
    <w:rsid w:val="2592118F"/>
    <w:rsid w:val="25E12EA2"/>
    <w:rsid w:val="26025181"/>
    <w:rsid w:val="260A5648"/>
    <w:rsid w:val="267E0AA6"/>
    <w:rsid w:val="26802C75"/>
    <w:rsid w:val="26D23A93"/>
    <w:rsid w:val="26F251F5"/>
    <w:rsid w:val="27111B1F"/>
    <w:rsid w:val="271434C8"/>
    <w:rsid w:val="27165388"/>
    <w:rsid w:val="27211AD6"/>
    <w:rsid w:val="27247AA4"/>
    <w:rsid w:val="27257379"/>
    <w:rsid w:val="27363693"/>
    <w:rsid w:val="275D4D64"/>
    <w:rsid w:val="277E2C99"/>
    <w:rsid w:val="278D436E"/>
    <w:rsid w:val="27A04BA3"/>
    <w:rsid w:val="27D668C5"/>
    <w:rsid w:val="27DF5779"/>
    <w:rsid w:val="28065AC1"/>
    <w:rsid w:val="28394853"/>
    <w:rsid w:val="28764E7D"/>
    <w:rsid w:val="28D01566"/>
    <w:rsid w:val="28D6500D"/>
    <w:rsid w:val="28DC7F0B"/>
    <w:rsid w:val="28F209BA"/>
    <w:rsid w:val="291B4ED7"/>
    <w:rsid w:val="29361C72"/>
    <w:rsid w:val="298877F8"/>
    <w:rsid w:val="29930F11"/>
    <w:rsid w:val="29C9048F"/>
    <w:rsid w:val="29F00112"/>
    <w:rsid w:val="2A07545B"/>
    <w:rsid w:val="2A0E2346"/>
    <w:rsid w:val="2A1076B3"/>
    <w:rsid w:val="2A140899"/>
    <w:rsid w:val="2A1A4203"/>
    <w:rsid w:val="2A352034"/>
    <w:rsid w:val="2A391AD2"/>
    <w:rsid w:val="2A7E3970"/>
    <w:rsid w:val="2A812BB7"/>
    <w:rsid w:val="2AA937FF"/>
    <w:rsid w:val="2AAD1B01"/>
    <w:rsid w:val="2AAF55BC"/>
    <w:rsid w:val="2AB1667E"/>
    <w:rsid w:val="2AC63350"/>
    <w:rsid w:val="2AD417E1"/>
    <w:rsid w:val="2AEC49DB"/>
    <w:rsid w:val="2AF32708"/>
    <w:rsid w:val="2AF50EB8"/>
    <w:rsid w:val="2AF74A83"/>
    <w:rsid w:val="2B125E66"/>
    <w:rsid w:val="2B430715"/>
    <w:rsid w:val="2B4754B4"/>
    <w:rsid w:val="2B5244B4"/>
    <w:rsid w:val="2B634913"/>
    <w:rsid w:val="2BC83584"/>
    <w:rsid w:val="2BED7625"/>
    <w:rsid w:val="2C3562B0"/>
    <w:rsid w:val="2C3619B9"/>
    <w:rsid w:val="2C4C35F9"/>
    <w:rsid w:val="2C7A0167"/>
    <w:rsid w:val="2C7D1A78"/>
    <w:rsid w:val="2C861F08"/>
    <w:rsid w:val="2C934C78"/>
    <w:rsid w:val="2CAE1BBE"/>
    <w:rsid w:val="2CC97514"/>
    <w:rsid w:val="2CCD0296"/>
    <w:rsid w:val="2CCD473A"/>
    <w:rsid w:val="2CD9476B"/>
    <w:rsid w:val="2CE61E53"/>
    <w:rsid w:val="2CF717B7"/>
    <w:rsid w:val="2CFF241A"/>
    <w:rsid w:val="2D085772"/>
    <w:rsid w:val="2D124CE5"/>
    <w:rsid w:val="2D2A6CE6"/>
    <w:rsid w:val="2D3622E0"/>
    <w:rsid w:val="2D3B57DF"/>
    <w:rsid w:val="2D616C31"/>
    <w:rsid w:val="2D83304B"/>
    <w:rsid w:val="2DAF0ECA"/>
    <w:rsid w:val="2DB72CF5"/>
    <w:rsid w:val="2DCA6ECC"/>
    <w:rsid w:val="2DF857E7"/>
    <w:rsid w:val="2E026666"/>
    <w:rsid w:val="2E0A0B37"/>
    <w:rsid w:val="2E1F2D74"/>
    <w:rsid w:val="2E2E2FB7"/>
    <w:rsid w:val="2E4117DE"/>
    <w:rsid w:val="2E47051C"/>
    <w:rsid w:val="2E575575"/>
    <w:rsid w:val="2E625356"/>
    <w:rsid w:val="2E8762A6"/>
    <w:rsid w:val="2E9C28A6"/>
    <w:rsid w:val="2EC21951"/>
    <w:rsid w:val="2ED40002"/>
    <w:rsid w:val="2F0672B1"/>
    <w:rsid w:val="2F4A02C4"/>
    <w:rsid w:val="2F4B5DEA"/>
    <w:rsid w:val="2F6E2E54"/>
    <w:rsid w:val="2F6F72DC"/>
    <w:rsid w:val="2F863F55"/>
    <w:rsid w:val="2FA379D4"/>
    <w:rsid w:val="2FD36637"/>
    <w:rsid w:val="2FF445E4"/>
    <w:rsid w:val="30381D12"/>
    <w:rsid w:val="303B5E5F"/>
    <w:rsid w:val="303F7C34"/>
    <w:rsid w:val="304C1E1A"/>
    <w:rsid w:val="307E6042"/>
    <w:rsid w:val="30B654E5"/>
    <w:rsid w:val="30CB5F90"/>
    <w:rsid w:val="30E87D95"/>
    <w:rsid w:val="3106646D"/>
    <w:rsid w:val="311C17EC"/>
    <w:rsid w:val="31350B00"/>
    <w:rsid w:val="317B6345"/>
    <w:rsid w:val="318405F5"/>
    <w:rsid w:val="318D4356"/>
    <w:rsid w:val="31D125D7"/>
    <w:rsid w:val="31E547F7"/>
    <w:rsid w:val="3207424B"/>
    <w:rsid w:val="32172601"/>
    <w:rsid w:val="32886A30"/>
    <w:rsid w:val="33881F42"/>
    <w:rsid w:val="3390201E"/>
    <w:rsid w:val="33C61EE3"/>
    <w:rsid w:val="33CD0EE7"/>
    <w:rsid w:val="33D65668"/>
    <w:rsid w:val="33E365F1"/>
    <w:rsid w:val="33F95BA3"/>
    <w:rsid w:val="33FA7593"/>
    <w:rsid w:val="34030A42"/>
    <w:rsid w:val="342D3D10"/>
    <w:rsid w:val="34367069"/>
    <w:rsid w:val="34394463"/>
    <w:rsid w:val="3445105A"/>
    <w:rsid w:val="344F64F9"/>
    <w:rsid w:val="34675474"/>
    <w:rsid w:val="34853C22"/>
    <w:rsid w:val="349B6ECC"/>
    <w:rsid w:val="34BC337F"/>
    <w:rsid w:val="34C91C8B"/>
    <w:rsid w:val="34DF18A1"/>
    <w:rsid w:val="34F166AD"/>
    <w:rsid w:val="34FD36E3"/>
    <w:rsid w:val="351F5D4F"/>
    <w:rsid w:val="35262C3A"/>
    <w:rsid w:val="356B689E"/>
    <w:rsid w:val="35857950"/>
    <w:rsid w:val="35944047"/>
    <w:rsid w:val="35D5118A"/>
    <w:rsid w:val="35D51C91"/>
    <w:rsid w:val="35D8424F"/>
    <w:rsid w:val="36154A5C"/>
    <w:rsid w:val="36C344B8"/>
    <w:rsid w:val="36D410A5"/>
    <w:rsid w:val="36D84407"/>
    <w:rsid w:val="36DB3EF8"/>
    <w:rsid w:val="3701444C"/>
    <w:rsid w:val="372A1C19"/>
    <w:rsid w:val="375810A4"/>
    <w:rsid w:val="37633457"/>
    <w:rsid w:val="377834F5"/>
    <w:rsid w:val="378B3228"/>
    <w:rsid w:val="37A24C61"/>
    <w:rsid w:val="37A8202C"/>
    <w:rsid w:val="37CB1876"/>
    <w:rsid w:val="37D01583"/>
    <w:rsid w:val="37F457DC"/>
    <w:rsid w:val="38734AB6"/>
    <w:rsid w:val="389B56ED"/>
    <w:rsid w:val="389D2409"/>
    <w:rsid w:val="392958C3"/>
    <w:rsid w:val="39311BAD"/>
    <w:rsid w:val="39673821"/>
    <w:rsid w:val="39675F1D"/>
    <w:rsid w:val="397803D7"/>
    <w:rsid w:val="398731CC"/>
    <w:rsid w:val="39921550"/>
    <w:rsid w:val="399B34CA"/>
    <w:rsid w:val="39A131D7"/>
    <w:rsid w:val="39A20CFD"/>
    <w:rsid w:val="39AE77D7"/>
    <w:rsid w:val="39C11346"/>
    <w:rsid w:val="39C26CA9"/>
    <w:rsid w:val="39C3314D"/>
    <w:rsid w:val="39EB078C"/>
    <w:rsid w:val="39FF41A2"/>
    <w:rsid w:val="3A085F82"/>
    <w:rsid w:val="3A0F6392"/>
    <w:rsid w:val="3A3000B7"/>
    <w:rsid w:val="3A4B4EF0"/>
    <w:rsid w:val="3A8E5CE8"/>
    <w:rsid w:val="3A9B19D4"/>
    <w:rsid w:val="3AE14499"/>
    <w:rsid w:val="3B8E1539"/>
    <w:rsid w:val="3B9C66E6"/>
    <w:rsid w:val="3BB00C18"/>
    <w:rsid w:val="3BB30F9F"/>
    <w:rsid w:val="3BC42354"/>
    <w:rsid w:val="3C064F87"/>
    <w:rsid w:val="3C3420E0"/>
    <w:rsid w:val="3C3F0A85"/>
    <w:rsid w:val="3C406CD7"/>
    <w:rsid w:val="3C7F0E81"/>
    <w:rsid w:val="3C9012E0"/>
    <w:rsid w:val="3D083060"/>
    <w:rsid w:val="3D0E0B83"/>
    <w:rsid w:val="3D4124DC"/>
    <w:rsid w:val="3D532A3A"/>
    <w:rsid w:val="3D586847"/>
    <w:rsid w:val="3D89645B"/>
    <w:rsid w:val="3D8F348F"/>
    <w:rsid w:val="3DB77EF9"/>
    <w:rsid w:val="3DFD766C"/>
    <w:rsid w:val="3E133F77"/>
    <w:rsid w:val="3E412892"/>
    <w:rsid w:val="3E551D7F"/>
    <w:rsid w:val="3E62579A"/>
    <w:rsid w:val="3EA90437"/>
    <w:rsid w:val="3EB43064"/>
    <w:rsid w:val="3EF93913"/>
    <w:rsid w:val="3F3E6DD2"/>
    <w:rsid w:val="3F620D12"/>
    <w:rsid w:val="3F621170"/>
    <w:rsid w:val="3F695775"/>
    <w:rsid w:val="3FCD6BAA"/>
    <w:rsid w:val="40161AFD"/>
    <w:rsid w:val="40253F3D"/>
    <w:rsid w:val="402B1A4C"/>
    <w:rsid w:val="40424A30"/>
    <w:rsid w:val="40490124"/>
    <w:rsid w:val="40AC0BE0"/>
    <w:rsid w:val="40DA6A36"/>
    <w:rsid w:val="40DC68A2"/>
    <w:rsid w:val="41055DF9"/>
    <w:rsid w:val="41263FC1"/>
    <w:rsid w:val="412E3161"/>
    <w:rsid w:val="414F0492"/>
    <w:rsid w:val="415B3C6B"/>
    <w:rsid w:val="419B49AF"/>
    <w:rsid w:val="41B35BFC"/>
    <w:rsid w:val="41BD66D4"/>
    <w:rsid w:val="41BF1AB4"/>
    <w:rsid w:val="41C2018E"/>
    <w:rsid w:val="41D86F43"/>
    <w:rsid w:val="41E30A3B"/>
    <w:rsid w:val="41EC0D67"/>
    <w:rsid w:val="421E445A"/>
    <w:rsid w:val="422E312E"/>
    <w:rsid w:val="42562684"/>
    <w:rsid w:val="426B6130"/>
    <w:rsid w:val="42A653BA"/>
    <w:rsid w:val="42C341BE"/>
    <w:rsid w:val="437D6652"/>
    <w:rsid w:val="437F7674"/>
    <w:rsid w:val="43A8690C"/>
    <w:rsid w:val="43AA0302"/>
    <w:rsid w:val="43D441A9"/>
    <w:rsid w:val="43FB1CDC"/>
    <w:rsid w:val="441572A8"/>
    <w:rsid w:val="443000F7"/>
    <w:rsid w:val="44312EF2"/>
    <w:rsid w:val="443F1622"/>
    <w:rsid w:val="443F5AC6"/>
    <w:rsid w:val="44644B50"/>
    <w:rsid w:val="4464552C"/>
    <w:rsid w:val="447D31D0"/>
    <w:rsid w:val="4487121B"/>
    <w:rsid w:val="4488274F"/>
    <w:rsid w:val="448A1592"/>
    <w:rsid w:val="45102FBE"/>
    <w:rsid w:val="45132AAF"/>
    <w:rsid w:val="45290863"/>
    <w:rsid w:val="45350C77"/>
    <w:rsid w:val="457E1EBD"/>
    <w:rsid w:val="45802403"/>
    <w:rsid w:val="45AA05D6"/>
    <w:rsid w:val="45B54249"/>
    <w:rsid w:val="45B778DE"/>
    <w:rsid w:val="45CC15DB"/>
    <w:rsid w:val="45D95AA6"/>
    <w:rsid w:val="45FC1FB1"/>
    <w:rsid w:val="45FD79E7"/>
    <w:rsid w:val="46120473"/>
    <w:rsid w:val="462E5DF2"/>
    <w:rsid w:val="46567AD7"/>
    <w:rsid w:val="466840BE"/>
    <w:rsid w:val="46B04A59"/>
    <w:rsid w:val="46B362F7"/>
    <w:rsid w:val="46D41860"/>
    <w:rsid w:val="46E666CD"/>
    <w:rsid w:val="47005468"/>
    <w:rsid w:val="477041E8"/>
    <w:rsid w:val="47716DE2"/>
    <w:rsid w:val="477E06B3"/>
    <w:rsid w:val="478B4B7E"/>
    <w:rsid w:val="47AA3C03"/>
    <w:rsid w:val="47D6229D"/>
    <w:rsid w:val="480D7C89"/>
    <w:rsid w:val="482254E2"/>
    <w:rsid w:val="48265641"/>
    <w:rsid w:val="486508D7"/>
    <w:rsid w:val="48AE321A"/>
    <w:rsid w:val="48C9234E"/>
    <w:rsid w:val="48CC7308"/>
    <w:rsid w:val="48FC7FF6"/>
    <w:rsid w:val="49033762"/>
    <w:rsid w:val="49170DBF"/>
    <w:rsid w:val="49210C73"/>
    <w:rsid w:val="49226420"/>
    <w:rsid w:val="492A498E"/>
    <w:rsid w:val="495E3B36"/>
    <w:rsid w:val="498E0956"/>
    <w:rsid w:val="49945669"/>
    <w:rsid w:val="49B900C8"/>
    <w:rsid w:val="49BA799D"/>
    <w:rsid w:val="49BE0964"/>
    <w:rsid w:val="49CE3734"/>
    <w:rsid w:val="49D85C1F"/>
    <w:rsid w:val="49E52C6C"/>
    <w:rsid w:val="4A591516"/>
    <w:rsid w:val="4A5D4EF8"/>
    <w:rsid w:val="4A874ED4"/>
    <w:rsid w:val="4A926D5C"/>
    <w:rsid w:val="4A9E79F5"/>
    <w:rsid w:val="4AA77F21"/>
    <w:rsid w:val="4B0B604A"/>
    <w:rsid w:val="4B5123A9"/>
    <w:rsid w:val="4B7C315C"/>
    <w:rsid w:val="4B8B72CD"/>
    <w:rsid w:val="4BD25472"/>
    <w:rsid w:val="4BD62F9E"/>
    <w:rsid w:val="4BE331DB"/>
    <w:rsid w:val="4C3E70F3"/>
    <w:rsid w:val="4CAA019C"/>
    <w:rsid w:val="4CAD5597"/>
    <w:rsid w:val="4CC920FD"/>
    <w:rsid w:val="4CFB09F8"/>
    <w:rsid w:val="4D0E072B"/>
    <w:rsid w:val="4D385F63"/>
    <w:rsid w:val="4D706CF0"/>
    <w:rsid w:val="4DAB1AD6"/>
    <w:rsid w:val="4DB35F12"/>
    <w:rsid w:val="4DC50327"/>
    <w:rsid w:val="4DC560A6"/>
    <w:rsid w:val="4DC960B8"/>
    <w:rsid w:val="4DD24560"/>
    <w:rsid w:val="4DE95641"/>
    <w:rsid w:val="4DFB44CF"/>
    <w:rsid w:val="4E147F73"/>
    <w:rsid w:val="4E2402BE"/>
    <w:rsid w:val="4E257ADB"/>
    <w:rsid w:val="4E6323B1"/>
    <w:rsid w:val="4E6E41D4"/>
    <w:rsid w:val="4EA74993"/>
    <w:rsid w:val="4EBC3339"/>
    <w:rsid w:val="4EC07C70"/>
    <w:rsid w:val="4EC76DE4"/>
    <w:rsid w:val="4ED41501"/>
    <w:rsid w:val="4EDB463D"/>
    <w:rsid w:val="4F3A75B6"/>
    <w:rsid w:val="4F7E45FC"/>
    <w:rsid w:val="4F86523C"/>
    <w:rsid w:val="4FAD06AA"/>
    <w:rsid w:val="4FB4154E"/>
    <w:rsid w:val="4FD36F96"/>
    <w:rsid w:val="4FDC68BF"/>
    <w:rsid w:val="4FF359B6"/>
    <w:rsid w:val="4FFB68B0"/>
    <w:rsid w:val="50412407"/>
    <w:rsid w:val="50555F05"/>
    <w:rsid w:val="507E130C"/>
    <w:rsid w:val="50811B32"/>
    <w:rsid w:val="50A12093"/>
    <w:rsid w:val="50B43398"/>
    <w:rsid w:val="51220301"/>
    <w:rsid w:val="515A3F3F"/>
    <w:rsid w:val="5164091A"/>
    <w:rsid w:val="51750DEA"/>
    <w:rsid w:val="519136D9"/>
    <w:rsid w:val="51A11BAB"/>
    <w:rsid w:val="51DE160C"/>
    <w:rsid w:val="51E11F6A"/>
    <w:rsid w:val="51EF5B75"/>
    <w:rsid w:val="52522E68"/>
    <w:rsid w:val="52A35472"/>
    <w:rsid w:val="52B753C1"/>
    <w:rsid w:val="52C00325"/>
    <w:rsid w:val="52C87784"/>
    <w:rsid w:val="52E05966"/>
    <w:rsid w:val="52F201A7"/>
    <w:rsid w:val="53002108"/>
    <w:rsid w:val="53155004"/>
    <w:rsid w:val="531B420E"/>
    <w:rsid w:val="534A294D"/>
    <w:rsid w:val="536B3DA6"/>
    <w:rsid w:val="53733096"/>
    <w:rsid w:val="53A05E55"/>
    <w:rsid w:val="53A45945"/>
    <w:rsid w:val="53A771E4"/>
    <w:rsid w:val="53AC2173"/>
    <w:rsid w:val="53B37582"/>
    <w:rsid w:val="53B67427"/>
    <w:rsid w:val="53CA4C80"/>
    <w:rsid w:val="53CB4AE9"/>
    <w:rsid w:val="53D05552"/>
    <w:rsid w:val="53DE648D"/>
    <w:rsid w:val="53E2021C"/>
    <w:rsid w:val="53F02939"/>
    <w:rsid w:val="540C589D"/>
    <w:rsid w:val="541F51BE"/>
    <w:rsid w:val="543B228F"/>
    <w:rsid w:val="54521934"/>
    <w:rsid w:val="54977586"/>
    <w:rsid w:val="54A74C8A"/>
    <w:rsid w:val="54DB5397"/>
    <w:rsid w:val="54EF391D"/>
    <w:rsid w:val="54FA3343"/>
    <w:rsid w:val="55275A0F"/>
    <w:rsid w:val="55747599"/>
    <w:rsid w:val="55DD0C9B"/>
    <w:rsid w:val="55E069DD"/>
    <w:rsid w:val="563A60ED"/>
    <w:rsid w:val="564F734B"/>
    <w:rsid w:val="5663787B"/>
    <w:rsid w:val="56AC1305"/>
    <w:rsid w:val="56C854E5"/>
    <w:rsid w:val="56D56514"/>
    <w:rsid w:val="57095CAB"/>
    <w:rsid w:val="572A0ECA"/>
    <w:rsid w:val="573D6AD0"/>
    <w:rsid w:val="57780FAD"/>
    <w:rsid w:val="57A23FC2"/>
    <w:rsid w:val="57B87C45"/>
    <w:rsid w:val="57CC0FC7"/>
    <w:rsid w:val="584274DB"/>
    <w:rsid w:val="58443253"/>
    <w:rsid w:val="585B5FB1"/>
    <w:rsid w:val="58692CBA"/>
    <w:rsid w:val="58825B29"/>
    <w:rsid w:val="589271FD"/>
    <w:rsid w:val="58C116F7"/>
    <w:rsid w:val="58D2085F"/>
    <w:rsid w:val="58F06F37"/>
    <w:rsid w:val="58F22CAF"/>
    <w:rsid w:val="58FA1B64"/>
    <w:rsid w:val="59091DA7"/>
    <w:rsid w:val="592941F7"/>
    <w:rsid w:val="596531A4"/>
    <w:rsid w:val="59772EB0"/>
    <w:rsid w:val="597E09E7"/>
    <w:rsid w:val="59802754"/>
    <w:rsid w:val="598A113A"/>
    <w:rsid w:val="59AF1BB1"/>
    <w:rsid w:val="59FD5DAF"/>
    <w:rsid w:val="5A026448"/>
    <w:rsid w:val="5A276988"/>
    <w:rsid w:val="5A3C436C"/>
    <w:rsid w:val="5A6F338A"/>
    <w:rsid w:val="5A7A11AE"/>
    <w:rsid w:val="5A967D4A"/>
    <w:rsid w:val="5AC16DDD"/>
    <w:rsid w:val="5ACE08E9"/>
    <w:rsid w:val="5AFC0F7F"/>
    <w:rsid w:val="5B0171D9"/>
    <w:rsid w:val="5B157129"/>
    <w:rsid w:val="5B5D1FBD"/>
    <w:rsid w:val="5B5D6FFE"/>
    <w:rsid w:val="5B6E3FD7"/>
    <w:rsid w:val="5B8D6CBF"/>
    <w:rsid w:val="5BA26C0E"/>
    <w:rsid w:val="5BBE50CA"/>
    <w:rsid w:val="5BD3501A"/>
    <w:rsid w:val="5BDC50C3"/>
    <w:rsid w:val="5BFF729B"/>
    <w:rsid w:val="5C045B35"/>
    <w:rsid w:val="5C1002DC"/>
    <w:rsid w:val="5C1318BA"/>
    <w:rsid w:val="5C3D463D"/>
    <w:rsid w:val="5C3F445D"/>
    <w:rsid w:val="5C82259C"/>
    <w:rsid w:val="5C89392A"/>
    <w:rsid w:val="5CD16541"/>
    <w:rsid w:val="5CE2128D"/>
    <w:rsid w:val="5CE2303B"/>
    <w:rsid w:val="5D5C103F"/>
    <w:rsid w:val="5D676456"/>
    <w:rsid w:val="5DAB5B22"/>
    <w:rsid w:val="5DAD53F7"/>
    <w:rsid w:val="5DF94AE0"/>
    <w:rsid w:val="5E021BE6"/>
    <w:rsid w:val="5E111E29"/>
    <w:rsid w:val="5E40270F"/>
    <w:rsid w:val="5E541D16"/>
    <w:rsid w:val="5E5D506F"/>
    <w:rsid w:val="5E710B1A"/>
    <w:rsid w:val="5E714E68"/>
    <w:rsid w:val="5EE44E48"/>
    <w:rsid w:val="5F0F0BB5"/>
    <w:rsid w:val="5F542CA1"/>
    <w:rsid w:val="5F5F4E16"/>
    <w:rsid w:val="5FAA769A"/>
    <w:rsid w:val="5FB54A36"/>
    <w:rsid w:val="5FE01AB3"/>
    <w:rsid w:val="60265E07"/>
    <w:rsid w:val="6028345A"/>
    <w:rsid w:val="602D6CC3"/>
    <w:rsid w:val="605D5A9B"/>
    <w:rsid w:val="605E0C2A"/>
    <w:rsid w:val="6082700E"/>
    <w:rsid w:val="60B80873"/>
    <w:rsid w:val="60DB04CD"/>
    <w:rsid w:val="60E5134B"/>
    <w:rsid w:val="60EC20C5"/>
    <w:rsid w:val="60FB1085"/>
    <w:rsid w:val="61062091"/>
    <w:rsid w:val="61135EB8"/>
    <w:rsid w:val="613F7BEC"/>
    <w:rsid w:val="614C3178"/>
    <w:rsid w:val="614D68F1"/>
    <w:rsid w:val="61946FF9"/>
    <w:rsid w:val="61A56AC5"/>
    <w:rsid w:val="61CA2A1B"/>
    <w:rsid w:val="61D4389A"/>
    <w:rsid w:val="61ED3E04"/>
    <w:rsid w:val="61FB6ADC"/>
    <w:rsid w:val="62015D11"/>
    <w:rsid w:val="620A038B"/>
    <w:rsid w:val="620B4887"/>
    <w:rsid w:val="622200E3"/>
    <w:rsid w:val="622A2CA2"/>
    <w:rsid w:val="622F4820"/>
    <w:rsid w:val="62AD160D"/>
    <w:rsid w:val="62C532C5"/>
    <w:rsid w:val="62FA7330"/>
    <w:rsid w:val="633F6E21"/>
    <w:rsid w:val="636649C5"/>
    <w:rsid w:val="63860BC4"/>
    <w:rsid w:val="639C3F43"/>
    <w:rsid w:val="63AD09A9"/>
    <w:rsid w:val="63DD1032"/>
    <w:rsid w:val="640D4E41"/>
    <w:rsid w:val="641F6446"/>
    <w:rsid w:val="6449215F"/>
    <w:rsid w:val="64915A72"/>
    <w:rsid w:val="64E8140A"/>
    <w:rsid w:val="64F63B27"/>
    <w:rsid w:val="651A1F74"/>
    <w:rsid w:val="65474383"/>
    <w:rsid w:val="658F7152"/>
    <w:rsid w:val="6591293A"/>
    <w:rsid w:val="65982E30"/>
    <w:rsid w:val="659C3F63"/>
    <w:rsid w:val="65AD68DC"/>
    <w:rsid w:val="65B01F28"/>
    <w:rsid w:val="65C628BC"/>
    <w:rsid w:val="65CC6636"/>
    <w:rsid w:val="65CD0D2C"/>
    <w:rsid w:val="662F72F1"/>
    <w:rsid w:val="66395F4B"/>
    <w:rsid w:val="665E3732"/>
    <w:rsid w:val="666D7E19"/>
    <w:rsid w:val="66974509"/>
    <w:rsid w:val="66B87F1C"/>
    <w:rsid w:val="66C032E3"/>
    <w:rsid w:val="66DC0A0D"/>
    <w:rsid w:val="670F36A3"/>
    <w:rsid w:val="671E1A5E"/>
    <w:rsid w:val="67310C01"/>
    <w:rsid w:val="67423054"/>
    <w:rsid w:val="674E19F8"/>
    <w:rsid w:val="675535B8"/>
    <w:rsid w:val="677B7170"/>
    <w:rsid w:val="67896ED4"/>
    <w:rsid w:val="67A02BD4"/>
    <w:rsid w:val="67DA14DE"/>
    <w:rsid w:val="67DE6206"/>
    <w:rsid w:val="67F307F2"/>
    <w:rsid w:val="67FA1425"/>
    <w:rsid w:val="67FB3202"/>
    <w:rsid w:val="68101674"/>
    <w:rsid w:val="68250B1B"/>
    <w:rsid w:val="6848469A"/>
    <w:rsid w:val="685B2240"/>
    <w:rsid w:val="68AE0CAA"/>
    <w:rsid w:val="68D23AC7"/>
    <w:rsid w:val="68D26659"/>
    <w:rsid w:val="68E41E04"/>
    <w:rsid w:val="69027DBD"/>
    <w:rsid w:val="69201173"/>
    <w:rsid w:val="69584DB0"/>
    <w:rsid w:val="697274F4"/>
    <w:rsid w:val="69773B51"/>
    <w:rsid w:val="69C75A92"/>
    <w:rsid w:val="69E1398D"/>
    <w:rsid w:val="6A091B20"/>
    <w:rsid w:val="6A2D47F2"/>
    <w:rsid w:val="6A3F7D1E"/>
    <w:rsid w:val="6A474352"/>
    <w:rsid w:val="6AA61B4B"/>
    <w:rsid w:val="6B0B760D"/>
    <w:rsid w:val="6B122D3D"/>
    <w:rsid w:val="6B175619"/>
    <w:rsid w:val="6B3233DF"/>
    <w:rsid w:val="6B603226"/>
    <w:rsid w:val="6B657311"/>
    <w:rsid w:val="6B8B16BE"/>
    <w:rsid w:val="6BA50055"/>
    <w:rsid w:val="6BA56358"/>
    <w:rsid w:val="6BAE0CB8"/>
    <w:rsid w:val="6BB362CE"/>
    <w:rsid w:val="6BBB1626"/>
    <w:rsid w:val="6C0C59DE"/>
    <w:rsid w:val="6C1825D5"/>
    <w:rsid w:val="6C231FA8"/>
    <w:rsid w:val="6C4E2F13"/>
    <w:rsid w:val="6C896255"/>
    <w:rsid w:val="6CB3130C"/>
    <w:rsid w:val="6CB542C8"/>
    <w:rsid w:val="6CC639A0"/>
    <w:rsid w:val="6CC87B57"/>
    <w:rsid w:val="6CD40066"/>
    <w:rsid w:val="6CED5810"/>
    <w:rsid w:val="6D090170"/>
    <w:rsid w:val="6D165281"/>
    <w:rsid w:val="6D1A412B"/>
    <w:rsid w:val="6D254FA9"/>
    <w:rsid w:val="6D2A6A64"/>
    <w:rsid w:val="6D714693"/>
    <w:rsid w:val="6D7745A5"/>
    <w:rsid w:val="6D785A21"/>
    <w:rsid w:val="6D910891"/>
    <w:rsid w:val="6DB530D3"/>
    <w:rsid w:val="6DB8130B"/>
    <w:rsid w:val="6E0E513A"/>
    <w:rsid w:val="6E363F0B"/>
    <w:rsid w:val="6E433987"/>
    <w:rsid w:val="6E526272"/>
    <w:rsid w:val="6E663ACB"/>
    <w:rsid w:val="6E737F96"/>
    <w:rsid w:val="6E786326"/>
    <w:rsid w:val="6E805AF6"/>
    <w:rsid w:val="6E810905"/>
    <w:rsid w:val="6E8D72AA"/>
    <w:rsid w:val="6EA91C0A"/>
    <w:rsid w:val="6EB77F51"/>
    <w:rsid w:val="6EC32CCC"/>
    <w:rsid w:val="6F08090C"/>
    <w:rsid w:val="6F086931"/>
    <w:rsid w:val="6F090C28"/>
    <w:rsid w:val="6F1B2B08"/>
    <w:rsid w:val="6F215C44"/>
    <w:rsid w:val="6F2614AD"/>
    <w:rsid w:val="6F49070A"/>
    <w:rsid w:val="6F60051B"/>
    <w:rsid w:val="6F6A1399"/>
    <w:rsid w:val="6F6D49E6"/>
    <w:rsid w:val="6F743681"/>
    <w:rsid w:val="6FC22F83"/>
    <w:rsid w:val="6FE336DC"/>
    <w:rsid w:val="701D2287"/>
    <w:rsid w:val="702521A2"/>
    <w:rsid w:val="70545BA6"/>
    <w:rsid w:val="706238B9"/>
    <w:rsid w:val="70A24B63"/>
    <w:rsid w:val="70B86135"/>
    <w:rsid w:val="70DC1E23"/>
    <w:rsid w:val="70DF1913"/>
    <w:rsid w:val="70E95E5B"/>
    <w:rsid w:val="70F8010E"/>
    <w:rsid w:val="71031AA6"/>
    <w:rsid w:val="71253C42"/>
    <w:rsid w:val="71493231"/>
    <w:rsid w:val="714A76D4"/>
    <w:rsid w:val="71627926"/>
    <w:rsid w:val="71E06734"/>
    <w:rsid w:val="71F413EE"/>
    <w:rsid w:val="720557AD"/>
    <w:rsid w:val="72343E4D"/>
    <w:rsid w:val="724F71BD"/>
    <w:rsid w:val="72555F92"/>
    <w:rsid w:val="726C71D7"/>
    <w:rsid w:val="72707A6E"/>
    <w:rsid w:val="7298446F"/>
    <w:rsid w:val="72A44DE1"/>
    <w:rsid w:val="72AB713A"/>
    <w:rsid w:val="72B15531"/>
    <w:rsid w:val="72B4247F"/>
    <w:rsid w:val="72B56DCF"/>
    <w:rsid w:val="72C5661C"/>
    <w:rsid w:val="72D07765"/>
    <w:rsid w:val="72D964AF"/>
    <w:rsid w:val="72E56BF1"/>
    <w:rsid w:val="72F0605A"/>
    <w:rsid w:val="73075151"/>
    <w:rsid w:val="734F5B66"/>
    <w:rsid w:val="73555EBD"/>
    <w:rsid w:val="737C0FB9"/>
    <w:rsid w:val="73852348"/>
    <w:rsid w:val="738B6C9C"/>
    <w:rsid w:val="73AF7CC3"/>
    <w:rsid w:val="73E155D1"/>
    <w:rsid w:val="73F124C2"/>
    <w:rsid w:val="7439758C"/>
    <w:rsid w:val="746A1E3C"/>
    <w:rsid w:val="749560B0"/>
    <w:rsid w:val="74C07CAE"/>
    <w:rsid w:val="74EE47EA"/>
    <w:rsid w:val="752E2E69"/>
    <w:rsid w:val="758E0441"/>
    <w:rsid w:val="75956A44"/>
    <w:rsid w:val="759C7DD3"/>
    <w:rsid w:val="75E17EDC"/>
    <w:rsid w:val="75E91EA4"/>
    <w:rsid w:val="763E70DC"/>
    <w:rsid w:val="766034F6"/>
    <w:rsid w:val="76875D04"/>
    <w:rsid w:val="769D02A6"/>
    <w:rsid w:val="76A12DDE"/>
    <w:rsid w:val="76A9688E"/>
    <w:rsid w:val="76CA4657"/>
    <w:rsid w:val="76D978C4"/>
    <w:rsid w:val="772B4D77"/>
    <w:rsid w:val="77476464"/>
    <w:rsid w:val="775841CD"/>
    <w:rsid w:val="77767D72"/>
    <w:rsid w:val="777D3C34"/>
    <w:rsid w:val="778E5E41"/>
    <w:rsid w:val="77905715"/>
    <w:rsid w:val="77941102"/>
    <w:rsid w:val="77B02C23"/>
    <w:rsid w:val="77B660D2"/>
    <w:rsid w:val="77C94214"/>
    <w:rsid w:val="781F0008"/>
    <w:rsid w:val="782B18E2"/>
    <w:rsid w:val="783B1B25"/>
    <w:rsid w:val="7847671C"/>
    <w:rsid w:val="78506C45"/>
    <w:rsid w:val="78517BAF"/>
    <w:rsid w:val="78C23B17"/>
    <w:rsid w:val="78E04489"/>
    <w:rsid w:val="78E91642"/>
    <w:rsid w:val="78F9553C"/>
    <w:rsid w:val="78FB12B4"/>
    <w:rsid w:val="79067B66"/>
    <w:rsid w:val="791D56CF"/>
    <w:rsid w:val="79477782"/>
    <w:rsid w:val="79584959"/>
    <w:rsid w:val="79634D79"/>
    <w:rsid w:val="799A0ACD"/>
    <w:rsid w:val="79E06F32"/>
    <w:rsid w:val="7A1B67A2"/>
    <w:rsid w:val="7A236D15"/>
    <w:rsid w:val="7A8C4284"/>
    <w:rsid w:val="7A911ED0"/>
    <w:rsid w:val="7AAC4F5C"/>
    <w:rsid w:val="7AB36300"/>
    <w:rsid w:val="7ABC4A73"/>
    <w:rsid w:val="7ABE58A9"/>
    <w:rsid w:val="7ADE3752"/>
    <w:rsid w:val="7B656583"/>
    <w:rsid w:val="7B7E01D1"/>
    <w:rsid w:val="7BB3590E"/>
    <w:rsid w:val="7C0115EE"/>
    <w:rsid w:val="7C02295A"/>
    <w:rsid w:val="7C0B4E5A"/>
    <w:rsid w:val="7C0B79BA"/>
    <w:rsid w:val="7C1F350C"/>
    <w:rsid w:val="7C2A59FB"/>
    <w:rsid w:val="7C6D4277"/>
    <w:rsid w:val="7C887C32"/>
    <w:rsid w:val="7CB415DD"/>
    <w:rsid w:val="7CF84488"/>
    <w:rsid w:val="7D034BDB"/>
    <w:rsid w:val="7D374FCC"/>
    <w:rsid w:val="7D445A12"/>
    <w:rsid w:val="7D4F6073"/>
    <w:rsid w:val="7D537911"/>
    <w:rsid w:val="7D831878"/>
    <w:rsid w:val="7DA52BC9"/>
    <w:rsid w:val="7DC2596B"/>
    <w:rsid w:val="7DD14BC5"/>
    <w:rsid w:val="7DEC566F"/>
    <w:rsid w:val="7E666E81"/>
    <w:rsid w:val="7ED61926"/>
    <w:rsid w:val="7F0F293D"/>
    <w:rsid w:val="7F1629A4"/>
    <w:rsid w:val="7F2412D9"/>
    <w:rsid w:val="7F3C6183"/>
    <w:rsid w:val="7F3D2627"/>
    <w:rsid w:val="7FA013E0"/>
    <w:rsid w:val="7FA7279D"/>
    <w:rsid w:val="7FC01C01"/>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b/>
      <w:bCs/>
      <w:kern w:val="36"/>
      <w:sz w:val="24"/>
      <w:szCs w:val="24"/>
    </w:rPr>
  </w:style>
  <w:style w:type="paragraph" w:styleId="3">
    <w:name w:val="heading 2"/>
    <w:basedOn w:val="1"/>
    <w:next w:val="1"/>
    <w:link w:val="38"/>
    <w:qFormat/>
    <w:uiPriority w:val="0"/>
    <w:pPr>
      <w:keepNext/>
      <w:keepLines/>
      <w:numPr>
        <w:ilvl w:val="1"/>
        <w:numId w:val="1"/>
      </w:numPr>
      <w:spacing w:before="260" w:after="260" w:line="413" w:lineRule="auto"/>
      <w:jc w:val="center"/>
      <w:outlineLvl w:val="1"/>
    </w:pPr>
    <w:rPr>
      <w:rFonts w:ascii="CG Times" w:hAnsi="CG Times"/>
      <w:b/>
      <w:sz w:val="30"/>
      <w:szCs w:val="20"/>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Calibri" w:hAnsi="Calibri"/>
      <w:szCs w:val="20"/>
    </w:rPr>
  </w:style>
  <w:style w:type="paragraph" w:styleId="7">
    <w:name w:val="Document Map"/>
    <w:basedOn w:val="1"/>
    <w:qFormat/>
    <w:uiPriority w:val="0"/>
    <w:rPr>
      <w:rFonts w:ascii="微软雅黑" w:hAnsi="微软雅黑"/>
      <w:kern w:val="0"/>
      <w:sz w:val="18"/>
      <w:szCs w:val="18"/>
    </w:rPr>
  </w:style>
  <w:style w:type="paragraph" w:styleId="8">
    <w:name w:val="annotation text"/>
    <w:basedOn w:val="1"/>
    <w:qFormat/>
    <w:uiPriority w:val="0"/>
    <w:pPr>
      <w:jc w:val="left"/>
    </w:pPr>
    <w:rPr>
      <w:rFonts w:ascii="Calibri" w:hAnsi="Calibri"/>
    </w:rPr>
  </w:style>
  <w:style w:type="paragraph" w:styleId="9">
    <w:name w:val="Body Text 3"/>
    <w:basedOn w:val="1"/>
    <w:qFormat/>
    <w:uiPriority w:val="0"/>
    <w:pPr>
      <w:spacing w:after="120"/>
    </w:pPr>
    <w:rPr>
      <w:sz w:val="16"/>
      <w:szCs w:val="16"/>
    </w:rPr>
  </w:style>
  <w:style w:type="paragraph" w:styleId="10">
    <w:name w:val="Body Text"/>
    <w:basedOn w:val="1"/>
    <w:next w:val="1"/>
    <w:qFormat/>
    <w:uiPriority w:val="0"/>
    <w:pPr>
      <w:spacing w:after="120"/>
    </w:pPr>
    <w:rPr>
      <w:rFonts w:ascii="Calibri" w:hAnsi="Calibri"/>
    </w:rPr>
  </w:style>
  <w:style w:type="paragraph" w:styleId="11">
    <w:name w:val="Body Text Indent"/>
    <w:basedOn w:val="1"/>
    <w:next w:val="1"/>
    <w:qFormat/>
    <w:uiPriority w:val="0"/>
    <w:pPr>
      <w:ind w:firstLine="200" w:firstLineChars="200"/>
    </w:pPr>
    <w:rPr>
      <w:rFonts w:ascii="幼圆" w:eastAsia="幼圆"/>
      <w:sz w:val="24"/>
    </w:rPr>
  </w:style>
  <w:style w:type="paragraph" w:styleId="12">
    <w:name w:val="toc 3"/>
    <w:basedOn w:val="1"/>
    <w:next w:val="1"/>
    <w:qFormat/>
    <w:uiPriority w:val="0"/>
    <w:pPr>
      <w:ind w:left="400" w:leftChars="400"/>
    </w:pPr>
  </w:style>
  <w:style w:type="paragraph" w:styleId="13">
    <w:name w:val="Plain Text"/>
    <w:basedOn w:val="1"/>
    <w:qFormat/>
    <w:uiPriority w:val="0"/>
    <w:rPr>
      <w:rFonts w:ascii="宋体"/>
      <w:szCs w:val="20"/>
    </w:rPr>
  </w:style>
  <w:style w:type="paragraph" w:styleId="14">
    <w:name w:val="Date"/>
    <w:basedOn w:val="1"/>
    <w:next w:val="1"/>
    <w:qFormat/>
    <w:uiPriority w:val="0"/>
    <w:rPr>
      <w:sz w:val="24"/>
      <w:szCs w:val="20"/>
    </w:rPr>
  </w:style>
  <w:style w:type="paragraph" w:styleId="15">
    <w:name w:val="Body Text Indent 2"/>
    <w:basedOn w:val="1"/>
    <w:qFormat/>
    <w:uiPriority w:val="0"/>
    <w:pPr>
      <w:spacing w:line="360" w:lineRule="auto"/>
      <w:ind w:right="-15" w:rightChars="-15" w:firstLine="270" w:firstLineChars="270"/>
    </w:pPr>
  </w:style>
  <w:style w:type="paragraph" w:styleId="16">
    <w:name w:val="Balloon Text"/>
    <w:basedOn w:val="1"/>
    <w:qFormat/>
    <w:uiPriority w:val="0"/>
    <w:rPr>
      <w:kern w:val="0"/>
      <w:sz w:val="18"/>
      <w:szCs w:val="18"/>
    </w:rPr>
  </w:style>
  <w:style w:type="paragraph" w:styleId="17">
    <w:name w:val="footer"/>
    <w:basedOn w:val="1"/>
    <w:qFormat/>
    <w:uiPriority w:val="0"/>
    <w:pPr>
      <w:tabs>
        <w:tab w:val="center" w:pos="4153"/>
        <w:tab w:val="right" w:pos="8306"/>
      </w:tabs>
      <w:snapToGrid w:val="0"/>
      <w:jc w:val="left"/>
    </w:pPr>
    <w:rPr>
      <w:kern w:val="0"/>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0"/>
  </w:style>
  <w:style w:type="paragraph" w:styleId="20">
    <w:name w:val="Body Text Indent 3"/>
    <w:basedOn w:val="1"/>
    <w:qFormat/>
    <w:uiPriority w:val="0"/>
    <w:pPr>
      <w:spacing w:after="120"/>
      <w:ind w:left="200" w:leftChars="200"/>
    </w:pPr>
    <w:rPr>
      <w:rFonts w:ascii="Calibri" w:hAnsi="Calibri"/>
      <w:sz w:val="16"/>
      <w:szCs w:val="16"/>
    </w:rPr>
  </w:style>
  <w:style w:type="paragraph" w:styleId="21">
    <w:name w:val="toc 2"/>
    <w:basedOn w:val="1"/>
    <w:next w:val="1"/>
    <w:qFormat/>
    <w:uiPriority w:val="0"/>
    <w:pPr>
      <w:tabs>
        <w:tab w:val="right" w:leader="dot" w:pos="9710"/>
      </w:tabs>
      <w:spacing w:line="320" w:lineRule="exact"/>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sz w:val="24"/>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24">
    <w:name w:val="Normal (Web)"/>
    <w:basedOn w:val="1"/>
    <w:qFormat/>
    <w:uiPriority w:val="0"/>
    <w:pPr>
      <w:spacing w:before="100" w:beforeAutospacing="1" w:after="100" w:afterAutospacing="1"/>
      <w:jc w:val="left"/>
    </w:pPr>
    <w:rPr>
      <w:kern w:val="0"/>
      <w:sz w:val="24"/>
      <w:szCs w:val="24"/>
    </w:rPr>
  </w:style>
  <w:style w:type="paragraph" w:styleId="25">
    <w:name w:val="annotation subject"/>
    <w:basedOn w:val="8"/>
    <w:next w:val="8"/>
    <w:qFormat/>
    <w:uiPriority w:val="0"/>
    <w:rPr>
      <w:b/>
      <w:bCs/>
    </w:rPr>
  </w:style>
  <w:style w:type="paragraph" w:styleId="26">
    <w:name w:val="Body Text First Indent"/>
    <w:basedOn w:val="10"/>
    <w:qFormat/>
    <w:uiPriority w:val="0"/>
    <w:pPr>
      <w:ind w:firstLine="100" w:firstLineChars="100"/>
    </w:pPr>
  </w:style>
  <w:style w:type="paragraph" w:styleId="27">
    <w:name w:val="Body Text First Indent 2"/>
    <w:basedOn w:val="11"/>
    <w:qFormat/>
    <w:uiPriority w:val="0"/>
    <w:pPr>
      <w:spacing w:after="120"/>
      <w:ind w:left="200" w:leftChars="200"/>
    </w:pPr>
    <w:rPr>
      <w:rFonts w:ascii="Times New Roman" w:eastAsia="宋体"/>
      <w:sz w:val="21"/>
      <w:szCs w:val="21"/>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Hyperlink"/>
    <w:qFormat/>
    <w:uiPriority w:val="0"/>
    <w:rPr>
      <w:color w:val="136EC2"/>
      <w:u w:val="single"/>
    </w:rPr>
  </w:style>
  <w:style w:type="character" w:styleId="34">
    <w:name w:val="annotation reference"/>
    <w:qFormat/>
    <w:uiPriority w:val="0"/>
    <w:rPr>
      <w:sz w:val="21"/>
      <w:szCs w:val="21"/>
    </w:rPr>
  </w:style>
  <w:style w:type="paragraph" w:customStyle="1" w:styleId="35">
    <w:name w:val="一级条标题"/>
    <w:basedOn w:val="36"/>
    <w:next w:val="37"/>
    <w:qFormat/>
    <w:uiPriority w:val="0"/>
    <w:pPr>
      <w:spacing w:line="240" w:lineRule="auto"/>
      <w:ind w:left="420"/>
      <w:outlineLvl w:val="2"/>
    </w:pPr>
  </w:style>
  <w:style w:type="paragraph" w:customStyle="1" w:styleId="3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3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8">
    <w:name w:val="标题 2 字符"/>
    <w:basedOn w:val="30"/>
    <w:link w:val="3"/>
    <w:qFormat/>
    <w:uiPriority w:val="0"/>
    <w:rPr>
      <w:rFonts w:ascii="CG Times" w:hAnsi="CG Times" w:eastAsia="宋体" w:cs="Times New Roman"/>
      <w:b/>
      <w:kern w:val="2"/>
      <w:sz w:val="30"/>
      <w:szCs w:val="20"/>
      <w:lang w:val="en-US" w:eastAsia="zh-CN" w:bidi="ar-SA"/>
    </w:rPr>
  </w:style>
  <w:style w:type="paragraph" w:customStyle="1" w:styleId="39">
    <w:name w:val="Default"/>
    <w:qFormat/>
    <w:uiPriority w:val="0"/>
    <w:pPr>
      <w:widowControl w:val="0"/>
      <w:autoSpaceDE w:val="0"/>
      <w:autoSpaceDN w:val="0"/>
      <w:adjustRightInd w:val="0"/>
      <w:spacing w:line="360" w:lineRule="auto"/>
    </w:pPr>
    <w:rPr>
      <w:rFonts w:ascii="宋体" w:hAnsi="Times New Roman" w:eastAsia="宋体" w:cs="Times New Roman"/>
      <w:color w:val="000000"/>
      <w:sz w:val="24"/>
      <w:szCs w:val="24"/>
      <w:lang w:val="en-US" w:eastAsia="zh-CN" w:bidi="ar-SA"/>
    </w:rPr>
  </w:style>
  <w:style w:type="paragraph" w:customStyle="1" w:styleId="40">
    <w:name w:val="列出段落1"/>
    <w:basedOn w:val="1"/>
    <w:qFormat/>
    <w:uiPriority w:val="0"/>
    <w:pPr>
      <w:ind w:firstLine="200" w:firstLineChars="200"/>
    </w:pPr>
    <w:rPr>
      <w:rFonts w:ascii="Calibri" w:hAnsi="Calibri"/>
    </w:rPr>
  </w:style>
  <w:style w:type="paragraph" w:customStyle="1" w:styleId="41">
    <w:name w:val="ptdl"/>
    <w:basedOn w:val="1"/>
    <w:qFormat/>
    <w:uiPriority w:val="0"/>
    <w:pPr>
      <w:spacing w:after="156"/>
      <w:ind w:firstLine="480"/>
    </w:pPr>
    <w:rPr>
      <w:sz w:val="24"/>
      <w:szCs w:val="20"/>
    </w:rPr>
  </w:style>
  <w:style w:type="paragraph" w:customStyle="1" w:styleId="42">
    <w:name w:val="标准文本"/>
    <w:basedOn w:val="1"/>
    <w:qFormat/>
    <w:uiPriority w:val="0"/>
    <w:pPr>
      <w:spacing w:line="360" w:lineRule="auto"/>
      <w:ind w:firstLine="200" w:firstLineChars="200"/>
    </w:pPr>
    <w:rPr>
      <w:kern w:val="0"/>
      <w:sz w:val="24"/>
      <w:szCs w:val="20"/>
    </w:rPr>
  </w:style>
  <w:style w:type="character" w:customStyle="1" w:styleId="43">
    <w:name w:val="active"/>
    <w:qFormat/>
    <w:uiPriority w:val="0"/>
    <w:rPr>
      <w:shd w:val="clear" w:color="auto" w:fill="EC3535"/>
    </w:rPr>
  </w:style>
  <w:style w:type="character" w:customStyle="1" w:styleId="44">
    <w:name w:val="纯文本 Char1"/>
    <w:qFormat/>
    <w:uiPriority w:val="0"/>
    <w:rPr>
      <w:rFonts w:ascii="宋体" w:eastAsia="宋体" w:cs="Courier New"/>
      <w:kern w:val="2"/>
      <w:sz w:val="21"/>
      <w:szCs w:val="21"/>
      <w:lang w:val="en-US" w:eastAsia="zh-CN" w:bidi="ar-SA"/>
    </w:rPr>
  </w:style>
  <w:style w:type="paragraph" w:customStyle="1" w:styleId="45">
    <w:name w:val="样式3"/>
    <w:basedOn w:val="13"/>
    <w:qFormat/>
    <w:uiPriority w:val="0"/>
    <w:pPr>
      <w:widowControl/>
      <w:spacing w:line="0" w:lineRule="atLeast"/>
      <w:jc w:val="left"/>
      <w:outlineLvl w:val="0"/>
    </w:pPr>
    <w:rPr>
      <w:sz w:val="28"/>
    </w:rPr>
  </w:style>
  <w:style w:type="character" w:customStyle="1" w:styleId="46">
    <w:name w:val="个人撰写风格"/>
    <w:qFormat/>
    <w:uiPriority w:val="0"/>
    <w:rPr>
      <w:rFonts w:ascii="Arial" w:hAnsi="Arial" w:eastAsia="宋体" w:cs="Arial"/>
      <w:color w:val="auto"/>
      <w:sz w:val="20"/>
    </w:rPr>
  </w:style>
  <w:style w:type="character" w:customStyle="1" w:styleId="47">
    <w:name w:val="apple-converted-space"/>
    <w:qFormat/>
    <w:uiPriority w:val="0"/>
  </w:style>
  <w:style w:type="paragraph" w:customStyle="1" w:styleId="48">
    <w:name w:val="a"/>
    <w:basedOn w:val="1"/>
    <w:qFormat/>
    <w:uiPriority w:val="0"/>
    <w:pPr>
      <w:widowControl/>
      <w:jc w:val="left"/>
    </w:pPr>
    <w:rPr>
      <w:rFonts w:ascii="宋体" w:cs="宋体"/>
      <w:kern w:val="0"/>
      <w:sz w:val="24"/>
      <w:szCs w:val="24"/>
    </w:rPr>
  </w:style>
  <w:style w:type="paragraph" w:customStyle="1" w:styleId="49">
    <w:name w:val="标3"/>
    <w:basedOn w:val="1"/>
    <w:qFormat/>
    <w:uiPriority w:val="0"/>
    <w:pPr>
      <w:widowControl/>
      <w:tabs>
        <w:tab w:val="left" w:pos="1740"/>
      </w:tabs>
      <w:adjustRightInd w:val="0"/>
      <w:snapToGrid w:val="0"/>
      <w:spacing w:before="50" w:line="360" w:lineRule="auto"/>
      <w:ind w:left="1740" w:hanging="420"/>
      <w:jc w:val="left"/>
      <w:outlineLvl w:val="2"/>
    </w:pPr>
    <w:rPr>
      <w:rFonts w:ascii="Arial Narrow" w:hAnsi="Arial Narrow" w:eastAsia="仿宋_GB2312"/>
      <w:sz w:val="28"/>
      <w:szCs w:val="20"/>
    </w:rPr>
  </w:style>
  <w:style w:type="paragraph" w:customStyle="1" w:styleId="50">
    <w:name w:val="首行缩进"/>
    <w:basedOn w:val="1"/>
    <w:qFormat/>
    <w:uiPriority w:val="0"/>
    <w:pPr>
      <w:autoSpaceDE w:val="0"/>
      <w:autoSpaceDN w:val="0"/>
      <w:spacing w:line="360" w:lineRule="auto"/>
      <w:ind w:firstLine="200" w:firstLineChars="200"/>
      <w:jc w:val="left"/>
    </w:pPr>
    <w:rPr>
      <w:rFonts w:ascii="微软雅黑" w:eastAsia="微软雅黑" w:cs="微软雅黑"/>
      <w:kern w:val="0"/>
      <w:lang w:val="zh-CN" w:bidi="zh-CN"/>
    </w:rPr>
  </w:style>
  <w:style w:type="paragraph" w:customStyle="1" w:styleId="51">
    <w:name w:val="修订1"/>
    <w:qFormat/>
    <w:uiPriority w:val="0"/>
    <w:rPr>
      <w:rFonts w:ascii="Times New Roman" w:hAnsi="Times New Roman" w:eastAsia="宋体" w:cs="Times New Roman"/>
      <w:kern w:val="2"/>
      <w:sz w:val="21"/>
      <w:szCs w:val="22"/>
      <w:lang w:val="en-US" w:eastAsia="zh-CN" w:bidi="ar-SA"/>
    </w:rPr>
  </w:style>
  <w:style w:type="paragraph" w:customStyle="1" w:styleId="52">
    <w:name w:val="表头文本"/>
    <w:basedOn w:val="1"/>
    <w:qFormat/>
    <w:uiPriority w:val="0"/>
    <w:pPr>
      <w:autoSpaceDE w:val="0"/>
      <w:autoSpaceDN w:val="0"/>
      <w:adjustRightInd w:val="0"/>
      <w:jc w:val="center"/>
    </w:pPr>
    <w:rPr>
      <w:b/>
      <w:kern w:val="0"/>
      <w:sz w:val="24"/>
      <w:szCs w:val="20"/>
    </w:rPr>
  </w:style>
  <w:style w:type="paragraph" w:customStyle="1" w:styleId="53">
    <w:name w:val="正文1"/>
    <w:basedOn w:val="1"/>
    <w:qFormat/>
    <w:uiPriority w:val="0"/>
    <w:pPr>
      <w:spacing w:line="360" w:lineRule="auto"/>
      <w:ind w:left="1504" w:hanging="1504" w:hangingChars="1504"/>
      <w:jc w:val="left"/>
    </w:pPr>
    <w:rPr>
      <w:rFonts w:ascii="宋体"/>
      <w:color w:val="000000"/>
      <w:szCs w:val="24"/>
    </w:rPr>
  </w:style>
  <w:style w:type="paragraph" w:customStyle="1" w:styleId="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55">
    <w:name w:val="列出段落2"/>
    <w:basedOn w:val="1"/>
    <w:qFormat/>
    <w:uiPriority w:val="0"/>
    <w:pPr>
      <w:ind w:firstLine="200" w:firstLineChars="200"/>
    </w:pPr>
  </w:style>
  <w:style w:type="paragraph" w:styleId="56">
    <w:name w:val="List Paragraph"/>
    <w:basedOn w:val="1"/>
    <w:qFormat/>
    <w:uiPriority w:val="0"/>
    <w:pPr>
      <w:ind w:firstLine="200" w:firstLineChars="200"/>
    </w:pPr>
  </w:style>
  <w:style w:type="paragraph" w:customStyle="1" w:styleId="57">
    <w:name w:val="列出段落3"/>
    <w:basedOn w:val="1"/>
    <w:qFormat/>
    <w:uiPriority w:val="0"/>
    <w:pPr>
      <w:ind w:firstLine="200" w:firstLineChars="200"/>
    </w:pPr>
    <w:rPr>
      <w:szCs w:val="24"/>
    </w:rPr>
  </w:style>
  <w:style w:type="paragraph" w:customStyle="1" w:styleId="58">
    <w:name w:val="Char1 Char Char Char Char Char Char"/>
    <w:basedOn w:val="1"/>
    <w:qFormat/>
    <w:uiPriority w:val="0"/>
    <w:rPr>
      <w:szCs w:val="24"/>
    </w:rPr>
  </w:style>
  <w:style w:type="character" w:customStyle="1" w:styleId="59">
    <w:name w:val="font11"/>
    <w:basedOn w:val="30"/>
    <w:qFormat/>
    <w:uiPriority w:val="0"/>
    <w:rPr>
      <w:rFonts w:ascii="宋体" w:eastAsia="宋体" w:cs="宋体"/>
      <w:b/>
      <w:bCs/>
      <w:color w:val="000000"/>
      <w:sz w:val="20"/>
      <w:szCs w:val="20"/>
      <w:u w:val="none"/>
      <w:lang w:bidi="ar-SA"/>
    </w:rPr>
  </w:style>
  <w:style w:type="character" w:customStyle="1" w:styleId="60">
    <w:name w:val="font21"/>
    <w:basedOn w:val="30"/>
    <w:qFormat/>
    <w:uiPriority w:val="0"/>
    <w:rPr>
      <w:rFonts w:ascii="宋体" w:eastAsia="宋体" w:cs="宋体"/>
      <w:color w:val="000000"/>
      <w:sz w:val="20"/>
      <w:szCs w:val="20"/>
      <w:u w:val="none"/>
      <w:lang w:bidi="ar-SA"/>
    </w:rPr>
  </w:style>
  <w:style w:type="character" w:customStyle="1" w:styleId="61">
    <w:name w:val="font81"/>
    <w:basedOn w:val="30"/>
    <w:qFormat/>
    <w:uiPriority w:val="0"/>
    <w:rPr>
      <w:rFonts w:ascii="Arial Unicode MS" w:hAnsi="Arial Unicode MS" w:eastAsia="Arial Unicode MS" w:cs="Arial Unicode MS"/>
      <w:color w:val="000000"/>
      <w:sz w:val="20"/>
      <w:szCs w:val="20"/>
      <w:u w:val="none"/>
      <w:lang w:bidi="ar-SA"/>
    </w:rPr>
  </w:style>
  <w:style w:type="character" w:customStyle="1" w:styleId="62">
    <w:name w:val="font01"/>
    <w:basedOn w:val="30"/>
    <w:qFormat/>
    <w:uiPriority w:val="0"/>
    <w:rPr>
      <w:rFonts w:hint="eastAsia" w:ascii="宋体" w:hAnsi="宋体" w:eastAsia="宋体" w:cs="宋体"/>
      <w:color w:val="000000"/>
      <w:sz w:val="24"/>
      <w:szCs w:val="24"/>
      <w:u w:val="none"/>
    </w:rPr>
  </w:style>
  <w:style w:type="character" w:customStyle="1" w:styleId="63">
    <w:name w:val="font51"/>
    <w:basedOn w:val="30"/>
    <w:qFormat/>
    <w:uiPriority w:val="0"/>
    <w:rPr>
      <w:rFonts w:hint="eastAsia" w:ascii="宋体" w:hAnsi="宋体" w:eastAsia="宋体" w:cs="宋体"/>
      <w:color w:val="FF0000"/>
      <w:sz w:val="24"/>
      <w:szCs w:val="24"/>
      <w:u w:val="none"/>
    </w:rPr>
  </w:style>
  <w:style w:type="paragraph" w:customStyle="1" w:styleId="64">
    <w:name w:val="p0"/>
    <w:basedOn w:val="1"/>
    <w:qFormat/>
    <w:uiPriority w:val="0"/>
    <w:pPr>
      <w:widowControl/>
    </w:pPr>
    <w:rPr>
      <w:kern w:val="0"/>
      <w:szCs w:val="21"/>
    </w:rPr>
  </w:style>
  <w:style w:type="paragraph" w:customStyle="1" w:styleId="65">
    <w:name w:val="正文缩进1"/>
    <w:basedOn w:val="1"/>
    <w:qFormat/>
    <w:uiPriority w:val="99"/>
    <w:pPr>
      <w:widowControl/>
      <w:ind w:left="425"/>
      <w:jc w:val="left"/>
    </w:pPr>
    <w:rPr>
      <w:rFonts w:ascii="Calibri" w:hAnsi="Calibri"/>
      <w:kern w:val="0"/>
      <w:sz w:val="20"/>
      <w:szCs w:val="20"/>
      <w:lang w:eastAsia="en-US"/>
    </w:rPr>
  </w:style>
  <w:style w:type="paragraph" w:customStyle="1" w:styleId="66">
    <w:name w:val="null3"/>
    <w:hidden/>
    <w:qFormat/>
    <w:uiPriority w:val="0"/>
    <w:rPr>
      <w:rFonts w:hint="eastAsia" w:asciiTheme="minorHAnsi" w:hAnsiTheme="minorHAnsi" w:eastAsiaTheme="minorEastAsia" w:cstheme="minorBidi"/>
      <w:lang w:val="en-US" w:eastAsia="zh-Hans" w:bidi="ar-SA"/>
    </w:rPr>
  </w:style>
  <w:style w:type="paragraph" w:customStyle="1" w:styleId="67">
    <w:name w:val="修订2"/>
    <w:hidden/>
    <w:unhideWhenUsed/>
    <w:qFormat/>
    <w:uiPriority w:val="99"/>
    <w:rPr>
      <w:rFonts w:ascii="Times New Roman" w:hAnsi="Times New Roman" w:eastAsia="宋体" w:cs="Times New Roman"/>
      <w:kern w:val="2"/>
      <w:sz w:val="21"/>
      <w:szCs w:val="22"/>
      <w:lang w:val="en-US" w:eastAsia="zh-CN" w:bidi="ar-SA"/>
    </w:rPr>
  </w:style>
  <w:style w:type="character" w:customStyle="1" w:styleId="68">
    <w:name w:val="short_text"/>
    <w:basedOn w:val="30"/>
    <w:qFormat/>
    <w:uiPriority w:val="0"/>
  </w:style>
  <w:style w:type="paragraph" w:customStyle="1" w:styleId="69">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8878</Words>
  <Characters>9362</Characters>
  <Lines>449</Lines>
  <Paragraphs>126</Paragraphs>
  <TotalTime>6</TotalTime>
  <ScaleCrop>false</ScaleCrop>
  <LinksUpToDate>false</LinksUpToDate>
  <CharactersWithSpaces>9578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2024-11-21T08:12:00Z</dcterms:created>
  <dc:creator>Administrator</dc:creator>
  <cp:lastModifiedBy>华沧</cp:lastModifiedBy>
  <cp:lastPrinted>2018-12-06T03:11:00Z</cp:lastPrinted>
  <dcterms:modified xsi:type="dcterms:W3CDTF">2024-11-29T01:05:46Z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AED0B6B39FBA4D54BD9BE8D3F2EFBE9A_13</vt:lpwstr>
  </property>
</Properties>
</file>