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79884">
      <w:pPr>
        <w:spacing w:line="360" w:lineRule="auto"/>
        <w:jc w:val="center"/>
        <w:rPr>
          <w:rFonts w:ascii="宋体" w:hAnsi="宋体"/>
          <w:b/>
          <w:sz w:val="28"/>
          <w:szCs w:val="28"/>
        </w:rPr>
      </w:pPr>
      <w:r>
        <w:rPr>
          <w:rFonts w:hint="eastAsia" w:ascii="宋体" w:hAnsi="宋体"/>
          <w:b/>
          <w:sz w:val="36"/>
          <w:szCs w:val="36"/>
          <w:u w:val="single"/>
          <w:lang w:val="en-US" w:eastAsia="zh-CN"/>
        </w:rPr>
        <w:t xml:space="preserve"> </w:t>
      </w:r>
      <w:r>
        <w:rPr>
          <w:rFonts w:hint="eastAsia" w:ascii="宋体" w:hAnsi="宋体"/>
          <w:b/>
          <w:color w:val="000000" w:themeColor="text1"/>
          <w:sz w:val="36"/>
          <w:szCs w:val="36"/>
          <w:u w:val="single"/>
          <w14:textFill>
            <w14:solidFill>
              <w14:schemeClr w14:val="tx1"/>
            </w14:solidFill>
          </w14:textFill>
        </w:rPr>
        <w:t>港口镇水利设施维修加固工程</w:t>
      </w:r>
      <w:r>
        <w:rPr>
          <w:rFonts w:hint="eastAsia" w:ascii="宋体" w:hAnsi="宋体"/>
          <w:b/>
          <w:sz w:val="36"/>
          <w:szCs w:val="36"/>
        </w:rPr>
        <w:t>_施工招标</w:t>
      </w:r>
    </w:p>
    <w:p w14:paraId="54C103F2">
      <w:pPr>
        <w:spacing w:line="360" w:lineRule="auto"/>
        <w:ind w:firstLine="420" w:firstLineChars="200"/>
        <w:rPr>
          <w:rFonts w:ascii="宋体" w:hAnsi="宋体"/>
          <w:szCs w:val="21"/>
        </w:rPr>
      </w:pPr>
    </w:p>
    <w:p w14:paraId="6B822FBA">
      <w:pPr>
        <w:spacing w:line="360" w:lineRule="auto"/>
        <w:jc w:val="center"/>
        <w:rPr>
          <w:rFonts w:hint="eastAsia" w:ascii="宋体" w:hAnsi="宋体"/>
          <w:b/>
          <w:sz w:val="48"/>
          <w:szCs w:val="48"/>
        </w:rPr>
      </w:pPr>
    </w:p>
    <w:p w14:paraId="406C0F1F">
      <w:pPr>
        <w:spacing w:line="360" w:lineRule="auto"/>
        <w:jc w:val="center"/>
        <w:rPr>
          <w:rFonts w:hint="eastAsia" w:ascii="宋体" w:hAnsi="宋体"/>
          <w:b/>
          <w:sz w:val="48"/>
          <w:szCs w:val="48"/>
        </w:rPr>
      </w:pPr>
    </w:p>
    <w:p w14:paraId="67F012A2">
      <w:pPr>
        <w:spacing w:line="360" w:lineRule="auto"/>
        <w:jc w:val="center"/>
        <w:rPr>
          <w:rFonts w:hint="eastAsia" w:ascii="宋体" w:hAnsi="宋体"/>
          <w:b/>
          <w:sz w:val="48"/>
          <w:szCs w:val="48"/>
        </w:rPr>
      </w:pPr>
    </w:p>
    <w:p w14:paraId="57CC89E4">
      <w:pPr>
        <w:spacing w:line="360" w:lineRule="auto"/>
        <w:jc w:val="center"/>
        <w:rPr>
          <w:rFonts w:hint="eastAsia" w:ascii="宋体" w:hAnsi="宋体"/>
          <w:b/>
          <w:sz w:val="48"/>
          <w:szCs w:val="48"/>
        </w:rPr>
      </w:pPr>
    </w:p>
    <w:p w14:paraId="5284CBBB">
      <w:pPr>
        <w:spacing w:line="360" w:lineRule="auto"/>
        <w:jc w:val="center"/>
        <w:rPr>
          <w:rFonts w:ascii="宋体" w:hAnsi="宋体"/>
          <w:b/>
          <w:sz w:val="48"/>
          <w:szCs w:val="48"/>
        </w:rPr>
      </w:pPr>
      <w:r>
        <w:rPr>
          <w:rFonts w:hint="eastAsia" w:ascii="宋体" w:hAnsi="宋体"/>
          <w:b/>
          <w:sz w:val="48"/>
          <w:szCs w:val="48"/>
        </w:rPr>
        <w:t>招标文件</w:t>
      </w:r>
    </w:p>
    <w:p w14:paraId="5581B959">
      <w:pPr>
        <w:spacing w:line="360" w:lineRule="auto"/>
        <w:jc w:val="center"/>
        <w:rPr>
          <w:rFonts w:ascii="宋体" w:hAnsi="宋体"/>
          <w:b/>
          <w:sz w:val="48"/>
          <w:szCs w:val="48"/>
        </w:rPr>
      </w:pPr>
      <w:r>
        <w:rPr>
          <w:rFonts w:hint="eastAsia" w:ascii="宋体" w:hAnsi="宋体"/>
          <w:b/>
          <w:sz w:val="48"/>
          <w:szCs w:val="48"/>
        </w:rPr>
        <w:t>（电子招标投标）</w:t>
      </w:r>
    </w:p>
    <w:p w14:paraId="5E239FBE">
      <w:pPr>
        <w:spacing w:line="360" w:lineRule="auto"/>
        <w:ind w:firstLine="420" w:firstLineChars="200"/>
        <w:rPr>
          <w:rFonts w:hint="eastAsia" w:ascii="宋体" w:hAnsi="宋体"/>
          <w:szCs w:val="21"/>
        </w:rPr>
      </w:pPr>
    </w:p>
    <w:p w14:paraId="3285DAC6">
      <w:pPr>
        <w:spacing w:line="360" w:lineRule="auto"/>
        <w:ind w:firstLine="420" w:firstLineChars="200"/>
        <w:rPr>
          <w:rFonts w:hint="eastAsia" w:ascii="宋体" w:hAnsi="宋体"/>
          <w:szCs w:val="21"/>
        </w:rPr>
      </w:pPr>
    </w:p>
    <w:p w14:paraId="18BB9A93">
      <w:pPr>
        <w:spacing w:line="360" w:lineRule="auto"/>
        <w:ind w:firstLine="420" w:firstLineChars="200"/>
        <w:rPr>
          <w:rFonts w:hint="eastAsia" w:ascii="宋体" w:hAnsi="宋体"/>
          <w:szCs w:val="21"/>
        </w:rPr>
      </w:pPr>
    </w:p>
    <w:p w14:paraId="73ADA19D">
      <w:pPr>
        <w:spacing w:line="360" w:lineRule="auto"/>
        <w:rPr>
          <w:rFonts w:hint="eastAsia" w:ascii="宋体" w:hAnsi="宋体"/>
          <w:szCs w:val="21"/>
        </w:rPr>
      </w:pPr>
    </w:p>
    <w:p w14:paraId="37AE29A9">
      <w:pPr>
        <w:spacing w:line="360" w:lineRule="auto"/>
        <w:ind w:firstLine="420" w:firstLineChars="200"/>
        <w:rPr>
          <w:rFonts w:hint="eastAsia" w:ascii="宋体" w:hAnsi="宋体"/>
          <w:szCs w:val="21"/>
        </w:rPr>
      </w:pPr>
    </w:p>
    <w:p w14:paraId="5AA46597">
      <w:pPr>
        <w:spacing w:line="360" w:lineRule="auto"/>
        <w:ind w:firstLine="420" w:firstLineChars="200"/>
        <w:rPr>
          <w:rFonts w:hint="eastAsia" w:ascii="宋体" w:hAnsi="宋体"/>
          <w:szCs w:val="21"/>
        </w:rPr>
      </w:pPr>
    </w:p>
    <w:p w14:paraId="0E2674BD">
      <w:pPr>
        <w:keepNext w:val="0"/>
        <w:keepLines w:val="0"/>
        <w:pageBreakBefore w:val="0"/>
        <w:widowControl w:val="0"/>
        <w:kinsoku/>
        <w:wordWrap/>
        <w:overflowPunct/>
        <w:topLinePunct w:val="0"/>
        <w:autoSpaceDE/>
        <w:autoSpaceDN/>
        <w:bidi w:val="0"/>
        <w:adjustRightInd w:val="0"/>
        <w:snapToGrid/>
        <w:spacing w:line="360" w:lineRule="auto"/>
        <w:ind w:left="1680" w:leftChars="800"/>
        <w:jc w:val="both"/>
        <w:textAlignment w:val="auto"/>
        <w:rPr>
          <w:rFonts w:hint="eastAsia" w:ascii="宋体" w:hAnsi="宋体"/>
          <w:b/>
          <w:sz w:val="28"/>
          <w:szCs w:val="28"/>
        </w:rPr>
      </w:pPr>
      <w:r>
        <w:rPr>
          <w:rFonts w:hint="eastAsia" w:ascii="宋体" w:hAnsi="宋体"/>
          <w:b/>
          <w:sz w:val="28"/>
          <w:szCs w:val="28"/>
        </w:rPr>
        <w:t>招标人：</w:t>
      </w:r>
      <w:r>
        <w:rPr>
          <w:rFonts w:hint="eastAsia" w:ascii="宋体" w:hAnsi="宋体"/>
          <w:b/>
          <w:sz w:val="28"/>
          <w:szCs w:val="28"/>
          <w:u w:val="single"/>
        </w:rPr>
        <w:t xml:space="preserve"> </w:t>
      </w:r>
      <w:r>
        <w:rPr>
          <w:rFonts w:hint="eastAsia" w:ascii="宋体" w:hAnsi="宋体"/>
          <w:b/>
          <w:sz w:val="28"/>
          <w:szCs w:val="28"/>
          <w:u w:val="single"/>
          <w:lang w:eastAsia="zh-CN"/>
        </w:rPr>
        <w:t>中山市港口镇水务事务中心</w:t>
      </w:r>
      <w:r>
        <w:rPr>
          <w:rFonts w:hint="eastAsia" w:ascii="宋体" w:hAnsi="宋体"/>
          <w:b/>
          <w:sz w:val="28"/>
          <w:szCs w:val="28"/>
          <w:u w:val="single"/>
        </w:rPr>
        <w:t xml:space="preserve"> </w:t>
      </w:r>
      <w:r>
        <w:rPr>
          <w:rFonts w:hint="eastAsia" w:ascii="宋体" w:hAnsi="宋体"/>
          <w:b/>
          <w:sz w:val="28"/>
          <w:szCs w:val="28"/>
        </w:rPr>
        <w:t>（盖单位公章）</w:t>
      </w:r>
    </w:p>
    <w:p w14:paraId="050F6E69">
      <w:pPr>
        <w:keepNext w:val="0"/>
        <w:keepLines w:val="0"/>
        <w:pageBreakBefore w:val="0"/>
        <w:widowControl w:val="0"/>
        <w:kinsoku/>
        <w:wordWrap/>
        <w:overflowPunct/>
        <w:topLinePunct w:val="0"/>
        <w:autoSpaceDE/>
        <w:autoSpaceDN/>
        <w:bidi w:val="0"/>
        <w:adjustRightInd w:val="0"/>
        <w:snapToGrid/>
        <w:spacing w:line="360" w:lineRule="auto"/>
        <w:ind w:left="1680" w:leftChars="800" w:firstLine="562" w:firstLineChars="200"/>
        <w:jc w:val="center"/>
        <w:textAlignment w:val="auto"/>
        <w:rPr>
          <w:rFonts w:hint="eastAsia" w:ascii="宋体" w:hAnsi="宋体"/>
          <w:b/>
          <w:sz w:val="28"/>
          <w:szCs w:val="28"/>
        </w:rPr>
      </w:pPr>
    </w:p>
    <w:p w14:paraId="33263B1E">
      <w:pPr>
        <w:keepNext w:val="0"/>
        <w:keepLines w:val="0"/>
        <w:pageBreakBefore w:val="0"/>
        <w:widowControl w:val="0"/>
        <w:kinsoku/>
        <w:wordWrap/>
        <w:overflowPunct/>
        <w:topLinePunct w:val="0"/>
        <w:autoSpaceDE/>
        <w:autoSpaceDN/>
        <w:bidi w:val="0"/>
        <w:adjustRightInd w:val="0"/>
        <w:snapToGrid/>
        <w:spacing w:line="360" w:lineRule="auto"/>
        <w:ind w:left="1680" w:leftChars="800"/>
        <w:jc w:val="both"/>
        <w:textAlignment w:val="auto"/>
        <w:rPr>
          <w:rFonts w:hint="eastAsia" w:ascii="宋体" w:hAnsi="宋体"/>
          <w:b/>
          <w:sz w:val="28"/>
          <w:szCs w:val="28"/>
        </w:rPr>
      </w:pPr>
      <w:r>
        <w:rPr>
          <w:rFonts w:hint="eastAsia" w:ascii="宋体" w:hAnsi="宋体"/>
          <w:b/>
          <w:sz w:val="28"/>
          <w:szCs w:val="28"/>
        </w:rPr>
        <w:t>招标代理单位：</w:t>
      </w:r>
      <w:r>
        <w:rPr>
          <w:rFonts w:hint="eastAsia" w:ascii="宋体" w:hAnsi="宋体"/>
          <w:b/>
          <w:sz w:val="28"/>
          <w:szCs w:val="28"/>
          <w:u w:val="single"/>
          <w:lang w:eastAsia="zh-CN"/>
        </w:rPr>
        <w:t>广东捷信工程咨询有限公司</w:t>
      </w:r>
      <w:r>
        <w:rPr>
          <w:rFonts w:hint="eastAsia" w:ascii="宋体" w:hAnsi="宋体"/>
          <w:b/>
          <w:sz w:val="28"/>
          <w:szCs w:val="28"/>
        </w:rPr>
        <w:t>（盖单位公章）</w:t>
      </w:r>
    </w:p>
    <w:p w14:paraId="045E5A34">
      <w:pPr>
        <w:keepNext w:val="0"/>
        <w:keepLines w:val="0"/>
        <w:pageBreakBefore w:val="0"/>
        <w:widowControl w:val="0"/>
        <w:kinsoku/>
        <w:wordWrap/>
        <w:overflowPunct/>
        <w:topLinePunct w:val="0"/>
        <w:autoSpaceDE/>
        <w:autoSpaceDN/>
        <w:bidi w:val="0"/>
        <w:adjustRightInd w:val="0"/>
        <w:snapToGrid/>
        <w:spacing w:line="360" w:lineRule="auto"/>
        <w:ind w:left="1680" w:leftChars="800" w:firstLine="1940" w:firstLineChars="690"/>
        <w:textAlignment w:val="auto"/>
        <w:rPr>
          <w:rFonts w:hint="eastAsia" w:ascii="宋体" w:hAnsi="宋体"/>
          <w:b/>
          <w:sz w:val="28"/>
          <w:szCs w:val="28"/>
        </w:rPr>
      </w:pPr>
    </w:p>
    <w:p w14:paraId="390DD5FC">
      <w:pPr>
        <w:keepNext w:val="0"/>
        <w:keepLines w:val="0"/>
        <w:pageBreakBefore w:val="0"/>
        <w:widowControl w:val="0"/>
        <w:kinsoku/>
        <w:wordWrap/>
        <w:overflowPunct/>
        <w:topLinePunct w:val="0"/>
        <w:autoSpaceDE/>
        <w:autoSpaceDN/>
        <w:bidi w:val="0"/>
        <w:adjustRightInd w:val="0"/>
        <w:snapToGrid/>
        <w:spacing w:line="360" w:lineRule="auto"/>
        <w:ind w:left="1680" w:leftChars="800"/>
        <w:textAlignment w:val="auto"/>
        <w:rPr>
          <w:rFonts w:hint="eastAsia" w:ascii="宋体" w:hAnsi="宋体"/>
          <w:b/>
          <w:sz w:val="28"/>
          <w:szCs w:val="28"/>
        </w:rPr>
      </w:pPr>
      <w:r>
        <w:rPr>
          <w:rFonts w:hint="eastAsia" w:ascii="宋体" w:hAnsi="宋体"/>
          <w:b/>
          <w:sz w:val="28"/>
          <w:szCs w:val="28"/>
          <w:lang w:val="en-US" w:eastAsia="zh-CN"/>
        </w:rPr>
        <w:t>编制人</w:t>
      </w:r>
      <w:r>
        <w:rPr>
          <w:rFonts w:hint="eastAsia" w:ascii="宋体" w:hAnsi="宋体"/>
          <w:b/>
          <w:sz w:val="28"/>
          <w:szCs w:val="28"/>
        </w:rPr>
        <w:t>：</w:t>
      </w:r>
      <w:r>
        <w:rPr>
          <w:rFonts w:hint="eastAsia" w:ascii="宋体" w:hAnsi="宋体"/>
          <w:b/>
          <w:sz w:val="28"/>
          <w:szCs w:val="28"/>
          <w:u w:val="single"/>
        </w:rPr>
        <w:t xml:space="preserve"> </w:t>
      </w:r>
      <w:r>
        <w:rPr>
          <w:rFonts w:hint="eastAsia" w:ascii="宋体" w:hAnsi="宋体"/>
          <w:b/>
          <w:sz w:val="28"/>
          <w:szCs w:val="28"/>
          <w:u w:val="single"/>
          <w:lang w:eastAsia="zh-CN"/>
        </w:rPr>
        <w:t>易宪伟、吴祖学</w:t>
      </w:r>
      <w:r>
        <w:rPr>
          <w:rFonts w:hint="eastAsia" w:ascii="宋体" w:hAnsi="宋体"/>
          <w:b/>
          <w:sz w:val="28"/>
          <w:szCs w:val="28"/>
          <w:u w:val="single"/>
        </w:rPr>
        <w:t xml:space="preserve"> </w:t>
      </w:r>
      <w:r>
        <w:rPr>
          <w:rFonts w:ascii="宋体" w:hAnsi="宋体"/>
          <w:b/>
          <w:sz w:val="28"/>
          <w:szCs w:val="28"/>
        </w:rPr>
        <w:t xml:space="preserve"> </w:t>
      </w:r>
    </w:p>
    <w:p w14:paraId="28371EF3">
      <w:pPr>
        <w:keepNext w:val="0"/>
        <w:keepLines w:val="0"/>
        <w:pageBreakBefore w:val="0"/>
        <w:widowControl w:val="0"/>
        <w:kinsoku/>
        <w:wordWrap/>
        <w:overflowPunct/>
        <w:topLinePunct w:val="0"/>
        <w:autoSpaceDE/>
        <w:autoSpaceDN/>
        <w:bidi w:val="0"/>
        <w:adjustRightInd w:val="0"/>
        <w:snapToGrid/>
        <w:spacing w:line="360" w:lineRule="auto"/>
        <w:ind w:left="1680" w:leftChars="800" w:firstLine="1940" w:firstLineChars="690"/>
        <w:textAlignment w:val="auto"/>
        <w:rPr>
          <w:rFonts w:hint="eastAsia" w:ascii="宋体" w:hAnsi="宋体"/>
          <w:b/>
          <w:sz w:val="28"/>
          <w:szCs w:val="28"/>
        </w:rPr>
      </w:pPr>
    </w:p>
    <w:p w14:paraId="0F779492">
      <w:pPr>
        <w:keepNext w:val="0"/>
        <w:keepLines w:val="0"/>
        <w:pageBreakBefore w:val="0"/>
        <w:widowControl w:val="0"/>
        <w:kinsoku/>
        <w:wordWrap/>
        <w:overflowPunct/>
        <w:topLinePunct w:val="0"/>
        <w:autoSpaceDE/>
        <w:autoSpaceDN/>
        <w:bidi w:val="0"/>
        <w:adjustRightInd w:val="0"/>
        <w:snapToGrid/>
        <w:spacing w:line="360" w:lineRule="auto"/>
        <w:ind w:left="1680" w:leftChars="800"/>
        <w:textAlignment w:val="auto"/>
        <w:rPr>
          <w:rFonts w:hint="eastAsia" w:ascii="宋体" w:hAnsi="宋体"/>
          <w:b/>
          <w:sz w:val="28"/>
          <w:szCs w:val="28"/>
        </w:rPr>
      </w:pPr>
      <w:r>
        <w:rPr>
          <w:rFonts w:hint="eastAsia" w:ascii="宋体" w:hAnsi="宋体"/>
          <w:b/>
          <w:sz w:val="28"/>
          <w:szCs w:val="28"/>
        </w:rPr>
        <w:t>编制时间：</w:t>
      </w:r>
      <w:r>
        <w:rPr>
          <w:rFonts w:hint="eastAsia" w:ascii="宋体" w:hAnsi="宋体"/>
          <w:b/>
          <w:sz w:val="28"/>
          <w:szCs w:val="28"/>
          <w:u w:val="single"/>
        </w:rPr>
        <w:t xml:space="preserve"> </w:t>
      </w:r>
      <w:r>
        <w:rPr>
          <w:rFonts w:hint="eastAsia" w:ascii="宋体" w:hAnsi="宋体"/>
          <w:b/>
          <w:sz w:val="28"/>
          <w:szCs w:val="28"/>
          <w:u w:val="single"/>
          <w:lang w:val="en-US" w:eastAsia="zh-CN"/>
        </w:rPr>
        <w:t>2024</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14:paraId="4313003B">
      <w:pPr>
        <w:keepNext w:val="0"/>
        <w:keepLines w:val="0"/>
        <w:pageBreakBefore w:val="0"/>
        <w:widowControl w:val="0"/>
        <w:kinsoku/>
        <w:wordWrap/>
        <w:overflowPunct/>
        <w:topLinePunct w:val="0"/>
        <w:autoSpaceDE/>
        <w:autoSpaceDN/>
        <w:bidi w:val="0"/>
        <w:adjustRightInd w:val="0"/>
        <w:snapToGrid/>
        <w:spacing w:line="360" w:lineRule="auto"/>
        <w:ind w:left="1680" w:leftChars="800" w:firstLine="1940" w:firstLineChars="690"/>
        <w:textAlignment w:val="auto"/>
        <w:rPr>
          <w:rFonts w:hint="eastAsia" w:ascii="宋体" w:hAnsi="宋体"/>
          <w:b/>
          <w:sz w:val="28"/>
          <w:szCs w:val="28"/>
        </w:rPr>
      </w:pPr>
    </w:p>
    <w:p w14:paraId="60069997">
      <w:pPr>
        <w:keepNext w:val="0"/>
        <w:keepLines w:val="0"/>
        <w:pageBreakBefore w:val="0"/>
        <w:widowControl w:val="0"/>
        <w:kinsoku/>
        <w:wordWrap/>
        <w:overflowPunct/>
        <w:topLinePunct w:val="0"/>
        <w:autoSpaceDE/>
        <w:autoSpaceDN/>
        <w:bidi w:val="0"/>
        <w:adjustRightInd w:val="0"/>
        <w:snapToGrid/>
        <w:spacing w:line="360" w:lineRule="auto"/>
        <w:ind w:left="1680" w:leftChars="800"/>
        <w:textAlignment w:val="auto"/>
        <w:rPr>
          <w:rFonts w:hint="eastAsia" w:ascii="宋体" w:hAnsi="宋体"/>
          <w:b/>
          <w:sz w:val="28"/>
          <w:szCs w:val="28"/>
        </w:rPr>
      </w:pPr>
      <w:r>
        <w:rPr>
          <w:rFonts w:hint="eastAsia" w:ascii="宋体" w:hAnsi="宋体"/>
          <w:b/>
          <w:sz w:val="28"/>
          <w:szCs w:val="28"/>
        </w:rPr>
        <w:t>备案时间：</w:t>
      </w:r>
      <w:r>
        <w:rPr>
          <w:rFonts w:hint="eastAsia" w:ascii="宋体" w:hAnsi="宋体"/>
          <w:b/>
          <w:sz w:val="28"/>
          <w:szCs w:val="28"/>
          <w:u w:val="single"/>
        </w:rPr>
        <w:t xml:space="preserve"> </w:t>
      </w:r>
      <w:r>
        <w:rPr>
          <w:rFonts w:hint="eastAsia" w:ascii="宋体" w:hAnsi="宋体"/>
          <w:b/>
          <w:sz w:val="28"/>
          <w:szCs w:val="28"/>
          <w:u w:val="single"/>
          <w:lang w:val="en-US" w:eastAsia="zh-CN"/>
        </w:rPr>
        <w:t>2024</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14:paraId="61A6076D">
      <w:pPr>
        <w:spacing w:line="360" w:lineRule="auto"/>
        <w:ind w:firstLine="562" w:firstLineChars="200"/>
        <w:jc w:val="center"/>
        <w:rPr>
          <w:rFonts w:hint="eastAsia" w:ascii="宋体" w:hAnsi="宋体"/>
          <w:b/>
          <w:sz w:val="28"/>
          <w:szCs w:val="28"/>
        </w:rPr>
      </w:pPr>
    </w:p>
    <w:p w14:paraId="0FA84645">
      <w:pPr>
        <w:spacing w:line="360" w:lineRule="auto"/>
        <w:ind w:firstLine="562" w:firstLineChars="200"/>
        <w:jc w:val="center"/>
        <w:rPr>
          <w:rFonts w:hint="eastAsia" w:ascii="宋体" w:hAnsi="宋体"/>
          <w:b/>
          <w:sz w:val="28"/>
          <w:szCs w:val="28"/>
          <w:u w:val="single"/>
        </w:rPr>
        <w:sectPr>
          <w:headerReference r:id="rId3"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14:paraId="5E67AA3B">
      <w:pPr>
        <w:spacing w:line="360" w:lineRule="auto"/>
        <w:jc w:val="center"/>
        <w:rPr>
          <w:rFonts w:ascii="宋体" w:hAnsi="宋体"/>
          <w:b/>
          <w:sz w:val="28"/>
          <w:szCs w:val="28"/>
        </w:rPr>
      </w:pPr>
      <w:r>
        <w:rPr>
          <w:rFonts w:hint="eastAsia" w:ascii="宋体" w:hAnsi="宋体"/>
          <w:b/>
          <w:sz w:val="28"/>
          <w:szCs w:val="28"/>
        </w:rPr>
        <w:t>目    录</w:t>
      </w:r>
    </w:p>
    <w:p w14:paraId="3642B73C">
      <w:pPr>
        <w:pStyle w:val="18"/>
        <w:tabs>
          <w:tab w:val="right" w:leader="dot" w:pos="9628"/>
        </w:tabs>
        <w:spacing w:line="360" w:lineRule="auto"/>
        <w:rPr>
          <w:rFonts w:hint="eastAsia" w:eastAsia="宋体"/>
          <w:b/>
          <w:lang w:val="en-US" w:eastAsia="zh-CN"/>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TOC \o "1-3" \h \z \u</w:instrText>
      </w:r>
      <w:r>
        <w:rPr>
          <w:rFonts w:ascii="宋体" w:hAnsi="宋体"/>
          <w:szCs w:val="21"/>
        </w:rPr>
        <w:instrText xml:space="preserve"> </w:instrText>
      </w:r>
      <w:r>
        <w:rPr>
          <w:rFonts w:ascii="宋体" w:hAnsi="宋体"/>
          <w:szCs w:val="21"/>
        </w:rPr>
        <w:fldChar w:fldCharType="separate"/>
      </w:r>
      <w:r>
        <w:rPr>
          <w:b/>
        </w:rPr>
        <w:fldChar w:fldCharType="begin"/>
      </w:r>
      <w:r>
        <w:rPr>
          <w:rStyle w:val="30"/>
          <w:b/>
          <w:color w:val="auto"/>
        </w:rPr>
        <w:instrText xml:space="preserve"> </w:instrText>
      </w:r>
      <w:r>
        <w:rPr>
          <w:b/>
        </w:rPr>
        <w:instrText xml:space="preserve">HYPERLINK \l "_Toc184635052"</w:instrText>
      </w:r>
      <w:r>
        <w:rPr>
          <w:rStyle w:val="30"/>
          <w:b/>
          <w:color w:val="auto"/>
        </w:rPr>
        <w:instrText xml:space="preserve"> </w:instrText>
      </w:r>
      <w:r>
        <w:rPr>
          <w:b/>
        </w:rPr>
        <w:fldChar w:fldCharType="separate"/>
      </w:r>
      <w:r>
        <w:rPr>
          <w:rStyle w:val="30"/>
          <w:rFonts w:hint="eastAsia"/>
          <w:b/>
          <w:color w:val="auto"/>
        </w:rPr>
        <w:t>第一章 招标公告</w:t>
      </w:r>
      <w:r>
        <w:rPr>
          <w:b/>
        </w:rPr>
        <w:tab/>
      </w:r>
      <w:r>
        <w:rPr>
          <w:b/>
        </w:rPr>
        <w:fldChar w:fldCharType="end"/>
      </w:r>
      <w:r>
        <w:rPr>
          <w:rFonts w:hint="eastAsia"/>
          <w:b/>
          <w:lang w:val="en-US" w:eastAsia="zh-CN"/>
        </w:rPr>
        <w:t>2</w:t>
      </w:r>
    </w:p>
    <w:p w14:paraId="33323671">
      <w:pPr>
        <w:pStyle w:val="18"/>
        <w:tabs>
          <w:tab w:val="right" w:leader="dot" w:pos="9628"/>
        </w:tabs>
        <w:spacing w:line="360" w:lineRule="auto"/>
        <w:rPr>
          <w:rFonts w:hint="eastAsia" w:eastAsia="宋体"/>
          <w:b/>
          <w:lang w:val="en-US" w:eastAsia="zh-CN"/>
        </w:rPr>
      </w:pPr>
      <w:r>
        <w:rPr>
          <w:b/>
        </w:rPr>
        <w:fldChar w:fldCharType="begin"/>
      </w:r>
      <w:r>
        <w:rPr>
          <w:rStyle w:val="30"/>
          <w:b/>
          <w:color w:val="auto"/>
        </w:rPr>
        <w:instrText xml:space="preserve"> </w:instrText>
      </w:r>
      <w:r>
        <w:rPr>
          <w:b/>
        </w:rPr>
        <w:instrText xml:space="preserve">HYPERLINK \l "_Toc184635069"</w:instrText>
      </w:r>
      <w:r>
        <w:rPr>
          <w:rStyle w:val="30"/>
          <w:b/>
          <w:color w:val="auto"/>
        </w:rPr>
        <w:instrText xml:space="preserve"> </w:instrText>
      </w:r>
      <w:r>
        <w:rPr>
          <w:b/>
        </w:rPr>
        <w:fldChar w:fldCharType="separate"/>
      </w:r>
      <w:r>
        <w:rPr>
          <w:rStyle w:val="30"/>
          <w:rFonts w:hint="eastAsia"/>
          <w:b/>
          <w:color w:val="auto"/>
        </w:rPr>
        <w:t>第二章 投标人须知</w:t>
      </w:r>
      <w:r>
        <w:rPr>
          <w:b/>
        </w:rPr>
        <w:tab/>
      </w:r>
      <w:r>
        <w:rPr>
          <w:b/>
        </w:rPr>
        <w:fldChar w:fldCharType="end"/>
      </w:r>
      <w:r>
        <w:rPr>
          <w:rFonts w:hint="eastAsia"/>
          <w:b/>
          <w:lang w:val="en-US" w:eastAsia="zh-CN"/>
        </w:rPr>
        <w:t>6</w:t>
      </w:r>
    </w:p>
    <w:p w14:paraId="134E4EE1">
      <w:pPr>
        <w:pStyle w:val="11"/>
        <w:tabs>
          <w:tab w:val="right" w:leader="dot" w:pos="9628"/>
        </w:tabs>
        <w:spacing w:line="360" w:lineRule="auto"/>
        <w:ind w:left="0" w:leftChars="0"/>
        <w:rPr>
          <w:rStyle w:val="30"/>
          <w:rFonts w:hint="default" w:eastAsia="宋体"/>
          <w:b/>
          <w:color w:val="auto"/>
          <w:lang w:val="en-US" w:eastAsia="zh-CN"/>
        </w:rPr>
      </w:pPr>
      <w:r>
        <w:rPr>
          <w:b/>
        </w:rPr>
        <w:fldChar w:fldCharType="begin"/>
      </w:r>
      <w:r>
        <w:rPr>
          <w:rStyle w:val="30"/>
          <w:b/>
          <w:color w:val="auto"/>
        </w:rPr>
        <w:instrText xml:space="preserve"> </w:instrText>
      </w:r>
      <w:r>
        <w:rPr>
          <w:b/>
        </w:rPr>
        <w:instrText xml:space="preserve">HYPERLINK \l "_Toc184635092"</w:instrText>
      </w:r>
      <w:r>
        <w:rPr>
          <w:rStyle w:val="30"/>
          <w:b/>
          <w:color w:val="auto"/>
        </w:rPr>
        <w:instrText xml:space="preserve"> </w:instrText>
      </w:r>
      <w:r>
        <w:rPr>
          <w:b/>
        </w:rPr>
        <w:fldChar w:fldCharType="separate"/>
      </w:r>
      <w:r>
        <w:rPr>
          <w:rStyle w:val="30"/>
          <w:rFonts w:hint="eastAsia"/>
          <w:b/>
          <w:color w:val="auto"/>
        </w:rPr>
        <w:t>第三章 评标办法</w:t>
      </w:r>
      <w:r>
        <w:rPr>
          <w:b/>
        </w:rPr>
        <w:tab/>
      </w:r>
      <w:r>
        <w:rPr>
          <w:b/>
        </w:rPr>
        <w:fldChar w:fldCharType="end"/>
      </w:r>
      <w:r>
        <w:rPr>
          <w:rFonts w:hint="eastAsia"/>
          <w:b/>
          <w:lang w:val="en-US" w:eastAsia="zh-CN"/>
        </w:rPr>
        <w:t>50</w:t>
      </w:r>
    </w:p>
    <w:p w14:paraId="03C6E031">
      <w:pPr>
        <w:pStyle w:val="18"/>
        <w:tabs>
          <w:tab w:val="right" w:leader="dot" w:pos="9628"/>
        </w:tabs>
        <w:spacing w:line="360" w:lineRule="auto"/>
        <w:rPr>
          <w:rFonts w:hint="default" w:eastAsia="宋体"/>
          <w:b/>
          <w:lang w:val="en-US" w:eastAsia="zh-CN"/>
        </w:rPr>
      </w:pPr>
      <w:r>
        <w:rPr>
          <w:b/>
        </w:rPr>
        <w:fldChar w:fldCharType="begin"/>
      </w:r>
      <w:r>
        <w:rPr>
          <w:rStyle w:val="30"/>
          <w:b/>
          <w:color w:val="auto"/>
        </w:rPr>
        <w:instrText xml:space="preserve"> </w:instrText>
      </w:r>
      <w:r>
        <w:rPr>
          <w:b/>
        </w:rPr>
        <w:instrText xml:space="preserve">HYPERLINK \l "_Toc184635096"</w:instrText>
      </w:r>
      <w:r>
        <w:rPr>
          <w:rStyle w:val="30"/>
          <w:b/>
          <w:color w:val="auto"/>
        </w:rPr>
        <w:instrText xml:space="preserve"> </w:instrText>
      </w:r>
      <w:r>
        <w:rPr>
          <w:b/>
        </w:rPr>
        <w:fldChar w:fldCharType="separate"/>
      </w:r>
      <w:r>
        <w:rPr>
          <w:rStyle w:val="30"/>
          <w:rFonts w:hint="eastAsia"/>
          <w:b/>
          <w:color w:val="auto"/>
        </w:rPr>
        <w:t>第四章 合同条款及格式</w:t>
      </w:r>
      <w:r>
        <w:rPr>
          <w:b/>
        </w:rPr>
        <w:tab/>
      </w:r>
      <w:r>
        <w:rPr>
          <w:b/>
        </w:rPr>
        <w:fldChar w:fldCharType="end"/>
      </w:r>
      <w:r>
        <w:rPr>
          <w:rFonts w:hint="eastAsia"/>
          <w:b/>
          <w:lang w:val="en-US" w:eastAsia="zh-CN"/>
        </w:rPr>
        <w:t>57</w:t>
      </w:r>
    </w:p>
    <w:p w14:paraId="613C3E9C">
      <w:pPr>
        <w:pStyle w:val="18"/>
        <w:tabs>
          <w:tab w:val="right" w:leader="dot" w:pos="9628"/>
        </w:tabs>
        <w:spacing w:line="360" w:lineRule="auto"/>
        <w:rPr>
          <w:rFonts w:hint="default" w:eastAsia="宋体"/>
          <w:b/>
          <w:u w:val="single"/>
          <w:lang w:val="en-US" w:eastAsia="zh-CN"/>
        </w:rPr>
      </w:pPr>
      <w:r>
        <w:rPr>
          <w:b/>
        </w:rPr>
        <w:fldChar w:fldCharType="begin"/>
      </w:r>
      <w:r>
        <w:rPr>
          <w:rStyle w:val="30"/>
          <w:b/>
          <w:color w:val="auto"/>
        </w:rPr>
        <w:instrText xml:space="preserve"> </w:instrText>
      </w:r>
      <w:r>
        <w:instrText xml:space="preserve">HYPERLINK \l "_Toc184635124"</w:instrText>
      </w:r>
      <w:r>
        <w:rPr>
          <w:rStyle w:val="30"/>
          <w:b/>
          <w:color w:val="auto"/>
        </w:rPr>
        <w:instrText xml:space="preserve"> </w:instrText>
      </w:r>
      <w:r>
        <w:rPr>
          <w:b/>
        </w:rPr>
        <w:fldChar w:fldCharType="separate"/>
      </w:r>
      <w:r>
        <w:rPr>
          <w:rStyle w:val="30"/>
          <w:rFonts w:hint="eastAsia"/>
          <w:b/>
          <w:color w:val="auto"/>
        </w:rPr>
        <w:t>第五章 工程量清单及工程量清单计价</w:t>
      </w:r>
      <w:r>
        <w:rPr>
          <w:rStyle w:val="30"/>
          <w:b/>
          <w:color w:val="auto"/>
        </w:rPr>
        <w:tab/>
      </w:r>
      <w:r>
        <w:rPr>
          <w:b/>
        </w:rPr>
        <w:fldChar w:fldCharType="end"/>
      </w:r>
      <w:r>
        <w:rPr>
          <w:rFonts w:hint="eastAsia"/>
          <w:b/>
          <w:lang w:val="en-US" w:eastAsia="zh-CN"/>
        </w:rPr>
        <w:t>115</w:t>
      </w:r>
    </w:p>
    <w:p w14:paraId="3C15AB72">
      <w:pPr>
        <w:pStyle w:val="18"/>
        <w:tabs>
          <w:tab w:val="right" w:leader="dot" w:pos="9628"/>
        </w:tabs>
        <w:spacing w:line="360" w:lineRule="auto"/>
        <w:rPr>
          <w:b/>
        </w:rPr>
      </w:pPr>
      <w:r>
        <w:rPr>
          <w:b/>
        </w:rPr>
        <w:fldChar w:fldCharType="begin"/>
      </w:r>
      <w:r>
        <w:rPr>
          <w:rStyle w:val="30"/>
          <w:b/>
          <w:color w:val="auto"/>
        </w:rPr>
        <w:instrText xml:space="preserve"> </w:instrText>
      </w:r>
      <w:r>
        <w:rPr>
          <w:b/>
        </w:rPr>
        <w:instrText xml:space="preserve">HYPERLINK \l "_Toc184635130"</w:instrText>
      </w:r>
      <w:r>
        <w:rPr>
          <w:rStyle w:val="30"/>
          <w:b/>
          <w:color w:val="auto"/>
        </w:rPr>
        <w:instrText xml:space="preserve"> </w:instrText>
      </w:r>
      <w:r>
        <w:rPr>
          <w:b/>
        </w:rPr>
        <w:fldChar w:fldCharType="separate"/>
      </w:r>
      <w:r>
        <w:rPr>
          <w:rStyle w:val="30"/>
          <w:rFonts w:hint="eastAsia"/>
          <w:b/>
          <w:color w:val="auto"/>
        </w:rPr>
        <w:t>第六章 图纸</w:t>
      </w:r>
      <w:r>
        <w:rPr>
          <w:b/>
        </w:rPr>
        <w:tab/>
      </w:r>
      <w:r>
        <w:rPr>
          <w:rFonts w:hint="eastAsia"/>
          <w:b/>
          <w:lang w:val="en-US" w:eastAsia="zh-CN"/>
        </w:rPr>
        <w:t>1</w:t>
      </w:r>
      <w:r>
        <w:rPr>
          <w:b/>
        </w:rPr>
        <w:fldChar w:fldCharType="end"/>
      </w:r>
      <w:r>
        <w:rPr>
          <w:rFonts w:hint="eastAsia"/>
          <w:b/>
          <w:lang w:val="en-US" w:eastAsia="zh-CN"/>
        </w:rPr>
        <w:t>19</w:t>
      </w:r>
      <w:r>
        <w:rPr>
          <w:b/>
        </w:rPr>
        <w:t xml:space="preserve"> </w:t>
      </w:r>
    </w:p>
    <w:p w14:paraId="73F1EEA3">
      <w:pPr>
        <w:pStyle w:val="18"/>
        <w:tabs>
          <w:tab w:val="right" w:leader="dot" w:pos="9628"/>
        </w:tabs>
        <w:spacing w:line="360" w:lineRule="auto"/>
        <w:rPr>
          <w:rFonts w:hint="default" w:eastAsia="宋体"/>
          <w:b/>
          <w:lang w:val="en-US" w:eastAsia="zh-CN"/>
        </w:rPr>
      </w:pPr>
      <w:r>
        <w:rPr>
          <w:b/>
        </w:rPr>
        <w:fldChar w:fldCharType="begin"/>
      </w:r>
      <w:r>
        <w:rPr>
          <w:rStyle w:val="30"/>
          <w:b/>
          <w:color w:val="auto"/>
        </w:rPr>
        <w:instrText xml:space="preserve"> </w:instrText>
      </w:r>
      <w:r>
        <w:rPr>
          <w:b/>
        </w:rPr>
        <w:instrText xml:space="preserve">HYPERLINK \l "_Toc184635134"</w:instrText>
      </w:r>
      <w:r>
        <w:rPr>
          <w:rStyle w:val="30"/>
          <w:b/>
          <w:color w:val="auto"/>
        </w:rPr>
        <w:instrText xml:space="preserve"> </w:instrText>
      </w:r>
      <w:r>
        <w:rPr>
          <w:b/>
        </w:rPr>
        <w:fldChar w:fldCharType="separate"/>
      </w:r>
      <w:r>
        <w:rPr>
          <w:rStyle w:val="30"/>
          <w:rFonts w:hint="eastAsia"/>
          <w:b/>
          <w:color w:val="auto"/>
        </w:rPr>
        <w:t>第七章 技术标准和要求</w:t>
      </w:r>
      <w:r>
        <w:rPr>
          <w:b/>
        </w:rPr>
        <w:tab/>
      </w:r>
      <w:r>
        <w:rPr>
          <w:b/>
        </w:rPr>
        <w:fldChar w:fldCharType="end"/>
      </w:r>
      <w:r>
        <w:rPr>
          <w:rFonts w:hint="eastAsia"/>
          <w:b/>
          <w:lang w:val="en-US" w:eastAsia="zh-CN"/>
        </w:rPr>
        <w:t>123</w:t>
      </w:r>
    </w:p>
    <w:p w14:paraId="4253AEAE">
      <w:pPr>
        <w:pStyle w:val="18"/>
        <w:tabs>
          <w:tab w:val="right" w:leader="dot" w:pos="9628"/>
        </w:tabs>
        <w:spacing w:line="360" w:lineRule="auto"/>
        <w:rPr>
          <w:rStyle w:val="30"/>
          <w:rFonts w:hint="default" w:eastAsia="宋体"/>
          <w:b/>
          <w:color w:val="auto"/>
          <w:lang w:val="en-US" w:eastAsia="zh-CN"/>
        </w:rPr>
      </w:pPr>
      <w:r>
        <w:rPr>
          <w:b/>
        </w:rPr>
        <w:fldChar w:fldCharType="begin"/>
      </w:r>
      <w:r>
        <w:rPr>
          <w:rStyle w:val="30"/>
          <w:b/>
          <w:color w:val="auto"/>
        </w:rPr>
        <w:instrText xml:space="preserve"> </w:instrText>
      </w:r>
      <w:r>
        <w:rPr>
          <w:b/>
        </w:rPr>
        <w:instrText xml:space="preserve">HYPERLINK \l "_Toc184635136"</w:instrText>
      </w:r>
      <w:r>
        <w:rPr>
          <w:rStyle w:val="30"/>
          <w:b/>
          <w:color w:val="auto"/>
        </w:rPr>
        <w:instrText xml:space="preserve"> </w:instrText>
      </w:r>
      <w:r>
        <w:rPr>
          <w:b/>
        </w:rPr>
        <w:fldChar w:fldCharType="separate"/>
      </w:r>
      <w:r>
        <w:rPr>
          <w:rStyle w:val="30"/>
          <w:rFonts w:hint="eastAsia"/>
          <w:b/>
          <w:color w:val="auto"/>
        </w:rPr>
        <w:t>第八章 投标文件格式</w:t>
      </w:r>
      <w:r>
        <w:rPr>
          <w:b/>
        </w:rPr>
        <w:tab/>
      </w:r>
      <w:r>
        <w:rPr>
          <w:b/>
        </w:rPr>
        <w:fldChar w:fldCharType="end"/>
      </w:r>
      <w:r>
        <w:rPr>
          <w:rFonts w:hint="eastAsia"/>
          <w:b/>
          <w:lang w:val="en-US" w:eastAsia="zh-CN"/>
        </w:rPr>
        <w:t>125</w:t>
      </w:r>
    </w:p>
    <w:p w14:paraId="7195F0A8">
      <w:pPr>
        <w:jc w:val="center"/>
        <w:rPr>
          <w:rFonts w:hint="eastAsia"/>
        </w:rPr>
      </w:pPr>
      <w:r>
        <w:rPr>
          <w:rFonts w:hint="eastAsia"/>
        </w:rPr>
        <w:t>（按实际内容如实编排目录）</w:t>
      </w:r>
    </w:p>
    <w:p w14:paraId="6664F1FE">
      <w:pPr>
        <w:spacing w:line="360" w:lineRule="auto"/>
        <w:ind w:firstLine="840" w:firstLineChars="400"/>
        <w:rPr>
          <w:rFonts w:hint="eastAsia"/>
          <w:b/>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ascii="宋体" w:hAnsi="宋体"/>
          <w:szCs w:val="21"/>
        </w:rPr>
        <w:fldChar w:fldCharType="end"/>
      </w:r>
    </w:p>
    <w:p w14:paraId="51C3FF59">
      <w:pPr>
        <w:pStyle w:val="3"/>
        <w:jc w:val="center"/>
        <w:rPr>
          <w:rFonts w:hint="eastAsia"/>
          <w:szCs w:val="32"/>
        </w:rPr>
      </w:pPr>
      <w:bookmarkStart w:id="0" w:name="_Toc184635051"/>
      <w:r>
        <w:rPr>
          <w:rFonts w:hint="eastAsia"/>
          <w:szCs w:val="32"/>
        </w:rPr>
        <w:t>第一卷</w:t>
      </w:r>
      <w:bookmarkEnd w:id="0"/>
    </w:p>
    <w:p w14:paraId="7915DB1D">
      <w:pPr>
        <w:rPr>
          <w:rFonts w:hint="eastAsia"/>
        </w:rPr>
      </w:pPr>
    </w:p>
    <w:p w14:paraId="04E34EB3">
      <w:pPr>
        <w:sectPr>
          <w:headerReference r:id="rId4" w:type="default"/>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954E884">
      <w:pPr>
        <w:pStyle w:val="3"/>
        <w:jc w:val="center"/>
        <w:rPr>
          <w:szCs w:val="32"/>
        </w:rPr>
      </w:pPr>
      <w:bookmarkStart w:id="1" w:name="_Toc184635052"/>
      <w:r>
        <w:rPr>
          <w:rFonts w:hint="eastAsia"/>
          <w:szCs w:val="32"/>
        </w:rPr>
        <w:t>第一章 招标公告</w:t>
      </w:r>
      <w:bookmarkEnd w:id="1"/>
    </w:p>
    <w:tbl>
      <w:tblPr>
        <w:tblStyle w:val="23"/>
        <w:tblW w:w="9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748"/>
        <w:gridCol w:w="1436"/>
        <w:gridCol w:w="4378"/>
      </w:tblGrid>
      <w:tr w14:paraId="7DC6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58A42DE3">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投资项目代码</w:t>
            </w:r>
          </w:p>
        </w:tc>
        <w:tc>
          <w:tcPr>
            <w:tcW w:w="7562" w:type="dxa"/>
            <w:gridSpan w:val="3"/>
            <w:tcBorders>
              <w:top w:val="single" w:color="auto" w:sz="4" w:space="0"/>
              <w:left w:val="single" w:color="auto" w:sz="4" w:space="0"/>
              <w:bottom w:val="single" w:color="auto" w:sz="4" w:space="0"/>
              <w:right w:val="single" w:color="auto" w:sz="4" w:space="0"/>
            </w:tcBorders>
            <w:noWrap w:val="0"/>
            <w:vAlign w:val="center"/>
          </w:tcPr>
          <w:p w14:paraId="4E9A793B">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2211-442000-04-01-396432</w:t>
            </w:r>
          </w:p>
        </w:tc>
      </w:tr>
      <w:tr w14:paraId="30E1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41992C4A">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投资项目名称</w:t>
            </w:r>
          </w:p>
        </w:tc>
        <w:tc>
          <w:tcPr>
            <w:tcW w:w="7562" w:type="dxa"/>
            <w:gridSpan w:val="3"/>
            <w:tcBorders>
              <w:top w:val="single" w:color="auto" w:sz="4" w:space="0"/>
              <w:left w:val="single" w:color="auto" w:sz="4" w:space="0"/>
              <w:bottom w:val="single" w:color="auto" w:sz="4" w:space="0"/>
              <w:right w:val="single" w:color="auto" w:sz="4" w:space="0"/>
            </w:tcBorders>
            <w:noWrap w:val="0"/>
            <w:vAlign w:val="center"/>
          </w:tcPr>
          <w:p w14:paraId="521B7E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港口镇水利设施维修加固工程</w:t>
            </w:r>
          </w:p>
        </w:tc>
      </w:tr>
      <w:tr w14:paraId="63E0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741D8A98">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招标项目名称</w:t>
            </w:r>
          </w:p>
        </w:tc>
        <w:tc>
          <w:tcPr>
            <w:tcW w:w="7562" w:type="dxa"/>
            <w:gridSpan w:val="3"/>
            <w:tcBorders>
              <w:top w:val="single" w:color="auto" w:sz="4" w:space="0"/>
              <w:left w:val="single" w:color="auto" w:sz="4" w:space="0"/>
              <w:bottom w:val="single" w:color="auto" w:sz="4" w:space="0"/>
              <w:right w:val="single" w:color="auto" w:sz="4" w:space="0"/>
            </w:tcBorders>
            <w:noWrap w:val="0"/>
            <w:vAlign w:val="center"/>
          </w:tcPr>
          <w:p w14:paraId="13E7220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港口镇水利设施维修加固工程</w:t>
            </w:r>
          </w:p>
        </w:tc>
      </w:tr>
      <w:tr w14:paraId="0256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14:paraId="689AC2FB">
            <w:pPr>
              <w:keepNext w:val="0"/>
              <w:keepLines w:val="0"/>
              <w:widowControl/>
              <w:suppressLineNumbers w:val="0"/>
              <w:jc w:val="center"/>
              <w:textAlignment w:val="center"/>
              <w:rPr>
                <w:rFonts w:hint="eastAsia" w:ascii="宋体" w:hAnsi="宋体" w:eastAsia="宋体" w:cs="宋体"/>
                <w:b/>
                <w:bCs/>
                <w:i w:val="0"/>
                <w:color w:val="000000"/>
                <w:kern w:val="2"/>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bidi="ar"/>
              </w:rPr>
              <w:t>标段（包）名称</w:t>
            </w:r>
          </w:p>
        </w:tc>
        <w:tc>
          <w:tcPr>
            <w:tcW w:w="1748" w:type="dxa"/>
            <w:tcBorders>
              <w:top w:val="single" w:color="auto" w:sz="4" w:space="0"/>
              <w:left w:val="single" w:color="000000" w:sz="4" w:space="0"/>
              <w:bottom w:val="single" w:color="000000" w:sz="4" w:space="0"/>
              <w:right w:val="single" w:color="000000" w:sz="4" w:space="0"/>
            </w:tcBorders>
            <w:noWrap w:val="0"/>
            <w:vAlign w:val="center"/>
          </w:tcPr>
          <w:p w14:paraId="3CDC4B01">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14:paraId="151119B3">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bidi="ar"/>
              </w:rPr>
              <w:t>公告性质</w:t>
            </w:r>
          </w:p>
        </w:tc>
        <w:tc>
          <w:tcPr>
            <w:tcW w:w="4378" w:type="dxa"/>
            <w:tcBorders>
              <w:top w:val="single" w:color="auto" w:sz="4" w:space="0"/>
              <w:left w:val="single" w:color="000000" w:sz="4" w:space="0"/>
              <w:bottom w:val="single" w:color="000000" w:sz="4" w:space="0"/>
              <w:right w:val="single" w:color="000000" w:sz="4" w:space="0"/>
            </w:tcBorders>
            <w:noWrap w:val="0"/>
            <w:vAlign w:val="center"/>
          </w:tcPr>
          <w:p w14:paraId="5A12B96E">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正常</w:t>
            </w:r>
          </w:p>
        </w:tc>
      </w:tr>
      <w:tr w14:paraId="3960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14:paraId="4063B8E3">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资格审查方式</w:t>
            </w:r>
          </w:p>
        </w:tc>
        <w:tc>
          <w:tcPr>
            <w:tcW w:w="7562" w:type="dxa"/>
            <w:gridSpan w:val="3"/>
            <w:tcBorders>
              <w:top w:val="single" w:color="auto" w:sz="4" w:space="0"/>
              <w:left w:val="single" w:color="000000" w:sz="4" w:space="0"/>
              <w:bottom w:val="single" w:color="000000" w:sz="4" w:space="0"/>
              <w:right w:val="single" w:color="000000" w:sz="4" w:space="0"/>
            </w:tcBorders>
            <w:noWrap w:val="0"/>
            <w:vAlign w:val="center"/>
          </w:tcPr>
          <w:p w14:paraId="041A0F4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资格后审</w:t>
            </w:r>
          </w:p>
        </w:tc>
      </w:tr>
      <w:tr w14:paraId="61AE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32B041B">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招标项目</w:t>
            </w:r>
            <w:r>
              <w:rPr>
                <w:rFonts w:hint="eastAsia" w:ascii="宋体" w:hAnsi="宋体" w:cs="宋体"/>
                <w:b/>
                <w:bCs/>
                <w:i w:val="0"/>
                <w:color w:val="000000"/>
                <w:kern w:val="0"/>
                <w:sz w:val="21"/>
                <w:szCs w:val="21"/>
                <w:u w:val="none"/>
                <w:lang w:val="en-US" w:eastAsia="zh-CN" w:bidi="ar"/>
              </w:rPr>
              <w:t>实施</w:t>
            </w:r>
          </w:p>
          <w:p w14:paraId="05258F68">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（交货）</w:t>
            </w:r>
            <w:r>
              <w:rPr>
                <w:rFonts w:hint="eastAsia" w:ascii="宋体" w:hAnsi="宋体" w:eastAsia="宋体" w:cs="宋体"/>
                <w:b/>
                <w:bCs/>
                <w:i w:val="0"/>
                <w:color w:val="000000"/>
                <w:kern w:val="0"/>
                <w:sz w:val="21"/>
                <w:szCs w:val="21"/>
                <w:u w:val="none"/>
                <w:lang w:val="en-US" w:eastAsia="zh-CN" w:bidi="ar"/>
              </w:rPr>
              <w:t>地点</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28DFB8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广东省</w:t>
            </w:r>
            <w:r>
              <w:rPr>
                <w:rFonts w:hint="eastAsia" w:ascii="宋体" w:hAnsi="宋体" w:cs="宋体"/>
                <w:i w:val="0"/>
                <w:color w:val="000000"/>
                <w:kern w:val="0"/>
                <w:sz w:val="21"/>
                <w:szCs w:val="21"/>
                <w:highlight w:val="none"/>
                <w:u w:val="none"/>
                <w:lang w:val="en-US" w:eastAsia="zh-CN" w:bidi="ar"/>
              </w:rPr>
              <w:t>中山市港口镇</w:t>
            </w:r>
          </w:p>
        </w:tc>
      </w:tr>
      <w:tr w14:paraId="4ECC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298D990">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资金来源</w:t>
            </w:r>
          </w:p>
        </w:tc>
        <w:tc>
          <w:tcPr>
            <w:tcW w:w="1748" w:type="dxa"/>
            <w:tcBorders>
              <w:top w:val="single" w:color="000000" w:sz="4" w:space="0"/>
              <w:left w:val="single" w:color="000000" w:sz="4" w:space="0"/>
              <w:bottom w:val="single" w:color="000000" w:sz="4" w:space="0"/>
              <w:right w:val="nil"/>
            </w:tcBorders>
            <w:noWrap w:val="0"/>
            <w:vAlign w:val="center"/>
          </w:tcPr>
          <w:p w14:paraId="09A44F89">
            <w:pPr>
              <w:keepNext w:val="0"/>
              <w:keepLines w:val="0"/>
              <w:widowControl/>
              <w:suppressLineNumbers w:val="0"/>
              <w:jc w:val="center"/>
              <w:textAlignment w:val="center"/>
              <w:rPr>
                <w:rFonts w:hint="eastAsia"/>
              </w:rPr>
            </w:pPr>
            <w:r>
              <w:rPr>
                <w:rFonts w:hint="eastAsia" w:ascii="宋体" w:hAnsi="宋体" w:cs="宋体"/>
                <w:i w:val="0"/>
                <w:color w:val="000000"/>
                <w:kern w:val="0"/>
                <w:sz w:val="21"/>
                <w:szCs w:val="21"/>
                <w:u w:val="none"/>
                <w:lang w:val="en-US" w:eastAsia="zh-CN" w:bidi="ar"/>
              </w:rPr>
              <w:t>镇级财政资金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E0D18D5">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资金来源构成</w:t>
            </w:r>
          </w:p>
        </w:tc>
        <w:tc>
          <w:tcPr>
            <w:tcW w:w="4378" w:type="dxa"/>
            <w:tcBorders>
              <w:top w:val="single" w:color="000000" w:sz="4" w:space="0"/>
              <w:left w:val="nil"/>
              <w:bottom w:val="single" w:color="000000" w:sz="4" w:space="0"/>
              <w:right w:val="single" w:color="000000" w:sz="4" w:space="0"/>
            </w:tcBorders>
            <w:noWrap w:val="0"/>
            <w:vAlign w:val="center"/>
          </w:tcPr>
          <w:p w14:paraId="6B499568">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镇级财政资金占比100%</w:t>
            </w:r>
          </w:p>
        </w:tc>
      </w:tr>
      <w:tr w14:paraId="361B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589C21B">
            <w:pPr>
              <w:keepNext w:val="0"/>
              <w:keepLines w:val="0"/>
              <w:widowControl/>
              <w:suppressLineNumbers w:val="0"/>
              <w:jc w:val="center"/>
              <w:textAlignment w:val="center"/>
              <w:rPr>
                <w:rFonts w:hint="eastAsia" w:ascii="宋体" w:hAnsi="宋体" w:eastAsia="宋体" w:cs="宋体"/>
                <w:b/>
                <w:bCs/>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招标范围及规模</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2EB16D92">
            <w:pPr>
              <w:keepNext w:val="0"/>
              <w:keepLines w:val="0"/>
              <w:pageBreakBefore w:val="0"/>
              <w:widowControl/>
              <w:suppressLineNumbers w:val="0"/>
              <w:kinsoku/>
              <w:wordWrap/>
              <w:overflowPunct/>
              <w:topLinePunct w:val="0"/>
              <w:autoSpaceDE/>
              <w:autoSpaceDN/>
              <w:bidi w:val="0"/>
              <w:adjustRightInd/>
              <w:snapToGrid w:val="0"/>
              <w:spacing w:line="288" w:lineRule="auto"/>
              <w:jc w:val="left"/>
              <w:textAlignment w:val="auto"/>
              <w:rPr>
                <w:rFonts w:hint="eastAsia"/>
                <w:lang w:val="en-US" w:eastAsia="zh-CN"/>
              </w:rPr>
            </w:pPr>
            <w:r>
              <w:rPr>
                <w:rFonts w:hint="eastAsia" w:ascii="宋体" w:hAnsi="宋体" w:cs="宋体"/>
                <w:color w:val="auto"/>
                <w:sz w:val="21"/>
                <w:szCs w:val="21"/>
                <w:highlight w:val="none"/>
                <w:lang w:eastAsia="zh-CN"/>
              </w:rPr>
              <w:t>按照招标人提供的全套施工图纸、工程量清单和有关材料及说明的范围内所有内容，完成</w:t>
            </w:r>
            <w:r>
              <w:rPr>
                <w:rFonts w:hint="eastAsia" w:ascii="宋体" w:hAnsi="宋体" w:cs="宋体"/>
                <w:i w:val="0"/>
                <w:color w:val="000000"/>
                <w:kern w:val="0"/>
                <w:sz w:val="21"/>
                <w:szCs w:val="21"/>
                <w:u w:val="none"/>
                <w:lang w:val="en-US" w:eastAsia="zh-CN" w:bidi="ar"/>
              </w:rPr>
              <w:t>港口镇水利设施维修加固工程</w:t>
            </w:r>
            <w:r>
              <w:rPr>
                <w:rFonts w:hint="eastAsia" w:ascii="宋体" w:hAnsi="宋体" w:cs="宋体"/>
                <w:i w:val="0"/>
                <w:color w:val="auto"/>
                <w:kern w:val="0"/>
                <w:sz w:val="21"/>
                <w:szCs w:val="21"/>
                <w:highlight w:val="none"/>
                <w:u w:val="none"/>
                <w:lang w:val="en-US" w:eastAsia="zh-CN" w:bidi="ar"/>
              </w:rPr>
              <w:t>施工总承包。本次招标项目的建设地点位于</w:t>
            </w:r>
            <w:r>
              <w:rPr>
                <w:rFonts w:hint="eastAsia" w:ascii="宋体" w:hAnsi="宋体" w:eastAsia="宋体" w:cs="宋体"/>
                <w:i w:val="0"/>
                <w:color w:val="auto"/>
                <w:kern w:val="0"/>
                <w:sz w:val="21"/>
                <w:szCs w:val="21"/>
                <w:highlight w:val="none"/>
                <w:u w:val="none"/>
                <w:lang w:val="en-US" w:eastAsia="zh-CN" w:bidi="ar"/>
              </w:rPr>
              <w:t>①水利设施维修工程位于港口镇烂六顷水闸、西河滘水闸、含珠滘东闸、横涌水闸、港口沥南闸、南八涌水闸、港口沥北闸七座水闸，大南联围壳塘泵站、大滨泵站、良涌泵站、前卫泵站、六顷泵站及腾蛇泵站等六座泵站</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②石特社区泵闸工程位于港口镇石特社区石特涌沿岸</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③群乐社区泵闸工程位于港口镇群乐社区</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④群众社区泵闸工程位于港口镇群众社区十四村附近。</w:t>
            </w:r>
            <w:r>
              <w:rPr>
                <w:rFonts w:hint="eastAsia" w:ascii="宋体" w:hAnsi="宋体" w:cs="宋体"/>
                <w:i w:val="0"/>
                <w:color w:val="auto"/>
                <w:kern w:val="0"/>
                <w:sz w:val="21"/>
                <w:szCs w:val="21"/>
                <w:highlight w:val="none"/>
                <w:u w:val="none"/>
                <w:lang w:val="en-US" w:eastAsia="zh-CN" w:bidi="ar"/>
              </w:rPr>
              <w:t>项目建设内容为：</w:t>
            </w:r>
            <w:r>
              <w:rPr>
                <w:rFonts w:hint="eastAsia" w:ascii="宋体" w:hAnsi="宋体" w:cs="宋体"/>
                <w:color w:val="auto"/>
                <w:sz w:val="21"/>
                <w:szCs w:val="21"/>
                <w:highlight w:val="none"/>
                <w:lang w:val="en-US" w:eastAsia="zh-CN"/>
              </w:rPr>
              <w:t>①水利设施维修工程。对港口镇烂六顷水</w:t>
            </w:r>
            <w:r>
              <w:rPr>
                <w:rFonts w:hint="default" w:ascii="宋体" w:hAnsi="宋体" w:cs="宋体"/>
                <w:color w:val="auto"/>
                <w:sz w:val="21"/>
                <w:szCs w:val="21"/>
                <w:highlight w:val="none"/>
                <w:lang w:val="en-US" w:eastAsia="zh-CN"/>
              </w:rPr>
              <w:t>闸、西河滘水闸、含珠滘东闸、横涌水闸、港口沥南闸、南八涌水闸、港口沥北闸七座水闸，大南联围壳塘泵站、大滨泵站、良涌泵站、前卫泵站、六顷泵站及腾蛇泵站六座泵站机房及管理房楼梯及交通桥防撞墩露筋处理，启闭室、管理室窗户渗水处理，维修加固管理房；以上7座水闸、6座外排泵站机电设备检修，更换易损件等，金属设备维修加固，闸门除锈喷漆，水位观测系统更换等</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②石特社区泵闸工程。重建泵闸(水闸净宽2米，泵站流量0.5立方米/秒。沿线共5座)、小型泵站2座；③群乐社区泵闸工程。群乐泵站重建泵房，余庆泵站泵房；④群众社区泵闸工程。十四村1#泵站更换排水泵，换为55千瓦,流量0.8立方米/秒，重建机组底座、进水口等。项目未经批准不得擅自建设、搭建、装修办公用房；不得超标准建设、装修；不得建设具有住宿、会议、餐饮等接待功能的设施或场所。</w:t>
            </w:r>
            <w:r>
              <w:rPr>
                <w:rFonts w:hint="eastAsia" w:ascii="Times New Roman" w:hAnsi="Times New Roman" w:eastAsia="宋体" w:cs="Times New Roman"/>
                <w:b w:val="0"/>
                <w:bCs w:val="0"/>
                <w:kern w:val="2"/>
                <w:sz w:val="21"/>
                <w:szCs w:val="24"/>
                <w:lang w:val="en-US" w:eastAsia="zh-CN" w:bidi="ar-SA"/>
              </w:rPr>
              <w:t>本项</w:t>
            </w:r>
            <w:r>
              <w:rPr>
                <w:rFonts w:hint="eastAsia" w:ascii="宋体" w:hAnsi="宋体" w:eastAsia="宋体" w:cs="宋体"/>
                <w:b w:val="0"/>
                <w:bCs w:val="0"/>
                <w:kern w:val="2"/>
                <w:sz w:val="21"/>
                <w:szCs w:val="24"/>
                <w:lang w:val="en-US" w:eastAsia="zh-CN" w:bidi="ar-SA"/>
              </w:rPr>
              <w:t>目工程总投资</w:t>
            </w:r>
            <w:r>
              <w:rPr>
                <w:rFonts w:hint="eastAsia" w:ascii="宋体" w:hAnsi="宋体" w:eastAsia="宋体" w:cs="宋体"/>
                <w:b w:val="0"/>
                <w:bCs w:val="0"/>
                <w:kern w:val="2"/>
                <w:sz w:val="21"/>
                <w:szCs w:val="24"/>
                <w:u w:val="none"/>
                <w:lang w:val="en-US" w:eastAsia="zh-CN" w:bidi="ar-SA"/>
              </w:rPr>
              <w:t>1652.80</w:t>
            </w:r>
            <w:r>
              <w:rPr>
                <w:rFonts w:hint="eastAsia" w:ascii="宋体" w:hAnsi="宋体" w:eastAsia="宋体" w:cs="宋体"/>
                <w:b w:val="0"/>
                <w:bCs w:val="0"/>
                <w:kern w:val="2"/>
                <w:sz w:val="21"/>
                <w:szCs w:val="24"/>
                <w:lang w:val="en-US" w:eastAsia="zh-CN" w:bidi="ar-SA"/>
              </w:rPr>
              <w:t>万元，本次招标部分造价为</w:t>
            </w:r>
            <w:r>
              <w:rPr>
                <w:rFonts w:hint="eastAsia" w:ascii="宋体" w:hAnsi="宋体" w:eastAsia="宋体" w:cs="宋体"/>
                <w:b w:val="0"/>
                <w:bCs w:val="0"/>
                <w:kern w:val="2"/>
                <w:sz w:val="21"/>
                <w:szCs w:val="24"/>
                <w:highlight w:val="none"/>
                <w:u w:val="none"/>
                <w:lang w:val="en-US" w:eastAsia="zh-CN" w:bidi="ar-SA"/>
              </w:rPr>
              <w:t>11184722.53</w:t>
            </w:r>
            <w:r>
              <w:rPr>
                <w:rFonts w:hint="eastAsia" w:ascii="宋体" w:hAnsi="宋体" w:eastAsia="宋体" w:cs="宋体"/>
                <w:b w:val="0"/>
                <w:bCs w:val="0"/>
                <w:kern w:val="2"/>
                <w:sz w:val="21"/>
                <w:szCs w:val="24"/>
                <w:lang w:val="en-US" w:eastAsia="zh-CN" w:bidi="ar-SA"/>
              </w:rPr>
              <w:t>元。</w:t>
            </w:r>
          </w:p>
        </w:tc>
      </w:tr>
      <w:tr w14:paraId="7137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2B1A2D9">
            <w:pPr>
              <w:keepNext w:val="0"/>
              <w:keepLines w:val="0"/>
              <w:widowControl/>
              <w:suppressLineNumbers w:val="0"/>
              <w:jc w:val="center"/>
              <w:textAlignment w:val="center"/>
              <w:rPr>
                <w:rFonts w:hint="eastAsia" w:ascii="宋体" w:hAnsi="宋体" w:eastAsia="宋体" w:cs="宋体"/>
                <w:b/>
                <w:bCs/>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招标内容</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051B556F">
            <w:pPr>
              <w:pStyle w:val="2"/>
              <w:pageBreakBefore w:val="0"/>
              <w:kinsoku/>
              <w:wordWrap/>
              <w:overflowPunct/>
              <w:topLinePunct w:val="0"/>
              <w:autoSpaceDE/>
              <w:autoSpaceDN/>
              <w:bidi w:val="0"/>
              <w:adjustRightInd/>
              <w:snapToGrid w:val="0"/>
              <w:spacing w:line="288" w:lineRule="auto"/>
              <w:textAlignment w:val="auto"/>
              <w:rPr>
                <w:rFonts w:hint="eastAsia"/>
                <w:lang w:eastAsia="zh-CN"/>
              </w:rPr>
            </w:pPr>
            <w:r>
              <w:rPr>
                <w:rFonts w:hint="eastAsia" w:ascii="宋体" w:hAnsi="宋体" w:eastAsia="宋体" w:cs="宋体"/>
                <w:b w:val="0"/>
                <w:bCs w:val="0"/>
                <w:color w:val="auto"/>
                <w:kern w:val="2"/>
                <w:sz w:val="21"/>
                <w:szCs w:val="21"/>
                <w:highlight w:val="none"/>
                <w:lang w:val="en-US" w:eastAsia="zh-CN" w:bidi="ar-SA"/>
              </w:rPr>
              <w:t>本项目包括建筑工程、机电设备及安装工程、金属结构设备及安装工程和施工临时工程等，具体内容以招标人所提供的工程相关施工图和预算（或工程量清单)为准（包含施工图纸、中介预算及相关资料明示或隐含的工作内容)。本项目划分为一个标段。</w:t>
            </w:r>
          </w:p>
        </w:tc>
      </w:tr>
      <w:tr w14:paraId="2A0B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0A8088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工期</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2101894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single"/>
                <w:lang w:val="en-US" w:eastAsia="zh-CN" w:bidi="ar"/>
              </w:rPr>
              <w:t xml:space="preserve"> </w:t>
            </w:r>
            <w:r>
              <w:rPr>
                <w:rFonts w:hint="eastAsia" w:ascii="宋体" w:hAnsi="宋体" w:cs="宋体"/>
                <w:i w:val="0"/>
                <w:color w:val="000000"/>
                <w:kern w:val="0"/>
                <w:sz w:val="21"/>
                <w:szCs w:val="21"/>
                <w:highlight w:val="none"/>
                <w:u w:val="single"/>
                <w:lang w:val="en-US" w:eastAsia="zh-CN" w:bidi="ar"/>
              </w:rPr>
              <w:t>547</w:t>
            </w:r>
            <w:r>
              <w:rPr>
                <w:rFonts w:hint="eastAsia" w:ascii="宋体" w:hAnsi="宋体" w:cs="宋体"/>
                <w:i w:val="0"/>
                <w:color w:val="000000"/>
                <w:kern w:val="0"/>
                <w:sz w:val="21"/>
                <w:szCs w:val="21"/>
                <w:u w:val="single"/>
                <w:lang w:val="en-US" w:eastAsia="zh-CN" w:bidi="ar"/>
              </w:rPr>
              <w:t xml:space="preserve"> </w:t>
            </w:r>
            <w:r>
              <w:rPr>
                <w:rFonts w:hint="eastAsia" w:ascii="宋体" w:hAnsi="宋体" w:cs="宋体"/>
                <w:i w:val="0"/>
                <w:color w:val="000000"/>
                <w:kern w:val="0"/>
                <w:sz w:val="21"/>
                <w:szCs w:val="21"/>
                <w:u w:val="none"/>
                <w:lang w:val="en-US" w:eastAsia="zh-CN" w:bidi="ar"/>
              </w:rPr>
              <w:t>日历天</w:t>
            </w:r>
          </w:p>
        </w:tc>
      </w:tr>
      <w:tr w14:paraId="595E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5227E4D">
            <w:pPr>
              <w:keepNext w:val="0"/>
              <w:keepLines w:val="0"/>
              <w:widowControl/>
              <w:suppressLineNumbers w:val="0"/>
              <w:jc w:val="center"/>
              <w:textAlignment w:val="center"/>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最高投标限价</w:t>
            </w:r>
          </w:p>
          <w:p w14:paraId="7EAAC2C8">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sz w:val="21"/>
                <w:szCs w:val="21"/>
                <w:lang w:eastAsia="zh-CN"/>
              </w:rPr>
              <w:t>（投标报价上限值）</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16B7D944">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highlight w:val="none"/>
                <w:u w:val="single"/>
                <w:lang w:val="en-US" w:eastAsia="zh-CN" w:bidi="ar"/>
              </w:rPr>
              <w:t>10625486.40</w:t>
            </w:r>
            <w:r>
              <w:rPr>
                <w:rFonts w:hint="eastAsia" w:ascii="宋体" w:hAnsi="宋体" w:cs="宋体"/>
                <w:i w:val="0"/>
                <w:color w:val="000000"/>
                <w:kern w:val="0"/>
                <w:sz w:val="21"/>
                <w:szCs w:val="21"/>
                <w:u w:val="none"/>
                <w:lang w:val="en-US" w:eastAsia="zh-CN" w:bidi="ar"/>
              </w:rPr>
              <w:t>元</w:t>
            </w:r>
          </w:p>
        </w:tc>
      </w:tr>
      <w:tr w14:paraId="4027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07B18A6">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是否接受联合体投标</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4609EC0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否</w:t>
            </w:r>
          </w:p>
        </w:tc>
      </w:tr>
      <w:tr w14:paraId="0496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restart"/>
            <w:tcBorders>
              <w:top w:val="single" w:color="000000" w:sz="4" w:space="0"/>
              <w:left w:val="single" w:color="000000" w:sz="4" w:space="0"/>
              <w:right w:val="single" w:color="000000" w:sz="4" w:space="0"/>
            </w:tcBorders>
            <w:noWrap w:val="0"/>
            <w:vAlign w:val="center"/>
          </w:tcPr>
          <w:p w14:paraId="5F31BA3D">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投标资格能力要求</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541847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strike w:val="0"/>
                <w:dstrike w:val="0"/>
                <w:color w:val="000000"/>
                <w:kern w:val="0"/>
                <w:sz w:val="21"/>
                <w:szCs w:val="21"/>
                <w:highlight w:val="none"/>
                <w:u w:val="none"/>
                <w:lang w:val="en-US" w:eastAsia="zh-CN" w:bidi="ar"/>
              </w:rPr>
              <w:t>投标人资格要求</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14:paraId="340DB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 资质条件：</w:t>
            </w:r>
            <w:r>
              <w:rPr>
                <w:rFonts w:hint="eastAsia" w:ascii="宋体" w:hAnsi="宋体"/>
                <w:szCs w:val="21"/>
                <w:highlight w:val="none"/>
              </w:rPr>
              <w:t>投标人必须具备</w:t>
            </w:r>
            <w:r>
              <w:rPr>
                <w:rFonts w:hint="eastAsia" w:ascii="宋体" w:hAnsi="宋体"/>
                <w:szCs w:val="21"/>
                <w:highlight w:val="none"/>
                <w:u w:val="none"/>
                <w:lang w:eastAsia="zh-CN"/>
              </w:rPr>
              <w:t>水利水电工程施工总承包二级（或以上）资质</w:t>
            </w:r>
            <w:r>
              <w:rPr>
                <w:rFonts w:hint="eastAsia" w:ascii="宋体" w:hAnsi="宋体"/>
                <w:szCs w:val="21"/>
                <w:highlight w:val="none"/>
              </w:rPr>
              <w:t>；经过</w:t>
            </w:r>
            <w:r>
              <w:rPr>
                <w:rFonts w:hint="eastAsia" w:ascii="宋体" w:hAnsi="宋体" w:cs="宋体"/>
                <w:kern w:val="0"/>
                <w:szCs w:val="21"/>
                <w:highlight w:val="none"/>
              </w:rPr>
              <w:t>市场监督管理部门确定</w:t>
            </w:r>
            <w:r>
              <w:rPr>
                <w:rFonts w:hint="eastAsia" w:ascii="宋体" w:hAnsi="宋体"/>
                <w:szCs w:val="21"/>
                <w:highlight w:val="none"/>
              </w:rPr>
              <w:t>的具有独立法人资格的企业，且同时具有有效的安全生产许可证</w:t>
            </w:r>
            <w:r>
              <w:rPr>
                <w:rFonts w:hint="eastAsia" w:ascii="宋体" w:hAnsi="宋体" w:eastAsia="宋体" w:cs="Times New Roman"/>
                <w:color w:val="auto"/>
                <w:sz w:val="21"/>
                <w:szCs w:val="21"/>
                <w:lang w:val="en-US" w:eastAsia="zh-CN"/>
              </w:rPr>
              <w:t>。</w:t>
            </w:r>
          </w:p>
          <w:p w14:paraId="2DB764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 项目负责人资格：</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水利水电工程</w:t>
            </w:r>
            <w:r>
              <w:rPr>
                <w:rFonts w:hint="eastAsia" w:ascii="宋体" w:hAnsi="宋体" w:eastAsia="宋体" w:cs="Times New Roman"/>
                <w:color w:val="auto"/>
                <w:sz w:val="21"/>
                <w:szCs w:val="21"/>
                <w:highlight w:val="none"/>
                <w:u w:val="single"/>
                <w:lang w:val="en-US" w:eastAsia="zh-CN"/>
              </w:rPr>
              <w:t>专业</w:t>
            </w:r>
            <w:r>
              <w:rPr>
                <w:rFonts w:hint="eastAsia" w:ascii="宋体" w:hAnsi="宋体" w:cs="Times New Roman"/>
                <w:color w:val="auto"/>
                <w:sz w:val="21"/>
                <w:szCs w:val="21"/>
                <w:highlight w:val="none"/>
                <w:u w:val="single"/>
                <w:lang w:val="en-US" w:eastAsia="zh-CN"/>
              </w:rPr>
              <w:t>二</w:t>
            </w:r>
            <w:r>
              <w:rPr>
                <w:rFonts w:hint="eastAsia" w:ascii="宋体" w:hAnsi="宋体" w:eastAsia="宋体" w:cs="Times New Roman"/>
                <w:color w:val="auto"/>
                <w:sz w:val="21"/>
                <w:szCs w:val="21"/>
                <w:highlight w:val="none"/>
                <w:u w:val="single"/>
                <w:lang w:val="en-US" w:eastAsia="zh-CN"/>
              </w:rPr>
              <w:t>级</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lang w:val="en-US" w:eastAsia="zh-CN"/>
              </w:rPr>
              <w:t>含以上级别）注册建造师执业资格，且取得水利行业或水利行政主管部门颁发的安全生产考核合格证书。注册建造师证书应与企业相符，专业不符或证企不符不予受理。</w:t>
            </w:r>
          </w:p>
          <w:p w14:paraId="182977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 诚信要求：</w:t>
            </w:r>
          </w:p>
          <w:p w14:paraId="526C0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不接受在“信用中国”网站（网址：www.creditchina.gov.cn）中被确定为“失信被执行人”（且在公布有效期内）的投标人进行投标〔投标单位须在投标文件提供在“信用中国”网站上下载的信用报告（有信用中国水印）作为未被确定为“失信被执行人”的证明。〕</w:t>
            </w:r>
          </w:p>
          <w:p w14:paraId="230BA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不接受在“国家企业信用信息公示系统”（网址：http://www.gsxt.gov.cn）中被列入严重违法失信企业名单（且在公布有效期内）的企业参与投标。〔投标单位须在投标文件提供“国家企业信用信息公示系统”网站查询页面截图加盖单位公章。〕</w:t>
            </w:r>
          </w:p>
          <w:p w14:paraId="52F5A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lang w:val="en-US" w:eastAsia="zh-CN"/>
              </w:rPr>
              <w:t>）投标单位须对企业行为作出信用承诺，否则按废标处理。（提供信用承诺书，格式按本招标文件提供格式）</w:t>
            </w:r>
          </w:p>
          <w:p w14:paraId="279C56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注：开标时，由招标代理现场登录以上平台，复核所有投标人的信用情况，并提供给评标专家委员会作为评审依据。如查实投标人在上述平台被记有不接受投标情形的记录或投标文件未按要求提供查询页面截图加盖单位公章的，则由评标委员会否决其投标。</w:t>
            </w:r>
          </w:p>
          <w:p w14:paraId="5FDBCE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投标文件所提供的网站查询页面截图应与开标现场复核结果一致，否则将按照“弄虚作假”认定</w:t>
            </w:r>
            <w:r>
              <w:rPr>
                <w:rFonts w:hint="eastAsia" w:ascii="宋体" w:hAnsi="宋体" w:cs="Times New Roman"/>
                <w:color w:val="auto"/>
                <w:sz w:val="21"/>
                <w:szCs w:val="21"/>
                <w:lang w:val="en-US" w:eastAsia="zh-CN"/>
              </w:rPr>
              <w:t>处理</w:t>
            </w:r>
            <w:r>
              <w:rPr>
                <w:rFonts w:hint="eastAsia" w:ascii="宋体" w:hAnsi="宋体" w:eastAsia="宋体" w:cs="Times New Roman"/>
                <w:color w:val="auto"/>
                <w:sz w:val="21"/>
                <w:szCs w:val="21"/>
                <w:lang w:val="en-US" w:eastAsia="zh-CN"/>
              </w:rPr>
              <w:t>。</w:t>
            </w:r>
          </w:p>
          <w:p w14:paraId="08996A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 其他要求：</w:t>
            </w:r>
          </w:p>
          <w:p w14:paraId="488629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（1）专职安全员（或安全主任）取得水利行业或水利行政主管部门颁发的安全生产考核合格证书。</w:t>
            </w:r>
          </w:p>
          <w:p w14:paraId="7DC55F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（2）项目技术负责人应具有水利水电类专业工程师或以上职称。</w:t>
            </w:r>
          </w:p>
          <w:p w14:paraId="2521DB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5 本次招标</w:t>
            </w:r>
            <w:r>
              <w:rPr>
                <w:rFonts w:hint="eastAsia" w:ascii="宋体" w:hAnsi="宋体" w:eastAsia="宋体" w:cs="Times New Roman"/>
                <w:color w:val="auto"/>
                <w:sz w:val="21"/>
                <w:szCs w:val="21"/>
                <w:u w:val="single"/>
                <w:lang w:val="en-US" w:eastAsia="zh-CN"/>
              </w:rPr>
              <w:t xml:space="preserve"> 不接受</w:t>
            </w:r>
            <w:r>
              <w:rPr>
                <w:rFonts w:hint="eastAsia" w:ascii="宋体" w:hAnsi="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联合体投标。</w:t>
            </w:r>
          </w:p>
          <w:p w14:paraId="7ADADC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 各投标人均可就上述标段中的</w:t>
            </w:r>
            <w:r>
              <w:rPr>
                <w:rFonts w:hint="eastAsia" w:ascii="宋体" w:hAnsi="宋体" w:eastAsia="宋体" w:cs="Times New Roman"/>
                <w:color w:val="auto"/>
                <w:sz w:val="21"/>
                <w:szCs w:val="21"/>
                <w:u w:val="single"/>
                <w:lang w:val="en-US" w:eastAsia="zh-CN"/>
              </w:rPr>
              <w:t xml:space="preserve"> </w:t>
            </w:r>
            <w:r>
              <w:rPr>
                <w:rFonts w:hint="eastAsia" w:ascii="宋体" w:hAnsi="宋体" w:cs="Times New Roman"/>
                <w:color w:val="auto"/>
                <w:sz w:val="21"/>
                <w:szCs w:val="21"/>
                <w:u w:val="single"/>
                <w:lang w:val="en-US" w:eastAsia="zh-CN"/>
              </w:rPr>
              <w:t>1</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个标段投标。</w:t>
            </w:r>
          </w:p>
          <w:p w14:paraId="2F6198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7 投标人参与投标前应当在广东省公共资源交易平台完成用户注册和绑定电子招投标数字证书，并凭电子招投标数字证书参与项目投标。用户注册和绑定数字证书的办理流程参见广东省公共资源交易平台（中山市）-“服务指南”栏目。</w:t>
            </w:r>
          </w:p>
        </w:tc>
      </w:tr>
      <w:tr w14:paraId="5E58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continue"/>
            <w:tcBorders>
              <w:left w:val="single" w:color="000000" w:sz="4" w:space="0"/>
              <w:bottom w:val="single" w:color="000000" w:sz="4" w:space="0"/>
              <w:right w:val="single" w:color="000000" w:sz="4" w:space="0"/>
            </w:tcBorders>
            <w:noWrap w:val="0"/>
            <w:vAlign w:val="center"/>
          </w:tcPr>
          <w:p w14:paraId="53DE6B60">
            <w:pPr>
              <w:keepNext w:val="0"/>
              <w:keepLines w:val="0"/>
              <w:widowControl/>
              <w:suppressLineNumbers w:val="0"/>
              <w:jc w:val="center"/>
              <w:textAlignment w:val="center"/>
              <w:rPr>
                <w:b/>
                <w:bCs/>
                <w:sz w:val="21"/>
                <w:szCs w:val="21"/>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3174611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strike w:val="0"/>
                <w:dstrike w:val="0"/>
                <w:color w:val="000000"/>
                <w:kern w:val="0"/>
                <w:sz w:val="21"/>
                <w:szCs w:val="21"/>
                <w:highlight w:val="none"/>
                <w:u w:val="none"/>
                <w:lang w:val="en-US" w:eastAsia="zh-CN" w:bidi="ar"/>
              </w:rPr>
              <w:t>投标人业绩要求</w:t>
            </w:r>
          </w:p>
        </w:tc>
        <w:tc>
          <w:tcPr>
            <w:tcW w:w="5814" w:type="dxa"/>
            <w:gridSpan w:val="2"/>
            <w:tcBorders>
              <w:top w:val="single" w:color="000000" w:sz="4" w:space="0"/>
              <w:left w:val="single" w:color="000000" w:sz="4" w:space="0"/>
              <w:bottom w:val="single" w:color="000000" w:sz="4" w:space="0"/>
              <w:right w:val="single" w:color="000000" w:sz="4" w:space="0"/>
            </w:tcBorders>
            <w:noWrap w:val="0"/>
            <w:vAlign w:val="center"/>
          </w:tcPr>
          <w:p w14:paraId="308CAF5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auto"/>
                <w:sz w:val="21"/>
                <w:szCs w:val="21"/>
                <w:highlight w:val="none"/>
                <w:lang w:val="en-US" w:eastAsia="zh-CN"/>
              </w:rPr>
              <w:t>投标人近3-5年已完成过质量合格的类似工程业绩要求：</w:t>
            </w:r>
            <w:r>
              <w:rPr>
                <w:rFonts w:hint="eastAsia" w:ascii="宋体" w:hAnsi="宋体" w:cs="宋体"/>
                <w:b w:val="0"/>
                <w:bCs w:val="0"/>
                <w:color w:val="auto"/>
                <w:szCs w:val="21"/>
                <w:highlight w:val="none"/>
              </w:rPr>
              <w:t xml:space="preserve">投标人近3年（从招标公告发布之日起倒算）完成过质量合格的类似水利工程业绩要求（以工程完工验收（或竣工验收）时间为准）： </w:t>
            </w:r>
            <w:r>
              <w:rPr>
                <w:rFonts w:hint="eastAsia" w:ascii="宋体" w:hAnsi="宋体" w:eastAsia="宋体" w:cs="宋体"/>
                <w:b w:val="0"/>
                <w:bCs w:val="0"/>
                <w:color w:val="auto"/>
                <w:kern w:val="2"/>
                <w:sz w:val="21"/>
                <w:szCs w:val="21"/>
                <w:highlight w:val="none"/>
                <w:lang w:val="en-US" w:eastAsia="zh-CN" w:bidi="ar-SA"/>
              </w:rPr>
              <w:t>至少完成过一个单项工程合同价</w:t>
            </w:r>
            <w:r>
              <w:rPr>
                <w:rFonts w:hint="eastAsia" w:ascii="宋体" w:hAnsi="宋体" w:cs="宋体"/>
                <w:b w:val="0"/>
                <w:bCs w:val="0"/>
                <w:color w:val="auto"/>
                <w:kern w:val="2"/>
                <w:sz w:val="21"/>
                <w:szCs w:val="21"/>
                <w:highlight w:val="none"/>
                <w:lang w:val="en-US" w:eastAsia="zh-CN" w:bidi="ar-SA"/>
              </w:rPr>
              <w:t>700</w:t>
            </w:r>
            <w:r>
              <w:rPr>
                <w:rFonts w:hint="eastAsia" w:ascii="宋体" w:hAnsi="宋体" w:eastAsia="宋体" w:cs="宋体"/>
                <w:b w:val="0"/>
                <w:bCs w:val="0"/>
                <w:color w:val="auto"/>
                <w:kern w:val="2"/>
                <w:sz w:val="21"/>
                <w:szCs w:val="21"/>
                <w:highlight w:val="none"/>
                <w:lang w:val="en-US" w:eastAsia="zh-CN" w:bidi="ar-SA"/>
              </w:rPr>
              <w:t>万或以上的</w:t>
            </w:r>
            <w:r>
              <w:rPr>
                <w:rFonts w:hint="eastAsia" w:ascii="宋体" w:hAnsi="宋体" w:cs="宋体"/>
                <w:color w:val="auto"/>
                <w:szCs w:val="21"/>
                <w:highlight w:val="none"/>
              </w:rPr>
              <w:t>水闸</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或泵站</w:t>
            </w:r>
            <w:r>
              <w:rPr>
                <w:rFonts w:hint="eastAsia" w:ascii="宋体" w:hAnsi="宋体" w:cs="宋体"/>
                <w:b w:val="0"/>
                <w:bCs w:val="0"/>
                <w:color w:val="auto"/>
                <w:szCs w:val="21"/>
                <w:highlight w:val="none"/>
              </w:rPr>
              <w:t>工程</w:t>
            </w:r>
            <w:r>
              <w:rPr>
                <w:rFonts w:hint="eastAsia" w:ascii="宋体" w:hAnsi="宋体" w:cs="宋体"/>
                <w:b w:val="0"/>
                <w:bCs w:val="0"/>
                <w:color w:val="auto"/>
                <w:szCs w:val="21"/>
                <w:highlight w:val="none"/>
                <w:lang w:eastAsia="zh-CN"/>
              </w:rPr>
              <w:t>。</w:t>
            </w:r>
          </w:p>
        </w:tc>
      </w:tr>
      <w:tr w14:paraId="69E7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2130" w:type="dxa"/>
            <w:tcBorders>
              <w:top w:val="single" w:color="000000" w:sz="4" w:space="0"/>
              <w:left w:val="single" w:color="000000" w:sz="4" w:space="0"/>
              <w:right w:val="single" w:color="000000" w:sz="4" w:space="0"/>
            </w:tcBorders>
            <w:noWrap w:val="0"/>
            <w:vAlign w:val="center"/>
          </w:tcPr>
          <w:p w14:paraId="007C9507">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是否采用电子</w:t>
            </w:r>
            <w:r>
              <w:rPr>
                <w:rFonts w:hint="eastAsia" w:ascii="宋体" w:hAnsi="宋体" w:eastAsia="宋体" w:cs="宋体"/>
                <w:b/>
                <w:bCs/>
                <w:i w:val="0"/>
                <w:color w:val="000000"/>
                <w:kern w:val="0"/>
                <w:sz w:val="21"/>
                <w:szCs w:val="21"/>
                <w:u w:val="none"/>
                <w:lang w:val="en-US" w:eastAsia="zh-CN" w:bidi="ar"/>
              </w:rPr>
              <w:br w:type="textWrapping"/>
            </w:r>
            <w:r>
              <w:rPr>
                <w:rFonts w:hint="eastAsia" w:ascii="宋体" w:hAnsi="宋体" w:eastAsia="宋体" w:cs="宋体"/>
                <w:b/>
                <w:bCs/>
                <w:i w:val="0"/>
                <w:color w:val="000000"/>
                <w:kern w:val="0"/>
                <w:sz w:val="21"/>
                <w:szCs w:val="21"/>
                <w:u w:val="none"/>
                <w:lang w:val="en-US" w:eastAsia="zh-CN" w:bidi="ar"/>
              </w:rPr>
              <w:t>招标投标方式</w:t>
            </w:r>
          </w:p>
        </w:tc>
        <w:tc>
          <w:tcPr>
            <w:tcW w:w="1748" w:type="dxa"/>
            <w:tcBorders>
              <w:top w:val="single" w:color="000000" w:sz="4" w:space="0"/>
              <w:left w:val="single" w:color="000000" w:sz="4" w:space="0"/>
              <w:right w:val="single" w:color="000000" w:sz="4" w:space="0"/>
            </w:tcBorders>
            <w:noWrap w:val="0"/>
            <w:vAlign w:val="center"/>
          </w:tcPr>
          <w:p w14:paraId="7A2290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1436" w:type="dxa"/>
            <w:tcBorders>
              <w:top w:val="single" w:color="000000" w:sz="4" w:space="0"/>
              <w:left w:val="single" w:color="000000" w:sz="4" w:space="0"/>
              <w:right w:val="single" w:color="000000" w:sz="4" w:space="0"/>
            </w:tcBorders>
            <w:noWrap w:val="0"/>
            <w:vAlign w:val="center"/>
          </w:tcPr>
          <w:p w14:paraId="36F450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获取资格预审/招标文件的方式</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3A45D7FE">
            <w:pPr>
              <w:pageBreakBefore w:val="0"/>
              <w:kinsoku/>
              <w:wordWrap/>
              <w:overflowPunct/>
              <w:topLinePunct w:val="0"/>
              <w:bidi w:val="0"/>
              <w:spacing w:line="360" w:lineRule="auto"/>
              <w:ind w:firstLine="420" w:firstLineChars="200"/>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olor w:val="auto"/>
                <w:sz w:val="21"/>
                <w:szCs w:val="21"/>
              </w:rPr>
              <w:t>招标公告网上发布时，同时在广东省公共资源交易平台（交易系统）</w:t>
            </w:r>
            <w:r>
              <w:rPr>
                <w:rFonts w:hint="eastAsia" w:ascii="宋体" w:hAnsi="宋体"/>
                <w:color w:val="auto"/>
                <w:sz w:val="21"/>
                <w:szCs w:val="21"/>
                <w:lang w:val="en-US" w:eastAsia="zh-CN"/>
              </w:rPr>
              <w:t>的</w:t>
            </w:r>
            <w:r>
              <w:rPr>
                <w:rFonts w:hint="eastAsia" w:ascii="宋体" w:hAnsi="宋体"/>
                <w:color w:val="auto"/>
                <w:sz w:val="21"/>
                <w:szCs w:val="21"/>
                <w:lang w:eastAsia="zh-CN"/>
              </w:rPr>
              <w:t>工程建设交易系统</w:t>
            </w:r>
            <w:r>
              <w:rPr>
                <w:rFonts w:hint="eastAsia" w:ascii="宋体" w:hAnsi="宋体"/>
                <w:color w:val="auto"/>
                <w:sz w:val="21"/>
                <w:szCs w:val="21"/>
              </w:rPr>
              <w:t>（下文中的“工程建设交易系统”均指广东省公共资源交易平台（交易系统）的工程建设交易系统）发售招标文件等相关资料。凡符合条件且有意参加投标者，请于招标文件发售期间，在广东省公共资源交易平台（交易系统）通过电子招投标数字证书登录</w:t>
            </w:r>
            <w:r>
              <w:rPr>
                <w:rFonts w:hint="eastAsia" w:ascii="宋体" w:hAnsi="宋体"/>
                <w:color w:val="auto"/>
                <w:sz w:val="21"/>
                <w:szCs w:val="21"/>
                <w:lang w:val="en-US" w:eastAsia="zh-CN"/>
              </w:rPr>
              <w:t>工程建设交易系统</w:t>
            </w:r>
            <w:r>
              <w:rPr>
                <w:rFonts w:hint="eastAsia" w:ascii="宋体" w:hAnsi="宋体"/>
                <w:color w:val="auto"/>
                <w:sz w:val="21"/>
                <w:szCs w:val="21"/>
              </w:rPr>
              <w:t>下载完整的招标文件等相关资料。</w:t>
            </w:r>
          </w:p>
        </w:tc>
      </w:tr>
      <w:tr w14:paraId="44ED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B9DC2EB">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获取资格预审/招标文件开始时间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079E2793">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具体时间以工程建设交易系统上的日程安排为准。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FA812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获取资格预审/招标文件截止时间</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2D274F53">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具体时间以工程建设交易系统上的日程安排为准。</w:t>
            </w:r>
          </w:p>
        </w:tc>
      </w:tr>
      <w:tr w14:paraId="25AF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22417A4">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递交资格预审/投标文件截止时间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57D4A404">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具体时间以工程建设交易系统上的日程安排为准。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1C546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资格预审/投标文件递交方式</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65326806">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color w:val="auto"/>
                <w:sz w:val="21"/>
                <w:szCs w:val="21"/>
                <w:lang w:eastAsia="zh-CN"/>
              </w:rPr>
              <w:t>递交</w:t>
            </w:r>
            <w:r>
              <w:rPr>
                <w:rFonts w:hint="eastAsia" w:ascii="宋体" w:hAnsi="宋体"/>
                <w:color w:val="auto"/>
                <w:sz w:val="21"/>
                <w:szCs w:val="21"/>
              </w:rPr>
              <w:t>投标文件截止时间（投标截止时间）</w:t>
            </w:r>
            <w:r>
              <w:rPr>
                <w:rFonts w:hint="eastAsia" w:ascii="宋体" w:hAnsi="宋体"/>
                <w:color w:val="auto"/>
                <w:sz w:val="21"/>
                <w:szCs w:val="21"/>
                <w:lang w:eastAsia="zh-CN"/>
              </w:rPr>
              <w:t>前，通过数字证书将</w:t>
            </w:r>
            <w:r>
              <w:rPr>
                <w:rFonts w:hint="eastAsia" w:ascii="宋体" w:hAnsi="宋体"/>
                <w:color w:val="auto"/>
                <w:sz w:val="21"/>
                <w:szCs w:val="21"/>
              </w:rPr>
              <w:t>电子投标文件上传</w:t>
            </w:r>
            <w:r>
              <w:rPr>
                <w:rFonts w:hint="eastAsia" w:ascii="宋体" w:hAnsi="宋体"/>
                <w:color w:val="auto"/>
                <w:sz w:val="21"/>
                <w:szCs w:val="21"/>
                <w:lang w:eastAsia="zh-CN"/>
              </w:rPr>
              <w:t>到工程建设交易系统</w:t>
            </w:r>
            <w:r>
              <w:rPr>
                <w:rFonts w:hint="eastAsia" w:ascii="宋体" w:hAnsi="宋体"/>
                <w:color w:val="auto"/>
                <w:sz w:val="21"/>
                <w:szCs w:val="21"/>
              </w:rPr>
              <w:t>。</w:t>
            </w:r>
          </w:p>
        </w:tc>
      </w:tr>
      <w:tr w14:paraId="4ECF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959E84B">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开标时间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2246C638">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具体时间以工程建设交易系统上的日程安排为准。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206798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开标地点</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36B76774">
            <w:pPr>
              <w:keepNext w:val="0"/>
              <w:keepLines w:val="0"/>
              <w:widowControl/>
              <w:suppressLineNumbers w:val="0"/>
              <w:jc w:val="both"/>
              <w:textAlignment w:val="center"/>
              <w:rPr>
                <w:rFonts w:hint="eastAsia"/>
                <w:sz w:val="21"/>
                <w:szCs w:val="21"/>
              </w:rPr>
            </w:pPr>
            <w:r>
              <w:rPr>
                <w:rFonts w:hint="eastAsia" w:ascii="宋体" w:hAnsi="宋体" w:eastAsia="宋体" w:cs="宋体"/>
                <w:i w:val="0"/>
                <w:color w:val="000000"/>
                <w:kern w:val="0"/>
                <w:sz w:val="21"/>
                <w:szCs w:val="21"/>
                <w:u w:val="none"/>
                <w:lang w:val="en-US" w:eastAsia="zh-CN" w:bidi="ar"/>
              </w:rPr>
              <w:t>中山市公共资源交易中心（博爱六路22号）</w:t>
            </w:r>
          </w:p>
          <w:p w14:paraId="31677D2C">
            <w:pPr>
              <w:pStyle w:val="2"/>
              <w:rPr>
                <w:rFonts w:hint="eastAsia"/>
                <w:sz w:val="21"/>
                <w:szCs w:val="21"/>
              </w:rPr>
            </w:pPr>
            <w:r>
              <w:rPr>
                <w:rFonts w:hint="eastAsia" w:ascii="宋体" w:hAnsi="宋体" w:cs="宋体"/>
                <w:color w:val="auto"/>
                <w:sz w:val="21"/>
                <w:szCs w:val="21"/>
                <w:highlight w:val="none"/>
                <w:lang w:val="en-US" w:eastAsia="zh-CN"/>
              </w:rPr>
              <w:t>本项目</w:t>
            </w:r>
            <w:r>
              <w:rPr>
                <w:rFonts w:hint="eastAsia" w:ascii="宋体" w:hAnsi="宋体" w:cs="宋体"/>
                <w:color w:val="auto"/>
                <w:sz w:val="21"/>
                <w:szCs w:val="21"/>
                <w:highlight w:val="none"/>
              </w:rPr>
              <w:t>在中山市公共资源交易中心现场组织网上开标，投标人无需抵达开标现场。投标人可</w:t>
            </w:r>
            <w:r>
              <w:rPr>
                <w:rFonts w:hint="eastAsia" w:ascii="宋体" w:hAnsi="宋体" w:cs="宋体"/>
                <w:color w:val="auto"/>
                <w:sz w:val="21"/>
                <w:szCs w:val="21"/>
                <w:highlight w:val="none"/>
                <w:lang w:eastAsia="zh-CN"/>
              </w:rPr>
              <w:t>登录</w:t>
            </w:r>
            <w:r>
              <w:rPr>
                <w:rFonts w:hint="eastAsia" w:ascii="宋体" w:hAnsi="宋体" w:cs="宋体"/>
                <w:color w:val="auto"/>
                <w:sz w:val="21"/>
                <w:szCs w:val="21"/>
                <w:highlight w:val="none"/>
              </w:rPr>
              <w:t>工程建设交易系统→“参与项目”→“网上开标”栏目查看项目开标过程，依法提出开标异议。</w:t>
            </w:r>
          </w:p>
        </w:tc>
      </w:tr>
      <w:tr w14:paraId="371E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28919C7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发布公告媒介</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353138D4">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广东省公共资源交易平台（中山市）、中山市公共资源交易平台（公共服务系统）、广东省招标投标监管网</w:t>
            </w:r>
          </w:p>
        </w:tc>
      </w:tr>
      <w:tr w14:paraId="48FB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D152767">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招标人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58A12FF5">
            <w:pPr>
              <w:keepNext w:val="0"/>
              <w:keepLines w:val="0"/>
              <w:widowControl/>
              <w:suppressLineNumbers w:val="0"/>
              <w:jc w:val="center"/>
              <w:textAlignment w:val="center"/>
              <w:rPr>
                <w:rFonts w:hint="eastAsia" w:ascii="宋体" w:hAnsi="宋体" w:eastAsia="宋体" w:cs="宋体"/>
                <w:i w:val="0"/>
                <w:color w:val="000000"/>
                <w:sz w:val="21"/>
                <w:szCs w:val="21"/>
                <w:u w:val="none"/>
              </w:rPr>
            </w:pPr>
            <w:r>
              <w:t>中山市港口镇水务事务中心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B33A201">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联系地址</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414938C8">
            <w:pPr>
              <w:jc w:val="center"/>
              <w:rPr>
                <w:rFonts w:hint="eastAsia" w:ascii="宋体" w:hAnsi="宋体" w:eastAsia="宋体" w:cs="宋体"/>
                <w:i w:val="0"/>
                <w:color w:val="000000"/>
                <w:sz w:val="21"/>
                <w:szCs w:val="21"/>
                <w:u w:val="none"/>
                <w:lang w:eastAsia="zh-CN"/>
              </w:rPr>
            </w:pPr>
            <w:r>
              <w:rPr>
                <w:rFonts w:hint="eastAsia"/>
                <w:lang w:eastAsia="zh-CN"/>
              </w:rPr>
              <w:t>中山市港口镇大南莲池口水闸</w:t>
            </w:r>
          </w:p>
        </w:tc>
      </w:tr>
      <w:tr w14:paraId="5688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D03CCC0">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招标人联系人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024ECC0E">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李凌峰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F2CFB76">
            <w:pPr>
              <w:keepNext w:val="0"/>
              <w:keepLines w:val="0"/>
              <w:widowControl/>
              <w:suppressLineNumbers w:val="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联系电话</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0E3187B8">
            <w:pPr>
              <w:jc w:val="center"/>
              <w:rPr>
                <w:rFonts w:hint="eastAsia" w:ascii="宋体" w:hAnsi="宋体" w:eastAsia="宋体" w:cs="宋体"/>
                <w:i w:val="0"/>
                <w:color w:val="auto"/>
                <w:sz w:val="21"/>
                <w:szCs w:val="21"/>
                <w:highlight w:val="none"/>
                <w:u w:val="none"/>
                <w:lang w:eastAsia="zh-CN"/>
              </w:rPr>
            </w:pPr>
            <w:r>
              <w:rPr>
                <w:rFonts w:hint="eastAsia" w:asciiTheme="minorEastAsia" w:hAnsiTheme="minorEastAsia" w:eastAsiaTheme="minorEastAsia" w:cstheme="minorEastAsia"/>
                <w:color w:val="auto"/>
                <w:highlight w:val="none"/>
                <w:lang w:eastAsia="zh-CN"/>
              </w:rPr>
              <w:t>0760-88402625</w:t>
            </w:r>
          </w:p>
        </w:tc>
      </w:tr>
      <w:tr w14:paraId="53D7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E6BA8E3">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招标代理机构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432B29F9">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广东捷信工程咨询有限公司</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71729DD">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联系地址</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27E2436E">
            <w:pPr>
              <w:jc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中山市东区齐东新村横街3号一楼2卡</w:t>
            </w:r>
          </w:p>
        </w:tc>
      </w:tr>
      <w:tr w14:paraId="50AA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FEDD99D">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招标代理联系人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20F582C6">
            <w:pPr>
              <w:jc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易宪伟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C89D6B0">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联系电话</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0FA8B9DC">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0760-88618096</w:t>
            </w:r>
          </w:p>
        </w:tc>
      </w:tr>
      <w:tr w14:paraId="477F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2DFD2AD">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strike w:val="0"/>
                <w:dstrike w:val="0"/>
                <w:color w:val="000000"/>
                <w:kern w:val="0"/>
                <w:sz w:val="21"/>
                <w:szCs w:val="21"/>
                <w:u w:val="none"/>
                <w:lang w:val="en-US" w:eastAsia="zh-CN" w:bidi="ar"/>
              </w:rPr>
              <w:t>招标监督机构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36816DB0">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中山市港口镇城市建设和管理局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E727E4F">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strike w:val="0"/>
                <w:dstrike w:val="0"/>
                <w:color w:val="000000"/>
                <w:kern w:val="0"/>
                <w:sz w:val="21"/>
                <w:szCs w:val="21"/>
                <w:u w:val="none"/>
                <w:lang w:val="en-US" w:eastAsia="zh-CN" w:bidi="ar"/>
              </w:rPr>
              <w:t>联系电话</w:t>
            </w:r>
          </w:p>
        </w:tc>
        <w:tc>
          <w:tcPr>
            <w:tcW w:w="4378" w:type="dxa"/>
            <w:tcBorders>
              <w:top w:val="single" w:color="000000" w:sz="4" w:space="0"/>
              <w:left w:val="single" w:color="000000" w:sz="4" w:space="0"/>
              <w:bottom w:val="single" w:color="000000" w:sz="4" w:space="0"/>
              <w:right w:val="single" w:color="000000" w:sz="4" w:space="0"/>
            </w:tcBorders>
            <w:noWrap w:val="0"/>
            <w:vAlign w:val="center"/>
          </w:tcPr>
          <w:p w14:paraId="23995514">
            <w:pPr>
              <w:jc w:val="center"/>
              <w:rPr>
                <w:rFonts w:hint="default" w:ascii="宋体" w:hAnsi="宋体" w:eastAsia="宋体" w:cs="宋体"/>
                <w:i w:val="0"/>
                <w:color w:val="000000"/>
                <w:sz w:val="21"/>
                <w:szCs w:val="21"/>
                <w:u w:val="none"/>
                <w:lang w:val="en-US"/>
              </w:rPr>
            </w:pPr>
            <w:r>
              <w:rPr>
                <w:rFonts w:hint="eastAsia" w:ascii="宋体" w:hAnsi="宋体" w:cs="宋体"/>
                <w:i w:val="0"/>
                <w:color w:val="000000"/>
                <w:sz w:val="21"/>
                <w:szCs w:val="21"/>
                <w:highlight w:val="none"/>
                <w:u w:val="none"/>
                <w:lang w:val="en-US" w:eastAsia="zh-CN"/>
              </w:rPr>
              <w:t>0760-88405655</w:t>
            </w:r>
          </w:p>
        </w:tc>
      </w:tr>
      <w:tr w14:paraId="0971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43B8B4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其他依法应当载明的内容</w:t>
            </w:r>
          </w:p>
        </w:tc>
        <w:tc>
          <w:tcPr>
            <w:tcW w:w="7562" w:type="dxa"/>
            <w:gridSpan w:val="3"/>
            <w:tcBorders>
              <w:top w:val="single" w:color="000000" w:sz="4" w:space="0"/>
              <w:left w:val="single" w:color="000000" w:sz="4" w:space="0"/>
              <w:bottom w:val="single" w:color="000000" w:sz="4" w:space="0"/>
              <w:right w:val="single" w:color="000000" w:sz="4" w:space="0"/>
            </w:tcBorders>
            <w:noWrap w:val="0"/>
            <w:vAlign w:val="center"/>
          </w:tcPr>
          <w:p w14:paraId="0AA0AA07">
            <w:pPr>
              <w:spacing w:line="360" w:lineRule="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相关网址：</w:t>
            </w:r>
          </w:p>
          <w:p w14:paraId="512194F6">
            <w:pPr>
              <w:spacing w:line="360" w:lineRule="auto"/>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1 广东省公共资源交易平台（中山市）：https://ygp.gdzwfw.gov.cn/#/442000/index</w:t>
            </w:r>
          </w:p>
          <w:p w14:paraId="779E9B7D">
            <w:pPr>
              <w:spacing w:line="360" w:lineRule="auto"/>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2 广东省公共资源交易平台（交易系统）：https://ygp.gdzwfw.gov.cn/#/442000/jyxt</w:t>
            </w:r>
          </w:p>
          <w:p w14:paraId="50206A26">
            <w:pPr>
              <w:spacing w:line="360" w:lineRule="auto"/>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3 广东省招标投标监管网：http://zbtb.gd.gov.cn</w:t>
            </w:r>
          </w:p>
          <w:p w14:paraId="2C07BBA4">
            <w:pPr>
              <w:spacing w:line="360" w:lineRule="auto"/>
              <w:ind w:firstLine="420" w:firstLineChars="200"/>
              <w:jc w:val="left"/>
              <w:rPr>
                <w:rFonts w:hint="eastAsia" w:ascii="宋体" w:hAnsi="宋体" w:eastAsia="宋体" w:cs="宋体"/>
                <w:i w:val="0"/>
                <w:color w:val="000000"/>
                <w:sz w:val="21"/>
                <w:szCs w:val="21"/>
                <w:u w:val="none"/>
              </w:rPr>
            </w:pPr>
            <w:r>
              <w:rPr>
                <w:rFonts w:hint="eastAsia" w:ascii="宋体" w:hAnsi="宋体" w:eastAsia="宋体" w:cs="Times New Roman"/>
                <w:color w:val="auto"/>
                <w:szCs w:val="21"/>
                <w:lang w:eastAsia="zh-CN"/>
              </w:rPr>
              <w:t>4 中山市公共资源交易平台（公共服务系统）：https://www.zsjypt.cn/</w:t>
            </w:r>
          </w:p>
        </w:tc>
      </w:tr>
    </w:tbl>
    <w:p w14:paraId="457F8BEE">
      <w:pPr>
        <w:rPr>
          <w:rFonts w:hint="eastAsia"/>
        </w:rPr>
      </w:pPr>
      <w:r>
        <w:rPr>
          <w:rFonts w:hint="eastAsia"/>
        </w:rPr>
        <w:br w:type="page"/>
      </w:r>
    </w:p>
    <w:p w14:paraId="09349D3A">
      <w:pPr>
        <w:pStyle w:val="3"/>
        <w:jc w:val="center"/>
        <w:rPr>
          <w:szCs w:val="32"/>
        </w:rPr>
      </w:pPr>
      <w:bookmarkStart w:id="2" w:name="_Toc184635069"/>
      <w:r>
        <w:rPr>
          <w:rFonts w:hint="eastAsia"/>
          <w:szCs w:val="32"/>
        </w:rPr>
        <w:t>第二章 投标人须知</w:t>
      </w:r>
      <w:bookmarkEnd w:id="2"/>
    </w:p>
    <w:p w14:paraId="6F030C94">
      <w:pPr>
        <w:rPr>
          <w:rFonts w:hint="eastAsia"/>
        </w:rPr>
      </w:pPr>
    </w:p>
    <w:p w14:paraId="1FDD3938">
      <w:pPr>
        <w:pStyle w:val="5"/>
        <w:jc w:val="center"/>
        <w:rPr>
          <w:szCs w:val="24"/>
        </w:rPr>
      </w:pPr>
      <w:bookmarkStart w:id="3" w:name="_Toc184635070"/>
      <w:r>
        <w:rPr>
          <w:rFonts w:hint="eastAsia"/>
          <w:szCs w:val="24"/>
        </w:rPr>
        <w:t>投标人须知前附表</w:t>
      </w:r>
      <w:bookmarkEnd w:id="3"/>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957"/>
        <w:gridCol w:w="4495"/>
      </w:tblGrid>
      <w:tr w14:paraId="03CB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701F20B8">
            <w:pPr>
              <w:spacing w:line="360" w:lineRule="auto"/>
              <w:jc w:val="center"/>
              <w:rPr>
                <w:rFonts w:hint="eastAsia" w:ascii="宋体" w:hAnsi="宋体"/>
                <w:b/>
                <w:szCs w:val="21"/>
              </w:rPr>
            </w:pPr>
            <w:r>
              <w:rPr>
                <w:rFonts w:hint="eastAsia" w:ascii="宋体" w:hAnsi="宋体"/>
                <w:b/>
                <w:szCs w:val="21"/>
              </w:rPr>
              <w:t>条款号</w:t>
            </w:r>
          </w:p>
        </w:tc>
        <w:tc>
          <w:tcPr>
            <w:tcW w:w="3957" w:type="dxa"/>
            <w:noWrap w:val="0"/>
            <w:vAlign w:val="center"/>
          </w:tcPr>
          <w:p w14:paraId="5854BFE9">
            <w:pPr>
              <w:spacing w:line="360" w:lineRule="auto"/>
              <w:jc w:val="center"/>
              <w:rPr>
                <w:rFonts w:hint="eastAsia" w:ascii="宋体" w:hAnsi="宋体"/>
                <w:b/>
                <w:szCs w:val="21"/>
              </w:rPr>
            </w:pPr>
            <w:r>
              <w:rPr>
                <w:rFonts w:hint="eastAsia" w:ascii="宋体" w:hAnsi="宋体"/>
                <w:b/>
                <w:szCs w:val="21"/>
              </w:rPr>
              <w:t>条 款 名 称</w:t>
            </w:r>
          </w:p>
        </w:tc>
        <w:tc>
          <w:tcPr>
            <w:tcW w:w="4495" w:type="dxa"/>
            <w:noWrap w:val="0"/>
            <w:vAlign w:val="center"/>
          </w:tcPr>
          <w:p w14:paraId="28D81057">
            <w:pPr>
              <w:spacing w:line="360" w:lineRule="auto"/>
              <w:jc w:val="center"/>
              <w:rPr>
                <w:rFonts w:hint="eastAsia" w:ascii="宋体" w:hAnsi="宋体"/>
                <w:b/>
                <w:szCs w:val="21"/>
              </w:rPr>
            </w:pPr>
            <w:r>
              <w:rPr>
                <w:rFonts w:hint="eastAsia" w:ascii="宋体" w:hAnsi="宋体"/>
                <w:b/>
                <w:szCs w:val="21"/>
              </w:rPr>
              <w:t>编 列 内 容</w:t>
            </w:r>
          </w:p>
        </w:tc>
      </w:tr>
      <w:tr w14:paraId="5EA6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077" w:type="dxa"/>
            <w:noWrap w:val="0"/>
            <w:vAlign w:val="center"/>
          </w:tcPr>
          <w:p w14:paraId="193AA7C9">
            <w:pPr>
              <w:spacing w:line="360" w:lineRule="auto"/>
              <w:jc w:val="center"/>
              <w:rPr>
                <w:rFonts w:hint="eastAsia" w:ascii="宋体" w:hAnsi="宋体"/>
                <w:szCs w:val="21"/>
              </w:rPr>
            </w:pPr>
            <w:r>
              <w:rPr>
                <w:rFonts w:hint="eastAsia" w:ascii="宋体" w:hAnsi="宋体"/>
                <w:szCs w:val="21"/>
              </w:rPr>
              <w:t>1.1.2</w:t>
            </w:r>
          </w:p>
        </w:tc>
        <w:tc>
          <w:tcPr>
            <w:tcW w:w="3957" w:type="dxa"/>
            <w:noWrap w:val="0"/>
            <w:vAlign w:val="center"/>
          </w:tcPr>
          <w:p w14:paraId="0038D0D1">
            <w:pPr>
              <w:spacing w:line="360" w:lineRule="auto"/>
              <w:jc w:val="center"/>
              <w:rPr>
                <w:rFonts w:hint="eastAsia" w:ascii="宋体" w:hAnsi="宋体"/>
                <w:szCs w:val="21"/>
              </w:rPr>
            </w:pPr>
            <w:r>
              <w:rPr>
                <w:rFonts w:hint="eastAsia" w:ascii="宋体" w:hAnsi="宋体"/>
                <w:szCs w:val="21"/>
              </w:rPr>
              <w:t>招标人（建设单位）</w:t>
            </w:r>
          </w:p>
        </w:tc>
        <w:tc>
          <w:tcPr>
            <w:tcW w:w="4495" w:type="dxa"/>
            <w:noWrap w:val="0"/>
            <w:vAlign w:val="center"/>
          </w:tcPr>
          <w:p w14:paraId="4341DAAA">
            <w:pPr>
              <w:spacing w:line="360" w:lineRule="auto"/>
              <w:rPr>
                <w:rFonts w:hint="eastAsia" w:ascii="宋体" w:hAnsi="宋体"/>
                <w:szCs w:val="21"/>
              </w:rPr>
            </w:pPr>
            <w:r>
              <w:rPr>
                <w:rFonts w:hint="eastAsia" w:ascii="宋体" w:hAnsi="宋体"/>
                <w:szCs w:val="21"/>
              </w:rPr>
              <w:t>名称：</w:t>
            </w:r>
            <w:r>
              <w:t>中山市港口镇水务事务中心</w:t>
            </w:r>
          </w:p>
          <w:p w14:paraId="2C26B35E">
            <w:pPr>
              <w:spacing w:line="360" w:lineRule="auto"/>
              <w:rPr>
                <w:rFonts w:hint="eastAsia" w:ascii="宋体" w:hAnsi="宋体" w:eastAsia="宋体"/>
                <w:szCs w:val="21"/>
                <w:lang w:eastAsia="zh-CN"/>
              </w:rPr>
            </w:pPr>
            <w:r>
              <w:rPr>
                <w:rFonts w:hint="eastAsia" w:ascii="宋体" w:hAnsi="宋体"/>
                <w:szCs w:val="21"/>
              </w:rPr>
              <w:t>地址：</w:t>
            </w:r>
            <w:r>
              <w:rPr>
                <w:rFonts w:hint="eastAsia"/>
                <w:lang w:eastAsia="zh-CN"/>
              </w:rPr>
              <w:t>中山市港口镇大南莲池口水闸</w:t>
            </w:r>
          </w:p>
          <w:p w14:paraId="7CC3F06E">
            <w:pPr>
              <w:spacing w:line="360" w:lineRule="auto"/>
              <w:rPr>
                <w:rFonts w:hint="eastAsia" w:ascii="宋体" w:hAnsi="宋体"/>
                <w:szCs w:val="21"/>
              </w:rPr>
            </w:pPr>
            <w:r>
              <w:rPr>
                <w:rFonts w:hint="eastAsia" w:ascii="宋体" w:hAnsi="宋体"/>
                <w:szCs w:val="21"/>
              </w:rPr>
              <w:t>联系人</w:t>
            </w:r>
            <w:r>
              <w:rPr>
                <w:rFonts w:hint="eastAsia" w:ascii="宋体" w:hAnsi="宋体"/>
                <w:szCs w:val="21"/>
                <w:highlight w:val="none"/>
              </w:rPr>
              <w:t>：</w:t>
            </w:r>
            <w:r>
              <w:rPr>
                <w:rFonts w:hint="eastAsia" w:ascii="宋体" w:hAnsi="宋体" w:cs="宋体"/>
                <w:i w:val="0"/>
                <w:color w:val="000000"/>
                <w:sz w:val="21"/>
                <w:szCs w:val="21"/>
                <w:highlight w:val="none"/>
                <w:u w:val="none"/>
                <w:lang w:eastAsia="zh-CN"/>
              </w:rPr>
              <w:t>李凌峰</w:t>
            </w:r>
          </w:p>
          <w:p w14:paraId="00719462">
            <w:pPr>
              <w:spacing w:line="360" w:lineRule="auto"/>
              <w:rPr>
                <w:rFonts w:hint="eastAsia" w:ascii="宋体" w:hAnsi="宋体" w:eastAsia="宋体"/>
                <w:szCs w:val="21"/>
                <w:lang w:eastAsia="zh-CN"/>
              </w:rPr>
            </w:pPr>
            <w:r>
              <w:rPr>
                <w:rFonts w:hint="eastAsia" w:ascii="宋体" w:hAnsi="宋体"/>
                <w:szCs w:val="21"/>
              </w:rPr>
              <w:t>电话：</w:t>
            </w:r>
            <w:r>
              <w:rPr>
                <w:rFonts w:hint="eastAsia" w:asciiTheme="minorEastAsia" w:hAnsiTheme="minorEastAsia" w:eastAsiaTheme="minorEastAsia" w:cstheme="minorEastAsia"/>
                <w:lang w:eastAsia="zh-CN"/>
              </w:rPr>
              <w:t>0760-88402625</w:t>
            </w:r>
          </w:p>
        </w:tc>
      </w:tr>
      <w:tr w14:paraId="0302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77" w:type="dxa"/>
            <w:noWrap w:val="0"/>
            <w:vAlign w:val="center"/>
          </w:tcPr>
          <w:p w14:paraId="391D6B8E">
            <w:pPr>
              <w:spacing w:line="360" w:lineRule="auto"/>
              <w:jc w:val="center"/>
              <w:rPr>
                <w:rFonts w:hint="eastAsia" w:ascii="宋体" w:hAnsi="宋体"/>
                <w:szCs w:val="21"/>
              </w:rPr>
            </w:pPr>
            <w:r>
              <w:rPr>
                <w:rFonts w:hint="eastAsia" w:ascii="宋体" w:hAnsi="宋体"/>
                <w:szCs w:val="21"/>
              </w:rPr>
              <w:t>1.1.3</w:t>
            </w:r>
          </w:p>
        </w:tc>
        <w:tc>
          <w:tcPr>
            <w:tcW w:w="3957" w:type="dxa"/>
            <w:noWrap w:val="0"/>
            <w:vAlign w:val="center"/>
          </w:tcPr>
          <w:p w14:paraId="2BBF2726">
            <w:pPr>
              <w:spacing w:line="360" w:lineRule="auto"/>
              <w:jc w:val="center"/>
              <w:rPr>
                <w:rFonts w:hint="eastAsia" w:ascii="宋体" w:hAnsi="宋体"/>
                <w:szCs w:val="21"/>
              </w:rPr>
            </w:pPr>
            <w:r>
              <w:rPr>
                <w:rFonts w:hint="eastAsia" w:ascii="宋体" w:hAnsi="宋体"/>
                <w:szCs w:val="21"/>
              </w:rPr>
              <w:t>招标代理机构</w:t>
            </w:r>
          </w:p>
        </w:tc>
        <w:tc>
          <w:tcPr>
            <w:tcW w:w="4495" w:type="dxa"/>
            <w:noWrap w:val="0"/>
            <w:vAlign w:val="center"/>
          </w:tcPr>
          <w:p w14:paraId="3F304A09">
            <w:pPr>
              <w:spacing w:line="360" w:lineRule="auto"/>
              <w:rPr>
                <w:rFonts w:hint="eastAsia" w:ascii="宋体" w:hAnsi="宋体"/>
                <w:szCs w:val="21"/>
              </w:rPr>
            </w:pPr>
            <w:r>
              <w:rPr>
                <w:rFonts w:hint="eastAsia" w:ascii="宋体" w:hAnsi="宋体"/>
                <w:szCs w:val="21"/>
              </w:rPr>
              <w:t>名称：</w:t>
            </w:r>
            <w:r>
              <w:rPr>
                <w:rFonts w:hint="eastAsia" w:ascii="宋体" w:hAnsi="宋体" w:cs="宋体"/>
                <w:i w:val="0"/>
                <w:color w:val="000000"/>
                <w:sz w:val="21"/>
                <w:szCs w:val="21"/>
                <w:u w:val="none"/>
                <w:lang w:eastAsia="zh-CN"/>
              </w:rPr>
              <w:t>广东捷信工程咨询有限公司</w:t>
            </w:r>
          </w:p>
          <w:p w14:paraId="17DF8945">
            <w:pPr>
              <w:spacing w:line="360" w:lineRule="auto"/>
              <w:rPr>
                <w:rFonts w:hint="eastAsia" w:ascii="宋体" w:hAnsi="宋体" w:eastAsia="宋体"/>
                <w:szCs w:val="21"/>
                <w:lang w:eastAsia="zh-CN"/>
              </w:rPr>
            </w:pPr>
            <w:r>
              <w:rPr>
                <w:rFonts w:hint="eastAsia" w:ascii="宋体" w:hAnsi="宋体"/>
                <w:szCs w:val="21"/>
              </w:rPr>
              <w:t>地址：</w:t>
            </w:r>
            <w:r>
              <w:rPr>
                <w:rFonts w:hint="eastAsia" w:ascii="宋体" w:hAnsi="宋体" w:cs="宋体"/>
                <w:i w:val="0"/>
                <w:color w:val="000000"/>
                <w:sz w:val="21"/>
                <w:szCs w:val="21"/>
                <w:u w:val="none"/>
                <w:lang w:eastAsia="zh-CN"/>
              </w:rPr>
              <w:t>中山市东区齐东新村横街3号一楼2卡</w:t>
            </w:r>
          </w:p>
          <w:p w14:paraId="1ADCDA50">
            <w:pPr>
              <w:spacing w:line="360" w:lineRule="auto"/>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易宪伟</w:t>
            </w:r>
          </w:p>
          <w:p w14:paraId="40DD63D1">
            <w:pPr>
              <w:spacing w:line="360" w:lineRule="auto"/>
              <w:rPr>
                <w:rFonts w:hint="default" w:ascii="宋体" w:hAnsi="宋体" w:eastAsia="宋体"/>
                <w:szCs w:val="21"/>
                <w:lang w:val="en-US" w:eastAsia="zh-CN"/>
              </w:rPr>
            </w:pPr>
            <w:r>
              <w:rPr>
                <w:rFonts w:hint="eastAsia" w:ascii="宋体" w:hAnsi="宋体"/>
                <w:szCs w:val="21"/>
              </w:rPr>
              <w:t>电话：</w:t>
            </w:r>
            <w:r>
              <w:rPr>
                <w:rFonts w:hint="eastAsia" w:ascii="宋体" w:hAnsi="宋体"/>
                <w:szCs w:val="21"/>
                <w:lang w:val="en-US" w:eastAsia="zh-CN"/>
              </w:rPr>
              <w:t>0760-88618096</w:t>
            </w:r>
          </w:p>
        </w:tc>
      </w:tr>
      <w:tr w14:paraId="0BCE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14:paraId="673E08A2">
            <w:pPr>
              <w:spacing w:line="360" w:lineRule="auto"/>
              <w:jc w:val="center"/>
              <w:rPr>
                <w:rFonts w:hint="eastAsia" w:ascii="宋体" w:hAnsi="宋体"/>
                <w:szCs w:val="21"/>
              </w:rPr>
            </w:pPr>
            <w:r>
              <w:rPr>
                <w:rFonts w:hint="eastAsia" w:ascii="宋体" w:hAnsi="宋体"/>
                <w:szCs w:val="21"/>
              </w:rPr>
              <w:t>1.1.4</w:t>
            </w:r>
          </w:p>
        </w:tc>
        <w:tc>
          <w:tcPr>
            <w:tcW w:w="3957" w:type="dxa"/>
            <w:noWrap w:val="0"/>
            <w:vAlign w:val="center"/>
          </w:tcPr>
          <w:p w14:paraId="66153040">
            <w:pPr>
              <w:spacing w:line="360" w:lineRule="auto"/>
              <w:jc w:val="center"/>
              <w:rPr>
                <w:rFonts w:hint="eastAsia" w:ascii="宋体" w:hAnsi="宋体"/>
                <w:szCs w:val="21"/>
              </w:rPr>
            </w:pPr>
            <w:r>
              <w:rPr>
                <w:rFonts w:hint="eastAsia" w:ascii="宋体" w:hAnsi="宋体"/>
                <w:szCs w:val="21"/>
              </w:rPr>
              <w:t>项目名称</w:t>
            </w:r>
          </w:p>
        </w:tc>
        <w:tc>
          <w:tcPr>
            <w:tcW w:w="4495" w:type="dxa"/>
            <w:noWrap w:val="0"/>
            <w:vAlign w:val="center"/>
          </w:tcPr>
          <w:p w14:paraId="1551DD61">
            <w:pPr>
              <w:spacing w:line="360" w:lineRule="auto"/>
              <w:jc w:val="center"/>
              <w:rPr>
                <w:rFonts w:hint="eastAsia" w:ascii="宋体" w:hAnsi="宋体"/>
                <w:szCs w:val="21"/>
              </w:rPr>
            </w:pPr>
            <w:r>
              <w:rPr>
                <w:rFonts w:hint="eastAsia" w:ascii="宋体" w:hAnsi="宋体" w:cs="宋体"/>
                <w:i w:val="0"/>
                <w:color w:val="000000"/>
                <w:kern w:val="0"/>
                <w:sz w:val="21"/>
                <w:szCs w:val="21"/>
                <w:u w:val="none"/>
                <w:lang w:val="en-US" w:eastAsia="zh-CN" w:bidi="ar"/>
              </w:rPr>
              <w:t>港口镇水利设施维修加固工程</w:t>
            </w:r>
          </w:p>
        </w:tc>
      </w:tr>
      <w:tr w14:paraId="6B3A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14:paraId="238F1AE9">
            <w:pPr>
              <w:spacing w:line="360" w:lineRule="auto"/>
              <w:jc w:val="center"/>
              <w:rPr>
                <w:rFonts w:hint="eastAsia" w:ascii="宋体" w:hAnsi="宋体"/>
                <w:szCs w:val="21"/>
              </w:rPr>
            </w:pPr>
            <w:r>
              <w:rPr>
                <w:rFonts w:hint="eastAsia" w:ascii="宋体" w:hAnsi="宋体"/>
                <w:szCs w:val="21"/>
              </w:rPr>
              <w:t>1.1.5</w:t>
            </w:r>
          </w:p>
        </w:tc>
        <w:tc>
          <w:tcPr>
            <w:tcW w:w="3957" w:type="dxa"/>
            <w:noWrap w:val="0"/>
            <w:vAlign w:val="center"/>
          </w:tcPr>
          <w:p w14:paraId="0B327317">
            <w:pPr>
              <w:spacing w:line="360" w:lineRule="auto"/>
              <w:jc w:val="center"/>
              <w:rPr>
                <w:rFonts w:hint="eastAsia" w:ascii="宋体" w:hAnsi="宋体"/>
                <w:szCs w:val="21"/>
              </w:rPr>
            </w:pPr>
            <w:r>
              <w:rPr>
                <w:rFonts w:hint="eastAsia" w:ascii="宋体" w:hAnsi="宋体"/>
                <w:szCs w:val="21"/>
              </w:rPr>
              <w:t>建设地点</w:t>
            </w:r>
          </w:p>
        </w:tc>
        <w:tc>
          <w:tcPr>
            <w:tcW w:w="4495" w:type="dxa"/>
            <w:noWrap w:val="0"/>
            <w:vAlign w:val="center"/>
          </w:tcPr>
          <w:p w14:paraId="4B8B71F7">
            <w:pPr>
              <w:spacing w:line="360" w:lineRule="auto"/>
              <w:jc w:val="center"/>
              <w:rPr>
                <w:rFonts w:hint="eastAsia" w:ascii="宋体" w:hAnsi="宋体" w:eastAsia="宋体"/>
                <w:szCs w:val="21"/>
                <w:lang w:eastAsia="zh-CN"/>
              </w:rPr>
            </w:pPr>
            <w:r>
              <w:rPr>
                <w:rFonts w:hint="eastAsia" w:ascii="宋体" w:hAnsi="宋体" w:eastAsia="宋体" w:cs="宋体"/>
                <w:i w:val="0"/>
                <w:color w:val="000000"/>
                <w:kern w:val="0"/>
                <w:sz w:val="21"/>
                <w:szCs w:val="21"/>
                <w:highlight w:val="none"/>
                <w:u w:val="none"/>
                <w:lang w:val="en-US" w:eastAsia="zh-CN" w:bidi="ar"/>
              </w:rPr>
              <w:t>广东省</w:t>
            </w:r>
            <w:r>
              <w:rPr>
                <w:rFonts w:hint="eastAsia" w:ascii="宋体" w:hAnsi="宋体" w:cs="宋体"/>
                <w:i w:val="0"/>
                <w:color w:val="000000"/>
                <w:kern w:val="0"/>
                <w:sz w:val="21"/>
                <w:szCs w:val="21"/>
                <w:highlight w:val="none"/>
                <w:u w:val="none"/>
                <w:lang w:val="en-US" w:eastAsia="zh-CN" w:bidi="ar"/>
              </w:rPr>
              <w:t>中山市港口镇</w:t>
            </w:r>
          </w:p>
        </w:tc>
      </w:tr>
      <w:tr w14:paraId="2D2C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14:paraId="2D1BB03D">
            <w:pPr>
              <w:spacing w:line="360" w:lineRule="auto"/>
              <w:jc w:val="center"/>
              <w:rPr>
                <w:rFonts w:hint="eastAsia" w:ascii="宋体" w:hAnsi="宋体"/>
                <w:szCs w:val="21"/>
              </w:rPr>
            </w:pPr>
            <w:r>
              <w:rPr>
                <w:rFonts w:hint="eastAsia" w:ascii="宋体" w:hAnsi="宋体"/>
                <w:szCs w:val="21"/>
              </w:rPr>
              <w:t>1.2.1</w:t>
            </w:r>
          </w:p>
        </w:tc>
        <w:tc>
          <w:tcPr>
            <w:tcW w:w="3957" w:type="dxa"/>
            <w:noWrap w:val="0"/>
            <w:vAlign w:val="center"/>
          </w:tcPr>
          <w:p w14:paraId="2C208FCF">
            <w:pPr>
              <w:spacing w:line="360" w:lineRule="auto"/>
              <w:jc w:val="center"/>
              <w:rPr>
                <w:rFonts w:hint="eastAsia" w:ascii="宋体" w:hAnsi="宋体"/>
                <w:szCs w:val="21"/>
              </w:rPr>
            </w:pPr>
            <w:r>
              <w:rPr>
                <w:rFonts w:hint="eastAsia" w:ascii="宋体" w:hAnsi="宋体"/>
                <w:szCs w:val="21"/>
              </w:rPr>
              <w:t>资金来源</w:t>
            </w:r>
          </w:p>
        </w:tc>
        <w:tc>
          <w:tcPr>
            <w:tcW w:w="4495" w:type="dxa"/>
            <w:noWrap w:val="0"/>
            <w:vAlign w:val="center"/>
          </w:tcPr>
          <w:p w14:paraId="767E89E5">
            <w:pPr>
              <w:spacing w:line="360" w:lineRule="auto"/>
              <w:jc w:val="center"/>
              <w:rPr>
                <w:rFonts w:hint="eastAsia" w:ascii="宋体" w:hAnsi="宋体"/>
                <w:szCs w:val="21"/>
              </w:rPr>
            </w:pPr>
            <w:r>
              <w:rPr>
                <w:rFonts w:hint="eastAsia" w:ascii="宋体" w:hAnsi="宋体"/>
                <w:szCs w:val="21"/>
                <w:highlight w:val="none"/>
              </w:rPr>
              <w:t>镇级财政资金</w:t>
            </w:r>
          </w:p>
        </w:tc>
      </w:tr>
      <w:tr w14:paraId="0562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77" w:type="dxa"/>
            <w:noWrap w:val="0"/>
            <w:vAlign w:val="center"/>
          </w:tcPr>
          <w:p w14:paraId="0F9AA2F3">
            <w:pPr>
              <w:spacing w:line="360" w:lineRule="auto"/>
              <w:jc w:val="center"/>
              <w:rPr>
                <w:rFonts w:hint="eastAsia" w:ascii="宋体" w:hAnsi="宋体"/>
                <w:szCs w:val="21"/>
              </w:rPr>
            </w:pPr>
            <w:r>
              <w:rPr>
                <w:rFonts w:hint="eastAsia" w:ascii="宋体" w:hAnsi="宋体"/>
                <w:szCs w:val="21"/>
              </w:rPr>
              <w:t>1.2.2</w:t>
            </w:r>
          </w:p>
        </w:tc>
        <w:tc>
          <w:tcPr>
            <w:tcW w:w="3957" w:type="dxa"/>
            <w:noWrap w:val="0"/>
            <w:vAlign w:val="center"/>
          </w:tcPr>
          <w:p w14:paraId="1B1076F6">
            <w:pPr>
              <w:spacing w:line="360" w:lineRule="auto"/>
              <w:jc w:val="center"/>
              <w:rPr>
                <w:rFonts w:hint="eastAsia" w:ascii="宋体" w:hAnsi="宋体"/>
                <w:szCs w:val="21"/>
              </w:rPr>
            </w:pPr>
            <w:r>
              <w:rPr>
                <w:rFonts w:hint="eastAsia" w:ascii="宋体" w:hAnsi="宋体"/>
                <w:szCs w:val="21"/>
              </w:rPr>
              <w:t>出资比例</w:t>
            </w:r>
          </w:p>
        </w:tc>
        <w:tc>
          <w:tcPr>
            <w:tcW w:w="4495" w:type="dxa"/>
            <w:noWrap w:val="0"/>
            <w:vAlign w:val="center"/>
          </w:tcPr>
          <w:p w14:paraId="58043AC6">
            <w:pPr>
              <w:spacing w:line="360" w:lineRule="auto"/>
              <w:jc w:val="center"/>
              <w:rPr>
                <w:rFonts w:hint="eastAsia" w:ascii="宋体" w:hAnsi="宋体"/>
                <w:szCs w:val="21"/>
              </w:rPr>
            </w:pPr>
            <w:r>
              <w:rPr>
                <w:rFonts w:hint="eastAsia" w:ascii="宋体" w:hAnsi="宋体"/>
                <w:szCs w:val="21"/>
                <w:highlight w:val="none"/>
              </w:rPr>
              <w:t>1</w:t>
            </w:r>
            <w:r>
              <w:rPr>
                <w:rFonts w:ascii="宋体" w:hAnsi="宋体"/>
                <w:szCs w:val="21"/>
                <w:highlight w:val="none"/>
              </w:rPr>
              <w:t>00%</w:t>
            </w:r>
          </w:p>
        </w:tc>
      </w:tr>
      <w:tr w14:paraId="05C9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5E35D95C">
            <w:pPr>
              <w:spacing w:line="360" w:lineRule="auto"/>
              <w:jc w:val="center"/>
              <w:rPr>
                <w:rFonts w:hint="eastAsia" w:ascii="宋体" w:hAnsi="宋体"/>
                <w:szCs w:val="21"/>
              </w:rPr>
            </w:pPr>
            <w:r>
              <w:rPr>
                <w:rFonts w:hint="eastAsia" w:ascii="宋体" w:hAnsi="宋体"/>
                <w:szCs w:val="21"/>
              </w:rPr>
              <w:t>1.2.3</w:t>
            </w:r>
          </w:p>
        </w:tc>
        <w:tc>
          <w:tcPr>
            <w:tcW w:w="3957" w:type="dxa"/>
            <w:noWrap w:val="0"/>
            <w:vAlign w:val="center"/>
          </w:tcPr>
          <w:p w14:paraId="43F24F20">
            <w:pPr>
              <w:spacing w:line="360" w:lineRule="auto"/>
              <w:jc w:val="center"/>
              <w:rPr>
                <w:rFonts w:hint="eastAsia" w:ascii="宋体" w:hAnsi="宋体"/>
                <w:szCs w:val="21"/>
              </w:rPr>
            </w:pPr>
            <w:r>
              <w:rPr>
                <w:rFonts w:hint="eastAsia" w:ascii="宋体" w:hAnsi="宋体"/>
                <w:szCs w:val="21"/>
              </w:rPr>
              <w:t>资金落实情况</w:t>
            </w:r>
          </w:p>
        </w:tc>
        <w:tc>
          <w:tcPr>
            <w:tcW w:w="4495" w:type="dxa"/>
            <w:noWrap w:val="0"/>
            <w:vAlign w:val="center"/>
          </w:tcPr>
          <w:p w14:paraId="2A679693">
            <w:pPr>
              <w:spacing w:line="360" w:lineRule="auto"/>
              <w:jc w:val="center"/>
              <w:rPr>
                <w:rFonts w:hint="eastAsia" w:ascii="宋体" w:hAnsi="宋体"/>
                <w:szCs w:val="21"/>
              </w:rPr>
            </w:pPr>
            <w:r>
              <w:rPr>
                <w:rFonts w:hint="eastAsia" w:ascii="宋体" w:hAnsi="宋体"/>
                <w:szCs w:val="21"/>
                <w:highlight w:val="none"/>
              </w:rPr>
              <w:t>已落实</w:t>
            </w:r>
          </w:p>
        </w:tc>
      </w:tr>
      <w:tr w14:paraId="7DFD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7BE65676">
            <w:pPr>
              <w:spacing w:line="360" w:lineRule="auto"/>
              <w:jc w:val="center"/>
              <w:rPr>
                <w:rFonts w:hint="eastAsia" w:ascii="宋体" w:hAnsi="宋体"/>
                <w:szCs w:val="21"/>
              </w:rPr>
            </w:pPr>
            <w:r>
              <w:rPr>
                <w:rFonts w:hint="eastAsia" w:ascii="宋体" w:hAnsi="宋体"/>
                <w:szCs w:val="21"/>
              </w:rPr>
              <w:t>1.3.1</w:t>
            </w:r>
          </w:p>
        </w:tc>
        <w:tc>
          <w:tcPr>
            <w:tcW w:w="3957" w:type="dxa"/>
            <w:noWrap w:val="0"/>
            <w:vAlign w:val="center"/>
          </w:tcPr>
          <w:p w14:paraId="7EDB80D9">
            <w:pPr>
              <w:spacing w:line="360" w:lineRule="auto"/>
              <w:jc w:val="center"/>
              <w:rPr>
                <w:rFonts w:hint="eastAsia" w:ascii="宋体" w:hAnsi="宋体"/>
                <w:szCs w:val="21"/>
              </w:rPr>
            </w:pPr>
            <w:r>
              <w:rPr>
                <w:rFonts w:hint="eastAsia" w:ascii="宋体" w:hAnsi="宋体"/>
                <w:szCs w:val="21"/>
              </w:rPr>
              <w:t>招标范围</w:t>
            </w:r>
          </w:p>
        </w:tc>
        <w:tc>
          <w:tcPr>
            <w:tcW w:w="4495" w:type="dxa"/>
            <w:noWrap w:val="0"/>
            <w:vAlign w:val="center"/>
          </w:tcPr>
          <w:p w14:paraId="4DCBA3CA">
            <w:pPr>
              <w:keepNext w:val="0"/>
              <w:keepLines w:val="0"/>
              <w:pageBreakBefore w:val="0"/>
              <w:kinsoku/>
              <w:wordWrap/>
              <w:overflowPunct/>
              <w:topLinePunct w:val="0"/>
              <w:autoSpaceDE/>
              <w:autoSpaceDN/>
              <w:bidi w:val="0"/>
              <w:adjustRightInd/>
              <w:snapToGrid w:val="0"/>
              <w:spacing w:line="288" w:lineRule="auto"/>
              <w:textAlignment w:val="auto"/>
              <w:rPr>
                <w:rFonts w:hint="eastAsia" w:ascii="宋体" w:hAnsi="宋体"/>
                <w:szCs w:val="21"/>
              </w:rPr>
            </w:pPr>
            <w:r>
              <w:rPr>
                <w:rFonts w:hint="eastAsia" w:ascii="宋体" w:hAnsi="宋体" w:eastAsia="宋体" w:cs="宋体"/>
                <w:b w:val="0"/>
                <w:bCs w:val="0"/>
                <w:color w:val="auto"/>
                <w:kern w:val="2"/>
                <w:sz w:val="21"/>
                <w:szCs w:val="21"/>
                <w:highlight w:val="none"/>
                <w:lang w:val="en-US" w:eastAsia="zh-CN" w:bidi="ar-SA"/>
              </w:rPr>
              <w:t>本项目包括建筑工程、机电设备及安装工程、金属结构设备及安装工程和施工临时工程等，具体内容以招标人所提供的工程相关施工图和预算（或工程量清单)为准（包含施工图纸、中介预算及相关资料明示或隐含的工作内容)。本项目划分为一个标段。</w:t>
            </w:r>
          </w:p>
        </w:tc>
      </w:tr>
      <w:tr w14:paraId="2AA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77" w:type="dxa"/>
            <w:noWrap w:val="0"/>
            <w:vAlign w:val="center"/>
          </w:tcPr>
          <w:p w14:paraId="790B7045">
            <w:pPr>
              <w:spacing w:line="360" w:lineRule="auto"/>
              <w:jc w:val="center"/>
              <w:rPr>
                <w:rFonts w:hint="eastAsia" w:ascii="宋体" w:hAnsi="宋体"/>
                <w:szCs w:val="21"/>
              </w:rPr>
            </w:pPr>
            <w:r>
              <w:rPr>
                <w:rFonts w:hint="eastAsia" w:ascii="宋体" w:hAnsi="宋体"/>
                <w:szCs w:val="21"/>
              </w:rPr>
              <w:t>1.3.2</w:t>
            </w:r>
          </w:p>
        </w:tc>
        <w:tc>
          <w:tcPr>
            <w:tcW w:w="3957" w:type="dxa"/>
            <w:noWrap w:val="0"/>
            <w:vAlign w:val="center"/>
          </w:tcPr>
          <w:p w14:paraId="1DA312CB">
            <w:pPr>
              <w:spacing w:line="360" w:lineRule="auto"/>
              <w:jc w:val="center"/>
              <w:rPr>
                <w:rFonts w:hint="eastAsia" w:ascii="宋体" w:hAnsi="宋体"/>
                <w:szCs w:val="21"/>
              </w:rPr>
            </w:pPr>
            <w:r>
              <w:rPr>
                <w:rFonts w:hint="eastAsia" w:ascii="宋体" w:hAnsi="宋体"/>
                <w:szCs w:val="21"/>
              </w:rPr>
              <w:t>计划工期</w:t>
            </w:r>
          </w:p>
        </w:tc>
        <w:tc>
          <w:tcPr>
            <w:tcW w:w="4495" w:type="dxa"/>
            <w:noWrap w:val="0"/>
            <w:vAlign w:val="center"/>
          </w:tcPr>
          <w:p w14:paraId="5D051018">
            <w:pPr>
              <w:spacing w:line="360" w:lineRule="auto"/>
              <w:rPr>
                <w:rFonts w:hint="eastAsia" w:ascii="宋体" w:hAnsi="宋体"/>
                <w:szCs w:val="21"/>
                <w:highlight w:val="none"/>
              </w:rPr>
            </w:pPr>
            <w:r>
              <w:rPr>
                <w:rFonts w:hint="eastAsia" w:ascii="宋体" w:hAnsi="宋体"/>
                <w:szCs w:val="21"/>
              </w:rPr>
              <w:t>计划工期：</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547</w:t>
            </w:r>
            <w:r>
              <w:rPr>
                <w:rFonts w:hint="eastAsia" w:ascii="宋体" w:hAnsi="宋体"/>
                <w:szCs w:val="21"/>
                <w:highlight w:val="none"/>
                <w:u w:val="single"/>
              </w:rPr>
              <w:t xml:space="preserve"> </w:t>
            </w:r>
            <w:r>
              <w:rPr>
                <w:rFonts w:hint="eastAsia" w:ascii="宋体" w:hAnsi="宋体"/>
                <w:szCs w:val="21"/>
                <w:highlight w:val="none"/>
              </w:rPr>
              <w:t>日历天</w:t>
            </w:r>
          </w:p>
          <w:p w14:paraId="5EFB3F01">
            <w:pPr>
              <w:spacing w:line="360" w:lineRule="auto"/>
              <w:rPr>
                <w:rFonts w:hint="eastAsia" w:ascii="宋体" w:hAnsi="宋体"/>
                <w:szCs w:val="21"/>
                <w:highlight w:val="none"/>
              </w:rPr>
            </w:pPr>
            <w:r>
              <w:rPr>
                <w:rFonts w:hint="eastAsia" w:ascii="宋体" w:hAnsi="宋体"/>
                <w:szCs w:val="21"/>
                <w:highlight w:val="none"/>
              </w:rPr>
              <w:t>计划开工日期：</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2024</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11</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日</w:t>
            </w:r>
          </w:p>
          <w:p w14:paraId="7E00D810">
            <w:pPr>
              <w:spacing w:line="360" w:lineRule="auto"/>
              <w:rPr>
                <w:rFonts w:hint="eastAsia" w:ascii="宋体" w:hAnsi="宋体"/>
                <w:szCs w:val="21"/>
                <w:highlight w:val="none"/>
              </w:rPr>
            </w:pPr>
            <w:r>
              <w:rPr>
                <w:rFonts w:hint="eastAsia" w:ascii="宋体" w:hAnsi="宋体"/>
                <w:szCs w:val="21"/>
                <w:highlight w:val="none"/>
              </w:rPr>
              <w:t>计划竣工日期：</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2026</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05</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日</w:t>
            </w:r>
          </w:p>
          <w:p w14:paraId="0459D18F">
            <w:pPr>
              <w:spacing w:line="360" w:lineRule="auto"/>
              <w:rPr>
                <w:rFonts w:hint="eastAsia" w:ascii="宋体" w:hAnsi="宋体"/>
                <w:szCs w:val="21"/>
              </w:rPr>
            </w:pPr>
            <w:r>
              <w:rPr>
                <w:rFonts w:hint="eastAsia" w:ascii="宋体" w:hAnsi="宋体"/>
                <w:szCs w:val="21"/>
              </w:rPr>
              <w:t>除上述总工期外，发包人还要求以下阶段性</w:t>
            </w:r>
          </w:p>
          <w:p w14:paraId="65B69122">
            <w:pPr>
              <w:spacing w:line="360" w:lineRule="auto"/>
              <w:rPr>
                <w:rFonts w:hint="eastAsia" w:ascii="宋体" w:hAnsi="宋体"/>
                <w:szCs w:val="21"/>
                <w:u w:val="single"/>
              </w:rPr>
            </w:pPr>
            <w:r>
              <w:rPr>
                <w:rFonts w:hint="eastAsia" w:ascii="宋体" w:hAnsi="宋体"/>
                <w:szCs w:val="21"/>
              </w:rPr>
              <w:t>工期：</w:t>
            </w:r>
            <w:r>
              <w:rPr>
                <w:rFonts w:hint="eastAsia" w:ascii="宋体" w:hAnsi="宋体"/>
                <w:szCs w:val="21"/>
                <w:u w:val="single"/>
              </w:rPr>
              <w:t xml:space="preserve"> </w:t>
            </w:r>
            <w:r>
              <w:rPr>
                <w:rFonts w:hint="eastAsia" w:ascii="宋体" w:hAnsi="宋体"/>
                <w:color w:val="auto"/>
                <w:szCs w:val="21"/>
                <w:highlight w:val="none"/>
                <w:u w:val="single"/>
              </w:rPr>
              <w:t>计划开工及计划完工日期为暂定日期，具体施工节点由招标人根据工程项目实际制定，最终以合同签订时间为准，开工时间以监理人发出的开工令为准。</w:t>
            </w:r>
            <w:r>
              <w:rPr>
                <w:rFonts w:hint="eastAsia" w:ascii="宋体" w:hAnsi="宋体"/>
                <w:szCs w:val="21"/>
                <w:u w:val="single"/>
              </w:rPr>
              <w:t xml:space="preserve"> </w:t>
            </w:r>
          </w:p>
        </w:tc>
      </w:tr>
      <w:tr w14:paraId="60F2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366C7AC2">
            <w:pPr>
              <w:spacing w:line="360" w:lineRule="auto"/>
              <w:jc w:val="center"/>
              <w:rPr>
                <w:rFonts w:hint="eastAsia" w:ascii="宋体" w:hAnsi="宋体"/>
                <w:szCs w:val="21"/>
              </w:rPr>
            </w:pPr>
            <w:r>
              <w:rPr>
                <w:rFonts w:hint="eastAsia" w:ascii="宋体" w:hAnsi="宋体"/>
                <w:szCs w:val="21"/>
              </w:rPr>
              <w:t>1.3.3</w:t>
            </w:r>
          </w:p>
        </w:tc>
        <w:tc>
          <w:tcPr>
            <w:tcW w:w="3957" w:type="dxa"/>
            <w:noWrap w:val="0"/>
            <w:vAlign w:val="center"/>
          </w:tcPr>
          <w:p w14:paraId="3BA26CE0">
            <w:pPr>
              <w:spacing w:line="360" w:lineRule="auto"/>
              <w:jc w:val="center"/>
              <w:rPr>
                <w:rFonts w:hint="eastAsia" w:ascii="宋体" w:hAnsi="宋体"/>
                <w:szCs w:val="21"/>
              </w:rPr>
            </w:pPr>
            <w:r>
              <w:rPr>
                <w:rFonts w:hint="eastAsia" w:ascii="宋体" w:hAnsi="宋体"/>
                <w:szCs w:val="21"/>
              </w:rPr>
              <w:t>质量要求</w:t>
            </w:r>
          </w:p>
        </w:tc>
        <w:tc>
          <w:tcPr>
            <w:tcW w:w="4495" w:type="dxa"/>
            <w:noWrap w:val="0"/>
            <w:vAlign w:val="center"/>
          </w:tcPr>
          <w:p w14:paraId="13EDC0EB">
            <w:pPr>
              <w:spacing w:line="360" w:lineRule="auto"/>
              <w:jc w:val="center"/>
              <w:rPr>
                <w:rFonts w:hint="eastAsia" w:ascii="宋体" w:hAnsi="宋体"/>
                <w:szCs w:val="21"/>
              </w:rPr>
            </w:pPr>
            <w:r>
              <w:rPr>
                <w:rFonts w:hint="eastAsia" w:ascii="宋体" w:hAnsi="宋体"/>
                <w:szCs w:val="21"/>
              </w:rPr>
              <w:t>合格</w:t>
            </w:r>
          </w:p>
        </w:tc>
      </w:tr>
      <w:tr w14:paraId="36ED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3CFC683B">
            <w:pPr>
              <w:spacing w:line="360" w:lineRule="auto"/>
              <w:jc w:val="center"/>
              <w:rPr>
                <w:rFonts w:hint="eastAsia" w:ascii="宋体" w:hAnsi="宋体"/>
                <w:szCs w:val="21"/>
              </w:rPr>
            </w:pPr>
            <w:r>
              <w:rPr>
                <w:rFonts w:hint="eastAsia" w:ascii="宋体" w:hAnsi="宋体"/>
                <w:szCs w:val="21"/>
              </w:rPr>
              <w:t>1.3.4</w:t>
            </w:r>
          </w:p>
        </w:tc>
        <w:tc>
          <w:tcPr>
            <w:tcW w:w="3957" w:type="dxa"/>
            <w:noWrap w:val="0"/>
            <w:vAlign w:val="center"/>
          </w:tcPr>
          <w:p w14:paraId="0FEDDBCE">
            <w:pPr>
              <w:spacing w:line="360" w:lineRule="auto"/>
              <w:jc w:val="center"/>
              <w:rPr>
                <w:rFonts w:hint="eastAsia" w:ascii="宋体" w:hAnsi="宋体"/>
                <w:szCs w:val="21"/>
              </w:rPr>
            </w:pPr>
            <w:r>
              <w:rPr>
                <w:rFonts w:hint="eastAsia" w:ascii="宋体" w:hAnsi="宋体"/>
                <w:szCs w:val="21"/>
              </w:rPr>
              <w:t>安全文明施工</w:t>
            </w:r>
          </w:p>
        </w:tc>
        <w:tc>
          <w:tcPr>
            <w:tcW w:w="4495" w:type="dxa"/>
            <w:noWrap w:val="0"/>
            <w:vAlign w:val="center"/>
          </w:tcPr>
          <w:p w14:paraId="44159FE2">
            <w:pPr>
              <w:spacing w:line="360" w:lineRule="auto"/>
              <w:jc w:val="center"/>
              <w:rPr>
                <w:rFonts w:hint="eastAsia" w:ascii="宋体" w:hAnsi="宋体"/>
                <w:szCs w:val="21"/>
              </w:rPr>
            </w:pPr>
            <w:r>
              <w:rPr>
                <w:rFonts w:hint="eastAsia" w:ascii="宋体" w:hAnsi="宋体"/>
                <w:szCs w:val="21"/>
              </w:rPr>
              <w:t>合格</w:t>
            </w:r>
          </w:p>
        </w:tc>
      </w:tr>
      <w:tr w14:paraId="6E8E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7DE9D241">
            <w:pPr>
              <w:spacing w:line="360" w:lineRule="auto"/>
              <w:jc w:val="center"/>
              <w:rPr>
                <w:rFonts w:hint="eastAsia" w:ascii="宋体" w:hAnsi="宋体"/>
                <w:szCs w:val="21"/>
              </w:rPr>
            </w:pPr>
            <w:r>
              <w:rPr>
                <w:rFonts w:hint="eastAsia" w:ascii="宋体" w:hAnsi="宋体"/>
                <w:szCs w:val="21"/>
              </w:rPr>
              <w:t>1.4.1</w:t>
            </w:r>
          </w:p>
        </w:tc>
        <w:tc>
          <w:tcPr>
            <w:tcW w:w="3957" w:type="dxa"/>
            <w:noWrap w:val="0"/>
            <w:vAlign w:val="center"/>
          </w:tcPr>
          <w:p w14:paraId="2601C25B">
            <w:pPr>
              <w:spacing w:line="360" w:lineRule="auto"/>
              <w:jc w:val="center"/>
              <w:rPr>
                <w:rFonts w:hint="eastAsia" w:ascii="宋体" w:hAnsi="宋体"/>
                <w:szCs w:val="21"/>
              </w:rPr>
            </w:pPr>
            <w:r>
              <w:rPr>
                <w:rFonts w:hint="eastAsia" w:ascii="宋体" w:hAnsi="宋体"/>
                <w:szCs w:val="21"/>
              </w:rPr>
              <w:t>投标人资质条件、能力和信誉</w:t>
            </w:r>
            <w:r>
              <w:rPr>
                <w:rFonts w:hint="eastAsia" w:ascii="宋体" w:hAnsi="宋体" w:cs="宋体"/>
                <w:kern w:val="0"/>
                <w:szCs w:val="21"/>
              </w:rPr>
              <w:t>（联合体中有一个或一个以上成员属于“失信被执行人”的，联合体视为“失信被执行人”）</w:t>
            </w:r>
          </w:p>
        </w:tc>
        <w:tc>
          <w:tcPr>
            <w:tcW w:w="4495" w:type="dxa"/>
            <w:noWrap w:val="0"/>
            <w:vAlign w:val="center"/>
          </w:tcPr>
          <w:p w14:paraId="6CD5E6CD">
            <w:pPr>
              <w:pageBreakBefore w:val="0"/>
              <w:widowControl w:val="0"/>
              <w:kinsoku/>
              <w:wordWrap/>
              <w:overflowPunct/>
              <w:topLinePunct w:val="0"/>
              <w:autoSpaceDE/>
              <w:autoSpaceDN/>
              <w:bidi w:val="0"/>
              <w:adjustRightInd/>
              <w:snapToGrid w:val="0"/>
              <w:spacing w:line="312" w:lineRule="auto"/>
              <w:ind w:firstLine="422" w:firstLineChars="200"/>
              <w:textAlignment w:val="auto"/>
              <w:rPr>
                <w:rFonts w:hint="eastAsia"/>
                <w:highlight w:val="none"/>
              </w:rPr>
            </w:pPr>
            <w:r>
              <w:rPr>
                <w:rFonts w:hint="eastAsia" w:ascii="宋体" w:hAnsi="宋体"/>
                <w:b/>
                <w:szCs w:val="21"/>
                <w:highlight w:val="none"/>
              </w:rPr>
              <w:t>资质条件：</w:t>
            </w:r>
            <w:r>
              <w:rPr>
                <w:rFonts w:hint="eastAsia" w:ascii="宋体" w:hAnsi="宋体"/>
                <w:szCs w:val="21"/>
                <w:highlight w:val="none"/>
              </w:rPr>
              <w:t>投标人必须具备</w:t>
            </w:r>
            <w:r>
              <w:rPr>
                <w:rFonts w:hint="eastAsia" w:ascii="宋体" w:hAnsi="宋体"/>
                <w:szCs w:val="21"/>
                <w:highlight w:val="none"/>
                <w:u w:val="none"/>
                <w:lang w:eastAsia="zh-CN"/>
              </w:rPr>
              <w:t>水利水电工程施工总承包二级（或以上）资质</w:t>
            </w:r>
            <w:r>
              <w:rPr>
                <w:rFonts w:hint="eastAsia" w:ascii="宋体" w:hAnsi="宋体"/>
                <w:szCs w:val="21"/>
                <w:highlight w:val="none"/>
              </w:rPr>
              <w:t>；经过</w:t>
            </w:r>
            <w:r>
              <w:rPr>
                <w:rFonts w:hint="eastAsia" w:ascii="宋体" w:hAnsi="宋体" w:cs="宋体"/>
                <w:kern w:val="0"/>
                <w:szCs w:val="21"/>
                <w:highlight w:val="none"/>
              </w:rPr>
              <w:t>市场监督管理部门确定</w:t>
            </w:r>
            <w:r>
              <w:rPr>
                <w:rFonts w:hint="eastAsia" w:ascii="宋体" w:hAnsi="宋体"/>
                <w:szCs w:val="21"/>
                <w:highlight w:val="none"/>
              </w:rPr>
              <w:t>的具有独立法人资格的企业，且同时具有有效的安全生产许可证。</w:t>
            </w:r>
          </w:p>
          <w:p w14:paraId="422D1295">
            <w:pPr>
              <w:pageBreakBefore w:val="0"/>
              <w:widowControl w:val="0"/>
              <w:kinsoku/>
              <w:wordWrap/>
              <w:overflowPunct/>
              <w:topLinePunct w:val="0"/>
              <w:autoSpaceDE/>
              <w:autoSpaceDN/>
              <w:bidi w:val="0"/>
              <w:adjustRightInd/>
              <w:snapToGrid w:val="0"/>
              <w:spacing w:line="312" w:lineRule="auto"/>
              <w:ind w:firstLine="422" w:firstLineChars="200"/>
              <w:textAlignment w:val="auto"/>
              <w:rPr>
                <w:rFonts w:hint="eastAsia"/>
              </w:rPr>
            </w:pPr>
            <w:r>
              <w:rPr>
                <w:rFonts w:hint="eastAsia" w:ascii="宋体" w:hAnsi="宋体"/>
                <w:b/>
                <w:szCs w:val="21"/>
                <w:highlight w:val="none"/>
              </w:rPr>
              <w:t>项目负责人资格：</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水利水电工程</w:t>
            </w:r>
            <w:r>
              <w:rPr>
                <w:rFonts w:hint="eastAsia" w:ascii="宋体" w:hAnsi="宋体" w:eastAsia="宋体" w:cs="Times New Roman"/>
                <w:color w:val="auto"/>
                <w:sz w:val="21"/>
                <w:szCs w:val="21"/>
                <w:highlight w:val="none"/>
                <w:u w:val="single"/>
                <w:lang w:val="en-US" w:eastAsia="zh-CN"/>
              </w:rPr>
              <w:t>专业</w:t>
            </w:r>
            <w:r>
              <w:rPr>
                <w:rFonts w:hint="eastAsia" w:ascii="宋体" w:hAnsi="宋体" w:cs="Times New Roman"/>
                <w:color w:val="auto"/>
                <w:sz w:val="21"/>
                <w:szCs w:val="21"/>
                <w:highlight w:val="none"/>
                <w:u w:val="single"/>
                <w:lang w:val="en-US" w:eastAsia="zh-CN"/>
              </w:rPr>
              <w:t>二</w:t>
            </w:r>
            <w:r>
              <w:rPr>
                <w:rFonts w:hint="eastAsia" w:ascii="宋体" w:hAnsi="宋体" w:eastAsia="宋体" w:cs="Times New Roman"/>
                <w:color w:val="auto"/>
                <w:sz w:val="21"/>
                <w:szCs w:val="21"/>
                <w:highlight w:val="none"/>
                <w:u w:val="single"/>
                <w:lang w:val="en-US" w:eastAsia="zh-CN"/>
              </w:rPr>
              <w:t>级</w:t>
            </w:r>
            <w:r>
              <w:rPr>
                <w:rFonts w:hint="eastAsia" w:ascii="宋体" w:hAnsi="宋体"/>
                <w:szCs w:val="21"/>
                <w:highlight w:val="none"/>
              </w:rPr>
              <w:t>（含以上级别）注册建造师执业资格，且</w:t>
            </w:r>
            <w:r>
              <w:rPr>
                <w:rFonts w:ascii="Verdana" w:hAnsi="Verdana"/>
                <w:highlight w:val="none"/>
              </w:rPr>
              <w:t>取</w:t>
            </w:r>
            <w:r>
              <w:rPr>
                <w:rFonts w:ascii="Verdana" w:hAnsi="Verdana"/>
              </w:rPr>
              <w:t>得</w:t>
            </w:r>
            <w:r>
              <w:rPr>
                <w:rFonts w:hint="eastAsia" w:ascii="Verdana" w:hAnsi="Verdana"/>
              </w:rPr>
              <w:t>水利行业或</w:t>
            </w:r>
            <w:r>
              <w:rPr>
                <w:rFonts w:ascii="Verdana" w:hAnsi="Verdana"/>
              </w:rPr>
              <w:t>水利行政主管部门颁发的安全生产考核合格证书。</w:t>
            </w:r>
            <w:r>
              <w:rPr>
                <w:rFonts w:hint="eastAsia" w:ascii="宋体" w:hAnsi="宋体"/>
                <w:szCs w:val="21"/>
              </w:rPr>
              <w:t>注册建造师证书应与企业相符，专业不符或证企不符不予受理</w:t>
            </w:r>
            <w:r>
              <w:rPr>
                <w:rFonts w:hint="eastAsia" w:ascii="宋体" w:hAnsi="宋体"/>
                <w:szCs w:val="21"/>
                <w:lang w:eastAsia="zh-CN"/>
              </w:rPr>
              <w:t>。</w:t>
            </w:r>
          </w:p>
          <w:p w14:paraId="200BC46D">
            <w:pPr>
              <w:pStyle w:val="2"/>
              <w:pageBreakBefore w:val="0"/>
              <w:widowControl w:val="0"/>
              <w:kinsoku/>
              <w:wordWrap/>
              <w:overflowPunct/>
              <w:topLinePunct w:val="0"/>
              <w:autoSpaceDE/>
              <w:autoSpaceDN/>
              <w:bidi w:val="0"/>
              <w:adjustRightInd/>
              <w:snapToGrid w:val="0"/>
              <w:spacing w:line="312" w:lineRule="auto"/>
              <w:ind w:firstLine="421"/>
              <w:textAlignment w:val="auto"/>
              <w:rPr>
                <w:rFonts w:hint="eastAsia"/>
                <w:color w:val="auto"/>
                <w:highlight w:val="none"/>
                <w:lang w:val="en-US" w:eastAsia="zh-CN"/>
              </w:rPr>
            </w:pPr>
            <w:r>
              <w:rPr>
                <w:rFonts w:hint="eastAsia" w:ascii="宋体" w:hAnsi="宋体" w:cs="宋体"/>
                <w:szCs w:val="21"/>
                <w:lang w:val="en-US" w:eastAsia="zh-CN"/>
              </w:rPr>
              <w:t>投标人近3-5年已完成过质量合格的类似工程业绩要求：</w:t>
            </w:r>
            <w:r>
              <w:rPr>
                <w:rFonts w:hint="eastAsia" w:ascii="宋体" w:hAnsi="宋体" w:cs="宋体"/>
                <w:b w:val="0"/>
                <w:bCs w:val="0"/>
                <w:szCs w:val="21"/>
                <w:highlight w:val="none"/>
              </w:rPr>
              <w:t>投标人近3年（从招标公告发布之日起倒算）完成过质量合格的类似水利工程业绩要求（以工程完工验收（或竣工验收）时间为准）：</w:t>
            </w:r>
            <w:r>
              <w:rPr>
                <w:rFonts w:hint="eastAsia" w:ascii="宋体" w:hAnsi="宋体" w:cs="宋体"/>
                <w:b w:val="0"/>
                <w:bCs w:val="0"/>
                <w:color w:val="auto"/>
                <w:szCs w:val="21"/>
                <w:highlight w:val="none"/>
              </w:rPr>
              <w:t xml:space="preserve"> </w:t>
            </w:r>
            <w:r>
              <w:rPr>
                <w:rFonts w:hint="eastAsia" w:ascii="宋体" w:hAnsi="宋体" w:eastAsia="宋体" w:cs="宋体"/>
                <w:b w:val="0"/>
                <w:bCs w:val="0"/>
                <w:color w:val="auto"/>
                <w:kern w:val="2"/>
                <w:sz w:val="21"/>
                <w:szCs w:val="21"/>
                <w:highlight w:val="none"/>
                <w:lang w:val="en-US" w:eastAsia="zh-CN" w:bidi="ar-SA"/>
              </w:rPr>
              <w:t>至少完成过一个单项工程合同价</w:t>
            </w:r>
            <w:r>
              <w:rPr>
                <w:rFonts w:hint="eastAsia" w:ascii="宋体" w:hAnsi="宋体" w:cs="宋体"/>
                <w:b w:val="0"/>
                <w:bCs w:val="0"/>
                <w:color w:val="auto"/>
                <w:kern w:val="2"/>
                <w:sz w:val="21"/>
                <w:szCs w:val="21"/>
                <w:highlight w:val="none"/>
                <w:lang w:val="en-US" w:eastAsia="zh-CN" w:bidi="ar-SA"/>
              </w:rPr>
              <w:t>700</w:t>
            </w:r>
            <w:r>
              <w:rPr>
                <w:rFonts w:hint="eastAsia" w:ascii="宋体" w:hAnsi="宋体" w:eastAsia="宋体" w:cs="宋体"/>
                <w:b w:val="0"/>
                <w:bCs w:val="0"/>
                <w:color w:val="auto"/>
                <w:kern w:val="2"/>
                <w:sz w:val="21"/>
                <w:szCs w:val="21"/>
                <w:highlight w:val="none"/>
                <w:lang w:val="en-US" w:eastAsia="zh-CN" w:bidi="ar-SA"/>
              </w:rPr>
              <w:t>万或以上的</w:t>
            </w:r>
            <w:r>
              <w:rPr>
                <w:rFonts w:hint="eastAsia" w:ascii="宋体" w:hAnsi="宋体" w:cs="宋体"/>
                <w:b w:val="0"/>
                <w:bCs w:val="0"/>
                <w:color w:val="auto"/>
                <w:szCs w:val="21"/>
                <w:highlight w:val="none"/>
              </w:rPr>
              <w:t>水闸</w:t>
            </w:r>
            <w:r>
              <w:rPr>
                <w:rFonts w:hint="eastAsia" w:ascii="宋体" w:hAnsi="宋体" w:cs="宋体"/>
                <w:b w:val="0"/>
                <w:bCs w:val="0"/>
                <w:color w:val="auto"/>
                <w:szCs w:val="21"/>
                <w:highlight w:val="none"/>
                <w:lang w:eastAsia="zh-CN"/>
              </w:rPr>
              <w:t>工程</w:t>
            </w:r>
            <w:r>
              <w:rPr>
                <w:rFonts w:hint="eastAsia" w:ascii="宋体" w:hAnsi="宋体" w:cs="宋体"/>
                <w:b w:val="0"/>
                <w:bCs w:val="0"/>
                <w:color w:val="auto"/>
                <w:szCs w:val="21"/>
                <w:highlight w:val="none"/>
              </w:rPr>
              <w:t>或泵站工程</w:t>
            </w:r>
            <w:r>
              <w:rPr>
                <w:rFonts w:hint="eastAsia" w:ascii="宋体" w:hAnsi="宋体" w:cs="宋体"/>
                <w:b w:val="0"/>
                <w:bCs w:val="0"/>
                <w:color w:val="auto"/>
                <w:szCs w:val="21"/>
                <w:highlight w:val="none"/>
                <w:lang w:eastAsia="zh-CN"/>
              </w:rPr>
              <w:t>。</w:t>
            </w:r>
          </w:p>
          <w:p w14:paraId="1E031E9A">
            <w:pPr>
              <w:pageBreakBefore w:val="0"/>
              <w:widowControl w:val="0"/>
              <w:kinsoku/>
              <w:wordWrap/>
              <w:overflowPunct/>
              <w:topLinePunct w:val="0"/>
              <w:autoSpaceDE/>
              <w:autoSpaceDN/>
              <w:bidi w:val="0"/>
              <w:adjustRightInd/>
              <w:snapToGrid w:val="0"/>
              <w:spacing w:line="312" w:lineRule="auto"/>
              <w:ind w:firstLine="422" w:firstLineChars="200"/>
              <w:textAlignment w:val="auto"/>
              <w:rPr>
                <w:rFonts w:hint="eastAsia" w:ascii="宋体" w:hAnsi="宋体"/>
                <w:b/>
                <w:szCs w:val="21"/>
              </w:rPr>
            </w:pPr>
            <w:r>
              <w:rPr>
                <w:rFonts w:hint="eastAsia" w:ascii="宋体" w:hAnsi="宋体"/>
                <w:b/>
                <w:szCs w:val="21"/>
              </w:rPr>
              <w:t>诚信要求：</w:t>
            </w:r>
          </w:p>
          <w:p w14:paraId="66370656">
            <w:pPr>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kern w:val="0"/>
                <w:szCs w:val="21"/>
              </w:rPr>
            </w:pPr>
            <w:r>
              <w:rPr>
                <w:rFonts w:hint="eastAsia" w:ascii="宋体" w:hAnsi="宋体"/>
                <w:szCs w:val="21"/>
              </w:rPr>
              <w:t>（1）不接受在“信用中国”网站（网址：www.creditchina.gov.cn）中被确定为“失信被执行人”（且在公布有效期内）的投标人进行投标〔投标单位须在投标文件提供在“信用中国”网站上下载的信用报告（有信用中国水印）作为未被确定为“失信被执行人”的证明。〕</w:t>
            </w:r>
          </w:p>
          <w:p w14:paraId="6E2DA046">
            <w:pPr>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kern w:val="0"/>
                <w:szCs w:val="21"/>
              </w:rPr>
            </w:pPr>
            <w:r>
              <w:rPr>
                <w:rFonts w:hint="eastAsia" w:ascii="宋体" w:hAnsi="宋体" w:cs="宋体"/>
                <w:kern w:val="0"/>
                <w:szCs w:val="21"/>
              </w:rPr>
              <w:t>（2）不接受在“国家企业信用信息公示系统”（网址：</w:t>
            </w:r>
            <w:r>
              <w:rPr>
                <w:rFonts w:ascii="宋体" w:hAnsi="宋体" w:cs="宋体"/>
                <w:kern w:val="0"/>
                <w:szCs w:val="21"/>
              </w:rPr>
              <w:t>http://</w:t>
            </w:r>
            <w:r>
              <w:rPr>
                <w:rFonts w:hint="eastAsia" w:ascii="宋体" w:hAnsi="宋体" w:cs="宋体"/>
                <w:kern w:val="0"/>
                <w:szCs w:val="21"/>
              </w:rPr>
              <w:t>www.gsxt.gov.cn）中被列入严重违法失信企业名单（且在公布有效期内）的企业参与投标。</w:t>
            </w:r>
            <w:r>
              <w:rPr>
                <w:rFonts w:hint="eastAsia" w:ascii="宋体" w:hAnsi="宋体"/>
                <w:szCs w:val="21"/>
              </w:rPr>
              <w:t>〔投标单位须在投标文件提供</w:t>
            </w:r>
            <w:r>
              <w:rPr>
                <w:rFonts w:hint="eastAsia" w:ascii="宋体" w:hAnsi="宋体" w:cs="宋体"/>
                <w:kern w:val="0"/>
                <w:szCs w:val="21"/>
              </w:rPr>
              <w:t>“国家企业信用信息公示系统”网站查询页面截图加盖单位公章。〕</w:t>
            </w:r>
          </w:p>
          <w:p w14:paraId="04A118B8">
            <w:pPr>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kern w:val="0"/>
                <w:szCs w:val="21"/>
                <w:lang w:eastAsia="zh-CN"/>
              </w:rPr>
            </w:pP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w:t>
            </w:r>
            <w:r>
              <w:rPr>
                <w:rFonts w:hint="eastAsia" w:ascii="宋体" w:hAnsi="宋体" w:cs="宋体"/>
                <w:kern w:val="0"/>
                <w:szCs w:val="21"/>
                <w:lang w:eastAsia="zh-CN"/>
              </w:rPr>
              <w:t>投标单位须</w:t>
            </w:r>
            <w:r>
              <w:rPr>
                <w:rFonts w:hint="eastAsia" w:ascii="宋体" w:hAnsi="宋体" w:cs="宋体"/>
                <w:kern w:val="0"/>
                <w:szCs w:val="21"/>
              </w:rPr>
              <w:t>对企业行为作出信用承诺，否则按废标处理。（提供信用承诺书，格式按本招标文件提供格式）</w:t>
            </w:r>
          </w:p>
          <w:p w14:paraId="4C9D2963">
            <w:pPr>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kern w:val="0"/>
                <w:szCs w:val="21"/>
              </w:rPr>
            </w:pPr>
            <w:r>
              <w:rPr>
                <w:rFonts w:hint="eastAsia" w:ascii="宋体" w:hAnsi="宋体" w:cs="宋体"/>
                <w:kern w:val="0"/>
                <w:szCs w:val="21"/>
              </w:rPr>
              <w:t>注：开标时，由招标代理现场登录</w:t>
            </w:r>
            <w:r>
              <w:rPr>
                <w:rFonts w:hint="eastAsia" w:ascii="宋体" w:hAnsi="宋体" w:cs="宋体"/>
                <w:kern w:val="0"/>
                <w:szCs w:val="21"/>
                <w:lang w:eastAsia="zh-CN"/>
              </w:rPr>
              <w:t>以上平台</w:t>
            </w:r>
            <w:r>
              <w:rPr>
                <w:rFonts w:hint="eastAsia" w:ascii="宋体" w:hAnsi="宋体" w:cs="宋体"/>
                <w:kern w:val="0"/>
                <w:szCs w:val="21"/>
              </w:rPr>
              <w:t>，复核所有投标人的信用情况，并提供给评标专家委员会作为评审依据。如查实投标人在上述</w:t>
            </w:r>
            <w:r>
              <w:rPr>
                <w:rFonts w:hint="eastAsia" w:ascii="宋体" w:hAnsi="宋体" w:cs="宋体"/>
                <w:kern w:val="0"/>
                <w:szCs w:val="21"/>
                <w:lang w:eastAsia="zh-CN"/>
              </w:rPr>
              <w:t>平台</w:t>
            </w:r>
            <w:r>
              <w:rPr>
                <w:rFonts w:hint="eastAsia" w:ascii="宋体" w:hAnsi="宋体" w:cs="宋体"/>
                <w:kern w:val="0"/>
                <w:szCs w:val="21"/>
              </w:rPr>
              <w:t>被记有所列不接受投标情形的记录或投标文件未按要求提供查询页面截图加盖单位公章的，则由评标委员会否决其投标。</w:t>
            </w:r>
          </w:p>
          <w:p w14:paraId="61B5BBF0">
            <w:pPr>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lang w:val="en-US" w:eastAsia="zh-CN"/>
              </w:rPr>
            </w:pPr>
            <w:r>
              <w:rPr>
                <w:rFonts w:hint="eastAsia" w:ascii="宋体" w:hAnsi="宋体" w:cs="宋体"/>
                <w:kern w:val="0"/>
                <w:szCs w:val="21"/>
                <w:lang w:eastAsia="zh-CN"/>
              </w:rPr>
              <w:t>投标</w:t>
            </w:r>
            <w:r>
              <w:rPr>
                <w:rFonts w:hint="eastAsia" w:ascii="宋体" w:hAnsi="宋体" w:cs="宋体"/>
                <w:kern w:val="0"/>
                <w:szCs w:val="21"/>
                <w:lang w:val="en-US" w:eastAsia="zh-CN"/>
              </w:rPr>
              <w:t>文件</w:t>
            </w:r>
            <w:r>
              <w:rPr>
                <w:rFonts w:hint="eastAsia" w:ascii="宋体" w:hAnsi="宋体" w:cs="宋体"/>
                <w:kern w:val="0"/>
                <w:szCs w:val="21"/>
                <w:lang w:eastAsia="zh-CN"/>
              </w:rPr>
              <w:t>所提供的网站查询页面截图应与开标现场复核结果一致，否则将按照“弄虚作假”认定处理。</w:t>
            </w:r>
          </w:p>
          <w:p w14:paraId="39D33F99">
            <w:pPr>
              <w:pageBreakBefore w:val="0"/>
              <w:widowControl w:val="0"/>
              <w:kinsoku/>
              <w:wordWrap/>
              <w:overflowPunct/>
              <w:topLinePunct w:val="0"/>
              <w:autoSpaceDE/>
              <w:autoSpaceDN/>
              <w:bidi w:val="0"/>
              <w:adjustRightInd/>
              <w:snapToGrid w:val="0"/>
              <w:spacing w:line="312" w:lineRule="auto"/>
              <w:ind w:firstLine="422" w:firstLineChars="200"/>
              <w:textAlignment w:val="auto"/>
              <w:rPr>
                <w:rFonts w:hint="eastAsia" w:ascii="宋体" w:hAnsi="宋体" w:cs="宋体"/>
                <w:kern w:val="0"/>
                <w:szCs w:val="21"/>
              </w:rPr>
            </w:pPr>
            <w:r>
              <w:rPr>
                <w:rFonts w:hint="eastAsia" w:ascii="宋体" w:hAnsi="宋体" w:cs="宋体"/>
                <w:b/>
                <w:bCs/>
                <w:kern w:val="0"/>
                <w:szCs w:val="21"/>
              </w:rPr>
              <w:t>其他要求</w:t>
            </w:r>
            <w:r>
              <w:rPr>
                <w:rFonts w:hint="eastAsia" w:ascii="宋体" w:hAnsi="宋体" w:cs="宋体"/>
                <w:kern w:val="0"/>
                <w:szCs w:val="21"/>
              </w:rPr>
              <w:t>：</w:t>
            </w:r>
          </w:p>
          <w:p w14:paraId="4021C0FA">
            <w:pPr>
              <w:pageBreakBefore w:val="0"/>
              <w:widowControl w:val="0"/>
              <w:numPr>
                <w:ilvl w:val="0"/>
                <w:numId w:val="0"/>
              </w:numPr>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专职安全员（或安全主任）取得水利行业或水利行政主管部门颁发的安全生产考核合格证书。</w:t>
            </w:r>
          </w:p>
          <w:p w14:paraId="47143934">
            <w:pPr>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项目技术负责人应具有水利水电类</w:t>
            </w:r>
            <w:r>
              <w:rPr>
                <w:rFonts w:ascii="宋体" w:hAnsi="宋体"/>
                <w:szCs w:val="21"/>
                <w:highlight w:val="none"/>
              </w:rPr>
              <w:t>专业工程师或以上职称</w:t>
            </w:r>
            <w:r>
              <w:rPr>
                <w:rFonts w:hint="eastAsia" w:ascii="宋体" w:hAnsi="宋体" w:cs="宋体"/>
                <w:kern w:val="0"/>
                <w:szCs w:val="21"/>
                <w:highlight w:val="none"/>
              </w:rPr>
              <w:t>。</w:t>
            </w:r>
          </w:p>
        </w:tc>
      </w:tr>
      <w:tr w14:paraId="561B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5110DA68">
            <w:pPr>
              <w:spacing w:line="360" w:lineRule="auto"/>
              <w:jc w:val="center"/>
              <w:rPr>
                <w:rFonts w:hint="eastAsia" w:ascii="宋体" w:hAnsi="宋体"/>
                <w:szCs w:val="21"/>
              </w:rPr>
            </w:pPr>
            <w:r>
              <w:rPr>
                <w:rFonts w:hint="eastAsia" w:ascii="宋体" w:hAnsi="宋体"/>
                <w:szCs w:val="21"/>
              </w:rPr>
              <w:t>1.4.2</w:t>
            </w:r>
          </w:p>
        </w:tc>
        <w:tc>
          <w:tcPr>
            <w:tcW w:w="3957" w:type="dxa"/>
            <w:noWrap w:val="0"/>
            <w:vAlign w:val="center"/>
          </w:tcPr>
          <w:p w14:paraId="2E504540">
            <w:pPr>
              <w:spacing w:line="360" w:lineRule="auto"/>
              <w:jc w:val="center"/>
              <w:rPr>
                <w:rFonts w:hint="eastAsia" w:ascii="宋体" w:hAnsi="宋体"/>
                <w:szCs w:val="21"/>
              </w:rPr>
            </w:pPr>
            <w:r>
              <w:rPr>
                <w:rFonts w:hint="eastAsia" w:ascii="宋体" w:hAnsi="宋体"/>
                <w:szCs w:val="21"/>
              </w:rPr>
              <w:t>是否接受联合体投标</w:t>
            </w:r>
          </w:p>
        </w:tc>
        <w:tc>
          <w:tcPr>
            <w:tcW w:w="4495" w:type="dxa"/>
            <w:noWrap w:val="0"/>
            <w:vAlign w:val="center"/>
          </w:tcPr>
          <w:p w14:paraId="1DFD1E79">
            <w:pPr>
              <w:numPr>
                <w:ilvl w:val="0"/>
                <w:numId w:val="0"/>
              </w:numPr>
              <w:spacing w:line="360" w:lineRule="auto"/>
              <w:ind w:left="360" w:leftChars="0" w:hanging="360" w:firstLineChars="0"/>
              <w:rPr>
                <w:rFonts w:hint="eastAsia" w:ascii="宋体" w:hAnsi="宋体"/>
                <w:szCs w:val="21"/>
              </w:rPr>
            </w:pPr>
            <w:r>
              <w:rPr>
                <w:rFonts w:hint="eastAsia" w:ascii="宋体" w:hAnsi="宋体" w:cs="宋体"/>
                <w:szCs w:val="21"/>
                <w:highlight w:val="none"/>
              </w:rPr>
              <w:t>▇</w:t>
            </w:r>
            <w:r>
              <w:rPr>
                <w:rFonts w:hint="eastAsia" w:ascii="宋体" w:hAnsi="宋体"/>
                <w:szCs w:val="21"/>
              </w:rPr>
              <w:t>不接受</w:t>
            </w:r>
          </w:p>
          <w:p w14:paraId="7ED3A8E9">
            <w:pPr>
              <w:numPr>
                <w:ilvl w:val="0"/>
                <w:numId w:val="0"/>
              </w:numPr>
              <w:spacing w:line="360" w:lineRule="auto"/>
              <w:ind w:left="360" w:leftChars="0" w:hanging="360"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接受,应满足下列要求:</w:t>
            </w:r>
          </w:p>
        </w:tc>
      </w:tr>
      <w:tr w14:paraId="2E98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77" w:type="dxa"/>
            <w:noWrap w:val="0"/>
            <w:vAlign w:val="center"/>
          </w:tcPr>
          <w:p w14:paraId="4309D390">
            <w:pPr>
              <w:spacing w:line="360" w:lineRule="auto"/>
              <w:jc w:val="center"/>
              <w:rPr>
                <w:rFonts w:hint="eastAsia" w:ascii="宋体" w:hAnsi="宋体"/>
                <w:szCs w:val="21"/>
              </w:rPr>
            </w:pPr>
            <w:r>
              <w:rPr>
                <w:rFonts w:hint="eastAsia" w:ascii="宋体" w:hAnsi="宋体"/>
                <w:szCs w:val="21"/>
              </w:rPr>
              <w:t>1.9.1</w:t>
            </w:r>
          </w:p>
        </w:tc>
        <w:tc>
          <w:tcPr>
            <w:tcW w:w="3957" w:type="dxa"/>
            <w:noWrap w:val="0"/>
            <w:vAlign w:val="center"/>
          </w:tcPr>
          <w:p w14:paraId="19D7F2D8">
            <w:pPr>
              <w:spacing w:line="360" w:lineRule="auto"/>
              <w:jc w:val="center"/>
              <w:rPr>
                <w:rFonts w:hint="eastAsia" w:ascii="宋体" w:hAnsi="宋体"/>
                <w:szCs w:val="21"/>
              </w:rPr>
            </w:pPr>
            <w:r>
              <w:rPr>
                <w:rFonts w:hint="eastAsia" w:ascii="宋体" w:hAnsi="宋体"/>
                <w:szCs w:val="21"/>
              </w:rPr>
              <w:t>踏勘现场</w:t>
            </w:r>
          </w:p>
        </w:tc>
        <w:tc>
          <w:tcPr>
            <w:tcW w:w="4495" w:type="dxa"/>
            <w:noWrap w:val="0"/>
            <w:vAlign w:val="center"/>
          </w:tcPr>
          <w:p w14:paraId="309919BE">
            <w:pPr>
              <w:spacing w:line="320" w:lineRule="exact"/>
              <w:rPr>
                <w:rFonts w:hint="eastAsia" w:ascii="宋体" w:hAnsi="宋体"/>
                <w:szCs w:val="21"/>
              </w:rPr>
            </w:pPr>
            <w:r>
              <w:rPr>
                <w:rFonts w:hint="eastAsia" w:ascii="宋体" w:hAnsi="宋体"/>
                <w:szCs w:val="21"/>
              </w:rPr>
              <w:t>一般情况下不集中踏勘现场。</w:t>
            </w:r>
          </w:p>
          <w:p w14:paraId="5111BB07">
            <w:pPr>
              <w:numPr>
                <w:ilvl w:val="0"/>
                <w:numId w:val="0"/>
              </w:numPr>
              <w:spacing w:line="320" w:lineRule="exact"/>
              <w:ind w:left="360" w:leftChars="0" w:hanging="360" w:firstLineChars="0"/>
              <w:rPr>
                <w:rFonts w:hint="eastAsia" w:ascii="宋体" w:hAnsi="宋体"/>
                <w:szCs w:val="21"/>
              </w:rPr>
            </w:pPr>
            <w:r>
              <w:rPr>
                <w:rFonts w:hint="eastAsia" w:ascii="宋体" w:hAnsi="宋体" w:cs="宋体"/>
                <w:szCs w:val="21"/>
                <w:highlight w:val="none"/>
              </w:rPr>
              <w:t>▇</w:t>
            </w:r>
            <w:r>
              <w:rPr>
                <w:rFonts w:hint="eastAsia" w:ascii="宋体" w:hAnsi="宋体"/>
                <w:szCs w:val="21"/>
              </w:rPr>
              <w:t>不组织踏勘现场</w:t>
            </w:r>
          </w:p>
          <w:p w14:paraId="04E2C5EE">
            <w:pPr>
              <w:numPr>
                <w:ilvl w:val="0"/>
                <w:numId w:val="0"/>
              </w:numPr>
              <w:spacing w:line="320" w:lineRule="exact"/>
              <w:ind w:left="360" w:leftChars="0" w:hanging="360"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组织踏勘现场,</w:t>
            </w:r>
          </w:p>
          <w:p w14:paraId="6212618A">
            <w:pPr>
              <w:numPr>
                <w:ilvl w:val="0"/>
                <w:numId w:val="0"/>
              </w:numPr>
              <w:spacing w:line="320" w:lineRule="exact"/>
              <w:ind w:left="360" w:leftChars="0" w:hanging="360"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踏勘时间：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w:t>
            </w:r>
          </w:p>
          <w:p w14:paraId="24743713">
            <w:pPr>
              <w:spacing w:line="320" w:lineRule="exact"/>
              <w:rPr>
                <w:rFonts w:hint="eastAsia" w:ascii="宋体" w:hAnsi="宋体"/>
                <w:szCs w:val="21"/>
              </w:rPr>
            </w:pPr>
            <w:r>
              <w:rPr>
                <w:rFonts w:hint="eastAsia" w:ascii="宋体" w:hAnsi="宋体"/>
                <w:szCs w:val="21"/>
              </w:rPr>
              <w:t>踏勘集中地点：</w:t>
            </w:r>
          </w:p>
        </w:tc>
      </w:tr>
      <w:tr w14:paraId="4EBA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077" w:type="dxa"/>
            <w:noWrap w:val="0"/>
            <w:vAlign w:val="center"/>
          </w:tcPr>
          <w:p w14:paraId="6779EC70">
            <w:pPr>
              <w:spacing w:line="360" w:lineRule="auto"/>
              <w:jc w:val="center"/>
              <w:rPr>
                <w:rFonts w:hint="eastAsia" w:ascii="宋体" w:hAnsi="宋体"/>
                <w:szCs w:val="21"/>
              </w:rPr>
            </w:pPr>
            <w:r>
              <w:rPr>
                <w:rFonts w:hint="eastAsia" w:ascii="宋体" w:hAnsi="宋体"/>
                <w:szCs w:val="21"/>
              </w:rPr>
              <w:t>1.10</w:t>
            </w:r>
          </w:p>
        </w:tc>
        <w:tc>
          <w:tcPr>
            <w:tcW w:w="3957" w:type="dxa"/>
            <w:noWrap w:val="0"/>
            <w:vAlign w:val="center"/>
          </w:tcPr>
          <w:p w14:paraId="16612259">
            <w:pPr>
              <w:spacing w:line="360" w:lineRule="auto"/>
              <w:jc w:val="center"/>
              <w:rPr>
                <w:rFonts w:hint="eastAsia" w:ascii="宋体" w:hAnsi="宋体"/>
                <w:szCs w:val="21"/>
              </w:rPr>
            </w:pPr>
            <w:r>
              <w:rPr>
                <w:rFonts w:hint="eastAsia" w:ascii="宋体" w:hAnsi="宋体"/>
                <w:szCs w:val="21"/>
              </w:rPr>
              <w:t>招标答疑</w:t>
            </w:r>
          </w:p>
        </w:tc>
        <w:tc>
          <w:tcPr>
            <w:tcW w:w="4495" w:type="dxa"/>
            <w:noWrap w:val="0"/>
            <w:vAlign w:val="center"/>
          </w:tcPr>
          <w:p w14:paraId="6D1A8D42">
            <w:pPr>
              <w:spacing w:line="300" w:lineRule="exact"/>
              <w:ind w:firstLine="420" w:firstLineChars="200"/>
              <w:rPr>
                <w:rFonts w:hint="eastAsia" w:ascii="宋体" w:hAnsi="宋体"/>
                <w:szCs w:val="21"/>
              </w:rPr>
            </w:pPr>
            <w:r>
              <w:rPr>
                <w:rFonts w:hint="eastAsia" w:ascii="宋体" w:hAnsi="宋体"/>
                <w:szCs w:val="21"/>
              </w:rPr>
              <w:t>投标人向招标人（或招标代理机构）提交有关问题的，可按投标须知前附表中</w:t>
            </w:r>
            <w:r>
              <w:rPr>
                <w:rFonts w:hint="eastAsia" w:ascii="宋体" w:hAnsi="宋体"/>
                <w:szCs w:val="21"/>
                <w:lang w:eastAsia="zh-CN"/>
              </w:rPr>
              <w:t>日</w:t>
            </w:r>
            <w:r>
              <w:rPr>
                <w:rFonts w:hint="eastAsia" w:ascii="宋体" w:hAnsi="宋体"/>
                <w:szCs w:val="21"/>
              </w:rPr>
              <w:t>程安排的时间内在</w:t>
            </w:r>
            <w:r>
              <w:rPr>
                <w:rFonts w:hint="eastAsia"/>
                <w:b w:val="0"/>
                <w:bCs w:val="0"/>
                <w:lang w:val="en" w:eastAsia="zh-CN"/>
              </w:rPr>
              <w:t>广东省公共资源交易平台</w:t>
            </w:r>
            <w:r>
              <w:rPr>
                <w:rFonts w:hint="eastAsia" w:ascii="宋体" w:hAnsi="宋体"/>
                <w:b w:val="0"/>
                <w:bCs w:val="0"/>
                <w:color w:val="auto"/>
                <w:szCs w:val="21"/>
                <w:lang w:val="en-US" w:eastAsia="zh-CN"/>
              </w:rPr>
              <w:t>（</w:t>
            </w:r>
            <w:r>
              <w:rPr>
                <w:rFonts w:hint="eastAsia" w:ascii="宋体" w:hAnsi="宋体"/>
                <w:b w:val="0"/>
                <w:bCs w:val="0"/>
                <w:color w:val="auto"/>
                <w:szCs w:val="21"/>
              </w:rPr>
              <w:t>交易系统</w:t>
            </w:r>
            <w:r>
              <w:rPr>
                <w:rFonts w:hint="eastAsia" w:ascii="宋体" w:hAnsi="宋体"/>
                <w:b w:val="0"/>
                <w:bCs w:val="0"/>
                <w:color w:val="auto"/>
                <w:szCs w:val="21"/>
                <w:lang w:eastAsia="zh-CN"/>
              </w:rPr>
              <w:t>）</w:t>
            </w:r>
            <w:r>
              <w:rPr>
                <w:rFonts w:hint="eastAsia" w:ascii="宋体" w:hAnsi="宋体"/>
                <w:szCs w:val="21"/>
              </w:rPr>
              <w:t>，凭</w:t>
            </w:r>
            <w:r>
              <w:rPr>
                <w:rFonts w:hint="eastAsia" w:ascii="宋体" w:hAnsi="宋体"/>
                <w:szCs w:val="21"/>
                <w:lang w:eastAsia="zh-CN"/>
              </w:rPr>
              <w:t>电子招投标</w:t>
            </w:r>
            <w:r>
              <w:rPr>
                <w:rFonts w:hint="eastAsia" w:ascii="宋体" w:hAnsi="宋体"/>
                <w:szCs w:val="21"/>
              </w:rPr>
              <w:t>数字证书登入</w:t>
            </w:r>
            <w:r>
              <w:rPr>
                <w:rFonts w:hint="eastAsia" w:ascii="宋体" w:hAnsi="宋体" w:cs="宋体"/>
                <w:kern w:val="0"/>
                <w:szCs w:val="21"/>
                <w:lang w:bidi="ar"/>
              </w:rPr>
              <w:t>工程建设交易系统</w:t>
            </w:r>
            <w:r>
              <w:rPr>
                <w:rFonts w:hint="eastAsia" w:ascii="宋体" w:hAnsi="宋体"/>
                <w:szCs w:val="21"/>
              </w:rPr>
              <w:t>，在“投标管理-参与项目”</w:t>
            </w:r>
            <w:r>
              <w:rPr>
                <w:rFonts w:hint="eastAsia" w:ascii="宋体" w:hAnsi="宋体"/>
                <w:szCs w:val="21"/>
                <w:lang w:eastAsia="zh-CN"/>
              </w:rPr>
              <w:t>栏目页面</w:t>
            </w:r>
            <w:r>
              <w:rPr>
                <w:rFonts w:hint="eastAsia" w:ascii="宋体" w:hAnsi="宋体"/>
                <w:szCs w:val="21"/>
              </w:rPr>
              <w:t>，选择参与的项目名称，点击“我要</w:t>
            </w:r>
            <w:r>
              <w:rPr>
                <w:rFonts w:hint="eastAsia" w:ascii="宋体" w:hAnsi="宋体"/>
                <w:szCs w:val="21"/>
                <w:lang w:eastAsia="zh-CN"/>
              </w:rPr>
              <w:t>提</w:t>
            </w:r>
            <w:r>
              <w:rPr>
                <w:rFonts w:hint="eastAsia" w:ascii="宋体" w:hAnsi="宋体"/>
                <w:szCs w:val="21"/>
              </w:rPr>
              <w:t>疑”提出问题，保存后即可提交。所提交的资料以无记名形式提交，不得有任何可识别投标人单位及人员的标识。</w:t>
            </w:r>
          </w:p>
          <w:p w14:paraId="121DD4AF">
            <w:pPr>
              <w:spacing w:line="300" w:lineRule="exact"/>
              <w:ind w:firstLine="539"/>
              <w:rPr>
                <w:rFonts w:hint="eastAsia" w:ascii="宋体" w:hAnsi="宋体"/>
                <w:szCs w:val="21"/>
              </w:rPr>
            </w:pPr>
            <w:r>
              <w:rPr>
                <w:rFonts w:hint="eastAsia" w:ascii="宋体" w:hAnsi="宋体"/>
                <w:szCs w:val="21"/>
              </w:rPr>
              <w:t>招标人（招标代理）收集相关问题，组织有关单位人员研究并形成答疑纪要（补遗书），在中山市公共资源交易平台（公共服务系统）“建设工程--答疑、澄清”栏目发布答疑纪要（补遗书）后，向</w:t>
            </w:r>
            <w:r>
              <w:rPr>
                <w:rFonts w:hint="eastAsia" w:ascii="宋体" w:hAnsi="宋体"/>
                <w:color w:val="auto"/>
                <w:szCs w:val="21"/>
                <w:highlight w:val="none"/>
              </w:rPr>
              <w:t>港口镇招投标监督部门备案。</w:t>
            </w:r>
            <w:r>
              <w:rPr>
                <w:rFonts w:hint="eastAsia" w:ascii="宋体" w:hAnsi="宋体"/>
                <w:szCs w:val="21"/>
              </w:rPr>
              <w:t>各投标人自行在</w:t>
            </w:r>
            <w:r>
              <w:rPr>
                <w:rFonts w:hint="eastAsia"/>
                <w:color w:val="auto"/>
              </w:rPr>
              <w:t>中山市公共资源交易</w:t>
            </w:r>
            <w:r>
              <w:rPr>
                <w:rFonts w:hint="eastAsia"/>
                <w:color w:val="auto"/>
                <w:lang w:val="en-US" w:eastAsia="zh-CN"/>
              </w:rPr>
              <w:t>平台（公共服务系统）</w:t>
            </w:r>
            <w:r>
              <w:rPr>
                <w:rFonts w:hint="eastAsia" w:ascii="宋体" w:hAnsi="宋体"/>
                <w:szCs w:val="21"/>
              </w:rPr>
              <w:t>“</w:t>
            </w:r>
            <w:r>
              <w:rPr>
                <w:rFonts w:hint="eastAsia"/>
              </w:rPr>
              <w:t>建设工程--答疑、澄清</w:t>
            </w:r>
            <w:r>
              <w:rPr>
                <w:rFonts w:hint="eastAsia" w:ascii="宋体" w:hAnsi="宋体"/>
                <w:szCs w:val="21"/>
              </w:rPr>
              <w:t>”</w:t>
            </w:r>
            <w:r>
              <w:rPr>
                <w:rFonts w:hint="eastAsia" w:ascii="宋体" w:hAnsi="宋体"/>
                <w:szCs w:val="21"/>
                <w:lang w:eastAsia="zh-CN"/>
              </w:rPr>
              <w:t>栏目或在</w:t>
            </w:r>
            <w:r>
              <w:rPr>
                <w:rFonts w:hint="eastAsia"/>
                <w:lang w:eastAsia="zh-CN"/>
              </w:rPr>
              <w:t>广东省公共资源交易平台（交易系统）</w:t>
            </w:r>
            <w:r>
              <w:rPr>
                <w:rFonts w:hint="eastAsia"/>
                <w:lang w:val="en-US" w:eastAsia="zh-CN"/>
              </w:rPr>
              <w:t>-“工程建设交易系统”</w:t>
            </w:r>
            <w:r>
              <w:rPr>
                <w:rFonts w:hint="eastAsia" w:ascii="宋体" w:hAnsi="宋体"/>
                <w:szCs w:val="21"/>
              </w:rPr>
              <w:t>下载答疑纪要（补遗书），招标人不再另行通知。投标人因自身原因未能获取答疑资料造成的后果，由投标人自行承担。招标人（招标代理）不得要求投标人在获取答疑资料后向招标人（招标代理）作出确认回复。</w:t>
            </w:r>
          </w:p>
        </w:tc>
      </w:tr>
      <w:tr w14:paraId="362F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77" w:type="dxa"/>
            <w:noWrap w:val="0"/>
            <w:vAlign w:val="center"/>
          </w:tcPr>
          <w:p w14:paraId="7B7242E5">
            <w:pPr>
              <w:spacing w:line="360" w:lineRule="auto"/>
              <w:jc w:val="center"/>
              <w:rPr>
                <w:rFonts w:hint="eastAsia" w:ascii="宋体" w:hAnsi="宋体"/>
                <w:szCs w:val="21"/>
              </w:rPr>
            </w:pPr>
            <w:r>
              <w:rPr>
                <w:rFonts w:hint="eastAsia" w:ascii="宋体" w:hAnsi="宋体"/>
                <w:szCs w:val="21"/>
              </w:rPr>
              <w:t>1.10.1</w:t>
            </w:r>
          </w:p>
        </w:tc>
        <w:tc>
          <w:tcPr>
            <w:tcW w:w="3957" w:type="dxa"/>
            <w:noWrap w:val="0"/>
            <w:vAlign w:val="center"/>
          </w:tcPr>
          <w:p w14:paraId="25287C15">
            <w:pPr>
              <w:spacing w:line="360" w:lineRule="auto"/>
              <w:jc w:val="center"/>
              <w:rPr>
                <w:rFonts w:hint="eastAsia" w:ascii="宋体" w:hAnsi="宋体"/>
                <w:szCs w:val="21"/>
              </w:rPr>
            </w:pPr>
            <w:r>
              <w:rPr>
                <w:rFonts w:hint="eastAsia" w:ascii="宋体" w:hAnsi="宋体"/>
                <w:szCs w:val="21"/>
              </w:rPr>
              <w:t>投标人提出问题的截止时间</w:t>
            </w:r>
          </w:p>
        </w:tc>
        <w:tc>
          <w:tcPr>
            <w:tcW w:w="4495" w:type="dxa"/>
            <w:noWrap w:val="0"/>
            <w:vAlign w:val="center"/>
          </w:tcPr>
          <w:p w14:paraId="51727C88">
            <w:pPr>
              <w:widowControl/>
              <w:jc w:val="left"/>
              <w:rPr>
                <w:rFonts w:hint="eastAsia" w:ascii="宋体" w:hAnsi="宋体" w:cs="宋体"/>
                <w:kern w:val="0"/>
                <w:szCs w:val="21"/>
              </w:rPr>
            </w:pPr>
            <w:r>
              <w:rPr>
                <w:rFonts w:hint="eastAsia" w:ascii="宋体" w:hAnsi="宋体"/>
                <w:szCs w:val="21"/>
              </w:rPr>
              <w:t>以</w:t>
            </w:r>
            <w:r>
              <w:rPr>
                <w:rFonts w:hint="eastAsia" w:ascii="宋体" w:hAnsi="宋体"/>
                <w:color w:val="auto"/>
                <w:szCs w:val="21"/>
                <w:lang w:eastAsia="zh-CN"/>
              </w:rPr>
              <w:t>工程建设</w:t>
            </w:r>
            <w:r>
              <w:rPr>
                <w:rFonts w:hint="default" w:ascii="宋体" w:hAnsi="宋体"/>
                <w:color w:val="auto"/>
                <w:szCs w:val="21"/>
                <w:lang w:val="en-US"/>
              </w:rPr>
              <w:t>交易系统</w:t>
            </w:r>
            <w:r>
              <w:rPr>
                <w:rFonts w:hint="eastAsia" w:ascii="宋体" w:hAnsi="宋体"/>
                <w:color w:val="auto"/>
                <w:szCs w:val="21"/>
              </w:rPr>
              <w:t>的</w:t>
            </w:r>
            <w:r>
              <w:rPr>
                <w:rFonts w:hint="eastAsia" w:ascii="宋体" w:hAnsi="宋体"/>
                <w:color w:val="auto"/>
                <w:szCs w:val="21"/>
                <w:lang w:eastAsia="zh-CN"/>
              </w:rPr>
              <w:t>日程</w:t>
            </w:r>
            <w:r>
              <w:rPr>
                <w:rFonts w:hint="eastAsia" w:ascii="宋体" w:hAnsi="宋体"/>
                <w:szCs w:val="21"/>
              </w:rPr>
              <w:t>安排为准</w:t>
            </w:r>
          </w:p>
        </w:tc>
      </w:tr>
      <w:tr w14:paraId="4CC4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77" w:type="dxa"/>
            <w:noWrap w:val="0"/>
            <w:vAlign w:val="center"/>
          </w:tcPr>
          <w:p w14:paraId="15DB06BD">
            <w:pPr>
              <w:spacing w:line="360" w:lineRule="auto"/>
              <w:jc w:val="center"/>
              <w:rPr>
                <w:rFonts w:hint="eastAsia" w:ascii="宋体" w:hAnsi="宋体"/>
                <w:szCs w:val="21"/>
              </w:rPr>
            </w:pPr>
            <w:r>
              <w:rPr>
                <w:rFonts w:hint="eastAsia" w:ascii="宋体" w:hAnsi="宋体"/>
                <w:szCs w:val="21"/>
              </w:rPr>
              <w:t>1.10.2</w:t>
            </w:r>
          </w:p>
        </w:tc>
        <w:tc>
          <w:tcPr>
            <w:tcW w:w="3957" w:type="dxa"/>
            <w:noWrap w:val="0"/>
            <w:vAlign w:val="center"/>
          </w:tcPr>
          <w:p w14:paraId="310B33D1">
            <w:pPr>
              <w:spacing w:line="360" w:lineRule="auto"/>
              <w:jc w:val="center"/>
              <w:rPr>
                <w:rFonts w:hint="eastAsia" w:ascii="宋体" w:hAnsi="宋体"/>
                <w:szCs w:val="21"/>
              </w:rPr>
            </w:pPr>
            <w:r>
              <w:rPr>
                <w:rFonts w:hint="eastAsia" w:ascii="宋体" w:hAnsi="宋体"/>
                <w:szCs w:val="21"/>
              </w:rPr>
              <w:t>招标人澄清的截止时间</w:t>
            </w:r>
          </w:p>
        </w:tc>
        <w:tc>
          <w:tcPr>
            <w:tcW w:w="4495" w:type="dxa"/>
            <w:noWrap w:val="0"/>
            <w:vAlign w:val="center"/>
          </w:tcPr>
          <w:p w14:paraId="47CD16BC">
            <w:pPr>
              <w:spacing w:line="360" w:lineRule="auto"/>
              <w:rPr>
                <w:rFonts w:hint="eastAsia" w:ascii="宋体" w:hAnsi="宋体"/>
                <w:szCs w:val="21"/>
              </w:rPr>
            </w:pPr>
            <w:r>
              <w:rPr>
                <w:rFonts w:hint="eastAsia" w:ascii="宋体" w:hAnsi="宋体"/>
                <w:szCs w:val="21"/>
              </w:rPr>
              <w:t>以</w:t>
            </w:r>
            <w:r>
              <w:rPr>
                <w:rFonts w:hint="eastAsia" w:ascii="宋体" w:hAnsi="宋体"/>
                <w:color w:val="auto"/>
                <w:szCs w:val="21"/>
                <w:lang w:eastAsia="zh-CN"/>
              </w:rPr>
              <w:t>工程建设</w:t>
            </w:r>
            <w:r>
              <w:rPr>
                <w:rFonts w:hint="default" w:ascii="宋体" w:hAnsi="宋体"/>
                <w:color w:val="auto"/>
                <w:szCs w:val="21"/>
                <w:lang w:val="en-US"/>
              </w:rPr>
              <w:t>交易系统</w:t>
            </w:r>
            <w:r>
              <w:rPr>
                <w:rFonts w:hint="eastAsia" w:ascii="宋体" w:hAnsi="宋体"/>
                <w:color w:val="auto"/>
                <w:szCs w:val="21"/>
              </w:rPr>
              <w:t>的</w:t>
            </w:r>
            <w:r>
              <w:rPr>
                <w:rFonts w:hint="eastAsia" w:ascii="宋体" w:hAnsi="宋体"/>
                <w:color w:val="auto"/>
                <w:szCs w:val="21"/>
                <w:lang w:eastAsia="zh-CN"/>
              </w:rPr>
              <w:t>日程</w:t>
            </w:r>
            <w:r>
              <w:rPr>
                <w:rFonts w:hint="eastAsia" w:ascii="宋体" w:hAnsi="宋体"/>
                <w:szCs w:val="21"/>
              </w:rPr>
              <w:t>安排为准。</w:t>
            </w:r>
          </w:p>
          <w:p w14:paraId="02453D51">
            <w:pPr>
              <w:spacing w:line="360" w:lineRule="auto"/>
              <w:rPr>
                <w:rFonts w:hint="eastAsia" w:ascii="宋体" w:hAnsi="宋体"/>
                <w:szCs w:val="21"/>
              </w:rPr>
            </w:pPr>
            <w:r>
              <w:rPr>
                <w:rFonts w:hint="eastAsia" w:ascii="宋体" w:hAnsi="宋体"/>
                <w:szCs w:val="21"/>
              </w:rPr>
              <w:t>（对投标人编制标书时间造成影响的答疑纪要或补遗书，招标人需于投标截止前15日向投标人发出。）</w:t>
            </w:r>
          </w:p>
        </w:tc>
      </w:tr>
      <w:tr w14:paraId="0EFF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077" w:type="dxa"/>
            <w:vMerge w:val="restart"/>
            <w:noWrap w:val="0"/>
            <w:vAlign w:val="center"/>
          </w:tcPr>
          <w:p w14:paraId="40A020B2">
            <w:pPr>
              <w:spacing w:line="360" w:lineRule="auto"/>
              <w:jc w:val="center"/>
              <w:rPr>
                <w:rFonts w:hint="eastAsia" w:ascii="宋体" w:hAnsi="宋体"/>
                <w:szCs w:val="21"/>
              </w:rPr>
            </w:pPr>
            <w:r>
              <w:rPr>
                <w:rFonts w:hint="eastAsia" w:ascii="宋体" w:hAnsi="宋体"/>
                <w:szCs w:val="21"/>
              </w:rPr>
              <w:t>1.11</w:t>
            </w:r>
          </w:p>
        </w:tc>
        <w:tc>
          <w:tcPr>
            <w:tcW w:w="3957" w:type="dxa"/>
            <w:vMerge w:val="restart"/>
            <w:noWrap w:val="0"/>
            <w:vAlign w:val="center"/>
          </w:tcPr>
          <w:p w14:paraId="5B89680F">
            <w:pPr>
              <w:spacing w:line="360" w:lineRule="auto"/>
              <w:jc w:val="center"/>
              <w:rPr>
                <w:rFonts w:hint="eastAsia" w:ascii="宋体" w:hAnsi="宋体"/>
                <w:szCs w:val="21"/>
              </w:rPr>
            </w:pPr>
            <w:r>
              <w:rPr>
                <w:rFonts w:hint="eastAsia" w:ascii="宋体" w:hAnsi="宋体"/>
                <w:szCs w:val="21"/>
              </w:rPr>
              <w:t>分包</w:t>
            </w:r>
          </w:p>
        </w:tc>
        <w:tc>
          <w:tcPr>
            <w:tcW w:w="4495" w:type="dxa"/>
            <w:noWrap w:val="0"/>
            <w:vAlign w:val="center"/>
          </w:tcPr>
          <w:p w14:paraId="6B00B21F">
            <w:pPr>
              <w:pStyle w:val="2"/>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部分非主体、非关键性工作分包:</w:t>
            </w:r>
          </w:p>
          <w:p w14:paraId="7E22F5E8">
            <w:pPr>
              <w:numPr>
                <w:ilvl w:val="0"/>
                <w:numId w:val="0"/>
              </w:numPr>
              <w:spacing w:line="320" w:lineRule="exact"/>
              <w:ind w:left="360" w:leftChars="0" w:hanging="360" w:firstLineChars="0"/>
              <w:rPr>
                <w:rFonts w:hint="eastAsia"/>
              </w:rPr>
            </w:pPr>
            <w:r>
              <w:rPr>
                <w:rFonts w:hint="eastAsia" w:ascii="宋体" w:hAnsi="宋体" w:cs="宋体"/>
                <w:szCs w:val="21"/>
                <w:highlight w:val="none"/>
              </w:rPr>
              <w:t xml:space="preserve">▇ </w:t>
            </w:r>
            <w:r>
              <w:rPr>
                <w:rFonts w:hint="eastAsia" w:ascii="宋体" w:hAnsi="宋体"/>
                <w:szCs w:val="21"/>
              </w:rPr>
              <w:t>不允许</w:t>
            </w:r>
          </w:p>
          <w:p w14:paraId="21902720">
            <w:pPr>
              <w:numPr>
                <w:ilvl w:val="0"/>
                <w:numId w:val="0"/>
              </w:numPr>
              <w:spacing w:line="320" w:lineRule="exact"/>
              <w:ind w:left="360" w:leftChars="0" w:hanging="360"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允许,分包内容要求:</w:t>
            </w:r>
          </w:p>
          <w:p w14:paraId="7BD5BB72">
            <w:pPr>
              <w:spacing w:line="320" w:lineRule="exact"/>
              <w:rPr>
                <w:rFonts w:hint="eastAsia" w:ascii="宋体" w:hAnsi="宋体"/>
                <w:szCs w:val="21"/>
              </w:rPr>
            </w:pPr>
            <w:r>
              <w:rPr>
                <w:rFonts w:hint="eastAsia" w:ascii="宋体" w:hAnsi="宋体"/>
                <w:szCs w:val="21"/>
              </w:rPr>
              <w:t>分包金额要求:</w:t>
            </w:r>
          </w:p>
          <w:p w14:paraId="7F7924BE">
            <w:pPr>
              <w:spacing w:line="320" w:lineRule="exact"/>
              <w:rPr>
                <w:rFonts w:hint="eastAsia" w:ascii="宋体" w:hAnsi="宋体"/>
                <w:szCs w:val="21"/>
              </w:rPr>
            </w:pPr>
            <w:r>
              <w:rPr>
                <w:rFonts w:hint="eastAsia" w:ascii="宋体" w:hAnsi="宋体"/>
                <w:szCs w:val="21"/>
              </w:rPr>
              <w:t>接受分包的第三人资质要求:</w:t>
            </w:r>
          </w:p>
        </w:tc>
      </w:tr>
      <w:tr w14:paraId="1957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077" w:type="dxa"/>
            <w:vMerge w:val="continue"/>
            <w:noWrap w:val="0"/>
            <w:vAlign w:val="center"/>
          </w:tcPr>
          <w:p w14:paraId="3CE03F10">
            <w:pPr>
              <w:spacing w:line="360" w:lineRule="auto"/>
              <w:jc w:val="center"/>
              <w:rPr>
                <w:rFonts w:hint="eastAsia" w:ascii="宋体" w:hAnsi="宋体"/>
                <w:szCs w:val="21"/>
              </w:rPr>
            </w:pPr>
          </w:p>
        </w:tc>
        <w:tc>
          <w:tcPr>
            <w:tcW w:w="3957" w:type="dxa"/>
            <w:vMerge w:val="continue"/>
            <w:noWrap w:val="0"/>
            <w:vAlign w:val="center"/>
          </w:tcPr>
          <w:p w14:paraId="5C57BAF7">
            <w:pPr>
              <w:spacing w:line="360" w:lineRule="auto"/>
              <w:jc w:val="center"/>
              <w:rPr>
                <w:rFonts w:hint="eastAsia" w:ascii="宋体" w:hAnsi="宋体"/>
                <w:szCs w:val="21"/>
              </w:rPr>
            </w:pPr>
          </w:p>
        </w:tc>
        <w:tc>
          <w:tcPr>
            <w:tcW w:w="4495" w:type="dxa"/>
            <w:noWrap w:val="0"/>
            <w:vAlign w:val="center"/>
          </w:tcPr>
          <w:p w14:paraId="33188444">
            <w:pPr>
              <w:widowControl/>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施工劳务分包：</w:t>
            </w:r>
          </w:p>
          <w:p w14:paraId="509E96CB">
            <w:pPr>
              <w:widowControl/>
              <w:jc w:val="left"/>
              <w:rPr>
                <w:rFonts w:hint="default"/>
                <w:lang w:val="en-US" w:eastAsia="zh-CN"/>
              </w:rPr>
            </w:pPr>
            <w:r>
              <w:rPr>
                <w:rFonts w:hint="eastAsia" w:ascii="宋体" w:hAnsi="宋体" w:eastAsia="宋体" w:cs="Times New Roman"/>
                <w:szCs w:val="21"/>
                <w:lang w:val="en-US" w:eastAsia="zh-CN"/>
              </w:rPr>
              <w:t>如本项目在实施过程中确实需要劳务分包，鼓励分包给中山市本地具备施工劳务资质的企业</w:t>
            </w:r>
          </w:p>
        </w:tc>
      </w:tr>
      <w:tr w14:paraId="7C77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77" w:type="dxa"/>
            <w:noWrap w:val="0"/>
            <w:vAlign w:val="center"/>
          </w:tcPr>
          <w:p w14:paraId="7518A9ED">
            <w:pPr>
              <w:spacing w:line="360" w:lineRule="auto"/>
              <w:jc w:val="center"/>
              <w:rPr>
                <w:rFonts w:hint="eastAsia" w:ascii="宋体" w:hAnsi="宋体"/>
                <w:szCs w:val="21"/>
              </w:rPr>
            </w:pPr>
            <w:r>
              <w:rPr>
                <w:rFonts w:hint="eastAsia" w:ascii="宋体" w:hAnsi="宋体"/>
                <w:szCs w:val="21"/>
              </w:rPr>
              <w:t>1.12</w:t>
            </w:r>
          </w:p>
        </w:tc>
        <w:tc>
          <w:tcPr>
            <w:tcW w:w="3957" w:type="dxa"/>
            <w:noWrap w:val="0"/>
            <w:vAlign w:val="center"/>
          </w:tcPr>
          <w:p w14:paraId="166BCFE1">
            <w:pPr>
              <w:spacing w:line="360" w:lineRule="auto"/>
              <w:jc w:val="center"/>
              <w:rPr>
                <w:rFonts w:hint="eastAsia" w:ascii="宋体" w:hAnsi="宋体"/>
                <w:szCs w:val="21"/>
              </w:rPr>
            </w:pPr>
            <w:r>
              <w:rPr>
                <w:rFonts w:hint="eastAsia" w:ascii="宋体" w:hAnsi="宋体"/>
                <w:szCs w:val="21"/>
              </w:rPr>
              <w:t>偏离</w:t>
            </w:r>
          </w:p>
        </w:tc>
        <w:tc>
          <w:tcPr>
            <w:tcW w:w="4495" w:type="dxa"/>
            <w:noWrap w:val="0"/>
            <w:vAlign w:val="center"/>
          </w:tcPr>
          <w:p w14:paraId="43D6143C">
            <w:pPr>
              <w:numPr>
                <w:ilvl w:val="0"/>
                <w:numId w:val="0"/>
              </w:numPr>
              <w:spacing w:line="320" w:lineRule="exact"/>
              <w:ind w:left="357" w:leftChars="0" w:hanging="357" w:firstLineChars="0"/>
              <w:rPr>
                <w:rFonts w:hint="eastAsia" w:ascii="宋体" w:hAnsi="宋体"/>
                <w:szCs w:val="21"/>
              </w:rPr>
            </w:pPr>
            <w:r>
              <w:rPr>
                <w:rFonts w:hint="eastAsia" w:ascii="宋体" w:hAnsi="宋体" w:cs="宋体"/>
                <w:szCs w:val="21"/>
                <w:highlight w:val="none"/>
              </w:rPr>
              <w:t xml:space="preserve">▇ </w:t>
            </w:r>
            <w:r>
              <w:rPr>
                <w:rFonts w:hint="eastAsia" w:ascii="宋体" w:hAnsi="宋体"/>
                <w:szCs w:val="21"/>
              </w:rPr>
              <w:t>不允许</w:t>
            </w:r>
          </w:p>
          <w:p w14:paraId="4BC14FBF">
            <w:pPr>
              <w:numPr>
                <w:ilvl w:val="0"/>
                <w:numId w:val="0"/>
              </w:numPr>
              <w:spacing w:line="320" w:lineRule="exact"/>
              <w:ind w:left="357" w:leftChars="0" w:hanging="357"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允许</w:t>
            </w:r>
          </w:p>
          <w:p w14:paraId="6EBE1BAA">
            <w:pPr>
              <w:spacing w:line="288" w:lineRule="auto"/>
              <w:rPr>
                <w:rFonts w:hint="eastAsia" w:ascii="宋体" w:hAnsi="宋体"/>
                <w:szCs w:val="21"/>
              </w:rPr>
            </w:pPr>
            <w:r>
              <w:rPr>
                <w:rFonts w:hint="eastAsia" w:ascii="宋体" w:hAnsi="宋体"/>
                <w:szCs w:val="21"/>
              </w:rPr>
              <w:t>可偏离的项目和范围见第七章</w:t>
            </w:r>
          </w:p>
          <w:p w14:paraId="68C03069">
            <w:pPr>
              <w:spacing w:line="288" w:lineRule="auto"/>
              <w:rPr>
                <w:rFonts w:hint="eastAsia" w:ascii="宋体" w:hAnsi="宋体"/>
                <w:szCs w:val="21"/>
              </w:rPr>
            </w:pPr>
            <w:r>
              <w:rPr>
                <w:rFonts w:hint="eastAsia" w:ascii="宋体" w:hAnsi="宋体"/>
                <w:szCs w:val="21"/>
              </w:rPr>
              <w:t xml:space="preserve">       “技术标准和要求”：</w:t>
            </w:r>
          </w:p>
          <w:p w14:paraId="0C69CF0D">
            <w:pPr>
              <w:spacing w:line="288" w:lineRule="auto"/>
              <w:rPr>
                <w:rFonts w:hint="eastAsia" w:ascii="宋体" w:hAnsi="宋体"/>
                <w:szCs w:val="21"/>
              </w:rPr>
            </w:pPr>
            <w:r>
              <w:rPr>
                <w:rFonts w:hint="eastAsia" w:ascii="宋体" w:hAnsi="宋体"/>
                <w:szCs w:val="21"/>
              </w:rPr>
              <w:t xml:space="preserve">        允许偏离最高项数：</w:t>
            </w:r>
            <w:r>
              <w:rPr>
                <w:rFonts w:hint="eastAsia" w:ascii="宋体" w:hAnsi="宋体"/>
                <w:szCs w:val="21"/>
                <w:u w:val="single"/>
              </w:rPr>
              <w:t xml:space="preserve">      </w:t>
            </w:r>
          </w:p>
          <w:p w14:paraId="75EF84B3">
            <w:pPr>
              <w:spacing w:line="320" w:lineRule="exact"/>
              <w:rPr>
                <w:rFonts w:hint="eastAsia" w:ascii="宋体" w:hAnsi="宋体"/>
                <w:szCs w:val="21"/>
              </w:rPr>
            </w:pPr>
            <w:r>
              <w:rPr>
                <w:rFonts w:hint="eastAsia" w:ascii="宋体" w:hAnsi="宋体"/>
                <w:szCs w:val="21"/>
              </w:rPr>
              <w:t xml:space="preserve">        偏差调整方法：</w:t>
            </w:r>
            <w:r>
              <w:rPr>
                <w:rFonts w:hint="eastAsia" w:ascii="宋体" w:hAnsi="宋体"/>
                <w:szCs w:val="21"/>
                <w:u w:val="single"/>
              </w:rPr>
              <w:t xml:space="preserve">          </w:t>
            </w:r>
          </w:p>
        </w:tc>
      </w:tr>
      <w:tr w14:paraId="2697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14:paraId="7F891D0D">
            <w:pPr>
              <w:spacing w:line="360" w:lineRule="auto"/>
              <w:jc w:val="center"/>
              <w:rPr>
                <w:rFonts w:hint="eastAsia" w:ascii="宋体" w:hAnsi="宋体"/>
                <w:szCs w:val="21"/>
              </w:rPr>
            </w:pPr>
            <w:r>
              <w:rPr>
                <w:rFonts w:hint="eastAsia" w:ascii="宋体" w:hAnsi="宋体"/>
                <w:szCs w:val="21"/>
              </w:rPr>
              <w:t>2.1</w:t>
            </w:r>
          </w:p>
        </w:tc>
        <w:tc>
          <w:tcPr>
            <w:tcW w:w="3957" w:type="dxa"/>
            <w:noWrap w:val="0"/>
            <w:vAlign w:val="center"/>
          </w:tcPr>
          <w:p w14:paraId="1A4032FC">
            <w:pPr>
              <w:spacing w:line="360" w:lineRule="auto"/>
              <w:jc w:val="center"/>
              <w:rPr>
                <w:rFonts w:hint="eastAsia" w:ascii="宋体" w:hAnsi="宋体"/>
                <w:szCs w:val="21"/>
              </w:rPr>
            </w:pPr>
            <w:r>
              <w:rPr>
                <w:rFonts w:hint="eastAsia" w:ascii="宋体" w:hAnsi="宋体"/>
                <w:szCs w:val="21"/>
              </w:rPr>
              <w:t>构成招标文件的其他材料</w:t>
            </w:r>
          </w:p>
        </w:tc>
        <w:tc>
          <w:tcPr>
            <w:tcW w:w="4495" w:type="dxa"/>
            <w:noWrap w:val="0"/>
            <w:vAlign w:val="center"/>
          </w:tcPr>
          <w:p w14:paraId="3F69FE17">
            <w:pPr>
              <w:spacing w:line="360" w:lineRule="auto"/>
              <w:ind w:firstLine="420" w:firstLineChars="200"/>
              <w:rPr>
                <w:rFonts w:hint="eastAsia" w:ascii="宋体" w:hAnsi="宋体"/>
                <w:szCs w:val="21"/>
              </w:rPr>
            </w:pPr>
            <w:r>
              <w:rPr>
                <w:rFonts w:hint="eastAsia" w:ascii="宋体" w:hAnsi="宋体"/>
                <w:szCs w:val="21"/>
              </w:rPr>
              <w:t>施工设计图、工程量清单（招标控制价）、招标答疑文件等。</w:t>
            </w:r>
          </w:p>
        </w:tc>
      </w:tr>
      <w:tr w14:paraId="6306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3994718A">
            <w:pPr>
              <w:spacing w:line="360" w:lineRule="auto"/>
              <w:jc w:val="center"/>
              <w:rPr>
                <w:rFonts w:hint="eastAsia" w:ascii="宋体" w:hAnsi="宋体"/>
                <w:szCs w:val="21"/>
              </w:rPr>
            </w:pPr>
            <w:r>
              <w:rPr>
                <w:rFonts w:hint="eastAsia" w:ascii="宋体" w:hAnsi="宋体"/>
                <w:szCs w:val="21"/>
              </w:rPr>
              <w:t>2.2.1</w:t>
            </w:r>
          </w:p>
        </w:tc>
        <w:tc>
          <w:tcPr>
            <w:tcW w:w="3957" w:type="dxa"/>
            <w:noWrap w:val="0"/>
            <w:vAlign w:val="center"/>
          </w:tcPr>
          <w:p w14:paraId="39EFFDD8">
            <w:pPr>
              <w:spacing w:line="360" w:lineRule="auto"/>
              <w:jc w:val="center"/>
              <w:rPr>
                <w:rFonts w:hint="eastAsia" w:ascii="宋体" w:hAnsi="宋体"/>
                <w:szCs w:val="21"/>
              </w:rPr>
            </w:pPr>
            <w:r>
              <w:rPr>
                <w:rFonts w:hint="eastAsia" w:ascii="宋体" w:hAnsi="宋体"/>
                <w:szCs w:val="21"/>
              </w:rPr>
              <w:t>投标人要求澄清招标文件的截止时间</w:t>
            </w:r>
          </w:p>
        </w:tc>
        <w:tc>
          <w:tcPr>
            <w:tcW w:w="4495" w:type="dxa"/>
            <w:noWrap w:val="0"/>
            <w:vAlign w:val="center"/>
          </w:tcPr>
          <w:p w14:paraId="4C1506AC">
            <w:pPr>
              <w:spacing w:line="360" w:lineRule="auto"/>
              <w:rPr>
                <w:rFonts w:hint="eastAsia" w:ascii="宋体" w:hAnsi="宋体"/>
                <w:szCs w:val="21"/>
              </w:rPr>
            </w:pPr>
            <w:r>
              <w:rPr>
                <w:rFonts w:hint="eastAsia" w:ascii="宋体" w:hAnsi="宋体"/>
                <w:szCs w:val="21"/>
              </w:rPr>
              <w:t>具体时间以工程建设交易系统上的</w:t>
            </w:r>
            <w:r>
              <w:rPr>
                <w:rFonts w:hint="eastAsia" w:ascii="宋体" w:hAnsi="宋体"/>
                <w:szCs w:val="21"/>
                <w:lang w:eastAsia="zh-CN"/>
              </w:rPr>
              <w:t>日</w:t>
            </w:r>
            <w:r>
              <w:rPr>
                <w:rFonts w:hint="eastAsia" w:ascii="宋体" w:hAnsi="宋体"/>
                <w:szCs w:val="21"/>
              </w:rPr>
              <w:t>程安排为准</w:t>
            </w:r>
          </w:p>
        </w:tc>
      </w:tr>
      <w:tr w14:paraId="06B2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47EBCE3D">
            <w:pPr>
              <w:spacing w:line="360" w:lineRule="auto"/>
              <w:jc w:val="center"/>
              <w:rPr>
                <w:rFonts w:hint="eastAsia" w:ascii="宋体" w:hAnsi="宋体"/>
                <w:szCs w:val="21"/>
              </w:rPr>
            </w:pPr>
            <w:r>
              <w:rPr>
                <w:rFonts w:hint="eastAsia" w:ascii="宋体" w:hAnsi="宋体"/>
                <w:szCs w:val="21"/>
              </w:rPr>
              <w:t>2.2.2</w:t>
            </w:r>
          </w:p>
        </w:tc>
        <w:tc>
          <w:tcPr>
            <w:tcW w:w="3957" w:type="dxa"/>
            <w:noWrap w:val="0"/>
            <w:vAlign w:val="center"/>
          </w:tcPr>
          <w:p w14:paraId="40F4B2F8">
            <w:pPr>
              <w:spacing w:line="360" w:lineRule="auto"/>
              <w:jc w:val="center"/>
              <w:rPr>
                <w:rFonts w:hint="eastAsia" w:ascii="宋体" w:hAnsi="宋体"/>
                <w:szCs w:val="21"/>
              </w:rPr>
            </w:pPr>
            <w:r>
              <w:rPr>
                <w:rFonts w:hint="eastAsia" w:ascii="宋体" w:hAnsi="宋体"/>
                <w:szCs w:val="21"/>
              </w:rPr>
              <w:t>投标截止时间</w:t>
            </w:r>
          </w:p>
          <w:p w14:paraId="33F60846">
            <w:pPr>
              <w:spacing w:line="360" w:lineRule="auto"/>
              <w:jc w:val="center"/>
              <w:rPr>
                <w:rFonts w:hint="eastAsia" w:ascii="宋体" w:hAnsi="宋体"/>
                <w:szCs w:val="21"/>
              </w:rPr>
            </w:pPr>
            <w:r>
              <w:rPr>
                <w:rFonts w:hint="eastAsia" w:ascii="宋体" w:hAnsi="宋体"/>
                <w:szCs w:val="21"/>
              </w:rPr>
              <w:t>（电子投标文件上传截止时间）</w:t>
            </w:r>
          </w:p>
        </w:tc>
        <w:tc>
          <w:tcPr>
            <w:tcW w:w="4495" w:type="dxa"/>
            <w:noWrap w:val="0"/>
            <w:vAlign w:val="center"/>
          </w:tcPr>
          <w:p w14:paraId="01A56821">
            <w:pPr>
              <w:spacing w:line="360" w:lineRule="auto"/>
              <w:jc w:val="left"/>
              <w:rPr>
                <w:rFonts w:hint="eastAsia" w:ascii="宋体" w:hAnsi="宋体"/>
                <w:szCs w:val="21"/>
              </w:rPr>
            </w:pPr>
            <w:r>
              <w:rPr>
                <w:rFonts w:hint="eastAsia" w:ascii="宋体" w:hAnsi="宋体"/>
                <w:szCs w:val="21"/>
              </w:rPr>
              <w:t>具体时间以工程建设交易系统上的</w:t>
            </w:r>
            <w:r>
              <w:rPr>
                <w:rFonts w:hint="eastAsia" w:ascii="宋体" w:hAnsi="宋体"/>
                <w:szCs w:val="21"/>
                <w:lang w:eastAsia="zh-CN"/>
              </w:rPr>
              <w:t>日</w:t>
            </w:r>
            <w:r>
              <w:rPr>
                <w:rFonts w:hint="eastAsia" w:ascii="宋体" w:hAnsi="宋体"/>
                <w:szCs w:val="21"/>
              </w:rPr>
              <w:t>程安排为准</w:t>
            </w:r>
          </w:p>
        </w:tc>
      </w:tr>
      <w:tr w14:paraId="696C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60071BF2">
            <w:pPr>
              <w:spacing w:line="360" w:lineRule="auto"/>
              <w:jc w:val="center"/>
              <w:rPr>
                <w:rFonts w:hint="eastAsia" w:ascii="宋体" w:hAnsi="宋体"/>
                <w:szCs w:val="21"/>
              </w:rPr>
            </w:pPr>
            <w:r>
              <w:rPr>
                <w:rFonts w:hint="eastAsia" w:ascii="宋体" w:hAnsi="宋体"/>
                <w:szCs w:val="21"/>
              </w:rPr>
              <w:t>2.2.3</w:t>
            </w:r>
          </w:p>
        </w:tc>
        <w:tc>
          <w:tcPr>
            <w:tcW w:w="3957" w:type="dxa"/>
            <w:noWrap w:val="0"/>
            <w:vAlign w:val="center"/>
          </w:tcPr>
          <w:p w14:paraId="394AF73A">
            <w:pPr>
              <w:spacing w:line="360" w:lineRule="auto"/>
              <w:jc w:val="center"/>
              <w:rPr>
                <w:rFonts w:hint="eastAsia" w:ascii="宋体" w:hAnsi="宋体"/>
                <w:szCs w:val="21"/>
              </w:rPr>
            </w:pPr>
            <w:r>
              <w:rPr>
                <w:rFonts w:hint="eastAsia" w:ascii="宋体" w:hAnsi="宋体"/>
                <w:szCs w:val="21"/>
              </w:rPr>
              <w:t>开标时间</w:t>
            </w:r>
          </w:p>
        </w:tc>
        <w:tc>
          <w:tcPr>
            <w:tcW w:w="4495" w:type="dxa"/>
            <w:noWrap w:val="0"/>
            <w:vAlign w:val="center"/>
          </w:tcPr>
          <w:p w14:paraId="28F2C506">
            <w:pPr>
              <w:spacing w:line="360" w:lineRule="auto"/>
              <w:jc w:val="left"/>
              <w:rPr>
                <w:rFonts w:hint="eastAsia" w:ascii="宋体" w:hAnsi="宋体"/>
                <w:szCs w:val="21"/>
                <w:u w:val="single"/>
              </w:rPr>
            </w:pPr>
            <w:r>
              <w:rPr>
                <w:rFonts w:hint="eastAsia" w:ascii="宋体" w:hAnsi="宋体"/>
                <w:szCs w:val="21"/>
              </w:rPr>
              <w:t>具体时间以工程建设交易系统上的</w:t>
            </w:r>
            <w:r>
              <w:rPr>
                <w:rFonts w:hint="eastAsia" w:ascii="宋体" w:hAnsi="宋体"/>
                <w:szCs w:val="21"/>
                <w:lang w:eastAsia="zh-CN"/>
              </w:rPr>
              <w:t>日</w:t>
            </w:r>
            <w:r>
              <w:rPr>
                <w:rFonts w:hint="eastAsia" w:ascii="宋体" w:hAnsi="宋体"/>
                <w:szCs w:val="21"/>
              </w:rPr>
              <w:t>程安排为准</w:t>
            </w:r>
          </w:p>
        </w:tc>
      </w:tr>
      <w:tr w14:paraId="1E79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77" w:type="dxa"/>
            <w:noWrap w:val="0"/>
            <w:vAlign w:val="center"/>
          </w:tcPr>
          <w:p w14:paraId="4747753F">
            <w:pPr>
              <w:spacing w:line="360" w:lineRule="auto"/>
              <w:jc w:val="center"/>
              <w:rPr>
                <w:rFonts w:hint="eastAsia" w:ascii="宋体" w:hAnsi="宋体"/>
                <w:szCs w:val="21"/>
              </w:rPr>
            </w:pPr>
            <w:r>
              <w:rPr>
                <w:rFonts w:hint="eastAsia" w:ascii="宋体" w:hAnsi="宋体"/>
                <w:szCs w:val="21"/>
              </w:rPr>
              <w:t>3.1.1</w:t>
            </w:r>
          </w:p>
        </w:tc>
        <w:tc>
          <w:tcPr>
            <w:tcW w:w="3957" w:type="dxa"/>
            <w:noWrap w:val="0"/>
            <w:vAlign w:val="center"/>
          </w:tcPr>
          <w:p w14:paraId="3DB9D8F3">
            <w:pPr>
              <w:spacing w:line="360" w:lineRule="auto"/>
              <w:jc w:val="center"/>
              <w:rPr>
                <w:rFonts w:hint="eastAsia" w:ascii="宋体" w:hAnsi="宋体"/>
                <w:szCs w:val="21"/>
              </w:rPr>
            </w:pPr>
            <w:r>
              <w:rPr>
                <w:rFonts w:hint="eastAsia" w:ascii="宋体" w:hAnsi="宋体"/>
                <w:szCs w:val="21"/>
              </w:rPr>
              <w:t>构成投标文件的其他材料</w:t>
            </w:r>
          </w:p>
        </w:tc>
        <w:tc>
          <w:tcPr>
            <w:tcW w:w="4495" w:type="dxa"/>
            <w:noWrap w:val="0"/>
            <w:vAlign w:val="center"/>
          </w:tcPr>
          <w:p w14:paraId="0C124F21">
            <w:pPr>
              <w:spacing w:line="360" w:lineRule="auto"/>
              <w:rPr>
                <w:rFonts w:hint="eastAsia" w:ascii="宋体" w:hAnsi="宋体"/>
                <w:szCs w:val="21"/>
              </w:rPr>
            </w:pPr>
            <w:r>
              <w:rPr>
                <w:rFonts w:hint="eastAsia" w:ascii="宋体" w:hAnsi="宋体"/>
                <w:szCs w:val="21"/>
              </w:rPr>
              <w:t>投标人认为需提交的其他资料</w:t>
            </w:r>
          </w:p>
        </w:tc>
      </w:tr>
      <w:tr w14:paraId="30D6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77" w:type="dxa"/>
            <w:noWrap w:val="0"/>
            <w:vAlign w:val="center"/>
          </w:tcPr>
          <w:p w14:paraId="79CAFDF8">
            <w:pPr>
              <w:spacing w:line="360" w:lineRule="auto"/>
              <w:jc w:val="center"/>
              <w:rPr>
                <w:rFonts w:hint="eastAsia" w:ascii="宋体" w:hAnsi="宋体"/>
                <w:szCs w:val="21"/>
              </w:rPr>
            </w:pPr>
            <w:r>
              <w:rPr>
                <w:rFonts w:hint="eastAsia" w:ascii="宋体" w:hAnsi="宋体"/>
                <w:szCs w:val="21"/>
              </w:rPr>
              <w:t>3.3.1</w:t>
            </w:r>
          </w:p>
        </w:tc>
        <w:tc>
          <w:tcPr>
            <w:tcW w:w="3957" w:type="dxa"/>
            <w:noWrap w:val="0"/>
            <w:vAlign w:val="center"/>
          </w:tcPr>
          <w:p w14:paraId="00339BA9">
            <w:pPr>
              <w:spacing w:line="360" w:lineRule="auto"/>
              <w:jc w:val="center"/>
              <w:rPr>
                <w:rFonts w:hint="eastAsia" w:ascii="宋体" w:hAnsi="宋体"/>
                <w:szCs w:val="21"/>
              </w:rPr>
            </w:pPr>
            <w:r>
              <w:rPr>
                <w:rFonts w:hint="eastAsia" w:ascii="宋体" w:hAnsi="宋体"/>
                <w:szCs w:val="21"/>
              </w:rPr>
              <w:t>投标有效期</w:t>
            </w:r>
          </w:p>
        </w:tc>
        <w:tc>
          <w:tcPr>
            <w:tcW w:w="4495" w:type="dxa"/>
            <w:noWrap w:val="0"/>
            <w:vAlign w:val="center"/>
          </w:tcPr>
          <w:p w14:paraId="32A12CB1">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90</w:t>
            </w:r>
            <w:r>
              <w:rPr>
                <w:rFonts w:hint="eastAsia" w:ascii="宋体" w:hAnsi="宋体"/>
                <w:szCs w:val="21"/>
                <w:u w:val="single"/>
              </w:rPr>
              <w:t xml:space="preserve"> </w:t>
            </w:r>
            <w:r>
              <w:rPr>
                <w:rFonts w:hint="eastAsia" w:ascii="宋体" w:hAnsi="宋体"/>
                <w:szCs w:val="21"/>
              </w:rPr>
              <w:t>日历天</w:t>
            </w:r>
            <w:r>
              <w:rPr>
                <w:rFonts w:hint="eastAsia" w:ascii="宋体" w:hAnsi="宋体"/>
              </w:rPr>
              <w:t>（</w:t>
            </w:r>
            <w:r>
              <w:rPr>
                <w:rFonts w:hint="eastAsia" w:ascii="宋体" w:hAnsi="宋体"/>
                <w:szCs w:val="21"/>
              </w:rPr>
              <w:t>自开标之日起</w:t>
            </w:r>
            <w:r>
              <w:rPr>
                <w:rFonts w:hint="eastAsia" w:ascii="宋体" w:hAnsi="宋体"/>
              </w:rPr>
              <w:t>）</w:t>
            </w:r>
          </w:p>
        </w:tc>
      </w:tr>
      <w:tr w14:paraId="15E0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77" w:type="dxa"/>
            <w:noWrap w:val="0"/>
            <w:vAlign w:val="center"/>
          </w:tcPr>
          <w:p w14:paraId="04ADF187">
            <w:pPr>
              <w:spacing w:line="360" w:lineRule="auto"/>
              <w:jc w:val="center"/>
              <w:rPr>
                <w:rFonts w:hint="eastAsia" w:ascii="宋体" w:hAnsi="宋体"/>
                <w:szCs w:val="21"/>
              </w:rPr>
            </w:pPr>
            <w:r>
              <w:rPr>
                <w:rFonts w:hint="eastAsia" w:ascii="宋体" w:hAnsi="宋体"/>
                <w:szCs w:val="21"/>
              </w:rPr>
              <w:t>3.4.1</w:t>
            </w:r>
          </w:p>
        </w:tc>
        <w:tc>
          <w:tcPr>
            <w:tcW w:w="3957" w:type="dxa"/>
            <w:noWrap w:val="0"/>
            <w:vAlign w:val="center"/>
          </w:tcPr>
          <w:p w14:paraId="0674678F">
            <w:pPr>
              <w:spacing w:line="360" w:lineRule="auto"/>
              <w:jc w:val="center"/>
              <w:rPr>
                <w:rFonts w:hint="eastAsia" w:ascii="宋体" w:hAnsi="宋体"/>
                <w:szCs w:val="21"/>
                <w:highlight w:val="none"/>
              </w:rPr>
            </w:pPr>
            <w:r>
              <w:rPr>
                <w:rFonts w:hint="eastAsia" w:ascii="宋体" w:hAnsi="宋体"/>
                <w:szCs w:val="21"/>
                <w:highlight w:val="none"/>
              </w:rPr>
              <w:t>投标保证金</w:t>
            </w:r>
          </w:p>
        </w:tc>
        <w:tc>
          <w:tcPr>
            <w:tcW w:w="4495" w:type="dxa"/>
            <w:noWrap w:val="0"/>
            <w:vAlign w:val="center"/>
          </w:tcPr>
          <w:p w14:paraId="761279F2">
            <w:pPr>
              <w:widowControl/>
              <w:tabs>
                <w:tab w:val="left" w:pos="12596"/>
              </w:tabs>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本项目适用</w:t>
            </w:r>
            <w:r>
              <w:rPr>
                <w:rFonts w:hint="eastAsia" w:ascii="宋体" w:hAnsi="宋体" w:cs="宋体"/>
                <w:kern w:val="0"/>
                <w:szCs w:val="21"/>
                <w:highlight w:val="none"/>
                <w:lang w:eastAsia="zh-CN"/>
              </w:rPr>
              <w:t>于</w:t>
            </w:r>
            <w:r>
              <w:rPr>
                <w:rFonts w:hint="eastAsia" w:ascii="宋体" w:hAnsi="宋体" w:cs="宋体"/>
                <w:kern w:val="0"/>
                <w:szCs w:val="21"/>
                <w:highlight w:val="none"/>
              </w:rPr>
              <w:t>：</w:t>
            </w:r>
          </w:p>
          <w:p w14:paraId="31767D34">
            <w:pPr>
              <w:widowControl/>
              <w:tabs>
                <w:tab w:val="left" w:pos="12596"/>
              </w:tabs>
              <w:spacing w:line="360" w:lineRule="auto"/>
              <w:jc w:val="left"/>
              <w:rPr>
                <w:rFonts w:hint="eastAsia" w:ascii="宋体" w:hAnsi="宋体" w:cs="宋体"/>
                <w:kern w:val="0"/>
                <w:szCs w:val="21"/>
                <w:highlight w:val="none"/>
              </w:rPr>
            </w:pPr>
            <w:r>
              <w:rPr>
                <w:rFonts w:hint="eastAsia" w:ascii="宋体" w:hAnsi="宋体" w:cs="宋体"/>
                <w:szCs w:val="21"/>
                <w:highlight w:val="none"/>
              </w:rPr>
              <w:t xml:space="preserve">▇ </w:t>
            </w:r>
            <w:r>
              <w:rPr>
                <w:rFonts w:hint="eastAsia" w:ascii="宋体" w:hAnsi="宋体" w:cs="宋体"/>
                <w:kern w:val="0"/>
                <w:szCs w:val="21"/>
                <w:highlight w:val="none"/>
              </w:rPr>
              <w:t>收取投标保证金。</w:t>
            </w:r>
          </w:p>
          <w:p w14:paraId="221D82C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宋体" w:hAnsi="宋体"/>
                <w:szCs w:val="21"/>
                <w:highlight w:val="none"/>
              </w:rPr>
              <w:t>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200000.00 </w:t>
            </w:r>
            <w:r>
              <w:rPr>
                <w:rFonts w:hint="eastAsia" w:ascii="宋体" w:hAnsi="宋体"/>
                <w:color w:val="auto"/>
                <w:szCs w:val="21"/>
                <w:highlight w:val="none"/>
              </w:rPr>
              <w:t>（工程</w:t>
            </w:r>
            <w:r>
              <w:rPr>
                <w:rFonts w:hint="eastAsia" w:ascii="宋体" w:hAnsi="宋体"/>
                <w:szCs w:val="21"/>
                <w:highlight w:val="none"/>
              </w:rPr>
              <w:t>造价的2%，最高不超过80万元。）</w:t>
            </w:r>
          </w:p>
          <w:p w14:paraId="4740D889">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ascii="宋体" w:hAnsi="宋体"/>
                <w:kern w:val="0"/>
                <w:szCs w:val="21"/>
                <w:highlight w:val="none"/>
              </w:rPr>
            </w:pPr>
            <w:r>
              <w:rPr>
                <w:rFonts w:hint="eastAsia" w:ascii="宋体" w:hAnsi="宋体" w:cs="宋体"/>
                <w:kern w:val="0"/>
                <w:szCs w:val="21"/>
                <w:highlight w:val="none"/>
              </w:rPr>
              <w:t>投标保证金的形式：电子保函或银行转账。</w:t>
            </w:r>
          </w:p>
          <w:p w14:paraId="3262E92C">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eastAsia" w:ascii="宋体" w:cs="宋体"/>
                <w:kern w:val="0"/>
                <w:szCs w:val="21"/>
                <w:highlight w:val="none"/>
              </w:rPr>
            </w:pPr>
            <w:r>
              <w:rPr>
                <w:rFonts w:hint="eastAsia" w:ascii="宋体" w:hAnsi="宋体"/>
                <w:szCs w:val="21"/>
                <w:highlight w:val="none"/>
              </w:rPr>
              <w:t>提交截止时间：</w:t>
            </w:r>
            <w:r>
              <w:rPr>
                <w:rFonts w:hint="eastAsia" w:ascii="宋体" w:cs="宋体"/>
                <w:kern w:val="0"/>
                <w:szCs w:val="21"/>
                <w:highlight w:val="none"/>
              </w:rPr>
              <w:t>具体时间以</w:t>
            </w:r>
            <w:r>
              <w:rPr>
                <w:rFonts w:hint="eastAsia" w:ascii="宋体" w:hAnsi="宋体"/>
                <w:color w:val="auto"/>
                <w:szCs w:val="21"/>
                <w:highlight w:val="none"/>
                <w:lang w:eastAsia="zh-CN"/>
              </w:rPr>
              <w:t>工程建设</w:t>
            </w:r>
            <w:r>
              <w:rPr>
                <w:rFonts w:hint="default" w:ascii="宋体" w:hAnsi="宋体"/>
                <w:color w:val="auto"/>
                <w:szCs w:val="21"/>
                <w:highlight w:val="none"/>
                <w:lang w:val="en-US"/>
              </w:rPr>
              <w:t>交易系统</w:t>
            </w:r>
            <w:r>
              <w:rPr>
                <w:rFonts w:hint="eastAsia" w:ascii="宋体" w:cs="宋体"/>
                <w:kern w:val="0"/>
                <w:szCs w:val="21"/>
                <w:highlight w:val="none"/>
                <w:lang w:eastAsia="zh-CN"/>
              </w:rPr>
              <w:t>的日程</w:t>
            </w:r>
            <w:r>
              <w:rPr>
                <w:rFonts w:hint="eastAsia" w:ascii="宋体" w:cs="宋体"/>
                <w:kern w:val="0"/>
                <w:szCs w:val="21"/>
                <w:highlight w:val="none"/>
              </w:rPr>
              <w:t>安排为准。</w:t>
            </w:r>
          </w:p>
          <w:p w14:paraId="3A843FDF">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bCs/>
                <w:szCs w:val="21"/>
                <w:highlight w:val="none"/>
              </w:rPr>
              <w:t>应在</w:t>
            </w:r>
            <w:r>
              <w:rPr>
                <w:rFonts w:hint="eastAsia" w:ascii="宋体" w:hAnsi="宋体"/>
                <w:szCs w:val="21"/>
                <w:highlight w:val="none"/>
              </w:rPr>
              <w:t>招标文件发售期间</w:t>
            </w:r>
            <w:r>
              <w:rPr>
                <w:rFonts w:hint="eastAsia" w:ascii="宋体" w:hAnsi="宋体"/>
                <w:bCs/>
                <w:szCs w:val="21"/>
                <w:highlight w:val="none"/>
              </w:rPr>
              <w:t>通过</w:t>
            </w:r>
            <w:r>
              <w:rPr>
                <w:rFonts w:hint="eastAsia"/>
                <w:highlight w:val="none"/>
                <w:lang w:val="en" w:eastAsia="zh-CN"/>
              </w:rPr>
              <w:t>广东省公共资源交易平台（交易系统）的</w:t>
            </w:r>
            <w:r>
              <w:rPr>
                <w:rFonts w:hint="eastAsia" w:ascii="宋体" w:hAnsi="宋体"/>
                <w:color w:val="auto"/>
                <w:szCs w:val="21"/>
                <w:highlight w:val="none"/>
                <w:lang w:eastAsia="zh-CN"/>
              </w:rPr>
              <w:t>工程建设</w:t>
            </w:r>
            <w:r>
              <w:rPr>
                <w:rFonts w:hint="default" w:ascii="宋体" w:hAnsi="宋体"/>
                <w:color w:val="auto"/>
                <w:szCs w:val="21"/>
                <w:highlight w:val="none"/>
                <w:lang w:val="en-US"/>
              </w:rPr>
              <w:t>交易系统</w:t>
            </w:r>
            <w:r>
              <w:rPr>
                <w:rFonts w:hint="eastAsia" w:ascii="宋体" w:hAnsi="宋体"/>
                <w:bCs/>
                <w:szCs w:val="21"/>
                <w:highlight w:val="none"/>
              </w:rPr>
              <w:t>下载招标文件及相关文件,在</w:t>
            </w:r>
            <w:r>
              <w:rPr>
                <w:rFonts w:hint="eastAsia" w:ascii="宋体" w:hAnsi="宋体"/>
                <w:bCs/>
                <w:szCs w:val="21"/>
                <w:highlight w:val="none"/>
                <w:lang w:eastAsia="zh-CN"/>
              </w:rPr>
              <w:t>投标</w:t>
            </w:r>
            <w:r>
              <w:rPr>
                <w:rFonts w:hint="eastAsia" w:ascii="宋体" w:hAnsi="宋体"/>
                <w:szCs w:val="21"/>
                <w:highlight w:val="none"/>
              </w:rPr>
              <w:t>保证金提交截止时间前提交</w:t>
            </w:r>
            <w:r>
              <w:rPr>
                <w:rFonts w:hint="eastAsia" w:ascii="宋体" w:hAnsi="宋体" w:cs="宋体"/>
                <w:kern w:val="0"/>
                <w:szCs w:val="21"/>
                <w:highlight w:val="none"/>
              </w:rPr>
              <w:t>投标保证金，未按时提交投标保证金的，其投标不予受理。投标人在提交投标保证金后应及时查询投标保证金到账或电子保函的出具情况。如有问题请及早向市公共资源交易中心及有关金融机构查询解决。投标保证金以开标系统显示的记录为准。</w:t>
            </w:r>
          </w:p>
          <w:p w14:paraId="5A14885C">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银行转账的投标保证金必须通过投标人已在</w:t>
            </w:r>
            <w:r>
              <w:rPr>
                <w:rFonts w:hint="eastAsia" w:ascii="宋体" w:hAnsi="宋体" w:cs="宋体"/>
                <w:color w:val="auto"/>
                <w:kern w:val="0"/>
                <w:szCs w:val="21"/>
                <w:highlight w:val="none"/>
                <w:lang w:eastAsia="zh-CN"/>
              </w:rPr>
              <w:t>“</w:t>
            </w:r>
            <w:r>
              <w:rPr>
                <w:rFonts w:hint="eastAsia" w:ascii="宋体" w:hAnsi="宋体" w:eastAsia="宋体" w:cs="宋体"/>
                <w:i w:val="0"/>
                <w:caps w:val="0"/>
                <w:color w:val="auto"/>
                <w:spacing w:val="0"/>
                <w:kern w:val="0"/>
                <w:sz w:val="21"/>
                <w:szCs w:val="21"/>
                <w:highlight w:val="none"/>
                <w:shd w:val="clear" w:color="auto" w:fill="auto"/>
              </w:rPr>
              <w:t>中山市公共资源交易中心</w:t>
            </w:r>
            <w:r>
              <w:rPr>
                <w:rFonts w:hint="eastAsia" w:ascii="宋体" w:hAnsi="宋体" w:eastAsia="宋体" w:cs="宋体"/>
                <w:i w:val="0"/>
                <w:caps w:val="0"/>
                <w:color w:val="auto"/>
                <w:spacing w:val="0"/>
                <w:kern w:val="0"/>
                <w:sz w:val="21"/>
                <w:szCs w:val="21"/>
                <w:highlight w:val="none"/>
                <w:shd w:val="clear" w:color="auto" w:fill="auto"/>
                <w:lang w:val="en-US" w:eastAsia="zh-CN"/>
              </w:rPr>
              <w:t>-基础应用支撑平台”</w:t>
            </w:r>
            <w:r>
              <w:rPr>
                <w:rFonts w:hint="eastAsia" w:ascii="宋体" w:hAnsi="宋体" w:cs="宋体"/>
                <w:kern w:val="0"/>
                <w:szCs w:val="21"/>
                <w:highlight w:val="none"/>
              </w:rPr>
              <w:t>中登记的基本账户（基本账户的企业名称须与投标人名称一致）转入相关账户(详见“缴纳投标保证金通知书”)： 投标人</w:t>
            </w:r>
            <w:r>
              <w:rPr>
                <w:rFonts w:hint="eastAsia" w:ascii="宋体" w:hAnsi="宋体" w:cs="宋体"/>
                <w:color w:val="auto"/>
                <w:kern w:val="0"/>
                <w:szCs w:val="21"/>
                <w:highlight w:val="none"/>
                <w:lang w:eastAsia="zh-CN"/>
              </w:rPr>
              <w:t>在</w:t>
            </w:r>
            <w:r>
              <w:rPr>
                <w:rFonts w:hint="eastAsia"/>
                <w:highlight w:val="none"/>
                <w:lang w:val="en" w:eastAsia="zh-CN"/>
              </w:rPr>
              <w:t>广东省公共资源交易平台（交易系统）</w:t>
            </w:r>
            <w:r>
              <w:rPr>
                <w:rFonts w:hint="eastAsia" w:ascii="宋体" w:hAnsi="宋体" w:cs="宋体"/>
                <w:kern w:val="0"/>
                <w:szCs w:val="21"/>
                <w:highlight w:val="none"/>
              </w:rPr>
              <w:t>凭电子招投标数字证书登入工程建设交易系统，在“投标管理--参与项目”栏目页面，选择参与投标的项目获取</w:t>
            </w:r>
            <w:r>
              <w:rPr>
                <w:rFonts w:hint="eastAsia" w:ascii="宋体" w:hAnsi="宋体" w:cs="宋体"/>
                <w:kern w:val="0"/>
                <w:szCs w:val="21"/>
                <w:highlight w:val="none"/>
                <w:lang w:eastAsia="zh-CN"/>
              </w:rPr>
              <w:t>投标</w:t>
            </w:r>
            <w:r>
              <w:rPr>
                <w:rFonts w:hint="eastAsia" w:ascii="宋体" w:hAnsi="宋体" w:cs="宋体"/>
                <w:kern w:val="0"/>
                <w:szCs w:val="21"/>
                <w:highlight w:val="none"/>
              </w:rPr>
              <w:t>保证金</w:t>
            </w:r>
            <w:r>
              <w:rPr>
                <w:rFonts w:hint="eastAsia" w:ascii="宋体" w:hAnsi="宋体"/>
                <w:kern w:val="0"/>
                <w:szCs w:val="21"/>
                <w:highlight w:val="none"/>
              </w:rPr>
              <w:t>提交</w:t>
            </w:r>
            <w:r>
              <w:rPr>
                <w:rFonts w:hint="eastAsia" w:ascii="宋体" w:hAnsi="宋体" w:cs="宋体"/>
                <w:kern w:val="0"/>
                <w:szCs w:val="21"/>
                <w:highlight w:val="none"/>
              </w:rPr>
              <w:t>子账号，并严格按照“缴纳投标保证金通知书”的要求足额</w:t>
            </w:r>
            <w:r>
              <w:rPr>
                <w:rFonts w:hint="eastAsia" w:ascii="宋体" w:hAnsi="宋体"/>
                <w:kern w:val="0"/>
                <w:szCs w:val="21"/>
                <w:highlight w:val="none"/>
              </w:rPr>
              <w:t>提交</w:t>
            </w:r>
            <w:r>
              <w:rPr>
                <w:rFonts w:hint="eastAsia" w:ascii="宋体" w:hAnsi="宋体" w:cs="宋体"/>
                <w:kern w:val="0"/>
                <w:szCs w:val="21"/>
                <w:highlight w:val="none"/>
              </w:rPr>
              <w:t>投标保证金。</w:t>
            </w:r>
          </w:p>
          <w:p w14:paraId="27DA9961">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以电子保函方式提交投标保证金的，投标人</w:t>
            </w:r>
            <w:r>
              <w:rPr>
                <w:rFonts w:hint="eastAsia" w:ascii="宋体" w:hAnsi="宋体" w:cs="宋体"/>
                <w:color w:val="auto"/>
                <w:kern w:val="0"/>
                <w:szCs w:val="21"/>
                <w:highlight w:val="none"/>
                <w:lang w:eastAsia="zh-CN"/>
              </w:rPr>
              <w:t>在</w:t>
            </w:r>
            <w:r>
              <w:rPr>
                <w:rFonts w:hint="eastAsia"/>
                <w:highlight w:val="none"/>
                <w:lang w:val="en" w:eastAsia="zh-CN"/>
              </w:rPr>
              <w:t>广东省公共资源交易平台（交易系统）</w:t>
            </w:r>
            <w:r>
              <w:rPr>
                <w:rFonts w:hint="eastAsia" w:ascii="宋体" w:hAnsi="宋体" w:cs="宋体"/>
                <w:kern w:val="0"/>
                <w:szCs w:val="21"/>
                <w:highlight w:val="none"/>
              </w:rPr>
              <w:t>凭电子招投标数字证书登入工程建设交易系统，在“投标管理--参与项目”栏目页面，选择参与投标的项目，选择相关金融机构办理电子保函。电子保函的出具时间视同于保证金提交时间。电子保函有效期限到期后自动失效，若在有效期间内办理注销的，则在注销之日起失效。电子保函办理的申请流程及操作指引详见</w:t>
            </w:r>
            <w:r>
              <w:rPr>
                <w:rFonts w:hint="eastAsia" w:ascii="宋体" w:hAnsi="宋体" w:cs="宋体"/>
                <w:color w:val="auto"/>
                <w:kern w:val="0"/>
                <w:szCs w:val="21"/>
                <w:highlight w:val="none"/>
              </w:rPr>
              <w:t>广东省公共资源交易平台</w:t>
            </w:r>
            <w:r>
              <w:rPr>
                <w:rFonts w:hint="eastAsia" w:ascii="宋体" w:hAnsi="宋体" w:cs="宋体"/>
                <w:color w:val="auto"/>
                <w:kern w:val="0"/>
                <w:szCs w:val="21"/>
                <w:highlight w:val="none"/>
                <w:lang w:eastAsia="zh-CN"/>
              </w:rPr>
              <w:t>（中山市）</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“服务指南”</w:t>
            </w:r>
            <w:r>
              <w:rPr>
                <w:rFonts w:hint="eastAsia" w:ascii="宋体" w:hAnsi="宋体" w:cs="宋体"/>
                <w:kern w:val="0"/>
                <w:szCs w:val="21"/>
                <w:highlight w:val="none"/>
              </w:rPr>
              <w:t>。</w:t>
            </w:r>
          </w:p>
        </w:tc>
      </w:tr>
      <w:tr w14:paraId="2F55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14:paraId="7F339C8F">
            <w:pPr>
              <w:spacing w:line="360" w:lineRule="auto"/>
              <w:jc w:val="center"/>
              <w:rPr>
                <w:rFonts w:hint="eastAsia" w:ascii="宋体" w:hAnsi="宋体"/>
                <w:szCs w:val="21"/>
              </w:rPr>
            </w:pPr>
            <w:r>
              <w:rPr>
                <w:rFonts w:hint="eastAsia" w:ascii="宋体" w:hAnsi="宋体"/>
                <w:szCs w:val="21"/>
              </w:rPr>
              <w:t>3.6</w:t>
            </w:r>
          </w:p>
        </w:tc>
        <w:tc>
          <w:tcPr>
            <w:tcW w:w="3957" w:type="dxa"/>
            <w:noWrap w:val="0"/>
            <w:vAlign w:val="center"/>
          </w:tcPr>
          <w:p w14:paraId="76D64BE9">
            <w:pPr>
              <w:spacing w:line="360" w:lineRule="auto"/>
              <w:jc w:val="center"/>
              <w:rPr>
                <w:rFonts w:hint="eastAsia" w:ascii="宋体" w:hAnsi="宋体"/>
                <w:szCs w:val="21"/>
              </w:rPr>
            </w:pPr>
            <w:r>
              <w:rPr>
                <w:rFonts w:hint="eastAsia" w:ascii="宋体" w:hAnsi="宋体"/>
                <w:szCs w:val="21"/>
              </w:rPr>
              <w:t>是否允许递交备选投标方案</w:t>
            </w:r>
          </w:p>
        </w:tc>
        <w:tc>
          <w:tcPr>
            <w:tcW w:w="4495" w:type="dxa"/>
            <w:noWrap w:val="0"/>
            <w:vAlign w:val="center"/>
          </w:tcPr>
          <w:p w14:paraId="77254D1C">
            <w:pPr>
              <w:numPr>
                <w:ilvl w:val="0"/>
                <w:numId w:val="0"/>
              </w:numPr>
              <w:spacing w:line="360" w:lineRule="auto"/>
              <w:ind w:left="360" w:leftChars="0" w:hanging="360" w:firstLineChars="0"/>
              <w:rPr>
                <w:rFonts w:hint="eastAsia" w:ascii="宋体" w:hAnsi="宋体"/>
                <w:szCs w:val="21"/>
              </w:rPr>
            </w:pPr>
            <w:r>
              <w:rPr>
                <w:rFonts w:hint="eastAsia" w:ascii="宋体" w:hAnsi="宋体" w:cs="宋体"/>
                <w:szCs w:val="21"/>
                <w:highlight w:val="none"/>
              </w:rPr>
              <w:t xml:space="preserve">▇ </w:t>
            </w:r>
            <w:r>
              <w:rPr>
                <w:rFonts w:hint="eastAsia" w:ascii="宋体" w:hAnsi="宋体"/>
                <w:szCs w:val="21"/>
              </w:rPr>
              <w:t>不允许</w:t>
            </w:r>
          </w:p>
          <w:p w14:paraId="1527564B">
            <w:pPr>
              <w:numPr>
                <w:ilvl w:val="0"/>
                <w:numId w:val="0"/>
              </w:numPr>
              <w:spacing w:line="360" w:lineRule="auto"/>
              <w:ind w:left="360" w:leftChars="0" w:hanging="360"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允许</w:t>
            </w:r>
          </w:p>
        </w:tc>
      </w:tr>
      <w:tr w14:paraId="7462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49592BC1">
            <w:pPr>
              <w:spacing w:line="360" w:lineRule="auto"/>
              <w:jc w:val="center"/>
              <w:rPr>
                <w:rFonts w:hint="eastAsia" w:ascii="宋体" w:hAnsi="宋体"/>
                <w:szCs w:val="21"/>
              </w:rPr>
            </w:pPr>
            <w:r>
              <w:rPr>
                <w:rFonts w:hint="eastAsia" w:ascii="宋体" w:hAnsi="宋体"/>
                <w:szCs w:val="21"/>
              </w:rPr>
              <w:t>3.7.3</w:t>
            </w:r>
          </w:p>
        </w:tc>
        <w:tc>
          <w:tcPr>
            <w:tcW w:w="3957" w:type="dxa"/>
            <w:noWrap w:val="0"/>
            <w:vAlign w:val="center"/>
          </w:tcPr>
          <w:p w14:paraId="79D83574">
            <w:pPr>
              <w:spacing w:line="360" w:lineRule="auto"/>
              <w:jc w:val="center"/>
              <w:rPr>
                <w:rFonts w:hint="eastAsia" w:ascii="宋体" w:hAnsi="宋体"/>
                <w:szCs w:val="21"/>
                <w:highlight w:val="none"/>
              </w:rPr>
            </w:pPr>
            <w:r>
              <w:rPr>
                <w:rFonts w:hint="eastAsia" w:ascii="宋体" w:hAnsi="宋体"/>
                <w:szCs w:val="21"/>
                <w:highlight w:val="none"/>
              </w:rPr>
              <w:t>签字或盖章要求</w:t>
            </w:r>
          </w:p>
        </w:tc>
        <w:tc>
          <w:tcPr>
            <w:tcW w:w="4495" w:type="dxa"/>
            <w:noWrap w:val="0"/>
            <w:vAlign w:val="center"/>
          </w:tcPr>
          <w:p w14:paraId="4AE819F6">
            <w:pPr>
              <w:autoSpaceDE w:val="0"/>
              <w:autoSpaceDN w:val="0"/>
              <w:adjustRightInd w:val="0"/>
              <w:ind w:firstLine="420" w:firstLineChars="200"/>
              <w:rPr>
                <w:rFonts w:hint="eastAsia" w:ascii="宋体" w:hAnsi="宋体" w:eastAsia="宋体"/>
                <w:szCs w:val="21"/>
                <w:highlight w:val="none"/>
                <w:lang w:eastAsia="zh-CN"/>
              </w:rPr>
            </w:pPr>
            <w:r>
              <w:rPr>
                <w:rFonts w:hint="eastAsia" w:ascii="宋体" w:hAnsi="宋体"/>
                <w:szCs w:val="21"/>
                <w:highlight w:val="none"/>
              </w:rPr>
              <w:t>一、电子标书：</w:t>
            </w:r>
          </w:p>
          <w:p w14:paraId="134361FD">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资格标、技术标须按招标文件要求编写并打印，按招标文件要求签字盖章扫描后上传。如果由法定代表人参加的，须提供法定代表人证明书及有效的身份证；如果由委托代理人参加的，须提供法定代表人证明书、授权委托书及委托代理人的有效身份证；联合体投标的，须提供联合体协议书。（以上资料均为原件扫描件。）</w:t>
            </w:r>
          </w:p>
          <w:p w14:paraId="4F21FC46">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、经济标须按招标人提供的工程量清单格式填写，投标人须采用其电子招投标数字证书对经济标进行加密上传，即视为对经济标进行签名和加盖单位公章。</w:t>
            </w:r>
          </w:p>
          <w:p w14:paraId="36E61AC5">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rPr>
              <w:t>二、纸质标书（仅由中标单位提交，其余不中标单位无需提交）</w:t>
            </w:r>
          </w:p>
          <w:p w14:paraId="53D70E51">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rPr>
              <w:t xml:space="preserve">1.投标文件封面：由法定代表人或其委托代理人签字并加盖单位公章； </w:t>
            </w:r>
          </w:p>
          <w:p w14:paraId="6CE1C14D">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xml:space="preserve">承诺书：由法定代表人或其委托代理人签字并加盖单位公章； </w:t>
            </w:r>
          </w:p>
          <w:p w14:paraId="3276F7B8">
            <w:pPr>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 xml:space="preserve">.投标报价：由法定代表人或其委托代理人签字并加盖单位公章； </w:t>
            </w:r>
          </w:p>
          <w:p w14:paraId="060B0251">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.法定代表人身份证明：</w:t>
            </w:r>
            <w:r>
              <w:rPr>
                <w:rFonts w:hint="eastAsia" w:ascii="宋体" w:hAnsi="宋体"/>
                <w:szCs w:val="21"/>
                <w:highlight w:val="none"/>
                <w:lang w:eastAsia="zh-CN"/>
              </w:rPr>
              <w:t>加盖</w:t>
            </w:r>
            <w:r>
              <w:rPr>
                <w:rFonts w:hint="eastAsia" w:ascii="宋体" w:hAnsi="宋体"/>
                <w:szCs w:val="21"/>
                <w:highlight w:val="none"/>
              </w:rPr>
              <w:t xml:space="preserve">单位公章； </w:t>
            </w:r>
          </w:p>
          <w:p w14:paraId="249DE8ED">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.法定代表人授权委托证明书：有法定代表人签字并加盖单位公章。</w:t>
            </w:r>
          </w:p>
          <w:p w14:paraId="7AD14DF7">
            <w:pPr>
              <w:spacing w:line="320" w:lineRule="exact"/>
              <w:ind w:firstLine="420" w:firstLineChars="200"/>
              <w:rPr>
                <w:rFonts w:hint="eastAsia" w:ascii="宋体" w:hAnsi="宋体"/>
                <w:szCs w:val="21"/>
                <w:highlight w:val="none"/>
              </w:rPr>
            </w:pPr>
            <w:r>
              <w:rPr>
                <w:rFonts w:hint="eastAsia" w:ascii="宋体" w:hAnsi="宋体"/>
                <w:szCs w:val="21"/>
                <w:highlight w:val="none"/>
              </w:rPr>
              <w:t>签字要求：文件中要求由法定代表人或委托代理人签字处须由法定代表人或委托代理人签字（不允许盖私章代替签字）；</w:t>
            </w:r>
          </w:p>
          <w:p w14:paraId="3BE18D41">
            <w:pPr>
              <w:spacing w:line="320" w:lineRule="exact"/>
              <w:ind w:firstLine="420" w:firstLineChars="200"/>
              <w:rPr>
                <w:rFonts w:hint="eastAsia" w:ascii="宋体" w:hAnsi="宋体"/>
                <w:szCs w:val="21"/>
                <w:highlight w:val="none"/>
              </w:rPr>
            </w:pPr>
            <w:r>
              <w:rPr>
                <w:rFonts w:hint="eastAsia" w:ascii="宋体" w:hAnsi="宋体"/>
                <w:szCs w:val="21"/>
                <w:highlight w:val="none"/>
              </w:rPr>
              <w:t>盖章要求：文件中所有要求加盖公章处均须加盖公章</w:t>
            </w:r>
            <w:r>
              <w:rPr>
                <w:rFonts w:hint="eastAsia" w:ascii="宋体" w:hAnsi="宋体" w:eastAsia="宋体" w:cs="Times New Roman"/>
                <w:szCs w:val="21"/>
                <w:highlight w:val="none"/>
              </w:rPr>
              <w:t>（该公章须与在相关市场监管部门备案的公章一致）。</w:t>
            </w:r>
          </w:p>
        </w:tc>
      </w:tr>
      <w:tr w14:paraId="7E1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452CAECC">
            <w:pPr>
              <w:spacing w:line="360" w:lineRule="auto"/>
              <w:jc w:val="center"/>
              <w:rPr>
                <w:rFonts w:hint="eastAsia" w:ascii="宋体" w:hAnsi="宋体"/>
                <w:szCs w:val="21"/>
              </w:rPr>
            </w:pPr>
            <w:r>
              <w:rPr>
                <w:rFonts w:hint="eastAsia" w:ascii="宋体" w:hAnsi="宋体"/>
                <w:szCs w:val="21"/>
              </w:rPr>
              <w:t>3.7.4</w:t>
            </w:r>
          </w:p>
        </w:tc>
        <w:tc>
          <w:tcPr>
            <w:tcW w:w="3957" w:type="dxa"/>
            <w:noWrap w:val="0"/>
            <w:vAlign w:val="center"/>
          </w:tcPr>
          <w:p w14:paraId="15566954">
            <w:pPr>
              <w:spacing w:line="360" w:lineRule="auto"/>
              <w:jc w:val="center"/>
              <w:rPr>
                <w:rFonts w:hint="eastAsia" w:ascii="宋体" w:hAnsi="宋体"/>
                <w:szCs w:val="21"/>
                <w:highlight w:val="none"/>
              </w:rPr>
            </w:pPr>
            <w:r>
              <w:rPr>
                <w:rFonts w:hint="eastAsia" w:ascii="宋体" w:hAnsi="宋体"/>
                <w:szCs w:val="21"/>
                <w:highlight w:val="none"/>
              </w:rPr>
              <w:t>投标文件份数</w:t>
            </w:r>
          </w:p>
        </w:tc>
        <w:tc>
          <w:tcPr>
            <w:tcW w:w="4495" w:type="dxa"/>
            <w:noWrap w:val="0"/>
            <w:vAlign w:val="center"/>
          </w:tcPr>
          <w:p w14:paraId="21403B3F">
            <w:pPr>
              <w:spacing w:line="320" w:lineRule="exact"/>
              <w:ind w:firstLine="420" w:firstLineChars="200"/>
              <w:rPr>
                <w:rFonts w:hint="eastAsia" w:ascii="宋体" w:hAnsi="宋体"/>
                <w:szCs w:val="21"/>
                <w:highlight w:val="none"/>
              </w:rPr>
            </w:pPr>
            <w:r>
              <w:rPr>
                <w:rFonts w:hint="eastAsia" w:ascii="宋体" w:hAnsi="宋体"/>
                <w:szCs w:val="21"/>
                <w:highlight w:val="none"/>
              </w:rPr>
              <w:t>一、电子标书</w:t>
            </w:r>
          </w:p>
          <w:p w14:paraId="0C172CA6">
            <w:pPr>
              <w:numPr>
                <w:ilvl w:val="0"/>
                <w:numId w:val="1"/>
              </w:numPr>
              <w:spacing w:line="320" w:lineRule="exact"/>
              <w:ind w:firstLine="420" w:firstLineChars="200"/>
              <w:rPr>
                <w:rFonts w:hint="eastAsia" w:ascii="宋体" w:hAnsi="宋体"/>
                <w:szCs w:val="21"/>
                <w:highlight w:val="none"/>
              </w:rPr>
            </w:pPr>
            <w:r>
              <w:rPr>
                <w:rFonts w:hint="eastAsia" w:ascii="宋体" w:hAnsi="宋体"/>
                <w:szCs w:val="21"/>
                <w:highlight w:val="none"/>
              </w:rPr>
              <w:t>资格标电子标书</w:t>
            </w:r>
            <w:r>
              <w:rPr>
                <w:rFonts w:hint="eastAsia" w:ascii="宋体" w:hAnsi="宋体"/>
                <w:szCs w:val="21"/>
                <w:highlight w:val="none"/>
                <w:lang w:val="en-US" w:eastAsia="zh-CN"/>
              </w:rPr>
              <w:t>1份</w:t>
            </w:r>
          </w:p>
          <w:p w14:paraId="12EF2FFF">
            <w:pPr>
              <w:spacing w:line="320" w:lineRule="exact"/>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、技术标电子标书</w:t>
            </w:r>
            <w:r>
              <w:rPr>
                <w:rFonts w:hint="eastAsia" w:ascii="宋体" w:hAnsi="宋体"/>
                <w:szCs w:val="21"/>
                <w:highlight w:val="none"/>
                <w:lang w:val="en-US" w:eastAsia="zh-CN"/>
              </w:rPr>
              <w:t>1份</w:t>
            </w:r>
          </w:p>
          <w:p w14:paraId="1E5F50E7">
            <w:pPr>
              <w:spacing w:line="320" w:lineRule="exact"/>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、经济标电子标书</w:t>
            </w:r>
            <w:r>
              <w:rPr>
                <w:rFonts w:hint="eastAsia" w:ascii="宋体" w:hAnsi="宋体"/>
                <w:szCs w:val="21"/>
                <w:highlight w:val="none"/>
                <w:lang w:val="en-US" w:eastAsia="zh-CN"/>
              </w:rPr>
              <w:t>1份</w:t>
            </w:r>
          </w:p>
          <w:p w14:paraId="4B97640F">
            <w:pPr>
              <w:spacing w:line="32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资格标、技术标、经济标电子标书经电子招投标数字证书加密后由投标人在投标截止前通过</w:t>
            </w:r>
            <w:r>
              <w:rPr>
                <w:rFonts w:hint="eastAsia" w:ascii="宋体" w:hAnsi="宋体"/>
                <w:szCs w:val="21"/>
                <w:highlight w:val="none"/>
                <w:lang w:val="en" w:eastAsia="zh-CN"/>
              </w:rPr>
              <w:t>广东省公共资源交易平台（交易系统）</w:t>
            </w:r>
            <w:r>
              <w:rPr>
                <w:rFonts w:hint="eastAsia" w:ascii="宋体" w:hAnsi="宋体"/>
                <w:szCs w:val="21"/>
                <w:highlight w:val="none"/>
                <w:lang w:val="en-US" w:eastAsia="zh-CN"/>
              </w:rPr>
              <w:t>的工程建设</w:t>
            </w:r>
            <w:r>
              <w:rPr>
                <w:rFonts w:hint="default" w:ascii="宋体" w:hAnsi="宋体"/>
                <w:szCs w:val="21"/>
                <w:highlight w:val="none"/>
                <w:lang w:val="en-US" w:eastAsia="zh-CN"/>
              </w:rPr>
              <w:t>交易系统</w:t>
            </w:r>
            <w:r>
              <w:rPr>
                <w:rFonts w:hint="eastAsia" w:ascii="宋体" w:hAnsi="宋体"/>
                <w:szCs w:val="21"/>
                <w:highlight w:val="none"/>
                <w:lang w:val="en-US" w:eastAsia="zh-CN"/>
              </w:rPr>
              <w:t>上传。</w:t>
            </w:r>
          </w:p>
          <w:p w14:paraId="725CF6DF">
            <w:pPr>
              <w:autoSpaceDE w:val="0"/>
              <w:autoSpaceDN w:val="0"/>
              <w:adjustRightInd w:val="0"/>
              <w:ind w:firstLine="420" w:firstLineChars="200"/>
              <w:rPr>
                <w:rFonts w:hint="eastAsia" w:ascii="宋体" w:hAnsi="宋体"/>
                <w:szCs w:val="21"/>
                <w:highlight w:val="none"/>
              </w:rPr>
            </w:pPr>
            <w:r>
              <w:rPr>
                <w:rFonts w:hint="eastAsia" w:ascii="宋体" w:hAnsi="宋体"/>
                <w:szCs w:val="21"/>
                <w:highlight w:val="none"/>
              </w:rPr>
              <w:t>二、纸质标书（</w:t>
            </w:r>
            <w:r>
              <w:rPr>
                <w:rFonts w:hint="eastAsia"/>
                <w:highlight w:val="none"/>
              </w:rPr>
              <w:t>开标时无需提交，由中标单位按要求提交</w:t>
            </w:r>
            <w:r>
              <w:rPr>
                <w:rFonts w:hint="eastAsia" w:ascii="宋体" w:hAnsi="宋体"/>
                <w:szCs w:val="21"/>
                <w:highlight w:val="none"/>
              </w:rPr>
              <w:t>）</w:t>
            </w:r>
          </w:p>
          <w:p w14:paraId="7D435CC2">
            <w:pPr>
              <w:autoSpaceDE w:val="0"/>
              <w:autoSpaceDN w:val="0"/>
              <w:adjustRightInd w:val="0"/>
              <w:ind w:right="180" w:firstLine="420" w:firstLineChars="200"/>
              <w:rPr>
                <w:rFonts w:hint="eastAsia" w:ascii="宋体" w:hAnsi="宋体"/>
                <w:szCs w:val="21"/>
                <w:highlight w:val="none"/>
              </w:rPr>
            </w:pPr>
            <w:r>
              <w:rPr>
                <w:rFonts w:hint="eastAsia" w:ascii="宋体" w:hAnsi="宋体"/>
                <w:szCs w:val="21"/>
                <w:highlight w:val="none"/>
              </w:rPr>
              <w:t>资格标、技术标和</w:t>
            </w:r>
            <w:r>
              <w:rPr>
                <w:rFonts w:hint="eastAsia" w:ascii="宋体" w:hAnsi="宋体"/>
                <w:szCs w:val="21"/>
                <w:highlight w:val="none"/>
                <w:lang w:eastAsia="zh-CN"/>
              </w:rPr>
              <w:t>经济标</w:t>
            </w:r>
            <w:r>
              <w:rPr>
                <w:rFonts w:hint="eastAsia" w:ascii="宋体" w:hAnsi="宋体"/>
                <w:szCs w:val="21"/>
                <w:highlight w:val="none"/>
              </w:rPr>
              <w:t>均为一式四份（其中正本1份，须为原件；副本3份，为正本的复印件。正副本封面均须由法定代表人或委托代理人签字并加盖投标人单位公章，在正副本的封面右上角注明“正本”或“副本”）。</w:t>
            </w:r>
          </w:p>
          <w:p w14:paraId="3CAB207D">
            <w:pPr>
              <w:autoSpaceDE w:val="0"/>
              <w:autoSpaceDN w:val="0"/>
              <w:adjustRightInd w:val="0"/>
              <w:ind w:right="180" w:firstLine="420" w:firstLineChars="200"/>
              <w:rPr>
                <w:rFonts w:hint="eastAsia" w:ascii="宋体" w:hAnsi="宋体"/>
                <w:szCs w:val="21"/>
                <w:highlight w:val="none"/>
              </w:rPr>
            </w:pPr>
            <w:r>
              <w:rPr>
                <w:rFonts w:hint="eastAsia" w:ascii="宋体" w:hAnsi="宋体"/>
                <w:szCs w:val="21"/>
                <w:highlight w:val="none"/>
              </w:rPr>
              <w:t>按3.7.3要求签字和盖章。</w:t>
            </w:r>
          </w:p>
        </w:tc>
      </w:tr>
      <w:tr w14:paraId="4907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49CC41D9">
            <w:pPr>
              <w:spacing w:line="360" w:lineRule="auto"/>
              <w:jc w:val="center"/>
              <w:rPr>
                <w:rFonts w:hint="eastAsia" w:ascii="宋体" w:hAnsi="宋体"/>
                <w:szCs w:val="21"/>
              </w:rPr>
            </w:pPr>
            <w:r>
              <w:rPr>
                <w:rFonts w:hint="eastAsia" w:ascii="宋体" w:hAnsi="宋体"/>
                <w:szCs w:val="21"/>
              </w:rPr>
              <w:t>3.7.5</w:t>
            </w:r>
          </w:p>
        </w:tc>
        <w:tc>
          <w:tcPr>
            <w:tcW w:w="3957" w:type="dxa"/>
            <w:noWrap w:val="0"/>
            <w:vAlign w:val="center"/>
          </w:tcPr>
          <w:p w14:paraId="15FBB2CB">
            <w:pPr>
              <w:spacing w:line="360" w:lineRule="auto"/>
              <w:jc w:val="center"/>
              <w:rPr>
                <w:rFonts w:hint="eastAsia" w:ascii="宋体" w:hAnsi="宋体"/>
                <w:szCs w:val="21"/>
                <w:highlight w:val="none"/>
              </w:rPr>
            </w:pPr>
            <w:r>
              <w:rPr>
                <w:rFonts w:hint="eastAsia" w:ascii="宋体" w:hAnsi="宋体"/>
                <w:szCs w:val="21"/>
                <w:highlight w:val="none"/>
              </w:rPr>
              <w:t>电子投标文件编制要求</w:t>
            </w:r>
          </w:p>
        </w:tc>
        <w:tc>
          <w:tcPr>
            <w:tcW w:w="4495" w:type="dxa"/>
            <w:noWrap w:val="0"/>
            <w:vAlign w:val="center"/>
          </w:tcPr>
          <w:p w14:paraId="696E974B">
            <w:pPr>
              <w:spacing w:line="320" w:lineRule="exact"/>
              <w:ind w:firstLine="420" w:firstLineChars="200"/>
              <w:rPr>
                <w:rFonts w:hint="eastAsia" w:ascii="宋体" w:hAnsi="宋体"/>
                <w:szCs w:val="21"/>
                <w:highlight w:val="none"/>
              </w:rPr>
            </w:pPr>
            <w:r>
              <w:rPr>
                <w:rFonts w:hint="eastAsia" w:ascii="宋体" w:hAnsi="宋体"/>
                <w:szCs w:val="21"/>
                <w:highlight w:val="none"/>
              </w:rPr>
              <w:t>资格标函编制要求：按3.1.1.</w:t>
            </w:r>
            <w:r>
              <w:rPr>
                <w:rFonts w:hint="eastAsia" w:ascii="宋体" w:hAnsi="宋体"/>
                <w:szCs w:val="21"/>
                <w:highlight w:val="none"/>
                <w:lang w:val="en-US" w:eastAsia="zh-CN"/>
              </w:rPr>
              <w:t>2</w:t>
            </w:r>
            <w:r>
              <w:rPr>
                <w:rFonts w:hint="eastAsia" w:ascii="宋体" w:hAnsi="宋体"/>
                <w:szCs w:val="21"/>
                <w:highlight w:val="none"/>
              </w:rPr>
              <w:t>顺序编制；</w:t>
            </w:r>
          </w:p>
          <w:p w14:paraId="6ADECB6D">
            <w:pPr>
              <w:spacing w:line="320" w:lineRule="exact"/>
              <w:ind w:firstLine="420" w:firstLineChars="200"/>
              <w:rPr>
                <w:rFonts w:hint="eastAsia" w:ascii="宋体" w:hAnsi="宋体"/>
                <w:szCs w:val="21"/>
                <w:highlight w:val="none"/>
              </w:rPr>
            </w:pPr>
            <w:r>
              <w:rPr>
                <w:rFonts w:hint="eastAsia" w:ascii="宋体" w:hAnsi="宋体"/>
                <w:szCs w:val="21"/>
                <w:highlight w:val="none"/>
              </w:rPr>
              <w:t>技术标函编制要求：按3.1.1.</w:t>
            </w:r>
            <w:r>
              <w:rPr>
                <w:rFonts w:hint="eastAsia" w:ascii="宋体" w:hAnsi="宋体"/>
                <w:szCs w:val="21"/>
                <w:highlight w:val="none"/>
                <w:lang w:val="en-US" w:eastAsia="zh-CN"/>
              </w:rPr>
              <w:t>3</w:t>
            </w:r>
            <w:r>
              <w:rPr>
                <w:rFonts w:hint="eastAsia" w:ascii="宋体" w:hAnsi="宋体"/>
                <w:szCs w:val="21"/>
                <w:highlight w:val="none"/>
              </w:rPr>
              <w:t>顺序编制。</w:t>
            </w:r>
          </w:p>
          <w:p w14:paraId="75E93E1E">
            <w:pPr>
              <w:spacing w:line="320" w:lineRule="exact"/>
              <w:ind w:firstLine="420" w:firstLineChars="200"/>
              <w:rPr>
                <w:rFonts w:hint="eastAsia" w:ascii="宋体" w:hAnsi="宋体"/>
                <w:szCs w:val="21"/>
                <w:highlight w:val="none"/>
              </w:rPr>
            </w:pPr>
            <w:r>
              <w:rPr>
                <w:rFonts w:hint="eastAsia" w:ascii="宋体" w:hAnsi="宋体"/>
                <w:szCs w:val="21"/>
                <w:highlight w:val="none"/>
              </w:rPr>
              <w:t>投标报价函编制要求：按3.1.1.</w:t>
            </w:r>
            <w:r>
              <w:rPr>
                <w:rFonts w:hint="eastAsia" w:ascii="宋体" w:hAnsi="宋体"/>
                <w:szCs w:val="21"/>
                <w:highlight w:val="none"/>
                <w:lang w:val="en-US" w:eastAsia="zh-CN"/>
              </w:rPr>
              <w:t>4</w:t>
            </w:r>
            <w:r>
              <w:rPr>
                <w:rFonts w:hint="eastAsia" w:ascii="宋体" w:hAnsi="宋体"/>
                <w:szCs w:val="21"/>
                <w:highlight w:val="none"/>
              </w:rPr>
              <w:t>编制。</w:t>
            </w:r>
          </w:p>
        </w:tc>
      </w:tr>
      <w:tr w14:paraId="6488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35693460">
            <w:pPr>
              <w:spacing w:line="360" w:lineRule="auto"/>
              <w:jc w:val="center"/>
              <w:rPr>
                <w:rFonts w:hint="eastAsia" w:ascii="宋体" w:hAnsi="宋体"/>
                <w:szCs w:val="21"/>
              </w:rPr>
            </w:pPr>
            <w:r>
              <w:rPr>
                <w:rFonts w:hint="eastAsia" w:ascii="宋体" w:hAnsi="宋体"/>
                <w:szCs w:val="21"/>
              </w:rPr>
              <w:t>5.1</w:t>
            </w:r>
          </w:p>
        </w:tc>
        <w:tc>
          <w:tcPr>
            <w:tcW w:w="3957" w:type="dxa"/>
            <w:noWrap w:val="0"/>
            <w:vAlign w:val="center"/>
          </w:tcPr>
          <w:p w14:paraId="22B6EE48">
            <w:pPr>
              <w:spacing w:line="360" w:lineRule="auto"/>
              <w:jc w:val="center"/>
              <w:rPr>
                <w:rFonts w:hint="eastAsia" w:ascii="宋体" w:hAnsi="宋体"/>
                <w:szCs w:val="21"/>
              </w:rPr>
            </w:pPr>
            <w:r>
              <w:rPr>
                <w:rFonts w:hint="eastAsia" w:ascii="宋体" w:hAnsi="宋体"/>
                <w:szCs w:val="21"/>
              </w:rPr>
              <w:t>开标地点</w:t>
            </w:r>
          </w:p>
        </w:tc>
        <w:tc>
          <w:tcPr>
            <w:tcW w:w="4495" w:type="dxa"/>
            <w:noWrap w:val="0"/>
            <w:vAlign w:val="center"/>
          </w:tcPr>
          <w:p w14:paraId="6EE00514">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20" w:firstLineChars="200"/>
              <w:jc w:val="both"/>
              <w:textAlignment w:val="auto"/>
              <w:rPr>
                <w:rFonts w:hint="eastAsia"/>
                <w:szCs w:val="21"/>
              </w:rPr>
            </w:pPr>
            <w:r>
              <w:rPr>
                <w:rFonts w:hint="eastAsia" w:cs="Times New Roman"/>
                <w:kern w:val="2"/>
                <w:sz w:val="21"/>
                <w:szCs w:val="21"/>
              </w:rPr>
              <w:t>本项目在中山市公共资源交易中心现场组织网上开标，投标人无需抵达开标现场。投标人可</w:t>
            </w:r>
            <w:r>
              <w:rPr>
                <w:rFonts w:hint="eastAsia" w:cs="Times New Roman"/>
                <w:kern w:val="2"/>
                <w:sz w:val="21"/>
                <w:szCs w:val="21"/>
                <w:lang w:eastAsia="zh-CN"/>
              </w:rPr>
              <w:t>登录</w:t>
            </w:r>
            <w:r>
              <w:rPr>
                <w:rFonts w:hint="eastAsia" w:cs="Times New Roman"/>
                <w:kern w:val="2"/>
                <w:sz w:val="21"/>
                <w:szCs w:val="21"/>
                <w:lang w:val="en-US" w:eastAsia="zh-CN"/>
              </w:rPr>
              <w:t>广东省公共资源交易平台（交易系统）</w:t>
            </w:r>
            <w:r>
              <w:rPr>
                <w:rFonts w:hint="eastAsia" w:ascii="宋体" w:hAnsi="宋体" w:cs="Times New Roman"/>
                <w:kern w:val="2"/>
                <w:sz w:val="21"/>
                <w:szCs w:val="21"/>
                <w:lang w:val="en-US" w:eastAsia="zh-CN"/>
              </w:rPr>
              <w:t>的</w:t>
            </w:r>
            <w:r>
              <w:rPr>
                <w:rFonts w:hint="eastAsia" w:ascii="宋体" w:hAnsi="宋体" w:cs="Times New Roman"/>
                <w:kern w:val="2"/>
                <w:sz w:val="21"/>
                <w:szCs w:val="21"/>
                <w:lang w:eastAsia="zh-CN"/>
              </w:rPr>
              <w:t>工程建设</w:t>
            </w:r>
            <w:r>
              <w:rPr>
                <w:rFonts w:hint="eastAsia" w:ascii="宋体" w:hAnsi="宋体" w:cs="Times New Roman"/>
                <w:kern w:val="2"/>
                <w:sz w:val="21"/>
                <w:szCs w:val="21"/>
                <w:lang w:val="en-US"/>
              </w:rPr>
              <w:t>交易系统</w:t>
            </w:r>
            <w:r>
              <w:rPr>
                <w:rFonts w:hint="eastAsia" w:cs="Times New Roman"/>
                <w:kern w:val="2"/>
                <w:sz w:val="21"/>
                <w:szCs w:val="21"/>
              </w:rPr>
              <w:t>查看项目开标过程，依法提出开标异议。</w:t>
            </w:r>
          </w:p>
        </w:tc>
      </w:tr>
      <w:tr w14:paraId="3B0C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14:paraId="7ACC784F">
            <w:pPr>
              <w:spacing w:line="360" w:lineRule="auto"/>
              <w:jc w:val="center"/>
              <w:rPr>
                <w:rFonts w:hint="eastAsia" w:ascii="宋体" w:hAnsi="宋体"/>
                <w:szCs w:val="21"/>
              </w:rPr>
            </w:pPr>
            <w:r>
              <w:rPr>
                <w:rFonts w:hint="eastAsia" w:ascii="宋体" w:hAnsi="宋体"/>
                <w:szCs w:val="21"/>
              </w:rPr>
              <w:t>5.2</w:t>
            </w:r>
          </w:p>
        </w:tc>
        <w:tc>
          <w:tcPr>
            <w:tcW w:w="3957" w:type="dxa"/>
            <w:noWrap w:val="0"/>
            <w:vAlign w:val="center"/>
          </w:tcPr>
          <w:p w14:paraId="7FB8F133">
            <w:pPr>
              <w:spacing w:line="360" w:lineRule="auto"/>
              <w:jc w:val="center"/>
              <w:rPr>
                <w:rFonts w:hint="eastAsia" w:ascii="宋体" w:hAnsi="宋体"/>
                <w:szCs w:val="21"/>
              </w:rPr>
            </w:pPr>
            <w:r>
              <w:rPr>
                <w:rFonts w:hint="eastAsia" w:ascii="宋体" w:hAnsi="宋体"/>
                <w:szCs w:val="21"/>
              </w:rPr>
              <w:t>开标程序</w:t>
            </w:r>
          </w:p>
        </w:tc>
        <w:tc>
          <w:tcPr>
            <w:tcW w:w="4495" w:type="dxa"/>
            <w:noWrap w:val="0"/>
            <w:vAlign w:val="center"/>
          </w:tcPr>
          <w:p w14:paraId="6811AD98">
            <w:pPr>
              <w:spacing w:line="320" w:lineRule="exact"/>
              <w:rPr>
                <w:rFonts w:hint="eastAsia" w:ascii="宋体" w:hAnsi="宋体"/>
                <w:szCs w:val="21"/>
              </w:rPr>
            </w:pPr>
            <w:r>
              <w:rPr>
                <w:rFonts w:hint="eastAsia" w:ascii="宋体" w:hAnsi="宋体"/>
                <w:szCs w:val="21"/>
              </w:rPr>
              <w:t>详见投标人须知总则5.2</w:t>
            </w:r>
          </w:p>
        </w:tc>
      </w:tr>
      <w:tr w14:paraId="60C6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0600F7CF">
            <w:pPr>
              <w:spacing w:line="360" w:lineRule="auto"/>
              <w:jc w:val="center"/>
              <w:rPr>
                <w:rFonts w:hint="eastAsia" w:ascii="宋体" w:hAnsi="宋体"/>
                <w:szCs w:val="21"/>
              </w:rPr>
            </w:pPr>
            <w:r>
              <w:rPr>
                <w:rFonts w:hint="eastAsia" w:ascii="宋体" w:hAnsi="宋体"/>
                <w:szCs w:val="21"/>
              </w:rPr>
              <w:t>6.1.1</w:t>
            </w:r>
          </w:p>
        </w:tc>
        <w:tc>
          <w:tcPr>
            <w:tcW w:w="3957" w:type="dxa"/>
            <w:noWrap w:val="0"/>
            <w:vAlign w:val="center"/>
          </w:tcPr>
          <w:p w14:paraId="6FA84ED9">
            <w:pPr>
              <w:spacing w:line="360" w:lineRule="auto"/>
              <w:jc w:val="center"/>
              <w:rPr>
                <w:rFonts w:hint="eastAsia" w:ascii="宋体" w:hAnsi="宋体"/>
                <w:szCs w:val="21"/>
              </w:rPr>
            </w:pPr>
            <w:r>
              <w:rPr>
                <w:rFonts w:hint="eastAsia" w:ascii="宋体" w:hAnsi="宋体"/>
                <w:szCs w:val="21"/>
              </w:rPr>
              <w:t>评标委员会的组建</w:t>
            </w:r>
          </w:p>
        </w:tc>
        <w:tc>
          <w:tcPr>
            <w:tcW w:w="4495" w:type="dxa"/>
            <w:noWrap w:val="0"/>
            <w:vAlign w:val="center"/>
          </w:tcPr>
          <w:p w14:paraId="3B581985">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szCs w:val="21"/>
              </w:rPr>
            </w:pPr>
            <w:r>
              <w:rPr>
                <w:rFonts w:hint="eastAsia" w:ascii="宋体" w:hAnsi="宋体"/>
                <w:szCs w:val="21"/>
              </w:rPr>
              <w:t>评标委员会构成:</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人，招标人不得委派代表参加评标委员会。</w:t>
            </w:r>
          </w:p>
          <w:p w14:paraId="008C457B">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b/>
                <w:szCs w:val="21"/>
              </w:rPr>
            </w:pPr>
            <w:r>
              <w:rPr>
                <w:rFonts w:hint="eastAsia" w:ascii="宋体" w:hAnsi="宋体"/>
                <w:szCs w:val="21"/>
              </w:rPr>
              <w:t>评标专家确定方式：在法定专家库中随机抽取。</w:t>
            </w:r>
          </w:p>
        </w:tc>
      </w:tr>
      <w:tr w14:paraId="4825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5818901D">
            <w:pPr>
              <w:spacing w:line="360" w:lineRule="auto"/>
              <w:jc w:val="center"/>
              <w:rPr>
                <w:rFonts w:hint="eastAsia" w:ascii="宋体" w:hAnsi="宋体"/>
                <w:szCs w:val="21"/>
              </w:rPr>
            </w:pPr>
            <w:r>
              <w:rPr>
                <w:rFonts w:hint="eastAsia" w:ascii="宋体" w:hAnsi="宋体"/>
                <w:szCs w:val="21"/>
              </w:rPr>
              <w:t>7.1</w:t>
            </w:r>
          </w:p>
        </w:tc>
        <w:tc>
          <w:tcPr>
            <w:tcW w:w="3957" w:type="dxa"/>
            <w:noWrap w:val="0"/>
            <w:vAlign w:val="center"/>
          </w:tcPr>
          <w:p w14:paraId="69A4E7A5">
            <w:pPr>
              <w:spacing w:line="360" w:lineRule="auto"/>
              <w:jc w:val="center"/>
              <w:rPr>
                <w:rFonts w:hint="eastAsia" w:ascii="宋体" w:hAnsi="宋体"/>
                <w:szCs w:val="21"/>
              </w:rPr>
            </w:pPr>
            <w:r>
              <w:rPr>
                <w:rFonts w:hint="eastAsia" w:ascii="宋体" w:hAnsi="宋体"/>
                <w:szCs w:val="21"/>
              </w:rPr>
              <w:t>是否授权评标委员会确定中标人</w:t>
            </w:r>
          </w:p>
        </w:tc>
        <w:tc>
          <w:tcPr>
            <w:tcW w:w="4495" w:type="dxa"/>
            <w:noWrap w:val="0"/>
            <w:vAlign w:val="center"/>
          </w:tcPr>
          <w:p w14:paraId="74BF48EC">
            <w:pPr>
              <w:numPr>
                <w:ilvl w:val="0"/>
                <w:numId w:val="0"/>
              </w:numPr>
              <w:spacing w:line="360" w:lineRule="auto"/>
              <w:ind w:left="360" w:leftChars="0" w:hanging="360" w:firstLineChars="0"/>
              <w:rPr>
                <w:rFonts w:hint="eastAsia" w:ascii="宋体" w:hAnsi="宋体"/>
                <w:szCs w:val="21"/>
              </w:rPr>
            </w:pPr>
            <w:r>
              <w:rPr>
                <w:rFonts w:hint="eastAsia" w:ascii="宋体" w:hAnsi="宋体" w:eastAsia="宋体" w:cs="Times New Roman"/>
                <w:kern w:val="2"/>
                <w:sz w:val="21"/>
                <w:szCs w:val="21"/>
                <w:lang w:val="en-US" w:eastAsia="zh-CN" w:bidi="ar-SA"/>
              </w:rPr>
              <w:t>□</w:t>
            </w:r>
            <w:r>
              <w:rPr>
                <w:rFonts w:hint="eastAsia" w:ascii="宋体" w:hAnsi="宋体"/>
                <w:szCs w:val="21"/>
              </w:rPr>
              <w:t>是</w:t>
            </w:r>
          </w:p>
          <w:p w14:paraId="049724A9">
            <w:pPr>
              <w:numPr>
                <w:ilvl w:val="0"/>
                <w:numId w:val="0"/>
              </w:numPr>
              <w:spacing w:line="360" w:lineRule="auto"/>
              <w:ind w:left="360" w:leftChars="0" w:hanging="360" w:firstLineChars="0"/>
              <w:rPr>
                <w:rFonts w:hint="eastAsia" w:ascii="宋体" w:hAnsi="宋体"/>
                <w:szCs w:val="21"/>
              </w:rPr>
            </w:pPr>
            <w:r>
              <w:rPr>
                <w:rFonts w:hint="eastAsia" w:ascii="宋体" w:hAnsi="宋体" w:cs="宋体"/>
                <w:szCs w:val="21"/>
                <w:highlight w:val="none"/>
              </w:rPr>
              <w:t xml:space="preserve">▇ </w:t>
            </w:r>
            <w:r>
              <w:rPr>
                <w:rFonts w:hint="eastAsia" w:ascii="宋体" w:hAnsi="宋体"/>
                <w:szCs w:val="21"/>
              </w:rPr>
              <w:t>否,推荐的中标候选人数：</w:t>
            </w:r>
            <w:r>
              <w:rPr>
                <w:rFonts w:hint="eastAsia" w:ascii="宋体" w:hAnsi="宋体"/>
                <w:szCs w:val="21"/>
                <w:highlight w:val="none"/>
              </w:rPr>
              <w:t>3名</w:t>
            </w:r>
          </w:p>
        </w:tc>
      </w:tr>
      <w:tr w14:paraId="237C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1A2C6FE0">
            <w:pPr>
              <w:spacing w:line="360" w:lineRule="auto"/>
              <w:jc w:val="center"/>
              <w:rPr>
                <w:rFonts w:hint="eastAsia" w:ascii="宋体" w:hAnsi="宋体"/>
                <w:szCs w:val="21"/>
              </w:rPr>
            </w:pPr>
            <w:r>
              <w:rPr>
                <w:rFonts w:hint="eastAsia" w:ascii="宋体" w:hAnsi="宋体"/>
                <w:szCs w:val="21"/>
              </w:rPr>
              <w:t>7.3.1</w:t>
            </w:r>
          </w:p>
        </w:tc>
        <w:tc>
          <w:tcPr>
            <w:tcW w:w="3957" w:type="dxa"/>
            <w:noWrap w:val="0"/>
            <w:vAlign w:val="center"/>
          </w:tcPr>
          <w:p w14:paraId="675DCDB1">
            <w:pPr>
              <w:spacing w:line="360" w:lineRule="auto"/>
              <w:jc w:val="center"/>
              <w:rPr>
                <w:rFonts w:hint="eastAsia" w:ascii="宋体" w:hAnsi="宋体"/>
                <w:szCs w:val="21"/>
              </w:rPr>
            </w:pPr>
            <w:r>
              <w:rPr>
                <w:rFonts w:hint="eastAsia" w:ascii="宋体" w:hAnsi="宋体"/>
                <w:szCs w:val="21"/>
              </w:rPr>
              <w:t>履约担保</w:t>
            </w:r>
          </w:p>
        </w:tc>
        <w:tc>
          <w:tcPr>
            <w:tcW w:w="4495" w:type="dxa"/>
            <w:noWrap w:val="0"/>
            <w:vAlign w:val="center"/>
          </w:tcPr>
          <w:p w14:paraId="2530823F">
            <w:pPr>
              <w:spacing w:line="320" w:lineRule="exact"/>
              <w:rPr>
                <w:rFonts w:hint="eastAsia" w:ascii="宋体" w:hAnsi="宋体" w:eastAsia="宋体"/>
                <w:szCs w:val="21"/>
                <w:lang w:eastAsia="zh-CN"/>
              </w:rPr>
            </w:pPr>
            <w:r>
              <w:rPr>
                <w:rFonts w:hint="eastAsia" w:ascii="宋体" w:hAnsi="宋体"/>
                <w:szCs w:val="21"/>
              </w:rPr>
              <w:t>履约担保的形式：</w:t>
            </w:r>
            <w:r>
              <w:rPr>
                <w:rFonts w:hint="eastAsia" w:ascii="宋体" w:hAnsi="宋体"/>
                <w:szCs w:val="21"/>
                <w:lang w:eastAsia="zh-CN"/>
              </w:rPr>
              <w:t>银行</w:t>
            </w:r>
            <w:r>
              <w:rPr>
                <w:rFonts w:hint="eastAsia" w:ascii="宋体" w:hAnsi="宋体"/>
                <w:szCs w:val="21"/>
              </w:rPr>
              <w:t>转账或</w:t>
            </w:r>
            <w:r>
              <w:rPr>
                <w:rFonts w:hint="eastAsia" w:ascii="宋体" w:hAnsi="宋体" w:cs="宋体"/>
                <w:kern w:val="0"/>
                <w:szCs w:val="21"/>
                <w:lang w:eastAsia="zh-CN"/>
              </w:rPr>
              <w:t>银行保函或保证保险或担保保函</w:t>
            </w:r>
            <w:r>
              <w:rPr>
                <w:rFonts w:hint="eastAsia"/>
                <w:lang w:eastAsia="zh-CN"/>
              </w:rPr>
              <w:t>（优先选择使用电子保函）</w:t>
            </w:r>
          </w:p>
          <w:p w14:paraId="1E127DEC">
            <w:pPr>
              <w:spacing w:line="320" w:lineRule="exact"/>
              <w:rPr>
                <w:rFonts w:hint="eastAsia" w:ascii="宋体" w:hAnsi="宋体"/>
                <w:szCs w:val="21"/>
              </w:rPr>
            </w:pPr>
            <w:r>
              <w:rPr>
                <w:rFonts w:hint="eastAsia" w:ascii="宋体" w:hAnsi="宋体"/>
                <w:szCs w:val="21"/>
              </w:rPr>
              <w:t>履约担保的金额：</w:t>
            </w:r>
            <w:r>
              <w:rPr>
                <w:rFonts w:hint="eastAsia" w:ascii="宋体" w:hAnsi="宋体" w:cs="Arial"/>
                <w:kern w:val="0"/>
                <w:szCs w:val="21"/>
              </w:rPr>
              <w:t>中标人履约担保金额按中标价的5%。</w:t>
            </w:r>
          </w:p>
        </w:tc>
      </w:tr>
      <w:tr w14:paraId="6311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688DBEA">
            <w:pPr>
              <w:spacing w:line="360" w:lineRule="auto"/>
              <w:jc w:val="center"/>
              <w:rPr>
                <w:rFonts w:hint="eastAsia" w:ascii="宋体" w:hAnsi="宋体"/>
                <w:szCs w:val="21"/>
              </w:rPr>
            </w:pPr>
            <w:r>
              <w:rPr>
                <w:rFonts w:hint="eastAsia" w:ascii="宋体" w:hAnsi="宋体"/>
                <w:szCs w:val="21"/>
              </w:rPr>
              <w:t>9.2</w:t>
            </w:r>
          </w:p>
        </w:tc>
        <w:tc>
          <w:tcPr>
            <w:tcW w:w="3957" w:type="dxa"/>
            <w:noWrap w:val="0"/>
            <w:vAlign w:val="center"/>
          </w:tcPr>
          <w:p w14:paraId="37C501C8">
            <w:pPr>
              <w:spacing w:line="360" w:lineRule="auto"/>
              <w:jc w:val="center"/>
              <w:rPr>
                <w:rFonts w:hint="eastAsia" w:ascii="宋体" w:hAnsi="宋体"/>
                <w:szCs w:val="21"/>
              </w:rPr>
            </w:pPr>
            <w:r>
              <w:rPr>
                <w:rFonts w:hint="eastAsia" w:ascii="宋体" w:hAnsi="宋体"/>
                <w:szCs w:val="21"/>
              </w:rPr>
              <w:t>投标人纪律</w:t>
            </w:r>
          </w:p>
        </w:tc>
        <w:tc>
          <w:tcPr>
            <w:tcW w:w="4495" w:type="dxa"/>
            <w:noWrap w:val="0"/>
            <w:vAlign w:val="center"/>
          </w:tcPr>
          <w:p w14:paraId="59828E97">
            <w:pPr>
              <w:pStyle w:val="20"/>
              <w:keepNext w:val="0"/>
              <w:keepLines w:val="0"/>
              <w:pageBreakBefore w:val="0"/>
              <w:widowControl/>
              <w:kinsoku/>
              <w:wordWrap/>
              <w:overflowPunct/>
              <w:topLinePunct w:val="0"/>
              <w:autoSpaceDE/>
              <w:autoSpaceDN/>
              <w:bidi w:val="0"/>
              <w:adjustRightInd/>
              <w:snapToGrid/>
              <w:spacing w:line="240" w:lineRule="auto"/>
              <w:textAlignment w:val="auto"/>
              <w:rPr>
                <w:rFonts w:hint="eastAsia"/>
                <w:szCs w:val="21"/>
              </w:rPr>
            </w:pPr>
            <w:r>
              <w:rPr>
                <w:rFonts w:hint="eastAsia"/>
                <w:sz w:val="21"/>
                <w:szCs w:val="21"/>
              </w:rPr>
              <w:t>投标人必须独立编制投标文件。对在投标过程中凡被计算机评标系统检测到与其他投标单位投标文件特征码相同情形，</w:t>
            </w:r>
            <w:r>
              <w:rPr>
                <w:rFonts w:hint="eastAsia"/>
                <w:color w:val="auto"/>
                <w:sz w:val="21"/>
                <w:szCs w:val="21"/>
                <w:highlight w:val="none"/>
              </w:rPr>
              <w:t>水行政主管部门将</w:t>
            </w:r>
            <w:r>
              <w:rPr>
                <w:rFonts w:hint="eastAsia"/>
                <w:sz w:val="21"/>
                <w:szCs w:val="21"/>
              </w:rPr>
              <w:t>按《关于水利工程施工项目电子招标投标工程存在问题的通报》对相关单位予以点名通报，并按相关法规进行处罚。</w:t>
            </w:r>
          </w:p>
        </w:tc>
      </w:tr>
      <w:tr w14:paraId="3031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6965079F">
            <w:pPr>
              <w:spacing w:line="360" w:lineRule="auto"/>
              <w:jc w:val="center"/>
              <w:rPr>
                <w:rFonts w:hint="eastAsia" w:ascii="宋体" w:hAnsi="宋体"/>
                <w:szCs w:val="21"/>
              </w:rPr>
            </w:pPr>
            <w:r>
              <w:rPr>
                <w:rFonts w:hint="eastAsia" w:ascii="宋体" w:hAnsi="宋体"/>
                <w:szCs w:val="21"/>
              </w:rPr>
              <w:t>10</w:t>
            </w:r>
          </w:p>
        </w:tc>
        <w:tc>
          <w:tcPr>
            <w:tcW w:w="8452" w:type="dxa"/>
            <w:gridSpan w:val="2"/>
            <w:noWrap w:val="0"/>
            <w:vAlign w:val="center"/>
          </w:tcPr>
          <w:p w14:paraId="337B7ADB">
            <w:pPr>
              <w:spacing w:line="360" w:lineRule="auto"/>
              <w:jc w:val="center"/>
              <w:rPr>
                <w:rFonts w:hint="eastAsia" w:ascii="宋体" w:hAnsi="宋体"/>
                <w:szCs w:val="21"/>
              </w:rPr>
            </w:pPr>
            <w:r>
              <w:rPr>
                <w:rFonts w:hint="eastAsia" w:ascii="宋体" w:hAnsi="宋体"/>
                <w:szCs w:val="21"/>
              </w:rPr>
              <w:t>需要补充的其他内容</w:t>
            </w:r>
          </w:p>
        </w:tc>
      </w:tr>
      <w:tr w14:paraId="2491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1DF02598">
            <w:pPr>
              <w:spacing w:line="360" w:lineRule="auto"/>
              <w:jc w:val="center"/>
              <w:rPr>
                <w:rFonts w:hint="eastAsia" w:ascii="宋体" w:hAnsi="宋体"/>
                <w:szCs w:val="21"/>
              </w:rPr>
            </w:pPr>
            <w:r>
              <w:rPr>
                <w:rFonts w:hint="eastAsia" w:ascii="宋体" w:hAnsi="宋体"/>
                <w:szCs w:val="21"/>
              </w:rPr>
              <w:t>10.1</w:t>
            </w:r>
          </w:p>
        </w:tc>
        <w:tc>
          <w:tcPr>
            <w:tcW w:w="8452" w:type="dxa"/>
            <w:gridSpan w:val="2"/>
            <w:noWrap w:val="0"/>
            <w:vAlign w:val="center"/>
          </w:tcPr>
          <w:p w14:paraId="25B8924E">
            <w:pPr>
              <w:spacing w:line="360" w:lineRule="auto"/>
              <w:rPr>
                <w:rFonts w:hint="eastAsia" w:ascii="宋体" w:hAnsi="宋体" w:cs="宋体"/>
                <w:b/>
                <w:szCs w:val="21"/>
              </w:rPr>
            </w:pPr>
            <w:r>
              <w:rPr>
                <w:rFonts w:hint="eastAsia" w:ascii="宋体" w:hAnsi="宋体" w:cs="宋体"/>
                <w:b/>
                <w:szCs w:val="21"/>
              </w:rPr>
              <w:t>企业基本信息、人员信息以及项目管理机构基本要求</w:t>
            </w:r>
          </w:p>
          <w:p w14:paraId="79528F64">
            <w:pPr>
              <w:pStyle w:val="4"/>
              <w:widowControl/>
              <w:spacing w:before="0" w:beforeAutospacing="0" w:after="0" w:afterAutospacing="0"/>
              <w:rPr>
                <w:rFonts w:cs="宋体"/>
                <w:b w:val="0"/>
                <w:bCs/>
                <w:sz w:val="21"/>
                <w:szCs w:val="21"/>
                <w:shd w:val="clear" w:color="auto" w:fill="FFFFFF"/>
              </w:rPr>
            </w:pPr>
            <w:r>
              <w:rPr>
                <w:b w:val="0"/>
                <w:bCs/>
                <w:sz w:val="21"/>
                <w:szCs w:val="21"/>
              </w:rPr>
              <w:t xml:space="preserve">    1、投标人须按《</w:t>
            </w:r>
            <w:r>
              <w:rPr>
                <w:b w:val="0"/>
                <w:bCs/>
                <w:sz w:val="21"/>
                <w:szCs w:val="21"/>
                <w:shd w:val="clear" w:color="auto" w:fill="FFFFFF"/>
              </w:rPr>
              <w:t>关于水利建设市场监管平台上线运行的通知》要求</w:t>
            </w:r>
            <w:r>
              <w:rPr>
                <w:rFonts w:cs="宋体"/>
                <w:b w:val="0"/>
                <w:bCs/>
                <w:sz w:val="21"/>
                <w:szCs w:val="21"/>
                <w:shd w:val="clear" w:color="auto" w:fill="FFFFFF"/>
              </w:rPr>
              <w:t>及时填报企业和人员信息。</w:t>
            </w:r>
          </w:p>
          <w:p w14:paraId="14A4C1A7">
            <w:pPr>
              <w:pStyle w:val="4"/>
              <w:widowControl/>
              <w:spacing w:before="0" w:beforeAutospacing="0" w:after="0" w:afterAutospacing="0"/>
              <w:ind w:firstLine="420" w:firstLineChars="200"/>
              <w:rPr>
                <w:b w:val="0"/>
                <w:bCs/>
                <w:sz w:val="21"/>
                <w:szCs w:val="21"/>
                <w:shd w:val="clear" w:color="auto" w:fill="FFFFFF"/>
              </w:rPr>
            </w:pPr>
            <w:r>
              <w:rPr>
                <w:rFonts w:cs="宋体"/>
                <w:b w:val="0"/>
                <w:bCs/>
                <w:sz w:val="21"/>
                <w:szCs w:val="21"/>
                <w:shd w:val="clear" w:color="auto" w:fill="FFFFFF"/>
              </w:rPr>
              <w:t>2、投标人须按《</w:t>
            </w:r>
            <w:r>
              <w:rPr>
                <w:b w:val="0"/>
                <w:bCs/>
                <w:sz w:val="21"/>
                <w:szCs w:val="21"/>
                <w:shd w:val="clear" w:color="auto" w:fill="FFFFFF"/>
              </w:rPr>
              <w:t>关于进一步完善我市水利行业市场主体信息登记工作的通知》要求</w:t>
            </w:r>
            <w:r>
              <w:rPr>
                <w:rFonts w:cs="宋体"/>
                <w:b w:val="0"/>
                <w:bCs/>
                <w:sz w:val="21"/>
                <w:szCs w:val="21"/>
                <w:shd w:val="clear" w:color="auto" w:fill="FFFFFF"/>
              </w:rPr>
              <w:t>在市公共资源交易中心基础支撑平台录入企业基本信息和人员信息。因投标人未及时维护、更新市公共资源交易中心基础支撑平台信息，造成其企业信息及人员信息不被认可、资格审查不通过等后果，由投标人自行负责。</w:t>
            </w:r>
          </w:p>
          <w:p w14:paraId="460F5695">
            <w:pPr>
              <w:rPr>
                <w:rFonts w:hint="eastAsia" w:ascii="宋体" w:hAnsi="宋体"/>
                <w:szCs w:val="21"/>
              </w:rPr>
            </w:pPr>
            <w:r>
              <w:rPr>
                <w:rFonts w:hint="eastAsia"/>
              </w:rPr>
              <w:t xml:space="preserve">    3、</w:t>
            </w:r>
            <w:r>
              <w:rPr>
                <w:rFonts w:hint="eastAsia" w:ascii="宋体" w:hAnsi="宋体"/>
                <w:bCs/>
                <w:szCs w:val="21"/>
              </w:rPr>
              <w:t>拟投入本工程人员须满足</w:t>
            </w:r>
            <w:r>
              <w:rPr>
                <w:rFonts w:hint="eastAsia" w:ascii="宋体" w:hAnsi="宋体"/>
                <w:szCs w:val="21"/>
              </w:rPr>
              <w:t>项目管理机构基本要求。</w:t>
            </w:r>
          </w:p>
        </w:tc>
      </w:tr>
      <w:tr w14:paraId="5C3B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48907E8">
            <w:pPr>
              <w:spacing w:line="360" w:lineRule="auto"/>
              <w:jc w:val="center"/>
              <w:rPr>
                <w:rFonts w:hint="eastAsia" w:ascii="宋体" w:hAnsi="宋体"/>
                <w:szCs w:val="21"/>
              </w:rPr>
            </w:pPr>
            <w:r>
              <w:rPr>
                <w:rFonts w:hint="eastAsia" w:ascii="宋体" w:hAnsi="宋体"/>
                <w:szCs w:val="21"/>
              </w:rPr>
              <w:t>10.2</w:t>
            </w:r>
          </w:p>
        </w:tc>
        <w:tc>
          <w:tcPr>
            <w:tcW w:w="8452" w:type="dxa"/>
            <w:gridSpan w:val="2"/>
            <w:noWrap w:val="0"/>
            <w:vAlign w:val="center"/>
          </w:tcPr>
          <w:p w14:paraId="120FEBCC">
            <w:pPr>
              <w:spacing w:line="360" w:lineRule="auto"/>
              <w:rPr>
                <w:rFonts w:hint="eastAsia" w:ascii="宋体" w:hAnsi="宋体"/>
                <w:szCs w:val="21"/>
              </w:rPr>
            </w:pPr>
            <w:r>
              <w:rPr>
                <w:rFonts w:hint="eastAsia" w:ascii="宋体" w:hAnsi="宋体"/>
                <w:szCs w:val="21"/>
              </w:rPr>
              <w:t>主要机械设备基本要求：详见《</w:t>
            </w:r>
            <w:r>
              <w:rPr>
                <w:rFonts w:hint="eastAsia" w:ascii="宋体" w:hAnsi="宋体"/>
                <w:bCs/>
                <w:szCs w:val="21"/>
              </w:rPr>
              <w:t>主要机械设备一</w:t>
            </w:r>
            <w:r>
              <w:rPr>
                <w:rFonts w:hint="eastAsia" w:ascii="宋体" w:hAnsi="宋体"/>
                <w:bCs/>
                <w:color w:val="auto"/>
                <w:szCs w:val="21"/>
                <w:highlight w:val="none"/>
              </w:rPr>
              <w:t>览表》（</w:t>
            </w:r>
            <w:r>
              <w:rPr>
                <w:rFonts w:hint="eastAsia" w:ascii="宋体" w:hAnsi="宋体"/>
                <w:bCs/>
                <w:color w:val="auto"/>
                <w:szCs w:val="21"/>
                <w:highlight w:val="none"/>
                <w:lang w:val="en-US" w:eastAsia="zh-CN"/>
              </w:rPr>
              <w:t>本项目不作评审</w:t>
            </w:r>
            <w:r>
              <w:rPr>
                <w:rFonts w:hint="eastAsia" w:ascii="宋体" w:hAnsi="宋体"/>
                <w:bCs/>
                <w:color w:val="auto"/>
                <w:szCs w:val="21"/>
                <w:highlight w:val="none"/>
              </w:rPr>
              <w:t>）</w:t>
            </w:r>
          </w:p>
        </w:tc>
      </w:tr>
      <w:tr w14:paraId="5B2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FD5F8E8">
            <w:pPr>
              <w:spacing w:line="360" w:lineRule="auto"/>
              <w:jc w:val="center"/>
              <w:rPr>
                <w:rFonts w:hint="eastAsia" w:ascii="宋体" w:hAnsi="宋体"/>
                <w:szCs w:val="21"/>
              </w:rPr>
            </w:pPr>
            <w:r>
              <w:rPr>
                <w:rFonts w:hint="eastAsia" w:ascii="宋体" w:hAnsi="宋体"/>
                <w:szCs w:val="21"/>
              </w:rPr>
              <w:t>10.3</w:t>
            </w:r>
          </w:p>
        </w:tc>
        <w:tc>
          <w:tcPr>
            <w:tcW w:w="8452" w:type="dxa"/>
            <w:gridSpan w:val="2"/>
            <w:noWrap w:val="0"/>
            <w:vAlign w:val="center"/>
          </w:tcPr>
          <w:p w14:paraId="140B1E1E">
            <w:pPr>
              <w:spacing w:line="360" w:lineRule="auto"/>
              <w:rPr>
                <w:rFonts w:hint="eastAsia" w:ascii="宋体" w:hAnsi="宋体"/>
                <w:szCs w:val="21"/>
              </w:rPr>
            </w:pPr>
            <w:r>
              <w:rPr>
                <w:rFonts w:hint="eastAsia" w:ascii="宋体" w:hAnsi="宋体"/>
                <w:szCs w:val="21"/>
              </w:rPr>
              <w:t>否决性条款</w:t>
            </w:r>
          </w:p>
        </w:tc>
      </w:tr>
      <w:tr w14:paraId="48AD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7144EAA0">
            <w:pPr>
              <w:spacing w:line="360" w:lineRule="auto"/>
              <w:jc w:val="center"/>
              <w:rPr>
                <w:rFonts w:hint="eastAsia" w:ascii="宋体" w:hAnsi="宋体"/>
                <w:szCs w:val="21"/>
              </w:rPr>
            </w:pPr>
            <w:r>
              <w:rPr>
                <w:rFonts w:hint="eastAsia" w:ascii="宋体" w:hAnsi="宋体"/>
                <w:szCs w:val="21"/>
              </w:rPr>
              <w:t>10.4</w:t>
            </w:r>
          </w:p>
        </w:tc>
        <w:tc>
          <w:tcPr>
            <w:tcW w:w="8452" w:type="dxa"/>
            <w:gridSpan w:val="2"/>
            <w:noWrap w:val="0"/>
            <w:vAlign w:val="center"/>
          </w:tcPr>
          <w:p w14:paraId="74BF7D4C">
            <w:pPr>
              <w:spacing w:line="360" w:lineRule="auto"/>
              <w:rPr>
                <w:rFonts w:hint="eastAsia" w:ascii="宋体" w:hAnsi="宋体"/>
                <w:szCs w:val="21"/>
              </w:rPr>
            </w:pPr>
            <w:r>
              <w:rPr>
                <w:rFonts w:hint="eastAsia" w:ascii="宋体" w:hAnsi="宋体"/>
                <w:szCs w:val="21"/>
              </w:rPr>
              <w:t>投标报价上限值及安全防护、文明施工措施费</w:t>
            </w:r>
          </w:p>
        </w:tc>
      </w:tr>
      <w:tr w14:paraId="77A2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4D81741">
            <w:pPr>
              <w:spacing w:line="360" w:lineRule="auto"/>
              <w:jc w:val="center"/>
              <w:rPr>
                <w:rFonts w:hint="eastAsia" w:ascii="宋体" w:hAnsi="宋体"/>
                <w:szCs w:val="21"/>
              </w:rPr>
            </w:pPr>
            <w:r>
              <w:rPr>
                <w:rFonts w:hint="eastAsia" w:ascii="宋体" w:hAnsi="宋体"/>
                <w:szCs w:val="21"/>
              </w:rPr>
              <w:t>10.5</w:t>
            </w:r>
          </w:p>
        </w:tc>
        <w:tc>
          <w:tcPr>
            <w:tcW w:w="8452" w:type="dxa"/>
            <w:gridSpan w:val="2"/>
            <w:noWrap w:val="0"/>
            <w:vAlign w:val="center"/>
          </w:tcPr>
          <w:p w14:paraId="05175AB5">
            <w:pPr>
              <w:spacing w:line="360" w:lineRule="auto"/>
              <w:rPr>
                <w:rFonts w:hint="eastAsia" w:ascii="宋体" w:hAnsi="宋体"/>
                <w:szCs w:val="21"/>
              </w:rPr>
            </w:pPr>
            <w:r>
              <w:rPr>
                <w:rFonts w:hint="eastAsia" w:ascii="宋体" w:hAnsi="宋体"/>
                <w:szCs w:val="21"/>
              </w:rPr>
              <w:t>电子评标注意事项</w:t>
            </w:r>
          </w:p>
        </w:tc>
      </w:tr>
      <w:tr w14:paraId="768C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5922703D">
            <w:pPr>
              <w:spacing w:line="360" w:lineRule="auto"/>
              <w:jc w:val="center"/>
              <w:rPr>
                <w:rFonts w:hint="eastAsia" w:ascii="宋体" w:hAnsi="宋体"/>
                <w:szCs w:val="21"/>
              </w:rPr>
            </w:pPr>
            <w:r>
              <w:rPr>
                <w:rFonts w:hint="eastAsia" w:ascii="宋体" w:hAnsi="宋体"/>
                <w:szCs w:val="21"/>
              </w:rPr>
              <w:t>10.6</w:t>
            </w:r>
          </w:p>
        </w:tc>
        <w:tc>
          <w:tcPr>
            <w:tcW w:w="8452" w:type="dxa"/>
            <w:gridSpan w:val="2"/>
            <w:noWrap w:val="0"/>
            <w:vAlign w:val="center"/>
          </w:tcPr>
          <w:p w14:paraId="28D5E1E1">
            <w:pPr>
              <w:spacing w:line="360" w:lineRule="auto"/>
              <w:rPr>
                <w:rFonts w:hint="eastAsia" w:ascii="宋体" w:hAnsi="宋体"/>
                <w:szCs w:val="21"/>
              </w:rPr>
            </w:pPr>
            <w:r>
              <w:rPr>
                <w:rFonts w:hint="eastAsia" w:ascii="宋体" w:hAnsi="宋体"/>
                <w:szCs w:val="21"/>
              </w:rPr>
              <w:t>投标注意事项</w:t>
            </w:r>
          </w:p>
        </w:tc>
      </w:tr>
      <w:tr w14:paraId="1312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F0553A4">
            <w:pPr>
              <w:spacing w:line="360" w:lineRule="auto"/>
              <w:jc w:val="center"/>
              <w:rPr>
                <w:rFonts w:hint="eastAsia" w:ascii="宋体" w:hAnsi="宋体"/>
                <w:szCs w:val="21"/>
              </w:rPr>
            </w:pPr>
            <w:r>
              <w:rPr>
                <w:rFonts w:hint="eastAsia" w:ascii="宋体" w:hAnsi="宋体"/>
                <w:szCs w:val="21"/>
              </w:rPr>
              <w:t>10.7</w:t>
            </w:r>
          </w:p>
        </w:tc>
        <w:tc>
          <w:tcPr>
            <w:tcW w:w="8452" w:type="dxa"/>
            <w:gridSpan w:val="2"/>
            <w:noWrap w:val="0"/>
            <w:vAlign w:val="center"/>
          </w:tcPr>
          <w:p w14:paraId="6DA8D33B">
            <w:pPr>
              <w:spacing w:line="360" w:lineRule="auto"/>
              <w:rPr>
                <w:rFonts w:hint="eastAsia" w:ascii="宋体" w:hAnsi="宋体"/>
                <w:szCs w:val="21"/>
              </w:rPr>
            </w:pPr>
            <w:r>
              <w:rPr>
                <w:rFonts w:hint="eastAsia" w:ascii="宋体" w:hAnsi="宋体"/>
                <w:szCs w:val="21"/>
              </w:rPr>
              <w:t>合同价格和承包标准</w:t>
            </w:r>
          </w:p>
        </w:tc>
      </w:tr>
      <w:tr w14:paraId="0070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C70033A">
            <w:pPr>
              <w:spacing w:line="360" w:lineRule="auto"/>
              <w:jc w:val="center"/>
              <w:rPr>
                <w:rFonts w:hint="eastAsia" w:ascii="宋体" w:hAnsi="宋体"/>
                <w:szCs w:val="21"/>
              </w:rPr>
            </w:pPr>
            <w:r>
              <w:rPr>
                <w:rFonts w:hint="eastAsia" w:ascii="宋体" w:hAnsi="宋体"/>
                <w:szCs w:val="21"/>
              </w:rPr>
              <w:t>10.8</w:t>
            </w:r>
          </w:p>
        </w:tc>
        <w:tc>
          <w:tcPr>
            <w:tcW w:w="8452" w:type="dxa"/>
            <w:gridSpan w:val="2"/>
            <w:noWrap w:val="0"/>
            <w:vAlign w:val="center"/>
          </w:tcPr>
          <w:p w14:paraId="7F846845">
            <w:pPr>
              <w:numPr>
                <w:ilvl w:val="0"/>
                <w:numId w:val="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《中山市扬尘污染防治管理办法》（中山市人民政府令第9号）、《中山市人民政府关于修改〈中山市扬尘污染防治管理办法〉的决定》（中山市人民政府令第15号）</w:t>
            </w:r>
          </w:p>
          <w:p w14:paraId="4EF517B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2、《中山市工程运输车辆综合治理工作方案》（中府办函〔2018〕143 号）</w:t>
            </w:r>
          </w:p>
          <w:p w14:paraId="4A6151AC">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3、《中山市水务行业工程运输车综合治理工作实施方案》（中水〔2018〕193 号</w:t>
            </w:r>
            <w:r>
              <w:rPr>
                <w:rFonts w:hint="eastAsia" w:asciiTheme="minorEastAsia" w:hAnsiTheme="minorEastAsia" w:eastAsiaTheme="minorEastAsia" w:cstheme="minorEastAsia"/>
                <w:lang w:eastAsia="zh-CN"/>
              </w:rPr>
              <w:t>）</w:t>
            </w:r>
          </w:p>
          <w:p w14:paraId="128CE779">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4、《关于进一步规范中山市市级财政性资金投资项目工程价款支付管理的通知》（中财建〔2022〕5号）</w:t>
            </w:r>
          </w:p>
          <w:p w14:paraId="15EAB96C">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、《中山市水利建设领域工人工资支付分账管理实施细则》（中水〔2016〕75号）</w:t>
            </w:r>
          </w:p>
          <w:p w14:paraId="17A03555">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bookmarkStart w:id="4" w:name="fldTM"/>
            <w:r>
              <w:rPr>
                <w:rFonts w:hint="eastAsia" w:asciiTheme="minorEastAsia" w:hAnsiTheme="minorEastAsia" w:eastAsiaTheme="minorEastAsia" w:cstheme="minorEastAsia"/>
                <w:lang w:val="en-US" w:eastAsia="zh-CN"/>
              </w:rPr>
              <w:t>《关于转发〈中山市建设工程劳务工资保证金管理实施细则〉的通知</w:t>
            </w:r>
            <w:bookmarkEnd w:id="4"/>
            <w:r>
              <w:rPr>
                <w:rFonts w:hint="eastAsia" w:asciiTheme="minorEastAsia" w:hAnsiTheme="minorEastAsia" w:eastAsiaTheme="minorEastAsia" w:cstheme="minorEastAsia"/>
                <w:lang w:val="en-US" w:eastAsia="zh-CN"/>
              </w:rPr>
              <w:t>》（中水〔2018〕200号）、《关于建设工程领域农民工工资支付保证金管理办法》（粤人社规〔2019〕10号）</w:t>
            </w:r>
          </w:p>
          <w:p w14:paraId="3FB1C43B">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、《关于转发〈开展建设工程保证保险有关工作的通知〉的通知》中水〔2019〕3号</w:t>
            </w:r>
          </w:p>
          <w:p w14:paraId="6268976F">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、《广东省建设工程领域用工实名管理暂行办法》（粤建规范〔2019〕1号）</w:t>
            </w:r>
          </w:p>
          <w:p w14:paraId="48EDC6CF">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、《关于做好我省铁路、公路、水运、水利、能源、机场工程建设项目参加工伤保险工作的通知》（粤人社规《2018》15号）</w:t>
            </w:r>
          </w:p>
          <w:p w14:paraId="595A3FBB">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《纳税人跨县（市、区）提供建筑服务增值税征收管理暂行办法》（国家税务总局公告2016年第17号）</w:t>
            </w:r>
          </w:p>
          <w:p w14:paraId="4E6C5705">
            <w:pPr>
              <w:pStyle w:val="2"/>
              <w:keepNext/>
              <w:keepLines/>
              <w:pageBreakBefore w:val="0"/>
              <w:widowControl w:val="0"/>
              <w:kinsoku/>
              <w:wordWrap/>
              <w:overflowPunct/>
              <w:topLinePunct w:val="0"/>
              <w:autoSpaceDE/>
              <w:autoSpaceDN/>
              <w:bidi w:val="0"/>
              <w:adjustRightInd/>
              <w:snapToGrid/>
              <w:spacing w:line="240" w:lineRule="auto"/>
              <w:textAlignment w:val="auto"/>
              <w:rPr>
                <w:ins w:id="0" w:author="user" w:date="2024-08-16T17:03:11Z"/>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11、《广东省应急管理厅 广东省地方金融监管局 中国银行保险监督管理委员会广东监管局关于印发〈广东省安全生产责任保险实施方案〉的通知》（粤应急规〔2021〕2号）、《中山市安全生产委员会办公室关于印发中山市安全生产责任保险实施方案的通知》（中安办〔2021〕77号）</w:t>
            </w:r>
          </w:p>
          <w:p w14:paraId="6B424FB9">
            <w:pPr>
              <w:rPr>
                <w:rFonts w:hint="default"/>
                <w:lang w:val="en-US" w:eastAsia="zh-CN"/>
              </w:rPr>
            </w:pPr>
            <w:r>
              <w:rPr>
                <w:rFonts w:hint="eastAsia" w:asciiTheme="minorEastAsia" w:hAnsiTheme="minorEastAsia" w:eastAsiaTheme="minorEastAsia" w:cstheme="minorEastAsia"/>
              </w:rPr>
              <w:t>12、《广东省水利厅关于印发进一步加强水利工程建设项目现场建筑垃圾监督管理的专项工作方案的通知》（粤水建设〔2024〕21号）、《关于进一步加强建筑垃圾规范化管理工作的通知》（中城综函〔2024〕376号）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《中山市水务局关于印发进一步加强我市水利工程建设项目建筑垃圾监督管理的专项工作方案的通知》（中水〔2024〕167号）</w:t>
            </w:r>
          </w:p>
        </w:tc>
      </w:tr>
      <w:tr w14:paraId="66D7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10A70AE6">
            <w:pPr>
              <w:spacing w:line="360" w:lineRule="auto"/>
              <w:jc w:val="center"/>
              <w:rPr>
                <w:rFonts w:hint="eastAsia" w:ascii="宋体" w:hAnsi="宋体"/>
                <w:szCs w:val="21"/>
              </w:rPr>
            </w:pPr>
            <w:r>
              <w:rPr>
                <w:rFonts w:hint="eastAsia" w:ascii="宋体" w:hAnsi="宋体"/>
                <w:szCs w:val="21"/>
              </w:rPr>
              <w:t>10.9</w:t>
            </w:r>
          </w:p>
        </w:tc>
        <w:tc>
          <w:tcPr>
            <w:tcW w:w="8452" w:type="dxa"/>
            <w:gridSpan w:val="2"/>
            <w:noWrap w:val="0"/>
            <w:vAlign w:val="center"/>
          </w:tcPr>
          <w:p w14:paraId="59712400">
            <w:r>
              <w:rPr>
                <w:rFonts w:hint="eastAsia"/>
              </w:rPr>
              <w:t>违约支付细则汇总</w:t>
            </w:r>
          </w:p>
        </w:tc>
      </w:tr>
      <w:tr w14:paraId="7451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0A4C4FD">
            <w:pPr>
              <w:spacing w:line="360" w:lineRule="auto"/>
              <w:jc w:val="center"/>
              <w:rPr>
                <w:rFonts w:hint="eastAsia" w:ascii="宋体" w:hAnsi="宋体"/>
                <w:szCs w:val="21"/>
              </w:rPr>
            </w:pPr>
            <w:r>
              <w:rPr>
                <w:rFonts w:hint="eastAsia" w:ascii="宋体" w:hAnsi="宋体"/>
                <w:szCs w:val="21"/>
              </w:rPr>
              <w:t>10.10</w:t>
            </w:r>
          </w:p>
        </w:tc>
        <w:tc>
          <w:tcPr>
            <w:tcW w:w="8452" w:type="dxa"/>
            <w:gridSpan w:val="2"/>
            <w:noWrap w:val="0"/>
            <w:vAlign w:val="center"/>
          </w:tcPr>
          <w:p w14:paraId="3EDC85BD">
            <w:pPr>
              <w:pStyle w:val="2"/>
              <w:pageBreakBefore w:val="0"/>
              <w:widowControl w:val="0"/>
              <w:kinsoku/>
              <w:wordWrap/>
              <w:overflowPunct/>
              <w:topLinePunct w:val="0"/>
              <w:autoSpaceDE/>
              <w:autoSpaceDN/>
              <w:bidi w:val="0"/>
              <w:adjustRightInd/>
              <w:snapToGrid w:val="0"/>
              <w:spacing w:line="312" w:lineRule="auto"/>
              <w:textAlignment w:val="auto"/>
              <w:rPr>
                <w:rFonts w:ascii="Times New Roman" w:hAnsi="Times New Roman"/>
                <w:szCs w:val="24"/>
                <w:highlight w:val="none"/>
                <w:lang w:val="en-US" w:eastAsia="zh-CN"/>
              </w:rPr>
            </w:pPr>
            <w:r>
              <w:rPr>
                <w:rFonts w:ascii="Times New Roman" w:hAnsi="Times New Roman"/>
                <w:szCs w:val="24"/>
                <w:highlight w:val="none"/>
                <w:lang w:val="en-US" w:eastAsia="zh-CN"/>
              </w:rPr>
              <w:t>其它</w:t>
            </w:r>
          </w:p>
          <w:p w14:paraId="191F4B68">
            <w:pPr>
              <w:pStyle w:val="2"/>
              <w:pageBreakBefore w:val="0"/>
              <w:widowControl w:val="0"/>
              <w:kinsoku/>
              <w:wordWrap/>
              <w:overflowPunct/>
              <w:topLinePunct w:val="0"/>
              <w:autoSpaceDE/>
              <w:autoSpaceDN/>
              <w:bidi w:val="0"/>
              <w:adjustRightInd/>
              <w:snapToGrid w:val="0"/>
              <w:spacing w:line="312" w:lineRule="auto"/>
              <w:textAlignment w:val="auto"/>
              <w:rPr>
                <w:rFonts w:hint="eastAsia" w:ascii="宋体" w:hAnsi="Times New Roman" w:eastAsia="宋体" w:cs="Times New Roman"/>
                <w:b/>
                <w:bCs/>
                <w:kern w:val="2"/>
                <w:sz w:val="21"/>
                <w:szCs w:val="21"/>
                <w:highlight w:val="none"/>
                <w:lang w:val="en-US" w:eastAsia="zh-CN" w:bidi="ar-SA"/>
              </w:rPr>
            </w:pPr>
            <w:r>
              <w:rPr>
                <w:rFonts w:hint="eastAsia" w:ascii="宋体" w:hAnsi="Times New Roman" w:eastAsia="宋体" w:cs="Times New Roman"/>
                <w:b/>
                <w:bCs/>
                <w:kern w:val="2"/>
                <w:sz w:val="21"/>
                <w:szCs w:val="21"/>
                <w:highlight w:val="none"/>
                <w:lang w:val="en-US" w:eastAsia="zh-CN" w:bidi="ar-SA"/>
              </w:rPr>
              <w:t>招标代理服务费：</w:t>
            </w:r>
          </w:p>
          <w:p w14:paraId="55257FB0">
            <w:pPr>
              <w:pageBreakBefore w:val="0"/>
              <w:widowControl w:val="0"/>
              <w:kinsoku/>
              <w:wordWrap/>
              <w:overflowPunct/>
              <w:topLinePunct w:val="0"/>
              <w:autoSpaceDE/>
              <w:autoSpaceDN/>
              <w:bidi w:val="0"/>
              <w:adjustRightInd/>
              <w:snapToGrid w:val="0"/>
              <w:spacing w:line="312" w:lineRule="auto"/>
              <w:textAlignment w:val="auto"/>
              <w:rPr>
                <w:rFonts w:ascii="宋体"/>
                <w:szCs w:val="21"/>
                <w:highlight w:val="none"/>
              </w:rPr>
            </w:pPr>
            <w:r>
              <w:rPr>
                <w:rFonts w:hint="eastAsia" w:ascii="宋体"/>
                <w:szCs w:val="21"/>
                <w:highlight w:val="none"/>
              </w:rPr>
              <w:t>（1）本项目招标代理服务费依代理委托合同约定，由本项目中标人领取中标通知书前一次性支付。按国家计委计价格[2002]1980号以及发改价格[2011]534号所定招标代理服务收费标准收取（本项目按工程类计取），投标单位参与本项目投标的，则视为同意本项规定。</w:t>
            </w:r>
          </w:p>
          <w:p w14:paraId="573707B6">
            <w:pPr>
              <w:pageBreakBefore w:val="0"/>
              <w:widowControl w:val="0"/>
              <w:kinsoku/>
              <w:wordWrap/>
              <w:overflowPunct/>
              <w:topLinePunct w:val="0"/>
              <w:autoSpaceDE/>
              <w:autoSpaceDN/>
              <w:bidi w:val="0"/>
              <w:adjustRightInd/>
              <w:snapToGrid w:val="0"/>
              <w:spacing w:line="312" w:lineRule="auto"/>
              <w:textAlignment w:val="auto"/>
              <w:rPr>
                <w:rFonts w:hint="eastAsia" w:ascii="宋体"/>
                <w:szCs w:val="21"/>
                <w:highlight w:val="none"/>
              </w:rPr>
            </w:pPr>
            <w:r>
              <w:rPr>
                <w:rFonts w:hint="eastAsia" w:ascii="宋体"/>
                <w:szCs w:val="21"/>
                <w:highlight w:val="none"/>
              </w:rPr>
              <w:t>（2）招标代理服务费不在投标报价中单列，投标单位在报价时自行考虑该笔费用。</w:t>
            </w:r>
          </w:p>
          <w:p w14:paraId="225430E5">
            <w:pPr>
              <w:pageBreakBefore w:val="0"/>
              <w:widowControl w:val="0"/>
              <w:kinsoku/>
              <w:wordWrap/>
              <w:overflowPunct/>
              <w:topLinePunct w:val="0"/>
              <w:autoSpaceDE/>
              <w:autoSpaceDN/>
              <w:bidi w:val="0"/>
              <w:adjustRightInd/>
              <w:snapToGrid w:val="0"/>
              <w:spacing w:line="312" w:lineRule="auto"/>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）交纳招标代理费时请致电招标代理。招标代理服务费缴纳至以下账号：</w:t>
            </w:r>
          </w:p>
          <w:p w14:paraId="5BCFFB45">
            <w:pPr>
              <w:pageBreakBefore w:val="0"/>
              <w:widowControl w:val="0"/>
              <w:kinsoku/>
              <w:wordWrap/>
              <w:overflowPunct/>
              <w:topLinePunct w:val="0"/>
              <w:autoSpaceDE/>
              <w:autoSpaceDN/>
              <w:bidi w:val="0"/>
              <w:adjustRightInd/>
              <w:snapToGrid w:val="0"/>
              <w:spacing w:line="312" w:lineRule="auto"/>
              <w:ind w:firstLine="630" w:firstLineChars="3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lang w:eastAsia="zh-CN"/>
              </w:rPr>
              <w:t>交通银行中山分行锦城支行</w:t>
            </w:r>
          </w:p>
          <w:p w14:paraId="6F0034BD">
            <w:pPr>
              <w:pageBreakBefore w:val="0"/>
              <w:widowControl w:val="0"/>
              <w:kinsoku/>
              <w:wordWrap/>
              <w:overflowPunct/>
              <w:topLinePunct w:val="0"/>
              <w:autoSpaceDE/>
              <w:autoSpaceDN/>
              <w:bidi w:val="0"/>
              <w:adjustRightInd/>
              <w:snapToGrid w:val="0"/>
              <w:spacing w:line="312" w:lineRule="auto"/>
              <w:ind w:firstLine="630" w:firstLineChars="3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账户名称：</w:t>
            </w:r>
            <w:r>
              <w:rPr>
                <w:rFonts w:hint="eastAsia" w:ascii="宋体" w:hAnsi="宋体" w:eastAsia="宋体" w:cs="宋体"/>
                <w:szCs w:val="21"/>
                <w:highlight w:val="none"/>
                <w:lang w:eastAsia="zh-CN"/>
              </w:rPr>
              <w:t>广东捷信工程咨询有限公司</w:t>
            </w:r>
          </w:p>
          <w:p w14:paraId="18DCCB4D">
            <w:pPr>
              <w:pageBreakBefore w:val="0"/>
              <w:widowControl w:val="0"/>
              <w:kinsoku/>
              <w:wordWrap/>
              <w:overflowPunct/>
              <w:topLinePunct w:val="0"/>
              <w:autoSpaceDE/>
              <w:autoSpaceDN/>
              <w:bidi w:val="0"/>
              <w:adjustRightInd/>
              <w:snapToGrid w:val="0"/>
              <w:spacing w:line="312" w:lineRule="auto"/>
              <w:ind w:firstLine="630" w:firstLineChars="300"/>
              <w:textAlignment w:val="auto"/>
              <w:rPr>
                <w:lang w:val="en-US" w:eastAsia="zh-CN"/>
              </w:rPr>
            </w:pPr>
            <w:r>
              <w:rPr>
                <w:rFonts w:hint="eastAsia" w:ascii="宋体" w:hAnsi="宋体" w:eastAsia="宋体" w:cs="宋体"/>
                <w:szCs w:val="21"/>
                <w:highlight w:val="none"/>
              </w:rPr>
              <w:t>银行账号：</w:t>
            </w:r>
            <w:r>
              <w:rPr>
                <w:rFonts w:hint="eastAsia" w:ascii="宋体" w:hAnsi="宋体" w:eastAsia="宋体" w:cs="宋体"/>
                <w:szCs w:val="21"/>
                <w:highlight w:val="none"/>
                <w:lang w:eastAsia="zh-CN"/>
              </w:rPr>
              <w:t>484600900013000224139</w:t>
            </w:r>
          </w:p>
        </w:tc>
      </w:tr>
    </w:tbl>
    <w:p w14:paraId="028C38DF">
      <w:pPr>
        <w:spacing w:line="360" w:lineRule="auto"/>
        <w:jc w:val="left"/>
        <w:rPr>
          <w:rFonts w:hint="eastAsia" w:ascii="宋体" w:hAnsi="宋体"/>
          <w:szCs w:val="21"/>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B16AE43">
      <w:pPr>
        <w:pStyle w:val="5"/>
        <w:rPr>
          <w:rFonts w:hint="eastAsia"/>
        </w:rPr>
      </w:pPr>
      <w:bookmarkStart w:id="5" w:name="_Toc184635071"/>
      <w:r>
        <w:rPr>
          <w:rFonts w:hint="eastAsia"/>
        </w:rPr>
        <w:t>1 ．总则</w:t>
      </w:r>
      <w:bookmarkEnd w:id="5"/>
    </w:p>
    <w:p w14:paraId="65104845">
      <w:pPr>
        <w:pStyle w:val="2"/>
        <w:rPr>
          <w:rFonts w:hint="eastAsia"/>
        </w:rPr>
      </w:pPr>
      <w:r>
        <w:rPr>
          <w:rFonts w:hint="eastAsia"/>
        </w:rPr>
        <w:t>1.1 项目概况</w:t>
      </w:r>
    </w:p>
    <w:p w14:paraId="315CA93C">
      <w:pPr>
        <w:spacing w:line="360" w:lineRule="auto"/>
        <w:ind w:firstLine="420" w:firstLineChars="200"/>
        <w:rPr>
          <w:rFonts w:hint="eastAsia" w:ascii="宋体" w:hAnsi="宋体"/>
          <w:szCs w:val="21"/>
        </w:rPr>
      </w:pPr>
      <w:r>
        <w:rPr>
          <w:rFonts w:hint="eastAsia" w:ascii="宋体" w:hAnsi="宋体"/>
          <w:szCs w:val="21"/>
        </w:rPr>
        <w:t>1.1.1 根据《 中华人民共和国招标投标法》 等有关法律、法规和规章的规定，本招标项目己具备招标条件，现对本标段施工进行招标。</w:t>
      </w:r>
    </w:p>
    <w:p w14:paraId="1BFAA9AD">
      <w:pPr>
        <w:spacing w:line="360" w:lineRule="auto"/>
        <w:ind w:firstLine="420" w:firstLineChars="200"/>
        <w:rPr>
          <w:rFonts w:hint="eastAsia" w:ascii="宋体" w:hAnsi="宋体"/>
          <w:szCs w:val="21"/>
        </w:rPr>
      </w:pPr>
      <w:r>
        <w:rPr>
          <w:rFonts w:hint="eastAsia" w:ascii="宋体" w:hAnsi="宋体"/>
          <w:szCs w:val="21"/>
        </w:rPr>
        <w:t>1.1.2 本招标项目招标人：见投标人须知前附表。</w:t>
      </w:r>
    </w:p>
    <w:p w14:paraId="0D21FADF">
      <w:pPr>
        <w:spacing w:line="360" w:lineRule="auto"/>
        <w:ind w:firstLine="420" w:firstLineChars="200"/>
        <w:rPr>
          <w:rFonts w:hint="eastAsia" w:ascii="宋体" w:hAnsi="宋体"/>
          <w:szCs w:val="21"/>
        </w:rPr>
      </w:pPr>
      <w:r>
        <w:rPr>
          <w:rFonts w:hint="eastAsia" w:ascii="宋体" w:hAnsi="宋体"/>
          <w:szCs w:val="21"/>
        </w:rPr>
        <w:t>1.1.3 本标段招标代理机构：见投标人须知前附表。</w:t>
      </w:r>
    </w:p>
    <w:p w14:paraId="7D116E49">
      <w:pPr>
        <w:spacing w:line="360" w:lineRule="auto"/>
        <w:ind w:firstLine="420" w:firstLineChars="200"/>
        <w:rPr>
          <w:rFonts w:hint="eastAsia" w:ascii="宋体" w:hAnsi="宋体"/>
          <w:szCs w:val="21"/>
        </w:rPr>
      </w:pPr>
      <w:r>
        <w:rPr>
          <w:rFonts w:hint="eastAsia" w:ascii="宋体" w:hAnsi="宋体"/>
          <w:szCs w:val="21"/>
        </w:rPr>
        <w:t>1.1.4 本招标项目名称：见投标人须知前附表。</w:t>
      </w:r>
    </w:p>
    <w:p w14:paraId="7FF3A2D9">
      <w:pPr>
        <w:spacing w:line="360" w:lineRule="auto"/>
        <w:ind w:firstLine="420" w:firstLineChars="200"/>
        <w:rPr>
          <w:rFonts w:hint="eastAsia" w:ascii="宋体" w:hAnsi="宋体"/>
          <w:szCs w:val="21"/>
        </w:rPr>
      </w:pPr>
      <w:r>
        <w:rPr>
          <w:rFonts w:hint="eastAsia" w:ascii="宋体" w:hAnsi="宋体"/>
          <w:szCs w:val="21"/>
        </w:rPr>
        <w:t>1.1.5 本标段建设地点：见投标人须知前附表。</w:t>
      </w:r>
    </w:p>
    <w:p w14:paraId="52C67587">
      <w:pPr>
        <w:pStyle w:val="2"/>
        <w:rPr>
          <w:rFonts w:hint="eastAsia"/>
        </w:rPr>
      </w:pPr>
      <w:r>
        <w:rPr>
          <w:rFonts w:hint="eastAsia"/>
        </w:rPr>
        <w:t>1.2 资金来源和落实情况</w:t>
      </w:r>
    </w:p>
    <w:p w14:paraId="1E55C138">
      <w:pPr>
        <w:spacing w:line="360" w:lineRule="auto"/>
        <w:ind w:firstLine="420" w:firstLineChars="200"/>
        <w:rPr>
          <w:rFonts w:hint="eastAsia" w:ascii="宋体" w:hAnsi="宋体"/>
          <w:szCs w:val="21"/>
        </w:rPr>
      </w:pPr>
      <w:r>
        <w:rPr>
          <w:rFonts w:hint="eastAsia" w:ascii="宋体" w:hAnsi="宋体"/>
          <w:szCs w:val="21"/>
        </w:rPr>
        <w:t>1.2.1 本招标项目的资金来源：见投标人须知前附表。</w:t>
      </w:r>
    </w:p>
    <w:p w14:paraId="427814DE">
      <w:pPr>
        <w:spacing w:line="360" w:lineRule="auto"/>
        <w:ind w:firstLine="420" w:firstLineChars="200"/>
        <w:rPr>
          <w:rFonts w:hint="eastAsia" w:ascii="宋体" w:hAnsi="宋体"/>
          <w:szCs w:val="21"/>
        </w:rPr>
      </w:pPr>
      <w:r>
        <w:rPr>
          <w:rFonts w:hint="eastAsia" w:ascii="宋体" w:hAnsi="宋体"/>
          <w:szCs w:val="21"/>
        </w:rPr>
        <w:t>1.2.2 本招标项目的出资比例：见投标人须知前附表。</w:t>
      </w:r>
    </w:p>
    <w:p w14:paraId="7B0FAF16">
      <w:pPr>
        <w:spacing w:line="360" w:lineRule="auto"/>
        <w:ind w:firstLine="420" w:firstLineChars="200"/>
        <w:rPr>
          <w:rFonts w:hint="eastAsia" w:ascii="宋体" w:hAnsi="宋体"/>
          <w:szCs w:val="21"/>
        </w:rPr>
      </w:pPr>
      <w:r>
        <w:rPr>
          <w:rFonts w:hint="eastAsia" w:ascii="宋体" w:hAnsi="宋体"/>
          <w:szCs w:val="21"/>
        </w:rPr>
        <w:t>1.2.3 本招标项目的资金落实情况：见投标人须知前附表。</w:t>
      </w:r>
    </w:p>
    <w:p w14:paraId="395459F0">
      <w:pPr>
        <w:pStyle w:val="2"/>
        <w:rPr>
          <w:rFonts w:hint="eastAsia"/>
        </w:rPr>
      </w:pPr>
      <w:r>
        <w:rPr>
          <w:rFonts w:hint="eastAsia"/>
        </w:rPr>
        <w:t>1.3 招标范围、计划工期、质量和</w:t>
      </w:r>
      <w:r>
        <w:rPr>
          <w:rFonts w:hint="eastAsia" w:ascii="宋体" w:hAnsi="宋体"/>
          <w:szCs w:val="21"/>
        </w:rPr>
        <w:t>安全文明施工</w:t>
      </w:r>
      <w:r>
        <w:rPr>
          <w:rFonts w:hint="eastAsia"/>
        </w:rPr>
        <w:t>要求</w:t>
      </w:r>
    </w:p>
    <w:p w14:paraId="2465940A">
      <w:pPr>
        <w:spacing w:line="360" w:lineRule="auto"/>
        <w:ind w:firstLine="420" w:firstLineChars="200"/>
        <w:rPr>
          <w:rFonts w:hint="eastAsia" w:ascii="宋体" w:hAnsi="宋体"/>
          <w:szCs w:val="21"/>
        </w:rPr>
      </w:pPr>
      <w:r>
        <w:rPr>
          <w:rFonts w:hint="eastAsia" w:ascii="宋体" w:hAnsi="宋体"/>
          <w:szCs w:val="21"/>
        </w:rPr>
        <w:t>1.3.1 本次招标范围：见投标人须知前附表。</w:t>
      </w:r>
    </w:p>
    <w:p w14:paraId="4F0E608D">
      <w:pPr>
        <w:spacing w:line="360" w:lineRule="auto"/>
        <w:ind w:firstLine="420" w:firstLineChars="200"/>
        <w:rPr>
          <w:rFonts w:hint="eastAsia" w:ascii="宋体" w:hAnsi="宋体"/>
          <w:szCs w:val="21"/>
        </w:rPr>
      </w:pPr>
      <w:r>
        <w:rPr>
          <w:rFonts w:hint="eastAsia" w:ascii="宋体" w:hAnsi="宋体"/>
          <w:szCs w:val="21"/>
        </w:rPr>
        <w:t>1.3.2 本标段的计划工期：见投标人须知前附表。</w:t>
      </w:r>
    </w:p>
    <w:p w14:paraId="1DB67066">
      <w:pPr>
        <w:spacing w:line="360" w:lineRule="auto"/>
        <w:ind w:firstLine="420" w:firstLineChars="200"/>
        <w:rPr>
          <w:rFonts w:hint="eastAsia" w:ascii="宋体" w:hAnsi="宋体"/>
          <w:szCs w:val="21"/>
        </w:rPr>
      </w:pPr>
      <w:r>
        <w:rPr>
          <w:rFonts w:hint="eastAsia" w:ascii="宋体" w:hAnsi="宋体"/>
          <w:szCs w:val="21"/>
        </w:rPr>
        <w:t>1.3.3 本标段的质量要求：见投标人须知前附表。</w:t>
      </w:r>
    </w:p>
    <w:p w14:paraId="57F6E290">
      <w:pPr>
        <w:spacing w:line="360" w:lineRule="auto"/>
        <w:ind w:firstLine="420" w:firstLineChars="200"/>
        <w:rPr>
          <w:rFonts w:hint="eastAsia" w:ascii="宋体" w:hAnsi="宋体"/>
          <w:szCs w:val="21"/>
        </w:rPr>
      </w:pPr>
      <w:r>
        <w:rPr>
          <w:rFonts w:hint="eastAsia" w:ascii="宋体" w:hAnsi="宋体"/>
          <w:szCs w:val="21"/>
        </w:rPr>
        <w:t>1.3.4本标段的安全文明施工要求：见投标人须知前附表。</w:t>
      </w:r>
    </w:p>
    <w:p w14:paraId="29C38222">
      <w:pPr>
        <w:pStyle w:val="2"/>
        <w:rPr>
          <w:rFonts w:hint="eastAsia"/>
        </w:rPr>
      </w:pPr>
      <w:r>
        <w:rPr>
          <w:rFonts w:hint="eastAsia"/>
        </w:rPr>
        <w:t>1.4 投标人资格要求</w:t>
      </w:r>
    </w:p>
    <w:p w14:paraId="70C5D699">
      <w:pPr>
        <w:spacing w:line="360" w:lineRule="auto"/>
        <w:ind w:firstLine="420" w:firstLineChars="200"/>
        <w:rPr>
          <w:rFonts w:hint="eastAsia" w:ascii="宋体" w:hAnsi="宋体"/>
          <w:szCs w:val="21"/>
        </w:rPr>
      </w:pPr>
      <w:r>
        <w:rPr>
          <w:rFonts w:hint="eastAsia" w:ascii="宋体" w:hAnsi="宋体"/>
          <w:szCs w:val="21"/>
        </w:rPr>
        <w:t>1.4.1 投标人应具备承担本标段施工的资质条件、能力和信誉。</w:t>
      </w:r>
    </w:p>
    <w:p w14:paraId="0A1CB559">
      <w:pPr>
        <w:spacing w:line="360" w:lineRule="auto"/>
        <w:ind w:firstLine="420" w:firstLineChars="200"/>
        <w:rPr>
          <w:rFonts w:hint="eastAsia" w:ascii="宋体" w:hAnsi="宋体"/>
          <w:szCs w:val="21"/>
        </w:rPr>
      </w:pPr>
      <w:r>
        <w:rPr>
          <w:rFonts w:hint="eastAsia" w:ascii="宋体" w:hAnsi="宋体"/>
          <w:szCs w:val="21"/>
        </w:rPr>
        <w:t>(l）资质条件：见投标人须知前附表；</w:t>
      </w:r>
    </w:p>
    <w:p w14:paraId="2E7C7023">
      <w:pPr>
        <w:numPr>
          <w:ilvl w:val="0"/>
          <w:numId w:val="3"/>
        </w:numPr>
        <w:spacing w:line="360" w:lineRule="auto"/>
        <w:ind w:firstLine="420" w:firstLineChars="200"/>
        <w:rPr>
          <w:rFonts w:hint="eastAsia" w:ascii="宋体" w:hAnsi="宋体"/>
          <w:szCs w:val="21"/>
        </w:rPr>
      </w:pPr>
      <w:r>
        <w:rPr>
          <w:rFonts w:hint="eastAsia" w:ascii="宋体" w:hAnsi="宋体"/>
          <w:szCs w:val="21"/>
        </w:rPr>
        <w:t>项目负责人资格：见投标人须知前附表；</w:t>
      </w:r>
    </w:p>
    <w:p w14:paraId="58E55535">
      <w:pPr>
        <w:pStyle w:val="2"/>
        <w:rPr>
          <w:b w:val="0"/>
          <w:bCs w:val="0"/>
        </w:rPr>
      </w:pPr>
      <w:r>
        <w:rPr>
          <w:rFonts w:hint="eastAsia" w:ascii="宋体" w:hAnsi="宋体"/>
          <w:szCs w:val="21"/>
          <w:lang w:val="en-US" w:eastAsia="zh-CN"/>
        </w:rPr>
        <w:t xml:space="preserve">   </w:t>
      </w:r>
      <w:r>
        <w:rPr>
          <w:rFonts w:hint="eastAsia" w:ascii="宋体" w:hAnsi="宋体"/>
          <w:b w:val="0"/>
          <w:bCs w:val="0"/>
          <w:szCs w:val="21"/>
          <w:lang w:val="en-US" w:eastAsia="zh-CN"/>
        </w:rPr>
        <w:t>（3）</w:t>
      </w:r>
      <w:r>
        <w:rPr>
          <w:rFonts w:hint="eastAsia" w:ascii="宋体" w:hAnsi="宋体"/>
          <w:b w:val="0"/>
          <w:bCs w:val="0"/>
          <w:szCs w:val="21"/>
          <w:lang w:eastAsia="zh-CN"/>
        </w:rPr>
        <w:t>业绩要求：见投标人须知前附表；</w:t>
      </w:r>
    </w:p>
    <w:p w14:paraId="0F7802E6">
      <w:pPr>
        <w:pStyle w:val="2"/>
        <w:rPr>
          <w:b w:val="0"/>
          <w:bCs w:val="0"/>
        </w:rPr>
      </w:pPr>
      <w:r>
        <w:rPr>
          <w:rFonts w:hint="eastAsia" w:ascii="宋体" w:hAnsi="宋体"/>
          <w:b w:val="0"/>
          <w:bCs w:val="0"/>
          <w:szCs w:val="21"/>
          <w:lang w:val="en-US" w:eastAsia="zh-CN"/>
        </w:rPr>
        <w:t xml:space="preserve">   （4）</w:t>
      </w:r>
      <w:r>
        <w:rPr>
          <w:rFonts w:hint="eastAsia" w:ascii="宋体" w:hAnsi="宋体"/>
          <w:b w:val="0"/>
          <w:bCs w:val="0"/>
          <w:szCs w:val="21"/>
          <w:lang w:eastAsia="zh-CN"/>
        </w:rPr>
        <w:t>诚信要求：见投标人须知前附表；</w:t>
      </w:r>
    </w:p>
    <w:p w14:paraId="7FDEFD70">
      <w:pPr>
        <w:spacing w:line="360" w:lineRule="auto"/>
        <w:ind w:firstLine="420" w:firstLineChars="200"/>
        <w:rPr>
          <w:rFonts w:hint="eastAsia" w:ascii="宋体" w:hAnsi="宋体"/>
          <w:szCs w:val="21"/>
        </w:rPr>
      </w:pPr>
      <w:r>
        <w:rPr>
          <w:rFonts w:hint="eastAsia" w:ascii="宋体" w:hAnsi="宋体"/>
          <w:szCs w:val="21"/>
        </w:rPr>
        <w:t>(5）其他要求：见投标人须知前附表；</w:t>
      </w:r>
    </w:p>
    <w:p w14:paraId="3CD13A0F">
      <w:pPr>
        <w:spacing w:line="360" w:lineRule="auto"/>
        <w:ind w:firstLine="420" w:firstLineChars="200"/>
        <w:rPr>
          <w:rFonts w:hint="eastAsia" w:ascii="宋体" w:hAnsi="宋体"/>
          <w:szCs w:val="21"/>
        </w:rPr>
      </w:pPr>
      <w:r>
        <w:rPr>
          <w:rFonts w:hint="eastAsia" w:ascii="宋体" w:hAnsi="宋体"/>
          <w:szCs w:val="21"/>
        </w:rPr>
        <w:t>1.4.2 投标人须知前附表规定接受联合体投标的，除应符合本章第1.4.1项和投标人须知前附表的要求外，还应遵守以下规定：</w:t>
      </w:r>
    </w:p>
    <w:p w14:paraId="4BA1CB0F">
      <w:pPr>
        <w:spacing w:line="360" w:lineRule="auto"/>
        <w:ind w:firstLine="420" w:firstLineChars="200"/>
        <w:rPr>
          <w:rFonts w:hint="eastAsia" w:ascii="宋体" w:hAnsi="宋体"/>
          <w:szCs w:val="21"/>
        </w:rPr>
      </w:pPr>
      <w:r>
        <w:rPr>
          <w:rFonts w:hint="eastAsia" w:ascii="宋体" w:hAnsi="宋体"/>
          <w:szCs w:val="21"/>
        </w:rPr>
        <w:t>(1）联合体各方应按招标文件提供的格式签订联合体协议书，明确联合体牵头人和各方权利义务；</w:t>
      </w:r>
    </w:p>
    <w:p w14:paraId="5A0C25C1">
      <w:pPr>
        <w:spacing w:line="360" w:lineRule="auto"/>
        <w:ind w:firstLine="420" w:firstLineChars="200"/>
        <w:rPr>
          <w:rFonts w:hint="eastAsia" w:ascii="宋体" w:hAnsi="宋体"/>
          <w:szCs w:val="21"/>
        </w:rPr>
      </w:pPr>
      <w:r>
        <w:rPr>
          <w:rFonts w:hint="eastAsia" w:ascii="宋体" w:hAnsi="宋体"/>
          <w:szCs w:val="21"/>
        </w:rPr>
        <w:t>(2）由同一专业的单位组成的联合体，按照资质等级较低的单位确定资质等级；</w:t>
      </w:r>
    </w:p>
    <w:p w14:paraId="78AD0AA1">
      <w:pPr>
        <w:spacing w:line="360" w:lineRule="auto"/>
        <w:ind w:firstLine="420" w:firstLineChars="200"/>
        <w:rPr>
          <w:rFonts w:hint="eastAsia" w:ascii="宋体" w:hAnsi="宋体"/>
          <w:szCs w:val="21"/>
        </w:rPr>
      </w:pPr>
      <w:r>
        <w:rPr>
          <w:rFonts w:hint="eastAsia" w:ascii="宋体" w:hAnsi="宋体"/>
          <w:szCs w:val="21"/>
        </w:rPr>
        <w:t>(3）联合体各方不得再以自己名义单独或参加其他联合体在同一标段中投标。</w:t>
      </w:r>
    </w:p>
    <w:p w14:paraId="31CB4B5E">
      <w:pPr>
        <w:spacing w:line="360" w:lineRule="auto"/>
        <w:ind w:firstLine="420" w:firstLineChars="200"/>
        <w:rPr>
          <w:rFonts w:ascii="宋体" w:hAnsi="宋体"/>
          <w:szCs w:val="21"/>
        </w:rPr>
      </w:pPr>
      <w:r>
        <w:rPr>
          <w:rFonts w:hint="eastAsia" w:ascii="宋体" w:hAnsi="宋体"/>
          <w:szCs w:val="21"/>
        </w:rPr>
        <w:t>1.4.3 投标人不得存在下列情形之一：</w:t>
      </w:r>
    </w:p>
    <w:p w14:paraId="56ADD478">
      <w:pPr>
        <w:spacing w:line="360" w:lineRule="auto"/>
        <w:ind w:firstLine="420" w:firstLineChars="200"/>
        <w:rPr>
          <w:rFonts w:hint="eastAsia" w:ascii="宋体" w:hAnsi="宋体"/>
          <w:szCs w:val="21"/>
        </w:rPr>
      </w:pPr>
      <w:r>
        <w:rPr>
          <w:rFonts w:hint="eastAsia" w:ascii="宋体" w:hAnsi="宋体"/>
          <w:szCs w:val="21"/>
        </w:rPr>
        <w:t>(l）为招标人不具有独立法人资格的附属机构（单位）</w:t>
      </w:r>
      <w:r>
        <w:rPr>
          <w:rFonts w:hint="eastAsia" w:ascii="宋体" w:hAnsi="宋体"/>
          <w:szCs w:val="21"/>
          <w:lang w:eastAsia="zh-CN"/>
        </w:rPr>
        <w:t>；</w:t>
      </w:r>
      <w:r>
        <w:rPr>
          <w:rFonts w:hint="eastAsia" w:ascii="宋体" w:hAnsi="宋体"/>
          <w:szCs w:val="21"/>
        </w:rPr>
        <w:t xml:space="preserve"> </w:t>
      </w:r>
    </w:p>
    <w:p w14:paraId="240F61FD">
      <w:pPr>
        <w:spacing w:line="360" w:lineRule="auto"/>
        <w:ind w:firstLine="420" w:firstLineChars="200"/>
        <w:rPr>
          <w:rFonts w:hint="eastAsia" w:ascii="宋体" w:hAnsi="宋体"/>
          <w:szCs w:val="21"/>
        </w:rPr>
      </w:pPr>
      <w:r>
        <w:rPr>
          <w:rFonts w:hint="eastAsia" w:ascii="宋体" w:hAnsi="宋体"/>
          <w:szCs w:val="21"/>
        </w:rPr>
        <w:t>(2）为本项目前期准备提供设计或咨询服务的，但设计施工总承包的除外；</w:t>
      </w:r>
    </w:p>
    <w:p w14:paraId="2CBD6BE8">
      <w:pPr>
        <w:spacing w:line="360" w:lineRule="auto"/>
        <w:ind w:firstLine="420" w:firstLineChars="200"/>
        <w:rPr>
          <w:rFonts w:hint="eastAsia" w:ascii="宋体" w:hAnsi="宋体"/>
          <w:szCs w:val="21"/>
        </w:rPr>
      </w:pPr>
      <w:r>
        <w:rPr>
          <w:rFonts w:hint="eastAsia" w:ascii="宋体" w:hAnsi="宋体"/>
          <w:szCs w:val="21"/>
        </w:rPr>
        <w:t>(3）为本项目的监理人；</w:t>
      </w:r>
    </w:p>
    <w:p w14:paraId="7C86183A">
      <w:pPr>
        <w:spacing w:line="360" w:lineRule="auto"/>
        <w:ind w:firstLine="420" w:firstLineChars="200"/>
        <w:rPr>
          <w:rFonts w:hint="eastAsia" w:ascii="宋体" w:hAnsi="宋体"/>
          <w:szCs w:val="21"/>
        </w:rPr>
      </w:pPr>
      <w:r>
        <w:rPr>
          <w:rFonts w:hint="eastAsia" w:ascii="宋体" w:hAnsi="宋体"/>
          <w:szCs w:val="21"/>
        </w:rPr>
        <w:t>(4）为本项目的代建人；</w:t>
      </w:r>
    </w:p>
    <w:p w14:paraId="3DF799A0">
      <w:pPr>
        <w:spacing w:line="360" w:lineRule="auto"/>
        <w:ind w:firstLine="420" w:firstLineChars="200"/>
        <w:rPr>
          <w:rFonts w:hint="eastAsia" w:ascii="宋体" w:hAnsi="宋体"/>
          <w:szCs w:val="21"/>
        </w:rPr>
      </w:pPr>
      <w:r>
        <w:rPr>
          <w:rFonts w:hint="eastAsia" w:ascii="宋体" w:hAnsi="宋体"/>
          <w:szCs w:val="21"/>
        </w:rPr>
        <w:t>(5）为本项目提供招标代理服务的；</w:t>
      </w:r>
    </w:p>
    <w:p w14:paraId="2364412E">
      <w:pPr>
        <w:spacing w:line="360" w:lineRule="auto"/>
        <w:ind w:firstLine="420" w:firstLineChars="200"/>
        <w:rPr>
          <w:rFonts w:hint="eastAsia" w:ascii="宋体" w:hAnsi="宋体"/>
          <w:szCs w:val="21"/>
        </w:rPr>
      </w:pPr>
      <w:r>
        <w:rPr>
          <w:rFonts w:hint="eastAsia" w:ascii="宋体" w:hAnsi="宋体"/>
          <w:szCs w:val="21"/>
        </w:rPr>
        <w:t>(6）与本项目的监理人或代建人或招标代理机构同为一个法定代表人的；</w:t>
      </w:r>
    </w:p>
    <w:p w14:paraId="5C6F2121">
      <w:pPr>
        <w:spacing w:line="360" w:lineRule="auto"/>
        <w:ind w:firstLine="420" w:firstLineChars="200"/>
        <w:rPr>
          <w:rFonts w:hint="eastAsia" w:ascii="宋体" w:hAnsi="宋体"/>
          <w:szCs w:val="21"/>
        </w:rPr>
      </w:pPr>
      <w:r>
        <w:rPr>
          <w:rFonts w:hint="eastAsia" w:ascii="宋体" w:hAnsi="宋体"/>
          <w:szCs w:val="21"/>
        </w:rPr>
        <w:t>(7）与本项目的监理人或代建人或招标代理机构相互控股或参股的；</w:t>
      </w:r>
    </w:p>
    <w:p w14:paraId="038838F3">
      <w:pPr>
        <w:spacing w:line="360" w:lineRule="auto"/>
        <w:ind w:firstLine="420" w:firstLineChars="200"/>
        <w:rPr>
          <w:rFonts w:hint="eastAsia" w:ascii="宋体" w:hAnsi="宋体"/>
          <w:szCs w:val="21"/>
        </w:rPr>
      </w:pPr>
      <w:r>
        <w:rPr>
          <w:rFonts w:hint="eastAsia" w:ascii="宋体" w:hAnsi="宋体"/>
          <w:szCs w:val="21"/>
        </w:rPr>
        <w:t>(8）与本项目的监理人或代建人或招标代理机构相互任职或工作的；</w:t>
      </w:r>
    </w:p>
    <w:p w14:paraId="6B0EE8AD">
      <w:pPr>
        <w:spacing w:line="360" w:lineRule="auto"/>
        <w:ind w:left="420" w:leftChars="200"/>
        <w:rPr>
          <w:rFonts w:hint="eastAsia" w:ascii="宋体" w:hAnsi="宋体"/>
          <w:szCs w:val="21"/>
        </w:rPr>
      </w:pPr>
      <w:r>
        <w:rPr>
          <w:rFonts w:hint="eastAsia" w:ascii="宋体" w:hAnsi="宋体"/>
          <w:szCs w:val="21"/>
        </w:rPr>
        <w:t>(9）</w:t>
      </w:r>
      <w:r>
        <w:rPr>
          <w:rFonts w:hint="eastAsia"/>
        </w:rPr>
        <w:t>单位负责人与其他投标人为同一人或者存在控股、管理关系的；</w:t>
      </w:r>
      <w:r>
        <w:rPr>
          <w:rFonts w:hint="eastAsia"/>
        </w:rPr>
        <w:br w:type="textWrapping"/>
      </w:r>
      <w:r>
        <w:rPr>
          <w:rFonts w:hint="eastAsia" w:ascii="宋体" w:hAnsi="宋体"/>
          <w:szCs w:val="21"/>
        </w:rPr>
        <w:t>(10）处于被责令停业期内的；</w:t>
      </w:r>
    </w:p>
    <w:p w14:paraId="07B80167">
      <w:pPr>
        <w:spacing w:line="360" w:lineRule="auto"/>
        <w:ind w:firstLine="420" w:firstLineChars="200"/>
        <w:rPr>
          <w:rFonts w:hint="eastAsia" w:ascii="宋体" w:hAnsi="宋体"/>
          <w:szCs w:val="21"/>
        </w:rPr>
      </w:pPr>
      <w:r>
        <w:rPr>
          <w:rFonts w:hint="eastAsia" w:ascii="宋体" w:hAnsi="宋体"/>
          <w:szCs w:val="21"/>
        </w:rPr>
        <w:t>(11）处于被暂停或取消投标资格期内的；</w:t>
      </w:r>
    </w:p>
    <w:p w14:paraId="3BF6EAEC">
      <w:pPr>
        <w:spacing w:line="360" w:lineRule="auto"/>
        <w:ind w:firstLine="420" w:firstLineChars="200"/>
        <w:rPr>
          <w:rFonts w:hint="eastAsia" w:ascii="宋体" w:hAnsi="宋体"/>
          <w:szCs w:val="21"/>
        </w:rPr>
      </w:pPr>
      <w:r>
        <w:rPr>
          <w:rFonts w:hint="eastAsia" w:ascii="宋体" w:hAnsi="宋体"/>
          <w:szCs w:val="21"/>
        </w:rPr>
        <w:t>(12）处于财产被接管或冻结期内的。</w:t>
      </w:r>
    </w:p>
    <w:p w14:paraId="611FC2D5">
      <w:pPr>
        <w:pStyle w:val="2"/>
        <w:rPr>
          <w:rFonts w:hint="eastAsia"/>
        </w:rPr>
      </w:pPr>
      <w:r>
        <w:rPr>
          <w:rFonts w:hint="eastAsia"/>
        </w:rPr>
        <w:t>1.5 费用承担</w:t>
      </w:r>
    </w:p>
    <w:p w14:paraId="4095BE41">
      <w:pPr>
        <w:spacing w:line="360" w:lineRule="auto"/>
        <w:ind w:firstLine="420" w:firstLineChars="200"/>
        <w:rPr>
          <w:rFonts w:hint="eastAsia" w:ascii="宋体" w:hAnsi="宋体"/>
          <w:szCs w:val="21"/>
        </w:rPr>
      </w:pPr>
      <w:r>
        <w:rPr>
          <w:rFonts w:hint="eastAsia" w:ascii="宋体" w:hAnsi="宋体"/>
          <w:szCs w:val="21"/>
        </w:rPr>
        <w:t>投标人准备和参加投标活动发生的费用自理。</w:t>
      </w:r>
    </w:p>
    <w:p w14:paraId="70E6BD9A">
      <w:pPr>
        <w:pStyle w:val="2"/>
        <w:rPr>
          <w:rFonts w:hint="eastAsia"/>
        </w:rPr>
      </w:pPr>
      <w:r>
        <w:rPr>
          <w:rFonts w:hint="eastAsia"/>
        </w:rPr>
        <w:t>1.6 保密</w:t>
      </w:r>
    </w:p>
    <w:p w14:paraId="20B6BB03">
      <w:pPr>
        <w:spacing w:line="360" w:lineRule="auto"/>
        <w:ind w:firstLine="420" w:firstLineChars="200"/>
        <w:rPr>
          <w:rFonts w:hint="eastAsia"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7436EFF7">
      <w:pPr>
        <w:pStyle w:val="2"/>
        <w:rPr>
          <w:rFonts w:hint="eastAsia"/>
        </w:rPr>
      </w:pPr>
      <w:r>
        <w:rPr>
          <w:rFonts w:hint="eastAsia"/>
        </w:rPr>
        <w:t>1.7 语言文字</w:t>
      </w:r>
    </w:p>
    <w:p w14:paraId="4E34E135">
      <w:pPr>
        <w:spacing w:line="360" w:lineRule="auto"/>
        <w:ind w:firstLine="420" w:firstLineChars="200"/>
        <w:rPr>
          <w:rFonts w:hint="eastAsia" w:ascii="宋体" w:hAnsi="宋体"/>
          <w:szCs w:val="21"/>
        </w:rPr>
      </w:pPr>
      <w:r>
        <w:rPr>
          <w:rFonts w:hint="eastAsia" w:ascii="宋体" w:hAnsi="宋体"/>
          <w:szCs w:val="21"/>
        </w:rPr>
        <w:t>除专用术语外，与招标投标有关的语言均使用中文。必要时专用术语应附有中文注释。</w:t>
      </w:r>
    </w:p>
    <w:p w14:paraId="1F79BBD8">
      <w:pPr>
        <w:pStyle w:val="2"/>
        <w:rPr>
          <w:rFonts w:hint="eastAsia"/>
        </w:rPr>
      </w:pPr>
      <w:r>
        <w:rPr>
          <w:rFonts w:hint="eastAsia"/>
        </w:rPr>
        <w:t>1.8 计量单位</w:t>
      </w:r>
    </w:p>
    <w:p w14:paraId="7E0DB3B4">
      <w:pPr>
        <w:spacing w:line="360" w:lineRule="auto"/>
        <w:ind w:firstLine="420" w:firstLineChars="200"/>
        <w:rPr>
          <w:rFonts w:hint="eastAsia" w:ascii="宋体" w:hAnsi="宋体"/>
          <w:szCs w:val="21"/>
        </w:rPr>
      </w:pPr>
      <w:r>
        <w:rPr>
          <w:rFonts w:hint="eastAsia" w:ascii="宋体" w:hAnsi="宋体"/>
          <w:szCs w:val="21"/>
        </w:rPr>
        <w:t>所有计量均采用中华人民共和国法定计量单位。</w:t>
      </w:r>
    </w:p>
    <w:p w14:paraId="530BA089">
      <w:pPr>
        <w:pStyle w:val="2"/>
        <w:rPr>
          <w:rFonts w:hint="eastAsia"/>
        </w:rPr>
      </w:pPr>
      <w:r>
        <w:rPr>
          <w:rFonts w:hint="eastAsia"/>
        </w:rPr>
        <w:t>1.9踏勘现场</w:t>
      </w:r>
    </w:p>
    <w:p w14:paraId="495A29DA">
      <w:pPr>
        <w:spacing w:line="360" w:lineRule="auto"/>
        <w:ind w:firstLine="420" w:firstLineChars="200"/>
        <w:rPr>
          <w:rFonts w:hint="eastAsia" w:ascii="宋体" w:hAnsi="宋体"/>
          <w:szCs w:val="21"/>
        </w:rPr>
      </w:pPr>
      <w:r>
        <w:rPr>
          <w:rFonts w:hint="eastAsia" w:ascii="宋体" w:hAnsi="宋体"/>
          <w:szCs w:val="21"/>
        </w:rPr>
        <w:t>1.9.1 一般情况下不集中踏勘现场，投标人须知前附表规定组织踏勘现场的，投标人按投标人须知前附表规定的时间、地点自行踏勘项目现场。</w:t>
      </w:r>
    </w:p>
    <w:p w14:paraId="4E75B3C9">
      <w:pPr>
        <w:spacing w:line="360" w:lineRule="auto"/>
        <w:ind w:firstLine="420" w:firstLineChars="200"/>
        <w:rPr>
          <w:rFonts w:hint="eastAsia" w:ascii="宋体" w:hAnsi="宋体"/>
          <w:szCs w:val="21"/>
        </w:rPr>
      </w:pPr>
      <w:r>
        <w:rPr>
          <w:rFonts w:hint="eastAsia" w:ascii="宋体" w:hAnsi="宋体"/>
          <w:szCs w:val="21"/>
        </w:rPr>
        <w:t>1.9.2 投标人踏勘现场发生的费用自理。</w:t>
      </w:r>
    </w:p>
    <w:p w14:paraId="74804F86">
      <w:pPr>
        <w:spacing w:line="360" w:lineRule="auto"/>
        <w:ind w:firstLine="420" w:firstLineChars="200"/>
        <w:rPr>
          <w:rFonts w:hint="eastAsia" w:ascii="宋体" w:hAnsi="宋体"/>
          <w:szCs w:val="21"/>
        </w:rPr>
      </w:pPr>
      <w:r>
        <w:rPr>
          <w:rFonts w:hint="eastAsia" w:ascii="宋体" w:hAnsi="宋体"/>
          <w:szCs w:val="21"/>
        </w:rPr>
        <w:t>1.9.3 除招标人的原因外，投标人自行负责在踏勘现场中所发生的人员伤亡和财产损失。</w:t>
      </w:r>
    </w:p>
    <w:p w14:paraId="09F48ECA">
      <w:pPr>
        <w:spacing w:line="360" w:lineRule="auto"/>
        <w:ind w:firstLine="420" w:firstLineChars="200"/>
        <w:rPr>
          <w:rFonts w:hint="eastAsia" w:ascii="宋体" w:hAnsi="宋体"/>
          <w:szCs w:val="21"/>
        </w:rPr>
      </w:pPr>
      <w:r>
        <w:rPr>
          <w:rFonts w:hint="eastAsia" w:ascii="宋体" w:hAnsi="宋体"/>
          <w:szCs w:val="21"/>
        </w:rPr>
        <w:t>1.9.4 招标人在踏勘现场中介绍的工程场地和相关的周边环境情况，供投标人在编制投标文件时参考，招标人不对投标人据此作出的判断和决策负责。</w:t>
      </w:r>
    </w:p>
    <w:p w14:paraId="6FB77DED">
      <w:pPr>
        <w:pStyle w:val="2"/>
        <w:rPr>
          <w:rFonts w:hint="eastAsia"/>
        </w:rPr>
      </w:pPr>
      <w:r>
        <w:rPr>
          <w:rFonts w:hint="eastAsia"/>
        </w:rPr>
        <w:t>1.10 招标答疑</w:t>
      </w:r>
    </w:p>
    <w:p w14:paraId="665DD62B">
      <w:pPr>
        <w:spacing w:line="360" w:lineRule="auto"/>
        <w:ind w:firstLine="420" w:firstLineChars="200"/>
        <w:rPr>
          <w:rFonts w:hint="eastAsia"/>
        </w:rPr>
      </w:pPr>
      <w:r>
        <w:rPr>
          <w:rFonts w:hint="eastAsia" w:ascii="宋体" w:hAnsi="宋体"/>
          <w:szCs w:val="21"/>
        </w:rPr>
        <w:t>1.10.1</w:t>
      </w:r>
      <w:r>
        <w:rPr>
          <w:rFonts w:hint="eastAsia"/>
        </w:rPr>
        <w:t>潜在投标人向招标人（或招标代理机构）提交有关问题的，可按投标人须知前附表规定的时间内在</w:t>
      </w:r>
      <w:r>
        <w:rPr>
          <w:rFonts w:hint="eastAsia"/>
          <w:b w:val="0"/>
          <w:bCs w:val="0"/>
          <w:lang w:val="en" w:eastAsia="zh-CN"/>
        </w:rPr>
        <w:t>广东省公共资源交易平台</w:t>
      </w:r>
      <w:r>
        <w:rPr>
          <w:rFonts w:hint="eastAsia" w:ascii="宋体" w:hAnsi="宋体"/>
          <w:b w:val="0"/>
          <w:bCs w:val="0"/>
          <w:color w:val="auto"/>
          <w:szCs w:val="21"/>
          <w:lang w:val="en-US" w:eastAsia="zh-CN"/>
        </w:rPr>
        <w:t>（</w:t>
      </w:r>
      <w:r>
        <w:rPr>
          <w:rFonts w:hint="eastAsia" w:ascii="宋体" w:hAnsi="宋体"/>
          <w:b w:val="0"/>
          <w:bCs w:val="0"/>
          <w:color w:val="auto"/>
          <w:szCs w:val="21"/>
        </w:rPr>
        <w:t>交易系统</w:t>
      </w:r>
      <w:r>
        <w:rPr>
          <w:rFonts w:hint="eastAsia" w:ascii="宋体" w:hAnsi="宋体"/>
          <w:b w:val="0"/>
          <w:bCs w:val="0"/>
          <w:color w:val="auto"/>
          <w:szCs w:val="21"/>
          <w:lang w:eastAsia="zh-CN"/>
        </w:rPr>
        <w:t>）</w:t>
      </w:r>
      <w:r>
        <w:rPr>
          <w:rFonts w:hint="eastAsia"/>
        </w:rPr>
        <w:t>凭电子招投标数字证书登入工程建设交易系统，点击“投标管理-参与项目”菜单，选择参与的项目进行“我要</w:t>
      </w:r>
      <w:r>
        <w:rPr>
          <w:rFonts w:hint="eastAsia"/>
          <w:lang w:eastAsia="zh-CN"/>
        </w:rPr>
        <w:t>提</w:t>
      </w:r>
      <w:r>
        <w:rPr>
          <w:rFonts w:hint="eastAsia"/>
        </w:rPr>
        <w:t>疑”，即可提出问题，保存后即可提交。且所提交的资料以无记名形式提交，不得有任何可识别投标人单位及人员的标识。</w:t>
      </w:r>
    </w:p>
    <w:p w14:paraId="3889536E">
      <w:pPr>
        <w:spacing w:line="360" w:lineRule="auto"/>
        <w:ind w:firstLine="420" w:firstLineChars="200"/>
        <w:rPr>
          <w:rFonts w:hint="eastAsia"/>
        </w:rPr>
      </w:pPr>
      <w:r>
        <w:rPr>
          <w:rFonts w:hint="eastAsia" w:ascii="宋体" w:hAnsi="宋体"/>
          <w:szCs w:val="21"/>
        </w:rPr>
        <w:t>1.10.2</w:t>
      </w:r>
      <w:r>
        <w:rPr>
          <w:rFonts w:hint="eastAsia"/>
        </w:rPr>
        <w:t>招标人（招标代理）收集相关问题，组织有关单位人员研究并形成答疑纪要（补遗书），按投标人须知前附表规定的时</w:t>
      </w:r>
      <w:r>
        <w:rPr>
          <w:rFonts w:hint="eastAsia"/>
          <w:color w:val="auto"/>
          <w:highlight w:val="none"/>
        </w:rPr>
        <w:t>间在中山市公共资源交易平台（公共服务系统）“建设工程--答疑、澄清”栏目发布答疑纪要（补遗书）后，向港口镇招投标监督部门备案。对投标</w:t>
      </w:r>
      <w:r>
        <w:rPr>
          <w:rFonts w:hint="eastAsia"/>
        </w:rPr>
        <w:t xml:space="preserve">人编制标书时间造成影响的答疑纪要或补遗书，招标人需于投标截止前15日向投标人发出。 </w:t>
      </w:r>
    </w:p>
    <w:p w14:paraId="0303A28E">
      <w:pPr>
        <w:spacing w:line="360" w:lineRule="auto"/>
        <w:ind w:firstLine="420" w:firstLineChars="200"/>
        <w:rPr>
          <w:rFonts w:hint="eastAsia" w:ascii="宋体" w:hAnsi="宋体"/>
          <w:szCs w:val="21"/>
        </w:rPr>
      </w:pPr>
      <w:r>
        <w:rPr>
          <w:rFonts w:hint="eastAsia" w:ascii="宋体" w:hAnsi="宋体"/>
          <w:szCs w:val="21"/>
        </w:rPr>
        <w:t>各</w:t>
      </w:r>
      <w:r>
        <w:rPr>
          <w:rFonts w:hint="eastAsia" w:ascii="宋体" w:hAnsi="宋体"/>
        </w:rPr>
        <w:t>潜在投标人自行在</w:t>
      </w:r>
      <w:r>
        <w:rPr>
          <w:rFonts w:hint="eastAsia"/>
          <w:color w:val="auto"/>
        </w:rPr>
        <w:t>中山市公共资源交易</w:t>
      </w:r>
      <w:r>
        <w:rPr>
          <w:rFonts w:hint="eastAsia"/>
          <w:color w:val="auto"/>
          <w:lang w:val="en-US" w:eastAsia="zh-CN"/>
        </w:rPr>
        <w:t>平台（公共服务系统）</w:t>
      </w:r>
      <w:r>
        <w:rPr>
          <w:rFonts w:hint="eastAsia" w:ascii="宋体" w:hAnsi="宋体"/>
        </w:rPr>
        <w:t>“建设工程-答疑、澄清”栏目</w:t>
      </w:r>
      <w:r>
        <w:rPr>
          <w:rFonts w:hint="eastAsia"/>
          <w:lang w:eastAsia="zh-CN"/>
        </w:rPr>
        <w:t>或在广东省公共资源交易平台（交易系统）</w:t>
      </w:r>
      <w:r>
        <w:rPr>
          <w:rFonts w:hint="eastAsia"/>
          <w:lang w:val="en-US" w:eastAsia="zh-CN"/>
        </w:rPr>
        <w:t>-“工程建设交易系统”</w:t>
      </w:r>
      <w:r>
        <w:rPr>
          <w:rFonts w:hint="eastAsia" w:ascii="宋体" w:hAnsi="宋体"/>
        </w:rPr>
        <w:t>下载答疑纪要（补遗书），招标人不再另行通知。投标人因自身原因未能获取答疑资料造成的后果，由投标人自行承担。</w:t>
      </w:r>
    </w:p>
    <w:p w14:paraId="4697D105">
      <w:pPr>
        <w:pStyle w:val="2"/>
        <w:rPr>
          <w:rFonts w:hint="eastAsia"/>
        </w:rPr>
      </w:pPr>
      <w:r>
        <w:rPr>
          <w:rFonts w:hint="eastAsia"/>
        </w:rPr>
        <w:t>1.11 分包</w:t>
      </w:r>
    </w:p>
    <w:p w14:paraId="6E4358FF">
      <w:pPr>
        <w:spacing w:line="360" w:lineRule="auto"/>
        <w:ind w:firstLine="420" w:firstLineChars="200"/>
        <w:rPr>
          <w:rFonts w:hint="eastAsia" w:ascii="宋体" w:hAnsi="宋体"/>
          <w:b/>
          <w:szCs w:val="21"/>
        </w:rPr>
      </w:pPr>
      <w:r>
        <w:rPr>
          <w:rFonts w:hint="eastAsia" w:ascii="宋体" w:hAnsi="宋体"/>
          <w:szCs w:val="21"/>
        </w:rPr>
        <w:t>投标人拟在中标后将中标项目的部分非主体、非关键性工作进行分包的，应符合投标人须知前附表规定的分包内容、分包金额和接受分包的第三人资质要求等限制性条件。中标人不得向他人转让中标项目，接受分包的人不得再次分包。中标人应当就分包项目向招标人负责，接受分包的人就分包项目承担连带责任。</w:t>
      </w:r>
      <w:r>
        <w:rPr>
          <w:rFonts w:hint="eastAsia" w:ascii="宋体" w:hAnsi="宋体"/>
          <w:b/>
          <w:szCs w:val="21"/>
        </w:rPr>
        <w:t>（本项目不允许分包）</w:t>
      </w:r>
    </w:p>
    <w:p w14:paraId="2E5FD0B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如本项目在实施过程中确实需要劳务分包，鼓励分包给中山市本地具备施工劳务资质的企业。</w:t>
      </w:r>
    </w:p>
    <w:p w14:paraId="38AEFD1A">
      <w:pPr>
        <w:pStyle w:val="2"/>
        <w:rPr>
          <w:rFonts w:hint="eastAsia"/>
        </w:rPr>
      </w:pPr>
      <w:r>
        <w:rPr>
          <w:rFonts w:hint="eastAsia"/>
        </w:rPr>
        <w:t>1.12 偏离</w:t>
      </w:r>
    </w:p>
    <w:p w14:paraId="68C6794F">
      <w:pPr>
        <w:spacing w:line="360" w:lineRule="auto"/>
        <w:ind w:firstLine="420" w:firstLineChars="200"/>
        <w:rPr>
          <w:rFonts w:hint="eastAsia" w:ascii="宋体" w:hAnsi="宋体"/>
          <w:szCs w:val="21"/>
        </w:rPr>
      </w:pPr>
      <w:r>
        <w:rPr>
          <w:rFonts w:hint="eastAsia" w:ascii="宋体" w:hAnsi="宋体"/>
          <w:szCs w:val="21"/>
        </w:rPr>
        <w:t>投标人须知前附表允许投标文件偏离招标文件某些要求的，偏离应当符合招标文件规定的偏离范围和幅度。具体要求在第七章详细表述。</w:t>
      </w:r>
      <w:r>
        <w:rPr>
          <w:rFonts w:hint="eastAsia" w:ascii="宋体" w:hAnsi="宋体"/>
          <w:b/>
          <w:szCs w:val="21"/>
        </w:rPr>
        <w:t>（本项目不允许偏离）</w:t>
      </w:r>
    </w:p>
    <w:p w14:paraId="31864A32">
      <w:pPr>
        <w:pStyle w:val="5"/>
        <w:rPr>
          <w:rFonts w:hint="eastAsia"/>
        </w:rPr>
      </w:pPr>
      <w:bookmarkStart w:id="6" w:name="_Toc184635072"/>
      <w:r>
        <w:rPr>
          <w:rFonts w:hint="eastAsia"/>
        </w:rPr>
        <w:t>2．招标文件</w:t>
      </w:r>
      <w:bookmarkEnd w:id="6"/>
    </w:p>
    <w:p w14:paraId="5B14CBDB">
      <w:pPr>
        <w:pStyle w:val="2"/>
        <w:rPr>
          <w:rFonts w:hint="eastAsia"/>
        </w:rPr>
      </w:pPr>
      <w:r>
        <w:rPr>
          <w:rFonts w:hint="eastAsia"/>
        </w:rPr>
        <w:t>2.1 招标文件的组成</w:t>
      </w:r>
    </w:p>
    <w:p w14:paraId="7A933482">
      <w:pPr>
        <w:spacing w:line="360" w:lineRule="auto"/>
        <w:ind w:firstLine="420" w:firstLineChars="200"/>
        <w:rPr>
          <w:rFonts w:hint="eastAsia" w:ascii="宋体" w:hAnsi="宋体"/>
          <w:szCs w:val="21"/>
        </w:rPr>
      </w:pPr>
      <w:r>
        <w:rPr>
          <w:rFonts w:hint="eastAsia" w:ascii="宋体" w:hAnsi="宋体"/>
          <w:szCs w:val="21"/>
        </w:rPr>
        <w:t>本招标文件包括：</w:t>
      </w:r>
    </w:p>
    <w:p w14:paraId="0C9FC427">
      <w:pPr>
        <w:spacing w:line="360" w:lineRule="auto"/>
        <w:ind w:firstLine="420" w:firstLineChars="200"/>
        <w:rPr>
          <w:rFonts w:hint="eastAsia" w:ascii="宋体" w:hAnsi="宋体"/>
          <w:szCs w:val="21"/>
        </w:rPr>
      </w:pPr>
      <w:r>
        <w:rPr>
          <w:rFonts w:hint="eastAsia" w:ascii="宋体" w:hAnsi="宋体"/>
          <w:szCs w:val="21"/>
        </w:rPr>
        <w:t xml:space="preserve">(1）招标公告（或投标邀请书）; </w:t>
      </w:r>
    </w:p>
    <w:p w14:paraId="7DEF40C8">
      <w:pPr>
        <w:spacing w:line="360" w:lineRule="auto"/>
        <w:ind w:firstLine="420" w:firstLineChars="200"/>
        <w:rPr>
          <w:rFonts w:hint="eastAsia" w:ascii="宋体" w:hAnsi="宋体"/>
          <w:szCs w:val="21"/>
        </w:rPr>
      </w:pPr>
      <w:r>
        <w:rPr>
          <w:rFonts w:hint="eastAsia" w:ascii="宋体" w:hAnsi="宋体"/>
          <w:szCs w:val="21"/>
        </w:rPr>
        <w:t>(2）投标人须知；</w:t>
      </w:r>
    </w:p>
    <w:p w14:paraId="72FD1CB5">
      <w:pPr>
        <w:spacing w:line="360" w:lineRule="auto"/>
        <w:ind w:firstLine="420" w:firstLineChars="200"/>
        <w:rPr>
          <w:rFonts w:hint="eastAsia" w:ascii="宋体" w:hAnsi="宋体"/>
          <w:szCs w:val="21"/>
        </w:rPr>
      </w:pPr>
      <w:r>
        <w:rPr>
          <w:rFonts w:hint="eastAsia" w:ascii="宋体" w:hAnsi="宋体"/>
          <w:szCs w:val="21"/>
        </w:rPr>
        <w:t>(3）评标办法；</w:t>
      </w:r>
    </w:p>
    <w:p w14:paraId="13BAE679">
      <w:pPr>
        <w:spacing w:line="360" w:lineRule="auto"/>
        <w:ind w:firstLine="420" w:firstLineChars="200"/>
        <w:rPr>
          <w:rFonts w:hint="eastAsia" w:ascii="宋体" w:hAnsi="宋体"/>
          <w:szCs w:val="21"/>
        </w:rPr>
      </w:pPr>
      <w:r>
        <w:rPr>
          <w:rFonts w:hint="eastAsia" w:ascii="宋体" w:hAnsi="宋体"/>
          <w:szCs w:val="21"/>
        </w:rPr>
        <w:t>(4）合同条款及格式；</w:t>
      </w:r>
    </w:p>
    <w:p w14:paraId="356F3367">
      <w:pPr>
        <w:spacing w:line="360" w:lineRule="auto"/>
        <w:ind w:firstLine="420" w:firstLineChars="200"/>
        <w:rPr>
          <w:rFonts w:hint="eastAsia" w:ascii="宋体" w:hAnsi="宋体"/>
          <w:szCs w:val="21"/>
        </w:rPr>
      </w:pPr>
      <w:r>
        <w:rPr>
          <w:rFonts w:hint="eastAsia" w:ascii="宋体" w:hAnsi="宋体"/>
          <w:szCs w:val="21"/>
        </w:rPr>
        <w:t>(5）工程量清单</w:t>
      </w:r>
    </w:p>
    <w:p w14:paraId="3822EE3E">
      <w:pPr>
        <w:spacing w:line="360" w:lineRule="auto"/>
        <w:ind w:firstLine="420" w:firstLineChars="200"/>
        <w:rPr>
          <w:rFonts w:hint="eastAsia" w:ascii="宋体" w:hAnsi="宋体"/>
          <w:szCs w:val="21"/>
        </w:rPr>
      </w:pPr>
      <w:r>
        <w:rPr>
          <w:rFonts w:hint="eastAsia" w:ascii="宋体" w:hAnsi="宋体"/>
          <w:szCs w:val="21"/>
        </w:rPr>
        <w:t>按第五章“工程量清单及工程量清单计价”的有关要求编制的工程量清单及招标控制价（或不限于</w:t>
      </w:r>
      <w:r>
        <w:rPr>
          <w:rFonts w:hint="eastAsia" w:ascii="仿宋_GB2312" w:hAnsi="宋体"/>
          <w:szCs w:val="32"/>
        </w:rPr>
        <w:t>招标控制价总价、招标控制价中的分部分项工程量清单计价合计、措施项目清单计价合计、其他项目清单计价合计、税金和规费合计以及投标控制价的上限值</w:t>
      </w:r>
      <w:r>
        <w:rPr>
          <w:rFonts w:hint="eastAsia" w:ascii="宋体" w:hAnsi="宋体"/>
          <w:szCs w:val="21"/>
        </w:rPr>
        <w:t>）；</w:t>
      </w:r>
    </w:p>
    <w:p w14:paraId="7E34B3CB">
      <w:pPr>
        <w:spacing w:line="360" w:lineRule="auto"/>
        <w:ind w:firstLine="420" w:firstLineChars="200"/>
        <w:rPr>
          <w:rFonts w:hint="eastAsia" w:ascii="宋体" w:hAnsi="宋体"/>
          <w:szCs w:val="21"/>
        </w:rPr>
      </w:pPr>
      <w:r>
        <w:rPr>
          <w:rFonts w:hint="eastAsia" w:ascii="宋体" w:hAnsi="宋体"/>
          <w:szCs w:val="21"/>
        </w:rPr>
        <w:t>(6）图纸（另附）；</w:t>
      </w:r>
    </w:p>
    <w:p w14:paraId="37975226">
      <w:pPr>
        <w:spacing w:line="360" w:lineRule="auto"/>
        <w:ind w:firstLine="420" w:firstLineChars="200"/>
        <w:rPr>
          <w:rFonts w:hint="eastAsia" w:ascii="宋体" w:hAnsi="宋体"/>
          <w:szCs w:val="21"/>
        </w:rPr>
      </w:pPr>
      <w:r>
        <w:rPr>
          <w:rFonts w:hint="eastAsia" w:ascii="宋体" w:hAnsi="宋体"/>
          <w:szCs w:val="21"/>
        </w:rPr>
        <w:t>(7）技术标准和要求；</w:t>
      </w:r>
    </w:p>
    <w:p w14:paraId="12509AB2">
      <w:pPr>
        <w:spacing w:line="360" w:lineRule="auto"/>
        <w:ind w:firstLine="420" w:firstLineChars="200"/>
        <w:rPr>
          <w:rFonts w:hint="eastAsia" w:ascii="宋体" w:hAnsi="宋体"/>
          <w:szCs w:val="21"/>
        </w:rPr>
      </w:pPr>
      <w:r>
        <w:rPr>
          <w:rFonts w:hint="eastAsia" w:ascii="宋体" w:hAnsi="宋体"/>
          <w:szCs w:val="21"/>
        </w:rPr>
        <w:t>(8）投标文件格式；</w:t>
      </w:r>
    </w:p>
    <w:p w14:paraId="4D8E7B70">
      <w:pPr>
        <w:spacing w:line="360" w:lineRule="auto"/>
        <w:ind w:firstLine="420" w:firstLineChars="200"/>
        <w:rPr>
          <w:rFonts w:hint="eastAsia" w:ascii="宋体" w:hAnsi="宋体"/>
          <w:szCs w:val="21"/>
        </w:rPr>
      </w:pPr>
      <w:r>
        <w:rPr>
          <w:rFonts w:hint="eastAsia" w:ascii="宋体" w:hAnsi="宋体"/>
          <w:szCs w:val="21"/>
        </w:rPr>
        <w:t>(9）投标人须知前附表规定的其他材料。</w:t>
      </w:r>
    </w:p>
    <w:p w14:paraId="5B96B663">
      <w:pPr>
        <w:spacing w:line="360" w:lineRule="auto"/>
        <w:ind w:firstLine="420" w:firstLineChars="200"/>
        <w:rPr>
          <w:rFonts w:hint="eastAsia" w:ascii="宋体" w:hAnsi="宋体"/>
          <w:color w:val="auto"/>
          <w:szCs w:val="21"/>
        </w:rPr>
      </w:pPr>
      <w:r>
        <w:rPr>
          <w:rFonts w:hint="eastAsia" w:ascii="宋体" w:hAnsi="宋体"/>
          <w:szCs w:val="21"/>
        </w:rPr>
        <w:t>（10）需要补充的其他内容:</w:t>
      </w:r>
    </w:p>
    <w:p w14:paraId="45E2914B">
      <w:pPr>
        <w:spacing w:line="360" w:lineRule="auto"/>
        <w:ind w:firstLine="420" w:firstLineChars="200"/>
        <w:rPr>
          <w:rFonts w:hint="eastAsia" w:ascii="宋体" w:hAnsi="宋体"/>
          <w:szCs w:val="21"/>
        </w:rPr>
      </w:pPr>
      <w:r>
        <w:rPr>
          <w:rFonts w:hint="eastAsia" w:ascii="宋体" w:hAnsi="宋体"/>
          <w:color w:val="auto"/>
          <w:szCs w:val="21"/>
        </w:rPr>
        <w:t>《项目管理机构主要人员配置表》、《</w:t>
      </w:r>
      <w:r>
        <w:rPr>
          <w:rFonts w:hint="eastAsia" w:ascii="宋体" w:hAnsi="宋体"/>
          <w:bCs/>
          <w:color w:val="auto"/>
          <w:szCs w:val="21"/>
        </w:rPr>
        <w:t>主要机械设备一览表》</w:t>
      </w:r>
      <w:r>
        <w:rPr>
          <w:rFonts w:hint="eastAsia" w:ascii="宋体" w:hAnsi="宋体"/>
          <w:bCs/>
          <w:color w:val="auto"/>
          <w:szCs w:val="21"/>
          <w:highlight w:val="none"/>
        </w:rPr>
        <w:t>（</w:t>
      </w:r>
      <w:r>
        <w:rPr>
          <w:rFonts w:hint="eastAsia" w:ascii="宋体" w:hAnsi="宋体"/>
          <w:bCs/>
          <w:color w:val="auto"/>
          <w:szCs w:val="21"/>
          <w:highlight w:val="none"/>
          <w:lang w:val="en-US" w:eastAsia="zh-CN"/>
        </w:rPr>
        <w:t>本项目不作评审</w:t>
      </w:r>
      <w:r>
        <w:rPr>
          <w:rFonts w:hint="eastAsia" w:ascii="宋体" w:hAnsi="宋体"/>
          <w:bCs/>
          <w:color w:val="auto"/>
          <w:szCs w:val="21"/>
          <w:highlight w:val="none"/>
        </w:rPr>
        <w:t>）</w:t>
      </w:r>
      <w:r>
        <w:rPr>
          <w:rFonts w:hint="eastAsia" w:ascii="宋体" w:hAnsi="宋体"/>
          <w:bCs/>
          <w:color w:val="auto"/>
          <w:szCs w:val="21"/>
        </w:rPr>
        <w:t>、</w:t>
      </w:r>
      <w:r>
        <w:rPr>
          <w:rFonts w:hint="eastAsia" w:ascii="宋体" w:hAnsi="宋体"/>
          <w:color w:val="auto"/>
          <w:szCs w:val="21"/>
        </w:rPr>
        <w:t>否决</w:t>
      </w:r>
      <w:r>
        <w:rPr>
          <w:rFonts w:hint="eastAsia" w:ascii="宋体" w:hAnsi="宋体"/>
          <w:szCs w:val="21"/>
        </w:rPr>
        <w:t>性条款、投标控制价上限值、安全防护、文明施工措施费。</w:t>
      </w:r>
    </w:p>
    <w:p w14:paraId="0DD4BA03">
      <w:pPr>
        <w:spacing w:line="360" w:lineRule="auto"/>
        <w:ind w:firstLine="420" w:firstLineChars="200"/>
        <w:rPr>
          <w:rFonts w:hint="eastAsia" w:ascii="宋体" w:hAnsi="宋体"/>
          <w:szCs w:val="21"/>
        </w:rPr>
      </w:pPr>
      <w:r>
        <w:rPr>
          <w:rFonts w:hint="eastAsia" w:ascii="宋体" w:hAnsi="宋体"/>
          <w:szCs w:val="21"/>
        </w:rPr>
        <w:t>根据本章第1.10 款、第2.2 款和第2.3 款对招标文件所作的澄清、修改，构成招标文件的组成部分。</w:t>
      </w:r>
    </w:p>
    <w:p w14:paraId="7F49679A">
      <w:pPr>
        <w:pStyle w:val="2"/>
        <w:rPr>
          <w:rFonts w:hint="eastAsia"/>
        </w:rPr>
      </w:pPr>
      <w:r>
        <w:rPr>
          <w:rFonts w:hint="eastAsia"/>
        </w:rPr>
        <w:t>2.2 招标文件的澄清</w:t>
      </w:r>
    </w:p>
    <w:p w14:paraId="063C1B9B">
      <w:pPr>
        <w:spacing w:line="360" w:lineRule="auto"/>
        <w:ind w:firstLine="420" w:firstLineChars="200"/>
        <w:rPr>
          <w:rFonts w:hint="eastAsia" w:ascii="宋体" w:hAnsi="宋体"/>
          <w:szCs w:val="21"/>
        </w:rPr>
      </w:pPr>
      <w:r>
        <w:rPr>
          <w:rFonts w:hint="eastAsia" w:ascii="宋体" w:hAnsi="宋体"/>
          <w:szCs w:val="21"/>
        </w:rPr>
        <w:t>2.2.1 投标人应仔细阅读和检查招标文件的全部内容。如发现缺页或附件不全，应及时向招标人提出，以便补齐。如有疑问，应在投标人须知前附表规定的时间前以网络形式，要求招标人对招标文件予以澄清。</w:t>
      </w:r>
    </w:p>
    <w:p w14:paraId="1BF31F79">
      <w:pPr>
        <w:spacing w:line="360" w:lineRule="auto"/>
        <w:ind w:firstLine="420" w:firstLineChars="200"/>
        <w:rPr>
          <w:rFonts w:hint="eastAsia"/>
          <w:szCs w:val="21"/>
        </w:rPr>
      </w:pPr>
      <w:r>
        <w:rPr>
          <w:rFonts w:hint="eastAsia" w:ascii="宋体" w:hAnsi="宋体"/>
          <w:szCs w:val="21"/>
        </w:rPr>
        <w:t>2.2.2</w:t>
      </w:r>
      <w:r>
        <w:rPr>
          <w:rFonts w:hint="eastAsia"/>
          <w:szCs w:val="21"/>
        </w:rPr>
        <w:t xml:space="preserve"> 招标文件的澄清</w:t>
      </w:r>
      <w:r>
        <w:rPr>
          <w:rFonts w:hint="eastAsia"/>
        </w:rPr>
        <w:t>的内容可能影响投标文件编制的，</w:t>
      </w:r>
      <w:r>
        <w:rPr>
          <w:rFonts w:hint="eastAsia"/>
          <w:szCs w:val="21"/>
        </w:rPr>
        <w:t>将在投标人须知前附表规定的投标截止时间15天前在</w:t>
      </w:r>
      <w:r>
        <w:rPr>
          <w:rFonts w:hint="eastAsia" w:ascii="宋体" w:hAnsi="宋体"/>
          <w:color w:val="auto"/>
          <w:szCs w:val="21"/>
        </w:rPr>
        <w:t>中山市公共资源交易</w:t>
      </w:r>
      <w:r>
        <w:rPr>
          <w:rFonts w:hint="eastAsia" w:ascii="宋体" w:hAnsi="宋体"/>
          <w:color w:val="auto"/>
          <w:szCs w:val="21"/>
          <w:lang w:val="en-US" w:eastAsia="zh-CN"/>
        </w:rPr>
        <w:t>平台（公共服务系统）</w:t>
      </w:r>
      <w:r>
        <w:rPr>
          <w:rFonts w:hint="eastAsia"/>
          <w:szCs w:val="21"/>
        </w:rPr>
        <w:t>上发布发给所有投标人，但不指明澄清问题的来源。如果澄清发出的时间距投标</w:t>
      </w:r>
      <w:r>
        <w:rPr>
          <w:rFonts w:hint="eastAsia"/>
          <w:szCs w:val="21"/>
          <w:lang w:eastAsia="zh-CN"/>
        </w:rPr>
        <w:t>截止</w:t>
      </w:r>
      <w:r>
        <w:rPr>
          <w:rFonts w:hint="eastAsia"/>
          <w:szCs w:val="21"/>
        </w:rPr>
        <w:t>时间不足15天，相应延长投标截止时间。</w:t>
      </w:r>
    </w:p>
    <w:p w14:paraId="34D3C779">
      <w:pPr>
        <w:spacing w:line="360" w:lineRule="auto"/>
        <w:ind w:firstLine="420" w:firstLineChars="200"/>
        <w:rPr>
          <w:rFonts w:hint="eastAsia" w:ascii="宋体" w:hAnsi="宋体"/>
          <w:szCs w:val="21"/>
        </w:rPr>
      </w:pPr>
      <w:r>
        <w:rPr>
          <w:rFonts w:hint="eastAsia" w:ascii="宋体" w:hAnsi="宋体"/>
          <w:szCs w:val="21"/>
        </w:rPr>
        <w:t>2.2.3</w:t>
      </w:r>
      <w:r>
        <w:rPr>
          <w:rFonts w:hint="eastAsia" w:ascii="宋体" w:hAnsi="宋体"/>
          <w:szCs w:val="21"/>
          <w:lang w:val="en-US" w:eastAsia="zh-CN"/>
        </w:rPr>
        <w:t xml:space="preserve"> </w:t>
      </w:r>
      <w:r>
        <w:rPr>
          <w:rFonts w:hint="eastAsia"/>
        </w:rPr>
        <w:t>投标人应随时关注</w:t>
      </w:r>
      <w:r>
        <w:rPr>
          <w:rFonts w:hint="eastAsia" w:ascii="宋体" w:hAnsi="宋体"/>
          <w:color w:val="auto"/>
          <w:szCs w:val="21"/>
        </w:rPr>
        <w:t>中山市公共资源交易</w:t>
      </w:r>
      <w:r>
        <w:rPr>
          <w:rFonts w:hint="eastAsia" w:ascii="宋体" w:hAnsi="宋体"/>
          <w:color w:val="auto"/>
          <w:szCs w:val="21"/>
          <w:lang w:val="en-US" w:eastAsia="zh-CN"/>
        </w:rPr>
        <w:t>平台（公共服务系统）</w:t>
      </w:r>
      <w:r>
        <w:rPr>
          <w:rFonts w:hint="eastAsia"/>
        </w:rPr>
        <w:t>，自行在</w:t>
      </w:r>
      <w:r>
        <w:rPr>
          <w:rFonts w:hint="eastAsia" w:ascii="宋体" w:hAnsi="宋体"/>
          <w:color w:val="auto"/>
          <w:szCs w:val="21"/>
        </w:rPr>
        <w:t>中山市公共资源交易</w:t>
      </w:r>
      <w:r>
        <w:rPr>
          <w:rFonts w:hint="eastAsia" w:ascii="宋体" w:hAnsi="宋体"/>
          <w:color w:val="auto"/>
          <w:szCs w:val="21"/>
          <w:lang w:val="en-US" w:eastAsia="zh-CN"/>
        </w:rPr>
        <w:t>平台（公共服务系统）</w:t>
      </w:r>
      <w:r>
        <w:rPr>
          <w:rFonts w:hint="eastAsia"/>
        </w:rPr>
        <w:t>“建设工程-答疑、澄清”栏目</w:t>
      </w:r>
      <w:r>
        <w:rPr>
          <w:rFonts w:hint="eastAsia"/>
          <w:lang w:eastAsia="zh-CN"/>
        </w:rPr>
        <w:t>或在广东省公共资源交易平台（交易系统）</w:t>
      </w:r>
      <w:r>
        <w:rPr>
          <w:rFonts w:hint="eastAsia"/>
          <w:lang w:val="en-US" w:eastAsia="zh-CN"/>
        </w:rPr>
        <w:t>-“工程建设交易系统”</w:t>
      </w:r>
      <w:r>
        <w:rPr>
          <w:rFonts w:hint="eastAsia"/>
        </w:rPr>
        <w:t>下载答疑纪要（补遗书），招标人不再另行通知。投标人因自身原因未能获取答疑资料造成的后果，由投标人自行承担。</w:t>
      </w:r>
    </w:p>
    <w:p w14:paraId="56EAD121">
      <w:pPr>
        <w:pStyle w:val="2"/>
        <w:rPr>
          <w:rFonts w:hint="eastAsia" w:ascii="宋体" w:hAnsi="宋体"/>
        </w:rPr>
      </w:pPr>
      <w:r>
        <w:rPr>
          <w:rFonts w:hint="eastAsia" w:ascii="宋体" w:hAnsi="宋体"/>
        </w:rPr>
        <w:t>2.3 招标文件的修改</w:t>
      </w:r>
    </w:p>
    <w:p w14:paraId="2DFC976A">
      <w:pPr>
        <w:spacing w:line="360" w:lineRule="auto"/>
        <w:ind w:firstLine="420" w:firstLineChars="200"/>
        <w:rPr>
          <w:rFonts w:hint="eastAsia"/>
          <w:szCs w:val="21"/>
        </w:rPr>
      </w:pPr>
      <w:r>
        <w:rPr>
          <w:rFonts w:hint="eastAsia" w:ascii="宋体" w:hAnsi="宋体"/>
          <w:szCs w:val="21"/>
        </w:rPr>
        <w:t>2.3.1</w:t>
      </w:r>
      <w:r>
        <w:rPr>
          <w:rFonts w:hint="eastAsia"/>
          <w:szCs w:val="21"/>
        </w:rPr>
        <w:t xml:space="preserve"> 在投标截止时间15天前，招标人可以通过网络形式（电子招标投标）修改招标文件，并通知所有投标人。</w:t>
      </w:r>
      <w:r>
        <w:rPr>
          <w:rFonts w:hint="eastAsia"/>
        </w:rPr>
        <w:t>修改的内容可能影响投标文件编制的，招标人应当在投标截止时间至少15日前，以网络公告形式通知所有获取招标文件的潜在投标人，</w:t>
      </w:r>
      <w:r>
        <w:rPr>
          <w:rFonts w:hint="eastAsia"/>
          <w:szCs w:val="21"/>
        </w:rPr>
        <w:t>不足15天的，</w:t>
      </w:r>
      <w:r>
        <w:rPr>
          <w:rFonts w:hint="eastAsia"/>
        </w:rPr>
        <w:t>招标人</w:t>
      </w:r>
      <w:r>
        <w:rPr>
          <w:rFonts w:hint="eastAsia"/>
          <w:szCs w:val="21"/>
        </w:rPr>
        <w:t>相应延长投标截止时间。</w:t>
      </w:r>
    </w:p>
    <w:p w14:paraId="09CE93A1">
      <w:pPr>
        <w:spacing w:line="360" w:lineRule="auto"/>
        <w:ind w:firstLine="420" w:firstLineChars="200"/>
        <w:rPr>
          <w:rFonts w:hint="eastAsia" w:ascii="宋体" w:hAnsi="宋体"/>
          <w:szCs w:val="21"/>
        </w:rPr>
      </w:pPr>
      <w:r>
        <w:rPr>
          <w:rFonts w:hint="eastAsia" w:ascii="宋体" w:hAnsi="宋体"/>
          <w:szCs w:val="21"/>
        </w:rPr>
        <w:t>2.3.2</w:t>
      </w:r>
      <w:r>
        <w:rPr>
          <w:rFonts w:hint="eastAsia" w:ascii="宋体" w:hAnsi="宋体"/>
          <w:szCs w:val="21"/>
          <w:lang w:val="en-US" w:eastAsia="zh-CN"/>
        </w:rPr>
        <w:t xml:space="preserve"> </w:t>
      </w:r>
      <w:r>
        <w:rPr>
          <w:rFonts w:hint="eastAsia"/>
        </w:rPr>
        <w:t>投标人应随时关注</w:t>
      </w:r>
      <w:r>
        <w:rPr>
          <w:rFonts w:hint="eastAsia" w:ascii="宋体" w:hAnsi="宋体"/>
          <w:color w:val="auto"/>
          <w:szCs w:val="21"/>
        </w:rPr>
        <w:t>中山市公共资源交易</w:t>
      </w:r>
      <w:r>
        <w:rPr>
          <w:rFonts w:hint="eastAsia" w:ascii="宋体" w:hAnsi="宋体"/>
          <w:color w:val="auto"/>
          <w:szCs w:val="21"/>
          <w:lang w:val="en-US" w:eastAsia="zh-CN"/>
        </w:rPr>
        <w:t>平台（公共服务系统）</w:t>
      </w:r>
      <w:r>
        <w:rPr>
          <w:rFonts w:hint="eastAsia"/>
        </w:rPr>
        <w:t>，自行在</w:t>
      </w:r>
      <w:r>
        <w:rPr>
          <w:rFonts w:hint="eastAsia" w:ascii="宋体" w:hAnsi="宋体"/>
          <w:color w:val="auto"/>
          <w:szCs w:val="21"/>
        </w:rPr>
        <w:t>中山市公共资源交易</w:t>
      </w:r>
      <w:r>
        <w:rPr>
          <w:rFonts w:hint="eastAsia" w:ascii="宋体" w:hAnsi="宋体"/>
          <w:color w:val="auto"/>
          <w:szCs w:val="21"/>
          <w:lang w:val="en-US" w:eastAsia="zh-CN"/>
        </w:rPr>
        <w:t>平台（公共服务系统）</w:t>
      </w:r>
      <w:r>
        <w:rPr>
          <w:rFonts w:hint="eastAsia"/>
        </w:rPr>
        <w:t>“建设工程-答疑、澄清”栏目</w:t>
      </w:r>
      <w:r>
        <w:rPr>
          <w:rFonts w:hint="eastAsia"/>
          <w:lang w:eastAsia="zh-CN"/>
        </w:rPr>
        <w:t>或在广东省公共资源交易平台（交易系统）</w:t>
      </w:r>
      <w:r>
        <w:rPr>
          <w:rFonts w:hint="eastAsia"/>
          <w:lang w:val="en-US" w:eastAsia="zh-CN"/>
        </w:rPr>
        <w:t>-“工程建设交易系统”</w:t>
      </w:r>
      <w:r>
        <w:rPr>
          <w:rFonts w:hint="eastAsia"/>
        </w:rPr>
        <w:t>下载答疑纪要（补遗书），招标人不再另行通知。投标人因自身原因未能获取答疑资料造成的后果，由投标人自行承担。</w:t>
      </w:r>
    </w:p>
    <w:p w14:paraId="08D692D6">
      <w:pPr>
        <w:pStyle w:val="5"/>
        <w:rPr>
          <w:rFonts w:hint="eastAsia"/>
        </w:rPr>
      </w:pPr>
      <w:bookmarkStart w:id="7" w:name="_Toc184635073"/>
      <w:r>
        <w:rPr>
          <w:rFonts w:hint="eastAsia"/>
        </w:rPr>
        <w:t>3．投标文件</w:t>
      </w:r>
      <w:bookmarkEnd w:id="7"/>
    </w:p>
    <w:p w14:paraId="42D26317">
      <w:pPr>
        <w:pStyle w:val="2"/>
        <w:rPr>
          <w:rFonts w:hint="eastAsia"/>
        </w:rPr>
      </w:pPr>
      <w:r>
        <w:rPr>
          <w:rFonts w:hint="eastAsia"/>
        </w:rPr>
        <w:t>3.1 投标文件的组成</w:t>
      </w:r>
    </w:p>
    <w:p w14:paraId="546D8118">
      <w:pPr>
        <w:spacing w:line="360" w:lineRule="auto"/>
        <w:ind w:firstLine="420" w:firstLineChars="200"/>
        <w:rPr>
          <w:rFonts w:hint="default"/>
          <w:lang w:val="en-US" w:eastAsia="zh-CN"/>
        </w:rPr>
      </w:pPr>
      <w:r>
        <w:rPr>
          <w:rFonts w:hint="eastAsia" w:ascii="宋体" w:hAnsi="宋体"/>
          <w:szCs w:val="21"/>
        </w:rPr>
        <w:t>3.1.1 投标文件应包括下列内容：</w:t>
      </w:r>
      <w:r>
        <w:rPr>
          <w:rFonts w:hint="eastAsia" w:ascii="宋体" w:hAnsi="宋体"/>
          <w:bCs/>
          <w:szCs w:val="21"/>
        </w:rPr>
        <w:t>（</w:t>
      </w:r>
      <w:r>
        <w:rPr>
          <w:rFonts w:hint="eastAsia" w:ascii="宋体" w:hAnsi="宋体"/>
          <w:szCs w:val="21"/>
        </w:rPr>
        <w:t>须按招标文件要求编写并打印，按招标文件要求签字盖章扫描后上传。</w:t>
      </w:r>
      <w:r>
        <w:rPr>
          <w:rFonts w:hint="eastAsia" w:ascii="宋体" w:hAnsi="宋体"/>
          <w:bCs/>
          <w:szCs w:val="21"/>
        </w:rPr>
        <w:t>）</w:t>
      </w:r>
    </w:p>
    <w:p w14:paraId="299F802B">
      <w:pPr>
        <w:spacing w:line="360" w:lineRule="auto"/>
        <w:ind w:firstLine="420" w:firstLineChars="200"/>
        <w:rPr>
          <w:rFonts w:hint="eastAsia" w:ascii="宋体" w:hAnsi="宋体"/>
          <w:szCs w:val="21"/>
        </w:rPr>
      </w:pPr>
      <w:r>
        <w:rPr>
          <w:rFonts w:hint="eastAsia" w:ascii="宋体" w:hAnsi="宋体"/>
          <w:szCs w:val="21"/>
        </w:rPr>
        <w:t>3.1.1.</w:t>
      </w:r>
      <w:r>
        <w:rPr>
          <w:rFonts w:hint="eastAsia" w:ascii="宋体" w:hAnsi="宋体"/>
          <w:szCs w:val="21"/>
          <w:lang w:val="en-US" w:eastAsia="zh-CN"/>
        </w:rPr>
        <w:t>1</w:t>
      </w:r>
      <w:r>
        <w:rPr>
          <w:rFonts w:hint="eastAsia" w:ascii="宋体" w:hAnsi="宋体"/>
          <w:szCs w:val="21"/>
        </w:rPr>
        <w:t xml:space="preserve"> 资格标函</w:t>
      </w:r>
    </w:p>
    <w:p w14:paraId="0F7154E1">
      <w:pPr>
        <w:spacing w:line="360" w:lineRule="auto"/>
        <w:ind w:firstLine="420" w:firstLineChars="200"/>
        <w:rPr>
          <w:rFonts w:hint="eastAsia" w:ascii="宋体" w:hAnsi="宋体"/>
          <w:szCs w:val="21"/>
        </w:rPr>
      </w:pPr>
      <w:r>
        <w:rPr>
          <w:rFonts w:hint="eastAsia" w:ascii="宋体" w:hAnsi="宋体"/>
          <w:szCs w:val="21"/>
        </w:rPr>
        <w:t>（1）封面；</w:t>
      </w:r>
    </w:p>
    <w:p w14:paraId="7F8F53A6">
      <w:pPr>
        <w:spacing w:line="360" w:lineRule="auto"/>
        <w:ind w:firstLine="420" w:firstLineChars="200"/>
        <w:rPr>
          <w:rFonts w:hint="eastAsia" w:ascii="宋体" w:hAnsi="宋体"/>
          <w:szCs w:val="21"/>
        </w:rPr>
      </w:pPr>
      <w:r>
        <w:rPr>
          <w:rFonts w:hint="eastAsia" w:ascii="宋体" w:hAnsi="宋体"/>
          <w:szCs w:val="21"/>
        </w:rPr>
        <w:t>（2）目录；</w:t>
      </w:r>
    </w:p>
    <w:p w14:paraId="461482C0">
      <w:pPr>
        <w:spacing w:line="360" w:lineRule="auto"/>
        <w:ind w:firstLine="420" w:firstLineChars="200"/>
        <w:rPr>
          <w:rFonts w:hint="eastAsia" w:ascii="宋体" w:hAnsi="宋体"/>
          <w:szCs w:val="21"/>
        </w:rPr>
      </w:pPr>
      <w:r>
        <w:rPr>
          <w:rFonts w:hint="eastAsia" w:ascii="宋体" w:hAnsi="宋体"/>
          <w:szCs w:val="21"/>
        </w:rPr>
        <w:t>（3）法定代表人身份证及有效法定代表人证明；</w:t>
      </w:r>
    </w:p>
    <w:p w14:paraId="608FE6DA">
      <w:pPr>
        <w:spacing w:line="360" w:lineRule="auto"/>
        <w:ind w:firstLine="420" w:firstLineChars="200"/>
        <w:rPr>
          <w:rFonts w:hint="eastAsia" w:ascii="宋体" w:hAnsi="宋体"/>
          <w:szCs w:val="21"/>
        </w:rPr>
      </w:pPr>
      <w:r>
        <w:rPr>
          <w:rFonts w:hint="eastAsia" w:ascii="宋体" w:hAnsi="宋体"/>
          <w:szCs w:val="21"/>
        </w:rPr>
        <w:t>（4）委托代理人身份证及授权委托书（委托代理人参加投标的提供）；</w:t>
      </w:r>
    </w:p>
    <w:p w14:paraId="41CDA2EC">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5</w:t>
      </w:r>
      <w:r>
        <w:rPr>
          <w:rFonts w:hint="eastAsia" w:ascii="宋体" w:hAnsi="宋体" w:eastAsia="宋体" w:cs="Times New Roman"/>
          <w:szCs w:val="21"/>
          <w:lang w:eastAsia="zh-CN"/>
        </w:rPr>
        <w:t>）</w:t>
      </w:r>
      <w:r>
        <w:rPr>
          <w:rFonts w:hint="eastAsia" w:ascii="宋体" w:hAnsi="宋体" w:eastAsia="宋体" w:cs="Times New Roman"/>
          <w:szCs w:val="21"/>
        </w:rPr>
        <w:t>项目负责人的注册建造师证</w:t>
      </w:r>
      <w:r>
        <w:rPr>
          <w:rFonts w:hint="eastAsia" w:ascii="宋体" w:hAnsi="宋体" w:eastAsia="宋体" w:cs="Times New Roman"/>
          <w:szCs w:val="21"/>
          <w:lang w:eastAsia="zh-CN"/>
        </w:rPr>
        <w:t>；</w:t>
      </w:r>
    </w:p>
    <w:p w14:paraId="512B05A5">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）有效的营业执照；</w:t>
      </w:r>
    </w:p>
    <w:p w14:paraId="7F495F2C">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）资质证书；</w:t>
      </w:r>
    </w:p>
    <w:p w14:paraId="2FFD7548">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）安全生产许可证；</w:t>
      </w:r>
    </w:p>
    <w:p w14:paraId="4F308DE2">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w:t>
      </w:r>
      <w:r>
        <w:rPr>
          <w:rFonts w:hint="eastAsia" w:ascii="宋体" w:hAnsi="宋体" w:cs="Times New Roman"/>
          <w:color w:val="auto"/>
          <w:szCs w:val="21"/>
          <w:lang w:val="en-US" w:eastAsia="zh-CN"/>
        </w:rPr>
        <w:t>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类似工程业绩表</w:t>
      </w:r>
      <w:r>
        <w:rPr>
          <w:rFonts w:hint="eastAsia" w:ascii="宋体" w:hAnsi="宋体" w:eastAsia="宋体" w:cs="Times New Roman"/>
          <w:color w:val="auto"/>
          <w:szCs w:val="21"/>
          <w:lang w:eastAsia="zh-CN"/>
        </w:rPr>
        <w:t>；</w:t>
      </w:r>
    </w:p>
    <w:p w14:paraId="0BC7FC6F">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）投标人须知前附表1.4.1要求的</w:t>
      </w:r>
      <w:r>
        <w:rPr>
          <w:rFonts w:hint="eastAsia" w:ascii="宋体" w:hAnsi="宋体"/>
          <w:szCs w:val="21"/>
          <w:lang w:eastAsia="zh-CN"/>
        </w:rPr>
        <w:t>其他</w:t>
      </w:r>
      <w:r>
        <w:rPr>
          <w:rFonts w:hint="eastAsia" w:ascii="宋体" w:hAnsi="宋体"/>
          <w:szCs w:val="21"/>
        </w:rPr>
        <w:t>资料；</w:t>
      </w:r>
    </w:p>
    <w:p w14:paraId="079C8AD4">
      <w:pPr>
        <w:spacing w:line="360" w:lineRule="auto"/>
        <w:ind w:firstLine="420" w:firstLineChars="200"/>
        <w:rPr>
          <w:rFonts w:hint="eastAsia"/>
        </w:rPr>
      </w:pPr>
      <w:r>
        <w:rPr>
          <w:rFonts w:hint="eastAsia" w:ascii="宋体" w:hAnsi="宋体"/>
          <w:szCs w:val="21"/>
        </w:rPr>
        <w:t>（</w:t>
      </w:r>
      <w:r>
        <w:rPr>
          <w:rFonts w:hint="eastAsia" w:ascii="宋体" w:hAnsi="宋体"/>
          <w:szCs w:val="21"/>
          <w:lang w:val="en-US" w:eastAsia="zh-CN"/>
        </w:rPr>
        <w:t>11</w:t>
      </w:r>
      <w:r>
        <w:rPr>
          <w:rFonts w:hint="eastAsia" w:ascii="宋体" w:hAnsi="宋体"/>
          <w:szCs w:val="21"/>
        </w:rPr>
        <w:t>）其他。</w:t>
      </w:r>
    </w:p>
    <w:p w14:paraId="1685E3A6">
      <w:pPr>
        <w:spacing w:line="360" w:lineRule="auto"/>
        <w:ind w:firstLine="420" w:firstLineChars="200"/>
        <w:rPr>
          <w:rFonts w:hint="eastAsia" w:ascii="宋体" w:hAnsi="宋体"/>
          <w:szCs w:val="21"/>
        </w:rPr>
      </w:pPr>
      <w:r>
        <w:rPr>
          <w:rFonts w:hint="eastAsia" w:ascii="宋体" w:hAnsi="宋体"/>
          <w:bCs/>
          <w:szCs w:val="21"/>
        </w:rPr>
        <w:t>3.1.1.</w:t>
      </w:r>
      <w:r>
        <w:rPr>
          <w:rFonts w:hint="eastAsia" w:ascii="宋体" w:hAnsi="宋体"/>
          <w:bCs/>
          <w:szCs w:val="21"/>
          <w:lang w:val="en-US" w:eastAsia="zh-CN"/>
        </w:rPr>
        <w:t>2</w:t>
      </w:r>
      <w:r>
        <w:rPr>
          <w:rFonts w:hint="eastAsia" w:ascii="宋体" w:hAnsi="宋体"/>
          <w:szCs w:val="21"/>
        </w:rPr>
        <w:t>技术标函</w:t>
      </w:r>
    </w:p>
    <w:p w14:paraId="1E34A404">
      <w:pPr>
        <w:spacing w:line="360" w:lineRule="auto"/>
        <w:ind w:firstLine="420" w:firstLineChars="200"/>
        <w:rPr>
          <w:rFonts w:hint="eastAsia" w:ascii="宋体" w:hAnsi="宋体"/>
          <w:szCs w:val="21"/>
        </w:rPr>
      </w:pPr>
      <w:r>
        <w:rPr>
          <w:rFonts w:hint="eastAsia" w:ascii="宋体" w:hAnsi="宋体"/>
          <w:szCs w:val="21"/>
        </w:rPr>
        <w:t>（1）封面；</w:t>
      </w:r>
    </w:p>
    <w:p w14:paraId="73B03E14">
      <w:pPr>
        <w:spacing w:line="360" w:lineRule="auto"/>
        <w:ind w:firstLine="420" w:firstLineChars="200"/>
        <w:rPr>
          <w:rFonts w:hint="eastAsia" w:ascii="宋体" w:hAnsi="宋体"/>
          <w:szCs w:val="21"/>
        </w:rPr>
      </w:pPr>
      <w:r>
        <w:rPr>
          <w:rFonts w:hint="eastAsia" w:ascii="宋体" w:hAnsi="宋体"/>
          <w:szCs w:val="21"/>
        </w:rPr>
        <w:t>（2）目录；</w:t>
      </w:r>
    </w:p>
    <w:p w14:paraId="12D9BAF8">
      <w:pPr>
        <w:spacing w:line="360" w:lineRule="auto"/>
        <w:ind w:firstLine="420" w:firstLineChars="200"/>
        <w:rPr>
          <w:rFonts w:hint="eastAsia" w:ascii="宋体" w:hAnsi="宋体"/>
          <w:szCs w:val="21"/>
        </w:rPr>
      </w:pPr>
      <w:r>
        <w:rPr>
          <w:rFonts w:hint="eastAsia" w:ascii="宋体" w:hAnsi="宋体"/>
          <w:szCs w:val="21"/>
        </w:rPr>
        <w:t>（3）承诺书；</w:t>
      </w:r>
    </w:p>
    <w:p w14:paraId="7FCD2B0A">
      <w:pPr>
        <w:spacing w:line="360" w:lineRule="auto"/>
        <w:ind w:firstLine="420" w:firstLineChars="200"/>
        <w:rPr>
          <w:rFonts w:hint="eastAsia" w:ascii="宋体" w:hAnsi="宋体"/>
          <w:szCs w:val="21"/>
        </w:rPr>
      </w:pPr>
      <w:r>
        <w:rPr>
          <w:rFonts w:hint="eastAsia" w:ascii="宋体" w:hAnsi="宋体"/>
          <w:szCs w:val="21"/>
        </w:rPr>
        <w:t>（4）《项目管理机构主要人员配置表》；</w:t>
      </w:r>
    </w:p>
    <w:p w14:paraId="750BC620">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）投标人须知前附表规定的其他材料。</w:t>
      </w:r>
    </w:p>
    <w:p w14:paraId="1A9AEE74">
      <w:pPr>
        <w:spacing w:line="360" w:lineRule="auto"/>
        <w:ind w:firstLine="420" w:firstLineChars="200"/>
        <w:rPr>
          <w:rFonts w:hint="eastAsia" w:ascii="宋体" w:hAnsi="宋体" w:eastAsia="宋体"/>
          <w:bCs/>
          <w:szCs w:val="21"/>
          <w:lang w:val="en-US" w:eastAsia="zh-CN"/>
        </w:rPr>
      </w:pPr>
      <w:r>
        <w:rPr>
          <w:rFonts w:hint="eastAsia" w:ascii="宋体" w:hAnsi="宋体"/>
          <w:szCs w:val="21"/>
        </w:rPr>
        <w:t>3.1.1.</w:t>
      </w:r>
      <w:r>
        <w:rPr>
          <w:rFonts w:hint="eastAsia" w:ascii="宋体" w:hAnsi="宋体"/>
          <w:szCs w:val="21"/>
          <w:lang w:val="en-US" w:eastAsia="zh-CN"/>
        </w:rPr>
        <w:t>3</w:t>
      </w:r>
      <w:r>
        <w:rPr>
          <w:rFonts w:hint="eastAsia" w:ascii="宋体" w:hAnsi="宋体"/>
          <w:bCs/>
          <w:szCs w:val="21"/>
        </w:rPr>
        <w:t>投标报价函</w:t>
      </w:r>
      <w:r>
        <w:rPr>
          <w:rFonts w:hint="eastAsia" w:ascii="宋体" w:hAnsi="宋体"/>
          <w:bCs/>
          <w:szCs w:val="21"/>
          <w:lang w:val="en-US" w:eastAsia="zh-CN"/>
        </w:rPr>
        <w:t xml:space="preserve"> </w:t>
      </w:r>
    </w:p>
    <w:p w14:paraId="2D347524">
      <w:pPr>
        <w:spacing w:line="360" w:lineRule="auto"/>
        <w:ind w:firstLine="525" w:firstLineChars="250"/>
        <w:rPr>
          <w:rFonts w:hint="eastAsia" w:ascii="宋体" w:hAnsi="宋体"/>
          <w:b/>
          <w:szCs w:val="21"/>
        </w:rPr>
      </w:pPr>
      <w:r>
        <w:rPr>
          <w:rFonts w:hint="eastAsia" w:ascii="宋体" w:hAnsi="宋体"/>
          <w:szCs w:val="21"/>
        </w:rPr>
        <w:t>已标价工程量清单</w:t>
      </w:r>
    </w:p>
    <w:p w14:paraId="24ECCE48">
      <w:pPr>
        <w:pStyle w:val="2"/>
        <w:rPr>
          <w:rFonts w:hint="eastAsia"/>
        </w:rPr>
      </w:pPr>
      <w:r>
        <w:rPr>
          <w:rFonts w:hint="eastAsia"/>
        </w:rPr>
        <w:t>3.2 投标报价</w:t>
      </w:r>
    </w:p>
    <w:p w14:paraId="7C6B6F9E">
      <w:pPr>
        <w:spacing w:line="360" w:lineRule="auto"/>
        <w:ind w:firstLine="420" w:firstLineChars="200"/>
        <w:rPr>
          <w:rFonts w:hint="eastAsia" w:ascii="宋体" w:hAnsi="宋体"/>
          <w:szCs w:val="21"/>
        </w:rPr>
      </w:pPr>
      <w:r>
        <w:rPr>
          <w:rFonts w:hint="eastAsia" w:ascii="宋体" w:hAnsi="宋体"/>
          <w:szCs w:val="21"/>
        </w:rPr>
        <w:t>3.2.1 投标人按第五章“工程量清单及工程量清单计价”的要求填写相应表格。</w:t>
      </w:r>
    </w:p>
    <w:p w14:paraId="6EB5BDB6">
      <w:pPr>
        <w:spacing w:line="360" w:lineRule="auto"/>
        <w:ind w:firstLine="420" w:firstLineChars="200"/>
        <w:rPr>
          <w:rFonts w:hint="eastAsia" w:ascii="宋体" w:hAnsi="宋体"/>
          <w:szCs w:val="21"/>
        </w:rPr>
      </w:pPr>
      <w:r>
        <w:rPr>
          <w:rFonts w:hint="eastAsia" w:ascii="宋体" w:hAnsi="宋体"/>
          <w:szCs w:val="21"/>
        </w:rPr>
        <w:t>3.2.2 投标人在投标截止时间前修改投标总报价，应同时修改投标报价函（投标报价）中清单中的相应报价。此修改须符合本章第4.3 款的有关要求。</w:t>
      </w:r>
    </w:p>
    <w:p w14:paraId="44EDA79B">
      <w:pPr>
        <w:pStyle w:val="2"/>
        <w:rPr>
          <w:rFonts w:hint="eastAsia"/>
        </w:rPr>
      </w:pPr>
      <w:r>
        <w:rPr>
          <w:rFonts w:hint="eastAsia"/>
        </w:rPr>
        <w:t>3.3 投标有效期</w:t>
      </w:r>
    </w:p>
    <w:p w14:paraId="54A1BB12">
      <w:pPr>
        <w:spacing w:line="360" w:lineRule="auto"/>
        <w:ind w:firstLine="420" w:firstLineChars="200"/>
        <w:rPr>
          <w:rFonts w:hint="eastAsia" w:ascii="宋体" w:hAnsi="宋体"/>
          <w:szCs w:val="21"/>
        </w:rPr>
      </w:pPr>
      <w:r>
        <w:rPr>
          <w:rFonts w:hint="eastAsia" w:ascii="宋体" w:hAnsi="宋体"/>
          <w:szCs w:val="21"/>
        </w:rPr>
        <w:t>3.3.1 在投标人须知前附表规定的投标有效期内，投标人不得要求撤销或修改其投标文件。</w:t>
      </w:r>
    </w:p>
    <w:p w14:paraId="2A8D072F">
      <w:pPr>
        <w:spacing w:line="360" w:lineRule="auto"/>
        <w:ind w:firstLine="420" w:firstLineChars="200"/>
        <w:rPr>
          <w:rFonts w:hint="eastAsia" w:ascii="宋体" w:hAnsi="宋体"/>
          <w:szCs w:val="21"/>
        </w:rPr>
      </w:pPr>
      <w:r>
        <w:rPr>
          <w:rFonts w:hint="eastAsia" w:ascii="宋体" w:hAnsi="宋体"/>
          <w:szCs w:val="21"/>
        </w:rPr>
        <w:t>3.3.2 出现特殊情况需要延长投标有效期的，招标人以网络公告形式通知所有投标人延长投标有效期。投标人同意延长的，应相应延长其投标保证金的有效期，但不得要求或被允许修改或撤销其投标文件；投标人拒绝延长的，其投标失效，但投标人有权收回其投标保证金。</w:t>
      </w:r>
    </w:p>
    <w:p w14:paraId="56A50A4A">
      <w:pPr>
        <w:keepNext w:val="0"/>
        <w:keepLines w:val="0"/>
        <w:pageBreakBefore w:val="0"/>
        <w:widowControl/>
        <w:tabs>
          <w:tab w:val="left" w:pos="12596"/>
        </w:tabs>
        <w:kinsoku/>
        <w:wordWrap/>
        <w:overflowPunct/>
        <w:topLinePunct w:val="0"/>
        <w:autoSpaceDE/>
        <w:autoSpaceDN/>
        <w:bidi w:val="0"/>
        <w:adjustRightInd/>
        <w:snapToGrid/>
        <w:spacing w:line="360" w:lineRule="auto"/>
        <w:jc w:val="left"/>
        <w:textAlignment w:val="auto"/>
        <w:rPr>
          <w:rFonts w:hint="eastAsia" w:ascii="宋体" w:hAnsi="宋体" w:cs="宋体"/>
          <w:kern w:val="0"/>
          <w:szCs w:val="21"/>
        </w:rPr>
      </w:pPr>
      <w:r>
        <w:rPr>
          <w:rFonts w:hint="eastAsia" w:ascii="宋体" w:hAnsi="宋体" w:cs="宋体"/>
          <w:b/>
          <w:bCs/>
          <w:kern w:val="0"/>
          <w:szCs w:val="21"/>
        </w:rPr>
        <w:t>3.4 投标保证金</w:t>
      </w:r>
    </w:p>
    <w:p w14:paraId="0B73A6DC">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kern w:val="0"/>
          <w:szCs w:val="21"/>
          <w:lang w:val="en-US" w:eastAsia="zh-CN"/>
        </w:rPr>
      </w:pPr>
      <w:r>
        <w:rPr>
          <w:rFonts w:hint="eastAsia" w:ascii="宋体" w:hAnsi="宋体" w:cs="宋体"/>
          <w:kern w:val="0"/>
          <w:szCs w:val="21"/>
        </w:rPr>
        <w:t xml:space="preserve">3.4.1 </w:t>
      </w:r>
      <w:r>
        <w:rPr>
          <w:rFonts w:hint="eastAsia" w:ascii="宋体" w:hAnsi="宋体" w:cs="宋体"/>
          <w:kern w:val="0"/>
          <w:szCs w:val="21"/>
          <w:lang w:eastAsia="zh-CN"/>
        </w:rPr>
        <w:t>本招标项目采用</w:t>
      </w:r>
      <w:r>
        <w:rPr>
          <w:rFonts w:hint="eastAsia" w:ascii="宋体" w:hAnsi="宋体" w:cs="宋体"/>
          <w:kern w:val="0"/>
          <w:szCs w:val="21"/>
          <w:u w:val="single"/>
          <w:lang w:val="en-US" w:eastAsia="zh-CN"/>
        </w:rPr>
        <w:t xml:space="preserve"> </w:t>
      </w:r>
      <w:r>
        <w:rPr>
          <w:rFonts w:hint="eastAsia" w:ascii="宋体" w:hAnsi="宋体" w:cs="宋体"/>
          <w:kern w:val="0"/>
          <w:szCs w:val="21"/>
          <w:highlight w:val="none"/>
          <w:u w:val="single"/>
        </w:rPr>
        <w:t>收取投标保证金</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w:t>
      </w:r>
    </w:p>
    <w:p w14:paraId="77C9926E">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投标人应按投标人须知前附表规定的金额、形式和时间提交投标保证金。</w:t>
      </w:r>
    </w:p>
    <w:p w14:paraId="3C87308D">
      <w:pPr>
        <w:keepNext w:val="0"/>
        <w:keepLines w:val="0"/>
        <w:pageBreakBefore w:val="0"/>
        <w:widowControl/>
        <w:tabs>
          <w:tab w:val="left" w:pos="1259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以转账方式提交投标保证金的，招标人不接受同一账户分多次转账或由多个账户转账的方式提交投标保证金。 转账的账户必须是投标单位在“中山市公共资源交易中心-基础应用支撑平台”中登记的基本账户（基本账户的企业名称须与投标人名称一致）。投标保证金只向提交投标保证金的账户退还。</w:t>
      </w:r>
      <w:r>
        <w:rPr>
          <w:rFonts w:hint="eastAsia" w:ascii="宋体" w:hAnsi="宋体" w:cs="宋体"/>
          <w:kern w:val="0"/>
          <w:szCs w:val="21"/>
          <w:highlight w:val="none"/>
          <w:lang w:val="en-US" w:eastAsia="zh-CN"/>
        </w:rPr>
        <w:br w:type="textWrapping"/>
      </w:r>
      <w:r>
        <w:rPr>
          <w:rFonts w:hint="eastAsia" w:ascii="宋体" w:hAnsi="宋体" w:cs="宋体"/>
          <w:kern w:val="0"/>
          <w:szCs w:val="21"/>
          <w:highlight w:val="none"/>
          <w:lang w:val="en-US" w:eastAsia="zh-CN"/>
        </w:rPr>
        <w:t xml:space="preserve">    禁止投标单位采用EFT系统（广东金融结算系统）方式提交投标保证金，如采用此方式导致招投标系统无法识别提交投标保证金账号信息，视为未按要求提交投标保证金，由此造成废标的后果由投标单位自行承担。</w:t>
      </w:r>
      <w:r>
        <w:rPr>
          <w:rFonts w:hint="eastAsia" w:ascii="宋体" w:hAnsi="宋体" w:cs="宋体"/>
          <w:kern w:val="0"/>
          <w:szCs w:val="21"/>
          <w:highlight w:val="none"/>
          <w:lang w:val="en-US" w:eastAsia="zh-CN"/>
        </w:rPr>
        <w:br w:type="textWrapping"/>
      </w:r>
      <w:r>
        <w:rPr>
          <w:rFonts w:hint="eastAsia" w:ascii="宋体" w:hAnsi="宋体" w:cs="宋体"/>
          <w:kern w:val="0"/>
          <w:szCs w:val="21"/>
          <w:highlight w:val="none"/>
          <w:lang w:val="en-US" w:eastAsia="zh-CN"/>
        </w:rPr>
        <w:t xml:space="preserve">    提交投标保证金时如遇到银行系统升级，使投标人基本账号改变，导致招标投标系统判断投标人未提交投标保证金的，投标人应及时向相关银行索取书面说明，到中山市公共资源交易中心办理基本账户新号备案手续。</w:t>
      </w:r>
      <w:r>
        <w:rPr>
          <w:rFonts w:hint="eastAsia" w:ascii="宋体" w:hAnsi="宋体" w:cs="宋体"/>
          <w:kern w:val="0"/>
          <w:szCs w:val="21"/>
          <w:highlight w:val="none"/>
          <w:lang w:val="en-US" w:eastAsia="zh-CN"/>
        </w:rPr>
        <w:br w:type="textWrapping"/>
      </w:r>
      <w:r>
        <w:rPr>
          <w:rFonts w:hint="eastAsia" w:ascii="宋体" w:hAnsi="宋体" w:cs="宋体"/>
          <w:kern w:val="0"/>
          <w:szCs w:val="21"/>
          <w:highlight w:val="none"/>
          <w:lang w:val="en-US" w:eastAsia="zh-CN"/>
        </w:rPr>
        <w:t xml:space="preserve">    以电子保函方式提交投标保证金的，投标人通过</w:t>
      </w:r>
      <w:r>
        <w:rPr>
          <w:rFonts w:hint="eastAsia" w:ascii="宋体" w:hAnsi="宋体" w:cs="宋体"/>
          <w:kern w:val="0"/>
          <w:szCs w:val="21"/>
          <w:highlight w:val="none"/>
          <w:lang w:val="en" w:eastAsia="zh-CN"/>
        </w:rPr>
        <w:t>广东省公共资源交易平台（交易系统）</w:t>
      </w:r>
      <w:r>
        <w:rPr>
          <w:rFonts w:hint="eastAsia" w:ascii="宋体" w:hAnsi="宋体" w:cs="宋体"/>
          <w:kern w:val="0"/>
          <w:szCs w:val="21"/>
          <w:highlight w:val="none"/>
          <w:lang w:val="en-US" w:eastAsia="zh-CN"/>
        </w:rPr>
        <w:t>凭电子招投标数字证书登入工程建设交易系统，在“投标管理--参与项目”栏目页面，选择参与投标的项目，选择相关金融机构办理电子保函。电子保函的出具时间视同于保证金提交时间。电子保函有效期限到期后自动失效，若在有效期间内办理注销的，则在注销之日起失效。电子保函办理的申请流程及操作指引详见</w:t>
      </w:r>
      <w:r>
        <w:rPr>
          <w:rFonts w:hint="eastAsia" w:ascii="宋体" w:hAnsi="宋体" w:cs="宋体"/>
          <w:kern w:val="0"/>
          <w:szCs w:val="21"/>
          <w:highlight w:val="none"/>
          <w:lang w:val="en" w:eastAsia="zh-CN"/>
        </w:rPr>
        <w:t>广东省公共资源交易平台（中山市）</w:t>
      </w:r>
      <w:r>
        <w:rPr>
          <w:rFonts w:hint="eastAsia" w:ascii="宋体" w:hAnsi="宋体" w:cs="宋体"/>
          <w:kern w:val="0"/>
          <w:szCs w:val="21"/>
          <w:highlight w:val="none"/>
          <w:lang w:val="en-US" w:eastAsia="zh-CN"/>
        </w:rPr>
        <w:t>-</w:t>
      </w:r>
      <w:r>
        <w:rPr>
          <w:rFonts w:hint="eastAsia" w:ascii="宋体" w:hAnsi="宋体" w:cs="宋体"/>
          <w:kern w:val="0"/>
          <w:szCs w:val="21"/>
          <w:highlight w:val="none"/>
          <w:lang w:val="en" w:eastAsia="zh-CN"/>
        </w:rPr>
        <w:t>“服务指南”</w:t>
      </w:r>
      <w:r>
        <w:rPr>
          <w:rFonts w:hint="eastAsia" w:ascii="宋体" w:hAnsi="宋体" w:cs="宋体"/>
          <w:kern w:val="0"/>
          <w:szCs w:val="21"/>
          <w:highlight w:val="none"/>
          <w:lang w:val="en-US" w:eastAsia="zh-CN"/>
        </w:rPr>
        <w:t>。</w:t>
      </w:r>
      <w:r>
        <w:rPr>
          <w:rFonts w:hint="eastAsia" w:ascii="宋体" w:hAnsi="宋体" w:cs="宋体"/>
          <w:kern w:val="0"/>
          <w:szCs w:val="21"/>
          <w:highlight w:val="none"/>
          <w:lang w:val="en-US" w:eastAsia="zh-CN"/>
        </w:rPr>
        <w:br w:type="textWrapping"/>
      </w:r>
      <w:r>
        <w:rPr>
          <w:rFonts w:hint="eastAsia" w:ascii="宋体" w:hAnsi="宋体" w:cs="宋体"/>
          <w:kern w:val="0"/>
          <w:szCs w:val="21"/>
          <w:highlight w:val="none"/>
          <w:lang w:val="en-US" w:eastAsia="zh-CN"/>
        </w:rPr>
        <w:t xml:space="preserve">    投标保证金提交时间以保证金转账到账时间或电子保函出具时间为准，投标人应提前提交投标保证金，由于投标保证金提交时间超过投标保证金提交截止时间而导致废标的，由投标人自负责任。提交投标保证金时，投标人必须按“缴纳投标保证金通知书”中的收款账号填写完整或按电子保函的申请程序办理手续，如因收款账号填写不完整造成保证金不能按时到账或因操作不当等造成电子保函不能按时出具导致废标的，后果由投标人自行承担。</w:t>
      </w:r>
    </w:p>
    <w:p w14:paraId="60C929D9">
      <w:pPr>
        <w:spacing w:line="360" w:lineRule="auto"/>
        <w:ind w:firstLine="401" w:firstLineChars="191"/>
        <w:rPr>
          <w:rFonts w:ascii="宋体" w:hAnsi="宋体"/>
          <w:kern w:val="0"/>
          <w:szCs w:val="21"/>
        </w:rPr>
      </w:pPr>
      <w:r>
        <w:rPr>
          <w:rFonts w:hint="eastAsia" w:ascii="宋体" w:hAnsi="宋体" w:cs="宋体"/>
          <w:kern w:val="0"/>
          <w:szCs w:val="21"/>
        </w:rPr>
        <w:t>3.4.2 投标人不按本章第3.4.1项要求提交投标保证金的，其投标文件作废标处理。</w:t>
      </w:r>
    </w:p>
    <w:p w14:paraId="70B236E6">
      <w:pPr>
        <w:spacing w:line="360" w:lineRule="auto"/>
        <w:ind w:firstLine="401" w:firstLineChars="191"/>
        <w:rPr>
          <w:rFonts w:ascii="宋体" w:hAnsi="宋体"/>
          <w:szCs w:val="21"/>
        </w:rPr>
      </w:pPr>
      <w:r>
        <w:rPr>
          <w:rFonts w:hint="eastAsia" w:ascii="宋体" w:hAnsi="宋体" w:cs="宋体"/>
          <w:kern w:val="0"/>
          <w:szCs w:val="21"/>
        </w:rPr>
        <w:t>3.4.3</w:t>
      </w:r>
      <w:r>
        <w:rPr>
          <w:rFonts w:hint="eastAsia" w:ascii="宋体" w:hAnsi="宋体"/>
          <w:szCs w:val="21"/>
        </w:rPr>
        <w:t>投标保证金的退还</w:t>
      </w:r>
    </w:p>
    <w:p w14:paraId="1E8E98C1">
      <w:pPr>
        <w:spacing w:line="360" w:lineRule="auto"/>
        <w:ind w:firstLine="401" w:firstLineChars="191"/>
        <w:rPr>
          <w:rFonts w:ascii="宋体" w:hAnsi="宋体"/>
          <w:kern w:val="0"/>
          <w:szCs w:val="21"/>
        </w:rPr>
      </w:pPr>
      <w:r>
        <w:rPr>
          <w:rFonts w:hint="eastAsia" w:ascii="宋体" w:hAnsi="宋体" w:cs="宋体"/>
          <w:kern w:val="0"/>
          <w:szCs w:val="21"/>
        </w:rPr>
        <w:t>（1）中标候选人以外的投标人的投标保证金退付。在发出中标通知书后5日内（法定节假日顺延），由交易中心代招标人将转账提交的投标保证金及银行同期存款利息退回中标候选人以外的投标人，电子保函的则予以注销；（2）中标人和其他中标候选人的投标保证金退付。招标人发出已与中标人签订合同的通知后5 日内（法定节假日顺延），由交易中心代招标人将转账提交的投标保证金及银行同期存款利息退回中标人和其他中标候选人，电子保函的则予以注销；（3）项目招标失败或终止招标的投标保证金退付。招标人发出的招标失败或终止招标的有关文件后5日内（法定节假日顺延），由交易中心代招标人将转账提交的投标保证金及银行同期存款利息退还所有投标人，电子保函的则予以注销。</w:t>
      </w:r>
    </w:p>
    <w:p w14:paraId="1220E473">
      <w:pPr>
        <w:spacing w:line="360" w:lineRule="auto"/>
        <w:ind w:firstLine="420" w:firstLineChars="200"/>
        <w:rPr>
          <w:rFonts w:hint="eastAsia" w:ascii="宋体" w:hAnsi="宋体"/>
          <w:szCs w:val="21"/>
        </w:rPr>
      </w:pPr>
      <w:r>
        <w:rPr>
          <w:rFonts w:hint="eastAsia" w:ascii="宋体" w:hAnsi="宋体"/>
          <w:szCs w:val="21"/>
        </w:rPr>
        <w:t>3.4.4 有下列情形之一的，投标保证金将不予退还：</w:t>
      </w:r>
    </w:p>
    <w:p w14:paraId="53611A77">
      <w:pPr>
        <w:spacing w:line="360" w:lineRule="auto"/>
        <w:ind w:firstLine="420" w:firstLineChars="200"/>
        <w:rPr>
          <w:rFonts w:hint="eastAsia" w:ascii="宋体" w:hAnsi="宋体"/>
          <w:szCs w:val="21"/>
        </w:rPr>
      </w:pPr>
      <w:r>
        <w:rPr>
          <w:rFonts w:hint="eastAsia" w:ascii="宋体" w:hAnsi="宋体"/>
          <w:szCs w:val="21"/>
        </w:rPr>
        <w:t>(1）投标人在规定的投标有效期内撤销或修改其投标文件；</w:t>
      </w:r>
    </w:p>
    <w:p w14:paraId="4DF0F34A">
      <w:pPr>
        <w:spacing w:line="360" w:lineRule="auto"/>
        <w:ind w:firstLine="420" w:firstLineChars="200"/>
        <w:rPr>
          <w:rFonts w:hint="eastAsia" w:ascii="宋体" w:hAnsi="宋体"/>
          <w:szCs w:val="21"/>
        </w:rPr>
      </w:pPr>
      <w:r>
        <w:rPr>
          <w:rFonts w:hint="eastAsia" w:ascii="宋体" w:hAnsi="宋体"/>
          <w:szCs w:val="21"/>
        </w:rPr>
        <w:t>(2）中标人在收到中标通知书后，无正当理由拒签合同协议书或未按招标文件规定提交履约担保。</w:t>
      </w:r>
    </w:p>
    <w:p w14:paraId="3F106D9A">
      <w:pPr>
        <w:pStyle w:val="2"/>
        <w:rPr>
          <w:rFonts w:hint="eastAsia"/>
        </w:rPr>
      </w:pPr>
      <w:r>
        <w:rPr>
          <w:rFonts w:hint="eastAsia"/>
        </w:rPr>
        <w:t>3.5 资格审查资料</w:t>
      </w:r>
    </w:p>
    <w:p w14:paraId="2E8A18B4">
      <w:pPr>
        <w:spacing w:line="360" w:lineRule="auto"/>
        <w:ind w:firstLine="420" w:firstLineChars="200"/>
        <w:rPr>
          <w:rFonts w:hint="eastAsia" w:ascii="宋体" w:hAnsi="宋体"/>
          <w:szCs w:val="21"/>
        </w:rPr>
      </w:pPr>
      <w:r>
        <w:rPr>
          <w:rFonts w:hint="eastAsia" w:ascii="宋体" w:hAnsi="宋体"/>
          <w:szCs w:val="21"/>
        </w:rPr>
        <w:t>3.5.1 投标人基本资料应附投标人营业执照、资质证书和安全生产许可证等材料的原件扫描件。</w:t>
      </w:r>
    </w:p>
    <w:p w14:paraId="3CE15270">
      <w:pPr>
        <w:spacing w:line="360" w:lineRule="auto"/>
        <w:ind w:firstLine="420" w:firstLineChars="200"/>
        <w:rPr>
          <w:rFonts w:hint="eastAsia" w:ascii="宋体" w:hAnsi="宋体"/>
          <w:szCs w:val="21"/>
        </w:rPr>
      </w:pPr>
      <w:r>
        <w:rPr>
          <w:rFonts w:hint="eastAsia" w:ascii="宋体" w:hAnsi="宋体"/>
          <w:szCs w:val="21"/>
        </w:rPr>
        <w:t xml:space="preserve">3.5.2 </w:t>
      </w:r>
      <w:r>
        <w:rPr>
          <w:rFonts w:hint="eastAsia" w:ascii="宋体" w:hAnsi="宋体"/>
          <w:bCs/>
          <w:szCs w:val="21"/>
        </w:rPr>
        <w:t>“项目负责人”应附注册建造师证、安全考核合格证</w:t>
      </w:r>
      <w:r>
        <w:rPr>
          <w:rFonts w:hint="eastAsia" w:ascii="宋体" w:hAnsi="宋体"/>
          <w:szCs w:val="21"/>
        </w:rPr>
        <w:t>原件扫描件</w:t>
      </w:r>
      <w:r>
        <w:rPr>
          <w:rFonts w:hint="eastAsia" w:ascii="宋体" w:hAnsi="宋体"/>
          <w:bCs/>
          <w:szCs w:val="21"/>
        </w:rPr>
        <w:t>。</w:t>
      </w:r>
    </w:p>
    <w:p w14:paraId="15FE2718">
      <w:pPr>
        <w:spacing w:line="360" w:lineRule="auto"/>
        <w:ind w:firstLine="420" w:firstLineChars="200"/>
        <w:rPr>
          <w:rFonts w:hint="eastAsia" w:ascii="宋体" w:hAnsi="宋体"/>
          <w:szCs w:val="21"/>
        </w:rPr>
      </w:pPr>
      <w:r>
        <w:rPr>
          <w:rFonts w:hint="eastAsia" w:ascii="宋体" w:hAnsi="宋体"/>
          <w:szCs w:val="21"/>
        </w:rPr>
        <w:t>3.5.3 其他要求按前附表须知执行。</w:t>
      </w:r>
    </w:p>
    <w:p w14:paraId="2EA76B99">
      <w:pPr>
        <w:spacing w:line="360" w:lineRule="auto"/>
        <w:ind w:firstLine="420" w:firstLineChars="200"/>
        <w:rPr>
          <w:rFonts w:hint="eastAsia" w:ascii="宋体" w:hAnsi="宋体"/>
          <w:szCs w:val="21"/>
        </w:rPr>
      </w:pPr>
      <w:r>
        <w:rPr>
          <w:rFonts w:hint="eastAsia" w:ascii="宋体" w:hAnsi="宋体"/>
          <w:szCs w:val="21"/>
        </w:rPr>
        <w:t>3.5.4</w:t>
      </w:r>
      <w:r>
        <w:rPr>
          <w:rFonts w:hint="eastAsia" w:ascii="宋体" w:hAnsi="宋体"/>
          <w:bCs/>
          <w:szCs w:val="21"/>
        </w:rPr>
        <w:t xml:space="preserve"> </w:t>
      </w:r>
      <w:r>
        <w:rPr>
          <w:rFonts w:hint="eastAsia" w:ascii="宋体" w:hAnsi="宋体"/>
          <w:szCs w:val="21"/>
        </w:rPr>
        <w:t>投标人须知前附表规定接受联合体投标的，本章第3.5.1 项至第3.5.3 项规定的表格和资料应包括联合体各方相关情况。</w:t>
      </w:r>
    </w:p>
    <w:p w14:paraId="4BDE36B1">
      <w:pPr>
        <w:pStyle w:val="2"/>
        <w:rPr>
          <w:rFonts w:hint="eastAsia"/>
        </w:rPr>
      </w:pPr>
      <w:r>
        <w:rPr>
          <w:rFonts w:hint="eastAsia"/>
        </w:rPr>
        <w:t>3.6 备选投标方案</w:t>
      </w:r>
    </w:p>
    <w:p w14:paraId="2792BDEF">
      <w:pPr>
        <w:spacing w:line="360" w:lineRule="auto"/>
        <w:ind w:firstLine="420" w:firstLineChars="200"/>
        <w:rPr>
          <w:rFonts w:hint="eastAsia" w:ascii="宋体" w:hAnsi="宋体"/>
          <w:szCs w:val="21"/>
        </w:rPr>
      </w:pPr>
      <w:r>
        <w:rPr>
          <w:rFonts w:hint="eastAsia" w:ascii="宋体" w:hAnsi="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r>
        <w:rPr>
          <w:rFonts w:hint="eastAsia" w:ascii="宋体" w:hAnsi="宋体"/>
          <w:b/>
          <w:bCs/>
          <w:color w:val="auto"/>
          <w:szCs w:val="21"/>
          <w:highlight w:val="none"/>
        </w:rPr>
        <w:t>（本项目不接受备选方案。）</w:t>
      </w:r>
    </w:p>
    <w:p w14:paraId="357F1F42">
      <w:pPr>
        <w:pStyle w:val="2"/>
        <w:rPr>
          <w:rFonts w:hint="eastAsia"/>
        </w:rPr>
      </w:pPr>
      <w:r>
        <w:rPr>
          <w:rFonts w:hint="eastAsia"/>
        </w:rPr>
        <w:t>3.7 投标文件的编制</w:t>
      </w:r>
    </w:p>
    <w:p w14:paraId="4C65DB1F">
      <w:pPr>
        <w:spacing w:line="360" w:lineRule="auto"/>
        <w:ind w:firstLine="420" w:firstLineChars="200"/>
        <w:rPr>
          <w:rFonts w:hint="eastAsia" w:ascii="宋体" w:hAnsi="宋体"/>
          <w:szCs w:val="21"/>
        </w:rPr>
      </w:pPr>
      <w:r>
        <w:rPr>
          <w:rFonts w:hint="eastAsia" w:ascii="宋体" w:hAnsi="宋体"/>
          <w:szCs w:val="21"/>
        </w:rPr>
        <w:t>3.7.1 投标文件应按第八章“投标文件格式”进行编写，如有必要，可以增加附页，作为投标文件的组成部分。其中，承诺书在满足招标文件实质性要求的基础上，可以提出比招标文件要求更有利于招标人的承诺。</w:t>
      </w:r>
    </w:p>
    <w:p w14:paraId="53CA9F65">
      <w:pPr>
        <w:spacing w:line="360" w:lineRule="auto"/>
        <w:ind w:firstLine="420" w:firstLineChars="200"/>
        <w:rPr>
          <w:rFonts w:ascii="宋体" w:hAnsi="宋体"/>
          <w:szCs w:val="21"/>
        </w:rPr>
      </w:pPr>
      <w:r>
        <w:rPr>
          <w:rFonts w:hint="eastAsia" w:ascii="宋体" w:hAnsi="宋体"/>
          <w:szCs w:val="21"/>
        </w:rPr>
        <w:t>3.7.2 投标文件应当对招标文件有关人员、工期、投标有效期、质量要求、技术标准和要求、招标范围等实质性内容作出响应。</w:t>
      </w:r>
    </w:p>
    <w:p w14:paraId="5A8446D0">
      <w:pPr>
        <w:spacing w:line="360" w:lineRule="auto"/>
        <w:ind w:firstLine="420" w:firstLineChars="200"/>
        <w:rPr>
          <w:rFonts w:hint="eastAsia" w:ascii="宋体" w:hAnsi="宋体"/>
          <w:szCs w:val="21"/>
        </w:rPr>
      </w:pPr>
      <w:r>
        <w:rPr>
          <w:rFonts w:hint="eastAsia" w:ascii="宋体" w:hAnsi="宋体"/>
          <w:szCs w:val="21"/>
        </w:rPr>
        <w:t>3.7.3 投标文件（或纸质标书）应用不褪色的材料书写或打印，并由投标人的法定代表人或委托代理人签字并盖单位公章。委托代理人签字的，投标文件应附法定代表人签署的授权委托书。投标文件应尽量避免涂改、行间插字或删除。如果出现上述情况，改动之处应加盖单位公章或由投标人的法定代表人或其授权的委托代理人签字确认。签字或盖章的具体要求见投标人须知前附表。</w:t>
      </w:r>
    </w:p>
    <w:p w14:paraId="766D01BE">
      <w:pPr>
        <w:spacing w:line="360" w:lineRule="auto"/>
        <w:ind w:firstLine="420" w:firstLineChars="200"/>
        <w:rPr>
          <w:rFonts w:hint="eastAsia" w:ascii="宋体" w:hAnsi="宋体"/>
          <w:szCs w:val="21"/>
        </w:rPr>
      </w:pPr>
      <w:r>
        <w:rPr>
          <w:rFonts w:hint="eastAsia" w:ascii="宋体" w:hAnsi="宋体"/>
          <w:szCs w:val="21"/>
        </w:rPr>
        <w:t>3.7.4 投标文件电子文档一份及纸质投标文件一式四份（其中纸质投标文件仅由中标单位提交，其余不中标单位无需提交）；资格标封面上应标记工程名称、“资格标”或“资格标函”字样，由法定代表人或委托代理人签字并加盖单位公章；技术标封面上应标记工程名称、“技术标”或“技术标函”字样，由法定代表人或委托代理人签字并加盖单位公章。</w:t>
      </w:r>
      <w:r>
        <w:rPr>
          <w:rFonts w:hint="eastAsia"/>
        </w:rPr>
        <w:t>电子投标报价即已标价的工程量清单。纸质的</w:t>
      </w:r>
      <w:r>
        <w:rPr>
          <w:rFonts w:hint="eastAsia" w:ascii="宋体" w:hAnsi="宋体"/>
          <w:szCs w:val="21"/>
        </w:rPr>
        <w:t>投标报价封面上应标记工程名称、“投标报价”或“投标报价函”字样，由法定代表人或委托代理人签字并加盖单位公章；</w:t>
      </w:r>
    </w:p>
    <w:p w14:paraId="76E10E6B">
      <w:pPr>
        <w:spacing w:line="360" w:lineRule="auto"/>
        <w:ind w:firstLine="420" w:firstLineChars="200"/>
        <w:rPr>
          <w:rFonts w:hint="eastAsia" w:ascii="宋体" w:hAnsi="宋体"/>
          <w:szCs w:val="21"/>
        </w:rPr>
      </w:pPr>
      <w:r>
        <w:rPr>
          <w:rFonts w:hint="eastAsia" w:ascii="宋体" w:hAnsi="宋体"/>
          <w:szCs w:val="21"/>
        </w:rPr>
        <w:t>3.7.5 投标文件的资格标、技术标或投标报价应分别单独编制，并各自编制目录，具体编制要求见投标人须知前附表规定。</w:t>
      </w:r>
    </w:p>
    <w:p w14:paraId="54D5802C">
      <w:pPr>
        <w:spacing w:line="360" w:lineRule="auto"/>
        <w:ind w:firstLine="420" w:firstLineChars="200"/>
        <w:rPr>
          <w:rFonts w:hint="eastAsia" w:ascii="宋体" w:hAnsi="宋体"/>
          <w:szCs w:val="21"/>
        </w:rPr>
      </w:pPr>
      <w:r>
        <w:rPr>
          <w:rFonts w:hint="eastAsia" w:ascii="宋体" w:hAnsi="宋体"/>
          <w:szCs w:val="21"/>
        </w:rPr>
        <w:t>3.7.6 电子标书</w:t>
      </w:r>
      <w:r>
        <w:rPr>
          <w:rFonts w:hint="eastAsia" w:ascii="宋体" w:hAnsi="宋体"/>
          <w:szCs w:val="21"/>
          <w:lang w:eastAsia="zh-CN"/>
        </w:rPr>
        <w:t>的密封和标记</w:t>
      </w:r>
      <w:r>
        <w:rPr>
          <w:rFonts w:hint="eastAsia" w:ascii="宋体" w:hAnsi="宋体"/>
          <w:szCs w:val="21"/>
        </w:rPr>
        <w:t>要求见投标人须知前附表和本章4.1规定。</w:t>
      </w:r>
    </w:p>
    <w:p w14:paraId="67DE5404">
      <w:pPr>
        <w:pStyle w:val="5"/>
        <w:rPr>
          <w:rFonts w:hint="eastAsia"/>
        </w:rPr>
      </w:pPr>
      <w:bookmarkStart w:id="8" w:name="_Toc184635074"/>
      <w:r>
        <w:rPr>
          <w:rFonts w:hint="eastAsia"/>
        </w:rPr>
        <w:t>4．投标</w:t>
      </w:r>
      <w:bookmarkEnd w:id="8"/>
    </w:p>
    <w:p w14:paraId="27F644DA">
      <w:pPr>
        <w:pStyle w:val="2"/>
        <w:rPr>
          <w:rFonts w:hint="eastAsia" w:eastAsia="宋体"/>
          <w:lang w:eastAsia="zh-CN"/>
        </w:rPr>
      </w:pPr>
      <w:r>
        <w:rPr>
          <w:rFonts w:hint="eastAsia"/>
        </w:rPr>
        <w:t xml:space="preserve">4.1 </w:t>
      </w:r>
      <w:r>
        <w:rPr>
          <w:rFonts w:hint="eastAsia"/>
          <w:lang w:eastAsia="zh-CN"/>
        </w:rPr>
        <w:t>投标文件的密封和标记</w:t>
      </w:r>
    </w:p>
    <w:p w14:paraId="309E579E">
      <w:pPr>
        <w:spacing w:line="360" w:lineRule="auto"/>
        <w:ind w:firstLine="420" w:firstLineChars="200"/>
        <w:rPr>
          <w:rFonts w:hint="eastAsia" w:ascii="宋体" w:hAnsi="宋体"/>
          <w:szCs w:val="21"/>
        </w:rPr>
      </w:pPr>
      <w:r>
        <w:rPr>
          <w:rFonts w:hint="eastAsia"/>
          <w:b w:val="0"/>
          <w:bCs w:val="0"/>
          <w:color w:val="auto"/>
          <w:szCs w:val="21"/>
          <w:highlight w:val="none"/>
        </w:rPr>
        <w:t>投标文件全部电子文档必须采用数字证书进行上传，投标人应当按照招标文件和电子招标投标交易平台的要求加密投标文件</w:t>
      </w:r>
      <w:r>
        <w:rPr>
          <w:rFonts w:hint="eastAsia"/>
          <w:color w:val="auto"/>
          <w:szCs w:val="21"/>
          <w:highlight w:val="none"/>
          <w:lang w:val="en-US" w:eastAsia="zh-CN"/>
        </w:rPr>
        <w:t>，</w:t>
      </w:r>
      <w:r>
        <w:rPr>
          <w:rFonts w:hint="eastAsia" w:ascii="宋体" w:hAnsi="宋体"/>
          <w:color w:val="auto"/>
          <w:szCs w:val="21"/>
          <w:highlight w:val="none"/>
        </w:rPr>
        <w:t>相关操作手册请自行登录广东省公共资源交易平台（中山市）-“服务指南”栏目下载</w:t>
      </w:r>
      <w:r>
        <w:rPr>
          <w:rFonts w:hint="eastAsia" w:ascii="宋体" w:hAnsi="宋体" w:eastAsia="宋体" w:cs="Times New Roman"/>
          <w:b w:val="0"/>
          <w:bCs w:val="0"/>
          <w:iCs/>
          <w:color w:val="auto"/>
          <w:szCs w:val="21"/>
          <w:highlight w:val="none"/>
          <w:lang w:eastAsia="zh-CN"/>
        </w:rPr>
        <w:t>。</w:t>
      </w:r>
    </w:p>
    <w:p w14:paraId="1156653A">
      <w:pPr>
        <w:pStyle w:val="2"/>
        <w:rPr>
          <w:rFonts w:hint="eastAsia"/>
        </w:rPr>
      </w:pPr>
      <w:r>
        <w:rPr>
          <w:rFonts w:hint="eastAsia"/>
        </w:rPr>
        <w:t>4.2 投标文件的递交</w:t>
      </w:r>
    </w:p>
    <w:p w14:paraId="4BD3D5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4.2.1投标人应在投标人须知前附表第2.2.2 项规定的投标截止时间前上传电子投标文件。</w:t>
      </w:r>
    </w:p>
    <w:p w14:paraId="18E9BD9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Arial"/>
          <w:kern w:val="0"/>
          <w:szCs w:val="21"/>
        </w:rPr>
      </w:pPr>
      <w:r>
        <w:rPr>
          <w:rFonts w:hint="eastAsia" w:ascii="宋体" w:hAnsi="宋体"/>
          <w:szCs w:val="21"/>
        </w:rPr>
        <w:t>4.2.2</w:t>
      </w:r>
      <w:r>
        <w:rPr>
          <w:rFonts w:hint="eastAsia" w:ascii="宋体" w:hAnsi="宋体" w:cs="Arial"/>
          <w:kern w:val="0"/>
          <w:szCs w:val="21"/>
        </w:rPr>
        <w:t>电子评标的项目，投标人须递交具备法律效力的电子投标文件，不再提供纸质投标文件。</w:t>
      </w:r>
    </w:p>
    <w:p w14:paraId="3788457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szCs w:val="21"/>
        </w:rPr>
      </w:pPr>
      <w:r>
        <w:rPr>
          <w:rFonts w:hint="eastAsia" w:ascii="宋体" w:hAnsi="宋体"/>
          <w:szCs w:val="21"/>
        </w:rPr>
        <w:t>4.2.3 逾期上传的电子投标文件，招标人不予受理。</w:t>
      </w:r>
    </w:p>
    <w:p w14:paraId="726E0A78">
      <w:pPr>
        <w:spacing w:line="360" w:lineRule="auto"/>
        <w:rPr>
          <w:rFonts w:hint="eastAsia" w:ascii="宋体" w:hAnsi="宋体"/>
          <w:b/>
          <w:szCs w:val="21"/>
        </w:rPr>
      </w:pPr>
      <w:r>
        <w:rPr>
          <w:rFonts w:hint="eastAsia" w:ascii="宋体" w:hAnsi="宋体"/>
          <w:b/>
          <w:szCs w:val="21"/>
        </w:rPr>
        <w:t>4.3 投标文件的修改</w:t>
      </w:r>
    </w:p>
    <w:p w14:paraId="511C71B1">
      <w:pPr>
        <w:spacing w:line="360" w:lineRule="auto"/>
        <w:ind w:firstLine="420" w:firstLineChars="200"/>
        <w:rPr>
          <w:rFonts w:hint="eastAsia" w:ascii="宋体" w:hAnsi="宋体"/>
          <w:szCs w:val="21"/>
        </w:rPr>
      </w:pPr>
      <w:r>
        <w:rPr>
          <w:rFonts w:hint="eastAsia" w:ascii="宋体" w:hAnsi="宋体"/>
          <w:szCs w:val="21"/>
        </w:rPr>
        <w:t>4.3.1 在投标人须知前附表第2.2.2 项规定的投标截止时间前，投标人可以修改已递交的投标文件。在投标截止前修改投标文件的，投标人只要把已修改的电子投标文件加密后在投标截止前重新上传，计算机以最后收到的投标文件为准。</w:t>
      </w:r>
    </w:p>
    <w:p w14:paraId="0AF7FA49">
      <w:pPr>
        <w:pStyle w:val="5"/>
        <w:rPr>
          <w:rFonts w:hint="eastAsia"/>
        </w:rPr>
      </w:pPr>
      <w:bookmarkStart w:id="9" w:name="_Toc184635075"/>
      <w:r>
        <w:rPr>
          <w:rFonts w:hint="eastAsia"/>
        </w:rPr>
        <w:t>5．开标</w:t>
      </w:r>
      <w:bookmarkEnd w:id="9"/>
    </w:p>
    <w:p w14:paraId="52EE5D44">
      <w:pPr>
        <w:pStyle w:val="2"/>
        <w:rPr>
          <w:rFonts w:hint="eastAsia"/>
        </w:rPr>
      </w:pPr>
      <w:r>
        <w:rPr>
          <w:rFonts w:hint="eastAsia"/>
        </w:rPr>
        <w:t>5.1 开标时间和地点</w:t>
      </w:r>
    </w:p>
    <w:p w14:paraId="0C5A5291">
      <w:pPr>
        <w:spacing w:line="360" w:lineRule="auto"/>
        <w:ind w:firstLine="420" w:firstLineChars="200"/>
        <w:rPr>
          <w:rFonts w:hint="eastAsia" w:ascii="宋体" w:hAnsi="宋体"/>
          <w:szCs w:val="21"/>
        </w:rPr>
      </w:pPr>
      <w:r>
        <w:rPr>
          <w:rFonts w:hint="eastAsia" w:ascii="宋体" w:hAnsi="宋体"/>
          <w:szCs w:val="21"/>
        </w:rPr>
        <w:t>本项目实行网上开标，投标人无需抵达中山市公共资源交易中心现场进行开标。招标人在</w:t>
      </w:r>
      <w:r>
        <w:rPr>
          <w:rFonts w:hint="eastAsia" w:ascii="宋体" w:hAnsi="宋体"/>
          <w:szCs w:val="21"/>
        </w:rPr>
        <w:fldChar w:fldCharType="begin"/>
      </w:r>
      <w:r>
        <w:rPr>
          <w:rFonts w:hint="eastAsia" w:ascii="宋体" w:hAnsi="宋体"/>
          <w:szCs w:val="21"/>
        </w:rPr>
        <w:instrText xml:space="preserve"> HYPERLINK  \l "第二章投标人须知前附表第222项" </w:instrText>
      </w:r>
      <w:r>
        <w:rPr>
          <w:rFonts w:hint="eastAsia" w:ascii="宋体" w:hAnsi="宋体"/>
          <w:szCs w:val="21"/>
        </w:rPr>
        <w:fldChar w:fldCharType="separate"/>
      </w:r>
      <w:r>
        <w:rPr>
          <w:rFonts w:hint="eastAsia" w:ascii="宋体" w:hAnsi="宋体"/>
          <w:szCs w:val="21"/>
        </w:rPr>
        <w:t>投标人须知前附表第2.2.3项</w:t>
      </w:r>
      <w:r>
        <w:rPr>
          <w:rFonts w:hint="eastAsia" w:ascii="宋体" w:hAnsi="宋体"/>
          <w:szCs w:val="21"/>
        </w:rPr>
        <w:fldChar w:fldCharType="end"/>
      </w:r>
      <w:r>
        <w:rPr>
          <w:rFonts w:hint="eastAsia" w:ascii="宋体" w:hAnsi="宋体"/>
          <w:szCs w:val="21"/>
        </w:rPr>
        <w:t>规定的开标时间和</w:t>
      </w:r>
      <w:r>
        <w:rPr>
          <w:rFonts w:hint="eastAsia" w:ascii="宋体" w:hAnsi="宋体"/>
          <w:szCs w:val="21"/>
        </w:rPr>
        <w:fldChar w:fldCharType="begin"/>
      </w:r>
      <w:r>
        <w:rPr>
          <w:rFonts w:hint="eastAsia" w:ascii="宋体" w:hAnsi="宋体"/>
          <w:szCs w:val="21"/>
        </w:rPr>
        <w:instrText xml:space="preserve"> HYPERLINK  \l "第二章投标人须知前附表第51项" </w:instrText>
      </w:r>
      <w:r>
        <w:rPr>
          <w:rFonts w:hint="eastAsia" w:ascii="宋体" w:hAnsi="宋体"/>
          <w:szCs w:val="21"/>
        </w:rPr>
        <w:fldChar w:fldCharType="separate"/>
      </w:r>
      <w:r>
        <w:rPr>
          <w:rFonts w:hint="eastAsia" w:ascii="宋体" w:hAnsi="宋体"/>
          <w:szCs w:val="21"/>
        </w:rPr>
        <w:t>投标人须知前附表第5.1项</w:t>
      </w:r>
      <w:r>
        <w:rPr>
          <w:rFonts w:hint="eastAsia" w:ascii="宋体" w:hAnsi="宋体"/>
          <w:szCs w:val="21"/>
        </w:rPr>
        <w:fldChar w:fldCharType="end"/>
      </w:r>
      <w:r>
        <w:rPr>
          <w:rFonts w:hint="eastAsia" w:ascii="宋体" w:hAnsi="宋体"/>
          <w:szCs w:val="21"/>
        </w:rPr>
        <w:t>规定的地点公开开标，所有投标人可在本项目开标时间</w:t>
      </w:r>
      <w:r>
        <w:rPr>
          <w:rFonts w:hint="eastAsia" w:ascii="宋体" w:hAnsi="宋体"/>
          <w:szCs w:val="21"/>
          <w:lang w:eastAsia="zh-CN"/>
        </w:rPr>
        <w:t>登录</w:t>
      </w:r>
      <w:r>
        <w:rPr>
          <w:rFonts w:hint="eastAsia" w:ascii="宋体" w:hAnsi="宋体"/>
          <w:szCs w:val="21"/>
        </w:rPr>
        <w:t>中</w:t>
      </w:r>
      <w:r>
        <w:rPr>
          <w:rFonts w:hint="eastAsia"/>
          <w:lang w:val="en" w:eastAsia="zh-CN"/>
        </w:rPr>
        <w:t>广东省公共资源交易平台（交易系统）</w:t>
      </w:r>
      <w:r>
        <w:rPr>
          <w:rFonts w:hint="eastAsia" w:ascii="宋体" w:hAnsi="宋体"/>
          <w:color w:val="auto"/>
          <w:szCs w:val="21"/>
          <w:lang w:val="en-US" w:eastAsia="zh-CN"/>
        </w:rPr>
        <w:t>的</w:t>
      </w:r>
      <w:r>
        <w:rPr>
          <w:rFonts w:hint="eastAsia" w:ascii="宋体" w:hAnsi="宋体"/>
          <w:color w:val="auto"/>
          <w:szCs w:val="21"/>
          <w:lang w:eastAsia="zh-CN"/>
        </w:rPr>
        <w:t>工程建设</w:t>
      </w:r>
      <w:r>
        <w:rPr>
          <w:rFonts w:hint="default" w:ascii="宋体" w:hAnsi="宋体"/>
          <w:color w:val="auto"/>
          <w:szCs w:val="21"/>
          <w:lang w:val="en-US"/>
        </w:rPr>
        <w:t>交易系统</w:t>
      </w:r>
      <w:r>
        <w:rPr>
          <w:rFonts w:hint="eastAsia" w:ascii="宋体" w:hAnsi="宋体"/>
          <w:szCs w:val="21"/>
        </w:rPr>
        <w:t>→“参与项目”→“网上开标”栏目参与开标并查看项目开标过程。</w:t>
      </w:r>
    </w:p>
    <w:p w14:paraId="0B5DC1C8">
      <w:pPr>
        <w:pStyle w:val="2"/>
        <w:rPr>
          <w:rFonts w:hint="eastAsia"/>
        </w:rPr>
      </w:pPr>
      <w:r>
        <w:rPr>
          <w:rFonts w:hint="eastAsia"/>
        </w:rPr>
        <w:t>5.2 开标程序</w:t>
      </w:r>
    </w:p>
    <w:p w14:paraId="7D8939D5">
      <w:pPr>
        <w:spacing w:line="360" w:lineRule="auto"/>
        <w:ind w:firstLine="420" w:firstLineChars="200"/>
        <w:rPr>
          <w:rFonts w:hint="eastAsia" w:ascii="宋体" w:hAnsi="宋体" w:cs="宋体"/>
          <w:kern w:val="0"/>
          <w:szCs w:val="21"/>
        </w:rPr>
      </w:pPr>
      <w:bookmarkStart w:id="10" w:name="_Toc184635076"/>
      <w:r>
        <w:rPr>
          <w:rFonts w:hint="eastAsia" w:ascii="宋体" w:hAnsi="宋体" w:cs="宋体"/>
          <w:kern w:val="0"/>
          <w:szCs w:val="21"/>
        </w:rPr>
        <w:t>主持人按下列程序进行开标：</w:t>
      </w:r>
    </w:p>
    <w:p w14:paraId="3DD29634">
      <w:pPr>
        <w:spacing w:line="360" w:lineRule="auto"/>
        <w:ind w:firstLine="420" w:firstLineChars="200"/>
        <w:rPr>
          <w:rFonts w:hint="eastAsia" w:ascii="宋体" w:hAnsi="宋体"/>
          <w:szCs w:val="21"/>
        </w:rPr>
      </w:pPr>
      <w:r>
        <w:rPr>
          <w:rFonts w:hint="eastAsia" w:ascii="宋体" w:hAnsi="宋体" w:cs="宋体"/>
          <w:kern w:val="0"/>
          <w:szCs w:val="21"/>
        </w:rPr>
        <w:t>（1）</w:t>
      </w:r>
      <w:r>
        <w:rPr>
          <w:rFonts w:hint="eastAsia" w:ascii="宋体" w:hAnsi="宋体"/>
          <w:szCs w:val="21"/>
        </w:rPr>
        <w:t xml:space="preserve">招标人、行政监管部门和交易中心对网上递交的投标文件进行三方解密，把电子投标文件导入系统。 </w:t>
      </w:r>
    </w:p>
    <w:p w14:paraId="7331E4F5">
      <w:pPr>
        <w:spacing w:line="360" w:lineRule="auto"/>
        <w:ind w:firstLine="420" w:firstLineChars="200"/>
        <w:rPr>
          <w:rFonts w:hint="eastAsia" w:ascii="宋体" w:hAnsi="宋体"/>
          <w:szCs w:val="21"/>
        </w:rPr>
      </w:pPr>
      <w:r>
        <w:rPr>
          <w:rFonts w:hint="eastAsia" w:ascii="宋体" w:hAnsi="宋体"/>
          <w:szCs w:val="21"/>
        </w:rPr>
        <w:t>（2）核对评标参数；</w:t>
      </w:r>
    </w:p>
    <w:p w14:paraId="7F7CCF7E">
      <w:pPr>
        <w:spacing w:line="360" w:lineRule="auto"/>
        <w:ind w:firstLine="420" w:firstLineChars="200"/>
        <w:rPr>
          <w:rFonts w:hint="eastAsia" w:ascii="宋体" w:hAnsi="宋体"/>
          <w:szCs w:val="21"/>
        </w:rPr>
      </w:pPr>
      <w:r>
        <w:rPr>
          <w:rFonts w:hint="eastAsia" w:ascii="宋体" w:hAnsi="宋体"/>
          <w:szCs w:val="21"/>
        </w:rPr>
        <w:t>（3）招标人或招标代理检查投标人的投标保证金的递交情况</w:t>
      </w:r>
      <w:r>
        <w:rPr>
          <w:rFonts w:hint="eastAsia"/>
        </w:rPr>
        <w:t>进行确认</w:t>
      </w:r>
      <w:r>
        <w:rPr>
          <w:rFonts w:hint="eastAsia" w:ascii="宋体" w:hAnsi="宋体"/>
          <w:szCs w:val="21"/>
        </w:rPr>
        <w:t>，唱标；</w:t>
      </w:r>
    </w:p>
    <w:p w14:paraId="14C56CD5">
      <w:pPr>
        <w:spacing w:line="360" w:lineRule="auto"/>
        <w:ind w:firstLine="420" w:firstLineChars="200"/>
        <w:rPr>
          <w:rFonts w:hint="eastAsia" w:ascii="宋体" w:hAnsi="宋体"/>
          <w:szCs w:val="21"/>
        </w:rPr>
      </w:pPr>
      <w:r>
        <w:rPr>
          <w:rFonts w:hint="eastAsia" w:ascii="宋体" w:hAnsi="宋体"/>
          <w:szCs w:val="21"/>
        </w:rPr>
        <w:t>（4）开标结束。</w:t>
      </w:r>
    </w:p>
    <w:p w14:paraId="7281F6EE">
      <w:pPr>
        <w:spacing w:line="360" w:lineRule="auto"/>
        <w:rPr>
          <w:rFonts w:hint="eastAsia" w:ascii="宋体" w:hAnsi="宋体"/>
          <w:b/>
          <w:bCs/>
          <w:szCs w:val="21"/>
        </w:rPr>
      </w:pPr>
      <w:r>
        <w:rPr>
          <w:rFonts w:hint="eastAsia"/>
          <w:b/>
          <w:bCs/>
        </w:rPr>
        <w:t xml:space="preserve">5.3 </w:t>
      </w:r>
      <w:r>
        <w:rPr>
          <w:rFonts w:hint="eastAsia" w:ascii="宋体" w:hAnsi="宋体"/>
          <w:b/>
          <w:bCs/>
          <w:szCs w:val="21"/>
        </w:rPr>
        <w:t xml:space="preserve"> 异议提出</w:t>
      </w:r>
    </w:p>
    <w:p w14:paraId="3884DF24">
      <w:pPr>
        <w:spacing w:line="360" w:lineRule="auto"/>
        <w:ind w:firstLine="420" w:firstLineChars="200"/>
        <w:rPr>
          <w:rFonts w:hint="eastAsia" w:ascii="宋体" w:hAnsi="宋体"/>
          <w:szCs w:val="21"/>
        </w:rPr>
      </w:pPr>
      <w:r>
        <w:rPr>
          <w:rFonts w:hint="eastAsia" w:ascii="宋体" w:hAnsi="宋体"/>
          <w:szCs w:val="21"/>
        </w:rPr>
        <w:t>投标人对项目开标有异议的，应当在开标时间通过</w:t>
      </w:r>
      <w:r>
        <w:rPr>
          <w:rFonts w:hint="eastAsia"/>
          <w:lang w:val="en" w:eastAsia="zh-CN"/>
        </w:rPr>
        <w:t>广东省公共资源交易平台（交易系统）</w:t>
      </w:r>
      <w:r>
        <w:rPr>
          <w:rFonts w:hint="eastAsia" w:ascii="宋体" w:hAnsi="宋体"/>
          <w:color w:val="auto"/>
          <w:szCs w:val="21"/>
          <w:lang w:val="en-US" w:eastAsia="zh-CN"/>
        </w:rPr>
        <w:t>的</w:t>
      </w:r>
      <w:r>
        <w:rPr>
          <w:rFonts w:hint="eastAsia" w:ascii="宋体" w:hAnsi="宋体"/>
          <w:color w:val="auto"/>
          <w:szCs w:val="21"/>
          <w:lang w:eastAsia="zh-CN"/>
        </w:rPr>
        <w:t>工程建设</w:t>
      </w:r>
      <w:r>
        <w:rPr>
          <w:rFonts w:hint="default" w:ascii="宋体" w:hAnsi="宋体"/>
          <w:color w:val="auto"/>
          <w:szCs w:val="21"/>
          <w:lang w:val="en-US"/>
        </w:rPr>
        <w:t>交易系统</w:t>
      </w:r>
      <w:r>
        <w:rPr>
          <w:rFonts w:hint="eastAsia" w:ascii="宋体" w:hAnsi="宋体"/>
          <w:szCs w:val="21"/>
        </w:rPr>
        <w:t>在线提出异议，招标人或招标代理在线及时回复，并制作记录。异议的范围包括：投标文件的提交、截标时间、开标程序、唱标内容、开标记录、唱标次序等，以及《中华人民共和国招标投标法实施条例》第三十四条所规定的情形。</w:t>
      </w:r>
      <w:r>
        <w:rPr>
          <w:rFonts w:hint="eastAsia"/>
        </w:rPr>
        <w:t>投标人在开标时间未参加开标和在线提出异议的，视同认可开标结果。</w:t>
      </w:r>
    </w:p>
    <w:p w14:paraId="5BD17D9B">
      <w:pPr>
        <w:pageBreakBefore w:val="0"/>
        <w:kinsoku/>
        <w:wordWrap/>
        <w:overflowPunct/>
        <w:topLinePunct w:val="0"/>
        <w:bidi w:val="0"/>
        <w:spacing w:line="360" w:lineRule="auto"/>
        <w:ind w:firstLine="420" w:firstLineChars="200"/>
        <w:textAlignment w:val="auto"/>
        <w:rPr>
          <w:rFonts w:hint="eastAsia" w:ascii="宋体" w:hAnsi="宋体"/>
          <w:szCs w:val="21"/>
        </w:rPr>
      </w:pPr>
      <w:r>
        <w:rPr>
          <w:rFonts w:hint="eastAsia" w:ascii="宋体" w:hAnsi="宋体"/>
          <w:szCs w:val="21"/>
        </w:rPr>
        <w:t>潜在投标人或者其他利害关系人对招标文件有异议的，应当在投标截止时间10日前提出</w:t>
      </w:r>
      <w:r>
        <w:rPr>
          <w:rFonts w:hint="eastAsia" w:ascii="宋体" w:hAnsi="宋体"/>
          <w:szCs w:val="21"/>
          <w:lang w:eastAsia="zh-CN"/>
        </w:rPr>
        <w:t>；</w:t>
      </w:r>
      <w:r>
        <w:rPr>
          <w:rFonts w:hint="eastAsia" w:ascii="宋体" w:hAnsi="宋体"/>
          <w:szCs w:val="21"/>
        </w:rPr>
        <w:t>投标人和其他利害关系人对依法必须进行招标的项目的评标结果有异议的，应当在中标候选人公示期间提出。</w:t>
      </w:r>
      <w:r>
        <w:rPr>
          <w:rFonts w:hint="eastAsia" w:ascii="宋体" w:hAnsi="宋体"/>
          <w:szCs w:val="21"/>
          <w:lang w:eastAsia="zh-CN"/>
        </w:rPr>
        <w:t>异议可通过</w:t>
      </w:r>
      <w:r>
        <w:rPr>
          <w:rFonts w:hint="eastAsia" w:ascii="宋体" w:hAnsi="宋体"/>
          <w:szCs w:val="21"/>
          <w:lang w:val="en" w:eastAsia="zh-CN"/>
        </w:rPr>
        <w:t>广东省公共资源交易平台（交易系统）</w:t>
      </w:r>
      <w:r>
        <w:rPr>
          <w:rFonts w:hint="eastAsia" w:ascii="宋体" w:hAnsi="宋体"/>
          <w:szCs w:val="21"/>
          <w:lang w:eastAsia="zh-CN"/>
        </w:rPr>
        <w:t>的“在线提出异议”栏目向招标人提出，也可线下直接向招标人递交异议文件。</w:t>
      </w:r>
      <w:r>
        <w:rPr>
          <w:rFonts w:hint="eastAsia" w:ascii="宋体" w:hAnsi="宋体"/>
          <w:szCs w:val="21"/>
        </w:rPr>
        <w:t>招标人应当自收到异议之日起3日内作出答复；作出答复前，应当暂停招标投标活动。</w:t>
      </w:r>
    </w:p>
    <w:p w14:paraId="5179B083">
      <w:pPr>
        <w:spacing w:line="360" w:lineRule="auto"/>
        <w:ind w:firstLine="420" w:firstLineChars="200"/>
        <w:rPr>
          <w:rFonts w:hint="default" w:ascii="宋体" w:hAnsi="宋体"/>
          <w:szCs w:val="21"/>
        </w:rPr>
      </w:pPr>
      <w:r>
        <w:rPr>
          <w:rFonts w:hint="eastAsia" w:ascii="宋体" w:hAnsi="宋体"/>
          <w:szCs w:val="21"/>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w:t>
      </w:r>
      <w:r>
        <w:rPr>
          <w:rFonts w:hint="eastAsia" w:ascii="宋体" w:hAnsi="宋体"/>
          <w:szCs w:val="21"/>
          <w:lang w:eastAsia="zh-CN"/>
        </w:rPr>
        <w:t>代理人</w:t>
      </w:r>
      <w:r>
        <w:rPr>
          <w:rFonts w:hint="eastAsia" w:ascii="宋体" w:hAnsi="宋体"/>
          <w:szCs w:val="21"/>
        </w:rPr>
        <w:t>的，</w:t>
      </w:r>
      <w:r>
        <w:rPr>
          <w:rFonts w:hint="eastAsia" w:ascii="宋体" w:hAnsi="宋体"/>
          <w:szCs w:val="21"/>
          <w:lang w:eastAsia="zh-CN"/>
        </w:rPr>
        <w:t>代理人</w:t>
      </w:r>
      <w:r>
        <w:rPr>
          <w:rFonts w:hint="eastAsia" w:ascii="宋体" w:hAnsi="宋体"/>
          <w:szCs w:val="21"/>
        </w:rPr>
        <w:t>没有相应的授权委托书和有效身份证明复印件，或者有关委托代理权限和事项不明确的。</w:t>
      </w:r>
    </w:p>
    <w:p w14:paraId="7DA768A3">
      <w:pPr>
        <w:pageBreakBefore w:val="0"/>
        <w:kinsoku/>
        <w:wordWrap/>
        <w:overflowPunct/>
        <w:topLinePunct w:val="0"/>
        <w:bidi w:val="0"/>
        <w:spacing w:line="360" w:lineRule="auto"/>
        <w:ind w:firstLine="420" w:firstLineChars="200"/>
        <w:textAlignment w:val="auto"/>
        <w:rPr>
          <w:rFonts w:hint="eastAsia" w:ascii="宋体" w:hAnsi="宋体"/>
          <w:color w:val="auto"/>
          <w:szCs w:val="21"/>
        </w:rPr>
      </w:pPr>
      <w:r>
        <w:rPr>
          <w:rFonts w:hint="eastAsia" w:ascii="宋体" w:hAnsi="宋体"/>
          <w:szCs w:val="21"/>
        </w:rPr>
        <w:t>投标人和其他利害关系人认为本次招标活动不符合法律行政法规规定的，可以自知道或者应当知道之日起10个日历天内向有关行政监督部门投诉。依据招投标法律法规规章规定，投诉事项属应先向招标人提出异议而没有提出异议的，行政监督部门不予受理。</w:t>
      </w:r>
      <w:r>
        <w:rPr>
          <w:rFonts w:hint="eastAsia" w:ascii="宋体" w:hAnsi="宋体"/>
          <w:color w:val="auto"/>
          <w:szCs w:val="21"/>
          <w:lang w:eastAsia="zh-CN"/>
        </w:rPr>
        <w:t>投诉可通过广东省</w:t>
      </w:r>
      <w:r>
        <w:rPr>
          <w:rFonts w:hint="eastAsia" w:ascii="宋体" w:hAnsi="宋体"/>
          <w:color w:val="auto"/>
          <w:szCs w:val="21"/>
          <w:highlight w:val="none"/>
        </w:rPr>
        <w:t>公共资源交易平台（</w:t>
      </w:r>
      <w:r>
        <w:rPr>
          <w:rFonts w:hint="eastAsia" w:ascii="宋体" w:hAnsi="宋体"/>
          <w:color w:val="auto"/>
          <w:szCs w:val="21"/>
          <w:highlight w:val="none"/>
          <w:lang w:eastAsia="zh-CN"/>
        </w:rPr>
        <w:t>交易</w:t>
      </w:r>
      <w:r>
        <w:rPr>
          <w:rFonts w:hint="eastAsia" w:ascii="宋体" w:hAnsi="宋体"/>
          <w:color w:val="auto"/>
          <w:szCs w:val="21"/>
          <w:highlight w:val="none"/>
        </w:rPr>
        <w:t>系统）</w:t>
      </w:r>
      <w:r>
        <w:rPr>
          <w:rFonts w:hint="eastAsia" w:ascii="宋体" w:hAnsi="宋体"/>
          <w:color w:val="auto"/>
          <w:szCs w:val="21"/>
          <w:highlight w:val="none"/>
          <w:lang w:eastAsia="zh-CN"/>
        </w:rPr>
        <w:t>的</w:t>
      </w:r>
      <w:r>
        <w:rPr>
          <w:rFonts w:hint="eastAsia" w:ascii="宋体" w:hAnsi="宋体"/>
          <w:color w:val="auto"/>
          <w:szCs w:val="21"/>
          <w:highlight w:val="none"/>
        </w:rPr>
        <w:t>“在线提出投诉”</w:t>
      </w:r>
      <w:r>
        <w:rPr>
          <w:rFonts w:hint="eastAsia" w:ascii="宋体" w:hAnsi="宋体"/>
          <w:color w:val="auto"/>
          <w:szCs w:val="21"/>
          <w:lang w:eastAsia="zh-CN"/>
        </w:rPr>
        <w:t>栏目向</w:t>
      </w:r>
      <w:r>
        <w:rPr>
          <w:rFonts w:hint="eastAsia" w:ascii="宋体" w:hAnsi="宋体"/>
          <w:color w:val="auto"/>
          <w:szCs w:val="21"/>
        </w:rPr>
        <w:t>有关行政监督部门</w:t>
      </w:r>
      <w:r>
        <w:rPr>
          <w:rFonts w:hint="eastAsia" w:ascii="宋体" w:hAnsi="宋体"/>
          <w:color w:val="auto"/>
          <w:szCs w:val="21"/>
          <w:lang w:eastAsia="zh-CN"/>
        </w:rPr>
        <w:t>提出，也可线下直接向</w:t>
      </w:r>
      <w:r>
        <w:rPr>
          <w:rFonts w:hint="eastAsia" w:ascii="宋体" w:hAnsi="宋体"/>
          <w:color w:val="auto"/>
          <w:szCs w:val="21"/>
        </w:rPr>
        <w:t>有关行政监督部门</w:t>
      </w:r>
      <w:r>
        <w:rPr>
          <w:rFonts w:hint="eastAsia" w:ascii="宋体" w:hAnsi="宋体"/>
          <w:color w:val="auto"/>
          <w:szCs w:val="21"/>
          <w:lang w:eastAsia="zh-CN"/>
        </w:rPr>
        <w:t>递交投诉文件。</w:t>
      </w:r>
    </w:p>
    <w:p w14:paraId="0A03B3C4">
      <w:pPr>
        <w:spacing w:line="360" w:lineRule="auto"/>
        <w:ind w:firstLine="420" w:firstLineChars="200"/>
        <w:rPr>
          <w:rFonts w:hint="eastAsia" w:ascii="宋体" w:hAnsi="宋体"/>
          <w:szCs w:val="21"/>
        </w:rPr>
      </w:pPr>
      <w:r>
        <w:rPr>
          <w:rFonts w:hint="eastAsia" w:ascii="宋体" w:hAnsi="宋体"/>
          <w:szCs w:val="21"/>
        </w:rPr>
        <w:t>被投诉单位在收到查询函5个工作日内向招标人及行政监督部门提供书面回复及有效的证明资料。</w:t>
      </w:r>
    </w:p>
    <w:p w14:paraId="567810BC">
      <w:pPr>
        <w:spacing w:line="360" w:lineRule="auto"/>
        <w:ind w:firstLine="420" w:firstLineChars="200"/>
        <w:rPr>
          <w:rFonts w:hint="eastAsia" w:ascii="宋体" w:hAnsi="宋体"/>
          <w:szCs w:val="21"/>
        </w:rPr>
      </w:pPr>
      <w:r>
        <w:rPr>
          <w:rFonts w:hint="eastAsia" w:ascii="宋体" w:hAnsi="宋体"/>
          <w:szCs w:val="21"/>
        </w:rPr>
        <w:t>依法必须进行招标的项目的招标投标活动违反招标投标法和招标投标法实施条例的规定，对中标结果造成实质性影响，且不能采取补救措施予以纠正的，招标、投标、中标无效，应当依法重新组织招标或者评标。</w:t>
      </w:r>
    </w:p>
    <w:p w14:paraId="29A555DE">
      <w:pPr>
        <w:pStyle w:val="2"/>
        <w:rPr>
          <w:rFonts w:hint="eastAsia"/>
        </w:rPr>
      </w:pPr>
      <w:r>
        <w:rPr>
          <w:rFonts w:hint="eastAsia"/>
        </w:rPr>
        <w:t>5.4其他</w:t>
      </w:r>
    </w:p>
    <w:p w14:paraId="4A9A56D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rPr>
      </w:pPr>
      <w:r>
        <w:rPr>
          <w:rFonts w:hint="eastAsia" w:ascii="宋体" w:hAnsi="宋体"/>
          <w:szCs w:val="21"/>
        </w:rPr>
        <w:t>本项目</w:t>
      </w:r>
      <w:r>
        <w:rPr>
          <w:rFonts w:hint="eastAsia" w:ascii="宋体" w:hAnsi="宋体"/>
          <w:szCs w:val="21"/>
          <w:lang w:val="en-US" w:eastAsia="zh-CN"/>
        </w:rPr>
        <w:t>采用</w:t>
      </w:r>
      <w:r>
        <w:rPr>
          <w:rFonts w:hint="eastAsia" w:ascii="宋体" w:hAnsi="宋体"/>
          <w:szCs w:val="21"/>
        </w:rPr>
        <w:t>网</w:t>
      </w:r>
      <w:r>
        <w:rPr>
          <w:rFonts w:hint="eastAsia" w:ascii="宋体" w:hAnsi="宋体"/>
          <w:szCs w:val="21"/>
          <w:lang w:val="en-US" w:eastAsia="zh-CN"/>
        </w:rPr>
        <w:t>上</w:t>
      </w:r>
      <w:r>
        <w:rPr>
          <w:rFonts w:hint="eastAsia" w:ascii="宋体" w:hAnsi="宋体"/>
          <w:szCs w:val="21"/>
        </w:rPr>
        <w:t>开标</w:t>
      </w:r>
      <w:r>
        <w:rPr>
          <w:rFonts w:hint="eastAsia" w:ascii="宋体" w:hAnsi="宋体"/>
          <w:szCs w:val="21"/>
          <w:lang w:val="en-US" w:eastAsia="zh-CN"/>
        </w:rPr>
        <w:t>方式</w:t>
      </w:r>
      <w:r>
        <w:rPr>
          <w:rFonts w:hint="eastAsia" w:ascii="宋体" w:hAnsi="宋体"/>
          <w:szCs w:val="21"/>
        </w:rPr>
        <w:t>，投标人无需提交原件。</w:t>
      </w:r>
    </w:p>
    <w:p w14:paraId="084EA7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rPr>
        <w:t>评标期间，</w:t>
      </w:r>
      <w:r>
        <w:rPr>
          <w:rFonts w:hint="eastAsia" w:ascii="宋体" w:hAnsi="宋体"/>
          <w:szCs w:val="21"/>
        </w:rPr>
        <w:t>若评标委员会对投标单位的投标文件有疑问需投标单位作出澄清、说明或补正的，将通过交易系统发出澄清要求，投标人可在交易系统查看并作回复。投标人应及时查看系统通知，在评标委员会要求的澄清时间内在交易系统提交澄清、说明或补正文件，</w:t>
      </w:r>
      <w:r>
        <w:rPr>
          <w:rFonts w:hint="eastAsia"/>
        </w:rPr>
        <w:t>如未及时在交易系统提交书面澄清、说明或补正</w:t>
      </w:r>
      <w:r>
        <w:rPr>
          <w:rFonts w:hint="eastAsia" w:ascii="宋体" w:hAnsi="宋体"/>
          <w:szCs w:val="21"/>
        </w:rPr>
        <w:t>导致投标单位被废标的，由此造成的后果由相应的投标人负责。</w:t>
      </w:r>
    </w:p>
    <w:p w14:paraId="0ACD10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以下</w:t>
      </w:r>
      <w:r>
        <w:rPr>
          <w:rFonts w:hint="eastAsia"/>
        </w:rPr>
        <w:t>证件或证明材料原件由招标人在评标结束后，在中标通知书发出前进行查验，投标人需确保投标文件所列的证件或证明材料复印件与原件内容相符，否则按提交虚假材料进行投标处理，并按提交虚假材料进行投标行为上报行政主管部门进行处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16"/>
        <w:gridCol w:w="4286"/>
      </w:tblGrid>
      <w:tr w14:paraId="4F3E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8" w:type="dxa"/>
            <w:noWrap w:val="0"/>
            <w:vAlign w:val="center"/>
          </w:tcPr>
          <w:p w14:paraId="36BC3B36">
            <w:pPr>
              <w:jc w:val="center"/>
              <w:rPr>
                <w:rFonts w:hint="eastAsia"/>
              </w:rPr>
            </w:pPr>
            <w:r>
              <w:rPr>
                <w:rFonts w:hint="eastAsia"/>
              </w:rPr>
              <w:t>序号</w:t>
            </w:r>
          </w:p>
        </w:tc>
        <w:tc>
          <w:tcPr>
            <w:tcW w:w="2916" w:type="dxa"/>
            <w:noWrap w:val="0"/>
            <w:vAlign w:val="center"/>
          </w:tcPr>
          <w:p w14:paraId="6BA041BD">
            <w:pPr>
              <w:rPr>
                <w:rFonts w:hint="eastAsia"/>
                <w:b/>
              </w:rPr>
            </w:pPr>
            <w:r>
              <w:rPr>
                <w:rFonts w:hint="eastAsia" w:ascii="宋体" w:hAnsi="宋体"/>
                <w:b/>
                <w:szCs w:val="21"/>
              </w:rPr>
              <w:t>证件或证明材料名称</w:t>
            </w:r>
          </w:p>
        </w:tc>
        <w:tc>
          <w:tcPr>
            <w:tcW w:w="4286" w:type="dxa"/>
            <w:noWrap w:val="0"/>
            <w:vAlign w:val="center"/>
          </w:tcPr>
          <w:p w14:paraId="5CF262B5">
            <w:pPr>
              <w:rPr>
                <w:rFonts w:hint="eastAsia"/>
                <w:b/>
              </w:rPr>
            </w:pPr>
            <w:r>
              <w:rPr>
                <w:rFonts w:hint="eastAsia"/>
                <w:b/>
              </w:rPr>
              <w:t>备注</w:t>
            </w:r>
          </w:p>
        </w:tc>
      </w:tr>
      <w:tr w14:paraId="6099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E0AA090">
            <w:pPr>
              <w:jc w:val="center"/>
              <w:rPr>
                <w:rFonts w:hint="eastAsia"/>
              </w:rPr>
            </w:pPr>
            <w:r>
              <w:rPr>
                <w:rFonts w:hint="eastAsia"/>
              </w:rPr>
              <w:t>1</w:t>
            </w:r>
          </w:p>
        </w:tc>
        <w:tc>
          <w:tcPr>
            <w:tcW w:w="2916" w:type="dxa"/>
            <w:noWrap w:val="0"/>
            <w:vAlign w:val="center"/>
          </w:tcPr>
          <w:p w14:paraId="255F8329">
            <w:pPr>
              <w:rPr>
                <w:rFonts w:hint="eastAsia"/>
                <w:sz w:val="24"/>
              </w:rPr>
            </w:pPr>
            <w:r>
              <w:rPr>
                <w:rFonts w:hint="eastAsia"/>
                <w:sz w:val="24"/>
              </w:rPr>
              <w:t>法定代表人证明书及法人身份证原件</w:t>
            </w:r>
          </w:p>
        </w:tc>
        <w:tc>
          <w:tcPr>
            <w:tcW w:w="4286" w:type="dxa"/>
            <w:noWrap w:val="0"/>
            <w:vAlign w:val="center"/>
          </w:tcPr>
          <w:p w14:paraId="4513191B">
            <w:pPr>
              <w:rPr>
                <w:rFonts w:hint="eastAsia"/>
                <w:sz w:val="24"/>
              </w:rPr>
            </w:pPr>
            <w:r>
              <w:rPr>
                <w:rFonts w:hint="eastAsia"/>
                <w:sz w:val="24"/>
              </w:rPr>
              <w:t>法定代表人参加查验会需提供（随身携带）</w:t>
            </w:r>
          </w:p>
        </w:tc>
      </w:tr>
      <w:tr w14:paraId="7C43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DC88B1C">
            <w:pPr>
              <w:jc w:val="center"/>
              <w:rPr>
                <w:rFonts w:hint="eastAsia"/>
              </w:rPr>
            </w:pPr>
            <w:r>
              <w:rPr>
                <w:rFonts w:hint="eastAsia"/>
              </w:rPr>
              <w:t>2</w:t>
            </w:r>
          </w:p>
        </w:tc>
        <w:tc>
          <w:tcPr>
            <w:tcW w:w="2916" w:type="dxa"/>
            <w:noWrap w:val="0"/>
            <w:vAlign w:val="center"/>
          </w:tcPr>
          <w:p w14:paraId="1481D30A">
            <w:pPr>
              <w:rPr>
                <w:rFonts w:hint="eastAsia"/>
                <w:sz w:val="24"/>
              </w:rPr>
            </w:pPr>
            <w:r>
              <w:rPr>
                <w:rFonts w:hint="eastAsia"/>
                <w:sz w:val="24"/>
              </w:rPr>
              <w:t>法定代表人证明书、授权委托书及委托代理人身份证</w:t>
            </w:r>
          </w:p>
        </w:tc>
        <w:tc>
          <w:tcPr>
            <w:tcW w:w="4286" w:type="dxa"/>
            <w:noWrap w:val="0"/>
            <w:vAlign w:val="center"/>
          </w:tcPr>
          <w:p w14:paraId="0535AB69">
            <w:pPr>
              <w:rPr>
                <w:rFonts w:hint="eastAsia"/>
                <w:sz w:val="24"/>
              </w:rPr>
            </w:pPr>
            <w:r>
              <w:rPr>
                <w:rFonts w:hint="eastAsia"/>
                <w:sz w:val="24"/>
              </w:rPr>
              <w:t>委托代理人参加查验会时需提供（随身携带）</w:t>
            </w:r>
          </w:p>
        </w:tc>
      </w:tr>
      <w:tr w14:paraId="0A1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1C05FEFD">
            <w:pPr>
              <w:jc w:val="center"/>
              <w:rPr>
                <w:rFonts w:hint="eastAsia" w:eastAsia="宋体"/>
                <w:lang w:eastAsia="zh-CN"/>
              </w:rPr>
            </w:pPr>
            <w:r>
              <w:rPr>
                <w:rFonts w:hint="eastAsia"/>
                <w:lang w:val="en-US" w:eastAsia="zh-CN"/>
              </w:rPr>
              <w:t>3</w:t>
            </w:r>
          </w:p>
        </w:tc>
        <w:tc>
          <w:tcPr>
            <w:tcW w:w="2916" w:type="dxa"/>
            <w:noWrap w:val="0"/>
            <w:vAlign w:val="center"/>
          </w:tcPr>
          <w:p w14:paraId="2B853520">
            <w:pPr>
              <w:rPr>
                <w:rFonts w:hint="eastAsia"/>
                <w:sz w:val="24"/>
              </w:rPr>
            </w:pPr>
            <w:r>
              <w:rPr>
                <w:rFonts w:hint="eastAsia"/>
                <w:sz w:val="24"/>
              </w:rPr>
              <w:t>营业执照</w:t>
            </w:r>
          </w:p>
        </w:tc>
        <w:tc>
          <w:tcPr>
            <w:tcW w:w="4286" w:type="dxa"/>
            <w:noWrap w:val="0"/>
            <w:vAlign w:val="center"/>
          </w:tcPr>
          <w:p w14:paraId="4C1D01C2">
            <w:pPr>
              <w:rPr>
                <w:rFonts w:hint="eastAsia"/>
                <w:sz w:val="24"/>
              </w:rPr>
            </w:pPr>
            <w:r>
              <w:rPr>
                <w:rFonts w:hint="eastAsia"/>
                <w:sz w:val="24"/>
              </w:rPr>
              <w:t>若为含可供查询的二维码的新证，仅需提供复印件加盖企业公章</w:t>
            </w:r>
          </w:p>
        </w:tc>
      </w:tr>
      <w:tr w14:paraId="116E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2C7BDBB">
            <w:pPr>
              <w:jc w:val="center"/>
              <w:rPr>
                <w:rFonts w:hint="default" w:eastAsia="宋体"/>
                <w:lang w:val="en-US" w:eastAsia="zh-CN"/>
              </w:rPr>
            </w:pPr>
            <w:r>
              <w:rPr>
                <w:rFonts w:hint="eastAsia"/>
                <w:lang w:val="en-US" w:eastAsia="zh-CN"/>
              </w:rPr>
              <w:t>4</w:t>
            </w:r>
          </w:p>
        </w:tc>
        <w:tc>
          <w:tcPr>
            <w:tcW w:w="2916" w:type="dxa"/>
            <w:noWrap w:val="0"/>
            <w:vAlign w:val="center"/>
          </w:tcPr>
          <w:p w14:paraId="0A330983">
            <w:pPr>
              <w:rPr>
                <w:rFonts w:hint="eastAsia"/>
                <w:sz w:val="24"/>
              </w:rPr>
            </w:pPr>
            <w:r>
              <w:rPr>
                <w:rFonts w:hint="eastAsia"/>
                <w:sz w:val="24"/>
              </w:rPr>
              <w:t>资质证书</w:t>
            </w:r>
          </w:p>
        </w:tc>
        <w:tc>
          <w:tcPr>
            <w:tcW w:w="4286" w:type="dxa"/>
            <w:noWrap w:val="0"/>
            <w:vAlign w:val="center"/>
          </w:tcPr>
          <w:p w14:paraId="74229841">
            <w:pPr>
              <w:rPr>
                <w:rFonts w:hint="eastAsia"/>
                <w:sz w:val="24"/>
              </w:rPr>
            </w:pPr>
            <w:r>
              <w:rPr>
                <w:rFonts w:hint="eastAsia"/>
                <w:sz w:val="24"/>
              </w:rPr>
              <w:t>若为含可供查询的二维码的新证，仅需提供复印件加盖企业公章</w:t>
            </w:r>
          </w:p>
        </w:tc>
      </w:tr>
      <w:tr w14:paraId="2BD6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noWrap w:val="0"/>
            <w:vAlign w:val="center"/>
          </w:tcPr>
          <w:p w14:paraId="06278649">
            <w:pPr>
              <w:jc w:val="center"/>
              <w:rPr>
                <w:rFonts w:hint="eastAsia" w:eastAsia="宋体"/>
                <w:lang w:eastAsia="zh-CN"/>
              </w:rPr>
            </w:pPr>
            <w:r>
              <w:rPr>
                <w:rFonts w:hint="eastAsia"/>
                <w:lang w:val="en-US" w:eastAsia="zh-CN"/>
              </w:rPr>
              <w:t>5</w:t>
            </w:r>
          </w:p>
        </w:tc>
        <w:tc>
          <w:tcPr>
            <w:tcW w:w="2916" w:type="dxa"/>
            <w:noWrap w:val="0"/>
            <w:vAlign w:val="center"/>
          </w:tcPr>
          <w:p w14:paraId="2DDC4176">
            <w:pPr>
              <w:rPr>
                <w:rFonts w:hint="eastAsia"/>
              </w:rPr>
            </w:pPr>
            <w:r>
              <w:rPr>
                <w:rFonts w:hint="eastAsia"/>
                <w:sz w:val="24"/>
              </w:rPr>
              <w:t>安全生产许可证</w:t>
            </w:r>
          </w:p>
        </w:tc>
        <w:tc>
          <w:tcPr>
            <w:tcW w:w="4286" w:type="dxa"/>
            <w:noWrap w:val="0"/>
            <w:vAlign w:val="center"/>
          </w:tcPr>
          <w:p w14:paraId="6BCFAAAC">
            <w:pPr>
              <w:rPr>
                <w:rFonts w:hint="eastAsia"/>
                <w:sz w:val="24"/>
              </w:rPr>
            </w:pPr>
            <w:r>
              <w:rPr>
                <w:rFonts w:hint="eastAsia"/>
                <w:sz w:val="24"/>
              </w:rPr>
              <w:t>园林绿化项目免此项</w:t>
            </w:r>
          </w:p>
        </w:tc>
      </w:tr>
      <w:tr w14:paraId="0A2D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noWrap w:val="0"/>
            <w:vAlign w:val="center"/>
          </w:tcPr>
          <w:p w14:paraId="37822A21">
            <w:pPr>
              <w:jc w:val="center"/>
              <w:rPr>
                <w:rFonts w:hint="eastAsia" w:eastAsia="宋体"/>
                <w:lang w:eastAsia="zh-CN"/>
              </w:rPr>
            </w:pPr>
            <w:r>
              <w:rPr>
                <w:rFonts w:hint="eastAsia"/>
                <w:lang w:val="en-US" w:eastAsia="zh-CN"/>
              </w:rPr>
              <w:t>6</w:t>
            </w:r>
          </w:p>
        </w:tc>
        <w:tc>
          <w:tcPr>
            <w:tcW w:w="2916" w:type="dxa"/>
            <w:noWrap w:val="0"/>
            <w:vAlign w:val="center"/>
          </w:tcPr>
          <w:p w14:paraId="1EB3776F">
            <w:pPr>
              <w:rPr>
                <w:rFonts w:hint="eastAsia"/>
              </w:rPr>
            </w:pPr>
            <w:r>
              <w:rPr>
                <w:rFonts w:hint="eastAsia"/>
                <w:sz w:val="24"/>
              </w:rPr>
              <w:t>注册建造师证</w:t>
            </w:r>
          </w:p>
        </w:tc>
        <w:tc>
          <w:tcPr>
            <w:tcW w:w="4286" w:type="dxa"/>
            <w:noWrap w:val="0"/>
            <w:vAlign w:val="center"/>
          </w:tcPr>
          <w:p w14:paraId="05D4DF8C">
            <w:pPr>
              <w:rPr>
                <w:rFonts w:hint="eastAsia"/>
                <w:sz w:val="24"/>
              </w:rPr>
            </w:pPr>
            <w:r>
              <w:rPr>
                <w:rFonts w:hint="eastAsia"/>
                <w:sz w:val="24"/>
              </w:rPr>
              <w:t>若在省建设执业资格注册中心持证人员从业情况信息公开平台申请注册的，打印注册信息加盖企业公章</w:t>
            </w:r>
          </w:p>
        </w:tc>
      </w:tr>
      <w:tr w14:paraId="1F24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noWrap w:val="0"/>
            <w:vAlign w:val="center"/>
          </w:tcPr>
          <w:p w14:paraId="20843A42">
            <w:pPr>
              <w:jc w:val="center"/>
              <w:rPr>
                <w:rFonts w:hint="eastAsia" w:eastAsia="宋体"/>
                <w:lang w:eastAsia="zh-CN"/>
              </w:rPr>
            </w:pPr>
            <w:r>
              <w:rPr>
                <w:rFonts w:hint="eastAsia"/>
                <w:lang w:val="en-US" w:eastAsia="zh-CN"/>
              </w:rPr>
              <w:t>7</w:t>
            </w:r>
          </w:p>
        </w:tc>
        <w:tc>
          <w:tcPr>
            <w:tcW w:w="2916" w:type="dxa"/>
            <w:noWrap w:val="0"/>
            <w:vAlign w:val="center"/>
          </w:tcPr>
          <w:p w14:paraId="2D526F35">
            <w:pPr>
              <w:rPr>
                <w:rFonts w:hint="eastAsia"/>
              </w:rPr>
            </w:pPr>
            <w:r>
              <w:rPr>
                <w:rFonts w:hint="eastAsia"/>
                <w:sz w:val="24"/>
              </w:rPr>
              <w:t>技术负责人职称证</w:t>
            </w:r>
          </w:p>
        </w:tc>
        <w:tc>
          <w:tcPr>
            <w:tcW w:w="4286" w:type="dxa"/>
            <w:noWrap w:val="0"/>
            <w:vAlign w:val="center"/>
          </w:tcPr>
          <w:p w14:paraId="37DB175D">
            <w:pPr>
              <w:rPr>
                <w:rFonts w:hint="eastAsia"/>
              </w:rPr>
            </w:pPr>
          </w:p>
        </w:tc>
      </w:tr>
      <w:tr w14:paraId="50D4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noWrap w:val="0"/>
            <w:vAlign w:val="center"/>
          </w:tcPr>
          <w:p w14:paraId="08DAC168">
            <w:pPr>
              <w:jc w:val="center"/>
              <w:rPr>
                <w:rFonts w:hint="eastAsia" w:eastAsia="宋体"/>
                <w:lang w:eastAsia="zh-CN"/>
              </w:rPr>
            </w:pPr>
            <w:r>
              <w:rPr>
                <w:rFonts w:hint="eastAsia"/>
                <w:lang w:val="en-US" w:eastAsia="zh-CN"/>
              </w:rPr>
              <w:t>8</w:t>
            </w:r>
          </w:p>
        </w:tc>
        <w:tc>
          <w:tcPr>
            <w:tcW w:w="2916" w:type="dxa"/>
            <w:noWrap w:val="0"/>
            <w:vAlign w:val="center"/>
          </w:tcPr>
          <w:p w14:paraId="0FCCED36">
            <w:pPr>
              <w:rPr>
                <w:rFonts w:hint="eastAsia"/>
                <w:sz w:val="24"/>
              </w:rPr>
            </w:pPr>
            <w:r>
              <w:rPr>
                <w:rFonts w:hint="eastAsia"/>
                <w:sz w:val="24"/>
              </w:rPr>
              <w:t>安全生产考核合格证</w:t>
            </w:r>
          </w:p>
        </w:tc>
        <w:tc>
          <w:tcPr>
            <w:tcW w:w="4286" w:type="dxa"/>
            <w:noWrap w:val="0"/>
            <w:vAlign w:val="center"/>
          </w:tcPr>
          <w:p w14:paraId="33C499DB">
            <w:pPr>
              <w:rPr>
                <w:rFonts w:hint="eastAsia"/>
              </w:rPr>
            </w:pPr>
            <w:r>
              <w:rPr>
                <w:rFonts w:hint="eastAsia"/>
                <w:sz w:val="24"/>
                <w:lang w:eastAsia="zh-CN"/>
              </w:rPr>
              <w:t>项目负责人</w:t>
            </w:r>
            <w:r>
              <w:rPr>
                <w:rFonts w:hint="eastAsia"/>
                <w:sz w:val="24"/>
              </w:rPr>
              <w:t>、专职安全员均需提供</w:t>
            </w:r>
          </w:p>
        </w:tc>
      </w:tr>
      <w:tr w14:paraId="448D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noWrap w:val="0"/>
            <w:vAlign w:val="center"/>
          </w:tcPr>
          <w:p w14:paraId="73499F03">
            <w:pPr>
              <w:jc w:val="center"/>
              <w:rPr>
                <w:rFonts w:hint="default" w:eastAsia="宋体"/>
                <w:lang w:val="en-US" w:eastAsia="zh-CN"/>
              </w:rPr>
            </w:pPr>
            <w:r>
              <w:rPr>
                <w:rFonts w:hint="eastAsia"/>
                <w:lang w:val="en-US" w:eastAsia="zh-CN"/>
              </w:rPr>
              <w:t>9</w:t>
            </w:r>
          </w:p>
        </w:tc>
        <w:tc>
          <w:tcPr>
            <w:tcW w:w="2916" w:type="dxa"/>
            <w:noWrap w:val="0"/>
            <w:vAlign w:val="center"/>
          </w:tcPr>
          <w:p w14:paraId="75E7CB14">
            <w:r>
              <w:rPr>
                <w:rFonts w:hint="eastAsia"/>
                <w:sz w:val="24"/>
              </w:rPr>
              <w:t>社保证明</w:t>
            </w:r>
          </w:p>
        </w:tc>
        <w:tc>
          <w:tcPr>
            <w:tcW w:w="4286" w:type="dxa"/>
            <w:noWrap w:val="0"/>
            <w:vAlign w:val="center"/>
          </w:tcPr>
          <w:p w14:paraId="044ED893">
            <w:pPr>
              <w:rPr>
                <w:rFonts w:hint="eastAsia"/>
                <w:color w:val="auto"/>
                <w:highlight w:val="none"/>
              </w:rPr>
            </w:pPr>
            <w:r>
              <w:rPr>
                <w:rFonts w:hint="eastAsia" w:ascii="Times New Roman" w:hAnsi="Times New Roman" w:eastAsia="宋体" w:cs="Times New Roman"/>
                <w:color w:val="auto"/>
                <w:sz w:val="24"/>
                <w:highlight w:val="none"/>
              </w:rPr>
              <w:t>人员社保缴纳证明文件应不少于最近3个月。（202</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rPr>
              <w:t>年</w:t>
            </w:r>
            <w:r>
              <w:rPr>
                <w:rFonts w:hint="eastAsia" w:cs="Times New Roman"/>
                <w:color w:val="auto"/>
                <w:sz w:val="24"/>
                <w:highlight w:val="none"/>
                <w:lang w:val="en-US" w:eastAsia="zh-CN"/>
              </w:rPr>
              <w:t>7</w:t>
            </w:r>
            <w:r>
              <w:rPr>
                <w:rFonts w:hint="eastAsia" w:ascii="Times New Roman" w:hAnsi="Times New Roman" w:eastAsia="宋体" w:cs="Times New Roman"/>
                <w:color w:val="auto"/>
                <w:sz w:val="24"/>
                <w:highlight w:val="none"/>
              </w:rPr>
              <w:t>月至202</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rPr>
              <w:t>年</w:t>
            </w:r>
            <w:r>
              <w:rPr>
                <w:rFonts w:hint="eastAsia" w:cs="Times New Roman"/>
                <w:color w:val="auto"/>
                <w:sz w:val="24"/>
                <w:highlight w:val="none"/>
                <w:lang w:val="en-US" w:eastAsia="zh-CN"/>
              </w:rPr>
              <w:t>9</w:t>
            </w:r>
            <w:r>
              <w:rPr>
                <w:rFonts w:hint="eastAsia" w:ascii="Times New Roman" w:hAnsi="Times New Roman" w:eastAsia="宋体" w:cs="Times New Roman"/>
                <w:color w:val="auto"/>
                <w:sz w:val="24"/>
                <w:highlight w:val="none"/>
              </w:rPr>
              <w:t>月）</w:t>
            </w:r>
          </w:p>
        </w:tc>
      </w:tr>
    </w:tbl>
    <w:p w14:paraId="1E749EA1">
      <w:pPr>
        <w:pStyle w:val="5"/>
        <w:rPr>
          <w:rFonts w:hint="eastAsia"/>
        </w:rPr>
      </w:pPr>
      <w:r>
        <w:rPr>
          <w:rFonts w:hint="eastAsia"/>
        </w:rPr>
        <w:t>6．评标</w:t>
      </w:r>
      <w:bookmarkEnd w:id="10"/>
    </w:p>
    <w:p w14:paraId="31F70166">
      <w:pPr>
        <w:pStyle w:val="2"/>
        <w:rPr>
          <w:rFonts w:hint="eastAsia"/>
        </w:rPr>
      </w:pPr>
      <w:r>
        <w:rPr>
          <w:rFonts w:hint="eastAsia"/>
        </w:rPr>
        <w:t>6.1 评标委员会</w:t>
      </w:r>
    </w:p>
    <w:p w14:paraId="2037F9C0">
      <w:pPr>
        <w:spacing w:line="360" w:lineRule="auto"/>
        <w:ind w:firstLine="420" w:firstLineChars="200"/>
        <w:rPr>
          <w:rFonts w:hint="eastAsia" w:ascii="宋体" w:hAnsi="宋体"/>
          <w:szCs w:val="21"/>
        </w:rPr>
      </w:pPr>
      <w:r>
        <w:rPr>
          <w:rFonts w:hint="eastAsia" w:ascii="宋体" w:hAnsi="宋体"/>
          <w:szCs w:val="21"/>
        </w:rPr>
        <w:t>6.1.1 评标工作由招标人依法组建的评标委员会负责。评标委员会由有关技术、商务等方面的专家组成。有关技术、商务专家须在依法成立的专家库抽取，评标委员会成员人数以及技术、商务等方面专家的确定方式见投标人须知前附表。</w:t>
      </w:r>
    </w:p>
    <w:p w14:paraId="153774B9">
      <w:pPr>
        <w:spacing w:line="360" w:lineRule="auto"/>
        <w:ind w:firstLine="420" w:firstLineChars="200"/>
        <w:rPr>
          <w:rFonts w:hint="eastAsia" w:ascii="宋体" w:hAnsi="宋体"/>
          <w:szCs w:val="21"/>
        </w:rPr>
      </w:pPr>
      <w:r>
        <w:rPr>
          <w:rFonts w:hint="eastAsia" w:ascii="宋体" w:hAnsi="宋体"/>
          <w:szCs w:val="21"/>
        </w:rPr>
        <w:t>6.1.2 评标委员会成员有下列情形之一的，应当回避：</w:t>
      </w:r>
    </w:p>
    <w:p w14:paraId="36616A12">
      <w:pPr>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投标人或投标人的主要负责人的近亲属；</w:t>
      </w:r>
    </w:p>
    <w:p w14:paraId="1787CF6D">
      <w:pPr>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项目主管部门或者行政监督部门的人员：</w:t>
      </w:r>
    </w:p>
    <w:p w14:paraId="6F833708">
      <w:pPr>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与投标人有商务利益关系，可能影响对投标公正评审的；</w:t>
      </w:r>
    </w:p>
    <w:p w14:paraId="52038B49">
      <w:pPr>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曾因在招标、评标以及其他与招标投标有关活动中从事违法行为而受过行政处罚或刑事处罚的。</w:t>
      </w:r>
    </w:p>
    <w:p w14:paraId="1F27D73E">
      <w:pPr>
        <w:pStyle w:val="2"/>
        <w:rPr>
          <w:rFonts w:hint="eastAsia"/>
        </w:rPr>
      </w:pPr>
      <w:r>
        <w:rPr>
          <w:rFonts w:hint="eastAsia"/>
        </w:rPr>
        <w:t>6.2 评标原则</w:t>
      </w:r>
    </w:p>
    <w:p w14:paraId="618E4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评标活动遵循公平、公正、科学和择优的原则。</w:t>
      </w:r>
    </w:p>
    <w:p w14:paraId="09A850E9">
      <w:pPr>
        <w:pStyle w:val="2"/>
        <w:rPr>
          <w:rFonts w:hint="eastAsia"/>
        </w:rPr>
      </w:pPr>
      <w:r>
        <w:rPr>
          <w:rFonts w:hint="eastAsia"/>
        </w:rPr>
        <w:t>6.3 评标</w:t>
      </w:r>
    </w:p>
    <w:p w14:paraId="06B60211">
      <w:pPr>
        <w:spacing w:line="360" w:lineRule="auto"/>
        <w:ind w:firstLine="420" w:firstLineChars="200"/>
        <w:rPr>
          <w:rFonts w:hint="eastAsia" w:ascii="宋体" w:hAnsi="宋体"/>
          <w:szCs w:val="21"/>
        </w:rPr>
      </w:pPr>
      <w:r>
        <w:rPr>
          <w:rFonts w:hint="eastAsia" w:ascii="宋体" w:hAnsi="宋体"/>
          <w:szCs w:val="21"/>
        </w:rPr>
        <w:t>评标委员会按照第三章“评标办法”规定的方法、评审因素、标准和程序对投标文件进行评审。第三章“评标办法”没有规定的方法、评审因素和标准，不作为评标依据。</w:t>
      </w:r>
    </w:p>
    <w:p w14:paraId="6348B44A">
      <w:pPr>
        <w:pStyle w:val="2"/>
        <w:rPr>
          <w:rFonts w:hint="eastAsia"/>
        </w:rPr>
      </w:pPr>
    </w:p>
    <w:p w14:paraId="76263BA9">
      <w:pPr>
        <w:spacing w:line="360" w:lineRule="auto"/>
        <w:rPr>
          <w:rFonts w:hint="eastAsia" w:ascii="Arial" w:hAnsi="Arial"/>
          <w:b/>
          <w:bCs/>
          <w:szCs w:val="28"/>
        </w:rPr>
      </w:pPr>
      <w:r>
        <w:rPr>
          <w:rFonts w:hint="eastAsia" w:ascii="Arial" w:hAnsi="Arial"/>
          <w:b/>
          <w:bCs/>
          <w:szCs w:val="28"/>
        </w:rPr>
        <w:t>6.4评标程序表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800"/>
        <w:gridCol w:w="3540"/>
        <w:gridCol w:w="1858"/>
      </w:tblGrid>
      <w:tr w14:paraId="72D4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5"/>
            <w:noWrap w:val="0"/>
            <w:vAlign w:val="center"/>
          </w:tcPr>
          <w:p w14:paraId="79ED865F">
            <w:pPr>
              <w:widowControl/>
              <w:snapToGrid w:val="0"/>
              <w:jc w:val="center"/>
              <w:rPr>
                <w:rFonts w:hint="eastAsia"/>
                <w:b/>
                <w:kern w:val="0"/>
                <w:szCs w:val="21"/>
              </w:rPr>
            </w:pPr>
            <w:r>
              <w:rPr>
                <w:rFonts w:hint="eastAsia"/>
                <w:b/>
                <w:kern w:val="0"/>
                <w:szCs w:val="21"/>
              </w:rPr>
              <w:t>★本表适用</w:t>
            </w:r>
            <w:r>
              <w:rPr>
                <w:rFonts w:hint="eastAsia"/>
                <w:b/>
              </w:rPr>
              <w:t>（1）经评审的最低投标价法、（2）两次平均值法和（3）一次平均值法</w:t>
            </w:r>
          </w:p>
        </w:tc>
      </w:tr>
      <w:tr w14:paraId="7DC6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AC6D68E">
            <w:pPr>
              <w:widowControl/>
              <w:snapToGrid w:val="0"/>
              <w:jc w:val="center"/>
              <w:rPr>
                <w:rFonts w:hint="eastAsia" w:ascii="宋体" w:hAnsi="宋体"/>
                <w:b/>
                <w:kern w:val="0"/>
                <w:szCs w:val="21"/>
              </w:rPr>
            </w:pPr>
            <w:r>
              <w:rPr>
                <w:rFonts w:hint="eastAsia" w:ascii="宋体" w:hAnsi="宋体"/>
                <w:b/>
                <w:kern w:val="0"/>
                <w:szCs w:val="21"/>
              </w:rPr>
              <w:t>序号</w:t>
            </w:r>
          </w:p>
        </w:tc>
        <w:tc>
          <w:tcPr>
            <w:tcW w:w="1260" w:type="dxa"/>
            <w:noWrap w:val="0"/>
            <w:vAlign w:val="center"/>
          </w:tcPr>
          <w:p w14:paraId="3423BED9">
            <w:pPr>
              <w:widowControl/>
              <w:snapToGrid w:val="0"/>
              <w:jc w:val="center"/>
              <w:rPr>
                <w:rFonts w:hint="eastAsia" w:ascii="宋体" w:hAnsi="宋体"/>
                <w:b/>
                <w:kern w:val="0"/>
                <w:szCs w:val="21"/>
              </w:rPr>
            </w:pPr>
            <w:r>
              <w:rPr>
                <w:rFonts w:hint="eastAsia" w:ascii="宋体" w:hAnsi="宋体"/>
                <w:b/>
                <w:kern w:val="0"/>
                <w:szCs w:val="21"/>
              </w:rPr>
              <w:t>时 间</w:t>
            </w:r>
          </w:p>
        </w:tc>
        <w:tc>
          <w:tcPr>
            <w:tcW w:w="1800" w:type="dxa"/>
            <w:noWrap w:val="0"/>
            <w:vAlign w:val="center"/>
          </w:tcPr>
          <w:p w14:paraId="6585524F">
            <w:pPr>
              <w:widowControl/>
              <w:snapToGrid w:val="0"/>
              <w:jc w:val="center"/>
              <w:rPr>
                <w:rFonts w:hint="eastAsia" w:ascii="宋体" w:hAnsi="宋体"/>
                <w:b/>
                <w:kern w:val="0"/>
                <w:szCs w:val="21"/>
              </w:rPr>
            </w:pPr>
            <w:r>
              <w:rPr>
                <w:rFonts w:hint="eastAsia" w:ascii="宋体" w:hAnsi="宋体"/>
                <w:b/>
                <w:kern w:val="0"/>
                <w:szCs w:val="21"/>
              </w:rPr>
              <w:t>评标方法</w:t>
            </w:r>
          </w:p>
          <w:p w14:paraId="38559204">
            <w:pPr>
              <w:widowControl/>
              <w:snapToGrid w:val="0"/>
              <w:jc w:val="center"/>
              <w:rPr>
                <w:rFonts w:hint="eastAsia" w:ascii="宋体" w:hAnsi="宋体"/>
                <w:b/>
                <w:kern w:val="0"/>
                <w:szCs w:val="21"/>
              </w:rPr>
            </w:pPr>
            <w:r>
              <w:rPr>
                <w:rFonts w:hint="eastAsia" w:ascii="宋体" w:hAnsi="宋体"/>
                <w:b/>
                <w:kern w:val="0"/>
                <w:szCs w:val="21"/>
              </w:rPr>
              <w:t>及程序</w:t>
            </w:r>
          </w:p>
        </w:tc>
        <w:tc>
          <w:tcPr>
            <w:tcW w:w="3540" w:type="dxa"/>
            <w:noWrap w:val="0"/>
            <w:vAlign w:val="center"/>
          </w:tcPr>
          <w:p w14:paraId="6E4C4B7A">
            <w:pPr>
              <w:widowControl/>
              <w:snapToGrid w:val="0"/>
              <w:jc w:val="center"/>
              <w:rPr>
                <w:rFonts w:hint="eastAsia" w:ascii="宋体" w:hAnsi="宋体"/>
                <w:b/>
                <w:kern w:val="0"/>
                <w:szCs w:val="21"/>
              </w:rPr>
            </w:pPr>
            <w:r>
              <w:rPr>
                <w:rFonts w:hint="eastAsia" w:ascii="宋体" w:hAnsi="宋体"/>
                <w:b/>
                <w:kern w:val="0"/>
                <w:szCs w:val="21"/>
              </w:rPr>
              <w:t>工 作 程 序</w:t>
            </w:r>
          </w:p>
        </w:tc>
        <w:tc>
          <w:tcPr>
            <w:tcW w:w="1858" w:type="dxa"/>
            <w:noWrap w:val="0"/>
            <w:vAlign w:val="center"/>
          </w:tcPr>
          <w:p w14:paraId="28FDABDF">
            <w:pPr>
              <w:widowControl/>
              <w:snapToGrid w:val="0"/>
              <w:jc w:val="center"/>
              <w:rPr>
                <w:rFonts w:hint="eastAsia" w:ascii="宋体" w:hAnsi="宋体"/>
                <w:b/>
                <w:kern w:val="0"/>
                <w:szCs w:val="21"/>
              </w:rPr>
            </w:pPr>
            <w:r>
              <w:rPr>
                <w:rFonts w:hint="eastAsia" w:ascii="宋体" w:hAnsi="宋体"/>
                <w:b/>
                <w:kern w:val="0"/>
                <w:szCs w:val="21"/>
              </w:rPr>
              <w:t>负 责 人</w:t>
            </w:r>
          </w:p>
        </w:tc>
      </w:tr>
      <w:tr w14:paraId="5204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828" w:type="dxa"/>
            <w:noWrap w:val="0"/>
            <w:vAlign w:val="center"/>
          </w:tcPr>
          <w:p w14:paraId="46F00FD1">
            <w:pPr>
              <w:widowControl/>
              <w:snapToGrid w:val="0"/>
              <w:jc w:val="center"/>
              <w:rPr>
                <w:rFonts w:hint="eastAsia" w:ascii="宋体" w:hAnsi="宋体"/>
                <w:kern w:val="0"/>
                <w:szCs w:val="21"/>
              </w:rPr>
            </w:pPr>
            <w:r>
              <w:rPr>
                <w:rFonts w:hint="eastAsia" w:ascii="宋体" w:hAnsi="宋体"/>
                <w:kern w:val="0"/>
                <w:szCs w:val="21"/>
              </w:rPr>
              <w:t>1</w:t>
            </w:r>
          </w:p>
        </w:tc>
        <w:tc>
          <w:tcPr>
            <w:tcW w:w="1260" w:type="dxa"/>
            <w:noWrap w:val="0"/>
            <w:vAlign w:val="center"/>
          </w:tcPr>
          <w:p w14:paraId="74BC7E58">
            <w:pPr>
              <w:widowControl/>
              <w:snapToGrid w:val="0"/>
              <w:jc w:val="center"/>
              <w:rPr>
                <w:rFonts w:hint="eastAsia" w:ascii="宋体" w:hAnsi="宋体"/>
                <w:kern w:val="0"/>
                <w:szCs w:val="21"/>
              </w:rPr>
            </w:pPr>
            <w:r>
              <w:rPr>
                <w:rFonts w:hint="eastAsia" w:ascii="宋体" w:hAnsi="宋体"/>
                <w:kern w:val="0"/>
                <w:szCs w:val="21"/>
              </w:rPr>
              <w:t xml:space="preserve">程序1 </w:t>
            </w:r>
          </w:p>
        </w:tc>
        <w:tc>
          <w:tcPr>
            <w:tcW w:w="1800" w:type="dxa"/>
            <w:noWrap w:val="0"/>
            <w:vAlign w:val="center"/>
          </w:tcPr>
          <w:p w14:paraId="0D26C4B7">
            <w:pPr>
              <w:widowControl/>
              <w:snapToGrid w:val="0"/>
              <w:jc w:val="center"/>
              <w:rPr>
                <w:rFonts w:hint="eastAsia" w:ascii="宋体" w:hAnsi="宋体"/>
                <w:kern w:val="0"/>
                <w:szCs w:val="21"/>
              </w:rPr>
            </w:pPr>
            <w:r>
              <w:rPr>
                <w:rFonts w:hint="eastAsia" w:ascii="宋体" w:hAnsi="宋体"/>
                <w:kern w:val="0"/>
                <w:szCs w:val="21"/>
              </w:rPr>
              <w:t>资格审查</w:t>
            </w:r>
          </w:p>
        </w:tc>
        <w:tc>
          <w:tcPr>
            <w:tcW w:w="3540" w:type="dxa"/>
            <w:noWrap w:val="0"/>
            <w:vAlign w:val="center"/>
          </w:tcPr>
          <w:p w14:paraId="2B7703CD">
            <w:pPr>
              <w:widowControl/>
              <w:snapToGrid w:val="0"/>
              <w:ind w:firstLine="420" w:firstLineChars="200"/>
              <w:jc w:val="left"/>
              <w:rPr>
                <w:rFonts w:hint="eastAsia" w:ascii="宋体" w:hAnsi="宋体"/>
                <w:kern w:val="0"/>
                <w:szCs w:val="21"/>
              </w:rPr>
            </w:pPr>
            <w:r>
              <w:rPr>
                <w:rFonts w:hint="eastAsia" w:ascii="宋体" w:hAnsi="宋体"/>
                <w:kern w:val="0"/>
                <w:szCs w:val="21"/>
              </w:rPr>
              <w:t>对投标人的资格是否符合招标文件第二章《投标人须知前附表》1.4.1要求进行审查。资格审查有效的单位少于3家的，招标流标。</w:t>
            </w:r>
          </w:p>
        </w:tc>
        <w:tc>
          <w:tcPr>
            <w:tcW w:w="1858" w:type="dxa"/>
            <w:noWrap w:val="0"/>
            <w:vAlign w:val="center"/>
          </w:tcPr>
          <w:p w14:paraId="67A66110">
            <w:pPr>
              <w:widowControl/>
              <w:snapToGrid w:val="0"/>
              <w:jc w:val="center"/>
              <w:rPr>
                <w:rFonts w:hint="eastAsia" w:ascii="宋体" w:hAnsi="宋体"/>
                <w:kern w:val="0"/>
                <w:szCs w:val="21"/>
              </w:rPr>
            </w:pPr>
            <w:r>
              <w:rPr>
                <w:rFonts w:hint="eastAsia" w:ascii="宋体" w:hAnsi="宋体"/>
                <w:kern w:val="0"/>
                <w:szCs w:val="21"/>
              </w:rPr>
              <w:t>评标委员会</w:t>
            </w:r>
          </w:p>
        </w:tc>
      </w:tr>
      <w:tr w14:paraId="7195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28" w:type="dxa"/>
            <w:noWrap w:val="0"/>
            <w:vAlign w:val="center"/>
          </w:tcPr>
          <w:p w14:paraId="5A50E78C">
            <w:pPr>
              <w:widowControl/>
              <w:snapToGrid w:val="0"/>
              <w:jc w:val="center"/>
              <w:rPr>
                <w:rFonts w:hint="eastAsia" w:ascii="宋体" w:hAnsi="宋体"/>
                <w:kern w:val="0"/>
                <w:szCs w:val="21"/>
              </w:rPr>
            </w:pPr>
            <w:r>
              <w:rPr>
                <w:rFonts w:hint="eastAsia" w:ascii="宋体" w:hAnsi="宋体"/>
                <w:kern w:val="0"/>
                <w:szCs w:val="21"/>
              </w:rPr>
              <w:t>2</w:t>
            </w:r>
          </w:p>
        </w:tc>
        <w:tc>
          <w:tcPr>
            <w:tcW w:w="1260" w:type="dxa"/>
            <w:noWrap w:val="0"/>
            <w:vAlign w:val="center"/>
          </w:tcPr>
          <w:p w14:paraId="152A6C1D">
            <w:pPr>
              <w:widowControl/>
              <w:snapToGrid w:val="0"/>
              <w:jc w:val="center"/>
              <w:rPr>
                <w:rFonts w:hint="eastAsia" w:ascii="宋体" w:hAnsi="宋体"/>
                <w:kern w:val="0"/>
                <w:szCs w:val="21"/>
              </w:rPr>
            </w:pPr>
            <w:r>
              <w:rPr>
                <w:rFonts w:hint="eastAsia" w:ascii="宋体" w:hAnsi="宋体"/>
                <w:kern w:val="0"/>
                <w:szCs w:val="21"/>
              </w:rPr>
              <w:t>程序2</w:t>
            </w:r>
          </w:p>
        </w:tc>
        <w:tc>
          <w:tcPr>
            <w:tcW w:w="1800" w:type="dxa"/>
            <w:noWrap w:val="0"/>
            <w:vAlign w:val="center"/>
          </w:tcPr>
          <w:p w14:paraId="585D76B5">
            <w:pPr>
              <w:widowControl/>
              <w:snapToGrid w:val="0"/>
              <w:jc w:val="center"/>
              <w:rPr>
                <w:rFonts w:hint="eastAsia" w:ascii="宋体" w:hAnsi="宋体"/>
                <w:kern w:val="0"/>
                <w:szCs w:val="21"/>
              </w:rPr>
            </w:pPr>
            <w:r>
              <w:rPr>
                <w:rFonts w:hint="eastAsia" w:ascii="宋体" w:hAnsi="宋体"/>
                <w:kern w:val="0"/>
                <w:szCs w:val="21"/>
              </w:rPr>
              <w:t>对投标单位技术标进行形式、响应性评审</w:t>
            </w:r>
          </w:p>
        </w:tc>
        <w:tc>
          <w:tcPr>
            <w:tcW w:w="3540" w:type="dxa"/>
            <w:noWrap w:val="0"/>
            <w:vAlign w:val="center"/>
          </w:tcPr>
          <w:p w14:paraId="3D94B61E">
            <w:pPr>
              <w:widowControl/>
              <w:snapToGrid w:val="0"/>
              <w:ind w:firstLine="420" w:firstLineChars="200"/>
              <w:jc w:val="left"/>
              <w:rPr>
                <w:rFonts w:hint="eastAsia" w:ascii="宋体" w:hAnsi="宋体"/>
                <w:kern w:val="0"/>
                <w:szCs w:val="21"/>
              </w:rPr>
            </w:pPr>
            <w:r>
              <w:rPr>
                <w:rFonts w:hint="eastAsia" w:ascii="宋体" w:hAnsi="宋体"/>
                <w:kern w:val="0"/>
                <w:szCs w:val="21"/>
              </w:rPr>
              <w:t>对通过资格审查投标单位的技术标进行形式评审，然后再对通过形式审查投标单位进行响应性评审，通过技术标响应性评审的单位少于3家的，招标流标。</w:t>
            </w:r>
          </w:p>
        </w:tc>
        <w:tc>
          <w:tcPr>
            <w:tcW w:w="1858" w:type="dxa"/>
            <w:noWrap w:val="0"/>
            <w:vAlign w:val="center"/>
          </w:tcPr>
          <w:p w14:paraId="3D81DD79">
            <w:pPr>
              <w:widowControl/>
              <w:snapToGrid w:val="0"/>
              <w:jc w:val="center"/>
              <w:rPr>
                <w:rFonts w:hint="eastAsia" w:ascii="宋体" w:hAnsi="宋体"/>
                <w:kern w:val="0"/>
                <w:szCs w:val="21"/>
              </w:rPr>
            </w:pPr>
            <w:r>
              <w:rPr>
                <w:rFonts w:hint="eastAsia" w:ascii="宋体" w:hAnsi="宋体"/>
                <w:kern w:val="0"/>
                <w:szCs w:val="21"/>
              </w:rPr>
              <w:t>评标委员会</w:t>
            </w:r>
          </w:p>
        </w:tc>
      </w:tr>
      <w:tr w14:paraId="0476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828" w:type="dxa"/>
            <w:noWrap w:val="0"/>
            <w:vAlign w:val="center"/>
          </w:tcPr>
          <w:p w14:paraId="4FA125A6">
            <w:pPr>
              <w:widowControl/>
              <w:snapToGrid w:val="0"/>
              <w:jc w:val="center"/>
              <w:rPr>
                <w:rFonts w:hint="eastAsia" w:ascii="宋体" w:hAnsi="宋体"/>
                <w:kern w:val="0"/>
                <w:szCs w:val="21"/>
              </w:rPr>
            </w:pPr>
            <w:r>
              <w:rPr>
                <w:rFonts w:hint="eastAsia" w:ascii="宋体" w:hAnsi="宋体"/>
                <w:kern w:val="0"/>
                <w:szCs w:val="21"/>
              </w:rPr>
              <w:t>3</w:t>
            </w:r>
          </w:p>
        </w:tc>
        <w:tc>
          <w:tcPr>
            <w:tcW w:w="1260" w:type="dxa"/>
            <w:noWrap w:val="0"/>
            <w:vAlign w:val="center"/>
          </w:tcPr>
          <w:p w14:paraId="72DE43D3">
            <w:pPr>
              <w:widowControl/>
              <w:snapToGrid w:val="0"/>
              <w:jc w:val="center"/>
              <w:rPr>
                <w:rFonts w:hint="eastAsia" w:ascii="宋体" w:hAnsi="宋体"/>
                <w:kern w:val="0"/>
                <w:szCs w:val="21"/>
              </w:rPr>
            </w:pPr>
            <w:r>
              <w:rPr>
                <w:rFonts w:hint="eastAsia" w:ascii="宋体" w:hAnsi="宋体"/>
                <w:kern w:val="0"/>
                <w:szCs w:val="21"/>
              </w:rPr>
              <w:t>程序3</w:t>
            </w:r>
          </w:p>
        </w:tc>
        <w:tc>
          <w:tcPr>
            <w:tcW w:w="1800" w:type="dxa"/>
            <w:noWrap w:val="0"/>
            <w:vAlign w:val="center"/>
          </w:tcPr>
          <w:p w14:paraId="26B0899B">
            <w:pPr>
              <w:widowControl/>
              <w:snapToGrid w:val="0"/>
              <w:jc w:val="center"/>
              <w:rPr>
                <w:rFonts w:hint="eastAsia" w:ascii="宋体" w:hAnsi="宋体"/>
                <w:kern w:val="0"/>
                <w:szCs w:val="21"/>
              </w:rPr>
            </w:pPr>
            <w:r>
              <w:rPr>
                <w:rFonts w:hint="eastAsia" w:ascii="宋体" w:hAnsi="宋体"/>
                <w:kern w:val="0"/>
                <w:szCs w:val="21"/>
              </w:rPr>
              <w:t>对投标单位投标报价进行形式、响应性评审</w:t>
            </w:r>
          </w:p>
        </w:tc>
        <w:tc>
          <w:tcPr>
            <w:tcW w:w="3540" w:type="dxa"/>
            <w:noWrap w:val="0"/>
            <w:vAlign w:val="center"/>
          </w:tcPr>
          <w:p w14:paraId="1B34754C">
            <w:pPr>
              <w:snapToGrid w:val="0"/>
              <w:ind w:firstLine="420" w:firstLineChars="200"/>
              <w:jc w:val="left"/>
              <w:rPr>
                <w:rFonts w:hint="eastAsia" w:ascii="宋体" w:hAnsi="宋体"/>
                <w:kern w:val="0"/>
                <w:szCs w:val="21"/>
              </w:rPr>
            </w:pPr>
            <w:r>
              <w:rPr>
                <w:rFonts w:hint="eastAsia" w:ascii="宋体" w:hAnsi="宋体"/>
                <w:kern w:val="0"/>
                <w:szCs w:val="21"/>
              </w:rPr>
              <w:t>对投标人的投标报价文件进行形式评审，并</w:t>
            </w:r>
            <w:r>
              <w:rPr>
                <w:rFonts w:hint="eastAsia" w:ascii="宋体" w:hAnsi="宋体"/>
                <w:szCs w:val="21"/>
              </w:rPr>
              <w:t>按照本章10.4项规定的投标报价上限、安全防护、文明施工措施费对各投标单位的报价进行响应性评审。（</w:t>
            </w:r>
            <w:r>
              <w:rPr>
                <w:rFonts w:hint="eastAsia" w:ascii="宋体" w:hAnsi="宋体" w:cs="宋体"/>
                <w:kern w:val="0"/>
                <w:szCs w:val="21"/>
              </w:rPr>
              <w:t>如最终满足响应性评审所有投标人不足3家，则评标终止）</w:t>
            </w:r>
            <w:r>
              <w:rPr>
                <w:rFonts w:hint="eastAsia" w:ascii="宋体" w:hAnsi="宋体"/>
                <w:kern w:val="0"/>
                <w:szCs w:val="21"/>
              </w:rPr>
              <w:t>。</w:t>
            </w:r>
          </w:p>
          <w:p w14:paraId="086221CB">
            <w:pPr>
              <w:widowControl/>
              <w:snapToGrid w:val="0"/>
              <w:ind w:firstLine="420" w:firstLineChars="200"/>
              <w:jc w:val="left"/>
              <w:rPr>
                <w:rFonts w:hint="eastAsia" w:ascii="宋体" w:hAnsi="宋体"/>
                <w:kern w:val="0"/>
                <w:szCs w:val="21"/>
              </w:rPr>
            </w:pPr>
          </w:p>
        </w:tc>
        <w:tc>
          <w:tcPr>
            <w:tcW w:w="1858" w:type="dxa"/>
            <w:noWrap w:val="0"/>
            <w:vAlign w:val="center"/>
          </w:tcPr>
          <w:p w14:paraId="4D959D4C">
            <w:pPr>
              <w:widowControl/>
              <w:snapToGrid w:val="0"/>
              <w:jc w:val="center"/>
              <w:rPr>
                <w:rFonts w:hint="eastAsia" w:ascii="宋体" w:hAnsi="宋体"/>
                <w:kern w:val="0"/>
                <w:szCs w:val="21"/>
              </w:rPr>
            </w:pPr>
            <w:r>
              <w:rPr>
                <w:rFonts w:hint="eastAsia" w:ascii="宋体" w:hAnsi="宋体"/>
                <w:kern w:val="0"/>
                <w:szCs w:val="21"/>
              </w:rPr>
              <w:t>评标委员会</w:t>
            </w:r>
          </w:p>
        </w:tc>
      </w:tr>
      <w:tr w14:paraId="0757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828" w:type="dxa"/>
            <w:noWrap w:val="0"/>
            <w:vAlign w:val="center"/>
          </w:tcPr>
          <w:p w14:paraId="7B00B7A1">
            <w:pPr>
              <w:snapToGrid w:val="0"/>
              <w:jc w:val="center"/>
              <w:rPr>
                <w:rFonts w:hint="eastAsia" w:ascii="宋体" w:hAnsi="宋体"/>
                <w:kern w:val="0"/>
                <w:szCs w:val="21"/>
              </w:rPr>
            </w:pPr>
            <w:r>
              <w:rPr>
                <w:rFonts w:hint="eastAsia" w:ascii="宋体" w:hAnsi="宋体"/>
                <w:kern w:val="0"/>
                <w:szCs w:val="21"/>
              </w:rPr>
              <w:t>4</w:t>
            </w:r>
          </w:p>
        </w:tc>
        <w:tc>
          <w:tcPr>
            <w:tcW w:w="1260" w:type="dxa"/>
            <w:noWrap w:val="0"/>
            <w:vAlign w:val="center"/>
          </w:tcPr>
          <w:p w14:paraId="177394D9">
            <w:pPr>
              <w:snapToGrid w:val="0"/>
              <w:jc w:val="center"/>
              <w:rPr>
                <w:rFonts w:hint="eastAsia" w:ascii="宋体" w:hAnsi="宋体"/>
                <w:kern w:val="0"/>
                <w:szCs w:val="21"/>
              </w:rPr>
            </w:pPr>
            <w:r>
              <w:rPr>
                <w:rFonts w:hint="eastAsia" w:ascii="宋体" w:hAnsi="宋体"/>
                <w:kern w:val="0"/>
                <w:szCs w:val="21"/>
              </w:rPr>
              <w:t>程序4</w:t>
            </w:r>
          </w:p>
        </w:tc>
        <w:tc>
          <w:tcPr>
            <w:tcW w:w="1800" w:type="dxa"/>
            <w:noWrap w:val="0"/>
            <w:vAlign w:val="center"/>
          </w:tcPr>
          <w:p w14:paraId="50B9E999">
            <w:pPr>
              <w:snapToGrid w:val="0"/>
              <w:jc w:val="center"/>
              <w:rPr>
                <w:rFonts w:hint="eastAsia" w:ascii="宋体" w:hAnsi="宋体"/>
                <w:kern w:val="0"/>
                <w:szCs w:val="21"/>
              </w:rPr>
            </w:pPr>
            <w:r>
              <w:rPr>
                <w:rFonts w:hint="eastAsia" w:ascii="宋体" w:hAnsi="宋体"/>
                <w:kern w:val="0"/>
                <w:szCs w:val="21"/>
              </w:rPr>
              <w:t>投标报价评审</w:t>
            </w:r>
          </w:p>
        </w:tc>
        <w:tc>
          <w:tcPr>
            <w:tcW w:w="3540" w:type="dxa"/>
            <w:noWrap w:val="0"/>
            <w:vAlign w:val="center"/>
          </w:tcPr>
          <w:p w14:paraId="3540DB4E">
            <w:pPr>
              <w:snapToGrid w:val="0"/>
              <w:ind w:firstLine="420" w:firstLineChars="200"/>
              <w:jc w:val="left"/>
              <w:rPr>
                <w:rFonts w:hint="eastAsia" w:ascii="宋体" w:hAnsi="宋体"/>
                <w:kern w:val="0"/>
                <w:szCs w:val="21"/>
              </w:rPr>
            </w:pPr>
            <w:r>
              <w:rPr>
                <w:rFonts w:hint="eastAsia" w:ascii="宋体" w:hAnsi="宋体"/>
                <w:szCs w:val="21"/>
              </w:rPr>
              <w:t>按照第三章“评标办法”规定的评标方法对各投标单位的投标报价进行评审，确定各投标单位的投标报价排名。</w:t>
            </w:r>
          </w:p>
        </w:tc>
        <w:tc>
          <w:tcPr>
            <w:tcW w:w="1858" w:type="dxa"/>
            <w:noWrap w:val="0"/>
            <w:vAlign w:val="center"/>
          </w:tcPr>
          <w:p w14:paraId="67B9E5E8">
            <w:pPr>
              <w:snapToGrid w:val="0"/>
              <w:jc w:val="center"/>
              <w:rPr>
                <w:rFonts w:hint="eastAsia" w:ascii="宋体" w:hAnsi="宋体"/>
                <w:kern w:val="0"/>
                <w:szCs w:val="21"/>
              </w:rPr>
            </w:pPr>
            <w:r>
              <w:rPr>
                <w:rFonts w:hint="eastAsia" w:ascii="宋体" w:hAnsi="宋体"/>
                <w:kern w:val="0"/>
                <w:szCs w:val="21"/>
              </w:rPr>
              <w:t>评标委员会</w:t>
            </w:r>
          </w:p>
        </w:tc>
      </w:tr>
      <w:tr w14:paraId="71B7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828" w:type="dxa"/>
            <w:noWrap w:val="0"/>
            <w:vAlign w:val="center"/>
          </w:tcPr>
          <w:p w14:paraId="62C125BB">
            <w:pPr>
              <w:snapToGrid w:val="0"/>
              <w:jc w:val="center"/>
              <w:rPr>
                <w:rFonts w:hint="eastAsia" w:ascii="宋体" w:hAnsi="宋体"/>
                <w:kern w:val="0"/>
                <w:szCs w:val="21"/>
              </w:rPr>
            </w:pPr>
            <w:r>
              <w:rPr>
                <w:rFonts w:hint="eastAsia" w:ascii="宋体" w:hAnsi="宋体"/>
                <w:kern w:val="0"/>
                <w:szCs w:val="21"/>
              </w:rPr>
              <w:t>5</w:t>
            </w:r>
          </w:p>
        </w:tc>
        <w:tc>
          <w:tcPr>
            <w:tcW w:w="1260" w:type="dxa"/>
            <w:noWrap w:val="0"/>
            <w:vAlign w:val="center"/>
          </w:tcPr>
          <w:p w14:paraId="5EB652DB">
            <w:pPr>
              <w:snapToGrid w:val="0"/>
              <w:jc w:val="center"/>
              <w:rPr>
                <w:rFonts w:hint="eastAsia" w:ascii="宋体" w:hAnsi="宋体"/>
                <w:kern w:val="0"/>
                <w:szCs w:val="21"/>
              </w:rPr>
            </w:pPr>
            <w:r>
              <w:rPr>
                <w:rFonts w:hint="eastAsia" w:ascii="宋体" w:hAnsi="宋体"/>
                <w:kern w:val="0"/>
                <w:szCs w:val="21"/>
              </w:rPr>
              <w:t>程序5</w:t>
            </w:r>
          </w:p>
        </w:tc>
        <w:tc>
          <w:tcPr>
            <w:tcW w:w="1800" w:type="dxa"/>
            <w:noWrap w:val="0"/>
            <w:vAlign w:val="center"/>
          </w:tcPr>
          <w:p w14:paraId="6FF4D5F4">
            <w:pPr>
              <w:snapToGrid w:val="0"/>
              <w:jc w:val="center"/>
              <w:rPr>
                <w:rFonts w:hint="eastAsia" w:ascii="宋体" w:hAnsi="宋体"/>
                <w:kern w:val="0"/>
                <w:szCs w:val="21"/>
              </w:rPr>
            </w:pPr>
            <w:r>
              <w:rPr>
                <w:rFonts w:hint="eastAsia" w:ascii="宋体" w:hAnsi="宋体"/>
                <w:kern w:val="0"/>
                <w:szCs w:val="21"/>
              </w:rPr>
              <w:t>定 标</w:t>
            </w:r>
          </w:p>
        </w:tc>
        <w:tc>
          <w:tcPr>
            <w:tcW w:w="3540" w:type="dxa"/>
            <w:noWrap w:val="0"/>
            <w:vAlign w:val="center"/>
          </w:tcPr>
          <w:p w14:paraId="268B40A6">
            <w:pPr>
              <w:spacing w:line="0" w:lineRule="atLeast"/>
              <w:rPr>
                <w:rFonts w:hint="eastAsia" w:ascii="宋体" w:hAnsi="宋体"/>
                <w:kern w:val="0"/>
                <w:szCs w:val="21"/>
              </w:rPr>
            </w:pPr>
            <w:r>
              <w:rPr>
                <w:rFonts w:hint="eastAsia" w:ascii="宋体" w:hAnsi="宋体"/>
                <w:kern w:val="0"/>
                <w:szCs w:val="21"/>
              </w:rPr>
              <w:t>1、在通过资格标、技术标评审的投标人中，按投标报价排名的先后顺序依序确定第一、第二及第三中标候选人。</w:t>
            </w:r>
          </w:p>
          <w:p w14:paraId="19735BDB">
            <w:pPr>
              <w:spacing w:line="0" w:lineRule="atLeast"/>
              <w:rPr>
                <w:rFonts w:hint="eastAsia" w:ascii="宋体" w:hAnsi="宋体"/>
                <w:kern w:val="0"/>
                <w:szCs w:val="21"/>
              </w:rPr>
            </w:pPr>
            <w:r>
              <w:rPr>
                <w:rFonts w:hint="eastAsia" w:ascii="宋体" w:hAnsi="宋体"/>
                <w:kern w:val="0"/>
                <w:szCs w:val="21"/>
              </w:rPr>
              <w:t>2、由招标人或委托招标代理人公布中标候选人。</w:t>
            </w:r>
          </w:p>
        </w:tc>
        <w:tc>
          <w:tcPr>
            <w:tcW w:w="1858" w:type="dxa"/>
            <w:noWrap w:val="0"/>
            <w:vAlign w:val="center"/>
          </w:tcPr>
          <w:p w14:paraId="3A9BB48F">
            <w:pPr>
              <w:snapToGrid w:val="0"/>
              <w:jc w:val="center"/>
              <w:rPr>
                <w:rFonts w:hint="eastAsia" w:ascii="宋体" w:hAnsi="宋体"/>
                <w:kern w:val="0"/>
                <w:szCs w:val="21"/>
              </w:rPr>
            </w:pPr>
            <w:r>
              <w:rPr>
                <w:rFonts w:hint="eastAsia" w:ascii="宋体" w:hAnsi="宋体"/>
                <w:kern w:val="0"/>
                <w:szCs w:val="21"/>
              </w:rPr>
              <w:t>评标委员会</w:t>
            </w:r>
          </w:p>
        </w:tc>
      </w:tr>
      <w:tr w14:paraId="4BFD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28" w:type="dxa"/>
            <w:noWrap w:val="0"/>
            <w:vAlign w:val="center"/>
          </w:tcPr>
          <w:p w14:paraId="0223DB42">
            <w:pPr>
              <w:widowControl/>
              <w:snapToGrid w:val="0"/>
              <w:jc w:val="center"/>
              <w:rPr>
                <w:rFonts w:hint="eastAsia"/>
                <w:b/>
                <w:kern w:val="0"/>
                <w:szCs w:val="21"/>
              </w:rPr>
            </w:pPr>
            <w:r>
              <w:rPr>
                <w:rFonts w:hint="eastAsia"/>
                <w:b/>
                <w:kern w:val="0"/>
                <w:szCs w:val="21"/>
              </w:rPr>
              <w:t>备注</w:t>
            </w:r>
          </w:p>
        </w:tc>
        <w:tc>
          <w:tcPr>
            <w:tcW w:w="8458" w:type="dxa"/>
            <w:gridSpan w:val="4"/>
            <w:noWrap w:val="0"/>
            <w:vAlign w:val="center"/>
          </w:tcPr>
          <w:p w14:paraId="5E5FAD31">
            <w:pPr>
              <w:widowControl/>
              <w:snapToGrid w:val="0"/>
              <w:ind w:firstLine="527" w:firstLineChars="250"/>
              <w:rPr>
                <w:rFonts w:hint="eastAsia"/>
                <w:b/>
                <w:kern w:val="0"/>
                <w:szCs w:val="21"/>
              </w:rPr>
            </w:pPr>
            <w:r>
              <w:rPr>
                <w:rFonts w:hint="eastAsia"/>
                <w:b/>
                <w:color w:val="auto"/>
                <w:kern w:val="0"/>
                <w:szCs w:val="21"/>
                <w:highlight w:val="none"/>
              </w:rPr>
              <w:t>本项目采用一次平均值法。</w:t>
            </w:r>
          </w:p>
        </w:tc>
      </w:tr>
    </w:tbl>
    <w:p w14:paraId="44FBFCDD">
      <w:pPr>
        <w:spacing w:line="360" w:lineRule="auto"/>
        <w:rPr>
          <w:rFonts w:hint="eastAsia" w:ascii="Arial" w:hAnsi="Arial"/>
          <w:b/>
          <w:bCs/>
          <w:szCs w:val="28"/>
        </w:rPr>
      </w:pPr>
    </w:p>
    <w:p w14:paraId="6B2CBFCD">
      <w:pPr>
        <w:pStyle w:val="5"/>
        <w:rPr>
          <w:rFonts w:hint="eastAsia"/>
        </w:rPr>
      </w:pPr>
      <w:bookmarkStart w:id="11" w:name="_Toc184635077"/>
      <w:r>
        <w:rPr>
          <w:rFonts w:hint="eastAsia"/>
        </w:rPr>
        <w:t>7．合同授予</w:t>
      </w:r>
      <w:bookmarkEnd w:id="11"/>
    </w:p>
    <w:p w14:paraId="7A1ABA54">
      <w:pPr>
        <w:pStyle w:val="2"/>
        <w:rPr>
          <w:rFonts w:hint="eastAsia"/>
        </w:rPr>
      </w:pPr>
      <w:r>
        <w:rPr>
          <w:rFonts w:hint="eastAsia"/>
        </w:rPr>
        <w:t>7.1 定标方式</w:t>
      </w:r>
    </w:p>
    <w:p w14:paraId="582AA1C9">
      <w:pPr>
        <w:spacing w:line="360" w:lineRule="auto"/>
        <w:ind w:firstLine="420" w:firstLineChars="200"/>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除投标人须知前附表规定评标委员会直接确定中标人外，招标人依据评标委员会推荐的中标候选人确定中标人，评标委员会推荐中标候选人的人数见投标人须知前附表。定标方式详见第三章评标办法。</w:t>
      </w:r>
    </w:p>
    <w:p w14:paraId="5AB2E8B8">
      <w:pPr>
        <w:pStyle w:val="2"/>
        <w:rPr>
          <w:rFonts w:hint="eastAsia"/>
        </w:rPr>
      </w:pPr>
      <w:r>
        <w:rPr>
          <w:rFonts w:hint="eastAsia"/>
        </w:rPr>
        <w:t>7.2 中标通知</w:t>
      </w:r>
    </w:p>
    <w:p w14:paraId="5237C1DC">
      <w:pPr>
        <w:spacing w:line="360" w:lineRule="auto"/>
        <w:ind w:firstLine="420" w:firstLineChars="200"/>
        <w:rPr>
          <w:rFonts w:hint="eastAsia" w:ascii="宋体" w:hAnsi="宋体"/>
          <w:szCs w:val="21"/>
        </w:rPr>
      </w:pPr>
      <w:r>
        <w:rPr>
          <w:rFonts w:hint="eastAsia" w:ascii="宋体" w:hAnsi="宋体"/>
          <w:szCs w:val="21"/>
        </w:rPr>
        <w:t>评标结果在评标结束后统一在</w:t>
      </w:r>
      <w:r>
        <w:rPr>
          <w:rFonts w:hint="eastAsia"/>
          <w:lang w:val="en" w:eastAsia="zh-CN"/>
        </w:rPr>
        <w:t>广东省公共资源交易平台（中山市）</w:t>
      </w:r>
      <w:r>
        <w:rPr>
          <w:rFonts w:hint="eastAsia"/>
          <w:lang w:val="en-US" w:eastAsia="zh-CN"/>
        </w:rPr>
        <w:t>-</w:t>
      </w:r>
      <w:r>
        <w:rPr>
          <w:rFonts w:hint="eastAsia" w:ascii="宋体" w:hAnsi="宋体"/>
          <w:color w:val="auto"/>
          <w:szCs w:val="21"/>
          <w:lang w:val="en-US" w:eastAsia="zh-CN"/>
        </w:rPr>
        <w:t>“中标候选人</w:t>
      </w:r>
      <w:r>
        <w:rPr>
          <w:rFonts w:hint="eastAsia" w:ascii="宋体" w:hAnsi="宋体"/>
          <w:color w:val="auto"/>
          <w:szCs w:val="21"/>
        </w:rPr>
        <w:t>公示</w:t>
      </w:r>
      <w:r>
        <w:rPr>
          <w:rFonts w:hint="eastAsia" w:ascii="宋体" w:hAnsi="宋体"/>
          <w:color w:val="auto"/>
          <w:szCs w:val="21"/>
          <w:lang w:val="en-US" w:eastAsia="zh-CN"/>
        </w:rPr>
        <w:t>”</w:t>
      </w:r>
      <w:r>
        <w:rPr>
          <w:rFonts w:hint="eastAsia" w:ascii="宋体" w:hAnsi="宋体"/>
          <w:color w:val="auto"/>
          <w:szCs w:val="21"/>
          <w:lang w:eastAsia="zh-CN"/>
        </w:rPr>
        <w:t>栏目以及中山市公共资源交易平台（公共服务系统）的</w:t>
      </w:r>
      <w:r>
        <w:rPr>
          <w:rFonts w:hint="eastAsia" w:ascii="宋体" w:hAnsi="宋体"/>
          <w:color w:val="auto"/>
          <w:szCs w:val="21"/>
          <w:lang w:val="en-US" w:eastAsia="zh-CN"/>
        </w:rPr>
        <w:t>“建设工程-中标候选人公示”栏目</w:t>
      </w:r>
      <w:r>
        <w:rPr>
          <w:rFonts w:hint="eastAsia" w:ascii="宋体" w:hAnsi="宋体"/>
          <w:szCs w:val="21"/>
        </w:rPr>
        <w:t>上公示，该公示等同于告知中标人及未中标人，招标人不再另行发出《中标结果通知书》，请投标人及时查看。在本章第3.3 款规定的投标有效期内，招标人以书面形式向中标人发出中标通知书。</w:t>
      </w:r>
    </w:p>
    <w:p w14:paraId="53F84E1E">
      <w:pPr>
        <w:pStyle w:val="2"/>
        <w:rPr>
          <w:rFonts w:hint="eastAsia"/>
        </w:rPr>
      </w:pPr>
      <w:r>
        <w:rPr>
          <w:rFonts w:hint="eastAsia"/>
        </w:rPr>
        <w:t>7.3 履约担保</w:t>
      </w:r>
    </w:p>
    <w:p w14:paraId="36991662">
      <w:pPr>
        <w:spacing w:line="360" w:lineRule="auto"/>
        <w:ind w:firstLine="420" w:firstLineChars="200"/>
        <w:rPr>
          <w:rFonts w:hint="eastAsia" w:ascii="宋体" w:hAnsi="宋体"/>
          <w:szCs w:val="21"/>
        </w:rPr>
      </w:pPr>
      <w:r>
        <w:rPr>
          <w:rFonts w:hint="eastAsia" w:ascii="宋体" w:hAnsi="宋体"/>
          <w:szCs w:val="21"/>
        </w:rPr>
        <w:t>7.3.1 在签订合同前，中标人应按投标人须知前附表规定的金额、担保形式和招标文件第四章“合同条款及格式”规定的履约担保格式向招标人提交履约担保。</w:t>
      </w:r>
    </w:p>
    <w:p w14:paraId="327A6B64">
      <w:pPr>
        <w:spacing w:line="360" w:lineRule="auto"/>
        <w:ind w:firstLine="420" w:firstLineChars="200"/>
        <w:rPr>
          <w:rFonts w:hint="eastAsia" w:ascii="宋体" w:hAnsi="宋体" w:eastAsia="宋体"/>
          <w:szCs w:val="21"/>
          <w:lang w:eastAsia="zh-CN"/>
        </w:rPr>
      </w:pPr>
      <w:r>
        <w:rPr>
          <w:rFonts w:hint="eastAsia" w:ascii="宋体" w:hAnsi="宋体"/>
          <w:szCs w:val="21"/>
        </w:rPr>
        <w:t>7.3.2 中标人不能按本章第7.3.1项要求提交履约担保的，视为放弃中标</w:t>
      </w:r>
      <w:r>
        <w:rPr>
          <w:rFonts w:hint="eastAsia" w:ascii="宋体" w:hAnsi="宋体"/>
          <w:szCs w:val="21"/>
          <w:lang w:eastAsia="zh-CN"/>
        </w:rPr>
        <w:t>。收取投标保证金的项目，其</w:t>
      </w:r>
      <w:r>
        <w:rPr>
          <w:rFonts w:hint="eastAsia" w:ascii="宋体" w:hAnsi="宋体"/>
          <w:szCs w:val="21"/>
        </w:rPr>
        <w:t>投标保证金不予退还，给招标人造成的损失超过投标保证金数额的，中标人还应当对超过部分予以赔偿</w:t>
      </w:r>
      <w:r>
        <w:rPr>
          <w:rFonts w:hint="eastAsia" w:ascii="宋体" w:hAnsi="宋体"/>
          <w:szCs w:val="21"/>
          <w:lang w:eastAsia="zh-CN"/>
        </w:rPr>
        <w:t>。</w:t>
      </w:r>
    </w:p>
    <w:p w14:paraId="067850FF">
      <w:pPr>
        <w:pStyle w:val="2"/>
        <w:rPr>
          <w:rFonts w:hint="eastAsia"/>
        </w:rPr>
      </w:pPr>
      <w:r>
        <w:rPr>
          <w:rFonts w:hint="eastAsia"/>
        </w:rPr>
        <w:t>7.4 签订合同</w:t>
      </w:r>
    </w:p>
    <w:p w14:paraId="406B22DF">
      <w:pPr>
        <w:spacing w:line="360" w:lineRule="auto"/>
        <w:ind w:firstLine="420" w:firstLineChars="200"/>
        <w:rPr>
          <w:rFonts w:hint="eastAsia" w:ascii="宋体" w:hAnsi="宋体" w:eastAsia="宋体"/>
          <w:szCs w:val="21"/>
          <w:lang w:eastAsia="zh-CN"/>
        </w:rPr>
      </w:pPr>
      <w:r>
        <w:rPr>
          <w:rFonts w:hint="eastAsia" w:ascii="宋体" w:hAnsi="宋体"/>
          <w:szCs w:val="21"/>
        </w:rPr>
        <w:t>7.4.1 招标人和中标人应当自中标通知书发出之日起30天内，根据招标文件和中标人的投标文件订立书面合同。中标人无正当理由拒签合同的，招标人取消其中标资格</w:t>
      </w:r>
      <w:r>
        <w:rPr>
          <w:rFonts w:hint="eastAsia" w:ascii="宋体" w:hAnsi="宋体"/>
          <w:szCs w:val="21"/>
          <w:lang w:eastAsia="zh-CN"/>
        </w:rPr>
        <w:t>。收取投标保证金的项目，其</w:t>
      </w:r>
      <w:r>
        <w:rPr>
          <w:rFonts w:hint="eastAsia" w:ascii="宋体" w:hAnsi="宋体"/>
          <w:szCs w:val="21"/>
        </w:rPr>
        <w:t>投标保证金不予退还，给招标人造成的损失超过投标保证金数额的，中标人还应当对超过部分予以赔偿</w:t>
      </w:r>
      <w:r>
        <w:rPr>
          <w:rFonts w:hint="eastAsia" w:ascii="宋体" w:hAnsi="宋体"/>
          <w:szCs w:val="21"/>
          <w:lang w:eastAsia="zh-CN"/>
        </w:rPr>
        <w:t>。</w:t>
      </w:r>
    </w:p>
    <w:p w14:paraId="6344E9CB">
      <w:pPr>
        <w:spacing w:line="360" w:lineRule="auto"/>
        <w:ind w:firstLine="420" w:firstLineChars="200"/>
        <w:rPr>
          <w:rFonts w:hint="eastAsia" w:ascii="宋体" w:hAnsi="宋体"/>
          <w:szCs w:val="21"/>
        </w:rPr>
      </w:pPr>
      <w:r>
        <w:rPr>
          <w:rFonts w:hint="eastAsia" w:ascii="宋体" w:hAnsi="宋体"/>
          <w:szCs w:val="21"/>
        </w:rPr>
        <w:t>7.4.2 发出中标通知书后，招标人无正当理由拒签合同的，招标人向中标人退还投标保证金；给中标人造成损失的，还应当赔偿损失。</w:t>
      </w:r>
    </w:p>
    <w:p w14:paraId="6A482CE0">
      <w:pPr>
        <w:pStyle w:val="5"/>
        <w:rPr>
          <w:rFonts w:hint="eastAsia"/>
        </w:rPr>
      </w:pPr>
      <w:bookmarkStart w:id="12" w:name="_Toc184635078"/>
      <w:r>
        <w:rPr>
          <w:rFonts w:hint="eastAsia"/>
        </w:rPr>
        <w:t>8．重新招标和不再招标</w:t>
      </w:r>
      <w:bookmarkEnd w:id="12"/>
    </w:p>
    <w:p w14:paraId="26B8915B">
      <w:pPr>
        <w:pStyle w:val="2"/>
        <w:rPr>
          <w:rFonts w:hint="eastAsia"/>
        </w:rPr>
      </w:pPr>
      <w:r>
        <w:rPr>
          <w:rFonts w:hint="eastAsia"/>
        </w:rPr>
        <w:t>8.1 重新招标</w:t>
      </w:r>
    </w:p>
    <w:p w14:paraId="2A8421A2">
      <w:pPr>
        <w:spacing w:line="360" w:lineRule="auto"/>
        <w:ind w:firstLine="420" w:firstLineChars="200"/>
        <w:rPr>
          <w:rFonts w:hint="eastAsia" w:ascii="宋体" w:hAnsi="宋体"/>
          <w:szCs w:val="21"/>
        </w:rPr>
      </w:pPr>
      <w:r>
        <w:rPr>
          <w:rFonts w:hint="eastAsia" w:ascii="宋体" w:hAnsi="宋体"/>
          <w:szCs w:val="21"/>
        </w:rPr>
        <w:t>有下列情形之一的，招标人将重新招标：</w:t>
      </w:r>
    </w:p>
    <w:p w14:paraId="684CAE75">
      <w:pPr>
        <w:spacing w:line="360" w:lineRule="auto"/>
        <w:ind w:firstLine="420" w:firstLineChars="200"/>
        <w:rPr>
          <w:rFonts w:hint="eastAsia" w:ascii="宋体" w:hAnsi="宋体"/>
          <w:szCs w:val="21"/>
        </w:rPr>
      </w:pPr>
      <w:r>
        <w:rPr>
          <w:rFonts w:hint="eastAsia" w:ascii="宋体" w:hAnsi="宋体"/>
          <w:szCs w:val="21"/>
        </w:rPr>
        <w:t>（l）投标截止时间止，递交投标文件的投标人少于3个；</w:t>
      </w:r>
    </w:p>
    <w:p w14:paraId="77B70C75">
      <w:pPr>
        <w:spacing w:line="360" w:lineRule="auto"/>
        <w:ind w:firstLine="420" w:firstLineChars="200"/>
        <w:rPr>
          <w:rFonts w:hint="eastAsia" w:ascii="宋体" w:hAnsi="宋体"/>
          <w:szCs w:val="21"/>
        </w:rPr>
      </w:pPr>
      <w:r>
        <w:rPr>
          <w:rFonts w:hint="eastAsia" w:ascii="宋体" w:hAnsi="宋体"/>
          <w:szCs w:val="21"/>
        </w:rPr>
        <w:t>（2）资格审查合格的投标人少于3个的；</w:t>
      </w:r>
    </w:p>
    <w:p w14:paraId="12B058C4">
      <w:pPr>
        <w:spacing w:line="360" w:lineRule="auto"/>
        <w:ind w:firstLine="420" w:firstLineChars="200"/>
        <w:rPr>
          <w:rFonts w:hint="eastAsia" w:ascii="宋体" w:hAnsi="宋体"/>
          <w:szCs w:val="21"/>
        </w:rPr>
      </w:pPr>
      <w:r>
        <w:rPr>
          <w:rFonts w:hint="eastAsia" w:ascii="宋体" w:hAnsi="宋体"/>
          <w:szCs w:val="21"/>
        </w:rPr>
        <w:t>（3）技术标或投标报价有效的投标人少于3个的；</w:t>
      </w:r>
    </w:p>
    <w:p w14:paraId="5DE2FF69">
      <w:pPr>
        <w:spacing w:line="360" w:lineRule="auto"/>
        <w:ind w:firstLine="420" w:firstLineChars="200"/>
        <w:rPr>
          <w:rFonts w:hint="eastAsia" w:ascii="宋体" w:hAnsi="宋体"/>
          <w:szCs w:val="21"/>
        </w:rPr>
      </w:pPr>
      <w:r>
        <w:rPr>
          <w:rFonts w:hint="eastAsia" w:ascii="宋体" w:hAnsi="宋体"/>
          <w:szCs w:val="21"/>
        </w:rPr>
        <w:t>（4）经评标委员会评审后否决所有投标的；</w:t>
      </w:r>
    </w:p>
    <w:p w14:paraId="00297471">
      <w:pPr>
        <w:spacing w:line="360" w:lineRule="auto"/>
        <w:ind w:firstLine="420" w:firstLineChars="200"/>
        <w:rPr>
          <w:rFonts w:hint="eastAsia" w:ascii="宋体" w:hAnsi="宋体"/>
          <w:szCs w:val="21"/>
        </w:rPr>
      </w:pPr>
      <w:r>
        <w:rPr>
          <w:rFonts w:hint="eastAsia" w:ascii="宋体" w:hAnsi="宋体"/>
          <w:szCs w:val="21"/>
        </w:rPr>
        <w:t>（5）法律法规规定的重新招标的其他情况。</w:t>
      </w:r>
    </w:p>
    <w:p w14:paraId="118B3863">
      <w:pPr>
        <w:pStyle w:val="2"/>
        <w:rPr>
          <w:rFonts w:hint="eastAsia"/>
        </w:rPr>
      </w:pPr>
      <w:r>
        <w:rPr>
          <w:rFonts w:hint="eastAsia"/>
        </w:rPr>
        <w:t>8.2</w:t>
      </w:r>
      <w:r>
        <w:rPr>
          <w:rFonts w:hint="eastAsia" w:ascii="宋体" w:hAnsi="宋体"/>
          <w:szCs w:val="21"/>
        </w:rPr>
        <w:t>调整招标方式或</w:t>
      </w:r>
      <w:r>
        <w:rPr>
          <w:rFonts w:hint="eastAsia"/>
        </w:rPr>
        <w:t>不再招标</w:t>
      </w:r>
    </w:p>
    <w:p w14:paraId="68A0E9B0">
      <w:pPr>
        <w:spacing w:line="360" w:lineRule="auto"/>
        <w:ind w:firstLine="420" w:firstLineChars="200"/>
        <w:rPr>
          <w:rFonts w:hint="eastAsia" w:ascii="宋体" w:hAnsi="宋体"/>
          <w:szCs w:val="21"/>
        </w:rPr>
      </w:pPr>
      <w:bookmarkStart w:id="13" w:name="_Toc184635079"/>
      <w:r>
        <w:rPr>
          <w:rFonts w:hint="eastAsia" w:ascii="宋体" w:hAnsi="宋体"/>
          <w:szCs w:val="21"/>
        </w:rPr>
        <w:t>重新招标后投标人仍少于3个或者所有投标被否决的，将继续进行公开招标，原则上不调整招标方式。</w:t>
      </w:r>
    </w:p>
    <w:p w14:paraId="648008AB">
      <w:pPr>
        <w:pStyle w:val="5"/>
        <w:rPr>
          <w:rFonts w:hint="eastAsia"/>
        </w:rPr>
      </w:pPr>
      <w:r>
        <w:rPr>
          <w:rFonts w:hint="eastAsia"/>
        </w:rPr>
        <w:t>9．纪律和监督</w:t>
      </w:r>
      <w:bookmarkEnd w:id="13"/>
    </w:p>
    <w:p w14:paraId="23336416">
      <w:pPr>
        <w:pStyle w:val="2"/>
        <w:rPr>
          <w:rFonts w:hint="eastAsia"/>
        </w:rPr>
      </w:pPr>
      <w:r>
        <w:rPr>
          <w:rFonts w:hint="eastAsia"/>
        </w:rPr>
        <w:t>9.1 对招标人的纪律要求</w:t>
      </w:r>
    </w:p>
    <w:p w14:paraId="5F9D1C15">
      <w:pPr>
        <w:spacing w:line="360" w:lineRule="auto"/>
        <w:ind w:firstLine="420" w:firstLineChars="200"/>
        <w:rPr>
          <w:rFonts w:hint="eastAsia"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14:paraId="206394BF">
      <w:pPr>
        <w:pStyle w:val="2"/>
        <w:rPr>
          <w:rFonts w:hint="eastAsia"/>
        </w:rPr>
      </w:pPr>
      <w:r>
        <w:rPr>
          <w:rFonts w:hint="eastAsia"/>
        </w:rPr>
        <w:t>9.2 对投标人的纪律要求</w:t>
      </w:r>
    </w:p>
    <w:p w14:paraId="63509CC3">
      <w:pPr>
        <w:spacing w:line="360" w:lineRule="auto"/>
        <w:ind w:firstLine="420" w:firstLineChars="200"/>
        <w:rPr>
          <w:rFonts w:hint="eastAsia"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1E9518C">
      <w:pPr>
        <w:spacing w:line="360" w:lineRule="auto"/>
        <w:ind w:firstLine="420" w:firstLineChars="200"/>
        <w:rPr>
          <w:rFonts w:hint="eastAsia" w:ascii="宋体" w:hAnsi="宋体"/>
          <w:szCs w:val="21"/>
        </w:rPr>
      </w:pPr>
      <w:r>
        <w:rPr>
          <w:rFonts w:hint="eastAsia" w:ascii="宋体" w:hAnsi="宋体" w:cs="宋体"/>
          <w:szCs w:val="21"/>
        </w:rPr>
        <w:t>投标人必须独立编制投标文件。在参加电子招标时，投标人必须自行在</w:t>
      </w:r>
      <w:r>
        <w:rPr>
          <w:rFonts w:hint="eastAsia" w:ascii="宋体" w:hAnsi="宋体" w:cs="宋体"/>
          <w:szCs w:val="21"/>
          <w:lang w:val="en-US" w:eastAsia="zh-CN"/>
        </w:rPr>
        <w:t>工程建设</w:t>
      </w:r>
      <w:r>
        <w:rPr>
          <w:rFonts w:hint="eastAsia" w:ascii="宋体" w:hAnsi="宋体" w:cs="宋体"/>
          <w:szCs w:val="21"/>
        </w:rPr>
        <w:t>交易系统下载招标文件、工程预算等，由本单位在职预算员使用正版软件独立编制、加密、上传投标文件，不得以任何理由委托第三方造价咨询公司或个人编制投标文件。不同投标人不得互相拷贝、传送、讨论、商议工程预算、投标报价文件等。对在投标过程中凡被计算机评标系统检测到与其他投标单位投标文件特征码相同情形</w:t>
      </w:r>
      <w:r>
        <w:rPr>
          <w:rFonts w:hint="eastAsia" w:ascii="宋体" w:hAnsi="宋体" w:cs="宋体"/>
          <w:szCs w:val="21"/>
          <w:highlight w:val="none"/>
        </w:rPr>
        <w:t>，水行政主管部门将按《关于水利工</w:t>
      </w:r>
      <w:r>
        <w:rPr>
          <w:rFonts w:hint="eastAsia" w:ascii="宋体" w:hAnsi="宋体" w:cs="宋体"/>
          <w:szCs w:val="21"/>
        </w:rPr>
        <w:t>程施工项目电子招标投标工程存在问题的通报》对相关单位予以点名通报，并按相关法规进行处罚。</w:t>
      </w:r>
    </w:p>
    <w:p w14:paraId="5F6D7051">
      <w:pPr>
        <w:pStyle w:val="2"/>
        <w:rPr>
          <w:rFonts w:hint="eastAsia"/>
        </w:rPr>
      </w:pPr>
      <w:r>
        <w:rPr>
          <w:rFonts w:hint="eastAsia"/>
        </w:rPr>
        <w:t>9.3 对评标委员会成员的纪律要求</w:t>
      </w:r>
    </w:p>
    <w:p w14:paraId="12108F42">
      <w:pPr>
        <w:spacing w:line="360" w:lineRule="auto"/>
        <w:ind w:firstLine="420" w:firstLineChars="200"/>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381FC80">
      <w:pPr>
        <w:pStyle w:val="2"/>
        <w:rPr>
          <w:rFonts w:hint="eastAsia"/>
        </w:rPr>
      </w:pPr>
      <w:r>
        <w:rPr>
          <w:rFonts w:hint="eastAsia"/>
        </w:rPr>
        <w:t>9.4 对与评标活动有关的工作人员的纪律要求</w:t>
      </w:r>
    </w:p>
    <w:p w14:paraId="6E3A7E27">
      <w:pPr>
        <w:spacing w:line="360" w:lineRule="auto"/>
        <w:ind w:firstLine="420" w:firstLineChars="200"/>
        <w:rPr>
          <w:rFonts w:hint="eastAsia" w:ascii="宋体" w:hAnsi="宋体"/>
          <w:szCs w:val="21"/>
        </w:rPr>
      </w:pPr>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52CC28">
      <w:pPr>
        <w:pStyle w:val="2"/>
        <w:rPr>
          <w:rFonts w:hint="eastAsia"/>
        </w:rPr>
      </w:pPr>
      <w:r>
        <w:rPr>
          <w:rFonts w:hint="eastAsia"/>
        </w:rPr>
        <w:t>9.5 投诉</w:t>
      </w:r>
    </w:p>
    <w:p w14:paraId="6DDA08BF">
      <w:pPr>
        <w:spacing w:line="360" w:lineRule="auto"/>
        <w:ind w:firstLine="420" w:firstLineChars="200"/>
        <w:rPr>
          <w:rFonts w:hint="eastAsia" w:ascii="宋体" w:hAnsi="宋体"/>
          <w:szCs w:val="21"/>
          <w:highlight w:val="none"/>
        </w:rPr>
      </w:pPr>
      <w:r>
        <w:rPr>
          <w:rFonts w:hint="eastAsia" w:ascii="宋体" w:hAnsi="宋体"/>
          <w:szCs w:val="21"/>
        </w:rPr>
        <w:t>投标人和其他利害关系人认为本次招标活动违反法律、法规和规章规定的，有权向有关行政监督部门投诉。本工程由</w:t>
      </w:r>
      <w:r>
        <w:rPr>
          <w:rFonts w:hint="eastAsia" w:ascii="宋体" w:hAnsi="宋体"/>
          <w:szCs w:val="21"/>
          <w:highlight w:val="none"/>
        </w:rPr>
        <w:t>中山市港口镇城市建设和管理局监督，联系电话：</w:t>
      </w:r>
      <w:r>
        <w:rPr>
          <w:rFonts w:hint="eastAsia" w:ascii="宋体" w:hAnsi="宋体"/>
          <w:szCs w:val="21"/>
          <w:highlight w:val="none"/>
          <w:lang w:eastAsia="zh-CN"/>
        </w:rPr>
        <w:t>0760-88405655</w:t>
      </w:r>
      <w:r>
        <w:rPr>
          <w:rFonts w:hint="eastAsia" w:ascii="宋体" w:hAnsi="宋体"/>
          <w:szCs w:val="21"/>
          <w:highlight w:val="none"/>
        </w:rPr>
        <w:t>，传真：</w:t>
      </w:r>
      <w:r>
        <w:rPr>
          <w:rFonts w:hint="eastAsia" w:ascii="宋体" w:hAnsi="宋体"/>
          <w:szCs w:val="21"/>
          <w:highlight w:val="none"/>
          <w:lang w:eastAsia="zh-CN"/>
        </w:rPr>
        <w:t>0760-88405655</w:t>
      </w:r>
      <w:r>
        <w:rPr>
          <w:rFonts w:hint="eastAsia" w:ascii="宋体" w:hAnsi="宋体"/>
          <w:szCs w:val="21"/>
          <w:highlight w:val="none"/>
        </w:rPr>
        <w:t>。</w:t>
      </w:r>
    </w:p>
    <w:p w14:paraId="0312C6E2">
      <w:pPr>
        <w:pStyle w:val="5"/>
        <w:rPr>
          <w:rFonts w:hint="eastAsia"/>
        </w:rPr>
      </w:pPr>
      <w:bookmarkStart w:id="14" w:name="_Toc184635080"/>
      <w:r>
        <w:rPr>
          <w:rFonts w:hint="eastAsia"/>
        </w:rPr>
        <w:t>10、</w:t>
      </w:r>
      <w:r>
        <w:rPr>
          <w:rFonts w:hint="eastAsia"/>
          <w:sz w:val="21"/>
          <w:szCs w:val="21"/>
        </w:rPr>
        <w:t>需要补充的其他内容</w:t>
      </w:r>
      <w:bookmarkEnd w:id="14"/>
    </w:p>
    <w:p w14:paraId="09AF92FD">
      <w:pPr>
        <w:spacing w:line="360" w:lineRule="auto"/>
        <w:rPr>
          <w:rFonts w:hint="eastAsia" w:ascii="宋体" w:hAnsi="宋体" w:cs="宋体"/>
          <w:b/>
          <w:szCs w:val="21"/>
        </w:rPr>
      </w:pPr>
      <w:r>
        <w:rPr>
          <w:rFonts w:hint="eastAsia" w:ascii="宋体" w:hAnsi="宋体" w:cs="宋体"/>
          <w:b/>
          <w:szCs w:val="21"/>
        </w:rPr>
        <w:t>10.1企业基本信息、人员信息以及项目管理机构基本要求</w:t>
      </w:r>
    </w:p>
    <w:p w14:paraId="3C7DDB2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cs="宋体"/>
          <w:b w:val="0"/>
          <w:bCs/>
          <w:sz w:val="21"/>
          <w:szCs w:val="21"/>
          <w:shd w:val="clear" w:color="auto" w:fill="FFFFFF"/>
        </w:rPr>
      </w:pPr>
      <w:r>
        <w:rPr>
          <w:b w:val="0"/>
          <w:bCs/>
          <w:sz w:val="21"/>
          <w:szCs w:val="21"/>
        </w:rPr>
        <w:t>10.1.1投标人须按《</w:t>
      </w:r>
      <w:r>
        <w:rPr>
          <w:b w:val="0"/>
          <w:bCs/>
          <w:sz w:val="21"/>
          <w:szCs w:val="21"/>
          <w:shd w:val="clear" w:color="auto" w:fill="FFFFFF"/>
        </w:rPr>
        <w:t>关于水利建设市场监管平台上线运行的通知》要求</w:t>
      </w:r>
      <w:r>
        <w:rPr>
          <w:rFonts w:cs="宋体"/>
          <w:b w:val="0"/>
          <w:bCs/>
          <w:sz w:val="21"/>
          <w:szCs w:val="21"/>
          <w:shd w:val="clear" w:color="auto" w:fill="FFFFFF"/>
        </w:rPr>
        <w:t>及时登录监管平台，按照有关要求自主填报信用信息，并对已有信息进行核对、完善和及时更新，建立健全水利建设市场主体信用档案，对信用信息的真实性、准确性、及时性负责。</w:t>
      </w:r>
    </w:p>
    <w:p w14:paraId="651C600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b w:val="0"/>
          <w:bCs/>
          <w:sz w:val="21"/>
          <w:szCs w:val="21"/>
          <w:shd w:val="clear" w:color="auto" w:fill="FFFFFF"/>
        </w:rPr>
      </w:pPr>
      <w:r>
        <w:rPr>
          <w:rFonts w:cs="宋体"/>
          <w:b w:val="0"/>
          <w:bCs/>
          <w:sz w:val="21"/>
          <w:szCs w:val="21"/>
          <w:shd w:val="clear" w:color="auto" w:fill="FFFFFF"/>
        </w:rPr>
        <w:t>10.1.2投标人须按《</w:t>
      </w:r>
      <w:r>
        <w:rPr>
          <w:b w:val="0"/>
          <w:bCs/>
          <w:sz w:val="21"/>
          <w:szCs w:val="21"/>
          <w:shd w:val="clear" w:color="auto" w:fill="FFFFFF"/>
        </w:rPr>
        <w:t>关于进一步完善我市水利行业市场主体信息登记工作的通知》要求</w:t>
      </w:r>
      <w:r>
        <w:rPr>
          <w:rFonts w:cs="宋体"/>
          <w:b w:val="0"/>
          <w:bCs/>
          <w:sz w:val="21"/>
          <w:szCs w:val="21"/>
          <w:shd w:val="clear" w:color="auto" w:fill="FFFFFF"/>
        </w:rPr>
        <w:t>在市公共资源交易中心基础支撑平台录入企业基本信息和人员信息。因投标人未及时维护、更新市公共资源交易中心基础支撑平台信息，造成其企业信息及人员信息不被认可、资格审查不通过等后果，由投标人自行负责。</w:t>
      </w:r>
    </w:p>
    <w:p w14:paraId="7681BFE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10.1.3项目管理机构基本要求</w:t>
      </w:r>
    </w:p>
    <w:p w14:paraId="09EC30D6">
      <w:pPr>
        <w:jc w:val="center"/>
        <w:rPr>
          <w:rFonts w:hint="eastAsia" w:ascii="宋体" w:hAnsi="宋体"/>
          <w:sz w:val="28"/>
          <w:szCs w:val="28"/>
        </w:rPr>
      </w:pPr>
      <w:r>
        <w:rPr>
          <w:rFonts w:hint="eastAsia" w:ascii="宋体" w:hAnsi="宋体"/>
          <w:sz w:val="28"/>
          <w:szCs w:val="28"/>
        </w:rPr>
        <w:t>《项目管理机构主要人员配置表》</w:t>
      </w:r>
    </w:p>
    <w:p w14:paraId="0957DC67">
      <w:pPr>
        <w:spacing w:line="400" w:lineRule="exact"/>
        <w:ind w:firstLine="432"/>
        <w:jc w:val="center"/>
        <w:rPr>
          <w:rFonts w:ascii="宋体" w:hAnsi="宋体"/>
          <w:bCs/>
          <w:sz w:val="28"/>
          <w:szCs w:val="28"/>
        </w:rPr>
      </w:pPr>
    </w:p>
    <w:tbl>
      <w:tblPr>
        <w:tblStyle w:val="23"/>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537"/>
        <w:gridCol w:w="1234"/>
        <w:gridCol w:w="2981"/>
        <w:gridCol w:w="3074"/>
      </w:tblGrid>
      <w:tr w14:paraId="09ED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6" w:type="dxa"/>
            <w:noWrap w:val="0"/>
            <w:vAlign w:val="center"/>
          </w:tcPr>
          <w:p w14:paraId="763BBE1B">
            <w:pPr>
              <w:jc w:val="center"/>
              <w:rPr>
                <w:rFonts w:hint="eastAsia" w:ascii="宋体" w:hAnsi="宋体"/>
                <w:b/>
                <w:bCs/>
                <w:szCs w:val="21"/>
              </w:rPr>
            </w:pPr>
            <w:r>
              <w:rPr>
                <w:rFonts w:hint="eastAsia" w:ascii="宋体" w:hAnsi="宋体"/>
                <w:b/>
                <w:bCs/>
                <w:szCs w:val="21"/>
              </w:rPr>
              <w:t>序号</w:t>
            </w:r>
          </w:p>
        </w:tc>
        <w:tc>
          <w:tcPr>
            <w:tcW w:w="1537" w:type="dxa"/>
            <w:noWrap w:val="0"/>
            <w:vAlign w:val="center"/>
          </w:tcPr>
          <w:p w14:paraId="27FC322C">
            <w:pPr>
              <w:jc w:val="center"/>
              <w:rPr>
                <w:rFonts w:hint="eastAsia" w:ascii="宋体" w:hAnsi="宋体"/>
                <w:b/>
                <w:bCs/>
                <w:szCs w:val="21"/>
              </w:rPr>
            </w:pPr>
            <w:r>
              <w:rPr>
                <w:rFonts w:hint="eastAsia" w:ascii="宋体" w:hAnsi="宋体"/>
                <w:b/>
                <w:bCs/>
                <w:szCs w:val="21"/>
              </w:rPr>
              <w:t>人员名称</w:t>
            </w:r>
          </w:p>
        </w:tc>
        <w:tc>
          <w:tcPr>
            <w:tcW w:w="1234" w:type="dxa"/>
            <w:noWrap w:val="0"/>
            <w:vAlign w:val="center"/>
          </w:tcPr>
          <w:p w14:paraId="52CFFA82">
            <w:pPr>
              <w:jc w:val="center"/>
              <w:rPr>
                <w:rFonts w:hint="eastAsia" w:ascii="宋体" w:hAnsi="宋体"/>
                <w:b/>
                <w:bCs/>
                <w:szCs w:val="21"/>
              </w:rPr>
            </w:pPr>
            <w:r>
              <w:rPr>
                <w:rFonts w:hint="eastAsia" w:ascii="宋体" w:hAnsi="宋体"/>
                <w:b/>
                <w:bCs/>
                <w:szCs w:val="21"/>
              </w:rPr>
              <w:t>人数</w:t>
            </w:r>
          </w:p>
        </w:tc>
        <w:tc>
          <w:tcPr>
            <w:tcW w:w="2981" w:type="dxa"/>
            <w:noWrap w:val="0"/>
            <w:vAlign w:val="center"/>
          </w:tcPr>
          <w:p w14:paraId="0BEACC7F">
            <w:pPr>
              <w:jc w:val="center"/>
              <w:rPr>
                <w:rFonts w:hint="eastAsia" w:ascii="宋体" w:hAnsi="宋体"/>
                <w:b/>
                <w:bCs/>
                <w:szCs w:val="21"/>
              </w:rPr>
            </w:pPr>
            <w:r>
              <w:rPr>
                <w:rFonts w:hint="eastAsia" w:ascii="宋体" w:hAnsi="宋体"/>
                <w:b/>
                <w:bCs/>
                <w:szCs w:val="21"/>
              </w:rPr>
              <w:t>专业及级别</w:t>
            </w:r>
          </w:p>
        </w:tc>
        <w:tc>
          <w:tcPr>
            <w:tcW w:w="3074" w:type="dxa"/>
            <w:noWrap w:val="0"/>
            <w:vAlign w:val="center"/>
          </w:tcPr>
          <w:p w14:paraId="6E79A7CA">
            <w:pPr>
              <w:jc w:val="center"/>
              <w:rPr>
                <w:rFonts w:hint="eastAsia" w:ascii="宋体" w:hAnsi="宋体"/>
                <w:b/>
                <w:bCs/>
                <w:szCs w:val="21"/>
              </w:rPr>
            </w:pPr>
            <w:r>
              <w:rPr>
                <w:rFonts w:hint="eastAsia" w:ascii="宋体" w:hAnsi="宋体"/>
                <w:b/>
                <w:bCs/>
                <w:szCs w:val="21"/>
              </w:rPr>
              <w:t>备注</w:t>
            </w:r>
          </w:p>
        </w:tc>
      </w:tr>
      <w:tr w14:paraId="7E4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36" w:type="dxa"/>
            <w:noWrap w:val="0"/>
            <w:vAlign w:val="center"/>
          </w:tcPr>
          <w:p w14:paraId="1C201D5B">
            <w:pPr>
              <w:jc w:val="center"/>
              <w:rPr>
                <w:rFonts w:hint="eastAsia" w:ascii="宋体" w:hAnsi="宋体"/>
                <w:b/>
                <w:bCs/>
                <w:szCs w:val="21"/>
              </w:rPr>
            </w:pPr>
            <w:r>
              <w:rPr>
                <w:rFonts w:hint="eastAsia" w:ascii="宋体" w:hAnsi="宋体"/>
                <w:b/>
                <w:bCs/>
                <w:szCs w:val="21"/>
              </w:rPr>
              <w:t>1</w:t>
            </w:r>
          </w:p>
        </w:tc>
        <w:tc>
          <w:tcPr>
            <w:tcW w:w="1537" w:type="dxa"/>
            <w:noWrap w:val="0"/>
            <w:vAlign w:val="center"/>
          </w:tcPr>
          <w:p w14:paraId="67D0A70F">
            <w:pPr>
              <w:jc w:val="center"/>
              <w:rPr>
                <w:rFonts w:hint="eastAsia" w:ascii="宋体" w:hAnsi="宋体"/>
                <w:szCs w:val="21"/>
              </w:rPr>
            </w:pPr>
            <w:r>
              <w:rPr>
                <w:rFonts w:hint="eastAsia" w:ascii="宋体" w:hAnsi="宋体"/>
                <w:szCs w:val="21"/>
              </w:rPr>
              <w:t>项目负责人</w:t>
            </w:r>
          </w:p>
        </w:tc>
        <w:tc>
          <w:tcPr>
            <w:tcW w:w="1234" w:type="dxa"/>
            <w:noWrap w:val="0"/>
            <w:vAlign w:val="center"/>
          </w:tcPr>
          <w:p w14:paraId="042F9731">
            <w:pPr>
              <w:jc w:val="center"/>
              <w:rPr>
                <w:rFonts w:hint="eastAsia"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人</w:t>
            </w:r>
          </w:p>
        </w:tc>
        <w:tc>
          <w:tcPr>
            <w:tcW w:w="2981" w:type="dxa"/>
            <w:noWrap w:val="0"/>
            <w:vAlign w:val="center"/>
          </w:tcPr>
          <w:p w14:paraId="00629E7F">
            <w:pPr>
              <w:rPr>
                <w:rFonts w:hint="eastAsia" w:ascii="宋体" w:hAnsi="宋体"/>
                <w:bCs/>
                <w:szCs w:val="21"/>
                <w:highlight w:val="none"/>
              </w:rPr>
            </w:pPr>
            <w:r>
              <w:rPr>
                <w:rFonts w:hint="eastAsia" w:ascii="宋体" w:hAnsi="宋体"/>
                <w:bCs/>
                <w:szCs w:val="21"/>
                <w:highlight w:val="none"/>
              </w:rPr>
              <w:t>专业：</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水利水电工程</w:t>
            </w:r>
          </w:p>
          <w:p w14:paraId="3776BA1B">
            <w:pPr>
              <w:rPr>
                <w:rFonts w:hint="eastAsia" w:ascii="宋体" w:hAnsi="宋体"/>
                <w:bCs/>
                <w:szCs w:val="21"/>
                <w:highlight w:val="none"/>
              </w:rPr>
            </w:pPr>
          </w:p>
          <w:p w14:paraId="2F4465FF">
            <w:pPr>
              <w:rPr>
                <w:rFonts w:hint="eastAsia" w:ascii="宋体" w:hAnsi="宋体"/>
                <w:bCs/>
                <w:szCs w:val="21"/>
                <w:highlight w:val="none"/>
              </w:rPr>
            </w:pPr>
            <w:r>
              <w:rPr>
                <w:rFonts w:hint="eastAsia" w:ascii="宋体" w:hAnsi="宋体"/>
                <w:bCs/>
                <w:szCs w:val="21"/>
                <w:highlight w:val="none"/>
              </w:rPr>
              <w:t>级别：</w:t>
            </w:r>
            <w:r>
              <w:rPr>
                <w:rFonts w:hint="eastAsia" w:ascii="宋体" w:hAnsi="宋体"/>
                <w:bCs/>
                <w:szCs w:val="21"/>
                <w:highlight w:val="none"/>
                <w:u w:val="single"/>
              </w:rPr>
              <w:t xml:space="preserve"> </w:t>
            </w:r>
            <w:r>
              <w:rPr>
                <w:rFonts w:hint="eastAsia" w:ascii="宋体" w:hAnsi="宋体"/>
                <w:bCs/>
                <w:color w:val="auto"/>
                <w:szCs w:val="21"/>
                <w:highlight w:val="none"/>
                <w:u w:val="single"/>
              </w:rPr>
              <w:t>二级</w:t>
            </w:r>
            <w:r>
              <w:rPr>
                <w:rFonts w:hint="eastAsia" w:ascii="宋体" w:hAnsi="宋体"/>
                <w:bCs/>
                <w:color w:val="auto"/>
                <w:szCs w:val="21"/>
                <w:highlight w:val="none"/>
                <w:u w:val="single"/>
                <w:lang w:val="en-US" w:eastAsia="zh-CN"/>
              </w:rPr>
              <w:t>或以上</w:t>
            </w:r>
            <w:r>
              <w:rPr>
                <w:rFonts w:hint="eastAsia" w:ascii="宋体" w:hAnsi="宋体"/>
                <w:bCs/>
                <w:color w:val="auto"/>
                <w:szCs w:val="21"/>
                <w:highlight w:val="none"/>
                <w:u w:val="single"/>
              </w:rPr>
              <w:t xml:space="preserve">注册建造师执业资格 </w:t>
            </w:r>
            <w:r>
              <w:rPr>
                <w:rFonts w:hint="eastAsia" w:ascii="宋体" w:hAnsi="宋体"/>
                <w:bCs/>
                <w:szCs w:val="21"/>
                <w:highlight w:val="none"/>
                <w:u w:val="single"/>
              </w:rPr>
              <w:t xml:space="preserve"> </w:t>
            </w:r>
            <w:r>
              <w:rPr>
                <w:rFonts w:hint="eastAsia" w:ascii="宋体" w:hAnsi="宋体"/>
                <w:bCs/>
                <w:szCs w:val="21"/>
                <w:highlight w:val="none"/>
              </w:rPr>
              <w:t xml:space="preserve">             </w:t>
            </w:r>
          </w:p>
        </w:tc>
        <w:tc>
          <w:tcPr>
            <w:tcW w:w="3074" w:type="dxa"/>
            <w:noWrap w:val="0"/>
            <w:vAlign w:val="center"/>
          </w:tcPr>
          <w:p w14:paraId="69A7C21D">
            <w:pPr>
              <w:ind w:firstLine="210" w:firstLineChars="100"/>
              <w:rPr>
                <w:rFonts w:hint="eastAsia" w:ascii="宋体" w:hAnsi="宋体"/>
                <w:bCs/>
                <w:szCs w:val="21"/>
              </w:rPr>
            </w:pPr>
            <w:r>
              <w:rPr>
                <w:rFonts w:hint="eastAsia" w:ascii="宋体" w:hAnsi="宋体"/>
                <w:bCs/>
                <w:szCs w:val="21"/>
              </w:rPr>
              <w:t>提供</w:t>
            </w:r>
            <w:r>
              <w:rPr>
                <w:rFonts w:hint="eastAsia" w:ascii="宋体" w:hAnsi="宋体"/>
                <w:szCs w:val="21"/>
              </w:rPr>
              <w:t>注册</w:t>
            </w:r>
            <w:r>
              <w:rPr>
                <w:rFonts w:hint="eastAsia" w:ascii="宋体" w:hAnsi="宋体"/>
                <w:bCs/>
                <w:szCs w:val="21"/>
              </w:rPr>
              <w:t>建造师证（或IC卡）、水行政部门颁发安全考核合格证、身份证及社保证明原件扫描件</w:t>
            </w:r>
          </w:p>
        </w:tc>
      </w:tr>
      <w:tr w14:paraId="09EA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36" w:type="dxa"/>
            <w:noWrap w:val="0"/>
            <w:vAlign w:val="center"/>
          </w:tcPr>
          <w:p w14:paraId="10555E5F">
            <w:pPr>
              <w:jc w:val="center"/>
              <w:rPr>
                <w:rFonts w:hint="eastAsia" w:ascii="宋体" w:hAnsi="宋体"/>
                <w:b/>
                <w:bCs/>
                <w:szCs w:val="21"/>
              </w:rPr>
            </w:pPr>
            <w:r>
              <w:rPr>
                <w:rFonts w:hint="eastAsia" w:ascii="宋体" w:hAnsi="宋体"/>
                <w:b/>
                <w:bCs/>
                <w:szCs w:val="21"/>
              </w:rPr>
              <w:t>2</w:t>
            </w:r>
          </w:p>
        </w:tc>
        <w:tc>
          <w:tcPr>
            <w:tcW w:w="1537" w:type="dxa"/>
            <w:noWrap w:val="0"/>
            <w:vAlign w:val="center"/>
          </w:tcPr>
          <w:p w14:paraId="5BD32FD2">
            <w:pPr>
              <w:jc w:val="center"/>
              <w:rPr>
                <w:rFonts w:hint="eastAsia" w:ascii="宋体" w:hAnsi="宋体"/>
                <w:szCs w:val="21"/>
              </w:rPr>
            </w:pPr>
            <w:r>
              <w:rPr>
                <w:rFonts w:hint="eastAsia" w:ascii="宋体" w:hAnsi="宋体"/>
                <w:szCs w:val="21"/>
              </w:rPr>
              <w:t>技术负责人</w:t>
            </w:r>
          </w:p>
        </w:tc>
        <w:tc>
          <w:tcPr>
            <w:tcW w:w="1234" w:type="dxa"/>
            <w:noWrap w:val="0"/>
            <w:vAlign w:val="center"/>
          </w:tcPr>
          <w:p w14:paraId="3D059690">
            <w:pPr>
              <w:jc w:val="center"/>
              <w:rPr>
                <w:rFonts w:hint="eastAsia" w:ascii="宋体" w:hAnsi="宋体"/>
                <w:bCs/>
                <w:szCs w:val="21"/>
              </w:rPr>
            </w:pP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人</w:t>
            </w:r>
          </w:p>
        </w:tc>
        <w:tc>
          <w:tcPr>
            <w:tcW w:w="2981" w:type="dxa"/>
            <w:noWrap w:val="0"/>
            <w:vAlign w:val="center"/>
          </w:tcPr>
          <w:p w14:paraId="61D7C5F7">
            <w:pPr>
              <w:pageBreakBefore w:val="0"/>
              <w:kinsoku/>
              <w:wordWrap/>
              <w:overflowPunct/>
              <w:topLinePunct w:val="0"/>
              <w:autoSpaceDE/>
              <w:autoSpaceDN/>
              <w:bidi w:val="0"/>
              <w:adjustRightInd/>
              <w:snapToGrid/>
              <w:spacing w:line="240" w:lineRule="auto"/>
              <w:textAlignment w:val="auto"/>
              <w:rPr>
                <w:rFonts w:hint="eastAsia" w:ascii="宋体" w:hAnsi="宋体"/>
                <w:bCs/>
                <w:color w:val="auto"/>
                <w:szCs w:val="21"/>
                <w:highlight w:val="none"/>
              </w:rPr>
            </w:pPr>
            <w:r>
              <w:rPr>
                <w:rFonts w:hint="eastAsia" w:ascii="宋体" w:hAnsi="宋体"/>
                <w:bCs/>
                <w:color w:val="auto"/>
                <w:szCs w:val="21"/>
                <w:highlight w:val="none"/>
              </w:rPr>
              <w:t>专业：</w:t>
            </w:r>
            <w:r>
              <w:rPr>
                <w:rFonts w:hint="eastAsia" w:ascii="宋体" w:hAnsi="宋体" w:cs="宋体"/>
                <w:color w:val="auto"/>
                <w:szCs w:val="21"/>
                <w:highlight w:val="none"/>
                <w:u w:val="single"/>
                <w:lang w:bidi="ar"/>
              </w:rPr>
              <w:t>水利水电类</w:t>
            </w:r>
          </w:p>
          <w:p w14:paraId="17191A52">
            <w:pPr>
              <w:spacing w:line="360" w:lineRule="auto"/>
              <w:rPr>
                <w:rFonts w:hint="eastAsia" w:ascii="宋体" w:hAnsi="宋体"/>
                <w:bCs/>
                <w:szCs w:val="21"/>
                <w:highlight w:val="none"/>
              </w:rPr>
            </w:pPr>
            <w:r>
              <w:rPr>
                <w:rFonts w:hint="eastAsia" w:ascii="宋体" w:hAnsi="宋体"/>
                <w:bCs/>
                <w:color w:val="auto"/>
                <w:szCs w:val="21"/>
                <w:highlight w:val="none"/>
              </w:rPr>
              <w:t>级别：</w:t>
            </w:r>
            <w:r>
              <w:rPr>
                <w:rFonts w:hint="eastAsia" w:ascii="宋体" w:hAnsi="宋体" w:cs="宋体"/>
                <w:color w:val="auto"/>
                <w:szCs w:val="21"/>
                <w:highlight w:val="none"/>
                <w:u w:val="single"/>
                <w:lang w:bidi="ar"/>
              </w:rPr>
              <w:t>工程师或以上职称</w:t>
            </w:r>
            <w:r>
              <w:rPr>
                <w:rFonts w:hint="eastAsia" w:ascii="宋体" w:hAnsi="宋体"/>
                <w:bCs/>
                <w:szCs w:val="21"/>
                <w:highlight w:val="none"/>
              </w:rPr>
              <w:t xml:space="preserve">             </w:t>
            </w:r>
          </w:p>
        </w:tc>
        <w:tc>
          <w:tcPr>
            <w:tcW w:w="3074" w:type="dxa"/>
            <w:noWrap w:val="0"/>
            <w:vAlign w:val="center"/>
          </w:tcPr>
          <w:p w14:paraId="7A279CD2">
            <w:pPr>
              <w:rPr>
                <w:rFonts w:hint="eastAsia" w:ascii="宋体" w:hAnsi="宋体"/>
                <w:bCs/>
                <w:szCs w:val="21"/>
              </w:rPr>
            </w:pPr>
            <w:r>
              <w:rPr>
                <w:rFonts w:hint="eastAsia" w:ascii="宋体" w:hAnsi="宋体"/>
                <w:bCs/>
                <w:szCs w:val="21"/>
              </w:rPr>
              <w:t>提供职称证、身份证及社保证明原件扫描件</w:t>
            </w:r>
          </w:p>
        </w:tc>
      </w:tr>
      <w:tr w14:paraId="5019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6" w:type="dxa"/>
            <w:noWrap w:val="0"/>
            <w:vAlign w:val="center"/>
          </w:tcPr>
          <w:p w14:paraId="3196C1C1">
            <w:pPr>
              <w:jc w:val="center"/>
              <w:rPr>
                <w:rFonts w:hint="eastAsia" w:ascii="宋体" w:hAnsi="宋体"/>
                <w:b/>
                <w:bCs/>
                <w:szCs w:val="21"/>
              </w:rPr>
            </w:pPr>
            <w:r>
              <w:rPr>
                <w:rFonts w:hint="eastAsia" w:ascii="宋体" w:hAnsi="宋体"/>
                <w:b/>
                <w:bCs/>
                <w:szCs w:val="21"/>
              </w:rPr>
              <w:t>3</w:t>
            </w:r>
          </w:p>
        </w:tc>
        <w:tc>
          <w:tcPr>
            <w:tcW w:w="1537" w:type="dxa"/>
            <w:noWrap w:val="0"/>
            <w:vAlign w:val="center"/>
          </w:tcPr>
          <w:p w14:paraId="4C89FA66">
            <w:pPr>
              <w:jc w:val="center"/>
              <w:rPr>
                <w:rFonts w:hint="eastAsia" w:ascii="宋体" w:hAnsi="宋体"/>
                <w:szCs w:val="21"/>
              </w:rPr>
            </w:pPr>
            <w:r>
              <w:rPr>
                <w:rFonts w:hint="eastAsia" w:ascii="宋体" w:hAnsi="宋体"/>
                <w:szCs w:val="21"/>
              </w:rPr>
              <w:t>施工员</w:t>
            </w:r>
          </w:p>
        </w:tc>
        <w:tc>
          <w:tcPr>
            <w:tcW w:w="1234" w:type="dxa"/>
            <w:noWrap w:val="0"/>
            <w:vAlign w:val="center"/>
          </w:tcPr>
          <w:p w14:paraId="29074737">
            <w:pPr>
              <w:jc w:val="center"/>
              <w:rPr>
                <w:rFonts w:hint="eastAsia" w:ascii="宋体" w:hAnsi="宋体"/>
                <w:bCs/>
                <w:szCs w:val="21"/>
              </w:rPr>
            </w:pP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人</w:t>
            </w:r>
          </w:p>
        </w:tc>
        <w:tc>
          <w:tcPr>
            <w:tcW w:w="2981" w:type="dxa"/>
            <w:noWrap w:val="0"/>
            <w:vAlign w:val="center"/>
          </w:tcPr>
          <w:p w14:paraId="06E18E8A">
            <w:pPr>
              <w:jc w:val="center"/>
              <w:rPr>
                <w:rFonts w:hint="eastAsia" w:ascii="宋体" w:hAnsi="宋体"/>
                <w:szCs w:val="21"/>
              </w:rPr>
            </w:pPr>
          </w:p>
        </w:tc>
        <w:tc>
          <w:tcPr>
            <w:tcW w:w="3074" w:type="dxa"/>
            <w:noWrap w:val="0"/>
            <w:vAlign w:val="center"/>
          </w:tcPr>
          <w:p w14:paraId="199075A6">
            <w:pPr>
              <w:rPr>
                <w:rFonts w:hint="eastAsia" w:ascii="宋体" w:hAnsi="宋体"/>
                <w:bCs/>
                <w:szCs w:val="21"/>
              </w:rPr>
            </w:pPr>
            <w:r>
              <w:rPr>
                <w:rFonts w:hint="eastAsia" w:ascii="宋体" w:hAnsi="宋体"/>
                <w:bCs/>
                <w:szCs w:val="21"/>
              </w:rPr>
              <w:t>提供施工员岗位证（培训证）、身份证及社保证明原件扫描件</w:t>
            </w:r>
          </w:p>
        </w:tc>
      </w:tr>
      <w:tr w14:paraId="0DA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6" w:type="dxa"/>
            <w:noWrap w:val="0"/>
            <w:vAlign w:val="center"/>
          </w:tcPr>
          <w:p w14:paraId="3960BEC1">
            <w:pPr>
              <w:jc w:val="center"/>
              <w:rPr>
                <w:rFonts w:hint="eastAsia" w:ascii="宋体" w:hAnsi="宋体"/>
                <w:b/>
                <w:bCs/>
                <w:szCs w:val="21"/>
              </w:rPr>
            </w:pPr>
            <w:r>
              <w:rPr>
                <w:rFonts w:hint="eastAsia" w:ascii="宋体" w:hAnsi="宋体"/>
                <w:b/>
                <w:bCs/>
                <w:szCs w:val="21"/>
              </w:rPr>
              <w:t>4</w:t>
            </w:r>
          </w:p>
        </w:tc>
        <w:tc>
          <w:tcPr>
            <w:tcW w:w="1537" w:type="dxa"/>
            <w:noWrap w:val="0"/>
            <w:vAlign w:val="center"/>
          </w:tcPr>
          <w:p w14:paraId="7A2B2241">
            <w:pPr>
              <w:jc w:val="center"/>
              <w:rPr>
                <w:rFonts w:hint="eastAsia" w:ascii="宋体" w:hAnsi="宋体"/>
                <w:szCs w:val="21"/>
              </w:rPr>
            </w:pPr>
            <w:r>
              <w:rPr>
                <w:rFonts w:hint="eastAsia" w:ascii="宋体" w:hAnsi="宋体"/>
                <w:szCs w:val="21"/>
              </w:rPr>
              <w:t>安全员</w:t>
            </w:r>
          </w:p>
        </w:tc>
        <w:tc>
          <w:tcPr>
            <w:tcW w:w="1234" w:type="dxa"/>
            <w:noWrap w:val="0"/>
            <w:vAlign w:val="center"/>
          </w:tcPr>
          <w:p w14:paraId="2CE7A37C">
            <w:pPr>
              <w:jc w:val="center"/>
              <w:rPr>
                <w:rFonts w:hint="eastAsia" w:ascii="宋体" w:hAnsi="宋体"/>
                <w:bCs/>
                <w:szCs w:val="21"/>
              </w:rPr>
            </w:pPr>
            <w:r>
              <w:rPr>
                <w:rFonts w:hint="eastAsia" w:ascii="宋体" w:hAnsi="宋体"/>
                <w:bCs/>
                <w:szCs w:val="21"/>
                <w:u w:val="single"/>
              </w:rPr>
              <w:t xml:space="preserve">  </w:t>
            </w:r>
            <w:r>
              <w:rPr>
                <w:rFonts w:hint="eastAsia" w:ascii="宋体" w:hAnsi="宋体"/>
                <w:bCs/>
                <w:szCs w:val="21"/>
                <w:u w:val="single"/>
                <w:lang w:val="en-US" w:eastAsia="zh-CN"/>
              </w:rPr>
              <w:t xml:space="preserve">1 </w:t>
            </w:r>
            <w:r>
              <w:rPr>
                <w:rFonts w:hint="eastAsia" w:ascii="宋体" w:hAnsi="宋体"/>
                <w:bCs/>
                <w:szCs w:val="21"/>
                <w:u w:val="single"/>
              </w:rPr>
              <w:t xml:space="preserve"> </w:t>
            </w:r>
            <w:r>
              <w:rPr>
                <w:rFonts w:hint="eastAsia" w:ascii="宋体" w:hAnsi="宋体"/>
                <w:bCs/>
                <w:szCs w:val="21"/>
              </w:rPr>
              <w:t>人</w:t>
            </w:r>
          </w:p>
        </w:tc>
        <w:tc>
          <w:tcPr>
            <w:tcW w:w="2981" w:type="dxa"/>
            <w:noWrap w:val="0"/>
            <w:vAlign w:val="center"/>
          </w:tcPr>
          <w:p w14:paraId="69D44C95">
            <w:pPr>
              <w:jc w:val="center"/>
              <w:rPr>
                <w:rFonts w:hint="eastAsia" w:ascii="宋体" w:hAnsi="宋体"/>
                <w:szCs w:val="21"/>
              </w:rPr>
            </w:pPr>
          </w:p>
        </w:tc>
        <w:tc>
          <w:tcPr>
            <w:tcW w:w="3074" w:type="dxa"/>
            <w:noWrap w:val="0"/>
            <w:vAlign w:val="center"/>
          </w:tcPr>
          <w:p w14:paraId="2ABAA4A2">
            <w:pPr>
              <w:rPr>
                <w:rFonts w:hint="eastAsia" w:ascii="宋体" w:hAnsi="宋体"/>
                <w:bCs/>
                <w:szCs w:val="21"/>
              </w:rPr>
            </w:pPr>
            <w:r>
              <w:rPr>
                <w:rFonts w:hint="eastAsia" w:ascii="宋体" w:hAnsi="宋体"/>
                <w:bCs/>
                <w:szCs w:val="21"/>
              </w:rPr>
              <w:t>提供安全员证（培训证）、水行政部门颁发安全考核合格证、身份证及社保证明原件扫描件</w:t>
            </w:r>
          </w:p>
        </w:tc>
      </w:tr>
      <w:tr w14:paraId="1B34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36" w:type="dxa"/>
            <w:noWrap w:val="0"/>
            <w:vAlign w:val="center"/>
          </w:tcPr>
          <w:p w14:paraId="1F6D573D">
            <w:pPr>
              <w:jc w:val="center"/>
              <w:rPr>
                <w:rFonts w:hint="eastAsia" w:ascii="宋体" w:hAnsi="宋体"/>
                <w:b/>
                <w:bCs/>
                <w:szCs w:val="21"/>
              </w:rPr>
            </w:pPr>
            <w:r>
              <w:rPr>
                <w:rFonts w:hint="eastAsia" w:ascii="宋体" w:hAnsi="宋体"/>
                <w:b/>
                <w:bCs/>
                <w:szCs w:val="21"/>
              </w:rPr>
              <w:t>5</w:t>
            </w:r>
          </w:p>
        </w:tc>
        <w:tc>
          <w:tcPr>
            <w:tcW w:w="1537" w:type="dxa"/>
            <w:noWrap w:val="0"/>
            <w:vAlign w:val="center"/>
          </w:tcPr>
          <w:p w14:paraId="45BBA12B">
            <w:pPr>
              <w:jc w:val="center"/>
              <w:rPr>
                <w:rFonts w:hint="eastAsia" w:ascii="宋体" w:hAnsi="宋体"/>
                <w:szCs w:val="21"/>
              </w:rPr>
            </w:pPr>
            <w:r>
              <w:rPr>
                <w:rFonts w:hint="eastAsia" w:ascii="宋体" w:hAnsi="宋体"/>
                <w:szCs w:val="21"/>
              </w:rPr>
              <w:t>质检员</w:t>
            </w:r>
          </w:p>
        </w:tc>
        <w:tc>
          <w:tcPr>
            <w:tcW w:w="1234" w:type="dxa"/>
            <w:noWrap w:val="0"/>
            <w:vAlign w:val="center"/>
          </w:tcPr>
          <w:p w14:paraId="47E2023D">
            <w:pPr>
              <w:jc w:val="center"/>
              <w:rPr>
                <w:rFonts w:hint="eastAsia" w:ascii="宋体" w:hAnsi="宋体"/>
                <w:bCs/>
                <w:szCs w:val="21"/>
              </w:rPr>
            </w:pPr>
            <w:r>
              <w:rPr>
                <w:rFonts w:hint="eastAsia" w:ascii="宋体" w:hAnsi="宋体"/>
                <w:bCs/>
                <w:szCs w:val="21"/>
                <w:u w:val="single"/>
              </w:rPr>
              <w:t xml:space="preserve"> </w:t>
            </w:r>
            <w:r>
              <w:rPr>
                <w:rFonts w:hint="eastAsia" w:ascii="宋体" w:hAnsi="宋体"/>
                <w:bCs/>
                <w:szCs w:val="21"/>
                <w:u w:val="single"/>
                <w:lang w:val="en-US" w:eastAsia="zh-CN"/>
              </w:rPr>
              <w:t xml:space="preserve"> 1 </w:t>
            </w:r>
            <w:r>
              <w:rPr>
                <w:rFonts w:hint="eastAsia" w:ascii="宋体" w:hAnsi="宋体"/>
                <w:bCs/>
                <w:szCs w:val="21"/>
                <w:u w:val="single"/>
              </w:rPr>
              <w:t xml:space="preserve"> </w:t>
            </w:r>
            <w:r>
              <w:rPr>
                <w:rFonts w:hint="eastAsia" w:ascii="宋体" w:hAnsi="宋体"/>
                <w:bCs/>
                <w:szCs w:val="21"/>
              </w:rPr>
              <w:t>人</w:t>
            </w:r>
          </w:p>
        </w:tc>
        <w:tc>
          <w:tcPr>
            <w:tcW w:w="2981" w:type="dxa"/>
            <w:noWrap w:val="0"/>
            <w:vAlign w:val="center"/>
          </w:tcPr>
          <w:p w14:paraId="65CF887B">
            <w:pPr>
              <w:jc w:val="center"/>
              <w:rPr>
                <w:rFonts w:hint="eastAsia" w:ascii="宋体" w:hAnsi="宋体"/>
                <w:szCs w:val="21"/>
              </w:rPr>
            </w:pPr>
          </w:p>
        </w:tc>
        <w:tc>
          <w:tcPr>
            <w:tcW w:w="3074" w:type="dxa"/>
            <w:noWrap w:val="0"/>
            <w:vAlign w:val="center"/>
          </w:tcPr>
          <w:p w14:paraId="0A8D7F93">
            <w:pPr>
              <w:rPr>
                <w:rFonts w:hint="eastAsia" w:ascii="宋体" w:hAnsi="宋体"/>
                <w:bCs/>
                <w:szCs w:val="21"/>
              </w:rPr>
            </w:pPr>
            <w:r>
              <w:rPr>
                <w:rFonts w:hint="eastAsia" w:ascii="宋体" w:hAnsi="宋体"/>
                <w:bCs/>
                <w:szCs w:val="21"/>
              </w:rPr>
              <w:t>提供质检员证（培训证）、身份证及社保证明原件扫描件</w:t>
            </w:r>
          </w:p>
        </w:tc>
      </w:tr>
    </w:tbl>
    <w:p w14:paraId="7A1DE627">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bCs/>
          <w:color w:val="auto"/>
          <w:szCs w:val="21"/>
        </w:rPr>
      </w:pPr>
      <w:r>
        <w:rPr>
          <w:rFonts w:hint="eastAsia" w:ascii="宋体" w:hAnsi="宋体"/>
          <w:bCs/>
          <w:color w:val="auto"/>
          <w:szCs w:val="21"/>
        </w:rPr>
        <w:t>注： 1、项目管理机构主要人员必须是投标人的员工，各岗位人员不能兼任。</w:t>
      </w:r>
    </w:p>
    <w:p w14:paraId="7F573027">
      <w:pPr>
        <w:keepNext w:val="0"/>
        <w:keepLines w:val="0"/>
        <w:pageBreakBefore w:val="0"/>
        <w:widowControl w:val="0"/>
        <w:kinsoku/>
        <w:wordWrap/>
        <w:overflowPunct/>
        <w:topLinePunct w:val="0"/>
        <w:autoSpaceDE/>
        <w:autoSpaceDN/>
        <w:bidi w:val="0"/>
        <w:adjustRightInd/>
        <w:snapToGrid w:val="0"/>
        <w:spacing w:line="312" w:lineRule="auto"/>
        <w:ind w:firstLine="945" w:firstLineChars="450"/>
        <w:textAlignment w:val="auto"/>
        <w:rPr>
          <w:rFonts w:hint="eastAsia" w:ascii="宋体" w:hAnsi="宋体" w:eastAsia="宋体"/>
          <w:bCs/>
          <w:color w:val="auto"/>
          <w:szCs w:val="21"/>
          <w:lang w:eastAsia="zh-CN"/>
        </w:rPr>
      </w:pPr>
      <w:r>
        <w:rPr>
          <w:rFonts w:hint="eastAsia" w:ascii="宋体" w:hAnsi="宋体"/>
          <w:bCs/>
          <w:color w:val="auto"/>
          <w:szCs w:val="21"/>
        </w:rPr>
        <w:t>2、人员社保缴纳证明文件应不少于最近3个月（2024年</w:t>
      </w:r>
      <w:r>
        <w:rPr>
          <w:rFonts w:hint="eastAsia" w:ascii="宋体" w:hAnsi="宋体"/>
          <w:bCs/>
          <w:color w:val="auto"/>
          <w:szCs w:val="21"/>
          <w:lang w:val="en-US" w:eastAsia="zh-CN"/>
        </w:rPr>
        <w:t>7</w:t>
      </w:r>
      <w:r>
        <w:rPr>
          <w:rFonts w:hint="eastAsia" w:ascii="宋体" w:hAnsi="宋体"/>
          <w:bCs/>
          <w:color w:val="auto"/>
          <w:szCs w:val="21"/>
        </w:rPr>
        <w:t>月至2024年</w:t>
      </w:r>
      <w:r>
        <w:rPr>
          <w:rFonts w:hint="eastAsia" w:ascii="宋体" w:hAnsi="宋体"/>
          <w:bCs/>
          <w:color w:val="auto"/>
          <w:szCs w:val="21"/>
          <w:lang w:val="en-US" w:eastAsia="zh-CN"/>
        </w:rPr>
        <w:t>9</w:t>
      </w:r>
      <w:r>
        <w:rPr>
          <w:rFonts w:hint="eastAsia" w:ascii="宋体" w:hAnsi="宋体"/>
          <w:bCs/>
          <w:color w:val="auto"/>
          <w:szCs w:val="21"/>
        </w:rPr>
        <w:t>月</w:t>
      </w:r>
      <w:r>
        <w:rPr>
          <w:rFonts w:hint="eastAsia" w:ascii="宋体" w:hAnsi="宋体"/>
          <w:bCs/>
          <w:color w:val="auto"/>
          <w:szCs w:val="21"/>
          <w:lang w:eastAsia="zh-CN"/>
        </w:rPr>
        <w:t>连续</w:t>
      </w:r>
      <w:r>
        <w:rPr>
          <w:rFonts w:hint="eastAsia" w:ascii="宋体" w:hAnsi="宋体"/>
          <w:bCs/>
          <w:color w:val="auto"/>
          <w:szCs w:val="21"/>
          <w:lang w:val="en-US" w:eastAsia="zh-CN"/>
        </w:rPr>
        <w:t>3个月</w:t>
      </w:r>
      <w:r>
        <w:rPr>
          <w:rFonts w:hint="eastAsia" w:ascii="宋体" w:hAnsi="宋体"/>
          <w:bCs/>
          <w:color w:val="auto"/>
          <w:szCs w:val="21"/>
        </w:rPr>
        <w:t>）</w:t>
      </w:r>
      <w:r>
        <w:rPr>
          <w:rFonts w:hint="eastAsia" w:ascii="宋体" w:hAnsi="宋体"/>
          <w:bCs/>
          <w:color w:val="auto"/>
          <w:szCs w:val="21"/>
          <w:lang w:eastAsia="zh-CN"/>
        </w:rPr>
        <w:t>。</w:t>
      </w:r>
    </w:p>
    <w:p w14:paraId="2906B938">
      <w:pPr>
        <w:keepNext w:val="0"/>
        <w:keepLines w:val="0"/>
        <w:pageBreakBefore w:val="0"/>
        <w:widowControl w:val="0"/>
        <w:kinsoku/>
        <w:wordWrap/>
        <w:overflowPunct/>
        <w:topLinePunct w:val="0"/>
        <w:autoSpaceDE/>
        <w:autoSpaceDN/>
        <w:bidi w:val="0"/>
        <w:adjustRightInd/>
        <w:snapToGrid w:val="0"/>
        <w:spacing w:line="312" w:lineRule="auto"/>
        <w:ind w:left="420" w:leftChars="200" w:firstLine="525" w:firstLineChars="250"/>
        <w:textAlignment w:val="auto"/>
        <w:rPr>
          <w:rFonts w:hint="eastAsia" w:ascii="宋体" w:hAnsi="宋体"/>
          <w:b/>
          <w:bCs/>
          <w:color w:val="auto"/>
          <w:szCs w:val="21"/>
          <w:shd w:val="clear" w:color="auto" w:fill="FFFFFF"/>
        </w:rPr>
      </w:pPr>
      <w:r>
        <w:rPr>
          <w:rFonts w:hint="eastAsia" w:ascii="宋体" w:hAnsi="宋体"/>
          <w:bCs/>
          <w:color w:val="auto"/>
          <w:szCs w:val="21"/>
          <w:shd w:val="clear" w:color="auto" w:fill="FFFFFF"/>
        </w:rPr>
        <w:t>3、</w:t>
      </w:r>
      <w:r>
        <w:rPr>
          <w:rFonts w:hint="eastAsia" w:ascii="宋体" w:hAnsi="宋体"/>
          <w:b/>
          <w:bCs/>
          <w:color w:val="auto"/>
          <w:szCs w:val="21"/>
          <w:shd w:val="clear" w:color="auto" w:fill="FFFFFF"/>
        </w:rPr>
        <w:t>根据《注册建造师管理规定》注册建造师不得同时在两个及两个以上的建设工程项目上担任施工单位项目负责人。本项目投标人拟派出的项目负责人如有其它在建项目，中标后应经招标人同意更换符合规定的项目负责人，并按专用合同条款第4.5款约定执行。</w:t>
      </w:r>
    </w:p>
    <w:p w14:paraId="36193677">
      <w:pPr>
        <w:keepNext w:val="0"/>
        <w:keepLines w:val="0"/>
        <w:pageBreakBefore w:val="0"/>
        <w:widowControl w:val="0"/>
        <w:kinsoku/>
        <w:wordWrap/>
        <w:overflowPunct/>
        <w:topLinePunct w:val="0"/>
        <w:autoSpaceDE/>
        <w:autoSpaceDN/>
        <w:bidi w:val="0"/>
        <w:adjustRightInd/>
        <w:snapToGrid w:val="0"/>
        <w:spacing w:line="312" w:lineRule="auto"/>
        <w:ind w:firstLine="947" w:firstLineChars="451"/>
        <w:textAlignment w:val="auto"/>
        <w:rPr>
          <w:rFonts w:hint="eastAsia" w:ascii="宋体" w:hAnsi="宋体"/>
          <w:bCs/>
          <w:color w:val="auto"/>
          <w:szCs w:val="21"/>
        </w:rPr>
      </w:pPr>
      <w:r>
        <w:rPr>
          <w:rFonts w:hint="eastAsia" w:ascii="宋体" w:hAnsi="宋体"/>
          <w:bCs/>
          <w:color w:val="auto"/>
          <w:szCs w:val="21"/>
        </w:rPr>
        <w:t>4、拟投入本工程人员必须满足以上要求，其中一项不满足的，</w:t>
      </w:r>
      <w:r>
        <w:rPr>
          <w:rFonts w:hint="eastAsia" w:ascii="宋体" w:hAnsi="宋体"/>
          <w:b/>
          <w:bCs/>
          <w:color w:val="auto"/>
          <w:szCs w:val="21"/>
        </w:rPr>
        <w:t>则</w:t>
      </w:r>
      <w:r>
        <w:rPr>
          <w:rFonts w:hint="eastAsia" w:ascii="宋体" w:hAnsi="宋体"/>
          <w:b/>
          <w:color w:val="auto"/>
          <w:szCs w:val="21"/>
        </w:rPr>
        <w:t>评审不合格</w:t>
      </w:r>
      <w:r>
        <w:rPr>
          <w:rFonts w:hint="eastAsia" w:ascii="宋体" w:hAnsi="宋体"/>
          <w:bCs/>
          <w:color w:val="auto"/>
          <w:szCs w:val="21"/>
        </w:rPr>
        <w:t>。</w:t>
      </w:r>
    </w:p>
    <w:p w14:paraId="4B2EB427">
      <w:pPr>
        <w:rPr>
          <w:rFonts w:hint="eastAsia"/>
          <w:b/>
          <w:color w:val="auto"/>
          <w:sz w:val="24"/>
        </w:rPr>
      </w:pPr>
    </w:p>
    <w:p w14:paraId="384D6031">
      <w:pPr>
        <w:ind w:left="482" w:hanging="482" w:hangingChars="200"/>
        <w:rPr>
          <w:rFonts w:hint="eastAsia"/>
          <w:b/>
          <w:color w:val="auto"/>
          <w:sz w:val="24"/>
        </w:rPr>
      </w:pPr>
      <w:r>
        <w:rPr>
          <w:rFonts w:hint="eastAsia"/>
          <w:b/>
          <w:color w:val="auto"/>
          <w:sz w:val="24"/>
        </w:rPr>
        <w:t>10.2</w:t>
      </w:r>
      <w:r>
        <w:rPr>
          <w:rFonts w:hint="eastAsia" w:ascii="宋体" w:hAnsi="宋体"/>
          <w:b/>
          <w:color w:val="auto"/>
          <w:szCs w:val="21"/>
        </w:rPr>
        <w:t>主要机械设备基本要求</w:t>
      </w:r>
      <w:r>
        <w:rPr>
          <w:rFonts w:hint="eastAsia" w:ascii="宋体" w:hAnsi="宋体" w:cs="宋体"/>
          <w:b/>
          <w:color w:val="auto"/>
          <w:sz w:val="21"/>
          <w:szCs w:val="21"/>
          <w:highlight w:val="none"/>
        </w:rPr>
        <w:t>（</w:t>
      </w:r>
      <w:r>
        <w:rPr>
          <w:rFonts w:hint="eastAsia" w:ascii="宋体" w:hAnsi="宋体"/>
          <w:b/>
          <w:color w:val="auto"/>
          <w:szCs w:val="21"/>
          <w:highlight w:val="none"/>
        </w:rPr>
        <w:t>本项目不作评审</w:t>
      </w:r>
      <w:r>
        <w:rPr>
          <w:rFonts w:hint="eastAsia" w:ascii="宋体" w:hAnsi="宋体" w:cs="宋体"/>
          <w:b/>
          <w:color w:val="auto"/>
          <w:sz w:val="21"/>
          <w:szCs w:val="21"/>
          <w:highlight w:val="none"/>
        </w:rPr>
        <w:t>）</w:t>
      </w:r>
    </w:p>
    <w:p w14:paraId="4137F3CF">
      <w:pPr>
        <w:spacing w:line="360" w:lineRule="auto"/>
        <w:rPr>
          <w:rFonts w:hint="eastAsia"/>
          <w:b/>
          <w:bCs w:val="0"/>
          <w:sz w:val="24"/>
        </w:rPr>
      </w:pPr>
    </w:p>
    <w:p w14:paraId="0A8BBCBF">
      <w:pPr>
        <w:spacing w:line="360" w:lineRule="auto"/>
        <w:rPr>
          <w:rFonts w:hint="eastAsia"/>
          <w:b/>
          <w:bCs w:val="0"/>
        </w:rPr>
      </w:pPr>
      <w:r>
        <w:rPr>
          <w:rFonts w:hint="eastAsia"/>
          <w:b/>
          <w:bCs w:val="0"/>
          <w:sz w:val="24"/>
        </w:rPr>
        <w:t>10.3</w:t>
      </w:r>
      <w:r>
        <w:rPr>
          <w:rFonts w:hint="eastAsia"/>
          <w:b/>
          <w:bCs w:val="0"/>
        </w:rPr>
        <w:t>否决性条款</w:t>
      </w:r>
    </w:p>
    <w:p w14:paraId="0F76BBC9">
      <w:pPr>
        <w:spacing w:line="420" w:lineRule="exact"/>
        <w:ind w:firstLine="422" w:firstLineChars="200"/>
        <w:rPr>
          <w:rFonts w:hint="eastAsia" w:ascii="宋体" w:hAnsi="宋体"/>
          <w:b/>
          <w:szCs w:val="21"/>
        </w:rPr>
      </w:pPr>
      <w:r>
        <w:rPr>
          <w:rFonts w:hint="eastAsia" w:ascii="宋体" w:hAnsi="宋体" w:cs="Arial"/>
          <w:b/>
          <w:kern w:val="0"/>
          <w:szCs w:val="21"/>
        </w:rPr>
        <w:t>除法律法规规定外，</w:t>
      </w:r>
      <w:r>
        <w:rPr>
          <w:rFonts w:hint="eastAsia" w:ascii="宋体" w:hAnsi="宋体"/>
          <w:b/>
          <w:szCs w:val="21"/>
        </w:rPr>
        <w:t>否决性条款中没有列出的不予受理或废标的条款，不得作为不予受理或废标的依据。</w:t>
      </w:r>
    </w:p>
    <w:p w14:paraId="107C23E3">
      <w:pPr>
        <w:spacing w:line="360" w:lineRule="auto"/>
        <w:ind w:firstLine="420" w:firstLineChars="200"/>
        <w:rPr>
          <w:rFonts w:hint="eastAsia" w:ascii="宋体" w:hAnsi="宋体"/>
          <w:szCs w:val="21"/>
        </w:rPr>
      </w:pPr>
      <w:r>
        <w:rPr>
          <w:rFonts w:hint="eastAsia" w:ascii="宋体" w:hAnsi="宋体"/>
          <w:szCs w:val="21"/>
        </w:rPr>
        <w:t xml:space="preserve">10.3.1为招标人不具有独立法人资格的附属机构（单位）； </w:t>
      </w:r>
    </w:p>
    <w:p w14:paraId="206AD3AB">
      <w:pPr>
        <w:spacing w:line="360" w:lineRule="auto"/>
        <w:ind w:firstLine="420" w:firstLineChars="200"/>
        <w:rPr>
          <w:rFonts w:hint="eastAsia" w:ascii="宋体" w:hAnsi="宋体"/>
          <w:szCs w:val="21"/>
        </w:rPr>
      </w:pPr>
      <w:r>
        <w:rPr>
          <w:rFonts w:hint="eastAsia" w:ascii="宋体" w:hAnsi="宋体"/>
          <w:szCs w:val="21"/>
        </w:rPr>
        <w:t>10.3.2为本项目前期准备提供设计或咨询服务的，但设计施工总承包的除外；</w:t>
      </w:r>
    </w:p>
    <w:p w14:paraId="7AC20F3D">
      <w:pPr>
        <w:spacing w:line="360" w:lineRule="auto"/>
        <w:ind w:firstLine="420" w:firstLineChars="200"/>
        <w:rPr>
          <w:rFonts w:hint="eastAsia" w:ascii="宋体" w:hAnsi="宋体"/>
          <w:szCs w:val="21"/>
        </w:rPr>
      </w:pPr>
      <w:r>
        <w:rPr>
          <w:rFonts w:hint="eastAsia" w:ascii="宋体" w:hAnsi="宋体"/>
          <w:szCs w:val="21"/>
        </w:rPr>
        <w:t>10.3.3为本项目的监理人；</w:t>
      </w:r>
    </w:p>
    <w:p w14:paraId="06081CD2">
      <w:pPr>
        <w:spacing w:line="360" w:lineRule="auto"/>
        <w:ind w:firstLine="420" w:firstLineChars="200"/>
        <w:rPr>
          <w:rFonts w:hint="eastAsia" w:ascii="宋体" w:hAnsi="宋体"/>
          <w:szCs w:val="21"/>
        </w:rPr>
      </w:pPr>
      <w:r>
        <w:rPr>
          <w:rFonts w:hint="eastAsia" w:ascii="宋体" w:hAnsi="宋体"/>
          <w:szCs w:val="21"/>
        </w:rPr>
        <w:t>10.3.4为本项目的代建人：</w:t>
      </w:r>
    </w:p>
    <w:p w14:paraId="3D3F33A3">
      <w:pPr>
        <w:spacing w:line="360" w:lineRule="auto"/>
        <w:ind w:firstLine="420" w:firstLineChars="200"/>
        <w:rPr>
          <w:rFonts w:hint="eastAsia" w:ascii="宋体" w:hAnsi="宋体"/>
          <w:szCs w:val="21"/>
        </w:rPr>
      </w:pPr>
      <w:r>
        <w:rPr>
          <w:rFonts w:hint="eastAsia" w:ascii="宋体" w:hAnsi="宋体"/>
          <w:szCs w:val="21"/>
        </w:rPr>
        <w:t>10.3.5为本项目提供招标代理服务的；</w:t>
      </w:r>
    </w:p>
    <w:p w14:paraId="531D604E">
      <w:pPr>
        <w:spacing w:line="360" w:lineRule="auto"/>
        <w:ind w:firstLine="420" w:firstLineChars="200"/>
        <w:rPr>
          <w:rFonts w:hint="eastAsia" w:ascii="宋体" w:hAnsi="宋体"/>
          <w:szCs w:val="21"/>
        </w:rPr>
      </w:pPr>
      <w:r>
        <w:rPr>
          <w:rFonts w:hint="eastAsia" w:ascii="宋体" w:hAnsi="宋体"/>
          <w:szCs w:val="21"/>
        </w:rPr>
        <w:t>10.3.6与本项目的监理人或代建人或招标代理机构同为一个法定代表人的：</w:t>
      </w:r>
    </w:p>
    <w:p w14:paraId="417D62CC">
      <w:pPr>
        <w:spacing w:line="360" w:lineRule="auto"/>
        <w:ind w:firstLine="420" w:firstLineChars="200"/>
        <w:rPr>
          <w:rFonts w:hint="eastAsia" w:ascii="宋体" w:hAnsi="宋体"/>
          <w:szCs w:val="21"/>
        </w:rPr>
      </w:pPr>
      <w:r>
        <w:rPr>
          <w:rFonts w:hint="eastAsia" w:ascii="宋体" w:hAnsi="宋体"/>
          <w:szCs w:val="21"/>
        </w:rPr>
        <w:t>10.3.7与本项目的监理人或代建人或招标代理机构相互控股或参股的；</w:t>
      </w:r>
    </w:p>
    <w:p w14:paraId="38E8740B">
      <w:pPr>
        <w:spacing w:line="360" w:lineRule="auto"/>
        <w:ind w:firstLine="420" w:firstLineChars="200"/>
        <w:rPr>
          <w:rFonts w:hint="eastAsia" w:ascii="宋体" w:hAnsi="宋体"/>
          <w:szCs w:val="21"/>
        </w:rPr>
      </w:pPr>
      <w:r>
        <w:rPr>
          <w:rFonts w:hint="eastAsia" w:ascii="宋体" w:hAnsi="宋体"/>
          <w:szCs w:val="21"/>
        </w:rPr>
        <w:t>10.3.8与本项目的监理人或代建人或招标代理机构相互任职或工作的：</w:t>
      </w:r>
    </w:p>
    <w:p w14:paraId="30D4E3EE">
      <w:pPr>
        <w:spacing w:line="360" w:lineRule="auto"/>
        <w:ind w:firstLine="420" w:firstLineChars="200"/>
        <w:rPr>
          <w:rFonts w:hint="eastAsia" w:ascii="宋体" w:hAnsi="宋体"/>
          <w:szCs w:val="21"/>
        </w:rPr>
      </w:pPr>
      <w:r>
        <w:rPr>
          <w:rFonts w:hint="eastAsia" w:ascii="宋体" w:hAnsi="宋体"/>
          <w:szCs w:val="21"/>
        </w:rPr>
        <w:t>10.3.9</w:t>
      </w:r>
      <w:r>
        <w:rPr>
          <w:rFonts w:hint="eastAsia"/>
        </w:rPr>
        <w:t>单位负责人与其他投标人为同一人或者存在控股、管理关系的；</w:t>
      </w:r>
    </w:p>
    <w:p w14:paraId="3D36E20B">
      <w:pPr>
        <w:spacing w:line="360" w:lineRule="auto"/>
        <w:ind w:firstLine="420" w:firstLineChars="200"/>
        <w:rPr>
          <w:rFonts w:hint="eastAsia" w:ascii="宋体" w:hAnsi="宋体"/>
          <w:szCs w:val="21"/>
        </w:rPr>
      </w:pPr>
      <w:r>
        <w:rPr>
          <w:rFonts w:hint="eastAsia" w:ascii="宋体" w:hAnsi="宋体"/>
          <w:szCs w:val="21"/>
        </w:rPr>
        <w:t>10.3.10处于被责令停业期内的；</w:t>
      </w:r>
    </w:p>
    <w:p w14:paraId="43BD2CD0">
      <w:pPr>
        <w:spacing w:line="360" w:lineRule="auto"/>
        <w:ind w:firstLine="420" w:firstLineChars="200"/>
        <w:rPr>
          <w:rFonts w:hint="eastAsia" w:ascii="宋体" w:hAnsi="宋体"/>
          <w:szCs w:val="21"/>
        </w:rPr>
      </w:pPr>
      <w:r>
        <w:rPr>
          <w:rFonts w:hint="eastAsia" w:ascii="宋体" w:hAnsi="宋体"/>
          <w:szCs w:val="21"/>
        </w:rPr>
        <w:t>10.3.11处于被暂停或取消投标资格期内的；</w:t>
      </w:r>
    </w:p>
    <w:p w14:paraId="418D66F1">
      <w:pPr>
        <w:spacing w:line="360" w:lineRule="auto"/>
        <w:ind w:firstLine="420" w:firstLineChars="200"/>
        <w:rPr>
          <w:rFonts w:hint="eastAsia" w:ascii="宋体" w:hAnsi="宋体"/>
          <w:szCs w:val="21"/>
        </w:rPr>
      </w:pPr>
      <w:r>
        <w:rPr>
          <w:rFonts w:hint="eastAsia" w:ascii="宋体" w:hAnsi="宋体"/>
          <w:szCs w:val="21"/>
        </w:rPr>
        <w:t>10.3.12处于财产被接管或冻结期内的；</w:t>
      </w:r>
    </w:p>
    <w:p w14:paraId="4407638F">
      <w:pPr>
        <w:spacing w:line="360" w:lineRule="auto"/>
        <w:ind w:firstLine="420" w:firstLineChars="200"/>
        <w:rPr>
          <w:rFonts w:hint="eastAsia" w:ascii="宋体" w:hAnsi="宋体"/>
          <w:szCs w:val="21"/>
        </w:rPr>
      </w:pPr>
      <w:r>
        <w:rPr>
          <w:rFonts w:hint="eastAsia" w:ascii="宋体" w:hAnsi="宋体"/>
          <w:szCs w:val="21"/>
        </w:rPr>
        <w:t>（如联合体投标，联合体任一成员具有上述任一情况的，将不予受理投标。）</w:t>
      </w:r>
    </w:p>
    <w:p w14:paraId="4C364F42">
      <w:pPr>
        <w:spacing w:line="360" w:lineRule="auto"/>
        <w:ind w:firstLine="432"/>
        <w:rPr>
          <w:rFonts w:hint="eastAsia" w:ascii="宋体" w:hAnsi="宋体"/>
          <w:szCs w:val="21"/>
        </w:rPr>
      </w:pPr>
      <w:r>
        <w:rPr>
          <w:rFonts w:hint="eastAsia" w:ascii="宋体" w:hAnsi="宋体"/>
          <w:szCs w:val="21"/>
        </w:rPr>
        <w:t>10.3.13未按招标文件指定时间、地点、网址等要求提交投标文件的；</w:t>
      </w:r>
    </w:p>
    <w:p w14:paraId="2F2DBA17">
      <w:pPr>
        <w:spacing w:line="360" w:lineRule="auto"/>
        <w:ind w:firstLine="420" w:firstLineChars="200"/>
        <w:rPr>
          <w:rFonts w:hint="eastAsia" w:ascii="宋体" w:hAnsi="宋体"/>
          <w:szCs w:val="21"/>
        </w:rPr>
      </w:pPr>
      <w:r>
        <w:rPr>
          <w:rFonts w:hint="eastAsia" w:ascii="宋体" w:hAnsi="宋体"/>
          <w:szCs w:val="21"/>
        </w:rPr>
        <w:t>10.3.14投标文件封面未标注工程名称、“技术标”（或“技术标函”）、“资格标”（或资格标函）、“投标报价”（或“投标报价函”）字样或没有法定代表人（委托代理人）签字或没有加盖单位公章的；</w:t>
      </w:r>
    </w:p>
    <w:p w14:paraId="57AF3C45">
      <w:pPr>
        <w:spacing w:line="360" w:lineRule="auto"/>
        <w:ind w:firstLine="420" w:firstLineChars="200"/>
        <w:rPr>
          <w:rFonts w:hint="eastAsia" w:ascii="宋体" w:hAnsi="宋体"/>
          <w:szCs w:val="21"/>
        </w:rPr>
      </w:pPr>
      <w:r>
        <w:rPr>
          <w:rFonts w:hint="eastAsia" w:ascii="宋体" w:hAnsi="宋体" w:cs="宋体"/>
          <w:kern w:val="0"/>
          <w:szCs w:val="21"/>
        </w:rPr>
        <w:t>10.3.1</w:t>
      </w:r>
      <w:r>
        <w:rPr>
          <w:rFonts w:hint="eastAsia" w:ascii="宋体" w:hAnsi="宋体" w:cs="宋体"/>
          <w:kern w:val="0"/>
          <w:szCs w:val="21"/>
          <w:lang w:val="en-US" w:eastAsia="zh-CN"/>
        </w:rPr>
        <w:t>5</w:t>
      </w:r>
      <w:r>
        <w:rPr>
          <w:rFonts w:hint="eastAsia" w:ascii="宋体" w:hAnsi="宋体"/>
          <w:szCs w:val="21"/>
          <w:lang w:eastAsia="zh-CN"/>
        </w:rPr>
        <w:t>收取投标保证金的项目，投标人</w:t>
      </w:r>
      <w:r>
        <w:rPr>
          <w:rFonts w:hint="eastAsia" w:ascii="宋体" w:hAnsi="宋体"/>
          <w:szCs w:val="21"/>
        </w:rPr>
        <w:t>未按规定缴纳投标保证金</w:t>
      </w:r>
      <w:r>
        <w:rPr>
          <w:rFonts w:hint="eastAsia" w:ascii="宋体" w:hAnsi="宋体"/>
          <w:szCs w:val="21"/>
          <w:lang w:eastAsia="zh-CN"/>
        </w:rPr>
        <w:t>；</w:t>
      </w:r>
    </w:p>
    <w:p w14:paraId="51DCEB97">
      <w:pPr>
        <w:spacing w:line="360" w:lineRule="auto"/>
        <w:ind w:firstLine="420" w:firstLineChars="200"/>
        <w:rPr>
          <w:rFonts w:hint="eastAsia" w:ascii="宋体" w:hAnsi="宋体" w:eastAsia="宋体"/>
          <w:szCs w:val="21"/>
          <w:lang w:eastAsia="zh-CN"/>
        </w:rPr>
      </w:pPr>
      <w:r>
        <w:rPr>
          <w:rFonts w:hint="eastAsia" w:ascii="宋体" w:hAnsi="宋体" w:cs="宋体"/>
          <w:kern w:val="0"/>
          <w:szCs w:val="21"/>
        </w:rPr>
        <w:t>10.3.1</w:t>
      </w:r>
      <w:r>
        <w:rPr>
          <w:rFonts w:hint="eastAsia" w:ascii="宋体" w:hAnsi="宋体" w:cs="宋体"/>
          <w:kern w:val="0"/>
          <w:szCs w:val="21"/>
          <w:lang w:val="en-US" w:eastAsia="zh-CN"/>
        </w:rPr>
        <w:t>6</w:t>
      </w:r>
      <w:r>
        <w:rPr>
          <w:rFonts w:hint="eastAsia" w:ascii="宋体" w:hAnsi="宋体" w:cs="宋体"/>
          <w:kern w:val="0"/>
          <w:szCs w:val="21"/>
        </w:rPr>
        <w:t>提疑文件具有识别投标人单位及人员的标识</w:t>
      </w:r>
      <w:r>
        <w:rPr>
          <w:rFonts w:hint="eastAsia" w:ascii="宋体" w:hAnsi="宋体" w:cs="宋体"/>
          <w:kern w:val="0"/>
          <w:szCs w:val="21"/>
          <w:lang w:eastAsia="zh-CN"/>
        </w:rPr>
        <w:t>；</w:t>
      </w:r>
    </w:p>
    <w:p w14:paraId="31917386">
      <w:pPr>
        <w:spacing w:line="360" w:lineRule="auto"/>
        <w:ind w:firstLine="420" w:firstLineChars="200"/>
        <w:rPr>
          <w:rFonts w:hint="eastAsia" w:ascii="宋体" w:hAnsi="宋体"/>
          <w:bCs/>
          <w:szCs w:val="21"/>
          <w:u w:val="single"/>
        </w:rPr>
      </w:pPr>
      <w:r>
        <w:rPr>
          <w:rFonts w:hint="eastAsia" w:ascii="宋体" w:hAnsi="宋体"/>
          <w:szCs w:val="21"/>
        </w:rPr>
        <w:t>10.3.1</w:t>
      </w:r>
      <w:r>
        <w:rPr>
          <w:rFonts w:hint="eastAsia" w:ascii="宋体" w:hAnsi="宋体"/>
          <w:szCs w:val="21"/>
          <w:lang w:val="en-US" w:eastAsia="zh-CN"/>
        </w:rPr>
        <w:t>7</w:t>
      </w:r>
      <w:r>
        <w:rPr>
          <w:rFonts w:hint="eastAsia" w:ascii="宋体" w:hAnsi="宋体"/>
          <w:bCs/>
          <w:szCs w:val="21"/>
        </w:rPr>
        <w:t>投标人以他人的名义投标或串通投标、弄虚作假、夸大内容投标的；</w:t>
      </w:r>
    </w:p>
    <w:p w14:paraId="2CC1A8DD">
      <w:pPr>
        <w:spacing w:line="360" w:lineRule="auto"/>
        <w:ind w:firstLine="420" w:firstLineChars="200"/>
        <w:rPr>
          <w:rFonts w:hint="eastAsia" w:ascii="宋体" w:hAnsi="宋体"/>
          <w:szCs w:val="21"/>
        </w:rPr>
      </w:pPr>
      <w:r>
        <w:rPr>
          <w:rFonts w:hint="eastAsia" w:ascii="宋体" w:hAnsi="宋体"/>
          <w:szCs w:val="21"/>
        </w:rPr>
        <w:t>10.3.1</w:t>
      </w:r>
      <w:r>
        <w:rPr>
          <w:rFonts w:hint="eastAsia" w:ascii="宋体" w:hAnsi="宋体"/>
          <w:szCs w:val="21"/>
          <w:lang w:val="en-US" w:eastAsia="zh-CN"/>
        </w:rPr>
        <w:t>8</w:t>
      </w:r>
      <w:r>
        <w:rPr>
          <w:rFonts w:hint="eastAsia" w:ascii="宋体" w:hAnsi="宋体"/>
          <w:szCs w:val="21"/>
        </w:rPr>
        <w:t>投标文件未加盖单位公章或未有法定代表人或者被授权人签名的；</w:t>
      </w:r>
    </w:p>
    <w:p w14:paraId="1C4958B2">
      <w:pPr>
        <w:spacing w:line="360" w:lineRule="auto"/>
        <w:ind w:firstLine="420" w:firstLineChars="200"/>
        <w:rPr>
          <w:rFonts w:hint="eastAsia" w:ascii="宋体" w:hAnsi="宋体"/>
          <w:szCs w:val="21"/>
        </w:rPr>
      </w:pPr>
      <w:r>
        <w:rPr>
          <w:rFonts w:hint="eastAsia" w:ascii="宋体" w:hAnsi="宋体"/>
          <w:szCs w:val="21"/>
        </w:rPr>
        <w:t>10.3.</w:t>
      </w:r>
      <w:r>
        <w:rPr>
          <w:rFonts w:hint="eastAsia" w:ascii="宋体" w:hAnsi="宋体"/>
          <w:szCs w:val="21"/>
          <w:lang w:val="en-US" w:eastAsia="zh-CN"/>
        </w:rPr>
        <w:t>19</w:t>
      </w:r>
      <w:r>
        <w:rPr>
          <w:rFonts w:hint="eastAsia" w:ascii="宋体" w:hAnsi="宋体"/>
          <w:szCs w:val="21"/>
        </w:rPr>
        <w:t>投标文件载明的合同标的、价款、质量、工期、履行期限、履约担保、投标有效期、技术规格、技术标准等实质性内容未响应招标文件要求的；</w:t>
      </w:r>
    </w:p>
    <w:p w14:paraId="2BAE4418">
      <w:pPr>
        <w:spacing w:line="360" w:lineRule="auto"/>
        <w:ind w:firstLine="420" w:firstLineChars="200"/>
        <w:rPr>
          <w:rFonts w:hint="eastAsia" w:ascii="宋体" w:hAnsi="宋体"/>
          <w:szCs w:val="21"/>
        </w:rPr>
      </w:pPr>
      <w:r>
        <w:rPr>
          <w:rFonts w:hint="eastAsia" w:ascii="宋体" w:hAnsi="宋体"/>
          <w:szCs w:val="21"/>
        </w:rPr>
        <w:t>10.3.2</w:t>
      </w:r>
      <w:r>
        <w:rPr>
          <w:rFonts w:hint="eastAsia" w:ascii="宋体" w:hAnsi="宋体"/>
          <w:szCs w:val="21"/>
          <w:lang w:val="en-US" w:eastAsia="zh-CN"/>
        </w:rPr>
        <w:t>0</w:t>
      </w:r>
      <w:r>
        <w:rPr>
          <w:rFonts w:hint="eastAsia" w:ascii="宋体" w:hAnsi="宋体"/>
          <w:szCs w:val="21"/>
        </w:rPr>
        <w:t>投标文件主要</w:t>
      </w:r>
      <w:r>
        <w:rPr>
          <w:rFonts w:hint="eastAsia" w:ascii="宋体" w:hAnsi="宋体" w:cs="Arial"/>
          <w:szCs w:val="21"/>
        </w:rPr>
        <w:t>内容因排版混乱或模糊不清，导致评标委员会无法辨认关键技术或重要响应等主要内容的</w:t>
      </w:r>
      <w:r>
        <w:rPr>
          <w:rFonts w:hint="eastAsia" w:ascii="宋体" w:hAnsi="宋体"/>
          <w:szCs w:val="21"/>
        </w:rPr>
        <w:t>；</w:t>
      </w:r>
    </w:p>
    <w:p w14:paraId="7874DEBA">
      <w:pPr>
        <w:spacing w:line="360" w:lineRule="auto"/>
        <w:ind w:firstLine="420" w:firstLineChars="200"/>
        <w:rPr>
          <w:rFonts w:hint="eastAsia" w:ascii="宋体" w:hAnsi="宋体"/>
          <w:szCs w:val="21"/>
        </w:rPr>
      </w:pPr>
      <w:r>
        <w:rPr>
          <w:rFonts w:hint="eastAsia" w:ascii="宋体" w:hAnsi="宋体"/>
          <w:szCs w:val="21"/>
        </w:rPr>
        <w:t>10.3.2</w:t>
      </w:r>
      <w:r>
        <w:rPr>
          <w:rFonts w:hint="eastAsia" w:ascii="宋体" w:hAnsi="宋体"/>
          <w:szCs w:val="21"/>
          <w:lang w:val="en-US" w:eastAsia="zh-CN"/>
        </w:rPr>
        <w:t>1</w:t>
      </w:r>
      <w:r>
        <w:rPr>
          <w:rFonts w:hint="eastAsia" w:ascii="宋体" w:hAnsi="宋体"/>
          <w:szCs w:val="21"/>
        </w:rPr>
        <w:t>招标文件有规定，实质上符合招标文件要求，但在个别地方存在遗漏或者提供了不完整的，评标委员会要求该投标人在评标结束前予以澄清、说明或补正，投标人拒绝澄清、说明或补正的；</w:t>
      </w:r>
    </w:p>
    <w:p w14:paraId="203FFB50">
      <w:pPr>
        <w:spacing w:line="360" w:lineRule="auto"/>
        <w:ind w:firstLine="420" w:firstLineChars="200"/>
        <w:rPr>
          <w:rFonts w:hint="eastAsia" w:ascii="宋体" w:hAnsi="宋体"/>
          <w:szCs w:val="21"/>
        </w:rPr>
      </w:pPr>
      <w:r>
        <w:rPr>
          <w:rFonts w:hint="eastAsia" w:ascii="宋体" w:hAnsi="宋体"/>
          <w:szCs w:val="21"/>
        </w:rPr>
        <w:t>10.3.2</w:t>
      </w:r>
      <w:r>
        <w:rPr>
          <w:rFonts w:hint="eastAsia" w:ascii="宋体" w:hAnsi="宋体"/>
          <w:szCs w:val="21"/>
          <w:lang w:val="en-US" w:eastAsia="zh-CN"/>
        </w:rPr>
        <w:t>2</w:t>
      </w:r>
      <w:r>
        <w:rPr>
          <w:rFonts w:hint="eastAsia" w:ascii="宋体" w:hAnsi="宋体"/>
          <w:szCs w:val="21"/>
        </w:rPr>
        <w:t>招标文件对项目主要人员和主要设备有提出基本要求，但投标文件拟投入项目主要人员和主要设备没有满足招标文件要求的；</w:t>
      </w:r>
    </w:p>
    <w:p w14:paraId="757882FF">
      <w:pPr>
        <w:spacing w:line="360" w:lineRule="auto"/>
        <w:ind w:firstLine="420" w:firstLineChars="200"/>
        <w:rPr>
          <w:rFonts w:hint="eastAsia" w:ascii="宋体" w:hAnsi="宋体"/>
          <w:szCs w:val="21"/>
        </w:rPr>
      </w:pPr>
      <w:r>
        <w:rPr>
          <w:rFonts w:hint="eastAsia" w:ascii="宋体" w:hAnsi="宋体"/>
          <w:szCs w:val="21"/>
        </w:rPr>
        <w:t>10.3.2</w:t>
      </w:r>
      <w:r>
        <w:rPr>
          <w:rFonts w:hint="eastAsia" w:ascii="宋体" w:hAnsi="宋体"/>
          <w:szCs w:val="21"/>
          <w:lang w:val="en-US" w:eastAsia="zh-CN"/>
        </w:rPr>
        <w:t>3</w:t>
      </w:r>
      <w:r>
        <w:rPr>
          <w:rFonts w:hint="eastAsia" w:ascii="宋体" w:hAnsi="宋体"/>
          <w:szCs w:val="21"/>
        </w:rPr>
        <w:t>不同投标人提交的投标文件有两份及以上内容雷同的；</w:t>
      </w:r>
    </w:p>
    <w:p w14:paraId="3E346D71">
      <w:pPr>
        <w:spacing w:line="360" w:lineRule="auto"/>
        <w:ind w:firstLine="420" w:firstLineChars="200"/>
        <w:rPr>
          <w:rFonts w:hint="eastAsia" w:ascii="宋体" w:hAnsi="宋体"/>
          <w:b/>
          <w:szCs w:val="21"/>
        </w:rPr>
      </w:pPr>
      <w:r>
        <w:rPr>
          <w:rFonts w:hint="eastAsia" w:ascii="宋体" w:hAnsi="宋体"/>
          <w:szCs w:val="21"/>
        </w:rPr>
        <w:t>10.3.2</w:t>
      </w:r>
      <w:r>
        <w:rPr>
          <w:rFonts w:hint="eastAsia" w:ascii="宋体" w:hAnsi="宋体"/>
          <w:szCs w:val="21"/>
          <w:lang w:val="en-US" w:eastAsia="zh-CN"/>
        </w:rPr>
        <w:t>4</w:t>
      </w:r>
      <w:r>
        <w:rPr>
          <w:rFonts w:hint="eastAsia" w:ascii="宋体" w:hAnsi="宋体"/>
          <w:szCs w:val="21"/>
        </w:rPr>
        <w:t>投标人递交两份或多</w:t>
      </w:r>
      <w:r>
        <w:rPr>
          <w:rFonts w:hint="eastAsia" w:ascii="宋体" w:hAnsi="宋体"/>
          <w:szCs w:val="21"/>
          <w:lang w:eastAsia="zh-CN"/>
        </w:rPr>
        <w:t>份</w:t>
      </w:r>
      <w:r>
        <w:rPr>
          <w:rFonts w:hint="eastAsia" w:ascii="宋体" w:hAnsi="宋体"/>
          <w:szCs w:val="21"/>
        </w:rPr>
        <w:t>内容不同的投标文件的（招标文件另有规定除外）；</w:t>
      </w:r>
    </w:p>
    <w:p w14:paraId="206D6CB8">
      <w:pPr>
        <w:spacing w:line="360" w:lineRule="auto"/>
        <w:ind w:firstLine="420" w:firstLineChars="200"/>
        <w:rPr>
          <w:rFonts w:hint="eastAsia" w:ascii="宋体" w:hAnsi="宋体"/>
          <w:b/>
          <w:szCs w:val="21"/>
        </w:rPr>
      </w:pPr>
      <w:r>
        <w:rPr>
          <w:rFonts w:hint="eastAsia" w:ascii="宋体" w:hAnsi="宋体"/>
          <w:szCs w:val="21"/>
        </w:rPr>
        <w:t>10.3.2</w:t>
      </w:r>
      <w:r>
        <w:rPr>
          <w:rFonts w:hint="eastAsia" w:ascii="宋体" w:hAnsi="宋体"/>
          <w:szCs w:val="21"/>
          <w:lang w:val="en-US" w:eastAsia="zh-CN"/>
        </w:rPr>
        <w:t>5</w:t>
      </w:r>
      <w:r>
        <w:rPr>
          <w:rFonts w:hint="eastAsia" w:ascii="宋体" w:hAnsi="宋体"/>
          <w:szCs w:val="21"/>
        </w:rPr>
        <w:t>不同投标人的投标文件，由同一台电脑编制或用同一管理软件密码锁生成投标文件的或用同一台电脑上传投标文件的</w:t>
      </w:r>
      <w:r>
        <w:rPr>
          <w:rFonts w:hint="eastAsia" w:ascii="宋体" w:hAnsi="宋体" w:cs="Arial"/>
          <w:kern w:val="0"/>
          <w:szCs w:val="21"/>
        </w:rPr>
        <w:t>（通过交易中心计算机编制或上传的除外）</w:t>
      </w:r>
      <w:r>
        <w:rPr>
          <w:rFonts w:hint="eastAsia" w:ascii="宋体" w:hAnsi="宋体"/>
          <w:szCs w:val="21"/>
        </w:rPr>
        <w:t>；</w:t>
      </w:r>
    </w:p>
    <w:p w14:paraId="5DB70F10">
      <w:pPr>
        <w:spacing w:line="360" w:lineRule="auto"/>
        <w:ind w:firstLine="420" w:firstLineChars="200"/>
        <w:rPr>
          <w:rFonts w:hint="eastAsia" w:ascii="宋体" w:hAnsi="宋体"/>
          <w:b/>
          <w:szCs w:val="21"/>
        </w:rPr>
      </w:pPr>
      <w:r>
        <w:rPr>
          <w:rFonts w:hint="eastAsia" w:ascii="宋体" w:hAnsi="宋体"/>
          <w:szCs w:val="21"/>
        </w:rPr>
        <w:t>10.3.2</w:t>
      </w:r>
      <w:r>
        <w:rPr>
          <w:rFonts w:hint="eastAsia" w:ascii="宋体" w:hAnsi="宋体"/>
          <w:szCs w:val="21"/>
          <w:lang w:val="en-US" w:eastAsia="zh-CN"/>
        </w:rPr>
        <w:t>6</w:t>
      </w:r>
      <w:r>
        <w:rPr>
          <w:rFonts w:hint="eastAsia" w:ascii="宋体" w:hAnsi="宋体"/>
          <w:szCs w:val="21"/>
        </w:rPr>
        <w:t>投标文件不满足招标文件规定数量的；</w:t>
      </w:r>
    </w:p>
    <w:p w14:paraId="17D50A56">
      <w:pPr>
        <w:spacing w:line="360" w:lineRule="auto"/>
        <w:ind w:firstLine="420" w:firstLineChars="200"/>
        <w:rPr>
          <w:rFonts w:hint="eastAsia" w:ascii="宋体" w:hAnsi="宋体"/>
          <w:szCs w:val="21"/>
        </w:rPr>
      </w:pPr>
      <w:r>
        <w:rPr>
          <w:rFonts w:hint="eastAsia" w:ascii="宋体" w:hAnsi="宋体"/>
          <w:szCs w:val="21"/>
        </w:rPr>
        <w:t>10.3.2</w:t>
      </w:r>
      <w:r>
        <w:rPr>
          <w:rFonts w:hint="eastAsia" w:ascii="宋体" w:hAnsi="宋体"/>
          <w:szCs w:val="21"/>
          <w:lang w:val="en-US" w:eastAsia="zh-CN"/>
        </w:rPr>
        <w:t>7</w:t>
      </w:r>
      <w:r>
        <w:rPr>
          <w:rFonts w:hint="eastAsia" w:ascii="宋体" w:hAnsi="宋体"/>
          <w:szCs w:val="21"/>
        </w:rPr>
        <w:t>投标人资格条件不符合招标文件要求的；</w:t>
      </w:r>
    </w:p>
    <w:p w14:paraId="08ACC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szCs w:val="21"/>
        </w:rPr>
        <w:t>10.3.2</w:t>
      </w:r>
      <w:r>
        <w:rPr>
          <w:rFonts w:hint="eastAsia" w:ascii="宋体" w:hAnsi="宋体"/>
          <w:szCs w:val="21"/>
          <w:lang w:val="en-US" w:eastAsia="zh-CN"/>
        </w:rPr>
        <w:t>8</w:t>
      </w:r>
      <w:r>
        <w:rPr>
          <w:rFonts w:hint="eastAsia" w:ascii="宋体" w:hAnsi="宋体"/>
          <w:szCs w:val="21"/>
        </w:rPr>
        <w:t>注册建造师的注册单位与投标人不符或资格无效；</w:t>
      </w:r>
    </w:p>
    <w:p w14:paraId="416364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szCs w:val="21"/>
        </w:rPr>
      </w:pPr>
      <w:r>
        <w:rPr>
          <w:rFonts w:hint="eastAsia" w:ascii="宋体" w:hAnsi="宋体"/>
          <w:szCs w:val="21"/>
        </w:rPr>
        <w:t>10.3.</w:t>
      </w:r>
      <w:r>
        <w:rPr>
          <w:rFonts w:hint="eastAsia" w:ascii="宋体" w:hAnsi="宋体"/>
          <w:szCs w:val="21"/>
          <w:lang w:val="en-US" w:eastAsia="zh-CN"/>
        </w:rPr>
        <w:t>29</w:t>
      </w:r>
      <w:r>
        <w:rPr>
          <w:rFonts w:hint="eastAsia" w:ascii="宋体" w:hAnsi="宋体"/>
          <w:szCs w:val="21"/>
        </w:rPr>
        <w:t>投标报价有算术错误的，评标委员会根据招标文件约定对投标报价进行修正，修正的价格经投标人书面确认后具有约束力，投标人不接受修正价格的；</w:t>
      </w:r>
    </w:p>
    <w:p w14:paraId="36416A33">
      <w:pPr>
        <w:spacing w:line="360" w:lineRule="auto"/>
        <w:ind w:firstLine="420" w:firstLineChars="200"/>
        <w:rPr>
          <w:rFonts w:hint="eastAsia" w:ascii="宋体" w:hAnsi="宋体"/>
          <w:dstrike/>
          <w:szCs w:val="21"/>
        </w:rPr>
      </w:pPr>
      <w:r>
        <w:rPr>
          <w:rFonts w:hint="eastAsia" w:ascii="宋体" w:hAnsi="宋体"/>
          <w:szCs w:val="21"/>
        </w:rPr>
        <w:t>10.3.3</w:t>
      </w:r>
      <w:r>
        <w:rPr>
          <w:rFonts w:hint="eastAsia" w:ascii="宋体" w:hAnsi="宋体"/>
          <w:szCs w:val="21"/>
          <w:lang w:val="en-US" w:eastAsia="zh-CN"/>
        </w:rPr>
        <w:t>0</w:t>
      </w:r>
      <w:r>
        <w:rPr>
          <w:rFonts w:hint="eastAsia" w:ascii="宋体" w:hAnsi="宋体"/>
          <w:szCs w:val="21"/>
        </w:rPr>
        <w:t>不按评标委员会要求澄清、说明或补正的；</w:t>
      </w:r>
    </w:p>
    <w:p w14:paraId="1A67B9B9">
      <w:pPr>
        <w:spacing w:line="360" w:lineRule="auto"/>
        <w:ind w:firstLine="403" w:firstLineChars="192"/>
        <w:rPr>
          <w:rFonts w:hint="eastAsia" w:ascii="宋体" w:hAnsi="宋体" w:eastAsia="宋体"/>
          <w:szCs w:val="21"/>
          <w:lang w:eastAsia="zh-CN"/>
        </w:rPr>
      </w:pPr>
      <w:r>
        <w:rPr>
          <w:rFonts w:hint="eastAsia" w:ascii="宋体" w:hAnsi="宋体"/>
          <w:szCs w:val="21"/>
        </w:rPr>
        <w:t>10.3.3</w:t>
      </w:r>
      <w:r>
        <w:rPr>
          <w:rFonts w:hint="eastAsia" w:ascii="宋体" w:hAnsi="宋体"/>
          <w:szCs w:val="21"/>
          <w:lang w:val="en-US" w:eastAsia="zh-CN"/>
        </w:rPr>
        <w:t>1</w:t>
      </w:r>
      <w:r>
        <w:rPr>
          <w:rFonts w:hint="eastAsia" w:ascii="宋体" w:hAnsi="宋体"/>
          <w:szCs w:val="21"/>
        </w:rPr>
        <w:t>投标报价中的分部分项工程量清单的项目编码项目、项目名称、项目特征、计量单位、工程量与招标人提供的不一致的</w:t>
      </w:r>
      <w:r>
        <w:rPr>
          <w:rFonts w:hint="eastAsia" w:ascii="宋体" w:hAnsi="宋体"/>
          <w:szCs w:val="21"/>
          <w:lang w:eastAsia="zh-CN"/>
        </w:rPr>
        <w:t>；</w:t>
      </w:r>
    </w:p>
    <w:p w14:paraId="2080A27B">
      <w:pPr>
        <w:spacing w:line="360" w:lineRule="auto"/>
        <w:ind w:firstLine="420" w:firstLineChars="200"/>
        <w:rPr>
          <w:rFonts w:hint="eastAsia" w:ascii="宋体" w:hAnsi="宋体"/>
          <w:szCs w:val="21"/>
        </w:rPr>
      </w:pPr>
      <w:r>
        <w:rPr>
          <w:rFonts w:hint="eastAsia" w:ascii="宋体" w:hAnsi="宋体"/>
          <w:szCs w:val="21"/>
        </w:rPr>
        <w:t>10.3.3</w:t>
      </w:r>
      <w:r>
        <w:rPr>
          <w:rFonts w:hint="eastAsia" w:ascii="宋体" w:hAnsi="宋体"/>
          <w:szCs w:val="21"/>
          <w:lang w:val="en-US" w:eastAsia="zh-CN"/>
        </w:rPr>
        <w:t>2</w:t>
      </w:r>
      <w:r>
        <w:rPr>
          <w:rFonts w:hint="eastAsia" w:ascii="宋体" w:hAnsi="宋体"/>
          <w:szCs w:val="21"/>
        </w:rPr>
        <w:t>投标报价高于投标报价上限价的；</w:t>
      </w:r>
    </w:p>
    <w:p w14:paraId="4A5C48AE">
      <w:pPr>
        <w:spacing w:line="360" w:lineRule="auto"/>
        <w:ind w:firstLine="420" w:firstLineChars="200"/>
        <w:rPr>
          <w:rFonts w:hint="eastAsia" w:ascii="宋体" w:hAnsi="宋体"/>
          <w:szCs w:val="21"/>
        </w:rPr>
      </w:pPr>
      <w:r>
        <w:rPr>
          <w:rFonts w:hint="eastAsia" w:ascii="宋体" w:hAnsi="宋体"/>
          <w:szCs w:val="21"/>
        </w:rPr>
        <w:t>10.3.3</w:t>
      </w:r>
      <w:r>
        <w:rPr>
          <w:rFonts w:hint="eastAsia" w:ascii="宋体" w:hAnsi="宋体"/>
          <w:szCs w:val="21"/>
          <w:lang w:val="en-US" w:eastAsia="zh-CN"/>
        </w:rPr>
        <w:t>3</w:t>
      </w:r>
      <w:r>
        <w:rPr>
          <w:rFonts w:hint="eastAsia" w:ascii="宋体" w:hAnsi="宋体"/>
          <w:szCs w:val="21"/>
        </w:rPr>
        <w:t>投标报价汇总表中没有单列安全防护、文明施工措施费的；或投标人的安全防护、文明施工措施的报价低于招标文件公布的招标控制价中的安全防护、文明施工措施费用总额的；</w:t>
      </w:r>
    </w:p>
    <w:p w14:paraId="5C257A37">
      <w:pPr>
        <w:spacing w:line="360" w:lineRule="auto"/>
        <w:ind w:firstLine="420" w:firstLineChars="200"/>
        <w:rPr>
          <w:rFonts w:hint="eastAsia" w:ascii="宋体" w:hAnsi="宋体"/>
          <w:szCs w:val="21"/>
        </w:rPr>
      </w:pPr>
      <w:r>
        <w:rPr>
          <w:rFonts w:hint="eastAsia" w:ascii="宋体" w:hAnsi="宋体"/>
          <w:szCs w:val="21"/>
        </w:rPr>
        <w:t>10.3.3</w:t>
      </w:r>
      <w:r>
        <w:rPr>
          <w:rFonts w:hint="eastAsia" w:ascii="宋体" w:hAnsi="宋体"/>
          <w:szCs w:val="21"/>
          <w:lang w:val="en-US" w:eastAsia="zh-CN"/>
        </w:rPr>
        <w:t>4</w:t>
      </w:r>
      <w:r>
        <w:rPr>
          <w:rFonts w:hint="eastAsia" w:ascii="宋体" w:hAnsi="宋体"/>
          <w:szCs w:val="21"/>
        </w:rPr>
        <w:t>若投标人出现较大的不平衡报价且不能提供令人信服的充分理由的；</w:t>
      </w:r>
    </w:p>
    <w:p w14:paraId="291EEB03">
      <w:pPr>
        <w:spacing w:line="360" w:lineRule="auto"/>
        <w:ind w:firstLine="420" w:firstLineChars="200"/>
        <w:rPr>
          <w:rFonts w:hint="eastAsia" w:ascii="宋体" w:hAnsi="宋体"/>
          <w:b/>
          <w:szCs w:val="21"/>
        </w:rPr>
      </w:pPr>
      <w:r>
        <w:rPr>
          <w:rFonts w:hint="eastAsia" w:ascii="宋体" w:hAnsi="宋体"/>
          <w:szCs w:val="21"/>
        </w:rPr>
        <w:t>10.3.3</w:t>
      </w:r>
      <w:r>
        <w:rPr>
          <w:rFonts w:hint="eastAsia" w:ascii="宋体" w:hAnsi="宋体"/>
          <w:szCs w:val="21"/>
          <w:lang w:val="en-US" w:eastAsia="zh-CN"/>
        </w:rPr>
        <w:t>5</w:t>
      </w:r>
      <w:r>
        <w:rPr>
          <w:rFonts w:hint="eastAsia" w:ascii="宋体" w:hAnsi="宋体"/>
          <w:szCs w:val="21"/>
        </w:rPr>
        <w:t>投标人资格条件不符合国家有关规定。</w:t>
      </w:r>
    </w:p>
    <w:p w14:paraId="498E4F04">
      <w:pPr>
        <w:spacing w:line="360" w:lineRule="auto"/>
        <w:rPr>
          <w:rFonts w:hint="eastAsia" w:ascii="宋体" w:hAnsi="宋体"/>
          <w:b/>
          <w:szCs w:val="21"/>
        </w:rPr>
      </w:pPr>
      <w:r>
        <w:rPr>
          <w:rFonts w:hint="eastAsia" w:ascii="宋体" w:hAnsi="宋体"/>
          <w:b/>
          <w:szCs w:val="21"/>
        </w:rPr>
        <w:t>10.4投标报价上限值及安全防护、文明施工措施费</w:t>
      </w:r>
    </w:p>
    <w:p w14:paraId="0FEEFA0F">
      <w:pPr>
        <w:spacing w:line="360" w:lineRule="auto"/>
        <w:ind w:firstLine="420" w:firstLineChars="200"/>
        <w:rPr>
          <w:rFonts w:hint="eastAsia" w:ascii="宋体" w:hAnsi="宋体"/>
          <w:szCs w:val="21"/>
        </w:rPr>
      </w:pPr>
      <w:r>
        <w:rPr>
          <w:rFonts w:hint="eastAsia" w:ascii="宋体" w:hAnsi="宋体"/>
          <w:szCs w:val="21"/>
        </w:rPr>
        <w:t>10.4.1投标控制价上限值</w:t>
      </w:r>
      <w:r>
        <w:rPr>
          <w:rFonts w:hint="eastAsia" w:ascii="宋体" w:hAnsi="宋体"/>
          <w:szCs w:val="21"/>
          <w:highlight w:val="none"/>
        </w:rPr>
        <w:t>：</w:t>
      </w:r>
      <w:r>
        <w:rPr>
          <w:rFonts w:hint="eastAsia" w:ascii="宋体" w:hAnsi="宋体"/>
          <w:color w:val="auto"/>
          <w:szCs w:val="21"/>
          <w:highlight w:val="none"/>
          <w:u w:val="single"/>
          <w:lang w:val="en-US" w:eastAsia="zh-CN"/>
        </w:rPr>
        <w:t>11184722.53</w:t>
      </w:r>
      <w:r>
        <w:rPr>
          <w:rFonts w:hint="eastAsia" w:ascii="宋体" w:hAnsi="宋体" w:cs="宋体"/>
          <w:color w:val="auto"/>
          <w:szCs w:val="21"/>
          <w:highlight w:val="none"/>
          <w:u w:val="single"/>
        </w:rPr>
        <w:t>×（1-5%）=</w:t>
      </w:r>
      <w:r>
        <w:rPr>
          <w:rFonts w:hint="eastAsia" w:ascii="宋体" w:hAnsi="宋体" w:cs="宋体"/>
          <w:i w:val="0"/>
          <w:color w:val="000000"/>
          <w:sz w:val="21"/>
          <w:szCs w:val="21"/>
          <w:highlight w:val="none"/>
          <w:u w:val="single"/>
          <w:lang w:val="en-US" w:eastAsia="zh-CN"/>
        </w:rPr>
        <w:t>10625486.40</w:t>
      </w:r>
      <w:r>
        <w:rPr>
          <w:rFonts w:hint="eastAsia" w:ascii="宋体" w:hAnsi="宋体" w:cs="宋体"/>
          <w:color w:val="auto"/>
          <w:szCs w:val="21"/>
          <w:highlight w:val="none"/>
          <w:u w:val="single"/>
          <w:lang w:val="en-US" w:eastAsia="zh-CN"/>
        </w:rPr>
        <w:t>元</w:t>
      </w:r>
      <w:r>
        <w:rPr>
          <w:rFonts w:hint="eastAsia" w:ascii="宋体" w:hAnsi="宋体"/>
          <w:szCs w:val="21"/>
          <w:highlight w:val="none"/>
        </w:rPr>
        <w:t xml:space="preserve"> （以中介</w:t>
      </w:r>
      <w:r>
        <w:rPr>
          <w:rFonts w:hint="eastAsia" w:ascii="宋体" w:hAnsi="宋体"/>
          <w:szCs w:val="21"/>
        </w:rPr>
        <w:t>预算价下浮一定费率计算,具体按下表执行）</w:t>
      </w:r>
    </w:p>
    <w:p w14:paraId="17482716">
      <w:pPr>
        <w:spacing w:line="360" w:lineRule="auto"/>
        <w:ind w:firstLine="422" w:firstLineChars="200"/>
        <w:jc w:val="center"/>
        <w:rPr>
          <w:rFonts w:hint="eastAsia" w:ascii="宋体" w:hAnsi="宋体"/>
          <w:b/>
          <w:szCs w:val="21"/>
        </w:rPr>
      </w:pPr>
      <w:r>
        <w:rPr>
          <w:rFonts w:hint="eastAsia" w:ascii="宋体" w:hAnsi="宋体"/>
          <w:b/>
          <w:szCs w:val="21"/>
        </w:rPr>
        <w:t>水利工程施工招标投标下浮率最小值一览表</w:t>
      </w:r>
    </w:p>
    <w:tbl>
      <w:tblPr>
        <w:tblStyle w:val="23"/>
        <w:tblW w:w="0" w:type="auto"/>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417"/>
        <w:gridCol w:w="3633"/>
      </w:tblGrid>
      <w:tr w14:paraId="14A8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33" w:type="dxa"/>
            <w:noWrap w:val="0"/>
            <w:vAlign w:val="center"/>
          </w:tcPr>
          <w:p w14:paraId="5E913BAE">
            <w:pPr>
              <w:spacing w:line="360" w:lineRule="auto"/>
              <w:jc w:val="center"/>
              <w:rPr>
                <w:rFonts w:hint="eastAsia" w:ascii="宋体" w:hAnsi="宋体"/>
                <w:b/>
                <w:szCs w:val="21"/>
              </w:rPr>
            </w:pPr>
            <w:r>
              <w:rPr>
                <w:rFonts w:hint="eastAsia" w:ascii="宋体" w:hAnsi="宋体"/>
                <w:b/>
                <w:szCs w:val="21"/>
              </w:rPr>
              <w:t>工程类别</w:t>
            </w:r>
          </w:p>
        </w:tc>
        <w:tc>
          <w:tcPr>
            <w:tcW w:w="3417" w:type="dxa"/>
            <w:noWrap w:val="0"/>
            <w:vAlign w:val="center"/>
          </w:tcPr>
          <w:p w14:paraId="5C8B6556">
            <w:pPr>
              <w:spacing w:line="360" w:lineRule="auto"/>
              <w:jc w:val="center"/>
              <w:rPr>
                <w:rFonts w:hint="eastAsia" w:ascii="宋体" w:hAnsi="宋体"/>
                <w:b/>
                <w:szCs w:val="21"/>
              </w:rPr>
            </w:pPr>
            <w:r>
              <w:rPr>
                <w:rFonts w:hint="eastAsia" w:ascii="宋体" w:hAnsi="宋体"/>
                <w:b/>
                <w:szCs w:val="21"/>
              </w:rPr>
              <w:t>具体工程形式</w:t>
            </w:r>
          </w:p>
        </w:tc>
        <w:tc>
          <w:tcPr>
            <w:tcW w:w="3633" w:type="dxa"/>
            <w:noWrap w:val="0"/>
            <w:vAlign w:val="center"/>
          </w:tcPr>
          <w:p w14:paraId="6A9C7FFF">
            <w:pPr>
              <w:spacing w:line="360" w:lineRule="auto"/>
              <w:jc w:val="center"/>
              <w:rPr>
                <w:rFonts w:hint="eastAsia" w:ascii="宋体" w:hAnsi="宋体"/>
                <w:b/>
                <w:szCs w:val="21"/>
              </w:rPr>
            </w:pPr>
            <w:r>
              <w:rPr>
                <w:rFonts w:hint="eastAsia" w:ascii="宋体" w:hAnsi="宋体"/>
                <w:b/>
                <w:szCs w:val="21"/>
              </w:rPr>
              <w:t>下浮率最小值(中介预算下浮率%)</w:t>
            </w:r>
          </w:p>
        </w:tc>
      </w:tr>
      <w:tr w14:paraId="3698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vMerge w:val="restart"/>
            <w:noWrap w:val="0"/>
            <w:vAlign w:val="center"/>
          </w:tcPr>
          <w:p w14:paraId="7A4BBF55">
            <w:pPr>
              <w:spacing w:line="360" w:lineRule="auto"/>
              <w:jc w:val="center"/>
              <w:rPr>
                <w:rFonts w:hint="eastAsia" w:ascii="宋体" w:hAnsi="宋体"/>
                <w:b/>
                <w:szCs w:val="21"/>
              </w:rPr>
            </w:pPr>
            <w:r>
              <w:rPr>
                <w:rFonts w:hint="eastAsia" w:ascii="宋体" w:hAnsi="宋体"/>
                <w:b/>
                <w:szCs w:val="21"/>
              </w:rPr>
              <w:t>土方工程</w:t>
            </w:r>
          </w:p>
        </w:tc>
        <w:tc>
          <w:tcPr>
            <w:tcW w:w="3417" w:type="dxa"/>
            <w:noWrap w:val="0"/>
            <w:vAlign w:val="center"/>
          </w:tcPr>
          <w:p w14:paraId="52D7CF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河湖疏浚、单独土方工程</w:t>
            </w:r>
          </w:p>
        </w:tc>
        <w:tc>
          <w:tcPr>
            <w:tcW w:w="3633" w:type="dxa"/>
            <w:noWrap w:val="0"/>
            <w:vAlign w:val="center"/>
          </w:tcPr>
          <w:p w14:paraId="03EF47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10</w:t>
            </w:r>
          </w:p>
        </w:tc>
      </w:tr>
      <w:tr w14:paraId="6B17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vMerge w:val="continue"/>
            <w:noWrap w:val="0"/>
            <w:vAlign w:val="center"/>
          </w:tcPr>
          <w:p w14:paraId="6DC35B06">
            <w:pPr>
              <w:spacing w:line="360" w:lineRule="auto"/>
              <w:jc w:val="center"/>
              <w:rPr>
                <w:rFonts w:hint="eastAsia" w:ascii="宋体" w:hAnsi="宋体"/>
                <w:b/>
                <w:szCs w:val="21"/>
              </w:rPr>
            </w:pPr>
          </w:p>
        </w:tc>
        <w:tc>
          <w:tcPr>
            <w:tcW w:w="3417" w:type="dxa"/>
            <w:noWrap w:val="0"/>
            <w:vAlign w:val="center"/>
          </w:tcPr>
          <w:p w14:paraId="7E37CF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olor w:val="000000"/>
                <w:kern w:val="2"/>
                <w:sz w:val="21"/>
                <w:szCs w:val="21"/>
                <w:lang w:val="en-US" w:eastAsia="zh-CN" w:bidi="ar-SA"/>
              </w:rPr>
            </w:pPr>
            <w:r>
              <w:rPr>
                <w:rFonts w:hint="eastAsia" w:ascii="宋体" w:hAnsi="宋体"/>
                <w:color w:val="000000"/>
                <w:szCs w:val="21"/>
              </w:rPr>
              <w:t>大堤灌浆</w:t>
            </w:r>
          </w:p>
        </w:tc>
        <w:tc>
          <w:tcPr>
            <w:tcW w:w="3633" w:type="dxa"/>
            <w:noWrap w:val="0"/>
            <w:vAlign w:val="center"/>
          </w:tcPr>
          <w:p w14:paraId="0E8903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kern w:val="2"/>
                <w:sz w:val="21"/>
                <w:szCs w:val="21"/>
                <w:lang w:val="en-US" w:eastAsia="zh-CN" w:bidi="ar-SA"/>
              </w:rPr>
            </w:pPr>
            <w:r>
              <w:rPr>
                <w:rFonts w:hint="eastAsia" w:ascii="宋体" w:hAnsi="宋体"/>
                <w:color w:val="000000"/>
                <w:szCs w:val="21"/>
                <w:lang w:val="en-US" w:eastAsia="zh-CN"/>
              </w:rPr>
              <w:t>20</w:t>
            </w:r>
          </w:p>
        </w:tc>
      </w:tr>
      <w:tr w14:paraId="78D7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14:paraId="2CD268C9">
            <w:pPr>
              <w:spacing w:line="360" w:lineRule="auto"/>
              <w:jc w:val="center"/>
              <w:rPr>
                <w:rFonts w:hint="eastAsia" w:ascii="宋体" w:hAnsi="宋体"/>
                <w:b/>
                <w:szCs w:val="21"/>
              </w:rPr>
            </w:pPr>
            <w:r>
              <w:rPr>
                <w:rFonts w:hint="eastAsia" w:ascii="宋体" w:hAnsi="宋体"/>
                <w:b/>
                <w:szCs w:val="21"/>
              </w:rPr>
              <w:t>石方工程</w:t>
            </w:r>
          </w:p>
        </w:tc>
        <w:tc>
          <w:tcPr>
            <w:tcW w:w="3417" w:type="dxa"/>
            <w:noWrap w:val="0"/>
            <w:vAlign w:val="center"/>
          </w:tcPr>
          <w:p w14:paraId="59BBAF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单独抛石工程、三防物料（砂、石）</w:t>
            </w:r>
          </w:p>
        </w:tc>
        <w:tc>
          <w:tcPr>
            <w:tcW w:w="3633" w:type="dxa"/>
            <w:noWrap w:val="0"/>
            <w:vAlign w:val="center"/>
          </w:tcPr>
          <w:p w14:paraId="214CAB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5</w:t>
            </w:r>
          </w:p>
        </w:tc>
      </w:tr>
      <w:tr w14:paraId="2F12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33" w:type="dxa"/>
            <w:noWrap w:val="0"/>
            <w:vAlign w:val="center"/>
          </w:tcPr>
          <w:p w14:paraId="471DD87D">
            <w:pPr>
              <w:spacing w:line="360" w:lineRule="auto"/>
              <w:jc w:val="center"/>
              <w:rPr>
                <w:rFonts w:hint="eastAsia" w:ascii="宋体" w:hAnsi="宋体"/>
                <w:b/>
                <w:szCs w:val="21"/>
              </w:rPr>
            </w:pPr>
            <w:r>
              <w:rPr>
                <w:rFonts w:hint="eastAsia" w:ascii="宋体" w:hAnsi="宋体"/>
                <w:b/>
                <w:szCs w:val="21"/>
              </w:rPr>
              <w:t>堤防工程</w:t>
            </w:r>
          </w:p>
        </w:tc>
        <w:tc>
          <w:tcPr>
            <w:tcW w:w="3417" w:type="dxa"/>
            <w:noWrap w:val="0"/>
            <w:vAlign w:val="center"/>
          </w:tcPr>
          <w:p w14:paraId="6ED78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土建施工(除单独土方、石方、灌浆工程)</w:t>
            </w:r>
          </w:p>
        </w:tc>
        <w:tc>
          <w:tcPr>
            <w:tcW w:w="3633" w:type="dxa"/>
            <w:noWrap w:val="0"/>
            <w:vAlign w:val="center"/>
          </w:tcPr>
          <w:p w14:paraId="64C0D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8</w:t>
            </w:r>
          </w:p>
        </w:tc>
      </w:tr>
      <w:tr w14:paraId="769F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33" w:type="dxa"/>
            <w:noWrap w:val="0"/>
            <w:vAlign w:val="center"/>
          </w:tcPr>
          <w:p w14:paraId="68E28045">
            <w:pPr>
              <w:rPr>
                <w:rFonts w:hint="eastAsia" w:ascii="宋体" w:hAnsi="宋体"/>
                <w:b/>
                <w:szCs w:val="21"/>
              </w:rPr>
            </w:pPr>
            <w:r>
              <w:rPr>
                <w:rFonts w:hint="eastAsia" w:ascii="宋体" w:hAnsi="宋体"/>
                <w:b/>
                <w:szCs w:val="21"/>
              </w:rPr>
              <w:t>含土石方、堤防、水闸泵站等综合性水利工程</w:t>
            </w:r>
          </w:p>
        </w:tc>
        <w:tc>
          <w:tcPr>
            <w:tcW w:w="3417" w:type="dxa"/>
            <w:noWrap w:val="0"/>
            <w:vAlign w:val="center"/>
          </w:tcPr>
          <w:p w14:paraId="4543F1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kern w:val="0"/>
                <w:szCs w:val="21"/>
              </w:rPr>
            </w:pPr>
            <w:r>
              <w:rPr>
                <w:rFonts w:hint="eastAsia" w:ascii="宋体" w:hAnsi="宋体"/>
                <w:kern w:val="0"/>
                <w:szCs w:val="21"/>
              </w:rPr>
              <w:t>人工岛、围垦工程、城镇防洪、河口整治工程</w:t>
            </w:r>
          </w:p>
        </w:tc>
        <w:tc>
          <w:tcPr>
            <w:tcW w:w="3633" w:type="dxa"/>
            <w:noWrap w:val="0"/>
            <w:vAlign w:val="center"/>
          </w:tcPr>
          <w:p w14:paraId="078C0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8</w:t>
            </w:r>
          </w:p>
        </w:tc>
      </w:tr>
      <w:tr w14:paraId="7FD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14:paraId="27A9F3E3">
            <w:pPr>
              <w:spacing w:line="360" w:lineRule="auto"/>
              <w:rPr>
                <w:rFonts w:hint="eastAsia" w:ascii="宋体" w:hAnsi="宋体"/>
                <w:b/>
                <w:szCs w:val="21"/>
              </w:rPr>
            </w:pPr>
            <w:r>
              <w:rPr>
                <w:rFonts w:hint="eastAsia" w:ascii="宋体" w:hAnsi="宋体"/>
                <w:b/>
                <w:szCs w:val="21"/>
              </w:rPr>
              <w:t>水（船）闸、泵站、水库工程</w:t>
            </w:r>
          </w:p>
        </w:tc>
        <w:tc>
          <w:tcPr>
            <w:tcW w:w="3417" w:type="dxa"/>
            <w:noWrap w:val="0"/>
            <w:vAlign w:val="center"/>
          </w:tcPr>
          <w:p w14:paraId="5D36F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土建施工、金属制安、设备采购、水库灌浆</w:t>
            </w:r>
          </w:p>
        </w:tc>
        <w:tc>
          <w:tcPr>
            <w:tcW w:w="3633" w:type="dxa"/>
            <w:noWrap w:val="0"/>
            <w:vAlign w:val="center"/>
          </w:tcPr>
          <w:p w14:paraId="2D908B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5</w:t>
            </w:r>
          </w:p>
        </w:tc>
      </w:tr>
      <w:tr w14:paraId="598B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14:paraId="012EFB37">
            <w:pPr>
              <w:spacing w:line="360" w:lineRule="auto"/>
              <w:rPr>
                <w:rFonts w:hint="eastAsia" w:ascii="宋体" w:hAnsi="宋体"/>
                <w:b/>
                <w:szCs w:val="21"/>
              </w:rPr>
            </w:pPr>
            <w:r>
              <w:rPr>
                <w:rFonts w:hint="eastAsia" w:ascii="宋体" w:hAnsi="宋体"/>
                <w:b/>
                <w:szCs w:val="21"/>
              </w:rPr>
              <w:t>其它水利附属工程</w:t>
            </w:r>
          </w:p>
        </w:tc>
        <w:tc>
          <w:tcPr>
            <w:tcW w:w="3417" w:type="dxa"/>
            <w:noWrap w:val="0"/>
            <w:vAlign w:val="center"/>
          </w:tcPr>
          <w:p w14:paraId="32187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绿化、路灯、变配电、装饰装修等</w:t>
            </w:r>
          </w:p>
        </w:tc>
        <w:tc>
          <w:tcPr>
            <w:tcW w:w="3633" w:type="dxa"/>
            <w:noWrap w:val="0"/>
            <w:vAlign w:val="center"/>
          </w:tcPr>
          <w:p w14:paraId="175E7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根据市行政主管部门定期公布的相应项目招标上限价实施。</w:t>
            </w:r>
          </w:p>
        </w:tc>
      </w:tr>
    </w:tbl>
    <w:p w14:paraId="43013E6B">
      <w:pPr>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rPr>
        <w:t>注：上表中的中介预算下浮率为最小值，招标人可以根据招标项目实际设定不低于相应工程类别最小值的下浮率计算招标上限价。</w:t>
      </w:r>
      <w:r>
        <w:rPr>
          <w:rFonts w:hint="eastAsia" w:ascii="宋体" w:hAnsi="宋体"/>
          <w:szCs w:val="21"/>
          <w:lang w:eastAsia="zh-CN"/>
        </w:rPr>
        <w:t>）</w:t>
      </w:r>
    </w:p>
    <w:p w14:paraId="2CEE3D38">
      <w:pPr>
        <w:spacing w:line="360" w:lineRule="auto"/>
        <w:ind w:firstLine="420" w:firstLineChars="200"/>
        <w:rPr>
          <w:rFonts w:ascii="Times New Roman" w:hAnsi="Times New Roman"/>
          <w:szCs w:val="21"/>
          <w:highlight w:val="none"/>
        </w:rPr>
      </w:pPr>
      <w:r>
        <w:rPr>
          <w:rFonts w:ascii="Times New Roman" w:hAnsi="Times New Roman"/>
          <w:szCs w:val="21"/>
        </w:rPr>
        <w:t>10.4.2本工程安全防护、文明施工措施费为</w:t>
      </w:r>
      <w:r>
        <w:rPr>
          <w:rFonts w:ascii="Times New Roman" w:hAnsi="Times New Roman"/>
          <w:szCs w:val="21"/>
          <w:highlight w:val="none"/>
        </w:rPr>
        <w:t>：</w:t>
      </w:r>
      <w:r>
        <w:rPr>
          <w:rFonts w:ascii="Times New Roman" w:hAnsi="Times New Roman"/>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286835.81元</w:t>
      </w:r>
      <w:r>
        <w:rPr>
          <w:rFonts w:ascii="Times New Roman" w:hAnsi="Times New Roman"/>
          <w:szCs w:val="21"/>
          <w:highlight w:val="none"/>
          <w:u w:val="single"/>
        </w:rPr>
        <w:t xml:space="preserve"> </w:t>
      </w:r>
      <w:r>
        <w:rPr>
          <w:rFonts w:ascii="Times New Roman" w:hAnsi="Times New Roman"/>
          <w:szCs w:val="21"/>
          <w:highlight w:val="none"/>
        </w:rPr>
        <w:t xml:space="preserve"> </w:t>
      </w:r>
    </w:p>
    <w:p w14:paraId="5DCE5505">
      <w:pPr>
        <w:spacing w:line="360" w:lineRule="auto"/>
        <w:ind w:firstLine="422" w:firstLineChars="200"/>
        <w:rPr>
          <w:rFonts w:ascii="Times New Roman" w:hAnsi="Times New Roman"/>
          <w:b/>
          <w:bCs/>
          <w:szCs w:val="21"/>
        </w:rPr>
      </w:pPr>
      <w:r>
        <w:rPr>
          <w:rFonts w:ascii="Times New Roman" w:hAnsi="Times New Roman"/>
          <w:b/>
          <w:bCs/>
          <w:szCs w:val="21"/>
        </w:rPr>
        <w:t>投标报价超出投标控制价上限值的或安全防护、文明施工措施费小于本工程招标控制价中安全防护、文明施工措施费的作废标处理。</w:t>
      </w:r>
    </w:p>
    <w:p w14:paraId="7358CA0D">
      <w:pPr>
        <w:spacing w:line="360" w:lineRule="auto"/>
        <w:ind w:firstLine="420" w:firstLineChars="200"/>
        <w:rPr>
          <w:rFonts w:ascii="Times New Roman" w:hAnsi="Times New Roman"/>
          <w:szCs w:val="21"/>
        </w:rPr>
      </w:pPr>
      <w:r>
        <w:rPr>
          <w:rFonts w:ascii="Times New Roman" w:hAnsi="Times New Roman"/>
          <w:szCs w:val="21"/>
        </w:rPr>
        <w:t>安全防护、文明施工措施费按以下原则进行管理：</w:t>
      </w:r>
    </w:p>
    <w:p w14:paraId="39053AAF">
      <w:pPr>
        <w:spacing w:line="360" w:lineRule="auto"/>
        <w:ind w:firstLine="420" w:firstLineChars="200"/>
        <w:rPr>
          <w:rFonts w:ascii="Times New Roman" w:hAnsi="Times New Roman"/>
          <w:szCs w:val="21"/>
          <w:shd w:val="clear" w:color="auto" w:fill="FFFFFF"/>
        </w:rPr>
      </w:pPr>
      <w:r>
        <w:rPr>
          <w:rFonts w:ascii="Times New Roman" w:hAnsi="Times New Roman"/>
          <w:szCs w:val="21"/>
        </w:rPr>
        <w:t>1、施工单位要严格落实《水利工程建设安全生产管理规定》（水利部令第26号）、《水利水电工程施工安全防护设施技术规范》（SL714-2015）、《水利水电工程施工安全管理导则》（SL721—2015）、《水利水电起重机械安全规程》（SL425-2008）、《水利水电工程施工通用安全技术规程》（SL398-2007）、《水利水电工程土建施工安全技术规程》(SL399-2007)、《水利水电工程金属结构与机电设备安装安全技术规程》（SL400-2007）、《水利水电工程施工作业人员安全操作规程》（SL401-2007）、</w:t>
      </w:r>
      <w:r>
        <w:rPr>
          <w:rFonts w:ascii="Times New Roman" w:hAnsi="Times New Roman"/>
          <w:szCs w:val="21"/>
          <w:shd w:val="clear" w:color="auto" w:fill="FFFFFF"/>
        </w:rPr>
        <w:t>《水利水电工程施工危险源辨识与风险评价导则（试行）》（办安监〔2018〕1693号）</w:t>
      </w:r>
      <w:r>
        <w:rPr>
          <w:rFonts w:ascii="Times New Roman" w:hAnsi="Times New Roman"/>
          <w:sz w:val="28"/>
          <w:szCs w:val="28"/>
        </w:rPr>
        <w:t>、</w:t>
      </w:r>
      <w:r>
        <w:rPr>
          <w:rFonts w:ascii="Times New Roman" w:hAnsi="Times New Roman"/>
          <w:szCs w:val="21"/>
          <w:shd w:val="clear" w:color="auto" w:fill="FFFFFF"/>
        </w:rPr>
        <w:t>《转发水利部关于印发〈水利工程生产安全重大事故隐患判定标准（试行）〉的通知》（粤水安监〔2017〕13号）等文件有关要求，落实施工现场各项安全防护措施，加强文明施工管理，坚持安全风险预控、关口前移，严格落实安全生产主体责任，建立健全安全风险管控和隐患排查治理双重预防机制，有效防范各类生产安全事故发生。如</w:t>
      </w:r>
      <w:r>
        <w:rPr>
          <w:rFonts w:hint="eastAsia" w:ascii="Times New Roman" w:hAnsi="Times New Roman"/>
          <w:szCs w:val="21"/>
          <w:shd w:val="clear" w:color="auto" w:fill="FFFFFF"/>
        </w:rPr>
        <w:t>因施工单位未落实安全文明措施，</w:t>
      </w:r>
      <w:r>
        <w:rPr>
          <w:rFonts w:ascii="Times New Roman" w:hAnsi="Times New Roman"/>
          <w:szCs w:val="21"/>
          <w:shd w:val="clear" w:color="auto" w:fill="FFFFFF"/>
        </w:rPr>
        <w:t>经监理单位、项目法人、监督部门多次书面要求整改，施工单位拒不整改的</w:t>
      </w:r>
      <w:r>
        <w:rPr>
          <w:rFonts w:hint="eastAsia" w:ascii="Times New Roman" w:hAnsi="Times New Roman"/>
          <w:szCs w:val="21"/>
          <w:shd w:val="clear" w:color="auto" w:fill="FFFFFF"/>
        </w:rPr>
        <w:t>或整改后再次发生的</w:t>
      </w:r>
      <w:r>
        <w:rPr>
          <w:rFonts w:ascii="Times New Roman" w:hAnsi="Times New Roman"/>
          <w:szCs w:val="21"/>
          <w:shd w:val="clear" w:color="auto" w:fill="FFFFFF"/>
        </w:rPr>
        <w:t>或</w:t>
      </w:r>
      <w:r>
        <w:rPr>
          <w:rFonts w:hint="eastAsia" w:ascii="Times New Roman" w:hAnsi="Times New Roman"/>
          <w:szCs w:val="21"/>
          <w:shd w:val="clear" w:color="auto" w:fill="FFFFFF"/>
        </w:rPr>
        <w:t>因</w:t>
      </w:r>
      <w:r>
        <w:rPr>
          <w:rFonts w:ascii="Times New Roman" w:hAnsi="Times New Roman"/>
          <w:szCs w:val="21"/>
          <w:shd w:val="clear" w:color="auto" w:fill="FFFFFF"/>
        </w:rPr>
        <w:t>施工单位原因造成各类生产安全事故发生的，项目法人有权采取以下措施：</w:t>
      </w:r>
    </w:p>
    <w:p w14:paraId="3D4648AE">
      <w:pPr>
        <w:spacing w:line="360" w:lineRule="auto"/>
        <w:ind w:firstLine="420" w:firstLineChars="200"/>
        <w:rPr>
          <w:rFonts w:ascii="Times New Roman" w:hAnsi="Times New Roman"/>
          <w:szCs w:val="21"/>
          <w:shd w:val="clear" w:color="auto" w:fill="FFFFFF"/>
        </w:rPr>
      </w:pPr>
      <w:r>
        <w:rPr>
          <w:rFonts w:ascii="Times New Roman" w:hAnsi="Times New Roman"/>
          <w:szCs w:val="21"/>
          <w:shd w:val="clear" w:color="auto" w:fill="FFFFFF"/>
        </w:rPr>
        <w:t>a、扣除中介预算中已有的相应部位的安全设施和临时工程措施费用；</w:t>
      </w:r>
    </w:p>
    <w:p w14:paraId="641200AE">
      <w:pPr>
        <w:spacing w:line="360" w:lineRule="auto"/>
        <w:ind w:firstLine="420" w:firstLineChars="200"/>
        <w:rPr>
          <w:rFonts w:ascii="Times New Roman" w:hAnsi="Times New Roman"/>
          <w:szCs w:val="21"/>
          <w:shd w:val="clear" w:color="auto" w:fill="FFFFFF"/>
        </w:rPr>
      </w:pPr>
      <w:r>
        <w:rPr>
          <w:rFonts w:ascii="Times New Roman" w:hAnsi="Times New Roman"/>
          <w:szCs w:val="21"/>
          <w:shd w:val="clear" w:color="auto" w:fill="FFFFFF"/>
        </w:rPr>
        <w:t>b、在办理工程完工结算时不支付相应部位的安全防护、文明施工措施费用；</w:t>
      </w:r>
    </w:p>
    <w:p w14:paraId="10FCF8E5">
      <w:pPr>
        <w:spacing w:line="360" w:lineRule="auto"/>
        <w:ind w:firstLine="420" w:firstLineChars="200"/>
        <w:rPr>
          <w:rFonts w:hint="eastAsia" w:ascii="Times New Roman" w:hAnsi="Times New Roman"/>
          <w:szCs w:val="21"/>
          <w:shd w:val="clear" w:color="auto" w:fill="FFFFFF"/>
        </w:rPr>
      </w:pPr>
      <w:r>
        <w:rPr>
          <w:rFonts w:ascii="Times New Roman" w:hAnsi="Times New Roman"/>
          <w:szCs w:val="21"/>
          <w:shd w:val="clear" w:color="auto" w:fill="FFFFFF"/>
        </w:rPr>
        <w:t>c、提请水行政主管部门按照相关法律</w:t>
      </w:r>
      <w:r>
        <w:rPr>
          <w:rFonts w:ascii="Times New Roman" w:hAnsi="Times New Roman"/>
          <w:szCs w:val="21"/>
        </w:rPr>
        <w:t>法规</w:t>
      </w:r>
      <w:r>
        <w:rPr>
          <w:rFonts w:ascii="Times New Roman" w:hAnsi="Times New Roman"/>
          <w:szCs w:val="21"/>
          <w:shd w:val="clear" w:color="auto" w:fill="FFFFFF"/>
        </w:rPr>
        <w:t>进行行政处罚</w:t>
      </w:r>
      <w:r>
        <w:rPr>
          <w:rFonts w:hint="eastAsia" w:ascii="Times New Roman" w:hAnsi="Times New Roman"/>
          <w:szCs w:val="21"/>
          <w:shd w:val="clear" w:color="auto" w:fill="FFFFFF"/>
        </w:rPr>
        <w:t>；</w:t>
      </w:r>
    </w:p>
    <w:p w14:paraId="5A0805B9">
      <w:pPr>
        <w:spacing w:line="360" w:lineRule="auto"/>
        <w:ind w:firstLine="420" w:firstLineChars="200"/>
        <w:rPr>
          <w:rFonts w:hint="eastAsia" w:ascii="Times New Roman" w:hAnsi="Times New Roman"/>
          <w:szCs w:val="21"/>
          <w:shd w:val="clear" w:color="auto" w:fill="FFFFFF"/>
        </w:rPr>
      </w:pPr>
      <w:r>
        <w:rPr>
          <w:rFonts w:hint="eastAsia" w:ascii="Times New Roman" w:hAnsi="Times New Roman"/>
          <w:szCs w:val="21"/>
          <w:shd w:val="clear" w:color="auto" w:fill="FFFFFF"/>
        </w:rPr>
        <w:t>d、对施工单位现场安全管理违章行为进行违约处理（</w:t>
      </w:r>
      <w:r>
        <w:rPr>
          <w:rFonts w:ascii="Times New Roman" w:hAnsi="Times New Roman"/>
          <w:szCs w:val="21"/>
          <w:shd w:val="clear" w:color="auto" w:fill="FFFFFF"/>
        </w:rPr>
        <w:t>详见</w:t>
      </w:r>
      <w:r>
        <w:rPr>
          <w:rFonts w:hint="eastAsia" w:ascii="Times New Roman" w:hAnsi="Times New Roman"/>
          <w:szCs w:val="21"/>
          <w:shd w:val="clear" w:color="auto" w:fill="FFFFFF"/>
        </w:rPr>
        <w:t>附件一）。</w:t>
      </w:r>
    </w:p>
    <w:p w14:paraId="2F1A0722">
      <w:pPr>
        <w:spacing w:line="360" w:lineRule="auto"/>
        <w:ind w:firstLine="420" w:firstLineChars="200"/>
        <w:rPr>
          <w:rFonts w:ascii="Times New Roman" w:hAnsi="Times New Roman"/>
          <w:szCs w:val="21"/>
          <w:shd w:val="clear" w:color="auto" w:fill="FFFFFF"/>
        </w:rPr>
      </w:pPr>
      <w:r>
        <w:rPr>
          <w:rFonts w:ascii="Times New Roman" w:hAnsi="Times New Roman"/>
          <w:szCs w:val="21"/>
          <w:shd w:val="clear" w:color="auto" w:fill="FFFFFF"/>
        </w:rPr>
        <w:t>2、安全文明施工措施费应合理规划、正确使用，工程中介预算中已包含费用的工棚仓库、临时围堰、模板脚手架、基坑支护等临时设施以及水土保持设施、防扬尘设施等不应重复列入本工程的安全文明施工措施费使用计划中（补充增加或临时设施额外加固等除外，且一般情况下，非工程类、非购置类的措施费用不应多于总费用的30%，如按需超出上述范围，应提前及时申报监理、项目法人审批同意。安全防护、文明施工措施费实行“费用单列、专款专用、各方监督”的管理原则。使用程序为施工单位申请、监理审核、项目法人审定，审核重点为安全文明施工措施费用项目和单价的合理性（详见表一）。工程安全监督机构根据现场情况加强监督抽查，如抽查不符合实际情况，提出书面整改意见，经督促仍不整改的，则可提请水行政主管部门进行处理。</w:t>
      </w:r>
    </w:p>
    <w:p w14:paraId="747D8D0E">
      <w:pPr>
        <w:spacing w:line="360" w:lineRule="auto"/>
        <w:ind w:firstLine="420" w:firstLineChars="200"/>
        <w:rPr>
          <w:rFonts w:ascii="Times New Roman" w:hAnsi="Times New Roman"/>
          <w:szCs w:val="21"/>
          <w:shd w:val="clear" w:color="auto" w:fill="FFFFFF"/>
        </w:rPr>
      </w:pPr>
      <w:r>
        <w:rPr>
          <w:rFonts w:ascii="Times New Roman" w:hAnsi="Times New Roman"/>
          <w:szCs w:val="21"/>
          <w:shd w:val="clear" w:color="auto" w:fill="FFFFFF"/>
        </w:rPr>
        <w:t>3、施工单位应根据本工程实际情况设立安全文明施工措施费使用计划，按明细账核算，并根据现行标准规范，结合工程特点、工期进度和作业环境要求，在施工组织设计文件中制定相应的安全文明施工措施，正确使用安全文明施工措施费，确保各项安全文明施工措施按现行标准规范和附表二的相关要求落实。安全文明施工措施费不足部分由施工单位在成本费用中列支。</w:t>
      </w:r>
    </w:p>
    <w:p w14:paraId="652C4E6F">
      <w:pPr>
        <w:spacing w:line="360" w:lineRule="auto"/>
        <w:ind w:firstLine="420" w:firstLineChars="200"/>
        <w:rPr>
          <w:rFonts w:ascii="Times New Roman" w:hAnsi="Times New Roman"/>
          <w:szCs w:val="21"/>
          <w:shd w:val="clear" w:color="auto" w:fill="FFFFFF"/>
        </w:rPr>
      </w:pPr>
      <w:r>
        <w:rPr>
          <w:rFonts w:ascii="Times New Roman" w:hAnsi="Times New Roman"/>
          <w:szCs w:val="21"/>
          <w:shd w:val="clear" w:color="auto" w:fill="FFFFFF"/>
        </w:rPr>
        <w:t>4、项目法人、监理单位具体负责对施工单位安全文明施工措施费使用情况进行监督，监理单位应当对施工单位落实安全文明施工措施进行现场监理。在实施监理过程中，监理单位发现施工单位未投入安全文明施工措施费或措施不符合要求，存在安全和环境保护事故隐患、不文明施工的，应当要求施工单位及时整改；情况严重的，应当要求施工单位暂时停止施工，并及时报告项目法人；施工单位拒不整改或者不停止施工的，应当及时向水利工程质量监督机构和水行政主管部门报告。项目法人应至少每半年组织有关参建单位</w:t>
      </w:r>
      <w:r>
        <w:rPr>
          <w:rFonts w:hint="eastAsia" w:ascii="Times New Roman" w:hAnsi="Times New Roman"/>
          <w:szCs w:val="21"/>
          <w:shd w:val="clear" w:color="auto" w:fill="FFFFFF"/>
        </w:rPr>
        <w:t>或</w:t>
      </w:r>
      <w:r>
        <w:rPr>
          <w:rFonts w:ascii="Times New Roman" w:hAnsi="Times New Roman"/>
          <w:szCs w:val="21"/>
          <w:shd w:val="clear" w:color="auto" w:fill="FFFFFF"/>
        </w:rPr>
        <w:t>专家对安全文明施工措施费用使用落实情况进行检查，并将检查意见通知施工单位。施工单位应及时进行整改。</w:t>
      </w:r>
    </w:p>
    <w:p w14:paraId="53BECC6A">
      <w:pPr>
        <w:spacing w:line="360" w:lineRule="auto"/>
        <w:ind w:firstLine="420" w:firstLineChars="200"/>
        <w:rPr>
          <w:rFonts w:ascii="Times New Roman" w:hAnsi="Times New Roman"/>
          <w:szCs w:val="21"/>
          <w:shd w:val="clear" w:color="auto" w:fill="FFFFFF"/>
        </w:rPr>
      </w:pPr>
      <w:r>
        <w:rPr>
          <w:rFonts w:ascii="Times New Roman" w:hAnsi="Times New Roman"/>
          <w:szCs w:val="21"/>
          <w:shd w:val="clear" w:color="auto" w:fill="FFFFFF"/>
        </w:rPr>
        <w:t>5、建设单位、监理单位、施工单位应按各自责任做好安全文明施工措施费落实使用情况的</w:t>
      </w:r>
      <w:r>
        <w:rPr>
          <w:rFonts w:hint="eastAsia" w:ascii="Times New Roman" w:hAnsi="Times New Roman"/>
          <w:szCs w:val="21"/>
          <w:shd w:val="clear" w:color="auto" w:fill="FFFFFF"/>
          <w:lang w:eastAsia="zh-CN"/>
        </w:rPr>
        <w:t>台账</w:t>
      </w:r>
      <w:r>
        <w:rPr>
          <w:rFonts w:ascii="Times New Roman" w:hAnsi="Times New Roman"/>
          <w:szCs w:val="21"/>
          <w:shd w:val="clear" w:color="auto" w:fill="FFFFFF"/>
        </w:rPr>
        <w:t>和详细资料。</w:t>
      </w:r>
      <w:r>
        <w:rPr>
          <w:rFonts w:ascii="Times New Roman" w:hAnsi="Times New Roman"/>
          <w:szCs w:val="21"/>
          <w:shd w:val="clear" w:color="auto" w:fill="FFFFFF"/>
        </w:rPr>
        <w:br w:type="page"/>
      </w:r>
    </w:p>
    <w:p w14:paraId="35AC5AAB">
      <w:pPr>
        <w:spacing w:line="276" w:lineRule="auto"/>
        <w:ind w:left="709"/>
        <w:jc w:val="left"/>
        <w:rPr>
          <w:rFonts w:hint="eastAsia" w:ascii="宋体" w:hAnsi="宋体" w:cs="Arial"/>
          <w:b/>
          <w:kern w:val="0"/>
          <w:szCs w:val="21"/>
          <w:lang w:val="en-GB"/>
        </w:rPr>
      </w:pPr>
      <w:r>
        <w:rPr>
          <w:rFonts w:hint="eastAsia" w:ascii="宋体" w:hAnsi="宋体" w:cs="Arial"/>
          <w:b/>
          <w:kern w:val="0"/>
          <w:szCs w:val="21"/>
          <w:lang w:val="en-GB"/>
        </w:rPr>
        <w:t>附件一</w:t>
      </w:r>
    </w:p>
    <w:p w14:paraId="01906AAA">
      <w:pPr>
        <w:spacing w:line="276" w:lineRule="auto"/>
        <w:ind w:left="709"/>
        <w:jc w:val="center"/>
        <w:rPr>
          <w:rFonts w:ascii="宋体" w:hAnsi="宋体" w:cs="Arial"/>
          <w:b/>
          <w:kern w:val="0"/>
          <w:szCs w:val="21"/>
          <w:lang w:val="en-GB"/>
        </w:rPr>
      </w:pPr>
      <w:r>
        <w:rPr>
          <w:rFonts w:hint="eastAsia" w:ascii="宋体" w:hAnsi="宋体" w:cs="Arial"/>
          <w:b/>
          <w:kern w:val="0"/>
          <w:szCs w:val="21"/>
          <w:lang w:val="en-GB"/>
        </w:rPr>
        <w:t>施工单位安全管理违</w:t>
      </w:r>
      <w:r>
        <w:rPr>
          <w:rFonts w:hint="eastAsia" w:ascii="宋体" w:hAnsi="宋体" w:cs="Arial"/>
          <w:b/>
          <w:kern w:val="0"/>
          <w:szCs w:val="21"/>
          <w:lang w:val="en-GB" w:eastAsia="zh-CN"/>
        </w:rPr>
        <w:t>约</w:t>
      </w:r>
      <w:r>
        <w:rPr>
          <w:rFonts w:hint="eastAsia" w:ascii="宋体" w:hAnsi="宋体" w:cs="Arial"/>
          <w:b/>
          <w:kern w:val="0"/>
          <w:szCs w:val="21"/>
          <w:lang w:val="en-GB"/>
        </w:rPr>
        <w:t>支付实施细则</w:t>
      </w:r>
    </w:p>
    <w:p w14:paraId="44A9AC5D">
      <w:pPr>
        <w:spacing w:line="276" w:lineRule="auto"/>
        <w:ind w:left="709"/>
        <w:rPr>
          <w:rFonts w:ascii="宋体" w:hAnsi="宋体" w:cs="Arial"/>
          <w:kern w:val="0"/>
          <w:szCs w:val="21"/>
        </w:rPr>
      </w:pPr>
      <w:r>
        <w:rPr>
          <w:rFonts w:hint="eastAsia" w:ascii="宋体" w:hAnsi="宋体" w:cs="Arial"/>
          <w:kern w:val="0"/>
          <w:szCs w:val="21"/>
          <w:lang w:val="en-GB"/>
        </w:rPr>
        <w:t>一、安全管理违章行为支付违约金标准</w:t>
      </w:r>
      <w:r>
        <w:rPr>
          <w:rFonts w:hint="eastAsia" w:ascii="宋体" w:hAnsi="宋体" w:cs="Arial"/>
          <w:kern w:val="0"/>
          <w:szCs w:val="21"/>
        </w:rPr>
        <w:t>（5000元）</w:t>
      </w:r>
    </w:p>
    <w:p w14:paraId="6569C7CE">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1</w:t>
      </w:r>
      <w:r>
        <w:rPr>
          <w:rFonts w:hint="eastAsia" w:ascii="宋体" w:hAnsi="宋体" w:cs="Arial"/>
          <w:kern w:val="0"/>
          <w:szCs w:val="21"/>
          <w:lang w:val="en-GB"/>
        </w:rPr>
        <w:t>、未按规定配置足量专职安全员或专职安全员不履行安全管理职责的，专职安全员无上岗资格的（按人数计）；</w:t>
      </w:r>
    </w:p>
    <w:p w14:paraId="0BA186F1">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2、</w:t>
      </w:r>
      <w:r>
        <w:rPr>
          <w:rFonts w:hint="eastAsia" w:ascii="宋体" w:hAnsi="宋体" w:cs="Arial"/>
          <w:kern w:val="0"/>
          <w:szCs w:val="21"/>
          <w:lang w:val="en-GB"/>
        </w:rPr>
        <w:t>未建立项目安全生产管理体系；</w:t>
      </w:r>
    </w:p>
    <w:p w14:paraId="040FF0A5">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3</w:t>
      </w:r>
      <w:r>
        <w:rPr>
          <w:rFonts w:hint="eastAsia" w:ascii="宋体" w:hAnsi="宋体" w:cs="Arial"/>
          <w:kern w:val="0"/>
          <w:szCs w:val="21"/>
          <w:lang w:val="en-GB"/>
        </w:rPr>
        <w:t>、对大型机械设备未按要求验收合格后使用或验收不合格投入使用的；</w:t>
      </w:r>
    </w:p>
    <w:p w14:paraId="62184101">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4</w:t>
      </w:r>
      <w:r>
        <w:rPr>
          <w:rFonts w:hint="eastAsia" w:ascii="宋体" w:hAnsi="宋体" w:cs="Arial"/>
          <w:kern w:val="0"/>
          <w:szCs w:val="21"/>
          <w:lang w:val="en-GB"/>
        </w:rPr>
        <w:t>、未按要求制订安全生产责任制，项目未按要求层层签订安全生产目标责任书、未按要求签订综合治理及文明施工协议书的；</w:t>
      </w:r>
    </w:p>
    <w:p w14:paraId="08E2746E">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5</w:t>
      </w:r>
      <w:r>
        <w:rPr>
          <w:rFonts w:hint="eastAsia" w:ascii="宋体" w:hAnsi="宋体" w:cs="Arial"/>
          <w:kern w:val="0"/>
          <w:szCs w:val="21"/>
          <w:lang w:val="en-GB"/>
        </w:rPr>
        <w:t>、未按规定编制施工组织设计和危险性较大的专项安全施工方案；</w:t>
      </w:r>
    </w:p>
    <w:p w14:paraId="2E046007">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6</w:t>
      </w:r>
      <w:r>
        <w:rPr>
          <w:rFonts w:hint="eastAsia" w:ascii="宋体" w:hAnsi="宋体" w:cs="Arial"/>
          <w:kern w:val="0"/>
          <w:szCs w:val="21"/>
          <w:lang w:val="en-GB"/>
        </w:rPr>
        <w:t>、按规定需进行专家论证的危险性较大的专项施工方案，未按要求进行专家论证、未履行审批报验手续就进行施工的；</w:t>
      </w:r>
    </w:p>
    <w:p w14:paraId="205559A5">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7、</w:t>
      </w:r>
      <w:r>
        <w:rPr>
          <w:rFonts w:hint="eastAsia" w:ascii="宋体" w:hAnsi="宋体" w:cs="Arial"/>
          <w:kern w:val="0"/>
          <w:szCs w:val="21"/>
          <w:lang w:val="en-GB"/>
        </w:rPr>
        <w:t>被上级主管部门、建设单位等部门停工整改的项目，未经复查合格擅自开工的；</w:t>
      </w:r>
    </w:p>
    <w:p w14:paraId="645DD6D7">
      <w:pPr>
        <w:spacing w:line="276" w:lineRule="auto"/>
        <w:ind w:left="709" w:firstLine="420" w:firstLineChars="200"/>
        <w:rPr>
          <w:rFonts w:ascii="宋体" w:hAnsi="宋体" w:cs="Arial"/>
          <w:kern w:val="0"/>
          <w:szCs w:val="21"/>
        </w:rPr>
      </w:pPr>
      <w:r>
        <w:rPr>
          <w:rFonts w:hint="eastAsia" w:ascii="宋体" w:hAnsi="宋体" w:cs="Arial"/>
          <w:kern w:val="0"/>
          <w:szCs w:val="21"/>
        </w:rPr>
        <w:t>8、对上级主管部门</w:t>
      </w:r>
      <w:r>
        <w:rPr>
          <w:rFonts w:hint="eastAsia" w:ascii="宋体" w:hAnsi="宋体" w:cs="Arial"/>
          <w:kern w:val="0"/>
          <w:szCs w:val="21"/>
          <w:lang w:val="en-GB"/>
        </w:rPr>
        <w:t>、建设单位等</w:t>
      </w:r>
      <w:r>
        <w:rPr>
          <w:rFonts w:hint="eastAsia" w:ascii="宋体" w:hAnsi="宋体" w:cs="Arial"/>
          <w:kern w:val="0"/>
          <w:szCs w:val="21"/>
        </w:rPr>
        <w:t>的安全整改要求拒不整改的</w:t>
      </w:r>
      <w:r>
        <w:rPr>
          <w:rFonts w:hint="eastAsia" w:ascii="宋体" w:hAnsi="宋体" w:cs="Arial"/>
          <w:kern w:val="0"/>
          <w:szCs w:val="21"/>
          <w:lang w:eastAsia="zh-CN"/>
        </w:rPr>
        <w:t>。</w:t>
      </w:r>
    </w:p>
    <w:p w14:paraId="37F7B549">
      <w:pPr>
        <w:spacing w:line="276" w:lineRule="auto"/>
        <w:ind w:left="709"/>
        <w:rPr>
          <w:rFonts w:ascii="宋体" w:hAnsi="宋体" w:cs="Arial"/>
          <w:kern w:val="0"/>
          <w:szCs w:val="21"/>
        </w:rPr>
      </w:pPr>
      <w:r>
        <w:rPr>
          <w:rFonts w:hint="eastAsia" w:ascii="宋体" w:hAnsi="宋体" w:cs="Arial"/>
          <w:kern w:val="0"/>
          <w:szCs w:val="21"/>
        </w:rPr>
        <w:t>二、</w:t>
      </w:r>
      <w:r>
        <w:rPr>
          <w:rFonts w:hint="eastAsia" w:ascii="宋体" w:hAnsi="宋体" w:cs="Arial"/>
          <w:kern w:val="0"/>
          <w:szCs w:val="21"/>
          <w:lang w:val="en-GB"/>
        </w:rPr>
        <w:t>施工现场有下列违章行为之一的</w:t>
      </w:r>
      <w:r>
        <w:rPr>
          <w:rFonts w:hint="eastAsia" w:ascii="宋体" w:hAnsi="宋体" w:cs="Arial"/>
          <w:kern w:val="0"/>
          <w:szCs w:val="21"/>
        </w:rPr>
        <w:t>下发安全整改通知书，</w:t>
      </w:r>
      <w:r>
        <w:rPr>
          <w:rFonts w:hint="eastAsia" w:ascii="宋体" w:hAnsi="宋体" w:cs="Arial"/>
          <w:kern w:val="0"/>
          <w:szCs w:val="21"/>
          <w:lang w:val="en-GB"/>
        </w:rPr>
        <w:t>对上级主管部门或建设单位等出具的安全整改通知书内容未按时整改完毕的</w:t>
      </w:r>
      <w:r>
        <w:rPr>
          <w:rFonts w:hint="eastAsia" w:ascii="宋体" w:hAnsi="宋体" w:cs="Arial"/>
          <w:kern w:val="0"/>
          <w:szCs w:val="21"/>
        </w:rPr>
        <w:t>每次支付违约金（2000元）</w:t>
      </w:r>
    </w:p>
    <w:p w14:paraId="1B49F7F1">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rPr>
        <w:t>1</w:t>
      </w:r>
      <w:r>
        <w:rPr>
          <w:rFonts w:hint="eastAsia" w:ascii="宋体" w:hAnsi="宋体" w:cs="Arial"/>
          <w:kern w:val="0"/>
          <w:szCs w:val="21"/>
          <w:lang w:val="en-GB"/>
        </w:rPr>
        <w:t>）施工区域未按规定设置围挡或围档不符合要求的；</w:t>
      </w:r>
    </w:p>
    <w:p w14:paraId="6306165E">
      <w:pPr>
        <w:spacing w:line="276" w:lineRule="auto"/>
        <w:ind w:left="709" w:firstLine="420" w:firstLineChars="200"/>
        <w:rPr>
          <w:rFonts w:ascii="宋体" w:hAnsi="宋体" w:cs="Arial"/>
          <w:kern w:val="0"/>
          <w:szCs w:val="21"/>
          <w:lang w:val="en-GB"/>
        </w:rPr>
      </w:pPr>
      <w:r>
        <w:rPr>
          <w:rFonts w:hint="eastAsia" w:ascii="宋体" w:hAnsi="宋体" w:cs="Arial"/>
          <w:kern w:val="0"/>
          <w:szCs w:val="21"/>
        </w:rPr>
        <w:t>（2）</w:t>
      </w:r>
      <w:r>
        <w:rPr>
          <w:rFonts w:hint="eastAsia" w:ascii="宋体" w:hAnsi="宋体" w:cs="Arial"/>
          <w:kern w:val="0"/>
          <w:szCs w:val="21"/>
          <w:lang w:val="en-GB"/>
        </w:rPr>
        <w:t>无消防措施或无灭火器材，灭火器材配置数量不足或配置不合理的；</w:t>
      </w:r>
    </w:p>
    <w:p w14:paraId="67928A4C">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rPr>
        <w:t>3</w:t>
      </w:r>
      <w:r>
        <w:rPr>
          <w:rFonts w:hint="eastAsia" w:ascii="宋体" w:hAnsi="宋体" w:cs="Arial"/>
          <w:kern w:val="0"/>
          <w:szCs w:val="21"/>
          <w:lang w:val="en-GB"/>
        </w:rPr>
        <w:t>）无防尘、防噪音措施的；</w:t>
      </w:r>
    </w:p>
    <w:p w14:paraId="05C73B74">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rPr>
        <w:t>4</w:t>
      </w:r>
      <w:r>
        <w:rPr>
          <w:rFonts w:hint="eastAsia" w:ascii="宋体" w:hAnsi="宋体" w:cs="Arial"/>
          <w:kern w:val="0"/>
          <w:szCs w:val="21"/>
          <w:lang w:val="en-GB"/>
        </w:rPr>
        <w:t>）现场材料堆放区、预加工区、施工通道、设备区等区域未进行围挡或未设置标识标牌的；</w:t>
      </w:r>
    </w:p>
    <w:p w14:paraId="77CE170C">
      <w:pPr>
        <w:spacing w:line="276" w:lineRule="auto"/>
        <w:ind w:left="1126" w:leftChars="536" w:firstLine="0" w:firstLineChars="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rPr>
        <w:t>5</w:t>
      </w:r>
      <w:r>
        <w:rPr>
          <w:rFonts w:hint="eastAsia" w:ascii="宋体" w:hAnsi="宋体" w:cs="Arial"/>
          <w:kern w:val="0"/>
          <w:szCs w:val="21"/>
          <w:lang w:val="en-GB"/>
        </w:rPr>
        <w:t>）现场没有安全生产标志牌或标志牌悬挂无针对性的；</w:t>
      </w:r>
      <w:r>
        <w:rPr>
          <w:rFonts w:hint="eastAsia" w:ascii="宋体" w:hAnsi="宋体" w:cs="Arial"/>
          <w:kern w:val="0"/>
          <w:szCs w:val="21"/>
          <w:lang w:val="en-GB"/>
        </w:rPr>
        <w:br w:type="textWrapping"/>
      </w:r>
      <w:r>
        <w:rPr>
          <w:rFonts w:hint="eastAsia" w:ascii="宋体" w:hAnsi="宋体" w:cs="Arial"/>
          <w:kern w:val="0"/>
          <w:szCs w:val="21"/>
          <w:lang w:val="en-GB"/>
        </w:rPr>
        <w:t>（</w:t>
      </w:r>
      <w:r>
        <w:rPr>
          <w:rFonts w:hint="eastAsia" w:ascii="宋体" w:hAnsi="宋体" w:cs="Arial"/>
          <w:kern w:val="0"/>
          <w:szCs w:val="21"/>
        </w:rPr>
        <w:t>6</w:t>
      </w:r>
      <w:r>
        <w:rPr>
          <w:rFonts w:hint="eastAsia" w:ascii="宋体" w:hAnsi="宋体" w:cs="Arial"/>
          <w:kern w:val="0"/>
          <w:szCs w:val="21"/>
          <w:lang w:val="en-GB"/>
        </w:rPr>
        <w:t>）现场不平整、排水不畅的，泥浆水、污水、废水未经处理直接排放的；</w:t>
      </w:r>
    </w:p>
    <w:p w14:paraId="49D14EA5">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ascii="宋体" w:hAnsi="宋体" w:cs="Arial"/>
          <w:kern w:val="0"/>
          <w:szCs w:val="21"/>
          <w:lang w:val="en-GB"/>
        </w:rPr>
        <w:t>7</w:t>
      </w:r>
      <w:r>
        <w:rPr>
          <w:rFonts w:hint="eastAsia" w:ascii="宋体" w:hAnsi="宋体" w:cs="Arial"/>
          <w:kern w:val="0"/>
          <w:szCs w:val="21"/>
          <w:lang w:val="en-GB"/>
        </w:rPr>
        <w:t>）在开工前对施工人员未按要求进行三级安全教育；教育者及被教育者没有本人签名或三级安全教育不符要求的；</w:t>
      </w:r>
    </w:p>
    <w:p w14:paraId="706EAD84">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ascii="宋体" w:hAnsi="宋体" w:cs="Arial"/>
          <w:kern w:val="0"/>
          <w:szCs w:val="21"/>
          <w:lang w:val="en-GB"/>
        </w:rPr>
        <w:t>8</w:t>
      </w:r>
      <w:r>
        <w:rPr>
          <w:rFonts w:hint="eastAsia" w:ascii="宋体" w:hAnsi="宋体" w:cs="Arial"/>
          <w:kern w:val="0"/>
          <w:szCs w:val="21"/>
          <w:lang w:val="en-GB"/>
        </w:rPr>
        <w:t>）施工现场无安全技术交底或安全技术交底针对性不强，双方未履行签字手续的；</w:t>
      </w:r>
    </w:p>
    <w:p w14:paraId="18BE240D">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ascii="宋体" w:hAnsi="宋体" w:cs="Arial"/>
          <w:kern w:val="0"/>
          <w:szCs w:val="21"/>
          <w:lang w:val="en-GB"/>
        </w:rPr>
        <w:t>9</w:t>
      </w:r>
      <w:r>
        <w:rPr>
          <w:rFonts w:hint="eastAsia" w:ascii="宋体" w:hAnsi="宋体" w:cs="Arial"/>
          <w:kern w:val="0"/>
          <w:szCs w:val="21"/>
          <w:lang w:val="en-GB"/>
        </w:rPr>
        <w:t>）未对施工现场危险品设置单独存放场所，且未进行有效管理的；</w:t>
      </w:r>
    </w:p>
    <w:p w14:paraId="3D98575A">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ascii="宋体" w:hAnsi="宋体" w:cs="Arial"/>
          <w:kern w:val="0"/>
          <w:szCs w:val="21"/>
          <w:lang w:val="en-GB"/>
        </w:rPr>
        <w:t>10</w:t>
      </w:r>
      <w:r>
        <w:rPr>
          <w:rFonts w:hint="eastAsia" w:ascii="宋体" w:hAnsi="宋体" w:cs="Arial"/>
          <w:kern w:val="0"/>
          <w:szCs w:val="21"/>
          <w:lang w:val="en-GB"/>
        </w:rPr>
        <w:t>）现场无大门或无门卫值班室的。</w:t>
      </w:r>
    </w:p>
    <w:p w14:paraId="671AC8E4">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ascii="宋体" w:hAnsi="宋体" w:cs="Arial"/>
          <w:kern w:val="0"/>
          <w:szCs w:val="21"/>
          <w:lang w:val="en-GB"/>
        </w:rPr>
        <w:t>11</w:t>
      </w:r>
      <w:r>
        <w:rPr>
          <w:rFonts w:hint="eastAsia" w:ascii="宋体" w:hAnsi="宋体" w:cs="Arial"/>
          <w:kern w:val="0"/>
          <w:szCs w:val="21"/>
          <w:lang w:val="en-GB"/>
        </w:rPr>
        <w:t>）其他违章事项，未按要求进行整改的。</w:t>
      </w:r>
    </w:p>
    <w:p w14:paraId="6C0FCDBA">
      <w:pPr>
        <w:spacing w:line="276" w:lineRule="auto"/>
        <w:ind w:left="709"/>
        <w:rPr>
          <w:rFonts w:hint="eastAsia" w:ascii="宋体" w:hAnsi="宋体" w:eastAsia="宋体" w:cs="Arial"/>
          <w:kern w:val="0"/>
          <w:szCs w:val="21"/>
          <w:highlight w:val="none"/>
          <w:lang w:eastAsia="zh-CN"/>
        </w:rPr>
      </w:pPr>
      <w:r>
        <w:rPr>
          <w:rFonts w:hint="eastAsia" w:ascii="宋体" w:hAnsi="宋体" w:cs="Arial"/>
          <w:kern w:val="0"/>
          <w:szCs w:val="21"/>
        </w:rPr>
        <w:t>三、</w:t>
      </w:r>
      <w:r>
        <w:rPr>
          <w:rFonts w:hint="eastAsia" w:ascii="宋体" w:hAnsi="宋体" w:cs="Arial"/>
          <w:kern w:val="0"/>
          <w:szCs w:val="21"/>
          <w:lang w:val="en-GB"/>
        </w:rPr>
        <w:t>施工现场有下列违章行为之一的</w:t>
      </w:r>
      <w:r>
        <w:rPr>
          <w:rFonts w:hint="eastAsia" w:ascii="宋体" w:hAnsi="宋体" w:cs="Arial"/>
          <w:kern w:val="0"/>
          <w:szCs w:val="21"/>
        </w:rPr>
        <w:t>发现一次</w:t>
      </w:r>
      <w:r>
        <w:rPr>
          <w:rFonts w:hint="eastAsia" w:ascii="宋体" w:hAnsi="宋体" w:cs="Arial"/>
          <w:kern w:val="0"/>
          <w:szCs w:val="21"/>
          <w:lang w:val="en-GB"/>
        </w:rPr>
        <w:t>支付违约</w:t>
      </w:r>
      <w:r>
        <w:rPr>
          <w:rFonts w:hint="eastAsia" w:ascii="宋体" w:hAnsi="宋体" w:cs="Arial"/>
          <w:kern w:val="0"/>
          <w:szCs w:val="21"/>
          <w:highlight w:val="none"/>
          <w:lang w:val="en-GB"/>
        </w:rPr>
        <w:t>金</w:t>
      </w:r>
      <w:r>
        <w:rPr>
          <w:rFonts w:hint="eastAsia" w:ascii="宋体" w:hAnsi="宋体" w:cs="Arial"/>
          <w:strike w:val="0"/>
          <w:dstrike w:val="0"/>
          <w:kern w:val="0"/>
          <w:szCs w:val="21"/>
          <w:highlight w:val="none"/>
          <w:lang w:val="en-US" w:eastAsia="zh-CN"/>
        </w:rPr>
        <w:t>1000</w:t>
      </w:r>
      <w:r>
        <w:rPr>
          <w:rFonts w:hint="eastAsia" w:ascii="宋体" w:hAnsi="宋体" w:cs="Arial"/>
          <w:kern w:val="0"/>
          <w:szCs w:val="21"/>
          <w:highlight w:val="none"/>
          <w:lang w:val="en-GB"/>
        </w:rPr>
        <w:t>元</w:t>
      </w:r>
      <w:r>
        <w:rPr>
          <w:rFonts w:hint="eastAsia" w:ascii="宋体" w:hAnsi="宋体" w:cs="Arial"/>
          <w:kern w:val="0"/>
          <w:szCs w:val="21"/>
          <w:highlight w:val="none"/>
          <w:lang w:val="en-GB" w:eastAsia="zh-CN"/>
        </w:rPr>
        <w:t>（</w:t>
      </w:r>
      <w:r>
        <w:rPr>
          <w:rFonts w:hint="eastAsia" w:ascii="宋体" w:hAnsi="宋体" w:cs="Arial"/>
          <w:kern w:val="0"/>
          <w:szCs w:val="21"/>
          <w:highlight w:val="none"/>
          <w:lang w:val="en-US" w:eastAsia="zh-CN"/>
        </w:rPr>
        <w:t>最高不超过合同价的5%</w:t>
      </w:r>
      <w:r>
        <w:rPr>
          <w:rFonts w:hint="eastAsia" w:ascii="宋体" w:hAnsi="宋体" w:cs="Arial"/>
          <w:kern w:val="0"/>
          <w:szCs w:val="21"/>
          <w:highlight w:val="none"/>
          <w:lang w:val="en-GB" w:eastAsia="zh-CN"/>
        </w:rPr>
        <w:t>）</w:t>
      </w:r>
    </w:p>
    <w:p w14:paraId="47435508">
      <w:pPr>
        <w:spacing w:line="276" w:lineRule="auto"/>
        <w:ind w:left="709" w:firstLine="420" w:firstLineChars="200"/>
        <w:rPr>
          <w:rFonts w:ascii="宋体" w:hAnsi="宋体" w:cs="Arial"/>
          <w:kern w:val="0"/>
          <w:szCs w:val="21"/>
        </w:rPr>
      </w:pPr>
      <w:r>
        <w:rPr>
          <w:rFonts w:hint="eastAsia" w:ascii="宋体" w:hAnsi="宋体" w:cs="Arial"/>
          <w:kern w:val="0"/>
          <w:szCs w:val="21"/>
        </w:rPr>
        <w:t>1、安全文明施工</w:t>
      </w:r>
    </w:p>
    <w:p w14:paraId="5141DA18">
      <w:pPr>
        <w:spacing w:line="276" w:lineRule="auto"/>
        <w:ind w:left="709" w:firstLine="420" w:firstLineChars="200"/>
        <w:rPr>
          <w:rFonts w:hint="eastAsia" w:ascii="宋体" w:hAnsi="宋体" w:cs="Arial"/>
          <w:kern w:val="0"/>
          <w:szCs w:val="21"/>
          <w:highlight w:val="none"/>
          <w:lang w:val="en-GB"/>
        </w:rPr>
      </w:pPr>
      <w:r>
        <w:rPr>
          <w:rFonts w:hint="eastAsia" w:ascii="宋体" w:hAnsi="宋体" w:cs="Arial"/>
          <w:kern w:val="0"/>
          <w:szCs w:val="21"/>
          <w:highlight w:val="none"/>
          <w:lang w:val="en-GB"/>
        </w:rPr>
        <w:t>（</w:t>
      </w:r>
      <w:r>
        <w:rPr>
          <w:rFonts w:hint="eastAsia" w:ascii="宋体" w:hAnsi="宋体" w:cs="Arial"/>
          <w:kern w:val="0"/>
          <w:szCs w:val="21"/>
          <w:highlight w:val="none"/>
        </w:rPr>
        <w:t>1</w:t>
      </w:r>
      <w:r>
        <w:rPr>
          <w:rFonts w:hint="eastAsia" w:ascii="宋体" w:hAnsi="宋体" w:cs="Arial"/>
          <w:kern w:val="0"/>
          <w:szCs w:val="21"/>
          <w:highlight w:val="none"/>
          <w:lang w:val="en-GB"/>
        </w:rPr>
        <w:t>）</w:t>
      </w:r>
      <w:r>
        <w:rPr>
          <w:rFonts w:hint="eastAsia" w:ascii="宋体" w:hAnsi="宋体" w:cs="Arial"/>
          <w:kern w:val="0"/>
          <w:szCs w:val="21"/>
          <w:highlight w:val="none"/>
          <w:lang w:val="en-GB" w:eastAsia="zh-CN"/>
        </w:rPr>
        <w:t>无正当理由</w:t>
      </w:r>
      <w:r>
        <w:rPr>
          <w:rFonts w:hint="eastAsia" w:ascii="宋体" w:hAnsi="宋体" w:cs="Arial"/>
          <w:kern w:val="0"/>
          <w:szCs w:val="21"/>
          <w:highlight w:val="none"/>
          <w:lang w:val="en-US" w:eastAsia="zh-CN"/>
        </w:rPr>
        <w:t>“围而不建”、“围而缓建”、完工后未及时清理现场和开放交通的；</w:t>
      </w:r>
    </w:p>
    <w:p w14:paraId="16A4E267">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2</w:t>
      </w:r>
      <w:r>
        <w:rPr>
          <w:rFonts w:hint="eastAsia" w:ascii="宋体" w:hAnsi="宋体" w:cs="Arial"/>
          <w:kern w:val="0"/>
          <w:szCs w:val="21"/>
          <w:lang w:val="en-GB" w:eastAsia="zh-CN"/>
        </w:rPr>
        <w:t>）</w:t>
      </w:r>
      <w:r>
        <w:rPr>
          <w:rFonts w:hint="eastAsia" w:ascii="宋体" w:hAnsi="宋体" w:cs="Arial"/>
          <w:kern w:val="0"/>
          <w:szCs w:val="21"/>
          <w:lang w:val="en-GB"/>
        </w:rPr>
        <w:t>车辆进出大门未进行冲洗，门口未设置车辆冲洗设施的；</w:t>
      </w:r>
    </w:p>
    <w:p w14:paraId="1B79B9F3">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lang w:val="en-US" w:eastAsia="zh-CN"/>
        </w:rPr>
        <w:t>3</w:t>
      </w:r>
      <w:r>
        <w:rPr>
          <w:rFonts w:hint="eastAsia" w:ascii="宋体" w:hAnsi="宋体" w:cs="Arial"/>
          <w:kern w:val="0"/>
          <w:szCs w:val="21"/>
          <w:lang w:val="en-GB"/>
        </w:rPr>
        <w:t>）在木工间及易燃易爆场所吸烟的，或动用明火没有经过审批的；</w:t>
      </w:r>
    </w:p>
    <w:p w14:paraId="05A08750">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lang w:val="en-US" w:eastAsia="zh-CN"/>
        </w:rPr>
        <w:t>4</w:t>
      </w:r>
      <w:r>
        <w:rPr>
          <w:rFonts w:hint="eastAsia" w:ascii="宋体" w:hAnsi="宋体" w:cs="Arial"/>
          <w:kern w:val="0"/>
          <w:szCs w:val="21"/>
          <w:lang w:val="en-GB"/>
        </w:rPr>
        <w:t>）现场焚烧垃圾、焚烧有毒、有害物资的；</w:t>
      </w:r>
    </w:p>
    <w:p w14:paraId="71494DB9">
      <w:pPr>
        <w:spacing w:line="276" w:lineRule="auto"/>
        <w:ind w:left="709" w:firstLine="420" w:firstLineChars="200"/>
        <w:rPr>
          <w:rFonts w:ascii="宋体" w:hAnsi="宋体" w:cs="Arial"/>
          <w:kern w:val="0"/>
          <w:szCs w:val="21"/>
          <w:lang w:val="en-GB"/>
        </w:rPr>
      </w:pPr>
      <w:r>
        <w:rPr>
          <w:rFonts w:hint="eastAsia" w:ascii="宋体" w:hAnsi="宋体" w:cs="Arial"/>
          <w:kern w:val="0"/>
          <w:szCs w:val="21"/>
          <w:lang w:val="en-GB"/>
        </w:rPr>
        <w:t>（</w:t>
      </w:r>
      <w:r>
        <w:rPr>
          <w:rFonts w:hint="eastAsia" w:ascii="宋体" w:hAnsi="宋体" w:cs="Arial"/>
          <w:kern w:val="0"/>
          <w:szCs w:val="21"/>
          <w:lang w:val="en-US" w:eastAsia="zh-CN"/>
        </w:rPr>
        <w:t>5</w:t>
      </w:r>
      <w:r>
        <w:rPr>
          <w:rFonts w:hint="eastAsia" w:ascii="宋体" w:hAnsi="宋体" w:cs="Arial"/>
          <w:kern w:val="0"/>
          <w:szCs w:val="21"/>
          <w:lang w:val="en-GB"/>
        </w:rPr>
        <w:t>）高空抛撒建筑垃圾的；</w:t>
      </w:r>
    </w:p>
    <w:p w14:paraId="27444818">
      <w:pPr>
        <w:spacing w:line="276" w:lineRule="auto"/>
        <w:ind w:left="709" w:firstLine="420" w:firstLineChars="200"/>
        <w:rPr>
          <w:rFonts w:hint="eastAsia" w:ascii="宋体" w:hAnsi="宋体" w:eastAsia="宋体" w:cs="Arial"/>
          <w:kern w:val="0"/>
          <w:szCs w:val="21"/>
          <w:lang w:val="en-GB" w:eastAsia="zh-CN"/>
        </w:rPr>
      </w:pPr>
      <w:r>
        <w:rPr>
          <w:rFonts w:hint="eastAsia" w:ascii="宋体" w:hAnsi="宋体" w:cs="Arial"/>
          <w:kern w:val="0"/>
          <w:szCs w:val="21"/>
          <w:lang w:val="en-GB"/>
        </w:rPr>
        <w:t>（</w:t>
      </w:r>
      <w:r>
        <w:rPr>
          <w:rFonts w:hint="eastAsia" w:ascii="宋体" w:hAnsi="宋体" w:cs="Arial"/>
          <w:kern w:val="0"/>
          <w:szCs w:val="21"/>
          <w:lang w:val="en-US" w:eastAsia="zh-CN"/>
        </w:rPr>
        <w:t>6</w:t>
      </w:r>
      <w:r>
        <w:rPr>
          <w:rFonts w:hint="eastAsia" w:ascii="宋体" w:hAnsi="宋体" w:cs="Arial"/>
          <w:kern w:val="0"/>
          <w:szCs w:val="21"/>
          <w:lang w:val="en-GB"/>
        </w:rPr>
        <w:t>）模板拆除区域未设置警戒线且无人监护的</w:t>
      </w:r>
      <w:r>
        <w:rPr>
          <w:rFonts w:hint="eastAsia" w:ascii="宋体" w:hAnsi="宋体" w:cs="Arial"/>
          <w:kern w:val="0"/>
          <w:szCs w:val="21"/>
          <w:lang w:val="en-GB" w:eastAsia="zh-CN"/>
        </w:rPr>
        <w:t>。</w:t>
      </w:r>
    </w:p>
    <w:p w14:paraId="5B24EE31">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2、违章行为</w:t>
      </w:r>
    </w:p>
    <w:p w14:paraId="2214E4AB">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（1）现场未戴安全帽的（按人数计）；</w:t>
      </w:r>
    </w:p>
    <w:p w14:paraId="35B0F9B7">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（2）酒后或者带小孩进入施工现场的；</w:t>
      </w:r>
    </w:p>
    <w:p w14:paraId="0349EB56">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（3）高空作业未系安全带的或安全带挂设不符合要求的（按人数计）；</w:t>
      </w:r>
    </w:p>
    <w:p w14:paraId="0DAECCBF">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（4）未经允许擅自拆除防护设施；</w:t>
      </w:r>
    </w:p>
    <w:p w14:paraId="710155E5">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（5）穿着拖鞋、高跟鞋及硬底鞋进入现场的；</w:t>
      </w:r>
    </w:p>
    <w:p w14:paraId="08BF1C19">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（6）电源开关一闸多用的；</w:t>
      </w:r>
    </w:p>
    <w:p w14:paraId="4DCC63EB">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（7）无电工巡视维修记录或记录不真实的。</w:t>
      </w:r>
    </w:p>
    <w:p w14:paraId="2342B984">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（8）违反“十不吊”规定的；</w:t>
      </w:r>
    </w:p>
    <w:p w14:paraId="49CC6BF6">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rPr>
        <w:t>（9）违反焊割作业“十不烧”规定的。</w:t>
      </w:r>
    </w:p>
    <w:p w14:paraId="1091FD1C">
      <w:pPr>
        <w:spacing w:line="276" w:lineRule="auto"/>
        <w:ind w:left="1128" w:leftChars="337" w:hanging="420" w:hangingChars="200"/>
        <w:rPr>
          <w:rFonts w:hint="eastAsia" w:ascii="宋体" w:hAnsi="宋体" w:cs="Arial"/>
          <w:kern w:val="0"/>
          <w:szCs w:val="21"/>
          <w:lang w:val="en-GB" w:eastAsia="zh-CN"/>
        </w:rPr>
      </w:pPr>
      <w:r>
        <w:rPr>
          <w:rFonts w:hint="eastAsia" w:ascii="宋体" w:hAnsi="宋体" w:cs="Arial"/>
          <w:kern w:val="0"/>
          <w:szCs w:val="21"/>
          <w:lang w:eastAsia="zh-CN"/>
        </w:rPr>
        <w:t>四、</w:t>
      </w:r>
      <w:r>
        <w:rPr>
          <w:rFonts w:hint="eastAsia" w:ascii="宋体" w:hAnsi="宋体" w:cs="Arial"/>
          <w:kern w:val="0"/>
          <w:szCs w:val="21"/>
          <w:lang w:val="en-GB"/>
        </w:rPr>
        <w:t>施工现场有</w:t>
      </w:r>
      <w:r>
        <w:rPr>
          <w:rFonts w:hint="eastAsia" w:ascii="宋体" w:hAnsi="宋体" w:cs="Arial"/>
          <w:kern w:val="0"/>
          <w:szCs w:val="21"/>
          <w:lang w:val="en-GB" w:eastAsia="zh-CN"/>
        </w:rPr>
        <w:t>违反</w:t>
      </w:r>
      <w:r>
        <w:rPr>
          <w:rFonts w:hint="eastAsia" w:ascii="宋体" w:hAnsi="宋体" w:cs="Arial"/>
          <w:kern w:val="0"/>
          <w:szCs w:val="21"/>
          <w:lang w:eastAsia="zh-CN"/>
        </w:rPr>
        <w:t>下列</w:t>
      </w:r>
      <w:r>
        <w:rPr>
          <w:rFonts w:hint="eastAsia" w:ascii="宋体" w:hAnsi="宋体" w:cs="Arial"/>
          <w:kern w:val="0"/>
          <w:szCs w:val="21"/>
        </w:rPr>
        <w:t>规章制度</w:t>
      </w:r>
      <w:r>
        <w:rPr>
          <w:rFonts w:hint="eastAsia" w:ascii="宋体" w:hAnsi="宋体" w:cs="Arial"/>
          <w:kern w:val="0"/>
          <w:szCs w:val="21"/>
          <w:lang w:eastAsia="zh-CN"/>
        </w:rPr>
        <w:t>行为之一的</w:t>
      </w:r>
      <w:r>
        <w:rPr>
          <w:rFonts w:hint="eastAsia" w:ascii="宋体" w:hAnsi="宋体" w:cs="Arial"/>
          <w:kern w:val="0"/>
          <w:szCs w:val="21"/>
        </w:rPr>
        <w:t>发现一次</w:t>
      </w:r>
      <w:r>
        <w:rPr>
          <w:rFonts w:hint="eastAsia" w:ascii="宋体" w:hAnsi="宋体" w:cs="Arial"/>
          <w:kern w:val="0"/>
          <w:szCs w:val="21"/>
          <w:lang w:val="en-GB"/>
        </w:rPr>
        <w:t>支付违约金</w:t>
      </w:r>
      <w:r>
        <w:rPr>
          <w:rFonts w:hint="eastAsia" w:ascii="宋体" w:hAnsi="宋体" w:cs="Arial"/>
          <w:kern w:val="0"/>
          <w:szCs w:val="21"/>
          <w:lang w:val="en-US" w:eastAsia="zh-CN"/>
        </w:rPr>
        <w:t>1000</w:t>
      </w:r>
      <w:r>
        <w:rPr>
          <w:rFonts w:hint="eastAsia" w:ascii="宋体" w:hAnsi="宋体" w:cs="Arial"/>
          <w:kern w:val="0"/>
          <w:szCs w:val="21"/>
          <w:lang w:val="en-GB"/>
        </w:rPr>
        <w:t>元</w:t>
      </w:r>
    </w:p>
    <w:p w14:paraId="1F402194">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1</w:t>
      </w:r>
      <w:r>
        <w:rPr>
          <w:rFonts w:hint="eastAsia" w:ascii="宋体" w:hAnsi="宋体" w:cs="Arial"/>
          <w:kern w:val="0"/>
          <w:szCs w:val="21"/>
          <w:lang w:val="en-GB" w:eastAsia="zh-CN"/>
        </w:rPr>
        <w:t>）</w:t>
      </w:r>
      <w:r>
        <w:rPr>
          <w:rFonts w:hint="eastAsia" w:ascii="宋体" w:hAnsi="宋体" w:cs="Arial"/>
          <w:kern w:val="0"/>
          <w:szCs w:val="21"/>
          <w:lang w:val="en-GB"/>
        </w:rPr>
        <w:t>《中山市扬尘污染防治管理办法》（中山市人民政府令第9号）、《中山市人民政府关于修改〈中山市扬尘污染防治管理办法〉的决定》（中山市人民政府令第15号）</w:t>
      </w:r>
    </w:p>
    <w:p w14:paraId="4F254D4A">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2</w:t>
      </w:r>
      <w:r>
        <w:rPr>
          <w:rFonts w:hint="eastAsia" w:ascii="宋体" w:hAnsi="宋体" w:cs="Arial"/>
          <w:kern w:val="0"/>
          <w:szCs w:val="21"/>
          <w:lang w:val="en-GB" w:eastAsia="zh-CN"/>
        </w:rPr>
        <w:t>）</w:t>
      </w:r>
      <w:r>
        <w:rPr>
          <w:rFonts w:hint="eastAsia" w:ascii="宋体" w:hAnsi="宋体" w:cs="Arial"/>
          <w:kern w:val="0"/>
          <w:szCs w:val="21"/>
          <w:lang w:val="en-GB"/>
        </w:rPr>
        <w:t>《中山市工程运输车辆综合治理工作方案》（中府办函〔2018〕143 号）</w:t>
      </w:r>
    </w:p>
    <w:p w14:paraId="036C4D37">
      <w:pPr>
        <w:spacing w:line="276" w:lineRule="auto"/>
        <w:ind w:left="709" w:firstLine="420" w:firstLineChars="200"/>
        <w:rPr>
          <w:rFonts w:hint="eastAsia" w:ascii="宋体" w:hAnsi="宋体" w:cs="Arial"/>
          <w:kern w:val="0"/>
          <w:szCs w:val="21"/>
          <w:lang w:val="en-GB" w:eastAsia="zh-CN"/>
        </w:rPr>
      </w:pPr>
      <w:r>
        <w:rPr>
          <w:rFonts w:hint="eastAsia" w:ascii="宋体" w:hAnsi="宋体" w:cs="Arial"/>
          <w:kern w:val="0"/>
          <w:szCs w:val="21"/>
          <w:lang w:val="en-GB" w:eastAsia="zh-CN"/>
        </w:rPr>
        <w:t>（</w:t>
      </w:r>
      <w:r>
        <w:rPr>
          <w:rFonts w:hint="eastAsia" w:ascii="宋体" w:hAnsi="宋体" w:cs="Arial"/>
          <w:kern w:val="0"/>
          <w:szCs w:val="21"/>
          <w:lang w:val="en-US" w:eastAsia="zh-CN"/>
        </w:rPr>
        <w:t>3</w:t>
      </w:r>
      <w:r>
        <w:rPr>
          <w:rFonts w:hint="eastAsia" w:ascii="宋体" w:hAnsi="宋体" w:cs="Arial"/>
          <w:kern w:val="0"/>
          <w:szCs w:val="21"/>
          <w:lang w:val="en-GB" w:eastAsia="zh-CN"/>
        </w:rPr>
        <w:t>）</w:t>
      </w:r>
      <w:r>
        <w:rPr>
          <w:rFonts w:hint="eastAsia" w:ascii="宋体" w:hAnsi="宋体" w:cs="Arial"/>
          <w:kern w:val="0"/>
          <w:szCs w:val="21"/>
          <w:lang w:val="en-GB"/>
        </w:rPr>
        <w:t>《中山市水务行业工程运输车综合治理工作实施方案》（中水〔2018〕193 号</w:t>
      </w:r>
      <w:r>
        <w:rPr>
          <w:rFonts w:hint="eastAsia" w:ascii="宋体" w:hAnsi="宋体" w:cs="Arial"/>
          <w:kern w:val="0"/>
          <w:szCs w:val="21"/>
          <w:lang w:val="en-GB" w:eastAsia="zh-CN"/>
        </w:rPr>
        <w:t>）</w:t>
      </w:r>
    </w:p>
    <w:p w14:paraId="2A5F3873">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4</w:t>
      </w:r>
      <w:r>
        <w:rPr>
          <w:rFonts w:hint="eastAsia" w:ascii="宋体" w:hAnsi="宋体" w:cs="Arial"/>
          <w:kern w:val="0"/>
          <w:szCs w:val="21"/>
          <w:lang w:val="en-GB" w:eastAsia="zh-CN"/>
        </w:rPr>
        <w:t>）</w:t>
      </w:r>
      <w:r>
        <w:rPr>
          <w:rFonts w:hint="eastAsia" w:ascii="宋体" w:hAnsi="宋体" w:cs="Arial"/>
          <w:kern w:val="0"/>
          <w:szCs w:val="21"/>
          <w:lang w:val="en-GB"/>
        </w:rPr>
        <w:t>《中山市水利建设领域工人工资支付分账管理实施细则》（中水〔2016〕75号）</w:t>
      </w:r>
    </w:p>
    <w:p w14:paraId="3729BE7D">
      <w:pPr>
        <w:spacing w:line="276" w:lineRule="auto"/>
        <w:ind w:left="709"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（5）《关于转发〈中山市建设工程劳务工资保证金管理实施细则〉的通知》（中水〔2018〕200号）、《关于建设工程领域农民工工资支付保证金管理办法》（粤人社规〔2019〕10号）</w:t>
      </w:r>
    </w:p>
    <w:p w14:paraId="4A0F5AA8">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6</w:t>
      </w:r>
      <w:r>
        <w:rPr>
          <w:rFonts w:hint="eastAsia" w:ascii="宋体" w:hAnsi="宋体" w:cs="Arial"/>
          <w:kern w:val="0"/>
          <w:szCs w:val="21"/>
          <w:lang w:val="en-GB" w:eastAsia="zh-CN"/>
        </w:rPr>
        <w:t>）</w:t>
      </w:r>
      <w:r>
        <w:rPr>
          <w:rFonts w:hint="eastAsia" w:ascii="宋体" w:hAnsi="宋体" w:cs="Arial"/>
          <w:kern w:val="0"/>
          <w:szCs w:val="21"/>
          <w:lang w:val="en-GB"/>
        </w:rPr>
        <w:t>《关于转发〈开展建设工程保证保险有关工作的通知〉的通知》中水〔2019〕3号</w:t>
      </w:r>
    </w:p>
    <w:p w14:paraId="5F8D4397">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7</w:t>
      </w:r>
      <w:r>
        <w:rPr>
          <w:rFonts w:hint="eastAsia" w:ascii="宋体" w:hAnsi="宋体" w:cs="Arial"/>
          <w:kern w:val="0"/>
          <w:szCs w:val="21"/>
          <w:lang w:val="en-GB" w:eastAsia="zh-CN"/>
        </w:rPr>
        <w:t>）</w:t>
      </w:r>
      <w:r>
        <w:rPr>
          <w:rFonts w:hint="eastAsia" w:ascii="宋体" w:hAnsi="宋体" w:cs="Arial"/>
          <w:kern w:val="0"/>
          <w:szCs w:val="21"/>
          <w:lang w:val="en-GB"/>
        </w:rPr>
        <w:t>《广东省建设工程领域用工实名管理暂行办法》（粤建规范〔2019〕1号）</w:t>
      </w:r>
    </w:p>
    <w:p w14:paraId="0C28F6F5">
      <w:pPr>
        <w:spacing w:line="276" w:lineRule="auto"/>
        <w:ind w:left="709" w:firstLine="420" w:firstLineChars="200"/>
        <w:rPr>
          <w:rFonts w:hint="eastAsia" w:ascii="宋体" w:hAnsi="宋体" w:cs="Arial"/>
          <w:kern w:val="0"/>
          <w:szCs w:val="21"/>
          <w:lang w:val="en-GB"/>
        </w:rPr>
      </w:pPr>
      <w:r>
        <w:rPr>
          <w:rFonts w:hint="eastAsia" w:ascii="宋体" w:hAnsi="宋体" w:cs="Arial"/>
          <w:kern w:val="0"/>
          <w:szCs w:val="21"/>
          <w:lang w:val="en-GB" w:eastAsia="zh-CN"/>
        </w:rPr>
        <w:t>（</w:t>
      </w:r>
      <w:r>
        <w:rPr>
          <w:rFonts w:hint="eastAsia" w:ascii="宋体" w:hAnsi="宋体" w:cs="Arial"/>
          <w:kern w:val="0"/>
          <w:szCs w:val="21"/>
          <w:lang w:val="en-US" w:eastAsia="zh-CN"/>
        </w:rPr>
        <w:t>8</w:t>
      </w:r>
      <w:r>
        <w:rPr>
          <w:rFonts w:hint="eastAsia" w:ascii="宋体" w:hAnsi="宋体" w:cs="Arial"/>
          <w:kern w:val="0"/>
          <w:szCs w:val="21"/>
          <w:lang w:val="en-GB" w:eastAsia="zh-CN"/>
        </w:rPr>
        <w:t>）</w:t>
      </w:r>
      <w:r>
        <w:rPr>
          <w:rFonts w:hint="eastAsia" w:ascii="宋体" w:hAnsi="宋体" w:cs="Arial"/>
          <w:kern w:val="0"/>
          <w:szCs w:val="21"/>
          <w:lang w:val="en-GB"/>
        </w:rPr>
        <w:t>《关于做好我省铁路、公路、水运、水利、能源、机场工程建设项目参加工伤保险工作的通知》（粤人社规《2018》15号）</w:t>
      </w:r>
    </w:p>
    <w:p w14:paraId="5E128F88">
      <w:pPr>
        <w:spacing w:line="276" w:lineRule="auto"/>
        <w:ind w:left="709" w:firstLine="420" w:firstLineChars="200"/>
        <w:rPr>
          <w:rFonts w:hint="eastAsia" w:ascii="宋体" w:hAnsi="宋体" w:eastAsia="宋体" w:cs="Arial"/>
          <w:kern w:val="0"/>
          <w:szCs w:val="21"/>
          <w:lang w:val="en-GB" w:eastAsia="zh-CN"/>
        </w:rPr>
      </w:pPr>
      <w:r>
        <w:rPr>
          <w:rFonts w:hint="eastAsia" w:ascii="宋体" w:hAnsi="宋体" w:eastAsia="宋体" w:cs="Arial"/>
          <w:kern w:val="0"/>
          <w:szCs w:val="21"/>
          <w:lang w:val="en-GB" w:eastAsia="zh-CN"/>
        </w:rPr>
        <w:t>（</w:t>
      </w:r>
      <w:r>
        <w:rPr>
          <w:rFonts w:hint="eastAsia" w:ascii="宋体" w:hAnsi="宋体" w:eastAsia="宋体" w:cs="Arial"/>
          <w:kern w:val="0"/>
          <w:szCs w:val="21"/>
          <w:lang w:val="en-US" w:eastAsia="zh-CN"/>
        </w:rPr>
        <w:t>9</w:t>
      </w:r>
      <w:r>
        <w:rPr>
          <w:rFonts w:hint="eastAsia" w:ascii="宋体" w:hAnsi="宋体" w:eastAsia="宋体" w:cs="Arial"/>
          <w:kern w:val="0"/>
          <w:szCs w:val="21"/>
          <w:lang w:val="en-GB" w:eastAsia="zh-CN"/>
        </w:rPr>
        <w:t>）根据国家税务总局《纳税人跨县（市、区）提供建筑服务增值税征收管理暂行办法》（国家税务总局公告2016年第17号）有关规定，如中标单位为外地建筑企业，应以收到的全部价款和价外费用扣除支付分包款后的余额，按规定预征率向我市税务机关预缴增值税以及城建税、教育费附加等附加税费。</w:t>
      </w:r>
    </w:p>
    <w:p w14:paraId="56E3BD0B">
      <w:pPr>
        <w:spacing w:line="276" w:lineRule="auto"/>
        <w:ind w:left="709" w:firstLine="420" w:firstLineChars="200"/>
        <w:rPr>
          <w:rFonts w:hint="eastAsia" w:ascii="宋体" w:hAnsi="宋体" w:eastAsia="宋体" w:cs="Arial"/>
          <w:kern w:val="0"/>
          <w:szCs w:val="21"/>
          <w:lang w:val="en-GB" w:eastAsia="zh-CN"/>
        </w:rPr>
      </w:pPr>
      <w:r>
        <w:rPr>
          <w:rFonts w:hint="eastAsia" w:ascii="宋体" w:hAnsi="宋体" w:eastAsia="宋体" w:cs="Arial"/>
          <w:kern w:val="0"/>
          <w:szCs w:val="21"/>
          <w:lang w:val="en-GB" w:eastAsia="zh-CN"/>
        </w:rPr>
        <w:t>（</w:t>
      </w:r>
      <w:r>
        <w:rPr>
          <w:rFonts w:hint="eastAsia" w:ascii="宋体" w:hAnsi="宋体" w:eastAsia="宋体" w:cs="Arial"/>
          <w:kern w:val="0"/>
          <w:szCs w:val="21"/>
          <w:lang w:val="en-US" w:eastAsia="zh-CN"/>
        </w:rPr>
        <w:t>10</w:t>
      </w:r>
      <w:r>
        <w:rPr>
          <w:rFonts w:hint="eastAsia" w:ascii="宋体" w:hAnsi="宋体" w:eastAsia="宋体" w:cs="Arial"/>
          <w:kern w:val="0"/>
          <w:szCs w:val="21"/>
          <w:lang w:val="en-GB" w:eastAsia="zh-CN"/>
        </w:rPr>
        <w:t>）施工单位在开工前须贯彻落实</w:t>
      </w:r>
      <w:r>
        <w:rPr>
          <w:rFonts w:hint="eastAsia" w:ascii="宋体" w:hAnsi="宋体" w:eastAsia="宋体" w:cs="Arial"/>
          <w:kern w:val="0"/>
          <w:szCs w:val="21"/>
          <w:lang w:val="en-US" w:eastAsia="zh-CN"/>
        </w:rPr>
        <w:t>《广东省应急管理厅 广东省地方金融监管局 中国银行保险监督管理委员会广东监管局关于印发〈广东省安全生产责任保险实施方案〉的通知》（粤应急规〔2021〕2号）、《中山市安全生产委员会办公室关于印发中山市安全生产责任保险实施方案的通知》（中安办〔2021〕77号）要求，按照</w:t>
      </w:r>
      <w:r>
        <w:rPr>
          <w:rFonts w:hint="eastAsia" w:ascii="宋体" w:hAnsi="宋体" w:eastAsia="宋体" w:cs="Arial"/>
          <w:kern w:val="0"/>
          <w:szCs w:val="21"/>
          <w:lang w:val="en-GB" w:eastAsia="zh-CN"/>
        </w:rPr>
        <w:t>责任限额投保安全生产责任保险，提高风险保障能力。投保安全生产责任保险的费用在安全生产费用中列支。</w:t>
      </w:r>
    </w:p>
    <w:p w14:paraId="74C4EAAC">
      <w:pPr>
        <w:rPr>
          <w:rFonts w:hint="eastAsia"/>
          <w:lang w:val="en-GB" w:eastAsia="zh-CN"/>
        </w:rPr>
      </w:pPr>
    </w:p>
    <w:p w14:paraId="73A7945B">
      <w:pPr>
        <w:spacing w:line="276" w:lineRule="auto"/>
        <w:ind w:left="1130" w:leftChars="337" w:hanging="422" w:hangingChars="200"/>
        <w:rPr>
          <w:rFonts w:hint="eastAsia" w:ascii="宋体" w:hAnsi="宋体" w:cs="Arial"/>
          <w:b/>
          <w:bCs/>
          <w:i w:val="0"/>
          <w:iCs w:val="0"/>
          <w:kern w:val="0"/>
          <w:szCs w:val="21"/>
          <w:lang w:eastAsia="zh-CN"/>
        </w:rPr>
      </w:pPr>
      <w:r>
        <w:rPr>
          <w:rFonts w:hint="eastAsia" w:ascii="宋体" w:hAnsi="宋体" w:cs="Arial"/>
          <w:b/>
          <w:bCs/>
          <w:i w:val="0"/>
          <w:iCs w:val="0"/>
          <w:kern w:val="0"/>
          <w:szCs w:val="21"/>
          <w:lang w:eastAsia="zh-CN"/>
        </w:rPr>
        <w:t>注：本细则中列明的违章行为，支付违约金累计</w:t>
      </w:r>
      <w:r>
        <w:rPr>
          <w:rFonts w:hint="eastAsia" w:ascii="宋体" w:hAnsi="宋体" w:cs="Arial"/>
          <w:b/>
          <w:bCs/>
          <w:i w:val="0"/>
          <w:iCs w:val="0"/>
          <w:kern w:val="0"/>
          <w:szCs w:val="21"/>
          <w:lang w:val="en-US" w:eastAsia="zh-CN"/>
        </w:rPr>
        <w:t>最高不超过合同价的5%。</w:t>
      </w:r>
    </w:p>
    <w:p w14:paraId="5CFBAF8E">
      <w:pPr>
        <w:pStyle w:val="20"/>
        <w:spacing w:line="420" w:lineRule="atLeast"/>
        <w:rPr>
          <w:rFonts w:ascii="Times New Roman" w:hAnsi="Times New Roman" w:eastAsia="微软雅黑"/>
          <w:color w:val="555555"/>
          <w:shd w:val="clear" w:color="auto" w:fill="FFFFFF"/>
        </w:rPr>
      </w:pPr>
      <w:r>
        <w:rPr>
          <w:rFonts w:ascii="Arial" w:hAnsi="Arial" w:cs="Times New Roman"/>
          <w:b/>
          <w:bCs/>
          <w:kern w:val="2"/>
          <w:sz w:val="21"/>
          <w:szCs w:val="28"/>
        </w:rPr>
        <w:br w:type="page"/>
      </w:r>
      <w:r>
        <w:rPr>
          <w:rFonts w:ascii="Times New Roman" w:hAnsi="Times New Roman" w:eastAsia="微软雅黑"/>
          <w:color w:val="555555"/>
          <w:shd w:val="clear" w:color="auto" w:fill="FFFFFF"/>
        </w:rPr>
        <w:t>表一</w:t>
      </w:r>
    </w:p>
    <w:p w14:paraId="7BA47EAC">
      <w:pPr>
        <w:pStyle w:val="20"/>
        <w:spacing w:line="420" w:lineRule="atLeast"/>
        <w:jc w:val="center"/>
        <w:rPr>
          <w:rStyle w:val="26"/>
          <w:rFonts w:ascii="Times New Roman" w:hAnsi="Times New Roman" w:eastAsia="微软雅黑"/>
          <w:b w:val="0"/>
          <w:color w:val="555555"/>
          <w:shd w:val="clear" w:color="auto" w:fill="FFFFFF"/>
        </w:rPr>
      </w:pPr>
      <w:r>
        <w:rPr>
          <w:rStyle w:val="26"/>
          <w:rFonts w:ascii="Times New Roman" w:hAnsi="Times New Roman" w:eastAsia="微软雅黑"/>
          <w:b w:val="0"/>
          <w:color w:val="555555"/>
          <w:shd w:val="clear" w:color="auto" w:fill="FFFFFF"/>
        </w:rPr>
        <w:t>安全文明措施费拨付申请表</w:t>
      </w:r>
    </w:p>
    <w:tbl>
      <w:tblPr>
        <w:tblStyle w:val="23"/>
        <w:tblpPr w:leftFromText="180" w:rightFromText="180" w:vertAnchor="text" w:horzAnchor="page" w:tblpX="1784" w:tblpY="71"/>
        <w:tblOverlap w:val="neve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71"/>
        <w:gridCol w:w="923"/>
        <w:gridCol w:w="514"/>
        <w:gridCol w:w="1262"/>
        <w:gridCol w:w="641"/>
        <w:gridCol w:w="350"/>
        <w:gridCol w:w="166"/>
        <w:gridCol w:w="1000"/>
        <w:gridCol w:w="222"/>
        <w:gridCol w:w="1567"/>
      </w:tblGrid>
      <w:tr w14:paraId="7373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blCellSpacing w:w="15" w:type="dxa"/>
        </w:trPr>
        <w:tc>
          <w:tcPr>
            <w:tcW w:w="1726" w:type="dxa"/>
            <w:noWrap w:val="0"/>
            <w:vAlign w:val="center"/>
          </w:tcPr>
          <w:p w14:paraId="351939F6">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施工单位</w:t>
            </w:r>
          </w:p>
        </w:tc>
        <w:tc>
          <w:tcPr>
            <w:tcW w:w="3310" w:type="dxa"/>
            <w:gridSpan w:val="4"/>
            <w:noWrap w:val="0"/>
            <w:vAlign w:val="center"/>
          </w:tcPr>
          <w:p w14:paraId="6B5984AF">
            <w:pPr>
              <w:widowControl/>
              <w:jc w:val="left"/>
              <w:rPr>
                <w:rFonts w:hint="eastAsia" w:ascii="宋体" w:hAnsi="宋体" w:cs="宋体"/>
                <w:color w:val="auto"/>
                <w:szCs w:val="21"/>
                <w:highlight w:val="none"/>
              </w:rPr>
            </w:pPr>
          </w:p>
        </w:tc>
        <w:tc>
          <w:tcPr>
            <w:tcW w:w="1486" w:type="dxa"/>
            <w:gridSpan w:val="3"/>
            <w:noWrap w:val="0"/>
            <w:vAlign w:val="center"/>
          </w:tcPr>
          <w:p w14:paraId="4F031580">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项目负责人</w:t>
            </w:r>
          </w:p>
        </w:tc>
        <w:tc>
          <w:tcPr>
            <w:tcW w:w="1744" w:type="dxa"/>
            <w:gridSpan w:val="2"/>
            <w:noWrap w:val="0"/>
            <w:vAlign w:val="center"/>
          </w:tcPr>
          <w:p w14:paraId="6FC7BF58">
            <w:pPr>
              <w:widowControl/>
              <w:jc w:val="left"/>
              <w:rPr>
                <w:rFonts w:hint="eastAsia" w:ascii="宋体" w:hAnsi="宋体" w:cs="宋体"/>
                <w:color w:val="auto"/>
                <w:szCs w:val="21"/>
                <w:highlight w:val="none"/>
              </w:rPr>
            </w:pPr>
          </w:p>
        </w:tc>
      </w:tr>
      <w:tr w14:paraId="5C3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2" w:hRule="atLeast"/>
          <w:tblCellSpacing w:w="15" w:type="dxa"/>
        </w:trPr>
        <w:tc>
          <w:tcPr>
            <w:tcW w:w="1726" w:type="dxa"/>
            <w:noWrap w:val="0"/>
            <w:vAlign w:val="center"/>
          </w:tcPr>
          <w:p w14:paraId="1D9D8F41">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工程名称</w:t>
            </w:r>
          </w:p>
        </w:tc>
        <w:tc>
          <w:tcPr>
            <w:tcW w:w="6600" w:type="dxa"/>
            <w:gridSpan w:val="9"/>
            <w:noWrap w:val="0"/>
            <w:vAlign w:val="center"/>
          </w:tcPr>
          <w:p w14:paraId="5C0E43D3">
            <w:pPr>
              <w:widowControl/>
              <w:jc w:val="left"/>
              <w:rPr>
                <w:rFonts w:hint="eastAsia" w:ascii="宋体" w:hAnsi="宋体" w:cs="宋体"/>
                <w:color w:val="auto"/>
                <w:szCs w:val="21"/>
                <w:highlight w:val="none"/>
              </w:rPr>
            </w:pPr>
          </w:p>
        </w:tc>
      </w:tr>
      <w:tr w14:paraId="33BF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atLeast"/>
          <w:tblCellSpacing w:w="15" w:type="dxa"/>
        </w:trPr>
        <w:tc>
          <w:tcPr>
            <w:tcW w:w="1726" w:type="dxa"/>
            <w:noWrap w:val="0"/>
            <w:vAlign w:val="center"/>
          </w:tcPr>
          <w:p w14:paraId="6E0A7DD7">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安全措施费用合同金额（元）</w:t>
            </w:r>
          </w:p>
        </w:tc>
        <w:tc>
          <w:tcPr>
            <w:tcW w:w="1407" w:type="dxa"/>
            <w:gridSpan w:val="2"/>
            <w:noWrap w:val="0"/>
            <w:vAlign w:val="center"/>
          </w:tcPr>
          <w:p w14:paraId="7DA7DAE4">
            <w:pPr>
              <w:widowControl/>
              <w:jc w:val="left"/>
              <w:rPr>
                <w:rFonts w:hint="eastAsia" w:ascii="宋体" w:hAnsi="宋体" w:cs="宋体"/>
                <w:color w:val="auto"/>
                <w:szCs w:val="21"/>
                <w:highlight w:val="none"/>
              </w:rPr>
            </w:pPr>
          </w:p>
        </w:tc>
        <w:tc>
          <w:tcPr>
            <w:tcW w:w="1232" w:type="dxa"/>
            <w:noWrap w:val="0"/>
            <w:vAlign w:val="center"/>
          </w:tcPr>
          <w:p w14:paraId="029F1937">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已收金额</w:t>
            </w:r>
          </w:p>
          <w:p w14:paraId="72EC15EF">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（元）</w:t>
            </w:r>
          </w:p>
        </w:tc>
        <w:tc>
          <w:tcPr>
            <w:tcW w:w="1127" w:type="dxa"/>
            <w:gridSpan w:val="3"/>
            <w:noWrap w:val="0"/>
            <w:vAlign w:val="center"/>
          </w:tcPr>
          <w:p w14:paraId="72C13930">
            <w:pPr>
              <w:widowControl/>
              <w:jc w:val="left"/>
              <w:rPr>
                <w:rFonts w:hint="eastAsia" w:ascii="宋体" w:hAnsi="宋体" w:cs="宋体"/>
                <w:color w:val="auto"/>
                <w:szCs w:val="21"/>
                <w:highlight w:val="none"/>
              </w:rPr>
            </w:pPr>
          </w:p>
        </w:tc>
        <w:tc>
          <w:tcPr>
            <w:tcW w:w="1192" w:type="dxa"/>
            <w:gridSpan w:val="2"/>
            <w:noWrap w:val="0"/>
            <w:vAlign w:val="center"/>
          </w:tcPr>
          <w:p w14:paraId="42B32A59">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已拨金额</w:t>
            </w:r>
          </w:p>
          <w:p w14:paraId="7A9EB737">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（元）</w:t>
            </w:r>
          </w:p>
        </w:tc>
        <w:tc>
          <w:tcPr>
            <w:tcW w:w="1522" w:type="dxa"/>
            <w:noWrap w:val="0"/>
            <w:vAlign w:val="center"/>
          </w:tcPr>
          <w:p w14:paraId="28E14C9A">
            <w:pPr>
              <w:widowControl/>
              <w:jc w:val="left"/>
              <w:rPr>
                <w:rFonts w:hint="eastAsia" w:ascii="宋体" w:hAnsi="宋体" w:cs="宋体"/>
                <w:color w:val="auto"/>
                <w:szCs w:val="21"/>
                <w:highlight w:val="none"/>
              </w:rPr>
            </w:pPr>
          </w:p>
        </w:tc>
      </w:tr>
      <w:tr w14:paraId="02B5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7" w:hRule="atLeast"/>
          <w:tblCellSpacing w:w="15" w:type="dxa"/>
        </w:trPr>
        <w:tc>
          <w:tcPr>
            <w:tcW w:w="1726" w:type="dxa"/>
            <w:noWrap w:val="0"/>
            <w:vAlign w:val="center"/>
          </w:tcPr>
          <w:p w14:paraId="6071FD9C">
            <w:pPr>
              <w:pStyle w:val="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申请拨付金额（元）</w:t>
            </w:r>
          </w:p>
        </w:tc>
        <w:tc>
          <w:tcPr>
            <w:tcW w:w="6600" w:type="dxa"/>
            <w:gridSpan w:val="9"/>
            <w:noWrap w:val="0"/>
            <w:vAlign w:val="center"/>
          </w:tcPr>
          <w:p w14:paraId="1C59400C">
            <w:pPr>
              <w:widowControl/>
              <w:jc w:val="left"/>
              <w:rPr>
                <w:rFonts w:hint="eastAsia" w:ascii="宋体" w:hAnsi="宋体" w:cs="宋体"/>
                <w:color w:val="auto"/>
                <w:szCs w:val="21"/>
                <w:highlight w:val="none"/>
              </w:rPr>
            </w:pPr>
          </w:p>
        </w:tc>
      </w:tr>
      <w:tr w14:paraId="627D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3" w:hRule="atLeast"/>
          <w:tblCellSpacing w:w="15" w:type="dxa"/>
        </w:trPr>
        <w:tc>
          <w:tcPr>
            <w:tcW w:w="8356" w:type="dxa"/>
            <w:gridSpan w:val="10"/>
            <w:noWrap w:val="0"/>
            <w:vAlign w:val="center"/>
          </w:tcPr>
          <w:p w14:paraId="064ED2A8">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申请拨付安全措施主要项目清单：</w:t>
            </w:r>
          </w:p>
          <w:p w14:paraId="433CB56B">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附：相关佐证材料（主要包括购置发票、现场照片、费用计算依据、相关单位签证等）</w:t>
            </w:r>
          </w:p>
        </w:tc>
      </w:tr>
      <w:tr w14:paraId="3F9B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54" w:hRule="atLeast"/>
          <w:tblCellSpacing w:w="15" w:type="dxa"/>
        </w:trPr>
        <w:tc>
          <w:tcPr>
            <w:tcW w:w="2649" w:type="dxa"/>
            <w:gridSpan w:val="2"/>
            <w:noWrap w:val="0"/>
            <w:vAlign w:val="center"/>
          </w:tcPr>
          <w:p w14:paraId="60823582">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施工单位意见：</w:t>
            </w:r>
          </w:p>
          <w:p w14:paraId="52506138">
            <w:pPr>
              <w:pStyle w:val="20"/>
              <w:rPr>
                <w:rFonts w:hint="eastAsia" w:ascii="宋体" w:hAnsi="宋体" w:cs="宋体"/>
                <w:color w:val="auto"/>
                <w:sz w:val="21"/>
                <w:szCs w:val="21"/>
                <w:highlight w:val="none"/>
              </w:rPr>
            </w:pPr>
          </w:p>
          <w:p w14:paraId="7C0217F7">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签章：</w:t>
            </w:r>
          </w:p>
          <w:p w14:paraId="213D85F8">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03B835EC">
            <w:pPr>
              <w:pStyle w:val="20"/>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年    月    日</w:t>
            </w:r>
          </w:p>
        </w:tc>
        <w:tc>
          <w:tcPr>
            <w:tcW w:w="2737" w:type="dxa"/>
            <w:gridSpan w:val="4"/>
            <w:noWrap w:val="0"/>
            <w:vAlign w:val="center"/>
          </w:tcPr>
          <w:p w14:paraId="6A314A54">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监理单位意见：</w:t>
            </w:r>
          </w:p>
          <w:p w14:paraId="5C9F7B19">
            <w:pPr>
              <w:pStyle w:val="20"/>
              <w:rPr>
                <w:rFonts w:hint="eastAsia" w:ascii="宋体" w:hAnsi="宋体" w:cs="宋体"/>
                <w:color w:val="auto"/>
                <w:sz w:val="21"/>
                <w:szCs w:val="21"/>
                <w:highlight w:val="none"/>
              </w:rPr>
            </w:pPr>
          </w:p>
          <w:p w14:paraId="5C56F671">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签章：</w:t>
            </w:r>
          </w:p>
          <w:p w14:paraId="13D4B172">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12E1D135">
            <w:pPr>
              <w:pStyle w:val="20"/>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年    月    日</w:t>
            </w:r>
          </w:p>
        </w:tc>
        <w:tc>
          <w:tcPr>
            <w:tcW w:w="2910" w:type="dxa"/>
            <w:gridSpan w:val="4"/>
            <w:noWrap w:val="0"/>
            <w:vAlign w:val="center"/>
          </w:tcPr>
          <w:p w14:paraId="3C98BB15">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项目法人意见：</w:t>
            </w:r>
          </w:p>
          <w:p w14:paraId="515FECBB">
            <w:pPr>
              <w:pStyle w:val="20"/>
              <w:rPr>
                <w:rFonts w:hint="eastAsia" w:ascii="宋体" w:hAnsi="宋体" w:cs="宋体"/>
                <w:color w:val="auto"/>
                <w:sz w:val="21"/>
                <w:szCs w:val="21"/>
                <w:highlight w:val="none"/>
              </w:rPr>
            </w:pPr>
          </w:p>
          <w:p w14:paraId="69C744B5">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签章：</w:t>
            </w:r>
          </w:p>
          <w:p w14:paraId="1C149287">
            <w:pPr>
              <w:pStyle w:val="2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3D176CD9">
            <w:pPr>
              <w:pStyle w:val="20"/>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年    月    日</w:t>
            </w:r>
          </w:p>
        </w:tc>
      </w:tr>
    </w:tbl>
    <w:p w14:paraId="6A52BD30">
      <w:pPr>
        <w:rPr>
          <w:rFonts w:ascii="Times New Roman" w:hAnsi="Times New Roman" w:eastAsia="微软雅黑"/>
          <w:color w:val="555555"/>
          <w:shd w:val="clear" w:color="auto" w:fill="FFFFFF"/>
        </w:rPr>
      </w:pPr>
      <w:r>
        <w:rPr>
          <w:rFonts w:ascii="Times New Roman" w:hAnsi="Times New Roman" w:eastAsia="微软雅黑"/>
          <w:color w:val="555555"/>
          <w:shd w:val="clear" w:color="auto" w:fill="FFFFFF"/>
        </w:rPr>
        <w:br w:type="page"/>
      </w:r>
    </w:p>
    <w:p w14:paraId="2037267F">
      <w:pPr>
        <w:pStyle w:val="20"/>
        <w:spacing w:before="300" w:after="750" w:line="420" w:lineRule="atLeast"/>
        <w:rPr>
          <w:rFonts w:ascii="Times New Roman" w:hAnsi="Times New Roman" w:eastAsia="微软雅黑"/>
          <w:color w:val="555555"/>
          <w:shd w:val="clear" w:color="auto" w:fill="FFFFFF"/>
        </w:rPr>
      </w:pPr>
    </w:p>
    <w:p w14:paraId="226A2068">
      <w:pPr>
        <w:pStyle w:val="20"/>
        <w:spacing w:line="420" w:lineRule="atLeast"/>
        <w:rPr>
          <w:rFonts w:ascii="Times New Roman" w:hAnsi="Times New Roman" w:eastAsia="微软雅黑"/>
          <w:color w:val="555555"/>
          <w:shd w:val="clear" w:color="auto" w:fill="FFFFFF"/>
        </w:rPr>
      </w:pPr>
      <w:r>
        <w:rPr>
          <w:rFonts w:ascii="Times New Roman" w:hAnsi="Times New Roman" w:eastAsia="微软雅黑"/>
          <w:color w:val="555555"/>
          <w:shd w:val="clear" w:color="auto" w:fill="FFFFFF"/>
        </w:rPr>
        <w:t>表二</w:t>
      </w:r>
    </w:p>
    <w:p w14:paraId="17E8D178">
      <w:pPr>
        <w:pStyle w:val="20"/>
        <w:spacing w:line="240" w:lineRule="atLeast"/>
        <w:jc w:val="center"/>
        <w:rPr>
          <w:rFonts w:ascii="Times New Roman" w:hAnsi="Times New Roman" w:eastAsia="微软雅黑"/>
          <w:color w:val="555555"/>
          <w:shd w:val="clear" w:color="auto" w:fill="FFFFFF"/>
        </w:rPr>
      </w:pPr>
      <w:r>
        <w:rPr>
          <w:rStyle w:val="26"/>
          <w:rFonts w:ascii="Times New Roman" w:hAnsi="Times New Roman" w:eastAsia="微软雅黑"/>
          <w:b w:val="0"/>
          <w:color w:val="555555"/>
          <w:shd w:val="clear" w:color="auto" w:fill="FFFFFF"/>
        </w:rPr>
        <w:t>水利建设工程安全文明施工措施项目清单</w:t>
      </w:r>
    </w:p>
    <w:tbl>
      <w:tblPr>
        <w:tblStyle w:val="23"/>
        <w:tblW w:w="0" w:type="auto"/>
        <w:tblCellSpacing w:w="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740"/>
        <w:gridCol w:w="695"/>
        <w:gridCol w:w="5858"/>
        <w:gridCol w:w="1770"/>
      </w:tblGrid>
      <w:tr w14:paraId="285D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noWrap w:val="0"/>
            <w:vAlign w:val="top"/>
          </w:tcPr>
          <w:p w14:paraId="679129E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类别</w:t>
            </w:r>
          </w:p>
        </w:tc>
        <w:tc>
          <w:tcPr>
            <w:tcW w:w="1405" w:type="dxa"/>
            <w:gridSpan w:val="2"/>
            <w:noWrap w:val="0"/>
            <w:vAlign w:val="top"/>
          </w:tcPr>
          <w:p w14:paraId="0C2A821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5828" w:type="dxa"/>
            <w:tcBorders>
              <w:right w:val="single" w:color="auto" w:sz="4" w:space="0"/>
            </w:tcBorders>
            <w:noWrap w:val="0"/>
            <w:vAlign w:val="top"/>
          </w:tcPr>
          <w:p w14:paraId="3D6A2DE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具体要求</w:t>
            </w:r>
          </w:p>
        </w:tc>
        <w:tc>
          <w:tcPr>
            <w:tcW w:w="1725" w:type="dxa"/>
            <w:tcBorders>
              <w:left w:val="single" w:color="auto" w:sz="4" w:space="0"/>
            </w:tcBorders>
            <w:noWrap w:val="0"/>
            <w:vAlign w:val="top"/>
          </w:tcPr>
          <w:p w14:paraId="4A04814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申报佐证材料</w:t>
            </w:r>
          </w:p>
          <w:p w14:paraId="5CE8C80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（包括但不限于）</w:t>
            </w:r>
          </w:p>
        </w:tc>
      </w:tr>
      <w:tr w14:paraId="508E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restart"/>
            <w:noWrap w:val="0"/>
            <w:vAlign w:val="center"/>
          </w:tcPr>
          <w:p w14:paraId="5E6500F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文明施工与环境卫生</w:t>
            </w:r>
          </w:p>
        </w:tc>
        <w:tc>
          <w:tcPr>
            <w:tcW w:w="1405" w:type="dxa"/>
            <w:gridSpan w:val="2"/>
            <w:noWrap w:val="0"/>
            <w:vAlign w:val="center"/>
          </w:tcPr>
          <w:p w14:paraId="2DCBF77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施工围挡</w:t>
            </w:r>
          </w:p>
        </w:tc>
        <w:tc>
          <w:tcPr>
            <w:tcW w:w="5828" w:type="dxa"/>
            <w:tcBorders>
              <w:right w:val="single" w:color="auto" w:sz="4" w:space="0"/>
            </w:tcBorders>
            <w:noWrap w:val="0"/>
            <w:vAlign w:val="top"/>
          </w:tcPr>
          <w:p w14:paraId="7C31AFC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施工区域应用围挡与外界隔离，围挡应结实、牢固，并符合以下要求：</w:t>
            </w:r>
          </w:p>
          <w:p w14:paraId="2E0DCF8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临近人员密集区、市政主要路段工程及泵站、水闸等点状工程：围挡高度不低于2.5米；围挡材料采用砌体、装配式彩钢夹芯板或抗风能力较好的钢结构冲孔围挡，围挡的墙面应进行公益宣传；冲孔围挡基础采用300*300*500砼预制块或500*300混凝土基础。</w:t>
            </w:r>
          </w:p>
          <w:p w14:paraId="1694050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（2）堤防、河道等线状工程：围挡高度不低于2.0米，可采用上述围挡材料，也可根据实际情况采用绿篱钢丝网、彩钢瓦、钢管、路栏或注水式移动围挡，围挡的墙面应进行适当的公益宣传。</w:t>
            </w:r>
          </w:p>
          <w:p w14:paraId="6D91D93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（3）围挡设置应连续、封闭设置，也可按工程进度分段设置，特殊情况不能围挡，在工程险要处设置隔离措施，设置安全警示标识。</w:t>
            </w:r>
          </w:p>
          <w:p w14:paraId="4D0B243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（4）围挡应定期维护，破旧围挡应及时更换。</w:t>
            </w:r>
          </w:p>
        </w:tc>
        <w:tc>
          <w:tcPr>
            <w:tcW w:w="1725" w:type="dxa"/>
            <w:tcBorders>
              <w:left w:val="single" w:color="auto" w:sz="4" w:space="0"/>
            </w:tcBorders>
            <w:noWrap w:val="0"/>
            <w:vAlign w:val="top"/>
          </w:tcPr>
          <w:p w14:paraId="2AEED67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1、材料购置发票</w:t>
            </w:r>
          </w:p>
          <w:p w14:paraId="3F6DD00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2、安装费用构成及依据</w:t>
            </w:r>
          </w:p>
          <w:p w14:paraId="7BA0847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3、现场照片</w:t>
            </w:r>
          </w:p>
          <w:p w14:paraId="3E4F986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4、参建单位签证</w:t>
            </w:r>
          </w:p>
        </w:tc>
      </w:tr>
      <w:tr w14:paraId="3A2C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2FF33B8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62CD007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进出口大门</w:t>
            </w:r>
          </w:p>
        </w:tc>
        <w:tc>
          <w:tcPr>
            <w:tcW w:w="5828" w:type="dxa"/>
            <w:tcBorders>
              <w:right w:val="single" w:color="auto" w:sz="4" w:space="0"/>
            </w:tcBorders>
            <w:noWrap w:val="0"/>
            <w:vAlign w:val="top"/>
          </w:tcPr>
          <w:p w14:paraId="70AA406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施工现场进出口应当设置大门，大门设置应结实、牢固，大门应标有本企业名称或企业标识。</w:t>
            </w:r>
          </w:p>
        </w:tc>
        <w:tc>
          <w:tcPr>
            <w:tcW w:w="1725" w:type="dxa"/>
            <w:tcBorders>
              <w:left w:val="single" w:color="auto" w:sz="4" w:space="0"/>
            </w:tcBorders>
            <w:noWrap w:val="0"/>
            <w:vAlign w:val="top"/>
          </w:tcPr>
          <w:p w14:paraId="46E8721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3823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D8BF33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3A34A21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五牌一图及其它公示牌</w:t>
            </w:r>
          </w:p>
        </w:tc>
        <w:tc>
          <w:tcPr>
            <w:tcW w:w="5828" w:type="dxa"/>
            <w:tcBorders>
              <w:right w:val="single" w:color="auto" w:sz="4" w:space="0"/>
            </w:tcBorders>
            <w:noWrap w:val="0"/>
            <w:vAlign w:val="top"/>
          </w:tcPr>
          <w:p w14:paraId="6BF0041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在进门处悬挂工程概况牌、管理人员名单及监督电话牌、安全生产牌、文明施工牌、消防保卫牌等五牌一图，并设置重大危险源公示牌、质量终身制公示牌等；标牌内容齐全，格式规范、整齐。</w:t>
            </w:r>
          </w:p>
        </w:tc>
        <w:tc>
          <w:tcPr>
            <w:tcW w:w="1725" w:type="dxa"/>
            <w:tcBorders>
              <w:left w:val="single" w:color="auto" w:sz="4" w:space="0"/>
            </w:tcBorders>
            <w:noWrap w:val="0"/>
            <w:vAlign w:val="top"/>
          </w:tcPr>
          <w:p w14:paraId="309C9A3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5C3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6EE59D6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3EA4884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w:t>
            </w:r>
          </w:p>
        </w:tc>
        <w:tc>
          <w:tcPr>
            <w:tcW w:w="5828" w:type="dxa"/>
            <w:tcBorders>
              <w:right w:val="single" w:color="auto" w:sz="4" w:space="0"/>
            </w:tcBorders>
            <w:noWrap w:val="0"/>
            <w:vAlign w:val="top"/>
          </w:tcPr>
          <w:p w14:paraId="6642C81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（1）临近人员密集区、市政主要路段及泵站、水闸等点状工程施工现场主要道路必须进行砼硬化处理；</w:t>
            </w:r>
          </w:p>
          <w:p w14:paraId="06A0781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（2）加工区、材料堆放区地面必须进行砼硬化处理；加工区应设置防护棚；</w:t>
            </w:r>
          </w:p>
          <w:p w14:paraId="0D8B9EF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（3）施工场地应设置排水设施，保持场地干爽、无积水；</w:t>
            </w:r>
          </w:p>
          <w:p w14:paraId="440192B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进、出场土方累计超过5000立方米的工程项目，施工区域主要出口处应设置洗车池（或洗车台）和高压冲洗设施（地面应硬化，四周设置排水沟和沉淀池），其余项目必须设置高压冲洗设施；配备人员专职负责对出入工地的车辆进行冲洗工作。</w:t>
            </w:r>
          </w:p>
          <w:p w14:paraId="43A8099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（5）裸露的场地和集中堆放的土方应采取覆盖、固化或做好水土保持和绿化等措施；</w:t>
            </w:r>
          </w:p>
          <w:p w14:paraId="3FB66CB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（6）扬尘较大的施工区域、场内运输道路两侧以及邻近居民区、主干道路的围挡位置应设施喷淋系统。</w:t>
            </w:r>
          </w:p>
        </w:tc>
        <w:tc>
          <w:tcPr>
            <w:tcW w:w="1725" w:type="dxa"/>
            <w:tcBorders>
              <w:left w:val="single" w:color="auto" w:sz="4" w:space="0"/>
            </w:tcBorders>
            <w:noWrap w:val="0"/>
            <w:vAlign w:val="top"/>
          </w:tcPr>
          <w:p w14:paraId="49EA41C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3D88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24244BA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107310D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安全警示标志牌和安全标语</w:t>
            </w:r>
          </w:p>
        </w:tc>
        <w:tc>
          <w:tcPr>
            <w:tcW w:w="5828" w:type="dxa"/>
            <w:tcBorders>
              <w:right w:val="single" w:color="auto" w:sz="4" w:space="0"/>
            </w:tcBorders>
            <w:noWrap w:val="0"/>
            <w:vAlign w:val="top"/>
          </w:tcPr>
          <w:p w14:paraId="5D6C4AC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（1）在施工区域主要进出口处应设有明显的施工警示标志牌。</w:t>
            </w:r>
          </w:p>
          <w:p w14:paraId="1113C7C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（2）在施工现场的井、洞、坑、沟、口、临水、临空、临边及其它易发伤亡事故（或危险）处设置明显的、符合国家标准要求的安全警示标志牌。</w:t>
            </w:r>
          </w:p>
          <w:p w14:paraId="136475C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（3）施工区和生活区应张挂安全生产宣传横幅，且总数不少于4副。</w:t>
            </w:r>
          </w:p>
          <w:p w14:paraId="4A999D1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（4）破旧的警示标牌、标语应及时更换。</w:t>
            </w:r>
          </w:p>
        </w:tc>
        <w:tc>
          <w:tcPr>
            <w:tcW w:w="1725" w:type="dxa"/>
            <w:tcBorders>
              <w:left w:val="single" w:color="auto" w:sz="4" w:space="0"/>
            </w:tcBorders>
            <w:noWrap w:val="0"/>
            <w:vAlign w:val="top"/>
          </w:tcPr>
          <w:p w14:paraId="31A856C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435E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7AD44D7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7618DB9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材料堆放</w:t>
            </w:r>
          </w:p>
        </w:tc>
        <w:tc>
          <w:tcPr>
            <w:tcW w:w="5828" w:type="dxa"/>
            <w:tcBorders>
              <w:right w:val="single" w:color="auto" w:sz="4" w:space="0"/>
            </w:tcBorders>
            <w:noWrap w:val="0"/>
            <w:vAlign w:val="top"/>
          </w:tcPr>
          <w:p w14:paraId="2D770EC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（1）材料堆放区应硬底化。</w:t>
            </w:r>
          </w:p>
          <w:p w14:paraId="245AE02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（2）设备、原材料、半成品、成品等材料堆放整齐，分类堆放；现场悬挂有名称、品种、规格等标牌；</w:t>
            </w:r>
          </w:p>
          <w:p w14:paraId="763F7C2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（3）材料堆放区应放置消防器具，设置防锈蚀、防雨等覆盖设施。</w:t>
            </w:r>
          </w:p>
          <w:p w14:paraId="282ACDE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（4）水泥和其他易飞扬细颗粒建筑材料应密闭存放或采取覆盖等措施控制扬尘；</w:t>
            </w:r>
          </w:p>
          <w:p w14:paraId="7FFA615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（5）易燃、易爆和有毒有害物品应分类单独存放，设置防护和应急救援设施。</w:t>
            </w:r>
          </w:p>
        </w:tc>
        <w:tc>
          <w:tcPr>
            <w:tcW w:w="1725" w:type="dxa"/>
            <w:tcBorders>
              <w:left w:val="single" w:color="auto" w:sz="4" w:space="0"/>
            </w:tcBorders>
            <w:noWrap w:val="0"/>
            <w:vAlign w:val="top"/>
          </w:tcPr>
          <w:p w14:paraId="36DB6EF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2E44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2AEEA1B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22CD21F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现场防火</w:t>
            </w:r>
          </w:p>
        </w:tc>
        <w:tc>
          <w:tcPr>
            <w:tcW w:w="5828" w:type="dxa"/>
            <w:tcBorders>
              <w:right w:val="single" w:color="auto" w:sz="4" w:space="0"/>
            </w:tcBorders>
            <w:noWrap w:val="0"/>
            <w:vAlign w:val="top"/>
          </w:tcPr>
          <w:p w14:paraId="2FB24A4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办公区、生活区、仓库、施工区等应配置合理的消防器材，符合消防要求。</w:t>
            </w:r>
          </w:p>
        </w:tc>
        <w:tc>
          <w:tcPr>
            <w:tcW w:w="1725" w:type="dxa"/>
            <w:tcBorders>
              <w:left w:val="single" w:color="auto" w:sz="4" w:space="0"/>
            </w:tcBorders>
            <w:noWrap w:val="0"/>
            <w:vAlign w:val="top"/>
          </w:tcPr>
          <w:p w14:paraId="5B3BDE0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1A17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AF1485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51A21F4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环境卫生</w:t>
            </w:r>
          </w:p>
        </w:tc>
        <w:tc>
          <w:tcPr>
            <w:tcW w:w="5828" w:type="dxa"/>
            <w:tcBorders>
              <w:right w:val="single" w:color="auto" w:sz="4" w:space="0"/>
            </w:tcBorders>
            <w:noWrap w:val="0"/>
            <w:vAlign w:val="top"/>
          </w:tcPr>
          <w:p w14:paraId="5180834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（1）办公区、生活区应配置足够的密闭式垃圾桶收集生活垃圾；</w:t>
            </w:r>
          </w:p>
          <w:p w14:paraId="4310A8C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（2）安排专人打扫办公区、生活区等公共区域卫生，每天收集并清走生活垃圾。</w:t>
            </w:r>
          </w:p>
        </w:tc>
        <w:tc>
          <w:tcPr>
            <w:tcW w:w="1725" w:type="dxa"/>
            <w:tcBorders>
              <w:left w:val="single" w:color="auto" w:sz="4" w:space="0"/>
            </w:tcBorders>
            <w:noWrap w:val="0"/>
            <w:vAlign w:val="top"/>
          </w:tcPr>
          <w:p w14:paraId="0DBBB03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3094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6672F6A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77718C8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现场办公生活设施</w:t>
            </w:r>
          </w:p>
        </w:tc>
        <w:tc>
          <w:tcPr>
            <w:tcW w:w="5828" w:type="dxa"/>
            <w:tcBorders>
              <w:right w:val="single" w:color="auto" w:sz="4" w:space="0"/>
            </w:tcBorders>
            <w:noWrap w:val="0"/>
            <w:vAlign w:val="top"/>
          </w:tcPr>
          <w:p w14:paraId="3CA83DF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（1）办公区、生活区与作业区、厨房、仓库之间划分清晰，有相应的隔离措施并保持安全距离；板房搭设材料应符合A级防火等级；办公区、生活区地面除绿化带外，应硬化。</w:t>
            </w:r>
          </w:p>
          <w:p w14:paraId="44B9552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（2）办公区和生活区临时板房搭设面积或租用民房面积应不少于中介预算的总面积，且会议室应足够宽敞、面积应满足召开工程会议的要求；</w:t>
            </w:r>
          </w:p>
          <w:p w14:paraId="238075C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（3）办公区、生活区应设置安全生产宣传教育栏；</w:t>
            </w:r>
          </w:p>
          <w:p w14:paraId="1DF6A4F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（4）工地办公室、宿舍、食堂、厕所、饮水设施、休息场所等符合卫生和安全要求。</w:t>
            </w:r>
          </w:p>
        </w:tc>
        <w:tc>
          <w:tcPr>
            <w:tcW w:w="1725" w:type="dxa"/>
            <w:tcBorders>
              <w:left w:val="single" w:color="auto" w:sz="4" w:space="0"/>
            </w:tcBorders>
            <w:noWrap w:val="0"/>
            <w:vAlign w:val="top"/>
          </w:tcPr>
          <w:p w14:paraId="4405687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4C4C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restart"/>
            <w:noWrap w:val="0"/>
            <w:vAlign w:val="center"/>
          </w:tcPr>
          <w:p w14:paraId="7B529D9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临时设施</w:t>
            </w:r>
          </w:p>
        </w:tc>
        <w:tc>
          <w:tcPr>
            <w:tcW w:w="710" w:type="dxa"/>
            <w:vMerge w:val="restart"/>
            <w:noWrap w:val="0"/>
            <w:vAlign w:val="center"/>
          </w:tcPr>
          <w:p w14:paraId="6345D99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施工现场临时用电</w:t>
            </w:r>
          </w:p>
        </w:tc>
        <w:tc>
          <w:tcPr>
            <w:tcW w:w="665" w:type="dxa"/>
            <w:noWrap w:val="0"/>
            <w:vAlign w:val="center"/>
          </w:tcPr>
          <w:p w14:paraId="54D8258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配电线路</w:t>
            </w:r>
          </w:p>
        </w:tc>
        <w:tc>
          <w:tcPr>
            <w:tcW w:w="5828" w:type="dxa"/>
            <w:tcBorders>
              <w:right w:val="single" w:color="auto" w:sz="4" w:space="0"/>
            </w:tcBorders>
            <w:noWrap w:val="0"/>
            <w:vAlign w:val="top"/>
          </w:tcPr>
          <w:p w14:paraId="5A517AE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（1）按照TN-S系统要求配备五芯电缆、四芯电缆和三芯电缆；</w:t>
            </w:r>
          </w:p>
          <w:p w14:paraId="7092FB5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电缆干线应采用架空或埋地敷设；架空线应设在专业电杆上或沿墙布置，严禁架设在树木、脚手架上，架空线路与邻近线路或设施保持安全距离；电缆埋地敷设深度应不小于0.6m，上下铺设不小于0.3m厚的细砂保护层或设置电缆沟，严禁沿地面明设，穿越道路或易受机械损伤的场所时必须加设防护套管。</w:t>
            </w:r>
          </w:p>
          <w:p w14:paraId="0CD3212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（3）对靠近施工现场的外电线路，设置木质、塑料等绝缘体的防护棚。</w:t>
            </w:r>
          </w:p>
        </w:tc>
        <w:tc>
          <w:tcPr>
            <w:tcW w:w="1725" w:type="dxa"/>
            <w:tcBorders>
              <w:left w:val="single" w:color="auto" w:sz="4" w:space="0"/>
            </w:tcBorders>
            <w:noWrap w:val="0"/>
            <w:vAlign w:val="top"/>
          </w:tcPr>
          <w:p w14:paraId="7866B90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484C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38FA68E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3BF27AF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28DB37B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配电箱</w:t>
            </w:r>
          </w:p>
          <w:p w14:paraId="5928CC0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开关箱</w:t>
            </w:r>
          </w:p>
        </w:tc>
        <w:tc>
          <w:tcPr>
            <w:tcW w:w="5828" w:type="dxa"/>
            <w:tcBorders>
              <w:right w:val="single" w:color="auto" w:sz="4" w:space="0"/>
            </w:tcBorders>
            <w:noWrap w:val="0"/>
            <w:vAlign w:val="top"/>
          </w:tcPr>
          <w:p w14:paraId="582A1F4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按“三级配电”要求，配备符合防雨、防尘要求的总配电箱、分配电箱、开关箱三类标准电箱；开关箱应符合“一机、一箱、一闸、一漏”的配电原则，且开关箱距离用电设备水平距离不宜超过3米；三类电箱中的各类电器应是合格品。</w:t>
            </w:r>
          </w:p>
          <w:p w14:paraId="493451F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（2）按“两级保护”的要求，选取符合容量要求和质量合格的总配电箱和开关箱中的漏电保护器。</w:t>
            </w:r>
          </w:p>
          <w:p w14:paraId="5A115E8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（3）配电箱、开关箱内的工作零线应通过接线端子板连接，并应与保护零线接线端子板分设。</w:t>
            </w:r>
          </w:p>
        </w:tc>
        <w:tc>
          <w:tcPr>
            <w:tcW w:w="1725" w:type="dxa"/>
            <w:tcBorders>
              <w:left w:val="single" w:color="auto" w:sz="4" w:space="0"/>
            </w:tcBorders>
            <w:noWrap w:val="0"/>
            <w:vAlign w:val="top"/>
          </w:tcPr>
          <w:p w14:paraId="7022DCA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9B3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1038395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1028581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04B9FB9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接地保护装置</w:t>
            </w:r>
          </w:p>
        </w:tc>
        <w:tc>
          <w:tcPr>
            <w:tcW w:w="5828" w:type="dxa"/>
            <w:tcBorders>
              <w:right w:val="single" w:color="auto" w:sz="4" w:space="0"/>
            </w:tcBorders>
            <w:noWrap w:val="0"/>
            <w:vAlign w:val="top"/>
          </w:tcPr>
          <w:p w14:paraId="2FBF8C5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施工现场保护零线的重复接地应不少于三处。</w:t>
            </w:r>
          </w:p>
          <w:p w14:paraId="0C8F2A7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施工现场专用的中性点直接接到的电力线路中应采用TN-S接零保护系统；电气设备的金属外壳应与专用保护零线连接；作防雷接地的电气设备，应同时作重复接地。</w:t>
            </w:r>
          </w:p>
        </w:tc>
        <w:tc>
          <w:tcPr>
            <w:tcW w:w="1725" w:type="dxa"/>
            <w:tcBorders>
              <w:left w:val="single" w:color="auto" w:sz="4" w:space="0"/>
            </w:tcBorders>
            <w:noWrap w:val="0"/>
            <w:vAlign w:val="top"/>
          </w:tcPr>
          <w:p w14:paraId="796C9B9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F50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0A434BF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7C8E066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0EFF680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配电箱</w:t>
            </w:r>
          </w:p>
          <w:p w14:paraId="0D7344F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开关箱</w:t>
            </w:r>
          </w:p>
        </w:tc>
        <w:tc>
          <w:tcPr>
            <w:tcW w:w="5828" w:type="dxa"/>
            <w:tcBorders>
              <w:right w:val="single" w:color="auto" w:sz="4" w:space="0"/>
            </w:tcBorders>
            <w:noWrap w:val="0"/>
            <w:vAlign w:val="center"/>
          </w:tcPr>
          <w:p w14:paraId="150AB02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按“三级配电”要求，配备符合防雨、防尘要求的总配电箱、分配电箱、开关箱三类标准电箱；开关箱应符合“一机、一箱、一闸、一漏”的配电原则，且开关箱距离用电设备水平距离不宜超过3米；三类电箱中的各类电器应是合格品。</w:t>
            </w:r>
          </w:p>
          <w:p w14:paraId="5A44C53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（2）按“两级保护”的要求，选取符合容量要求和质量合格的总配电箱和开关箱中的漏电保护器。</w:t>
            </w:r>
          </w:p>
          <w:p w14:paraId="57A4FCF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（3）配电箱、开关箱内的工作零线应通过接线端子板连接，并应与保护零线接线端子板分设。</w:t>
            </w:r>
          </w:p>
        </w:tc>
        <w:tc>
          <w:tcPr>
            <w:tcW w:w="1725" w:type="dxa"/>
            <w:tcBorders>
              <w:left w:val="single" w:color="auto" w:sz="4" w:space="0"/>
            </w:tcBorders>
            <w:noWrap w:val="0"/>
            <w:vAlign w:val="center"/>
          </w:tcPr>
          <w:p w14:paraId="0552686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386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1E6B352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5740C83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7F103F6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接地保护装置</w:t>
            </w:r>
          </w:p>
        </w:tc>
        <w:tc>
          <w:tcPr>
            <w:tcW w:w="5828" w:type="dxa"/>
            <w:tcBorders>
              <w:right w:val="single" w:color="auto" w:sz="4" w:space="0"/>
            </w:tcBorders>
            <w:noWrap w:val="0"/>
            <w:vAlign w:val="center"/>
          </w:tcPr>
          <w:p w14:paraId="1BB7FC8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施工现场保护零线的重复接地应不少于三处。</w:t>
            </w:r>
          </w:p>
          <w:p w14:paraId="6C451B3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施工现场专用的中性点直接接到的电力线路中应采用TN-S接零保护系统；电气设备的金属外壳应与专用保护零线连接；作防雷接地的电气设备，应同时作重复接地。</w:t>
            </w:r>
          </w:p>
        </w:tc>
        <w:tc>
          <w:tcPr>
            <w:tcW w:w="1725" w:type="dxa"/>
            <w:tcBorders>
              <w:left w:val="single" w:color="auto" w:sz="4" w:space="0"/>
            </w:tcBorders>
            <w:noWrap w:val="0"/>
            <w:vAlign w:val="center"/>
          </w:tcPr>
          <w:p w14:paraId="008D447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667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restart"/>
            <w:noWrap w:val="0"/>
            <w:vAlign w:val="center"/>
          </w:tcPr>
          <w:p w14:paraId="5373476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安全施工</w:t>
            </w:r>
          </w:p>
        </w:tc>
        <w:tc>
          <w:tcPr>
            <w:tcW w:w="710" w:type="dxa"/>
            <w:vMerge w:val="restart"/>
            <w:noWrap w:val="0"/>
            <w:vAlign w:val="center"/>
          </w:tcPr>
          <w:p w14:paraId="2857202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临边、洞口、交叉高处作业防护</w:t>
            </w:r>
          </w:p>
        </w:tc>
        <w:tc>
          <w:tcPr>
            <w:tcW w:w="665" w:type="dxa"/>
            <w:noWrap w:val="0"/>
            <w:vAlign w:val="center"/>
          </w:tcPr>
          <w:p w14:paraId="13CA434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临水、临空、临边防护</w:t>
            </w:r>
          </w:p>
        </w:tc>
        <w:tc>
          <w:tcPr>
            <w:tcW w:w="5828" w:type="dxa"/>
            <w:tcBorders>
              <w:right w:val="single" w:color="auto" w:sz="4" w:space="0"/>
            </w:tcBorders>
            <w:noWrap w:val="0"/>
            <w:vAlign w:val="center"/>
          </w:tcPr>
          <w:p w14:paraId="0A12B9B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临水侧及高差超过2m的临空、临边部位均应设置防护设施，可采用标准化定型防护材料或钢管防护，防护高度不低于1.2m；钢管防护应由上、中、下三道横杆和间距不大于2.0m的栏杆柱组成，栏杆采用扣件式钢管材料，密目式安全立网全封闭，作业层另设置高度为0.2m的挡脚板。</w:t>
            </w:r>
          </w:p>
        </w:tc>
        <w:tc>
          <w:tcPr>
            <w:tcW w:w="1725" w:type="dxa"/>
            <w:tcBorders>
              <w:left w:val="single" w:color="auto" w:sz="4" w:space="0"/>
            </w:tcBorders>
            <w:noWrap w:val="0"/>
            <w:vAlign w:val="center"/>
          </w:tcPr>
          <w:p w14:paraId="038B770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78A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4EC52D4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56257A2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191D4D7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通道口防护</w:t>
            </w:r>
          </w:p>
        </w:tc>
        <w:tc>
          <w:tcPr>
            <w:tcW w:w="5828" w:type="dxa"/>
            <w:tcBorders>
              <w:right w:val="single" w:color="auto" w:sz="4" w:space="0"/>
            </w:tcBorders>
            <w:noWrap w:val="0"/>
            <w:vAlign w:val="center"/>
          </w:tcPr>
          <w:p w14:paraId="0C15679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可能坠落的范围内设置防护棚，防护棚应采用扣件式钢管脚手架或其他型钢材料搭设，棚面铺厚度不小于5cm厚的木板或两道相距50cm的竹笆。当可能坠落的高度超过24m时，应设双层防护棚。两侧应沿栏杆架用密目式安全网封闭。</w:t>
            </w:r>
          </w:p>
        </w:tc>
        <w:tc>
          <w:tcPr>
            <w:tcW w:w="1725" w:type="dxa"/>
            <w:tcBorders>
              <w:left w:val="single" w:color="auto" w:sz="4" w:space="0"/>
            </w:tcBorders>
            <w:noWrap w:val="0"/>
            <w:vAlign w:val="center"/>
          </w:tcPr>
          <w:p w14:paraId="35CB047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B26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EE17BD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64B7535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643277A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预留洞（孔）口防护</w:t>
            </w:r>
          </w:p>
        </w:tc>
        <w:tc>
          <w:tcPr>
            <w:tcW w:w="5828" w:type="dxa"/>
            <w:tcBorders>
              <w:right w:val="single" w:color="auto" w:sz="4" w:space="0"/>
            </w:tcBorders>
            <w:noWrap w:val="0"/>
            <w:vAlign w:val="center"/>
          </w:tcPr>
          <w:p w14:paraId="03655A71">
            <w:pPr>
              <w:pStyle w:val="20"/>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边长尺寸小于1.5m的竖向洞（孔）口、短边尺寸小于0.5m的沟槽应采取设置盖板等封堵措施；边长大于1.5m的竖向洞（孔）口、短边尺寸大于0.5m的沟槽应采取设置安全防护栏杆等措施，并应固定牢固，栏杆采用扣件式钢管材料。</w:t>
            </w:r>
          </w:p>
          <w:p w14:paraId="45ADF24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（2）在门槽、闸门井、水泵井、电梯井等井道口（内）安装作业，应根据作业面情况，在其下方井道内设置可靠的水平安全网作隔离防护层。</w:t>
            </w:r>
          </w:p>
        </w:tc>
        <w:tc>
          <w:tcPr>
            <w:tcW w:w="1725" w:type="dxa"/>
            <w:tcBorders>
              <w:left w:val="single" w:color="auto" w:sz="4" w:space="0"/>
            </w:tcBorders>
            <w:noWrap w:val="0"/>
            <w:vAlign w:val="center"/>
          </w:tcPr>
          <w:p w14:paraId="6C60DE5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676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4F3518C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746FA24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7234522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楼梯边防护</w:t>
            </w:r>
          </w:p>
        </w:tc>
        <w:tc>
          <w:tcPr>
            <w:tcW w:w="5828" w:type="dxa"/>
            <w:tcBorders>
              <w:right w:val="single" w:color="auto" w:sz="4" w:space="0"/>
            </w:tcBorders>
            <w:noWrap w:val="0"/>
            <w:vAlign w:val="center"/>
          </w:tcPr>
          <w:p w14:paraId="4583DDD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设高度不低于1.2m的防护栏杆，0.2m高的挡脚板，栏杆采用扣件式钢管材料。</w:t>
            </w:r>
          </w:p>
        </w:tc>
        <w:tc>
          <w:tcPr>
            <w:tcW w:w="1725" w:type="dxa"/>
            <w:tcBorders>
              <w:left w:val="single" w:color="auto" w:sz="4" w:space="0"/>
            </w:tcBorders>
            <w:noWrap w:val="0"/>
            <w:vAlign w:val="center"/>
          </w:tcPr>
          <w:p w14:paraId="430C317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2A1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60C32C5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496E7D8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3AFC045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垂直方向交叉作业</w:t>
            </w:r>
          </w:p>
        </w:tc>
        <w:tc>
          <w:tcPr>
            <w:tcW w:w="5828" w:type="dxa"/>
            <w:tcBorders>
              <w:right w:val="single" w:color="auto" w:sz="4" w:space="0"/>
            </w:tcBorders>
            <w:noWrap w:val="0"/>
            <w:vAlign w:val="center"/>
          </w:tcPr>
          <w:p w14:paraId="679B02C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设置防护隔离棚或其他设施。</w:t>
            </w:r>
          </w:p>
        </w:tc>
        <w:tc>
          <w:tcPr>
            <w:tcW w:w="1725" w:type="dxa"/>
            <w:tcBorders>
              <w:left w:val="single" w:color="auto" w:sz="4" w:space="0"/>
            </w:tcBorders>
            <w:noWrap w:val="0"/>
            <w:vAlign w:val="center"/>
          </w:tcPr>
          <w:p w14:paraId="63B5EB5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4FF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7EF7CAF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5C16D14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5081896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高处作业防护</w:t>
            </w:r>
          </w:p>
        </w:tc>
        <w:tc>
          <w:tcPr>
            <w:tcW w:w="5828" w:type="dxa"/>
            <w:tcBorders>
              <w:right w:val="single" w:color="auto" w:sz="4" w:space="0"/>
            </w:tcBorders>
            <w:noWrap w:val="0"/>
            <w:vAlign w:val="center"/>
          </w:tcPr>
          <w:p w14:paraId="2622457A">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高作作业临时排架搭设应稳固，若采用门型脚手架，层高不能超2层，且要求对拉扣应满扣；架体内外两侧设置水平扫地杆，每层设置水平杆；架体外侧设置剪刀撑，纵向每2跨设置不少于一抛撑；作业平台应满铺配套脚手板，临空面设置高度不低于1.2m的防护栏杆，张挂安全网；架体设置登高扶梯。</w:t>
            </w:r>
          </w:p>
          <w:p w14:paraId="70DA861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（2）在高处进行悬空高处作业时，必须设置相应的吊篮、吊笼、平台等设施，作业人员必须使用安全带、安全绳等个体防护用品。平台临边必须设置防护栏杆，在作业下方挂设水平安全网等设施。</w:t>
            </w:r>
          </w:p>
        </w:tc>
        <w:tc>
          <w:tcPr>
            <w:tcW w:w="1725" w:type="dxa"/>
            <w:tcBorders>
              <w:left w:val="single" w:color="auto" w:sz="4" w:space="0"/>
            </w:tcBorders>
            <w:noWrap w:val="0"/>
            <w:vAlign w:val="center"/>
          </w:tcPr>
          <w:p w14:paraId="454DB67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4CA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67302911">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restart"/>
            <w:noWrap w:val="0"/>
            <w:vAlign w:val="center"/>
          </w:tcPr>
          <w:p w14:paraId="5DE628D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扣件式钢管脚手架</w:t>
            </w:r>
          </w:p>
        </w:tc>
        <w:tc>
          <w:tcPr>
            <w:tcW w:w="665" w:type="dxa"/>
            <w:noWrap w:val="0"/>
            <w:vAlign w:val="center"/>
          </w:tcPr>
          <w:p w14:paraId="75EB34F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外墙脚手架</w:t>
            </w:r>
          </w:p>
        </w:tc>
        <w:tc>
          <w:tcPr>
            <w:tcW w:w="5828" w:type="dxa"/>
            <w:tcBorders>
              <w:right w:val="single" w:color="auto" w:sz="4" w:space="0"/>
            </w:tcBorders>
            <w:noWrap w:val="0"/>
            <w:vAlign w:val="center"/>
          </w:tcPr>
          <w:p w14:paraId="4A85E3F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脚手架应符合《建筑施工扣件式钢管脚手架安全技术规范》（JGJ130-2011）要求，且根据施工荷载经设计确定，并满足以下要求：</w:t>
            </w:r>
          </w:p>
          <w:p w14:paraId="2282BAD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（1）立杆基础应牢固，每根立杆下部设置底座或垫板；架体基础须设置纵、横向扫地杆，离地面距离不应大于0.2m。</w:t>
            </w:r>
          </w:p>
          <w:p w14:paraId="72F80F4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（2）脚手架立杆纵距不应大于1.8m，水平横杆步距不应大于1.5m。</w:t>
            </w:r>
          </w:p>
          <w:p w14:paraId="2226674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（3）作业层纵向水平杆间距不应大于0.4m，横向水平杆间距不应大于½立杆纵距，作业层与墙面距离不应大于0.2m；脚手板应铺满、铺稳、铺实； 采用冲压钢脚手板、木脚手板、竹串片脚手板等。</w:t>
            </w:r>
          </w:p>
          <w:p w14:paraId="2556914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（4）连墙件应从底层第一步纵向水平杆处开始设置，连墙件竖向间距不应大于3倍步距，横向间距不应大于3倍立杆纵距。</w:t>
            </w:r>
          </w:p>
          <w:p w14:paraId="1B11FBD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剪刀撑宽度不应小于4跨立杆，且不应小于6米，斜杆与地面的倾角应在45°~60°之间；高度在24m及以上的双排脚手架应在外侧全立面连续设置，高度在24m以下的单、双排脚手架，均必须在外侧两端、转角及中间间隔不超过15m的立面上，各设置一道剪刀撑，并应由底到顶连续设置。</w:t>
            </w:r>
          </w:p>
          <w:p w14:paraId="7B0C658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（6）脚手架外立杆内侧必须用密目式安全网或其它措施全封闭防护，密目式安全网应为阻燃产品；作业层外侧设置高度不低于0.2m的挡脚板。</w:t>
            </w:r>
          </w:p>
        </w:tc>
        <w:tc>
          <w:tcPr>
            <w:tcW w:w="1725" w:type="dxa"/>
            <w:tcBorders>
              <w:left w:val="single" w:color="auto" w:sz="4" w:space="0"/>
            </w:tcBorders>
            <w:noWrap w:val="0"/>
            <w:vAlign w:val="center"/>
          </w:tcPr>
          <w:p w14:paraId="7DE5EBA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1D19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62DB39C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vMerge w:val="continue"/>
            <w:noWrap w:val="0"/>
            <w:vAlign w:val="center"/>
          </w:tcPr>
          <w:p w14:paraId="366EEB3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665" w:type="dxa"/>
            <w:noWrap w:val="0"/>
            <w:vAlign w:val="center"/>
          </w:tcPr>
          <w:p w14:paraId="6A3E3EC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满堂支撑架</w:t>
            </w:r>
          </w:p>
        </w:tc>
        <w:tc>
          <w:tcPr>
            <w:tcW w:w="5828" w:type="dxa"/>
            <w:tcBorders>
              <w:right w:val="single" w:color="auto" w:sz="4" w:space="0"/>
            </w:tcBorders>
            <w:noWrap w:val="0"/>
            <w:vAlign w:val="center"/>
          </w:tcPr>
          <w:p w14:paraId="1A8E25D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满堂支撑架应应符合《建筑施工扣件式钢管脚手架安全技术规范》（JGJ130-2011）要求，且根据施工荷载经设计确定，并满足以下要求：</w:t>
            </w:r>
          </w:p>
          <w:p w14:paraId="771628F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（1）立杆基础应牢固，每根立杆下部设置底座或垫板；架体基础须设置纵、横向扫地杆，离地面距离不应大于0.2m；</w:t>
            </w:r>
          </w:p>
          <w:p w14:paraId="16CC934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（2）满堂支撑架步距与立杆间距不宜超过上述规范附录C表C-2~表C-5规定的上限值；立杆接长接头必须采用对接扣件连接。</w:t>
            </w:r>
          </w:p>
          <w:p w14:paraId="2B45F42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（3）普通型满堂支撑架架体外侧周边及内部纵、横向每5 m~8m，应由底至顶设置连续竖向剪刀撑，剪刀撑宽度应为5 m~8m；竖向剪刀撑与地面倾角应在45°~60°。</w:t>
            </w:r>
          </w:p>
          <w:p w14:paraId="2D75773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（4）在竖向剪刀撑顶部交点平面应设置连续水平剪刀撑；当架体高度超过8米，扫地杆层应设置连续水平剪刀撑，架体中部的水平剪刀撑之间距离不应超过8m；水平剪刀撑与支架纵（横）向夹角应为45°~60°。</w:t>
            </w:r>
          </w:p>
          <w:p w14:paraId="2FDA1DE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（5）满堂支撑架的可调底座、可调托撑螺杆伸出长度不宜超过300mm，插入立杆内的长度不得小于150mm。</w:t>
            </w:r>
          </w:p>
        </w:tc>
        <w:tc>
          <w:tcPr>
            <w:tcW w:w="1725" w:type="dxa"/>
            <w:tcBorders>
              <w:left w:val="single" w:color="auto" w:sz="4" w:space="0"/>
            </w:tcBorders>
            <w:noWrap w:val="0"/>
            <w:vAlign w:val="center"/>
          </w:tcPr>
          <w:p w14:paraId="74F319E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426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6BAFB66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710" w:type="dxa"/>
            <w:noWrap w:val="0"/>
            <w:vAlign w:val="center"/>
          </w:tcPr>
          <w:p w14:paraId="05A96E8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轮扣式钢管脚手架</w:t>
            </w:r>
          </w:p>
        </w:tc>
        <w:tc>
          <w:tcPr>
            <w:tcW w:w="665" w:type="dxa"/>
            <w:noWrap w:val="0"/>
            <w:vAlign w:val="center"/>
          </w:tcPr>
          <w:p w14:paraId="363A7AD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模板支撑架</w:t>
            </w:r>
          </w:p>
        </w:tc>
        <w:tc>
          <w:tcPr>
            <w:tcW w:w="5828" w:type="dxa"/>
            <w:tcBorders>
              <w:right w:val="single" w:color="auto" w:sz="4" w:space="0"/>
            </w:tcBorders>
            <w:noWrap w:val="0"/>
            <w:vAlign w:val="center"/>
          </w:tcPr>
          <w:p w14:paraId="19894EF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模板支撑架应应符合《轮扣式钢管脚手架安全技术规程》（DB44/T 1876-2016）且根据施工荷载经设计确定，并满足以下要求：</w:t>
            </w:r>
          </w:p>
          <w:p w14:paraId="340D66F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（1）立杆基础应牢固，每根立杆下部宜设置可调底座或垫板；架体基础须设置纵、横向扫地杆，高度不应超过550mm；</w:t>
            </w:r>
          </w:p>
          <w:p w14:paraId="4D8CBD4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（2）模板支撑架应根据受力情况计算确定纵横向横杆间距、步距等；立杆应采用连接套管连接，同一水平高度内相邻立杆连接位置宜错开。</w:t>
            </w:r>
          </w:p>
          <w:p w14:paraId="0E3FED9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（3）a、当架体搭设高度不大于5m的满堂支撑架，应在架体外周及内部纵横向设置连续竖向剪刀撑，间距和单幅宽度宜为5 m~8m，且不大于6跨，剪刀撑与地面倾角应在45°~60°。架体高度大于3倍步距时，架体顶部应设置一道连续水平剪刀撑。</w:t>
            </w:r>
          </w:p>
          <w:p w14:paraId="2BBD943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b、当架体搭设高度大于5m且不超过8m时，应在架体外周及内部纵横向每隔4m~6m设置竖向连续剪刀撑，并在顶层、底层和中间层每隔4个步距设置水平剪刀撑。</w:t>
            </w:r>
          </w:p>
          <w:p w14:paraId="604DCB8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c、当架体搭设高度大于8m时，架体应组织专家论证，并应满足上述第（4）点要求，且满足以下要求：步距不宜大于1.2m，且顶层横杆与底模距离不应大于650mm；当架体高度大于8m时，顶层横杆步距宜比中间标准步距缩小一个轮扣间距，当架体高度大于20m时，顶层两步横杆均宜缩小一个轮扣间距。</w:t>
            </w:r>
          </w:p>
          <w:p w14:paraId="6B0C123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（4）模板支撑架顶层横杆至底模距离不应大于650mm；丝杆外露长度不应大于300mm，可调托盘插入立杆长度不应小于150mm。</w:t>
            </w:r>
          </w:p>
        </w:tc>
        <w:tc>
          <w:tcPr>
            <w:tcW w:w="1725" w:type="dxa"/>
            <w:tcBorders>
              <w:left w:val="single" w:color="auto" w:sz="4" w:space="0"/>
            </w:tcBorders>
            <w:noWrap w:val="0"/>
            <w:vAlign w:val="center"/>
          </w:tcPr>
          <w:p w14:paraId="0FD3E21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BA2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627909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217F722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安全防护及安全监测</w:t>
            </w:r>
          </w:p>
        </w:tc>
        <w:tc>
          <w:tcPr>
            <w:tcW w:w="5828" w:type="dxa"/>
            <w:tcBorders>
              <w:right w:val="single" w:color="auto" w:sz="4" w:space="0"/>
            </w:tcBorders>
            <w:noWrap w:val="0"/>
            <w:vAlign w:val="center"/>
          </w:tcPr>
          <w:p w14:paraId="7E560D76">
            <w:pPr>
              <w:pStyle w:val="20"/>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现场应设置拆除工程、水上作业、基坑开挖及其它危险性较大的作业工程的安全防护设施及毗邻管线、建筑物的支护设施；落实围堰、支护工程等变形监测。</w:t>
            </w:r>
          </w:p>
          <w:p w14:paraId="490BB34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（2）密闭空间作业应设置有害气体监测、通风等防护设施设备。</w:t>
            </w:r>
          </w:p>
        </w:tc>
        <w:tc>
          <w:tcPr>
            <w:tcW w:w="1725" w:type="dxa"/>
            <w:tcBorders>
              <w:left w:val="single" w:color="auto" w:sz="4" w:space="0"/>
            </w:tcBorders>
            <w:noWrap w:val="0"/>
            <w:vAlign w:val="center"/>
          </w:tcPr>
          <w:p w14:paraId="2BBEBDA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076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3CEA8C9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0C5DEAE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个人防护</w:t>
            </w:r>
          </w:p>
        </w:tc>
        <w:tc>
          <w:tcPr>
            <w:tcW w:w="5828" w:type="dxa"/>
            <w:tcBorders>
              <w:right w:val="single" w:color="auto" w:sz="4" w:space="0"/>
            </w:tcBorders>
            <w:noWrap w:val="0"/>
            <w:vAlign w:val="center"/>
          </w:tcPr>
          <w:p w14:paraId="5F424A1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配备和更新符合质量标准的安全帽、安全带、安全网、防毒护具及其它个人防护用品；特殊人员定期组织个人体检。</w:t>
            </w:r>
          </w:p>
        </w:tc>
        <w:tc>
          <w:tcPr>
            <w:tcW w:w="1725" w:type="dxa"/>
            <w:tcBorders>
              <w:left w:val="single" w:color="auto" w:sz="4" w:space="0"/>
            </w:tcBorders>
            <w:noWrap w:val="0"/>
            <w:vAlign w:val="center"/>
          </w:tcPr>
          <w:p w14:paraId="2430B3E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1624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388892E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4E3A270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施工机械、设备、机具防护</w:t>
            </w:r>
          </w:p>
        </w:tc>
        <w:tc>
          <w:tcPr>
            <w:tcW w:w="5828" w:type="dxa"/>
            <w:tcBorders>
              <w:right w:val="single" w:color="auto" w:sz="4" w:space="0"/>
            </w:tcBorders>
            <w:noWrap w:val="0"/>
            <w:vAlign w:val="center"/>
          </w:tcPr>
          <w:p w14:paraId="4FC7BDCE">
            <w:pPr>
              <w:pStyle w:val="20"/>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各类设备中传动和转动露出部分必须安设网孔尺寸符合安全要求的封闭的钢防护网罩或防护栏板、栏杆等安全防护装置。</w:t>
            </w:r>
          </w:p>
          <w:p w14:paraId="2EE2569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现场起重机械与外用电梯（物料提升机）等建筑起重机械应设置安全防护措施。</w:t>
            </w:r>
          </w:p>
        </w:tc>
        <w:tc>
          <w:tcPr>
            <w:tcW w:w="1725" w:type="dxa"/>
            <w:tcBorders>
              <w:left w:val="single" w:color="auto" w:sz="4" w:space="0"/>
            </w:tcBorders>
            <w:noWrap w:val="0"/>
            <w:vAlign w:val="center"/>
          </w:tcPr>
          <w:p w14:paraId="2CC9D1CF">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34F3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35481E7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5705E1B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安全设施、设备的检测、检验</w:t>
            </w:r>
          </w:p>
        </w:tc>
        <w:tc>
          <w:tcPr>
            <w:tcW w:w="5828" w:type="dxa"/>
            <w:tcBorders>
              <w:right w:val="single" w:color="auto" w:sz="4" w:space="0"/>
            </w:tcBorders>
            <w:noWrap w:val="0"/>
            <w:vAlign w:val="center"/>
          </w:tcPr>
          <w:p w14:paraId="2C92396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现场施工围堰、起重机械与外用电梯（物料提升机）、安全防护用具、钢管脚手架等安全设施及特种设备应按要求组织检测、检验。</w:t>
            </w:r>
          </w:p>
        </w:tc>
        <w:tc>
          <w:tcPr>
            <w:tcW w:w="1725" w:type="dxa"/>
            <w:tcBorders>
              <w:left w:val="single" w:color="auto" w:sz="4" w:space="0"/>
            </w:tcBorders>
            <w:noWrap w:val="0"/>
            <w:vAlign w:val="center"/>
          </w:tcPr>
          <w:p w14:paraId="772793B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275B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7BBB0C1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51AAC8A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专家论证审查</w:t>
            </w:r>
          </w:p>
        </w:tc>
        <w:tc>
          <w:tcPr>
            <w:tcW w:w="5828" w:type="dxa"/>
            <w:tcBorders>
              <w:right w:val="single" w:color="auto" w:sz="4" w:space="0"/>
            </w:tcBorders>
            <w:noWrap w:val="0"/>
            <w:vAlign w:val="center"/>
          </w:tcPr>
          <w:p w14:paraId="7826DA7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超过一定规模的危险较大的分部分项工程施工方案，应组织的相关专业的专家（不少于5名）进行论证审查。</w:t>
            </w:r>
          </w:p>
        </w:tc>
        <w:tc>
          <w:tcPr>
            <w:tcW w:w="1725" w:type="dxa"/>
            <w:tcBorders>
              <w:left w:val="single" w:color="auto" w:sz="4" w:space="0"/>
            </w:tcBorders>
            <w:noWrap w:val="0"/>
            <w:vAlign w:val="center"/>
          </w:tcPr>
          <w:p w14:paraId="0B11A94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05B4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106F47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2819A46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应急演练和应急用品</w:t>
            </w:r>
          </w:p>
        </w:tc>
        <w:tc>
          <w:tcPr>
            <w:tcW w:w="5828" w:type="dxa"/>
            <w:tcBorders>
              <w:right w:val="single" w:color="auto" w:sz="4" w:space="0"/>
            </w:tcBorders>
            <w:noWrap w:val="0"/>
            <w:vAlign w:val="center"/>
          </w:tcPr>
          <w:p w14:paraId="0D9C3A5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开展各类应急救援演练；配备足量的医药用品、急救用品等。</w:t>
            </w:r>
          </w:p>
        </w:tc>
        <w:tc>
          <w:tcPr>
            <w:tcW w:w="1725" w:type="dxa"/>
            <w:tcBorders>
              <w:left w:val="single" w:color="auto" w:sz="4" w:space="0"/>
            </w:tcBorders>
            <w:noWrap w:val="0"/>
            <w:vAlign w:val="center"/>
          </w:tcPr>
          <w:p w14:paraId="45F12B30">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6C56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407EC8E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1219A935">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应急物资</w:t>
            </w:r>
          </w:p>
        </w:tc>
        <w:tc>
          <w:tcPr>
            <w:tcW w:w="5828" w:type="dxa"/>
            <w:tcBorders>
              <w:right w:val="single" w:color="auto" w:sz="4" w:space="0"/>
            </w:tcBorders>
            <w:noWrap w:val="0"/>
            <w:vAlign w:val="center"/>
          </w:tcPr>
          <w:p w14:paraId="32CC81B8">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根据工程情况配置或租用防洪度汛、防台风、暴雨、雷电及其它应急救援工作需要的相关器材、设备及应急物资。</w:t>
            </w:r>
          </w:p>
        </w:tc>
        <w:tc>
          <w:tcPr>
            <w:tcW w:w="1725" w:type="dxa"/>
            <w:tcBorders>
              <w:left w:val="single" w:color="auto" w:sz="4" w:space="0"/>
            </w:tcBorders>
            <w:noWrap w:val="0"/>
            <w:vAlign w:val="center"/>
          </w:tcPr>
          <w:p w14:paraId="12F4278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E7D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7B07232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5C7AF59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重大危险源和事故隐患排查</w:t>
            </w:r>
          </w:p>
        </w:tc>
        <w:tc>
          <w:tcPr>
            <w:tcW w:w="5828" w:type="dxa"/>
            <w:tcBorders>
              <w:right w:val="single" w:color="auto" w:sz="4" w:space="0"/>
            </w:tcBorders>
            <w:noWrap w:val="0"/>
            <w:vAlign w:val="center"/>
          </w:tcPr>
          <w:p w14:paraId="1B257083">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开展重大危险源和事故隐患排查、评估、监控和整改工作。</w:t>
            </w:r>
          </w:p>
        </w:tc>
        <w:tc>
          <w:tcPr>
            <w:tcW w:w="1725" w:type="dxa"/>
            <w:tcBorders>
              <w:left w:val="single" w:color="auto" w:sz="4" w:space="0"/>
            </w:tcBorders>
            <w:noWrap w:val="0"/>
            <w:vAlign w:val="center"/>
          </w:tcPr>
          <w:p w14:paraId="43B39339">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5D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2B76A32B">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5B1F94B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安全教育培训及安全宣传标语横幅等费用</w:t>
            </w:r>
          </w:p>
        </w:tc>
        <w:tc>
          <w:tcPr>
            <w:tcW w:w="5828" w:type="dxa"/>
            <w:tcBorders>
              <w:right w:val="single" w:color="auto" w:sz="4" w:space="0"/>
            </w:tcBorders>
            <w:noWrap w:val="0"/>
            <w:vAlign w:val="center"/>
          </w:tcPr>
          <w:p w14:paraId="385CBECE">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现场安全管理人员及作业人员的相关安全教育培训等费用（包括师资、教材、设施、建档等所需费用），用于安全生产的宣传标语横幅等费用。</w:t>
            </w:r>
          </w:p>
        </w:tc>
        <w:tc>
          <w:tcPr>
            <w:tcW w:w="1725" w:type="dxa"/>
            <w:tcBorders>
              <w:left w:val="single" w:color="auto" w:sz="4" w:space="0"/>
            </w:tcBorders>
            <w:noWrap w:val="0"/>
            <w:vAlign w:val="center"/>
          </w:tcPr>
          <w:p w14:paraId="7388DC1A">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664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0964976">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04CD7B4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安全生产检查、标化工地费用</w:t>
            </w:r>
          </w:p>
        </w:tc>
        <w:tc>
          <w:tcPr>
            <w:tcW w:w="5828" w:type="dxa"/>
            <w:tcBorders>
              <w:right w:val="single" w:color="auto" w:sz="4" w:space="0"/>
            </w:tcBorders>
            <w:noWrap w:val="0"/>
            <w:vAlign w:val="center"/>
          </w:tcPr>
          <w:p w14:paraId="3B7C757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安全生产检查、评估、咨询、会议、台账资料等所需费用；标化工地申报、检查、验收、资料整编等费用。</w:t>
            </w:r>
          </w:p>
        </w:tc>
        <w:tc>
          <w:tcPr>
            <w:tcW w:w="1725" w:type="dxa"/>
            <w:tcBorders>
              <w:left w:val="single" w:color="auto" w:sz="4" w:space="0"/>
            </w:tcBorders>
            <w:noWrap w:val="0"/>
            <w:vAlign w:val="center"/>
          </w:tcPr>
          <w:p w14:paraId="37433AC7">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r w14:paraId="7CC1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82" w:type="dxa"/>
            <w:vMerge w:val="continue"/>
            <w:noWrap w:val="0"/>
            <w:vAlign w:val="center"/>
          </w:tcPr>
          <w:p w14:paraId="573A4384">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p>
        </w:tc>
        <w:tc>
          <w:tcPr>
            <w:tcW w:w="1405" w:type="dxa"/>
            <w:gridSpan w:val="2"/>
            <w:noWrap w:val="0"/>
            <w:vAlign w:val="center"/>
          </w:tcPr>
          <w:p w14:paraId="77E1B112">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5828" w:type="dxa"/>
            <w:tcBorders>
              <w:right w:val="single" w:color="auto" w:sz="4" w:space="0"/>
            </w:tcBorders>
            <w:noWrap w:val="0"/>
            <w:vAlign w:val="center"/>
          </w:tcPr>
          <w:p w14:paraId="20F16C2C">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适用的安全生产新技术、新标准、新工艺、新装备的推广应用支出；施工现场远程视频监控系统（安全生产信息化建设及相关设备支出）；其他与安全生产直接相关的支出。</w:t>
            </w:r>
          </w:p>
        </w:tc>
        <w:tc>
          <w:tcPr>
            <w:tcW w:w="1725" w:type="dxa"/>
            <w:tcBorders>
              <w:left w:val="single" w:color="auto" w:sz="4" w:space="0"/>
            </w:tcBorders>
            <w:noWrap w:val="0"/>
            <w:vAlign w:val="center"/>
          </w:tcPr>
          <w:p w14:paraId="50EE7D9D">
            <w:pPr>
              <w:pStyle w:val="20"/>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宋体"/>
                <w:color w:val="auto"/>
                <w:sz w:val="21"/>
                <w:szCs w:val="21"/>
                <w:highlight w:val="none"/>
              </w:rPr>
            </w:pPr>
          </w:p>
        </w:tc>
      </w:tr>
    </w:tbl>
    <w:p w14:paraId="3A26132E">
      <w:pPr>
        <w:pStyle w:val="20"/>
        <w:spacing w:before="156" w:beforeLines="50"/>
        <w:rPr>
          <w:rFonts w:ascii="Times New Roman" w:hAnsi="Times New Roman"/>
          <w:color w:val="FF0000"/>
        </w:rPr>
      </w:pPr>
      <w:r>
        <w:rPr>
          <w:rFonts w:ascii="Times New Roman" w:hAnsi="Times New Roman"/>
          <w:kern w:val="2"/>
          <w:sz w:val="20"/>
          <w:szCs w:val="18"/>
          <w:shd w:val="clear" w:color="auto" w:fill="FFFFFF"/>
        </w:rPr>
        <w:t>注：本表所列安全文明施工措施项目（表），是依据现行法律法规及标准规范结合我市在建水利工程情况确定，包含但不限于表中所列内容（增加）。如修订法律法规和标准规范，本表所列项目应按照修订后的法律法规和标准规范进行调整。</w:t>
      </w:r>
    </w:p>
    <w:p w14:paraId="4AAA935C">
      <w:pPr>
        <w:spacing w:line="420" w:lineRule="exact"/>
        <w:ind w:firstLine="422" w:firstLineChars="200"/>
        <w:rPr>
          <w:rFonts w:hint="eastAsia" w:ascii="宋体" w:hAnsi="宋体" w:cs="Arial"/>
          <w:b/>
          <w:kern w:val="0"/>
          <w:szCs w:val="21"/>
        </w:rPr>
      </w:pPr>
      <w:r>
        <w:rPr>
          <w:rFonts w:hint="eastAsia" w:ascii="宋体" w:hAnsi="宋体"/>
          <w:b/>
          <w:szCs w:val="21"/>
        </w:rPr>
        <w:t xml:space="preserve">10．5 </w:t>
      </w:r>
      <w:r>
        <w:rPr>
          <w:rFonts w:hint="eastAsia" w:ascii="宋体" w:hAnsi="宋体" w:cs="Arial"/>
          <w:b/>
          <w:kern w:val="0"/>
          <w:szCs w:val="21"/>
        </w:rPr>
        <w:t>电子评标注意事项</w:t>
      </w:r>
    </w:p>
    <w:p w14:paraId="5AECAC9A">
      <w:pPr>
        <w:spacing w:line="420" w:lineRule="exact"/>
        <w:ind w:firstLine="420" w:firstLineChars="200"/>
        <w:rPr>
          <w:rFonts w:hint="eastAsia" w:ascii="宋体" w:hAnsi="宋体" w:cs="Arial"/>
          <w:kern w:val="0"/>
          <w:szCs w:val="21"/>
        </w:rPr>
      </w:pPr>
      <w:r>
        <w:rPr>
          <w:rFonts w:hint="eastAsia" w:ascii="宋体" w:hAnsi="宋体" w:cs="Arial"/>
          <w:kern w:val="0"/>
          <w:szCs w:val="21"/>
        </w:rPr>
        <w:t>（一）发生下列情况的，开标（评标）无效、中止或终止，恢复开标（评标）的时间视情况而定。</w:t>
      </w:r>
    </w:p>
    <w:p w14:paraId="26D7C8C9">
      <w:pPr>
        <w:spacing w:line="420" w:lineRule="exact"/>
        <w:ind w:firstLine="420" w:firstLineChars="200"/>
        <w:rPr>
          <w:rFonts w:hint="eastAsia" w:ascii="宋体" w:hAnsi="宋体" w:cs="Arial"/>
          <w:kern w:val="0"/>
          <w:szCs w:val="21"/>
        </w:rPr>
      </w:pPr>
      <w:r>
        <w:rPr>
          <w:rFonts w:hint="eastAsia" w:ascii="宋体" w:hAnsi="宋体" w:cs="Arial"/>
          <w:kern w:val="0"/>
          <w:szCs w:val="21"/>
        </w:rPr>
        <w:t>1、停电或服务器发生故障而无法访问网页或电子招标投标系统；</w:t>
      </w:r>
    </w:p>
    <w:p w14:paraId="09864F27">
      <w:pPr>
        <w:spacing w:line="420" w:lineRule="exact"/>
        <w:ind w:firstLine="420" w:firstLineChars="200"/>
        <w:rPr>
          <w:rFonts w:hint="eastAsia" w:ascii="宋体" w:hAnsi="宋体" w:cs="Arial"/>
          <w:kern w:val="0"/>
          <w:szCs w:val="21"/>
        </w:rPr>
      </w:pPr>
      <w:r>
        <w:rPr>
          <w:rFonts w:hint="eastAsia" w:ascii="宋体" w:hAnsi="宋体" w:cs="Arial"/>
          <w:kern w:val="0"/>
          <w:szCs w:val="21"/>
        </w:rPr>
        <w:t>2、电子招标投标系统软件或网络数据库出现错误，不能进行正常的操作；</w:t>
      </w:r>
    </w:p>
    <w:p w14:paraId="3E4006FE">
      <w:pPr>
        <w:spacing w:line="420" w:lineRule="exact"/>
        <w:ind w:firstLine="420" w:firstLineChars="200"/>
        <w:rPr>
          <w:rFonts w:hint="eastAsia" w:ascii="宋体" w:hAnsi="宋体" w:cs="Arial"/>
          <w:kern w:val="0"/>
          <w:szCs w:val="21"/>
        </w:rPr>
      </w:pPr>
      <w:r>
        <w:rPr>
          <w:rFonts w:hint="eastAsia" w:ascii="宋体" w:hAnsi="宋体" w:cs="Arial"/>
          <w:kern w:val="0"/>
          <w:szCs w:val="21"/>
        </w:rPr>
        <w:t>3、电子招标投标系统发现有安全漏洞，有潜在的泄密危险；</w:t>
      </w:r>
    </w:p>
    <w:p w14:paraId="6571DA56">
      <w:pPr>
        <w:spacing w:line="420" w:lineRule="exact"/>
        <w:ind w:firstLine="420" w:firstLineChars="200"/>
        <w:rPr>
          <w:rFonts w:hint="eastAsia" w:ascii="宋体" w:hAnsi="宋体" w:cs="Arial"/>
          <w:kern w:val="0"/>
          <w:szCs w:val="21"/>
        </w:rPr>
      </w:pPr>
      <w:r>
        <w:rPr>
          <w:rFonts w:hint="eastAsia" w:ascii="宋体" w:hAnsi="宋体" w:cs="Arial"/>
          <w:kern w:val="0"/>
          <w:szCs w:val="21"/>
        </w:rPr>
        <w:t>4、计算机病毒造成影响；</w:t>
      </w:r>
    </w:p>
    <w:p w14:paraId="40D84536">
      <w:pPr>
        <w:spacing w:line="420" w:lineRule="exact"/>
        <w:ind w:firstLine="420" w:firstLineChars="200"/>
        <w:rPr>
          <w:rFonts w:hint="eastAsia" w:ascii="宋体" w:hAnsi="宋体" w:cs="Arial"/>
          <w:kern w:val="0"/>
          <w:szCs w:val="21"/>
        </w:rPr>
      </w:pPr>
      <w:r>
        <w:rPr>
          <w:rFonts w:hint="eastAsia" w:ascii="宋体" w:hAnsi="宋体" w:cs="Arial"/>
          <w:kern w:val="0"/>
          <w:szCs w:val="21"/>
        </w:rPr>
        <w:t>5、其他无法保证电子招标投标过程的公平、公正和信息安全的意外情况；</w:t>
      </w:r>
    </w:p>
    <w:p w14:paraId="24B06686">
      <w:pPr>
        <w:spacing w:line="420" w:lineRule="exact"/>
        <w:ind w:firstLine="420" w:firstLineChars="200"/>
        <w:rPr>
          <w:rFonts w:hint="eastAsia" w:ascii="宋体" w:hAnsi="宋体" w:cs="Arial"/>
          <w:kern w:val="0"/>
          <w:szCs w:val="21"/>
        </w:rPr>
      </w:pPr>
      <w:r>
        <w:rPr>
          <w:rFonts w:hint="eastAsia" w:ascii="宋体" w:hAnsi="宋体" w:cs="Arial"/>
          <w:kern w:val="0"/>
          <w:szCs w:val="21"/>
        </w:rPr>
        <w:t>6、司法机关、纪检监察等部门依法要求中止或者终止电子招标投标活动的；</w:t>
      </w:r>
    </w:p>
    <w:p w14:paraId="2CDDC8AC">
      <w:pPr>
        <w:spacing w:line="420" w:lineRule="exact"/>
        <w:ind w:firstLine="420" w:firstLineChars="200"/>
        <w:rPr>
          <w:rFonts w:hint="eastAsia" w:ascii="宋体" w:hAnsi="宋体" w:cs="Arial"/>
          <w:kern w:val="0"/>
          <w:szCs w:val="21"/>
        </w:rPr>
      </w:pPr>
      <w:r>
        <w:rPr>
          <w:rFonts w:hint="eastAsia" w:ascii="宋体" w:hAnsi="宋体" w:cs="Arial"/>
          <w:kern w:val="0"/>
          <w:szCs w:val="21"/>
        </w:rPr>
        <w:t>7、市政府依法作出该项目中止或者终止的；</w:t>
      </w:r>
    </w:p>
    <w:p w14:paraId="4136CFA6">
      <w:pPr>
        <w:spacing w:line="420" w:lineRule="exact"/>
        <w:ind w:firstLine="420" w:firstLineChars="200"/>
        <w:rPr>
          <w:rFonts w:hint="eastAsia" w:ascii="宋体" w:hAnsi="宋体" w:cs="Arial"/>
          <w:kern w:val="0"/>
          <w:szCs w:val="21"/>
        </w:rPr>
      </w:pPr>
      <w:r>
        <w:rPr>
          <w:rFonts w:hint="eastAsia" w:ascii="宋体" w:hAnsi="宋体" w:cs="Arial"/>
          <w:kern w:val="0"/>
          <w:szCs w:val="21"/>
        </w:rPr>
        <w:t>8、招标人有正当理由要求中止的；</w:t>
      </w:r>
    </w:p>
    <w:p w14:paraId="767B854E">
      <w:pPr>
        <w:spacing w:line="420" w:lineRule="exact"/>
        <w:ind w:firstLine="420" w:firstLineChars="200"/>
        <w:rPr>
          <w:rFonts w:hint="eastAsia" w:ascii="宋体" w:hAnsi="宋体" w:cs="Arial"/>
          <w:kern w:val="0"/>
          <w:szCs w:val="21"/>
        </w:rPr>
      </w:pPr>
      <w:r>
        <w:rPr>
          <w:rFonts w:hint="eastAsia" w:ascii="宋体" w:hAnsi="宋体" w:cs="Arial"/>
          <w:kern w:val="0"/>
          <w:szCs w:val="21"/>
        </w:rPr>
        <w:t>9、依法应当中止或终止网上招标投标活动的其他情形。</w:t>
      </w:r>
    </w:p>
    <w:p w14:paraId="4E201D6E">
      <w:pPr>
        <w:spacing w:line="420" w:lineRule="exact"/>
        <w:ind w:firstLine="420" w:firstLineChars="200"/>
        <w:rPr>
          <w:rFonts w:hint="eastAsia" w:ascii="宋体" w:hAnsi="宋体" w:cs="Arial"/>
          <w:kern w:val="0"/>
          <w:szCs w:val="21"/>
        </w:rPr>
      </w:pPr>
      <w:r>
        <w:rPr>
          <w:rFonts w:hint="eastAsia" w:ascii="宋体" w:hAnsi="宋体" w:cs="Arial"/>
          <w:kern w:val="0"/>
          <w:szCs w:val="21"/>
        </w:rPr>
        <w:t>（二）对电子招标投标过程中出现的意外情况，</w:t>
      </w:r>
      <w:r>
        <w:rPr>
          <w:rFonts w:hint="eastAsia" w:ascii="宋体" w:hAnsi="宋体" w:cs="Arial"/>
          <w:kern w:val="0"/>
          <w:szCs w:val="21"/>
          <w:highlight w:val="none"/>
        </w:rPr>
        <w:t>水行政主管部门有解释权</w:t>
      </w:r>
      <w:r>
        <w:rPr>
          <w:rFonts w:hint="eastAsia" w:ascii="宋体" w:hAnsi="宋体" w:cs="Arial"/>
          <w:kern w:val="0"/>
          <w:szCs w:val="21"/>
        </w:rPr>
        <w:t>和处理权。</w:t>
      </w:r>
    </w:p>
    <w:p w14:paraId="20C3E4B0">
      <w:pPr>
        <w:spacing w:line="420" w:lineRule="exact"/>
        <w:ind w:firstLine="420" w:firstLineChars="200"/>
        <w:rPr>
          <w:rFonts w:hint="eastAsia" w:ascii="宋体" w:hAnsi="宋体" w:cs="Arial"/>
          <w:kern w:val="0"/>
          <w:szCs w:val="21"/>
        </w:rPr>
      </w:pPr>
      <w:r>
        <w:rPr>
          <w:rFonts w:hint="eastAsia" w:ascii="宋体" w:hAnsi="宋体" w:cs="Arial"/>
          <w:kern w:val="0"/>
          <w:szCs w:val="21"/>
        </w:rPr>
        <w:t>（三）电子招标投标中止、终止或者结束后，招标人（招标代理）应将电子招标投标活动的记录下载打印成纸质文档存档。</w:t>
      </w:r>
    </w:p>
    <w:p w14:paraId="5C18C5F4">
      <w:pPr>
        <w:spacing w:line="420" w:lineRule="exact"/>
        <w:ind w:firstLine="420" w:firstLineChars="200"/>
        <w:rPr>
          <w:rFonts w:hint="eastAsia" w:ascii="宋体" w:hAnsi="宋体" w:cs="Arial"/>
          <w:kern w:val="0"/>
          <w:szCs w:val="21"/>
        </w:rPr>
      </w:pPr>
      <w:r>
        <w:rPr>
          <w:rFonts w:hint="eastAsia" w:ascii="宋体" w:hAnsi="宋体" w:cs="Arial"/>
          <w:kern w:val="0"/>
          <w:szCs w:val="21"/>
        </w:rPr>
        <w:t>中标单位应将纸质标书制作要求打印并装订成册，加盖单位公章后送招标人、招标代理、主管部门等单位存档。</w:t>
      </w:r>
    </w:p>
    <w:p w14:paraId="4C145A8E">
      <w:pPr>
        <w:spacing w:line="420" w:lineRule="exact"/>
        <w:ind w:firstLine="420" w:firstLineChars="200"/>
        <w:rPr>
          <w:rFonts w:hint="eastAsia" w:ascii="宋体" w:hAnsi="宋体" w:cs="Arial"/>
          <w:kern w:val="0"/>
          <w:szCs w:val="21"/>
        </w:rPr>
      </w:pPr>
      <w:r>
        <w:rPr>
          <w:rFonts w:hint="eastAsia" w:ascii="宋体" w:hAnsi="宋体" w:cs="Arial"/>
          <w:kern w:val="0"/>
          <w:szCs w:val="21"/>
        </w:rPr>
        <w:t>（四）投标人在电子招标投标活动中实施的行为所产生的后果，由投标人承担。</w:t>
      </w:r>
    </w:p>
    <w:p w14:paraId="6ED2A9E0">
      <w:pPr>
        <w:spacing w:line="420" w:lineRule="exact"/>
        <w:ind w:firstLine="420" w:firstLineChars="200"/>
        <w:rPr>
          <w:rFonts w:hint="eastAsia" w:ascii="宋体" w:hAnsi="宋体" w:cs="Arial"/>
          <w:kern w:val="0"/>
          <w:szCs w:val="21"/>
        </w:rPr>
      </w:pPr>
      <w:r>
        <w:rPr>
          <w:rFonts w:hint="eastAsia" w:ascii="宋体" w:hAnsi="宋体" w:cs="Arial"/>
          <w:kern w:val="0"/>
          <w:szCs w:val="21"/>
        </w:rPr>
        <w:t>1、投标人的数字证书和密码丢失或被他人冒用、盗用的后果，由投标人承担。</w:t>
      </w:r>
    </w:p>
    <w:p w14:paraId="69E0AD82">
      <w:pPr>
        <w:spacing w:line="420" w:lineRule="exact"/>
        <w:ind w:firstLine="420" w:firstLineChars="200"/>
        <w:rPr>
          <w:rFonts w:hint="eastAsia" w:ascii="宋体" w:hAnsi="宋体" w:cs="Arial"/>
          <w:kern w:val="0"/>
          <w:szCs w:val="21"/>
        </w:rPr>
      </w:pPr>
      <w:r>
        <w:rPr>
          <w:rFonts w:hint="eastAsia" w:ascii="宋体" w:hAnsi="宋体" w:cs="Arial"/>
          <w:kern w:val="0"/>
          <w:szCs w:val="21"/>
        </w:rPr>
        <w:t>2、使用他人数字证书或把数字证书借给他人使用的，作串通投标处理。</w:t>
      </w:r>
    </w:p>
    <w:p w14:paraId="52C533E4">
      <w:pPr>
        <w:spacing w:line="420" w:lineRule="exact"/>
        <w:ind w:firstLine="420" w:firstLineChars="200"/>
        <w:rPr>
          <w:rFonts w:hint="eastAsia" w:ascii="宋体" w:hAnsi="宋体" w:cs="Arial"/>
          <w:kern w:val="0"/>
          <w:szCs w:val="21"/>
        </w:rPr>
      </w:pPr>
      <w:r>
        <w:rPr>
          <w:rFonts w:hint="eastAsia" w:ascii="宋体" w:hAnsi="宋体" w:cs="Arial"/>
          <w:kern w:val="0"/>
          <w:szCs w:val="21"/>
        </w:rPr>
        <w:t>3、因投标人计算机系统遭遇网络堵塞、病毒入侵、硬件故障等不能正常登录网上招标投标系统投标的，后果由投标人承担，电子招标投标活动继续进行。</w:t>
      </w:r>
    </w:p>
    <w:p w14:paraId="495779F2">
      <w:pPr>
        <w:spacing w:line="420" w:lineRule="exact"/>
        <w:ind w:firstLine="420" w:firstLineChars="200"/>
        <w:rPr>
          <w:rFonts w:hint="eastAsia" w:ascii="宋体" w:hAnsi="宋体" w:cs="Arial"/>
          <w:kern w:val="0"/>
          <w:szCs w:val="21"/>
        </w:rPr>
      </w:pPr>
      <w:r>
        <w:rPr>
          <w:rFonts w:hint="eastAsia" w:ascii="宋体" w:hAnsi="宋体" w:cs="Arial"/>
          <w:kern w:val="0"/>
          <w:szCs w:val="21"/>
        </w:rPr>
        <w:t>4、经计算机评标系统检测到投标人所编制的电子投标文件与其他投标人的电子投标文件由同一台电脑编制或上传的（通过交易中心计算机编制或上传的除外），即被判断为串通投标行为，投标无效，并按相关法规进行处罚。</w:t>
      </w:r>
    </w:p>
    <w:p w14:paraId="2B85EF35">
      <w:pPr>
        <w:spacing w:line="420" w:lineRule="exact"/>
        <w:ind w:firstLine="420" w:firstLineChars="200"/>
        <w:rPr>
          <w:rFonts w:hint="eastAsia" w:ascii="宋体" w:hAnsi="宋体" w:cs="Arial"/>
          <w:kern w:val="0"/>
          <w:szCs w:val="21"/>
        </w:rPr>
      </w:pPr>
      <w:r>
        <w:rPr>
          <w:rFonts w:hint="eastAsia" w:ascii="宋体" w:hAnsi="宋体" w:cs="Arial"/>
          <w:kern w:val="0"/>
          <w:szCs w:val="21"/>
        </w:rPr>
        <w:t>（五）电子评标的项目，投标人须递交具备法律效力的电子投标文件，不再提供纸质投标文件。</w:t>
      </w:r>
    </w:p>
    <w:p w14:paraId="049C85E3">
      <w:pPr>
        <w:spacing w:line="420" w:lineRule="exact"/>
        <w:ind w:firstLine="420" w:firstLineChars="200"/>
        <w:rPr>
          <w:rFonts w:hint="eastAsia" w:ascii="宋体" w:hAnsi="宋体" w:cs="Arial"/>
          <w:kern w:val="0"/>
          <w:szCs w:val="21"/>
        </w:rPr>
      </w:pPr>
      <w:r>
        <w:rPr>
          <w:rFonts w:hint="eastAsia" w:ascii="宋体" w:hAnsi="宋体" w:cs="Arial"/>
          <w:kern w:val="0"/>
          <w:szCs w:val="21"/>
        </w:rPr>
        <w:t>（六）为规范电子评标项目工程量清单的填报，请各投标人在填报工程量清单时认真按照招标人提供的工程量清单填报，任何的不一致将导致计算机不能读取而作废标处理。</w:t>
      </w:r>
    </w:p>
    <w:p w14:paraId="4786473C">
      <w:pPr>
        <w:spacing w:line="420" w:lineRule="exact"/>
        <w:ind w:firstLine="420" w:firstLineChars="200"/>
        <w:rPr>
          <w:rFonts w:hint="eastAsia" w:ascii="宋体" w:hAnsi="宋体" w:cs="Arial"/>
          <w:kern w:val="0"/>
          <w:szCs w:val="21"/>
        </w:rPr>
      </w:pPr>
      <w:r>
        <w:rPr>
          <w:rFonts w:hint="eastAsia" w:ascii="宋体" w:hAnsi="宋体" w:cs="Arial"/>
          <w:kern w:val="0"/>
          <w:szCs w:val="21"/>
        </w:rPr>
        <w:t>（七）《标准施工招标文件》（试行）中的“原件扫描件”要求，涉及两方面：一是投标单位按招标文件要求编制投标文件并签字盖章后的扫描件；二是招标文件要求投标文件应附上的营业执照、资质证书、安全生产许可证、注册建造师证、安全考核合格证、岗位证、身份证等证书（或证件）以及社保证明、租赁协议、购买发票等文件的扫描件。针对以上问题，明确如下:</w:t>
      </w:r>
    </w:p>
    <w:p w14:paraId="17FFC049">
      <w:pPr>
        <w:spacing w:line="420" w:lineRule="exact"/>
        <w:ind w:firstLine="420" w:firstLineChars="200"/>
        <w:rPr>
          <w:rFonts w:hint="eastAsia" w:ascii="宋体" w:hAnsi="宋体" w:cs="Arial"/>
          <w:kern w:val="0"/>
          <w:szCs w:val="21"/>
        </w:rPr>
      </w:pPr>
      <w:r>
        <w:rPr>
          <w:rFonts w:hint="eastAsia" w:ascii="宋体" w:hAnsi="宋体" w:cs="Arial"/>
          <w:kern w:val="0"/>
          <w:szCs w:val="21"/>
        </w:rPr>
        <w:t>1、投标单位须按招标文件要求编制投标文件并签字盖章后扫描；</w:t>
      </w:r>
    </w:p>
    <w:p w14:paraId="6CB6DA7F">
      <w:pPr>
        <w:spacing w:line="420" w:lineRule="exact"/>
        <w:ind w:firstLine="420" w:firstLineChars="200"/>
        <w:rPr>
          <w:rFonts w:hint="eastAsia" w:ascii="宋体" w:hAnsi="宋体" w:cs="Arial"/>
          <w:kern w:val="0"/>
          <w:szCs w:val="21"/>
        </w:rPr>
      </w:pPr>
      <w:r>
        <w:rPr>
          <w:rFonts w:hint="eastAsia" w:ascii="宋体" w:hAnsi="宋体" w:cs="Arial"/>
          <w:kern w:val="0"/>
          <w:szCs w:val="21"/>
        </w:rPr>
        <w:t xml:space="preserve">2、关于招标文件要求投标文件应附上的相关证书、证件或文件问题。投标单位可直接用相关证书、证件或文件的原件进行扫描，也可将相关证书、证件或文件复印后再进行扫描。 </w:t>
      </w:r>
    </w:p>
    <w:p w14:paraId="4EB84281">
      <w:pPr>
        <w:spacing w:line="420" w:lineRule="exact"/>
        <w:ind w:firstLine="420" w:firstLineChars="200"/>
        <w:rPr>
          <w:rFonts w:hint="eastAsia" w:ascii="宋体" w:hAnsi="宋体" w:cs="Arial"/>
          <w:kern w:val="0"/>
          <w:szCs w:val="21"/>
        </w:rPr>
      </w:pPr>
      <w:r>
        <w:rPr>
          <w:rFonts w:hint="eastAsia" w:ascii="宋体" w:hAnsi="宋体" w:cs="Arial"/>
          <w:kern w:val="0"/>
          <w:szCs w:val="21"/>
        </w:rPr>
        <w:t>3、扫描件采用JPG格式，不强调颜色（彩色或黑白均可）、尺寸（允许细微偏差）、盖章（复印后盖章或盖章后扫描均可）等细节问题，但须确保评标委员会能辨认投标文件关键技术、重要响应等实质性内容。</w:t>
      </w:r>
    </w:p>
    <w:p w14:paraId="6E8F2781">
      <w:pPr>
        <w:spacing w:line="360" w:lineRule="auto"/>
        <w:ind w:firstLine="420" w:firstLineChars="200"/>
        <w:rPr>
          <w:rFonts w:hint="eastAsia" w:ascii="宋体" w:hAnsi="宋体"/>
          <w:szCs w:val="21"/>
        </w:rPr>
      </w:pPr>
      <w:r>
        <w:rPr>
          <w:rFonts w:hint="eastAsia" w:ascii="宋体" w:hAnsi="宋体"/>
          <w:szCs w:val="21"/>
        </w:rPr>
        <w:t>（八）目前电子招标投标项目须投标人递交电子投标文件一份（在投标截止前上传），若</w:t>
      </w:r>
      <w:r>
        <w:rPr>
          <w:rFonts w:hint="eastAsia" w:ascii="宋体" w:hAnsi="宋体"/>
          <w:szCs w:val="21"/>
          <w:lang w:eastAsia="zh-CN"/>
        </w:rPr>
        <w:t>电子招投标</w:t>
      </w:r>
      <w:r>
        <w:rPr>
          <w:rFonts w:hint="eastAsia" w:ascii="宋体" w:hAnsi="宋体"/>
          <w:szCs w:val="21"/>
        </w:rPr>
        <w:t>系统出现故障、停电等原因导致招标失败的，可另行安排时间进行开标评标。</w:t>
      </w:r>
    </w:p>
    <w:p w14:paraId="20E90A1D">
      <w:pPr>
        <w:tabs>
          <w:tab w:val="left" w:pos="424"/>
        </w:tabs>
        <w:spacing w:line="360" w:lineRule="auto"/>
        <w:ind w:firstLine="723" w:firstLineChars="300"/>
        <w:rPr>
          <w:rFonts w:hint="eastAsia"/>
          <w:b/>
        </w:rPr>
      </w:pPr>
      <w:r>
        <w:rPr>
          <w:rFonts w:hint="eastAsia"/>
          <w:b/>
          <w:sz w:val="24"/>
        </w:rPr>
        <w:t>10.6</w:t>
      </w:r>
      <w:r>
        <w:rPr>
          <w:rFonts w:hint="eastAsia"/>
          <w:b/>
        </w:rPr>
        <w:t xml:space="preserve"> 投标注意事项</w:t>
      </w:r>
    </w:p>
    <w:p w14:paraId="259F3BEC">
      <w:pPr>
        <w:tabs>
          <w:tab w:val="left" w:pos="424"/>
        </w:tabs>
        <w:spacing w:line="360" w:lineRule="auto"/>
        <w:ind w:firstLine="420" w:firstLineChars="200"/>
        <w:rPr>
          <w:rFonts w:hint="eastAsia" w:ascii="宋体" w:hAnsi="宋体"/>
          <w:szCs w:val="21"/>
        </w:rPr>
      </w:pPr>
      <w:r>
        <w:rPr>
          <w:rFonts w:hint="eastAsia" w:ascii="宋体" w:hAnsi="宋体"/>
          <w:szCs w:val="21"/>
        </w:rPr>
        <w:t>（1）招标文件的解释权归招标人所有。</w:t>
      </w:r>
    </w:p>
    <w:p w14:paraId="329B9F57">
      <w:pPr>
        <w:tabs>
          <w:tab w:val="left" w:pos="424"/>
        </w:tabs>
        <w:spacing w:line="360" w:lineRule="auto"/>
        <w:ind w:firstLine="420" w:firstLineChars="200"/>
        <w:rPr>
          <w:rFonts w:hint="eastAsia" w:ascii="宋体" w:hAnsi="宋体"/>
          <w:szCs w:val="21"/>
        </w:rPr>
      </w:pPr>
      <w:r>
        <w:rPr>
          <w:rFonts w:hint="eastAsia" w:ascii="宋体" w:hAnsi="宋体"/>
          <w:szCs w:val="21"/>
        </w:rPr>
        <w:t>（2）招标人向投标人提供的资料和数据，是招标人现有的能使投标人利用的资料，招标人对投标人由此而作出的推论、理解和结论概不负责。</w:t>
      </w:r>
    </w:p>
    <w:p w14:paraId="2121EC75">
      <w:pPr>
        <w:tabs>
          <w:tab w:val="left" w:pos="424"/>
        </w:tabs>
        <w:spacing w:line="360" w:lineRule="auto"/>
        <w:ind w:firstLine="420" w:firstLineChars="200"/>
        <w:rPr>
          <w:rFonts w:hint="eastAsia" w:ascii="宋体" w:hAnsi="宋体"/>
          <w:szCs w:val="21"/>
        </w:rPr>
      </w:pPr>
      <w:r>
        <w:rPr>
          <w:rFonts w:hint="eastAsia" w:ascii="宋体" w:hAnsi="宋体"/>
          <w:szCs w:val="21"/>
        </w:rPr>
        <w:t>（3）投标人应认真审阅招标文件，尽力澄清一切疑点，有必要可自行对工程现场和周围环境进行踏勘（投标人踏勘项目现场所发生的费用和意外事故责任，由投标人负责），以获取编制投标文件和签署合同所需的所有资料，不响应招标文件要求的投标文件将被拒绝，责任由投标人自负。</w:t>
      </w:r>
    </w:p>
    <w:p w14:paraId="555BB701">
      <w:pPr>
        <w:tabs>
          <w:tab w:val="left" w:pos="424"/>
        </w:tabs>
        <w:spacing w:line="360" w:lineRule="auto"/>
        <w:ind w:firstLine="420" w:firstLineChars="200"/>
        <w:rPr>
          <w:rFonts w:hint="eastAsia" w:ascii="宋体" w:hAnsi="宋体"/>
          <w:szCs w:val="21"/>
        </w:rPr>
      </w:pPr>
      <w:r>
        <w:rPr>
          <w:rFonts w:hint="eastAsia" w:ascii="宋体" w:hAnsi="宋体"/>
          <w:szCs w:val="21"/>
        </w:rPr>
        <w:t>（4）投标人应认真阅读和理解招标文件中所有的须知条件、格式要求、条款及有关资料、补充通知，如有疑问或不明确的地方应及时向招标人提出。如果投标人编制的投标文件实质上不响应招标文件的要求或发生误解等错误导致其投标文件被招标人拒绝接受或被评标委员会界定为无效标，由此引起的损失由投标人自己承担。</w:t>
      </w:r>
    </w:p>
    <w:p w14:paraId="3E5283E6">
      <w:pPr>
        <w:tabs>
          <w:tab w:val="left" w:pos="424"/>
        </w:tabs>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中标人</w:t>
      </w:r>
      <w:r>
        <w:rPr>
          <w:rFonts w:hint="eastAsia" w:ascii="宋体" w:hAnsi="宋体" w:eastAsia="宋体" w:cs="Times New Roman"/>
          <w:szCs w:val="21"/>
          <w:highlight w:val="none"/>
          <w:lang w:eastAsia="zh-CN"/>
        </w:rPr>
        <w:t>必须自中标通知书发出之日起三十日内与招标人签订合同，配合招标人办理质量监督手续、开工备案，做好施工准备，并按招标文件要求和投标文件承诺派驻项目管理人员，确保工程按照各阶段时间节点要求实施开展，否则按照违约进行处理，相关情况报行政监督部门认定后记不良行为记录。</w:t>
      </w:r>
    </w:p>
    <w:p w14:paraId="4A8CE768">
      <w:pPr>
        <w:tabs>
          <w:tab w:val="left" w:pos="424"/>
        </w:tabs>
        <w:spacing w:line="360" w:lineRule="auto"/>
        <w:ind w:firstLine="422" w:firstLineChars="200"/>
        <w:rPr>
          <w:rFonts w:ascii="宋体" w:hAnsi="宋体"/>
          <w:szCs w:val="21"/>
        </w:rPr>
      </w:pPr>
      <w:r>
        <w:rPr>
          <w:rFonts w:hint="eastAsia" w:ascii="宋体" w:hAnsi="宋体"/>
          <w:b/>
          <w:szCs w:val="21"/>
        </w:rPr>
        <w:t>10.7合同价格和承包标准</w:t>
      </w:r>
    </w:p>
    <w:p w14:paraId="2935AE5E">
      <w:pPr>
        <w:spacing w:line="360" w:lineRule="auto"/>
        <w:ind w:firstLine="420" w:firstLineChars="200"/>
        <w:rPr>
          <w:rFonts w:hint="eastAsia"/>
          <w:bCs/>
        </w:rPr>
      </w:pPr>
      <w:r>
        <w:rPr>
          <w:rFonts w:hint="eastAsia"/>
        </w:rPr>
        <w:t>（</w:t>
      </w:r>
      <w:r>
        <w:t>1</w:t>
      </w:r>
      <w:r>
        <w:rPr>
          <w:rFonts w:hint="eastAsia"/>
        </w:rPr>
        <w:t>）工程量清单按</w:t>
      </w:r>
      <w:r>
        <w:rPr>
          <w:rFonts w:hint="eastAsia" w:ascii="宋体" w:hAnsi="宋体"/>
          <w:szCs w:val="21"/>
        </w:rPr>
        <w:t>有关工程量清单计价规范、工程量计算规范的国家、省、市的标准和规定进行</w:t>
      </w:r>
      <w:r>
        <w:rPr>
          <w:rFonts w:hint="eastAsia"/>
        </w:rPr>
        <w:t>编制</w:t>
      </w:r>
      <w:r>
        <w:rPr>
          <w:rFonts w:hint="eastAsia" w:ascii="宋体" w:hAnsi="宋体"/>
          <w:szCs w:val="21"/>
        </w:rPr>
        <w:t>。</w:t>
      </w:r>
      <w:r>
        <w:rPr>
          <w:rFonts w:hint="eastAsia"/>
          <w:bCs/>
        </w:rPr>
        <w:t>工程量清单应与投标人须知、合同通用条款、合同专用条款、技术规范、技术要求、图纸等文件及结合起来理解或解释。</w:t>
      </w:r>
    </w:p>
    <w:p w14:paraId="76671E5D">
      <w:pPr>
        <w:spacing w:line="360" w:lineRule="auto"/>
        <w:ind w:firstLine="420" w:firstLineChars="200"/>
        <w:rPr>
          <w:rFonts w:hint="eastAsia"/>
        </w:rPr>
      </w:pPr>
      <w:r>
        <w:rPr>
          <w:rFonts w:hint="eastAsia"/>
          <w:bCs/>
        </w:rPr>
        <w:t>（</w:t>
      </w:r>
      <w:r>
        <w:rPr>
          <w:bCs/>
        </w:rPr>
        <w:t>2</w:t>
      </w:r>
      <w:r>
        <w:rPr>
          <w:rFonts w:hint="eastAsia"/>
          <w:bCs/>
        </w:rPr>
        <w:t>）</w:t>
      </w:r>
      <w:r>
        <w:rPr>
          <w:rFonts w:hint="eastAsia"/>
        </w:rPr>
        <w:t>招标人根据全套施工设计图纸，按照招标文件的有关规定，委托有资质的工程造价咨询企业编制中介预算。其材料价格按广东省建设工程造价管理总站中山市分站发布的《中山市建设工程主要建筑市政安装材料信息价》编制或同期市场价格。</w:t>
      </w:r>
    </w:p>
    <w:p w14:paraId="1716D3DE">
      <w:pPr>
        <w:spacing w:line="360" w:lineRule="auto"/>
        <w:ind w:firstLine="360"/>
      </w:pPr>
      <w:r>
        <w:rPr>
          <w:rFonts w:hint="eastAsia"/>
        </w:rPr>
        <w:t>（3）投标人的投标价，应是完成本项目招标范围内的全部工程的投标总报价。投标人应认真填写工程量清单中所列明的所有需要填写综合单价和合价的项目，且只允许有一个报价。投标人没有填入综合单价和合价的项目，招标人将不予支付，并认为该费用已包括在工程量清单中其他项目的综合单价和合价中。</w:t>
      </w:r>
    </w:p>
    <w:p w14:paraId="7A3E0A85">
      <w:pPr>
        <w:spacing w:line="360" w:lineRule="auto"/>
        <w:ind w:firstLine="360"/>
        <w:rPr>
          <w:bCs/>
        </w:rPr>
      </w:pPr>
      <w:r>
        <w:rPr>
          <w:rFonts w:hint="eastAsia"/>
          <w:bCs/>
        </w:rPr>
        <w:t>（4）工程量清单中所填入的综合单价为按技术规范与技术要求完成一个规定计量单位的工程所需的人工费、材料费、材料转运费、机械使用费、管理费、利润并考虑风险因素。按技术规范、招标文件、设计图纸、国标《建设工程工程量清单计价规范》、有关现行计价依据及办法等要求为完成一个规定计量单位的工程量所需的其他一切费用已包含在工程量清单各项目综合单价中。</w:t>
      </w:r>
    </w:p>
    <w:p w14:paraId="2EDFBA2C">
      <w:pPr>
        <w:spacing w:line="360" w:lineRule="auto"/>
        <w:ind w:firstLine="480"/>
        <w:rPr>
          <w:b/>
        </w:rPr>
      </w:pPr>
      <w:r>
        <w:rPr>
          <w:rFonts w:hint="eastAsia"/>
          <w:b/>
          <w:bCs/>
        </w:rPr>
        <w:t>提示</w:t>
      </w:r>
      <w:r>
        <w:rPr>
          <w:rFonts w:hint="eastAsia"/>
          <w:b/>
        </w:rPr>
        <w:t>：投标人所填报的该项单价均已包含了完成与该分部分项工程有关的一切必要的工序和工作内容以及达到合格工程质量要求的一切工程费用和措施性费用（措施项目清单内单列的除外），即包含工程量清单中没有体现的但施工中必须发生的一切工作内容所需费用。</w:t>
      </w:r>
    </w:p>
    <w:p w14:paraId="37B417BF">
      <w:pPr>
        <w:spacing w:line="360" w:lineRule="auto"/>
        <w:ind w:firstLine="360"/>
        <w:rPr>
          <w:rFonts w:hint="eastAsia"/>
        </w:rPr>
      </w:pPr>
      <w:r>
        <w:rPr>
          <w:rFonts w:hint="eastAsia"/>
        </w:rPr>
        <w:t>（5）承包人因承包本项目需缴纳的一切税费均由承包人承担，并包含在所报的单价或总价中。</w:t>
      </w:r>
    </w:p>
    <w:p w14:paraId="1063E72E">
      <w:pPr>
        <w:spacing w:line="360" w:lineRule="auto"/>
        <w:ind w:firstLine="420" w:firstLineChars="200"/>
        <w:outlineLvl w:val="9"/>
        <w:rPr>
          <w:rFonts w:hint="eastAsia" w:ascii="Times New Roman" w:hAnsi="Times New Roman" w:eastAsia="宋体" w:cs="Times New Roman"/>
          <w:highlight w:val="none"/>
        </w:rPr>
      </w:pPr>
      <w:r>
        <w:rPr>
          <w:rFonts w:hint="eastAsia" w:ascii="Times New Roman" w:hAnsi="Times New Roman" w:eastAsia="宋体" w:cs="Times New Roman"/>
          <w:highlight w:val="none"/>
        </w:rPr>
        <w:t>（6）</w:t>
      </w:r>
      <w:r>
        <w:rPr>
          <w:rFonts w:hint="eastAsia" w:ascii="Times New Roman" w:hAnsi="Times New Roman" w:eastAsia="宋体" w:cs="Times New Roman"/>
          <w:color w:val="auto"/>
          <w:highlight w:val="none"/>
        </w:rPr>
        <w:t>投标人应核对全部工程量清单（或调整后工程量清单）、图纸项目和招标范围说明，如果认为工程量清单存在项目特征描述不符、错漏或误差，或对施工图设计文件有疑问的，</w:t>
      </w:r>
      <w:r>
        <w:rPr>
          <w:rFonts w:hint="eastAsia" w:ascii="Times New Roman" w:hAnsi="Times New Roman" w:eastAsia="宋体" w:cs="Times New Roman"/>
          <w:color w:val="auto"/>
          <w:highlight w:val="none"/>
          <w:lang w:val="en-US" w:eastAsia="zh-CN"/>
        </w:rPr>
        <w:t>应</w:t>
      </w:r>
      <w:r>
        <w:rPr>
          <w:rFonts w:hint="eastAsia" w:ascii="Times New Roman" w:hAnsi="Times New Roman" w:eastAsia="宋体" w:cs="Times New Roman"/>
          <w:color w:val="auto"/>
          <w:highlight w:val="none"/>
        </w:rPr>
        <w:t>按投标人须知前附表规定的时间</w:t>
      </w:r>
      <w:r>
        <w:rPr>
          <w:rFonts w:hint="eastAsia" w:ascii="Times New Roman" w:hAnsi="Times New Roman" w:eastAsia="宋体" w:cs="Times New Roman"/>
          <w:color w:val="auto"/>
          <w:highlight w:val="none"/>
          <w:lang w:val="en-US" w:eastAsia="zh-CN"/>
        </w:rPr>
        <w:t>和方式</w:t>
      </w:r>
      <w:r>
        <w:rPr>
          <w:rFonts w:hint="eastAsia" w:ascii="Times New Roman" w:hAnsi="Times New Roman" w:eastAsia="宋体" w:cs="Times New Roman"/>
          <w:color w:val="auto"/>
          <w:highlight w:val="none"/>
        </w:rPr>
        <w:t>提出（书面意见中必须提供具体、完整的的工程量计算式），</w:t>
      </w:r>
      <w:r>
        <w:rPr>
          <w:rFonts w:hint="eastAsia" w:ascii="Times New Roman" w:hAnsi="Times New Roman" w:eastAsia="宋体" w:cs="Times New Roman"/>
          <w:color w:val="auto"/>
          <w:szCs w:val="24"/>
          <w:highlight w:val="none"/>
        </w:rPr>
        <w:t>招标人（招标代理）收集相关问题，组织有关单位人员研究</w:t>
      </w:r>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highlight w:val="none"/>
        </w:rPr>
        <w:t>据实调整并重新发布工程量清单和调整中介预算价</w:t>
      </w:r>
      <w:r>
        <w:rPr>
          <w:rFonts w:hint="eastAsia" w:ascii="Times New Roman" w:hAnsi="Times New Roman" w:eastAsia="宋体" w:cs="Times New Roman"/>
          <w:color w:val="auto"/>
          <w:szCs w:val="24"/>
          <w:highlight w:val="none"/>
        </w:rPr>
        <w:t>并形成答疑纪要，在中山市公共资源交易平台（公共服务系统）“建设工程--答疑、澄清”栏目发布答疑纪要（补遗书）</w:t>
      </w:r>
      <w:r>
        <w:rPr>
          <w:rFonts w:hint="eastAsia" w:ascii="Times New Roman" w:hAnsi="Times New Roman" w:eastAsia="宋体" w:cs="Times New Roman"/>
          <w:color w:val="auto"/>
          <w:szCs w:val="24"/>
          <w:highlight w:val="none"/>
          <w:lang w:eastAsia="zh-CN"/>
        </w:rPr>
        <w:t>。</w:t>
      </w:r>
    </w:p>
    <w:p w14:paraId="6C04A5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highlight w:val="green"/>
        </w:rPr>
      </w:pPr>
      <w:r>
        <w:rPr>
          <w:rFonts w:hint="eastAsia"/>
          <w:highlight w:val="none"/>
        </w:rPr>
        <w:t>投标人按工程量清单（或调整后工程量清单）报价，中标后按招标图纸（招标范围内项目）施工。除了因不可预见、设计修改、材料或人工单价调整</w:t>
      </w:r>
      <w:r>
        <w:rPr>
          <w:rFonts w:hint="eastAsia"/>
          <w:highlight w:val="none"/>
          <w:lang w:eastAsia="zh-CN"/>
        </w:rPr>
        <w:t>、</w:t>
      </w:r>
      <w:r>
        <w:rPr>
          <w:rFonts w:hint="eastAsia"/>
          <w:highlight w:val="none"/>
        </w:rPr>
        <w:t>投标截止日期后因国家、省政策变更引起的价格调整</w:t>
      </w:r>
      <w:r>
        <w:rPr>
          <w:rFonts w:hint="eastAsia"/>
          <w:highlight w:val="none"/>
          <w:lang w:eastAsia="zh-CN"/>
        </w:rPr>
        <w:t>以及本招标文件合同专用条款中关于价格调整的规定</w:t>
      </w:r>
      <w:r>
        <w:rPr>
          <w:rFonts w:hint="eastAsia"/>
          <w:highlight w:val="none"/>
        </w:rPr>
        <w:t>等可以调整价格外，报价不予调整。</w:t>
      </w:r>
    </w:p>
    <w:p w14:paraId="339976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7）本项目要求水土保持措施与主体工程同步实施（分阶段），承包人应当根据设计要求及水土保持相关规范规程采取有效水土保持措施，严格控制施工扰动范围，禁止随意占压破坏地表植被，防止水土流失。工程实施时，由承包人按设计要求分阶段制定水土保持措施（包括植被保护措施、临时防护措施、弃土弃渣等）的施工计划，报监理单位审核，业主确认后实施。实施完成后由业主组织设计、监理等单位开展对水土保持措施的联合验收，形成验收报告备查</w:t>
      </w:r>
      <w:r>
        <w:rPr>
          <w:rFonts w:hint="eastAsia"/>
          <w:highlight w:val="none"/>
        </w:rPr>
        <w:t>。水行政主管部门将加强对</w:t>
      </w:r>
      <w:r>
        <w:rPr>
          <w:rFonts w:hint="eastAsia"/>
        </w:rPr>
        <w:t>水土保持措施的监管，如在日常检查、专项检查、双随机检查中发现未按上述规定落实水土保持措施或未组织联合验收的，发包人在工程结算时扣除相应的水土保持措施费用。</w:t>
      </w:r>
    </w:p>
    <w:p w14:paraId="20FCAF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（8）承包人应切实做好农民工工资支付保障工作。</w:t>
      </w:r>
    </w:p>
    <w:p w14:paraId="5A1820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lang w:val="en-US" w:eastAsia="zh-CN"/>
        </w:rPr>
        <w:t>1）</w:t>
      </w:r>
      <w:r>
        <w:rPr>
          <w:rFonts w:hint="eastAsia"/>
          <w:color w:val="auto"/>
          <w:highlight w:val="none"/>
        </w:rPr>
        <w:t>落实工资保证金制度。在项目开工前，承包人须按合同造价的3％</w:t>
      </w:r>
      <w:r>
        <w:rPr>
          <w:rFonts w:hint="eastAsia" w:ascii="宋体" w:hAnsi="宋体"/>
          <w:color w:val="auto"/>
          <w:szCs w:val="21"/>
          <w:highlight w:val="none"/>
        </w:rPr>
        <w:t>（最高不超过</w:t>
      </w:r>
      <w:r>
        <w:rPr>
          <w:rFonts w:hint="eastAsia" w:ascii="宋体" w:hAnsi="宋体"/>
          <w:color w:val="auto"/>
          <w:szCs w:val="21"/>
          <w:highlight w:val="none"/>
          <w:lang w:val="en-US" w:eastAsia="zh-CN"/>
        </w:rPr>
        <w:t>5</w:t>
      </w:r>
      <w:r>
        <w:rPr>
          <w:rFonts w:hint="eastAsia" w:ascii="宋体" w:hAnsi="宋体"/>
          <w:color w:val="auto"/>
          <w:szCs w:val="21"/>
          <w:highlight w:val="none"/>
        </w:rPr>
        <w:t>00万元，含本数）</w:t>
      </w:r>
      <w:r>
        <w:rPr>
          <w:rFonts w:hint="eastAsia"/>
          <w:color w:val="auto"/>
          <w:highlight w:val="none"/>
        </w:rPr>
        <w:t>向发包人缴纳工人工资保证金，缴纳方式可采用</w:t>
      </w:r>
      <w:r>
        <w:rPr>
          <w:rFonts w:hint="eastAsia" w:ascii="宋体" w:hAnsi="宋体"/>
          <w:szCs w:val="21"/>
          <w:lang w:eastAsia="zh-CN"/>
        </w:rPr>
        <w:t>银行</w:t>
      </w:r>
      <w:r>
        <w:rPr>
          <w:rFonts w:hint="eastAsia" w:ascii="宋体" w:hAnsi="宋体"/>
          <w:szCs w:val="21"/>
        </w:rPr>
        <w:t>转账或</w:t>
      </w:r>
      <w:r>
        <w:rPr>
          <w:rFonts w:hint="eastAsia" w:ascii="宋体" w:hAnsi="宋体" w:cs="宋体"/>
          <w:kern w:val="0"/>
          <w:szCs w:val="21"/>
          <w:lang w:eastAsia="zh-CN"/>
        </w:rPr>
        <w:t>银行保函或保证保险或担保保函</w:t>
      </w:r>
      <w:r>
        <w:rPr>
          <w:rFonts w:hint="eastAsia"/>
          <w:color w:val="auto"/>
          <w:highlight w:val="none"/>
        </w:rPr>
        <w:t>。</w:t>
      </w:r>
    </w:p>
    <w:p w14:paraId="691BE4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lang w:val="en-US" w:eastAsia="zh-CN"/>
        </w:rPr>
        <w:t>2）</w:t>
      </w:r>
      <w:r>
        <w:rPr>
          <w:rFonts w:hint="eastAsia"/>
        </w:rPr>
        <w:t>承包人须为本项目工人购买工伤保险，以工程项目为单位参保，按照施工承包合同总价的0.5‰缴纳工伤保险费，在项目开工前，由承包单位向项目所在地税务部门一次性代缴。具体按《关于做好我省铁路、公路、水运、水利、能源、机场工程建设项目参加工伤保险工作的通知》（粤人社规〔2018〕15号）规定执行。</w:t>
      </w:r>
    </w:p>
    <w:p w14:paraId="27EEED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highlight w:val="none"/>
        </w:rPr>
      </w:pPr>
      <w:r>
        <w:rPr>
          <w:rFonts w:hint="eastAsia"/>
          <w:lang w:val="en-US" w:eastAsia="zh-CN"/>
        </w:rPr>
        <w:t>3）</w:t>
      </w:r>
      <w:r>
        <w:rPr>
          <w:rFonts w:hint="eastAsia"/>
        </w:rPr>
        <w:t>本项目工人工资支付要求实行分账管理制度，参建各方须严格按照《中山市水利建设领域工人工资支付分账管理实施细则》（中水〔201</w:t>
      </w:r>
      <w:r>
        <w:rPr>
          <w:rFonts w:hint="eastAsia"/>
          <w:lang w:val="en-US" w:eastAsia="zh-CN"/>
        </w:rPr>
        <w:t>6</w:t>
      </w:r>
      <w:r>
        <w:rPr>
          <w:rFonts w:hint="eastAsia"/>
        </w:rPr>
        <w:t>〕</w:t>
      </w:r>
      <w:r>
        <w:rPr>
          <w:rFonts w:hint="eastAsia"/>
          <w:color w:val="auto"/>
        </w:rPr>
        <w:t>75号）有关规定执行。</w:t>
      </w:r>
      <w:r>
        <w:rPr>
          <w:rFonts w:hint="eastAsia"/>
          <w:color w:val="auto"/>
          <w:highlight w:val="none"/>
        </w:rPr>
        <w:t>发包人按月进度款的</w:t>
      </w:r>
      <w:r>
        <w:rPr>
          <w:rFonts w:hint="eastAsia"/>
          <w:color w:val="auto"/>
          <w:highlight w:val="none"/>
          <w:lang w:val="en-US" w:eastAsia="zh-CN"/>
        </w:rPr>
        <w:t>20</w:t>
      </w:r>
      <w:r>
        <w:rPr>
          <w:rFonts w:hint="eastAsia"/>
          <w:color w:val="auto"/>
          <w:highlight w:val="none"/>
        </w:rPr>
        <w:t>%支付至工人工资专用账户。</w:t>
      </w:r>
    </w:p>
    <w:p w14:paraId="1C14BA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highlight w:val="none"/>
          <w:lang w:eastAsia="zh-CN"/>
        </w:rPr>
      </w:pPr>
      <w:r>
        <w:rPr>
          <w:rFonts w:hint="eastAsia"/>
          <w:color w:val="auto"/>
          <w:highlight w:val="none"/>
          <w:lang w:val="en-US" w:eastAsia="zh-CN"/>
        </w:rPr>
        <w:t>（9）</w:t>
      </w:r>
      <w:r>
        <w:rPr>
          <w:rFonts w:hint="eastAsia"/>
          <w:color w:val="auto"/>
          <w:highlight w:val="none"/>
          <w:lang w:eastAsia="zh-CN"/>
        </w:rPr>
        <w:t>发包人与承包人</w:t>
      </w:r>
      <w:r>
        <w:rPr>
          <w:rFonts w:hint="eastAsia"/>
          <w:color w:val="auto"/>
          <w:highlight w:val="none"/>
        </w:rPr>
        <w:t>签订合同后的一个月内或不迟于约定的开工日期前的7天内</w:t>
      </w:r>
      <w:r>
        <w:rPr>
          <w:rFonts w:hint="eastAsia"/>
          <w:color w:val="auto"/>
          <w:highlight w:val="none"/>
          <w:lang w:eastAsia="zh-CN"/>
        </w:rPr>
        <w:t>，承包人开具等额的预付款保函后可向发包人申请预付工程款。</w:t>
      </w:r>
      <w:r>
        <w:rPr>
          <w:rFonts w:hint="eastAsia"/>
          <w:color w:val="auto"/>
          <w:highlight w:val="none"/>
        </w:rPr>
        <w:t>预付</w:t>
      </w:r>
      <w:r>
        <w:rPr>
          <w:rFonts w:hint="eastAsia"/>
          <w:color w:val="auto"/>
          <w:highlight w:val="none"/>
          <w:lang w:eastAsia="zh-CN"/>
        </w:rPr>
        <w:t>款支付</w:t>
      </w:r>
      <w:r>
        <w:rPr>
          <w:rFonts w:hint="eastAsia"/>
          <w:color w:val="auto"/>
          <w:highlight w:val="none"/>
        </w:rPr>
        <w:t>标准为：</w:t>
      </w:r>
    </w:p>
    <w:p w14:paraId="1135811A">
      <w:pPr>
        <w:pStyle w:val="2"/>
        <w:ind w:firstLine="420" w:firstLineChars="200"/>
        <w:rPr>
          <w:rFonts w:hint="eastAsia"/>
          <w:color w:val="auto"/>
          <w:highlight w:val="none"/>
          <w:lang w:val="en-US" w:eastAsia="zh-CN"/>
        </w:rPr>
      </w:pPr>
      <w:r>
        <w:rPr>
          <w:rFonts w:hint="eastAsia"/>
          <w:b w:val="0"/>
          <w:bCs w:val="0"/>
          <w:color w:val="auto"/>
          <w:highlight w:val="none"/>
          <w:lang w:eastAsia="zh-CN"/>
        </w:rPr>
        <w:t xml:space="preserve">① 本项目工程预付款的额度：合同金额（扣除暂列金额）的 </w:t>
      </w:r>
      <w:r>
        <w:rPr>
          <w:rFonts w:hint="eastAsia"/>
          <w:b w:val="0"/>
          <w:bCs w:val="0"/>
          <w:color w:val="auto"/>
          <w:highlight w:val="none"/>
          <w:lang w:val="en-US" w:eastAsia="zh-CN"/>
        </w:rPr>
        <w:t>25</w:t>
      </w:r>
      <w:r>
        <w:rPr>
          <w:rFonts w:hint="eastAsia"/>
          <w:b w:val="0"/>
          <w:bCs w:val="0"/>
          <w:color w:val="auto"/>
          <w:highlight w:val="none"/>
          <w:lang w:eastAsia="zh-CN"/>
        </w:rPr>
        <w:t>%</w:t>
      </w:r>
      <w:r>
        <w:rPr>
          <w:rFonts w:hint="eastAsia"/>
          <w:color w:val="auto"/>
          <w:highlight w:val="none"/>
          <w:lang w:val="en-US" w:eastAsia="zh-CN"/>
        </w:rPr>
        <w:t>。</w:t>
      </w:r>
    </w:p>
    <w:p w14:paraId="6E2322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auto"/>
          <w:highlight w:val="none"/>
          <w:lang w:eastAsia="zh-CN"/>
        </w:rPr>
      </w:pPr>
      <w:r>
        <w:rPr>
          <w:rFonts w:hint="eastAsia"/>
          <w:b w:val="0"/>
          <w:bCs w:val="0"/>
          <w:color w:val="auto"/>
          <w:highlight w:val="none"/>
          <w:lang w:eastAsia="zh-CN"/>
        </w:rPr>
        <w:t>②</w:t>
      </w:r>
      <w:r>
        <w:rPr>
          <w:rFonts w:hint="eastAsia" w:ascii="Times New Roman" w:hAnsi="Times New Roman" w:eastAsia="宋体" w:cs="Times New Roman"/>
          <w:color w:val="auto"/>
          <w:highlight w:val="none"/>
          <w:lang w:val="en-US" w:eastAsia="zh-CN"/>
        </w:rPr>
        <w:t>工程预付款须实行</w:t>
      </w:r>
      <w:r>
        <w:rPr>
          <w:rFonts w:hint="eastAsia" w:ascii="Times New Roman" w:hAnsi="Times New Roman" w:eastAsia="宋体" w:cs="Times New Roman"/>
          <w:color w:val="auto"/>
          <w:highlight w:val="none"/>
          <w:lang w:eastAsia="zh-CN"/>
        </w:rPr>
        <w:t>分账管理，发包人按预付款金额的</w:t>
      </w:r>
      <w:r>
        <w:rPr>
          <w:rFonts w:hint="eastAsia" w:asciiTheme="minorEastAsia" w:hAnsiTheme="minorEastAsia" w:eastAsiaTheme="minorEastAsia" w:cstheme="minorEastAsia"/>
          <w:color w:val="auto"/>
          <w:highlight w:val="none"/>
          <w:lang w:val="en-US" w:eastAsia="zh-CN"/>
        </w:rPr>
        <w:t>20%</w:t>
      </w:r>
      <w:r>
        <w:rPr>
          <w:rFonts w:hint="eastAsia" w:ascii="Times New Roman" w:hAnsi="Times New Roman" w:eastAsia="宋体" w:cs="Times New Roman"/>
          <w:color w:val="auto"/>
          <w:highlight w:val="none"/>
          <w:lang w:eastAsia="zh-CN"/>
        </w:rPr>
        <w:t>支付至工人工资专用账户。</w:t>
      </w:r>
    </w:p>
    <w:p w14:paraId="149E5552">
      <w:pPr>
        <w:pStyle w:val="2"/>
        <w:ind w:firstLine="420" w:firstLineChars="200"/>
        <w:rPr>
          <w:rFonts w:hint="eastAsia"/>
          <w:b w:val="0"/>
          <w:bCs w:val="0"/>
          <w:color w:val="auto"/>
          <w:highlight w:val="none"/>
          <w:lang w:eastAsia="zh-CN"/>
        </w:rPr>
      </w:pPr>
      <w:r>
        <w:rPr>
          <w:rFonts w:hint="eastAsia"/>
          <w:b w:val="0"/>
          <w:bCs w:val="0"/>
          <w:color w:val="auto"/>
          <w:highlight w:val="none"/>
          <w:lang w:eastAsia="zh-CN"/>
        </w:rPr>
        <w:t>③ 预付办法：在具备施工条件的前提下，发包人应在双方签订合同后的一个月内或不迟于约定的</w:t>
      </w:r>
    </w:p>
    <w:p w14:paraId="0D9FBB25">
      <w:pPr>
        <w:pStyle w:val="2"/>
        <w:ind w:firstLine="0" w:firstLineChars="0"/>
        <w:rPr>
          <w:rFonts w:hint="eastAsia"/>
          <w:b w:val="0"/>
          <w:bCs w:val="0"/>
          <w:color w:val="auto"/>
          <w:highlight w:val="none"/>
          <w:lang w:eastAsia="zh-CN"/>
        </w:rPr>
      </w:pPr>
      <w:r>
        <w:rPr>
          <w:rFonts w:hint="eastAsia"/>
          <w:b w:val="0"/>
          <w:bCs w:val="0"/>
          <w:color w:val="auto"/>
          <w:highlight w:val="none"/>
          <w:lang w:eastAsia="zh-CN"/>
        </w:rPr>
        <w:t>开工日期前的</w:t>
      </w:r>
      <w:r>
        <w:rPr>
          <w:rFonts w:hint="eastAsia"/>
          <w:b w:val="0"/>
          <w:bCs w:val="0"/>
          <w:color w:val="auto"/>
          <w:highlight w:val="none"/>
          <w:lang w:val="en-US" w:eastAsia="zh-CN"/>
        </w:rPr>
        <w:t>7</w:t>
      </w:r>
      <w:r>
        <w:rPr>
          <w:rFonts w:hint="eastAsia"/>
          <w:b w:val="0"/>
          <w:bCs w:val="0"/>
          <w:color w:val="auto"/>
          <w:highlight w:val="none"/>
          <w:lang w:eastAsia="zh-CN"/>
        </w:rPr>
        <w:t xml:space="preserve">天内向承包人预付工程款，预付工程款为合同金额的 </w:t>
      </w:r>
      <w:r>
        <w:rPr>
          <w:rFonts w:hint="eastAsia"/>
          <w:b w:val="0"/>
          <w:bCs w:val="0"/>
          <w:color w:val="auto"/>
          <w:highlight w:val="none"/>
          <w:lang w:val="en-US" w:eastAsia="zh-CN"/>
        </w:rPr>
        <w:t>25</w:t>
      </w:r>
      <w:r>
        <w:rPr>
          <w:rFonts w:hint="eastAsia"/>
          <w:b w:val="0"/>
          <w:bCs w:val="0"/>
          <w:color w:val="auto"/>
          <w:highlight w:val="none"/>
          <w:lang w:eastAsia="zh-CN"/>
        </w:rPr>
        <w:t>%。</w:t>
      </w:r>
    </w:p>
    <w:p w14:paraId="04388B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eastAsia="宋体"/>
          <w:color w:val="auto"/>
          <w:highlight w:val="none"/>
          <w:lang w:val="en-US" w:eastAsia="zh-CN"/>
        </w:rPr>
      </w:pPr>
      <w:r>
        <w:rPr>
          <w:rFonts w:hint="eastAsia"/>
          <w:color w:val="auto"/>
          <w:highlight w:val="none"/>
          <w:lang w:eastAsia="zh-CN"/>
        </w:rPr>
        <w:t>④ 工程预付款抵扣方式：</w:t>
      </w:r>
      <w:r>
        <w:rPr>
          <w:rFonts w:hint="eastAsia"/>
          <w:color w:val="auto"/>
          <w:highlight w:val="none"/>
          <w:lang w:val="en-US" w:eastAsia="zh-CN"/>
        </w:rPr>
        <w:t>2024年不抵扣，2025年1月份开始每个月抵扣工程预付款总额的25%，</w:t>
      </w:r>
      <w:r>
        <w:rPr>
          <w:rFonts w:hint="eastAsia" w:ascii="Times New Roman" w:hAnsi="Times New Roman" w:eastAsia="宋体" w:cs="Times New Roman"/>
          <w:color w:val="auto"/>
          <w:highlight w:val="none"/>
          <w:lang w:eastAsia="zh-CN"/>
        </w:rPr>
        <w:t>在工程进度款支付至合同应付价款的</w:t>
      </w:r>
      <w:r>
        <w:rPr>
          <w:rFonts w:hint="eastAsia" w:cs="Times New Roman"/>
          <w:color w:val="auto"/>
          <w:highlight w:val="none"/>
          <w:lang w:val="en-US" w:eastAsia="zh-CN"/>
        </w:rPr>
        <w:t>80</w:t>
      </w:r>
      <w:r>
        <w:rPr>
          <w:rFonts w:hint="eastAsia" w:ascii="Times New Roman" w:hAnsi="Times New Roman" w:eastAsia="宋体" w:cs="Times New Roman"/>
          <w:color w:val="auto"/>
          <w:highlight w:val="none"/>
          <w:lang w:val="en-US" w:eastAsia="zh-CN"/>
        </w:rPr>
        <w:t>%前抵扣完毕</w:t>
      </w:r>
      <w:r>
        <w:rPr>
          <w:rFonts w:hint="eastAsia" w:cs="Times New Roman"/>
          <w:color w:val="auto"/>
          <w:highlight w:val="none"/>
          <w:lang w:val="en-US" w:eastAsia="zh-CN"/>
        </w:rPr>
        <w:t>。</w:t>
      </w:r>
    </w:p>
    <w:p w14:paraId="4B6B13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color w:val="auto"/>
        </w:rPr>
        <w:t>（</w:t>
      </w:r>
      <w:r>
        <w:rPr>
          <w:rFonts w:hint="eastAsia"/>
          <w:color w:val="auto"/>
          <w:lang w:val="en-US" w:eastAsia="zh-CN"/>
        </w:rPr>
        <w:t>10</w:t>
      </w:r>
      <w:r>
        <w:rPr>
          <w:rFonts w:hint="eastAsia"/>
          <w:color w:val="auto"/>
        </w:rPr>
        <w:t>）投标人投标报价时应考虑并承担一定的风险，</w:t>
      </w:r>
      <w:r>
        <w:rPr>
          <w:rFonts w:hint="eastAsia"/>
        </w:rPr>
        <w:t>如物价、气候、水文地质等情况变化及其他意外困难等。投标人认为必要采取的任何施工、技术施工、辅助工程、临时工程等费用须包含在投标总报价中。</w:t>
      </w:r>
    </w:p>
    <w:p w14:paraId="2970C8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w:t>
      </w:r>
      <w:r>
        <w:rPr>
          <w:rFonts w:hint="eastAsia"/>
          <w:lang w:val="en-US" w:eastAsia="zh-CN"/>
        </w:rPr>
        <w:t>1</w:t>
      </w:r>
      <w:r>
        <w:rPr>
          <w:rFonts w:hint="eastAsia"/>
        </w:rPr>
        <w:t>）投标人须确保破堤工程施工度汛安全。除因特殊原因，经建设单位和水行政主管部门批准外，所有破堤工程必须确保在汛期（每年4月15日，实际以省防总当年宣布入汛日期为准）到来之前具备度汛条件（工程达到水下验收标准，且基本具备度汛功能），否则中标人须采取必要措施（包含但不限于按跨汛期施工标准加高围堰）确保度汛安全，由此产生的费用由中标人承担。</w:t>
      </w:r>
    </w:p>
    <w:p w14:paraId="63A2D0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w:t>
      </w:r>
      <w:r>
        <w:rPr>
          <w:rFonts w:hint="eastAsia"/>
          <w:lang w:val="en-US" w:eastAsia="zh-CN"/>
        </w:rPr>
        <w:t>2</w:t>
      </w:r>
      <w:r>
        <w:rPr>
          <w:rFonts w:hint="eastAsia"/>
        </w:rPr>
        <w:t>）投标人应做好对本工程周边建、构筑物等的保护工作，尤其要采取相应有效的措施做好对沿线埋设管线的保护，因措施不当，防护不力而引发的问题概由中标人负责，此措施等费用包含在投标总报价中。</w:t>
      </w:r>
    </w:p>
    <w:p w14:paraId="39C8ABDB">
      <w:pPr>
        <w:spacing w:line="360" w:lineRule="auto"/>
        <w:ind w:firstLine="420" w:firstLineChars="200"/>
        <w:outlineLvl w:val="9"/>
        <w:rPr>
          <w:rFonts w:hint="eastAsia" w:eastAsia="宋体"/>
          <w:lang w:eastAsia="zh-CN"/>
        </w:rPr>
      </w:pPr>
      <w:r>
        <w:rPr>
          <w:rFonts w:hint="eastAsia"/>
          <w:lang w:eastAsia="zh-CN"/>
        </w:rPr>
        <w:t>（</w:t>
      </w:r>
      <w:r>
        <w:rPr>
          <w:rFonts w:hint="eastAsia"/>
          <w:lang w:val="en-US" w:eastAsia="zh-CN"/>
        </w:rPr>
        <w:t>13</w:t>
      </w:r>
      <w:r>
        <w:rPr>
          <w:rFonts w:hint="eastAsia"/>
          <w:lang w:eastAsia="zh-CN"/>
        </w:rPr>
        <w:t>）</w:t>
      </w:r>
      <w:r>
        <w:rPr>
          <w:rFonts w:hint="eastAsia" w:ascii="宋体" w:hAnsi="宋体"/>
          <w:lang w:eastAsia="zh-CN"/>
        </w:rPr>
        <w:t>对于</w:t>
      </w:r>
      <w:r>
        <w:rPr>
          <w:rFonts w:hint="eastAsia" w:ascii="宋体" w:hAnsi="宋体"/>
        </w:rPr>
        <w:t>所有破堤和有度汛要求的水闸、泵站、堤防</w:t>
      </w:r>
      <w:r>
        <w:rPr>
          <w:rFonts w:hint="eastAsia" w:ascii="宋体" w:hAnsi="宋体"/>
          <w:lang w:eastAsia="zh-CN"/>
        </w:rPr>
        <w:t>、水库</w:t>
      </w:r>
      <w:r>
        <w:rPr>
          <w:rFonts w:hint="eastAsia" w:ascii="宋体" w:hAnsi="宋体"/>
        </w:rPr>
        <w:t>等工程，以及投资规模在1000万以上的其他工程，实行质量与安全监督动态管理。承包人在主体工程开工前必须在施工现场安装并调试好视频监控设备，并通过公共网络接入视频监控平台，对施工现场适时不间断监控及录像。视频监控系统的安装、维修保养以及网络租用费用等，列入企业安全生产费中，承包人在投标报价中考虑自行解决。视频监控设施</w:t>
      </w:r>
      <w:r>
        <w:rPr>
          <w:rFonts w:hint="eastAsia" w:ascii="宋体" w:hAnsi="宋体"/>
          <w:lang w:eastAsia="zh-CN"/>
        </w:rPr>
        <w:t>或</w:t>
      </w:r>
      <w:r>
        <w:rPr>
          <w:rFonts w:hint="eastAsia" w:ascii="宋体" w:hAnsi="宋体"/>
        </w:rPr>
        <w:t>线路</w:t>
      </w:r>
      <w:r>
        <w:rPr>
          <w:rFonts w:hint="eastAsia" w:ascii="宋体" w:hAnsi="宋体"/>
          <w:lang w:eastAsia="zh-CN"/>
        </w:rPr>
        <w:t>发生故障时，承包人须自发现或者应当发现之时起</w:t>
      </w:r>
      <w:r>
        <w:rPr>
          <w:rFonts w:hint="eastAsia" w:ascii="宋体" w:hAnsi="宋体"/>
          <w:lang w:val="en-US" w:eastAsia="zh-CN"/>
        </w:rPr>
        <w:t>72小时内组织力量恢复，否则，每延误24小时，承包人需向发包人支付2000元违约金。</w:t>
      </w:r>
    </w:p>
    <w:p w14:paraId="1083200B">
      <w:pPr>
        <w:spacing w:line="360" w:lineRule="auto"/>
        <w:ind w:firstLine="420" w:firstLineChars="200"/>
        <w:outlineLvl w:val="9"/>
        <w:rPr>
          <w:rFonts w:hint="eastAsia" w:ascii="宋体" w:hAnsi="宋体" w:eastAsia="宋体"/>
          <w:lang w:eastAsia="zh-CN"/>
        </w:rPr>
      </w:pPr>
      <w:r>
        <w:rPr>
          <w:rFonts w:hint="eastAsia"/>
          <w:lang w:eastAsia="zh-CN"/>
        </w:rPr>
        <w:t>（</w:t>
      </w:r>
      <w:r>
        <w:rPr>
          <w:rFonts w:hint="eastAsia"/>
          <w:lang w:val="en-US" w:eastAsia="zh-CN"/>
        </w:rPr>
        <w:t>14</w:t>
      </w:r>
      <w:r>
        <w:rPr>
          <w:rFonts w:hint="eastAsia"/>
          <w:lang w:eastAsia="zh-CN"/>
        </w:rPr>
        <w:t>）</w:t>
      </w:r>
      <w:r>
        <w:rPr>
          <w:rFonts w:hint="eastAsia" w:ascii="宋体" w:hAnsi="宋体" w:cs="Times New Roman"/>
          <w:b w:val="0"/>
          <w:bCs w:val="0"/>
          <w:kern w:val="2"/>
          <w:sz w:val="21"/>
          <w:szCs w:val="24"/>
          <w:lang w:eastAsia="zh-CN"/>
        </w:rPr>
        <w:t>采用水泥搅拌桩工艺施工的项目，</w:t>
      </w:r>
      <w:r>
        <w:rPr>
          <w:rFonts w:hint="eastAsia" w:ascii="宋体" w:hAnsi="宋体"/>
          <w:lang w:eastAsia="zh-CN"/>
        </w:rPr>
        <w:t>承包人需</w:t>
      </w:r>
      <w:r>
        <w:rPr>
          <w:rFonts w:hint="eastAsia" w:ascii="宋体" w:hAnsi="宋体" w:cs="Times New Roman"/>
          <w:b w:val="0"/>
          <w:bCs w:val="0"/>
          <w:kern w:val="2"/>
          <w:sz w:val="21"/>
          <w:szCs w:val="24"/>
          <w:lang w:eastAsia="zh-CN"/>
        </w:rPr>
        <w:t>运用智慧云监控系统</w:t>
      </w:r>
      <w:r>
        <w:rPr>
          <w:rFonts w:hint="eastAsia" w:ascii="宋体" w:hAnsi="宋体"/>
        </w:rPr>
        <w:t>在线实时监测水泥搅拌桩施工全过程，</w:t>
      </w:r>
      <w:r>
        <w:rPr>
          <w:rFonts w:hint="eastAsia"/>
        </w:rPr>
        <w:t>此措施</w:t>
      </w:r>
      <w:r>
        <w:rPr>
          <w:rFonts w:hint="eastAsia"/>
          <w:lang w:eastAsia="zh-CN"/>
        </w:rPr>
        <w:t>产生的</w:t>
      </w:r>
      <w:r>
        <w:rPr>
          <w:rFonts w:hint="eastAsia"/>
        </w:rPr>
        <w:t>费用</w:t>
      </w:r>
      <w:r>
        <w:rPr>
          <w:rFonts w:hint="eastAsia"/>
          <w:lang w:eastAsia="zh-CN"/>
        </w:rPr>
        <w:t>由</w:t>
      </w:r>
      <w:r>
        <w:rPr>
          <w:rFonts w:hint="eastAsia" w:ascii="宋体" w:hAnsi="宋体"/>
        </w:rPr>
        <w:t>承包人自行解决。</w:t>
      </w:r>
      <w:r>
        <w:rPr>
          <w:rFonts w:hint="eastAsia" w:ascii="宋体" w:hAnsi="宋体" w:cs="Times New Roman"/>
          <w:b w:val="0"/>
          <w:bCs w:val="0"/>
          <w:kern w:val="2"/>
          <w:sz w:val="21"/>
          <w:szCs w:val="24"/>
          <w:lang w:eastAsia="zh-CN"/>
        </w:rPr>
        <w:t>因承包人</w:t>
      </w:r>
      <w:r>
        <w:rPr>
          <w:rFonts w:hint="eastAsia" w:ascii="宋体" w:hAnsi="宋体" w:cs="Times New Roman"/>
          <w:b w:val="0"/>
          <w:bCs w:val="0"/>
          <w:kern w:val="2"/>
          <w:sz w:val="21"/>
          <w:szCs w:val="24"/>
          <w:lang w:val="en-US" w:eastAsia="zh-CN"/>
        </w:rPr>
        <w:t>未运用</w:t>
      </w:r>
      <w:r>
        <w:rPr>
          <w:rFonts w:hint="eastAsia" w:ascii="宋体" w:hAnsi="宋体" w:cs="Times New Roman"/>
          <w:b w:val="0"/>
          <w:bCs w:val="0"/>
          <w:kern w:val="2"/>
          <w:sz w:val="21"/>
          <w:szCs w:val="24"/>
          <w:lang w:eastAsia="zh-CN"/>
        </w:rPr>
        <w:t>智慧云监控系统导致</w:t>
      </w:r>
      <w:r>
        <w:rPr>
          <w:rFonts w:hint="eastAsia" w:ascii="宋体" w:hAnsi="宋体" w:cs="Times New Roman"/>
          <w:b w:val="0"/>
          <w:bCs w:val="0"/>
          <w:kern w:val="2"/>
          <w:sz w:val="21"/>
          <w:szCs w:val="24"/>
          <w:lang w:val="en-US" w:eastAsia="zh-CN"/>
        </w:rPr>
        <w:t>搅拌桩</w:t>
      </w:r>
      <w:r>
        <w:rPr>
          <w:rFonts w:hint="eastAsia" w:ascii="宋体" w:hAnsi="宋体" w:cs="Times New Roman"/>
          <w:b w:val="0"/>
          <w:bCs w:val="0"/>
          <w:kern w:val="2"/>
          <w:sz w:val="21"/>
          <w:szCs w:val="24"/>
          <w:lang w:eastAsia="zh-CN"/>
        </w:rPr>
        <w:t>质量不合格的，</w:t>
      </w:r>
      <w:r>
        <w:rPr>
          <w:rFonts w:hint="eastAsia" w:ascii="宋体" w:hAnsi="宋体" w:cs="Times New Roman"/>
          <w:b w:val="0"/>
          <w:bCs w:val="0"/>
          <w:kern w:val="2"/>
          <w:sz w:val="21"/>
          <w:szCs w:val="24"/>
          <w:lang w:val="en-US" w:eastAsia="zh-CN"/>
        </w:rPr>
        <w:t>发包人扣除合同总价中</w:t>
      </w:r>
      <w:r>
        <w:rPr>
          <w:rFonts w:hint="eastAsia" w:ascii="宋体" w:hAnsi="宋体" w:cs="Times New Roman"/>
          <w:b w:val="0"/>
          <w:bCs w:val="0"/>
          <w:kern w:val="2"/>
          <w:sz w:val="21"/>
          <w:szCs w:val="24"/>
          <w:lang w:eastAsia="zh-CN"/>
        </w:rPr>
        <w:t>水泥搅拌桩的相关费用。</w:t>
      </w:r>
    </w:p>
    <w:p w14:paraId="596884E8">
      <w:pPr>
        <w:spacing w:line="360" w:lineRule="auto"/>
        <w:ind w:firstLine="420" w:firstLineChars="200"/>
        <w:outlineLvl w:val="9"/>
        <w:rPr>
          <w:rFonts w:hint="eastAsia" w:eastAsia="宋体"/>
          <w:lang w:eastAsia="zh-CN"/>
        </w:rPr>
      </w:pPr>
      <w:r>
        <w:rPr>
          <w:rFonts w:hint="eastAsia"/>
          <w:lang w:eastAsia="zh-CN"/>
        </w:rPr>
        <w:t>（</w:t>
      </w:r>
      <w:r>
        <w:rPr>
          <w:rFonts w:hint="eastAsia"/>
          <w:lang w:val="en-US" w:eastAsia="zh-CN"/>
        </w:rPr>
        <w:t>15</w:t>
      </w:r>
      <w:r>
        <w:rPr>
          <w:rFonts w:hint="eastAsia"/>
          <w:lang w:eastAsia="zh-CN"/>
        </w:rPr>
        <w:t>）</w:t>
      </w:r>
      <w:r>
        <w:rPr>
          <w:rFonts w:hint="eastAsia" w:ascii="Times New Roman" w:hAnsi="Times New Roman" w:eastAsia="宋体" w:cs="Times New Roman"/>
          <w:kern w:val="2"/>
          <w:sz w:val="21"/>
          <w:szCs w:val="24"/>
          <w:lang w:val="en-US" w:eastAsia="zh-CN" w:bidi="ar"/>
        </w:rPr>
        <w:t>承包人要切实加强项目建筑垃圾源头管控及减量管理，将建筑垃圾减量纳入文明施工内容，在施工组织设计中明确施工现场建筑垃圾减量的具体要求和措施，以及建筑垃圾综合利用产品的使用要求</w:t>
      </w:r>
      <w:r>
        <w:rPr>
          <w:rFonts w:hint="eastAsia" w:cs="Times New Roman"/>
          <w:kern w:val="2"/>
          <w:sz w:val="21"/>
          <w:szCs w:val="24"/>
          <w:lang w:val="en-US" w:eastAsia="zh-CN" w:bidi="ar"/>
        </w:rPr>
        <w:t>，</w:t>
      </w:r>
      <w:r>
        <w:rPr>
          <w:rFonts w:hint="eastAsia" w:ascii="Times New Roman" w:hAnsi="Times New Roman" w:eastAsia="宋体" w:cs="Times New Roman"/>
          <w:kern w:val="2"/>
          <w:sz w:val="21"/>
          <w:szCs w:val="24"/>
          <w:lang w:val="en-US" w:eastAsia="zh-CN" w:bidi="ar"/>
        </w:rPr>
        <w:t>此措施费包含在投标总报价中。承包人应将建筑垃圾交给已取得中山市建筑垃圾处置许可（运输）的单位进行运输</w:t>
      </w:r>
      <w:r>
        <w:rPr>
          <w:rFonts w:hint="eastAsia" w:cs="Times New Roman"/>
          <w:kern w:val="2"/>
          <w:sz w:val="21"/>
          <w:szCs w:val="24"/>
          <w:lang w:val="en-US" w:eastAsia="zh-CN" w:bidi="ar"/>
        </w:rPr>
        <w:t>。</w:t>
      </w:r>
      <w:r>
        <w:rPr>
          <w:rFonts w:hint="eastAsia" w:ascii="Times New Roman" w:hAnsi="Times New Roman" w:eastAsia="宋体" w:cs="Times New Roman"/>
          <w:kern w:val="2"/>
          <w:sz w:val="21"/>
          <w:szCs w:val="24"/>
          <w:lang w:val="en-US" w:eastAsia="zh-CN" w:bidi="ar"/>
        </w:rPr>
        <w:t>在建筑垃圾运输过程中存在沿途抛撒、非法倾倒等影响市容环境卫生行为的，</w:t>
      </w:r>
      <w:r>
        <w:rPr>
          <w:rFonts w:hint="eastAsia" w:ascii="宋体" w:hAnsi="宋体" w:cs="Times New Roman"/>
          <w:b w:val="0"/>
          <w:bCs w:val="0"/>
          <w:kern w:val="2"/>
          <w:sz w:val="21"/>
          <w:szCs w:val="24"/>
          <w:lang w:val="en-US" w:eastAsia="zh-CN"/>
        </w:rPr>
        <w:t>承包人需向发包人</w:t>
      </w:r>
      <w:r>
        <w:rPr>
          <w:rFonts w:hint="eastAsia" w:ascii="宋体" w:hAnsi="宋体" w:cs="Times New Roman"/>
          <w:b w:val="0"/>
          <w:bCs w:val="0"/>
          <w:kern w:val="2"/>
          <w:sz w:val="21"/>
          <w:szCs w:val="24"/>
          <w:highlight w:val="none"/>
          <w:lang w:val="en-US" w:eastAsia="zh-CN"/>
        </w:rPr>
        <w:t>支付5000-10000元/次的违约金（招标人结合招标项目规模、预算、环境影响等设置具体违约金额</w:t>
      </w:r>
      <w:r>
        <w:rPr>
          <w:rFonts w:hint="eastAsia" w:ascii="宋体" w:hAnsi="宋体" w:eastAsia="宋体" w:cs="Times New Roman"/>
          <w:b w:val="0"/>
          <w:bCs w:val="0"/>
          <w:kern w:val="2"/>
          <w:sz w:val="21"/>
          <w:szCs w:val="24"/>
          <w:highlight w:val="none"/>
          <w:lang w:val="en-US" w:eastAsia="zh-CN"/>
        </w:rPr>
        <w:t>）</w:t>
      </w:r>
      <w:r>
        <w:rPr>
          <w:rFonts w:hint="eastAsia" w:ascii="宋体" w:hAnsi="宋体" w:cs="Times New Roman"/>
          <w:b w:val="0"/>
          <w:bCs w:val="0"/>
          <w:kern w:val="2"/>
          <w:sz w:val="21"/>
          <w:szCs w:val="24"/>
          <w:highlight w:val="none"/>
          <w:lang w:val="en-US" w:eastAsia="zh-CN"/>
        </w:rPr>
        <w:t>，最</w:t>
      </w:r>
      <w:r>
        <w:rPr>
          <w:rFonts w:hint="eastAsia" w:ascii="宋体" w:hAnsi="宋体" w:cs="Times New Roman"/>
          <w:b w:val="0"/>
          <w:bCs w:val="0"/>
          <w:kern w:val="2"/>
          <w:sz w:val="21"/>
          <w:szCs w:val="24"/>
          <w:lang w:val="en-US" w:eastAsia="zh-CN"/>
        </w:rPr>
        <w:t>高不超过合同价的5%。同时，</w:t>
      </w:r>
      <w:r>
        <w:rPr>
          <w:rFonts w:hint="eastAsia" w:ascii="宋体" w:hAnsi="宋体" w:cs="Times New Roman"/>
          <w:b w:val="0"/>
          <w:bCs w:val="0"/>
          <w:kern w:val="2"/>
          <w:sz w:val="21"/>
          <w:szCs w:val="24"/>
        </w:rPr>
        <w:t>行业监督部门将根据</w:t>
      </w:r>
      <w:r>
        <w:rPr>
          <w:rFonts w:hint="eastAsia" w:ascii="宋体" w:hAnsi="宋体"/>
        </w:rPr>
        <w:t>《广东省水利厅关于水利建设市场信用的管理办法》</w:t>
      </w:r>
      <w:r>
        <w:rPr>
          <w:rFonts w:hint="eastAsia"/>
        </w:rPr>
        <w:t>《广东省水利建设市场主体不良信用行为记录认定标准》</w:t>
      </w:r>
      <w:r>
        <w:rPr>
          <w:rFonts w:hint="eastAsia"/>
          <w:lang w:eastAsia="zh-CN"/>
        </w:rPr>
        <w:t>等有关</w:t>
      </w:r>
      <w:r>
        <w:rPr>
          <w:rFonts w:hint="eastAsia"/>
        </w:rPr>
        <w:t>规定，对</w:t>
      </w:r>
      <w:r>
        <w:rPr>
          <w:rFonts w:hint="eastAsia"/>
          <w:lang w:eastAsia="zh-CN"/>
        </w:rPr>
        <w:t>承包人</w:t>
      </w:r>
      <w:r>
        <w:rPr>
          <w:rFonts w:hint="eastAsia"/>
        </w:rPr>
        <w:t>的违规行为记不良信用行为记录</w:t>
      </w:r>
      <w:r>
        <w:rPr>
          <w:rFonts w:hint="eastAsia"/>
          <w:lang w:eastAsia="zh-CN"/>
        </w:rPr>
        <w:t>并</w:t>
      </w:r>
      <w:r>
        <w:rPr>
          <w:rFonts w:hint="eastAsia"/>
        </w:rPr>
        <w:t>扣除</w:t>
      </w:r>
      <w:r>
        <w:rPr>
          <w:rFonts w:hint="eastAsia"/>
          <w:lang w:eastAsia="zh-CN"/>
        </w:rPr>
        <w:t>承包人</w:t>
      </w:r>
      <w:r>
        <w:rPr>
          <w:rFonts w:hint="eastAsia"/>
        </w:rPr>
        <w:t>在“广东省水利建设市场信用信息平台”的信用分值</w:t>
      </w:r>
      <w:r>
        <w:rPr>
          <w:rFonts w:hint="eastAsia"/>
          <w:lang w:eastAsia="zh-CN"/>
        </w:rPr>
        <w:t>。</w:t>
      </w:r>
    </w:p>
    <w:p w14:paraId="7DA012CF">
      <w:pPr>
        <w:spacing w:line="360" w:lineRule="auto"/>
        <w:ind w:firstLine="420" w:firstLineChars="200"/>
        <w:outlineLvl w:val="9"/>
        <w:rPr>
          <w:rFonts w:hint="eastAsia"/>
          <w:color w:val="auto"/>
        </w:rPr>
      </w:pPr>
      <w:r>
        <w:rPr>
          <w:rFonts w:hint="eastAsia"/>
          <w:color w:val="auto"/>
        </w:rPr>
        <w:t>（1</w:t>
      </w:r>
      <w:r>
        <w:rPr>
          <w:rFonts w:hint="eastAsia"/>
          <w:color w:val="auto"/>
          <w:lang w:val="en-US" w:eastAsia="zh-CN"/>
        </w:rPr>
        <w:t>6</w:t>
      </w:r>
      <w:r>
        <w:rPr>
          <w:rFonts w:hint="eastAsia"/>
          <w:color w:val="auto"/>
        </w:rPr>
        <w:t>）投标单位在投标时参考的主材品牌除满足设计、国家有关技术标准外，品质还需不低于招标控制价参考品牌。在工程实施阶段，承包人采购的主材产品，需经监理工程师及发包人审批</w:t>
      </w:r>
      <w:r>
        <w:rPr>
          <w:rFonts w:hint="eastAsia"/>
          <w:color w:val="auto"/>
          <w:lang w:eastAsia="zh-CN"/>
        </w:rPr>
        <w:t>书面</w:t>
      </w:r>
      <w:r>
        <w:rPr>
          <w:rFonts w:hint="eastAsia"/>
          <w:color w:val="auto"/>
        </w:rPr>
        <w:t>同意方可采购。</w:t>
      </w:r>
    </w:p>
    <w:p w14:paraId="6D42A5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color w:val="auto"/>
        </w:rPr>
        <w:t>（1</w:t>
      </w:r>
      <w:r>
        <w:rPr>
          <w:rFonts w:hint="eastAsia"/>
          <w:color w:val="auto"/>
          <w:lang w:val="en-US" w:eastAsia="zh-CN"/>
        </w:rPr>
        <w:t>7</w:t>
      </w:r>
      <w:r>
        <w:rPr>
          <w:rFonts w:hint="eastAsia"/>
          <w:color w:val="auto"/>
        </w:rPr>
        <w:t>）</w:t>
      </w:r>
      <w:r>
        <w:rPr>
          <w:rFonts w:hint="eastAsia"/>
        </w:rPr>
        <w:t>本工程的所有土方工程实行总价包干。投标人应按照施工图及招标文件有关工期、质量、文明施工、安全等的要求，按照答疑会后公布的中介机构编制的该工程招标控制价（或工程量清单），并根据招标项目的特点，结合市场情况和企业自身竞争能力自行确定投标报价。投标人的报价将被视为投标人完全理解了工程量清单和施工图纸中的全部项目、数量及内容。中标后，中标人在工程实施过程中发现实际施工完成量（不含非承包人原因引起的工程变更）与工程量清单存在差异时，差异部分不作调整。如发生工程变更按本章合同价格和承包标准第(</w:t>
      </w:r>
      <w:r>
        <w:rPr>
          <w:rFonts w:hint="eastAsia"/>
          <w:lang w:val="en-US" w:eastAsia="zh-CN"/>
        </w:rPr>
        <w:t>18</w:t>
      </w:r>
      <w:r>
        <w:rPr>
          <w:rFonts w:hint="eastAsia"/>
        </w:rPr>
        <w:t>)有关条款执行。</w:t>
      </w:r>
    </w:p>
    <w:p w14:paraId="058F5C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w:t>
      </w:r>
      <w:r>
        <w:rPr>
          <w:rFonts w:hint="eastAsia"/>
          <w:lang w:val="en-US" w:eastAsia="zh-CN"/>
        </w:rPr>
        <w:t>8</w:t>
      </w:r>
      <w:r>
        <w:rPr>
          <w:rFonts w:hint="eastAsia"/>
        </w:rPr>
        <w:t>）投标人应结合现场施工条件，将工程的所有临时设施（如施工工棚、施工排水、施工通道等）、场地租用、保险费、税、停水、停电以及排除影响施工的各类障碍等考虑在投标报价中。</w:t>
      </w:r>
    </w:p>
    <w:p w14:paraId="4DDB8F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w:t>
      </w:r>
      <w:r>
        <w:rPr>
          <w:rFonts w:hint="eastAsia"/>
          <w:lang w:val="en-US" w:eastAsia="zh-CN"/>
        </w:rPr>
        <w:t>9</w:t>
      </w:r>
      <w:r>
        <w:rPr>
          <w:rFonts w:hint="eastAsia"/>
        </w:rPr>
        <w:t>）施工用水用电由投标人在投标报价中自行考虑解决。</w:t>
      </w:r>
    </w:p>
    <w:p w14:paraId="7533B4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20</w:t>
      </w:r>
      <w:r>
        <w:rPr>
          <w:rFonts w:hint="eastAsia"/>
        </w:rPr>
        <w:t>）施工合同履行期间，工程造价主管部门发布的钢筋、水泥、砂、碎石、墙材、电缆（线）、沥青、预拌砂浆、商品混凝土以及管桩等建筑主材价格涨落超过施工承包合同对应的中介预算价格5%时，合同价差按以下原则调整：</w:t>
      </w:r>
    </w:p>
    <w:p w14:paraId="3EEFBD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①如工程合同工期内正常施工或者发包人原因导致工期延误30天以内（含30天）时，材料价格涨落5%以内的风险由承包人承担，超出5%以上的涨价或降价风险由发包人和承包人各按50%的比例共同承担。</w:t>
      </w:r>
    </w:p>
    <w:p w14:paraId="3161E0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②如工程合同执行中由于发包人原因导致工期延误超过30天时，材料涨落5%以内的风险由承包人承担，超出5%以上的涨价或降价风险均由发包人承担。</w:t>
      </w:r>
    </w:p>
    <w:p w14:paraId="3C5597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③如工程合同执行中由于承包人原因导致工期延误，材料涨落引起的涨价或降价风险均由承包人承担。</w:t>
      </w:r>
    </w:p>
    <w:p w14:paraId="06CD3C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计算公式如下：</w:t>
      </w:r>
    </w:p>
    <w:p w14:paraId="487280E7">
      <w:pPr>
        <w:spacing w:line="360" w:lineRule="auto"/>
        <w:ind w:firstLine="420" w:firstLineChars="200"/>
        <w:rPr>
          <w:rFonts w:hint="eastAsia"/>
          <w:color w:val="auto"/>
          <w:highlight w:val="none"/>
        </w:rPr>
      </w:pPr>
      <w:r>
        <w:rPr>
          <w:rFonts w:hint="eastAsia"/>
          <w:color w:val="auto"/>
          <w:highlight w:val="none"/>
        </w:rPr>
        <w:t>①当材料价格涨幅大于5%时S</w:t>
      </w:r>
      <w:r>
        <w:rPr>
          <w:rFonts w:hint="eastAsia"/>
          <w:color w:val="auto"/>
          <w:highlight w:val="none"/>
          <w:lang w:val="en-US" w:eastAsia="zh-CN"/>
        </w:rPr>
        <w:t>i</w:t>
      </w:r>
      <w:r>
        <w:rPr>
          <w:rFonts w:hint="eastAsia"/>
          <w:color w:val="auto"/>
          <w:highlight w:val="none"/>
        </w:rPr>
        <w:t>=T</w:t>
      </w:r>
      <w:r>
        <w:rPr>
          <w:rFonts w:hint="eastAsia"/>
          <w:color w:val="auto"/>
          <w:highlight w:val="none"/>
          <w:lang w:val="en-US" w:eastAsia="zh-CN"/>
        </w:rPr>
        <w:t>i</w:t>
      </w:r>
      <w:r>
        <w:rPr>
          <w:rFonts w:hint="eastAsia"/>
          <w:color w:val="auto"/>
          <w:highlight w:val="none"/>
        </w:rPr>
        <w:t>*A</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*1.05）；</w:t>
      </w:r>
    </w:p>
    <w:p w14:paraId="130C110C">
      <w:pPr>
        <w:spacing w:line="360" w:lineRule="auto"/>
        <w:ind w:firstLine="420" w:firstLineChars="200"/>
        <w:rPr>
          <w:rFonts w:hint="eastAsia"/>
          <w:color w:val="auto"/>
          <w:highlight w:val="none"/>
        </w:rPr>
      </w:pPr>
      <w:r>
        <w:rPr>
          <w:rFonts w:hint="eastAsia"/>
          <w:color w:val="auto"/>
          <w:highlight w:val="none"/>
        </w:rPr>
        <w:t>②当材料价格降幅大于5%时S</w:t>
      </w:r>
      <w:r>
        <w:rPr>
          <w:rFonts w:hint="eastAsia"/>
          <w:color w:val="auto"/>
          <w:highlight w:val="none"/>
          <w:lang w:val="en-US" w:eastAsia="zh-CN"/>
        </w:rPr>
        <w:t>i</w:t>
      </w:r>
      <w:r>
        <w:rPr>
          <w:rFonts w:hint="eastAsia"/>
          <w:color w:val="auto"/>
          <w:highlight w:val="none"/>
        </w:rPr>
        <w:t>=T</w:t>
      </w:r>
      <w:r>
        <w:rPr>
          <w:rFonts w:hint="eastAsia"/>
          <w:color w:val="auto"/>
          <w:highlight w:val="none"/>
          <w:lang w:val="en-US" w:eastAsia="zh-CN"/>
        </w:rPr>
        <w:t>i</w:t>
      </w:r>
      <w:r>
        <w:rPr>
          <w:rFonts w:hint="eastAsia"/>
          <w:color w:val="auto"/>
          <w:highlight w:val="none"/>
        </w:rPr>
        <w:t>*A</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*0.95）；</w:t>
      </w:r>
    </w:p>
    <w:p w14:paraId="11715146">
      <w:pPr>
        <w:spacing w:line="360" w:lineRule="auto"/>
        <w:ind w:firstLine="420" w:firstLineChars="200"/>
        <w:rPr>
          <w:rFonts w:hint="eastAsia"/>
          <w:color w:val="auto"/>
          <w:highlight w:val="none"/>
        </w:rPr>
      </w:pPr>
      <w:r>
        <w:rPr>
          <w:rFonts w:hint="eastAsia"/>
          <w:color w:val="auto"/>
          <w:highlight w:val="none"/>
        </w:rPr>
        <w:t>S</w:t>
      </w:r>
      <w:r>
        <w:rPr>
          <w:rFonts w:hint="eastAsia"/>
          <w:color w:val="auto"/>
          <w:highlight w:val="none"/>
          <w:lang w:val="en-US" w:eastAsia="zh-CN"/>
        </w:rPr>
        <w:t>i：</w:t>
      </w:r>
      <w:r>
        <w:rPr>
          <w:rFonts w:hint="eastAsia"/>
          <w:color w:val="auto"/>
          <w:highlight w:val="none"/>
        </w:rPr>
        <w:t>某种</w:t>
      </w:r>
      <w:r>
        <w:rPr>
          <w:rFonts w:hint="eastAsia"/>
          <w:color w:val="auto"/>
          <w:highlight w:val="none"/>
          <w:lang w:val="en-US" w:eastAsia="zh-CN"/>
        </w:rPr>
        <w:t>建筑</w:t>
      </w:r>
      <w:r>
        <w:rPr>
          <w:rFonts w:hint="eastAsia"/>
          <w:color w:val="auto"/>
          <w:highlight w:val="none"/>
        </w:rPr>
        <w:t>主材</w:t>
      </w:r>
      <w:r>
        <w:rPr>
          <w:rFonts w:hint="eastAsia"/>
          <w:color w:val="auto"/>
          <w:highlight w:val="none"/>
          <w:lang w:val="en-US" w:eastAsia="zh-CN"/>
        </w:rPr>
        <w:t>调</w:t>
      </w:r>
      <w:r>
        <w:rPr>
          <w:rFonts w:hint="eastAsia"/>
          <w:color w:val="auto"/>
          <w:highlight w:val="none"/>
        </w:rPr>
        <w:t>差金额</w:t>
      </w:r>
      <w:r>
        <w:rPr>
          <w:rFonts w:hint="eastAsia" w:ascii="Times New Roman" w:hAnsi="Times New Roman" w:eastAsia="宋体" w:cs="Times New Roman"/>
          <w:color w:val="auto"/>
          <w:highlight w:val="none"/>
        </w:rPr>
        <w:t>（</w:t>
      </w:r>
      <w:r>
        <w:rPr>
          <w:rFonts w:hint="eastAsia" w:ascii="Times New Roman" w:hAnsi="Times New Roman" w:eastAsia="宋体" w:cs="Times New Roman"/>
          <w:i w:val="0"/>
          <w:iCs w:val="0"/>
          <w:caps w:val="0"/>
          <w:color w:val="auto"/>
          <w:spacing w:val="0"/>
          <w:sz w:val="21"/>
          <w:szCs w:val="24"/>
          <w:highlight w:val="none"/>
          <w:shd w:val="clear" w:color="auto" w:fill="auto"/>
        </w:rPr>
        <w:t>当Si为正数时是补偿金额，当Si为负数时是扣减金额</w:t>
      </w:r>
      <w:r>
        <w:rPr>
          <w:rFonts w:hint="eastAsia"/>
          <w:color w:val="auto"/>
          <w:highlight w:val="none"/>
        </w:rPr>
        <w:t>）；</w:t>
      </w:r>
    </w:p>
    <w:p w14:paraId="574B653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T</w:t>
      </w:r>
      <w:r>
        <w:rPr>
          <w:rFonts w:hint="eastAsia" w:ascii="Times New Roman" w:hAnsi="Times New Roman" w:eastAsia="宋体" w:cs="Times New Roman"/>
          <w:color w:val="auto"/>
          <w:highlight w:val="none"/>
          <w:lang w:val="en-US" w:eastAsia="zh-CN"/>
        </w:rPr>
        <w:t>i：</w:t>
      </w:r>
      <w:r>
        <w:rPr>
          <w:rFonts w:hint="eastAsia" w:ascii="Times New Roman" w:hAnsi="Times New Roman" w:eastAsia="宋体" w:cs="Times New Roman"/>
          <w:i w:val="0"/>
          <w:iCs w:val="0"/>
          <w:caps w:val="0"/>
          <w:color w:val="auto"/>
          <w:spacing w:val="0"/>
          <w:sz w:val="21"/>
          <w:szCs w:val="24"/>
          <w:highlight w:val="none"/>
          <w:shd w:val="clear" w:color="auto" w:fill="auto"/>
        </w:rPr>
        <w:t>调差系数；（如合同工期内正常施工或发包人原因导致工期延误30天以内时，调差系数为0.5；如合同执行中由于发包人原因导致工期延误超过30天或承包人原因导致工期延误的，调差系数为1）</w:t>
      </w:r>
      <w:r>
        <w:rPr>
          <w:rFonts w:hint="eastAsia" w:ascii="Times New Roman" w:hAnsi="Times New Roman" w:eastAsia="宋体" w:cs="Times New Roman"/>
          <w:color w:val="auto"/>
          <w:highlight w:val="none"/>
        </w:rPr>
        <w:t>；</w:t>
      </w:r>
    </w:p>
    <w:p w14:paraId="26AEEE9F">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A</w:t>
      </w:r>
      <w:r>
        <w:rPr>
          <w:rFonts w:hint="eastAsia" w:ascii="Times New Roman" w:hAnsi="Times New Roman" w:eastAsia="宋体" w:cs="Times New Roman"/>
          <w:color w:val="auto"/>
          <w:highlight w:val="none"/>
          <w:lang w:val="en-US" w:eastAsia="zh-CN"/>
        </w:rPr>
        <w:t>i：</w:t>
      </w:r>
      <w:r>
        <w:rPr>
          <w:rFonts w:hint="eastAsia" w:ascii="Times New Roman" w:hAnsi="Times New Roman" w:eastAsia="宋体" w:cs="Times New Roman"/>
          <w:color w:val="auto"/>
          <w:highlight w:val="none"/>
        </w:rPr>
        <w:t>某种建筑主材的消耗量；</w:t>
      </w:r>
    </w:p>
    <w:p w14:paraId="339A787D">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△C</w:t>
      </w:r>
      <w:r>
        <w:rPr>
          <w:rFonts w:hint="eastAsia" w:ascii="Times New Roman" w:hAnsi="Times New Roman" w:eastAsia="宋体" w:cs="Times New Roman"/>
          <w:color w:val="auto"/>
          <w:highlight w:val="none"/>
          <w:lang w:val="en-US" w:eastAsia="zh-CN"/>
        </w:rPr>
        <w:t>i：</w:t>
      </w:r>
      <w:r>
        <w:rPr>
          <w:rFonts w:hint="eastAsia" w:ascii="Times New Roman" w:hAnsi="Times New Roman" w:eastAsia="宋体" w:cs="Times New Roman"/>
          <w:i w:val="0"/>
          <w:iCs w:val="0"/>
          <w:caps w:val="0"/>
          <w:color w:val="auto"/>
          <w:spacing w:val="0"/>
          <w:sz w:val="21"/>
          <w:szCs w:val="24"/>
          <w:highlight w:val="none"/>
          <w:shd w:val="clear" w:color="auto" w:fill="auto"/>
        </w:rPr>
        <w:t>某种建筑主材在工程实际开工至完工期间（以开工报告和竣工报告为准）工程造价管理机构发布价格的平均值</w:t>
      </w:r>
      <w:r>
        <w:rPr>
          <w:rFonts w:hint="eastAsia" w:ascii="Times New Roman" w:hAnsi="Times New Roman" w:eastAsia="宋体" w:cs="Times New Roman"/>
          <w:color w:val="auto"/>
          <w:highlight w:val="none"/>
        </w:rPr>
        <w:t>；</w:t>
      </w:r>
    </w:p>
    <w:p w14:paraId="6DDFF442">
      <w:pPr>
        <w:spacing w:line="360" w:lineRule="auto"/>
        <w:ind w:firstLine="420" w:firstLineChars="200"/>
        <w:rPr>
          <w:rFonts w:hint="eastAsia"/>
          <w:color w:val="auto"/>
          <w:highlight w:val="none"/>
        </w:rPr>
      </w:pPr>
      <w:r>
        <w:rPr>
          <w:rFonts w:hint="eastAsia"/>
          <w:color w:val="auto"/>
          <w:highlight w:val="none"/>
        </w:rPr>
        <w:t>C</w:t>
      </w:r>
      <w:r>
        <w:rPr>
          <w:rFonts w:hint="eastAsia" w:ascii="Times New Roman" w:hAnsi="Times New Roman" w:eastAsia="宋体" w:cs="Times New Roman"/>
          <w:color w:val="auto"/>
          <w:highlight w:val="none"/>
          <w:lang w:val="en-US" w:eastAsia="zh-CN"/>
        </w:rPr>
        <w:t>i：</w:t>
      </w:r>
      <w:r>
        <w:rPr>
          <w:rFonts w:hint="eastAsia"/>
          <w:color w:val="auto"/>
          <w:highlight w:val="none"/>
        </w:rPr>
        <w:t>某种建筑主材在合同中对应的中介预算价格。</w:t>
      </w:r>
    </w:p>
    <w:p w14:paraId="646F476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rPr>
      </w:pPr>
      <w:r>
        <w:rPr>
          <w:rFonts w:hint="eastAsia"/>
          <w:color w:val="auto"/>
          <w:highlight w:val="none"/>
        </w:rPr>
        <w:t>调差金额作为价差计入工程价款，只计取规费和税金，不再按承包人的中标下浮率进行下浮。</w:t>
      </w:r>
    </w:p>
    <w:p w14:paraId="467BFC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21</w:t>
      </w:r>
      <w:r>
        <w:rPr>
          <w:rFonts w:hint="eastAsia"/>
        </w:rPr>
        <w:t>）工程施工期间，因设计修改、变更，建设单位要求中标单位施工时，中标单位不得以任何理由拒绝施工，其增、减部分的承包价的调整按下列方法进行：</w:t>
      </w:r>
    </w:p>
    <w:p w14:paraId="5DAA16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合同外增加工程的：合同中已有变更工程项目单价的（或类似于变更工程项目单价的），如合同单价低于《中介预算》*中标承包价浮动率，则按合同单价结算；如合同单价高于相应《中介预算》单价*中标承包价浮动率，则按《中介预算》单价*中标承包价浮动率结算；（中标承包价浮动率=投标人的总报价÷《中介预算》总价）；</w:t>
      </w:r>
    </w:p>
    <w:p w14:paraId="4A7061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2）合同内减少工程的：其减少部分结算单价均按《中介预算》单价*中标承包价浮动率结算；</w:t>
      </w:r>
    </w:p>
    <w:p w14:paraId="5A8E7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3）合同中没有适用或类似于变更工程的单价，由工程造价咨询机构按本次招标工程中介预算的相应计价依据计价，按中标承包价浮动率（中标承包价浮动率=中标承包价/中介预算总价）经审核后调整执行。</w:t>
      </w:r>
    </w:p>
    <w:p w14:paraId="3E960F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22</w:t>
      </w:r>
      <w:r>
        <w:rPr>
          <w:rFonts w:hint="eastAsia"/>
        </w:rPr>
        <w:t>）工程质量保修期及保修金</w:t>
      </w:r>
    </w:p>
    <w:p w14:paraId="617264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eastAsia="宋体"/>
          <w:lang w:val="en-US" w:eastAsia="zh-CN"/>
        </w:rPr>
      </w:pPr>
      <w:r>
        <w:rPr>
          <w:rFonts w:hint="eastAsia"/>
        </w:rPr>
        <w:t>工程质量保修期按《水利水电建设工程验收规程》（SL223—2008）有关规定执行，但在合同专用条款另有约定的除外。</w:t>
      </w:r>
      <w:r>
        <w:rPr>
          <w:rFonts w:hint="eastAsia"/>
          <w:lang w:eastAsia="zh-CN"/>
        </w:rPr>
        <w:t>承包人</w:t>
      </w:r>
      <w:r>
        <w:rPr>
          <w:rFonts w:hint="eastAsia"/>
        </w:rPr>
        <w:t>在向招标人提交工程完工验收报告时，向</w:t>
      </w:r>
      <w:r>
        <w:rPr>
          <w:rFonts w:hint="eastAsia"/>
          <w:lang w:eastAsia="zh-CN"/>
        </w:rPr>
        <w:t>发包</w:t>
      </w:r>
      <w:r>
        <w:rPr>
          <w:rFonts w:hint="eastAsia"/>
        </w:rPr>
        <w:t>人出具质量保修书，如属施工质量引起的问题，由</w:t>
      </w:r>
      <w:r>
        <w:rPr>
          <w:rFonts w:hint="eastAsia"/>
          <w:lang w:eastAsia="zh-CN"/>
        </w:rPr>
        <w:t>承包人</w:t>
      </w:r>
      <w:r>
        <w:rPr>
          <w:rFonts w:hint="eastAsia"/>
        </w:rPr>
        <w:t>全部负责并无偿保修。质量保修金按工程价款结算总额</w:t>
      </w:r>
      <w:r>
        <w:rPr>
          <w:rFonts w:hint="eastAsia"/>
          <w:lang w:eastAsia="zh-CN"/>
        </w:rPr>
        <w:t>的</w:t>
      </w:r>
      <w:r>
        <w:rPr>
          <w:rFonts w:hint="eastAsia"/>
        </w:rPr>
        <w:t>3%预留，</w:t>
      </w:r>
      <w:r>
        <w:rPr>
          <w:rFonts w:hint="eastAsia"/>
          <w:lang w:eastAsia="zh-CN"/>
        </w:rPr>
        <w:t>承包人可以选择待</w:t>
      </w:r>
      <w:r>
        <w:rPr>
          <w:rFonts w:hint="eastAsia"/>
        </w:rPr>
        <w:t>质量保修期满后一个月内</w:t>
      </w:r>
      <w:r>
        <w:rPr>
          <w:rFonts w:hint="eastAsia"/>
          <w:lang w:eastAsia="zh-CN"/>
        </w:rPr>
        <w:t>申请</w:t>
      </w:r>
      <w:r>
        <w:rPr>
          <w:rFonts w:hint="eastAsia" w:ascii="宋体" w:hAnsi="宋体"/>
        </w:rPr>
        <w:t>结清所有款项</w:t>
      </w:r>
      <w:r>
        <w:rPr>
          <w:rFonts w:hint="eastAsia"/>
        </w:rPr>
        <w:t>（无息）</w:t>
      </w:r>
      <w:r>
        <w:rPr>
          <w:rFonts w:hint="eastAsia"/>
          <w:lang w:eastAsia="zh-CN"/>
        </w:rPr>
        <w:t>或</w:t>
      </w:r>
      <w:r>
        <w:rPr>
          <w:rFonts w:hint="eastAsia"/>
          <w:lang w:val="en-US" w:eastAsia="zh-CN"/>
        </w:rPr>
        <w:t>向发包人提交等额的质量保证金保函</w:t>
      </w:r>
      <w:r>
        <w:rPr>
          <w:rFonts w:hint="eastAsia"/>
          <w:lang w:eastAsia="zh-CN"/>
        </w:rPr>
        <w:t>（优先选择使用电子保函）</w:t>
      </w:r>
      <w:r>
        <w:rPr>
          <w:rFonts w:hint="eastAsia"/>
          <w:lang w:val="en-US" w:eastAsia="zh-CN"/>
        </w:rPr>
        <w:t>后申请</w:t>
      </w:r>
      <w:r>
        <w:rPr>
          <w:rFonts w:hint="eastAsia" w:ascii="宋体" w:hAnsi="宋体"/>
        </w:rPr>
        <w:t>结清所有款项</w:t>
      </w:r>
      <w:r>
        <w:rPr>
          <w:rFonts w:hint="eastAsia"/>
          <w:lang w:val="en-US" w:eastAsia="zh-CN"/>
        </w:rPr>
        <w:t>。</w:t>
      </w:r>
    </w:p>
    <w:p w14:paraId="23B44C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23</w:t>
      </w:r>
      <w:r>
        <w:rPr>
          <w:rFonts w:hint="eastAsia"/>
        </w:rPr>
        <w:t>）工程价款支付</w:t>
      </w:r>
    </w:p>
    <w:p w14:paraId="73D3A7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承包单位在开工前必须完善质量监督、开工审批和备案手续，否则建设单位有权拒付工程进度款。</w:t>
      </w:r>
    </w:p>
    <w:p w14:paraId="578BEE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highlight w:val="none"/>
        </w:rPr>
      </w:pPr>
      <w:r>
        <w:rPr>
          <w:rFonts w:hint="eastAsia" w:asciiTheme="minorEastAsia" w:hAnsiTheme="minorEastAsia" w:eastAsiaTheme="minorEastAsia" w:cstheme="minorEastAsia"/>
          <w:highlight w:val="none"/>
        </w:rPr>
        <w:t>工程进度款的拨付按每月实际完成工程量，经本工程的监理单位核实且相关资料完备，建设单位认可的</w:t>
      </w:r>
      <w:r>
        <w:rPr>
          <w:rFonts w:hint="eastAsia" w:asciiTheme="minorEastAsia" w:hAnsiTheme="minorEastAsia" w:eastAsiaTheme="minorEastAsia" w:cstheme="minorEastAsia"/>
          <w:highlight w:val="none"/>
          <w:lang w:val="en-US" w:eastAsia="zh-CN"/>
        </w:rPr>
        <w:t>90</w:t>
      </w:r>
      <w:r>
        <w:rPr>
          <w:rFonts w:hint="eastAsia" w:asciiTheme="minorEastAsia" w:hAnsiTheme="minorEastAsia" w:eastAsiaTheme="minorEastAsia" w:cstheme="minorEastAsia"/>
          <w:highlight w:val="none"/>
        </w:rPr>
        <w:t>%支付工程款。工程完工验收后支付至承包合同总价的</w:t>
      </w:r>
      <w:r>
        <w:rPr>
          <w:rFonts w:hint="eastAsia" w:asciiTheme="minorEastAsia" w:hAnsiTheme="minorEastAsia" w:eastAsiaTheme="minorEastAsia" w:cstheme="minorEastAsia"/>
          <w:highlight w:val="none"/>
          <w:lang w:val="en-US" w:eastAsia="zh-CN"/>
        </w:rPr>
        <w:t>90</w:t>
      </w:r>
      <w:r>
        <w:rPr>
          <w:rFonts w:hint="eastAsia" w:asciiTheme="minorEastAsia" w:hAnsiTheme="minorEastAsia" w:eastAsiaTheme="minorEastAsia" w:cstheme="minorEastAsia"/>
          <w:highlight w:val="none"/>
        </w:rPr>
        <w:t>%，工程完成结算后一年内支付至工程结算价的97%，余款（工程结算价的3%）作为质量保修金，</w:t>
      </w:r>
      <w:r>
        <w:rPr>
          <w:rFonts w:hint="eastAsia" w:asciiTheme="minorEastAsia" w:hAnsiTheme="minorEastAsia" w:eastAsiaTheme="minorEastAsia" w:cstheme="minorEastAsia"/>
          <w:highlight w:val="none"/>
          <w:lang w:eastAsia="zh-CN"/>
        </w:rPr>
        <w:t>承包人可以选择待</w:t>
      </w:r>
      <w:r>
        <w:rPr>
          <w:rFonts w:hint="eastAsia" w:asciiTheme="minorEastAsia" w:hAnsiTheme="minorEastAsia" w:eastAsiaTheme="minorEastAsia" w:cstheme="minorEastAsia"/>
          <w:highlight w:val="none"/>
        </w:rPr>
        <w:t>质量保修期满后一个月内</w:t>
      </w:r>
      <w:r>
        <w:rPr>
          <w:rFonts w:hint="eastAsia" w:asciiTheme="minorEastAsia" w:hAnsiTheme="minorEastAsia" w:eastAsiaTheme="minorEastAsia" w:cstheme="minorEastAsia"/>
          <w:highlight w:val="none"/>
          <w:lang w:eastAsia="zh-CN"/>
        </w:rPr>
        <w:t>申请</w:t>
      </w:r>
      <w:r>
        <w:rPr>
          <w:rFonts w:hint="eastAsia" w:asciiTheme="minorEastAsia" w:hAnsiTheme="minorEastAsia" w:eastAsiaTheme="minorEastAsia" w:cstheme="minorEastAsia"/>
          <w:highlight w:val="none"/>
        </w:rPr>
        <w:t>结清所有款项（无息）</w:t>
      </w:r>
      <w:r>
        <w:rPr>
          <w:rFonts w:hint="eastAsia" w:asciiTheme="minorEastAsia" w:hAnsiTheme="minorEastAsia" w:eastAsiaTheme="minorEastAsia" w:cstheme="minorEastAsia"/>
          <w:highlight w:val="none"/>
          <w:lang w:eastAsia="zh-CN"/>
        </w:rPr>
        <w:t>或</w:t>
      </w:r>
      <w:r>
        <w:rPr>
          <w:rFonts w:hint="eastAsia" w:asciiTheme="minorEastAsia" w:hAnsiTheme="minorEastAsia" w:eastAsiaTheme="minorEastAsia" w:cstheme="minorEastAsia"/>
          <w:highlight w:val="none"/>
          <w:lang w:val="en-US" w:eastAsia="zh-CN"/>
        </w:rPr>
        <w:t>向发包人提交等额的质量保证金保函</w:t>
      </w:r>
      <w:r>
        <w:rPr>
          <w:rFonts w:hint="eastAsia" w:asciiTheme="minorEastAsia" w:hAnsiTheme="minorEastAsia" w:eastAsiaTheme="minorEastAsia" w:cstheme="minorEastAsia"/>
          <w:highlight w:val="none"/>
          <w:lang w:eastAsia="zh-CN"/>
        </w:rPr>
        <w:t>（优先选择使用电子保函）</w:t>
      </w:r>
      <w:r>
        <w:rPr>
          <w:rFonts w:hint="eastAsia" w:asciiTheme="minorEastAsia" w:hAnsiTheme="minorEastAsia" w:eastAsiaTheme="minorEastAsia" w:cstheme="minorEastAsia"/>
          <w:highlight w:val="none"/>
          <w:lang w:val="en-US" w:eastAsia="zh-CN"/>
        </w:rPr>
        <w:t>后申请</w:t>
      </w:r>
      <w:r>
        <w:rPr>
          <w:rFonts w:hint="eastAsia" w:asciiTheme="minorEastAsia" w:hAnsiTheme="minorEastAsia" w:eastAsiaTheme="minorEastAsia" w:cstheme="minorEastAsia"/>
          <w:highlight w:val="none"/>
        </w:rPr>
        <w:t>结清所有款项</w:t>
      </w:r>
      <w:r>
        <w:rPr>
          <w:rFonts w:hint="eastAsia"/>
          <w:highlight w:val="none"/>
          <w:lang w:val="en-US" w:eastAsia="zh-CN"/>
        </w:rPr>
        <w:t>。</w:t>
      </w:r>
    </w:p>
    <w:p w14:paraId="5AB0F4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（2</w:t>
      </w:r>
      <w:r>
        <w:rPr>
          <w:rFonts w:hint="eastAsia"/>
          <w:lang w:val="en-US" w:eastAsia="zh-CN"/>
        </w:rPr>
        <w:t>4</w:t>
      </w:r>
      <w:r>
        <w:rPr>
          <w:rFonts w:hint="eastAsia"/>
        </w:rPr>
        <w:t>）罚则</w:t>
      </w:r>
    </w:p>
    <w:p w14:paraId="03BA37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1）放弃中标的投标人的投标保证金均不予退还，招标人将保留追究其责任的权利，并上报行政主管部门对其进行</w:t>
      </w:r>
      <w:r>
        <w:rPr>
          <w:rFonts w:hint="eastAsia"/>
          <w:lang w:eastAsia="zh-CN"/>
        </w:rPr>
        <w:t>查处</w:t>
      </w:r>
      <w:r>
        <w:rPr>
          <w:rFonts w:hint="eastAsia"/>
        </w:rPr>
        <w:t>。</w:t>
      </w:r>
    </w:p>
    <w:p w14:paraId="30AAC2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2）因承包单位责任达不到合同工期的，作不良行为记录。</w:t>
      </w:r>
    </w:p>
    <w:p w14:paraId="72C937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3）对无视安全施工和文明施工要求，按第二章10.4.2关于《</w:t>
      </w:r>
      <w:r>
        <w:rPr>
          <w:rFonts w:hint="eastAsia"/>
          <w:lang w:val="en-GB"/>
        </w:rPr>
        <w:t>施工单位安全管理违约支付实施细则》进行处理，</w:t>
      </w:r>
      <w:r>
        <w:rPr>
          <w:rFonts w:hint="eastAsia"/>
        </w:rPr>
        <w:t>对建设等方所提的整改意见进行了整改但不见成效，上报行政主管部门对其进行处罚。</w:t>
      </w:r>
    </w:p>
    <w:p w14:paraId="3FB9EF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4）本工程中标后主体工程不得转包，否则作违约处理，视情节追究企业法人责任，并承担相应的商务损失。</w:t>
      </w:r>
    </w:p>
    <w:p w14:paraId="6EFD6A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5）在开工前，承包人应按照投标文件承诺的项目负责人（注册建造师）和技术负责人进行任命。拟投入本工程的注册建造师和专职安全员（或安全主任）必须具备水利行业或水利行政主管部门颁发的安全生产考核合格证书。项目技术负责人应具有水利水电类专业工程师或以上职称。无特殊原因不得更换项目负责人（注册建造师）和项目技术负责人，如发生下列行为之一的，经招标人同意后更换。</w:t>
      </w:r>
    </w:p>
    <w:p w14:paraId="4974A2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①因重病或重伤(持有县、区以上医院证明)两个月以上不能履行职责的；</w:t>
      </w:r>
    </w:p>
    <w:p w14:paraId="6CE981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②因违法被责令停止执业的；</w:t>
      </w:r>
    </w:p>
    <w:p w14:paraId="7A0149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③ 因犯罪被羁押或判刑的；</w:t>
      </w:r>
    </w:p>
    <w:p w14:paraId="1F0BB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④ 死亡；</w:t>
      </w:r>
    </w:p>
    <w:p w14:paraId="3CCD54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rPr>
      </w:pPr>
      <w:r>
        <w:rPr>
          <w:rFonts w:hint="eastAsia"/>
          <w:color w:val="auto"/>
        </w:rPr>
        <w:t>⑤主动辞职或调离原工作单位的；</w:t>
      </w:r>
    </w:p>
    <w:p w14:paraId="3BB02C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rPr>
      </w:pPr>
      <w:r>
        <w:rPr>
          <w:rFonts w:hint="eastAsia"/>
          <w:color w:val="auto"/>
        </w:rPr>
        <w:t>⑥ 因管理原因发生重大工程质量、安全事故，施工单位认为该项目负责人不称职需要更换的；</w:t>
      </w:r>
    </w:p>
    <w:p w14:paraId="5D5432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rPr>
      </w:pPr>
      <w:r>
        <w:rPr>
          <w:rFonts w:hint="eastAsia"/>
          <w:color w:val="auto"/>
        </w:rPr>
        <w:t>⑦ 无能力履行合同的责任和义务，造成严重后果，建设单位要求更换的。</w:t>
      </w:r>
    </w:p>
    <w:p w14:paraId="67152681">
      <w:pPr>
        <w:spacing w:line="440" w:lineRule="exact"/>
        <w:ind w:firstLine="539" w:firstLineChars="257"/>
        <w:rPr>
          <w:rFonts w:hint="eastAsia" w:ascii="宋体" w:hAnsi="宋体"/>
          <w:szCs w:val="21"/>
          <w:highlight w:val="none"/>
        </w:rPr>
      </w:pPr>
      <w:bookmarkStart w:id="15" w:name="_Hlk91439423"/>
      <w:r>
        <w:rPr>
          <w:rFonts w:hint="eastAsia" w:ascii="宋体" w:hAnsi="宋体"/>
          <w:szCs w:val="21"/>
        </w:rPr>
        <w:t>若未经招标人同意自行更换项目负责人（注册建造师）、技术负责人的，或因上述第</w:t>
      </w:r>
      <w:r>
        <w:rPr>
          <w:rFonts w:hint="eastAsia"/>
          <w:szCs w:val="21"/>
        </w:rPr>
        <w:t>⑤</w:t>
      </w:r>
      <w:r>
        <w:rPr>
          <w:rFonts w:hint="eastAsia" w:ascii="宋体" w:hAnsi="宋体"/>
          <w:szCs w:val="21"/>
        </w:rPr>
        <w:t>、</w:t>
      </w:r>
      <w:r>
        <w:rPr>
          <w:rFonts w:hint="eastAsia"/>
          <w:szCs w:val="21"/>
        </w:rPr>
        <w:t>⑥</w:t>
      </w:r>
      <w:r>
        <w:rPr>
          <w:rFonts w:hint="eastAsia" w:ascii="宋体" w:hAnsi="宋体"/>
          <w:szCs w:val="21"/>
        </w:rPr>
        <w:t>、</w:t>
      </w:r>
      <w:r>
        <w:rPr>
          <w:rFonts w:hint="eastAsia"/>
          <w:szCs w:val="21"/>
        </w:rPr>
        <w:t>⑦</w:t>
      </w:r>
      <w:r>
        <w:rPr>
          <w:rFonts w:hint="eastAsia" w:ascii="宋体" w:hAnsi="宋体"/>
          <w:szCs w:val="21"/>
        </w:rPr>
        <w:t>项原因经招标人同意后更换项目负责人（注册建造师）、技术负责人的，</w:t>
      </w:r>
      <w:r>
        <w:rPr>
          <w:rFonts w:hint="eastAsia" w:ascii="宋体" w:hAnsi="宋体"/>
          <w:szCs w:val="21"/>
          <w:highlight w:val="none"/>
        </w:rPr>
        <w:t>施工单位须每次支付违约金为合同价的1%且最高不超过50万元。</w:t>
      </w:r>
    </w:p>
    <w:p w14:paraId="171C6490">
      <w:pPr>
        <w:spacing w:line="440" w:lineRule="exact"/>
        <w:ind w:firstLine="539" w:firstLineChars="257"/>
        <w:rPr>
          <w:rFonts w:hint="eastAsia" w:ascii="宋体" w:hAnsi="宋体"/>
          <w:szCs w:val="21"/>
        </w:rPr>
      </w:pPr>
      <w:r>
        <w:rPr>
          <w:rFonts w:hint="eastAsia" w:ascii="宋体" w:hAnsi="宋体"/>
          <w:szCs w:val="21"/>
        </w:rPr>
        <w:t>拟更换的项目负责人、技术负责人其获奖情况、业绩履历、技术职称等主要条件不能低于投标文件确定的项目负责人。</w:t>
      </w:r>
    </w:p>
    <w:bookmarkEnd w:id="15"/>
    <w:p w14:paraId="36A883DC">
      <w:pPr>
        <w:spacing w:line="440" w:lineRule="exact"/>
        <w:ind w:firstLine="573"/>
        <w:rPr>
          <w:rFonts w:hint="eastAsia" w:ascii="Arial" w:hAnsi="Arial"/>
          <w:szCs w:val="28"/>
        </w:rPr>
      </w:pPr>
      <w:r>
        <w:rPr>
          <w:rFonts w:hint="eastAsia" w:ascii="宋体" w:hAnsi="宋体"/>
          <w:szCs w:val="21"/>
        </w:rPr>
        <w:t>6）在工程主体施工期间，施工单位项目主要负责人（项目负责人、技术负责人）驻现场必须超过50%的施工工作日（到位情况以建设单位旁站人员考勤签到检查为准），若施工单位项目负责人不按要求到位的，支付发包人中标价5%的违约金。此外，①施工单位项目主要负责人（项目负责人、技术负责人）必须至少有一人参加每次工程协调会（包含但不限于图纸会审、技术交底、工程变更、工程例会等会议），否则，每缺席（含请假）一次支付违约金1000元（直接记入会议纪要，以作结算依据）。②发包人、行政监督部门有权对施工单位项目主要负责人员在岗履职情况进行检查或考核，检查或考核时如发现施工单位项目主要负责人（项目负责人、技术负责人）不在岗且没有请假手续的，每发现一人次支付发包人1000元违约金。</w:t>
      </w:r>
    </w:p>
    <w:p w14:paraId="288D5E9C">
      <w:pPr>
        <w:spacing w:line="440" w:lineRule="exact"/>
        <w:ind w:firstLine="573"/>
        <w:rPr>
          <w:rFonts w:hint="eastAsia" w:ascii="宋体" w:hAnsi="宋体"/>
          <w:szCs w:val="21"/>
        </w:rPr>
      </w:pPr>
      <w:r>
        <w:rPr>
          <w:rFonts w:hint="eastAsia" w:ascii="宋体" w:hAnsi="宋体"/>
          <w:szCs w:val="21"/>
        </w:rPr>
        <w:t>7）施工单位主要负责人离开工地管理现场应征得总监理工程师同意。对于不符合要求或不称职的施工单位主要负责人，建设单位或监理单位有权要求施工单位限期更换。</w:t>
      </w:r>
    </w:p>
    <w:p w14:paraId="3AD80383">
      <w:pPr>
        <w:spacing w:line="460" w:lineRule="atLeast"/>
        <w:ind w:firstLine="482"/>
        <w:rPr>
          <w:rFonts w:hint="eastAsia" w:eastAsia="宋体"/>
          <w:lang w:val="en-US" w:eastAsia="zh-CN"/>
        </w:rPr>
      </w:pPr>
      <w:r>
        <w:rPr>
          <w:rFonts w:hint="eastAsia"/>
        </w:rPr>
        <w:t>若在施工中出现质量问题且施工单位项目主要负责人不按要求到位，经建设方多次提出整改要求而施工方没有及时改进或没有实质性响应的，建设方有权单方解除施工合同，由此造成的所有损失由施工方自行承担，由建设方</w:t>
      </w:r>
      <w:r>
        <w:rPr>
          <w:rFonts w:hint="eastAsia"/>
          <w:lang w:eastAsia="zh-CN"/>
        </w:rPr>
        <w:t>按照法定方式</w:t>
      </w:r>
      <w:r>
        <w:rPr>
          <w:rFonts w:hint="eastAsia"/>
        </w:rPr>
        <w:t>另行选择具备相应资质的施工单位进行未完成工程的施工。</w:t>
      </w:r>
      <w:bookmarkStart w:id="16" w:name="_Toc184635081"/>
    </w:p>
    <w:p w14:paraId="1A64FA0A">
      <w:pPr>
        <w:spacing w:line="460" w:lineRule="atLeast"/>
        <w:ind w:firstLine="482"/>
        <w:rPr>
          <w:rFonts w:hint="eastAsia"/>
          <w:b/>
          <w:bCs/>
        </w:rPr>
      </w:pPr>
      <w:r>
        <w:rPr>
          <w:rFonts w:hint="eastAsia"/>
          <w:b/>
          <w:bCs/>
        </w:rPr>
        <w:t>10.8要求执行的规章制度</w:t>
      </w:r>
    </w:p>
    <w:p w14:paraId="4A177417">
      <w:pPr>
        <w:spacing w:line="440" w:lineRule="exact"/>
        <w:ind w:firstLine="573"/>
        <w:rPr>
          <w:rFonts w:hint="eastAsia" w:ascii="宋体" w:hAnsi="宋体"/>
          <w:szCs w:val="21"/>
        </w:rPr>
      </w:pPr>
      <w:r>
        <w:rPr>
          <w:rFonts w:hint="eastAsia" w:ascii="宋体" w:hAnsi="宋体"/>
          <w:szCs w:val="21"/>
        </w:rPr>
        <w:t>1、本项目工人工资支付要求实行分账管理制度，参建各方须严格按照《中山市水利建设领域工人工资支付分账管理实施细则》（中水[2016]75号）有关规定执行。</w:t>
      </w:r>
    </w:p>
    <w:p w14:paraId="2BFC43DA">
      <w:pPr>
        <w:spacing w:line="440" w:lineRule="exact"/>
        <w:ind w:firstLine="573"/>
        <w:rPr>
          <w:rFonts w:hint="eastAsia" w:ascii="宋体" w:hAnsi="宋体"/>
          <w:szCs w:val="21"/>
        </w:rPr>
      </w:pPr>
      <w:r>
        <w:rPr>
          <w:rFonts w:hint="eastAsia" w:ascii="宋体" w:hAnsi="宋体"/>
          <w:szCs w:val="21"/>
        </w:rPr>
        <w:t>2、</w:t>
      </w:r>
      <w:r>
        <w:rPr>
          <w:rFonts w:hint="eastAsia" w:ascii="宋体" w:hAnsi="宋体"/>
          <w:color w:val="auto"/>
          <w:szCs w:val="21"/>
          <w:highlight w:val="none"/>
        </w:rPr>
        <w:t>承包人应切实做好农民工工资支付保障工作，落实工资保证金制度，按时足额发放农民工工资。在项目开工前，承包人须在工程项目所在地建设银行或工商银行设立劳务工资保证金专用账户，并按合同造价的3％（最高不超过</w:t>
      </w:r>
      <w:r>
        <w:rPr>
          <w:rFonts w:hint="eastAsia" w:ascii="宋体" w:hAnsi="宋体"/>
          <w:color w:val="auto"/>
          <w:szCs w:val="21"/>
          <w:highlight w:val="none"/>
          <w:lang w:val="en-US" w:eastAsia="zh-CN"/>
        </w:rPr>
        <w:t>5</w:t>
      </w:r>
      <w:r>
        <w:rPr>
          <w:rFonts w:hint="eastAsia" w:ascii="宋体" w:hAnsi="宋体"/>
          <w:color w:val="auto"/>
          <w:szCs w:val="21"/>
          <w:highlight w:val="none"/>
        </w:rPr>
        <w:t>00万元，含本数）一次性存入该专用账户中。（具体按《关于转发〈中山市建设工程劳务工资保证金管理实施细则〉的通知》有关规定执行。）或按《关于建设工程领域农民工工资支付保证金管理办法》（粤人社规〔2019〕10号）规定采用第三方担保方式代缴工资保证金。其中，用工企业承担直接支付农民工工资的主体责任；建设单位或施工总承包企业承担在欠付工程款范围内先行垫付农民工工资的责任；建设单位或施工总承包企业承担因违法分包、转包或违法分包及挂靠造成欠薪的清偿责任。</w:t>
      </w:r>
    </w:p>
    <w:p w14:paraId="21EABAED">
      <w:pPr>
        <w:spacing w:line="440" w:lineRule="exact"/>
        <w:ind w:firstLine="573"/>
        <w:rPr>
          <w:rFonts w:hint="eastAsia" w:ascii="宋体" w:hAnsi="宋体"/>
          <w:szCs w:val="21"/>
        </w:rPr>
      </w:pPr>
      <w:r>
        <w:rPr>
          <w:rFonts w:hint="eastAsia" w:ascii="宋体" w:hAnsi="宋体"/>
          <w:szCs w:val="21"/>
        </w:rPr>
        <w:t>3、承包人应切实做好农民工工资支付保障工作，严格按《广东省建设工程领域用工实名管理暂行办法》规定全面落实农民工实名制管理。</w:t>
      </w:r>
    </w:p>
    <w:p w14:paraId="6A75F90E">
      <w:pPr>
        <w:spacing w:line="440" w:lineRule="exact"/>
        <w:ind w:firstLine="573"/>
        <w:rPr>
          <w:rFonts w:hint="eastAsia" w:ascii="宋体" w:hAnsi="宋体"/>
          <w:szCs w:val="21"/>
        </w:rPr>
      </w:pPr>
      <w:r>
        <w:rPr>
          <w:rFonts w:hint="eastAsia" w:ascii="宋体" w:hAnsi="宋体"/>
          <w:szCs w:val="21"/>
        </w:rPr>
        <w:t>4、工程实施期间要切实做好安全文明施工措施，严格按《中山市人民政府关于修改〈中山市扬尘污染防治管理办法〉的决定》（中山市人民政府令第15号）、《广东省水利厅关于进一步加强非道路移动机械达标监管和扬尘污染防治工作的通知》（</w:t>
      </w:r>
      <w:bookmarkStart w:id="17" w:name="wh"/>
      <w:r>
        <w:rPr>
          <w:rFonts w:hint="eastAsia" w:ascii="宋体" w:hAnsi="宋体"/>
          <w:szCs w:val="21"/>
        </w:rPr>
        <w:t>粤水建设函〔2020〕666号</w:t>
      </w:r>
      <w:bookmarkEnd w:id="17"/>
      <w:r>
        <w:rPr>
          <w:rFonts w:hint="eastAsia" w:ascii="宋体" w:hAnsi="宋体"/>
          <w:szCs w:val="21"/>
        </w:rPr>
        <w:t>）对施工场地范围内及其周边地区、工程运输车辆做好扬尘污染防治。全面落实施工现场围挡、场地硬化、洒水降尘、裸土覆盖、泥头车清洗、在线监控等扬尘措施；加强施工场地内移动机械管理和扬尘污染防治；严禁使用</w:t>
      </w:r>
      <w:r>
        <w:rPr>
          <w:rFonts w:hint="eastAsia" w:ascii="宋体" w:hAnsi="宋体"/>
          <w:szCs w:val="21"/>
          <w:lang w:val="zh-CN"/>
        </w:rPr>
        <w:t>冒黑烟高排放的工程机械。</w:t>
      </w:r>
    </w:p>
    <w:p w14:paraId="2F070510">
      <w:pPr>
        <w:spacing w:line="440" w:lineRule="exact"/>
        <w:ind w:firstLine="573"/>
        <w:rPr>
          <w:rFonts w:hint="eastAsia" w:ascii="宋体" w:hAnsi="宋体"/>
          <w:szCs w:val="21"/>
        </w:rPr>
      </w:pPr>
      <w:r>
        <w:rPr>
          <w:rFonts w:hint="eastAsia" w:ascii="宋体" w:hAnsi="宋体"/>
          <w:szCs w:val="21"/>
        </w:rPr>
        <w:t>5、项目工程运输车辆必须严格执行《中山市工程运输车辆综合治理工作方案》（中府办函〔2018〕143 号）、《中山市水务行业工程运输车综合治理工作实施方案》（中水〔2018〕193 号工作要求，落实工程运输车全密闭运输和全链条管理，杜绝尘土扬撒、泄漏等行为，有效遏制工程运输车各类违法违规行为。</w:t>
      </w:r>
    </w:p>
    <w:p w14:paraId="41D34D9A">
      <w:pPr>
        <w:spacing w:line="440" w:lineRule="exact"/>
        <w:ind w:firstLine="573"/>
        <w:rPr>
          <w:rFonts w:hint="eastAsia" w:ascii="宋体" w:hAnsi="宋体"/>
          <w:szCs w:val="21"/>
        </w:rPr>
      </w:pPr>
      <w:r>
        <w:rPr>
          <w:rFonts w:hint="eastAsia" w:ascii="宋体" w:hAnsi="宋体"/>
          <w:szCs w:val="21"/>
        </w:rPr>
        <w:t>6、招标人按照《开展建设工程保证保险有关工作的通知》规定向保险公司购买发包人合同款支付保证保险，则视同已经提交合同款支付保证金。</w:t>
      </w:r>
    </w:p>
    <w:p w14:paraId="23F21814">
      <w:pPr>
        <w:spacing w:line="440" w:lineRule="exact"/>
        <w:ind w:firstLine="573"/>
        <w:rPr>
          <w:rFonts w:hint="eastAsia" w:ascii="宋体" w:hAnsi="宋体"/>
          <w:szCs w:val="21"/>
        </w:rPr>
      </w:pPr>
      <w:r>
        <w:rPr>
          <w:rFonts w:hint="eastAsia" w:ascii="宋体" w:hAnsi="宋体"/>
          <w:szCs w:val="21"/>
        </w:rPr>
        <w:t>7、承包人严格《广东省建设工程领域用工实名管理暂行办法》（粤建规范〔2019〕1号）规定，依法与工人签订劳动合同，加强施工现场人员实名制管理，对施工现场人员予以实名登记，对实名制信息做好</w:t>
      </w:r>
      <w:r>
        <w:rPr>
          <w:rFonts w:hint="eastAsia" w:ascii="宋体" w:hAnsi="宋体"/>
          <w:szCs w:val="21"/>
          <w:lang w:eastAsia="zh-CN"/>
        </w:rPr>
        <w:t>台账</w:t>
      </w:r>
      <w:r>
        <w:rPr>
          <w:rFonts w:hint="eastAsia" w:ascii="宋体" w:hAnsi="宋体"/>
          <w:szCs w:val="21"/>
        </w:rPr>
        <w:t>管理。同时，应配备劳资专管员负责对施工现场人员进场作业进行考勤，并按月定期制作施工现场进出场记录和建立工资支付台账。</w:t>
      </w:r>
    </w:p>
    <w:p w14:paraId="66EB42FF">
      <w:pPr>
        <w:spacing w:line="440" w:lineRule="exact"/>
        <w:ind w:firstLine="573"/>
        <w:rPr>
          <w:rFonts w:hint="eastAsia" w:ascii="宋体" w:hAnsi="宋体"/>
          <w:szCs w:val="21"/>
        </w:rPr>
      </w:pPr>
      <w:r>
        <w:rPr>
          <w:rFonts w:hint="eastAsia" w:ascii="宋体" w:hAnsi="宋体"/>
          <w:szCs w:val="21"/>
        </w:rPr>
        <w:t>8、承包人应依法参加工伤保险，严格按广东省人力资源和社会保障厅等7部门联合发布《关于做好我省铁路、公路、水运、水利、能源、机场工程建设项目参加工伤保险工作的通知》（粤人社规〔2018〕15号）的要求，为本项目工人购买工伤保险。</w:t>
      </w:r>
    </w:p>
    <w:p w14:paraId="65281907">
      <w:pPr>
        <w:spacing w:line="440" w:lineRule="exact"/>
        <w:ind w:firstLine="573"/>
        <w:rPr>
          <w:rFonts w:hint="eastAsia" w:ascii="宋体" w:hAnsi="宋体" w:eastAsia="宋体" w:cs="Times New Roman"/>
          <w:szCs w:val="21"/>
        </w:rPr>
      </w:pPr>
      <w:r>
        <w:rPr>
          <w:rFonts w:hint="eastAsia" w:ascii="宋体" w:hAnsi="宋体" w:eastAsia="宋体" w:cs="Times New Roman"/>
          <w:szCs w:val="21"/>
          <w:lang w:val="en-US" w:eastAsia="zh-CN"/>
        </w:rPr>
        <w:t>9、</w:t>
      </w:r>
      <w:r>
        <w:rPr>
          <w:rFonts w:hint="eastAsia" w:ascii="宋体" w:hAnsi="宋体" w:eastAsia="宋体" w:cs="Times New Roman"/>
          <w:szCs w:val="21"/>
        </w:rPr>
        <w:t>根据国家税务总局《纳税人跨县（市、区）提供建筑服务增值税征收管理暂行办法》（国家税务总局公告2016年第17号）有关规定，如中标单位为外地建筑企业，应以收到的全部价款和价外费用扣除支付分包款后的余额，按规定预征率向我市税务机关预缴增值税以及城建税、教育费附加等附加税费。</w:t>
      </w:r>
    </w:p>
    <w:p w14:paraId="3738A1A5">
      <w:pPr>
        <w:spacing w:line="440" w:lineRule="exact"/>
        <w:ind w:firstLine="573"/>
        <w:rPr>
          <w:rFonts w:hint="eastAsia" w:ascii="宋体" w:hAnsi="宋体"/>
          <w:szCs w:val="21"/>
        </w:rPr>
      </w:pPr>
      <w:r>
        <w:rPr>
          <w:rFonts w:hint="eastAsia" w:ascii="宋体" w:hAnsi="宋体" w:eastAsia="宋体" w:cs="Arial"/>
          <w:kern w:val="0"/>
          <w:szCs w:val="21"/>
          <w:lang w:val="en-US" w:eastAsia="zh-CN"/>
        </w:rPr>
        <w:t>10、</w:t>
      </w:r>
      <w:r>
        <w:rPr>
          <w:rFonts w:hint="eastAsia" w:ascii="宋体" w:hAnsi="宋体" w:eastAsia="宋体" w:cs="Arial"/>
          <w:kern w:val="0"/>
          <w:szCs w:val="21"/>
          <w:lang w:val="en-GB" w:eastAsia="zh-CN"/>
        </w:rPr>
        <w:t>承包人在开工前须贯彻落实</w:t>
      </w:r>
      <w:r>
        <w:rPr>
          <w:rFonts w:hint="eastAsia" w:ascii="宋体" w:hAnsi="宋体" w:eastAsia="宋体" w:cs="Arial"/>
          <w:kern w:val="0"/>
          <w:szCs w:val="21"/>
          <w:lang w:val="en-US" w:eastAsia="zh-CN"/>
        </w:rPr>
        <w:t>《广东省应急管理厅 广东省地方金融监管局 中国银行保险监督管理委员会广东监管局关于印发〈广东省安全生产责任保险实施方案〉的通知》（粤应急规〔2021〕2号）、《中山市安全生产委员会办公室关于印发中山市安全生产责任保险实施方案的通知》（中安办〔2021〕77号）要求，按照</w:t>
      </w:r>
      <w:r>
        <w:rPr>
          <w:rFonts w:hint="eastAsia" w:ascii="宋体" w:hAnsi="宋体" w:eastAsia="宋体" w:cs="Arial"/>
          <w:kern w:val="0"/>
          <w:szCs w:val="21"/>
          <w:lang w:val="en-GB" w:eastAsia="zh-CN"/>
        </w:rPr>
        <w:t>责任限额投保安全生产责任保险，提高风险保障能力。投保安全生产责任保险的费用在安全生产费用中列支。</w:t>
      </w:r>
    </w:p>
    <w:p w14:paraId="03A0DB4C">
      <w:pPr>
        <w:spacing w:line="440" w:lineRule="exact"/>
        <w:ind w:firstLine="573"/>
        <w:rPr>
          <w:rFonts w:hint="default"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11、根据《广东省人民政府办公厅转发国务院办公厅转发国家发展岗位关于在重点工程项目中大力实施以工代赈促进当地群众就业增收工作方案的通知》（粤办函〔2022〕288号）有关要求，承包人在确保工程质量安全和符合进度要求等前提下，按照</w:t>
      </w:r>
      <w:r>
        <w:rPr>
          <w:rFonts w:hint="default" w:ascii="宋体" w:hAnsi="宋体" w:eastAsia="宋体" w:cs="Arial"/>
          <w:kern w:val="0"/>
          <w:szCs w:val="21"/>
          <w:highlight w:val="none"/>
          <w:lang w:val="en-US" w:eastAsia="zh-CN"/>
        </w:rPr>
        <w:t>“</w:t>
      </w:r>
      <w:r>
        <w:rPr>
          <w:rFonts w:hint="eastAsia" w:ascii="宋体" w:hAnsi="宋体" w:eastAsia="宋体" w:cs="Arial"/>
          <w:kern w:val="0"/>
          <w:szCs w:val="21"/>
          <w:highlight w:val="none"/>
          <w:lang w:val="en-US" w:eastAsia="zh-CN"/>
        </w:rPr>
        <w:t>应用尽用、能用尽用</w:t>
      </w:r>
      <w:r>
        <w:rPr>
          <w:rFonts w:hint="default" w:ascii="宋体" w:hAnsi="宋体" w:eastAsia="宋体" w:cs="Arial"/>
          <w:kern w:val="0"/>
          <w:szCs w:val="21"/>
          <w:highlight w:val="none"/>
          <w:lang w:val="en-US" w:eastAsia="zh-CN"/>
        </w:rPr>
        <w:t>”</w:t>
      </w:r>
      <w:r>
        <w:rPr>
          <w:rFonts w:hint="eastAsia" w:ascii="宋体" w:hAnsi="宋体" w:eastAsia="宋体" w:cs="Arial"/>
          <w:kern w:val="0"/>
          <w:szCs w:val="21"/>
          <w:highlight w:val="none"/>
          <w:lang w:val="en-US" w:eastAsia="zh-CN"/>
        </w:rPr>
        <w:t>的原则，在水利工程建设中大力实施以工代赈，促进本地农村群众就近就业增收。</w:t>
      </w:r>
    </w:p>
    <w:p w14:paraId="3A4F04B7">
      <w:pPr>
        <w:spacing w:line="440" w:lineRule="exact"/>
        <w:ind w:firstLine="573"/>
        <w:rPr>
          <w:rFonts w:hint="eastAsia" w:ascii="宋体" w:hAnsi="宋体" w:eastAsia="宋体" w:cs="Arial"/>
          <w:kern w:val="0"/>
          <w:szCs w:val="21"/>
          <w:highlight w:val="none"/>
          <w:lang w:val="en-US" w:eastAsia="zh-CN"/>
        </w:rPr>
      </w:pPr>
      <w:r>
        <w:rPr>
          <w:rFonts w:hint="eastAsia" w:ascii="宋体" w:hAnsi="宋体" w:eastAsia="宋体" w:cs="Arial"/>
          <w:kern w:val="0"/>
          <w:szCs w:val="21"/>
          <w:highlight w:val="none"/>
          <w:lang w:val="en-US" w:eastAsia="zh-CN"/>
        </w:rPr>
        <w:t>12、根据《广东省水利厅关于印发进一步加强水利工程建设项目现场建筑垃圾监督管理的专项工作方案的通知》（粤水建设〔2024〕21号）、《关于进一步加强建筑垃圾规范化管理工作的通知》（中城综函〔</w:t>
      </w:r>
      <w:r>
        <w:rPr>
          <w:rFonts w:hint="default" w:ascii="宋体" w:hAnsi="宋体" w:eastAsia="宋体" w:cs="Arial"/>
          <w:kern w:val="0"/>
          <w:szCs w:val="21"/>
          <w:highlight w:val="none"/>
          <w:lang w:val="en-US" w:eastAsia="zh-CN"/>
        </w:rPr>
        <w:t>2024</w:t>
      </w:r>
      <w:r>
        <w:rPr>
          <w:rFonts w:hint="eastAsia" w:ascii="宋体" w:hAnsi="宋体" w:eastAsia="宋体" w:cs="Arial"/>
          <w:kern w:val="0"/>
          <w:szCs w:val="21"/>
          <w:highlight w:val="none"/>
          <w:lang w:val="en-US" w:eastAsia="zh-CN"/>
        </w:rPr>
        <w:t>〕</w:t>
      </w:r>
      <w:r>
        <w:rPr>
          <w:rFonts w:hint="default" w:ascii="宋体" w:hAnsi="宋体" w:eastAsia="宋体" w:cs="Arial"/>
          <w:kern w:val="0"/>
          <w:szCs w:val="21"/>
          <w:highlight w:val="none"/>
          <w:lang w:val="en-US" w:eastAsia="zh-CN"/>
        </w:rPr>
        <w:t>376</w:t>
      </w:r>
      <w:r>
        <w:rPr>
          <w:rFonts w:hint="eastAsia" w:ascii="宋体" w:hAnsi="宋体" w:eastAsia="宋体" w:cs="Arial"/>
          <w:kern w:val="0"/>
          <w:szCs w:val="21"/>
          <w:highlight w:val="none"/>
          <w:lang w:val="en-US" w:eastAsia="zh-CN"/>
        </w:rPr>
        <w:t>号）及《中山市水务局关于印发进一步加强我市水利工程建设项目建筑垃圾监督管理的专项工作方案的通知》（</w:t>
      </w:r>
      <w:r>
        <w:rPr>
          <w:rFonts w:hint="eastAsia" w:ascii="宋体" w:hAnsi="宋体" w:cs="Arial"/>
          <w:kern w:val="0"/>
          <w:szCs w:val="21"/>
          <w:highlight w:val="none"/>
        </w:rPr>
        <w:t>中水〔2024〕167号</w:t>
      </w:r>
      <w:r>
        <w:rPr>
          <w:rFonts w:hint="eastAsia" w:ascii="宋体" w:hAnsi="宋体" w:eastAsia="宋体" w:cs="Arial"/>
          <w:kern w:val="0"/>
          <w:szCs w:val="21"/>
          <w:highlight w:val="none"/>
          <w:lang w:val="en-US" w:eastAsia="zh-CN"/>
        </w:rPr>
        <w:t>）有关要求，承包人要压实工作责任，扎实推进建筑垃圾源头减量、分类排放、现场管理及建筑垃圾再生产品的推广应用等各项工作任务，强化建筑垃圾运输管理，落实建筑垃圾处理方案备案等要求。</w:t>
      </w:r>
    </w:p>
    <w:p w14:paraId="25131ED9">
      <w:pPr>
        <w:pStyle w:val="2"/>
        <w:ind w:firstLine="422" w:firstLineChars="200"/>
        <w:rPr>
          <w:rFonts w:hint="eastAsia" w:ascii="宋体" w:hAnsi="宋体" w:cs="宋体"/>
          <w:szCs w:val="21"/>
          <w:lang w:val="en-US" w:eastAsia="zh-CN"/>
        </w:rPr>
      </w:pPr>
      <w:r>
        <w:rPr>
          <w:rFonts w:hint="eastAsia" w:ascii="宋体" w:hAnsi="宋体" w:cs="宋体"/>
          <w:szCs w:val="21"/>
          <w:lang w:val="en-US" w:eastAsia="zh-CN"/>
        </w:rPr>
        <w:t>10.9 违约支付细则汇总</w:t>
      </w:r>
    </w:p>
    <w:p w14:paraId="6307D0CC">
      <w:pPr>
        <w:pStyle w:val="2"/>
        <w:ind w:firstLine="422" w:firstLineChars="200"/>
        <w:rPr>
          <w:rFonts w:hint="eastAsia" w:ascii="宋体" w:hAnsi="宋体" w:cs="宋体"/>
          <w:szCs w:val="21"/>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67"/>
        <w:gridCol w:w="2734"/>
        <w:gridCol w:w="1367"/>
      </w:tblGrid>
      <w:tr w14:paraId="46D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7BDB85AE">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条款号</w:t>
            </w:r>
          </w:p>
        </w:tc>
        <w:tc>
          <w:tcPr>
            <w:tcW w:w="1367" w:type="dxa"/>
            <w:noWrap w:val="0"/>
            <w:vAlign w:val="center"/>
          </w:tcPr>
          <w:p w14:paraId="49457D6E">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事由</w:t>
            </w:r>
          </w:p>
        </w:tc>
        <w:tc>
          <w:tcPr>
            <w:tcW w:w="2734" w:type="dxa"/>
            <w:noWrap w:val="0"/>
            <w:vAlign w:val="center"/>
          </w:tcPr>
          <w:p w14:paraId="6B4C7955">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支付违约金标准</w:t>
            </w:r>
          </w:p>
        </w:tc>
        <w:tc>
          <w:tcPr>
            <w:tcW w:w="1367" w:type="dxa"/>
            <w:noWrap w:val="0"/>
            <w:vAlign w:val="center"/>
          </w:tcPr>
          <w:p w14:paraId="616F86FC">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备注</w:t>
            </w:r>
          </w:p>
        </w:tc>
      </w:tr>
      <w:tr w14:paraId="30DD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6C5CC6BC">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第二章10.7第（7项）</w:t>
            </w:r>
          </w:p>
        </w:tc>
        <w:tc>
          <w:tcPr>
            <w:tcW w:w="1367" w:type="dxa"/>
            <w:noWrap w:val="0"/>
            <w:vAlign w:val="center"/>
          </w:tcPr>
          <w:p w14:paraId="1FA063E9">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水土保持措施未与主体工程同步实施或未组织联合验收</w:t>
            </w:r>
          </w:p>
        </w:tc>
        <w:tc>
          <w:tcPr>
            <w:tcW w:w="2734" w:type="dxa"/>
            <w:noWrap w:val="0"/>
            <w:vAlign w:val="center"/>
          </w:tcPr>
          <w:p w14:paraId="5BEBBFDE">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扣除相应的水土保持措施费用</w:t>
            </w:r>
          </w:p>
        </w:tc>
        <w:tc>
          <w:tcPr>
            <w:tcW w:w="1367" w:type="dxa"/>
            <w:noWrap w:val="0"/>
            <w:vAlign w:val="center"/>
          </w:tcPr>
          <w:p w14:paraId="58BF743A">
            <w:pPr>
              <w:pStyle w:val="2"/>
              <w:rPr>
                <w:rFonts w:hint="eastAsia" w:ascii="宋体" w:hAnsi="宋体" w:cs="宋体"/>
                <w:b w:val="0"/>
                <w:bCs w:val="0"/>
                <w:sz w:val="18"/>
                <w:szCs w:val="18"/>
                <w:lang w:val="en-US" w:eastAsia="zh-CN"/>
              </w:rPr>
            </w:pPr>
          </w:p>
        </w:tc>
      </w:tr>
      <w:tr w14:paraId="0CA7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54C55AA2">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第二章10.7第（21项）之1）</w:t>
            </w:r>
          </w:p>
        </w:tc>
        <w:tc>
          <w:tcPr>
            <w:tcW w:w="1367" w:type="dxa"/>
            <w:noWrap w:val="0"/>
            <w:vAlign w:val="center"/>
          </w:tcPr>
          <w:p w14:paraId="3C5ABC4F">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无正当理由放弃中标</w:t>
            </w:r>
          </w:p>
        </w:tc>
        <w:tc>
          <w:tcPr>
            <w:tcW w:w="2734" w:type="dxa"/>
            <w:noWrap w:val="0"/>
            <w:vAlign w:val="center"/>
          </w:tcPr>
          <w:p w14:paraId="65881CD8">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投标保证金不予退还</w:t>
            </w:r>
          </w:p>
        </w:tc>
        <w:tc>
          <w:tcPr>
            <w:tcW w:w="1367" w:type="dxa"/>
            <w:noWrap w:val="0"/>
            <w:vAlign w:val="center"/>
          </w:tcPr>
          <w:p w14:paraId="4BC2508B">
            <w:pPr>
              <w:pStyle w:val="2"/>
              <w:rPr>
                <w:rFonts w:hint="eastAsia" w:ascii="宋体" w:hAnsi="宋体" w:cs="宋体"/>
                <w:b w:val="0"/>
                <w:bCs w:val="0"/>
                <w:sz w:val="18"/>
                <w:szCs w:val="18"/>
                <w:lang w:val="en-US" w:eastAsia="zh-CN"/>
              </w:rPr>
            </w:pPr>
          </w:p>
        </w:tc>
      </w:tr>
      <w:tr w14:paraId="1C42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6501ED08">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第二章10.7第（21项）之3）</w:t>
            </w:r>
          </w:p>
        </w:tc>
        <w:tc>
          <w:tcPr>
            <w:tcW w:w="1367" w:type="dxa"/>
            <w:noWrap w:val="0"/>
            <w:vAlign w:val="center"/>
          </w:tcPr>
          <w:p w14:paraId="74318DFF">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安</w:t>
            </w:r>
            <w:r>
              <w:rPr>
                <w:rFonts w:hint="eastAsia" w:ascii="宋体" w:hAnsi="宋体" w:cs="宋体"/>
                <w:b w:val="0"/>
                <w:bCs w:val="0"/>
                <w:kern w:val="0"/>
                <w:sz w:val="18"/>
                <w:szCs w:val="18"/>
                <w:lang w:val="en-GB" w:eastAsia="zh-CN"/>
              </w:rPr>
              <w:t>全施工和文明施工不符合要求</w:t>
            </w:r>
          </w:p>
        </w:tc>
        <w:tc>
          <w:tcPr>
            <w:tcW w:w="2734" w:type="dxa"/>
            <w:noWrap w:val="0"/>
            <w:vAlign w:val="center"/>
          </w:tcPr>
          <w:p w14:paraId="69D0145C">
            <w:pPr>
              <w:spacing w:line="276" w:lineRule="auto"/>
              <w:jc w:val="left"/>
              <w:rPr>
                <w:rFonts w:hint="eastAsia" w:ascii="宋体" w:hAnsi="宋体" w:cs="宋体"/>
                <w:b/>
                <w:bCs/>
                <w:sz w:val="18"/>
                <w:szCs w:val="18"/>
                <w:lang w:val="en-US" w:eastAsia="zh-CN"/>
              </w:rPr>
            </w:pPr>
            <w:r>
              <w:rPr>
                <w:rFonts w:hint="eastAsia" w:ascii="宋体" w:hAnsi="宋体" w:cs="宋体"/>
                <w:kern w:val="0"/>
                <w:sz w:val="18"/>
                <w:szCs w:val="18"/>
                <w:lang w:val="en-GB"/>
              </w:rPr>
              <w:t>按第二章</w:t>
            </w:r>
            <w:r>
              <w:rPr>
                <w:rFonts w:hint="eastAsia" w:ascii="宋体" w:hAnsi="宋体" w:cs="宋体"/>
                <w:kern w:val="0"/>
                <w:sz w:val="18"/>
                <w:szCs w:val="18"/>
              </w:rPr>
              <w:t>10.4.2中关于《</w:t>
            </w:r>
            <w:r>
              <w:rPr>
                <w:rFonts w:hint="eastAsia" w:ascii="宋体" w:hAnsi="宋体" w:cs="宋体"/>
                <w:kern w:val="0"/>
                <w:sz w:val="18"/>
                <w:szCs w:val="18"/>
                <w:lang w:val="en-GB"/>
              </w:rPr>
              <w:t>施工单位安全管理</w:t>
            </w:r>
            <w:r>
              <w:rPr>
                <w:rFonts w:hint="eastAsia" w:ascii="宋体" w:hAnsi="宋体" w:cs="宋体"/>
                <w:kern w:val="0"/>
                <w:sz w:val="18"/>
                <w:szCs w:val="18"/>
                <w:lang w:val="en-GB" w:eastAsia="zh-CN"/>
              </w:rPr>
              <w:t>违约支付</w:t>
            </w:r>
            <w:r>
              <w:rPr>
                <w:rFonts w:hint="eastAsia" w:ascii="宋体" w:hAnsi="宋体" w:cs="宋体"/>
                <w:kern w:val="0"/>
                <w:sz w:val="18"/>
                <w:szCs w:val="18"/>
                <w:lang w:val="en-GB"/>
              </w:rPr>
              <w:t>实施细则》</w:t>
            </w:r>
          </w:p>
        </w:tc>
        <w:tc>
          <w:tcPr>
            <w:tcW w:w="1367" w:type="dxa"/>
            <w:noWrap w:val="0"/>
            <w:vAlign w:val="center"/>
          </w:tcPr>
          <w:p w14:paraId="077B64D2">
            <w:pPr>
              <w:pStyle w:val="2"/>
              <w:rPr>
                <w:rFonts w:hint="eastAsia" w:ascii="宋体" w:hAnsi="宋体" w:cs="宋体"/>
                <w:b w:val="0"/>
                <w:bCs w:val="0"/>
                <w:sz w:val="18"/>
                <w:szCs w:val="18"/>
                <w:lang w:val="en-US" w:eastAsia="zh-CN"/>
              </w:rPr>
            </w:pPr>
          </w:p>
        </w:tc>
      </w:tr>
      <w:tr w14:paraId="2E40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034BDC00">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第二章10.7第（21项）之5）</w:t>
            </w:r>
          </w:p>
        </w:tc>
        <w:tc>
          <w:tcPr>
            <w:tcW w:w="1367" w:type="dxa"/>
            <w:noWrap w:val="0"/>
            <w:vAlign w:val="center"/>
          </w:tcPr>
          <w:p w14:paraId="68DB264E">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项目负责人（注册建造师）和技术负责人未按要求派驻施工现场</w:t>
            </w:r>
          </w:p>
        </w:tc>
        <w:tc>
          <w:tcPr>
            <w:tcW w:w="2734" w:type="dxa"/>
            <w:noWrap w:val="0"/>
            <w:vAlign w:val="center"/>
          </w:tcPr>
          <w:p w14:paraId="474FBB08">
            <w:pPr>
              <w:spacing w:line="440" w:lineRule="exact"/>
              <w:jc w:val="left"/>
              <w:rPr>
                <w:rFonts w:hint="eastAsia" w:ascii="宋体" w:hAnsi="宋体" w:cs="宋体"/>
                <w:b/>
                <w:bCs/>
                <w:sz w:val="18"/>
                <w:szCs w:val="18"/>
                <w:lang w:val="en-US" w:eastAsia="zh-CN"/>
              </w:rPr>
            </w:pPr>
            <w:r>
              <w:rPr>
                <w:rFonts w:hint="eastAsia" w:ascii="宋体" w:hAnsi="宋体" w:cs="宋体"/>
                <w:sz w:val="18"/>
                <w:szCs w:val="18"/>
              </w:rPr>
              <w:t>不符合条件更换的，</w:t>
            </w:r>
            <w:r>
              <w:rPr>
                <w:rFonts w:hint="eastAsia" w:ascii="宋体" w:hAnsi="宋体" w:cs="宋体"/>
                <w:color w:val="auto"/>
                <w:sz w:val="18"/>
                <w:szCs w:val="18"/>
                <w:highlight w:val="none"/>
              </w:rPr>
              <w:t>中标价在1000万或以下的，每次支付违约金10万元；承包人中标价在1000万以上的，每次支付违约金为合同价的1%</w:t>
            </w:r>
            <w:r>
              <w:rPr>
                <w:rFonts w:hint="eastAsia" w:ascii="宋体" w:hAnsi="宋体" w:eastAsia="宋体" w:cs="宋体"/>
                <w:color w:val="auto"/>
                <w:sz w:val="18"/>
                <w:szCs w:val="18"/>
                <w:highlight w:val="none"/>
                <w:lang w:eastAsia="zh-CN"/>
              </w:rPr>
              <w:t>且</w:t>
            </w:r>
            <w:r>
              <w:rPr>
                <w:rFonts w:hint="eastAsia" w:ascii="宋体" w:hAnsi="宋体" w:eastAsia="宋体" w:cs="宋体"/>
                <w:color w:val="auto"/>
                <w:sz w:val="18"/>
                <w:szCs w:val="18"/>
                <w:highlight w:val="none"/>
              </w:rPr>
              <w:t>最高不超过</w:t>
            </w:r>
            <w:r>
              <w:rPr>
                <w:rFonts w:hint="eastAsia" w:ascii="宋体" w:hAnsi="宋体" w:eastAsia="宋体" w:cs="宋体"/>
                <w:color w:val="auto"/>
                <w:sz w:val="18"/>
                <w:szCs w:val="18"/>
                <w:highlight w:val="none"/>
                <w:lang w:val="en-US" w:eastAsia="zh-CN"/>
              </w:rPr>
              <w:t>50</w:t>
            </w:r>
            <w:r>
              <w:rPr>
                <w:rFonts w:hint="eastAsia" w:ascii="宋体" w:hAnsi="宋体" w:eastAsia="宋体" w:cs="宋体"/>
                <w:color w:val="auto"/>
                <w:sz w:val="18"/>
                <w:szCs w:val="18"/>
                <w:highlight w:val="none"/>
              </w:rPr>
              <w:t>万元</w:t>
            </w:r>
            <w:r>
              <w:rPr>
                <w:rFonts w:hint="eastAsia" w:ascii="宋体" w:hAnsi="宋体" w:eastAsia="宋体" w:cs="宋体"/>
                <w:sz w:val="18"/>
                <w:szCs w:val="18"/>
              </w:rPr>
              <w:t>。</w:t>
            </w:r>
          </w:p>
        </w:tc>
        <w:tc>
          <w:tcPr>
            <w:tcW w:w="1367" w:type="dxa"/>
            <w:noWrap w:val="0"/>
            <w:vAlign w:val="center"/>
          </w:tcPr>
          <w:p w14:paraId="6456CE03">
            <w:pPr>
              <w:pStyle w:val="2"/>
              <w:rPr>
                <w:rFonts w:hint="eastAsia" w:ascii="宋体" w:hAnsi="宋体" w:cs="宋体"/>
                <w:b w:val="0"/>
                <w:bCs w:val="0"/>
                <w:sz w:val="18"/>
                <w:szCs w:val="18"/>
                <w:lang w:val="en-US" w:eastAsia="zh-CN"/>
              </w:rPr>
            </w:pPr>
          </w:p>
        </w:tc>
      </w:tr>
      <w:tr w14:paraId="20EA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57D4F62A">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第二章10.7第（21项）之6）</w:t>
            </w:r>
          </w:p>
        </w:tc>
        <w:tc>
          <w:tcPr>
            <w:tcW w:w="1367" w:type="dxa"/>
            <w:noWrap w:val="0"/>
            <w:vAlign w:val="center"/>
          </w:tcPr>
          <w:p w14:paraId="49DE9BFD">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项目负责人（注册建造师）和技术负责人未按要求驻现场超过50%的施工工作日</w:t>
            </w:r>
          </w:p>
        </w:tc>
        <w:tc>
          <w:tcPr>
            <w:tcW w:w="2734" w:type="dxa"/>
            <w:noWrap w:val="0"/>
            <w:vAlign w:val="center"/>
          </w:tcPr>
          <w:p w14:paraId="11CB9512">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支付发包人中标价5%的违约金。此外不参加工程例会、专项检查的，每缺席（含请假）一次支付违约金1000元；被发包人、行政监督部门检查发现不在岗且没有请假手续的，每发现一人次支付违约金1000元。</w:t>
            </w:r>
          </w:p>
        </w:tc>
        <w:tc>
          <w:tcPr>
            <w:tcW w:w="1367" w:type="dxa"/>
            <w:noWrap w:val="0"/>
            <w:vAlign w:val="center"/>
          </w:tcPr>
          <w:p w14:paraId="688FBCAC">
            <w:pPr>
              <w:pStyle w:val="2"/>
              <w:rPr>
                <w:rFonts w:hint="eastAsia" w:ascii="宋体" w:hAnsi="宋体" w:cs="宋体"/>
                <w:b w:val="0"/>
                <w:bCs w:val="0"/>
                <w:sz w:val="18"/>
                <w:szCs w:val="18"/>
                <w:lang w:val="en-US" w:eastAsia="zh-CN"/>
              </w:rPr>
            </w:pPr>
          </w:p>
        </w:tc>
      </w:tr>
      <w:tr w14:paraId="1254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0BB93F81">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第四章专用合同条款11.5</w:t>
            </w:r>
          </w:p>
        </w:tc>
        <w:tc>
          <w:tcPr>
            <w:tcW w:w="1367" w:type="dxa"/>
            <w:noWrap w:val="0"/>
            <w:vAlign w:val="center"/>
          </w:tcPr>
          <w:p w14:paraId="1879EFCC">
            <w:pPr>
              <w:autoSpaceDE w:val="0"/>
              <w:autoSpaceDN w:val="0"/>
              <w:adjustRightInd w:val="0"/>
              <w:spacing w:line="360" w:lineRule="auto"/>
              <w:jc w:val="left"/>
              <w:rPr>
                <w:rFonts w:hint="eastAsia" w:ascii="宋体" w:hAnsi="宋体" w:cs="宋体"/>
                <w:b w:val="0"/>
                <w:bCs w:val="0"/>
                <w:sz w:val="18"/>
                <w:szCs w:val="18"/>
                <w:lang w:val="en-US" w:eastAsia="zh-CN"/>
              </w:rPr>
            </w:pPr>
            <w:r>
              <w:rPr>
                <w:rFonts w:hint="eastAsia" w:ascii="宋体" w:hAnsi="宋体" w:cs="宋体"/>
                <w:kern w:val="0"/>
                <w:sz w:val="18"/>
                <w:szCs w:val="18"/>
              </w:rPr>
              <w:t>承包人工期延误</w:t>
            </w:r>
          </w:p>
        </w:tc>
        <w:tc>
          <w:tcPr>
            <w:tcW w:w="2734" w:type="dxa"/>
            <w:noWrap w:val="0"/>
            <w:vAlign w:val="center"/>
          </w:tcPr>
          <w:p w14:paraId="1FF41DDF">
            <w:pPr>
              <w:pStyle w:val="2"/>
              <w:rPr>
                <w:rFonts w:hint="eastAsia" w:ascii="宋体" w:hAnsi="宋体" w:cs="宋体"/>
                <w:b w:val="0"/>
                <w:bCs w:val="0"/>
                <w:sz w:val="18"/>
                <w:szCs w:val="18"/>
                <w:highlight w:val="none"/>
                <w:lang w:val="en-US" w:eastAsia="zh-CN"/>
              </w:rPr>
            </w:pPr>
            <w:r>
              <w:rPr>
                <w:rFonts w:hint="eastAsia" w:ascii="宋体" w:hAnsi="宋体" w:cs="宋体"/>
                <w:b w:val="0"/>
                <w:bCs w:val="0"/>
                <w:kern w:val="0"/>
                <w:sz w:val="18"/>
                <w:szCs w:val="18"/>
                <w:highlight w:val="none"/>
                <w:lang w:val="en-US" w:eastAsia="zh-CN"/>
              </w:rPr>
              <w:t>工期延误违约金按每天</w:t>
            </w:r>
            <w:r>
              <w:rPr>
                <w:rFonts w:hint="default" w:ascii="宋体" w:hAnsi="宋体" w:cs="宋体"/>
                <w:b w:val="0"/>
                <w:bCs w:val="0"/>
                <w:kern w:val="0"/>
                <w:sz w:val="18"/>
                <w:szCs w:val="18"/>
                <w:highlight w:val="none"/>
                <w:u w:val="single"/>
                <w:lang w:val="en-US" w:eastAsia="zh-CN"/>
              </w:rPr>
              <w:t>10000</w:t>
            </w:r>
            <w:r>
              <w:rPr>
                <w:rFonts w:hint="eastAsia" w:ascii="宋体" w:hAnsi="宋体" w:cs="宋体"/>
                <w:b w:val="0"/>
                <w:bCs w:val="0"/>
                <w:kern w:val="0"/>
                <w:sz w:val="18"/>
                <w:szCs w:val="18"/>
                <w:highlight w:val="none"/>
                <w:lang w:val="en-US" w:eastAsia="zh-CN"/>
              </w:rPr>
              <w:t>元，最高不超过合同价的5%。</w:t>
            </w:r>
          </w:p>
        </w:tc>
        <w:tc>
          <w:tcPr>
            <w:tcW w:w="1367" w:type="dxa"/>
            <w:noWrap w:val="0"/>
            <w:vAlign w:val="center"/>
          </w:tcPr>
          <w:p w14:paraId="5FCDE3B6">
            <w:pPr>
              <w:pStyle w:val="2"/>
              <w:rPr>
                <w:rFonts w:hint="eastAsia" w:ascii="宋体" w:hAnsi="宋体" w:cs="宋体"/>
                <w:b w:val="0"/>
                <w:bCs w:val="0"/>
                <w:sz w:val="18"/>
                <w:szCs w:val="18"/>
                <w:lang w:val="en-US" w:eastAsia="zh-CN"/>
              </w:rPr>
            </w:pPr>
          </w:p>
        </w:tc>
      </w:tr>
      <w:tr w14:paraId="5754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5F4F3D82">
            <w:pPr>
              <w:pStyle w:val="2"/>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第二章10.7第（13项）</w:t>
            </w:r>
          </w:p>
        </w:tc>
        <w:tc>
          <w:tcPr>
            <w:tcW w:w="1367" w:type="dxa"/>
            <w:noWrap w:val="0"/>
            <w:vAlign w:val="center"/>
          </w:tcPr>
          <w:p w14:paraId="440E6436">
            <w:pPr>
              <w:pStyle w:val="2"/>
              <w:rPr>
                <w:rFonts w:hint="eastAsia" w:ascii="宋体" w:hAnsi="宋体" w:cs="宋体"/>
                <w:b w:val="0"/>
                <w:bCs w:val="0"/>
                <w:sz w:val="18"/>
                <w:szCs w:val="18"/>
                <w:lang w:val="en-US" w:eastAsia="zh-CN"/>
              </w:rPr>
            </w:pPr>
            <w:r>
              <w:rPr>
                <w:rFonts w:hint="eastAsia" w:ascii="宋体" w:hAnsi="宋体" w:eastAsia="宋体" w:cs="宋体"/>
                <w:b w:val="0"/>
                <w:bCs w:val="0"/>
                <w:kern w:val="0"/>
                <w:sz w:val="18"/>
                <w:szCs w:val="18"/>
                <w:lang w:val="en-US" w:eastAsia="zh-CN" w:bidi="ar-SA"/>
              </w:rPr>
              <w:t>视频监控设施或线路发生故障时，承包人未在</w:t>
            </w:r>
            <w:r>
              <w:rPr>
                <w:rFonts w:hint="eastAsia" w:ascii="宋体" w:hAnsi="宋体" w:cs="宋体"/>
                <w:b w:val="0"/>
                <w:bCs w:val="0"/>
                <w:kern w:val="0"/>
                <w:sz w:val="18"/>
                <w:szCs w:val="18"/>
                <w:lang w:val="en-US" w:eastAsia="zh-CN" w:bidi="ar-SA"/>
              </w:rPr>
              <w:t>72小时</w:t>
            </w:r>
            <w:r>
              <w:rPr>
                <w:rFonts w:hint="eastAsia" w:ascii="宋体" w:hAnsi="宋体" w:eastAsia="宋体" w:cs="宋体"/>
                <w:b w:val="0"/>
                <w:bCs w:val="0"/>
                <w:kern w:val="0"/>
                <w:sz w:val="18"/>
                <w:szCs w:val="18"/>
                <w:lang w:val="en-US" w:eastAsia="zh-CN" w:bidi="ar-SA"/>
              </w:rPr>
              <w:t>内</w:t>
            </w:r>
            <w:r>
              <w:rPr>
                <w:rFonts w:hint="eastAsia" w:ascii="宋体" w:hAnsi="宋体" w:cs="宋体"/>
                <w:b w:val="0"/>
                <w:bCs w:val="0"/>
                <w:kern w:val="0"/>
                <w:sz w:val="18"/>
                <w:szCs w:val="18"/>
                <w:lang w:val="en-US" w:eastAsia="zh-CN" w:bidi="ar-SA"/>
              </w:rPr>
              <w:t>组织</w:t>
            </w:r>
            <w:r>
              <w:rPr>
                <w:rFonts w:hint="eastAsia" w:ascii="宋体" w:hAnsi="宋体" w:eastAsia="宋体" w:cs="宋体"/>
                <w:b w:val="0"/>
                <w:bCs w:val="0"/>
                <w:kern w:val="0"/>
                <w:sz w:val="18"/>
                <w:szCs w:val="18"/>
                <w:lang w:val="en-US" w:eastAsia="zh-CN" w:bidi="ar-SA"/>
              </w:rPr>
              <w:t>恢复</w:t>
            </w:r>
          </w:p>
        </w:tc>
        <w:tc>
          <w:tcPr>
            <w:tcW w:w="2734" w:type="dxa"/>
            <w:noWrap w:val="0"/>
            <w:vAlign w:val="center"/>
          </w:tcPr>
          <w:p w14:paraId="6AFBA123">
            <w:pPr>
              <w:pStyle w:val="2"/>
            </w:pPr>
            <w:r>
              <w:rPr>
                <w:rFonts w:hint="eastAsia" w:ascii="宋体" w:hAnsi="宋体" w:cs="宋体"/>
                <w:b w:val="0"/>
                <w:bCs w:val="0"/>
                <w:kern w:val="0"/>
                <w:sz w:val="18"/>
                <w:szCs w:val="18"/>
                <w:lang w:val="en-US" w:eastAsia="zh-CN"/>
              </w:rPr>
              <w:t>每延误24小时，承包人需向发包人支付2000元违约金。</w:t>
            </w:r>
          </w:p>
        </w:tc>
        <w:tc>
          <w:tcPr>
            <w:tcW w:w="1367" w:type="dxa"/>
            <w:noWrap w:val="0"/>
            <w:vAlign w:val="center"/>
          </w:tcPr>
          <w:p w14:paraId="7163C440">
            <w:pPr>
              <w:pStyle w:val="2"/>
              <w:rPr>
                <w:rFonts w:hint="eastAsia" w:ascii="宋体" w:hAnsi="宋体" w:cs="宋体"/>
                <w:b w:val="0"/>
                <w:bCs w:val="0"/>
                <w:sz w:val="18"/>
                <w:szCs w:val="18"/>
                <w:lang w:val="en-US" w:eastAsia="zh-CN"/>
              </w:rPr>
            </w:pPr>
            <w:r>
              <w:rPr>
                <w:rFonts w:hint="eastAsia" w:ascii="宋体" w:hAnsi="宋体" w:cs="宋体"/>
                <w:b w:val="0"/>
                <w:bCs w:val="0"/>
                <w:kern w:val="0"/>
                <w:sz w:val="18"/>
                <w:szCs w:val="18"/>
                <w:lang w:val="en-US" w:eastAsia="zh-CN"/>
              </w:rPr>
              <w:t>适用于破堤工程、度汛工程及投资规模在1000万以上的其他工程</w:t>
            </w:r>
          </w:p>
        </w:tc>
      </w:tr>
      <w:tr w14:paraId="18B4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4D7CECFB">
            <w:pPr>
              <w:pStyle w:val="2"/>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第二章10.7第（14项）</w:t>
            </w:r>
          </w:p>
        </w:tc>
        <w:tc>
          <w:tcPr>
            <w:tcW w:w="1367" w:type="dxa"/>
            <w:noWrap w:val="0"/>
            <w:vAlign w:val="center"/>
          </w:tcPr>
          <w:p w14:paraId="662ACB74">
            <w:pPr>
              <w:pStyle w:val="2"/>
              <w:rPr>
                <w:rFonts w:hint="eastAsia" w:ascii="宋体" w:hAnsi="宋体" w:eastAsia="宋体" w:cs="宋体"/>
                <w:b w:val="0"/>
                <w:bCs w:val="0"/>
                <w:kern w:val="0"/>
                <w:sz w:val="18"/>
                <w:szCs w:val="18"/>
                <w:lang w:val="en-US" w:eastAsia="zh-CN" w:bidi="ar-SA"/>
              </w:rPr>
            </w:pPr>
            <w:r>
              <w:rPr>
                <w:rFonts w:hint="eastAsia" w:ascii="宋体" w:hAnsi="宋体" w:cs="宋体"/>
                <w:b w:val="0"/>
                <w:bCs w:val="0"/>
                <w:kern w:val="0"/>
                <w:sz w:val="18"/>
                <w:szCs w:val="18"/>
                <w:lang w:eastAsia="zh-CN"/>
              </w:rPr>
              <w:t>运用水泥搅拌桩智慧云监控系统在线实时监测施工过程</w:t>
            </w:r>
          </w:p>
        </w:tc>
        <w:tc>
          <w:tcPr>
            <w:tcW w:w="2734" w:type="dxa"/>
            <w:noWrap w:val="0"/>
            <w:vAlign w:val="center"/>
          </w:tcPr>
          <w:p w14:paraId="2302570C">
            <w:pPr>
              <w:pStyle w:val="2"/>
              <w:rPr>
                <w:rFonts w:hint="eastAsia" w:ascii="宋体" w:hAnsi="宋体" w:eastAsia="宋体" w:cs="宋体"/>
                <w:b w:val="0"/>
                <w:bCs w:val="0"/>
                <w:kern w:val="0"/>
                <w:sz w:val="18"/>
                <w:szCs w:val="18"/>
                <w:lang w:val="en-US" w:eastAsia="zh-CN" w:bidi="ar-SA"/>
              </w:rPr>
            </w:pPr>
            <w:r>
              <w:rPr>
                <w:rFonts w:hint="eastAsia" w:ascii="宋体" w:hAnsi="宋体" w:cs="宋体"/>
                <w:b w:val="0"/>
                <w:bCs w:val="0"/>
                <w:kern w:val="0"/>
                <w:sz w:val="18"/>
                <w:szCs w:val="18"/>
                <w:lang w:val="en-US" w:eastAsia="zh-CN"/>
              </w:rPr>
              <w:t>水泥搅拌桩施工过程中，</w:t>
            </w:r>
            <w:r>
              <w:rPr>
                <w:rFonts w:hint="eastAsia" w:ascii="宋体" w:hAnsi="宋体" w:cs="宋体"/>
                <w:b w:val="0"/>
                <w:bCs w:val="0"/>
                <w:kern w:val="0"/>
                <w:sz w:val="18"/>
                <w:szCs w:val="18"/>
                <w:lang w:eastAsia="zh-CN"/>
              </w:rPr>
              <w:t>因承包人</w:t>
            </w:r>
            <w:r>
              <w:rPr>
                <w:rFonts w:hint="eastAsia" w:ascii="宋体" w:hAnsi="宋体" w:cs="宋体"/>
                <w:b w:val="0"/>
                <w:bCs w:val="0"/>
                <w:kern w:val="0"/>
                <w:sz w:val="18"/>
                <w:szCs w:val="18"/>
                <w:lang w:val="en-US" w:eastAsia="zh-CN"/>
              </w:rPr>
              <w:t>未运用</w:t>
            </w:r>
            <w:r>
              <w:rPr>
                <w:rFonts w:hint="eastAsia" w:ascii="宋体" w:hAnsi="宋体" w:cs="宋体"/>
                <w:b w:val="0"/>
                <w:bCs w:val="0"/>
                <w:kern w:val="0"/>
                <w:sz w:val="18"/>
                <w:szCs w:val="18"/>
                <w:lang w:eastAsia="zh-CN"/>
              </w:rPr>
              <w:t>智慧云监控系统导致</w:t>
            </w:r>
            <w:r>
              <w:rPr>
                <w:rFonts w:hint="eastAsia" w:ascii="宋体" w:hAnsi="宋体" w:cs="宋体"/>
                <w:b w:val="0"/>
                <w:bCs w:val="0"/>
                <w:kern w:val="0"/>
                <w:sz w:val="18"/>
                <w:szCs w:val="18"/>
                <w:lang w:val="en-US" w:eastAsia="zh-CN"/>
              </w:rPr>
              <w:t>搅拌桩</w:t>
            </w:r>
            <w:r>
              <w:rPr>
                <w:rFonts w:hint="eastAsia" w:ascii="宋体" w:hAnsi="宋体" w:cs="宋体"/>
                <w:b w:val="0"/>
                <w:bCs w:val="0"/>
                <w:kern w:val="0"/>
                <w:sz w:val="18"/>
                <w:szCs w:val="18"/>
                <w:lang w:eastAsia="zh-CN"/>
              </w:rPr>
              <w:t>质量不合格的，</w:t>
            </w:r>
            <w:r>
              <w:rPr>
                <w:rFonts w:hint="eastAsia" w:ascii="宋体" w:hAnsi="宋体" w:cs="宋体"/>
                <w:b w:val="0"/>
                <w:bCs w:val="0"/>
                <w:kern w:val="0"/>
                <w:sz w:val="18"/>
                <w:szCs w:val="18"/>
                <w:lang w:val="en-US" w:eastAsia="zh-CN"/>
              </w:rPr>
              <w:t>发包人扣除合同总价中</w:t>
            </w:r>
            <w:r>
              <w:rPr>
                <w:rFonts w:hint="eastAsia" w:ascii="宋体" w:hAnsi="宋体" w:cs="宋体"/>
                <w:b w:val="0"/>
                <w:bCs w:val="0"/>
                <w:kern w:val="0"/>
                <w:sz w:val="18"/>
                <w:szCs w:val="18"/>
                <w:lang w:eastAsia="zh-CN"/>
              </w:rPr>
              <w:t>水泥搅拌桩的相关费用。</w:t>
            </w:r>
          </w:p>
        </w:tc>
        <w:tc>
          <w:tcPr>
            <w:tcW w:w="1367" w:type="dxa"/>
            <w:noWrap w:val="0"/>
            <w:vAlign w:val="center"/>
          </w:tcPr>
          <w:p w14:paraId="7410EBEB">
            <w:pPr>
              <w:pStyle w:val="2"/>
              <w:rPr>
                <w:rFonts w:hint="eastAsia" w:ascii="宋体" w:hAnsi="宋体" w:eastAsia="宋体" w:cs="宋体"/>
                <w:b w:val="0"/>
                <w:bCs w:val="0"/>
                <w:kern w:val="0"/>
                <w:sz w:val="18"/>
                <w:szCs w:val="18"/>
                <w:lang w:val="en-US" w:eastAsia="zh-CN" w:bidi="ar-SA"/>
              </w:rPr>
            </w:pPr>
            <w:r>
              <w:rPr>
                <w:rFonts w:hint="eastAsia" w:ascii="宋体" w:hAnsi="宋体" w:cs="宋体"/>
                <w:b w:val="0"/>
                <w:bCs w:val="0"/>
                <w:kern w:val="0"/>
                <w:sz w:val="18"/>
                <w:szCs w:val="18"/>
                <w:lang w:val="en-US" w:eastAsia="zh-CN"/>
              </w:rPr>
              <w:t>适用于</w:t>
            </w:r>
            <w:r>
              <w:rPr>
                <w:rFonts w:hint="eastAsia" w:ascii="宋体" w:hAnsi="宋体" w:cs="宋体"/>
                <w:b w:val="0"/>
                <w:bCs w:val="0"/>
                <w:kern w:val="0"/>
                <w:sz w:val="18"/>
                <w:szCs w:val="18"/>
                <w:lang w:eastAsia="zh-CN"/>
              </w:rPr>
              <w:t>采用水泥搅拌桩工艺施工的项目</w:t>
            </w:r>
          </w:p>
        </w:tc>
      </w:tr>
      <w:tr w14:paraId="7AB0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center"/>
          </w:tcPr>
          <w:p w14:paraId="11418362">
            <w:pPr>
              <w:pStyle w:val="2"/>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第二章10.7第（15项）</w:t>
            </w:r>
          </w:p>
        </w:tc>
        <w:tc>
          <w:tcPr>
            <w:tcW w:w="1367" w:type="dxa"/>
            <w:noWrap w:val="0"/>
            <w:vAlign w:val="center"/>
          </w:tcPr>
          <w:p w14:paraId="3F69555B">
            <w:pPr>
              <w:pStyle w:val="2"/>
              <w:rPr>
                <w:rFonts w:hint="eastAsia" w:ascii="宋体" w:hAnsi="宋体" w:cs="宋体"/>
                <w:b w:val="0"/>
                <w:bCs w:val="0"/>
                <w:kern w:val="0"/>
                <w:sz w:val="18"/>
                <w:szCs w:val="18"/>
                <w:lang w:eastAsia="zh-CN"/>
              </w:rPr>
            </w:pPr>
            <w:r>
              <w:rPr>
                <w:rFonts w:hint="eastAsia" w:ascii="宋体" w:hAnsi="宋体" w:eastAsia="宋体" w:cs="宋体"/>
                <w:b w:val="0"/>
                <w:bCs w:val="0"/>
                <w:kern w:val="0"/>
                <w:sz w:val="18"/>
                <w:szCs w:val="18"/>
                <w:lang w:val="en-US" w:eastAsia="zh-CN" w:bidi="ar"/>
              </w:rPr>
              <w:t>加强建设项目现场建筑垃圾监督管理</w:t>
            </w:r>
          </w:p>
        </w:tc>
        <w:tc>
          <w:tcPr>
            <w:tcW w:w="2734" w:type="dxa"/>
            <w:noWrap w:val="0"/>
            <w:vAlign w:val="center"/>
          </w:tcPr>
          <w:p w14:paraId="058BFD60">
            <w:pPr>
              <w:pStyle w:val="2"/>
              <w:rPr>
                <w:rFonts w:hint="eastAsia" w:ascii="宋体" w:hAnsi="宋体" w:cs="宋体"/>
                <w:b w:val="0"/>
                <w:bCs w:val="0"/>
                <w:kern w:val="0"/>
                <w:sz w:val="18"/>
                <w:szCs w:val="18"/>
                <w:lang w:val="en-US" w:eastAsia="zh-CN"/>
              </w:rPr>
            </w:pPr>
            <w:r>
              <w:rPr>
                <w:rFonts w:hint="eastAsia" w:ascii="宋体" w:hAnsi="宋体" w:cs="宋体"/>
                <w:b w:val="0"/>
                <w:bCs w:val="0"/>
                <w:kern w:val="0"/>
                <w:sz w:val="18"/>
                <w:szCs w:val="18"/>
              </w:rPr>
              <w:t>在建筑垃圾运输过程中存在沿途抛撒、非法倾倒等影响市容环境卫生行为的，</w:t>
            </w:r>
            <w:r>
              <w:rPr>
                <w:rFonts w:hint="eastAsia" w:ascii="宋体" w:hAnsi="宋体" w:cs="宋体"/>
                <w:b w:val="0"/>
                <w:bCs w:val="0"/>
                <w:kern w:val="0"/>
                <w:sz w:val="18"/>
                <w:szCs w:val="18"/>
                <w:lang w:val="en-US" w:eastAsia="zh-CN"/>
              </w:rPr>
              <w:t>承包人需向发包人支</w:t>
            </w:r>
            <w:r>
              <w:rPr>
                <w:rFonts w:hint="eastAsia" w:ascii="宋体" w:hAnsi="宋体" w:cs="宋体"/>
                <w:b w:val="0"/>
                <w:bCs w:val="0"/>
                <w:kern w:val="0"/>
                <w:sz w:val="18"/>
                <w:szCs w:val="18"/>
                <w:highlight w:val="none"/>
                <w:lang w:val="en-US" w:eastAsia="zh-CN"/>
              </w:rPr>
              <w:t>付10000元/次的违</w:t>
            </w:r>
            <w:r>
              <w:rPr>
                <w:rFonts w:hint="eastAsia" w:ascii="宋体" w:hAnsi="宋体" w:cs="宋体"/>
                <w:b w:val="0"/>
                <w:bCs w:val="0"/>
                <w:kern w:val="0"/>
                <w:sz w:val="18"/>
                <w:szCs w:val="18"/>
                <w:lang w:val="en-US" w:eastAsia="zh-CN"/>
              </w:rPr>
              <w:t>约金，最高不超过合同价的5%。同时，</w:t>
            </w:r>
            <w:r>
              <w:rPr>
                <w:rFonts w:hint="eastAsia" w:ascii="宋体" w:hAnsi="宋体" w:cs="宋体"/>
                <w:b w:val="0"/>
                <w:bCs w:val="0"/>
                <w:kern w:val="0"/>
                <w:sz w:val="18"/>
                <w:szCs w:val="18"/>
              </w:rPr>
              <w:t>行业监督部门将根据《广东省水利厅关于水利建设市场信用的管理办法》《广东省水利建设市场主体不良信用行为记录认定标准》等有关规定，对承包人的违规行为记不良信用行为记录并扣除承包人在“广东省水利建设市场信用信息平台”的信用分值。</w:t>
            </w:r>
          </w:p>
        </w:tc>
        <w:tc>
          <w:tcPr>
            <w:tcW w:w="1367" w:type="dxa"/>
            <w:noWrap w:val="0"/>
            <w:vAlign w:val="center"/>
          </w:tcPr>
          <w:p w14:paraId="234F6A53">
            <w:pPr>
              <w:pStyle w:val="2"/>
              <w:rPr>
                <w:rFonts w:hint="eastAsia" w:ascii="宋体" w:hAnsi="宋体" w:cs="宋体"/>
                <w:b w:val="0"/>
                <w:bCs w:val="0"/>
                <w:kern w:val="0"/>
                <w:sz w:val="18"/>
                <w:szCs w:val="18"/>
                <w:lang w:val="en-US" w:eastAsia="zh-CN"/>
              </w:rPr>
            </w:pPr>
          </w:p>
        </w:tc>
      </w:tr>
    </w:tbl>
    <w:p w14:paraId="25BC3D59">
      <w:pPr>
        <w:pStyle w:val="2"/>
        <w:ind w:firstLine="422" w:firstLineChars="200"/>
        <w:rPr>
          <w:rFonts w:hint="eastAsia" w:ascii="宋体" w:hAnsi="宋体" w:cs="宋体"/>
          <w:szCs w:val="21"/>
          <w:lang w:val="en-US" w:eastAsia="zh-CN"/>
        </w:rPr>
      </w:pPr>
    </w:p>
    <w:p w14:paraId="3BE93CD8">
      <w:pPr>
        <w:rPr>
          <w:rFonts w:hint="eastAsia"/>
        </w:rPr>
      </w:pPr>
    </w:p>
    <w:p w14:paraId="73077AB7">
      <w:pPr>
        <w:ind w:firstLine="420"/>
        <w:jc w:val="left"/>
        <w:rPr>
          <w:rFonts w:hint="eastAsia"/>
          <w:b/>
          <w:bCs/>
        </w:rPr>
      </w:pPr>
      <w:r>
        <w:rPr>
          <w:rFonts w:hint="eastAsia" w:ascii="宋体" w:hAnsi="宋体" w:cs="宋体"/>
          <w:b/>
          <w:bCs/>
          <w:szCs w:val="21"/>
        </w:rPr>
        <w:t>10.10</w:t>
      </w:r>
      <w:r>
        <w:rPr>
          <w:rFonts w:hint="eastAsia"/>
          <w:b/>
          <w:bCs/>
        </w:rPr>
        <w:t>其它（招标人根据工程具体实际情况补充相应条款）</w:t>
      </w:r>
    </w:p>
    <w:bookmarkEnd w:id="16"/>
    <w:p w14:paraId="0F296FDA">
      <w:pPr>
        <w:rPr>
          <w:rFonts w:hint="eastAsia"/>
        </w:rPr>
      </w:pPr>
    </w:p>
    <w:p w14:paraId="0673A09A">
      <w:pPr>
        <w:rPr>
          <w:rFonts w:hint="eastAsia"/>
        </w:rPr>
      </w:pPr>
    </w:p>
    <w:p w14:paraId="4CF67C3B">
      <w:pPr>
        <w:spacing w:line="360" w:lineRule="auto"/>
        <w:rPr>
          <w:rFonts w:hint="eastAsia" w:ascii="宋体" w:hAnsi="宋体"/>
          <w:szCs w:val="21"/>
        </w:rPr>
      </w:pPr>
      <w:bookmarkStart w:id="18" w:name="_Toc184635092"/>
      <w:r>
        <w:rPr>
          <w:szCs w:val="32"/>
        </w:rPr>
        <w:br w:type="page"/>
      </w:r>
    </w:p>
    <w:p w14:paraId="6AF597A5">
      <w:pPr>
        <w:pStyle w:val="3"/>
        <w:jc w:val="center"/>
        <w:rPr>
          <w:szCs w:val="32"/>
        </w:rPr>
      </w:pPr>
      <w:r>
        <w:rPr>
          <w:rFonts w:hint="eastAsia"/>
          <w:szCs w:val="32"/>
        </w:rPr>
        <w:t>第三章 评标办法（</w:t>
      </w:r>
      <w:r>
        <w:rPr>
          <w:rFonts w:hint="eastAsia" w:ascii="宋体" w:hAnsi="宋体"/>
          <w:szCs w:val="21"/>
        </w:rPr>
        <w:t>一次平均</w:t>
      </w:r>
      <w:r>
        <w:rPr>
          <w:rFonts w:hint="eastAsia"/>
        </w:rPr>
        <w:t>值</w:t>
      </w:r>
      <w:r>
        <w:rPr>
          <w:rFonts w:hint="eastAsia" w:ascii="宋体" w:hAnsi="宋体"/>
          <w:szCs w:val="21"/>
        </w:rPr>
        <w:t>法）</w:t>
      </w:r>
    </w:p>
    <w:p w14:paraId="5FD45BB8">
      <w:pPr>
        <w:spacing w:line="360" w:lineRule="auto"/>
        <w:ind w:firstLine="482" w:firstLineChars="200"/>
        <w:jc w:val="center"/>
        <w:rPr>
          <w:rFonts w:ascii="宋体" w:hAnsi="宋体"/>
          <w:b/>
          <w:sz w:val="24"/>
        </w:rPr>
      </w:pPr>
      <w:r>
        <w:rPr>
          <w:rFonts w:hint="eastAsia" w:ascii="宋体" w:hAnsi="宋体"/>
          <w:b/>
          <w:sz w:val="24"/>
        </w:rPr>
        <w:t>评标办法前附表</w:t>
      </w:r>
    </w:p>
    <w:tbl>
      <w:tblPr>
        <w:tblStyle w:val="23"/>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50"/>
        <w:gridCol w:w="2042"/>
        <w:gridCol w:w="837"/>
        <w:gridCol w:w="4741"/>
      </w:tblGrid>
      <w:tr w14:paraId="7F60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20" w:type="dxa"/>
            <w:gridSpan w:val="2"/>
            <w:noWrap w:val="0"/>
            <w:vAlign w:val="center"/>
          </w:tcPr>
          <w:p w14:paraId="75106ECF">
            <w:pPr>
              <w:jc w:val="center"/>
              <w:rPr>
                <w:rFonts w:hint="eastAsia"/>
                <w:b/>
              </w:rPr>
            </w:pPr>
            <w:r>
              <w:rPr>
                <w:rFonts w:hint="eastAsia" w:ascii="宋体" w:hAnsi="宋体"/>
                <w:b/>
                <w:szCs w:val="21"/>
              </w:rPr>
              <w:t>条款号</w:t>
            </w:r>
          </w:p>
        </w:tc>
        <w:tc>
          <w:tcPr>
            <w:tcW w:w="2879" w:type="dxa"/>
            <w:gridSpan w:val="2"/>
            <w:noWrap w:val="0"/>
            <w:vAlign w:val="center"/>
          </w:tcPr>
          <w:p w14:paraId="79FB481F">
            <w:pPr>
              <w:jc w:val="center"/>
              <w:rPr>
                <w:rFonts w:hint="eastAsia"/>
                <w:b/>
              </w:rPr>
            </w:pPr>
            <w:r>
              <w:rPr>
                <w:rFonts w:hint="eastAsia" w:ascii="宋体" w:hAnsi="宋体"/>
                <w:b/>
                <w:szCs w:val="21"/>
              </w:rPr>
              <w:t>评审因素</w:t>
            </w:r>
          </w:p>
        </w:tc>
        <w:tc>
          <w:tcPr>
            <w:tcW w:w="4741" w:type="dxa"/>
            <w:noWrap w:val="0"/>
            <w:vAlign w:val="center"/>
          </w:tcPr>
          <w:p w14:paraId="5A875E08">
            <w:pPr>
              <w:jc w:val="center"/>
              <w:rPr>
                <w:rFonts w:hint="eastAsia"/>
                <w:b/>
              </w:rPr>
            </w:pPr>
            <w:r>
              <w:rPr>
                <w:rFonts w:hint="eastAsia" w:ascii="宋体" w:hAnsi="宋体"/>
                <w:b/>
                <w:szCs w:val="21"/>
              </w:rPr>
              <w:t>评审标准</w:t>
            </w:r>
          </w:p>
        </w:tc>
      </w:tr>
      <w:tr w14:paraId="24AC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0" w:type="dxa"/>
            <w:vMerge w:val="restart"/>
            <w:noWrap w:val="0"/>
            <w:vAlign w:val="center"/>
          </w:tcPr>
          <w:p w14:paraId="2DFD02CE">
            <w:pPr>
              <w:jc w:val="center"/>
              <w:rPr>
                <w:rFonts w:hint="eastAsia" w:ascii="宋体" w:hAnsi="宋体"/>
                <w:b/>
                <w:szCs w:val="21"/>
              </w:rPr>
            </w:pPr>
            <w:r>
              <w:rPr>
                <w:rFonts w:hint="eastAsia"/>
              </w:rPr>
              <w:t>2.1.1</w:t>
            </w:r>
          </w:p>
        </w:tc>
        <w:tc>
          <w:tcPr>
            <w:tcW w:w="1050" w:type="dxa"/>
            <w:vMerge w:val="restart"/>
            <w:noWrap w:val="0"/>
            <w:vAlign w:val="center"/>
          </w:tcPr>
          <w:p w14:paraId="688FE86D">
            <w:pPr>
              <w:jc w:val="center"/>
              <w:rPr>
                <w:rFonts w:hint="eastAsia" w:ascii="宋体" w:hAnsi="宋体"/>
                <w:b/>
                <w:szCs w:val="21"/>
              </w:rPr>
            </w:pPr>
            <w:r>
              <w:rPr>
                <w:rFonts w:hint="eastAsia" w:ascii="宋体" w:hAnsi="宋体"/>
                <w:szCs w:val="21"/>
              </w:rPr>
              <w:t>资格评审标准</w:t>
            </w:r>
          </w:p>
        </w:tc>
        <w:tc>
          <w:tcPr>
            <w:tcW w:w="2879" w:type="dxa"/>
            <w:gridSpan w:val="2"/>
            <w:noWrap w:val="0"/>
            <w:vAlign w:val="center"/>
          </w:tcPr>
          <w:p w14:paraId="0C8197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rPr>
              <w:t>法定代表人证明书</w:t>
            </w:r>
          </w:p>
        </w:tc>
        <w:tc>
          <w:tcPr>
            <w:tcW w:w="4741" w:type="dxa"/>
            <w:noWrap w:val="0"/>
            <w:vAlign w:val="center"/>
          </w:tcPr>
          <w:p w14:paraId="047C11F1">
            <w:pPr>
              <w:keepNext w:val="0"/>
              <w:keepLines w:val="0"/>
              <w:pageBreakBefore w:val="0"/>
              <w:widowControl w:val="0"/>
              <w:tabs>
                <w:tab w:val="left" w:pos="1977"/>
                <w:tab w:val="center" w:pos="2224"/>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具备有效的</w:t>
            </w:r>
            <w:r>
              <w:rPr>
                <w:rFonts w:hint="eastAsia"/>
              </w:rPr>
              <w:t>法定代表人证明书</w:t>
            </w:r>
          </w:p>
        </w:tc>
      </w:tr>
      <w:tr w14:paraId="6D4B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0" w:type="dxa"/>
            <w:vMerge w:val="continue"/>
            <w:noWrap w:val="0"/>
            <w:vAlign w:val="center"/>
          </w:tcPr>
          <w:p w14:paraId="1CC6C5A2">
            <w:pPr>
              <w:jc w:val="center"/>
              <w:rPr>
                <w:rFonts w:hint="eastAsia"/>
              </w:rPr>
            </w:pPr>
          </w:p>
        </w:tc>
        <w:tc>
          <w:tcPr>
            <w:tcW w:w="1050" w:type="dxa"/>
            <w:vMerge w:val="continue"/>
            <w:noWrap w:val="0"/>
            <w:vAlign w:val="center"/>
          </w:tcPr>
          <w:p w14:paraId="5B158B0A">
            <w:pPr>
              <w:jc w:val="center"/>
              <w:rPr>
                <w:rFonts w:hint="eastAsia" w:ascii="宋体" w:hAnsi="宋体"/>
                <w:szCs w:val="21"/>
              </w:rPr>
            </w:pPr>
          </w:p>
        </w:tc>
        <w:tc>
          <w:tcPr>
            <w:tcW w:w="2879" w:type="dxa"/>
            <w:gridSpan w:val="2"/>
            <w:noWrap w:val="0"/>
            <w:vAlign w:val="center"/>
          </w:tcPr>
          <w:p w14:paraId="00134A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rPr>
              <w:t>委托代理人身份证及授权委托书（委托代理人参加投标的提供）</w:t>
            </w:r>
          </w:p>
        </w:tc>
        <w:tc>
          <w:tcPr>
            <w:tcW w:w="4741" w:type="dxa"/>
            <w:noWrap w:val="0"/>
            <w:vAlign w:val="center"/>
          </w:tcPr>
          <w:p w14:paraId="0BD1C6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具备有效的</w:t>
            </w:r>
            <w:r>
              <w:rPr>
                <w:rFonts w:hint="eastAsia"/>
              </w:rPr>
              <w:t>授权委托书</w:t>
            </w:r>
          </w:p>
        </w:tc>
      </w:tr>
      <w:tr w14:paraId="427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0" w:type="dxa"/>
            <w:vMerge w:val="continue"/>
            <w:noWrap w:val="0"/>
            <w:vAlign w:val="center"/>
          </w:tcPr>
          <w:p w14:paraId="72A607E7">
            <w:pPr>
              <w:jc w:val="center"/>
              <w:rPr>
                <w:rFonts w:hint="eastAsia" w:ascii="宋体" w:hAnsi="宋体"/>
                <w:b/>
                <w:szCs w:val="21"/>
              </w:rPr>
            </w:pPr>
          </w:p>
        </w:tc>
        <w:tc>
          <w:tcPr>
            <w:tcW w:w="1050" w:type="dxa"/>
            <w:vMerge w:val="continue"/>
            <w:noWrap w:val="0"/>
            <w:vAlign w:val="center"/>
          </w:tcPr>
          <w:p w14:paraId="72CEF5C2">
            <w:pPr>
              <w:jc w:val="center"/>
              <w:rPr>
                <w:rFonts w:hint="eastAsia" w:ascii="宋体" w:hAnsi="宋体"/>
                <w:b/>
                <w:szCs w:val="21"/>
              </w:rPr>
            </w:pPr>
          </w:p>
        </w:tc>
        <w:tc>
          <w:tcPr>
            <w:tcW w:w="2879" w:type="dxa"/>
            <w:gridSpan w:val="2"/>
            <w:noWrap w:val="0"/>
            <w:vAlign w:val="center"/>
          </w:tcPr>
          <w:p w14:paraId="2F9E41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营业执照</w:t>
            </w:r>
          </w:p>
        </w:tc>
        <w:tc>
          <w:tcPr>
            <w:tcW w:w="4741" w:type="dxa"/>
            <w:noWrap w:val="0"/>
            <w:vAlign w:val="center"/>
          </w:tcPr>
          <w:p w14:paraId="4A0180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具备有效的营业执照</w:t>
            </w:r>
          </w:p>
        </w:tc>
      </w:tr>
      <w:tr w14:paraId="20FF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0" w:type="dxa"/>
            <w:vMerge w:val="continue"/>
            <w:noWrap w:val="0"/>
            <w:vAlign w:val="center"/>
          </w:tcPr>
          <w:p w14:paraId="47417443">
            <w:pPr>
              <w:jc w:val="center"/>
              <w:rPr>
                <w:rFonts w:hint="eastAsia"/>
              </w:rPr>
            </w:pPr>
          </w:p>
        </w:tc>
        <w:tc>
          <w:tcPr>
            <w:tcW w:w="1050" w:type="dxa"/>
            <w:vMerge w:val="continue"/>
            <w:noWrap w:val="0"/>
            <w:vAlign w:val="center"/>
          </w:tcPr>
          <w:p w14:paraId="1D42758D">
            <w:pPr>
              <w:jc w:val="center"/>
              <w:rPr>
                <w:rFonts w:hint="eastAsia"/>
              </w:rPr>
            </w:pPr>
          </w:p>
        </w:tc>
        <w:tc>
          <w:tcPr>
            <w:tcW w:w="2879" w:type="dxa"/>
            <w:gridSpan w:val="2"/>
            <w:noWrap w:val="0"/>
            <w:vAlign w:val="center"/>
          </w:tcPr>
          <w:p w14:paraId="7014F2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资质等级</w:t>
            </w:r>
          </w:p>
        </w:tc>
        <w:tc>
          <w:tcPr>
            <w:tcW w:w="4741" w:type="dxa"/>
            <w:noWrap w:val="0"/>
            <w:vAlign w:val="center"/>
          </w:tcPr>
          <w:p w14:paraId="0B914F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符合第二章“投标人须知”第1.4.1 项规定</w:t>
            </w:r>
          </w:p>
        </w:tc>
      </w:tr>
      <w:tr w14:paraId="73E9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vMerge w:val="continue"/>
            <w:noWrap w:val="0"/>
            <w:vAlign w:val="center"/>
          </w:tcPr>
          <w:p w14:paraId="2722BB3B">
            <w:pPr>
              <w:jc w:val="center"/>
              <w:rPr>
                <w:rFonts w:hint="eastAsia"/>
              </w:rPr>
            </w:pPr>
          </w:p>
        </w:tc>
        <w:tc>
          <w:tcPr>
            <w:tcW w:w="1050" w:type="dxa"/>
            <w:vMerge w:val="continue"/>
            <w:noWrap w:val="0"/>
            <w:vAlign w:val="center"/>
          </w:tcPr>
          <w:p w14:paraId="25C37FC3">
            <w:pPr>
              <w:jc w:val="center"/>
              <w:rPr>
                <w:rFonts w:hint="eastAsia" w:ascii="宋体" w:hAnsi="宋体"/>
                <w:szCs w:val="21"/>
              </w:rPr>
            </w:pPr>
          </w:p>
        </w:tc>
        <w:tc>
          <w:tcPr>
            <w:tcW w:w="2879" w:type="dxa"/>
            <w:gridSpan w:val="2"/>
            <w:noWrap w:val="0"/>
            <w:vAlign w:val="center"/>
          </w:tcPr>
          <w:p w14:paraId="33038C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rPr>
              <w:t>安全生产许可证</w:t>
            </w:r>
          </w:p>
        </w:tc>
        <w:tc>
          <w:tcPr>
            <w:tcW w:w="4741" w:type="dxa"/>
            <w:noWrap w:val="0"/>
            <w:vAlign w:val="center"/>
          </w:tcPr>
          <w:p w14:paraId="73F585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rPr>
              <w:t>具备有效的安全生产许可证</w:t>
            </w:r>
          </w:p>
        </w:tc>
      </w:tr>
      <w:tr w14:paraId="6749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47BB927D">
            <w:pPr>
              <w:jc w:val="center"/>
              <w:rPr>
                <w:rFonts w:hint="eastAsia"/>
              </w:rPr>
            </w:pPr>
          </w:p>
        </w:tc>
        <w:tc>
          <w:tcPr>
            <w:tcW w:w="1050" w:type="dxa"/>
            <w:vMerge w:val="continue"/>
            <w:noWrap w:val="0"/>
            <w:vAlign w:val="center"/>
          </w:tcPr>
          <w:p w14:paraId="6E54C4D4">
            <w:pPr>
              <w:jc w:val="center"/>
              <w:rPr>
                <w:rFonts w:hint="eastAsia" w:ascii="宋体" w:hAnsi="宋体"/>
                <w:szCs w:val="21"/>
              </w:rPr>
            </w:pPr>
          </w:p>
        </w:tc>
        <w:tc>
          <w:tcPr>
            <w:tcW w:w="2879" w:type="dxa"/>
            <w:gridSpan w:val="2"/>
            <w:noWrap w:val="0"/>
            <w:vAlign w:val="center"/>
          </w:tcPr>
          <w:p w14:paraId="6B5A10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项目负责人</w:t>
            </w:r>
          </w:p>
        </w:tc>
        <w:tc>
          <w:tcPr>
            <w:tcW w:w="4741" w:type="dxa"/>
            <w:noWrap w:val="0"/>
            <w:vAlign w:val="center"/>
          </w:tcPr>
          <w:p w14:paraId="63327A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符合第二章“投标人须知”第1.4.1 项规定</w:t>
            </w:r>
          </w:p>
        </w:tc>
      </w:tr>
      <w:tr w14:paraId="2BC3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264DDB44">
            <w:pPr>
              <w:jc w:val="center"/>
              <w:rPr>
                <w:rFonts w:hint="eastAsia"/>
              </w:rPr>
            </w:pPr>
          </w:p>
        </w:tc>
        <w:tc>
          <w:tcPr>
            <w:tcW w:w="1050" w:type="dxa"/>
            <w:vMerge w:val="continue"/>
            <w:noWrap w:val="0"/>
            <w:vAlign w:val="center"/>
          </w:tcPr>
          <w:p w14:paraId="4DCB8F42">
            <w:pPr>
              <w:jc w:val="center"/>
              <w:rPr>
                <w:rFonts w:hint="eastAsia" w:ascii="宋体" w:hAnsi="宋体"/>
                <w:szCs w:val="21"/>
              </w:rPr>
            </w:pPr>
          </w:p>
        </w:tc>
        <w:tc>
          <w:tcPr>
            <w:tcW w:w="2879" w:type="dxa"/>
            <w:gridSpan w:val="2"/>
            <w:noWrap w:val="0"/>
            <w:vAlign w:val="center"/>
          </w:tcPr>
          <w:p w14:paraId="1CE83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rPr>
              <w:t>诚信</w:t>
            </w:r>
          </w:p>
        </w:tc>
        <w:tc>
          <w:tcPr>
            <w:tcW w:w="4741" w:type="dxa"/>
            <w:noWrap w:val="0"/>
            <w:vAlign w:val="center"/>
          </w:tcPr>
          <w:p w14:paraId="3AAC3F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rPr>
              <w:t>符合第二章“投标人须知”第1.4.1 项规定</w:t>
            </w:r>
          </w:p>
        </w:tc>
      </w:tr>
      <w:tr w14:paraId="0060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7AB42367">
            <w:pPr>
              <w:jc w:val="center"/>
              <w:rPr>
                <w:rFonts w:hint="eastAsia"/>
              </w:rPr>
            </w:pPr>
          </w:p>
        </w:tc>
        <w:tc>
          <w:tcPr>
            <w:tcW w:w="1050" w:type="dxa"/>
            <w:vMerge w:val="continue"/>
            <w:noWrap w:val="0"/>
            <w:vAlign w:val="center"/>
          </w:tcPr>
          <w:p w14:paraId="2AF0B57D">
            <w:pPr>
              <w:jc w:val="center"/>
              <w:rPr>
                <w:rFonts w:hint="eastAsia" w:ascii="宋体" w:hAnsi="宋体"/>
                <w:szCs w:val="21"/>
              </w:rPr>
            </w:pPr>
          </w:p>
        </w:tc>
        <w:tc>
          <w:tcPr>
            <w:tcW w:w="2879" w:type="dxa"/>
            <w:gridSpan w:val="2"/>
            <w:noWrap w:val="0"/>
            <w:vAlign w:val="center"/>
          </w:tcPr>
          <w:p w14:paraId="316539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lang w:val="en-US" w:eastAsia="zh-CN"/>
              </w:rPr>
              <w:t>信用承诺书</w:t>
            </w:r>
          </w:p>
        </w:tc>
        <w:tc>
          <w:tcPr>
            <w:tcW w:w="4741" w:type="dxa"/>
            <w:noWrap w:val="0"/>
            <w:vAlign w:val="center"/>
          </w:tcPr>
          <w:p w14:paraId="639B9F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rPr>
              <w:t>符合第二章“投标人须知”第1.4.1 项规定</w:t>
            </w:r>
          </w:p>
        </w:tc>
      </w:tr>
      <w:tr w14:paraId="7428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12A2F371">
            <w:pPr>
              <w:jc w:val="center"/>
              <w:rPr>
                <w:rFonts w:hint="eastAsia"/>
              </w:rPr>
            </w:pPr>
          </w:p>
        </w:tc>
        <w:tc>
          <w:tcPr>
            <w:tcW w:w="1050" w:type="dxa"/>
            <w:vMerge w:val="continue"/>
            <w:noWrap w:val="0"/>
            <w:vAlign w:val="center"/>
          </w:tcPr>
          <w:p w14:paraId="4C75BE24">
            <w:pPr>
              <w:jc w:val="center"/>
              <w:rPr>
                <w:rFonts w:hint="eastAsia" w:ascii="宋体" w:hAnsi="宋体"/>
                <w:szCs w:val="21"/>
              </w:rPr>
            </w:pPr>
          </w:p>
        </w:tc>
        <w:tc>
          <w:tcPr>
            <w:tcW w:w="2879" w:type="dxa"/>
            <w:gridSpan w:val="2"/>
            <w:noWrap w:val="0"/>
            <w:vAlign w:val="center"/>
          </w:tcPr>
          <w:p w14:paraId="249F0F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rPr>
              <w:t>类似工程业绩表</w:t>
            </w:r>
          </w:p>
        </w:tc>
        <w:tc>
          <w:tcPr>
            <w:tcW w:w="4741" w:type="dxa"/>
            <w:noWrap w:val="0"/>
            <w:vAlign w:val="center"/>
          </w:tcPr>
          <w:p w14:paraId="16390E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rPr>
              <w:t>符合第二章“投标人须知”第1.4.1 项规定</w:t>
            </w:r>
          </w:p>
        </w:tc>
      </w:tr>
      <w:tr w14:paraId="4D2F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52CE6CAF">
            <w:pPr>
              <w:jc w:val="center"/>
              <w:rPr>
                <w:rFonts w:hint="eastAsia"/>
              </w:rPr>
            </w:pPr>
          </w:p>
        </w:tc>
        <w:tc>
          <w:tcPr>
            <w:tcW w:w="1050" w:type="dxa"/>
            <w:vMerge w:val="continue"/>
            <w:noWrap w:val="0"/>
            <w:vAlign w:val="center"/>
          </w:tcPr>
          <w:p w14:paraId="0D5CFF12">
            <w:pPr>
              <w:jc w:val="center"/>
              <w:rPr>
                <w:rFonts w:hint="eastAsia" w:ascii="宋体" w:hAnsi="宋体"/>
                <w:szCs w:val="21"/>
              </w:rPr>
            </w:pPr>
          </w:p>
        </w:tc>
        <w:tc>
          <w:tcPr>
            <w:tcW w:w="2879" w:type="dxa"/>
            <w:gridSpan w:val="2"/>
            <w:noWrap w:val="0"/>
            <w:vAlign w:val="center"/>
          </w:tcPr>
          <w:p w14:paraId="0E871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Times New Roman"/>
                <w:color w:val="auto"/>
                <w:szCs w:val="21"/>
              </w:rPr>
            </w:pPr>
            <w:r>
              <w:rPr>
                <w:rFonts w:hint="eastAsia" w:ascii="宋体" w:hAnsi="宋体" w:cs="Times New Roman"/>
                <w:color w:val="auto"/>
                <w:szCs w:val="21"/>
              </w:rPr>
              <w:t>投标文件格式</w:t>
            </w:r>
          </w:p>
        </w:tc>
        <w:tc>
          <w:tcPr>
            <w:tcW w:w="4741" w:type="dxa"/>
            <w:noWrap w:val="0"/>
            <w:vAlign w:val="center"/>
          </w:tcPr>
          <w:p w14:paraId="0F9FF9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Times New Roman"/>
                <w:color w:val="auto"/>
                <w:szCs w:val="21"/>
              </w:rPr>
            </w:pPr>
            <w:r>
              <w:rPr>
                <w:rFonts w:hint="eastAsia" w:ascii="宋体" w:hAnsi="宋体" w:cs="Times New Roman"/>
                <w:color w:val="auto"/>
                <w:szCs w:val="21"/>
              </w:rPr>
              <w:t>符合第</w:t>
            </w:r>
            <w:r>
              <w:rPr>
                <w:rFonts w:hint="eastAsia" w:ascii="宋体" w:hAnsi="宋体" w:cs="Times New Roman"/>
                <w:color w:val="auto"/>
                <w:szCs w:val="21"/>
                <w:lang w:val="en-US" w:eastAsia="zh-CN"/>
              </w:rPr>
              <w:t>八</w:t>
            </w:r>
            <w:r>
              <w:rPr>
                <w:rFonts w:hint="eastAsia" w:ascii="宋体" w:hAnsi="宋体" w:cs="Times New Roman"/>
                <w:color w:val="auto"/>
                <w:szCs w:val="21"/>
              </w:rPr>
              <w:t>章“投标文件格式”的要求</w:t>
            </w:r>
          </w:p>
        </w:tc>
      </w:tr>
      <w:tr w14:paraId="5717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556269A0">
            <w:pPr>
              <w:jc w:val="center"/>
              <w:rPr>
                <w:rFonts w:hint="eastAsia"/>
              </w:rPr>
            </w:pPr>
          </w:p>
        </w:tc>
        <w:tc>
          <w:tcPr>
            <w:tcW w:w="1050" w:type="dxa"/>
            <w:vMerge w:val="continue"/>
            <w:noWrap w:val="0"/>
            <w:vAlign w:val="center"/>
          </w:tcPr>
          <w:p w14:paraId="5D136A8E">
            <w:pPr>
              <w:jc w:val="center"/>
              <w:rPr>
                <w:rFonts w:hint="eastAsia" w:ascii="宋体" w:hAnsi="宋体"/>
                <w:szCs w:val="21"/>
              </w:rPr>
            </w:pPr>
          </w:p>
        </w:tc>
        <w:tc>
          <w:tcPr>
            <w:tcW w:w="2879" w:type="dxa"/>
            <w:gridSpan w:val="2"/>
            <w:noWrap w:val="0"/>
            <w:vAlign w:val="center"/>
          </w:tcPr>
          <w:p w14:paraId="73F3C5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szCs w:val="21"/>
              </w:rPr>
              <w:t>其他</w:t>
            </w:r>
          </w:p>
        </w:tc>
        <w:tc>
          <w:tcPr>
            <w:tcW w:w="4741" w:type="dxa"/>
            <w:noWrap w:val="0"/>
            <w:vAlign w:val="center"/>
          </w:tcPr>
          <w:p w14:paraId="70827B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color w:val="auto"/>
                <w:szCs w:val="21"/>
                <w:highlight w:val="none"/>
              </w:rPr>
              <w:t>符合第二章“投标人须知”第1.4.1 项规定</w:t>
            </w:r>
          </w:p>
        </w:tc>
      </w:tr>
      <w:tr w14:paraId="3A0A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14:paraId="20CD49E5">
            <w:pPr>
              <w:jc w:val="center"/>
              <w:rPr>
                <w:rFonts w:hint="eastAsia"/>
              </w:rPr>
            </w:pPr>
            <w:r>
              <w:rPr>
                <w:rFonts w:hint="eastAsia"/>
              </w:rPr>
              <w:t>2.1.2</w:t>
            </w:r>
          </w:p>
        </w:tc>
        <w:tc>
          <w:tcPr>
            <w:tcW w:w="1050" w:type="dxa"/>
            <w:vMerge w:val="restart"/>
            <w:noWrap w:val="0"/>
            <w:vAlign w:val="center"/>
          </w:tcPr>
          <w:p w14:paraId="47F06FB5">
            <w:pPr>
              <w:jc w:val="center"/>
              <w:rPr>
                <w:rFonts w:hint="eastAsia" w:ascii="宋体" w:hAnsi="宋体"/>
                <w:szCs w:val="21"/>
              </w:rPr>
            </w:pPr>
            <w:r>
              <w:rPr>
                <w:rFonts w:hint="eastAsia" w:ascii="宋体" w:hAnsi="宋体"/>
                <w:szCs w:val="21"/>
              </w:rPr>
              <w:t>形式评审标准</w:t>
            </w:r>
          </w:p>
        </w:tc>
        <w:tc>
          <w:tcPr>
            <w:tcW w:w="7620" w:type="dxa"/>
            <w:gridSpan w:val="3"/>
            <w:noWrap w:val="0"/>
            <w:vAlign w:val="top"/>
          </w:tcPr>
          <w:p w14:paraId="46DAC7C8">
            <w:pPr>
              <w:spacing w:line="360" w:lineRule="auto"/>
              <w:jc w:val="center"/>
              <w:rPr>
                <w:rFonts w:hint="eastAsia" w:ascii="宋体" w:hAnsi="宋体"/>
                <w:b/>
                <w:szCs w:val="21"/>
              </w:rPr>
            </w:pPr>
            <w:r>
              <w:rPr>
                <w:rFonts w:hint="eastAsia" w:ascii="宋体" w:hAnsi="宋体"/>
                <w:b/>
                <w:szCs w:val="21"/>
              </w:rPr>
              <w:t>投标报价</w:t>
            </w:r>
          </w:p>
        </w:tc>
      </w:tr>
      <w:tr w14:paraId="2BF5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3052578D">
            <w:pPr>
              <w:jc w:val="center"/>
              <w:rPr>
                <w:rFonts w:hint="eastAsia"/>
              </w:rPr>
            </w:pPr>
          </w:p>
        </w:tc>
        <w:tc>
          <w:tcPr>
            <w:tcW w:w="1050" w:type="dxa"/>
            <w:vMerge w:val="continue"/>
            <w:noWrap w:val="0"/>
            <w:vAlign w:val="center"/>
          </w:tcPr>
          <w:p w14:paraId="0A6E92F2">
            <w:pPr>
              <w:jc w:val="center"/>
              <w:rPr>
                <w:rFonts w:hint="eastAsia" w:ascii="宋体" w:hAnsi="宋体"/>
                <w:szCs w:val="21"/>
              </w:rPr>
            </w:pPr>
          </w:p>
        </w:tc>
        <w:tc>
          <w:tcPr>
            <w:tcW w:w="2879" w:type="dxa"/>
            <w:gridSpan w:val="2"/>
            <w:noWrap w:val="0"/>
            <w:vAlign w:val="top"/>
          </w:tcPr>
          <w:p w14:paraId="24B75C93">
            <w:pPr>
              <w:spacing w:line="360" w:lineRule="auto"/>
              <w:ind w:firstLine="420" w:firstLineChars="200"/>
              <w:rPr>
                <w:rFonts w:hint="eastAsia"/>
              </w:rPr>
            </w:pPr>
            <w:r>
              <w:rPr>
                <w:rFonts w:hint="eastAsia" w:ascii="宋体" w:hAnsi="宋体"/>
                <w:szCs w:val="21"/>
              </w:rPr>
              <w:t>报价唯一</w:t>
            </w:r>
          </w:p>
        </w:tc>
        <w:tc>
          <w:tcPr>
            <w:tcW w:w="4741" w:type="dxa"/>
            <w:noWrap w:val="0"/>
            <w:vAlign w:val="top"/>
          </w:tcPr>
          <w:p w14:paraId="5AEF4A72">
            <w:pPr>
              <w:spacing w:line="360" w:lineRule="auto"/>
              <w:rPr>
                <w:rFonts w:hint="eastAsia"/>
              </w:rPr>
            </w:pPr>
            <w:r>
              <w:rPr>
                <w:rFonts w:hint="eastAsia" w:ascii="宋体" w:hAnsi="宋体"/>
                <w:szCs w:val="21"/>
              </w:rPr>
              <w:t>只能有一个有效报价且签字盖章符合招标文件要求</w:t>
            </w:r>
          </w:p>
        </w:tc>
      </w:tr>
      <w:tr w14:paraId="05EE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2CF7537A">
            <w:pPr>
              <w:jc w:val="center"/>
              <w:rPr>
                <w:rFonts w:hint="eastAsia"/>
              </w:rPr>
            </w:pPr>
          </w:p>
        </w:tc>
        <w:tc>
          <w:tcPr>
            <w:tcW w:w="1050" w:type="dxa"/>
            <w:vMerge w:val="continue"/>
            <w:noWrap w:val="0"/>
            <w:vAlign w:val="center"/>
          </w:tcPr>
          <w:p w14:paraId="7B1CF85F">
            <w:pPr>
              <w:jc w:val="center"/>
              <w:rPr>
                <w:rFonts w:hint="eastAsia" w:ascii="宋体" w:hAnsi="宋体"/>
                <w:szCs w:val="21"/>
              </w:rPr>
            </w:pPr>
          </w:p>
        </w:tc>
        <w:tc>
          <w:tcPr>
            <w:tcW w:w="2879" w:type="dxa"/>
            <w:gridSpan w:val="2"/>
            <w:noWrap w:val="0"/>
            <w:vAlign w:val="top"/>
          </w:tcPr>
          <w:p w14:paraId="17F3AFE3">
            <w:pPr>
              <w:spacing w:line="360" w:lineRule="auto"/>
              <w:ind w:firstLine="420" w:firstLineChars="200"/>
              <w:rPr>
                <w:rFonts w:hint="eastAsia"/>
              </w:rPr>
            </w:pPr>
            <w:r>
              <w:rPr>
                <w:rFonts w:hint="eastAsia" w:ascii="宋体" w:hAnsi="宋体"/>
                <w:szCs w:val="21"/>
              </w:rPr>
              <w:t>投标文件格式</w:t>
            </w:r>
          </w:p>
        </w:tc>
        <w:tc>
          <w:tcPr>
            <w:tcW w:w="4741" w:type="dxa"/>
            <w:noWrap w:val="0"/>
            <w:vAlign w:val="top"/>
          </w:tcPr>
          <w:p w14:paraId="09E67C12">
            <w:pPr>
              <w:spacing w:line="360" w:lineRule="auto"/>
              <w:jc w:val="left"/>
              <w:rPr>
                <w:rFonts w:hint="eastAsia"/>
              </w:rPr>
            </w:pPr>
            <w:r>
              <w:rPr>
                <w:rFonts w:hint="eastAsia" w:ascii="宋体" w:hAnsi="宋体"/>
                <w:szCs w:val="21"/>
              </w:rPr>
              <w:t>符合第八章“投标文件格式”的要求</w:t>
            </w:r>
          </w:p>
        </w:tc>
      </w:tr>
      <w:tr w14:paraId="0424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70" w:type="dxa"/>
            <w:vMerge w:val="continue"/>
            <w:noWrap w:val="0"/>
            <w:vAlign w:val="top"/>
          </w:tcPr>
          <w:p w14:paraId="6B10EDAA">
            <w:pPr>
              <w:rPr>
                <w:rFonts w:hint="eastAsia"/>
              </w:rPr>
            </w:pPr>
          </w:p>
        </w:tc>
        <w:tc>
          <w:tcPr>
            <w:tcW w:w="1050" w:type="dxa"/>
            <w:vMerge w:val="continue"/>
            <w:noWrap w:val="0"/>
            <w:vAlign w:val="top"/>
          </w:tcPr>
          <w:p w14:paraId="36D59E08">
            <w:pPr>
              <w:rPr>
                <w:rFonts w:hint="eastAsia" w:ascii="宋体" w:hAnsi="宋体"/>
                <w:szCs w:val="21"/>
              </w:rPr>
            </w:pPr>
          </w:p>
        </w:tc>
        <w:tc>
          <w:tcPr>
            <w:tcW w:w="7620" w:type="dxa"/>
            <w:gridSpan w:val="3"/>
            <w:noWrap w:val="0"/>
            <w:vAlign w:val="top"/>
          </w:tcPr>
          <w:p w14:paraId="65F5D91F">
            <w:pPr>
              <w:spacing w:line="360" w:lineRule="auto"/>
              <w:jc w:val="center"/>
              <w:rPr>
                <w:rFonts w:hint="eastAsia" w:ascii="宋体" w:hAnsi="宋体"/>
                <w:b/>
                <w:szCs w:val="21"/>
              </w:rPr>
            </w:pPr>
            <w:r>
              <w:rPr>
                <w:rFonts w:hint="eastAsia"/>
                <w:b/>
              </w:rPr>
              <w:t>技术标</w:t>
            </w:r>
          </w:p>
        </w:tc>
      </w:tr>
      <w:tr w14:paraId="54C1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0" w:type="dxa"/>
            <w:vMerge w:val="continue"/>
            <w:noWrap w:val="0"/>
            <w:vAlign w:val="top"/>
          </w:tcPr>
          <w:p w14:paraId="7AA86078">
            <w:pPr>
              <w:rPr>
                <w:rFonts w:hint="eastAsia"/>
              </w:rPr>
            </w:pPr>
          </w:p>
        </w:tc>
        <w:tc>
          <w:tcPr>
            <w:tcW w:w="1050" w:type="dxa"/>
            <w:vMerge w:val="continue"/>
            <w:noWrap w:val="0"/>
            <w:vAlign w:val="top"/>
          </w:tcPr>
          <w:p w14:paraId="3943388C">
            <w:pPr>
              <w:rPr>
                <w:rFonts w:hint="eastAsia" w:ascii="宋体" w:hAnsi="宋体"/>
                <w:szCs w:val="21"/>
              </w:rPr>
            </w:pPr>
          </w:p>
        </w:tc>
        <w:tc>
          <w:tcPr>
            <w:tcW w:w="2879" w:type="dxa"/>
            <w:gridSpan w:val="2"/>
            <w:noWrap w:val="0"/>
            <w:vAlign w:val="top"/>
          </w:tcPr>
          <w:p w14:paraId="2DA209C4">
            <w:pPr>
              <w:spacing w:line="360" w:lineRule="auto"/>
              <w:ind w:firstLine="420" w:firstLineChars="200"/>
              <w:rPr>
                <w:rFonts w:hint="eastAsia"/>
              </w:rPr>
            </w:pPr>
            <w:r>
              <w:rPr>
                <w:rFonts w:hint="eastAsia" w:ascii="宋体" w:hAnsi="宋体"/>
                <w:szCs w:val="21"/>
              </w:rPr>
              <w:t>投标人名称</w:t>
            </w:r>
          </w:p>
        </w:tc>
        <w:tc>
          <w:tcPr>
            <w:tcW w:w="4741" w:type="dxa"/>
            <w:noWrap w:val="0"/>
            <w:vAlign w:val="top"/>
          </w:tcPr>
          <w:p w14:paraId="721ABC4E">
            <w:pPr>
              <w:spacing w:line="360" w:lineRule="auto"/>
              <w:rPr>
                <w:rFonts w:hint="eastAsia"/>
              </w:rPr>
            </w:pPr>
            <w:r>
              <w:rPr>
                <w:rFonts w:hint="eastAsia" w:ascii="宋体" w:hAnsi="宋体"/>
                <w:szCs w:val="21"/>
              </w:rPr>
              <w:t>与营业执照、资质证书、安全生产许可证一致</w:t>
            </w:r>
          </w:p>
        </w:tc>
      </w:tr>
      <w:tr w14:paraId="34F1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0" w:type="dxa"/>
            <w:vMerge w:val="continue"/>
            <w:noWrap w:val="0"/>
            <w:vAlign w:val="top"/>
          </w:tcPr>
          <w:p w14:paraId="0EBBCFB1">
            <w:pPr>
              <w:rPr>
                <w:rFonts w:hint="eastAsia"/>
              </w:rPr>
            </w:pPr>
          </w:p>
        </w:tc>
        <w:tc>
          <w:tcPr>
            <w:tcW w:w="1050" w:type="dxa"/>
            <w:vMerge w:val="continue"/>
            <w:noWrap w:val="0"/>
            <w:vAlign w:val="top"/>
          </w:tcPr>
          <w:p w14:paraId="418E163F">
            <w:pPr>
              <w:rPr>
                <w:rFonts w:hint="eastAsia" w:ascii="宋体" w:hAnsi="宋体"/>
                <w:szCs w:val="21"/>
              </w:rPr>
            </w:pPr>
          </w:p>
        </w:tc>
        <w:tc>
          <w:tcPr>
            <w:tcW w:w="2879" w:type="dxa"/>
            <w:gridSpan w:val="2"/>
            <w:noWrap w:val="0"/>
            <w:vAlign w:val="top"/>
          </w:tcPr>
          <w:p w14:paraId="1C8D6A98">
            <w:pPr>
              <w:spacing w:line="360" w:lineRule="auto"/>
              <w:ind w:firstLine="420" w:firstLineChars="200"/>
              <w:rPr>
                <w:rFonts w:hint="eastAsia"/>
                <w:dstrike/>
              </w:rPr>
            </w:pPr>
            <w:r>
              <w:rPr>
                <w:rFonts w:hint="eastAsia" w:ascii="宋体" w:hAnsi="宋体"/>
                <w:szCs w:val="21"/>
              </w:rPr>
              <w:t>承诺书</w:t>
            </w:r>
          </w:p>
        </w:tc>
        <w:tc>
          <w:tcPr>
            <w:tcW w:w="4741" w:type="dxa"/>
            <w:noWrap w:val="0"/>
            <w:vAlign w:val="top"/>
          </w:tcPr>
          <w:p w14:paraId="5D03D585">
            <w:pPr>
              <w:spacing w:line="320" w:lineRule="exact"/>
              <w:jc w:val="left"/>
              <w:rPr>
                <w:rFonts w:hint="eastAsia"/>
              </w:rPr>
            </w:pPr>
            <w:r>
              <w:rPr>
                <w:rFonts w:hint="eastAsia" w:ascii="宋体" w:hAnsi="宋体"/>
                <w:szCs w:val="21"/>
              </w:rPr>
              <w:t>有法定代表人或其委托代理人签字及加盖单位公章，内容符合招标文件要求</w:t>
            </w:r>
          </w:p>
        </w:tc>
      </w:tr>
      <w:tr w14:paraId="68CC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70" w:type="dxa"/>
            <w:vMerge w:val="continue"/>
            <w:noWrap w:val="0"/>
            <w:vAlign w:val="top"/>
          </w:tcPr>
          <w:p w14:paraId="6A7BFBFB">
            <w:pPr>
              <w:rPr>
                <w:rFonts w:hint="eastAsia"/>
              </w:rPr>
            </w:pPr>
          </w:p>
        </w:tc>
        <w:tc>
          <w:tcPr>
            <w:tcW w:w="1050" w:type="dxa"/>
            <w:vMerge w:val="continue"/>
            <w:noWrap w:val="0"/>
            <w:vAlign w:val="top"/>
          </w:tcPr>
          <w:p w14:paraId="41975D8A">
            <w:pPr>
              <w:rPr>
                <w:rFonts w:hint="eastAsia" w:ascii="宋体" w:hAnsi="宋体"/>
                <w:szCs w:val="21"/>
              </w:rPr>
            </w:pPr>
          </w:p>
        </w:tc>
        <w:tc>
          <w:tcPr>
            <w:tcW w:w="2879" w:type="dxa"/>
            <w:gridSpan w:val="2"/>
            <w:noWrap w:val="0"/>
            <w:vAlign w:val="top"/>
          </w:tcPr>
          <w:p w14:paraId="335180AA">
            <w:pPr>
              <w:spacing w:line="360" w:lineRule="auto"/>
              <w:ind w:firstLine="420" w:firstLineChars="200"/>
              <w:rPr>
                <w:rFonts w:hint="eastAsia"/>
              </w:rPr>
            </w:pPr>
            <w:r>
              <w:rPr>
                <w:rFonts w:hint="eastAsia" w:ascii="宋体" w:hAnsi="宋体"/>
                <w:szCs w:val="21"/>
              </w:rPr>
              <w:t>投标文件格式</w:t>
            </w:r>
          </w:p>
        </w:tc>
        <w:tc>
          <w:tcPr>
            <w:tcW w:w="4741" w:type="dxa"/>
            <w:noWrap w:val="0"/>
            <w:vAlign w:val="top"/>
          </w:tcPr>
          <w:p w14:paraId="3C1D554D">
            <w:pPr>
              <w:spacing w:line="360" w:lineRule="auto"/>
              <w:jc w:val="left"/>
              <w:rPr>
                <w:rFonts w:hint="eastAsia"/>
              </w:rPr>
            </w:pPr>
            <w:r>
              <w:rPr>
                <w:rFonts w:hint="eastAsia" w:ascii="宋体" w:hAnsi="宋体"/>
                <w:szCs w:val="21"/>
              </w:rPr>
              <w:t>符合第八章“投标文件格式”的要求</w:t>
            </w:r>
          </w:p>
        </w:tc>
      </w:tr>
      <w:tr w14:paraId="6217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restart"/>
            <w:noWrap w:val="0"/>
            <w:vAlign w:val="center"/>
          </w:tcPr>
          <w:p w14:paraId="131972B9">
            <w:pPr>
              <w:jc w:val="center"/>
              <w:rPr>
                <w:rFonts w:hint="eastAsia"/>
              </w:rPr>
            </w:pPr>
          </w:p>
          <w:p w14:paraId="29295CE9">
            <w:pPr>
              <w:jc w:val="center"/>
              <w:rPr>
                <w:rFonts w:hint="eastAsia"/>
              </w:rPr>
            </w:pPr>
            <w:r>
              <w:rPr>
                <w:rFonts w:hint="eastAsia"/>
              </w:rPr>
              <w:t>2.1.3</w:t>
            </w:r>
          </w:p>
        </w:tc>
        <w:tc>
          <w:tcPr>
            <w:tcW w:w="1050" w:type="dxa"/>
            <w:vMerge w:val="restart"/>
            <w:noWrap w:val="0"/>
            <w:vAlign w:val="center"/>
          </w:tcPr>
          <w:p w14:paraId="6B0AC8CC">
            <w:pPr>
              <w:spacing w:line="360" w:lineRule="auto"/>
              <w:rPr>
                <w:rFonts w:ascii="宋体" w:hAnsi="宋体"/>
                <w:szCs w:val="21"/>
              </w:rPr>
            </w:pPr>
            <w:r>
              <w:rPr>
                <w:rFonts w:hint="eastAsia" w:ascii="宋体" w:hAnsi="宋体"/>
                <w:szCs w:val="21"/>
              </w:rPr>
              <w:t>响应性评审标准</w:t>
            </w:r>
          </w:p>
          <w:p w14:paraId="5AC8BB6B">
            <w:pPr>
              <w:jc w:val="center"/>
              <w:rPr>
                <w:rFonts w:hint="eastAsia"/>
              </w:rPr>
            </w:pPr>
          </w:p>
        </w:tc>
        <w:tc>
          <w:tcPr>
            <w:tcW w:w="7620" w:type="dxa"/>
            <w:gridSpan w:val="3"/>
            <w:noWrap w:val="0"/>
            <w:vAlign w:val="top"/>
          </w:tcPr>
          <w:p w14:paraId="0EDE6139">
            <w:pPr>
              <w:spacing w:line="360" w:lineRule="auto"/>
              <w:jc w:val="center"/>
              <w:rPr>
                <w:rFonts w:hint="eastAsia"/>
                <w:b/>
              </w:rPr>
            </w:pPr>
            <w:r>
              <w:rPr>
                <w:rFonts w:hint="eastAsia" w:ascii="宋体" w:hAnsi="宋体"/>
                <w:b/>
                <w:szCs w:val="21"/>
              </w:rPr>
              <w:t>投标报价</w:t>
            </w:r>
          </w:p>
        </w:tc>
      </w:tr>
      <w:tr w14:paraId="53E4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7B1F205C">
            <w:pPr>
              <w:jc w:val="center"/>
              <w:rPr>
                <w:rFonts w:hint="eastAsia"/>
              </w:rPr>
            </w:pPr>
          </w:p>
        </w:tc>
        <w:tc>
          <w:tcPr>
            <w:tcW w:w="1050" w:type="dxa"/>
            <w:vMerge w:val="continue"/>
            <w:noWrap w:val="0"/>
            <w:vAlign w:val="center"/>
          </w:tcPr>
          <w:p w14:paraId="788CBC2E">
            <w:pPr>
              <w:spacing w:line="360" w:lineRule="auto"/>
              <w:rPr>
                <w:rFonts w:hint="eastAsia" w:ascii="宋体" w:hAnsi="宋体"/>
                <w:szCs w:val="21"/>
              </w:rPr>
            </w:pPr>
          </w:p>
        </w:tc>
        <w:tc>
          <w:tcPr>
            <w:tcW w:w="2879" w:type="dxa"/>
            <w:gridSpan w:val="2"/>
            <w:noWrap w:val="0"/>
            <w:vAlign w:val="top"/>
          </w:tcPr>
          <w:p w14:paraId="70816765">
            <w:pPr>
              <w:spacing w:line="320" w:lineRule="exact"/>
              <w:rPr>
                <w:rFonts w:hint="eastAsia" w:ascii="宋体" w:hAnsi="宋体"/>
                <w:szCs w:val="21"/>
              </w:rPr>
            </w:pPr>
            <w:r>
              <w:rPr>
                <w:rFonts w:hint="eastAsia" w:ascii="宋体" w:hAnsi="宋体"/>
                <w:szCs w:val="21"/>
              </w:rPr>
              <w:t>投标报价是否超出上限值</w:t>
            </w:r>
          </w:p>
        </w:tc>
        <w:tc>
          <w:tcPr>
            <w:tcW w:w="4741" w:type="dxa"/>
            <w:noWrap w:val="0"/>
            <w:vAlign w:val="top"/>
          </w:tcPr>
          <w:p w14:paraId="73DCFDDB">
            <w:pPr>
              <w:spacing w:line="360" w:lineRule="auto"/>
              <w:rPr>
                <w:rFonts w:hint="eastAsia"/>
              </w:rPr>
            </w:pPr>
            <w:r>
              <w:rPr>
                <w:rFonts w:hint="eastAsia" w:ascii="宋体" w:hAnsi="宋体"/>
                <w:szCs w:val="21"/>
              </w:rPr>
              <w:t>符合第一章10.4和第五章规定</w:t>
            </w:r>
          </w:p>
        </w:tc>
      </w:tr>
      <w:tr w14:paraId="3692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5990B265">
            <w:pPr>
              <w:jc w:val="center"/>
              <w:rPr>
                <w:rFonts w:hint="eastAsia"/>
              </w:rPr>
            </w:pPr>
          </w:p>
        </w:tc>
        <w:tc>
          <w:tcPr>
            <w:tcW w:w="1050" w:type="dxa"/>
            <w:vMerge w:val="continue"/>
            <w:noWrap w:val="0"/>
            <w:vAlign w:val="center"/>
          </w:tcPr>
          <w:p w14:paraId="78F775F8">
            <w:pPr>
              <w:spacing w:line="360" w:lineRule="auto"/>
              <w:rPr>
                <w:rFonts w:hint="eastAsia" w:ascii="宋体" w:hAnsi="宋体"/>
                <w:szCs w:val="21"/>
              </w:rPr>
            </w:pPr>
          </w:p>
        </w:tc>
        <w:tc>
          <w:tcPr>
            <w:tcW w:w="2879" w:type="dxa"/>
            <w:gridSpan w:val="2"/>
            <w:noWrap w:val="0"/>
            <w:vAlign w:val="top"/>
          </w:tcPr>
          <w:p w14:paraId="0CD287CE">
            <w:pPr>
              <w:spacing w:line="320" w:lineRule="exact"/>
              <w:rPr>
                <w:rFonts w:hint="eastAsia" w:ascii="宋体" w:hAnsi="宋体"/>
                <w:szCs w:val="21"/>
              </w:rPr>
            </w:pPr>
            <w:r>
              <w:rPr>
                <w:rFonts w:hint="eastAsia" w:ascii="宋体" w:hAnsi="宋体"/>
                <w:szCs w:val="21"/>
              </w:rPr>
              <w:t>安全防护、文明施工措施费</w:t>
            </w:r>
          </w:p>
        </w:tc>
        <w:tc>
          <w:tcPr>
            <w:tcW w:w="4741" w:type="dxa"/>
            <w:noWrap w:val="0"/>
            <w:vAlign w:val="top"/>
          </w:tcPr>
          <w:p w14:paraId="3B98DFC8">
            <w:pPr>
              <w:spacing w:line="360" w:lineRule="auto"/>
              <w:rPr>
                <w:rFonts w:hint="eastAsia" w:ascii="宋体" w:hAnsi="宋体"/>
                <w:szCs w:val="21"/>
              </w:rPr>
            </w:pPr>
            <w:r>
              <w:rPr>
                <w:rFonts w:hint="eastAsia" w:ascii="宋体" w:hAnsi="宋体"/>
                <w:szCs w:val="21"/>
              </w:rPr>
              <w:t>符合第一章10.4和第五章规定</w:t>
            </w:r>
          </w:p>
        </w:tc>
      </w:tr>
      <w:tr w14:paraId="02A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6AE1D7E3">
            <w:pPr>
              <w:jc w:val="center"/>
              <w:rPr>
                <w:rFonts w:hint="eastAsia"/>
              </w:rPr>
            </w:pPr>
          </w:p>
        </w:tc>
        <w:tc>
          <w:tcPr>
            <w:tcW w:w="1050" w:type="dxa"/>
            <w:vMerge w:val="continue"/>
            <w:noWrap w:val="0"/>
            <w:vAlign w:val="center"/>
          </w:tcPr>
          <w:p w14:paraId="4051359B">
            <w:pPr>
              <w:spacing w:line="360" w:lineRule="auto"/>
              <w:rPr>
                <w:rFonts w:hint="eastAsia" w:ascii="宋体" w:hAnsi="宋体"/>
                <w:szCs w:val="21"/>
              </w:rPr>
            </w:pPr>
          </w:p>
        </w:tc>
        <w:tc>
          <w:tcPr>
            <w:tcW w:w="2879" w:type="dxa"/>
            <w:gridSpan w:val="2"/>
            <w:noWrap w:val="0"/>
            <w:vAlign w:val="top"/>
          </w:tcPr>
          <w:p w14:paraId="3391ABDE">
            <w:pPr>
              <w:spacing w:line="320" w:lineRule="exact"/>
              <w:ind w:firstLine="420" w:firstLineChars="200"/>
              <w:rPr>
                <w:rFonts w:hint="eastAsia"/>
              </w:rPr>
            </w:pPr>
            <w:r>
              <w:rPr>
                <w:rFonts w:hint="eastAsia" w:ascii="宋体" w:hAnsi="宋体"/>
                <w:szCs w:val="21"/>
              </w:rPr>
              <w:t>投标报价中的分部分项工程量清单的项目编码项目、项目名称、项目特征、计量单位、工程量与招标人提供的是否一致的</w:t>
            </w:r>
            <w:r>
              <w:rPr>
                <w:rFonts w:hint="eastAsia"/>
                <w:szCs w:val="21"/>
              </w:rPr>
              <w:t>。</w:t>
            </w:r>
          </w:p>
        </w:tc>
        <w:tc>
          <w:tcPr>
            <w:tcW w:w="4741" w:type="dxa"/>
            <w:noWrap w:val="0"/>
            <w:vAlign w:val="top"/>
          </w:tcPr>
          <w:p w14:paraId="086284AD">
            <w:pPr>
              <w:spacing w:line="360" w:lineRule="auto"/>
              <w:rPr>
                <w:rFonts w:hint="eastAsia" w:ascii="宋体" w:hAnsi="宋体"/>
                <w:szCs w:val="21"/>
              </w:rPr>
            </w:pPr>
            <w:r>
              <w:rPr>
                <w:rFonts w:hint="eastAsia" w:ascii="宋体" w:hAnsi="宋体"/>
                <w:szCs w:val="21"/>
              </w:rPr>
              <w:t>符合第五章规定</w:t>
            </w:r>
          </w:p>
        </w:tc>
      </w:tr>
      <w:tr w14:paraId="101A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7F93F038">
            <w:pPr>
              <w:jc w:val="center"/>
              <w:rPr>
                <w:rFonts w:hint="eastAsia"/>
              </w:rPr>
            </w:pPr>
          </w:p>
        </w:tc>
        <w:tc>
          <w:tcPr>
            <w:tcW w:w="1050" w:type="dxa"/>
            <w:vMerge w:val="continue"/>
            <w:noWrap w:val="0"/>
            <w:vAlign w:val="center"/>
          </w:tcPr>
          <w:p w14:paraId="76B7CEEE">
            <w:pPr>
              <w:spacing w:line="360" w:lineRule="auto"/>
              <w:rPr>
                <w:rFonts w:hint="eastAsia" w:ascii="宋体" w:hAnsi="宋体"/>
                <w:szCs w:val="21"/>
              </w:rPr>
            </w:pPr>
          </w:p>
        </w:tc>
        <w:tc>
          <w:tcPr>
            <w:tcW w:w="2879" w:type="dxa"/>
            <w:gridSpan w:val="2"/>
            <w:noWrap w:val="0"/>
            <w:vAlign w:val="top"/>
          </w:tcPr>
          <w:p w14:paraId="37BB4A66">
            <w:pPr>
              <w:spacing w:line="320" w:lineRule="exact"/>
              <w:ind w:firstLine="420" w:firstLineChars="200"/>
              <w:rPr>
                <w:rFonts w:hint="eastAsia"/>
                <w:szCs w:val="21"/>
              </w:rPr>
            </w:pPr>
            <w:r>
              <w:rPr>
                <w:rFonts w:hint="eastAsia"/>
                <w:szCs w:val="21"/>
              </w:rPr>
              <w:t>规费和税金是否按国家或省、市相关部门的规定计价。</w:t>
            </w:r>
          </w:p>
        </w:tc>
        <w:tc>
          <w:tcPr>
            <w:tcW w:w="4741" w:type="dxa"/>
            <w:noWrap w:val="0"/>
            <w:vAlign w:val="top"/>
          </w:tcPr>
          <w:p w14:paraId="5A872772">
            <w:pPr>
              <w:spacing w:line="360" w:lineRule="auto"/>
              <w:rPr>
                <w:rFonts w:hint="eastAsia" w:ascii="宋体" w:hAnsi="宋体"/>
                <w:szCs w:val="21"/>
              </w:rPr>
            </w:pPr>
            <w:r>
              <w:rPr>
                <w:rFonts w:hint="eastAsia" w:ascii="宋体" w:hAnsi="宋体"/>
                <w:szCs w:val="21"/>
              </w:rPr>
              <w:t>符合第五章规定</w:t>
            </w:r>
          </w:p>
        </w:tc>
      </w:tr>
      <w:tr w14:paraId="5DD0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7799F39C">
            <w:pPr>
              <w:jc w:val="center"/>
              <w:rPr>
                <w:rFonts w:hint="eastAsia"/>
              </w:rPr>
            </w:pPr>
          </w:p>
        </w:tc>
        <w:tc>
          <w:tcPr>
            <w:tcW w:w="1050" w:type="dxa"/>
            <w:vMerge w:val="continue"/>
            <w:noWrap w:val="0"/>
            <w:vAlign w:val="center"/>
          </w:tcPr>
          <w:p w14:paraId="504B4B85">
            <w:pPr>
              <w:spacing w:line="360" w:lineRule="auto"/>
              <w:rPr>
                <w:rFonts w:hint="eastAsia" w:ascii="宋体" w:hAnsi="宋体"/>
                <w:szCs w:val="21"/>
              </w:rPr>
            </w:pPr>
          </w:p>
        </w:tc>
        <w:tc>
          <w:tcPr>
            <w:tcW w:w="2879" w:type="dxa"/>
            <w:gridSpan w:val="2"/>
            <w:noWrap w:val="0"/>
            <w:vAlign w:val="top"/>
          </w:tcPr>
          <w:p w14:paraId="4B2898B5">
            <w:pPr>
              <w:spacing w:line="320" w:lineRule="exact"/>
              <w:ind w:firstLine="420" w:firstLineChars="200"/>
              <w:rPr>
                <w:rFonts w:hint="eastAsia"/>
                <w:szCs w:val="21"/>
              </w:rPr>
            </w:pPr>
            <w:r>
              <w:rPr>
                <w:rFonts w:hint="eastAsia" w:ascii="宋体" w:hAnsi="宋体"/>
                <w:szCs w:val="21"/>
              </w:rPr>
              <w:t>投标报价中的投标总价或各个单项工程总价是否通过乘以系数或直接增减金额来调整价格的。</w:t>
            </w:r>
          </w:p>
        </w:tc>
        <w:tc>
          <w:tcPr>
            <w:tcW w:w="4741" w:type="dxa"/>
            <w:noWrap w:val="0"/>
            <w:vAlign w:val="top"/>
          </w:tcPr>
          <w:p w14:paraId="3D2F323C">
            <w:pPr>
              <w:spacing w:line="360" w:lineRule="auto"/>
              <w:rPr>
                <w:rFonts w:hint="eastAsia" w:ascii="宋体" w:hAnsi="宋体"/>
                <w:szCs w:val="21"/>
              </w:rPr>
            </w:pPr>
            <w:r>
              <w:rPr>
                <w:rFonts w:hint="eastAsia" w:ascii="宋体" w:hAnsi="宋体"/>
                <w:szCs w:val="21"/>
              </w:rPr>
              <w:t>符合第五章规定</w:t>
            </w:r>
          </w:p>
        </w:tc>
      </w:tr>
      <w:tr w14:paraId="0A7E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2D0CFFE8">
            <w:pPr>
              <w:jc w:val="center"/>
              <w:rPr>
                <w:rFonts w:hint="eastAsia"/>
              </w:rPr>
            </w:pPr>
          </w:p>
        </w:tc>
        <w:tc>
          <w:tcPr>
            <w:tcW w:w="1050" w:type="dxa"/>
            <w:vMerge w:val="continue"/>
            <w:noWrap w:val="0"/>
            <w:vAlign w:val="center"/>
          </w:tcPr>
          <w:p w14:paraId="0F491831">
            <w:pPr>
              <w:spacing w:line="360" w:lineRule="auto"/>
              <w:rPr>
                <w:rFonts w:hint="eastAsia" w:ascii="宋体" w:hAnsi="宋体"/>
                <w:szCs w:val="21"/>
              </w:rPr>
            </w:pPr>
          </w:p>
        </w:tc>
        <w:tc>
          <w:tcPr>
            <w:tcW w:w="2879" w:type="dxa"/>
            <w:gridSpan w:val="2"/>
            <w:noWrap w:val="0"/>
            <w:vAlign w:val="top"/>
          </w:tcPr>
          <w:p w14:paraId="42B885D9">
            <w:pPr>
              <w:spacing w:line="320" w:lineRule="exact"/>
              <w:ind w:firstLine="420" w:firstLineChars="200"/>
              <w:rPr>
                <w:rFonts w:hint="eastAsia"/>
              </w:rPr>
            </w:pPr>
            <w:r>
              <w:rPr>
                <w:rFonts w:hint="eastAsia"/>
                <w:szCs w:val="21"/>
              </w:rPr>
              <w:t>投标报价的明细程度是否至综合单价分析表。</w:t>
            </w:r>
          </w:p>
        </w:tc>
        <w:tc>
          <w:tcPr>
            <w:tcW w:w="4741" w:type="dxa"/>
            <w:noWrap w:val="0"/>
            <w:vAlign w:val="top"/>
          </w:tcPr>
          <w:p w14:paraId="1E77FA9A">
            <w:pPr>
              <w:spacing w:line="360" w:lineRule="auto"/>
              <w:rPr>
                <w:rFonts w:hint="eastAsia" w:ascii="宋体" w:hAnsi="宋体"/>
                <w:szCs w:val="21"/>
              </w:rPr>
            </w:pPr>
            <w:r>
              <w:rPr>
                <w:rFonts w:hint="eastAsia" w:ascii="宋体" w:hAnsi="宋体"/>
                <w:szCs w:val="21"/>
              </w:rPr>
              <w:t>符合第五章规定</w:t>
            </w:r>
          </w:p>
        </w:tc>
      </w:tr>
      <w:tr w14:paraId="3B0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19CAC5FB">
            <w:pPr>
              <w:jc w:val="center"/>
              <w:rPr>
                <w:rFonts w:hint="eastAsia"/>
              </w:rPr>
            </w:pPr>
          </w:p>
        </w:tc>
        <w:tc>
          <w:tcPr>
            <w:tcW w:w="1050" w:type="dxa"/>
            <w:vMerge w:val="continue"/>
            <w:noWrap w:val="0"/>
            <w:vAlign w:val="center"/>
          </w:tcPr>
          <w:p w14:paraId="45D086AC">
            <w:pPr>
              <w:spacing w:line="360" w:lineRule="auto"/>
              <w:rPr>
                <w:rFonts w:hint="eastAsia" w:ascii="宋体" w:hAnsi="宋体"/>
                <w:szCs w:val="21"/>
              </w:rPr>
            </w:pPr>
          </w:p>
        </w:tc>
        <w:tc>
          <w:tcPr>
            <w:tcW w:w="2879" w:type="dxa"/>
            <w:gridSpan w:val="2"/>
            <w:noWrap w:val="0"/>
            <w:vAlign w:val="top"/>
          </w:tcPr>
          <w:p w14:paraId="330A9397">
            <w:pPr>
              <w:spacing w:line="320" w:lineRule="exact"/>
              <w:ind w:firstLine="420" w:firstLineChars="200"/>
              <w:rPr>
                <w:rFonts w:hint="eastAsia"/>
              </w:rPr>
            </w:pPr>
            <w:r>
              <w:rPr>
                <w:rFonts w:hint="eastAsia"/>
                <w:szCs w:val="21"/>
              </w:rPr>
              <w:t>投标报价是否包括材料价格明细表或按招标文件的要求提供相应的材料价格表。</w:t>
            </w:r>
          </w:p>
        </w:tc>
        <w:tc>
          <w:tcPr>
            <w:tcW w:w="4741" w:type="dxa"/>
            <w:noWrap w:val="0"/>
            <w:vAlign w:val="top"/>
          </w:tcPr>
          <w:p w14:paraId="268C60B4">
            <w:pPr>
              <w:spacing w:line="360" w:lineRule="auto"/>
              <w:rPr>
                <w:rFonts w:hint="eastAsia" w:ascii="宋体" w:hAnsi="宋体"/>
                <w:szCs w:val="21"/>
              </w:rPr>
            </w:pPr>
            <w:r>
              <w:rPr>
                <w:rFonts w:hint="eastAsia" w:ascii="宋体" w:hAnsi="宋体"/>
                <w:szCs w:val="21"/>
              </w:rPr>
              <w:t>符合第五章规定</w:t>
            </w:r>
          </w:p>
        </w:tc>
      </w:tr>
      <w:tr w14:paraId="3A8F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2C9884E1">
            <w:pPr>
              <w:jc w:val="center"/>
              <w:rPr>
                <w:rFonts w:hint="eastAsia"/>
              </w:rPr>
            </w:pPr>
          </w:p>
        </w:tc>
        <w:tc>
          <w:tcPr>
            <w:tcW w:w="1050" w:type="dxa"/>
            <w:vMerge w:val="continue"/>
            <w:noWrap w:val="0"/>
            <w:vAlign w:val="center"/>
          </w:tcPr>
          <w:p w14:paraId="78A26896">
            <w:pPr>
              <w:spacing w:line="360" w:lineRule="auto"/>
              <w:rPr>
                <w:rFonts w:hint="eastAsia" w:ascii="宋体" w:hAnsi="宋体"/>
                <w:szCs w:val="21"/>
              </w:rPr>
            </w:pPr>
          </w:p>
        </w:tc>
        <w:tc>
          <w:tcPr>
            <w:tcW w:w="2879" w:type="dxa"/>
            <w:gridSpan w:val="2"/>
            <w:noWrap w:val="0"/>
            <w:vAlign w:val="top"/>
          </w:tcPr>
          <w:p w14:paraId="331DD485">
            <w:pPr>
              <w:spacing w:line="320" w:lineRule="exact"/>
              <w:ind w:firstLine="420" w:firstLineChars="200"/>
              <w:rPr>
                <w:rFonts w:hint="eastAsia"/>
              </w:rPr>
            </w:pPr>
            <w:r>
              <w:rPr>
                <w:rFonts w:hint="eastAsia" w:ascii="宋体" w:hAnsi="宋体"/>
                <w:szCs w:val="21"/>
              </w:rPr>
              <w:t>工程量综合单价分析表的综合单价是否乘以系数来调整价格的。</w:t>
            </w:r>
          </w:p>
        </w:tc>
        <w:tc>
          <w:tcPr>
            <w:tcW w:w="4741" w:type="dxa"/>
            <w:noWrap w:val="0"/>
            <w:vAlign w:val="top"/>
          </w:tcPr>
          <w:p w14:paraId="57041788">
            <w:pPr>
              <w:spacing w:line="360" w:lineRule="auto"/>
              <w:rPr>
                <w:rFonts w:hint="eastAsia" w:ascii="宋体" w:hAnsi="宋体"/>
                <w:szCs w:val="21"/>
              </w:rPr>
            </w:pPr>
            <w:r>
              <w:rPr>
                <w:rFonts w:hint="eastAsia" w:ascii="宋体" w:hAnsi="宋体"/>
                <w:szCs w:val="21"/>
              </w:rPr>
              <w:t>符合第五章规定</w:t>
            </w:r>
          </w:p>
        </w:tc>
      </w:tr>
      <w:tr w14:paraId="498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468BE946">
            <w:pPr>
              <w:jc w:val="center"/>
              <w:rPr>
                <w:rFonts w:hint="eastAsia"/>
              </w:rPr>
            </w:pPr>
          </w:p>
        </w:tc>
        <w:tc>
          <w:tcPr>
            <w:tcW w:w="1050" w:type="dxa"/>
            <w:vMerge w:val="continue"/>
            <w:noWrap w:val="0"/>
            <w:vAlign w:val="center"/>
          </w:tcPr>
          <w:p w14:paraId="3D1CB8EA">
            <w:pPr>
              <w:spacing w:line="360" w:lineRule="auto"/>
              <w:rPr>
                <w:rFonts w:hint="eastAsia" w:ascii="宋体" w:hAnsi="宋体"/>
                <w:szCs w:val="21"/>
              </w:rPr>
            </w:pPr>
          </w:p>
        </w:tc>
        <w:tc>
          <w:tcPr>
            <w:tcW w:w="2879" w:type="dxa"/>
            <w:gridSpan w:val="2"/>
            <w:noWrap w:val="0"/>
            <w:vAlign w:val="top"/>
          </w:tcPr>
          <w:p w14:paraId="2E8B95AC">
            <w:pPr>
              <w:spacing w:line="320" w:lineRule="exact"/>
              <w:ind w:firstLine="420" w:firstLineChars="200"/>
              <w:rPr>
                <w:rFonts w:hint="eastAsia"/>
              </w:rPr>
            </w:pPr>
            <w:r>
              <w:rPr>
                <w:rFonts w:hint="eastAsia" w:ascii="宋体" w:hAnsi="宋体"/>
                <w:szCs w:val="21"/>
              </w:rPr>
              <w:t>工程量综合单价分析表的人工费或材料费或机械费乘以系数调整价格的。</w:t>
            </w:r>
          </w:p>
        </w:tc>
        <w:tc>
          <w:tcPr>
            <w:tcW w:w="4741" w:type="dxa"/>
            <w:noWrap w:val="0"/>
            <w:vAlign w:val="top"/>
          </w:tcPr>
          <w:p w14:paraId="1814A781">
            <w:pPr>
              <w:spacing w:line="360" w:lineRule="auto"/>
              <w:rPr>
                <w:rFonts w:hint="eastAsia" w:ascii="宋体" w:hAnsi="宋体"/>
                <w:szCs w:val="21"/>
              </w:rPr>
            </w:pPr>
            <w:r>
              <w:rPr>
                <w:rFonts w:hint="eastAsia" w:ascii="宋体" w:hAnsi="宋体"/>
                <w:szCs w:val="21"/>
              </w:rPr>
              <w:t>符合第五章规定</w:t>
            </w:r>
          </w:p>
        </w:tc>
      </w:tr>
      <w:tr w14:paraId="1E17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640A4A73">
            <w:pPr>
              <w:jc w:val="center"/>
              <w:rPr>
                <w:rFonts w:hint="eastAsia"/>
              </w:rPr>
            </w:pPr>
          </w:p>
        </w:tc>
        <w:tc>
          <w:tcPr>
            <w:tcW w:w="1050" w:type="dxa"/>
            <w:vMerge w:val="continue"/>
            <w:noWrap w:val="0"/>
            <w:vAlign w:val="center"/>
          </w:tcPr>
          <w:p w14:paraId="4BFC41A3">
            <w:pPr>
              <w:spacing w:line="360" w:lineRule="auto"/>
              <w:rPr>
                <w:rFonts w:hint="eastAsia" w:ascii="宋体" w:hAnsi="宋体"/>
                <w:szCs w:val="21"/>
              </w:rPr>
            </w:pPr>
          </w:p>
        </w:tc>
        <w:tc>
          <w:tcPr>
            <w:tcW w:w="2879" w:type="dxa"/>
            <w:gridSpan w:val="2"/>
            <w:noWrap w:val="0"/>
            <w:vAlign w:val="top"/>
          </w:tcPr>
          <w:p w14:paraId="772C1F77">
            <w:pPr>
              <w:spacing w:line="320" w:lineRule="exact"/>
              <w:ind w:firstLine="420" w:firstLineChars="200"/>
              <w:rPr>
                <w:rFonts w:hint="eastAsia" w:ascii="宋体" w:hAnsi="宋体"/>
                <w:szCs w:val="21"/>
              </w:rPr>
            </w:pPr>
            <w:r>
              <w:rPr>
                <w:rFonts w:hint="eastAsia" w:ascii="宋体" w:hAnsi="宋体"/>
                <w:szCs w:val="21"/>
              </w:rPr>
              <w:t>工程量综合单价分析表的总价是否与人工费、材料费、机械费、管理费、利润之和相差较大的。（因计算过程由于小数位四舍五入导致的误差除外）。</w:t>
            </w:r>
          </w:p>
        </w:tc>
        <w:tc>
          <w:tcPr>
            <w:tcW w:w="4741" w:type="dxa"/>
            <w:noWrap w:val="0"/>
            <w:vAlign w:val="top"/>
          </w:tcPr>
          <w:p w14:paraId="5270ECCB">
            <w:pPr>
              <w:spacing w:line="360" w:lineRule="auto"/>
              <w:rPr>
                <w:rFonts w:hint="eastAsia" w:ascii="宋体" w:hAnsi="宋体"/>
                <w:szCs w:val="21"/>
              </w:rPr>
            </w:pPr>
            <w:r>
              <w:rPr>
                <w:rFonts w:hint="eastAsia" w:ascii="宋体" w:hAnsi="宋体"/>
                <w:szCs w:val="21"/>
              </w:rPr>
              <w:t>符合第五章规定</w:t>
            </w:r>
          </w:p>
        </w:tc>
      </w:tr>
      <w:tr w14:paraId="2892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39ECE05F">
            <w:pPr>
              <w:jc w:val="center"/>
              <w:rPr>
                <w:rFonts w:hint="eastAsia"/>
              </w:rPr>
            </w:pPr>
          </w:p>
        </w:tc>
        <w:tc>
          <w:tcPr>
            <w:tcW w:w="1050" w:type="dxa"/>
            <w:vMerge w:val="continue"/>
            <w:noWrap w:val="0"/>
            <w:vAlign w:val="center"/>
          </w:tcPr>
          <w:p w14:paraId="0E45AEED">
            <w:pPr>
              <w:spacing w:line="360" w:lineRule="auto"/>
              <w:rPr>
                <w:rFonts w:hint="eastAsia" w:ascii="宋体" w:hAnsi="宋体"/>
                <w:szCs w:val="21"/>
              </w:rPr>
            </w:pPr>
          </w:p>
        </w:tc>
        <w:tc>
          <w:tcPr>
            <w:tcW w:w="2879" w:type="dxa"/>
            <w:gridSpan w:val="2"/>
            <w:noWrap w:val="0"/>
            <w:vAlign w:val="top"/>
          </w:tcPr>
          <w:p w14:paraId="040999F4">
            <w:pPr>
              <w:spacing w:line="320" w:lineRule="exact"/>
              <w:ind w:firstLine="420" w:firstLineChars="200"/>
              <w:rPr>
                <w:rFonts w:hint="eastAsia" w:ascii="宋体" w:hAnsi="宋体"/>
                <w:szCs w:val="21"/>
              </w:rPr>
            </w:pPr>
            <w:r>
              <w:rPr>
                <w:rFonts w:hint="eastAsia" w:ascii="宋体" w:hAnsi="宋体"/>
                <w:szCs w:val="21"/>
              </w:rPr>
              <w:t>暂列金额、材料暂估单价、专业工程暂估价是否未按照招标控制价中公布的相应金额报价的。</w:t>
            </w:r>
          </w:p>
        </w:tc>
        <w:tc>
          <w:tcPr>
            <w:tcW w:w="4741" w:type="dxa"/>
            <w:noWrap w:val="0"/>
            <w:vAlign w:val="top"/>
          </w:tcPr>
          <w:p w14:paraId="6E168B7E">
            <w:pPr>
              <w:spacing w:line="360" w:lineRule="auto"/>
              <w:rPr>
                <w:rFonts w:hint="eastAsia" w:ascii="宋体" w:hAnsi="宋体"/>
                <w:szCs w:val="21"/>
              </w:rPr>
            </w:pPr>
            <w:r>
              <w:rPr>
                <w:rFonts w:hint="eastAsia" w:ascii="宋体" w:hAnsi="宋体"/>
                <w:szCs w:val="21"/>
              </w:rPr>
              <w:t>符合第五章规定</w:t>
            </w:r>
          </w:p>
        </w:tc>
      </w:tr>
      <w:tr w14:paraId="413E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0" w:type="dxa"/>
            <w:vMerge w:val="continue"/>
            <w:noWrap w:val="0"/>
            <w:vAlign w:val="center"/>
          </w:tcPr>
          <w:p w14:paraId="27F36846">
            <w:pPr>
              <w:jc w:val="center"/>
              <w:rPr>
                <w:rFonts w:hint="eastAsia"/>
              </w:rPr>
            </w:pPr>
          </w:p>
        </w:tc>
        <w:tc>
          <w:tcPr>
            <w:tcW w:w="1050" w:type="dxa"/>
            <w:vMerge w:val="continue"/>
            <w:noWrap w:val="0"/>
            <w:vAlign w:val="center"/>
          </w:tcPr>
          <w:p w14:paraId="32CCB686">
            <w:pPr>
              <w:spacing w:line="360" w:lineRule="auto"/>
              <w:rPr>
                <w:rFonts w:hint="eastAsia" w:ascii="宋体" w:hAnsi="宋体"/>
                <w:szCs w:val="21"/>
              </w:rPr>
            </w:pPr>
          </w:p>
        </w:tc>
        <w:tc>
          <w:tcPr>
            <w:tcW w:w="2879" w:type="dxa"/>
            <w:gridSpan w:val="2"/>
            <w:noWrap w:val="0"/>
            <w:vAlign w:val="top"/>
          </w:tcPr>
          <w:p w14:paraId="603DC87C">
            <w:pPr>
              <w:spacing w:line="320" w:lineRule="exact"/>
              <w:ind w:firstLine="420" w:firstLineChars="200"/>
              <w:rPr>
                <w:rFonts w:hint="eastAsia"/>
              </w:rPr>
            </w:pPr>
            <w:r>
              <w:rPr>
                <w:rFonts w:hint="eastAsia" w:ascii="宋体" w:hAnsi="宋体"/>
                <w:szCs w:val="21"/>
              </w:rPr>
              <w:t>任何报价出现负数的。</w:t>
            </w:r>
          </w:p>
        </w:tc>
        <w:tc>
          <w:tcPr>
            <w:tcW w:w="4741" w:type="dxa"/>
            <w:noWrap w:val="0"/>
            <w:vAlign w:val="top"/>
          </w:tcPr>
          <w:p w14:paraId="7254836E">
            <w:pPr>
              <w:spacing w:line="360" w:lineRule="auto"/>
              <w:rPr>
                <w:rFonts w:hint="eastAsia" w:ascii="宋体" w:hAnsi="宋体"/>
                <w:szCs w:val="21"/>
              </w:rPr>
            </w:pPr>
            <w:r>
              <w:rPr>
                <w:rFonts w:hint="eastAsia" w:ascii="宋体" w:hAnsi="宋体"/>
                <w:szCs w:val="21"/>
              </w:rPr>
              <w:t>符合第五章规定</w:t>
            </w:r>
          </w:p>
        </w:tc>
      </w:tr>
      <w:tr w14:paraId="0E5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0" w:type="dxa"/>
            <w:vMerge w:val="continue"/>
            <w:noWrap w:val="0"/>
            <w:vAlign w:val="top"/>
          </w:tcPr>
          <w:p w14:paraId="08C67D84">
            <w:pPr>
              <w:rPr>
                <w:rFonts w:hint="eastAsia"/>
              </w:rPr>
            </w:pPr>
          </w:p>
        </w:tc>
        <w:tc>
          <w:tcPr>
            <w:tcW w:w="1050" w:type="dxa"/>
            <w:vMerge w:val="continue"/>
            <w:noWrap w:val="0"/>
            <w:vAlign w:val="top"/>
          </w:tcPr>
          <w:p w14:paraId="268865E5">
            <w:pPr>
              <w:rPr>
                <w:rFonts w:hint="eastAsia"/>
              </w:rPr>
            </w:pPr>
          </w:p>
        </w:tc>
        <w:tc>
          <w:tcPr>
            <w:tcW w:w="7620" w:type="dxa"/>
            <w:gridSpan w:val="3"/>
            <w:noWrap w:val="0"/>
            <w:vAlign w:val="top"/>
          </w:tcPr>
          <w:p w14:paraId="675A8CA4">
            <w:pPr>
              <w:spacing w:line="360" w:lineRule="auto"/>
              <w:jc w:val="center"/>
              <w:rPr>
                <w:rFonts w:hint="eastAsia" w:ascii="宋体" w:hAnsi="宋体"/>
                <w:b/>
                <w:szCs w:val="21"/>
              </w:rPr>
            </w:pPr>
            <w:r>
              <w:rPr>
                <w:rFonts w:hint="eastAsia"/>
                <w:b/>
              </w:rPr>
              <w:t>技术标</w:t>
            </w:r>
          </w:p>
        </w:tc>
      </w:tr>
      <w:tr w14:paraId="7DF9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00CCB5B4">
            <w:pPr>
              <w:rPr>
                <w:rFonts w:hint="eastAsia"/>
              </w:rPr>
            </w:pPr>
          </w:p>
        </w:tc>
        <w:tc>
          <w:tcPr>
            <w:tcW w:w="1050" w:type="dxa"/>
            <w:vMerge w:val="continue"/>
            <w:noWrap w:val="0"/>
            <w:vAlign w:val="top"/>
          </w:tcPr>
          <w:p w14:paraId="5DC49F4D">
            <w:pPr>
              <w:rPr>
                <w:rFonts w:hint="eastAsia"/>
              </w:rPr>
            </w:pPr>
          </w:p>
        </w:tc>
        <w:tc>
          <w:tcPr>
            <w:tcW w:w="2879" w:type="dxa"/>
            <w:gridSpan w:val="2"/>
            <w:noWrap w:val="0"/>
            <w:vAlign w:val="top"/>
          </w:tcPr>
          <w:p w14:paraId="1B737617">
            <w:pPr>
              <w:spacing w:line="360" w:lineRule="auto"/>
              <w:ind w:firstLine="420" w:firstLineChars="200"/>
              <w:rPr>
                <w:rFonts w:hint="eastAsia"/>
              </w:rPr>
            </w:pPr>
            <w:r>
              <w:rPr>
                <w:rFonts w:hint="eastAsia" w:ascii="宋体" w:hAnsi="宋体"/>
                <w:szCs w:val="21"/>
              </w:rPr>
              <w:t>投标内容</w:t>
            </w:r>
          </w:p>
        </w:tc>
        <w:tc>
          <w:tcPr>
            <w:tcW w:w="4741" w:type="dxa"/>
            <w:noWrap w:val="0"/>
            <w:vAlign w:val="top"/>
          </w:tcPr>
          <w:p w14:paraId="4917B3C0">
            <w:pPr>
              <w:spacing w:line="360" w:lineRule="auto"/>
              <w:rPr>
                <w:rFonts w:hint="eastAsia"/>
              </w:rPr>
            </w:pPr>
            <w:r>
              <w:rPr>
                <w:rFonts w:hint="eastAsia" w:ascii="宋体" w:hAnsi="宋体"/>
                <w:szCs w:val="21"/>
              </w:rPr>
              <w:t>符合第二章“投标人须知”第1.3.1项规定</w:t>
            </w:r>
          </w:p>
        </w:tc>
      </w:tr>
      <w:tr w14:paraId="767F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0" w:type="dxa"/>
            <w:vMerge w:val="continue"/>
            <w:noWrap w:val="0"/>
            <w:vAlign w:val="top"/>
          </w:tcPr>
          <w:p w14:paraId="19EAEFFA">
            <w:pPr>
              <w:rPr>
                <w:rFonts w:hint="eastAsia"/>
              </w:rPr>
            </w:pPr>
          </w:p>
        </w:tc>
        <w:tc>
          <w:tcPr>
            <w:tcW w:w="1050" w:type="dxa"/>
            <w:vMerge w:val="continue"/>
            <w:noWrap w:val="0"/>
            <w:vAlign w:val="top"/>
          </w:tcPr>
          <w:p w14:paraId="4764D8DE">
            <w:pPr>
              <w:rPr>
                <w:rFonts w:hint="eastAsia"/>
              </w:rPr>
            </w:pPr>
          </w:p>
        </w:tc>
        <w:tc>
          <w:tcPr>
            <w:tcW w:w="2879" w:type="dxa"/>
            <w:gridSpan w:val="2"/>
            <w:noWrap w:val="0"/>
            <w:vAlign w:val="top"/>
          </w:tcPr>
          <w:p w14:paraId="0142121D">
            <w:pPr>
              <w:spacing w:line="360" w:lineRule="auto"/>
              <w:ind w:firstLine="420" w:firstLineChars="200"/>
              <w:rPr>
                <w:rFonts w:hint="eastAsia"/>
              </w:rPr>
            </w:pPr>
            <w:r>
              <w:rPr>
                <w:rFonts w:hint="eastAsia" w:ascii="宋体" w:hAnsi="宋体"/>
                <w:szCs w:val="21"/>
              </w:rPr>
              <w:t>服务工期</w:t>
            </w:r>
          </w:p>
        </w:tc>
        <w:tc>
          <w:tcPr>
            <w:tcW w:w="4741" w:type="dxa"/>
            <w:noWrap w:val="0"/>
            <w:vAlign w:val="top"/>
          </w:tcPr>
          <w:p w14:paraId="114DEEAC">
            <w:pPr>
              <w:spacing w:line="360" w:lineRule="auto"/>
              <w:rPr>
                <w:rFonts w:hint="eastAsia"/>
              </w:rPr>
            </w:pPr>
            <w:r>
              <w:rPr>
                <w:rFonts w:hint="eastAsia" w:ascii="宋体" w:hAnsi="宋体"/>
                <w:szCs w:val="21"/>
              </w:rPr>
              <w:t>符合第二章“投标人须知”第1.3.2 项规定</w:t>
            </w:r>
          </w:p>
        </w:tc>
      </w:tr>
      <w:tr w14:paraId="6A0F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0" w:type="dxa"/>
            <w:vMerge w:val="continue"/>
            <w:noWrap w:val="0"/>
            <w:vAlign w:val="top"/>
          </w:tcPr>
          <w:p w14:paraId="31894DD6">
            <w:pPr>
              <w:rPr>
                <w:rFonts w:hint="eastAsia"/>
              </w:rPr>
            </w:pPr>
          </w:p>
        </w:tc>
        <w:tc>
          <w:tcPr>
            <w:tcW w:w="1050" w:type="dxa"/>
            <w:vMerge w:val="continue"/>
            <w:noWrap w:val="0"/>
            <w:vAlign w:val="top"/>
          </w:tcPr>
          <w:p w14:paraId="57E1F356">
            <w:pPr>
              <w:rPr>
                <w:rFonts w:hint="eastAsia"/>
              </w:rPr>
            </w:pPr>
          </w:p>
        </w:tc>
        <w:tc>
          <w:tcPr>
            <w:tcW w:w="2879" w:type="dxa"/>
            <w:gridSpan w:val="2"/>
            <w:noWrap w:val="0"/>
            <w:vAlign w:val="top"/>
          </w:tcPr>
          <w:p w14:paraId="4833039D">
            <w:pPr>
              <w:spacing w:line="360" w:lineRule="auto"/>
              <w:ind w:firstLine="420" w:firstLineChars="200"/>
              <w:rPr>
                <w:rFonts w:hint="eastAsia"/>
              </w:rPr>
            </w:pPr>
            <w:r>
              <w:rPr>
                <w:rFonts w:hint="eastAsia" w:ascii="宋体" w:hAnsi="宋体"/>
                <w:szCs w:val="21"/>
              </w:rPr>
              <w:t>投标有效期</w:t>
            </w:r>
          </w:p>
        </w:tc>
        <w:tc>
          <w:tcPr>
            <w:tcW w:w="4741" w:type="dxa"/>
            <w:noWrap w:val="0"/>
            <w:vAlign w:val="top"/>
          </w:tcPr>
          <w:p w14:paraId="55946D64">
            <w:pPr>
              <w:spacing w:line="360" w:lineRule="auto"/>
              <w:rPr>
                <w:rFonts w:hint="eastAsia"/>
              </w:rPr>
            </w:pPr>
            <w:r>
              <w:rPr>
                <w:rFonts w:hint="eastAsia" w:ascii="宋体" w:hAnsi="宋体"/>
                <w:szCs w:val="21"/>
              </w:rPr>
              <w:t>符合第二章“投标人须知”第3.3.1项规定</w:t>
            </w:r>
          </w:p>
        </w:tc>
      </w:tr>
      <w:tr w14:paraId="0229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0" w:type="dxa"/>
            <w:vMerge w:val="continue"/>
            <w:noWrap w:val="0"/>
            <w:vAlign w:val="top"/>
          </w:tcPr>
          <w:p w14:paraId="3F0FE4B5">
            <w:pPr>
              <w:rPr>
                <w:rFonts w:hint="eastAsia"/>
              </w:rPr>
            </w:pPr>
          </w:p>
        </w:tc>
        <w:tc>
          <w:tcPr>
            <w:tcW w:w="1050" w:type="dxa"/>
            <w:vMerge w:val="continue"/>
            <w:noWrap w:val="0"/>
            <w:vAlign w:val="top"/>
          </w:tcPr>
          <w:p w14:paraId="41AAA95C">
            <w:pPr>
              <w:rPr>
                <w:rFonts w:hint="eastAsia"/>
              </w:rPr>
            </w:pPr>
          </w:p>
        </w:tc>
        <w:tc>
          <w:tcPr>
            <w:tcW w:w="2879" w:type="dxa"/>
            <w:gridSpan w:val="2"/>
            <w:noWrap w:val="0"/>
            <w:vAlign w:val="top"/>
          </w:tcPr>
          <w:p w14:paraId="31002688">
            <w:pPr>
              <w:spacing w:line="360" w:lineRule="auto"/>
              <w:rPr>
                <w:rFonts w:hint="eastAsia" w:ascii="宋体" w:hAnsi="宋体"/>
                <w:szCs w:val="21"/>
              </w:rPr>
            </w:pPr>
            <w:r>
              <w:rPr>
                <w:rFonts w:hint="eastAsia" w:ascii="宋体" w:hAnsi="宋体"/>
                <w:szCs w:val="21"/>
              </w:rPr>
              <w:t>项目主要人员基本要求</w:t>
            </w:r>
          </w:p>
        </w:tc>
        <w:tc>
          <w:tcPr>
            <w:tcW w:w="4741" w:type="dxa"/>
            <w:noWrap w:val="0"/>
            <w:vAlign w:val="top"/>
          </w:tcPr>
          <w:p w14:paraId="30CD8AB4">
            <w:pPr>
              <w:spacing w:line="360" w:lineRule="auto"/>
              <w:rPr>
                <w:rFonts w:hint="eastAsia" w:ascii="宋体" w:hAnsi="宋体"/>
                <w:szCs w:val="21"/>
              </w:rPr>
            </w:pPr>
            <w:r>
              <w:rPr>
                <w:rFonts w:hint="eastAsia" w:ascii="宋体" w:hAnsi="宋体"/>
                <w:szCs w:val="21"/>
              </w:rPr>
              <w:t>符合第二章“投标人须知”第10.1 款规定（如需）</w:t>
            </w:r>
          </w:p>
        </w:tc>
      </w:tr>
      <w:tr w14:paraId="1B3D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20" w:type="dxa"/>
            <w:gridSpan w:val="2"/>
            <w:noWrap w:val="0"/>
            <w:vAlign w:val="center"/>
          </w:tcPr>
          <w:p w14:paraId="32EB9031">
            <w:pPr>
              <w:jc w:val="center"/>
              <w:rPr>
                <w:rFonts w:hint="eastAsia"/>
                <w:b/>
              </w:rPr>
            </w:pPr>
            <w:r>
              <w:rPr>
                <w:rFonts w:hint="eastAsia"/>
                <w:b/>
              </w:rPr>
              <w:t>条款号</w:t>
            </w:r>
          </w:p>
        </w:tc>
        <w:tc>
          <w:tcPr>
            <w:tcW w:w="2042" w:type="dxa"/>
            <w:noWrap w:val="0"/>
            <w:vAlign w:val="center"/>
          </w:tcPr>
          <w:p w14:paraId="62445E98">
            <w:pPr>
              <w:spacing w:line="320" w:lineRule="exact"/>
              <w:ind w:firstLine="422" w:firstLineChars="200"/>
              <w:jc w:val="center"/>
              <w:rPr>
                <w:rFonts w:hint="eastAsia"/>
                <w:b/>
              </w:rPr>
            </w:pPr>
            <w:r>
              <w:rPr>
                <w:rFonts w:hint="eastAsia"/>
                <w:b/>
              </w:rPr>
              <w:t>条款内容</w:t>
            </w:r>
          </w:p>
        </w:tc>
        <w:tc>
          <w:tcPr>
            <w:tcW w:w="5578" w:type="dxa"/>
            <w:gridSpan w:val="2"/>
            <w:noWrap w:val="0"/>
            <w:vAlign w:val="center"/>
          </w:tcPr>
          <w:p w14:paraId="5A3CEC84">
            <w:pPr>
              <w:spacing w:line="360" w:lineRule="auto"/>
              <w:jc w:val="center"/>
              <w:rPr>
                <w:rFonts w:hint="eastAsia" w:ascii="宋体" w:hAnsi="宋体"/>
                <w:b/>
                <w:szCs w:val="21"/>
              </w:rPr>
            </w:pPr>
            <w:r>
              <w:rPr>
                <w:rFonts w:hint="eastAsia" w:ascii="宋体" w:hAnsi="宋体"/>
                <w:b/>
                <w:szCs w:val="21"/>
              </w:rPr>
              <w:t>编列内容</w:t>
            </w:r>
          </w:p>
        </w:tc>
      </w:tr>
      <w:tr w14:paraId="1952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20" w:type="dxa"/>
            <w:gridSpan w:val="2"/>
            <w:noWrap w:val="0"/>
            <w:vAlign w:val="center"/>
          </w:tcPr>
          <w:p w14:paraId="4152C711">
            <w:pPr>
              <w:spacing w:line="360" w:lineRule="auto"/>
              <w:jc w:val="center"/>
              <w:rPr>
                <w:rFonts w:hint="eastAsia" w:ascii="宋体" w:hAnsi="宋体"/>
                <w:szCs w:val="21"/>
              </w:rPr>
            </w:pPr>
            <w:r>
              <w:rPr>
                <w:rFonts w:hint="eastAsia" w:ascii="宋体" w:hAnsi="宋体"/>
                <w:szCs w:val="21"/>
              </w:rPr>
              <w:t>2.2.1</w:t>
            </w:r>
          </w:p>
        </w:tc>
        <w:tc>
          <w:tcPr>
            <w:tcW w:w="2042" w:type="dxa"/>
            <w:noWrap w:val="0"/>
            <w:vAlign w:val="center"/>
          </w:tcPr>
          <w:p w14:paraId="55211268">
            <w:pPr>
              <w:spacing w:line="360" w:lineRule="auto"/>
              <w:rPr>
                <w:rFonts w:hint="eastAsia" w:ascii="宋体" w:hAnsi="宋体"/>
                <w:szCs w:val="21"/>
              </w:rPr>
            </w:pPr>
            <w:r>
              <w:rPr>
                <w:rFonts w:hint="eastAsia" w:ascii="宋体" w:hAnsi="宋体"/>
                <w:szCs w:val="21"/>
              </w:rPr>
              <w:t>投标报价评标基准价计算方法</w:t>
            </w:r>
          </w:p>
        </w:tc>
        <w:tc>
          <w:tcPr>
            <w:tcW w:w="5578" w:type="dxa"/>
            <w:gridSpan w:val="2"/>
            <w:noWrap w:val="0"/>
            <w:vAlign w:val="center"/>
          </w:tcPr>
          <w:p w14:paraId="18F836C3">
            <w:pPr>
              <w:tabs>
                <w:tab w:val="left" w:pos="540"/>
              </w:tabs>
              <w:spacing w:line="440" w:lineRule="exact"/>
              <w:ind w:firstLine="411" w:firstLineChars="196"/>
              <w:rPr>
                <w:rFonts w:hint="eastAsia" w:ascii="宋体" w:hAnsi="宋体"/>
                <w:bCs/>
              </w:rPr>
            </w:pPr>
            <w:r>
              <w:rPr>
                <w:rFonts w:hint="eastAsia" w:ascii="宋体" w:hAnsi="宋体"/>
                <w:szCs w:val="21"/>
              </w:rPr>
              <w:t>在通过资格、形式、响应性评审的投标人中，</w:t>
            </w:r>
            <w:r>
              <w:rPr>
                <w:rFonts w:hint="eastAsia" w:ascii="宋体" w:hAnsi="宋体"/>
                <w:bCs/>
              </w:rPr>
              <w:t>当有效投标报价的个数小于或等于5家单位时，直接取有效投标报价的平均值作为评标基准价；当有效投标报价的个数大于5家单位时，在有效投标报价中去除一个最高价和一个最低价再取算术平均值作为评标基准价。</w:t>
            </w:r>
          </w:p>
          <w:p w14:paraId="010E1333">
            <w:pPr>
              <w:tabs>
                <w:tab w:val="left" w:pos="540"/>
              </w:tabs>
              <w:spacing w:line="440" w:lineRule="exact"/>
              <w:ind w:firstLine="413" w:firstLineChars="196"/>
              <w:rPr>
                <w:rFonts w:hint="eastAsia" w:ascii="宋体" w:hAnsi="宋体"/>
                <w:bCs/>
              </w:rPr>
            </w:pPr>
            <w:r>
              <w:rPr>
                <w:rFonts w:hint="eastAsia" w:ascii="宋体" w:hAnsi="宋体"/>
                <w:b/>
                <w:szCs w:val="21"/>
              </w:rPr>
              <w:t>★评标基准价一经确定，除算术计算错误外，其余任何情况（包括但不限于在往后评审或复评过程中通过初步评审的投标人被取消资格而影响评标基准价计算的）一律不作调整。</w:t>
            </w:r>
          </w:p>
        </w:tc>
      </w:tr>
      <w:tr w14:paraId="5394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920" w:type="dxa"/>
            <w:gridSpan w:val="2"/>
            <w:noWrap w:val="0"/>
            <w:vAlign w:val="center"/>
          </w:tcPr>
          <w:p w14:paraId="494F91F6">
            <w:pPr>
              <w:spacing w:line="360" w:lineRule="auto"/>
              <w:jc w:val="center"/>
              <w:rPr>
                <w:rFonts w:hint="eastAsia" w:ascii="宋体" w:hAnsi="宋体"/>
                <w:szCs w:val="21"/>
              </w:rPr>
            </w:pPr>
            <w:r>
              <w:rPr>
                <w:rFonts w:hint="eastAsia" w:ascii="宋体" w:hAnsi="宋体"/>
                <w:szCs w:val="21"/>
              </w:rPr>
              <w:t>2.2.2</w:t>
            </w:r>
          </w:p>
        </w:tc>
        <w:tc>
          <w:tcPr>
            <w:tcW w:w="2042" w:type="dxa"/>
            <w:noWrap w:val="0"/>
            <w:vAlign w:val="center"/>
          </w:tcPr>
          <w:p w14:paraId="4C1652EF">
            <w:pPr>
              <w:spacing w:line="360" w:lineRule="auto"/>
              <w:rPr>
                <w:rFonts w:hint="eastAsia" w:ascii="宋体" w:hAnsi="宋体"/>
                <w:szCs w:val="21"/>
              </w:rPr>
            </w:pPr>
            <w:r>
              <w:rPr>
                <w:rFonts w:hint="eastAsia" w:ascii="宋体" w:hAnsi="宋体"/>
                <w:szCs w:val="21"/>
              </w:rPr>
              <w:t>投标报价排名</w:t>
            </w:r>
          </w:p>
        </w:tc>
        <w:tc>
          <w:tcPr>
            <w:tcW w:w="5578" w:type="dxa"/>
            <w:gridSpan w:val="2"/>
            <w:noWrap w:val="0"/>
            <w:vAlign w:val="top"/>
          </w:tcPr>
          <w:p w14:paraId="0F016425">
            <w:pPr>
              <w:spacing w:line="420" w:lineRule="exact"/>
              <w:ind w:firstLine="420" w:firstLineChars="200"/>
              <w:rPr>
                <w:rFonts w:hint="eastAsia" w:ascii="宋体" w:hAnsi="宋体"/>
                <w:szCs w:val="21"/>
              </w:rPr>
            </w:pPr>
            <w:r>
              <w:rPr>
                <w:rFonts w:hint="eastAsia" w:ascii="宋体" w:hAnsi="宋体"/>
                <w:szCs w:val="21"/>
              </w:rPr>
              <w:t>先对小于评标基准价的投标报价进行排序，以低于且最接近评标基准价的投标报价作为第一名，低于且第二接近评标基准价的投标报价作为第二名，如此类推依序确定第1至n名，然后再对大于或等于评标基准价的投标报价进行排序确定第n+1、n+2……名。</w:t>
            </w:r>
          </w:p>
        </w:tc>
      </w:tr>
      <w:tr w14:paraId="4E87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920" w:type="dxa"/>
            <w:gridSpan w:val="2"/>
            <w:noWrap w:val="0"/>
            <w:vAlign w:val="center"/>
          </w:tcPr>
          <w:p w14:paraId="0272BDED">
            <w:pPr>
              <w:spacing w:line="360" w:lineRule="auto"/>
              <w:jc w:val="center"/>
              <w:rPr>
                <w:rFonts w:hint="eastAsia" w:ascii="宋体" w:hAnsi="宋体"/>
                <w:szCs w:val="21"/>
              </w:rPr>
            </w:pPr>
            <w:r>
              <w:rPr>
                <w:rFonts w:hint="eastAsia" w:ascii="宋体" w:hAnsi="宋体"/>
                <w:szCs w:val="21"/>
              </w:rPr>
              <w:t>2.2.3</w:t>
            </w:r>
          </w:p>
        </w:tc>
        <w:tc>
          <w:tcPr>
            <w:tcW w:w="2042" w:type="dxa"/>
            <w:noWrap w:val="0"/>
            <w:vAlign w:val="center"/>
          </w:tcPr>
          <w:p w14:paraId="3C620CA9">
            <w:pPr>
              <w:spacing w:line="360" w:lineRule="auto"/>
              <w:jc w:val="center"/>
              <w:rPr>
                <w:rFonts w:hint="eastAsia" w:ascii="宋体" w:hAnsi="宋体"/>
                <w:szCs w:val="21"/>
              </w:rPr>
            </w:pPr>
            <w:r>
              <w:rPr>
                <w:rFonts w:hint="eastAsia" w:ascii="宋体" w:hAnsi="宋体"/>
                <w:szCs w:val="21"/>
              </w:rPr>
              <w:t>中标单位的确定及中标价</w:t>
            </w:r>
          </w:p>
        </w:tc>
        <w:tc>
          <w:tcPr>
            <w:tcW w:w="5578" w:type="dxa"/>
            <w:gridSpan w:val="2"/>
            <w:noWrap w:val="0"/>
            <w:vAlign w:val="top"/>
          </w:tcPr>
          <w:p w14:paraId="2C0FA7F2">
            <w:pPr>
              <w:widowControl/>
              <w:spacing w:line="360" w:lineRule="auto"/>
              <w:ind w:firstLine="420" w:firstLineChars="200"/>
              <w:rPr>
                <w:rFonts w:hint="eastAsia" w:ascii="宋体" w:hAnsi="宋体"/>
              </w:rPr>
            </w:pPr>
            <w:r>
              <w:rPr>
                <w:rFonts w:hint="eastAsia" w:ascii="宋体" w:hAnsi="宋体"/>
              </w:rPr>
              <w:t>按投标报价排名先后顺序依序</w:t>
            </w:r>
            <w:r>
              <w:rPr>
                <w:rFonts w:hint="eastAsia"/>
              </w:rPr>
              <w:t>确定第一、第二及第三中标候选人。</w:t>
            </w:r>
            <w:r>
              <w:rPr>
                <w:rFonts w:hint="eastAsia" w:ascii="宋体" w:hAnsi="宋体" w:cs="宋体"/>
                <w:szCs w:val="21"/>
                <w:lang w:val="fr-CH"/>
              </w:rPr>
              <w:t>以中标单位的报价为中标价。</w:t>
            </w:r>
          </w:p>
          <w:p w14:paraId="3C4DB89A">
            <w:pPr>
              <w:widowControl/>
              <w:spacing w:line="360" w:lineRule="auto"/>
              <w:rPr>
                <w:rFonts w:hint="eastAsia" w:ascii="宋体" w:hAnsi="宋体"/>
                <w:b/>
              </w:rPr>
            </w:pPr>
            <w:r>
              <w:rPr>
                <w:rFonts w:hint="eastAsia" w:ascii="宋体" w:hAnsi="宋体"/>
                <w:b/>
                <w:szCs w:val="21"/>
              </w:rPr>
              <w:t>（如最终所有投标人的投标报价合格者不足3家，则评标中止，由招标人重新组织招标）</w:t>
            </w:r>
          </w:p>
        </w:tc>
      </w:tr>
    </w:tbl>
    <w:p w14:paraId="13BFEB76">
      <w:pPr>
        <w:spacing w:line="360" w:lineRule="auto"/>
        <w:rPr>
          <w:rFonts w:hint="eastAsia" w:ascii="宋体" w:hAnsi="宋体"/>
          <w:szCs w:val="21"/>
          <w:lang w:val="fr-CH"/>
        </w:rPr>
      </w:pPr>
    </w:p>
    <w:p w14:paraId="15CFB2DB">
      <w:pPr>
        <w:spacing w:line="360" w:lineRule="auto"/>
        <w:rPr>
          <w:rFonts w:hint="eastAsia" w:ascii="宋体" w:hAnsi="宋体"/>
          <w:szCs w:val="21"/>
        </w:rPr>
      </w:pPr>
    </w:p>
    <w:p w14:paraId="0F8E9F48">
      <w:pPr>
        <w:spacing w:line="360" w:lineRule="auto"/>
        <w:rPr>
          <w:rFonts w:hint="eastAsia" w:ascii="宋体" w:hAnsi="宋体"/>
          <w:szCs w:val="21"/>
        </w:rPr>
        <w:sectPr>
          <w:footerReference r:id="rId6" w:type="default"/>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7C3B453">
      <w:pPr>
        <w:pStyle w:val="5"/>
        <w:spacing w:line="420" w:lineRule="exact"/>
        <w:rPr>
          <w:rFonts w:hint="eastAsia"/>
        </w:rPr>
      </w:pPr>
      <w:r>
        <w:rPr>
          <w:rFonts w:hint="eastAsia"/>
        </w:rPr>
        <w:t>1、评标方法</w:t>
      </w:r>
    </w:p>
    <w:p w14:paraId="04F8BEED">
      <w:pPr>
        <w:spacing w:line="420" w:lineRule="exact"/>
        <w:ind w:firstLine="420" w:firstLineChars="200"/>
        <w:rPr>
          <w:rFonts w:hint="eastAsia" w:ascii="宋体" w:hAnsi="宋体"/>
          <w:szCs w:val="21"/>
        </w:rPr>
      </w:pPr>
      <w:r>
        <w:rPr>
          <w:rFonts w:hint="eastAsia"/>
        </w:rPr>
        <w:t>本项目采用一次平均值法</w:t>
      </w:r>
      <w:r>
        <w:rPr>
          <w:rFonts w:hint="eastAsia" w:ascii="宋体" w:hAnsi="宋体"/>
          <w:szCs w:val="21"/>
        </w:rPr>
        <w:t>。</w:t>
      </w:r>
    </w:p>
    <w:p w14:paraId="1FCABC7A">
      <w:pPr>
        <w:spacing w:line="420" w:lineRule="exact"/>
        <w:ind w:firstLine="420" w:firstLineChars="200"/>
        <w:rPr>
          <w:rFonts w:hint="eastAsia" w:ascii="宋体" w:hAnsi="宋体"/>
          <w:szCs w:val="21"/>
        </w:rPr>
      </w:pPr>
      <w:r>
        <w:rPr>
          <w:rFonts w:hint="eastAsia"/>
        </w:rPr>
        <w:t>1.1</w:t>
      </w:r>
      <w:r>
        <w:rPr>
          <w:rFonts w:hint="eastAsia" w:ascii="宋体" w:hAnsi="宋体"/>
          <w:szCs w:val="21"/>
        </w:rPr>
        <w:t>评标委员会按照本章2.1.1款评审标准对投标人进行资格评审。</w:t>
      </w:r>
    </w:p>
    <w:p w14:paraId="2A598E82">
      <w:pPr>
        <w:spacing w:line="420" w:lineRule="exact"/>
        <w:ind w:firstLine="420" w:firstLineChars="200"/>
        <w:rPr>
          <w:rFonts w:hint="eastAsia" w:ascii="宋体" w:hAnsi="宋体"/>
          <w:szCs w:val="21"/>
        </w:rPr>
      </w:pPr>
      <w:r>
        <w:rPr>
          <w:rFonts w:hint="eastAsia" w:ascii="宋体" w:hAnsi="宋体"/>
          <w:szCs w:val="21"/>
        </w:rPr>
        <w:t>1.2对通过资格评审的投标文件根据本章2.1.2款规定的评审标准对各投标人技术标进行形式评审，对符合本章2.1.2款评审标准的投标文件，按照本章第2.1.3款规定的评审标准进行响应性评审。</w:t>
      </w:r>
    </w:p>
    <w:p w14:paraId="590782A8">
      <w:pPr>
        <w:spacing w:line="420" w:lineRule="exact"/>
        <w:ind w:firstLine="420" w:firstLineChars="200"/>
        <w:rPr>
          <w:rFonts w:hint="eastAsia" w:ascii="宋体" w:hAnsi="宋体"/>
          <w:szCs w:val="21"/>
        </w:rPr>
      </w:pPr>
      <w:r>
        <w:rPr>
          <w:rFonts w:hint="eastAsia" w:ascii="宋体" w:hAnsi="宋体"/>
          <w:szCs w:val="21"/>
        </w:rPr>
        <w:t>1.3对资格标、技术标通过评审的投标单位，评标委员会按照本章2.1.2款规定的评审标准对投标报价文件进行形式评审，对符合本章2.1.2款评审标准的投标文件，按照本章第2.1.3款规定的评审标准进行响应性评审。</w:t>
      </w:r>
      <w:r>
        <w:rPr>
          <w:rFonts w:hint="eastAsia" w:ascii="宋体" w:hAnsi="宋体"/>
          <w:szCs w:val="21"/>
          <w:lang w:eastAsia="zh-CN"/>
        </w:rPr>
        <w:t>对符合本章</w:t>
      </w:r>
      <w:r>
        <w:rPr>
          <w:rFonts w:hint="eastAsia" w:ascii="宋体" w:hAnsi="宋体"/>
          <w:szCs w:val="21"/>
          <w:lang w:val="en-US" w:eastAsia="zh-CN"/>
        </w:rPr>
        <w:t>2.1款评审标准的投标文件，</w:t>
      </w:r>
      <w:r>
        <w:rPr>
          <w:rFonts w:hint="eastAsia" w:ascii="宋体" w:hAnsi="宋体"/>
          <w:bCs/>
        </w:rPr>
        <w:t>当有效投标报价的个数小于或等于5家单位时，直接取有效投标报价的平均值作为评标基准价；当有效投标报价的个数大于5家单位时，在有效投标报价中去除一个最高价和一个最低价再取算术平均值作为评标基准价。</w:t>
      </w:r>
      <w:r>
        <w:rPr>
          <w:rFonts w:hint="eastAsia" w:ascii="宋体" w:hAnsi="宋体"/>
          <w:szCs w:val="21"/>
        </w:rPr>
        <w:t>先对小于评标基准价的投标报价进行排序，以低于且最接近评标基准价的投标报价作为第一名，低于且第二接近评标基准价的投标报价作为第二名，如此类推依序确定第1至n名，然后再对大于或等于且接近评标基准价的投标报价进行排序确定第n+1、n+2……名。</w:t>
      </w:r>
    </w:p>
    <w:p w14:paraId="047C072A">
      <w:pPr>
        <w:spacing w:line="420" w:lineRule="exact"/>
        <w:ind w:firstLine="420" w:firstLineChars="200"/>
        <w:rPr>
          <w:rFonts w:hint="eastAsia" w:ascii="宋体" w:hAnsi="宋体"/>
          <w:szCs w:val="21"/>
        </w:rPr>
      </w:pPr>
      <w:r>
        <w:rPr>
          <w:rFonts w:hint="eastAsia" w:ascii="宋体" w:hAnsi="宋体"/>
          <w:szCs w:val="21"/>
        </w:rPr>
        <w:t>1.4评标委员会按照各投标人投标报价排名的先后顺序依序确定排名第一位为第一中标候选人、排名第二位的为第二中标候选人、排名第三位的为第三中标候选人。（如最终所有有效投标报价不足3家，则评标中止，由招标人重新组织招标）。</w:t>
      </w:r>
    </w:p>
    <w:p w14:paraId="0C1361C1">
      <w:pPr>
        <w:spacing w:line="420" w:lineRule="exact"/>
        <w:ind w:firstLine="420" w:firstLineChars="200"/>
        <w:rPr>
          <w:rFonts w:hint="eastAsia" w:ascii="宋体" w:hAnsi="宋体"/>
          <w:szCs w:val="21"/>
          <w:lang w:val="fr-CH"/>
        </w:rPr>
      </w:pPr>
      <w:r>
        <w:rPr>
          <w:rFonts w:hint="eastAsia" w:ascii="宋体" w:hAnsi="宋体"/>
          <w:szCs w:val="21"/>
        </w:rPr>
        <w:t>1.5</w:t>
      </w:r>
      <w:r>
        <w:rPr>
          <w:rFonts w:hint="eastAsia" w:ascii="宋体" w:hAnsi="宋体"/>
          <w:bCs/>
          <w:szCs w:val="21"/>
        </w:rPr>
        <w:t>若第一中标</w:t>
      </w:r>
      <w:r>
        <w:rPr>
          <w:rFonts w:hint="eastAsia" w:ascii="宋体" w:hAnsi="宋体"/>
          <w:bCs/>
          <w:szCs w:val="21"/>
          <w:lang w:val="fr-CH"/>
        </w:rPr>
        <w:t>候选单位</w:t>
      </w:r>
      <w:r>
        <w:rPr>
          <w:rFonts w:hint="eastAsia" w:ascii="宋体" w:hAnsi="宋体"/>
          <w:bCs/>
          <w:szCs w:val="21"/>
        </w:rPr>
        <w:t>有两家或两家以上，即投标报价相同，则</w:t>
      </w:r>
      <w:r>
        <w:rPr>
          <w:rFonts w:hint="eastAsia" w:ascii="宋体" w:hAnsi="宋体"/>
          <w:bCs/>
          <w:spacing w:val="-10"/>
          <w:szCs w:val="21"/>
        </w:rPr>
        <w:t>由招标人抽签随机确定中标人，第二、第三中标候选人如此类推。</w:t>
      </w:r>
      <w:r>
        <w:rPr>
          <w:rFonts w:hint="eastAsia" w:ascii="宋体" w:hAnsi="宋体"/>
          <w:bCs/>
          <w:szCs w:val="21"/>
          <w:lang w:val="fr-CH"/>
        </w:rPr>
        <w:t>以中标单位的投标报价为中标价。</w:t>
      </w:r>
    </w:p>
    <w:p w14:paraId="1D4B0357">
      <w:pPr>
        <w:pStyle w:val="5"/>
        <w:spacing w:line="420" w:lineRule="exact"/>
        <w:rPr>
          <w:rFonts w:hint="eastAsia"/>
        </w:rPr>
      </w:pPr>
      <w:r>
        <w:rPr>
          <w:rFonts w:hint="eastAsia"/>
        </w:rPr>
        <w:t>2、评审标准</w:t>
      </w:r>
    </w:p>
    <w:p w14:paraId="36DA59AD">
      <w:pPr>
        <w:pStyle w:val="2"/>
        <w:spacing w:line="420" w:lineRule="exact"/>
        <w:rPr>
          <w:rFonts w:hint="eastAsia"/>
        </w:rPr>
      </w:pPr>
      <w:r>
        <w:rPr>
          <w:rFonts w:hint="eastAsia"/>
        </w:rPr>
        <w:t>2.1 初步评审标准</w:t>
      </w:r>
    </w:p>
    <w:p w14:paraId="7ED8605A">
      <w:pPr>
        <w:spacing w:line="420" w:lineRule="exact"/>
        <w:ind w:firstLine="420" w:firstLineChars="200"/>
        <w:rPr>
          <w:rFonts w:hint="eastAsia" w:ascii="宋体" w:hAnsi="宋体"/>
          <w:szCs w:val="21"/>
        </w:rPr>
      </w:pPr>
      <w:r>
        <w:rPr>
          <w:rFonts w:hint="eastAsia" w:ascii="宋体" w:hAnsi="宋体"/>
          <w:szCs w:val="21"/>
        </w:rPr>
        <w:t>2.1.1 资格评审标准：见评标办法前附表。</w:t>
      </w:r>
    </w:p>
    <w:p w14:paraId="0B4BC85F">
      <w:pPr>
        <w:spacing w:line="420" w:lineRule="exact"/>
        <w:ind w:firstLine="420" w:firstLineChars="200"/>
        <w:rPr>
          <w:rFonts w:hint="eastAsia" w:ascii="宋体" w:hAnsi="宋体"/>
          <w:szCs w:val="21"/>
        </w:rPr>
      </w:pPr>
      <w:r>
        <w:rPr>
          <w:rFonts w:hint="eastAsia" w:ascii="宋体" w:hAnsi="宋体"/>
          <w:szCs w:val="21"/>
        </w:rPr>
        <w:t>2.1.2 形式评审标准：见评标办法前附表。</w:t>
      </w:r>
    </w:p>
    <w:p w14:paraId="760CDAD4">
      <w:pPr>
        <w:spacing w:line="420" w:lineRule="exact"/>
        <w:ind w:firstLine="420" w:firstLineChars="200"/>
        <w:rPr>
          <w:rFonts w:hint="eastAsia" w:ascii="宋体" w:hAnsi="宋体"/>
          <w:szCs w:val="21"/>
        </w:rPr>
      </w:pPr>
      <w:r>
        <w:rPr>
          <w:rFonts w:hint="eastAsia" w:ascii="宋体" w:hAnsi="宋体"/>
          <w:szCs w:val="21"/>
        </w:rPr>
        <w:t>2.1.3 响应性评审标准：见评标办法前附表。</w:t>
      </w:r>
    </w:p>
    <w:p w14:paraId="660CD7FB">
      <w:pPr>
        <w:pStyle w:val="2"/>
        <w:spacing w:line="420" w:lineRule="exact"/>
        <w:rPr>
          <w:rFonts w:hint="eastAsia"/>
        </w:rPr>
      </w:pPr>
      <w:r>
        <w:rPr>
          <w:rFonts w:hint="eastAsia"/>
        </w:rPr>
        <w:t xml:space="preserve">2.2评标基准价、投标报价排名和定标方式 </w:t>
      </w:r>
    </w:p>
    <w:p w14:paraId="3D94AC8D">
      <w:pPr>
        <w:spacing w:line="420" w:lineRule="exact"/>
        <w:ind w:firstLine="420" w:firstLineChars="200"/>
        <w:rPr>
          <w:rFonts w:hint="eastAsia" w:ascii="宋体" w:hAnsi="宋体"/>
          <w:szCs w:val="21"/>
        </w:rPr>
      </w:pPr>
      <w:r>
        <w:rPr>
          <w:rFonts w:hint="eastAsia" w:ascii="宋体" w:hAnsi="宋体"/>
          <w:szCs w:val="21"/>
        </w:rPr>
        <w:t>2.2.1投标报价评标基准价计算方法</w:t>
      </w:r>
    </w:p>
    <w:p w14:paraId="47EB88E2">
      <w:pPr>
        <w:spacing w:line="420" w:lineRule="exact"/>
        <w:ind w:firstLine="420" w:firstLineChars="200"/>
        <w:rPr>
          <w:rFonts w:hint="eastAsia" w:ascii="宋体" w:hAnsi="宋体"/>
          <w:szCs w:val="21"/>
        </w:rPr>
      </w:pPr>
      <w:r>
        <w:rPr>
          <w:rFonts w:hint="eastAsia" w:ascii="宋体" w:hAnsi="宋体"/>
          <w:szCs w:val="21"/>
        </w:rPr>
        <w:t>评标基准价计算方法：见评标办法前附表。</w:t>
      </w:r>
    </w:p>
    <w:p w14:paraId="75456423">
      <w:pPr>
        <w:spacing w:line="420" w:lineRule="exact"/>
        <w:ind w:firstLine="420" w:firstLineChars="200"/>
        <w:rPr>
          <w:rFonts w:hint="eastAsia" w:ascii="宋体" w:hAnsi="宋体"/>
          <w:szCs w:val="21"/>
        </w:rPr>
      </w:pPr>
      <w:r>
        <w:rPr>
          <w:rFonts w:hint="eastAsia" w:ascii="宋体" w:hAnsi="宋体"/>
          <w:szCs w:val="21"/>
        </w:rPr>
        <w:t>2.2.2 投标报价排名</w:t>
      </w:r>
    </w:p>
    <w:p w14:paraId="0A089DE1">
      <w:pPr>
        <w:spacing w:line="420" w:lineRule="exact"/>
        <w:ind w:firstLine="420" w:firstLineChars="200"/>
        <w:rPr>
          <w:rFonts w:hint="eastAsia" w:ascii="宋体" w:hAnsi="宋体"/>
          <w:szCs w:val="21"/>
        </w:rPr>
      </w:pPr>
      <w:r>
        <w:rPr>
          <w:rFonts w:hint="eastAsia" w:ascii="宋体" w:hAnsi="宋体"/>
          <w:szCs w:val="21"/>
        </w:rPr>
        <w:t>投标报价排名方法：见评标办法前附表。</w:t>
      </w:r>
    </w:p>
    <w:p w14:paraId="27D127F5">
      <w:pPr>
        <w:spacing w:line="420" w:lineRule="exact"/>
        <w:ind w:firstLine="420" w:firstLineChars="200"/>
        <w:rPr>
          <w:rFonts w:hint="eastAsia" w:ascii="宋体" w:hAnsi="宋体"/>
          <w:szCs w:val="21"/>
        </w:rPr>
      </w:pPr>
      <w:r>
        <w:rPr>
          <w:rFonts w:hint="eastAsia" w:ascii="宋体" w:hAnsi="宋体"/>
          <w:szCs w:val="21"/>
        </w:rPr>
        <w:t>2.2.3中标单位的确定及中标价</w:t>
      </w:r>
    </w:p>
    <w:p w14:paraId="1A100197">
      <w:pPr>
        <w:spacing w:line="420" w:lineRule="exact"/>
        <w:ind w:firstLine="420" w:firstLineChars="200"/>
        <w:rPr>
          <w:rFonts w:hint="eastAsia" w:ascii="宋体" w:hAnsi="宋体"/>
          <w:szCs w:val="21"/>
        </w:rPr>
      </w:pPr>
      <w:r>
        <w:rPr>
          <w:rFonts w:hint="eastAsia" w:ascii="宋体" w:hAnsi="宋体"/>
          <w:szCs w:val="21"/>
        </w:rPr>
        <w:t>中标单位的确定及中标价：见评标办法前附表。</w:t>
      </w:r>
    </w:p>
    <w:p w14:paraId="38AA22C8">
      <w:pPr>
        <w:pStyle w:val="5"/>
        <w:spacing w:line="420" w:lineRule="exact"/>
        <w:ind w:firstLine="236" w:firstLineChars="98"/>
        <w:rPr>
          <w:rFonts w:hint="eastAsia"/>
          <w:highlight w:val="none"/>
        </w:rPr>
      </w:pPr>
      <w:r>
        <w:rPr>
          <w:rFonts w:hint="eastAsia"/>
          <w:highlight w:val="none"/>
        </w:rPr>
        <w:t>3、评标程序</w:t>
      </w:r>
    </w:p>
    <w:p w14:paraId="3B18A075">
      <w:pPr>
        <w:spacing w:line="420" w:lineRule="exact"/>
        <w:ind w:firstLine="420" w:firstLineChars="200"/>
        <w:rPr>
          <w:rFonts w:hint="eastAsia"/>
        </w:rPr>
      </w:pPr>
      <w:r>
        <w:rPr>
          <w:rFonts w:hint="eastAsia"/>
        </w:rPr>
        <w:t>评标活动将按以下五个步骤进行：</w:t>
      </w:r>
    </w:p>
    <w:p w14:paraId="10B722C7">
      <w:pPr>
        <w:spacing w:line="420" w:lineRule="exact"/>
        <w:ind w:firstLine="420" w:firstLineChars="200"/>
        <w:rPr>
          <w:rFonts w:hint="eastAsia"/>
        </w:rPr>
      </w:pPr>
      <w:r>
        <w:rPr>
          <w:rFonts w:hint="eastAsia"/>
        </w:rPr>
        <w:t>3.1评标准备；</w:t>
      </w:r>
    </w:p>
    <w:p w14:paraId="7516AAE2">
      <w:pPr>
        <w:spacing w:line="420" w:lineRule="exact"/>
        <w:ind w:firstLine="420" w:firstLineChars="200"/>
        <w:rPr>
          <w:rFonts w:hint="eastAsia"/>
        </w:rPr>
      </w:pPr>
      <w:r>
        <w:rPr>
          <w:rFonts w:hint="eastAsia"/>
        </w:rPr>
        <w:t>3.2初步评审：</w:t>
      </w:r>
    </w:p>
    <w:p w14:paraId="30CA08D9">
      <w:pPr>
        <w:spacing w:line="420" w:lineRule="exact"/>
        <w:ind w:firstLine="420" w:firstLineChars="200"/>
        <w:rPr>
          <w:rFonts w:hint="eastAsia"/>
        </w:rPr>
      </w:pPr>
      <w:r>
        <w:rPr>
          <w:rFonts w:hint="eastAsia"/>
        </w:rPr>
        <w:t>3.3详细评审；</w:t>
      </w:r>
    </w:p>
    <w:p w14:paraId="431B5922">
      <w:pPr>
        <w:spacing w:line="420" w:lineRule="exact"/>
        <w:ind w:firstLine="420" w:firstLineChars="200"/>
        <w:rPr>
          <w:rFonts w:hint="eastAsia"/>
        </w:rPr>
      </w:pPr>
      <w:r>
        <w:rPr>
          <w:rFonts w:hint="eastAsia"/>
        </w:rPr>
        <w:t>3.4澄清、说明或补正；</w:t>
      </w:r>
    </w:p>
    <w:p w14:paraId="039DBCB0">
      <w:pPr>
        <w:spacing w:line="420" w:lineRule="exact"/>
        <w:ind w:firstLine="420" w:firstLineChars="200"/>
        <w:rPr>
          <w:rFonts w:hint="eastAsia"/>
        </w:rPr>
      </w:pPr>
      <w:r>
        <w:rPr>
          <w:rFonts w:hint="eastAsia"/>
        </w:rPr>
        <w:t>3.5推荐中标候选人或者直接确定中标人及提交评标报告。</w:t>
      </w:r>
    </w:p>
    <w:p w14:paraId="17533B4C">
      <w:pPr>
        <w:spacing w:line="420" w:lineRule="exact"/>
        <w:rPr>
          <w:rFonts w:hint="eastAsia"/>
        </w:rPr>
      </w:pPr>
      <w:r>
        <w:rPr>
          <w:rFonts w:hint="eastAsia" w:ascii="宋体" w:hAnsi="宋体"/>
          <w:b/>
        </w:rPr>
        <w:t>3.1</w:t>
      </w:r>
      <w:r>
        <w:rPr>
          <w:rFonts w:hint="eastAsia"/>
        </w:rPr>
        <w:t>评标准备</w:t>
      </w:r>
    </w:p>
    <w:p w14:paraId="63FB4AF3">
      <w:pPr>
        <w:spacing w:line="420" w:lineRule="exact"/>
        <w:outlineLvl w:val="0"/>
        <w:rPr>
          <w:rFonts w:hint="eastAsia"/>
        </w:rPr>
      </w:pPr>
      <w:r>
        <w:rPr>
          <w:rFonts w:hint="eastAsia" w:ascii="宋体" w:hAnsi="宋体"/>
        </w:rPr>
        <w:t>3.1.1</w:t>
      </w:r>
      <w:r>
        <w:rPr>
          <w:rFonts w:hint="eastAsia"/>
        </w:rPr>
        <w:t>评标委员会成员签到</w:t>
      </w:r>
    </w:p>
    <w:p w14:paraId="2BB60A76">
      <w:pPr>
        <w:spacing w:line="420" w:lineRule="exact"/>
        <w:ind w:firstLine="420" w:firstLineChars="200"/>
        <w:rPr>
          <w:rFonts w:hint="eastAsia"/>
        </w:rPr>
      </w:pPr>
      <w:r>
        <w:rPr>
          <w:rFonts w:hint="eastAsia"/>
        </w:rPr>
        <w:t>评标委员会成员到达评标现场时应完成电子签到以证明其出席。</w:t>
      </w:r>
    </w:p>
    <w:p w14:paraId="7C79A6E4">
      <w:pPr>
        <w:spacing w:line="420" w:lineRule="exact"/>
        <w:outlineLvl w:val="0"/>
        <w:rPr>
          <w:rFonts w:hint="eastAsia"/>
        </w:rPr>
      </w:pPr>
      <w:r>
        <w:rPr>
          <w:rFonts w:hint="eastAsia" w:ascii="宋体" w:hAnsi="宋体"/>
        </w:rPr>
        <w:t>3.1.2</w:t>
      </w:r>
      <w:r>
        <w:rPr>
          <w:rFonts w:hint="eastAsia"/>
        </w:rPr>
        <w:t>评标委员会的分工</w:t>
      </w:r>
    </w:p>
    <w:p w14:paraId="17E0AA0F">
      <w:pPr>
        <w:spacing w:line="420" w:lineRule="exact"/>
        <w:ind w:firstLine="420" w:firstLineChars="200"/>
        <w:rPr>
          <w:rFonts w:hint="eastAsia"/>
        </w:rPr>
      </w:pPr>
      <w:r>
        <w:rPr>
          <w:rFonts w:hint="eastAsia"/>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14:paraId="72F9007F">
      <w:pPr>
        <w:spacing w:line="420" w:lineRule="exact"/>
        <w:outlineLvl w:val="0"/>
        <w:rPr>
          <w:rFonts w:hint="eastAsia"/>
        </w:rPr>
      </w:pPr>
      <w:r>
        <w:rPr>
          <w:rFonts w:hint="eastAsia" w:ascii="宋体" w:hAnsi="宋体"/>
        </w:rPr>
        <w:t>3.1.3</w:t>
      </w:r>
      <w:r>
        <w:rPr>
          <w:rFonts w:hint="eastAsia"/>
        </w:rPr>
        <w:t>熟悉文件资料</w:t>
      </w:r>
    </w:p>
    <w:p w14:paraId="3FF6ED6F">
      <w:pPr>
        <w:spacing w:line="420" w:lineRule="exact"/>
        <w:ind w:firstLine="420" w:firstLineChars="200"/>
        <w:rPr>
          <w:rFonts w:hint="eastAsia"/>
        </w:rPr>
      </w:pPr>
      <w:r>
        <w:rPr>
          <w:rFonts w:hint="eastAsia" w:ascii="宋体" w:hAnsi="宋体"/>
        </w:rPr>
        <w:t>3.1.3.1</w:t>
      </w:r>
      <w:r>
        <w:rPr>
          <w:rFonts w:hint="eastAsia"/>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5D668C0B">
      <w:pPr>
        <w:spacing w:line="420" w:lineRule="exact"/>
        <w:ind w:firstLine="420" w:firstLineChars="200"/>
        <w:rPr>
          <w:rFonts w:hint="eastAsia"/>
        </w:rPr>
      </w:pPr>
      <w:r>
        <w:rPr>
          <w:rFonts w:hint="eastAsia" w:ascii="宋体" w:hAnsi="宋体"/>
        </w:rPr>
        <w:t>3.1.3.2</w:t>
      </w:r>
      <w:r>
        <w:rPr>
          <w:rFonts w:hint="eastAsia"/>
        </w:rPr>
        <w:t>招标人或招标代理机构应向评标委员会提供评标所需的信息和数据，包括招标文件、未在开标会上当场拒绝的各投标文件、开标会记录、招标控制价、工程所在地工程造价管理部门颁布的工程造价信息、定额（如作为计价依据时）、有关的法律、法规、规章、国家标准以及招标人或评标委员会认为必要的其他信息和数据。</w:t>
      </w:r>
    </w:p>
    <w:p w14:paraId="60F264DF">
      <w:pPr>
        <w:spacing w:line="420" w:lineRule="exact"/>
        <w:outlineLvl w:val="0"/>
        <w:rPr>
          <w:rFonts w:hint="eastAsia"/>
        </w:rPr>
      </w:pPr>
      <w:r>
        <w:rPr>
          <w:rFonts w:hint="eastAsia"/>
        </w:rPr>
        <w:t>3.1.4 对投标文件进行基础性数据分析和整理工作（清标）</w:t>
      </w:r>
    </w:p>
    <w:p w14:paraId="50F026D5">
      <w:pPr>
        <w:spacing w:line="420" w:lineRule="exact"/>
        <w:ind w:firstLine="420" w:firstLineChars="200"/>
        <w:rPr>
          <w:rFonts w:hint="eastAsia"/>
        </w:rPr>
      </w:pPr>
      <w:r>
        <w:rPr>
          <w:rFonts w:hint="eastAsia" w:ascii="黑体" w:eastAsia="黑体"/>
        </w:rPr>
        <w:t>3.1.4.1</w:t>
      </w:r>
      <w:r>
        <w:rPr>
          <w:rFonts w:hint="eastAsia"/>
        </w:rPr>
        <w:t>在不改变投标人投标文件实质性内容的前提下，评标委员会应当对投标文件进行基础性数据分析和整理（本章中简称为“清标”），从而发现并提取其中可能存在的对招标范围理解的偏差、投标报价的算术性错误、等存在明显异常的问题，并就这些问题整理形成清标成果。评标委员会对清标成果审议后，决定需要投标人进行书面澄清、说明或补正的问题，形成质疑问卷，向投标人发出问题澄清通知（包括质疑问卷）。</w:t>
      </w:r>
    </w:p>
    <w:p w14:paraId="461DA908">
      <w:pPr>
        <w:spacing w:line="420" w:lineRule="exact"/>
        <w:ind w:firstLine="420" w:firstLineChars="200"/>
        <w:rPr>
          <w:rFonts w:hint="eastAsia"/>
        </w:rPr>
      </w:pPr>
      <w:r>
        <w:rPr>
          <w:rFonts w:hint="eastAsia" w:ascii="黑体" w:eastAsia="黑体"/>
        </w:rPr>
        <w:t>3.1.4.2</w:t>
      </w:r>
      <w:r>
        <w:rPr>
          <w:rFonts w:hint="eastAsia"/>
        </w:rPr>
        <w:t>在不影响评标委员会成员的法定权利的前提下，评标委员会可委托由招标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14:paraId="556B06C2">
      <w:pPr>
        <w:spacing w:line="420" w:lineRule="exact"/>
        <w:ind w:firstLine="420" w:firstLineChars="200"/>
        <w:rPr>
          <w:rFonts w:hint="eastAsia"/>
        </w:rPr>
      </w:pPr>
      <w:r>
        <w:rPr>
          <w:rFonts w:hint="eastAsia" w:ascii="黑体" w:eastAsia="黑体"/>
        </w:rPr>
        <w:t>3.1.4.3</w:t>
      </w:r>
      <w:r>
        <w:rPr>
          <w:rFonts w:hint="eastAsia"/>
        </w:rPr>
        <w:t>投标人接到评标委员会发出的问题澄清通知后，应按评标委员会的要求提供书面澄清资料并按要求进行密封，在规定的时间递交到指定地点。投标人递交的书面澄清资料由评标委员会开启。</w:t>
      </w:r>
    </w:p>
    <w:p w14:paraId="2E92A043">
      <w:pPr>
        <w:pStyle w:val="2"/>
        <w:spacing w:line="420" w:lineRule="exact"/>
        <w:rPr>
          <w:rFonts w:hint="eastAsia"/>
        </w:rPr>
      </w:pPr>
      <w:r>
        <w:rPr>
          <w:rFonts w:hint="eastAsia"/>
        </w:rPr>
        <w:t>3.2 初步评审</w:t>
      </w:r>
    </w:p>
    <w:p w14:paraId="78137B44">
      <w:pPr>
        <w:spacing w:line="420" w:lineRule="exact"/>
        <w:ind w:firstLine="420" w:firstLineChars="200"/>
        <w:rPr>
          <w:rFonts w:hint="eastAsia" w:ascii="宋体" w:hAnsi="宋体"/>
          <w:szCs w:val="21"/>
        </w:rPr>
      </w:pPr>
      <w:r>
        <w:rPr>
          <w:rFonts w:hint="eastAsia" w:ascii="宋体" w:hAnsi="宋体"/>
          <w:szCs w:val="21"/>
        </w:rPr>
        <w:t>3.2.1 评标委员会可以要求投标人提交第二章“投标人须知”第3.5.1 项至第3.5.3 项规定的有关证明和证件的原件，以便核验。评标委员会依据本章第2.1 款规定的标准对投标文件进行初步评审。有一项不符合评审标准的，作评审不合格。</w:t>
      </w:r>
    </w:p>
    <w:p w14:paraId="30D76809">
      <w:pPr>
        <w:spacing w:line="360" w:lineRule="auto"/>
        <w:ind w:firstLine="420" w:firstLineChars="200"/>
        <w:rPr>
          <w:rFonts w:hint="eastAsia" w:ascii="宋体" w:hAnsi="宋体"/>
          <w:szCs w:val="21"/>
        </w:rPr>
      </w:pPr>
      <w:r>
        <w:rPr>
          <w:rFonts w:hint="eastAsia" w:ascii="宋体" w:hAnsi="宋体"/>
          <w:szCs w:val="21"/>
        </w:rPr>
        <w:t>3.2.2先对投标单位进行资格评审，对通过资格评审的技术标进行形式评审、响应性评审。然后再对通过资格标、技术标的投标单位的投标报价文件进行形式评审、响应性评审。</w:t>
      </w:r>
    </w:p>
    <w:p w14:paraId="365D05C7">
      <w:pPr>
        <w:spacing w:line="420" w:lineRule="exact"/>
        <w:ind w:firstLine="420" w:firstLineChars="200"/>
        <w:rPr>
          <w:rFonts w:hint="eastAsia" w:ascii="宋体" w:hAnsi="宋体"/>
          <w:szCs w:val="21"/>
        </w:rPr>
      </w:pPr>
      <w:r>
        <w:rPr>
          <w:rFonts w:hint="eastAsia" w:ascii="宋体" w:hAnsi="宋体"/>
          <w:szCs w:val="21"/>
        </w:rPr>
        <w:t>3.2.3 投标人有以下情形之一的，其投标不予受理或作废标处理：</w:t>
      </w:r>
    </w:p>
    <w:p w14:paraId="6A6C9D91">
      <w:pPr>
        <w:spacing w:line="420" w:lineRule="exact"/>
        <w:ind w:firstLine="420" w:firstLineChars="200"/>
        <w:rPr>
          <w:rFonts w:hint="eastAsia" w:ascii="宋体" w:hAnsi="宋体"/>
          <w:szCs w:val="21"/>
        </w:rPr>
      </w:pPr>
      <w:r>
        <w:rPr>
          <w:rFonts w:hint="eastAsia" w:ascii="宋体" w:hAnsi="宋体"/>
          <w:szCs w:val="21"/>
        </w:rPr>
        <w:t>详见第二章“投标人须知”第10.3款。</w:t>
      </w:r>
    </w:p>
    <w:p w14:paraId="27B4C014">
      <w:pPr>
        <w:pStyle w:val="2"/>
        <w:spacing w:line="420" w:lineRule="exact"/>
        <w:rPr>
          <w:rFonts w:hint="eastAsia"/>
        </w:rPr>
      </w:pPr>
      <w:r>
        <w:rPr>
          <w:rFonts w:hint="eastAsia"/>
        </w:rPr>
        <w:t>3.3详细评审</w:t>
      </w:r>
    </w:p>
    <w:p w14:paraId="5E79E81A">
      <w:pPr>
        <w:spacing w:line="420" w:lineRule="exact"/>
        <w:ind w:firstLine="420" w:firstLineChars="200"/>
        <w:rPr>
          <w:rFonts w:hint="eastAsia" w:ascii="宋体" w:hAnsi="宋体"/>
          <w:szCs w:val="21"/>
        </w:rPr>
      </w:pPr>
      <w:r>
        <w:rPr>
          <w:rFonts w:hint="eastAsia" w:ascii="宋体" w:hAnsi="宋体"/>
          <w:szCs w:val="21"/>
        </w:rPr>
        <w:t>3.3.1</w:t>
      </w:r>
      <w:r>
        <w:rPr>
          <w:rFonts w:hint="eastAsia" w:ascii="宋体" w:hAnsi="宋体"/>
          <w:szCs w:val="21"/>
          <w:lang w:val="fr-CH"/>
        </w:rPr>
        <w:t>投标报价评审</w:t>
      </w:r>
    </w:p>
    <w:p w14:paraId="48789DF1">
      <w:pPr>
        <w:spacing w:line="420" w:lineRule="exact"/>
        <w:ind w:firstLine="420" w:firstLineChars="200"/>
        <w:rPr>
          <w:rFonts w:hint="eastAsia" w:ascii="宋体" w:hAnsi="宋体"/>
          <w:szCs w:val="21"/>
        </w:rPr>
      </w:pPr>
      <w:r>
        <w:rPr>
          <w:rFonts w:hint="eastAsia" w:ascii="宋体" w:hAnsi="宋体"/>
          <w:szCs w:val="21"/>
        </w:rPr>
        <w:t>对通过初步评审的投标单位，评标委员会按本章第2.2.1款规定的方法计算投标报价评标基准价，按本章第2.2.2款规定的排名方法对投标单位的投标报价进行排名。</w:t>
      </w:r>
    </w:p>
    <w:p w14:paraId="4D60F9B0">
      <w:pPr>
        <w:spacing w:line="420" w:lineRule="exact"/>
        <w:ind w:firstLine="420" w:firstLineChars="200"/>
        <w:rPr>
          <w:rFonts w:hint="eastAsia" w:ascii="宋体" w:hAnsi="宋体"/>
          <w:szCs w:val="21"/>
        </w:rPr>
      </w:pPr>
      <w:r>
        <w:rPr>
          <w:rFonts w:hint="eastAsia" w:ascii="宋体" w:hAnsi="宋体"/>
          <w:szCs w:val="21"/>
        </w:rPr>
        <w:t>3.3.2确定中标单位和中标价</w:t>
      </w:r>
    </w:p>
    <w:p w14:paraId="45AACF32">
      <w:pPr>
        <w:spacing w:line="420" w:lineRule="exact"/>
        <w:ind w:firstLine="420" w:firstLineChars="200"/>
        <w:rPr>
          <w:rFonts w:hint="eastAsia" w:ascii="宋体" w:hAnsi="宋体"/>
          <w:szCs w:val="21"/>
        </w:rPr>
      </w:pPr>
      <w:r>
        <w:rPr>
          <w:rFonts w:hint="eastAsia" w:ascii="宋体" w:hAnsi="宋体"/>
          <w:szCs w:val="21"/>
        </w:rPr>
        <w:t>按各投标人投标报价排名先后顺序</w:t>
      </w:r>
      <w:r>
        <w:rPr>
          <w:rFonts w:hint="eastAsia" w:ascii="宋体" w:hAnsi="宋体"/>
        </w:rPr>
        <w:t>依序确定第一、第二及第三中标候选人。若第一中标候选人有两家或以上投标人</w:t>
      </w:r>
      <w:r>
        <w:rPr>
          <w:rFonts w:hint="eastAsia" w:ascii="宋体" w:hAnsi="宋体"/>
          <w:bCs/>
          <w:szCs w:val="21"/>
        </w:rPr>
        <w:t>投标报价相同，则</w:t>
      </w:r>
      <w:r>
        <w:rPr>
          <w:rFonts w:hint="eastAsia" w:ascii="宋体" w:hAnsi="宋体"/>
          <w:bCs/>
          <w:spacing w:val="-10"/>
          <w:szCs w:val="21"/>
        </w:rPr>
        <w:t>由招标人抽签随机确定中标人，第二、第三中标候选人如此类推。</w:t>
      </w:r>
      <w:r>
        <w:rPr>
          <w:rFonts w:hint="eastAsia" w:ascii="宋体" w:hAnsi="宋体"/>
          <w:bCs/>
          <w:szCs w:val="21"/>
          <w:lang w:val="fr-CH"/>
        </w:rPr>
        <w:t>以中标单位的报价为中标价。</w:t>
      </w:r>
      <w:r>
        <w:rPr>
          <w:rFonts w:hint="eastAsia" w:ascii="宋体" w:hAnsi="宋体"/>
          <w:b/>
          <w:szCs w:val="21"/>
        </w:rPr>
        <w:t>（如最终所有投标人的有效投标报价不足3家，则评标中止，由招标人重新组织招标）。</w:t>
      </w:r>
    </w:p>
    <w:p w14:paraId="5C3878D8">
      <w:pPr>
        <w:pStyle w:val="2"/>
        <w:spacing w:line="420" w:lineRule="exact"/>
        <w:rPr>
          <w:rFonts w:hint="eastAsia"/>
        </w:rPr>
      </w:pPr>
      <w:r>
        <w:rPr>
          <w:rFonts w:hint="eastAsia"/>
        </w:rPr>
        <w:t>3.4 投标文件的澄清和补正</w:t>
      </w:r>
    </w:p>
    <w:p w14:paraId="7815C618">
      <w:pPr>
        <w:spacing w:line="420" w:lineRule="exact"/>
        <w:ind w:firstLine="420" w:firstLineChars="200"/>
        <w:rPr>
          <w:rFonts w:hint="eastAsia" w:ascii="宋体" w:hAnsi="宋体"/>
          <w:szCs w:val="21"/>
        </w:rPr>
      </w:pPr>
      <w:r>
        <w:rPr>
          <w:rFonts w:hint="eastAsia" w:ascii="宋体" w:hAnsi="宋体"/>
          <w:szCs w:val="21"/>
        </w:rPr>
        <w:t>3.4.1 在评标过程中，评标委员会可以书面形式要求投标人对所提交投标文件中不明确的内容进行书面澄清或说明，或者对细微偏差进行补正。评标委员会不接受投标人主动提出的澄清、说明或补正。</w:t>
      </w:r>
    </w:p>
    <w:p w14:paraId="6E8E64E9">
      <w:pPr>
        <w:spacing w:line="420" w:lineRule="exact"/>
        <w:ind w:firstLine="420" w:firstLineChars="200"/>
        <w:rPr>
          <w:rFonts w:hint="eastAsia" w:ascii="宋体" w:hAnsi="宋体"/>
          <w:szCs w:val="21"/>
        </w:rPr>
      </w:pPr>
      <w:r>
        <w:rPr>
          <w:rFonts w:hint="eastAsia" w:ascii="宋体" w:hAnsi="宋体"/>
          <w:szCs w:val="21"/>
        </w:rPr>
        <w:t>3.4.2 澄清、说明和补正不得改变投标文件的实质性内容（算术性错误修正的除外）。投标人的书面澄清、说明和补正属于投标文件的组成部分。</w:t>
      </w:r>
    </w:p>
    <w:p w14:paraId="6E6638AB">
      <w:pPr>
        <w:spacing w:line="420" w:lineRule="exact"/>
        <w:ind w:firstLine="420" w:firstLineChars="200"/>
        <w:rPr>
          <w:rFonts w:ascii="宋体" w:hAnsi="宋体"/>
          <w:szCs w:val="21"/>
        </w:rPr>
      </w:pPr>
      <w:r>
        <w:rPr>
          <w:rFonts w:hint="eastAsia" w:ascii="宋体" w:hAnsi="宋体"/>
          <w:szCs w:val="21"/>
        </w:rPr>
        <w:t>3.4.3 评标委员会对投标人提交的澄清、说明或补正有疑问的，可以要求投标人进一步澄清、说明或补正，直至满足评标委员会的要求。</w:t>
      </w:r>
    </w:p>
    <w:p w14:paraId="12FED973">
      <w:pPr>
        <w:pStyle w:val="2"/>
        <w:spacing w:line="420" w:lineRule="exact"/>
        <w:rPr>
          <w:rFonts w:hint="eastAsia"/>
        </w:rPr>
      </w:pPr>
      <w:r>
        <w:rPr>
          <w:rFonts w:hint="eastAsia"/>
        </w:rPr>
        <w:t>3.5 评标结果</w:t>
      </w:r>
    </w:p>
    <w:p w14:paraId="24196AF3">
      <w:pPr>
        <w:spacing w:line="420" w:lineRule="exact"/>
        <w:ind w:firstLine="420" w:firstLineChars="200"/>
        <w:rPr>
          <w:rFonts w:hint="eastAsia" w:ascii="宋体" w:hAnsi="宋体"/>
          <w:szCs w:val="21"/>
        </w:rPr>
      </w:pPr>
      <w:r>
        <w:rPr>
          <w:rFonts w:hint="eastAsia" w:ascii="宋体" w:hAnsi="宋体"/>
          <w:szCs w:val="21"/>
        </w:rPr>
        <w:t>3.5.1 除第二章“投标人须知”前附表授权直接确定中标人外，评标委员会按照评标办法推荐中标候选人。</w:t>
      </w:r>
    </w:p>
    <w:p w14:paraId="5A2B67F7">
      <w:pPr>
        <w:spacing w:line="420" w:lineRule="exact"/>
        <w:ind w:firstLine="420" w:firstLineChars="200"/>
        <w:rPr>
          <w:rFonts w:hint="eastAsia" w:ascii="宋体" w:hAnsi="宋体"/>
          <w:szCs w:val="21"/>
        </w:rPr>
      </w:pPr>
      <w:r>
        <w:rPr>
          <w:rFonts w:hint="eastAsia" w:ascii="宋体" w:hAnsi="宋体"/>
          <w:szCs w:val="21"/>
        </w:rPr>
        <w:t>3.5.2 评标委员会完成评标后，由应当向招标人提交书面评标报告。</w:t>
      </w:r>
    </w:p>
    <w:p w14:paraId="7F8E3000">
      <w:pPr>
        <w:spacing w:line="420" w:lineRule="exact"/>
        <w:outlineLvl w:val="0"/>
        <w:rPr>
          <w:rFonts w:hint="eastAsia"/>
          <w:b/>
        </w:rPr>
      </w:pPr>
      <w:r>
        <w:rPr>
          <w:rFonts w:hint="eastAsia" w:ascii="Arial" w:hAnsi="Arial"/>
          <w:b/>
          <w:bCs/>
          <w:szCs w:val="28"/>
        </w:rPr>
        <w:t>3.6</w:t>
      </w:r>
      <w:r>
        <w:rPr>
          <w:rFonts w:hint="eastAsia"/>
          <w:b/>
        </w:rPr>
        <w:t>特殊情况的处置程序</w:t>
      </w:r>
    </w:p>
    <w:p w14:paraId="0F1B385E">
      <w:pPr>
        <w:spacing w:line="420" w:lineRule="exact"/>
        <w:outlineLvl w:val="0"/>
        <w:rPr>
          <w:rFonts w:hint="eastAsia"/>
          <w:b/>
        </w:rPr>
      </w:pPr>
      <w:r>
        <w:rPr>
          <w:rFonts w:hint="eastAsia"/>
          <w:b/>
        </w:rPr>
        <w:t>3.6.1关于评标活动暂停</w:t>
      </w:r>
    </w:p>
    <w:p w14:paraId="4B272551">
      <w:pPr>
        <w:spacing w:line="420" w:lineRule="exact"/>
        <w:ind w:firstLine="420" w:firstLineChars="200"/>
        <w:rPr>
          <w:rFonts w:hint="eastAsia"/>
        </w:rPr>
      </w:pPr>
      <w:r>
        <w:rPr>
          <w:rFonts w:hint="eastAsia"/>
        </w:rPr>
        <w:t>3.6.1.1评标委员会应当执行连续评标的原则，按评标办法中规定的程序、内容、方法、标准完成全部评标工作。只有发生不可抗力导致评标工作无法继续时，评标活动方可暂停。</w:t>
      </w:r>
    </w:p>
    <w:p w14:paraId="25449C64">
      <w:pPr>
        <w:spacing w:line="420" w:lineRule="exact"/>
        <w:ind w:firstLine="420" w:firstLineChars="200"/>
        <w:rPr>
          <w:rFonts w:hint="eastAsia"/>
        </w:rPr>
      </w:pPr>
      <w:r>
        <w:rPr>
          <w:rFonts w:hint="eastAsia"/>
        </w:rPr>
        <w:t>3.6.1.2发生评标暂停情况时，评标委员会应当封存全部投标文件和评标记录，待不可抗力的影响结束且具备继续评标的条件时，由原评标委员会继续评标。</w:t>
      </w:r>
    </w:p>
    <w:p w14:paraId="6B963381">
      <w:pPr>
        <w:spacing w:line="430" w:lineRule="exact"/>
        <w:ind w:firstLine="420" w:firstLineChars="200"/>
        <w:rPr>
          <w:rFonts w:hint="eastAsia"/>
        </w:rPr>
      </w:pPr>
      <w:r>
        <w:rPr>
          <w:rFonts w:hint="eastAsia"/>
        </w:rPr>
        <w:t>3.6.1.3 有关暂停、终止或重启电子招标投标的按公共资源交易中心有关规定。</w:t>
      </w:r>
    </w:p>
    <w:p w14:paraId="15637FAF">
      <w:pPr>
        <w:spacing w:line="420" w:lineRule="exact"/>
        <w:outlineLvl w:val="0"/>
        <w:rPr>
          <w:rFonts w:hint="eastAsia"/>
          <w:b/>
        </w:rPr>
      </w:pPr>
      <w:r>
        <w:rPr>
          <w:rFonts w:hint="eastAsia"/>
          <w:b/>
        </w:rPr>
        <w:t>3.6.2关于评标中途更换评标委员会成员</w:t>
      </w:r>
    </w:p>
    <w:p w14:paraId="218DBF37">
      <w:pPr>
        <w:spacing w:line="420" w:lineRule="exact"/>
        <w:ind w:firstLine="420" w:firstLineChars="200"/>
        <w:rPr>
          <w:rFonts w:hint="eastAsia"/>
        </w:rPr>
      </w:pPr>
      <w:r>
        <w:rPr>
          <w:rFonts w:hint="eastAsia"/>
        </w:rPr>
        <w:t>3.6.2.1除非发生下列情况之一，评标委员会成员不得在评标中途更换：</w:t>
      </w:r>
    </w:p>
    <w:p w14:paraId="6A27FEA1">
      <w:pPr>
        <w:spacing w:line="420" w:lineRule="exact"/>
        <w:ind w:firstLine="420" w:firstLineChars="200"/>
        <w:rPr>
          <w:rFonts w:hint="eastAsia"/>
        </w:rPr>
      </w:pPr>
      <w:r>
        <w:rPr>
          <w:rFonts w:hint="eastAsia"/>
        </w:rPr>
        <w:t>（1）因不可抗拒的客观原因，不能到场或需在评标中途退出评标活动。</w:t>
      </w:r>
    </w:p>
    <w:p w14:paraId="2C04D38C">
      <w:pPr>
        <w:spacing w:line="420" w:lineRule="exact"/>
        <w:ind w:firstLine="420" w:firstLineChars="200"/>
        <w:rPr>
          <w:rFonts w:hint="eastAsia"/>
        </w:rPr>
      </w:pPr>
      <w:r>
        <w:rPr>
          <w:rFonts w:hint="eastAsia"/>
        </w:rPr>
        <w:t>（2）根据法律法规规定，某个或某几个评标委员会成员需要回避。</w:t>
      </w:r>
    </w:p>
    <w:p w14:paraId="6BBEA87D">
      <w:pPr>
        <w:spacing w:line="420" w:lineRule="exact"/>
        <w:ind w:firstLine="420" w:firstLineChars="200"/>
        <w:rPr>
          <w:rFonts w:hint="eastAsia"/>
        </w:rPr>
      </w:pPr>
      <w:r>
        <w:rPr>
          <w:rFonts w:hint="eastAsia"/>
        </w:rPr>
        <w:t>3.6.2.2退出评标的评标委员会成员，其已完成的评标行为无效。由招标人根据本招标文件规定的评标委员会成员产生方式另行确定替代者进行评标。</w:t>
      </w:r>
    </w:p>
    <w:p w14:paraId="56B34502">
      <w:pPr>
        <w:spacing w:line="420" w:lineRule="exact"/>
        <w:outlineLvl w:val="0"/>
        <w:rPr>
          <w:rFonts w:hint="eastAsia"/>
          <w:b/>
        </w:rPr>
      </w:pPr>
      <w:r>
        <w:rPr>
          <w:rFonts w:hint="eastAsia"/>
          <w:b/>
        </w:rPr>
        <w:t>3.6.3记名投票</w:t>
      </w:r>
    </w:p>
    <w:p w14:paraId="4C8396B9">
      <w:pPr>
        <w:spacing w:line="420" w:lineRule="exact"/>
        <w:ind w:firstLine="420" w:firstLineChars="200"/>
        <w:rPr>
          <w:rFonts w:hint="eastAsia"/>
        </w:rPr>
      </w:pPr>
      <w:r>
        <w:rPr>
          <w:rFonts w:hint="eastAsia"/>
        </w:rPr>
        <w:t>在任何评标环节中，需评标委员会就某项定性的评审结论做出表决的，由评标委员会全体成员按照少数服从多数的原则，以记名投票方式表决。</w:t>
      </w:r>
    </w:p>
    <w:p w14:paraId="047E0AC2">
      <w:pPr>
        <w:spacing w:line="360" w:lineRule="auto"/>
        <w:ind w:firstLine="420" w:firstLineChars="200"/>
        <w:rPr>
          <w:rFonts w:hint="eastAsia" w:ascii="宋体" w:hAnsi="宋体"/>
          <w:szCs w:val="21"/>
        </w:rPr>
      </w:pPr>
    </w:p>
    <w:p w14:paraId="4D61670D">
      <w:pPr>
        <w:spacing w:line="360" w:lineRule="auto"/>
        <w:ind w:firstLine="420" w:firstLineChars="200"/>
        <w:rPr>
          <w:rFonts w:hint="eastAsia" w:ascii="宋体" w:hAnsi="宋体"/>
          <w:szCs w:val="21"/>
        </w:rPr>
      </w:pPr>
    </w:p>
    <w:p w14:paraId="53A83402">
      <w:pPr>
        <w:spacing w:line="360" w:lineRule="auto"/>
        <w:rPr>
          <w:rFonts w:hint="eastAsia" w:ascii="宋体" w:hAnsi="宋体"/>
          <w:szCs w:val="21"/>
        </w:rPr>
      </w:pPr>
    </w:p>
    <w:p w14:paraId="5F7D2CFD">
      <w:pPr>
        <w:spacing w:line="360" w:lineRule="auto"/>
        <w:rPr>
          <w:rFonts w:hint="eastAsia" w:ascii="宋体" w:hAnsi="宋体"/>
          <w:szCs w:val="21"/>
        </w:rPr>
      </w:pPr>
    </w:p>
    <w:p w14:paraId="5D773EA7">
      <w:pPr>
        <w:spacing w:line="360" w:lineRule="auto"/>
        <w:rPr>
          <w:rFonts w:hint="eastAsia" w:ascii="宋体" w:hAnsi="宋体"/>
          <w:szCs w:val="21"/>
        </w:rPr>
      </w:pPr>
    </w:p>
    <w:p w14:paraId="7112BF8B">
      <w:pPr>
        <w:rPr>
          <w:rFonts w:hint="eastAsia"/>
        </w:rPr>
      </w:pPr>
    </w:p>
    <w:p w14:paraId="70262FF5">
      <w:pPr>
        <w:rPr>
          <w:rFonts w:hint="eastAsia"/>
        </w:rPr>
      </w:pPr>
    </w:p>
    <w:p w14:paraId="29D7FF6F">
      <w:pPr>
        <w:rPr>
          <w:rFonts w:hint="eastAsia"/>
        </w:rPr>
      </w:pPr>
    </w:p>
    <w:p w14:paraId="2B06294B">
      <w:pPr>
        <w:rPr>
          <w:rFonts w:hint="eastAsia"/>
        </w:rPr>
      </w:pPr>
    </w:p>
    <w:p w14:paraId="5B89BFFD">
      <w:pPr>
        <w:rPr>
          <w:rFonts w:hint="eastAsia"/>
        </w:rPr>
      </w:pPr>
    </w:p>
    <w:p w14:paraId="0AA229B2">
      <w:pPr>
        <w:rPr>
          <w:rFonts w:hint="eastAsia"/>
        </w:rPr>
      </w:pPr>
    </w:p>
    <w:p w14:paraId="11FA78DE">
      <w:pPr>
        <w:rPr>
          <w:rFonts w:hint="eastAsia"/>
        </w:rPr>
      </w:pPr>
    </w:p>
    <w:p w14:paraId="3D89F7BF">
      <w:pPr>
        <w:rPr>
          <w:rFonts w:hint="eastAsia"/>
        </w:rPr>
      </w:pPr>
    </w:p>
    <w:p w14:paraId="080458BA">
      <w:pPr>
        <w:rPr>
          <w:rFonts w:hint="eastAsia"/>
        </w:rPr>
      </w:pPr>
    </w:p>
    <w:p w14:paraId="080A2236">
      <w:pPr>
        <w:rPr>
          <w:rFonts w:hint="eastAsia"/>
        </w:rPr>
      </w:pPr>
    </w:p>
    <w:p w14:paraId="6234F635">
      <w:pPr>
        <w:rPr>
          <w:rFonts w:hint="eastAsia"/>
        </w:rPr>
      </w:pPr>
    </w:p>
    <w:p w14:paraId="7ABDA08D">
      <w:pPr>
        <w:rPr>
          <w:rFonts w:hint="eastAsia"/>
        </w:rPr>
      </w:pPr>
    </w:p>
    <w:p w14:paraId="6FEEFB0F">
      <w:pPr>
        <w:rPr>
          <w:rFonts w:hint="eastAsia"/>
        </w:rPr>
      </w:pPr>
    </w:p>
    <w:p w14:paraId="0FA64C3F">
      <w:pPr>
        <w:rPr>
          <w:rFonts w:hint="eastAsia"/>
        </w:rPr>
      </w:pPr>
    </w:p>
    <w:p w14:paraId="041C20E7">
      <w:pPr>
        <w:rPr>
          <w:rFonts w:hint="eastAsia"/>
        </w:rPr>
      </w:pPr>
    </w:p>
    <w:p w14:paraId="7D1D0464">
      <w:pPr>
        <w:rPr>
          <w:rFonts w:hint="eastAsia"/>
        </w:rPr>
      </w:pPr>
    </w:p>
    <w:p w14:paraId="2C80ED25">
      <w:pPr>
        <w:rPr>
          <w:rFonts w:hint="eastAsia"/>
        </w:rPr>
      </w:pPr>
    </w:p>
    <w:p w14:paraId="40D4FF9C">
      <w:pPr>
        <w:rPr>
          <w:rFonts w:hint="eastAsia"/>
        </w:rPr>
      </w:pPr>
    </w:p>
    <w:p w14:paraId="04372E71">
      <w:pPr>
        <w:rPr>
          <w:rFonts w:hint="eastAsia"/>
        </w:rPr>
      </w:pPr>
    </w:p>
    <w:p w14:paraId="53A98C5B">
      <w:pPr>
        <w:rPr>
          <w:rFonts w:hint="eastAsia"/>
        </w:rPr>
      </w:pPr>
    </w:p>
    <w:p w14:paraId="06139044">
      <w:pPr>
        <w:rPr>
          <w:rFonts w:hint="eastAsia"/>
        </w:rPr>
      </w:pPr>
    </w:p>
    <w:p w14:paraId="7A35E3EF">
      <w:pPr>
        <w:rPr>
          <w:rFonts w:hint="eastAsia"/>
        </w:rPr>
      </w:pPr>
    </w:p>
    <w:p w14:paraId="7818E19F">
      <w:pPr>
        <w:spacing w:line="360" w:lineRule="auto"/>
        <w:ind w:firstLine="420" w:firstLineChars="200"/>
        <w:rPr>
          <w:rFonts w:hint="eastAsia" w:ascii="宋体" w:hAnsi="宋体"/>
          <w:szCs w:val="21"/>
        </w:rPr>
      </w:pPr>
    </w:p>
    <w:bookmarkEnd w:id="18"/>
    <w:p w14:paraId="409E9BCC">
      <w:pPr>
        <w:spacing w:line="360" w:lineRule="auto"/>
        <w:rPr>
          <w:rFonts w:hint="eastAsia" w:ascii="宋体" w:hAnsi="宋体"/>
          <w:szCs w:val="21"/>
        </w:rPr>
      </w:pPr>
    </w:p>
    <w:p w14:paraId="15AC95C0">
      <w:pPr>
        <w:pStyle w:val="3"/>
        <w:jc w:val="center"/>
        <w:rPr>
          <w:rFonts w:hint="eastAsia"/>
          <w:szCs w:val="32"/>
        </w:rPr>
      </w:pPr>
      <w:bookmarkStart w:id="19" w:name="_Toc184635096"/>
      <w:r>
        <w:rPr>
          <w:rFonts w:hint="eastAsia"/>
          <w:szCs w:val="32"/>
        </w:rPr>
        <w:t>第四章 合同条款及格式</w:t>
      </w:r>
      <w:bookmarkEnd w:id="19"/>
    </w:p>
    <w:p w14:paraId="28141649">
      <w:pPr>
        <w:spacing w:line="360" w:lineRule="auto"/>
        <w:ind w:firstLine="400" w:firstLineChars="200"/>
        <w:jc w:val="center"/>
        <w:rPr>
          <w:rFonts w:hint="eastAsia" w:ascii="宋体" w:hAnsi="宋体"/>
          <w:szCs w:val="21"/>
        </w:rPr>
      </w:pPr>
      <w:r>
        <w:rPr>
          <w:rFonts w:hint="eastAsia" w:ascii="宋体" w:hAnsi="宋体" w:eastAsia="宋体" w:cs="宋体"/>
          <w:color w:val="auto"/>
          <w:kern w:val="0"/>
          <w:sz w:val="20"/>
          <w:szCs w:val="20"/>
          <w:highlight w:val="none"/>
          <w:lang w:val="en-US" w:eastAsia="zh-CN" w:bidi="ar"/>
        </w:rPr>
        <w:t>（以下合同格式仅供参考，双方在签订合同时可根据实际情况作相应修改）</w:t>
      </w:r>
    </w:p>
    <w:p w14:paraId="151D8FA3">
      <w:pPr>
        <w:rPr>
          <w:rFonts w:hint="eastAsia" w:ascii="黑体" w:eastAsia="黑体"/>
          <w:b/>
          <w:sz w:val="44"/>
          <w:szCs w:val="44"/>
        </w:rPr>
      </w:pPr>
      <w:r>
        <w:rPr>
          <w:rFonts w:hint="eastAsia" w:ascii="黑体" w:eastAsia="黑体"/>
          <w:b/>
          <w:sz w:val="44"/>
          <w:szCs w:val="44"/>
        </w:rPr>
        <w:br w:type="page"/>
      </w:r>
    </w:p>
    <w:p w14:paraId="0BEF48ED">
      <w:pPr>
        <w:widowControl/>
        <w:adjustRightInd w:val="0"/>
        <w:snapToGrid w:val="0"/>
        <w:spacing w:before="283" w:line="360" w:lineRule="auto"/>
        <w:jc w:val="center"/>
        <w:rPr>
          <w:rFonts w:ascii="黑体" w:eastAsia="黑体"/>
          <w:b/>
          <w:sz w:val="44"/>
          <w:szCs w:val="44"/>
        </w:rPr>
      </w:pPr>
      <w:r>
        <w:rPr>
          <w:rFonts w:hint="eastAsia" w:ascii="黑体" w:eastAsia="黑体"/>
          <w:b/>
          <w:sz w:val="44"/>
          <w:szCs w:val="44"/>
        </w:rPr>
        <w:t xml:space="preserve">                     </w:t>
      </w:r>
      <w:r>
        <w:rPr>
          <w:rFonts w:hint="eastAsia"/>
          <w:sz w:val="24"/>
        </w:rPr>
        <w:t xml:space="preserve"> </w:t>
      </w:r>
      <w:r>
        <w:rPr>
          <w:rFonts w:hint="eastAsia"/>
          <w:sz w:val="28"/>
          <w:szCs w:val="28"/>
        </w:rPr>
        <w:t>工程编号：</w:t>
      </w:r>
      <w:r>
        <w:rPr>
          <w:rFonts w:hint="eastAsia" w:ascii="宋体"/>
          <w:b/>
          <w:sz w:val="28"/>
          <w:szCs w:val="28"/>
          <w:u w:val="single"/>
        </w:rPr>
        <w:t xml:space="preserve">            </w:t>
      </w:r>
    </w:p>
    <w:p w14:paraId="3B95F404">
      <w:pPr>
        <w:spacing w:line="360" w:lineRule="auto"/>
        <w:jc w:val="center"/>
        <w:rPr>
          <w:rFonts w:hint="eastAsia"/>
          <w:sz w:val="28"/>
          <w:szCs w:val="28"/>
        </w:rPr>
      </w:pPr>
      <w:r>
        <w:rPr>
          <w:sz w:val="28"/>
          <w:szCs w:val="28"/>
        </w:rPr>
        <w:t xml:space="preserve">                                 </w:t>
      </w:r>
      <w:r>
        <w:rPr>
          <w:rFonts w:hint="eastAsia"/>
          <w:sz w:val="28"/>
          <w:szCs w:val="28"/>
        </w:rPr>
        <w:t>合同编号：</w:t>
      </w:r>
      <w:r>
        <w:rPr>
          <w:rFonts w:hint="eastAsia" w:ascii="宋体"/>
          <w:b/>
          <w:sz w:val="28"/>
          <w:szCs w:val="28"/>
          <w:u w:val="single"/>
        </w:rPr>
        <w:t xml:space="preserve">            </w:t>
      </w:r>
    </w:p>
    <w:p w14:paraId="3A29CDBB">
      <w:pPr>
        <w:spacing w:line="440" w:lineRule="exact"/>
        <w:jc w:val="center"/>
        <w:rPr>
          <w:sz w:val="30"/>
          <w:szCs w:val="30"/>
        </w:rPr>
      </w:pPr>
    </w:p>
    <w:p w14:paraId="40A729F4">
      <w:pPr>
        <w:jc w:val="center"/>
        <w:rPr>
          <w:b/>
          <w:bCs/>
          <w:sz w:val="36"/>
          <w:szCs w:val="36"/>
        </w:rPr>
      </w:pPr>
    </w:p>
    <w:p w14:paraId="74D2E9BD">
      <w:pPr>
        <w:rPr>
          <w:rFonts w:ascii="宋体" w:hAnsi="宋体"/>
          <w:b/>
          <w:bCs/>
          <w:sz w:val="44"/>
          <w:szCs w:val="44"/>
        </w:rPr>
      </w:pPr>
    </w:p>
    <w:p w14:paraId="3835D939">
      <w:pPr>
        <w:spacing w:line="360" w:lineRule="auto"/>
        <w:jc w:val="center"/>
        <w:rPr>
          <w:rFonts w:hint="eastAsia" w:ascii="宋体" w:hAnsi="宋体"/>
          <w:bCs/>
          <w:sz w:val="44"/>
          <w:szCs w:val="44"/>
        </w:rPr>
      </w:pPr>
      <w:r>
        <w:rPr>
          <w:rFonts w:hint="eastAsia" w:ascii="宋体" w:hAnsi="宋体"/>
          <w:bCs/>
          <w:sz w:val="44"/>
          <w:szCs w:val="44"/>
          <w:u w:val="single"/>
        </w:rPr>
        <w:t xml:space="preserve">                </w:t>
      </w:r>
      <w:r>
        <w:rPr>
          <w:rFonts w:hint="eastAsia" w:ascii="宋体" w:hAnsi="宋体"/>
          <w:bCs/>
          <w:sz w:val="44"/>
          <w:szCs w:val="44"/>
        </w:rPr>
        <w:t>工程</w:t>
      </w:r>
    </w:p>
    <w:p w14:paraId="3D663C9B">
      <w:pPr>
        <w:jc w:val="center"/>
        <w:rPr>
          <w:rFonts w:hint="eastAsia" w:ascii="宋体" w:hAnsi="宋体"/>
          <w:bCs/>
          <w:sz w:val="72"/>
          <w:szCs w:val="72"/>
        </w:rPr>
      </w:pPr>
      <w:r>
        <w:rPr>
          <w:rFonts w:hint="eastAsia" w:ascii="宋体" w:hAnsi="宋体"/>
          <w:bCs/>
          <w:sz w:val="72"/>
          <w:szCs w:val="72"/>
        </w:rPr>
        <w:t>施</w:t>
      </w:r>
      <w:r>
        <w:rPr>
          <w:rFonts w:ascii="宋体" w:hAnsi="宋体"/>
          <w:bCs/>
          <w:sz w:val="72"/>
          <w:szCs w:val="72"/>
        </w:rPr>
        <w:t xml:space="preserve"> </w:t>
      </w:r>
      <w:r>
        <w:rPr>
          <w:rFonts w:hint="eastAsia" w:ascii="宋体" w:hAnsi="宋体"/>
          <w:bCs/>
          <w:sz w:val="72"/>
          <w:szCs w:val="72"/>
        </w:rPr>
        <w:t>工</w:t>
      </w:r>
      <w:r>
        <w:rPr>
          <w:rFonts w:ascii="宋体" w:hAnsi="宋体"/>
          <w:bCs/>
          <w:sz w:val="72"/>
          <w:szCs w:val="72"/>
        </w:rPr>
        <w:t xml:space="preserve"> </w:t>
      </w:r>
      <w:r>
        <w:rPr>
          <w:rFonts w:hint="eastAsia" w:ascii="宋体" w:hAnsi="宋体"/>
          <w:bCs/>
          <w:sz w:val="72"/>
          <w:szCs w:val="72"/>
        </w:rPr>
        <w:t>承</w:t>
      </w:r>
      <w:r>
        <w:rPr>
          <w:rFonts w:ascii="宋体" w:hAnsi="宋体"/>
          <w:bCs/>
          <w:sz w:val="72"/>
          <w:szCs w:val="72"/>
        </w:rPr>
        <w:t xml:space="preserve"> </w:t>
      </w:r>
      <w:r>
        <w:rPr>
          <w:rFonts w:hint="eastAsia" w:ascii="宋体" w:hAnsi="宋体"/>
          <w:bCs/>
          <w:sz w:val="72"/>
          <w:szCs w:val="72"/>
        </w:rPr>
        <w:t>包</w:t>
      </w:r>
      <w:r>
        <w:rPr>
          <w:rFonts w:ascii="宋体" w:hAnsi="宋体"/>
          <w:bCs/>
          <w:sz w:val="72"/>
          <w:szCs w:val="72"/>
        </w:rPr>
        <w:t xml:space="preserve"> </w:t>
      </w:r>
      <w:r>
        <w:rPr>
          <w:rFonts w:hint="eastAsia" w:ascii="宋体" w:hAnsi="宋体"/>
          <w:bCs/>
          <w:sz w:val="72"/>
          <w:szCs w:val="72"/>
        </w:rPr>
        <w:t>合</w:t>
      </w:r>
      <w:r>
        <w:rPr>
          <w:rFonts w:ascii="宋体" w:hAnsi="宋体"/>
          <w:bCs/>
          <w:sz w:val="72"/>
          <w:szCs w:val="72"/>
        </w:rPr>
        <w:t xml:space="preserve"> </w:t>
      </w:r>
      <w:r>
        <w:rPr>
          <w:rFonts w:hint="eastAsia" w:ascii="宋体" w:hAnsi="宋体"/>
          <w:bCs/>
          <w:sz w:val="72"/>
          <w:szCs w:val="72"/>
        </w:rPr>
        <w:t>同</w:t>
      </w:r>
    </w:p>
    <w:p w14:paraId="01F31AA8">
      <w:pPr>
        <w:jc w:val="center"/>
        <w:rPr>
          <w:rFonts w:hint="eastAsia" w:ascii="宋体" w:hAnsi="宋体"/>
          <w:bCs/>
          <w:sz w:val="72"/>
          <w:szCs w:val="72"/>
        </w:rPr>
      </w:pPr>
    </w:p>
    <w:p w14:paraId="43EFCBA3">
      <w:pPr>
        <w:jc w:val="center"/>
        <w:rPr>
          <w:rFonts w:hint="eastAsia" w:ascii="宋体" w:hAnsi="宋体"/>
          <w:bCs/>
          <w:sz w:val="72"/>
          <w:szCs w:val="72"/>
        </w:rPr>
      </w:pPr>
    </w:p>
    <w:p w14:paraId="00D8DA18">
      <w:pPr>
        <w:jc w:val="center"/>
        <w:rPr>
          <w:rFonts w:hint="eastAsia" w:ascii="宋体" w:hAnsi="宋体"/>
          <w:bCs/>
          <w:sz w:val="72"/>
          <w:szCs w:val="72"/>
        </w:rPr>
      </w:pPr>
    </w:p>
    <w:p w14:paraId="3E9B4A99">
      <w:pPr>
        <w:tabs>
          <w:tab w:val="left" w:pos="1620"/>
        </w:tabs>
        <w:spacing w:line="480" w:lineRule="auto"/>
        <w:ind w:firstLine="450" w:firstLineChars="150"/>
        <w:rPr>
          <w:rFonts w:ascii="宋体" w:hAnsi="宋体"/>
          <w:sz w:val="30"/>
          <w:szCs w:val="30"/>
        </w:rPr>
      </w:pPr>
      <w:r>
        <w:rPr>
          <w:rFonts w:hint="eastAsia" w:ascii="宋体" w:hAnsi="宋体"/>
          <w:sz w:val="30"/>
        </w:rPr>
        <w:t>工程名称：</w:t>
      </w:r>
      <w:r>
        <w:rPr>
          <w:rFonts w:hint="eastAsia" w:ascii="宋体" w:hAnsi="宋体"/>
          <w:sz w:val="30"/>
          <w:u w:val="single"/>
        </w:rPr>
        <w:t xml:space="preserve">                       </w:t>
      </w:r>
    </w:p>
    <w:p w14:paraId="4EE05E46">
      <w:pPr>
        <w:tabs>
          <w:tab w:val="left" w:pos="1800"/>
        </w:tabs>
        <w:spacing w:line="480" w:lineRule="auto"/>
        <w:ind w:firstLine="450" w:firstLineChars="150"/>
        <w:rPr>
          <w:rFonts w:hint="eastAsia" w:ascii="宋体" w:hAnsi="宋体"/>
          <w:sz w:val="30"/>
          <w:u w:val="single"/>
        </w:rPr>
      </w:pPr>
      <w:r>
        <w:rPr>
          <w:rFonts w:hint="eastAsia" w:ascii="宋体" w:hAnsi="宋体"/>
          <w:sz w:val="30"/>
        </w:rPr>
        <w:t>发</w:t>
      </w:r>
      <w:r>
        <w:rPr>
          <w:rFonts w:ascii="宋体" w:hAnsi="宋体"/>
          <w:sz w:val="30"/>
        </w:rPr>
        <w:t xml:space="preserve"> </w:t>
      </w:r>
      <w:r>
        <w:rPr>
          <w:rFonts w:hint="eastAsia" w:ascii="宋体" w:hAnsi="宋体"/>
          <w:sz w:val="30"/>
        </w:rPr>
        <w:t>包</w:t>
      </w:r>
      <w:r>
        <w:rPr>
          <w:rFonts w:ascii="宋体" w:hAnsi="宋体"/>
          <w:sz w:val="30"/>
        </w:rPr>
        <w:t xml:space="preserve"> </w:t>
      </w:r>
      <w:r>
        <w:rPr>
          <w:rFonts w:hint="eastAsia" w:ascii="宋体" w:hAnsi="宋体"/>
          <w:sz w:val="30"/>
        </w:rPr>
        <w:t>人：</w:t>
      </w:r>
      <w:r>
        <w:rPr>
          <w:rFonts w:hint="eastAsia" w:ascii="宋体" w:hAnsi="宋体"/>
          <w:sz w:val="30"/>
          <w:u w:val="single"/>
        </w:rPr>
        <w:t xml:space="preserve">                       </w:t>
      </w:r>
    </w:p>
    <w:p w14:paraId="23295272">
      <w:pPr>
        <w:tabs>
          <w:tab w:val="left" w:pos="1620"/>
        </w:tabs>
        <w:spacing w:line="480" w:lineRule="auto"/>
        <w:ind w:firstLine="450" w:firstLineChars="150"/>
        <w:rPr>
          <w:rFonts w:hint="eastAsia" w:ascii="宋体" w:hAnsi="宋体"/>
          <w:sz w:val="30"/>
        </w:rPr>
      </w:pPr>
      <w:r>
        <w:rPr>
          <w:rFonts w:hint="eastAsia" w:ascii="宋体" w:hAnsi="宋体"/>
          <w:sz w:val="30"/>
        </w:rPr>
        <w:t>承</w:t>
      </w:r>
      <w:r>
        <w:rPr>
          <w:rFonts w:ascii="宋体" w:hAnsi="宋体"/>
          <w:sz w:val="30"/>
        </w:rPr>
        <w:t xml:space="preserve"> </w:t>
      </w:r>
      <w:r>
        <w:rPr>
          <w:rFonts w:hint="eastAsia" w:ascii="宋体" w:hAnsi="宋体"/>
          <w:sz w:val="30"/>
        </w:rPr>
        <w:t>包</w:t>
      </w:r>
      <w:r>
        <w:rPr>
          <w:rFonts w:ascii="宋体" w:hAnsi="宋体"/>
          <w:sz w:val="30"/>
        </w:rPr>
        <w:t xml:space="preserve"> </w:t>
      </w:r>
      <w:r>
        <w:rPr>
          <w:rFonts w:hint="eastAsia" w:ascii="宋体" w:hAnsi="宋体"/>
          <w:sz w:val="30"/>
        </w:rPr>
        <w:t>人：</w:t>
      </w:r>
      <w:r>
        <w:rPr>
          <w:rFonts w:ascii="宋体" w:hAnsi="宋体"/>
          <w:sz w:val="30"/>
        </w:rPr>
        <w:t>_______________________</w:t>
      </w:r>
    </w:p>
    <w:p w14:paraId="26249BF4">
      <w:pPr>
        <w:tabs>
          <w:tab w:val="left" w:pos="1620"/>
        </w:tabs>
        <w:spacing w:line="480" w:lineRule="auto"/>
        <w:ind w:firstLine="450" w:firstLineChars="150"/>
        <w:rPr>
          <w:rFonts w:ascii="宋体" w:hAnsi="宋体"/>
          <w:sz w:val="30"/>
        </w:rPr>
      </w:pPr>
      <w:r>
        <w:rPr>
          <w:rFonts w:hint="eastAsia" w:ascii="宋体" w:hAnsi="宋体"/>
          <w:sz w:val="30"/>
        </w:rPr>
        <w:t>签订时间：</w:t>
      </w:r>
      <w:r>
        <w:rPr>
          <w:rFonts w:ascii="宋体" w:hAnsi="宋体"/>
          <w:sz w:val="30"/>
        </w:rPr>
        <w:t>_________</w:t>
      </w:r>
      <w:r>
        <w:rPr>
          <w:rFonts w:hint="eastAsia" w:ascii="宋体" w:hAnsi="宋体"/>
          <w:sz w:val="30"/>
        </w:rPr>
        <w:t>年</w:t>
      </w:r>
      <w:r>
        <w:rPr>
          <w:rFonts w:ascii="宋体" w:hAnsi="宋体"/>
          <w:sz w:val="30"/>
        </w:rPr>
        <w:t>______</w:t>
      </w:r>
      <w:r>
        <w:rPr>
          <w:rFonts w:hint="eastAsia" w:ascii="宋体" w:hAnsi="宋体"/>
          <w:sz w:val="30"/>
        </w:rPr>
        <w:t>月</w:t>
      </w:r>
      <w:r>
        <w:rPr>
          <w:rFonts w:ascii="宋体" w:hAnsi="宋体"/>
          <w:sz w:val="30"/>
        </w:rPr>
        <w:t>_______</w:t>
      </w:r>
      <w:r>
        <w:rPr>
          <w:rFonts w:hint="eastAsia" w:ascii="宋体" w:hAnsi="宋体"/>
          <w:sz w:val="30"/>
        </w:rPr>
        <w:t>日</w:t>
      </w:r>
    </w:p>
    <w:p w14:paraId="5CD15D4D">
      <w:pPr>
        <w:autoSpaceDE w:val="0"/>
        <w:autoSpaceDN w:val="0"/>
        <w:adjustRightInd w:val="0"/>
        <w:spacing w:before="240" w:beforeLines="100" w:line="360" w:lineRule="auto"/>
        <w:jc w:val="center"/>
        <w:outlineLvl w:val="1"/>
        <w:rPr>
          <w:rFonts w:hint="eastAsia" w:ascii="宋体" w:hAnsi="宋体" w:eastAsia="宋体" w:cs="XBSJ-PK7482000003a-Identity-H"/>
          <w:kern w:val="0"/>
          <w:sz w:val="34"/>
          <w:szCs w:val="34"/>
          <w:lang w:val="en-US" w:eastAsia="zh-CN"/>
        </w:rPr>
      </w:pPr>
      <w:r>
        <w:rPr>
          <w:rFonts w:ascii="宋体" w:hAnsi="宋体"/>
        </w:rPr>
        <w:br w:type="page"/>
      </w:r>
      <w:bookmarkStart w:id="20" w:name="_Toc123884866"/>
      <w:r>
        <w:rPr>
          <w:rFonts w:hint="eastAsia" w:ascii="宋体" w:hAnsi="宋体" w:cs="XBSJ-PK7482000003a-Identity-H"/>
          <w:kern w:val="0"/>
          <w:sz w:val="34"/>
          <w:szCs w:val="34"/>
        </w:rPr>
        <w:t>第一节</w:t>
      </w:r>
      <w:r>
        <w:rPr>
          <w:rFonts w:ascii="宋体" w:hAnsi="宋体"/>
        </w:rPr>
        <w:t xml:space="preserve">   </w:t>
      </w:r>
      <w:r>
        <w:rPr>
          <w:rFonts w:hint="eastAsia" w:ascii="宋体" w:hAnsi="宋体" w:cs="XBSJ-PK7482000003a-Identity-H"/>
          <w:kern w:val="0"/>
          <w:sz w:val="34"/>
          <w:szCs w:val="34"/>
        </w:rPr>
        <w:t>合同协议书</w:t>
      </w:r>
      <w:bookmarkEnd w:id="20"/>
    </w:p>
    <w:p w14:paraId="42E27EDF">
      <w:pPr>
        <w:autoSpaceDE w:val="0"/>
        <w:autoSpaceDN w:val="0"/>
        <w:adjustRightInd w:val="0"/>
        <w:spacing w:line="400" w:lineRule="exact"/>
        <w:ind w:firstLine="720" w:firstLineChars="300"/>
        <w:jc w:val="left"/>
        <w:rPr>
          <w:rFonts w:hint="eastAsia" w:ascii="宋体" w:hAnsi="宋体"/>
          <w:kern w:val="0"/>
          <w:sz w:val="24"/>
        </w:rPr>
      </w:pPr>
      <w:r>
        <w:rPr>
          <w:rFonts w:hint="eastAsia" w:ascii="宋体" w:hAnsi="宋体"/>
          <w:kern w:val="0"/>
          <w:sz w:val="24"/>
          <w:u w:val="single"/>
        </w:rPr>
        <w:t xml:space="preserve">                    </w:t>
      </w:r>
      <w:r>
        <w:rPr>
          <w:rFonts w:hint="eastAsia" w:ascii="宋体" w:hAnsi="宋体"/>
          <w:kern w:val="0"/>
          <w:sz w:val="24"/>
        </w:rPr>
        <w:t>（以下简称</w:t>
      </w:r>
      <w:r>
        <w:rPr>
          <w:rFonts w:ascii="宋体" w:hAnsi="宋体"/>
          <w:kern w:val="0"/>
          <w:sz w:val="24"/>
        </w:rPr>
        <w:t>“</w:t>
      </w:r>
      <w:r>
        <w:rPr>
          <w:rFonts w:hint="eastAsia" w:ascii="宋体" w:hAnsi="宋体"/>
          <w:kern w:val="0"/>
          <w:sz w:val="24"/>
        </w:rPr>
        <w:t>发包人</w:t>
      </w:r>
      <w:r>
        <w:rPr>
          <w:rFonts w:ascii="宋体" w:hAnsi="宋体"/>
          <w:kern w:val="0"/>
          <w:sz w:val="24"/>
        </w:rPr>
        <w:t>”</w:t>
      </w:r>
      <w:r>
        <w:rPr>
          <w:rFonts w:hint="eastAsia" w:ascii="宋体" w:hAnsi="宋体"/>
          <w:kern w:val="0"/>
          <w:sz w:val="24"/>
        </w:rPr>
        <w:t>）</w:t>
      </w:r>
      <w:r>
        <w:rPr>
          <w:rFonts w:ascii="宋体" w:hAnsi="宋体"/>
          <w:kern w:val="0"/>
          <w:sz w:val="24"/>
        </w:rPr>
        <w:t xml:space="preserve"> </w:t>
      </w:r>
      <w:r>
        <w:rPr>
          <w:rFonts w:hint="eastAsia" w:ascii="宋体" w:hAnsi="宋体"/>
          <w:kern w:val="0"/>
          <w:sz w:val="24"/>
        </w:rPr>
        <w:t>为实施</w:t>
      </w:r>
      <w:r>
        <w:rPr>
          <w:rFonts w:hint="eastAsia" w:ascii="宋体" w:hAnsi="宋体"/>
          <w:kern w:val="0"/>
          <w:sz w:val="24"/>
          <w:u w:val="single"/>
        </w:rPr>
        <w:t xml:space="preserve">                 </w:t>
      </w:r>
      <w:r>
        <w:rPr>
          <w:rFonts w:hint="eastAsia" w:ascii="宋体" w:hAnsi="宋体"/>
          <w:kern w:val="0"/>
          <w:sz w:val="24"/>
        </w:rPr>
        <w:t>（项目名称），</w:t>
      </w:r>
      <w:r>
        <w:rPr>
          <w:rFonts w:ascii="宋体" w:hAnsi="宋体"/>
          <w:kern w:val="0"/>
          <w:sz w:val="24"/>
          <w:u w:val="single"/>
        </w:rPr>
        <w:t xml:space="preserve">                    </w:t>
      </w:r>
      <w:r>
        <w:rPr>
          <w:rFonts w:hint="eastAsia" w:ascii="宋体" w:hAnsi="宋体"/>
          <w:kern w:val="0"/>
          <w:sz w:val="24"/>
        </w:rPr>
        <w:t>已接受（以下简称</w:t>
      </w:r>
      <w:r>
        <w:rPr>
          <w:rFonts w:ascii="宋体" w:hAnsi="宋体"/>
          <w:kern w:val="0"/>
          <w:sz w:val="24"/>
        </w:rPr>
        <w:t>“</w:t>
      </w:r>
      <w:r>
        <w:rPr>
          <w:rFonts w:hint="eastAsia" w:ascii="宋体" w:hAnsi="宋体"/>
          <w:kern w:val="0"/>
          <w:sz w:val="24"/>
        </w:rPr>
        <w:t>承包人</w:t>
      </w:r>
      <w:r>
        <w:rPr>
          <w:rFonts w:ascii="宋体" w:hAnsi="宋体"/>
          <w:kern w:val="0"/>
          <w:sz w:val="24"/>
        </w:rPr>
        <w:t>”</w:t>
      </w:r>
      <w:r>
        <w:rPr>
          <w:rFonts w:hint="eastAsia" w:ascii="宋体" w:hAnsi="宋体"/>
          <w:kern w:val="0"/>
          <w:sz w:val="24"/>
        </w:rPr>
        <w:t>）</w:t>
      </w:r>
      <w:r>
        <w:rPr>
          <w:rFonts w:ascii="宋体" w:hAnsi="宋体"/>
          <w:kern w:val="0"/>
          <w:sz w:val="24"/>
        </w:rPr>
        <w:t xml:space="preserve"> </w:t>
      </w:r>
      <w:r>
        <w:rPr>
          <w:rFonts w:hint="eastAsia" w:ascii="宋体" w:hAnsi="宋体"/>
          <w:kern w:val="0"/>
          <w:sz w:val="24"/>
        </w:rPr>
        <w:t>对</w:t>
      </w:r>
      <w:r>
        <w:rPr>
          <w:rFonts w:hint="eastAsia" w:ascii="宋体" w:hAnsi="宋体"/>
          <w:kern w:val="0"/>
          <w:sz w:val="24"/>
          <w:u w:val="single"/>
        </w:rPr>
        <w:t xml:space="preserve">              </w:t>
      </w:r>
      <w:r>
        <w:rPr>
          <w:rFonts w:hint="eastAsia" w:ascii="宋体" w:hAnsi="宋体"/>
          <w:kern w:val="0"/>
          <w:sz w:val="24"/>
        </w:rPr>
        <w:t>（项目名称）的投标，并确定其为中标人。</w:t>
      </w:r>
    </w:p>
    <w:p w14:paraId="63D2289B">
      <w:pPr>
        <w:autoSpaceDE w:val="0"/>
        <w:autoSpaceDN w:val="0"/>
        <w:adjustRightInd w:val="0"/>
        <w:spacing w:line="400" w:lineRule="exact"/>
        <w:ind w:firstLine="480" w:firstLineChars="200"/>
        <w:jc w:val="left"/>
        <w:rPr>
          <w:rFonts w:hint="eastAsia" w:ascii="宋体" w:hAnsi="宋体"/>
          <w:kern w:val="0"/>
          <w:sz w:val="24"/>
        </w:rPr>
      </w:pPr>
      <w:r>
        <w:rPr>
          <w:rFonts w:ascii="宋体" w:hAnsi="宋体"/>
          <w:kern w:val="0"/>
          <w:sz w:val="24"/>
        </w:rPr>
        <w:t>根据</w:t>
      </w:r>
      <w:r>
        <w:rPr>
          <w:rFonts w:hint="eastAsia" w:ascii="宋体" w:hAnsi="宋体"/>
          <w:kern w:val="0"/>
          <w:sz w:val="24"/>
          <w:lang w:eastAsia="zh-CN"/>
        </w:rPr>
        <w:t>《中华人民共和国招标投标法》、</w:t>
      </w:r>
      <w:r>
        <w:rPr>
          <w:rFonts w:ascii="宋体" w:hAnsi="宋体"/>
          <w:kern w:val="0"/>
          <w:sz w:val="24"/>
        </w:rPr>
        <w:t>《中华人民共和国</w:t>
      </w:r>
      <w:r>
        <w:rPr>
          <w:rFonts w:hint="eastAsia" w:ascii="宋体" w:hAnsi="宋体"/>
          <w:kern w:val="0"/>
          <w:sz w:val="24"/>
        </w:rPr>
        <w:t>民法典</w:t>
      </w:r>
      <w:r>
        <w:rPr>
          <w:rFonts w:hint="eastAsia" w:ascii="宋体" w:hAnsi="宋体"/>
          <w:kern w:val="0"/>
          <w:sz w:val="24"/>
          <w:lang w:eastAsia="zh-CN"/>
        </w:rPr>
        <w:t>（合同编）</w:t>
      </w:r>
      <w:r>
        <w:rPr>
          <w:rFonts w:ascii="宋体" w:hAnsi="宋体"/>
          <w:kern w:val="0"/>
          <w:sz w:val="24"/>
        </w:rPr>
        <w:t>》有关规定，遵循平等、自愿、公平和诚实信用的原则，双方就</w:t>
      </w:r>
      <w:r>
        <w:rPr>
          <w:rFonts w:ascii="宋体" w:hAnsi="宋体"/>
          <w:kern w:val="0"/>
          <w:sz w:val="24"/>
          <w:u w:val="single"/>
        </w:rPr>
        <w:t xml:space="preserve">                       </w:t>
      </w:r>
      <w:r>
        <w:rPr>
          <w:rFonts w:ascii="宋体" w:hAnsi="宋体"/>
          <w:kern w:val="0"/>
          <w:sz w:val="24"/>
        </w:rPr>
        <w:t>工程施工及有关事项协商一致</w:t>
      </w:r>
      <w:r>
        <w:rPr>
          <w:rFonts w:hint="eastAsia" w:ascii="宋体" w:hAnsi="宋体"/>
          <w:kern w:val="0"/>
          <w:sz w:val="24"/>
        </w:rPr>
        <w:t>，</w:t>
      </w:r>
      <w:r>
        <w:rPr>
          <w:rFonts w:ascii="宋体" w:hAnsi="宋体"/>
          <w:kern w:val="0"/>
          <w:sz w:val="24"/>
        </w:rPr>
        <w:t>共同达成如下协议：</w:t>
      </w:r>
    </w:p>
    <w:p w14:paraId="348BAE09">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ascii="宋体" w:hAnsi="宋体"/>
          <w:sz w:val="24"/>
        </w:rPr>
      </w:pPr>
      <w:r>
        <w:rPr>
          <w:rFonts w:ascii="宋体" w:hAnsi="宋体"/>
          <w:sz w:val="24"/>
        </w:rPr>
        <w:t>1</w:t>
      </w:r>
      <w:r>
        <w:rPr>
          <w:rFonts w:hint="eastAsia" w:ascii="宋体" w:hAnsi="宋体"/>
          <w:sz w:val="24"/>
        </w:rPr>
        <w:t>．本协议书与下列文件一起构成合同文件：</w:t>
      </w:r>
    </w:p>
    <w:p w14:paraId="3228E26B">
      <w:pPr>
        <w:widowControl/>
        <w:adjustRightInd w:val="0"/>
        <w:snapToGrid w:val="0"/>
        <w:spacing w:line="400" w:lineRule="exact"/>
        <w:ind w:firstLine="360" w:firstLineChars="1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）履行合同的相关补充协议（含会议纪要、工程变更、签证等修正文件）；</w:t>
      </w:r>
    </w:p>
    <w:p w14:paraId="724CFC98">
      <w:pPr>
        <w:widowControl/>
        <w:adjustRightInd w:val="0"/>
        <w:snapToGrid w:val="0"/>
        <w:spacing w:line="400" w:lineRule="exact"/>
        <w:ind w:firstLine="360" w:firstLineChars="150"/>
        <w:rPr>
          <w:rFonts w:ascii="宋体" w:hAnsi="宋体"/>
          <w:sz w:val="24"/>
        </w:rPr>
      </w:pPr>
      <w:r>
        <w:rPr>
          <w:rFonts w:hint="eastAsia" w:ascii="宋体" w:hAnsi="宋体"/>
          <w:sz w:val="24"/>
        </w:rPr>
        <w:t>（2）中标通知书；</w:t>
      </w:r>
    </w:p>
    <w:p w14:paraId="5BD56563">
      <w:pPr>
        <w:widowControl/>
        <w:adjustRightInd w:val="0"/>
        <w:snapToGrid w:val="0"/>
        <w:spacing w:line="400" w:lineRule="exact"/>
        <w:ind w:firstLine="360" w:firstLineChars="150"/>
        <w:rPr>
          <w:rFonts w:ascii="宋体" w:hAnsi="宋体"/>
          <w:sz w:val="24"/>
        </w:rPr>
      </w:pPr>
      <w:r>
        <w:rPr>
          <w:rFonts w:hint="eastAsia" w:ascii="宋体" w:hAnsi="宋体"/>
          <w:sz w:val="24"/>
        </w:rPr>
        <w:t>（3）专用合同条款；</w:t>
      </w:r>
    </w:p>
    <w:p w14:paraId="64FFB1B5">
      <w:pPr>
        <w:widowControl/>
        <w:adjustRightInd w:val="0"/>
        <w:snapToGrid w:val="0"/>
        <w:spacing w:line="400" w:lineRule="exact"/>
        <w:ind w:firstLine="360" w:firstLineChars="150"/>
        <w:rPr>
          <w:rFonts w:ascii="宋体" w:hAnsi="宋体"/>
          <w:sz w:val="24"/>
        </w:rPr>
      </w:pPr>
      <w:r>
        <w:rPr>
          <w:rFonts w:hint="eastAsia" w:ascii="宋体" w:hAnsi="宋体"/>
          <w:sz w:val="24"/>
        </w:rPr>
        <w:t>（4）通用合同条款；</w:t>
      </w:r>
    </w:p>
    <w:p w14:paraId="5C266FB9">
      <w:pPr>
        <w:widowControl/>
        <w:adjustRightInd w:val="0"/>
        <w:snapToGrid w:val="0"/>
        <w:spacing w:line="400" w:lineRule="exact"/>
        <w:ind w:firstLine="360" w:firstLineChars="150"/>
        <w:rPr>
          <w:rFonts w:ascii="宋体" w:hAnsi="宋体"/>
          <w:sz w:val="24"/>
        </w:rPr>
      </w:pPr>
      <w:r>
        <w:rPr>
          <w:rFonts w:hint="eastAsia" w:ascii="宋体" w:hAnsi="宋体"/>
          <w:sz w:val="24"/>
        </w:rPr>
        <w:t>（5）招标文件及其补充资料；</w:t>
      </w:r>
    </w:p>
    <w:p w14:paraId="2C77802F">
      <w:pPr>
        <w:widowControl/>
        <w:adjustRightInd w:val="0"/>
        <w:snapToGrid w:val="0"/>
        <w:spacing w:line="400" w:lineRule="exact"/>
        <w:ind w:firstLine="360" w:firstLineChars="150"/>
        <w:rPr>
          <w:rFonts w:ascii="宋体" w:hAnsi="宋体"/>
          <w:sz w:val="24"/>
        </w:rPr>
      </w:pPr>
      <w:r>
        <w:rPr>
          <w:rFonts w:hint="eastAsia" w:ascii="宋体" w:hAnsi="宋体"/>
          <w:sz w:val="24"/>
        </w:rPr>
        <w:t>（6）技术标准、规范和要求（合同技术条款）；</w:t>
      </w:r>
    </w:p>
    <w:p w14:paraId="29724AD8">
      <w:pPr>
        <w:widowControl/>
        <w:adjustRightInd w:val="0"/>
        <w:snapToGrid w:val="0"/>
        <w:spacing w:line="400" w:lineRule="exact"/>
        <w:ind w:firstLine="360" w:firstLineChars="150"/>
        <w:rPr>
          <w:rFonts w:ascii="宋体" w:hAnsi="宋体"/>
          <w:sz w:val="24"/>
        </w:rPr>
      </w:pPr>
      <w:r>
        <w:rPr>
          <w:rFonts w:hint="eastAsia" w:ascii="宋体" w:hAnsi="宋体"/>
          <w:sz w:val="24"/>
        </w:rPr>
        <w:t>（7）图纸；</w:t>
      </w:r>
    </w:p>
    <w:p w14:paraId="3C67EF4E">
      <w:pPr>
        <w:widowControl/>
        <w:adjustRightInd w:val="0"/>
        <w:snapToGrid w:val="0"/>
        <w:spacing w:line="400" w:lineRule="exact"/>
        <w:ind w:firstLine="360" w:firstLineChars="150"/>
        <w:rPr>
          <w:rFonts w:ascii="宋体" w:hAnsi="宋体"/>
          <w:sz w:val="24"/>
        </w:rPr>
      </w:pPr>
      <w:r>
        <w:rPr>
          <w:rFonts w:hint="eastAsia" w:ascii="宋体" w:hAnsi="宋体"/>
          <w:sz w:val="24"/>
        </w:rPr>
        <w:t>（8）承包人的投标文件及其附件；</w:t>
      </w:r>
    </w:p>
    <w:p w14:paraId="2716A34F">
      <w:pPr>
        <w:widowControl/>
        <w:adjustRightInd w:val="0"/>
        <w:snapToGrid w:val="0"/>
        <w:spacing w:line="400" w:lineRule="exact"/>
        <w:ind w:firstLine="360" w:firstLineChars="150"/>
        <w:rPr>
          <w:rFonts w:ascii="宋体" w:hAnsi="宋体"/>
          <w:kern w:val="0"/>
          <w:sz w:val="24"/>
        </w:rPr>
      </w:pPr>
      <w:r>
        <w:rPr>
          <w:rFonts w:hint="eastAsia" w:ascii="宋体" w:hAnsi="宋体"/>
          <w:sz w:val="24"/>
        </w:rPr>
        <w:t>（9）已标价工程</w:t>
      </w:r>
      <w:r>
        <w:rPr>
          <w:rFonts w:hint="eastAsia" w:ascii="宋体" w:hAnsi="宋体"/>
          <w:kern w:val="0"/>
          <w:sz w:val="24"/>
        </w:rPr>
        <w:t>量清单；</w:t>
      </w:r>
    </w:p>
    <w:p w14:paraId="202EC987">
      <w:pPr>
        <w:autoSpaceDE w:val="0"/>
        <w:autoSpaceDN w:val="0"/>
        <w:adjustRightInd w:val="0"/>
        <w:spacing w:line="400" w:lineRule="exact"/>
        <w:ind w:firstLine="360" w:firstLineChars="150"/>
        <w:jc w:val="left"/>
        <w:rPr>
          <w:rFonts w:ascii="宋体" w:hAnsi="宋体"/>
          <w:kern w:val="0"/>
          <w:sz w:val="24"/>
        </w:rPr>
      </w:pPr>
      <w:r>
        <w:rPr>
          <w:rFonts w:hint="eastAsia" w:ascii="宋体" w:hAnsi="宋体"/>
          <w:sz w:val="24"/>
        </w:rPr>
        <w:t>（10）</w:t>
      </w:r>
      <w:r>
        <w:rPr>
          <w:rFonts w:hint="eastAsia" w:ascii="宋体" w:hAnsi="宋体"/>
          <w:kern w:val="0"/>
          <w:sz w:val="24"/>
        </w:rPr>
        <w:t>其它合同文件。</w:t>
      </w:r>
    </w:p>
    <w:p w14:paraId="6213F20B">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2．上述文件互相补充和解释，如有不明确或不一致之处，以合同约定（专用合同条款）次序在先者为准。</w:t>
      </w:r>
    </w:p>
    <w:p w14:paraId="1BC4A9EB">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3．签约合同价：人民币（大写）</w:t>
      </w:r>
      <w:r>
        <w:rPr>
          <w:rFonts w:ascii="宋体" w:hAnsi="宋体"/>
          <w:kern w:val="0"/>
          <w:sz w:val="24"/>
          <w:u w:val="single"/>
        </w:rPr>
        <w:t xml:space="preserve">                </w:t>
      </w:r>
      <w:r>
        <w:rPr>
          <w:rFonts w:hint="eastAsia" w:ascii="宋体" w:hAnsi="宋体"/>
          <w:kern w:val="0"/>
          <w:sz w:val="24"/>
        </w:rPr>
        <w:t>元（￥</w:t>
      </w:r>
      <w:r>
        <w:rPr>
          <w:rFonts w:ascii="宋体" w:hAnsi="宋体"/>
          <w:kern w:val="0"/>
          <w:sz w:val="24"/>
          <w:u w:val="single"/>
        </w:rPr>
        <w:t xml:space="preserve">                </w:t>
      </w:r>
      <w:r>
        <w:rPr>
          <w:rFonts w:hint="eastAsia" w:ascii="宋体" w:hAnsi="宋体"/>
          <w:kern w:val="0"/>
          <w:sz w:val="24"/>
        </w:rPr>
        <w:t>元）。</w:t>
      </w:r>
    </w:p>
    <w:p w14:paraId="652715D6">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4．承包人项目负责人：</w:t>
      </w:r>
      <w:r>
        <w:rPr>
          <w:rFonts w:ascii="宋体" w:hAnsi="宋体"/>
          <w:kern w:val="0"/>
          <w:sz w:val="24"/>
          <w:u w:val="single"/>
        </w:rPr>
        <w:t xml:space="preserve">                </w:t>
      </w:r>
      <w:r>
        <w:rPr>
          <w:rFonts w:hint="eastAsia" w:ascii="宋体" w:hAnsi="宋体"/>
          <w:kern w:val="0"/>
          <w:sz w:val="24"/>
        </w:rPr>
        <w:t>。</w:t>
      </w:r>
    </w:p>
    <w:p w14:paraId="31347A17">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5．工程质量符合</w:t>
      </w:r>
      <w:r>
        <w:rPr>
          <w:rFonts w:hint="eastAsia" w:ascii="宋体" w:hAnsi="宋体"/>
          <w:sz w:val="24"/>
          <w:u w:val="single"/>
        </w:rPr>
        <w:t>设计要求及《水利水电工程施工质量检验与评定规程》合格或以上</w:t>
      </w:r>
      <w:r>
        <w:rPr>
          <w:rFonts w:hint="eastAsia" w:ascii="宋体" w:hAnsi="宋体"/>
          <w:kern w:val="0"/>
          <w:sz w:val="24"/>
        </w:rPr>
        <w:t>标准。</w:t>
      </w:r>
    </w:p>
    <w:p w14:paraId="7BAC38D5">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6．承包人承诺按合同约定承担工程的实施、完成及缺陷修复。</w:t>
      </w:r>
    </w:p>
    <w:p w14:paraId="737D7F70">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7．发包人承诺按合同约定的条件、时间和方式向承包人支付合同价款。</w:t>
      </w:r>
    </w:p>
    <w:p w14:paraId="49104184">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8．合同工期：承包人承诺执行监理人开工通知，计划工期为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日历天。</w:t>
      </w:r>
    </w:p>
    <w:p w14:paraId="2A0011C2">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9．本协议书一式</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份，合同双方各执</w:t>
      </w:r>
      <w:r>
        <w:rPr>
          <w:rFonts w:hint="eastAsia" w:ascii="宋体" w:hAnsi="宋体"/>
          <w:kern w:val="0"/>
          <w:sz w:val="24"/>
          <w:u w:val="single"/>
        </w:rPr>
        <w:t xml:space="preserve">      </w:t>
      </w:r>
      <w:r>
        <w:rPr>
          <w:rFonts w:hint="eastAsia" w:ascii="宋体" w:hAnsi="宋体"/>
          <w:kern w:val="0"/>
          <w:sz w:val="24"/>
        </w:rPr>
        <w:t>份。</w:t>
      </w:r>
    </w:p>
    <w:p w14:paraId="4EED0925">
      <w:pPr>
        <w:autoSpaceDE w:val="0"/>
        <w:autoSpaceDN w:val="0"/>
        <w:adjustRightInd w:val="0"/>
        <w:spacing w:line="400" w:lineRule="exact"/>
        <w:ind w:firstLine="480" w:firstLineChars="200"/>
        <w:jc w:val="left"/>
        <w:rPr>
          <w:rFonts w:hint="eastAsia" w:ascii="宋体" w:hAnsi="宋体"/>
          <w:kern w:val="0"/>
          <w:sz w:val="24"/>
        </w:rPr>
      </w:pPr>
      <w:r>
        <w:rPr>
          <w:rFonts w:hint="eastAsia" w:ascii="宋体" w:hAnsi="宋体"/>
          <w:kern w:val="0"/>
          <w:sz w:val="24"/>
        </w:rPr>
        <w:t>10．合同未尽事宜，双方另行签订补充协议。 补充协议是合同的组成部分。</w:t>
      </w:r>
    </w:p>
    <w:p w14:paraId="658C8B5C">
      <w:pPr>
        <w:autoSpaceDE w:val="0"/>
        <w:autoSpaceDN w:val="0"/>
        <w:adjustRightInd w:val="0"/>
        <w:spacing w:line="400" w:lineRule="exact"/>
        <w:ind w:firstLine="480" w:firstLineChars="200"/>
        <w:jc w:val="left"/>
        <w:rPr>
          <w:rFonts w:hint="eastAsia" w:ascii="宋体" w:hAnsi="宋体"/>
          <w:kern w:val="0"/>
          <w:sz w:val="24"/>
        </w:rPr>
      </w:pPr>
    </w:p>
    <w:p w14:paraId="0E3C7026">
      <w:pPr>
        <w:rPr>
          <w:rFonts w:hint="eastAsia" w:ascii="宋体" w:hAnsi="宋体"/>
          <w:kern w:val="0"/>
          <w:sz w:val="24"/>
        </w:rPr>
      </w:pPr>
      <w:r>
        <w:rPr>
          <w:rFonts w:hint="eastAsia" w:ascii="宋体" w:hAnsi="宋体"/>
          <w:kern w:val="0"/>
          <w:sz w:val="24"/>
        </w:rPr>
        <w:br w:type="page"/>
      </w:r>
    </w:p>
    <w:p w14:paraId="55500B5C">
      <w:pPr>
        <w:pStyle w:val="9"/>
        <w:rPr>
          <w:rFonts w:hint="eastAsia"/>
        </w:rPr>
      </w:pPr>
    </w:p>
    <w:p w14:paraId="11630E3D">
      <w:pPr>
        <w:autoSpaceDE w:val="0"/>
        <w:autoSpaceDN w:val="0"/>
        <w:adjustRightInd w:val="0"/>
        <w:spacing w:line="440" w:lineRule="exact"/>
        <w:jc w:val="left"/>
        <w:rPr>
          <w:rFonts w:ascii="宋体" w:hAnsi="宋体"/>
          <w:kern w:val="0"/>
          <w:sz w:val="24"/>
        </w:rPr>
      </w:pPr>
      <w:r>
        <w:rPr>
          <w:rFonts w:hint="eastAsia" w:ascii="宋体" w:hAnsi="宋体"/>
          <w:kern w:val="0"/>
          <w:sz w:val="24"/>
        </w:rPr>
        <w:t>发包人：</w:t>
      </w:r>
      <w:r>
        <w:rPr>
          <w:rFonts w:ascii="宋体" w:hAnsi="宋体"/>
          <w:kern w:val="0"/>
          <w:sz w:val="24"/>
          <w:u w:val="single"/>
        </w:rPr>
        <w:t xml:space="preserve">                  </w:t>
      </w:r>
      <w:r>
        <w:rPr>
          <w:rFonts w:hint="eastAsia" w:ascii="宋体" w:hAnsi="宋体"/>
          <w:kern w:val="0"/>
          <w:sz w:val="24"/>
        </w:rPr>
        <w:t>（盖单位公章）　承包人：</w:t>
      </w:r>
      <w:r>
        <w:rPr>
          <w:rFonts w:ascii="宋体" w:hAnsi="宋体"/>
          <w:kern w:val="0"/>
          <w:sz w:val="24"/>
          <w:u w:val="single"/>
        </w:rPr>
        <w:t xml:space="preserve">                </w:t>
      </w:r>
      <w:r>
        <w:rPr>
          <w:rFonts w:hint="eastAsia" w:ascii="宋体" w:hAnsi="宋体"/>
          <w:kern w:val="0"/>
          <w:sz w:val="24"/>
        </w:rPr>
        <w:t>（盖单位公章）</w:t>
      </w:r>
    </w:p>
    <w:p w14:paraId="4BE9BCF1">
      <w:pPr>
        <w:autoSpaceDE w:val="0"/>
        <w:autoSpaceDN w:val="0"/>
        <w:adjustRightInd w:val="0"/>
        <w:spacing w:line="440" w:lineRule="exact"/>
        <w:jc w:val="left"/>
        <w:rPr>
          <w:rFonts w:ascii="宋体" w:hAnsi="宋体"/>
          <w:kern w:val="0"/>
          <w:sz w:val="24"/>
        </w:rPr>
      </w:pPr>
      <w:r>
        <w:rPr>
          <w:rFonts w:hint="eastAsia" w:ascii="宋体" w:hAnsi="宋体"/>
          <w:kern w:val="0"/>
          <w:sz w:val="24"/>
        </w:rPr>
        <w:t>法定代表人或</w:t>
      </w:r>
      <w:r>
        <w:rPr>
          <w:rFonts w:ascii="宋体" w:hAnsi="宋体"/>
          <w:kern w:val="0"/>
          <w:sz w:val="24"/>
        </w:rPr>
        <w:t xml:space="preserve">                           </w:t>
      </w:r>
      <w:r>
        <w:rPr>
          <w:rFonts w:hint="eastAsia" w:ascii="宋体" w:hAnsi="宋体"/>
          <w:kern w:val="0"/>
          <w:sz w:val="24"/>
        </w:rPr>
        <w:t>法定代表人或</w:t>
      </w:r>
    </w:p>
    <w:p w14:paraId="7B03720C">
      <w:pPr>
        <w:autoSpaceDE w:val="0"/>
        <w:autoSpaceDN w:val="0"/>
        <w:adjustRightInd w:val="0"/>
        <w:spacing w:line="440" w:lineRule="exact"/>
        <w:jc w:val="left"/>
        <w:rPr>
          <w:rFonts w:ascii="宋体" w:hAnsi="宋体"/>
          <w:kern w:val="0"/>
          <w:sz w:val="24"/>
        </w:rPr>
      </w:pPr>
      <w:r>
        <w:rPr>
          <w:rFonts w:hint="eastAsia" w:ascii="宋体" w:hAnsi="宋体"/>
          <w:kern w:val="0"/>
          <w:sz w:val="24"/>
        </w:rPr>
        <w:t>其委托代理人：</w:t>
      </w:r>
      <w:r>
        <w:rPr>
          <w:rFonts w:ascii="宋体" w:hAnsi="宋体"/>
          <w:kern w:val="0"/>
          <w:sz w:val="24"/>
          <w:u w:val="single"/>
        </w:rPr>
        <w:t xml:space="preserve">              </w:t>
      </w:r>
      <w:r>
        <w:rPr>
          <w:rFonts w:hint="eastAsia" w:ascii="宋体" w:hAnsi="宋体"/>
          <w:kern w:val="0"/>
          <w:sz w:val="24"/>
        </w:rPr>
        <w:t>（签字）</w:t>
      </w:r>
      <w:r>
        <w:rPr>
          <w:rFonts w:ascii="宋体" w:hAnsi="宋体"/>
          <w:kern w:val="0"/>
          <w:sz w:val="24"/>
        </w:rPr>
        <w:t xml:space="preserve">    </w:t>
      </w:r>
      <w:r>
        <w:rPr>
          <w:rFonts w:hint="eastAsia" w:ascii="宋体" w:hAnsi="宋体"/>
          <w:kern w:val="0"/>
          <w:sz w:val="24"/>
        </w:rPr>
        <w:t>其委托代理人：</w:t>
      </w:r>
      <w:r>
        <w:rPr>
          <w:rFonts w:ascii="宋体" w:hAnsi="宋体"/>
          <w:kern w:val="0"/>
          <w:sz w:val="24"/>
          <w:u w:val="single"/>
        </w:rPr>
        <w:t xml:space="preserve">              </w:t>
      </w:r>
      <w:r>
        <w:rPr>
          <w:rFonts w:hint="eastAsia" w:ascii="宋体" w:hAnsi="宋体"/>
          <w:kern w:val="0"/>
          <w:sz w:val="24"/>
        </w:rPr>
        <w:t>（签字）</w:t>
      </w:r>
      <w:r>
        <w:rPr>
          <w:rFonts w:ascii="宋体" w:hAnsi="宋体"/>
          <w:kern w:val="0"/>
          <w:sz w:val="24"/>
        </w:rPr>
        <w:t xml:space="preserve">  </w:t>
      </w:r>
    </w:p>
    <w:p w14:paraId="131DEB35">
      <w:pPr>
        <w:autoSpaceDE w:val="0"/>
        <w:autoSpaceDN w:val="0"/>
        <w:adjustRightInd w:val="0"/>
        <w:spacing w:line="440" w:lineRule="exact"/>
        <w:jc w:val="left"/>
        <w:rPr>
          <w:rFonts w:ascii="宋体" w:hAnsi="宋体"/>
          <w:kern w:val="0"/>
          <w:sz w:val="24"/>
        </w:rPr>
      </w:pP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rPr>
        <w:t>年</w:t>
      </w:r>
      <w:r>
        <w:rPr>
          <w:rFonts w:ascii="宋体" w:hAnsi="宋体"/>
          <w:kern w:val="0"/>
          <w:sz w:val="24"/>
          <w:u w:val="single"/>
        </w:rPr>
        <w:t xml:space="preserve">     </w:t>
      </w:r>
      <w:r>
        <w:rPr>
          <w:rFonts w:hint="eastAsia" w:ascii="宋体" w:hAnsi="宋体"/>
          <w:kern w:val="0"/>
          <w:sz w:val="24"/>
        </w:rPr>
        <w:t>月</w:t>
      </w:r>
      <w:r>
        <w:rPr>
          <w:rFonts w:ascii="宋体" w:hAnsi="宋体"/>
          <w:kern w:val="0"/>
          <w:sz w:val="24"/>
          <w:u w:val="single"/>
        </w:rPr>
        <w:t xml:space="preserve">     </w:t>
      </w:r>
      <w:r>
        <w:rPr>
          <w:rFonts w:hint="eastAsia" w:ascii="宋体" w:hAnsi="宋体"/>
          <w:kern w:val="0"/>
          <w:sz w:val="24"/>
        </w:rPr>
        <w:t>日</w:t>
      </w:r>
      <w:r>
        <w:rPr>
          <w:rFonts w:ascii="宋体" w:hAnsi="宋体"/>
          <w:kern w:val="0"/>
          <w:sz w:val="24"/>
        </w:rPr>
        <w:t xml:space="preserve">                 </w:t>
      </w:r>
      <w:r>
        <w:rPr>
          <w:rFonts w:ascii="宋体" w:hAnsi="宋体"/>
          <w:kern w:val="0"/>
          <w:sz w:val="24"/>
          <w:u w:val="single"/>
        </w:rPr>
        <w:t xml:space="preserve">        </w:t>
      </w:r>
      <w:r>
        <w:rPr>
          <w:rFonts w:hint="eastAsia" w:ascii="宋体" w:hAnsi="宋体"/>
          <w:kern w:val="0"/>
          <w:sz w:val="24"/>
        </w:rPr>
        <w:t>年</w:t>
      </w:r>
      <w:r>
        <w:rPr>
          <w:rFonts w:ascii="宋体" w:hAnsi="宋体"/>
          <w:kern w:val="0"/>
          <w:sz w:val="24"/>
          <w:u w:val="single"/>
        </w:rPr>
        <w:t xml:space="preserve">     </w:t>
      </w:r>
      <w:r>
        <w:rPr>
          <w:rFonts w:hint="eastAsia" w:ascii="宋体" w:hAnsi="宋体"/>
          <w:kern w:val="0"/>
          <w:sz w:val="24"/>
        </w:rPr>
        <w:t>月</w:t>
      </w:r>
      <w:r>
        <w:rPr>
          <w:rFonts w:ascii="宋体" w:hAnsi="宋体"/>
          <w:kern w:val="0"/>
          <w:sz w:val="24"/>
          <w:u w:val="single"/>
        </w:rPr>
        <w:t xml:space="preserve">     </w:t>
      </w:r>
      <w:r>
        <w:rPr>
          <w:rFonts w:hint="eastAsia" w:ascii="宋体" w:hAnsi="宋体"/>
          <w:kern w:val="0"/>
          <w:sz w:val="24"/>
        </w:rPr>
        <w:t>日</w:t>
      </w:r>
      <w:r>
        <w:rPr>
          <w:rFonts w:ascii="宋体" w:hAnsi="宋体"/>
          <w:kern w:val="0"/>
          <w:sz w:val="24"/>
        </w:rPr>
        <w:t xml:space="preserve">    </w:t>
      </w:r>
    </w:p>
    <w:p w14:paraId="44BB736A">
      <w:pPr>
        <w:autoSpaceDE w:val="0"/>
        <w:autoSpaceDN w:val="0"/>
        <w:adjustRightInd w:val="0"/>
        <w:spacing w:line="440" w:lineRule="exact"/>
        <w:jc w:val="left"/>
        <w:rPr>
          <w:rFonts w:hint="eastAsia" w:ascii="宋体" w:hAnsi="宋体" w:cs="XBSJ-PK7482000003a-Identity-H"/>
          <w:kern w:val="0"/>
          <w:sz w:val="34"/>
          <w:szCs w:val="34"/>
        </w:rPr>
      </w:pPr>
      <w:r>
        <w:rPr>
          <w:rFonts w:ascii="宋体" w:hAnsi="宋体"/>
          <w:kern w:val="0"/>
          <w:sz w:val="24"/>
        </w:rPr>
        <w:br w:type="page"/>
      </w:r>
    </w:p>
    <w:p w14:paraId="7E0AAAC2">
      <w:pPr>
        <w:spacing w:line="440" w:lineRule="exact"/>
        <w:jc w:val="center"/>
        <w:outlineLvl w:val="1"/>
        <w:rPr>
          <w:rFonts w:ascii="宋体" w:hAnsi="宋体" w:cs="XBSJ-PK7482000003a-Identity-H"/>
          <w:kern w:val="0"/>
          <w:sz w:val="34"/>
          <w:szCs w:val="34"/>
        </w:rPr>
      </w:pPr>
      <w:r>
        <w:rPr>
          <w:rFonts w:hint="eastAsia" w:ascii="宋体" w:hAnsi="宋体" w:cs="XBSJ-PK7482000003a-Identity-H"/>
          <w:kern w:val="0"/>
          <w:sz w:val="34"/>
          <w:szCs w:val="34"/>
        </w:rPr>
        <w:t>第二节</w:t>
      </w:r>
      <w:r>
        <w:rPr>
          <w:rFonts w:ascii="宋体" w:hAnsi="宋体"/>
        </w:rPr>
        <w:t xml:space="preserve">   </w:t>
      </w:r>
      <w:r>
        <w:rPr>
          <w:rFonts w:hint="eastAsia" w:ascii="宋体" w:hAnsi="宋体" w:cs="XBSJ-PK7482000003a-Identity-H"/>
          <w:kern w:val="0"/>
          <w:sz w:val="34"/>
          <w:szCs w:val="34"/>
        </w:rPr>
        <w:t>通用合同条款</w:t>
      </w:r>
    </w:p>
    <w:p w14:paraId="16CD7197">
      <w:pPr>
        <w:spacing w:line="440" w:lineRule="exact"/>
        <w:jc w:val="center"/>
        <w:rPr>
          <w:rFonts w:hint="eastAsia" w:ascii="宋体" w:hAnsi="宋体" w:cs="XBSJ-PK7482000003a-Identity-H"/>
          <w:kern w:val="0"/>
          <w:sz w:val="34"/>
          <w:szCs w:val="34"/>
        </w:rPr>
      </w:pPr>
    </w:p>
    <w:p w14:paraId="7655A748">
      <w:pPr>
        <w:pStyle w:val="4"/>
        <w:rPr>
          <w:rFonts w:cs="宋体"/>
          <w:sz w:val="28"/>
          <w:szCs w:val="28"/>
        </w:rPr>
      </w:pPr>
      <w:bookmarkStart w:id="21" w:name="_Toc229305362"/>
      <w:bookmarkStart w:id="22" w:name="_Toc222031004"/>
      <w:bookmarkStart w:id="23" w:name="_Toc221950662"/>
      <w:bookmarkStart w:id="24" w:name="_Toc229408497"/>
      <w:bookmarkStart w:id="25" w:name="_Toc222029502"/>
      <w:bookmarkStart w:id="26" w:name="_Toc222033853"/>
      <w:bookmarkStart w:id="27" w:name="_Toc222032671"/>
      <w:r>
        <w:rPr>
          <w:rFonts w:cs="宋体"/>
          <w:sz w:val="28"/>
          <w:szCs w:val="28"/>
        </w:rPr>
        <w:t>1. 一般约定</w:t>
      </w:r>
      <w:bookmarkEnd w:id="21"/>
      <w:bookmarkEnd w:id="22"/>
      <w:bookmarkEnd w:id="23"/>
      <w:bookmarkEnd w:id="24"/>
      <w:bookmarkEnd w:id="25"/>
      <w:bookmarkEnd w:id="26"/>
      <w:bookmarkEnd w:id="27"/>
    </w:p>
    <w:p w14:paraId="786F6068">
      <w:pPr>
        <w:pStyle w:val="5"/>
        <w:rPr>
          <w:rFonts w:hint="eastAsia" w:ascii="宋体" w:hAnsi="宋体" w:cs="宋体"/>
          <w:sz w:val="28"/>
          <w:szCs w:val="28"/>
        </w:rPr>
      </w:pPr>
      <w:bookmarkStart w:id="28" w:name="_Toc221950667"/>
      <w:r>
        <w:rPr>
          <w:rFonts w:hint="eastAsia" w:ascii="宋体" w:hAnsi="宋体" w:cs="宋体"/>
          <w:sz w:val="28"/>
          <w:szCs w:val="28"/>
        </w:rPr>
        <w:t>1.1词语定义</w:t>
      </w:r>
    </w:p>
    <w:p w14:paraId="58C0E40E">
      <w:pPr>
        <w:spacing w:line="400" w:lineRule="exact"/>
        <w:ind w:firstLine="420" w:firstLineChars="200"/>
        <w:rPr>
          <w:rFonts w:hint="eastAsia" w:ascii="宋体" w:hAnsi="宋体" w:cs="宋体"/>
          <w:szCs w:val="21"/>
        </w:rPr>
      </w:pPr>
      <w:r>
        <w:rPr>
          <w:rFonts w:hint="eastAsia" w:ascii="宋体" w:hAnsi="宋体" w:cs="宋体"/>
          <w:szCs w:val="21"/>
        </w:rPr>
        <w:t>通用合同条款、专用合同条款中的下列词语应具有本款所赋予的含义。</w:t>
      </w:r>
    </w:p>
    <w:p w14:paraId="74F29B42">
      <w:pPr>
        <w:spacing w:line="400" w:lineRule="exact"/>
        <w:ind w:firstLine="420" w:firstLineChars="200"/>
        <w:rPr>
          <w:rFonts w:hint="eastAsia" w:ascii="宋体" w:hAnsi="宋体" w:cs="宋体"/>
          <w:szCs w:val="21"/>
        </w:rPr>
      </w:pPr>
      <w:r>
        <w:rPr>
          <w:rFonts w:hint="eastAsia" w:ascii="宋体" w:hAnsi="宋体" w:cs="宋体"/>
          <w:szCs w:val="21"/>
        </w:rPr>
        <w:t>1.1.1 合同</w:t>
      </w:r>
    </w:p>
    <w:p w14:paraId="2A165B57">
      <w:pPr>
        <w:spacing w:line="400" w:lineRule="exact"/>
        <w:ind w:firstLine="718" w:firstLineChars="342"/>
        <w:rPr>
          <w:rFonts w:hint="eastAsia" w:ascii="宋体" w:hAnsi="宋体" w:cs="宋体"/>
          <w:szCs w:val="21"/>
        </w:rPr>
      </w:pPr>
      <w:r>
        <w:rPr>
          <w:rFonts w:hint="eastAsia" w:ascii="宋体" w:hAnsi="宋体" w:cs="宋体"/>
          <w:szCs w:val="21"/>
        </w:rPr>
        <w:t>1.1.1.1 合同文件（或称合同）：指合同协议书、中标通知书、投标函及投标函附录、专用合同条款、通用合同条款、技术标准和要求、图纸、已标价工程量清单，以及其他合同文件。</w:t>
      </w:r>
    </w:p>
    <w:p w14:paraId="6D1C7F86">
      <w:pPr>
        <w:spacing w:line="400" w:lineRule="exact"/>
        <w:ind w:firstLine="718" w:firstLineChars="342"/>
        <w:rPr>
          <w:rFonts w:hint="eastAsia" w:ascii="宋体" w:hAnsi="宋体" w:cs="宋体"/>
          <w:szCs w:val="21"/>
        </w:rPr>
      </w:pPr>
      <w:r>
        <w:rPr>
          <w:rFonts w:hint="eastAsia" w:ascii="宋体" w:hAnsi="宋体" w:cs="宋体"/>
          <w:szCs w:val="21"/>
        </w:rPr>
        <w:t>1.1.1.2 合同协议书：指第1.5款所指的合同协议书。</w:t>
      </w:r>
    </w:p>
    <w:p w14:paraId="515FD62E">
      <w:pPr>
        <w:spacing w:line="400" w:lineRule="exact"/>
        <w:ind w:firstLine="718" w:firstLineChars="342"/>
        <w:rPr>
          <w:rFonts w:hint="eastAsia" w:ascii="宋体" w:hAnsi="宋体" w:cs="宋体"/>
          <w:szCs w:val="21"/>
        </w:rPr>
      </w:pPr>
      <w:r>
        <w:rPr>
          <w:rFonts w:hint="eastAsia" w:ascii="宋体" w:hAnsi="宋体" w:cs="宋体"/>
          <w:szCs w:val="21"/>
        </w:rPr>
        <w:t>1.1.1.3 中标通知书：指发包人通知承包人中标的函件。</w:t>
      </w:r>
    </w:p>
    <w:p w14:paraId="6DAD8EBE">
      <w:pPr>
        <w:spacing w:line="400" w:lineRule="exact"/>
        <w:ind w:firstLine="718" w:firstLineChars="342"/>
        <w:rPr>
          <w:rFonts w:hint="eastAsia" w:ascii="宋体" w:hAnsi="宋体" w:cs="宋体"/>
          <w:dstrike/>
          <w:szCs w:val="21"/>
        </w:rPr>
      </w:pPr>
      <w:r>
        <w:rPr>
          <w:rFonts w:hint="eastAsia" w:ascii="宋体" w:hAnsi="宋体" w:cs="宋体"/>
          <w:szCs w:val="21"/>
        </w:rPr>
        <w:t>1.1.1.4 投标函：指构成合同文件组成部分的由承包人填写并签署的投标函。</w:t>
      </w:r>
    </w:p>
    <w:p w14:paraId="6414CA83">
      <w:pPr>
        <w:spacing w:line="400" w:lineRule="exact"/>
        <w:ind w:firstLine="718" w:firstLineChars="342"/>
        <w:rPr>
          <w:rFonts w:hint="eastAsia" w:ascii="宋体" w:hAnsi="宋体" w:cs="宋体"/>
          <w:szCs w:val="21"/>
        </w:rPr>
      </w:pPr>
      <w:r>
        <w:rPr>
          <w:rFonts w:hint="eastAsia" w:ascii="宋体" w:hAnsi="宋体" w:cs="宋体"/>
          <w:szCs w:val="21"/>
        </w:rPr>
        <w:t>1.1.1.5 投标函附录：指附在投标函后构成合同文件的投标函附录。</w:t>
      </w:r>
    </w:p>
    <w:p w14:paraId="1FD29933">
      <w:pPr>
        <w:spacing w:line="400" w:lineRule="exact"/>
        <w:ind w:firstLine="718" w:firstLineChars="342"/>
        <w:rPr>
          <w:rFonts w:hint="eastAsia" w:ascii="宋体" w:hAnsi="宋体" w:cs="宋体"/>
          <w:szCs w:val="21"/>
        </w:rPr>
      </w:pPr>
      <w:r>
        <w:rPr>
          <w:rFonts w:hint="eastAsia" w:ascii="宋体" w:hAnsi="宋体" w:cs="宋体"/>
          <w:szCs w:val="21"/>
        </w:rPr>
        <w:t>1.1.1.6  技术标准和要求：</w:t>
      </w:r>
      <w:bookmarkEnd w:id="28"/>
      <w:r>
        <w:rPr>
          <w:rFonts w:hint="eastAsia" w:ascii="宋体" w:hAnsi="宋体" w:cs="宋体"/>
          <w:szCs w:val="21"/>
        </w:rPr>
        <w:t>指构成合同文件组成部分的名为技术标准和要求（合同技术条款）的文件，包括合同双方当事人约定对其所做的修改或补充。</w:t>
      </w:r>
    </w:p>
    <w:p w14:paraId="48928C7F">
      <w:pPr>
        <w:spacing w:line="400" w:lineRule="exact"/>
        <w:ind w:firstLine="718" w:firstLineChars="342"/>
        <w:rPr>
          <w:rFonts w:hint="eastAsia" w:ascii="宋体" w:hAnsi="宋体" w:cs="宋体"/>
          <w:szCs w:val="21"/>
        </w:rPr>
      </w:pPr>
      <w:bookmarkStart w:id="29" w:name="_Toc221950668"/>
      <w:r>
        <w:rPr>
          <w:rFonts w:hint="eastAsia" w:ascii="宋体" w:hAnsi="宋体" w:cs="宋体"/>
          <w:szCs w:val="21"/>
        </w:rPr>
        <w:t>1.1.1.7  图纸：指列入合同的招标图纸、投标图纸和发包人按合同约定向承包人提供的施工图纸和其他图纸(包括配套说明和有关资料)。</w:t>
      </w:r>
      <w:bookmarkEnd w:id="29"/>
      <w:r>
        <w:rPr>
          <w:rFonts w:hint="eastAsia" w:ascii="宋体" w:hAnsi="宋体" w:cs="宋体"/>
          <w:szCs w:val="21"/>
        </w:rPr>
        <w:t>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D03C736">
      <w:pPr>
        <w:spacing w:line="400" w:lineRule="exact"/>
        <w:ind w:firstLine="718" w:firstLineChars="342"/>
        <w:rPr>
          <w:rFonts w:hint="eastAsia" w:ascii="宋体" w:hAnsi="宋体" w:cs="宋体"/>
          <w:szCs w:val="21"/>
        </w:rPr>
      </w:pPr>
      <w:r>
        <w:rPr>
          <w:rFonts w:hint="eastAsia" w:ascii="宋体" w:hAnsi="宋体" w:cs="宋体"/>
          <w:szCs w:val="21"/>
        </w:rPr>
        <w:t>1.1.1.8 已标价工程量清单：指构成合同文件组成部分的由承包人按照规定的格式和要求填写并标明价格的工程量清单。</w:t>
      </w:r>
    </w:p>
    <w:p w14:paraId="191AB087">
      <w:pPr>
        <w:spacing w:line="400" w:lineRule="exact"/>
        <w:ind w:firstLine="718" w:firstLineChars="342"/>
        <w:rPr>
          <w:rFonts w:hint="eastAsia" w:ascii="宋体" w:hAnsi="宋体" w:cs="宋体"/>
          <w:szCs w:val="21"/>
        </w:rPr>
      </w:pPr>
      <w:r>
        <w:rPr>
          <w:rFonts w:hint="eastAsia" w:ascii="宋体" w:hAnsi="宋体" w:cs="宋体"/>
          <w:szCs w:val="21"/>
        </w:rPr>
        <w:t>1.1.1.9 其他合同文件：指经合同双方当事人确认构成合同文件的其他文件。</w:t>
      </w:r>
    </w:p>
    <w:p w14:paraId="34726C9B">
      <w:pPr>
        <w:spacing w:line="400" w:lineRule="exact"/>
        <w:ind w:firstLine="718" w:firstLineChars="342"/>
        <w:rPr>
          <w:rFonts w:hint="eastAsia" w:ascii="宋体" w:hAnsi="宋体" w:cs="宋体"/>
          <w:szCs w:val="21"/>
        </w:rPr>
      </w:pPr>
      <w:bookmarkStart w:id="30" w:name="_Toc221950669"/>
      <w:r>
        <w:rPr>
          <w:rFonts w:hint="eastAsia" w:ascii="宋体" w:hAnsi="宋体" w:cs="宋体"/>
          <w:szCs w:val="21"/>
        </w:rPr>
        <w:t>1.1.2</w:t>
      </w:r>
      <w:bookmarkEnd w:id="30"/>
      <w:r>
        <w:rPr>
          <w:rFonts w:hint="eastAsia" w:ascii="宋体" w:hAnsi="宋体" w:cs="宋体"/>
          <w:szCs w:val="21"/>
        </w:rPr>
        <w:t xml:space="preserve"> 合同当事人和人员。</w:t>
      </w:r>
    </w:p>
    <w:p w14:paraId="20758F2A">
      <w:pPr>
        <w:spacing w:line="400" w:lineRule="exact"/>
        <w:ind w:firstLine="718" w:firstLineChars="342"/>
        <w:rPr>
          <w:rFonts w:hint="eastAsia" w:ascii="宋体" w:hAnsi="宋体" w:cs="宋体"/>
          <w:szCs w:val="21"/>
        </w:rPr>
      </w:pPr>
      <w:r>
        <w:rPr>
          <w:rFonts w:hint="eastAsia" w:ascii="宋体" w:hAnsi="宋体" w:cs="宋体"/>
          <w:szCs w:val="21"/>
        </w:rPr>
        <w:t>1.1.2.1 合同当事人:指发包人和（或）承包人。</w:t>
      </w:r>
    </w:p>
    <w:p w14:paraId="44674ED5">
      <w:pPr>
        <w:spacing w:line="400" w:lineRule="exact"/>
        <w:ind w:firstLine="718" w:firstLineChars="342"/>
        <w:rPr>
          <w:rFonts w:hint="eastAsia" w:ascii="宋体" w:hAnsi="宋体" w:cs="宋体"/>
          <w:szCs w:val="21"/>
        </w:rPr>
      </w:pPr>
      <w:r>
        <w:rPr>
          <w:rFonts w:hint="eastAsia" w:ascii="宋体" w:hAnsi="宋体" w:cs="宋体"/>
          <w:szCs w:val="21"/>
        </w:rPr>
        <w:t>1.1.2.2 发包人：指专用合同条款中指明并与承包人在合同协议书中签字的当事人。</w:t>
      </w:r>
    </w:p>
    <w:p w14:paraId="19ED3CB2">
      <w:pPr>
        <w:autoSpaceDE w:val="0"/>
        <w:autoSpaceDN w:val="0"/>
        <w:adjustRightInd w:val="0"/>
        <w:spacing w:line="400" w:lineRule="exact"/>
        <w:ind w:firstLine="707" w:firstLineChars="337"/>
        <w:jc w:val="left"/>
        <w:rPr>
          <w:rFonts w:hint="eastAsia" w:ascii="宋体" w:hAnsi="宋体" w:cs="宋体"/>
          <w:szCs w:val="21"/>
        </w:rPr>
      </w:pPr>
      <w:r>
        <w:rPr>
          <w:rFonts w:hint="eastAsia" w:ascii="宋体" w:hAnsi="宋体" w:cs="宋体"/>
          <w:szCs w:val="21"/>
        </w:rPr>
        <w:t>1.1.2.3 承包人：指专用</w:t>
      </w:r>
      <w:r>
        <w:rPr>
          <w:rFonts w:hint="eastAsia" w:ascii="宋体" w:hAnsi="宋体" w:cs="宋体"/>
          <w:szCs w:val="21"/>
          <w:u w:val="single"/>
        </w:rPr>
        <w:t>合同</w:t>
      </w:r>
      <w:r>
        <w:rPr>
          <w:rFonts w:hint="eastAsia" w:ascii="宋体" w:hAnsi="宋体" w:cs="宋体"/>
          <w:szCs w:val="21"/>
        </w:rPr>
        <w:t>条款中指明并与发包人在合同协议书中签字的当事人。</w:t>
      </w:r>
    </w:p>
    <w:p w14:paraId="257520C0">
      <w:pPr>
        <w:spacing w:line="400" w:lineRule="exact"/>
        <w:ind w:firstLine="718" w:firstLineChars="342"/>
        <w:rPr>
          <w:rFonts w:hint="eastAsia" w:ascii="宋体" w:hAnsi="宋体" w:cs="宋体"/>
          <w:szCs w:val="21"/>
        </w:rPr>
      </w:pPr>
      <w:r>
        <w:rPr>
          <w:rFonts w:hint="eastAsia" w:ascii="宋体" w:hAnsi="宋体" w:cs="宋体"/>
          <w:szCs w:val="21"/>
        </w:rPr>
        <w:t>1.1.2.4 承包人项目负责人：指承包人派驻施工场地的全权负责人。</w:t>
      </w:r>
    </w:p>
    <w:p w14:paraId="3814F069">
      <w:pPr>
        <w:spacing w:line="400" w:lineRule="exact"/>
        <w:ind w:firstLine="718" w:firstLineChars="342"/>
        <w:rPr>
          <w:rFonts w:hint="eastAsia" w:ascii="宋体" w:hAnsi="宋体" w:cs="宋体"/>
          <w:szCs w:val="21"/>
        </w:rPr>
      </w:pPr>
      <w:r>
        <w:rPr>
          <w:rFonts w:hint="eastAsia" w:ascii="宋体" w:hAnsi="宋体" w:cs="宋体"/>
          <w:szCs w:val="21"/>
        </w:rPr>
        <w:t>1.1.2.5 分包人：指专用条款中指明的，从承包人处分包合同中某一部分工程，并与其签订分包合同的分包人。</w:t>
      </w:r>
    </w:p>
    <w:p w14:paraId="393D1AE6">
      <w:pPr>
        <w:spacing w:line="400" w:lineRule="exact"/>
        <w:ind w:firstLine="718" w:firstLineChars="342"/>
        <w:rPr>
          <w:rFonts w:hint="eastAsia" w:ascii="宋体" w:hAnsi="宋体" w:cs="宋体"/>
          <w:szCs w:val="21"/>
        </w:rPr>
      </w:pPr>
      <w:r>
        <w:rPr>
          <w:rFonts w:hint="eastAsia" w:ascii="宋体" w:hAnsi="宋体" w:cs="宋体"/>
          <w:szCs w:val="21"/>
        </w:rPr>
        <w:t>1.1.2.6 监理人：指在专用合同条款中指明的，受发包人委托对合同履行实施管理的法人或其他组织。</w:t>
      </w:r>
    </w:p>
    <w:p w14:paraId="04C408FF">
      <w:pPr>
        <w:spacing w:line="400" w:lineRule="exact"/>
        <w:ind w:firstLine="718" w:firstLineChars="342"/>
        <w:rPr>
          <w:rFonts w:hint="eastAsia" w:ascii="宋体" w:hAnsi="宋体" w:cs="宋体"/>
          <w:szCs w:val="21"/>
        </w:rPr>
      </w:pPr>
      <w:r>
        <w:rPr>
          <w:rFonts w:hint="eastAsia" w:ascii="宋体" w:hAnsi="宋体" w:cs="宋体"/>
          <w:szCs w:val="21"/>
        </w:rPr>
        <w:t>1.1.2.7 总监理工程师（总监）：指由监理人委派常驻施工场地对合同履行实施管理的全权负责人。</w:t>
      </w:r>
    </w:p>
    <w:p w14:paraId="0CB0DF91">
      <w:pPr>
        <w:spacing w:line="400" w:lineRule="exact"/>
        <w:ind w:firstLine="718" w:firstLineChars="342"/>
        <w:rPr>
          <w:rFonts w:hint="eastAsia" w:ascii="宋体" w:hAnsi="宋体" w:cs="宋体"/>
          <w:szCs w:val="21"/>
        </w:rPr>
      </w:pPr>
      <w:r>
        <w:rPr>
          <w:rFonts w:hint="eastAsia" w:ascii="宋体" w:hAnsi="宋体" w:cs="宋体"/>
          <w:szCs w:val="21"/>
        </w:rPr>
        <w:t>1.1.3工程和设备</w:t>
      </w:r>
    </w:p>
    <w:p w14:paraId="49A3BD97">
      <w:pPr>
        <w:spacing w:line="400" w:lineRule="exact"/>
        <w:ind w:firstLine="718" w:firstLineChars="342"/>
        <w:rPr>
          <w:rFonts w:hint="eastAsia" w:ascii="宋体" w:hAnsi="宋体" w:cs="宋体"/>
          <w:szCs w:val="21"/>
        </w:rPr>
      </w:pPr>
      <w:r>
        <w:rPr>
          <w:rFonts w:hint="eastAsia" w:ascii="宋体" w:hAnsi="宋体" w:cs="宋体"/>
          <w:szCs w:val="21"/>
        </w:rPr>
        <w:t>1.1.3.1 工程：指永久工程和（或）临时工程。</w:t>
      </w:r>
    </w:p>
    <w:p w14:paraId="6C8B866D">
      <w:pPr>
        <w:spacing w:line="400" w:lineRule="exact"/>
        <w:ind w:firstLine="718" w:firstLineChars="342"/>
        <w:rPr>
          <w:rFonts w:hint="eastAsia" w:ascii="宋体" w:hAnsi="宋体" w:cs="宋体"/>
          <w:szCs w:val="21"/>
        </w:rPr>
      </w:pPr>
      <w:r>
        <w:rPr>
          <w:rFonts w:hint="eastAsia" w:ascii="宋体" w:hAnsi="宋体" w:cs="宋体"/>
          <w:szCs w:val="21"/>
        </w:rPr>
        <w:t>1.1.3.2 永久工程：指按合同约定建造并移交给发包人的工程，包括工程设备。</w:t>
      </w:r>
    </w:p>
    <w:p w14:paraId="28231148">
      <w:pPr>
        <w:spacing w:line="400" w:lineRule="exact"/>
        <w:ind w:firstLine="718" w:firstLineChars="342"/>
        <w:rPr>
          <w:rFonts w:hint="eastAsia" w:ascii="宋体" w:hAnsi="宋体" w:cs="宋体"/>
          <w:szCs w:val="21"/>
        </w:rPr>
      </w:pPr>
      <w:r>
        <w:rPr>
          <w:rFonts w:hint="eastAsia" w:ascii="宋体" w:hAnsi="宋体" w:cs="宋体"/>
          <w:szCs w:val="21"/>
        </w:rPr>
        <w:t>1.1.3.3 临时工程：指为完成合同约定的永久工程所修建的各类临时性工程，不包括施工设备。</w:t>
      </w:r>
    </w:p>
    <w:p w14:paraId="543776C6">
      <w:pPr>
        <w:spacing w:line="400" w:lineRule="exact"/>
        <w:ind w:firstLine="718" w:firstLineChars="342"/>
        <w:rPr>
          <w:rFonts w:hint="eastAsia" w:ascii="宋体" w:hAnsi="宋体" w:cs="宋体"/>
          <w:szCs w:val="21"/>
        </w:rPr>
      </w:pPr>
      <w:r>
        <w:rPr>
          <w:rFonts w:hint="eastAsia" w:ascii="宋体" w:hAnsi="宋体" w:cs="宋体"/>
          <w:szCs w:val="21"/>
        </w:rPr>
        <w:t>1.1.3.4 单位工程：指专用合同条款中指明特定范围的永久工程。</w:t>
      </w:r>
    </w:p>
    <w:p w14:paraId="3C104622">
      <w:pPr>
        <w:spacing w:line="400" w:lineRule="exact"/>
        <w:ind w:firstLine="718" w:firstLineChars="342"/>
        <w:rPr>
          <w:rFonts w:hint="eastAsia" w:ascii="宋体" w:hAnsi="宋体" w:cs="宋体"/>
          <w:szCs w:val="21"/>
        </w:rPr>
      </w:pPr>
      <w:r>
        <w:rPr>
          <w:rFonts w:hint="eastAsia" w:ascii="宋体" w:hAnsi="宋体" w:cs="宋体"/>
          <w:szCs w:val="21"/>
        </w:rPr>
        <w:t>1.1.3.5 工程设备：指构成或计划构成永久工程一部分的机电设备、金属结构设备、仪器装置及其他类似的设备和装置。</w:t>
      </w:r>
    </w:p>
    <w:p w14:paraId="29EBF174">
      <w:pPr>
        <w:spacing w:line="400" w:lineRule="exact"/>
        <w:ind w:firstLine="718" w:firstLineChars="342"/>
        <w:rPr>
          <w:rFonts w:hint="eastAsia" w:ascii="宋体" w:hAnsi="宋体" w:cs="宋体"/>
          <w:szCs w:val="21"/>
        </w:rPr>
      </w:pPr>
      <w:r>
        <w:rPr>
          <w:rFonts w:hint="eastAsia" w:ascii="宋体" w:hAnsi="宋体" w:cs="宋体"/>
          <w:szCs w:val="21"/>
        </w:rPr>
        <w:t>1.1.3.6 施工设备：指为完成合同约定的各项工作所需的设备、器具和其他物品，不包括临时工程和材料。</w:t>
      </w:r>
    </w:p>
    <w:p w14:paraId="76A1FFF4">
      <w:pPr>
        <w:spacing w:line="400" w:lineRule="exact"/>
        <w:ind w:firstLine="718" w:firstLineChars="342"/>
        <w:rPr>
          <w:rFonts w:hint="eastAsia" w:ascii="宋体" w:hAnsi="宋体" w:cs="宋体"/>
          <w:szCs w:val="21"/>
        </w:rPr>
      </w:pPr>
      <w:r>
        <w:rPr>
          <w:rFonts w:hint="eastAsia" w:ascii="宋体" w:hAnsi="宋体" w:cs="宋体"/>
          <w:szCs w:val="21"/>
        </w:rPr>
        <w:t>1.1.3.7 临时设施：指为完成合同约定的各项工作所服务的临时性生产和生活设施。</w:t>
      </w:r>
    </w:p>
    <w:p w14:paraId="5454A4E1">
      <w:pPr>
        <w:spacing w:line="400" w:lineRule="exact"/>
        <w:ind w:firstLine="718" w:firstLineChars="342"/>
        <w:rPr>
          <w:rFonts w:hint="eastAsia" w:ascii="宋体" w:hAnsi="宋体" w:cs="宋体"/>
          <w:szCs w:val="21"/>
        </w:rPr>
      </w:pPr>
      <w:r>
        <w:rPr>
          <w:rFonts w:hint="eastAsia" w:ascii="宋体" w:hAnsi="宋体" w:cs="宋体"/>
          <w:szCs w:val="21"/>
        </w:rPr>
        <w:t>1.1.3.8 承包人设备：指承包人自带的施工设备。</w:t>
      </w:r>
    </w:p>
    <w:p w14:paraId="55C037D1">
      <w:pPr>
        <w:spacing w:line="400" w:lineRule="exact"/>
        <w:ind w:firstLine="718" w:firstLineChars="342"/>
        <w:rPr>
          <w:rFonts w:hint="eastAsia" w:ascii="宋体" w:hAnsi="宋体" w:cs="宋体"/>
          <w:szCs w:val="21"/>
        </w:rPr>
      </w:pPr>
      <w:r>
        <w:rPr>
          <w:rFonts w:hint="eastAsia" w:ascii="宋体" w:hAnsi="宋体" w:cs="宋体"/>
          <w:szCs w:val="21"/>
        </w:rPr>
        <w:t>1.1.3.9 施工场地（或称工地、现场）：指用于合同工程施工的场所，以及在合同中指定作为施工场地组成部分的其他场所，包括永久占地和临时占地。</w:t>
      </w:r>
    </w:p>
    <w:p w14:paraId="676782C1">
      <w:pPr>
        <w:spacing w:line="360" w:lineRule="auto"/>
        <w:ind w:right="248" w:firstLine="707" w:firstLineChars="337"/>
        <w:rPr>
          <w:rFonts w:hint="eastAsia" w:ascii="宋体" w:hAnsi="宋体" w:cs="宋体"/>
          <w:szCs w:val="21"/>
        </w:rPr>
      </w:pPr>
      <w:bookmarkStart w:id="31" w:name="_Toc221950674"/>
      <w:r>
        <w:rPr>
          <w:rFonts w:hint="eastAsia" w:ascii="宋体" w:hAnsi="宋体" w:cs="宋体"/>
          <w:szCs w:val="21"/>
        </w:rPr>
        <w:t>1.1.3.10 永久占地：指发包人为建设本合同工程永久征用的场地。</w:t>
      </w:r>
      <w:bookmarkEnd w:id="31"/>
    </w:p>
    <w:p w14:paraId="37731FA4">
      <w:pPr>
        <w:autoSpaceDE w:val="0"/>
        <w:autoSpaceDN w:val="0"/>
        <w:adjustRightInd w:val="0"/>
        <w:ind w:firstLine="707" w:firstLineChars="337"/>
        <w:jc w:val="left"/>
        <w:rPr>
          <w:rFonts w:hint="eastAsia" w:ascii="宋体" w:hAnsi="宋体" w:cs="宋体"/>
          <w:kern w:val="0"/>
          <w:szCs w:val="21"/>
        </w:rPr>
      </w:pPr>
      <w:bookmarkStart w:id="32" w:name="_Toc221950675"/>
      <w:r>
        <w:rPr>
          <w:rFonts w:hint="eastAsia" w:ascii="宋体" w:hAnsi="宋体" w:cs="宋体"/>
          <w:szCs w:val="21"/>
        </w:rPr>
        <w:t>1.1.3.11 临时占地：指发包人为建设本合同工程临时征用，并应在完工后须按合同要求退还的场地</w:t>
      </w:r>
      <w:bookmarkEnd w:id="32"/>
    </w:p>
    <w:p w14:paraId="5AF595D1">
      <w:pPr>
        <w:autoSpaceDE w:val="0"/>
        <w:autoSpaceDN w:val="0"/>
        <w:adjustRightInd w:val="0"/>
        <w:ind w:firstLine="707" w:firstLineChars="337"/>
        <w:jc w:val="left"/>
        <w:rPr>
          <w:rFonts w:hint="eastAsia" w:ascii="宋体" w:hAnsi="宋体" w:eastAsia="宋体" w:cs="宋体"/>
          <w:szCs w:val="21"/>
        </w:rPr>
      </w:pPr>
      <w:bookmarkStart w:id="33" w:name="_Toc221950676"/>
      <w:r>
        <w:rPr>
          <w:rFonts w:hint="eastAsia" w:ascii="宋体" w:hAnsi="宋体" w:eastAsia="宋体" w:cs="宋体"/>
          <w:szCs w:val="21"/>
        </w:rPr>
        <w:t xml:space="preserve">1.1.4 </w:t>
      </w:r>
      <w:bookmarkEnd w:id="33"/>
      <w:r>
        <w:rPr>
          <w:rFonts w:hint="eastAsia" w:ascii="宋体" w:hAnsi="宋体" w:eastAsia="宋体" w:cs="宋体"/>
          <w:szCs w:val="21"/>
        </w:rPr>
        <w:t xml:space="preserve">日期： </w:t>
      </w:r>
    </w:p>
    <w:p w14:paraId="4DED10F6">
      <w:pPr>
        <w:spacing w:line="400" w:lineRule="exact"/>
        <w:ind w:firstLine="718" w:firstLineChars="342"/>
        <w:rPr>
          <w:rFonts w:hint="eastAsia" w:ascii="宋体" w:hAnsi="宋体" w:cs="宋体"/>
          <w:szCs w:val="21"/>
        </w:rPr>
      </w:pPr>
      <w:r>
        <w:rPr>
          <w:rFonts w:hint="eastAsia" w:ascii="宋体" w:hAnsi="宋体" w:cs="宋体"/>
          <w:szCs w:val="21"/>
        </w:rPr>
        <w:t>1.1.4.1 开工通知：指监理人按第11.1款通知承包人开工的函件。</w:t>
      </w:r>
    </w:p>
    <w:p w14:paraId="0EB040E5">
      <w:pPr>
        <w:spacing w:line="400" w:lineRule="exact"/>
        <w:ind w:firstLine="718" w:firstLineChars="342"/>
        <w:rPr>
          <w:rFonts w:hint="eastAsia" w:ascii="宋体" w:hAnsi="宋体" w:cs="宋体"/>
          <w:szCs w:val="21"/>
        </w:rPr>
      </w:pPr>
      <w:r>
        <w:rPr>
          <w:rFonts w:hint="eastAsia" w:ascii="宋体" w:hAnsi="宋体" w:cs="宋体"/>
          <w:szCs w:val="21"/>
        </w:rPr>
        <w:t>1.1.4.2 开工日期：指监理人按第11.1款发出的开工通知中写明的开工日期。</w:t>
      </w:r>
    </w:p>
    <w:p w14:paraId="6230828A">
      <w:pPr>
        <w:spacing w:line="400" w:lineRule="exact"/>
        <w:ind w:firstLine="718" w:firstLineChars="342"/>
        <w:rPr>
          <w:rFonts w:hint="eastAsia" w:ascii="宋体" w:hAnsi="宋体" w:cs="宋体"/>
          <w:szCs w:val="21"/>
        </w:rPr>
      </w:pPr>
      <w:r>
        <w:rPr>
          <w:rFonts w:hint="eastAsia" w:ascii="宋体" w:hAnsi="宋体" w:cs="宋体"/>
          <w:szCs w:val="21"/>
        </w:rPr>
        <w:t>1.1.4.3工期：指承包人在投标函中承诺的完成合同工程所需的期限，包括按第11.3款、第11.4款和第11.6款约定所作的变更。</w:t>
      </w:r>
    </w:p>
    <w:p w14:paraId="3C669DEA">
      <w:pPr>
        <w:spacing w:line="400" w:lineRule="exact"/>
        <w:ind w:firstLine="718" w:firstLineChars="342"/>
        <w:rPr>
          <w:rFonts w:hint="eastAsia" w:ascii="宋体" w:hAnsi="宋体" w:cs="宋体"/>
          <w:szCs w:val="21"/>
        </w:rPr>
      </w:pPr>
      <w:r>
        <w:rPr>
          <w:rFonts w:hint="eastAsia" w:ascii="宋体" w:hAnsi="宋体" w:cs="宋体"/>
          <w:szCs w:val="21"/>
        </w:rPr>
        <w:t>1.1.4.4 竣工日期：即合同工程完工日期，指第1.1.4.3目约定工期届满时的日期。实际完工日期以合同工程完工证书中写明的日期为准。</w:t>
      </w:r>
    </w:p>
    <w:p w14:paraId="74788127">
      <w:pPr>
        <w:spacing w:line="400" w:lineRule="exact"/>
        <w:ind w:firstLine="718" w:firstLineChars="342"/>
        <w:rPr>
          <w:rFonts w:hint="eastAsia" w:ascii="宋体" w:hAnsi="宋体" w:cs="宋体"/>
          <w:szCs w:val="21"/>
        </w:rPr>
      </w:pPr>
      <w:r>
        <w:rPr>
          <w:rFonts w:hint="eastAsia" w:ascii="宋体" w:hAnsi="宋体" w:cs="宋体"/>
          <w:szCs w:val="21"/>
        </w:rPr>
        <w:t>1.1.4.5 缺陷责任期：即工程质量保修期，指履行第19.2款约定的缺陷责任的期限，包括根据第19.3款约定所作的延长，具体期限由专用合同条款约定。</w:t>
      </w:r>
    </w:p>
    <w:p w14:paraId="6076C5DF">
      <w:pPr>
        <w:spacing w:line="400" w:lineRule="exact"/>
        <w:ind w:firstLine="718" w:firstLineChars="342"/>
        <w:rPr>
          <w:rFonts w:hint="eastAsia" w:ascii="宋体" w:hAnsi="宋体" w:cs="宋体"/>
          <w:szCs w:val="21"/>
        </w:rPr>
      </w:pPr>
      <w:r>
        <w:rPr>
          <w:rFonts w:hint="eastAsia" w:ascii="宋体" w:hAnsi="宋体" w:cs="宋体"/>
          <w:szCs w:val="21"/>
        </w:rPr>
        <w:t>1.1.4.6 基准日期：指投标截止时间前28天的日期。</w:t>
      </w:r>
    </w:p>
    <w:p w14:paraId="6DE67354">
      <w:pPr>
        <w:spacing w:line="400" w:lineRule="exact"/>
        <w:ind w:firstLine="718" w:firstLineChars="342"/>
        <w:rPr>
          <w:rFonts w:hint="eastAsia" w:ascii="宋体" w:hAnsi="宋体" w:cs="宋体"/>
          <w:szCs w:val="21"/>
        </w:rPr>
      </w:pPr>
      <w:r>
        <w:rPr>
          <w:rFonts w:hint="eastAsia" w:ascii="宋体" w:hAnsi="宋体" w:cs="宋体"/>
          <w:szCs w:val="21"/>
        </w:rPr>
        <w:t>1.1.4.7 天：除特别指明外，指日历天。合同中按天计算时间的，开始当天不计入，从次日开始计算。期限最后一天的截止时间为当天24:00。</w:t>
      </w:r>
    </w:p>
    <w:p w14:paraId="77F2CBC3">
      <w:pPr>
        <w:spacing w:line="400" w:lineRule="exact"/>
        <w:ind w:firstLine="420" w:firstLineChars="200"/>
        <w:rPr>
          <w:rFonts w:hint="eastAsia" w:ascii="宋体" w:hAnsi="宋体" w:cs="宋体"/>
          <w:szCs w:val="21"/>
        </w:rPr>
      </w:pPr>
      <w:r>
        <w:rPr>
          <w:rFonts w:hint="eastAsia" w:ascii="宋体" w:hAnsi="宋体" w:cs="宋体"/>
          <w:szCs w:val="21"/>
        </w:rPr>
        <w:t>1.1.5 合同价格和费用</w:t>
      </w:r>
    </w:p>
    <w:p w14:paraId="0781C1F6">
      <w:pPr>
        <w:spacing w:line="400" w:lineRule="exact"/>
        <w:ind w:firstLine="718" w:firstLineChars="342"/>
        <w:rPr>
          <w:rFonts w:hint="eastAsia" w:ascii="宋体" w:hAnsi="宋体" w:cs="宋体"/>
          <w:szCs w:val="21"/>
        </w:rPr>
      </w:pPr>
      <w:r>
        <w:rPr>
          <w:rFonts w:hint="eastAsia" w:ascii="宋体" w:hAnsi="宋体" w:cs="宋体"/>
          <w:szCs w:val="21"/>
        </w:rPr>
        <w:t>1.1.5.1 签约合同价：指签定合同时合同协议书中写明的，包括了暂列金额、暂估价的合同总金额。</w:t>
      </w:r>
    </w:p>
    <w:p w14:paraId="08249972">
      <w:pPr>
        <w:spacing w:line="400" w:lineRule="exact"/>
        <w:ind w:firstLine="718" w:firstLineChars="342"/>
        <w:rPr>
          <w:rFonts w:hint="eastAsia" w:ascii="宋体" w:hAnsi="宋体" w:cs="宋体"/>
          <w:szCs w:val="21"/>
        </w:rPr>
      </w:pPr>
      <w:r>
        <w:rPr>
          <w:rFonts w:hint="eastAsia" w:ascii="宋体" w:hAnsi="宋体" w:cs="宋体"/>
          <w:szCs w:val="21"/>
        </w:rPr>
        <w:t>1.1.5.2 合同价格：指承包人按合同约定完成了包括缺陷责任期内的全部承包工作后，发包人应付给承包人的金额，包括在履行合同过程中按合同约定进行的变更和调整。</w:t>
      </w:r>
    </w:p>
    <w:p w14:paraId="53003FAB">
      <w:pPr>
        <w:spacing w:line="400" w:lineRule="exact"/>
        <w:ind w:firstLine="718" w:firstLineChars="342"/>
        <w:rPr>
          <w:rFonts w:hint="eastAsia" w:ascii="宋体" w:hAnsi="宋体" w:cs="宋体"/>
          <w:szCs w:val="21"/>
        </w:rPr>
      </w:pPr>
      <w:r>
        <w:rPr>
          <w:rFonts w:hint="eastAsia" w:ascii="宋体" w:hAnsi="宋体" w:cs="宋体"/>
          <w:szCs w:val="21"/>
        </w:rPr>
        <w:t>1.1.5.3 费用：指为履行合同所发生的或将要发生的所有合理开支，包括管理费和应分摊的其他费用，但不包括利润。</w:t>
      </w:r>
    </w:p>
    <w:p w14:paraId="3C5604FB">
      <w:pPr>
        <w:spacing w:line="400" w:lineRule="exact"/>
        <w:ind w:firstLine="718" w:firstLineChars="342"/>
        <w:rPr>
          <w:rFonts w:hint="eastAsia" w:ascii="宋体" w:hAnsi="宋体" w:cs="宋体"/>
          <w:szCs w:val="21"/>
        </w:rPr>
      </w:pPr>
      <w:r>
        <w:rPr>
          <w:rFonts w:hint="eastAsia" w:ascii="宋体" w:hAnsi="宋体" w:cs="宋体"/>
          <w:szCs w:val="21"/>
        </w:rPr>
        <w:t>1.1.5.4 暂列金额：指已标价工程量清单中所列的暂列金额，用于在签订协议书时尚未确定或不可预见变更的施工及其所需材料、工程设备、服务等的金额，包括以计日工方式支付的金额。</w:t>
      </w:r>
    </w:p>
    <w:p w14:paraId="39EFC01C">
      <w:pPr>
        <w:spacing w:line="400" w:lineRule="exact"/>
        <w:ind w:firstLine="718" w:firstLineChars="342"/>
        <w:rPr>
          <w:rFonts w:hint="eastAsia" w:ascii="宋体" w:hAnsi="宋体" w:cs="宋体"/>
          <w:szCs w:val="21"/>
        </w:rPr>
      </w:pPr>
      <w:r>
        <w:rPr>
          <w:rFonts w:hint="eastAsia" w:ascii="宋体" w:hAnsi="宋体" w:cs="宋体"/>
          <w:szCs w:val="21"/>
        </w:rPr>
        <w:t>1.1.5.5暂估价：指发包人在工程量清单中给定的用于支付必然发生但暂时不能确定价格的材料、设备以及专业工程的金额。</w:t>
      </w:r>
    </w:p>
    <w:p w14:paraId="311BD06A">
      <w:pPr>
        <w:spacing w:line="400" w:lineRule="exact"/>
        <w:ind w:firstLine="718" w:firstLineChars="342"/>
        <w:rPr>
          <w:rFonts w:hint="eastAsia" w:ascii="宋体" w:hAnsi="宋体" w:cs="宋体"/>
          <w:szCs w:val="21"/>
        </w:rPr>
      </w:pPr>
      <w:r>
        <w:rPr>
          <w:rFonts w:hint="eastAsia" w:ascii="宋体" w:hAnsi="宋体" w:cs="宋体"/>
          <w:szCs w:val="21"/>
        </w:rPr>
        <w:t>1.1.5.6 计日工：指对零星工作采取的一种计价方式，按合同中的计日工子目及其单价计价付款。</w:t>
      </w:r>
    </w:p>
    <w:p w14:paraId="7D284EBD">
      <w:pPr>
        <w:spacing w:line="400" w:lineRule="exact"/>
        <w:ind w:firstLine="718" w:firstLineChars="342"/>
        <w:rPr>
          <w:rFonts w:hint="eastAsia" w:ascii="宋体" w:hAnsi="宋体" w:cs="宋体"/>
          <w:szCs w:val="21"/>
        </w:rPr>
      </w:pPr>
      <w:r>
        <w:rPr>
          <w:rFonts w:hint="eastAsia" w:ascii="宋体" w:hAnsi="宋体" w:cs="宋体"/>
          <w:szCs w:val="21"/>
        </w:rPr>
        <w:t>1.1.5.7 质量保证金（或称保留金）：指按第17.4.1项约定用于保证在缺陷责任期内履行缺陷修复义务的金额。</w:t>
      </w:r>
    </w:p>
    <w:p w14:paraId="32A59021">
      <w:pPr>
        <w:spacing w:line="400" w:lineRule="exact"/>
        <w:ind w:firstLine="718" w:firstLineChars="342"/>
        <w:rPr>
          <w:rFonts w:hint="eastAsia" w:ascii="宋体" w:hAnsi="宋体" w:eastAsia="宋体" w:cs="宋体"/>
          <w:szCs w:val="21"/>
        </w:rPr>
      </w:pPr>
      <w:bookmarkStart w:id="34" w:name="_Toc221950693"/>
      <w:r>
        <w:rPr>
          <w:rFonts w:hint="eastAsia" w:ascii="宋体" w:hAnsi="宋体" w:eastAsia="宋体" w:cs="宋体"/>
          <w:szCs w:val="21"/>
        </w:rPr>
        <w:t>1.1.6 其他</w:t>
      </w:r>
    </w:p>
    <w:p w14:paraId="0C455DEA">
      <w:pPr>
        <w:spacing w:line="400" w:lineRule="exact"/>
        <w:ind w:firstLine="718" w:firstLineChars="342"/>
        <w:rPr>
          <w:rFonts w:hint="eastAsia" w:ascii="宋体" w:hAnsi="宋体" w:cs="宋体"/>
          <w:szCs w:val="21"/>
        </w:rPr>
      </w:pPr>
      <w:r>
        <w:rPr>
          <w:rFonts w:hint="eastAsia" w:ascii="宋体" w:hAnsi="宋体" w:cs="宋体"/>
          <w:szCs w:val="21"/>
        </w:rPr>
        <w:t>1.1.6.1 书面形式：指合同文件、信函、电报、传真等可以有形地表现所载内容的形式。</w:t>
      </w:r>
    </w:p>
    <w:p w14:paraId="0A946EF4">
      <w:pPr>
        <w:keepNext/>
        <w:keepLines/>
        <w:spacing w:line="400" w:lineRule="exact"/>
        <w:outlineLvl w:val="2"/>
        <w:rPr>
          <w:rFonts w:hint="eastAsia" w:ascii="宋体" w:hAnsi="宋体" w:cs="宋体"/>
          <w:szCs w:val="21"/>
        </w:rPr>
      </w:pPr>
      <w:bookmarkStart w:id="35" w:name="_Toc144974581"/>
      <w:bookmarkStart w:id="36" w:name="_Toc152045613"/>
      <w:bookmarkStart w:id="37" w:name="_Toc179632631"/>
      <w:bookmarkStart w:id="38" w:name="_Toc152042391"/>
      <w:r>
        <w:rPr>
          <w:rFonts w:hint="eastAsia" w:ascii="宋体" w:hAnsi="宋体" w:cs="宋体"/>
          <w:szCs w:val="21"/>
        </w:rPr>
        <w:t>1.2 语言文字</w:t>
      </w:r>
      <w:bookmarkEnd w:id="35"/>
      <w:bookmarkEnd w:id="36"/>
      <w:bookmarkEnd w:id="37"/>
      <w:bookmarkEnd w:id="38"/>
    </w:p>
    <w:p w14:paraId="560F2A4D">
      <w:pPr>
        <w:spacing w:line="400" w:lineRule="exact"/>
        <w:ind w:firstLine="420" w:firstLineChars="200"/>
        <w:rPr>
          <w:rFonts w:hint="eastAsia" w:ascii="宋体" w:hAnsi="宋体" w:cs="宋体"/>
          <w:szCs w:val="21"/>
        </w:rPr>
      </w:pPr>
      <w:r>
        <w:rPr>
          <w:rFonts w:hint="eastAsia" w:ascii="宋体" w:hAnsi="宋体" w:cs="宋体"/>
          <w:szCs w:val="21"/>
        </w:rPr>
        <w:t>除专用术语外，合同使用的语言文字为中文。必要时专用术语应附有中文注释。</w:t>
      </w:r>
    </w:p>
    <w:p w14:paraId="39834133">
      <w:pPr>
        <w:keepNext/>
        <w:keepLines/>
        <w:spacing w:line="400" w:lineRule="exact"/>
        <w:outlineLvl w:val="2"/>
        <w:rPr>
          <w:rFonts w:hint="eastAsia" w:ascii="宋体" w:hAnsi="宋体" w:cs="宋体"/>
          <w:szCs w:val="21"/>
        </w:rPr>
      </w:pPr>
      <w:bookmarkStart w:id="39" w:name="_Toc152045614"/>
      <w:bookmarkStart w:id="40" w:name="_Toc152042392"/>
      <w:bookmarkStart w:id="41" w:name="_Toc144974582"/>
      <w:bookmarkStart w:id="42" w:name="_Toc179632632"/>
      <w:r>
        <w:rPr>
          <w:rFonts w:hint="eastAsia" w:ascii="宋体" w:hAnsi="宋体" w:cs="宋体"/>
          <w:szCs w:val="21"/>
        </w:rPr>
        <w:t>1.3 法律</w:t>
      </w:r>
      <w:bookmarkEnd w:id="39"/>
      <w:bookmarkEnd w:id="40"/>
      <w:bookmarkEnd w:id="41"/>
      <w:bookmarkEnd w:id="42"/>
    </w:p>
    <w:p w14:paraId="60DF75A6">
      <w:pPr>
        <w:spacing w:line="400" w:lineRule="exact"/>
        <w:ind w:firstLine="420" w:firstLineChars="200"/>
        <w:rPr>
          <w:rFonts w:hint="eastAsia" w:ascii="宋体" w:hAnsi="宋体" w:cs="宋体"/>
          <w:szCs w:val="21"/>
        </w:rPr>
      </w:pPr>
      <w:r>
        <w:rPr>
          <w:rFonts w:hint="eastAsia" w:ascii="宋体" w:hAnsi="宋体" w:cs="宋体"/>
          <w:szCs w:val="21"/>
        </w:rPr>
        <w:t>适用于合同的法律包括中华人民共和国法律、行政法规、部门规章，以及工程所在地的地方法规、自治条例、单行条例和地方政府规章。</w:t>
      </w:r>
    </w:p>
    <w:p w14:paraId="153DCE2B">
      <w:pPr>
        <w:keepNext/>
        <w:keepLines/>
        <w:spacing w:line="400" w:lineRule="exact"/>
        <w:outlineLvl w:val="2"/>
        <w:rPr>
          <w:rFonts w:hint="eastAsia" w:ascii="宋体" w:hAnsi="宋体" w:cs="宋体"/>
          <w:szCs w:val="21"/>
        </w:rPr>
      </w:pPr>
      <w:bookmarkStart w:id="43" w:name="_Toc144974583"/>
      <w:bookmarkStart w:id="44" w:name="_Toc152045615"/>
      <w:bookmarkStart w:id="45" w:name="_Toc152042393"/>
      <w:bookmarkStart w:id="46" w:name="_Toc179632633"/>
      <w:r>
        <w:rPr>
          <w:rFonts w:hint="eastAsia" w:ascii="宋体" w:hAnsi="宋体" w:cs="宋体"/>
          <w:szCs w:val="21"/>
        </w:rPr>
        <w:t>1.4 合同文件的优先顺序</w:t>
      </w:r>
      <w:bookmarkEnd w:id="43"/>
      <w:bookmarkEnd w:id="44"/>
      <w:bookmarkEnd w:id="45"/>
      <w:bookmarkEnd w:id="46"/>
    </w:p>
    <w:p w14:paraId="4997D035">
      <w:pPr>
        <w:spacing w:line="400" w:lineRule="exact"/>
        <w:ind w:firstLine="420" w:firstLineChars="200"/>
        <w:rPr>
          <w:rFonts w:hint="eastAsia" w:ascii="宋体" w:hAnsi="宋体" w:cs="宋体"/>
          <w:szCs w:val="21"/>
        </w:rPr>
      </w:pPr>
      <w:r>
        <w:rPr>
          <w:rFonts w:hint="eastAsia" w:ascii="宋体" w:hAnsi="宋体" w:cs="宋体"/>
          <w:szCs w:val="21"/>
        </w:rPr>
        <w:t>组成合同的各项文件应互相解释，互为说明。除专用合同条款另有约定外，解释合同文件的优先顺序如下：</w:t>
      </w:r>
    </w:p>
    <w:p w14:paraId="79AB51E0">
      <w:pPr>
        <w:spacing w:line="400" w:lineRule="exact"/>
        <w:ind w:firstLine="359" w:firstLineChars="171"/>
        <w:rPr>
          <w:rFonts w:hint="eastAsia" w:ascii="宋体" w:hAnsi="宋体" w:cs="宋体"/>
          <w:szCs w:val="21"/>
        </w:rPr>
      </w:pPr>
      <w:r>
        <w:rPr>
          <w:rFonts w:hint="eastAsia" w:ascii="宋体" w:hAnsi="宋体" w:cs="宋体"/>
          <w:szCs w:val="21"/>
        </w:rPr>
        <w:t>（1）合同协议书；</w:t>
      </w:r>
    </w:p>
    <w:p w14:paraId="32EEC3E2">
      <w:pPr>
        <w:spacing w:line="400" w:lineRule="exact"/>
        <w:ind w:firstLine="359" w:firstLineChars="171"/>
        <w:rPr>
          <w:rFonts w:hint="eastAsia" w:ascii="宋体" w:hAnsi="宋体" w:cs="宋体"/>
          <w:szCs w:val="21"/>
        </w:rPr>
      </w:pPr>
      <w:r>
        <w:rPr>
          <w:rFonts w:hint="eastAsia" w:ascii="宋体" w:hAnsi="宋体" w:cs="宋体"/>
          <w:szCs w:val="21"/>
        </w:rPr>
        <w:t>（2）中标通知书；</w:t>
      </w:r>
    </w:p>
    <w:p w14:paraId="20ACD49D">
      <w:pPr>
        <w:spacing w:line="400" w:lineRule="exact"/>
        <w:ind w:firstLine="359" w:firstLineChars="171"/>
        <w:rPr>
          <w:rFonts w:hint="eastAsia" w:ascii="宋体" w:hAnsi="宋体" w:cs="宋体"/>
          <w:szCs w:val="21"/>
        </w:rPr>
      </w:pPr>
      <w:r>
        <w:rPr>
          <w:rFonts w:hint="eastAsia" w:ascii="宋体" w:hAnsi="宋体" w:cs="宋体"/>
          <w:szCs w:val="21"/>
        </w:rPr>
        <w:t>（3）投标函及投标函附录；</w:t>
      </w:r>
    </w:p>
    <w:p w14:paraId="46127D34">
      <w:pPr>
        <w:spacing w:line="400" w:lineRule="exact"/>
        <w:ind w:firstLine="359" w:firstLineChars="171"/>
        <w:rPr>
          <w:rFonts w:hint="eastAsia" w:ascii="宋体" w:hAnsi="宋体" w:cs="宋体"/>
          <w:szCs w:val="21"/>
        </w:rPr>
      </w:pPr>
      <w:r>
        <w:rPr>
          <w:rFonts w:hint="eastAsia" w:ascii="宋体" w:hAnsi="宋体" w:cs="宋体"/>
          <w:szCs w:val="21"/>
        </w:rPr>
        <w:t>（4）专用合同条款；</w:t>
      </w:r>
    </w:p>
    <w:p w14:paraId="25364525">
      <w:pPr>
        <w:spacing w:line="400" w:lineRule="exact"/>
        <w:ind w:firstLine="359" w:firstLineChars="171"/>
        <w:rPr>
          <w:rFonts w:hint="eastAsia" w:ascii="宋体" w:hAnsi="宋体" w:cs="宋体"/>
          <w:szCs w:val="21"/>
        </w:rPr>
      </w:pPr>
      <w:r>
        <w:rPr>
          <w:rFonts w:hint="eastAsia" w:ascii="宋体" w:hAnsi="宋体" w:cs="宋体"/>
          <w:szCs w:val="21"/>
        </w:rPr>
        <w:t>（5）通用合同条款；</w:t>
      </w:r>
    </w:p>
    <w:p w14:paraId="6CDE6247">
      <w:pPr>
        <w:spacing w:line="400" w:lineRule="exact"/>
        <w:ind w:firstLine="359" w:firstLineChars="171"/>
        <w:rPr>
          <w:rFonts w:hint="eastAsia" w:ascii="宋体" w:hAnsi="宋体" w:cs="宋体"/>
          <w:szCs w:val="21"/>
        </w:rPr>
      </w:pPr>
      <w:r>
        <w:rPr>
          <w:rFonts w:hint="eastAsia" w:ascii="宋体" w:hAnsi="宋体" w:cs="宋体"/>
          <w:szCs w:val="21"/>
        </w:rPr>
        <w:t>（6）技术标准和要求；</w:t>
      </w:r>
    </w:p>
    <w:p w14:paraId="01A422A7">
      <w:pPr>
        <w:spacing w:line="400" w:lineRule="exact"/>
        <w:ind w:firstLine="359" w:firstLineChars="171"/>
        <w:rPr>
          <w:rFonts w:hint="eastAsia" w:ascii="宋体" w:hAnsi="宋体" w:cs="宋体"/>
          <w:szCs w:val="21"/>
        </w:rPr>
      </w:pPr>
      <w:r>
        <w:rPr>
          <w:rFonts w:hint="eastAsia" w:ascii="宋体" w:hAnsi="宋体" w:cs="宋体"/>
          <w:szCs w:val="21"/>
        </w:rPr>
        <w:t>（7）图纸；</w:t>
      </w:r>
    </w:p>
    <w:p w14:paraId="530BB712">
      <w:pPr>
        <w:spacing w:line="400" w:lineRule="exact"/>
        <w:ind w:firstLine="359" w:firstLineChars="171"/>
        <w:rPr>
          <w:rFonts w:hint="eastAsia" w:ascii="宋体" w:hAnsi="宋体" w:cs="宋体"/>
          <w:szCs w:val="21"/>
        </w:rPr>
      </w:pPr>
      <w:r>
        <w:rPr>
          <w:rFonts w:hint="eastAsia" w:ascii="宋体" w:hAnsi="宋体" w:cs="宋体"/>
          <w:szCs w:val="21"/>
        </w:rPr>
        <w:t>（8）已标价工程量清单；</w:t>
      </w:r>
    </w:p>
    <w:p w14:paraId="6C829DBD">
      <w:pPr>
        <w:spacing w:line="400" w:lineRule="exact"/>
        <w:ind w:firstLine="359" w:firstLineChars="171"/>
        <w:rPr>
          <w:rFonts w:hint="eastAsia" w:ascii="宋体" w:hAnsi="宋体" w:cs="宋体"/>
          <w:szCs w:val="21"/>
        </w:rPr>
      </w:pPr>
      <w:r>
        <w:rPr>
          <w:rFonts w:hint="eastAsia" w:ascii="宋体" w:hAnsi="宋体" w:cs="宋体"/>
          <w:szCs w:val="21"/>
        </w:rPr>
        <w:t>（9）其他合同文件。</w:t>
      </w:r>
    </w:p>
    <w:p w14:paraId="4DC8223F">
      <w:pPr>
        <w:keepNext/>
        <w:keepLines/>
        <w:spacing w:line="400" w:lineRule="exact"/>
        <w:outlineLvl w:val="2"/>
        <w:rPr>
          <w:rFonts w:hint="eastAsia" w:ascii="宋体" w:hAnsi="宋体" w:cs="宋体"/>
          <w:szCs w:val="21"/>
        </w:rPr>
      </w:pPr>
      <w:bookmarkStart w:id="47" w:name="_Toc152042394"/>
      <w:bookmarkStart w:id="48" w:name="_Toc144974584"/>
      <w:bookmarkStart w:id="49" w:name="_Toc179632634"/>
      <w:bookmarkStart w:id="50" w:name="_Toc152045616"/>
      <w:r>
        <w:rPr>
          <w:rFonts w:hint="eastAsia" w:ascii="宋体" w:hAnsi="宋体" w:cs="宋体"/>
          <w:szCs w:val="21"/>
        </w:rPr>
        <w:t>1.5 合同协议书</w:t>
      </w:r>
      <w:bookmarkEnd w:id="47"/>
      <w:bookmarkEnd w:id="48"/>
      <w:bookmarkEnd w:id="49"/>
      <w:bookmarkEnd w:id="50"/>
    </w:p>
    <w:p w14:paraId="18E38342">
      <w:pPr>
        <w:spacing w:line="400" w:lineRule="exact"/>
        <w:ind w:firstLine="420" w:firstLineChars="200"/>
        <w:rPr>
          <w:rFonts w:hint="eastAsia" w:ascii="宋体" w:hAnsi="宋体" w:cs="宋体"/>
          <w:szCs w:val="21"/>
        </w:rPr>
      </w:pPr>
      <w:r>
        <w:rPr>
          <w:rFonts w:hint="eastAsia" w:ascii="宋体" w:hAnsi="宋体" w:cs="宋体"/>
          <w:szCs w:val="21"/>
        </w:rPr>
        <w:t>承包人按中标通知书规定的时间与发包人签订合同协议书。除法律另有规定或合同另有约定外，发包人和承包人的法定代表人或其委托代理人在合同协议书上签字并盖单位公章后，合同生效。</w:t>
      </w:r>
    </w:p>
    <w:p w14:paraId="7494EE5E">
      <w:pPr>
        <w:pStyle w:val="5"/>
        <w:rPr>
          <w:rFonts w:hint="eastAsia" w:ascii="宋体" w:hAnsi="宋体" w:cs="宋体"/>
          <w:sz w:val="28"/>
          <w:szCs w:val="28"/>
        </w:rPr>
      </w:pPr>
      <w:r>
        <w:rPr>
          <w:rFonts w:hint="eastAsia" w:ascii="宋体" w:hAnsi="宋体" w:cs="宋体"/>
          <w:sz w:val="28"/>
          <w:szCs w:val="28"/>
        </w:rPr>
        <w:t>1.6图纸和承包人文件</w:t>
      </w:r>
    </w:p>
    <w:bookmarkEnd w:id="34"/>
    <w:p w14:paraId="334FC598">
      <w:pPr>
        <w:spacing w:line="400" w:lineRule="exact"/>
        <w:ind w:firstLine="420" w:firstLineChars="200"/>
        <w:rPr>
          <w:rFonts w:hint="eastAsia" w:ascii="宋体" w:hAnsi="宋体" w:cs="宋体"/>
          <w:szCs w:val="21"/>
        </w:rPr>
      </w:pPr>
      <w:bookmarkStart w:id="51" w:name="_Toc221950695"/>
      <w:r>
        <w:rPr>
          <w:rFonts w:hint="eastAsia" w:ascii="宋体" w:hAnsi="宋体" w:cs="宋体"/>
          <w:szCs w:val="21"/>
        </w:rPr>
        <w:t>1.6.1图纸的提供</w:t>
      </w:r>
    </w:p>
    <w:p w14:paraId="3F3FD5A3">
      <w:pPr>
        <w:spacing w:line="400" w:lineRule="exact"/>
        <w:ind w:firstLine="420" w:firstLineChars="200"/>
        <w:rPr>
          <w:rFonts w:hint="eastAsia" w:ascii="宋体" w:hAnsi="宋体" w:cs="宋体"/>
          <w:szCs w:val="21"/>
        </w:rPr>
      </w:pPr>
      <w:r>
        <w:rPr>
          <w:rFonts w:hint="eastAsia" w:ascii="宋体" w:hAnsi="宋体" w:cs="宋体"/>
          <w:szCs w:val="21"/>
        </w:rPr>
        <w:t>发包人应按技术标准和要求（合同技术条款）约定的期限和数量将施工图纸以及其它图纸（包括配套说明和有关资料）提供给承包人。由于发包人未按时提供图纸造成工期延误的，按第11.3款的约定办理。</w:t>
      </w:r>
    </w:p>
    <w:bookmarkEnd w:id="51"/>
    <w:p w14:paraId="4B1600F5">
      <w:pPr>
        <w:spacing w:line="400" w:lineRule="exact"/>
        <w:ind w:firstLine="420" w:firstLineChars="200"/>
        <w:rPr>
          <w:rFonts w:hint="eastAsia" w:ascii="宋体" w:hAnsi="宋体" w:cs="宋体"/>
          <w:szCs w:val="21"/>
        </w:rPr>
      </w:pPr>
      <w:r>
        <w:rPr>
          <w:rFonts w:hint="eastAsia" w:ascii="宋体" w:hAnsi="宋体" w:cs="宋体"/>
          <w:szCs w:val="21"/>
        </w:rPr>
        <w:t>1.6.2 承包人提供的文件</w:t>
      </w:r>
    </w:p>
    <w:p w14:paraId="5968E390">
      <w:pPr>
        <w:spacing w:line="400" w:lineRule="exact"/>
        <w:rPr>
          <w:rFonts w:hint="eastAsia" w:ascii="宋体" w:hAnsi="宋体" w:cs="宋体"/>
          <w:szCs w:val="21"/>
        </w:rPr>
      </w:pPr>
      <w:r>
        <w:rPr>
          <w:rFonts w:hint="eastAsia" w:ascii="宋体" w:hAnsi="宋体" w:cs="宋体"/>
          <w:szCs w:val="21"/>
        </w:rPr>
        <w:t>　　承包人提供的文件应按技术标准和要求（合同技术条款）约定的期限和数量提供给监理人。监理人应按技术标准和要求（合同技术条款）约定的期限批复承包人。</w:t>
      </w:r>
    </w:p>
    <w:p w14:paraId="4F7B1D28">
      <w:pPr>
        <w:spacing w:line="400" w:lineRule="exact"/>
        <w:ind w:firstLine="420" w:firstLineChars="200"/>
        <w:rPr>
          <w:rFonts w:hint="eastAsia" w:ascii="宋体" w:hAnsi="宋体" w:cs="宋体"/>
          <w:szCs w:val="21"/>
        </w:rPr>
      </w:pPr>
      <w:r>
        <w:rPr>
          <w:rFonts w:hint="eastAsia" w:ascii="宋体" w:hAnsi="宋体" w:cs="宋体"/>
          <w:szCs w:val="21"/>
        </w:rPr>
        <w:t>1.6.3 图纸的修改</w:t>
      </w:r>
    </w:p>
    <w:p w14:paraId="77035819">
      <w:pPr>
        <w:spacing w:line="400" w:lineRule="exact"/>
        <w:ind w:firstLine="420" w:firstLineChars="200"/>
        <w:rPr>
          <w:rFonts w:hint="eastAsia" w:ascii="宋体" w:hAnsi="宋体" w:cs="宋体"/>
          <w:szCs w:val="21"/>
        </w:rPr>
      </w:pPr>
      <w:r>
        <w:rPr>
          <w:rFonts w:hint="eastAsia" w:ascii="宋体" w:hAnsi="宋体" w:cs="宋体"/>
          <w:szCs w:val="21"/>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568735E">
      <w:pPr>
        <w:spacing w:line="400" w:lineRule="exact"/>
        <w:ind w:firstLine="420" w:firstLineChars="200"/>
        <w:rPr>
          <w:rFonts w:hint="eastAsia" w:ascii="宋体" w:hAnsi="宋体" w:cs="宋体"/>
          <w:szCs w:val="21"/>
        </w:rPr>
      </w:pPr>
      <w:r>
        <w:rPr>
          <w:rFonts w:hint="eastAsia" w:ascii="宋体" w:hAnsi="宋体" w:cs="宋体"/>
          <w:szCs w:val="21"/>
        </w:rPr>
        <w:t>1.6.4 图纸的错误</w:t>
      </w:r>
    </w:p>
    <w:p w14:paraId="07DFFF19">
      <w:pPr>
        <w:spacing w:line="400" w:lineRule="exact"/>
        <w:ind w:firstLine="420" w:firstLineChars="200"/>
        <w:rPr>
          <w:rFonts w:hint="eastAsia" w:ascii="宋体" w:hAnsi="宋体" w:cs="宋体"/>
          <w:szCs w:val="21"/>
        </w:rPr>
      </w:pPr>
      <w:r>
        <w:rPr>
          <w:rFonts w:hint="eastAsia" w:ascii="宋体" w:hAnsi="宋体" w:cs="宋体"/>
          <w:szCs w:val="21"/>
        </w:rPr>
        <w:t>承包人发现发包人提供的图纸存在明显错误或疏忽，应及时通知监理人。</w:t>
      </w:r>
    </w:p>
    <w:p w14:paraId="45355718">
      <w:pPr>
        <w:spacing w:line="400" w:lineRule="exact"/>
        <w:ind w:firstLine="420" w:firstLineChars="200"/>
        <w:rPr>
          <w:rFonts w:hint="eastAsia" w:ascii="宋体" w:hAnsi="宋体" w:cs="宋体"/>
          <w:szCs w:val="21"/>
        </w:rPr>
      </w:pPr>
      <w:r>
        <w:rPr>
          <w:rFonts w:hint="eastAsia" w:ascii="宋体" w:hAnsi="宋体" w:cs="宋体"/>
          <w:szCs w:val="21"/>
        </w:rPr>
        <w:t>1.6.5 图纸和承包人文件的保管</w:t>
      </w:r>
    </w:p>
    <w:p w14:paraId="4D32E1E6">
      <w:pPr>
        <w:spacing w:line="400" w:lineRule="exact"/>
        <w:ind w:firstLine="420" w:firstLineChars="200"/>
        <w:rPr>
          <w:rFonts w:hint="eastAsia" w:ascii="宋体" w:hAnsi="宋体" w:cs="宋体"/>
          <w:szCs w:val="21"/>
        </w:rPr>
      </w:pPr>
      <w:r>
        <w:rPr>
          <w:rFonts w:hint="eastAsia" w:ascii="宋体" w:hAnsi="宋体" w:cs="宋体"/>
          <w:szCs w:val="21"/>
        </w:rPr>
        <w:t>监理人和承包人均应在施工场地各保存一套完整的包含第1.6.1项、第1.6.2项、第1.6.3项约定内容的图纸和承包人文件。</w:t>
      </w:r>
    </w:p>
    <w:p w14:paraId="5F19A2B9">
      <w:pPr>
        <w:pStyle w:val="5"/>
        <w:rPr>
          <w:rFonts w:hint="eastAsia" w:ascii="宋体" w:hAnsi="宋体" w:cs="宋体"/>
          <w:sz w:val="28"/>
          <w:szCs w:val="28"/>
        </w:rPr>
      </w:pPr>
      <w:bookmarkStart w:id="52" w:name="_Toc221950701"/>
      <w:r>
        <w:rPr>
          <w:rFonts w:hint="eastAsia" w:ascii="宋体" w:hAnsi="宋体" w:cs="宋体"/>
          <w:sz w:val="28"/>
          <w:szCs w:val="28"/>
        </w:rPr>
        <w:t>1.7联络</w:t>
      </w:r>
    </w:p>
    <w:p w14:paraId="2EBB5AF9">
      <w:pPr>
        <w:spacing w:line="400" w:lineRule="exact"/>
        <w:ind w:firstLine="420" w:firstLineChars="200"/>
        <w:rPr>
          <w:rFonts w:hint="eastAsia" w:ascii="宋体" w:hAnsi="宋体" w:cs="宋体"/>
          <w:szCs w:val="21"/>
        </w:rPr>
      </w:pPr>
      <w:r>
        <w:rPr>
          <w:rFonts w:hint="eastAsia" w:ascii="宋体" w:hAnsi="宋体" w:cs="宋体"/>
          <w:szCs w:val="21"/>
        </w:rPr>
        <w:t>1.7.1 与合同有关的通知、批准、证明、证书、指示、要求、请求、同意、意见、确定和决定等，均应采用书面形式。</w:t>
      </w:r>
    </w:p>
    <w:p w14:paraId="7F1F7C8A">
      <w:pPr>
        <w:spacing w:line="360" w:lineRule="auto"/>
        <w:ind w:right="248" w:firstLine="420" w:firstLineChars="200"/>
        <w:rPr>
          <w:rFonts w:hint="eastAsia" w:ascii="宋体" w:hAnsi="宋体" w:cs="宋体"/>
          <w:szCs w:val="21"/>
        </w:rPr>
      </w:pPr>
      <w:r>
        <w:rPr>
          <w:rFonts w:hint="eastAsia" w:ascii="宋体" w:hAnsi="宋体" w:cs="宋体"/>
          <w:szCs w:val="21"/>
        </w:rPr>
        <w:t>1.7.2  第1.7.1项中的通知、批准、证明、证书、指示、要求、请求、同意、意见、确定和决定等来往函件，均应在合同约定的期限内送达指定地点和接收人，并办理签收手续。来往函件的送期限在技术标准和要求（合同技术条款）中约定，送达地点在专用合同条款中约定。</w:t>
      </w:r>
    </w:p>
    <w:p w14:paraId="582DB008">
      <w:pPr>
        <w:spacing w:line="360" w:lineRule="auto"/>
        <w:ind w:right="248" w:firstLine="420" w:firstLineChars="200"/>
        <w:rPr>
          <w:rFonts w:hint="eastAsia" w:ascii="宋体" w:hAnsi="宋体" w:cs="宋体"/>
          <w:szCs w:val="21"/>
        </w:rPr>
      </w:pPr>
      <w:r>
        <w:rPr>
          <w:rFonts w:hint="eastAsia" w:ascii="宋体" w:hAnsi="宋体" w:cs="宋体"/>
          <w:szCs w:val="21"/>
        </w:rPr>
        <w:t>1.7.3  来往函件均应按合同约定的期限及时发出和答复，不得无故扣压和拖延，亦不得拒收。否则，由此造成的后果由责任方负责。</w:t>
      </w:r>
      <w:bookmarkEnd w:id="52"/>
    </w:p>
    <w:p w14:paraId="05DFA4B3">
      <w:pPr>
        <w:keepNext/>
        <w:keepLines/>
        <w:spacing w:line="400" w:lineRule="exact"/>
        <w:outlineLvl w:val="2"/>
        <w:rPr>
          <w:rFonts w:hint="eastAsia" w:ascii="宋体" w:hAnsi="宋体" w:cs="宋体"/>
          <w:szCs w:val="21"/>
        </w:rPr>
      </w:pPr>
      <w:bookmarkStart w:id="53" w:name="_Toc152042397"/>
      <w:bookmarkStart w:id="54" w:name="_Toc179632637"/>
      <w:bookmarkStart w:id="55" w:name="_Toc144974587"/>
      <w:bookmarkStart w:id="56" w:name="_Toc152045619"/>
      <w:r>
        <w:rPr>
          <w:rFonts w:hint="eastAsia" w:ascii="宋体" w:hAnsi="宋体" w:cs="宋体"/>
          <w:szCs w:val="21"/>
        </w:rPr>
        <w:t>1.8 转让</w:t>
      </w:r>
      <w:bookmarkEnd w:id="53"/>
      <w:bookmarkEnd w:id="54"/>
      <w:bookmarkEnd w:id="55"/>
      <w:bookmarkEnd w:id="56"/>
    </w:p>
    <w:p w14:paraId="00CC6740">
      <w:pPr>
        <w:spacing w:line="400" w:lineRule="exact"/>
        <w:ind w:firstLine="420" w:firstLineChars="200"/>
        <w:rPr>
          <w:rFonts w:hint="eastAsia" w:ascii="宋体" w:hAnsi="宋体" w:cs="宋体"/>
          <w:szCs w:val="21"/>
        </w:rPr>
      </w:pPr>
      <w:r>
        <w:rPr>
          <w:rFonts w:hint="eastAsia" w:ascii="宋体" w:hAnsi="宋体" w:cs="宋体"/>
          <w:szCs w:val="21"/>
        </w:rPr>
        <w:t>除合同另有约定外，未经对方当事人同意，一方当事人不得将合同权利全部或部分转让给第三人，也不得全部或部分转移合同义务。</w:t>
      </w:r>
    </w:p>
    <w:p w14:paraId="22AFB434">
      <w:pPr>
        <w:keepNext/>
        <w:keepLines/>
        <w:spacing w:line="400" w:lineRule="exact"/>
        <w:outlineLvl w:val="2"/>
        <w:rPr>
          <w:rFonts w:hint="eastAsia" w:ascii="宋体" w:hAnsi="宋体" w:cs="宋体"/>
          <w:szCs w:val="21"/>
        </w:rPr>
      </w:pPr>
      <w:bookmarkStart w:id="57" w:name="_Toc144974588"/>
      <w:bookmarkStart w:id="58" w:name="_Toc179632638"/>
      <w:bookmarkStart w:id="59" w:name="_Toc152042398"/>
      <w:bookmarkStart w:id="60" w:name="_Toc152045620"/>
      <w:r>
        <w:rPr>
          <w:rFonts w:hint="eastAsia" w:ascii="宋体" w:hAnsi="宋体" w:cs="宋体"/>
          <w:szCs w:val="21"/>
        </w:rPr>
        <w:t>1.9 严禁贿赂</w:t>
      </w:r>
      <w:bookmarkEnd w:id="57"/>
      <w:bookmarkEnd w:id="58"/>
      <w:bookmarkEnd w:id="59"/>
      <w:bookmarkEnd w:id="60"/>
    </w:p>
    <w:p w14:paraId="03299FF0">
      <w:pPr>
        <w:spacing w:line="400" w:lineRule="exact"/>
        <w:ind w:firstLine="420" w:firstLineChars="200"/>
        <w:rPr>
          <w:rFonts w:hint="eastAsia" w:ascii="宋体" w:hAnsi="宋体" w:cs="宋体"/>
          <w:szCs w:val="21"/>
        </w:rPr>
      </w:pPr>
      <w:r>
        <w:rPr>
          <w:rFonts w:hint="eastAsia" w:ascii="宋体" w:hAnsi="宋体" w:cs="宋体"/>
          <w:szCs w:val="21"/>
        </w:rPr>
        <w:t>合同双方当事人不得以贿赂或变相贿赂的方式，谋取不当利益或损害对方权益。因贿赂造成对方损失的，行为人应赔偿损失，并承担相应的法律责任。</w:t>
      </w:r>
    </w:p>
    <w:p w14:paraId="31DFBF3F">
      <w:pPr>
        <w:keepNext/>
        <w:keepLines/>
        <w:spacing w:line="400" w:lineRule="exact"/>
        <w:outlineLvl w:val="2"/>
        <w:rPr>
          <w:rFonts w:hint="eastAsia" w:ascii="宋体" w:hAnsi="宋体" w:cs="宋体"/>
          <w:szCs w:val="21"/>
        </w:rPr>
      </w:pPr>
      <w:bookmarkStart w:id="61" w:name="_Toc152045621"/>
      <w:bookmarkStart w:id="62" w:name="_Toc144974589"/>
      <w:bookmarkStart w:id="63" w:name="_Toc152042399"/>
      <w:bookmarkStart w:id="64" w:name="_Toc179632639"/>
      <w:r>
        <w:rPr>
          <w:rFonts w:hint="eastAsia" w:ascii="宋体" w:hAnsi="宋体" w:cs="宋体"/>
          <w:szCs w:val="21"/>
        </w:rPr>
        <w:t>1.10 化石、文物</w:t>
      </w:r>
      <w:bookmarkEnd w:id="61"/>
      <w:bookmarkEnd w:id="62"/>
      <w:bookmarkEnd w:id="63"/>
      <w:bookmarkEnd w:id="64"/>
    </w:p>
    <w:p w14:paraId="063D3888">
      <w:pPr>
        <w:spacing w:line="400" w:lineRule="exact"/>
        <w:ind w:firstLine="420" w:firstLineChars="200"/>
        <w:rPr>
          <w:rFonts w:hint="eastAsia" w:ascii="宋体" w:hAnsi="宋体" w:cs="宋体"/>
          <w:szCs w:val="21"/>
        </w:rPr>
      </w:pPr>
      <w:r>
        <w:rPr>
          <w:rFonts w:hint="eastAsia" w:ascii="宋体" w:hAnsi="宋体" w:cs="宋体"/>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BF83ABE">
      <w:pPr>
        <w:spacing w:line="400" w:lineRule="exact"/>
        <w:ind w:firstLine="420" w:firstLineChars="200"/>
        <w:rPr>
          <w:rFonts w:hint="eastAsia" w:ascii="宋体" w:hAnsi="宋体" w:cs="宋体"/>
          <w:szCs w:val="21"/>
        </w:rPr>
      </w:pPr>
      <w:r>
        <w:rPr>
          <w:rFonts w:hint="eastAsia" w:ascii="宋体" w:hAnsi="宋体" w:cs="宋体"/>
          <w:szCs w:val="21"/>
        </w:rPr>
        <w:t>1.10.2 承包人发现文物后不及时报告或隐瞒不报，致使文物丢失或损坏的，应赔偿损失，并承担相应的法律责任。</w:t>
      </w:r>
    </w:p>
    <w:p w14:paraId="39E78B54">
      <w:pPr>
        <w:pStyle w:val="5"/>
        <w:rPr>
          <w:rFonts w:hint="eastAsia" w:ascii="宋体" w:hAnsi="宋体" w:cs="宋体"/>
          <w:sz w:val="28"/>
          <w:szCs w:val="28"/>
        </w:rPr>
      </w:pPr>
      <w:r>
        <w:rPr>
          <w:rFonts w:hint="eastAsia" w:ascii="宋体" w:hAnsi="宋体" w:cs="宋体"/>
          <w:sz w:val="28"/>
          <w:szCs w:val="28"/>
        </w:rPr>
        <w:t>1.11专利技术</w:t>
      </w:r>
    </w:p>
    <w:p w14:paraId="49FA406B">
      <w:pPr>
        <w:spacing w:line="400" w:lineRule="exact"/>
        <w:ind w:firstLine="420" w:firstLineChars="200"/>
        <w:rPr>
          <w:rFonts w:hint="eastAsia" w:ascii="宋体" w:hAnsi="宋体" w:cs="宋体"/>
          <w:szCs w:val="21"/>
        </w:rPr>
      </w:pPr>
      <w:r>
        <w:rPr>
          <w:rFonts w:hint="eastAsia" w:ascii="宋体" w:hAnsi="宋体" w:cs="宋体"/>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62CC6023">
      <w:pPr>
        <w:spacing w:line="400" w:lineRule="exact"/>
        <w:ind w:firstLine="420" w:firstLineChars="200"/>
        <w:rPr>
          <w:rFonts w:hint="eastAsia" w:ascii="宋体" w:hAnsi="宋体" w:cs="宋体"/>
          <w:szCs w:val="21"/>
        </w:rPr>
      </w:pPr>
      <w:r>
        <w:rPr>
          <w:rFonts w:hint="eastAsia" w:ascii="宋体" w:hAnsi="宋体" w:cs="宋体"/>
          <w:szCs w:val="21"/>
        </w:rPr>
        <w:t>1.11.2 承包人在投标文件中采用专利技术的，专利技术的使用费包含在投标报价内。</w:t>
      </w:r>
    </w:p>
    <w:p w14:paraId="57FAD7DD">
      <w:pPr>
        <w:ind w:firstLine="420" w:firstLineChars="200"/>
        <w:rPr>
          <w:rFonts w:hint="eastAsia" w:ascii="宋体" w:hAnsi="宋体" w:cs="宋体"/>
          <w:szCs w:val="21"/>
        </w:rPr>
      </w:pPr>
      <w:r>
        <w:rPr>
          <w:rFonts w:hint="eastAsia" w:ascii="宋体" w:hAnsi="宋体" w:cs="宋体"/>
          <w:szCs w:val="21"/>
        </w:rPr>
        <w:t>1.11.3 承包人的技术秘密和声明需要保密的资料和信息，发包人和监理人不得为合同以外的目的泄露给他人。</w:t>
      </w:r>
    </w:p>
    <w:p w14:paraId="0EC9CA24">
      <w:pPr>
        <w:pStyle w:val="14"/>
        <w:spacing w:line="360" w:lineRule="auto"/>
        <w:ind w:left="0" w:leftChars="0" w:right="249" w:firstLine="420" w:firstLineChars="200"/>
        <w:rPr>
          <w:rFonts w:hint="eastAsia" w:ascii="宋体" w:hAnsi="宋体" w:cs="宋体"/>
          <w:szCs w:val="21"/>
        </w:rPr>
      </w:pPr>
      <w:bookmarkStart w:id="65" w:name="_Toc221950710"/>
      <w:r>
        <w:rPr>
          <w:rFonts w:hint="eastAsia" w:ascii="宋体" w:hAnsi="宋体" w:cs="宋体"/>
          <w:szCs w:val="21"/>
        </w:rPr>
        <w:t>1.11.4  合同实施过程中，发包人要求承包人采用专利技术的，发包人应办理相应的使用手续，承包人应按发包人约定的条件使用，并承担使用专利技术的相关试验工作。所需的费用由发包人承担。</w:t>
      </w:r>
      <w:bookmarkEnd w:id="65"/>
    </w:p>
    <w:p w14:paraId="6B6FCD2D">
      <w:pPr>
        <w:keepNext/>
        <w:keepLines/>
        <w:spacing w:line="400" w:lineRule="exact"/>
        <w:outlineLvl w:val="2"/>
        <w:rPr>
          <w:rFonts w:hint="eastAsia" w:ascii="宋体" w:hAnsi="宋体" w:cs="宋体"/>
          <w:szCs w:val="21"/>
        </w:rPr>
      </w:pPr>
      <w:bookmarkStart w:id="66" w:name="_Toc152042401"/>
      <w:bookmarkStart w:id="67" w:name="_Toc144974591"/>
      <w:bookmarkStart w:id="68" w:name="_Toc179632641"/>
      <w:bookmarkStart w:id="69" w:name="_Toc152045623"/>
      <w:r>
        <w:rPr>
          <w:rFonts w:hint="eastAsia" w:ascii="宋体" w:hAnsi="宋体" w:cs="宋体"/>
          <w:szCs w:val="21"/>
        </w:rPr>
        <w:t>1.12 图纸和文件的保密</w:t>
      </w:r>
      <w:bookmarkEnd w:id="66"/>
      <w:bookmarkEnd w:id="67"/>
      <w:bookmarkEnd w:id="68"/>
      <w:bookmarkEnd w:id="69"/>
    </w:p>
    <w:p w14:paraId="2146214E">
      <w:pPr>
        <w:spacing w:line="400" w:lineRule="exact"/>
        <w:ind w:firstLine="420" w:firstLineChars="200"/>
        <w:rPr>
          <w:rFonts w:hint="eastAsia" w:ascii="宋体" w:hAnsi="宋体" w:cs="宋体"/>
          <w:szCs w:val="21"/>
        </w:rPr>
      </w:pPr>
      <w:r>
        <w:rPr>
          <w:rFonts w:hint="eastAsia" w:ascii="宋体" w:hAnsi="宋体" w:cs="宋体"/>
          <w:szCs w:val="21"/>
        </w:rPr>
        <w:t>1.12.1 发包人提供的图纸和文件，未经发包人同意，承包人不得为合同以外的目的泄露给他人或公开发表与引用。</w:t>
      </w:r>
    </w:p>
    <w:p w14:paraId="2C5E1DAB">
      <w:pPr>
        <w:pStyle w:val="14"/>
        <w:spacing w:line="360" w:lineRule="auto"/>
        <w:ind w:left="0" w:leftChars="0" w:right="249" w:firstLine="420" w:firstLineChars="200"/>
        <w:rPr>
          <w:rFonts w:hint="eastAsia" w:ascii="宋体" w:hAnsi="宋体" w:cs="宋体"/>
          <w:szCs w:val="21"/>
        </w:rPr>
      </w:pPr>
      <w:r>
        <w:rPr>
          <w:rFonts w:hint="eastAsia" w:ascii="宋体" w:hAnsi="宋体" w:cs="宋体"/>
          <w:szCs w:val="21"/>
        </w:rPr>
        <w:t>1.12.2 承包人提供的文件，未经承包人同意，发包人和监理人不得为合同以外的目的泄露给他人或公开发表与引用。</w:t>
      </w:r>
    </w:p>
    <w:p w14:paraId="0CAF6C62">
      <w:pPr>
        <w:pStyle w:val="4"/>
        <w:rPr>
          <w:rFonts w:cs="宋体"/>
          <w:sz w:val="28"/>
          <w:szCs w:val="28"/>
        </w:rPr>
      </w:pPr>
      <w:bookmarkStart w:id="70" w:name="_Toc222029503"/>
      <w:bookmarkStart w:id="71" w:name="_Toc229408498"/>
      <w:bookmarkStart w:id="72" w:name="_Toc221950713"/>
      <w:bookmarkStart w:id="73" w:name="_Toc222031005"/>
      <w:bookmarkStart w:id="74" w:name="_Toc222032672"/>
      <w:bookmarkStart w:id="75" w:name="_Toc229305363"/>
      <w:bookmarkStart w:id="76" w:name="_Toc222033854"/>
      <w:r>
        <w:rPr>
          <w:rFonts w:cs="宋体"/>
          <w:sz w:val="28"/>
          <w:szCs w:val="28"/>
        </w:rPr>
        <w:t>2. 发包人义务</w:t>
      </w:r>
      <w:bookmarkEnd w:id="70"/>
      <w:bookmarkEnd w:id="71"/>
      <w:bookmarkEnd w:id="72"/>
      <w:bookmarkEnd w:id="73"/>
      <w:bookmarkEnd w:id="74"/>
      <w:bookmarkEnd w:id="75"/>
      <w:bookmarkEnd w:id="76"/>
      <w:bookmarkStart w:id="77" w:name="_Toc221950720"/>
    </w:p>
    <w:p w14:paraId="09CBD88B">
      <w:pPr>
        <w:keepNext/>
        <w:keepLines/>
        <w:spacing w:line="400" w:lineRule="exact"/>
        <w:outlineLvl w:val="2"/>
        <w:rPr>
          <w:rFonts w:hint="eastAsia" w:ascii="宋体" w:hAnsi="宋体" w:cs="宋体"/>
          <w:szCs w:val="21"/>
        </w:rPr>
      </w:pPr>
      <w:bookmarkStart w:id="78" w:name="_Toc152042403"/>
      <w:bookmarkStart w:id="79" w:name="_Toc179632643"/>
      <w:bookmarkStart w:id="80" w:name="_Toc152045625"/>
      <w:bookmarkStart w:id="81" w:name="_Toc144974593"/>
      <w:r>
        <w:rPr>
          <w:rFonts w:hint="eastAsia" w:ascii="宋体" w:hAnsi="宋体" w:cs="宋体"/>
          <w:szCs w:val="21"/>
        </w:rPr>
        <w:t>2.1 遵守法律</w:t>
      </w:r>
      <w:bookmarkEnd w:id="78"/>
      <w:bookmarkEnd w:id="79"/>
      <w:bookmarkEnd w:id="80"/>
      <w:bookmarkEnd w:id="81"/>
    </w:p>
    <w:p w14:paraId="1D881C76">
      <w:pPr>
        <w:spacing w:line="400" w:lineRule="exact"/>
        <w:ind w:firstLine="420" w:firstLineChars="200"/>
        <w:rPr>
          <w:rFonts w:hint="eastAsia" w:ascii="宋体" w:hAnsi="宋体" w:cs="宋体"/>
          <w:szCs w:val="21"/>
        </w:rPr>
      </w:pPr>
      <w:r>
        <w:rPr>
          <w:rFonts w:hint="eastAsia" w:ascii="宋体" w:hAnsi="宋体" w:cs="宋体"/>
          <w:szCs w:val="21"/>
        </w:rPr>
        <w:t>发包人在履行合同过程中应遵守法律，并保证承包人免于承担因发包人违反法律而引起的任何责任。</w:t>
      </w:r>
    </w:p>
    <w:p w14:paraId="091D2C64">
      <w:pPr>
        <w:keepNext/>
        <w:keepLines/>
        <w:spacing w:line="400" w:lineRule="exact"/>
        <w:outlineLvl w:val="2"/>
        <w:rPr>
          <w:rFonts w:hint="eastAsia" w:ascii="宋体" w:hAnsi="宋体" w:cs="宋体"/>
          <w:szCs w:val="21"/>
        </w:rPr>
      </w:pPr>
      <w:bookmarkStart w:id="82" w:name="_Toc179632644"/>
      <w:bookmarkStart w:id="83" w:name="_Toc152042404"/>
      <w:bookmarkStart w:id="84" w:name="_Toc152045626"/>
      <w:bookmarkStart w:id="85" w:name="_Toc144974594"/>
      <w:r>
        <w:rPr>
          <w:rFonts w:hint="eastAsia" w:ascii="宋体" w:hAnsi="宋体" w:cs="宋体"/>
          <w:szCs w:val="21"/>
        </w:rPr>
        <w:t>2.2 发出开工通知</w:t>
      </w:r>
      <w:bookmarkEnd w:id="82"/>
      <w:bookmarkEnd w:id="83"/>
      <w:bookmarkEnd w:id="84"/>
      <w:bookmarkEnd w:id="85"/>
    </w:p>
    <w:p w14:paraId="10953AC9">
      <w:pPr>
        <w:spacing w:line="400" w:lineRule="exact"/>
        <w:ind w:firstLine="420" w:firstLineChars="200"/>
        <w:rPr>
          <w:rFonts w:hint="eastAsia" w:ascii="宋体" w:hAnsi="宋体" w:cs="宋体"/>
          <w:szCs w:val="21"/>
        </w:rPr>
      </w:pPr>
      <w:r>
        <w:rPr>
          <w:rFonts w:hint="eastAsia" w:ascii="宋体" w:hAnsi="宋体" w:cs="宋体"/>
          <w:szCs w:val="21"/>
        </w:rPr>
        <w:t>发包人应委托监理人按第11.1款的约定向承包人发出开工通知。</w:t>
      </w:r>
    </w:p>
    <w:p w14:paraId="57DE929B">
      <w:pPr>
        <w:pStyle w:val="5"/>
        <w:rPr>
          <w:rFonts w:hint="eastAsia" w:ascii="宋体" w:hAnsi="宋体" w:cs="宋体"/>
          <w:sz w:val="28"/>
          <w:szCs w:val="28"/>
        </w:rPr>
      </w:pPr>
      <w:r>
        <w:rPr>
          <w:rFonts w:hint="eastAsia" w:ascii="宋体" w:hAnsi="宋体" w:cs="宋体"/>
          <w:sz w:val="28"/>
          <w:szCs w:val="28"/>
        </w:rPr>
        <w:t>2.3提供施工场地</w:t>
      </w:r>
    </w:p>
    <w:p w14:paraId="564B66B1">
      <w:pPr>
        <w:pStyle w:val="14"/>
        <w:spacing w:line="360" w:lineRule="auto"/>
        <w:ind w:left="0" w:leftChars="0" w:right="249" w:firstLine="420" w:firstLineChars="200"/>
        <w:rPr>
          <w:rFonts w:hint="eastAsia" w:ascii="宋体" w:hAnsi="宋体" w:cs="宋体"/>
          <w:szCs w:val="21"/>
        </w:rPr>
      </w:pPr>
      <w:r>
        <w:rPr>
          <w:rFonts w:hint="eastAsia" w:ascii="宋体" w:hAnsi="宋体" w:cs="宋体"/>
          <w:szCs w:val="21"/>
        </w:rPr>
        <w:t>2.3.1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bookmarkEnd w:id="77"/>
      <w:r>
        <w:rPr>
          <w:rFonts w:hint="eastAsia" w:ascii="宋体" w:hAnsi="宋体" w:cs="宋体"/>
          <w:szCs w:val="21"/>
        </w:rPr>
        <w:t xml:space="preserve"> 。</w:t>
      </w:r>
    </w:p>
    <w:p w14:paraId="1C7B3ADD">
      <w:pPr>
        <w:pStyle w:val="14"/>
        <w:spacing w:line="360" w:lineRule="auto"/>
        <w:ind w:left="0" w:leftChars="0" w:right="249" w:firstLine="420" w:firstLineChars="200"/>
        <w:rPr>
          <w:rFonts w:hint="eastAsia" w:ascii="宋体" w:hAnsi="宋体" w:cs="宋体"/>
          <w:szCs w:val="21"/>
        </w:rPr>
      </w:pPr>
      <w:r>
        <w:rPr>
          <w:rFonts w:hint="eastAsia" w:ascii="宋体" w:hAnsi="宋体" w:cs="宋体"/>
          <w:szCs w:val="21"/>
        </w:rPr>
        <w:t>2.3.2发包人提供的施工用地范围在专用合同条款中约定。</w:t>
      </w:r>
    </w:p>
    <w:p w14:paraId="056F008E">
      <w:pPr>
        <w:pStyle w:val="14"/>
        <w:spacing w:line="360" w:lineRule="auto"/>
        <w:ind w:left="0" w:leftChars="0" w:right="249" w:firstLine="420" w:firstLineChars="200"/>
        <w:rPr>
          <w:rFonts w:hint="eastAsia" w:ascii="宋体" w:hAnsi="宋体" w:cs="宋体"/>
          <w:szCs w:val="21"/>
        </w:rPr>
      </w:pPr>
      <w:bookmarkStart w:id="86" w:name="_Toc221950721"/>
      <w:r>
        <w:rPr>
          <w:rFonts w:hint="eastAsia" w:ascii="宋体" w:hAnsi="宋体" w:cs="宋体"/>
          <w:szCs w:val="21"/>
        </w:rPr>
        <w:t>2.3.3除专用合同条款另有约定外，发包人应按技术标准和要求（合同技术条款）的约定，向承包人提供施工场地内的工程地质图纸和报告，以及地下障碍物图纸等施工场地有关资料</w:t>
      </w:r>
      <w:bookmarkEnd w:id="86"/>
      <w:r>
        <w:rPr>
          <w:rFonts w:hint="eastAsia" w:ascii="宋体" w:hAnsi="宋体" w:cs="宋体"/>
          <w:szCs w:val="21"/>
        </w:rPr>
        <w:t>，并保证资料的真实、准确、完整。</w:t>
      </w:r>
    </w:p>
    <w:p w14:paraId="18F86F0B">
      <w:pPr>
        <w:keepNext/>
        <w:keepLines/>
        <w:spacing w:line="400" w:lineRule="exact"/>
        <w:outlineLvl w:val="2"/>
        <w:rPr>
          <w:rFonts w:hint="eastAsia" w:ascii="宋体" w:hAnsi="宋体" w:cs="宋体"/>
          <w:szCs w:val="21"/>
        </w:rPr>
      </w:pPr>
      <w:bookmarkStart w:id="87" w:name="_Toc179632646"/>
      <w:bookmarkStart w:id="88" w:name="_Toc144974596"/>
      <w:bookmarkStart w:id="89" w:name="_Toc152042406"/>
      <w:bookmarkStart w:id="90" w:name="_Toc152045628"/>
      <w:r>
        <w:rPr>
          <w:rFonts w:hint="eastAsia" w:ascii="宋体" w:hAnsi="宋体" w:cs="宋体"/>
          <w:szCs w:val="21"/>
        </w:rPr>
        <w:t>2.4 协助承包人办理证件和批件</w:t>
      </w:r>
      <w:bookmarkEnd w:id="87"/>
      <w:bookmarkEnd w:id="88"/>
      <w:bookmarkEnd w:id="89"/>
      <w:bookmarkEnd w:id="90"/>
    </w:p>
    <w:p w14:paraId="0B9306D2">
      <w:pPr>
        <w:spacing w:line="400" w:lineRule="exact"/>
        <w:ind w:firstLine="420" w:firstLineChars="200"/>
        <w:rPr>
          <w:rFonts w:hint="eastAsia" w:ascii="宋体" w:hAnsi="宋体" w:cs="宋体"/>
          <w:szCs w:val="21"/>
        </w:rPr>
      </w:pPr>
      <w:r>
        <w:rPr>
          <w:rFonts w:hint="eastAsia" w:ascii="宋体" w:hAnsi="宋体" w:cs="宋体"/>
          <w:szCs w:val="21"/>
        </w:rPr>
        <w:t>发包人应协助承包人办理法律规定的有关施工证件和批件。</w:t>
      </w:r>
    </w:p>
    <w:p w14:paraId="3CEB32E4">
      <w:pPr>
        <w:keepNext/>
        <w:keepLines/>
        <w:spacing w:line="400" w:lineRule="exact"/>
        <w:outlineLvl w:val="2"/>
        <w:rPr>
          <w:rFonts w:hint="eastAsia" w:ascii="宋体" w:hAnsi="宋体" w:cs="宋体"/>
          <w:szCs w:val="21"/>
        </w:rPr>
      </w:pPr>
      <w:bookmarkStart w:id="91" w:name="_Toc152045629"/>
      <w:bookmarkStart w:id="92" w:name="_Toc152042407"/>
      <w:bookmarkStart w:id="93" w:name="_Toc179632647"/>
      <w:bookmarkStart w:id="94" w:name="_Toc144974597"/>
      <w:r>
        <w:rPr>
          <w:rFonts w:hint="eastAsia" w:ascii="宋体" w:hAnsi="宋体" w:cs="宋体"/>
          <w:szCs w:val="21"/>
        </w:rPr>
        <w:t>2.5 组织设计交底</w:t>
      </w:r>
      <w:bookmarkEnd w:id="91"/>
      <w:bookmarkEnd w:id="92"/>
      <w:bookmarkEnd w:id="93"/>
      <w:bookmarkEnd w:id="94"/>
    </w:p>
    <w:p w14:paraId="365D765E">
      <w:pPr>
        <w:spacing w:line="400" w:lineRule="exact"/>
        <w:ind w:firstLine="420" w:firstLineChars="200"/>
        <w:rPr>
          <w:rFonts w:hint="eastAsia" w:ascii="宋体" w:hAnsi="宋体" w:cs="宋体"/>
          <w:szCs w:val="21"/>
        </w:rPr>
      </w:pPr>
      <w:r>
        <w:rPr>
          <w:rFonts w:hint="eastAsia" w:ascii="宋体" w:hAnsi="宋体" w:cs="宋体"/>
          <w:szCs w:val="21"/>
        </w:rPr>
        <w:t>发包人应根据合同进度计划，组织设计单位向承包人进行设计交底。</w:t>
      </w:r>
    </w:p>
    <w:p w14:paraId="5796731E">
      <w:pPr>
        <w:keepNext/>
        <w:keepLines/>
        <w:spacing w:line="400" w:lineRule="exact"/>
        <w:outlineLvl w:val="2"/>
        <w:rPr>
          <w:rFonts w:hint="eastAsia" w:ascii="宋体" w:hAnsi="宋体" w:cs="宋体"/>
          <w:szCs w:val="21"/>
        </w:rPr>
      </w:pPr>
      <w:bookmarkStart w:id="95" w:name="_Toc152042408"/>
      <w:bookmarkStart w:id="96" w:name="_Toc144974598"/>
      <w:bookmarkStart w:id="97" w:name="_Toc152045630"/>
      <w:bookmarkStart w:id="98" w:name="_Toc179632648"/>
      <w:r>
        <w:rPr>
          <w:rFonts w:hint="eastAsia" w:ascii="宋体" w:hAnsi="宋体" w:cs="宋体"/>
          <w:szCs w:val="21"/>
        </w:rPr>
        <w:t>2.6 支付合同价款</w:t>
      </w:r>
      <w:bookmarkEnd w:id="95"/>
      <w:bookmarkEnd w:id="96"/>
      <w:bookmarkEnd w:id="97"/>
      <w:bookmarkEnd w:id="98"/>
    </w:p>
    <w:p w14:paraId="77ED82C7">
      <w:pPr>
        <w:spacing w:line="400" w:lineRule="exact"/>
        <w:ind w:firstLine="420" w:firstLineChars="200"/>
        <w:rPr>
          <w:rFonts w:hint="eastAsia" w:ascii="宋体" w:hAnsi="宋体" w:cs="宋体"/>
          <w:szCs w:val="21"/>
        </w:rPr>
      </w:pPr>
      <w:r>
        <w:rPr>
          <w:rFonts w:hint="eastAsia" w:ascii="宋体" w:hAnsi="宋体" w:cs="宋体"/>
          <w:szCs w:val="21"/>
        </w:rPr>
        <w:t>发包人应按合同约定向承包人及时支付合同价款。</w:t>
      </w:r>
    </w:p>
    <w:p w14:paraId="5088A3C2">
      <w:pPr>
        <w:keepNext/>
        <w:keepLines/>
        <w:spacing w:line="400" w:lineRule="exact"/>
        <w:outlineLvl w:val="2"/>
        <w:rPr>
          <w:rFonts w:hint="eastAsia" w:ascii="宋体" w:hAnsi="宋体" w:cs="宋体"/>
          <w:szCs w:val="21"/>
        </w:rPr>
      </w:pPr>
      <w:bookmarkStart w:id="99" w:name="_Toc152042409"/>
      <w:bookmarkStart w:id="100" w:name="_Toc152045631"/>
      <w:bookmarkStart w:id="101" w:name="_Toc179632649"/>
      <w:bookmarkStart w:id="102" w:name="_Toc144974599"/>
      <w:r>
        <w:rPr>
          <w:rFonts w:hint="eastAsia" w:ascii="宋体" w:hAnsi="宋体" w:cs="宋体"/>
          <w:szCs w:val="21"/>
        </w:rPr>
        <w:t>2.7 组织竣工验收</w:t>
      </w:r>
      <w:bookmarkEnd w:id="99"/>
      <w:bookmarkEnd w:id="100"/>
      <w:bookmarkEnd w:id="101"/>
      <w:bookmarkEnd w:id="102"/>
      <w:r>
        <w:rPr>
          <w:rFonts w:hint="eastAsia" w:ascii="宋体" w:hAnsi="宋体" w:cs="宋体"/>
          <w:szCs w:val="21"/>
        </w:rPr>
        <w:t>（组织法人验收）</w:t>
      </w:r>
    </w:p>
    <w:p w14:paraId="71D11B9B">
      <w:pPr>
        <w:spacing w:line="400" w:lineRule="exact"/>
        <w:ind w:firstLine="420" w:firstLineChars="200"/>
        <w:rPr>
          <w:rFonts w:hint="eastAsia" w:ascii="宋体" w:hAnsi="宋体" w:cs="宋体"/>
          <w:szCs w:val="21"/>
        </w:rPr>
      </w:pPr>
      <w:r>
        <w:rPr>
          <w:rFonts w:hint="eastAsia" w:ascii="宋体" w:hAnsi="宋体" w:cs="宋体"/>
          <w:szCs w:val="21"/>
        </w:rPr>
        <w:t>发包人应按合同约定及时组织法人验收。</w:t>
      </w:r>
    </w:p>
    <w:p w14:paraId="593DF815">
      <w:pPr>
        <w:pStyle w:val="5"/>
        <w:rPr>
          <w:rFonts w:hint="eastAsia" w:ascii="宋体" w:hAnsi="宋体" w:cs="宋体"/>
          <w:sz w:val="28"/>
          <w:szCs w:val="28"/>
        </w:rPr>
      </w:pPr>
      <w:r>
        <w:rPr>
          <w:rFonts w:hint="eastAsia" w:ascii="宋体" w:hAnsi="宋体" w:cs="宋体"/>
          <w:sz w:val="28"/>
          <w:szCs w:val="28"/>
        </w:rPr>
        <w:t>2.8  其它义务</w:t>
      </w:r>
    </w:p>
    <w:p w14:paraId="09990F08">
      <w:pPr>
        <w:spacing w:line="360" w:lineRule="auto"/>
        <w:ind w:right="248" w:firstLine="420" w:firstLineChars="200"/>
        <w:rPr>
          <w:rFonts w:hint="eastAsia" w:ascii="宋体" w:hAnsi="宋体" w:cs="宋体"/>
          <w:szCs w:val="21"/>
        </w:rPr>
      </w:pPr>
      <w:r>
        <w:rPr>
          <w:rFonts w:hint="eastAsia" w:ascii="宋体" w:hAnsi="宋体" w:cs="宋体"/>
          <w:szCs w:val="21"/>
        </w:rPr>
        <w:t>其它义务在专用合同条款中补充约定。</w:t>
      </w:r>
    </w:p>
    <w:p w14:paraId="09046929">
      <w:pPr>
        <w:pStyle w:val="4"/>
        <w:rPr>
          <w:rFonts w:cs="宋体"/>
          <w:sz w:val="28"/>
          <w:szCs w:val="28"/>
        </w:rPr>
      </w:pPr>
      <w:bookmarkStart w:id="103" w:name="_Toc222032673"/>
      <w:bookmarkStart w:id="104" w:name="_Toc222031006"/>
      <w:bookmarkStart w:id="105" w:name="_Toc229305364"/>
      <w:bookmarkStart w:id="106" w:name="_Toc222033855"/>
      <w:bookmarkStart w:id="107" w:name="_Toc222029504"/>
      <w:bookmarkStart w:id="108" w:name="_Toc229408499"/>
      <w:bookmarkStart w:id="109" w:name="_Toc221950732"/>
      <w:r>
        <w:rPr>
          <w:rFonts w:cs="宋体"/>
          <w:sz w:val="28"/>
          <w:szCs w:val="28"/>
        </w:rPr>
        <w:t>3. 监理人</w:t>
      </w:r>
      <w:bookmarkEnd w:id="103"/>
      <w:bookmarkEnd w:id="104"/>
      <w:bookmarkEnd w:id="105"/>
      <w:bookmarkEnd w:id="106"/>
      <w:bookmarkEnd w:id="107"/>
      <w:bookmarkEnd w:id="108"/>
      <w:bookmarkEnd w:id="109"/>
    </w:p>
    <w:p w14:paraId="77F73EB3">
      <w:pPr>
        <w:pStyle w:val="5"/>
        <w:rPr>
          <w:rFonts w:hint="eastAsia" w:ascii="宋体" w:hAnsi="宋体" w:cs="宋体"/>
          <w:sz w:val="28"/>
          <w:szCs w:val="28"/>
        </w:rPr>
      </w:pPr>
      <w:bookmarkStart w:id="110" w:name="_Toc221950735"/>
      <w:r>
        <w:rPr>
          <w:rFonts w:hint="eastAsia" w:ascii="宋体" w:hAnsi="宋体" w:cs="宋体"/>
          <w:sz w:val="28"/>
          <w:szCs w:val="28"/>
        </w:rPr>
        <w:t>3.1监理人的职责和权利</w:t>
      </w:r>
    </w:p>
    <w:p w14:paraId="5F9408FA">
      <w:pPr>
        <w:spacing w:line="360" w:lineRule="auto"/>
        <w:ind w:right="248" w:firstLine="447" w:firstLineChars="213"/>
        <w:rPr>
          <w:rFonts w:hint="eastAsia" w:ascii="宋体" w:hAnsi="宋体" w:cs="宋体"/>
          <w:szCs w:val="21"/>
        </w:rPr>
      </w:pPr>
      <w:r>
        <w:rPr>
          <w:rFonts w:hint="eastAsia" w:ascii="宋体" w:hAnsi="宋体" w:cs="宋体"/>
          <w:szCs w:val="21"/>
        </w:rPr>
        <w:t>3.1.1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bookmarkEnd w:id="110"/>
    </w:p>
    <w:p w14:paraId="259DC2E7">
      <w:pPr>
        <w:spacing w:line="400" w:lineRule="exact"/>
        <w:ind w:firstLine="420" w:firstLineChars="200"/>
        <w:rPr>
          <w:rFonts w:hint="eastAsia" w:ascii="宋体" w:hAnsi="宋体" w:cs="宋体"/>
          <w:szCs w:val="21"/>
        </w:rPr>
      </w:pPr>
      <w:r>
        <w:rPr>
          <w:rFonts w:hint="eastAsia" w:ascii="宋体" w:hAnsi="宋体" w:cs="宋体"/>
          <w:szCs w:val="21"/>
        </w:rPr>
        <w:t>3.1.2 监理人发出的任何指示应视为已得到发包人的批准，但监理人无权免除或变更合同约定的发包人和承包人的权利、义务和责任。</w:t>
      </w:r>
    </w:p>
    <w:p w14:paraId="2620DEE8">
      <w:pPr>
        <w:spacing w:line="400" w:lineRule="exact"/>
        <w:ind w:firstLine="420" w:firstLineChars="200"/>
        <w:rPr>
          <w:rFonts w:hint="eastAsia" w:ascii="宋体" w:hAnsi="宋体" w:cs="宋体"/>
          <w:szCs w:val="21"/>
        </w:rPr>
      </w:pPr>
      <w:r>
        <w:rPr>
          <w:rFonts w:hint="eastAsia" w:ascii="宋体" w:hAnsi="宋体" w:cs="宋体"/>
          <w:szCs w:val="21"/>
        </w:rPr>
        <w:t>3.1.3 合同约定应由承包人承担的义务和责任，不因监理人对承包人提交文件的审查或批准，对工程、材料和设备的检查和检验，以及为实施监理作出的指示等职务行为而减轻或解除。</w:t>
      </w:r>
    </w:p>
    <w:p w14:paraId="181EEB47">
      <w:pPr>
        <w:keepNext/>
        <w:keepLines/>
        <w:spacing w:line="400" w:lineRule="exact"/>
        <w:outlineLvl w:val="2"/>
        <w:rPr>
          <w:rFonts w:hint="eastAsia" w:ascii="宋体" w:hAnsi="宋体" w:cs="宋体"/>
          <w:szCs w:val="21"/>
        </w:rPr>
      </w:pPr>
      <w:bookmarkStart w:id="111" w:name="_Toc179632653"/>
      <w:bookmarkStart w:id="112" w:name="_Toc152045635"/>
      <w:bookmarkStart w:id="113" w:name="_Toc152042413"/>
      <w:bookmarkStart w:id="114" w:name="_Toc144974603"/>
      <w:r>
        <w:rPr>
          <w:rFonts w:hint="eastAsia" w:ascii="宋体" w:hAnsi="宋体" w:cs="宋体"/>
          <w:szCs w:val="21"/>
        </w:rPr>
        <w:t>3.2 总监理工程师</w:t>
      </w:r>
      <w:bookmarkEnd w:id="111"/>
      <w:bookmarkEnd w:id="112"/>
      <w:bookmarkEnd w:id="113"/>
      <w:bookmarkEnd w:id="114"/>
    </w:p>
    <w:p w14:paraId="7B0BF693">
      <w:pPr>
        <w:spacing w:line="400" w:lineRule="exact"/>
        <w:ind w:firstLine="420" w:firstLineChars="200"/>
        <w:rPr>
          <w:rFonts w:hint="eastAsia" w:ascii="宋体" w:hAnsi="宋体" w:cs="宋体"/>
          <w:szCs w:val="21"/>
        </w:rPr>
      </w:pPr>
      <w:r>
        <w:rPr>
          <w:rFonts w:hint="eastAsia" w:ascii="宋体" w:hAnsi="宋体" w:cs="宋体"/>
          <w:szCs w:val="21"/>
        </w:rPr>
        <w:t>发包人应在发出开工通知前将总监理工程师的任命通知承包人。总监理工程师更换时，应在调离14天前通知承包人。总监理工程师短期离开施工场地的，应委派代表代行其职责，并通知承包人。</w:t>
      </w:r>
    </w:p>
    <w:p w14:paraId="18C81D93">
      <w:pPr>
        <w:keepNext/>
        <w:keepLines/>
        <w:spacing w:line="400" w:lineRule="exact"/>
        <w:outlineLvl w:val="2"/>
        <w:rPr>
          <w:rFonts w:hint="eastAsia" w:ascii="宋体" w:hAnsi="宋体" w:cs="宋体"/>
          <w:szCs w:val="21"/>
        </w:rPr>
      </w:pPr>
      <w:bookmarkStart w:id="115" w:name="_Toc152045636"/>
      <w:bookmarkStart w:id="116" w:name="_Toc179632654"/>
      <w:bookmarkStart w:id="117" w:name="_Toc152042414"/>
      <w:bookmarkStart w:id="118" w:name="_Toc144974604"/>
      <w:r>
        <w:rPr>
          <w:rFonts w:hint="eastAsia" w:ascii="宋体" w:hAnsi="宋体" w:cs="宋体"/>
          <w:szCs w:val="21"/>
        </w:rPr>
        <w:t>3.3 监理人员</w:t>
      </w:r>
      <w:bookmarkEnd w:id="115"/>
      <w:bookmarkEnd w:id="116"/>
      <w:bookmarkEnd w:id="117"/>
      <w:bookmarkEnd w:id="118"/>
    </w:p>
    <w:p w14:paraId="69D886E6">
      <w:pPr>
        <w:spacing w:line="400" w:lineRule="exact"/>
        <w:ind w:firstLine="420" w:firstLineChars="200"/>
        <w:rPr>
          <w:rFonts w:hint="eastAsia" w:ascii="宋体" w:hAnsi="宋体" w:cs="宋体"/>
          <w:szCs w:val="21"/>
        </w:rPr>
      </w:pPr>
      <w:r>
        <w:rPr>
          <w:rFonts w:hint="eastAsia" w:ascii="宋体" w:hAnsi="宋体" w:cs="宋体"/>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1C03400">
      <w:pPr>
        <w:spacing w:line="400" w:lineRule="exact"/>
        <w:ind w:firstLine="420" w:firstLineChars="200"/>
        <w:rPr>
          <w:rFonts w:hint="eastAsia" w:ascii="宋体" w:hAnsi="宋体" w:cs="宋体"/>
          <w:szCs w:val="21"/>
        </w:rPr>
      </w:pPr>
      <w:r>
        <w:rPr>
          <w:rFonts w:hint="eastAsia" w:ascii="宋体" w:hAnsi="宋体" w:cs="宋体"/>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4DE94E81">
      <w:pPr>
        <w:spacing w:line="400" w:lineRule="exact"/>
        <w:ind w:firstLine="420" w:firstLineChars="200"/>
        <w:rPr>
          <w:rFonts w:hint="eastAsia" w:ascii="宋体" w:hAnsi="宋体" w:cs="宋体"/>
          <w:szCs w:val="21"/>
        </w:rPr>
      </w:pPr>
      <w:r>
        <w:rPr>
          <w:rFonts w:hint="eastAsia" w:ascii="宋体" w:hAnsi="宋体" w:cs="宋体"/>
          <w:szCs w:val="21"/>
        </w:rPr>
        <w:t>3.3.3 承包人对总监理工程师授权的监理人员发出的指示有疑问的，可向总监理工程师提出书面异议，总监理工程师应在48小时内对该指示予以确认、更改或撤销。</w:t>
      </w:r>
    </w:p>
    <w:p w14:paraId="7B16D1B7">
      <w:pPr>
        <w:spacing w:line="400" w:lineRule="exact"/>
        <w:ind w:firstLine="420" w:firstLineChars="200"/>
        <w:rPr>
          <w:rFonts w:hint="eastAsia" w:ascii="宋体" w:hAnsi="宋体" w:cs="宋体"/>
          <w:szCs w:val="21"/>
        </w:rPr>
      </w:pPr>
      <w:r>
        <w:rPr>
          <w:rFonts w:hint="eastAsia" w:ascii="宋体" w:hAnsi="宋体" w:cs="宋体"/>
          <w:szCs w:val="21"/>
        </w:rPr>
        <w:t>3.3.4 除专用合同条款另有约定外，总监理工程师不应将第3.5款约定应由总监理工程师作出确定的权力授权或委托给其他监理人员。</w:t>
      </w:r>
    </w:p>
    <w:p w14:paraId="0CE84906">
      <w:pPr>
        <w:keepNext/>
        <w:keepLines/>
        <w:spacing w:line="400" w:lineRule="exact"/>
        <w:outlineLvl w:val="2"/>
        <w:rPr>
          <w:rFonts w:hint="eastAsia" w:ascii="宋体" w:hAnsi="宋体" w:cs="宋体"/>
          <w:szCs w:val="21"/>
        </w:rPr>
      </w:pPr>
      <w:bookmarkStart w:id="119" w:name="_Toc179632655"/>
      <w:bookmarkStart w:id="120" w:name="_Toc144974605"/>
      <w:bookmarkStart w:id="121" w:name="_Toc152045637"/>
      <w:bookmarkStart w:id="122" w:name="_Toc152042415"/>
      <w:r>
        <w:rPr>
          <w:rFonts w:hint="eastAsia" w:ascii="宋体" w:hAnsi="宋体" w:cs="宋体"/>
          <w:szCs w:val="21"/>
        </w:rPr>
        <w:t>3.4 监理人的指示</w:t>
      </w:r>
      <w:bookmarkEnd w:id="119"/>
      <w:bookmarkEnd w:id="120"/>
      <w:bookmarkEnd w:id="121"/>
      <w:bookmarkEnd w:id="122"/>
    </w:p>
    <w:p w14:paraId="7DE81272">
      <w:pPr>
        <w:spacing w:line="400" w:lineRule="exact"/>
        <w:ind w:firstLine="420" w:firstLineChars="200"/>
        <w:rPr>
          <w:rFonts w:hint="eastAsia" w:ascii="宋体" w:hAnsi="宋体" w:cs="宋体"/>
          <w:szCs w:val="21"/>
        </w:rPr>
      </w:pPr>
      <w:r>
        <w:rPr>
          <w:rFonts w:hint="eastAsia" w:ascii="宋体" w:hAnsi="宋体" w:cs="宋体"/>
          <w:szCs w:val="21"/>
        </w:rPr>
        <w:t>3.4.1 监理人应按第3.1款的约定向承包人发出指示，监理人的指示应盖有监理人授权的施工场地机构章，并由总监理工程师或总监理工程师按第3.3.1项约定授权的监理人员签字。</w:t>
      </w:r>
    </w:p>
    <w:p w14:paraId="70AFEB22">
      <w:pPr>
        <w:spacing w:line="400" w:lineRule="exact"/>
        <w:ind w:firstLine="420" w:firstLineChars="200"/>
        <w:rPr>
          <w:rFonts w:hint="eastAsia" w:ascii="宋体" w:hAnsi="宋体" w:cs="宋体"/>
          <w:szCs w:val="21"/>
        </w:rPr>
      </w:pPr>
      <w:r>
        <w:rPr>
          <w:rFonts w:hint="eastAsia" w:ascii="宋体" w:hAnsi="宋体" w:cs="宋体"/>
          <w:szCs w:val="21"/>
        </w:rPr>
        <w:t>3.4.2 承包人收到监理人按第3.4.1项作出的指示后应遵照执行。指示构成变更的，应按第15条处理。</w:t>
      </w:r>
    </w:p>
    <w:p w14:paraId="5BEFD060">
      <w:pPr>
        <w:spacing w:line="400" w:lineRule="exact"/>
        <w:ind w:firstLine="420" w:firstLineChars="200"/>
        <w:rPr>
          <w:rFonts w:hint="eastAsia" w:ascii="宋体" w:hAnsi="宋体" w:cs="宋体"/>
          <w:szCs w:val="21"/>
        </w:rPr>
      </w:pPr>
      <w:r>
        <w:rPr>
          <w:rFonts w:hint="eastAsia" w:ascii="宋体" w:hAnsi="宋体" w:cs="宋体"/>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236CAF3">
      <w:pPr>
        <w:spacing w:line="400" w:lineRule="exact"/>
        <w:ind w:firstLine="420" w:firstLineChars="200"/>
        <w:rPr>
          <w:rFonts w:hint="eastAsia" w:ascii="宋体" w:hAnsi="宋体" w:cs="宋体"/>
          <w:szCs w:val="21"/>
        </w:rPr>
      </w:pPr>
      <w:r>
        <w:rPr>
          <w:rFonts w:hint="eastAsia" w:ascii="宋体" w:hAnsi="宋体" w:cs="宋体"/>
          <w:szCs w:val="21"/>
        </w:rPr>
        <w:t>3.4.4 除合同另有约定外，承包人只从总监理工程师或按第3.3.1项被授权的监理人员处取得指示。</w:t>
      </w:r>
    </w:p>
    <w:p w14:paraId="0B92A3EF">
      <w:pPr>
        <w:spacing w:line="400" w:lineRule="exact"/>
        <w:ind w:firstLine="420" w:firstLineChars="200"/>
        <w:rPr>
          <w:rFonts w:hint="eastAsia" w:ascii="宋体" w:hAnsi="宋体" w:cs="宋体"/>
          <w:szCs w:val="21"/>
        </w:rPr>
      </w:pPr>
      <w:r>
        <w:rPr>
          <w:rFonts w:hint="eastAsia" w:ascii="宋体" w:hAnsi="宋体" w:cs="宋体"/>
          <w:szCs w:val="21"/>
        </w:rPr>
        <w:t xml:space="preserve">3.4.5 由于监理人未能按合同约定发出指示、指示延误或指示错误而导致承包人费用增加和（或）工期延误的，由发包人承担赔偿责任。 </w:t>
      </w:r>
    </w:p>
    <w:p w14:paraId="041E9438">
      <w:pPr>
        <w:keepNext/>
        <w:keepLines/>
        <w:spacing w:line="400" w:lineRule="exact"/>
        <w:outlineLvl w:val="2"/>
        <w:rPr>
          <w:rFonts w:hint="eastAsia" w:ascii="宋体" w:hAnsi="宋体" w:cs="宋体"/>
          <w:szCs w:val="21"/>
        </w:rPr>
      </w:pPr>
      <w:bookmarkStart w:id="123" w:name="_Toc152045638"/>
      <w:bookmarkStart w:id="124" w:name="_Toc144974606"/>
      <w:bookmarkStart w:id="125" w:name="_Toc152042416"/>
      <w:bookmarkStart w:id="126" w:name="_Toc179632656"/>
      <w:r>
        <w:rPr>
          <w:rFonts w:hint="eastAsia" w:ascii="宋体" w:hAnsi="宋体" w:cs="宋体"/>
          <w:szCs w:val="21"/>
        </w:rPr>
        <w:t>3.5 商定或确定</w:t>
      </w:r>
      <w:bookmarkEnd w:id="123"/>
      <w:bookmarkEnd w:id="124"/>
      <w:bookmarkEnd w:id="125"/>
      <w:bookmarkEnd w:id="126"/>
    </w:p>
    <w:p w14:paraId="4D5BFF42">
      <w:pPr>
        <w:spacing w:line="400" w:lineRule="exact"/>
        <w:ind w:firstLine="420" w:firstLineChars="200"/>
        <w:rPr>
          <w:rFonts w:hint="eastAsia" w:ascii="宋体" w:hAnsi="宋体" w:cs="宋体"/>
          <w:szCs w:val="21"/>
        </w:rPr>
      </w:pPr>
      <w:r>
        <w:rPr>
          <w:rFonts w:hint="eastAsia" w:ascii="宋体" w:hAnsi="宋体" w:cs="宋体"/>
          <w:szCs w:val="21"/>
        </w:rPr>
        <w:t>3.5.1合同约定总监理工程师应按照本款对任何事项进行商定或确定时，总监理工程师应与合同当事人协商，尽量达成一致。不能达成一致的，总监理工程师应认真研究后审慎确定。</w:t>
      </w:r>
    </w:p>
    <w:p w14:paraId="01F6D05C">
      <w:pPr>
        <w:spacing w:line="400" w:lineRule="exact"/>
        <w:ind w:firstLine="420" w:firstLineChars="200"/>
        <w:rPr>
          <w:rFonts w:hint="eastAsia" w:ascii="宋体" w:hAnsi="宋体" w:cs="宋体"/>
          <w:szCs w:val="21"/>
        </w:rPr>
      </w:pPr>
      <w:r>
        <w:rPr>
          <w:rFonts w:hint="eastAsia" w:ascii="宋体" w:hAnsi="宋体" w:cs="宋体"/>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4F800146">
      <w:pPr>
        <w:pStyle w:val="4"/>
        <w:rPr>
          <w:rFonts w:cs="宋体"/>
          <w:sz w:val="28"/>
          <w:szCs w:val="28"/>
        </w:rPr>
      </w:pPr>
      <w:bookmarkStart w:id="127" w:name="_Toc222029505"/>
      <w:bookmarkStart w:id="128" w:name="_Toc222033856"/>
      <w:bookmarkStart w:id="129" w:name="_Toc221950744"/>
      <w:bookmarkStart w:id="130" w:name="_Toc229408500"/>
      <w:bookmarkStart w:id="131" w:name="_Toc222031007"/>
      <w:bookmarkStart w:id="132" w:name="_Toc229305365"/>
      <w:bookmarkStart w:id="133" w:name="_Toc222032674"/>
      <w:r>
        <w:rPr>
          <w:rFonts w:cs="宋体"/>
          <w:sz w:val="28"/>
          <w:szCs w:val="28"/>
        </w:rPr>
        <w:t>4. 承包人</w:t>
      </w:r>
      <w:bookmarkEnd w:id="127"/>
      <w:bookmarkEnd w:id="128"/>
      <w:bookmarkEnd w:id="129"/>
      <w:bookmarkEnd w:id="130"/>
      <w:bookmarkEnd w:id="131"/>
      <w:bookmarkEnd w:id="132"/>
      <w:bookmarkEnd w:id="133"/>
    </w:p>
    <w:p w14:paraId="1E79F60C">
      <w:pPr>
        <w:pStyle w:val="5"/>
        <w:rPr>
          <w:rFonts w:hint="eastAsia" w:ascii="宋体" w:hAnsi="宋体" w:cs="宋体"/>
          <w:sz w:val="28"/>
          <w:szCs w:val="28"/>
        </w:rPr>
      </w:pPr>
      <w:bookmarkStart w:id="134" w:name="_Toc221950747"/>
      <w:r>
        <w:rPr>
          <w:rFonts w:hint="eastAsia" w:ascii="宋体" w:hAnsi="宋体" w:cs="宋体"/>
          <w:sz w:val="28"/>
          <w:szCs w:val="28"/>
        </w:rPr>
        <w:t>4.1承包人的一般义务</w:t>
      </w:r>
    </w:p>
    <w:p w14:paraId="6D1340E3">
      <w:pPr>
        <w:spacing w:line="400" w:lineRule="exact"/>
        <w:ind w:firstLine="420" w:firstLineChars="200"/>
        <w:rPr>
          <w:rFonts w:hint="eastAsia" w:ascii="宋体" w:hAnsi="宋体" w:cs="宋体"/>
          <w:szCs w:val="21"/>
        </w:rPr>
      </w:pPr>
      <w:r>
        <w:rPr>
          <w:rFonts w:hint="eastAsia" w:ascii="宋体" w:hAnsi="宋体" w:cs="宋体"/>
          <w:szCs w:val="21"/>
        </w:rPr>
        <w:t>4.1.1 遵守法律</w:t>
      </w:r>
    </w:p>
    <w:p w14:paraId="1A0FC2BF">
      <w:pPr>
        <w:spacing w:line="400" w:lineRule="exact"/>
        <w:ind w:firstLine="420" w:firstLineChars="200"/>
        <w:rPr>
          <w:rFonts w:hint="eastAsia" w:ascii="宋体" w:hAnsi="宋体" w:cs="宋体"/>
          <w:szCs w:val="21"/>
        </w:rPr>
      </w:pPr>
      <w:r>
        <w:rPr>
          <w:rFonts w:hint="eastAsia" w:ascii="宋体" w:hAnsi="宋体" w:cs="宋体"/>
          <w:szCs w:val="21"/>
        </w:rPr>
        <w:t>承包人在履行合同过程中应遵守法律，并保证发包人免于承担因承包人违反法律而引起的任何责任。</w:t>
      </w:r>
    </w:p>
    <w:p w14:paraId="3DA436F2">
      <w:pPr>
        <w:spacing w:line="400" w:lineRule="exact"/>
        <w:ind w:firstLine="420" w:firstLineChars="200"/>
        <w:rPr>
          <w:rFonts w:hint="eastAsia" w:ascii="宋体" w:hAnsi="宋体" w:cs="宋体"/>
          <w:szCs w:val="21"/>
        </w:rPr>
      </w:pPr>
      <w:r>
        <w:rPr>
          <w:rFonts w:hint="eastAsia" w:ascii="宋体" w:hAnsi="宋体" w:cs="宋体"/>
          <w:szCs w:val="21"/>
        </w:rPr>
        <w:t>4.1.2 依法纳税</w:t>
      </w:r>
    </w:p>
    <w:p w14:paraId="73AF4D7C">
      <w:pPr>
        <w:spacing w:line="400" w:lineRule="exact"/>
        <w:ind w:firstLine="420" w:firstLineChars="200"/>
        <w:rPr>
          <w:rFonts w:hint="eastAsia" w:ascii="宋体" w:hAnsi="宋体" w:cs="宋体"/>
          <w:szCs w:val="21"/>
        </w:rPr>
      </w:pPr>
      <w:r>
        <w:rPr>
          <w:rFonts w:hint="eastAsia" w:ascii="宋体" w:hAnsi="宋体" w:cs="宋体"/>
          <w:szCs w:val="21"/>
        </w:rPr>
        <w:t>承包人应按有关法律规定纳税，应缴纳的税金包括在合同价格内。</w:t>
      </w:r>
    </w:p>
    <w:p w14:paraId="22B9694B">
      <w:pPr>
        <w:spacing w:line="400" w:lineRule="exact"/>
        <w:ind w:firstLine="420" w:firstLineChars="200"/>
        <w:rPr>
          <w:rFonts w:hint="eastAsia" w:ascii="宋体" w:hAnsi="宋体" w:cs="宋体"/>
          <w:szCs w:val="21"/>
        </w:rPr>
      </w:pPr>
      <w:r>
        <w:rPr>
          <w:rFonts w:hint="eastAsia" w:ascii="宋体" w:hAnsi="宋体" w:cs="宋体"/>
          <w:szCs w:val="21"/>
        </w:rPr>
        <w:t xml:space="preserve">4.1.3 </w:t>
      </w:r>
      <w:bookmarkEnd w:id="134"/>
      <w:bookmarkStart w:id="135" w:name="_Toc221950748"/>
      <w:r>
        <w:rPr>
          <w:rFonts w:hint="eastAsia" w:ascii="宋体" w:hAnsi="宋体" w:cs="宋体"/>
          <w:szCs w:val="21"/>
        </w:rPr>
        <w:t>完成各项承包工作</w:t>
      </w:r>
    </w:p>
    <w:p w14:paraId="71D66A19">
      <w:pPr>
        <w:spacing w:line="400" w:lineRule="exact"/>
        <w:ind w:firstLine="420" w:firstLineChars="200"/>
        <w:rPr>
          <w:rFonts w:hint="eastAsia" w:ascii="宋体" w:hAnsi="宋体" w:cs="宋体"/>
          <w:szCs w:val="21"/>
        </w:rPr>
      </w:pPr>
      <w:r>
        <w:rPr>
          <w:rFonts w:hint="eastAsia" w:ascii="宋体" w:hAnsi="宋体" w:cs="宋体"/>
          <w:szCs w:val="21"/>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bookmarkEnd w:id="135"/>
    </w:p>
    <w:p w14:paraId="6E61476C">
      <w:pPr>
        <w:spacing w:line="400" w:lineRule="exact"/>
        <w:ind w:firstLine="420" w:firstLineChars="200"/>
        <w:rPr>
          <w:rFonts w:hint="eastAsia" w:ascii="宋体" w:hAnsi="宋体" w:cs="宋体"/>
          <w:szCs w:val="21"/>
        </w:rPr>
      </w:pPr>
      <w:r>
        <w:rPr>
          <w:rFonts w:hint="eastAsia" w:ascii="宋体" w:hAnsi="宋体" w:cs="宋体"/>
          <w:szCs w:val="21"/>
        </w:rPr>
        <w:t>4.1.4 对施工作业和施工方法的完备性负责</w:t>
      </w:r>
    </w:p>
    <w:p w14:paraId="46F6CE58">
      <w:pPr>
        <w:spacing w:line="400" w:lineRule="exact"/>
        <w:ind w:firstLine="420" w:firstLineChars="200"/>
        <w:rPr>
          <w:rFonts w:hint="eastAsia" w:ascii="宋体" w:hAnsi="宋体" w:cs="宋体"/>
          <w:szCs w:val="21"/>
        </w:rPr>
      </w:pPr>
      <w:r>
        <w:rPr>
          <w:rFonts w:hint="eastAsia" w:ascii="宋体" w:hAnsi="宋体" w:cs="宋体"/>
          <w:szCs w:val="21"/>
        </w:rPr>
        <w:t>承包人应按合同约定的工作内容和施工进度要求，编制施工组织设计和施工措施计划，并对所有施工作业和施工方法的完备性和安全可靠性负责。</w:t>
      </w:r>
    </w:p>
    <w:p w14:paraId="09B32E39">
      <w:pPr>
        <w:spacing w:line="400" w:lineRule="exact"/>
        <w:ind w:firstLine="420" w:firstLineChars="200"/>
        <w:rPr>
          <w:rFonts w:hint="eastAsia" w:ascii="宋体" w:hAnsi="宋体" w:cs="宋体"/>
          <w:szCs w:val="21"/>
        </w:rPr>
      </w:pPr>
      <w:r>
        <w:rPr>
          <w:rFonts w:hint="eastAsia" w:ascii="宋体" w:hAnsi="宋体" w:cs="宋体"/>
          <w:szCs w:val="21"/>
        </w:rPr>
        <w:t>4.1.5 保证工程施工和人员的安全</w:t>
      </w:r>
    </w:p>
    <w:p w14:paraId="4425D574">
      <w:pPr>
        <w:spacing w:line="400" w:lineRule="exact"/>
        <w:ind w:firstLine="420" w:firstLineChars="200"/>
        <w:rPr>
          <w:rFonts w:hint="eastAsia" w:ascii="宋体" w:hAnsi="宋体" w:cs="宋体"/>
          <w:szCs w:val="21"/>
        </w:rPr>
      </w:pPr>
      <w:r>
        <w:rPr>
          <w:rFonts w:hint="eastAsia" w:ascii="宋体" w:hAnsi="宋体" w:cs="宋体"/>
          <w:szCs w:val="21"/>
        </w:rPr>
        <w:t>承包人应按第9.2款约定采取施工安全措施，确保工程及其人员、材料、设备和设施的安全，防止因工程施工造成的人身伤害和财产损失。</w:t>
      </w:r>
    </w:p>
    <w:p w14:paraId="2EEAF83D">
      <w:pPr>
        <w:spacing w:line="400" w:lineRule="exact"/>
        <w:ind w:firstLine="420" w:firstLineChars="200"/>
        <w:rPr>
          <w:rFonts w:hint="eastAsia" w:ascii="宋体" w:hAnsi="宋体" w:cs="宋体"/>
          <w:szCs w:val="21"/>
        </w:rPr>
      </w:pPr>
      <w:r>
        <w:rPr>
          <w:rFonts w:hint="eastAsia" w:ascii="宋体" w:hAnsi="宋体" w:cs="宋体"/>
          <w:szCs w:val="21"/>
        </w:rPr>
        <w:t>4.1.6 负责施工场地及其周边环境与生态的保护工作</w:t>
      </w:r>
    </w:p>
    <w:p w14:paraId="53910455">
      <w:pPr>
        <w:spacing w:line="400" w:lineRule="exact"/>
        <w:ind w:firstLine="420" w:firstLineChars="200"/>
        <w:rPr>
          <w:rFonts w:hint="eastAsia" w:ascii="宋体" w:hAnsi="宋体" w:cs="宋体"/>
          <w:szCs w:val="21"/>
        </w:rPr>
      </w:pPr>
      <w:r>
        <w:rPr>
          <w:rFonts w:hint="eastAsia" w:ascii="宋体" w:hAnsi="宋体" w:cs="宋体"/>
          <w:szCs w:val="21"/>
        </w:rPr>
        <w:t>承包人应按照第9.4款约定负责施工场地及其周边环境与生态的保护工作。</w:t>
      </w:r>
    </w:p>
    <w:p w14:paraId="58191443">
      <w:pPr>
        <w:spacing w:line="400" w:lineRule="exact"/>
        <w:ind w:firstLine="420" w:firstLineChars="200"/>
        <w:rPr>
          <w:rFonts w:hint="eastAsia" w:ascii="宋体" w:hAnsi="宋体" w:cs="宋体"/>
          <w:szCs w:val="21"/>
        </w:rPr>
      </w:pPr>
      <w:r>
        <w:rPr>
          <w:rFonts w:hint="eastAsia" w:ascii="宋体" w:hAnsi="宋体" w:cs="宋体"/>
          <w:szCs w:val="21"/>
        </w:rPr>
        <w:t>4.1.7 避免施工对公众与他人的利益造成损害</w:t>
      </w:r>
    </w:p>
    <w:p w14:paraId="451A0C69">
      <w:pPr>
        <w:spacing w:line="400" w:lineRule="exact"/>
        <w:ind w:firstLine="420" w:firstLineChars="200"/>
        <w:rPr>
          <w:rFonts w:hint="eastAsia" w:ascii="宋体" w:hAnsi="宋体" w:cs="宋体"/>
          <w:szCs w:val="21"/>
        </w:rPr>
      </w:pPr>
      <w:r>
        <w:rPr>
          <w:rFonts w:hint="eastAsia" w:ascii="宋体" w:hAnsi="宋体" w:cs="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7B9D8B1">
      <w:pPr>
        <w:spacing w:line="400" w:lineRule="exact"/>
        <w:ind w:firstLine="420" w:firstLineChars="200"/>
        <w:rPr>
          <w:rFonts w:hint="eastAsia" w:ascii="宋体" w:hAnsi="宋体" w:cs="宋体"/>
          <w:szCs w:val="21"/>
        </w:rPr>
      </w:pPr>
      <w:r>
        <w:rPr>
          <w:rFonts w:hint="eastAsia" w:ascii="宋体" w:hAnsi="宋体" w:cs="宋体"/>
          <w:szCs w:val="21"/>
        </w:rPr>
        <w:t>4.1.8 为他人提供方便</w:t>
      </w:r>
    </w:p>
    <w:p w14:paraId="0002B50B">
      <w:pPr>
        <w:spacing w:line="400" w:lineRule="exact"/>
        <w:ind w:firstLine="420" w:firstLineChars="200"/>
        <w:rPr>
          <w:rFonts w:hint="eastAsia" w:ascii="宋体" w:hAnsi="宋体" w:cs="宋体"/>
          <w:szCs w:val="21"/>
        </w:rPr>
      </w:pPr>
      <w:r>
        <w:rPr>
          <w:rFonts w:hint="eastAsia" w:ascii="宋体" w:hAnsi="宋体" w:cs="宋体"/>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7EFDF73E">
      <w:pPr>
        <w:spacing w:line="400" w:lineRule="exact"/>
        <w:ind w:firstLine="420" w:firstLineChars="200"/>
        <w:rPr>
          <w:rFonts w:hint="eastAsia" w:ascii="宋体" w:hAnsi="宋体" w:cs="宋体"/>
          <w:szCs w:val="21"/>
        </w:rPr>
      </w:pPr>
      <w:r>
        <w:rPr>
          <w:rFonts w:hint="eastAsia" w:ascii="宋体" w:hAnsi="宋体" w:cs="宋体"/>
          <w:szCs w:val="21"/>
        </w:rPr>
        <w:t>4.1.9 工程的维护和照管</w:t>
      </w:r>
    </w:p>
    <w:p w14:paraId="460909D4">
      <w:pPr>
        <w:spacing w:line="400" w:lineRule="exact"/>
        <w:ind w:firstLine="420" w:firstLineChars="200"/>
        <w:rPr>
          <w:rFonts w:hint="eastAsia" w:ascii="宋体" w:hAnsi="宋体" w:cs="宋体"/>
          <w:szCs w:val="21"/>
        </w:rPr>
      </w:pPr>
      <w:r>
        <w:rPr>
          <w:rFonts w:hint="eastAsia" w:ascii="宋体" w:hAnsi="宋体" w:cs="宋体"/>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664E7ED0">
      <w:pPr>
        <w:spacing w:line="400" w:lineRule="exact"/>
        <w:ind w:firstLine="420" w:firstLineChars="200"/>
        <w:rPr>
          <w:rFonts w:hint="eastAsia" w:ascii="宋体" w:hAnsi="宋体" w:cs="宋体"/>
          <w:szCs w:val="21"/>
        </w:rPr>
      </w:pPr>
      <w:r>
        <w:rPr>
          <w:rFonts w:hint="eastAsia" w:ascii="宋体" w:hAnsi="宋体" w:cs="宋体"/>
          <w:szCs w:val="21"/>
        </w:rPr>
        <w:t>4.1.10  其它义务</w:t>
      </w:r>
    </w:p>
    <w:p w14:paraId="63FD29A9">
      <w:pPr>
        <w:spacing w:line="400" w:lineRule="exact"/>
        <w:ind w:firstLine="420" w:firstLineChars="200"/>
        <w:rPr>
          <w:rFonts w:hint="eastAsia" w:ascii="宋体" w:hAnsi="宋体" w:cs="宋体"/>
          <w:szCs w:val="21"/>
        </w:rPr>
      </w:pPr>
      <w:r>
        <w:rPr>
          <w:rFonts w:hint="eastAsia" w:ascii="宋体" w:hAnsi="宋体" w:cs="宋体"/>
          <w:szCs w:val="21"/>
        </w:rPr>
        <w:t>其它义务在专用合同条款中补充约定。</w:t>
      </w:r>
    </w:p>
    <w:p w14:paraId="74B7BFA6">
      <w:pPr>
        <w:pStyle w:val="5"/>
        <w:rPr>
          <w:rFonts w:hint="eastAsia" w:ascii="宋体" w:hAnsi="宋体" w:cs="宋体"/>
          <w:sz w:val="28"/>
          <w:szCs w:val="28"/>
        </w:rPr>
      </w:pPr>
      <w:bookmarkStart w:id="136" w:name="_Toc221950749"/>
      <w:r>
        <w:rPr>
          <w:rFonts w:hint="eastAsia" w:ascii="宋体" w:hAnsi="宋体" w:cs="宋体"/>
          <w:sz w:val="28"/>
          <w:szCs w:val="28"/>
        </w:rPr>
        <w:t xml:space="preserve">4.2 </w:t>
      </w:r>
      <w:bookmarkEnd w:id="136"/>
      <w:bookmarkStart w:id="137" w:name="_Toc221950751"/>
      <w:r>
        <w:rPr>
          <w:rFonts w:hint="eastAsia" w:ascii="宋体" w:hAnsi="宋体" w:cs="宋体"/>
          <w:sz w:val="28"/>
          <w:szCs w:val="28"/>
        </w:rPr>
        <w:t>履约担保</w:t>
      </w:r>
    </w:p>
    <w:bookmarkEnd w:id="137"/>
    <w:p w14:paraId="6B0B213B">
      <w:pPr>
        <w:spacing w:line="400" w:lineRule="exact"/>
        <w:ind w:firstLine="420" w:firstLineChars="200"/>
        <w:rPr>
          <w:rFonts w:hint="eastAsia" w:ascii="宋体" w:hAnsi="宋体" w:cs="宋体"/>
          <w:szCs w:val="21"/>
        </w:rPr>
      </w:pPr>
      <w:bookmarkStart w:id="138" w:name="_Toc221950754"/>
      <w:r>
        <w:rPr>
          <w:rFonts w:hint="eastAsia" w:ascii="宋体" w:hAnsi="宋体" w:cs="宋体"/>
          <w:szCs w:val="21"/>
        </w:rPr>
        <w:t>承包人应保证其履约担保在发包人颁发合同工程完工证书前一直有效。发包人应在合同工程完工证书颁布发后28天内将履约担保退还给承包人。</w:t>
      </w:r>
    </w:p>
    <w:p w14:paraId="0A1C781B">
      <w:pPr>
        <w:pStyle w:val="5"/>
        <w:rPr>
          <w:rFonts w:hint="eastAsia" w:ascii="宋体" w:hAnsi="宋体" w:cs="宋体"/>
          <w:sz w:val="28"/>
          <w:szCs w:val="28"/>
        </w:rPr>
      </w:pPr>
      <w:r>
        <w:rPr>
          <w:rFonts w:hint="eastAsia" w:ascii="宋体" w:hAnsi="宋体" w:cs="宋体"/>
          <w:sz w:val="28"/>
          <w:szCs w:val="28"/>
        </w:rPr>
        <w:t>4.3分包</w:t>
      </w:r>
    </w:p>
    <w:p w14:paraId="1031C67D">
      <w:pPr>
        <w:spacing w:line="400" w:lineRule="exact"/>
        <w:ind w:firstLine="420" w:firstLineChars="200"/>
        <w:rPr>
          <w:rFonts w:hint="eastAsia" w:ascii="宋体" w:hAnsi="宋体" w:cs="宋体"/>
          <w:szCs w:val="21"/>
        </w:rPr>
      </w:pPr>
      <w:r>
        <w:rPr>
          <w:rFonts w:hint="eastAsia" w:ascii="宋体" w:hAnsi="宋体" w:cs="宋体"/>
          <w:szCs w:val="21"/>
        </w:rPr>
        <w:t>4.3.1 承包人不得将其承包的全部工程转包给第三人，或将其承包的全部工程肢解后以分包的名义转包给第三人。</w:t>
      </w:r>
    </w:p>
    <w:p w14:paraId="3BA4DE99">
      <w:pPr>
        <w:spacing w:line="400" w:lineRule="exact"/>
        <w:ind w:firstLine="420" w:firstLineChars="200"/>
        <w:rPr>
          <w:rFonts w:hint="eastAsia" w:ascii="宋体" w:hAnsi="宋体" w:cs="宋体"/>
          <w:szCs w:val="21"/>
        </w:rPr>
      </w:pPr>
      <w:r>
        <w:rPr>
          <w:rFonts w:hint="eastAsia" w:ascii="宋体" w:hAnsi="宋体" w:cs="宋体"/>
          <w:szCs w:val="21"/>
        </w:rPr>
        <w:t>4.3.2 承包人不得将工程主体、关键性工作分包给第三人。除专用合同条款另有约定外，未经发包人同意，承包人不得将工程的其他部分或工作分包给第三人。</w:t>
      </w:r>
    </w:p>
    <w:p w14:paraId="7D8C63F5">
      <w:pPr>
        <w:spacing w:line="400" w:lineRule="exact"/>
        <w:ind w:firstLine="420" w:firstLineChars="200"/>
        <w:rPr>
          <w:rFonts w:hint="eastAsia" w:ascii="宋体" w:hAnsi="宋体" w:cs="宋体"/>
          <w:szCs w:val="21"/>
        </w:rPr>
      </w:pPr>
      <w:r>
        <w:rPr>
          <w:rFonts w:hint="eastAsia" w:ascii="宋体" w:hAnsi="宋体" w:cs="宋体"/>
          <w:szCs w:val="21"/>
        </w:rPr>
        <w:t>4.3.3 分包人的资格能力应与其分包工程的标准和规模相适应。</w:t>
      </w:r>
    </w:p>
    <w:p w14:paraId="7726CBC2">
      <w:pPr>
        <w:spacing w:line="400" w:lineRule="exact"/>
        <w:ind w:firstLine="420" w:firstLineChars="200"/>
        <w:rPr>
          <w:rFonts w:hint="eastAsia" w:ascii="宋体" w:hAnsi="宋体" w:cs="宋体"/>
          <w:szCs w:val="21"/>
        </w:rPr>
      </w:pPr>
      <w:r>
        <w:rPr>
          <w:rFonts w:hint="eastAsia" w:ascii="宋体" w:hAnsi="宋体" w:cs="宋体"/>
          <w:szCs w:val="21"/>
        </w:rPr>
        <w:t>4.3.4 按投标函附录约定分包工程的，承包人应向发包人和监理人提交分包合同副本。</w:t>
      </w:r>
    </w:p>
    <w:p w14:paraId="11FD5711">
      <w:pPr>
        <w:spacing w:line="400" w:lineRule="exact"/>
        <w:ind w:firstLine="420" w:firstLineChars="200"/>
        <w:rPr>
          <w:rFonts w:hint="eastAsia" w:ascii="宋体" w:hAnsi="宋体" w:cs="宋体"/>
          <w:szCs w:val="21"/>
        </w:rPr>
      </w:pPr>
      <w:r>
        <w:rPr>
          <w:rFonts w:hint="eastAsia" w:ascii="宋体" w:hAnsi="宋体" w:cs="宋体"/>
          <w:szCs w:val="21"/>
        </w:rPr>
        <w:t>4.3.5 承包人应与分包人就分包工程向发包人承担连带责任。</w:t>
      </w:r>
    </w:p>
    <w:p w14:paraId="5D1F8D2F">
      <w:pPr>
        <w:spacing w:line="400" w:lineRule="exact"/>
        <w:ind w:firstLine="420" w:firstLineChars="200"/>
        <w:rPr>
          <w:rFonts w:hint="eastAsia" w:ascii="宋体" w:hAnsi="宋体" w:cs="宋体"/>
          <w:szCs w:val="21"/>
        </w:rPr>
      </w:pPr>
      <w:r>
        <w:rPr>
          <w:rFonts w:hint="eastAsia" w:ascii="宋体" w:hAnsi="宋体" w:cs="宋体"/>
          <w:szCs w:val="21"/>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D2EEC1A">
      <w:pPr>
        <w:spacing w:line="400" w:lineRule="exact"/>
        <w:ind w:firstLine="420" w:firstLineChars="200"/>
        <w:rPr>
          <w:rFonts w:hint="eastAsia" w:ascii="宋体" w:hAnsi="宋体" w:cs="宋体"/>
          <w:szCs w:val="21"/>
        </w:rPr>
      </w:pPr>
      <w:r>
        <w:rPr>
          <w:rFonts w:hint="eastAsia" w:ascii="宋体" w:hAnsi="宋体" w:cs="宋体"/>
          <w:szCs w:val="21"/>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0A443611">
      <w:pPr>
        <w:spacing w:line="400" w:lineRule="exact"/>
        <w:ind w:firstLine="420" w:firstLineChars="200"/>
        <w:rPr>
          <w:rFonts w:hint="eastAsia" w:ascii="宋体" w:hAnsi="宋体" w:cs="宋体"/>
          <w:szCs w:val="21"/>
        </w:rPr>
      </w:pPr>
      <w:r>
        <w:rPr>
          <w:rFonts w:hint="eastAsia" w:ascii="宋体" w:hAnsi="宋体" w:cs="宋体"/>
          <w:szCs w:val="21"/>
        </w:rPr>
        <w:t>由指定分包人造成的与其分包工作有关的一切索赔、诉讼和损失赔偿由指定分包人直接对发包人负责，承包人不对此承担责任。</w:t>
      </w:r>
    </w:p>
    <w:p w14:paraId="07E18DE8">
      <w:pPr>
        <w:spacing w:line="400" w:lineRule="exact"/>
        <w:ind w:firstLine="420" w:firstLineChars="200"/>
        <w:rPr>
          <w:rFonts w:hint="eastAsia" w:ascii="宋体" w:hAnsi="宋体" w:cs="宋体"/>
          <w:szCs w:val="21"/>
        </w:rPr>
      </w:pPr>
      <w:r>
        <w:rPr>
          <w:rFonts w:hint="eastAsia" w:ascii="宋体" w:hAnsi="宋体" w:cs="宋体"/>
          <w:szCs w:val="21"/>
        </w:rPr>
        <w:t>4.3.8承包人和发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3FACB9F6">
      <w:pPr>
        <w:spacing w:line="400" w:lineRule="exact"/>
        <w:ind w:firstLine="420" w:firstLineChars="200"/>
        <w:rPr>
          <w:rFonts w:hint="eastAsia" w:ascii="宋体" w:hAnsi="宋体" w:cs="宋体"/>
          <w:szCs w:val="21"/>
        </w:rPr>
      </w:pPr>
      <w:r>
        <w:rPr>
          <w:rFonts w:hint="eastAsia" w:ascii="宋体" w:hAnsi="宋体" w:cs="宋体"/>
          <w:szCs w:val="21"/>
        </w:rPr>
        <w:t xml:space="preserve"> 4.3.9除4.3.7项规定的指定分包外，承包人对其分包项目的实施以及分包人的行为向发包人负全部责任。承包人应对分包项目的工程进度、质量、安全、计量和验收等实施监督和管理。</w:t>
      </w:r>
      <w:bookmarkEnd w:id="138"/>
    </w:p>
    <w:p w14:paraId="366A0DB9">
      <w:pPr>
        <w:spacing w:line="400" w:lineRule="exact"/>
        <w:ind w:firstLine="420" w:firstLineChars="200"/>
        <w:rPr>
          <w:rFonts w:hint="eastAsia" w:ascii="宋体" w:hAnsi="宋体" w:cs="宋体"/>
          <w:szCs w:val="21"/>
        </w:rPr>
      </w:pPr>
      <w:r>
        <w:rPr>
          <w:rFonts w:hint="eastAsia" w:ascii="宋体" w:hAnsi="宋体" w:cs="宋体"/>
          <w:szCs w:val="21"/>
        </w:rPr>
        <w:t>4.3.10分包人应按专用合同条款的约定设立项目管理机构组织管理分包工程的施工活动。</w:t>
      </w:r>
    </w:p>
    <w:p w14:paraId="164F9FE5">
      <w:pPr>
        <w:keepNext/>
        <w:keepLines/>
        <w:spacing w:line="400" w:lineRule="exact"/>
        <w:outlineLvl w:val="2"/>
        <w:rPr>
          <w:rFonts w:hint="eastAsia" w:ascii="宋体" w:hAnsi="宋体" w:cs="宋体"/>
          <w:szCs w:val="21"/>
        </w:rPr>
      </w:pPr>
      <w:bookmarkStart w:id="139" w:name="_Toc152042421"/>
      <w:bookmarkStart w:id="140" w:name="_Toc179632661"/>
      <w:bookmarkStart w:id="141" w:name="_Toc144974611"/>
      <w:bookmarkStart w:id="142" w:name="_Toc152045643"/>
      <w:r>
        <w:rPr>
          <w:rFonts w:hint="eastAsia" w:ascii="宋体" w:hAnsi="宋体" w:cs="宋体"/>
          <w:szCs w:val="21"/>
        </w:rPr>
        <w:t>4.4 联合体</w:t>
      </w:r>
      <w:bookmarkEnd w:id="139"/>
      <w:bookmarkEnd w:id="140"/>
      <w:bookmarkEnd w:id="141"/>
      <w:bookmarkEnd w:id="142"/>
    </w:p>
    <w:p w14:paraId="4631F7F0">
      <w:pPr>
        <w:spacing w:line="400" w:lineRule="exact"/>
        <w:ind w:firstLine="420" w:firstLineChars="200"/>
        <w:rPr>
          <w:rFonts w:hint="eastAsia" w:ascii="宋体" w:hAnsi="宋体" w:cs="宋体"/>
          <w:szCs w:val="21"/>
        </w:rPr>
      </w:pPr>
      <w:r>
        <w:rPr>
          <w:rFonts w:hint="eastAsia" w:ascii="宋体" w:hAnsi="宋体" w:cs="宋体"/>
          <w:szCs w:val="21"/>
        </w:rPr>
        <w:t>4.4.1 联合体各方应共同与发包人签订合同协议书。联合体各方应为履行合同承担连带责任。</w:t>
      </w:r>
    </w:p>
    <w:p w14:paraId="795F1171">
      <w:pPr>
        <w:spacing w:line="400" w:lineRule="exact"/>
        <w:ind w:firstLine="420" w:firstLineChars="200"/>
        <w:rPr>
          <w:rFonts w:hint="eastAsia" w:ascii="宋体" w:hAnsi="宋体" w:cs="宋体"/>
          <w:szCs w:val="21"/>
        </w:rPr>
      </w:pPr>
      <w:r>
        <w:rPr>
          <w:rFonts w:hint="eastAsia" w:ascii="宋体" w:hAnsi="宋体" w:cs="宋体"/>
          <w:szCs w:val="21"/>
        </w:rPr>
        <w:t>4.4.2 联合体协议经发包人确认后作为合同附件。在履行合同过程中，未经发包人同意，不得修改联合体协议。</w:t>
      </w:r>
    </w:p>
    <w:p w14:paraId="6E50E3A6">
      <w:pPr>
        <w:spacing w:line="400" w:lineRule="exact"/>
        <w:ind w:firstLine="420" w:firstLineChars="200"/>
        <w:rPr>
          <w:rFonts w:hint="eastAsia" w:ascii="宋体" w:hAnsi="宋体" w:cs="宋体"/>
          <w:szCs w:val="21"/>
        </w:rPr>
      </w:pPr>
      <w:r>
        <w:rPr>
          <w:rFonts w:hint="eastAsia" w:ascii="宋体" w:hAnsi="宋体" w:cs="宋体"/>
          <w:szCs w:val="21"/>
        </w:rPr>
        <w:t>4.4.3 联合体牵头人负责与发包人和监理人联系，并接受指示，负责组织联合体各成员全面履行合同。</w:t>
      </w:r>
    </w:p>
    <w:p w14:paraId="7D3FE8E7">
      <w:pPr>
        <w:keepNext/>
        <w:keepLines/>
        <w:spacing w:line="400" w:lineRule="exact"/>
        <w:outlineLvl w:val="2"/>
        <w:rPr>
          <w:rFonts w:hint="eastAsia" w:ascii="宋体" w:hAnsi="宋体" w:cs="宋体"/>
          <w:szCs w:val="21"/>
        </w:rPr>
      </w:pPr>
      <w:bookmarkStart w:id="143" w:name="_Toc179632662"/>
      <w:bookmarkStart w:id="144" w:name="_Toc144974612"/>
      <w:bookmarkStart w:id="145" w:name="_Toc152045644"/>
      <w:bookmarkStart w:id="146" w:name="_Toc152042422"/>
      <w:r>
        <w:rPr>
          <w:rFonts w:hint="eastAsia" w:ascii="宋体" w:hAnsi="宋体" w:cs="宋体"/>
          <w:szCs w:val="21"/>
        </w:rPr>
        <w:t>4.5 承包人项目负责人</w:t>
      </w:r>
      <w:bookmarkEnd w:id="143"/>
      <w:bookmarkEnd w:id="144"/>
      <w:bookmarkEnd w:id="145"/>
      <w:bookmarkEnd w:id="146"/>
    </w:p>
    <w:p w14:paraId="2D6844A1">
      <w:pPr>
        <w:spacing w:line="400" w:lineRule="exact"/>
        <w:ind w:firstLine="420" w:firstLineChars="200"/>
        <w:rPr>
          <w:rFonts w:hint="eastAsia" w:ascii="宋体" w:hAnsi="宋体" w:cs="宋体"/>
          <w:szCs w:val="21"/>
        </w:rPr>
      </w:pPr>
      <w:r>
        <w:rPr>
          <w:rFonts w:hint="eastAsia" w:ascii="宋体" w:hAnsi="宋体" w:cs="宋体"/>
          <w:szCs w:val="21"/>
        </w:rPr>
        <w:t>4.5.1承包人应按合同约定指派项目负责人，并在约定的期限内到职。承包人更换项目负责人应事先征得发包人同意，并应在更换14天前通知发包人和监理人。承包人项目负责人短期离开施工场地，应事先征得监理人同意，并委派代表代行其职责。</w:t>
      </w:r>
    </w:p>
    <w:p w14:paraId="3BC7151E">
      <w:pPr>
        <w:spacing w:line="400" w:lineRule="exact"/>
        <w:ind w:firstLine="420" w:firstLineChars="200"/>
        <w:rPr>
          <w:rFonts w:hint="eastAsia" w:ascii="宋体" w:hAnsi="宋体" w:cs="宋体"/>
          <w:szCs w:val="21"/>
        </w:rPr>
      </w:pPr>
      <w:r>
        <w:rPr>
          <w:rFonts w:hint="eastAsia" w:ascii="宋体" w:hAnsi="宋体" w:cs="宋体"/>
          <w:szCs w:val="21"/>
        </w:rPr>
        <w:t>4.5.2 承包人项目负责人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EACAD05">
      <w:pPr>
        <w:spacing w:line="400" w:lineRule="exact"/>
        <w:ind w:firstLine="420" w:firstLineChars="200"/>
        <w:rPr>
          <w:rFonts w:hint="eastAsia" w:ascii="宋体" w:hAnsi="宋体" w:cs="宋体"/>
          <w:szCs w:val="21"/>
        </w:rPr>
      </w:pPr>
      <w:r>
        <w:rPr>
          <w:rFonts w:hint="eastAsia" w:ascii="宋体" w:hAnsi="宋体" w:cs="宋体"/>
          <w:szCs w:val="21"/>
        </w:rPr>
        <w:t>4.5.3承包人为履行合同发出的一切函件均应盖有承包人授权的施工场地管理机构章，并由承包人项目负责人或其授权代表签字。</w:t>
      </w:r>
    </w:p>
    <w:p w14:paraId="3DF3A80E">
      <w:pPr>
        <w:spacing w:line="400" w:lineRule="exact"/>
        <w:ind w:firstLine="420" w:firstLineChars="200"/>
        <w:rPr>
          <w:rFonts w:hint="eastAsia" w:ascii="宋体" w:hAnsi="宋体" w:cs="宋体"/>
          <w:szCs w:val="21"/>
        </w:rPr>
      </w:pPr>
      <w:r>
        <w:rPr>
          <w:rFonts w:hint="eastAsia" w:ascii="宋体" w:hAnsi="宋体" w:cs="宋体"/>
          <w:szCs w:val="21"/>
        </w:rPr>
        <w:t>4.5.4 承包人项目负责人可以授权其下属人员履行其某项职责，但事先应将这些人员的姓名和授权范围通知监理人。</w:t>
      </w:r>
    </w:p>
    <w:p w14:paraId="21A4F20F">
      <w:pPr>
        <w:keepNext/>
        <w:keepLines/>
        <w:spacing w:line="400" w:lineRule="exact"/>
        <w:outlineLvl w:val="2"/>
        <w:rPr>
          <w:rFonts w:hint="eastAsia" w:ascii="宋体" w:hAnsi="宋体" w:cs="宋体"/>
          <w:szCs w:val="21"/>
        </w:rPr>
      </w:pPr>
      <w:bookmarkStart w:id="147" w:name="_Toc152045645"/>
      <w:bookmarkStart w:id="148" w:name="_Toc152042423"/>
      <w:bookmarkStart w:id="149" w:name="_Toc179632663"/>
      <w:bookmarkStart w:id="150" w:name="_Toc144974613"/>
      <w:r>
        <w:rPr>
          <w:rFonts w:hint="eastAsia" w:ascii="宋体" w:hAnsi="宋体" w:cs="宋体"/>
          <w:szCs w:val="21"/>
        </w:rPr>
        <w:t>4.6 承包人人员的管理</w:t>
      </w:r>
      <w:bookmarkEnd w:id="147"/>
      <w:bookmarkEnd w:id="148"/>
      <w:bookmarkEnd w:id="149"/>
      <w:bookmarkEnd w:id="150"/>
    </w:p>
    <w:p w14:paraId="2B49DD1B">
      <w:pPr>
        <w:spacing w:line="400" w:lineRule="exact"/>
        <w:ind w:firstLine="420" w:firstLineChars="200"/>
        <w:rPr>
          <w:rFonts w:hint="eastAsia" w:ascii="宋体" w:hAnsi="宋体" w:cs="宋体"/>
          <w:szCs w:val="21"/>
        </w:rPr>
      </w:pPr>
      <w:r>
        <w:rPr>
          <w:rFonts w:hint="eastAsia" w:ascii="宋体" w:hAnsi="宋体" w:cs="宋体"/>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712BD8D">
      <w:pPr>
        <w:spacing w:line="400" w:lineRule="exact"/>
        <w:ind w:firstLine="420" w:firstLineChars="200"/>
        <w:rPr>
          <w:rFonts w:hint="eastAsia" w:ascii="宋体" w:hAnsi="宋体" w:cs="宋体"/>
          <w:szCs w:val="21"/>
        </w:rPr>
      </w:pPr>
      <w:r>
        <w:rPr>
          <w:rFonts w:hint="eastAsia" w:ascii="宋体" w:hAnsi="宋体" w:cs="宋体"/>
          <w:szCs w:val="21"/>
        </w:rPr>
        <w:t>4.6.2 为完成合同约定的各项工作，承包人应向施工场地派遣或雇佣足够数量的下列人员：</w:t>
      </w:r>
    </w:p>
    <w:p w14:paraId="71B3E109">
      <w:pPr>
        <w:spacing w:line="400" w:lineRule="exact"/>
        <w:ind w:firstLine="718" w:firstLineChars="342"/>
        <w:rPr>
          <w:rFonts w:hint="eastAsia" w:ascii="宋体" w:hAnsi="宋体" w:cs="宋体"/>
          <w:szCs w:val="21"/>
        </w:rPr>
      </w:pPr>
      <w:r>
        <w:rPr>
          <w:rFonts w:hint="eastAsia" w:ascii="宋体" w:hAnsi="宋体" w:cs="宋体"/>
          <w:szCs w:val="21"/>
        </w:rPr>
        <w:t>（1）具有相应资格的专业技工和合格的普工；</w:t>
      </w:r>
    </w:p>
    <w:p w14:paraId="3E5280FF">
      <w:pPr>
        <w:spacing w:line="400" w:lineRule="exact"/>
        <w:ind w:firstLine="718" w:firstLineChars="342"/>
        <w:rPr>
          <w:rFonts w:hint="eastAsia" w:ascii="宋体" w:hAnsi="宋体" w:cs="宋体"/>
          <w:szCs w:val="21"/>
        </w:rPr>
      </w:pPr>
      <w:r>
        <w:rPr>
          <w:rFonts w:hint="eastAsia" w:ascii="宋体" w:hAnsi="宋体" w:cs="宋体"/>
          <w:szCs w:val="21"/>
        </w:rPr>
        <w:t>（2）具有相应施工经验的技术人员；</w:t>
      </w:r>
    </w:p>
    <w:p w14:paraId="70D4FB0F">
      <w:pPr>
        <w:spacing w:line="400" w:lineRule="exact"/>
        <w:ind w:firstLine="718" w:firstLineChars="342"/>
        <w:rPr>
          <w:rFonts w:hint="eastAsia" w:ascii="宋体" w:hAnsi="宋体" w:cs="宋体"/>
          <w:szCs w:val="21"/>
        </w:rPr>
      </w:pPr>
      <w:r>
        <w:rPr>
          <w:rFonts w:hint="eastAsia" w:ascii="宋体" w:hAnsi="宋体" w:cs="宋体"/>
          <w:szCs w:val="21"/>
        </w:rPr>
        <w:t>（3）具有相应岗位资格的各级管理人员。</w:t>
      </w:r>
    </w:p>
    <w:p w14:paraId="5EEB4566">
      <w:pPr>
        <w:spacing w:line="400" w:lineRule="exact"/>
        <w:ind w:firstLine="420" w:firstLineChars="200"/>
        <w:rPr>
          <w:rFonts w:hint="eastAsia" w:ascii="宋体" w:hAnsi="宋体" w:cs="宋体"/>
          <w:szCs w:val="21"/>
        </w:rPr>
      </w:pPr>
      <w:r>
        <w:rPr>
          <w:rFonts w:hint="eastAsia" w:ascii="宋体" w:hAnsi="宋体" w:cs="宋体"/>
          <w:szCs w:val="21"/>
        </w:rPr>
        <w:t>4.6.3 承包人安排在施工场地的主要管理人员和技术骨干应相对稳定。承包人更换主要管理人员和技术骨干时，应取得监理人的同意。</w:t>
      </w:r>
    </w:p>
    <w:p w14:paraId="3B636D2D">
      <w:pPr>
        <w:spacing w:line="400" w:lineRule="exact"/>
        <w:ind w:firstLine="420" w:firstLineChars="200"/>
        <w:rPr>
          <w:rFonts w:hint="eastAsia" w:ascii="宋体" w:hAnsi="宋体" w:cs="宋体"/>
          <w:szCs w:val="21"/>
        </w:rPr>
      </w:pPr>
      <w:r>
        <w:rPr>
          <w:rFonts w:hint="eastAsia" w:ascii="宋体" w:hAnsi="宋体" w:cs="宋体"/>
          <w:szCs w:val="21"/>
        </w:rPr>
        <w:t>4.6.4 特殊岗位的工作人员均应持有相应的资格证明，监理人有权随时检查。监理人认为有必要时，可进行现场考核。</w:t>
      </w:r>
    </w:p>
    <w:p w14:paraId="1C94E893">
      <w:pPr>
        <w:keepNext/>
        <w:keepLines/>
        <w:spacing w:line="400" w:lineRule="exact"/>
        <w:outlineLvl w:val="2"/>
        <w:rPr>
          <w:rFonts w:hint="eastAsia" w:ascii="宋体" w:hAnsi="宋体" w:cs="宋体"/>
          <w:szCs w:val="21"/>
        </w:rPr>
      </w:pPr>
      <w:bookmarkStart w:id="151" w:name="_Toc144974614"/>
      <w:bookmarkStart w:id="152" w:name="_Toc152042424"/>
      <w:bookmarkStart w:id="153" w:name="_Toc179632664"/>
      <w:bookmarkStart w:id="154" w:name="_Toc152045646"/>
      <w:r>
        <w:rPr>
          <w:rFonts w:hint="eastAsia" w:ascii="宋体" w:hAnsi="宋体" w:cs="宋体"/>
          <w:szCs w:val="21"/>
        </w:rPr>
        <w:t>4.7 撤换承包人项目负责人和其他人员</w:t>
      </w:r>
      <w:bookmarkEnd w:id="151"/>
      <w:bookmarkEnd w:id="152"/>
      <w:bookmarkEnd w:id="153"/>
      <w:bookmarkEnd w:id="154"/>
    </w:p>
    <w:p w14:paraId="4CD07899">
      <w:pPr>
        <w:spacing w:line="400" w:lineRule="exact"/>
        <w:ind w:firstLine="420" w:firstLineChars="200"/>
        <w:rPr>
          <w:rFonts w:hint="eastAsia" w:ascii="宋体" w:hAnsi="宋体" w:cs="宋体"/>
          <w:szCs w:val="21"/>
        </w:rPr>
      </w:pPr>
      <w:r>
        <w:rPr>
          <w:rFonts w:hint="eastAsia" w:ascii="宋体" w:hAnsi="宋体" w:cs="宋体"/>
          <w:szCs w:val="21"/>
        </w:rPr>
        <w:t>承包人应对其项目负责人和其他人员进行有效管理。监理人要求撤换不能胜任本职工作、行为不端或玩忽职守的承包人项目负责人和其他人员的，承包人应予以撤换。</w:t>
      </w:r>
    </w:p>
    <w:p w14:paraId="6108AF6B">
      <w:pPr>
        <w:keepNext/>
        <w:keepLines/>
        <w:spacing w:line="400" w:lineRule="exact"/>
        <w:outlineLvl w:val="2"/>
        <w:rPr>
          <w:rFonts w:hint="eastAsia" w:ascii="宋体" w:hAnsi="宋体" w:cs="宋体"/>
          <w:szCs w:val="21"/>
        </w:rPr>
      </w:pPr>
      <w:bookmarkStart w:id="155" w:name="_Toc152042425"/>
      <w:bookmarkStart w:id="156" w:name="_Toc152045647"/>
      <w:bookmarkStart w:id="157" w:name="_Toc179632665"/>
      <w:bookmarkStart w:id="158" w:name="_Toc144974615"/>
      <w:r>
        <w:rPr>
          <w:rFonts w:hint="eastAsia" w:ascii="宋体" w:hAnsi="宋体" w:cs="宋体"/>
          <w:szCs w:val="21"/>
        </w:rPr>
        <w:t>4.8 保障承包人人员的合法权益</w:t>
      </w:r>
      <w:bookmarkEnd w:id="155"/>
      <w:bookmarkEnd w:id="156"/>
      <w:bookmarkEnd w:id="157"/>
      <w:bookmarkEnd w:id="158"/>
    </w:p>
    <w:p w14:paraId="6D190B0C">
      <w:pPr>
        <w:spacing w:line="400" w:lineRule="exact"/>
        <w:ind w:firstLine="420" w:firstLineChars="200"/>
        <w:rPr>
          <w:rFonts w:hint="eastAsia" w:ascii="宋体" w:hAnsi="宋体" w:cs="宋体"/>
          <w:szCs w:val="21"/>
        </w:rPr>
      </w:pPr>
      <w:r>
        <w:rPr>
          <w:rFonts w:hint="eastAsia" w:ascii="宋体" w:hAnsi="宋体" w:cs="宋体"/>
          <w:szCs w:val="21"/>
        </w:rPr>
        <w:t>4.8.1 承包人应与其雇佣的人员签订劳动合同，并按时发放工资。</w:t>
      </w:r>
    </w:p>
    <w:p w14:paraId="2C5AC784">
      <w:pPr>
        <w:spacing w:line="400" w:lineRule="exact"/>
        <w:ind w:firstLine="420" w:firstLineChars="200"/>
        <w:rPr>
          <w:rFonts w:hint="eastAsia" w:ascii="宋体" w:hAnsi="宋体" w:cs="宋体"/>
          <w:szCs w:val="21"/>
        </w:rPr>
      </w:pPr>
      <w:r>
        <w:rPr>
          <w:rFonts w:hint="eastAsia" w:ascii="宋体" w:hAnsi="宋体" w:cs="宋体"/>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409478B0">
      <w:pPr>
        <w:spacing w:line="400" w:lineRule="exact"/>
        <w:ind w:firstLine="420" w:firstLineChars="200"/>
        <w:rPr>
          <w:rFonts w:hint="eastAsia" w:ascii="宋体" w:hAnsi="宋体" w:cs="宋体"/>
          <w:szCs w:val="21"/>
        </w:rPr>
      </w:pPr>
      <w:r>
        <w:rPr>
          <w:rFonts w:hint="eastAsia" w:ascii="宋体" w:hAnsi="宋体" w:cs="宋体"/>
          <w:szCs w:val="21"/>
        </w:rPr>
        <w:t>4.8.3 承包人应为其雇佣人员提供必要的食宿条件，以及符合环境保护和卫生要求的生活环境，在远离城镇的施工场地，还应配备必要的伤病防治和急救的医务人员与医疗设施。</w:t>
      </w:r>
    </w:p>
    <w:p w14:paraId="6D92D1BA">
      <w:pPr>
        <w:spacing w:line="400" w:lineRule="exact"/>
        <w:ind w:firstLine="420" w:firstLineChars="200"/>
        <w:rPr>
          <w:rFonts w:hint="eastAsia" w:ascii="宋体" w:hAnsi="宋体" w:cs="宋体"/>
          <w:szCs w:val="21"/>
        </w:rPr>
      </w:pPr>
      <w:r>
        <w:rPr>
          <w:rFonts w:hint="eastAsia" w:ascii="宋体" w:hAnsi="宋体" w:cs="宋体"/>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D51A118">
      <w:pPr>
        <w:spacing w:line="400" w:lineRule="exact"/>
        <w:ind w:firstLine="420" w:firstLineChars="200"/>
        <w:rPr>
          <w:rFonts w:hint="eastAsia" w:ascii="宋体" w:hAnsi="宋体" w:cs="宋体"/>
          <w:szCs w:val="21"/>
        </w:rPr>
      </w:pPr>
      <w:r>
        <w:rPr>
          <w:rFonts w:hint="eastAsia" w:ascii="宋体" w:hAnsi="宋体" w:cs="宋体"/>
          <w:szCs w:val="21"/>
        </w:rPr>
        <w:t>4.8.5 承包人应按有关法律规定和合同约定，为其雇佣人员办理保险。</w:t>
      </w:r>
    </w:p>
    <w:p w14:paraId="275BE1ED">
      <w:pPr>
        <w:spacing w:line="400" w:lineRule="exact"/>
        <w:ind w:firstLine="420" w:firstLineChars="200"/>
        <w:rPr>
          <w:rFonts w:hint="eastAsia" w:ascii="宋体" w:hAnsi="宋体" w:cs="宋体"/>
          <w:szCs w:val="21"/>
        </w:rPr>
      </w:pPr>
      <w:r>
        <w:rPr>
          <w:rFonts w:hint="eastAsia" w:ascii="宋体" w:hAnsi="宋体" w:cs="宋体"/>
          <w:szCs w:val="21"/>
        </w:rPr>
        <w:t>4.8.6 承包人应负责处理其雇佣人员因工伤亡事故的善后事宜。</w:t>
      </w:r>
    </w:p>
    <w:p w14:paraId="29951433">
      <w:pPr>
        <w:keepNext/>
        <w:keepLines/>
        <w:spacing w:line="400" w:lineRule="exact"/>
        <w:outlineLvl w:val="2"/>
        <w:rPr>
          <w:rFonts w:hint="eastAsia" w:ascii="宋体" w:hAnsi="宋体" w:cs="宋体"/>
          <w:szCs w:val="21"/>
        </w:rPr>
      </w:pPr>
      <w:bookmarkStart w:id="159" w:name="_Toc179632666"/>
      <w:bookmarkStart w:id="160" w:name="_Toc152042426"/>
      <w:bookmarkStart w:id="161" w:name="_Toc152045648"/>
      <w:bookmarkStart w:id="162" w:name="_Toc144974616"/>
      <w:r>
        <w:rPr>
          <w:rFonts w:hint="eastAsia" w:ascii="宋体" w:hAnsi="宋体" w:cs="宋体"/>
          <w:szCs w:val="21"/>
        </w:rPr>
        <w:t>4.9 工程价款应专款专用</w:t>
      </w:r>
      <w:bookmarkEnd w:id="159"/>
      <w:bookmarkEnd w:id="160"/>
      <w:bookmarkEnd w:id="161"/>
      <w:bookmarkEnd w:id="162"/>
    </w:p>
    <w:p w14:paraId="3995DF9D">
      <w:pPr>
        <w:spacing w:line="400" w:lineRule="exact"/>
        <w:ind w:firstLine="420" w:firstLineChars="200"/>
        <w:rPr>
          <w:rFonts w:hint="eastAsia" w:ascii="宋体" w:hAnsi="宋体" w:cs="宋体"/>
          <w:szCs w:val="21"/>
        </w:rPr>
      </w:pPr>
      <w:r>
        <w:rPr>
          <w:rFonts w:hint="eastAsia" w:ascii="宋体" w:hAnsi="宋体" w:cs="宋体"/>
          <w:szCs w:val="21"/>
        </w:rPr>
        <w:t>发包人按合同约定支付给承包人的各项价款应专用于合同工程。</w:t>
      </w:r>
    </w:p>
    <w:p w14:paraId="0C429047">
      <w:pPr>
        <w:keepNext/>
        <w:keepLines/>
        <w:spacing w:line="400" w:lineRule="exact"/>
        <w:outlineLvl w:val="2"/>
        <w:rPr>
          <w:rFonts w:hint="eastAsia" w:ascii="宋体" w:hAnsi="宋体" w:cs="宋体"/>
          <w:szCs w:val="21"/>
        </w:rPr>
      </w:pPr>
      <w:bookmarkStart w:id="163" w:name="_Toc144974617"/>
      <w:bookmarkStart w:id="164" w:name="_Toc152042427"/>
      <w:bookmarkStart w:id="165" w:name="_Toc179632667"/>
      <w:bookmarkStart w:id="166" w:name="_Toc152045649"/>
      <w:r>
        <w:rPr>
          <w:rFonts w:hint="eastAsia" w:ascii="宋体" w:hAnsi="宋体" w:cs="宋体"/>
          <w:szCs w:val="21"/>
        </w:rPr>
        <w:t>4.10 承包人现场查勘</w:t>
      </w:r>
      <w:bookmarkEnd w:id="163"/>
      <w:bookmarkEnd w:id="164"/>
      <w:bookmarkEnd w:id="165"/>
      <w:bookmarkEnd w:id="166"/>
      <w:r>
        <w:rPr>
          <w:rFonts w:hint="eastAsia" w:ascii="宋体" w:hAnsi="宋体" w:cs="宋体"/>
          <w:szCs w:val="21"/>
        </w:rPr>
        <w:t xml:space="preserve">                                                                                                           </w:t>
      </w:r>
    </w:p>
    <w:p w14:paraId="7ECF986A">
      <w:pPr>
        <w:spacing w:line="400" w:lineRule="exact"/>
        <w:ind w:firstLine="420" w:firstLineChars="200"/>
        <w:rPr>
          <w:rFonts w:hint="eastAsia" w:ascii="宋体" w:hAnsi="宋体" w:cs="宋体"/>
          <w:szCs w:val="21"/>
        </w:rPr>
      </w:pPr>
      <w:r>
        <w:rPr>
          <w:rFonts w:hint="eastAsia" w:ascii="宋体" w:hAnsi="宋体" w:cs="宋体"/>
          <w:szCs w:val="21"/>
        </w:rPr>
        <w:t>4.10.1 发包人应将其持有的现场地质勘探资料、水文气象资料提供给承包人，并对其准确性负责。但承包人应对其阅读上述有关资料后所作出的解释和推断负责。</w:t>
      </w:r>
    </w:p>
    <w:p w14:paraId="466752B8">
      <w:pPr>
        <w:spacing w:line="400" w:lineRule="exact"/>
        <w:ind w:firstLine="420" w:firstLineChars="200"/>
        <w:rPr>
          <w:rFonts w:hint="eastAsia" w:ascii="宋体" w:hAnsi="宋体" w:cs="宋体"/>
          <w:szCs w:val="21"/>
        </w:rPr>
      </w:pPr>
      <w:r>
        <w:rPr>
          <w:rFonts w:hint="eastAsia" w:ascii="宋体" w:hAnsi="宋体" w:cs="宋体"/>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E5C581D">
      <w:pPr>
        <w:pStyle w:val="5"/>
        <w:rPr>
          <w:rFonts w:hint="eastAsia" w:ascii="宋体" w:hAnsi="宋体" w:cs="宋体"/>
          <w:sz w:val="28"/>
          <w:szCs w:val="28"/>
        </w:rPr>
      </w:pPr>
      <w:r>
        <w:rPr>
          <w:rFonts w:hint="eastAsia" w:ascii="宋体" w:hAnsi="宋体" w:cs="宋体"/>
          <w:sz w:val="28"/>
          <w:szCs w:val="28"/>
        </w:rPr>
        <w:t>4.11不利物质条件</w:t>
      </w:r>
    </w:p>
    <w:p w14:paraId="25E436A9">
      <w:pPr>
        <w:spacing w:line="400" w:lineRule="exact"/>
        <w:ind w:firstLine="420" w:firstLineChars="200"/>
        <w:rPr>
          <w:rFonts w:hint="eastAsia" w:ascii="宋体" w:hAnsi="宋体" w:cs="宋体"/>
          <w:szCs w:val="21"/>
        </w:rPr>
      </w:pPr>
      <w:r>
        <w:rPr>
          <w:rFonts w:hint="eastAsia" w:ascii="宋体" w:hAnsi="宋体" w:cs="宋体"/>
          <w:szCs w:val="21"/>
        </w:rPr>
        <w:t>4.11.1除专用合同条款另有约定外，不利的物质条件是指在施工中遭遇不可预见的外界障碍或自然条件造成施工受阻。</w:t>
      </w:r>
    </w:p>
    <w:p w14:paraId="2E0C80A7">
      <w:pPr>
        <w:spacing w:line="400" w:lineRule="exact"/>
        <w:ind w:firstLine="420" w:firstLineChars="200"/>
        <w:rPr>
          <w:rFonts w:hint="eastAsia" w:ascii="宋体" w:hAnsi="宋体" w:cs="宋体"/>
          <w:szCs w:val="21"/>
        </w:rPr>
      </w:pPr>
      <w:r>
        <w:rPr>
          <w:rFonts w:hint="eastAsia" w:ascii="宋体" w:hAnsi="宋体" w:cs="宋体"/>
          <w:szCs w:val="21"/>
        </w:rPr>
        <w:t xml:space="preserve">4.11.2 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 </w:t>
      </w:r>
    </w:p>
    <w:p w14:paraId="2D362C0A">
      <w:pPr>
        <w:pStyle w:val="4"/>
        <w:rPr>
          <w:rFonts w:cs="宋体"/>
          <w:sz w:val="28"/>
          <w:szCs w:val="28"/>
        </w:rPr>
      </w:pPr>
      <w:bookmarkStart w:id="167" w:name="_Toc229408501"/>
      <w:bookmarkStart w:id="168" w:name="_Toc222029506"/>
      <w:bookmarkStart w:id="169" w:name="_Toc222032675"/>
      <w:bookmarkStart w:id="170" w:name="_Toc222033857"/>
      <w:bookmarkStart w:id="171" w:name="_Toc222031008"/>
      <w:bookmarkStart w:id="172" w:name="_Toc221950770"/>
      <w:bookmarkStart w:id="173" w:name="_Toc229305366"/>
      <w:r>
        <w:rPr>
          <w:rFonts w:cs="宋体"/>
          <w:sz w:val="28"/>
          <w:szCs w:val="28"/>
        </w:rPr>
        <w:t>5. 材料和工程设备</w:t>
      </w:r>
      <w:bookmarkEnd w:id="167"/>
      <w:bookmarkEnd w:id="168"/>
      <w:bookmarkEnd w:id="169"/>
      <w:bookmarkEnd w:id="170"/>
      <w:bookmarkEnd w:id="171"/>
      <w:bookmarkEnd w:id="172"/>
      <w:bookmarkEnd w:id="173"/>
    </w:p>
    <w:p w14:paraId="1CAD4EC1">
      <w:pPr>
        <w:pStyle w:val="5"/>
        <w:rPr>
          <w:rFonts w:hint="eastAsia" w:ascii="宋体" w:hAnsi="宋体" w:cs="宋体"/>
          <w:sz w:val="28"/>
          <w:szCs w:val="28"/>
        </w:rPr>
      </w:pPr>
      <w:bookmarkStart w:id="174" w:name="_Toc221950773"/>
      <w:r>
        <w:rPr>
          <w:rFonts w:hint="eastAsia" w:ascii="宋体" w:hAnsi="宋体" w:cs="宋体"/>
          <w:sz w:val="28"/>
          <w:szCs w:val="28"/>
        </w:rPr>
        <w:t>5.1承包人提供的材料和工程设备</w:t>
      </w:r>
    </w:p>
    <w:p w14:paraId="4A3CBDA1">
      <w:pPr>
        <w:spacing w:line="400" w:lineRule="exact"/>
        <w:ind w:firstLine="420" w:firstLineChars="200"/>
        <w:rPr>
          <w:rFonts w:hint="eastAsia" w:ascii="宋体" w:hAnsi="宋体" w:cs="宋体"/>
          <w:szCs w:val="21"/>
        </w:rPr>
      </w:pPr>
      <w:r>
        <w:rPr>
          <w:rFonts w:hint="eastAsia" w:ascii="宋体" w:hAnsi="宋体" w:cs="宋体"/>
          <w:szCs w:val="21"/>
        </w:rPr>
        <w:t>5.1.1</w:t>
      </w:r>
      <w:bookmarkEnd w:id="174"/>
      <w:r>
        <w:rPr>
          <w:rFonts w:hint="eastAsia" w:ascii="宋体" w:hAnsi="宋体" w:cs="宋体"/>
          <w:szCs w:val="21"/>
        </w:rPr>
        <w:t xml:space="preserve"> 除第5.2款约定由发包人提供的材料和工程设备外，承包人负责采购、验收、运输和保管完成本合同工作所需的材料和工程设备。承包人应对其采购的材料和工程设备负责。 </w:t>
      </w:r>
    </w:p>
    <w:p w14:paraId="52355BEA">
      <w:pPr>
        <w:spacing w:line="400" w:lineRule="exact"/>
        <w:ind w:firstLine="420" w:firstLineChars="200"/>
        <w:rPr>
          <w:rFonts w:hint="eastAsia" w:ascii="宋体" w:hAnsi="宋体" w:cs="宋体"/>
          <w:szCs w:val="21"/>
        </w:rPr>
      </w:pPr>
      <w:bookmarkStart w:id="175" w:name="_Toc221950779"/>
      <w:r>
        <w:rPr>
          <w:rFonts w:hint="eastAsia" w:ascii="宋体" w:hAnsi="宋体" w:cs="宋体"/>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D4196EA">
      <w:pPr>
        <w:spacing w:line="400" w:lineRule="exact"/>
        <w:ind w:firstLine="420" w:firstLineChars="200"/>
        <w:rPr>
          <w:rFonts w:hint="eastAsia" w:ascii="宋体" w:hAnsi="宋体" w:cs="宋体"/>
          <w:szCs w:val="21"/>
        </w:rPr>
      </w:pPr>
      <w:r>
        <w:rPr>
          <w:rFonts w:hint="eastAsia" w:ascii="宋体" w:hAnsi="宋体" w:cs="宋体"/>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270FED9">
      <w:pPr>
        <w:pStyle w:val="5"/>
        <w:rPr>
          <w:rFonts w:hint="eastAsia" w:ascii="宋体" w:hAnsi="宋体" w:cs="宋体"/>
          <w:sz w:val="28"/>
          <w:szCs w:val="28"/>
        </w:rPr>
      </w:pPr>
      <w:r>
        <w:rPr>
          <w:rFonts w:hint="eastAsia" w:ascii="宋体" w:hAnsi="宋体" w:cs="宋体"/>
          <w:sz w:val="28"/>
          <w:szCs w:val="28"/>
        </w:rPr>
        <w:t>5.2发包人提供的材料和工程设备</w:t>
      </w:r>
    </w:p>
    <w:p w14:paraId="3F42F6F5">
      <w:pPr>
        <w:spacing w:line="400" w:lineRule="exact"/>
        <w:ind w:firstLine="420" w:firstLineChars="200"/>
        <w:rPr>
          <w:rFonts w:hint="eastAsia" w:ascii="宋体" w:hAnsi="宋体" w:cs="宋体"/>
          <w:szCs w:val="21"/>
        </w:rPr>
      </w:pPr>
      <w:r>
        <w:rPr>
          <w:rFonts w:hint="eastAsia" w:ascii="宋体" w:hAnsi="宋体" w:cs="宋体"/>
          <w:szCs w:val="21"/>
        </w:rPr>
        <w:t>5.2.1 发包人提供的材料和工程设备，应在专用合同条款中写明材料和工程设备的名称、规格、数量、价格、交货方式、交货地点和计划交货日期等。</w:t>
      </w:r>
    </w:p>
    <w:p w14:paraId="4C01BC43">
      <w:pPr>
        <w:spacing w:line="400" w:lineRule="exact"/>
        <w:ind w:firstLine="420" w:firstLineChars="200"/>
        <w:rPr>
          <w:rFonts w:hint="eastAsia" w:ascii="宋体" w:hAnsi="宋体" w:cs="宋体"/>
          <w:szCs w:val="21"/>
        </w:rPr>
      </w:pPr>
      <w:r>
        <w:rPr>
          <w:rFonts w:hint="eastAsia" w:ascii="宋体" w:hAnsi="宋体" w:cs="宋体"/>
          <w:szCs w:val="21"/>
        </w:rPr>
        <w:t>5.2.2 承包人应根据合同进度计划的安排，向监理人报送要求发包人交货的日期计划。发包人应按照监理人与合同双方当事人商定的交货日期，向承包人提交材料和工程设备。</w:t>
      </w:r>
    </w:p>
    <w:p w14:paraId="6DC22574">
      <w:pPr>
        <w:spacing w:line="400" w:lineRule="exact"/>
        <w:ind w:firstLine="420" w:firstLineChars="200"/>
        <w:rPr>
          <w:rFonts w:hint="eastAsia" w:ascii="宋体" w:hAnsi="宋体" w:cs="宋体"/>
          <w:szCs w:val="21"/>
        </w:rPr>
      </w:pPr>
      <w:r>
        <w:rPr>
          <w:rFonts w:hint="eastAsia" w:ascii="宋体" w:hAnsi="宋体" w:cs="宋体"/>
          <w:szCs w:val="21"/>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0F51E7EF">
      <w:pPr>
        <w:spacing w:line="400" w:lineRule="exact"/>
        <w:ind w:firstLine="420" w:firstLineChars="200"/>
        <w:rPr>
          <w:rFonts w:hint="eastAsia" w:ascii="宋体" w:hAnsi="宋体" w:cs="宋体"/>
          <w:szCs w:val="21"/>
        </w:rPr>
      </w:pPr>
      <w:r>
        <w:rPr>
          <w:rFonts w:hint="eastAsia" w:ascii="宋体" w:hAnsi="宋体" w:cs="宋体"/>
          <w:szCs w:val="21"/>
        </w:rPr>
        <w:t xml:space="preserve">5.2.4 发包人要求向承包人提前交货的，承包人不得拒绝，但发包人应承担承包人由此增加的费用。 </w:t>
      </w:r>
    </w:p>
    <w:p w14:paraId="163ED6B7">
      <w:pPr>
        <w:spacing w:line="400" w:lineRule="exact"/>
        <w:ind w:firstLine="420" w:firstLineChars="200"/>
        <w:rPr>
          <w:rFonts w:hint="eastAsia" w:ascii="宋体" w:hAnsi="宋体" w:cs="宋体"/>
          <w:szCs w:val="21"/>
        </w:rPr>
      </w:pPr>
      <w:r>
        <w:rPr>
          <w:rFonts w:hint="eastAsia" w:ascii="宋体" w:hAnsi="宋体" w:cs="宋体"/>
          <w:szCs w:val="21"/>
        </w:rPr>
        <w:t xml:space="preserve">5.2.5 承包人要求更改交货日期或地点的，应事先报请监理人批准。由于承包人要求更改交货时间或地点所增加的费用和（或）工期延误由承包人承担。 </w:t>
      </w:r>
    </w:p>
    <w:p w14:paraId="353401F7">
      <w:pPr>
        <w:spacing w:line="400" w:lineRule="exact"/>
        <w:ind w:firstLine="420" w:firstLineChars="200"/>
        <w:rPr>
          <w:rFonts w:hint="eastAsia" w:ascii="宋体" w:hAnsi="宋体" w:cs="宋体"/>
          <w:szCs w:val="21"/>
        </w:rPr>
      </w:pPr>
      <w:r>
        <w:rPr>
          <w:rFonts w:hint="eastAsia" w:ascii="宋体" w:hAnsi="宋体" w:cs="宋体"/>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9300F44">
      <w:pPr>
        <w:keepNext/>
        <w:keepLines/>
        <w:spacing w:line="400" w:lineRule="exact"/>
        <w:outlineLvl w:val="2"/>
        <w:rPr>
          <w:rFonts w:hint="eastAsia" w:ascii="宋体" w:hAnsi="宋体" w:cs="宋体"/>
          <w:szCs w:val="21"/>
        </w:rPr>
      </w:pPr>
      <w:bookmarkStart w:id="176" w:name="_Toc152045654"/>
      <w:bookmarkStart w:id="177" w:name="_Toc152042432"/>
      <w:bookmarkStart w:id="178" w:name="_Toc179632672"/>
      <w:bookmarkStart w:id="179" w:name="_Toc144974622"/>
      <w:r>
        <w:rPr>
          <w:rFonts w:hint="eastAsia" w:ascii="宋体" w:hAnsi="宋体" w:cs="宋体"/>
          <w:szCs w:val="21"/>
        </w:rPr>
        <w:t>5.3 材料和工程设备专用于合同工程</w:t>
      </w:r>
      <w:bookmarkEnd w:id="176"/>
      <w:bookmarkEnd w:id="177"/>
      <w:bookmarkEnd w:id="178"/>
      <w:bookmarkEnd w:id="179"/>
    </w:p>
    <w:p w14:paraId="56FCC90E">
      <w:pPr>
        <w:spacing w:line="400" w:lineRule="exact"/>
        <w:ind w:firstLine="420" w:firstLineChars="200"/>
        <w:rPr>
          <w:rFonts w:hint="eastAsia" w:ascii="宋体" w:hAnsi="宋体" w:cs="宋体"/>
          <w:szCs w:val="21"/>
        </w:rPr>
      </w:pPr>
      <w:r>
        <w:rPr>
          <w:rFonts w:hint="eastAsia" w:ascii="宋体" w:hAnsi="宋体" w:cs="宋体"/>
          <w:szCs w:val="21"/>
        </w:rPr>
        <w:t>5.3.1运入施工场地的材料、工程设备，包括备品备件、安装专用工器具与随机资料，必须专用于合同工程，未经监理人同意，承包人不得运出施工场地或挪作他用。</w:t>
      </w:r>
    </w:p>
    <w:p w14:paraId="77199261">
      <w:pPr>
        <w:spacing w:line="400" w:lineRule="exact"/>
        <w:ind w:firstLine="420" w:firstLineChars="200"/>
        <w:rPr>
          <w:rFonts w:hint="eastAsia" w:ascii="宋体" w:hAnsi="宋体" w:cs="宋体"/>
          <w:szCs w:val="21"/>
        </w:rPr>
      </w:pPr>
      <w:r>
        <w:rPr>
          <w:rFonts w:hint="eastAsia" w:ascii="宋体" w:hAnsi="宋体" w:cs="宋体"/>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59974E8">
      <w:pPr>
        <w:keepNext/>
        <w:keepLines/>
        <w:spacing w:line="400" w:lineRule="exact"/>
        <w:outlineLvl w:val="2"/>
        <w:rPr>
          <w:rFonts w:hint="eastAsia" w:ascii="宋体" w:hAnsi="宋体" w:cs="宋体"/>
          <w:szCs w:val="21"/>
        </w:rPr>
      </w:pPr>
      <w:bookmarkStart w:id="180" w:name="_Toc144974623"/>
      <w:bookmarkStart w:id="181" w:name="_Toc152045655"/>
      <w:bookmarkStart w:id="182" w:name="_Toc152042433"/>
      <w:bookmarkStart w:id="183" w:name="_Toc179632673"/>
      <w:r>
        <w:rPr>
          <w:rFonts w:hint="eastAsia" w:ascii="宋体" w:hAnsi="宋体" w:cs="宋体"/>
          <w:szCs w:val="21"/>
        </w:rPr>
        <w:t>5.4 禁止使用不合格的材料和工程设备</w:t>
      </w:r>
      <w:bookmarkEnd w:id="180"/>
      <w:bookmarkEnd w:id="181"/>
      <w:bookmarkEnd w:id="182"/>
      <w:bookmarkEnd w:id="183"/>
    </w:p>
    <w:p w14:paraId="63AE16C1">
      <w:pPr>
        <w:spacing w:line="400" w:lineRule="exact"/>
        <w:ind w:firstLine="420" w:firstLineChars="200"/>
        <w:rPr>
          <w:rFonts w:hint="eastAsia" w:ascii="宋体" w:hAnsi="宋体" w:cs="宋体"/>
          <w:szCs w:val="21"/>
        </w:rPr>
      </w:pPr>
      <w:r>
        <w:rPr>
          <w:rFonts w:hint="eastAsia" w:ascii="宋体" w:hAnsi="宋体" w:cs="宋体"/>
          <w:szCs w:val="21"/>
        </w:rPr>
        <w:t>5.4.1 监理人有权拒绝承包人提供的不合格材料或工程设备，并要求承包人立即进行更换。监理人应在更换后再次进行检查和检验，由此增加的费用和（或）工期延误由承包人承担。</w:t>
      </w:r>
    </w:p>
    <w:p w14:paraId="4F282252">
      <w:pPr>
        <w:spacing w:line="400" w:lineRule="exact"/>
        <w:ind w:firstLine="420" w:firstLineChars="200"/>
        <w:rPr>
          <w:rFonts w:hint="eastAsia" w:ascii="宋体" w:hAnsi="宋体" w:cs="宋体"/>
          <w:szCs w:val="21"/>
        </w:rPr>
      </w:pPr>
      <w:r>
        <w:rPr>
          <w:rFonts w:hint="eastAsia" w:ascii="宋体" w:hAnsi="宋体" w:cs="宋体"/>
          <w:szCs w:val="21"/>
        </w:rPr>
        <w:t>5.4.2 监理人发现承包人使用了不合格的材料和工程设备，应即时发出指示要求承包人立即改正，并禁止在工程中继续使用不合格的材料和工程设备。</w:t>
      </w:r>
    </w:p>
    <w:p w14:paraId="40FE7DC0">
      <w:pPr>
        <w:rPr>
          <w:rFonts w:hint="eastAsia" w:ascii="宋体" w:hAnsi="宋体" w:cs="宋体"/>
          <w:szCs w:val="21"/>
        </w:rPr>
      </w:pPr>
      <w:r>
        <w:rPr>
          <w:rFonts w:hint="eastAsia" w:ascii="宋体" w:hAnsi="宋体" w:cs="宋体"/>
          <w:szCs w:val="21"/>
        </w:rPr>
        <w:t>5.4.3 发包人提供的材料或工程设备不符合合同要求的，承包人有权拒绝，并可要求发包人更换，由此增加的费用和（或）工期延误由发包人承担。</w:t>
      </w:r>
    </w:p>
    <w:bookmarkEnd w:id="175"/>
    <w:p w14:paraId="5D91118C">
      <w:pPr>
        <w:pStyle w:val="4"/>
        <w:rPr>
          <w:rFonts w:cs="宋体"/>
          <w:sz w:val="28"/>
          <w:szCs w:val="28"/>
        </w:rPr>
      </w:pPr>
      <w:bookmarkStart w:id="184" w:name="_Toc221950785"/>
      <w:bookmarkStart w:id="185" w:name="_Toc229305367"/>
      <w:bookmarkStart w:id="186" w:name="_Toc222029507"/>
      <w:bookmarkStart w:id="187" w:name="_Toc222033858"/>
      <w:bookmarkStart w:id="188" w:name="_Toc222032676"/>
      <w:bookmarkStart w:id="189" w:name="_Toc222031009"/>
      <w:bookmarkStart w:id="190" w:name="_Toc229408502"/>
      <w:r>
        <w:rPr>
          <w:rFonts w:cs="宋体"/>
          <w:sz w:val="28"/>
          <w:szCs w:val="28"/>
        </w:rPr>
        <w:t>6. 施工设备和临时设施</w:t>
      </w:r>
      <w:bookmarkEnd w:id="184"/>
      <w:bookmarkEnd w:id="185"/>
      <w:bookmarkEnd w:id="186"/>
      <w:bookmarkEnd w:id="187"/>
      <w:bookmarkEnd w:id="188"/>
      <w:bookmarkEnd w:id="189"/>
      <w:bookmarkEnd w:id="190"/>
    </w:p>
    <w:p w14:paraId="103300EE">
      <w:pPr>
        <w:keepNext/>
        <w:keepLines/>
        <w:spacing w:line="400" w:lineRule="exact"/>
        <w:outlineLvl w:val="2"/>
        <w:rPr>
          <w:rFonts w:hint="eastAsia" w:ascii="宋体" w:hAnsi="宋体" w:cs="宋体"/>
          <w:szCs w:val="21"/>
        </w:rPr>
      </w:pPr>
      <w:bookmarkStart w:id="191" w:name="_Toc152045657"/>
      <w:bookmarkStart w:id="192" w:name="_Toc152042435"/>
      <w:bookmarkStart w:id="193" w:name="_Toc144974625"/>
      <w:bookmarkStart w:id="194" w:name="_Toc179632675"/>
      <w:bookmarkStart w:id="195" w:name="_Toc222032677"/>
      <w:bookmarkStart w:id="196" w:name="_Toc221950795"/>
      <w:bookmarkStart w:id="197" w:name="_Toc229408503"/>
      <w:bookmarkStart w:id="198" w:name="_Toc222031010"/>
      <w:bookmarkStart w:id="199" w:name="_Toc222033859"/>
      <w:bookmarkStart w:id="200" w:name="_Toc222029508"/>
      <w:bookmarkStart w:id="201" w:name="_Toc229305368"/>
      <w:r>
        <w:rPr>
          <w:rFonts w:hint="eastAsia" w:ascii="宋体" w:hAnsi="宋体" w:cs="宋体"/>
          <w:szCs w:val="21"/>
        </w:rPr>
        <w:t>6.1 承包人提供的施工设备和临时设施</w:t>
      </w:r>
      <w:bookmarkEnd w:id="191"/>
      <w:bookmarkEnd w:id="192"/>
      <w:bookmarkEnd w:id="193"/>
      <w:bookmarkEnd w:id="194"/>
    </w:p>
    <w:p w14:paraId="3CC91848">
      <w:pPr>
        <w:spacing w:line="400" w:lineRule="exact"/>
        <w:ind w:firstLine="420" w:firstLineChars="200"/>
        <w:rPr>
          <w:rFonts w:hint="eastAsia" w:ascii="宋体" w:hAnsi="宋体" w:cs="宋体"/>
          <w:szCs w:val="21"/>
        </w:rPr>
      </w:pPr>
      <w:r>
        <w:rPr>
          <w:rFonts w:hint="eastAsia" w:ascii="宋体" w:hAnsi="宋体" w:cs="宋体"/>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182E162A">
      <w:pPr>
        <w:spacing w:line="400" w:lineRule="exact"/>
        <w:ind w:firstLine="420" w:firstLineChars="200"/>
        <w:rPr>
          <w:rFonts w:hint="eastAsia" w:ascii="宋体" w:hAnsi="宋体" w:cs="宋体"/>
          <w:szCs w:val="21"/>
        </w:rPr>
      </w:pPr>
      <w:r>
        <w:rPr>
          <w:rFonts w:hint="eastAsia" w:ascii="宋体" w:hAnsi="宋体" w:cs="宋体"/>
          <w:szCs w:val="21"/>
        </w:rPr>
        <w:t>6.1.2除专用合同条款另有约定外，承包人应自行承担修建临时设施的费用，需要临时占地的，应由发包人办理申请手续并承担相应费用。</w:t>
      </w:r>
    </w:p>
    <w:p w14:paraId="0EF722D0">
      <w:pPr>
        <w:keepNext/>
        <w:keepLines/>
        <w:spacing w:line="400" w:lineRule="exact"/>
        <w:outlineLvl w:val="2"/>
        <w:rPr>
          <w:rFonts w:hint="eastAsia" w:ascii="宋体" w:hAnsi="宋体" w:cs="宋体"/>
          <w:szCs w:val="21"/>
        </w:rPr>
      </w:pPr>
      <w:bookmarkStart w:id="202" w:name="_Toc152042436"/>
      <w:bookmarkStart w:id="203" w:name="_Toc152045658"/>
      <w:bookmarkStart w:id="204" w:name="_Toc179632676"/>
      <w:bookmarkStart w:id="205" w:name="_Toc144974626"/>
      <w:r>
        <w:rPr>
          <w:rFonts w:hint="eastAsia" w:ascii="宋体" w:hAnsi="宋体" w:cs="宋体"/>
          <w:szCs w:val="21"/>
        </w:rPr>
        <w:t>6.2 发包人提供的施工设备和临时设施</w:t>
      </w:r>
      <w:bookmarkEnd w:id="202"/>
      <w:bookmarkEnd w:id="203"/>
      <w:bookmarkEnd w:id="204"/>
      <w:bookmarkEnd w:id="205"/>
    </w:p>
    <w:p w14:paraId="33675AC0">
      <w:pPr>
        <w:spacing w:line="400" w:lineRule="exact"/>
        <w:ind w:firstLine="420" w:firstLineChars="200"/>
        <w:rPr>
          <w:rFonts w:hint="eastAsia" w:ascii="宋体" w:hAnsi="宋体" w:cs="宋体"/>
          <w:szCs w:val="21"/>
        </w:rPr>
      </w:pPr>
      <w:r>
        <w:rPr>
          <w:rFonts w:hint="eastAsia" w:ascii="宋体" w:hAnsi="宋体" w:cs="宋体"/>
          <w:szCs w:val="21"/>
        </w:rPr>
        <w:t>发包人提供的施工设备或临时设施在专用合同条款中约定。</w:t>
      </w:r>
    </w:p>
    <w:p w14:paraId="678C5A28">
      <w:pPr>
        <w:keepNext/>
        <w:keepLines/>
        <w:spacing w:line="400" w:lineRule="exact"/>
        <w:outlineLvl w:val="2"/>
        <w:rPr>
          <w:rFonts w:hint="eastAsia" w:ascii="宋体" w:hAnsi="宋体" w:cs="宋体"/>
          <w:szCs w:val="21"/>
        </w:rPr>
      </w:pPr>
      <w:bookmarkStart w:id="206" w:name="_Toc152045659"/>
      <w:bookmarkStart w:id="207" w:name="_Toc144974627"/>
      <w:bookmarkStart w:id="208" w:name="_Toc179632677"/>
      <w:bookmarkStart w:id="209" w:name="_Toc152042437"/>
      <w:r>
        <w:rPr>
          <w:rFonts w:hint="eastAsia" w:ascii="宋体" w:hAnsi="宋体" w:cs="宋体"/>
          <w:szCs w:val="21"/>
        </w:rPr>
        <w:t>6.3 要求承包人增加或更换施工设备</w:t>
      </w:r>
      <w:bookmarkEnd w:id="206"/>
      <w:bookmarkEnd w:id="207"/>
      <w:bookmarkEnd w:id="208"/>
      <w:bookmarkEnd w:id="209"/>
    </w:p>
    <w:p w14:paraId="61D76296">
      <w:pPr>
        <w:spacing w:line="400" w:lineRule="exact"/>
        <w:ind w:firstLine="420" w:firstLineChars="200"/>
        <w:rPr>
          <w:rFonts w:hint="eastAsia" w:ascii="宋体" w:hAnsi="宋体" w:cs="宋体"/>
          <w:szCs w:val="21"/>
        </w:rPr>
      </w:pPr>
      <w:r>
        <w:rPr>
          <w:rFonts w:hint="eastAsia" w:ascii="宋体" w:hAnsi="宋体" w:cs="宋体"/>
          <w:szCs w:val="21"/>
        </w:rPr>
        <w:t>承包人使用的施工设备不能满足合同进度计划和（或）质量要求时，监理人有权要求承包人增加或更换施工设备，承包人应及时增加或更换，由此增加的费用和（或）工期延误由承包人承担。</w:t>
      </w:r>
    </w:p>
    <w:p w14:paraId="694AEE3F">
      <w:pPr>
        <w:keepNext/>
        <w:keepLines/>
        <w:spacing w:line="400" w:lineRule="exact"/>
        <w:outlineLvl w:val="2"/>
        <w:rPr>
          <w:rFonts w:hint="eastAsia" w:ascii="宋体" w:hAnsi="宋体" w:cs="宋体"/>
          <w:szCs w:val="21"/>
        </w:rPr>
      </w:pPr>
      <w:bookmarkStart w:id="210" w:name="_Toc152042438"/>
      <w:bookmarkStart w:id="211" w:name="_Toc144974628"/>
      <w:bookmarkStart w:id="212" w:name="_Toc179632678"/>
      <w:bookmarkStart w:id="213" w:name="_Toc152045660"/>
      <w:r>
        <w:rPr>
          <w:rFonts w:hint="eastAsia" w:ascii="宋体" w:hAnsi="宋体" w:cs="宋体"/>
          <w:szCs w:val="21"/>
        </w:rPr>
        <w:t>6.4 施工设备和临时设施专用于合同工程</w:t>
      </w:r>
      <w:bookmarkEnd w:id="210"/>
      <w:bookmarkEnd w:id="211"/>
      <w:bookmarkEnd w:id="212"/>
      <w:bookmarkEnd w:id="213"/>
    </w:p>
    <w:p w14:paraId="05C489AC">
      <w:pPr>
        <w:spacing w:line="400" w:lineRule="exact"/>
        <w:ind w:firstLine="420" w:firstLineChars="200"/>
        <w:rPr>
          <w:rFonts w:hint="eastAsia" w:ascii="宋体" w:hAnsi="宋体" w:cs="宋体"/>
          <w:szCs w:val="21"/>
        </w:rPr>
      </w:pPr>
      <w:r>
        <w:rPr>
          <w:rFonts w:hint="eastAsia" w:ascii="宋体" w:hAnsi="宋体" w:cs="宋体"/>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14:paraId="67EF7B1C">
      <w:pPr>
        <w:spacing w:line="400" w:lineRule="exact"/>
        <w:ind w:firstLine="420" w:firstLineChars="200"/>
        <w:rPr>
          <w:rFonts w:hint="eastAsia" w:ascii="宋体" w:hAnsi="宋体" w:cs="宋体"/>
          <w:szCs w:val="21"/>
        </w:rPr>
      </w:pPr>
      <w:r>
        <w:rPr>
          <w:rFonts w:hint="eastAsia" w:ascii="宋体" w:hAnsi="宋体" w:cs="宋体"/>
          <w:szCs w:val="21"/>
        </w:rPr>
        <w:t>6.4.2 经监理人同意，承包人可根据合同进度计划撤走闲置的施工设备。</w:t>
      </w:r>
    </w:p>
    <w:p w14:paraId="1FFB245C">
      <w:pPr>
        <w:pStyle w:val="4"/>
        <w:rPr>
          <w:rFonts w:cs="宋体"/>
          <w:sz w:val="28"/>
          <w:szCs w:val="28"/>
        </w:rPr>
      </w:pPr>
      <w:r>
        <w:rPr>
          <w:rFonts w:cs="宋体"/>
          <w:sz w:val="28"/>
          <w:szCs w:val="28"/>
        </w:rPr>
        <w:t>7. 交通运输</w:t>
      </w:r>
      <w:bookmarkEnd w:id="195"/>
      <w:bookmarkEnd w:id="196"/>
      <w:bookmarkEnd w:id="197"/>
      <w:bookmarkEnd w:id="198"/>
      <w:bookmarkEnd w:id="199"/>
      <w:bookmarkEnd w:id="200"/>
      <w:bookmarkEnd w:id="201"/>
    </w:p>
    <w:p w14:paraId="71E05F9A">
      <w:pPr>
        <w:pStyle w:val="5"/>
        <w:rPr>
          <w:rFonts w:hint="eastAsia" w:ascii="宋体" w:hAnsi="宋体" w:cs="宋体"/>
          <w:sz w:val="28"/>
          <w:szCs w:val="28"/>
        </w:rPr>
      </w:pPr>
      <w:r>
        <w:rPr>
          <w:rFonts w:hint="eastAsia" w:ascii="宋体" w:hAnsi="宋体" w:cs="宋体"/>
          <w:sz w:val="28"/>
          <w:szCs w:val="28"/>
        </w:rPr>
        <w:t>7.1道路通行权和场外设施</w:t>
      </w:r>
    </w:p>
    <w:p w14:paraId="0C86D530">
      <w:pPr>
        <w:spacing w:line="400" w:lineRule="exact"/>
        <w:ind w:firstLine="420" w:firstLineChars="200"/>
        <w:rPr>
          <w:rFonts w:hint="eastAsia" w:ascii="宋体" w:hAnsi="宋体" w:cs="宋体"/>
          <w:szCs w:val="21"/>
        </w:rPr>
      </w:pPr>
      <w:r>
        <w:rPr>
          <w:rFonts w:hint="eastAsia" w:ascii="宋体" w:hAnsi="宋体" w:cs="宋体"/>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C52FC2B">
      <w:pPr>
        <w:pStyle w:val="5"/>
        <w:rPr>
          <w:rFonts w:hint="eastAsia" w:ascii="宋体" w:hAnsi="宋体" w:cs="宋体"/>
          <w:sz w:val="28"/>
          <w:szCs w:val="28"/>
        </w:rPr>
      </w:pPr>
      <w:bookmarkStart w:id="214" w:name="_Toc221950800"/>
      <w:r>
        <w:rPr>
          <w:rFonts w:hint="eastAsia" w:ascii="宋体" w:hAnsi="宋体" w:cs="宋体"/>
          <w:sz w:val="28"/>
          <w:szCs w:val="28"/>
        </w:rPr>
        <w:t>7.2场内施工道路</w:t>
      </w:r>
    </w:p>
    <w:p w14:paraId="48E17487">
      <w:pPr>
        <w:spacing w:line="400" w:lineRule="exact"/>
        <w:ind w:firstLine="420" w:firstLineChars="200"/>
        <w:rPr>
          <w:rFonts w:hint="eastAsia" w:ascii="宋体" w:hAnsi="宋体" w:cs="宋体"/>
          <w:szCs w:val="21"/>
        </w:rPr>
      </w:pPr>
      <w:r>
        <w:rPr>
          <w:rFonts w:hint="eastAsia" w:ascii="宋体" w:hAnsi="宋体" w:cs="宋体"/>
          <w:szCs w:val="21"/>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bookmarkEnd w:id="214"/>
    </w:p>
    <w:p w14:paraId="6B0E00A9">
      <w:pPr>
        <w:spacing w:line="400" w:lineRule="exact"/>
        <w:ind w:firstLine="420" w:firstLineChars="200"/>
        <w:rPr>
          <w:rFonts w:hint="eastAsia" w:ascii="宋体" w:hAnsi="宋体" w:cs="宋体"/>
          <w:szCs w:val="21"/>
        </w:rPr>
      </w:pPr>
      <w:bookmarkStart w:id="215" w:name="_Toc221950801"/>
      <w:r>
        <w:rPr>
          <w:rFonts w:hint="eastAsia" w:ascii="宋体" w:hAnsi="宋体" w:cs="宋体"/>
          <w:szCs w:val="21"/>
        </w:rPr>
        <w:t>7.2.2  承包人修建的临时道路和交通设施,应免费提供发包人、监理人，以及与本合同有关的其他承包人使用。</w:t>
      </w:r>
      <w:bookmarkEnd w:id="215"/>
    </w:p>
    <w:p w14:paraId="57C693DF">
      <w:pPr>
        <w:keepNext/>
        <w:keepLines/>
        <w:spacing w:line="400" w:lineRule="exact"/>
        <w:outlineLvl w:val="2"/>
        <w:rPr>
          <w:rFonts w:hint="eastAsia" w:ascii="宋体" w:hAnsi="宋体" w:cs="宋体"/>
          <w:szCs w:val="21"/>
        </w:rPr>
      </w:pPr>
      <w:bookmarkStart w:id="216" w:name="_Toc179632682"/>
      <w:bookmarkStart w:id="217" w:name="_Toc152045664"/>
      <w:bookmarkStart w:id="218" w:name="_Toc144974632"/>
      <w:bookmarkStart w:id="219" w:name="_Toc152042442"/>
      <w:r>
        <w:rPr>
          <w:rFonts w:hint="eastAsia" w:ascii="宋体" w:hAnsi="宋体" w:cs="宋体"/>
          <w:szCs w:val="21"/>
        </w:rPr>
        <w:t>7.3 场外交通</w:t>
      </w:r>
      <w:bookmarkEnd w:id="216"/>
      <w:bookmarkEnd w:id="217"/>
      <w:bookmarkEnd w:id="218"/>
      <w:bookmarkEnd w:id="219"/>
    </w:p>
    <w:p w14:paraId="22594048">
      <w:pPr>
        <w:spacing w:line="400" w:lineRule="exact"/>
        <w:ind w:firstLine="420" w:firstLineChars="200"/>
        <w:rPr>
          <w:rFonts w:hint="eastAsia" w:ascii="宋体" w:hAnsi="宋体" w:cs="宋体"/>
          <w:szCs w:val="21"/>
        </w:rPr>
      </w:pPr>
      <w:r>
        <w:rPr>
          <w:rFonts w:hint="eastAsia" w:ascii="宋体" w:hAnsi="宋体" w:cs="宋体"/>
          <w:szCs w:val="21"/>
        </w:rPr>
        <w:t>7.3.1 承包人车辆外出行驶所需的场外公共道路的通行费、养路费和税款等由承包人承担。</w:t>
      </w:r>
    </w:p>
    <w:p w14:paraId="7A8B5496">
      <w:pPr>
        <w:spacing w:line="400" w:lineRule="exact"/>
        <w:ind w:firstLine="420" w:firstLineChars="200"/>
        <w:rPr>
          <w:rFonts w:hint="eastAsia" w:ascii="宋体" w:hAnsi="宋体" w:cs="宋体"/>
          <w:szCs w:val="21"/>
        </w:rPr>
      </w:pPr>
      <w:r>
        <w:rPr>
          <w:rFonts w:hint="eastAsia" w:ascii="宋体" w:hAnsi="宋体" w:cs="宋体"/>
          <w:szCs w:val="21"/>
        </w:rPr>
        <w:t>7.3.2 承包人应遵守有关交通法规，严格按照道路和桥梁的限制荷重安全行驶，并服从交通管理部门的检查和监督。</w:t>
      </w:r>
    </w:p>
    <w:p w14:paraId="4BF503A0">
      <w:pPr>
        <w:keepNext/>
        <w:keepLines/>
        <w:spacing w:line="400" w:lineRule="exact"/>
        <w:outlineLvl w:val="2"/>
        <w:rPr>
          <w:rFonts w:hint="eastAsia" w:ascii="宋体" w:hAnsi="宋体" w:cs="宋体"/>
          <w:szCs w:val="21"/>
        </w:rPr>
      </w:pPr>
      <w:bookmarkStart w:id="220" w:name="_Toc144974633"/>
      <w:bookmarkStart w:id="221" w:name="_Toc152042443"/>
      <w:bookmarkStart w:id="222" w:name="_Toc152045665"/>
      <w:bookmarkStart w:id="223" w:name="_Toc179632683"/>
      <w:r>
        <w:rPr>
          <w:rFonts w:hint="eastAsia" w:ascii="宋体" w:hAnsi="宋体" w:cs="宋体"/>
          <w:szCs w:val="21"/>
        </w:rPr>
        <w:t>7.4 超大件和超重件的运输</w:t>
      </w:r>
      <w:bookmarkEnd w:id="220"/>
      <w:bookmarkEnd w:id="221"/>
      <w:bookmarkEnd w:id="222"/>
      <w:bookmarkEnd w:id="223"/>
    </w:p>
    <w:p w14:paraId="23CF854F">
      <w:pPr>
        <w:spacing w:line="400" w:lineRule="exact"/>
        <w:ind w:firstLine="420" w:firstLineChars="200"/>
        <w:rPr>
          <w:rFonts w:hint="eastAsia" w:ascii="宋体" w:hAnsi="宋体" w:cs="宋体"/>
          <w:szCs w:val="21"/>
        </w:rPr>
      </w:pPr>
      <w:r>
        <w:rPr>
          <w:rFonts w:hint="eastAsia" w:ascii="宋体" w:hAnsi="宋体" w:cs="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1DF9824">
      <w:pPr>
        <w:keepNext/>
        <w:keepLines/>
        <w:spacing w:line="400" w:lineRule="exact"/>
        <w:outlineLvl w:val="2"/>
        <w:rPr>
          <w:rFonts w:hint="eastAsia" w:ascii="宋体" w:hAnsi="宋体" w:cs="宋体"/>
          <w:szCs w:val="21"/>
        </w:rPr>
      </w:pPr>
      <w:bookmarkStart w:id="224" w:name="_Toc144974634"/>
      <w:bookmarkStart w:id="225" w:name="_Toc179632684"/>
      <w:bookmarkStart w:id="226" w:name="_Toc152045666"/>
      <w:bookmarkStart w:id="227" w:name="_Toc152042444"/>
      <w:r>
        <w:rPr>
          <w:rFonts w:hint="eastAsia" w:ascii="宋体" w:hAnsi="宋体" w:cs="宋体"/>
          <w:szCs w:val="21"/>
        </w:rPr>
        <w:t>7.5 道路和桥梁的损坏责任</w:t>
      </w:r>
      <w:bookmarkEnd w:id="224"/>
      <w:bookmarkEnd w:id="225"/>
      <w:bookmarkEnd w:id="226"/>
      <w:bookmarkEnd w:id="227"/>
    </w:p>
    <w:p w14:paraId="43DED1FE">
      <w:pPr>
        <w:spacing w:line="400" w:lineRule="exact"/>
        <w:ind w:firstLine="420" w:firstLineChars="200"/>
        <w:rPr>
          <w:rFonts w:hint="eastAsia" w:ascii="宋体" w:hAnsi="宋体" w:cs="宋体"/>
          <w:szCs w:val="21"/>
        </w:rPr>
      </w:pPr>
      <w:r>
        <w:rPr>
          <w:rFonts w:hint="eastAsia" w:ascii="宋体" w:hAnsi="宋体" w:cs="宋体"/>
          <w:szCs w:val="21"/>
        </w:rPr>
        <w:t>因承包人运输造成施工场地内外公共道路和桥梁损坏的，由承包人承担修复损坏的全部费用和可能引起的赔偿。</w:t>
      </w:r>
    </w:p>
    <w:p w14:paraId="0AFD7C22">
      <w:pPr>
        <w:keepNext/>
        <w:keepLines/>
        <w:spacing w:line="400" w:lineRule="exact"/>
        <w:outlineLvl w:val="2"/>
        <w:rPr>
          <w:rFonts w:hint="eastAsia" w:ascii="宋体" w:hAnsi="宋体" w:cs="宋体"/>
          <w:szCs w:val="21"/>
        </w:rPr>
      </w:pPr>
      <w:bookmarkStart w:id="228" w:name="_Toc152042445"/>
      <w:bookmarkStart w:id="229" w:name="_Toc179632685"/>
      <w:bookmarkStart w:id="230" w:name="_Toc152045667"/>
      <w:bookmarkStart w:id="231" w:name="_Toc144974635"/>
      <w:r>
        <w:rPr>
          <w:rFonts w:hint="eastAsia" w:ascii="宋体" w:hAnsi="宋体" w:cs="宋体"/>
          <w:szCs w:val="21"/>
        </w:rPr>
        <w:t>7.6 水路和航空运输</w:t>
      </w:r>
      <w:bookmarkEnd w:id="228"/>
      <w:bookmarkEnd w:id="229"/>
      <w:bookmarkEnd w:id="230"/>
      <w:bookmarkEnd w:id="231"/>
    </w:p>
    <w:p w14:paraId="49DD1ACD">
      <w:pPr>
        <w:spacing w:line="400" w:lineRule="exact"/>
        <w:ind w:firstLine="420" w:firstLineChars="200"/>
        <w:rPr>
          <w:rFonts w:hint="eastAsia" w:ascii="宋体" w:hAnsi="宋体" w:cs="宋体"/>
          <w:szCs w:val="21"/>
        </w:rPr>
      </w:pPr>
      <w:r>
        <w:rPr>
          <w:rFonts w:hint="eastAsia" w:ascii="宋体" w:hAnsi="宋体" w:cs="宋体"/>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14:paraId="1AE17271">
      <w:pPr>
        <w:pStyle w:val="4"/>
        <w:rPr>
          <w:rFonts w:cs="宋体"/>
          <w:sz w:val="28"/>
          <w:szCs w:val="28"/>
        </w:rPr>
      </w:pPr>
      <w:r>
        <w:rPr>
          <w:rFonts w:cs="宋体"/>
          <w:sz w:val="28"/>
          <w:szCs w:val="28"/>
        </w:rPr>
        <w:t xml:space="preserve"> </w:t>
      </w:r>
      <w:bookmarkStart w:id="232" w:name="_Toc221950810"/>
      <w:bookmarkStart w:id="233" w:name="_Toc222029509"/>
      <w:bookmarkStart w:id="234" w:name="_Toc229408504"/>
      <w:bookmarkStart w:id="235" w:name="_Toc222031011"/>
      <w:bookmarkStart w:id="236" w:name="_Toc229305369"/>
      <w:bookmarkStart w:id="237" w:name="_Toc222032678"/>
      <w:bookmarkStart w:id="238" w:name="_Toc222033860"/>
      <w:r>
        <w:rPr>
          <w:rFonts w:cs="宋体"/>
          <w:sz w:val="28"/>
          <w:szCs w:val="28"/>
        </w:rPr>
        <w:t>8. 测量放线</w:t>
      </w:r>
      <w:bookmarkEnd w:id="232"/>
      <w:bookmarkEnd w:id="233"/>
      <w:bookmarkEnd w:id="234"/>
      <w:bookmarkEnd w:id="235"/>
      <w:bookmarkEnd w:id="236"/>
      <w:bookmarkEnd w:id="237"/>
      <w:bookmarkEnd w:id="238"/>
    </w:p>
    <w:p w14:paraId="289D1725">
      <w:pPr>
        <w:pStyle w:val="5"/>
        <w:rPr>
          <w:rFonts w:hint="eastAsia" w:ascii="宋体" w:hAnsi="宋体" w:cs="宋体"/>
          <w:sz w:val="28"/>
          <w:szCs w:val="28"/>
        </w:rPr>
      </w:pPr>
      <w:bookmarkStart w:id="239" w:name="_Toc221950814"/>
      <w:r>
        <w:rPr>
          <w:rFonts w:hint="eastAsia" w:ascii="宋体" w:hAnsi="宋体" w:cs="宋体"/>
          <w:sz w:val="28"/>
          <w:szCs w:val="28"/>
        </w:rPr>
        <w:t>8.1施工控制网</w:t>
      </w:r>
    </w:p>
    <w:p w14:paraId="10D19529">
      <w:pPr>
        <w:spacing w:line="400" w:lineRule="exact"/>
        <w:ind w:firstLine="420" w:firstLineChars="200"/>
        <w:rPr>
          <w:rFonts w:hint="eastAsia" w:ascii="宋体" w:hAnsi="宋体" w:cs="宋体"/>
          <w:szCs w:val="21"/>
        </w:rPr>
      </w:pPr>
      <w:r>
        <w:rPr>
          <w:rFonts w:hint="eastAsia" w:ascii="宋体" w:hAnsi="宋体" w:cs="宋体"/>
          <w:szCs w:val="21"/>
        </w:rPr>
        <w:t>8.1.1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643A3FA">
      <w:pPr>
        <w:spacing w:line="400" w:lineRule="exact"/>
        <w:ind w:firstLine="420" w:firstLineChars="200"/>
        <w:rPr>
          <w:rFonts w:hint="eastAsia" w:ascii="宋体" w:hAnsi="宋体" w:cs="宋体"/>
          <w:szCs w:val="21"/>
        </w:rPr>
      </w:pPr>
      <w:r>
        <w:rPr>
          <w:rFonts w:hint="eastAsia" w:ascii="宋体" w:hAnsi="宋体" w:cs="宋体"/>
          <w:szCs w:val="21"/>
        </w:rPr>
        <w:t>8.1.2承包人应负责管理施工控制网点。施工控制网点丢失或损坏的，承包人应及时修复。承包人应承担施工控制网点的管理与修复费用，并在工程竣工后将施工控制网点移交发包人。</w:t>
      </w:r>
    </w:p>
    <w:p w14:paraId="70C30AB9">
      <w:pPr>
        <w:keepNext/>
        <w:keepLines/>
        <w:spacing w:line="400" w:lineRule="exact"/>
        <w:outlineLvl w:val="2"/>
        <w:rPr>
          <w:rFonts w:hint="eastAsia" w:ascii="宋体" w:hAnsi="宋体" w:cs="宋体"/>
          <w:szCs w:val="21"/>
        </w:rPr>
      </w:pPr>
      <w:bookmarkStart w:id="240" w:name="_Toc152042448"/>
      <w:bookmarkStart w:id="241" w:name="_Toc179632688"/>
      <w:bookmarkStart w:id="242" w:name="_Toc152045670"/>
      <w:bookmarkStart w:id="243" w:name="_Toc144974638"/>
      <w:r>
        <w:rPr>
          <w:rFonts w:hint="eastAsia" w:ascii="宋体" w:hAnsi="宋体" w:cs="宋体"/>
          <w:szCs w:val="21"/>
        </w:rPr>
        <w:t>8.2 施工测量</w:t>
      </w:r>
      <w:bookmarkEnd w:id="240"/>
      <w:bookmarkEnd w:id="241"/>
      <w:bookmarkEnd w:id="242"/>
      <w:bookmarkEnd w:id="243"/>
    </w:p>
    <w:p w14:paraId="02B74585">
      <w:pPr>
        <w:spacing w:line="400" w:lineRule="exact"/>
        <w:ind w:firstLine="420" w:firstLineChars="200"/>
        <w:rPr>
          <w:rFonts w:hint="eastAsia" w:ascii="宋体" w:hAnsi="宋体" w:cs="宋体"/>
          <w:szCs w:val="21"/>
        </w:rPr>
      </w:pPr>
      <w:r>
        <w:rPr>
          <w:rFonts w:hint="eastAsia" w:ascii="宋体" w:hAnsi="宋体" w:cs="宋体"/>
          <w:szCs w:val="21"/>
        </w:rPr>
        <w:t>8.2.1承包人应负责施工过程中的全部施工测量放线工作，并配置合格的人员、仪器、设备和其他物品。</w:t>
      </w:r>
    </w:p>
    <w:p w14:paraId="337B482E">
      <w:pPr>
        <w:spacing w:line="400" w:lineRule="exact"/>
        <w:ind w:firstLine="420" w:firstLineChars="200"/>
        <w:rPr>
          <w:rFonts w:hint="eastAsia" w:ascii="宋体" w:hAnsi="宋体" w:cs="宋体"/>
          <w:szCs w:val="21"/>
        </w:rPr>
      </w:pPr>
      <w:r>
        <w:rPr>
          <w:rFonts w:hint="eastAsia" w:ascii="宋体" w:hAnsi="宋体" w:cs="宋体"/>
          <w:szCs w:val="21"/>
        </w:rPr>
        <w:t>8.2.2监理人可以指示承包人进行抽样复测，当复测中发现错误或出现超过合同约定的误差时，承包人应按监理人指示进行修正或补测，并承担相应的复测费用。</w:t>
      </w:r>
    </w:p>
    <w:p w14:paraId="55BF5C3D">
      <w:pPr>
        <w:keepNext/>
        <w:keepLines/>
        <w:spacing w:line="400" w:lineRule="exact"/>
        <w:ind w:firstLine="420" w:firstLineChars="200"/>
        <w:outlineLvl w:val="2"/>
        <w:rPr>
          <w:rFonts w:hint="eastAsia" w:ascii="宋体" w:hAnsi="宋体" w:cs="宋体"/>
          <w:szCs w:val="21"/>
        </w:rPr>
      </w:pPr>
      <w:bookmarkStart w:id="244" w:name="_Toc152042449"/>
      <w:bookmarkStart w:id="245" w:name="_Toc179632689"/>
      <w:bookmarkStart w:id="246" w:name="_Toc152045671"/>
      <w:bookmarkStart w:id="247" w:name="_Toc144974639"/>
      <w:r>
        <w:rPr>
          <w:rFonts w:hint="eastAsia" w:ascii="宋体" w:hAnsi="宋体" w:cs="宋体"/>
          <w:szCs w:val="21"/>
        </w:rPr>
        <w:t>8.3 基准资料错误的责任</w:t>
      </w:r>
      <w:bookmarkEnd w:id="244"/>
      <w:bookmarkEnd w:id="245"/>
      <w:bookmarkEnd w:id="246"/>
      <w:bookmarkEnd w:id="247"/>
    </w:p>
    <w:p w14:paraId="009AD54F">
      <w:pPr>
        <w:spacing w:line="400" w:lineRule="exact"/>
        <w:ind w:firstLine="420" w:firstLineChars="200"/>
        <w:rPr>
          <w:rFonts w:hint="eastAsia" w:ascii="宋体" w:hAnsi="宋体" w:cs="宋体"/>
          <w:szCs w:val="21"/>
        </w:rPr>
      </w:pPr>
      <w:r>
        <w:rPr>
          <w:rFonts w:hint="eastAsia" w:ascii="宋体" w:hAnsi="宋体" w:cs="宋体"/>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397EA040">
      <w:pPr>
        <w:keepNext/>
        <w:keepLines/>
        <w:spacing w:line="400" w:lineRule="exact"/>
        <w:ind w:firstLine="420" w:firstLineChars="200"/>
        <w:outlineLvl w:val="2"/>
        <w:rPr>
          <w:rFonts w:hint="eastAsia" w:ascii="宋体" w:hAnsi="宋体" w:cs="宋体"/>
          <w:szCs w:val="21"/>
        </w:rPr>
      </w:pPr>
      <w:bookmarkStart w:id="248" w:name="_Toc152042450"/>
      <w:bookmarkStart w:id="249" w:name="_Toc179632690"/>
      <w:bookmarkStart w:id="250" w:name="_Toc144974640"/>
      <w:bookmarkStart w:id="251" w:name="_Toc152045672"/>
      <w:r>
        <w:rPr>
          <w:rFonts w:hint="eastAsia" w:ascii="宋体" w:hAnsi="宋体" w:cs="宋体"/>
          <w:szCs w:val="21"/>
        </w:rPr>
        <w:t>8.4 监理人使用施工控制网</w:t>
      </w:r>
      <w:bookmarkEnd w:id="248"/>
      <w:bookmarkEnd w:id="249"/>
      <w:bookmarkEnd w:id="250"/>
      <w:bookmarkEnd w:id="251"/>
    </w:p>
    <w:p w14:paraId="499AF0CE">
      <w:pPr>
        <w:spacing w:line="400" w:lineRule="exact"/>
        <w:ind w:firstLine="420" w:firstLineChars="200"/>
        <w:rPr>
          <w:rFonts w:hint="eastAsia" w:ascii="宋体" w:hAnsi="宋体" w:cs="宋体"/>
          <w:dstrike/>
          <w:szCs w:val="21"/>
        </w:rPr>
      </w:pPr>
      <w:r>
        <w:rPr>
          <w:rFonts w:hint="eastAsia" w:ascii="宋体" w:hAnsi="宋体" w:cs="宋体"/>
          <w:szCs w:val="21"/>
        </w:rPr>
        <w:t>监理人需要使用施工控制网的，承包人应提供必要的协助，发包人不再为此支付费用。</w:t>
      </w:r>
    </w:p>
    <w:bookmarkEnd w:id="239"/>
    <w:p w14:paraId="3AAEA9C0">
      <w:pPr>
        <w:pStyle w:val="5"/>
        <w:rPr>
          <w:rFonts w:hint="eastAsia" w:ascii="宋体" w:hAnsi="宋体" w:cs="宋体"/>
          <w:sz w:val="28"/>
          <w:szCs w:val="28"/>
        </w:rPr>
      </w:pPr>
      <w:bookmarkStart w:id="252" w:name="_Toc221950821"/>
      <w:r>
        <w:rPr>
          <w:rFonts w:hint="eastAsia" w:ascii="宋体" w:hAnsi="宋体" w:cs="宋体"/>
          <w:sz w:val="28"/>
          <w:szCs w:val="28"/>
        </w:rPr>
        <w:t>8.5补充地质勘探</w:t>
      </w:r>
      <w:bookmarkEnd w:id="252"/>
    </w:p>
    <w:p w14:paraId="0AF8291B">
      <w:pPr>
        <w:spacing w:line="400" w:lineRule="exact"/>
        <w:ind w:firstLine="420" w:firstLineChars="200"/>
        <w:rPr>
          <w:rFonts w:hint="eastAsia" w:ascii="宋体" w:hAnsi="宋体" w:cs="宋体"/>
          <w:szCs w:val="21"/>
        </w:rPr>
      </w:pPr>
      <w:bookmarkStart w:id="253" w:name="_Toc221950822"/>
      <w:r>
        <w:rPr>
          <w:rFonts w:hint="eastAsia" w:ascii="宋体" w:hAnsi="宋体" w:cs="宋体"/>
          <w:szCs w:val="21"/>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设计及施工所需进行的补充地质勘探，其费用由承包人承担。</w:t>
      </w:r>
      <w:bookmarkEnd w:id="253"/>
    </w:p>
    <w:p w14:paraId="477CA79A">
      <w:pPr>
        <w:pStyle w:val="4"/>
        <w:rPr>
          <w:rFonts w:cs="宋体"/>
          <w:sz w:val="28"/>
          <w:szCs w:val="28"/>
        </w:rPr>
      </w:pPr>
      <w:bookmarkStart w:id="254" w:name="_Toc222031012"/>
      <w:bookmarkStart w:id="255" w:name="_Toc222033861"/>
      <w:bookmarkStart w:id="256" w:name="_Toc229408505"/>
      <w:bookmarkStart w:id="257" w:name="_Toc229305370"/>
      <w:bookmarkStart w:id="258" w:name="_Toc222029510"/>
      <w:bookmarkStart w:id="259" w:name="_Toc221950823"/>
      <w:bookmarkStart w:id="260" w:name="_Toc222032679"/>
      <w:r>
        <w:rPr>
          <w:rFonts w:cs="宋体"/>
          <w:sz w:val="28"/>
          <w:szCs w:val="28"/>
        </w:rPr>
        <w:t>9. 施工安全、治安保卫和环境保护</w:t>
      </w:r>
      <w:bookmarkEnd w:id="254"/>
      <w:bookmarkEnd w:id="255"/>
      <w:bookmarkEnd w:id="256"/>
      <w:bookmarkEnd w:id="257"/>
      <w:bookmarkEnd w:id="258"/>
      <w:bookmarkEnd w:id="259"/>
      <w:bookmarkEnd w:id="260"/>
    </w:p>
    <w:p w14:paraId="66ABF7E5">
      <w:pPr>
        <w:pStyle w:val="5"/>
        <w:rPr>
          <w:rFonts w:hint="eastAsia" w:ascii="宋体" w:hAnsi="宋体" w:cs="宋体"/>
          <w:sz w:val="28"/>
          <w:szCs w:val="28"/>
        </w:rPr>
      </w:pPr>
      <w:bookmarkStart w:id="261" w:name="_Toc221950826"/>
      <w:r>
        <w:rPr>
          <w:rFonts w:hint="eastAsia" w:ascii="宋体" w:hAnsi="宋体" w:cs="宋体"/>
          <w:sz w:val="28"/>
          <w:szCs w:val="28"/>
        </w:rPr>
        <w:t>9.1发包人的施工安全责任</w:t>
      </w:r>
    </w:p>
    <w:bookmarkEnd w:id="261"/>
    <w:p w14:paraId="5F2C8C8A">
      <w:pPr>
        <w:spacing w:line="400" w:lineRule="exact"/>
        <w:ind w:firstLine="420" w:firstLineChars="200"/>
        <w:rPr>
          <w:rFonts w:hint="eastAsia" w:ascii="宋体" w:hAnsi="宋体" w:cs="宋体"/>
          <w:szCs w:val="21"/>
        </w:rPr>
      </w:pPr>
      <w:bookmarkStart w:id="262" w:name="_Toc221950836"/>
      <w:r>
        <w:rPr>
          <w:rFonts w:hint="eastAsia" w:ascii="宋体" w:hAnsi="宋体" w:cs="宋体"/>
          <w:szCs w:val="21"/>
        </w:rPr>
        <w:t>9.1.1 发包人应按合同约定履行安全职责，发包人委托监理人根据国家有关安全的法律、法规、强制性标准以及部门规章，对承包人的安全责任改选情况进行监督和检查。监理人的监督检查不减轻承包人应负的安全责任。</w:t>
      </w:r>
    </w:p>
    <w:p w14:paraId="28CED65A">
      <w:pPr>
        <w:spacing w:line="400" w:lineRule="exact"/>
        <w:ind w:firstLine="420" w:firstLineChars="200"/>
        <w:rPr>
          <w:rFonts w:hint="eastAsia" w:ascii="宋体" w:hAnsi="宋体" w:cs="宋体"/>
          <w:szCs w:val="21"/>
        </w:rPr>
      </w:pPr>
      <w:r>
        <w:rPr>
          <w:rFonts w:hint="eastAsia" w:ascii="宋体" w:hAnsi="宋体" w:cs="宋体"/>
          <w:szCs w:val="21"/>
        </w:rPr>
        <w:t>9.1.2 发包人应对其现场机构雇佣的全部人员的工伤事故承担责任，但由于承包人原因造成发包人人员工伤的，应由承包人承担责任。</w:t>
      </w:r>
    </w:p>
    <w:p w14:paraId="493E7782">
      <w:pPr>
        <w:spacing w:line="400" w:lineRule="exact"/>
        <w:ind w:firstLine="420" w:firstLineChars="200"/>
        <w:rPr>
          <w:rFonts w:hint="eastAsia" w:ascii="宋体" w:hAnsi="宋体" w:cs="宋体"/>
          <w:szCs w:val="21"/>
        </w:rPr>
      </w:pPr>
      <w:r>
        <w:rPr>
          <w:rFonts w:hint="eastAsia" w:ascii="宋体" w:hAnsi="宋体" w:cs="宋体"/>
          <w:szCs w:val="21"/>
        </w:rPr>
        <w:t>9.1.3 发包人应负责赔偿以下各种情况造成的第三者人身伤亡和财产损失：</w:t>
      </w:r>
    </w:p>
    <w:p w14:paraId="61EB1B04">
      <w:pPr>
        <w:spacing w:line="400" w:lineRule="exact"/>
        <w:ind w:firstLine="420" w:firstLineChars="200"/>
        <w:rPr>
          <w:rFonts w:hint="eastAsia" w:ascii="宋体" w:hAnsi="宋体" w:cs="宋体"/>
          <w:szCs w:val="21"/>
        </w:rPr>
      </w:pPr>
      <w:r>
        <w:rPr>
          <w:rFonts w:hint="eastAsia" w:ascii="宋体" w:hAnsi="宋体" w:cs="宋体"/>
          <w:szCs w:val="21"/>
        </w:rPr>
        <w:t>（1） 工程或工程的任何部分对土地的占用所造成的第三者财产损失；</w:t>
      </w:r>
    </w:p>
    <w:p w14:paraId="315E8076">
      <w:pPr>
        <w:spacing w:line="400" w:lineRule="exact"/>
        <w:ind w:firstLine="420" w:firstLineChars="200"/>
        <w:rPr>
          <w:rFonts w:hint="eastAsia" w:ascii="宋体" w:hAnsi="宋体" w:cs="宋体"/>
          <w:szCs w:val="21"/>
        </w:rPr>
      </w:pPr>
      <w:r>
        <w:rPr>
          <w:rFonts w:hint="eastAsia" w:ascii="宋体" w:hAnsi="宋体" w:cs="宋体"/>
          <w:szCs w:val="21"/>
        </w:rPr>
        <w:t>（2） 由于发包人原因在施工场地及其毗邻地带造成的第三者人身伤亡和财产损失。</w:t>
      </w:r>
    </w:p>
    <w:p w14:paraId="419A2CE0">
      <w:pPr>
        <w:spacing w:line="400" w:lineRule="exact"/>
        <w:ind w:firstLine="420" w:firstLineChars="200"/>
        <w:rPr>
          <w:rFonts w:hint="eastAsia" w:ascii="宋体" w:hAnsi="宋体" w:cs="宋体"/>
          <w:szCs w:val="21"/>
        </w:rPr>
      </w:pPr>
      <w:r>
        <w:rPr>
          <w:rFonts w:hint="eastAsia" w:ascii="宋体" w:hAnsi="宋体" w:cs="宋体"/>
          <w:szCs w:val="21"/>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182EDAB2">
      <w:pPr>
        <w:spacing w:line="400" w:lineRule="exact"/>
        <w:ind w:firstLine="420" w:firstLineChars="200"/>
        <w:rPr>
          <w:rFonts w:hint="eastAsia" w:ascii="宋体" w:hAnsi="宋体" w:cs="宋体"/>
          <w:szCs w:val="21"/>
        </w:rPr>
      </w:pPr>
      <w:r>
        <w:rPr>
          <w:rFonts w:hint="eastAsia" w:ascii="宋体" w:hAnsi="宋体" w:cs="宋体"/>
          <w:szCs w:val="21"/>
        </w:rPr>
        <w:t>9.1.5发包人按照已标价工程量清单所列金额和合同约定的计量支付规定，支付安全作业环境及安全施工措施所需费用。</w:t>
      </w:r>
    </w:p>
    <w:p w14:paraId="3DD17724">
      <w:pPr>
        <w:spacing w:line="400" w:lineRule="exact"/>
        <w:ind w:firstLine="420" w:firstLineChars="200"/>
        <w:rPr>
          <w:rFonts w:hint="eastAsia" w:ascii="宋体" w:hAnsi="宋体" w:cs="宋体"/>
          <w:szCs w:val="21"/>
        </w:rPr>
      </w:pPr>
      <w:r>
        <w:rPr>
          <w:rFonts w:hint="eastAsia" w:ascii="宋体" w:hAnsi="宋体" w:cs="宋体"/>
          <w:szCs w:val="21"/>
        </w:rPr>
        <w:t>9.1.6发包人负责组织工程参建单位编制保证安全生产的措施方案。工程开工前，就落实安全生产的措施进行全面系统的布置，进一步明确承包人的安全生产责任。</w:t>
      </w:r>
    </w:p>
    <w:p w14:paraId="6D8AE30E">
      <w:pPr>
        <w:spacing w:line="400" w:lineRule="exact"/>
        <w:ind w:firstLine="420" w:firstLineChars="200"/>
        <w:rPr>
          <w:rFonts w:hint="eastAsia" w:ascii="宋体" w:hAnsi="宋体" w:cs="宋体"/>
          <w:szCs w:val="21"/>
        </w:rPr>
      </w:pPr>
      <w:r>
        <w:rPr>
          <w:rFonts w:hint="eastAsia" w:ascii="宋体" w:hAnsi="宋体" w:cs="宋体"/>
          <w:szCs w:val="21"/>
        </w:rPr>
        <w:t>9.1.7发包人负责在拆除工程和爆破工程施工14天前向有关部门或机构报送相关备案资料。</w:t>
      </w:r>
    </w:p>
    <w:p w14:paraId="01F5EC61">
      <w:pPr>
        <w:pStyle w:val="5"/>
        <w:rPr>
          <w:rFonts w:hint="eastAsia" w:ascii="宋体" w:hAnsi="宋体" w:cs="宋体"/>
          <w:sz w:val="28"/>
          <w:szCs w:val="28"/>
        </w:rPr>
      </w:pPr>
      <w:r>
        <w:rPr>
          <w:rFonts w:hint="eastAsia" w:ascii="宋体" w:hAnsi="宋体" w:cs="宋体"/>
          <w:sz w:val="28"/>
          <w:szCs w:val="28"/>
        </w:rPr>
        <w:t>9.2承包人的施工安全责任</w:t>
      </w:r>
    </w:p>
    <w:p w14:paraId="129E5020">
      <w:pPr>
        <w:spacing w:line="400" w:lineRule="exact"/>
        <w:ind w:firstLine="420" w:firstLineChars="200"/>
        <w:rPr>
          <w:rFonts w:hint="eastAsia" w:ascii="宋体" w:hAnsi="宋体" w:cs="宋体"/>
          <w:szCs w:val="21"/>
        </w:rPr>
      </w:pPr>
      <w:r>
        <w:rPr>
          <w:rFonts w:hint="eastAsia" w:ascii="宋体" w:hAnsi="宋体" w:cs="宋体"/>
          <w:szCs w:val="21"/>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340F26C">
      <w:pPr>
        <w:spacing w:line="400" w:lineRule="exact"/>
        <w:ind w:firstLine="420" w:firstLineChars="200"/>
        <w:rPr>
          <w:rFonts w:hint="eastAsia" w:ascii="宋体" w:hAnsi="宋体" w:cs="宋体"/>
          <w:szCs w:val="21"/>
        </w:rPr>
      </w:pPr>
      <w:r>
        <w:rPr>
          <w:rFonts w:hint="eastAsia" w:ascii="宋体" w:hAnsi="宋体" w:cs="宋体"/>
          <w:szCs w:val="21"/>
        </w:rPr>
        <w:t>9.2.2 承包人应加强施工作业安全管理，特别应加强易燃、易爆材料、火工器材、有毒与腐蚀性材料和其他危险品的管理，以及对爆破作业和地下工程施工等危险作业的管理。</w:t>
      </w:r>
    </w:p>
    <w:p w14:paraId="2CEED004">
      <w:pPr>
        <w:spacing w:line="400" w:lineRule="exact"/>
        <w:ind w:firstLine="420" w:firstLineChars="200"/>
        <w:rPr>
          <w:rFonts w:hint="eastAsia" w:ascii="宋体" w:hAnsi="宋体" w:cs="宋体"/>
          <w:szCs w:val="21"/>
        </w:rPr>
      </w:pPr>
      <w:r>
        <w:rPr>
          <w:rFonts w:hint="eastAsia" w:ascii="宋体" w:hAnsi="宋体" w:cs="宋体"/>
          <w:szCs w:val="21"/>
        </w:rPr>
        <w:t>9.2.3 承包人应严格按照国家安全标准制定施工安全操作规程，配备必要的安全生产和劳动保护设施，加强对承包人人员的安全教育，并发放安全工作手册和劳动保护用具。</w:t>
      </w:r>
    </w:p>
    <w:p w14:paraId="7AAF55FC">
      <w:pPr>
        <w:spacing w:line="400" w:lineRule="exact"/>
        <w:ind w:firstLine="420" w:firstLineChars="200"/>
        <w:rPr>
          <w:rFonts w:hint="eastAsia" w:ascii="宋体" w:hAnsi="宋体" w:cs="宋体"/>
          <w:szCs w:val="21"/>
        </w:rPr>
      </w:pPr>
      <w:r>
        <w:rPr>
          <w:rFonts w:hint="eastAsia" w:ascii="宋体" w:hAnsi="宋体" w:cs="宋体"/>
          <w:szCs w:val="21"/>
        </w:rPr>
        <w:t>9.2.4 承包人应按监理人的指示制定应对灾害的紧急预案，报送监理人审批。承包人还应按预案做好安全检查，配置必要的救助物资和器材，切实保护好有关人员的人身和财产安全。</w:t>
      </w:r>
    </w:p>
    <w:p w14:paraId="2189C23F">
      <w:pPr>
        <w:spacing w:line="400" w:lineRule="exact"/>
        <w:ind w:firstLine="420" w:firstLineChars="200"/>
        <w:rPr>
          <w:rFonts w:hint="eastAsia" w:ascii="宋体" w:hAnsi="宋体" w:cs="宋体"/>
          <w:szCs w:val="21"/>
        </w:rPr>
      </w:pPr>
      <w:r>
        <w:rPr>
          <w:rFonts w:hint="eastAsia" w:ascii="宋体" w:hAnsi="宋体" w:cs="宋体"/>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7AD70A60">
      <w:pPr>
        <w:spacing w:line="400" w:lineRule="exact"/>
        <w:ind w:firstLine="420" w:firstLineChars="200"/>
        <w:rPr>
          <w:rFonts w:hint="eastAsia" w:ascii="宋体" w:hAnsi="宋体" w:cs="宋体"/>
          <w:szCs w:val="21"/>
        </w:rPr>
      </w:pPr>
      <w:r>
        <w:rPr>
          <w:rFonts w:hint="eastAsia" w:ascii="宋体" w:hAnsi="宋体" w:cs="宋体"/>
          <w:szCs w:val="21"/>
        </w:rPr>
        <w:t>9.2.6 承包人应对其履行合同所雇佣的全部人员，包括分包人人员的工伤事故承担责任，但由于发包人原因造成承包人人员工伤事故的，应由发包人承担责任。</w:t>
      </w:r>
    </w:p>
    <w:p w14:paraId="270A27B8">
      <w:pPr>
        <w:spacing w:line="400" w:lineRule="exact"/>
        <w:ind w:firstLine="420" w:firstLineChars="200"/>
        <w:rPr>
          <w:rFonts w:hint="eastAsia" w:ascii="宋体" w:hAnsi="宋体" w:cs="宋体"/>
          <w:szCs w:val="21"/>
        </w:rPr>
      </w:pPr>
      <w:r>
        <w:rPr>
          <w:rFonts w:hint="eastAsia" w:ascii="宋体" w:hAnsi="宋体" w:cs="宋体"/>
          <w:szCs w:val="21"/>
        </w:rPr>
        <w:t>9.2.7 由于承包人原因在施工场地内及其毗邻地带造成的第三者人员伤亡和财产损失，由承包人负责赔偿。</w:t>
      </w:r>
    </w:p>
    <w:p w14:paraId="13724676">
      <w:pPr>
        <w:spacing w:line="400" w:lineRule="exact"/>
        <w:ind w:firstLine="420" w:firstLineChars="200"/>
        <w:rPr>
          <w:rFonts w:hint="eastAsia" w:ascii="宋体" w:hAnsi="宋体" w:cs="宋体"/>
          <w:szCs w:val="21"/>
        </w:rPr>
      </w:pPr>
      <w:r>
        <w:rPr>
          <w:rFonts w:hint="eastAsia" w:ascii="宋体" w:hAnsi="宋体" w:cs="宋体"/>
          <w:szCs w:val="21"/>
        </w:rPr>
        <w:t>9.2.8承包人已标价工程量清单应包含工程安全作业环境及安全施工措施所需费用。</w:t>
      </w:r>
    </w:p>
    <w:p w14:paraId="15F2EB42">
      <w:pPr>
        <w:spacing w:line="400" w:lineRule="exact"/>
        <w:ind w:firstLine="420" w:firstLineChars="200"/>
        <w:rPr>
          <w:rFonts w:hint="eastAsia" w:ascii="宋体" w:hAnsi="宋体" w:cs="宋体"/>
          <w:szCs w:val="21"/>
        </w:rPr>
      </w:pPr>
      <w:r>
        <w:rPr>
          <w:rFonts w:hint="eastAsia" w:ascii="宋体" w:hAnsi="宋体" w:cs="宋体"/>
          <w:szCs w:val="21"/>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01BE53F8">
      <w:pPr>
        <w:spacing w:line="400" w:lineRule="exact"/>
        <w:ind w:firstLine="420" w:firstLineChars="200"/>
        <w:rPr>
          <w:rFonts w:hint="eastAsia" w:ascii="宋体" w:hAnsi="宋体" w:cs="宋体"/>
          <w:szCs w:val="21"/>
        </w:rPr>
      </w:pPr>
      <w:r>
        <w:rPr>
          <w:rFonts w:hint="eastAsia" w:ascii="宋体" w:hAnsi="宋体" w:cs="宋体"/>
          <w:szCs w:val="21"/>
        </w:rPr>
        <w:t>9.2.10承包人应设立安全生产管理机构，施工现场应有专职安全生产管理人员。</w:t>
      </w:r>
    </w:p>
    <w:p w14:paraId="6C285BB8">
      <w:pPr>
        <w:spacing w:line="400" w:lineRule="exact"/>
        <w:ind w:firstLine="420" w:firstLineChars="200"/>
        <w:rPr>
          <w:rFonts w:hint="eastAsia" w:ascii="宋体" w:hAnsi="宋体" w:cs="宋体"/>
          <w:szCs w:val="21"/>
        </w:rPr>
      </w:pPr>
      <w:r>
        <w:rPr>
          <w:rFonts w:hint="eastAsia" w:ascii="宋体" w:hAnsi="宋体" w:cs="宋体"/>
          <w:szCs w:val="21"/>
        </w:rPr>
        <w:t>9.2.11承包人应负责对特种作业人员进行专门的安全作业培训，并保证特种作业人员持证上岗。</w:t>
      </w:r>
    </w:p>
    <w:p w14:paraId="4F913428">
      <w:pPr>
        <w:spacing w:line="400" w:lineRule="exact"/>
        <w:ind w:firstLine="420" w:firstLineChars="200"/>
        <w:rPr>
          <w:rFonts w:hint="eastAsia" w:ascii="宋体" w:hAnsi="宋体" w:cs="宋体"/>
          <w:szCs w:val="21"/>
        </w:rPr>
      </w:pPr>
      <w:r>
        <w:rPr>
          <w:rFonts w:hint="eastAsia" w:ascii="宋体" w:hAnsi="宋体" w:cs="宋体"/>
          <w:szCs w:val="21"/>
        </w:rPr>
        <w:t>9.2.12承包人应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47801EF0">
      <w:pPr>
        <w:spacing w:line="400" w:lineRule="exact"/>
        <w:ind w:firstLine="420" w:firstLineChars="200"/>
        <w:rPr>
          <w:rFonts w:hint="eastAsia" w:ascii="宋体" w:hAnsi="宋体" w:cs="宋体"/>
          <w:szCs w:val="21"/>
        </w:rPr>
      </w:pPr>
      <w:r>
        <w:rPr>
          <w:rFonts w:hint="eastAsia" w:ascii="宋体" w:hAnsi="宋体" w:cs="宋体"/>
          <w:szCs w:val="21"/>
        </w:rPr>
        <w:t>9.2.13承包人在使用施工起重机构和整体提升脚手架、模板等自升式架设设施前，应组织有关单位进行验收。</w:t>
      </w:r>
    </w:p>
    <w:p w14:paraId="5B8BA3DC">
      <w:pPr>
        <w:pStyle w:val="5"/>
        <w:rPr>
          <w:rFonts w:hint="eastAsia" w:ascii="宋体" w:hAnsi="宋体" w:cs="宋体"/>
          <w:sz w:val="28"/>
          <w:szCs w:val="28"/>
        </w:rPr>
      </w:pPr>
      <w:bookmarkStart w:id="263" w:name="_Toc179632694"/>
      <w:bookmarkStart w:id="264" w:name="_Toc152042454"/>
      <w:bookmarkStart w:id="265" w:name="_Toc144974644"/>
      <w:bookmarkStart w:id="266" w:name="_Toc152045676"/>
      <w:bookmarkStart w:id="267" w:name="_Toc144974646"/>
      <w:bookmarkStart w:id="268" w:name="_Toc152045678"/>
      <w:bookmarkStart w:id="269" w:name="_Toc179632696"/>
      <w:bookmarkStart w:id="270" w:name="_Toc152042456"/>
      <w:r>
        <w:rPr>
          <w:rFonts w:hint="eastAsia" w:ascii="宋体" w:hAnsi="宋体" w:cs="宋体"/>
          <w:sz w:val="28"/>
          <w:szCs w:val="28"/>
        </w:rPr>
        <w:t>9.3 治安保卫</w:t>
      </w:r>
      <w:bookmarkEnd w:id="263"/>
      <w:bookmarkEnd w:id="264"/>
      <w:bookmarkEnd w:id="265"/>
      <w:bookmarkEnd w:id="266"/>
    </w:p>
    <w:p w14:paraId="57A80EF7">
      <w:pPr>
        <w:spacing w:line="400" w:lineRule="exact"/>
        <w:ind w:firstLine="420" w:firstLineChars="200"/>
        <w:rPr>
          <w:rFonts w:hint="eastAsia" w:ascii="宋体" w:hAnsi="宋体" w:cs="宋体"/>
          <w:szCs w:val="21"/>
        </w:rPr>
      </w:pPr>
      <w:r>
        <w:rPr>
          <w:rFonts w:hint="eastAsia" w:ascii="宋体" w:hAnsi="宋体" w:cs="宋体"/>
          <w:szCs w:val="21"/>
        </w:rPr>
        <w:t>9.3.1 除合同另有约定外，发包人应与当地公安部门协商，在现场建立治安管理机构或联防组织，统一管理施工场地的治安保卫事项，履行合同工程的治安保卫职责。</w:t>
      </w:r>
    </w:p>
    <w:p w14:paraId="0800EB6B">
      <w:pPr>
        <w:spacing w:line="400" w:lineRule="exact"/>
        <w:ind w:firstLine="420" w:firstLineChars="200"/>
        <w:rPr>
          <w:rFonts w:hint="eastAsia" w:ascii="宋体" w:hAnsi="宋体" w:cs="宋体"/>
          <w:szCs w:val="21"/>
        </w:rPr>
      </w:pPr>
      <w:r>
        <w:rPr>
          <w:rFonts w:hint="eastAsia" w:ascii="宋体" w:hAnsi="宋体" w:cs="宋体"/>
          <w:szCs w:val="21"/>
        </w:rPr>
        <w:t>9.3.2 发包人和承包人除应协助现场治安管理机构或联防组织维护施工场地的社会治安外，还应做好包括生活区在内的各自管辖区的治安保卫工作。</w:t>
      </w:r>
    </w:p>
    <w:p w14:paraId="12435FBD">
      <w:pPr>
        <w:spacing w:line="400" w:lineRule="exact"/>
        <w:ind w:firstLine="420" w:firstLineChars="200"/>
        <w:rPr>
          <w:rFonts w:hint="eastAsia" w:ascii="宋体" w:hAnsi="宋体" w:cs="宋体"/>
          <w:szCs w:val="21"/>
        </w:rPr>
      </w:pPr>
      <w:r>
        <w:rPr>
          <w:rFonts w:hint="eastAsia" w:ascii="宋体" w:hAnsi="宋体" w:cs="宋体"/>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AB061C6">
      <w:pPr>
        <w:pStyle w:val="5"/>
        <w:rPr>
          <w:rFonts w:hint="eastAsia" w:ascii="宋体" w:hAnsi="宋体" w:cs="宋体"/>
          <w:sz w:val="28"/>
          <w:szCs w:val="28"/>
        </w:rPr>
      </w:pPr>
      <w:bookmarkStart w:id="271" w:name="_Toc152045677"/>
      <w:bookmarkStart w:id="272" w:name="_Toc179632695"/>
      <w:bookmarkStart w:id="273" w:name="_Toc152042455"/>
      <w:bookmarkStart w:id="274" w:name="_Toc144974645"/>
      <w:r>
        <w:rPr>
          <w:rFonts w:hint="eastAsia" w:ascii="宋体" w:hAnsi="宋体" w:cs="宋体"/>
          <w:sz w:val="28"/>
          <w:szCs w:val="28"/>
        </w:rPr>
        <w:t>9.4 环境保护</w:t>
      </w:r>
      <w:bookmarkEnd w:id="271"/>
      <w:bookmarkEnd w:id="272"/>
      <w:bookmarkEnd w:id="273"/>
      <w:bookmarkEnd w:id="274"/>
    </w:p>
    <w:p w14:paraId="45D6A4A8">
      <w:pPr>
        <w:spacing w:line="400" w:lineRule="exact"/>
        <w:ind w:firstLine="420" w:firstLineChars="200"/>
        <w:rPr>
          <w:rFonts w:hint="eastAsia" w:ascii="宋体" w:hAnsi="宋体" w:cs="宋体"/>
          <w:szCs w:val="21"/>
        </w:rPr>
      </w:pPr>
      <w:r>
        <w:rPr>
          <w:rFonts w:hint="eastAsia" w:ascii="宋体" w:hAnsi="宋体" w:cs="宋体"/>
          <w:szCs w:val="21"/>
        </w:rPr>
        <w:t>9.4.1 承包人在施工过程中，应遵守有关环境保护的法律，履行合同约定的环境保护义务，并对违反法律和合同约定义务所造成的环境破坏、人身伤害和财产损失负责。</w:t>
      </w:r>
    </w:p>
    <w:p w14:paraId="3183B551">
      <w:pPr>
        <w:spacing w:line="400" w:lineRule="exact"/>
        <w:ind w:firstLine="420" w:firstLineChars="200"/>
        <w:rPr>
          <w:rFonts w:hint="eastAsia" w:ascii="宋体" w:hAnsi="宋体" w:cs="宋体"/>
          <w:szCs w:val="21"/>
        </w:rPr>
      </w:pPr>
      <w:r>
        <w:rPr>
          <w:rFonts w:hint="eastAsia" w:ascii="宋体" w:hAnsi="宋体" w:cs="宋体"/>
          <w:szCs w:val="21"/>
        </w:rPr>
        <w:t>9.4.2 承包人应按合同约定的环保工作内容，编制施工环保措施计划，报送监理人审批。</w:t>
      </w:r>
    </w:p>
    <w:p w14:paraId="41082D3D">
      <w:pPr>
        <w:spacing w:line="400" w:lineRule="exact"/>
        <w:ind w:firstLine="420" w:firstLineChars="200"/>
        <w:rPr>
          <w:rFonts w:hint="eastAsia" w:ascii="宋体" w:hAnsi="宋体" w:cs="宋体"/>
          <w:szCs w:val="21"/>
        </w:rPr>
      </w:pPr>
      <w:r>
        <w:rPr>
          <w:rFonts w:hint="eastAsia" w:ascii="宋体" w:hAnsi="宋体" w:cs="宋体"/>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25648EB">
      <w:pPr>
        <w:spacing w:line="400" w:lineRule="exact"/>
        <w:ind w:firstLine="420" w:firstLineChars="200"/>
        <w:rPr>
          <w:rFonts w:hint="eastAsia" w:ascii="宋体" w:hAnsi="宋体" w:cs="宋体"/>
          <w:szCs w:val="21"/>
        </w:rPr>
      </w:pPr>
      <w:r>
        <w:rPr>
          <w:rFonts w:hint="eastAsia" w:ascii="宋体" w:hAnsi="宋体" w:cs="宋体"/>
          <w:szCs w:val="21"/>
        </w:rPr>
        <w:t>9.4.4 承包人应按合同约定采取有效措施，对施工开挖的边坡及时进行支护,维护排水设施，并进行水土保护，避免因施工造成的地质灾害。</w:t>
      </w:r>
    </w:p>
    <w:p w14:paraId="12EF3063">
      <w:pPr>
        <w:spacing w:line="400" w:lineRule="exact"/>
        <w:ind w:firstLine="420" w:firstLineChars="200"/>
        <w:rPr>
          <w:rFonts w:hint="eastAsia" w:ascii="宋体" w:hAnsi="宋体" w:cs="宋体"/>
          <w:szCs w:val="21"/>
        </w:rPr>
      </w:pPr>
      <w:r>
        <w:rPr>
          <w:rFonts w:hint="eastAsia" w:ascii="宋体" w:hAnsi="宋体" w:cs="宋体"/>
          <w:szCs w:val="21"/>
        </w:rPr>
        <w:t>9.4.5 承包人应按国家饮用水管理标准定期对饮用水源进行监测，防止施工活动污染饮用水源。</w:t>
      </w:r>
    </w:p>
    <w:p w14:paraId="205BC249">
      <w:pPr>
        <w:spacing w:line="400" w:lineRule="exact"/>
        <w:ind w:firstLine="420" w:firstLineChars="200"/>
        <w:rPr>
          <w:rFonts w:hint="eastAsia" w:ascii="宋体" w:hAnsi="宋体" w:cs="宋体"/>
          <w:szCs w:val="21"/>
        </w:rPr>
      </w:pPr>
      <w:r>
        <w:rPr>
          <w:rFonts w:hint="eastAsia" w:ascii="宋体" w:hAnsi="宋体" w:cs="宋体"/>
          <w:szCs w:val="21"/>
        </w:rPr>
        <w:t>9.4.6 承包人应按合同约定，加强对噪声、粉尘、废气、废水和废油的控制，努力降低噪声，控制粉尘和废气浓度，做好废水和废油的治理和排放。</w:t>
      </w:r>
    </w:p>
    <w:bookmarkEnd w:id="267"/>
    <w:bookmarkEnd w:id="268"/>
    <w:bookmarkEnd w:id="269"/>
    <w:bookmarkEnd w:id="270"/>
    <w:p w14:paraId="5895729C">
      <w:pPr>
        <w:pStyle w:val="5"/>
        <w:rPr>
          <w:rFonts w:hint="eastAsia" w:ascii="宋体" w:hAnsi="宋体" w:cs="宋体"/>
          <w:sz w:val="28"/>
          <w:szCs w:val="28"/>
        </w:rPr>
      </w:pPr>
      <w:r>
        <w:rPr>
          <w:rFonts w:hint="eastAsia" w:ascii="宋体" w:hAnsi="宋体" w:cs="宋体"/>
          <w:sz w:val="28"/>
          <w:szCs w:val="28"/>
        </w:rPr>
        <w:t>9.5事故处理</w:t>
      </w:r>
    </w:p>
    <w:p w14:paraId="05E4DA3D">
      <w:pPr>
        <w:spacing w:line="400" w:lineRule="exact"/>
        <w:ind w:firstLine="420" w:firstLineChars="200"/>
        <w:rPr>
          <w:rFonts w:hint="eastAsia" w:ascii="宋体" w:hAnsi="宋体" w:cs="宋体"/>
          <w:szCs w:val="21"/>
        </w:rPr>
      </w:pPr>
      <w:r>
        <w:rPr>
          <w:rFonts w:hint="eastAsia" w:ascii="宋体" w:hAnsi="宋体" w:cs="宋体"/>
          <w:szCs w:val="21"/>
        </w:rPr>
        <w:t>9.5.1发包人负责组织参建单位制定本工程的质量与安全事故应急预案，建立质量与安全事故应急处置指挥部。</w:t>
      </w:r>
    </w:p>
    <w:p w14:paraId="1DADE44F">
      <w:pPr>
        <w:spacing w:line="400" w:lineRule="exact"/>
        <w:ind w:firstLine="420" w:firstLineChars="200"/>
        <w:rPr>
          <w:rFonts w:hint="eastAsia" w:ascii="宋体" w:hAnsi="宋体" w:cs="宋体"/>
          <w:szCs w:val="21"/>
        </w:rPr>
      </w:pPr>
      <w:r>
        <w:rPr>
          <w:rFonts w:hint="eastAsia" w:ascii="宋体" w:hAnsi="宋体" w:cs="宋体"/>
          <w:szCs w:val="21"/>
        </w:rPr>
        <w:t xml:space="preserve">9.5.2承包人应对施工现场易发生质量和安全事故的部位、环节的进行监控，配备救援器材、设备并定期组织演练。 </w:t>
      </w:r>
    </w:p>
    <w:p w14:paraId="4084599E">
      <w:pPr>
        <w:spacing w:line="400" w:lineRule="exact"/>
        <w:ind w:firstLine="420" w:firstLineChars="200"/>
        <w:rPr>
          <w:rFonts w:hint="eastAsia" w:ascii="宋体" w:hAnsi="宋体" w:cs="宋体"/>
          <w:szCs w:val="21"/>
        </w:rPr>
      </w:pPr>
      <w:r>
        <w:rPr>
          <w:rFonts w:hint="eastAsia" w:ascii="宋体" w:hAnsi="宋体" w:cs="宋体"/>
          <w:szCs w:val="21"/>
        </w:rPr>
        <w:t>9.5.3工程开工前，承包人应根据本工程特点制定施工现场施工质量与安全事故应急预案，并报发包人备案。</w:t>
      </w:r>
    </w:p>
    <w:p w14:paraId="2EF75647">
      <w:pPr>
        <w:spacing w:line="400" w:lineRule="exact"/>
        <w:ind w:firstLine="420" w:firstLineChars="200"/>
        <w:rPr>
          <w:rFonts w:hint="eastAsia" w:ascii="宋体" w:hAnsi="宋体" w:cs="宋体"/>
          <w:szCs w:val="21"/>
        </w:rPr>
      </w:pPr>
      <w:r>
        <w:rPr>
          <w:rFonts w:hint="eastAsia" w:ascii="宋体" w:hAnsi="宋体" w:cs="宋体"/>
          <w:szCs w:val="21"/>
        </w:rPr>
        <w:t>9.5.4施工过程中发生事故时，发包人、承包人应立即启动应急预案。</w:t>
      </w:r>
    </w:p>
    <w:p w14:paraId="273A0C22">
      <w:pPr>
        <w:spacing w:line="400" w:lineRule="exact"/>
        <w:ind w:firstLine="420" w:firstLineChars="200"/>
        <w:rPr>
          <w:rFonts w:hint="eastAsia" w:ascii="宋体" w:hAnsi="宋体" w:cs="宋体"/>
          <w:szCs w:val="21"/>
        </w:rPr>
      </w:pPr>
      <w:r>
        <w:rPr>
          <w:rFonts w:hint="eastAsia" w:ascii="宋体" w:hAnsi="宋体" w:cs="宋体"/>
          <w:szCs w:val="21"/>
        </w:rPr>
        <w:t>9.5.5事故调查处理由发包人按相关规定履行手续，承包人应配合。</w:t>
      </w:r>
    </w:p>
    <w:p w14:paraId="2E2CE983">
      <w:pPr>
        <w:pStyle w:val="5"/>
        <w:rPr>
          <w:rFonts w:hint="eastAsia" w:ascii="宋体" w:hAnsi="宋体" w:cs="宋体"/>
          <w:sz w:val="28"/>
          <w:szCs w:val="28"/>
        </w:rPr>
      </w:pPr>
      <w:r>
        <w:rPr>
          <w:rFonts w:hint="eastAsia" w:ascii="宋体" w:hAnsi="宋体" w:cs="宋体"/>
          <w:sz w:val="28"/>
          <w:szCs w:val="28"/>
        </w:rPr>
        <w:t>9.6 水土保持</w:t>
      </w:r>
      <w:bookmarkEnd w:id="262"/>
    </w:p>
    <w:p w14:paraId="4E6E9012">
      <w:pPr>
        <w:spacing w:line="400" w:lineRule="exact"/>
        <w:ind w:firstLine="420" w:firstLineChars="200"/>
        <w:rPr>
          <w:rFonts w:hint="eastAsia" w:ascii="宋体" w:hAnsi="宋体" w:cs="宋体"/>
          <w:szCs w:val="21"/>
        </w:rPr>
      </w:pPr>
      <w:bookmarkStart w:id="275" w:name="_Toc221950837"/>
      <w:r>
        <w:rPr>
          <w:rFonts w:hint="eastAsia" w:ascii="宋体" w:hAnsi="宋体" w:cs="宋体"/>
          <w:szCs w:val="21"/>
        </w:rPr>
        <w:t>9.6.1 发包人应及时向承包人提供水土保持方案。</w:t>
      </w:r>
    </w:p>
    <w:p w14:paraId="4A5A4320">
      <w:pPr>
        <w:spacing w:line="400" w:lineRule="exact"/>
        <w:ind w:firstLine="420" w:firstLineChars="200"/>
        <w:rPr>
          <w:rFonts w:hint="eastAsia" w:ascii="宋体" w:hAnsi="宋体" w:cs="宋体"/>
          <w:szCs w:val="21"/>
        </w:rPr>
      </w:pPr>
      <w:r>
        <w:rPr>
          <w:rFonts w:hint="eastAsia" w:ascii="宋体" w:hAnsi="宋体" w:cs="宋体"/>
          <w:szCs w:val="21"/>
        </w:rPr>
        <w:t>9.6.2承包人在施工过程中，应遵守有关水土保持的法律，履行合同约定的水土保持义务，并对其违反法律和合同约定义务所造成的水土流失灾害、人身伤害和财产损失负责。</w:t>
      </w:r>
      <w:bookmarkEnd w:id="275"/>
    </w:p>
    <w:p w14:paraId="3767FDCD">
      <w:pPr>
        <w:spacing w:line="400" w:lineRule="exact"/>
        <w:ind w:firstLine="420" w:firstLineChars="200"/>
        <w:rPr>
          <w:rFonts w:hint="eastAsia" w:ascii="宋体" w:hAnsi="宋体" w:cs="宋体"/>
          <w:szCs w:val="21"/>
        </w:rPr>
      </w:pPr>
      <w:bookmarkStart w:id="276" w:name="_Toc221950839"/>
      <w:r>
        <w:rPr>
          <w:rFonts w:hint="eastAsia" w:ascii="宋体" w:hAnsi="宋体" w:cs="宋体"/>
          <w:szCs w:val="21"/>
        </w:rPr>
        <w:t>9.6.3 承包人的水土保持措施计划，应满足技术标准和要求（合同技术条款）约定的要求</w:t>
      </w:r>
      <w:bookmarkEnd w:id="276"/>
      <w:r>
        <w:rPr>
          <w:rFonts w:hint="eastAsia" w:ascii="宋体" w:hAnsi="宋体" w:cs="宋体"/>
          <w:szCs w:val="21"/>
        </w:rPr>
        <w:t>。</w:t>
      </w:r>
    </w:p>
    <w:p w14:paraId="5FECCEE6">
      <w:pPr>
        <w:spacing w:before="100" w:beforeAutospacing="1" w:after="100" w:afterAutospacing="1"/>
        <w:rPr>
          <w:rFonts w:hint="eastAsia" w:ascii="宋体" w:hAnsi="宋体" w:cs="宋体"/>
          <w:b/>
          <w:sz w:val="28"/>
          <w:szCs w:val="28"/>
        </w:rPr>
      </w:pPr>
      <w:r>
        <w:rPr>
          <w:rFonts w:hint="eastAsia" w:ascii="宋体" w:hAnsi="宋体" w:cs="宋体"/>
          <w:b/>
          <w:sz w:val="28"/>
          <w:szCs w:val="28"/>
        </w:rPr>
        <w:t>9.7文明工地</w:t>
      </w:r>
    </w:p>
    <w:p w14:paraId="7CED5F3A">
      <w:pPr>
        <w:spacing w:line="400" w:lineRule="exact"/>
        <w:ind w:firstLine="420" w:firstLineChars="200"/>
        <w:rPr>
          <w:rFonts w:hint="eastAsia" w:ascii="宋体" w:hAnsi="宋体" w:cs="宋体"/>
          <w:szCs w:val="21"/>
        </w:rPr>
      </w:pPr>
      <w:r>
        <w:rPr>
          <w:rFonts w:hint="eastAsia" w:ascii="宋体" w:hAnsi="宋体" w:cs="宋体"/>
          <w:szCs w:val="21"/>
        </w:rPr>
        <w:t xml:space="preserve">9.7.1发包人应按专用合同条款的约定，负责建立创建文明建设工地的组织机构，制定创建文明建设工地的规划和办法。 </w:t>
      </w:r>
    </w:p>
    <w:p w14:paraId="16B46D59">
      <w:pPr>
        <w:spacing w:line="400" w:lineRule="exact"/>
        <w:ind w:firstLine="420" w:firstLineChars="200"/>
        <w:rPr>
          <w:rFonts w:hint="eastAsia" w:ascii="宋体" w:hAnsi="宋体" w:cs="宋体"/>
          <w:szCs w:val="21"/>
        </w:rPr>
      </w:pPr>
      <w:r>
        <w:rPr>
          <w:rFonts w:hint="eastAsia" w:ascii="宋体" w:hAnsi="宋体" w:cs="宋体"/>
          <w:szCs w:val="21"/>
        </w:rPr>
        <w:t>9.7.2承包人应按创建文明建设工地的规划和办法，履行职责，承担相应责任。所需费用应含在已标价工程量清单中。</w:t>
      </w:r>
    </w:p>
    <w:p w14:paraId="78D0D9DF">
      <w:pPr>
        <w:spacing w:before="100" w:beforeAutospacing="1" w:after="100" w:afterAutospacing="1"/>
        <w:outlineLvl w:val="0"/>
        <w:rPr>
          <w:rFonts w:hint="eastAsia" w:ascii="宋体" w:hAnsi="宋体" w:cs="宋体"/>
          <w:b/>
          <w:sz w:val="28"/>
          <w:szCs w:val="28"/>
        </w:rPr>
      </w:pPr>
      <w:r>
        <w:rPr>
          <w:rFonts w:hint="eastAsia" w:ascii="宋体" w:hAnsi="宋体" w:cs="宋体"/>
          <w:b/>
          <w:sz w:val="28"/>
          <w:szCs w:val="28"/>
        </w:rPr>
        <w:t>9.8防汛度汛</w:t>
      </w:r>
    </w:p>
    <w:p w14:paraId="4F724B51">
      <w:pPr>
        <w:spacing w:line="400" w:lineRule="exact"/>
        <w:ind w:firstLine="420" w:firstLineChars="200"/>
        <w:rPr>
          <w:rFonts w:hint="eastAsia" w:ascii="宋体" w:hAnsi="宋体" w:cs="宋体"/>
          <w:szCs w:val="21"/>
        </w:rPr>
      </w:pPr>
      <w:r>
        <w:rPr>
          <w:rFonts w:hint="eastAsia" w:ascii="宋体" w:hAnsi="宋体" w:cs="宋体"/>
          <w:szCs w:val="21"/>
        </w:rPr>
        <w:t>9.8.1发包人负责组织工程参建单位编制本工程的度汛方案和措施。</w:t>
      </w:r>
    </w:p>
    <w:p w14:paraId="6111FB35">
      <w:pPr>
        <w:spacing w:line="400" w:lineRule="exact"/>
        <w:ind w:firstLine="420" w:firstLineChars="200"/>
        <w:rPr>
          <w:rFonts w:hint="eastAsia" w:ascii="宋体" w:hAnsi="宋体" w:cs="宋体"/>
          <w:szCs w:val="21"/>
        </w:rPr>
      </w:pPr>
      <w:r>
        <w:rPr>
          <w:rFonts w:hint="eastAsia" w:ascii="宋体" w:hAnsi="宋体" w:cs="宋体"/>
          <w:szCs w:val="21"/>
        </w:rPr>
        <w:t>9.8.2承包人应根据发包人编制的本工程度汛方案和措施，制定相应的度汛方案，报发包人批准后实施。</w:t>
      </w:r>
    </w:p>
    <w:p w14:paraId="423F79AB">
      <w:pPr>
        <w:pStyle w:val="4"/>
        <w:rPr>
          <w:rFonts w:cs="宋体"/>
          <w:sz w:val="28"/>
          <w:szCs w:val="28"/>
        </w:rPr>
      </w:pPr>
      <w:bookmarkStart w:id="277" w:name="_Toc229305371"/>
      <w:bookmarkStart w:id="278" w:name="_Toc222033862"/>
      <w:bookmarkStart w:id="279" w:name="_Toc222031013"/>
      <w:bookmarkStart w:id="280" w:name="_Toc221950840"/>
      <w:bookmarkStart w:id="281" w:name="_Toc229408506"/>
      <w:bookmarkStart w:id="282" w:name="_Toc222032680"/>
      <w:bookmarkStart w:id="283" w:name="_Toc222029511"/>
      <w:r>
        <w:rPr>
          <w:rFonts w:cs="宋体"/>
          <w:sz w:val="28"/>
          <w:szCs w:val="28"/>
        </w:rPr>
        <w:t>10  进度计划</w:t>
      </w:r>
      <w:bookmarkEnd w:id="277"/>
      <w:bookmarkEnd w:id="278"/>
      <w:bookmarkEnd w:id="279"/>
      <w:bookmarkEnd w:id="280"/>
      <w:bookmarkEnd w:id="281"/>
      <w:bookmarkEnd w:id="282"/>
      <w:bookmarkEnd w:id="283"/>
    </w:p>
    <w:p w14:paraId="7B01A7B6">
      <w:pPr>
        <w:pStyle w:val="5"/>
        <w:rPr>
          <w:rFonts w:hint="eastAsia" w:ascii="宋体" w:hAnsi="宋体" w:cs="宋体"/>
          <w:sz w:val="28"/>
          <w:szCs w:val="28"/>
        </w:rPr>
      </w:pPr>
      <w:bookmarkStart w:id="284" w:name="_Toc221950843"/>
      <w:r>
        <w:rPr>
          <w:rFonts w:hint="eastAsia" w:ascii="宋体" w:hAnsi="宋体" w:cs="宋体"/>
          <w:sz w:val="28"/>
          <w:szCs w:val="28"/>
        </w:rPr>
        <w:t>10.1合同进度计划</w:t>
      </w:r>
    </w:p>
    <w:bookmarkEnd w:id="284"/>
    <w:p w14:paraId="1620258E">
      <w:pPr>
        <w:spacing w:line="400" w:lineRule="exact"/>
        <w:ind w:firstLine="420" w:firstLineChars="200"/>
        <w:rPr>
          <w:rFonts w:hint="eastAsia" w:ascii="宋体" w:hAnsi="宋体" w:cs="宋体"/>
          <w:szCs w:val="21"/>
        </w:rPr>
      </w:pPr>
      <w:bookmarkStart w:id="285" w:name="_Toc221950845"/>
      <w:r>
        <w:rPr>
          <w:rFonts w:hint="eastAsia" w:ascii="宋体" w:hAnsi="宋体" w:cs="宋体"/>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合同进度计划，是控制合同工程进度的依据。承包人还应根据合同进度计划，编制更为详细的分阶段或单位工程或分部工程进度计划，报监理人审批。</w:t>
      </w:r>
    </w:p>
    <w:p w14:paraId="6A6A6EC6">
      <w:pPr>
        <w:pStyle w:val="5"/>
        <w:rPr>
          <w:rFonts w:hint="eastAsia" w:ascii="宋体" w:hAnsi="宋体" w:cs="宋体"/>
          <w:sz w:val="28"/>
          <w:szCs w:val="28"/>
        </w:rPr>
      </w:pPr>
      <w:r>
        <w:rPr>
          <w:rFonts w:hint="eastAsia" w:ascii="宋体" w:hAnsi="宋体" w:cs="宋体"/>
          <w:sz w:val="28"/>
          <w:szCs w:val="28"/>
        </w:rPr>
        <w:t>10.2合同进度计划的修订</w:t>
      </w:r>
    </w:p>
    <w:p w14:paraId="0759A7C7">
      <w:pPr>
        <w:spacing w:line="400" w:lineRule="exact"/>
        <w:ind w:firstLine="420" w:firstLineChars="200"/>
        <w:rPr>
          <w:rFonts w:hint="eastAsia" w:ascii="宋体" w:hAnsi="宋体" w:cs="宋体"/>
          <w:szCs w:val="21"/>
        </w:rPr>
      </w:pPr>
      <w:r>
        <w:rPr>
          <w:rFonts w:hint="eastAsia" w:ascii="宋体" w:hAnsi="宋体" w:cs="宋体"/>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24E02EDB">
      <w:pPr>
        <w:spacing w:line="360" w:lineRule="auto"/>
        <w:ind w:right="248" w:firstLine="480"/>
        <w:rPr>
          <w:rFonts w:hint="eastAsia" w:ascii="宋体" w:hAnsi="宋体" w:cs="宋体"/>
          <w:szCs w:val="21"/>
        </w:rPr>
      </w:pPr>
      <w:r>
        <w:rPr>
          <w:rFonts w:hint="eastAsia" w:ascii="宋体" w:hAnsi="宋体" w:cs="宋体"/>
          <w:szCs w:val="21"/>
        </w:rPr>
        <w:t>不论何种原因造成施工进度计划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bookmarkEnd w:id="285"/>
    </w:p>
    <w:p w14:paraId="006AD3B3">
      <w:pPr>
        <w:pStyle w:val="5"/>
        <w:rPr>
          <w:rFonts w:hint="eastAsia" w:ascii="宋体" w:hAnsi="宋体" w:cs="宋体"/>
          <w:sz w:val="28"/>
          <w:szCs w:val="28"/>
        </w:rPr>
      </w:pPr>
      <w:bookmarkStart w:id="286" w:name="_Toc221950846"/>
      <w:r>
        <w:rPr>
          <w:rFonts w:hint="eastAsia" w:ascii="宋体" w:hAnsi="宋体" w:cs="宋体"/>
          <w:sz w:val="28"/>
          <w:szCs w:val="28"/>
        </w:rPr>
        <w:t>10.3  单位工程进度计划</w:t>
      </w:r>
      <w:bookmarkEnd w:id="286"/>
    </w:p>
    <w:p w14:paraId="0DDC26A8">
      <w:pPr>
        <w:spacing w:line="360" w:lineRule="auto"/>
        <w:ind w:right="248" w:firstLine="480"/>
        <w:rPr>
          <w:rFonts w:hint="eastAsia" w:ascii="宋体" w:hAnsi="宋体" w:cs="宋体"/>
          <w:szCs w:val="21"/>
        </w:rPr>
      </w:pPr>
      <w:bookmarkStart w:id="287" w:name="_Toc221950847"/>
      <w:r>
        <w:rPr>
          <w:rFonts w:hint="eastAsia" w:ascii="宋体" w:hAnsi="宋体" w:cs="宋体"/>
          <w:szCs w:val="21"/>
        </w:rPr>
        <w:t>监理人认为有必要时，承包人应按监理人指示的内容和期限，并根据合同进度计划的进度控制要求，编制单位工程进度计划，提交监理人审批。</w:t>
      </w:r>
      <w:bookmarkEnd w:id="287"/>
    </w:p>
    <w:p w14:paraId="27678B99">
      <w:pPr>
        <w:pStyle w:val="5"/>
        <w:rPr>
          <w:rFonts w:hint="eastAsia" w:ascii="宋体" w:hAnsi="宋体" w:cs="宋体"/>
          <w:sz w:val="28"/>
          <w:szCs w:val="28"/>
        </w:rPr>
      </w:pPr>
      <w:bookmarkStart w:id="288" w:name="_Toc221950848"/>
      <w:r>
        <w:rPr>
          <w:rFonts w:hint="eastAsia" w:ascii="宋体" w:hAnsi="宋体" w:cs="宋体"/>
          <w:sz w:val="28"/>
          <w:szCs w:val="28"/>
        </w:rPr>
        <w:t>10.4  提交资金流估算表</w:t>
      </w:r>
      <w:bookmarkEnd w:id="288"/>
      <w:r>
        <w:rPr>
          <w:rFonts w:hint="eastAsia" w:ascii="宋体" w:hAnsi="宋体" w:cs="宋体"/>
          <w:sz w:val="28"/>
          <w:szCs w:val="28"/>
        </w:rPr>
        <w:t xml:space="preserve">  </w:t>
      </w:r>
    </w:p>
    <w:p w14:paraId="7077833E">
      <w:pPr>
        <w:spacing w:line="360" w:lineRule="auto"/>
        <w:ind w:right="248" w:firstLine="480"/>
        <w:rPr>
          <w:rFonts w:hint="eastAsia" w:ascii="宋体" w:hAnsi="宋体" w:cs="宋体"/>
          <w:szCs w:val="21"/>
        </w:rPr>
      </w:pPr>
      <w:bookmarkStart w:id="289" w:name="_Toc221950849"/>
      <w:r>
        <w:rPr>
          <w:rFonts w:hint="eastAsia" w:ascii="宋体" w:hAnsi="宋体" w:cs="宋体"/>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bookmarkEnd w:id="289"/>
    </w:p>
    <w:p w14:paraId="3914EBA3">
      <w:pPr>
        <w:spacing w:line="360" w:lineRule="auto"/>
        <w:ind w:right="248"/>
        <w:rPr>
          <w:rFonts w:hint="eastAsia" w:ascii="宋体" w:hAnsi="宋体" w:cs="宋体"/>
          <w:szCs w:val="21"/>
        </w:rPr>
      </w:pPr>
      <w:r>
        <w:rPr>
          <w:rFonts w:hint="eastAsia" w:ascii="宋体" w:hAnsi="宋体" w:cs="宋体"/>
          <w:b/>
          <w:szCs w:val="21"/>
        </w:rPr>
        <w:t xml:space="preserve">                       </w:t>
      </w:r>
      <w:bookmarkStart w:id="290" w:name="_Toc221950850"/>
      <w:r>
        <w:rPr>
          <w:rFonts w:hint="eastAsia" w:ascii="宋体" w:hAnsi="宋体" w:cs="宋体"/>
          <w:b/>
          <w:szCs w:val="21"/>
        </w:rPr>
        <w:t>资金流估算表</w:t>
      </w:r>
      <w:r>
        <w:rPr>
          <w:rFonts w:hint="eastAsia" w:ascii="宋体" w:hAnsi="宋体" w:cs="宋体"/>
          <w:szCs w:val="21"/>
        </w:rPr>
        <w:t>(参考格式)          金额单位</w:t>
      </w:r>
      <w:bookmarkEnd w:id="290"/>
      <w:r>
        <w:rPr>
          <w:rFonts w:hint="eastAsia" w:ascii="宋体" w:hAnsi="宋体" w:cs="宋体"/>
          <w:szCs w:val="21"/>
          <w:u w:val="single"/>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03"/>
        <w:gridCol w:w="992"/>
        <w:gridCol w:w="1276"/>
        <w:gridCol w:w="992"/>
        <w:gridCol w:w="993"/>
        <w:gridCol w:w="992"/>
        <w:gridCol w:w="766"/>
        <w:gridCol w:w="1050"/>
        <w:gridCol w:w="1155"/>
      </w:tblGrid>
      <w:tr w14:paraId="084EF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14:paraId="3659CC49">
            <w:pPr>
              <w:ind w:right="248"/>
              <w:jc w:val="center"/>
              <w:rPr>
                <w:rFonts w:hint="eastAsia" w:ascii="宋体" w:hAnsi="宋体" w:cs="宋体"/>
                <w:szCs w:val="21"/>
              </w:rPr>
            </w:pPr>
            <w:bookmarkStart w:id="291" w:name="_Toc221950851"/>
            <w:r>
              <w:rPr>
                <w:rFonts w:hint="eastAsia" w:ascii="宋体" w:hAnsi="宋体" w:cs="宋体"/>
                <w:szCs w:val="21"/>
              </w:rPr>
              <w:t>年</w:t>
            </w:r>
            <w:bookmarkEnd w:id="291"/>
          </w:p>
        </w:tc>
        <w:tc>
          <w:tcPr>
            <w:tcW w:w="403" w:type="dxa"/>
            <w:noWrap w:val="0"/>
            <w:vAlign w:val="center"/>
          </w:tcPr>
          <w:p w14:paraId="2D58F964">
            <w:pPr>
              <w:ind w:right="248"/>
              <w:jc w:val="center"/>
              <w:rPr>
                <w:rFonts w:hint="eastAsia" w:ascii="宋体" w:hAnsi="宋体" w:cs="宋体"/>
                <w:szCs w:val="21"/>
              </w:rPr>
            </w:pPr>
            <w:bookmarkStart w:id="292" w:name="_Toc221950852"/>
            <w:r>
              <w:rPr>
                <w:rFonts w:hint="eastAsia" w:ascii="宋体" w:hAnsi="宋体" w:cs="宋体"/>
                <w:szCs w:val="21"/>
              </w:rPr>
              <w:t>月</w:t>
            </w:r>
            <w:bookmarkEnd w:id="292"/>
          </w:p>
        </w:tc>
        <w:tc>
          <w:tcPr>
            <w:tcW w:w="992" w:type="dxa"/>
            <w:noWrap w:val="0"/>
            <w:vAlign w:val="center"/>
          </w:tcPr>
          <w:p w14:paraId="74CEA739">
            <w:pPr>
              <w:ind w:right="7"/>
              <w:jc w:val="center"/>
              <w:rPr>
                <w:rFonts w:hint="eastAsia" w:ascii="宋体" w:hAnsi="宋体" w:cs="宋体"/>
                <w:szCs w:val="21"/>
              </w:rPr>
            </w:pPr>
            <w:bookmarkStart w:id="293" w:name="_Toc221950853"/>
            <w:r>
              <w:rPr>
                <w:rFonts w:hint="eastAsia" w:ascii="宋体" w:hAnsi="宋体" w:cs="宋体"/>
                <w:szCs w:val="21"/>
              </w:rPr>
              <w:t>工程</w:t>
            </w:r>
            <w:bookmarkEnd w:id="293"/>
            <w:bookmarkStart w:id="294" w:name="_Toc221950854"/>
            <w:r>
              <w:rPr>
                <w:rFonts w:hint="eastAsia" w:ascii="宋体" w:hAnsi="宋体" w:cs="宋体"/>
                <w:szCs w:val="21"/>
              </w:rPr>
              <w:t>预付款</w:t>
            </w:r>
            <w:bookmarkEnd w:id="294"/>
          </w:p>
        </w:tc>
        <w:tc>
          <w:tcPr>
            <w:tcW w:w="1276" w:type="dxa"/>
            <w:noWrap w:val="0"/>
            <w:vAlign w:val="center"/>
          </w:tcPr>
          <w:p w14:paraId="2EDE6E52">
            <w:pPr>
              <w:jc w:val="center"/>
              <w:rPr>
                <w:rFonts w:hint="eastAsia" w:ascii="宋体" w:hAnsi="宋体" w:cs="宋体"/>
                <w:szCs w:val="21"/>
              </w:rPr>
            </w:pPr>
            <w:bookmarkStart w:id="295" w:name="_Toc221950855"/>
            <w:r>
              <w:rPr>
                <w:rFonts w:hint="eastAsia" w:ascii="宋体" w:hAnsi="宋体" w:cs="宋体"/>
                <w:szCs w:val="21"/>
              </w:rPr>
              <w:t>完成工作量付款</w:t>
            </w:r>
            <w:bookmarkEnd w:id="295"/>
          </w:p>
        </w:tc>
        <w:tc>
          <w:tcPr>
            <w:tcW w:w="992" w:type="dxa"/>
            <w:noWrap w:val="0"/>
            <w:vAlign w:val="center"/>
          </w:tcPr>
          <w:p w14:paraId="51A8C40F">
            <w:pPr>
              <w:jc w:val="center"/>
              <w:rPr>
                <w:rFonts w:hint="eastAsia" w:ascii="宋体" w:hAnsi="宋体" w:cs="宋体"/>
                <w:szCs w:val="21"/>
              </w:rPr>
            </w:pPr>
            <w:bookmarkStart w:id="296" w:name="_Toc221950856"/>
            <w:r>
              <w:rPr>
                <w:rFonts w:hint="eastAsia" w:ascii="宋体" w:hAnsi="宋体" w:cs="宋体"/>
                <w:szCs w:val="21"/>
              </w:rPr>
              <w:t>保留金</w:t>
            </w:r>
            <w:bookmarkEnd w:id="296"/>
            <w:bookmarkStart w:id="297" w:name="_Toc221950857"/>
            <w:r>
              <w:rPr>
                <w:rFonts w:hint="eastAsia" w:ascii="宋体" w:hAnsi="宋体" w:cs="宋体"/>
                <w:szCs w:val="21"/>
              </w:rPr>
              <w:t>扣留</w:t>
            </w:r>
            <w:bookmarkEnd w:id="297"/>
          </w:p>
        </w:tc>
        <w:tc>
          <w:tcPr>
            <w:tcW w:w="993" w:type="dxa"/>
            <w:noWrap w:val="0"/>
            <w:vAlign w:val="center"/>
          </w:tcPr>
          <w:p w14:paraId="6FAE965E">
            <w:pPr>
              <w:ind w:right="-21"/>
              <w:jc w:val="center"/>
              <w:rPr>
                <w:rFonts w:hint="eastAsia" w:ascii="宋体" w:hAnsi="宋体" w:cs="宋体"/>
                <w:szCs w:val="21"/>
              </w:rPr>
            </w:pPr>
            <w:bookmarkStart w:id="298" w:name="_Toc221950858"/>
            <w:r>
              <w:rPr>
                <w:rFonts w:hint="eastAsia" w:ascii="宋体" w:hAnsi="宋体" w:cs="宋体"/>
                <w:szCs w:val="21"/>
              </w:rPr>
              <w:t>材料款</w:t>
            </w:r>
            <w:bookmarkEnd w:id="298"/>
            <w:bookmarkStart w:id="299" w:name="_Toc221950859"/>
            <w:r>
              <w:rPr>
                <w:rFonts w:hint="eastAsia" w:ascii="宋体" w:hAnsi="宋体" w:cs="宋体"/>
                <w:szCs w:val="21"/>
              </w:rPr>
              <w:t>扣除</w:t>
            </w:r>
            <w:bookmarkEnd w:id="299"/>
          </w:p>
        </w:tc>
        <w:tc>
          <w:tcPr>
            <w:tcW w:w="992" w:type="dxa"/>
            <w:noWrap w:val="0"/>
            <w:vAlign w:val="center"/>
          </w:tcPr>
          <w:p w14:paraId="0B30C952">
            <w:pPr>
              <w:ind w:right="-21"/>
              <w:jc w:val="center"/>
              <w:rPr>
                <w:rFonts w:hint="eastAsia" w:ascii="宋体" w:hAnsi="宋体" w:cs="宋体"/>
                <w:szCs w:val="21"/>
              </w:rPr>
            </w:pPr>
            <w:bookmarkStart w:id="300" w:name="_Toc221950860"/>
            <w:r>
              <w:rPr>
                <w:rFonts w:hint="eastAsia" w:ascii="宋体" w:hAnsi="宋体" w:cs="宋体"/>
                <w:szCs w:val="21"/>
              </w:rPr>
              <w:t>预付款</w:t>
            </w:r>
            <w:bookmarkEnd w:id="300"/>
            <w:bookmarkStart w:id="301" w:name="_Toc221950861"/>
            <w:r>
              <w:rPr>
                <w:rFonts w:hint="eastAsia" w:ascii="宋体" w:hAnsi="宋体" w:cs="宋体"/>
                <w:szCs w:val="21"/>
              </w:rPr>
              <w:t>扣还</w:t>
            </w:r>
            <w:bookmarkEnd w:id="301"/>
          </w:p>
        </w:tc>
        <w:tc>
          <w:tcPr>
            <w:tcW w:w="766" w:type="dxa"/>
            <w:noWrap w:val="0"/>
            <w:vAlign w:val="center"/>
          </w:tcPr>
          <w:p w14:paraId="5781D857">
            <w:pPr>
              <w:jc w:val="center"/>
              <w:rPr>
                <w:rFonts w:hint="eastAsia" w:ascii="宋体" w:hAnsi="宋体" w:cs="宋体"/>
                <w:szCs w:val="21"/>
              </w:rPr>
            </w:pPr>
            <w:bookmarkStart w:id="302" w:name="_Toc221950862"/>
            <w:r>
              <w:rPr>
                <w:rFonts w:hint="eastAsia" w:ascii="宋体" w:hAnsi="宋体" w:cs="宋体"/>
                <w:szCs w:val="21"/>
              </w:rPr>
              <w:t>其他</w:t>
            </w:r>
            <w:bookmarkEnd w:id="302"/>
          </w:p>
        </w:tc>
        <w:tc>
          <w:tcPr>
            <w:tcW w:w="1050" w:type="dxa"/>
            <w:noWrap w:val="0"/>
            <w:vAlign w:val="center"/>
          </w:tcPr>
          <w:p w14:paraId="7EEA4668">
            <w:pPr>
              <w:jc w:val="center"/>
              <w:rPr>
                <w:rFonts w:hint="eastAsia" w:ascii="宋体" w:hAnsi="宋体" w:cs="宋体"/>
                <w:szCs w:val="21"/>
              </w:rPr>
            </w:pPr>
            <w:bookmarkStart w:id="303" w:name="_Toc221950863"/>
            <w:r>
              <w:rPr>
                <w:rFonts w:hint="eastAsia" w:ascii="宋体" w:hAnsi="宋体" w:cs="宋体"/>
                <w:szCs w:val="21"/>
              </w:rPr>
              <w:t>应收款</w:t>
            </w:r>
            <w:bookmarkEnd w:id="303"/>
          </w:p>
        </w:tc>
        <w:tc>
          <w:tcPr>
            <w:tcW w:w="1155" w:type="dxa"/>
            <w:noWrap w:val="0"/>
            <w:vAlign w:val="center"/>
          </w:tcPr>
          <w:p w14:paraId="0CE66F01">
            <w:pPr>
              <w:jc w:val="center"/>
              <w:rPr>
                <w:rFonts w:hint="eastAsia" w:ascii="宋体" w:hAnsi="宋体" w:cs="宋体"/>
                <w:szCs w:val="21"/>
              </w:rPr>
            </w:pPr>
            <w:bookmarkStart w:id="304" w:name="_Toc221950864"/>
            <w:r>
              <w:rPr>
                <w:rFonts w:hint="eastAsia" w:ascii="宋体" w:hAnsi="宋体" w:cs="宋体"/>
                <w:szCs w:val="21"/>
              </w:rPr>
              <w:t>累计</w:t>
            </w:r>
            <w:bookmarkEnd w:id="304"/>
            <w:bookmarkStart w:id="305" w:name="_Toc221950865"/>
            <w:r>
              <w:rPr>
                <w:rFonts w:hint="eastAsia" w:ascii="宋体" w:hAnsi="宋体" w:cs="宋体"/>
                <w:szCs w:val="21"/>
              </w:rPr>
              <w:t>应收款</w:t>
            </w:r>
            <w:bookmarkEnd w:id="305"/>
          </w:p>
        </w:tc>
      </w:tr>
      <w:tr w14:paraId="5F6D6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14:paraId="0F09E15D">
            <w:pPr>
              <w:ind w:right="248"/>
              <w:jc w:val="center"/>
              <w:rPr>
                <w:rFonts w:hint="eastAsia" w:ascii="宋体" w:hAnsi="宋体" w:cs="宋体"/>
                <w:szCs w:val="21"/>
              </w:rPr>
            </w:pPr>
          </w:p>
        </w:tc>
        <w:tc>
          <w:tcPr>
            <w:tcW w:w="403" w:type="dxa"/>
            <w:noWrap w:val="0"/>
            <w:vAlign w:val="center"/>
          </w:tcPr>
          <w:p w14:paraId="5B2A102B">
            <w:pPr>
              <w:ind w:right="248"/>
              <w:jc w:val="center"/>
              <w:rPr>
                <w:rFonts w:hint="eastAsia" w:ascii="宋体" w:hAnsi="宋体" w:cs="宋体"/>
                <w:szCs w:val="21"/>
              </w:rPr>
            </w:pPr>
          </w:p>
        </w:tc>
        <w:tc>
          <w:tcPr>
            <w:tcW w:w="992" w:type="dxa"/>
            <w:noWrap w:val="0"/>
            <w:vAlign w:val="center"/>
          </w:tcPr>
          <w:p w14:paraId="4C051A1A">
            <w:pPr>
              <w:ind w:right="248"/>
              <w:jc w:val="center"/>
              <w:rPr>
                <w:rFonts w:hint="eastAsia" w:ascii="宋体" w:hAnsi="宋体" w:cs="宋体"/>
                <w:szCs w:val="21"/>
              </w:rPr>
            </w:pPr>
          </w:p>
        </w:tc>
        <w:tc>
          <w:tcPr>
            <w:tcW w:w="1276" w:type="dxa"/>
            <w:noWrap w:val="0"/>
            <w:vAlign w:val="center"/>
          </w:tcPr>
          <w:p w14:paraId="61812969">
            <w:pPr>
              <w:ind w:right="248"/>
              <w:jc w:val="center"/>
              <w:rPr>
                <w:rFonts w:hint="eastAsia" w:ascii="宋体" w:hAnsi="宋体" w:cs="宋体"/>
                <w:szCs w:val="21"/>
              </w:rPr>
            </w:pPr>
          </w:p>
        </w:tc>
        <w:tc>
          <w:tcPr>
            <w:tcW w:w="992" w:type="dxa"/>
            <w:noWrap w:val="0"/>
            <w:vAlign w:val="center"/>
          </w:tcPr>
          <w:p w14:paraId="1EC53F17">
            <w:pPr>
              <w:ind w:right="248"/>
              <w:jc w:val="center"/>
              <w:rPr>
                <w:rFonts w:hint="eastAsia" w:ascii="宋体" w:hAnsi="宋体" w:cs="宋体"/>
                <w:szCs w:val="21"/>
              </w:rPr>
            </w:pPr>
          </w:p>
        </w:tc>
        <w:tc>
          <w:tcPr>
            <w:tcW w:w="993" w:type="dxa"/>
            <w:noWrap w:val="0"/>
            <w:vAlign w:val="center"/>
          </w:tcPr>
          <w:p w14:paraId="672A8002">
            <w:pPr>
              <w:ind w:right="248"/>
              <w:jc w:val="center"/>
              <w:rPr>
                <w:rFonts w:hint="eastAsia" w:ascii="宋体" w:hAnsi="宋体" w:cs="宋体"/>
                <w:szCs w:val="21"/>
              </w:rPr>
            </w:pPr>
          </w:p>
        </w:tc>
        <w:tc>
          <w:tcPr>
            <w:tcW w:w="992" w:type="dxa"/>
            <w:noWrap w:val="0"/>
            <w:vAlign w:val="center"/>
          </w:tcPr>
          <w:p w14:paraId="596CE08C">
            <w:pPr>
              <w:ind w:right="248"/>
              <w:jc w:val="center"/>
              <w:rPr>
                <w:rFonts w:hint="eastAsia" w:ascii="宋体" w:hAnsi="宋体" w:cs="宋体"/>
                <w:szCs w:val="21"/>
              </w:rPr>
            </w:pPr>
          </w:p>
        </w:tc>
        <w:tc>
          <w:tcPr>
            <w:tcW w:w="766" w:type="dxa"/>
            <w:noWrap w:val="0"/>
            <w:vAlign w:val="top"/>
          </w:tcPr>
          <w:p w14:paraId="3DBDF40E">
            <w:pPr>
              <w:ind w:right="248"/>
              <w:jc w:val="center"/>
              <w:rPr>
                <w:rFonts w:hint="eastAsia" w:ascii="宋体" w:hAnsi="宋体" w:cs="宋体"/>
                <w:szCs w:val="21"/>
              </w:rPr>
            </w:pPr>
          </w:p>
        </w:tc>
        <w:tc>
          <w:tcPr>
            <w:tcW w:w="1050" w:type="dxa"/>
            <w:noWrap w:val="0"/>
            <w:vAlign w:val="top"/>
          </w:tcPr>
          <w:p w14:paraId="718F2633">
            <w:pPr>
              <w:ind w:right="248"/>
              <w:jc w:val="center"/>
              <w:rPr>
                <w:rFonts w:hint="eastAsia" w:ascii="宋体" w:hAnsi="宋体" w:cs="宋体"/>
                <w:szCs w:val="21"/>
              </w:rPr>
            </w:pPr>
          </w:p>
        </w:tc>
        <w:tc>
          <w:tcPr>
            <w:tcW w:w="1155" w:type="dxa"/>
            <w:noWrap w:val="0"/>
            <w:vAlign w:val="center"/>
          </w:tcPr>
          <w:p w14:paraId="1BEA4B51">
            <w:pPr>
              <w:ind w:right="248"/>
              <w:jc w:val="center"/>
              <w:rPr>
                <w:rFonts w:hint="eastAsia" w:ascii="宋体" w:hAnsi="宋体" w:cs="宋体"/>
                <w:szCs w:val="21"/>
              </w:rPr>
            </w:pPr>
          </w:p>
        </w:tc>
      </w:tr>
      <w:tr w14:paraId="28F0B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14:paraId="043B4728">
            <w:pPr>
              <w:ind w:right="248"/>
              <w:jc w:val="center"/>
              <w:rPr>
                <w:rFonts w:hint="eastAsia" w:ascii="宋体" w:hAnsi="宋体" w:cs="宋体"/>
                <w:szCs w:val="21"/>
              </w:rPr>
            </w:pPr>
          </w:p>
        </w:tc>
        <w:tc>
          <w:tcPr>
            <w:tcW w:w="403" w:type="dxa"/>
            <w:noWrap w:val="0"/>
            <w:vAlign w:val="center"/>
          </w:tcPr>
          <w:p w14:paraId="295D9DF0">
            <w:pPr>
              <w:ind w:right="248"/>
              <w:jc w:val="center"/>
              <w:rPr>
                <w:rFonts w:hint="eastAsia" w:ascii="宋体" w:hAnsi="宋体" w:cs="宋体"/>
                <w:szCs w:val="21"/>
              </w:rPr>
            </w:pPr>
          </w:p>
        </w:tc>
        <w:tc>
          <w:tcPr>
            <w:tcW w:w="992" w:type="dxa"/>
            <w:noWrap w:val="0"/>
            <w:vAlign w:val="center"/>
          </w:tcPr>
          <w:p w14:paraId="114745C6">
            <w:pPr>
              <w:ind w:right="248"/>
              <w:jc w:val="center"/>
              <w:rPr>
                <w:rFonts w:hint="eastAsia" w:ascii="宋体" w:hAnsi="宋体" w:cs="宋体"/>
                <w:szCs w:val="21"/>
              </w:rPr>
            </w:pPr>
          </w:p>
        </w:tc>
        <w:tc>
          <w:tcPr>
            <w:tcW w:w="1276" w:type="dxa"/>
            <w:noWrap w:val="0"/>
            <w:vAlign w:val="center"/>
          </w:tcPr>
          <w:p w14:paraId="2EAB76E8">
            <w:pPr>
              <w:ind w:right="248"/>
              <w:jc w:val="center"/>
              <w:rPr>
                <w:rFonts w:hint="eastAsia" w:ascii="宋体" w:hAnsi="宋体" w:cs="宋体"/>
                <w:szCs w:val="21"/>
              </w:rPr>
            </w:pPr>
          </w:p>
        </w:tc>
        <w:tc>
          <w:tcPr>
            <w:tcW w:w="992" w:type="dxa"/>
            <w:noWrap w:val="0"/>
            <w:vAlign w:val="center"/>
          </w:tcPr>
          <w:p w14:paraId="48BDD72E">
            <w:pPr>
              <w:ind w:right="248"/>
              <w:jc w:val="center"/>
              <w:rPr>
                <w:rFonts w:hint="eastAsia" w:ascii="宋体" w:hAnsi="宋体" w:cs="宋体"/>
                <w:szCs w:val="21"/>
              </w:rPr>
            </w:pPr>
          </w:p>
        </w:tc>
        <w:tc>
          <w:tcPr>
            <w:tcW w:w="993" w:type="dxa"/>
            <w:noWrap w:val="0"/>
            <w:vAlign w:val="center"/>
          </w:tcPr>
          <w:p w14:paraId="2BBCEF9C">
            <w:pPr>
              <w:ind w:right="248"/>
              <w:jc w:val="center"/>
              <w:rPr>
                <w:rFonts w:hint="eastAsia" w:ascii="宋体" w:hAnsi="宋体" w:cs="宋体"/>
                <w:szCs w:val="21"/>
              </w:rPr>
            </w:pPr>
          </w:p>
        </w:tc>
        <w:tc>
          <w:tcPr>
            <w:tcW w:w="992" w:type="dxa"/>
            <w:noWrap w:val="0"/>
            <w:vAlign w:val="center"/>
          </w:tcPr>
          <w:p w14:paraId="0809500D">
            <w:pPr>
              <w:ind w:right="248"/>
              <w:jc w:val="center"/>
              <w:rPr>
                <w:rFonts w:hint="eastAsia" w:ascii="宋体" w:hAnsi="宋体" w:cs="宋体"/>
                <w:szCs w:val="21"/>
              </w:rPr>
            </w:pPr>
          </w:p>
        </w:tc>
        <w:tc>
          <w:tcPr>
            <w:tcW w:w="766" w:type="dxa"/>
            <w:noWrap w:val="0"/>
            <w:vAlign w:val="top"/>
          </w:tcPr>
          <w:p w14:paraId="672EA33C">
            <w:pPr>
              <w:ind w:right="248"/>
              <w:jc w:val="center"/>
              <w:rPr>
                <w:rFonts w:hint="eastAsia" w:ascii="宋体" w:hAnsi="宋体" w:cs="宋体"/>
                <w:szCs w:val="21"/>
              </w:rPr>
            </w:pPr>
          </w:p>
        </w:tc>
        <w:tc>
          <w:tcPr>
            <w:tcW w:w="1050" w:type="dxa"/>
            <w:noWrap w:val="0"/>
            <w:vAlign w:val="top"/>
          </w:tcPr>
          <w:p w14:paraId="53BD090A">
            <w:pPr>
              <w:ind w:right="248"/>
              <w:jc w:val="center"/>
              <w:rPr>
                <w:rFonts w:hint="eastAsia" w:ascii="宋体" w:hAnsi="宋体" w:cs="宋体"/>
                <w:szCs w:val="21"/>
              </w:rPr>
            </w:pPr>
          </w:p>
        </w:tc>
        <w:tc>
          <w:tcPr>
            <w:tcW w:w="1155" w:type="dxa"/>
            <w:noWrap w:val="0"/>
            <w:vAlign w:val="center"/>
          </w:tcPr>
          <w:p w14:paraId="6CC44FAF">
            <w:pPr>
              <w:ind w:right="248"/>
              <w:jc w:val="center"/>
              <w:rPr>
                <w:rFonts w:hint="eastAsia" w:ascii="宋体" w:hAnsi="宋体" w:cs="宋体"/>
                <w:szCs w:val="21"/>
              </w:rPr>
            </w:pPr>
          </w:p>
        </w:tc>
      </w:tr>
      <w:tr w14:paraId="6BE73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14:paraId="34DE985B">
            <w:pPr>
              <w:ind w:right="248"/>
              <w:jc w:val="center"/>
              <w:rPr>
                <w:rFonts w:hint="eastAsia" w:ascii="宋体" w:hAnsi="宋体" w:cs="宋体"/>
                <w:szCs w:val="21"/>
              </w:rPr>
            </w:pPr>
          </w:p>
        </w:tc>
        <w:tc>
          <w:tcPr>
            <w:tcW w:w="403" w:type="dxa"/>
            <w:noWrap w:val="0"/>
            <w:vAlign w:val="center"/>
          </w:tcPr>
          <w:p w14:paraId="5388D96A">
            <w:pPr>
              <w:ind w:right="248"/>
              <w:jc w:val="center"/>
              <w:rPr>
                <w:rFonts w:hint="eastAsia" w:ascii="宋体" w:hAnsi="宋体" w:cs="宋体"/>
                <w:szCs w:val="21"/>
              </w:rPr>
            </w:pPr>
          </w:p>
        </w:tc>
        <w:tc>
          <w:tcPr>
            <w:tcW w:w="992" w:type="dxa"/>
            <w:noWrap w:val="0"/>
            <w:vAlign w:val="center"/>
          </w:tcPr>
          <w:p w14:paraId="17700391">
            <w:pPr>
              <w:ind w:right="248"/>
              <w:jc w:val="center"/>
              <w:rPr>
                <w:rFonts w:hint="eastAsia" w:ascii="宋体" w:hAnsi="宋体" w:cs="宋体"/>
                <w:szCs w:val="21"/>
              </w:rPr>
            </w:pPr>
          </w:p>
        </w:tc>
        <w:tc>
          <w:tcPr>
            <w:tcW w:w="1276" w:type="dxa"/>
            <w:noWrap w:val="0"/>
            <w:vAlign w:val="center"/>
          </w:tcPr>
          <w:p w14:paraId="0A6699F8">
            <w:pPr>
              <w:ind w:right="248"/>
              <w:jc w:val="center"/>
              <w:rPr>
                <w:rFonts w:hint="eastAsia" w:ascii="宋体" w:hAnsi="宋体" w:cs="宋体"/>
                <w:szCs w:val="21"/>
              </w:rPr>
            </w:pPr>
          </w:p>
        </w:tc>
        <w:tc>
          <w:tcPr>
            <w:tcW w:w="992" w:type="dxa"/>
            <w:noWrap w:val="0"/>
            <w:vAlign w:val="center"/>
          </w:tcPr>
          <w:p w14:paraId="1CA87A36">
            <w:pPr>
              <w:ind w:right="248"/>
              <w:jc w:val="center"/>
              <w:rPr>
                <w:rFonts w:hint="eastAsia" w:ascii="宋体" w:hAnsi="宋体" w:cs="宋体"/>
                <w:szCs w:val="21"/>
              </w:rPr>
            </w:pPr>
          </w:p>
        </w:tc>
        <w:tc>
          <w:tcPr>
            <w:tcW w:w="993" w:type="dxa"/>
            <w:noWrap w:val="0"/>
            <w:vAlign w:val="center"/>
          </w:tcPr>
          <w:p w14:paraId="793C0B93">
            <w:pPr>
              <w:ind w:right="248"/>
              <w:jc w:val="center"/>
              <w:rPr>
                <w:rFonts w:hint="eastAsia" w:ascii="宋体" w:hAnsi="宋体" w:cs="宋体"/>
                <w:szCs w:val="21"/>
              </w:rPr>
            </w:pPr>
          </w:p>
        </w:tc>
        <w:tc>
          <w:tcPr>
            <w:tcW w:w="992" w:type="dxa"/>
            <w:noWrap w:val="0"/>
            <w:vAlign w:val="center"/>
          </w:tcPr>
          <w:p w14:paraId="208FBFF0">
            <w:pPr>
              <w:ind w:right="248"/>
              <w:jc w:val="center"/>
              <w:rPr>
                <w:rFonts w:hint="eastAsia" w:ascii="宋体" w:hAnsi="宋体" w:cs="宋体"/>
                <w:szCs w:val="21"/>
              </w:rPr>
            </w:pPr>
          </w:p>
        </w:tc>
        <w:tc>
          <w:tcPr>
            <w:tcW w:w="766" w:type="dxa"/>
            <w:noWrap w:val="0"/>
            <w:vAlign w:val="top"/>
          </w:tcPr>
          <w:p w14:paraId="7323E967">
            <w:pPr>
              <w:ind w:right="248"/>
              <w:jc w:val="center"/>
              <w:rPr>
                <w:rFonts w:hint="eastAsia" w:ascii="宋体" w:hAnsi="宋体" w:cs="宋体"/>
                <w:szCs w:val="21"/>
              </w:rPr>
            </w:pPr>
          </w:p>
        </w:tc>
        <w:tc>
          <w:tcPr>
            <w:tcW w:w="1050" w:type="dxa"/>
            <w:noWrap w:val="0"/>
            <w:vAlign w:val="top"/>
          </w:tcPr>
          <w:p w14:paraId="4B752A70">
            <w:pPr>
              <w:ind w:right="248"/>
              <w:jc w:val="center"/>
              <w:rPr>
                <w:rFonts w:hint="eastAsia" w:ascii="宋体" w:hAnsi="宋体" w:cs="宋体"/>
                <w:szCs w:val="21"/>
              </w:rPr>
            </w:pPr>
          </w:p>
        </w:tc>
        <w:tc>
          <w:tcPr>
            <w:tcW w:w="1155" w:type="dxa"/>
            <w:noWrap w:val="0"/>
            <w:vAlign w:val="center"/>
          </w:tcPr>
          <w:p w14:paraId="6B842DA2">
            <w:pPr>
              <w:ind w:right="248"/>
              <w:jc w:val="center"/>
              <w:rPr>
                <w:rFonts w:hint="eastAsia" w:ascii="宋体" w:hAnsi="宋体" w:cs="宋体"/>
                <w:szCs w:val="21"/>
              </w:rPr>
            </w:pPr>
          </w:p>
        </w:tc>
      </w:tr>
    </w:tbl>
    <w:p w14:paraId="442CE93E">
      <w:pPr>
        <w:pStyle w:val="4"/>
        <w:rPr>
          <w:rFonts w:cs="宋体"/>
          <w:sz w:val="28"/>
          <w:szCs w:val="28"/>
        </w:rPr>
      </w:pPr>
      <w:bookmarkStart w:id="306" w:name="_Toc222029512"/>
      <w:bookmarkStart w:id="307" w:name="_Toc221950866"/>
      <w:bookmarkStart w:id="308" w:name="_Toc222033863"/>
      <w:bookmarkStart w:id="309" w:name="_Toc229305372"/>
      <w:bookmarkStart w:id="310" w:name="_Toc222031014"/>
      <w:bookmarkStart w:id="311" w:name="_Toc222032681"/>
      <w:bookmarkStart w:id="312" w:name="_Toc229408507"/>
      <w:r>
        <w:rPr>
          <w:rFonts w:cs="宋体"/>
          <w:sz w:val="28"/>
          <w:szCs w:val="28"/>
        </w:rPr>
        <w:t>11  开工和竣工</w:t>
      </w:r>
      <w:bookmarkEnd w:id="306"/>
      <w:bookmarkEnd w:id="307"/>
      <w:bookmarkEnd w:id="308"/>
      <w:bookmarkEnd w:id="309"/>
      <w:bookmarkEnd w:id="310"/>
      <w:bookmarkEnd w:id="311"/>
      <w:bookmarkEnd w:id="312"/>
      <w:r>
        <w:rPr>
          <w:rFonts w:cs="宋体"/>
          <w:sz w:val="28"/>
          <w:szCs w:val="28"/>
        </w:rPr>
        <w:t>（完工）</w:t>
      </w:r>
    </w:p>
    <w:p w14:paraId="649494EC">
      <w:pPr>
        <w:pStyle w:val="5"/>
        <w:rPr>
          <w:rFonts w:hint="eastAsia" w:ascii="宋体" w:hAnsi="宋体" w:cs="宋体"/>
          <w:sz w:val="28"/>
          <w:szCs w:val="28"/>
        </w:rPr>
      </w:pPr>
      <w:bookmarkStart w:id="313" w:name="_Toc221950869"/>
      <w:r>
        <w:rPr>
          <w:rFonts w:hint="eastAsia" w:ascii="宋体" w:hAnsi="宋体" w:cs="宋体"/>
          <w:sz w:val="28"/>
          <w:szCs w:val="28"/>
        </w:rPr>
        <w:t>11.1开工</w:t>
      </w:r>
    </w:p>
    <w:p w14:paraId="65C51F2B">
      <w:pPr>
        <w:spacing w:line="400" w:lineRule="exact"/>
        <w:ind w:firstLine="420" w:firstLineChars="200"/>
        <w:rPr>
          <w:rFonts w:hint="eastAsia" w:ascii="宋体" w:hAnsi="宋体" w:cs="宋体"/>
          <w:szCs w:val="21"/>
        </w:rPr>
      </w:pPr>
      <w:r>
        <w:rPr>
          <w:rFonts w:hint="eastAsia" w:ascii="宋体" w:hAnsi="宋体" w:cs="宋体"/>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7B438A30">
      <w:pPr>
        <w:spacing w:line="400" w:lineRule="exact"/>
        <w:ind w:firstLine="420" w:firstLineChars="200"/>
        <w:rPr>
          <w:rFonts w:hint="eastAsia" w:ascii="宋体" w:hAnsi="宋体" w:cs="宋体"/>
          <w:szCs w:val="21"/>
          <w:shd w:val="pct10" w:color="auto" w:fill="FFFFFF"/>
        </w:rPr>
      </w:pPr>
      <w:r>
        <w:rPr>
          <w:rFonts w:hint="eastAsia" w:ascii="宋体" w:hAnsi="宋体" w:cs="宋体"/>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98AC720">
      <w:pPr>
        <w:spacing w:line="400" w:lineRule="exact"/>
        <w:ind w:firstLine="420" w:firstLineChars="200"/>
        <w:rPr>
          <w:rFonts w:hint="eastAsia" w:ascii="宋体" w:hAnsi="宋体" w:cs="宋体"/>
          <w:szCs w:val="21"/>
        </w:rPr>
      </w:pPr>
      <w:r>
        <w:rPr>
          <w:rFonts w:hint="eastAsia" w:ascii="宋体" w:hAnsi="宋体" w:cs="宋体"/>
          <w:szCs w:val="21"/>
        </w:rPr>
        <w:t>11.1.3  若发包人未能按合同约定向承包人提供开工的必要条件，承包人有权要求延长工期。监理人应在收到承包人的书面要求后，按第3.5款的约定，与合同双方商定或确定增加的费用和延长的工期。</w:t>
      </w:r>
      <w:bookmarkEnd w:id="313"/>
    </w:p>
    <w:p w14:paraId="323AE86B">
      <w:pPr>
        <w:spacing w:line="400" w:lineRule="exact"/>
        <w:ind w:firstLine="420" w:firstLineChars="200"/>
        <w:rPr>
          <w:rFonts w:hint="eastAsia" w:ascii="宋体" w:hAnsi="宋体" w:cs="宋体"/>
          <w:szCs w:val="21"/>
        </w:rPr>
      </w:pPr>
      <w:bookmarkStart w:id="314" w:name="_Toc221950870"/>
      <w:r>
        <w:rPr>
          <w:rFonts w:hint="eastAsia" w:ascii="宋体" w:hAnsi="宋体" w:cs="宋体"/>
          <w:szCs w:val="21"/>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bookmarkEnd w:id="314"/>
    </w:p>
    <w:p w14:paraId="3632E489">
      <w:pPr>
        <w:keepNext/>
        <w:keepLines/>
        <w:spacing w:line="400" w:lineRule="exact"/>
        <w:outlineLvl w:val="2"/>
        <w:rPr>
          <w:rFonts w:hint="eastAsia" w:ascii="宋体" w:hAnsi="宋体" w:cs="宋体"/>
          <w:szCs w:val="21"/>
        </w:rPr>
      </w:pPr>
      <w:bookmarkStart w:id="315" w:name="_Toc152045684"/>
      <w:bookmarkStart w:id="316" w:name="_Toc179632702"/>
      <w:bookmarkStart w:id="317" w:name="_Toc152042462"/>
      <w:bookmarkStart w:id="318" w:name="_Toc144974652"/>
      <w:r>
        <w:rPr>
          <w:rFonts w:hint="eastAsia" w:ascii="宋体" w:hAnsi="宋体" w:cs="宋体"/>
          <w:szCs w:val="21"/>
        </w:rPr>
        <w:t>11.2 竣工</w:t>
      </w:r>
      <w:bookmarkEnd w:id="315"/>
      <w:bookmarkEnd w:id="316"/>
      <w:bookmarkEnd w:id="317"/>
      <w:bookmarkEnd w:id="318"/>
      <w:r>
        <w:rPr>
          <w:rFonts w:hint="eastAsia" w:ascii="宋体" w:hAnsi="宋体" w:cs="宋体"/>
          <w:szCs w:val="21"/>
        </w:rPr>
        <w:t>（完工）</w:t>
      </w:r>
    </w:p>
    <w:p w14:paraId="0A7D367F">
      <w:pPr>
        <w:spacing w:line="400" w:lineRule="exact"/>
        <w:ind w:firstLine="420" w:firstLineChars="200"/>
        <w:rPr>
          <w:rFonts w:hint="eastAsia" w:ascii="宋体" w:hAnsi="宋体" w:cs="宋体"/>
          <w:szCs w:val="21"/>
        </w:rPr>
      </w:pPr>
      <w:r>
        <w:rPr>
          <w:rFonts w:hint="eastAsia" w:ascii="宋体" w:hAnsi="宋体" w:cs="宋体"/>
          <w:szCs w:val="21"/>
        </w:rPr>
        <w:t>承包人应在第1.1.4.3目约定的期限内完成合同工程。合同工程实际完工日期在合同工程完工证书中明确。</w:t>
      </w:r>
    </w:p>
    <w:p w14:paraId="6186CDAA">
      <w:pPr>
        <w:keepNext/>
        <w:keepLines/>
        <w:spacing w:line="400" w:lineRule="exact"/>
        <w:outlineLvl w:val="2"/>
        <w:rPr>
          <w:rFonts w:hint="eastAsia" w:ascii="宋体" w:hAnsi="宋体" w:cs="宋体"/>
          <w:szCs w:val="21"/>
        </w:rPr>
      </w:pPr>
      <w:bookmarkStart w:id="319" w:name="_Toc179632703"/>
      <w:bookmarkStart w:id="320" w:name="_Toc152045685"/>
      <w:bookmarkStart w:id="321" w:name="_Toc152042463"/>
      <w:bookmarkStart w:id="322" w:name="_Toc144974653"/>
      <w:r>
        <w:rPr>
          <w:rFonts w:hint="eastAsia" w:ascii="宋体" w:hAnsi="宋体" w:cs="宋体"/>
          <w:szCs w:val="21"/>
        </w:rPr>
        <w:t>11.3 发包人的工期延误</w:t>
      </w:r>
      <w:bookmarkEnd w:id="319"/>
      <w:bookmarkEnd w:id="320"/>
      <w:bookmarkEnd w:id="321"/>
      <w:bookmarkEnd w:id="322"/>
    </w:p>
    <w:p w14:paraId="1EB59908">
      <w:pPr>
        <w:spacing w:line="400" w:lineRule="exact"/>
        <w:ind w:firstLine="420" w:firstLineChars="200"/>
        <w:rPr>
          <w:rFonts w:hint="eastAsia" w:ascii="宋体" w:hAnsi="宋体" w:cs="宋体"/>
          <w:szCs w:val="21"/>
        </w:rPr>
      </w:pPr>
      <w:r>
        <w:rPr>
          <w:rFonts w:hint="eastAsia" w:ascii="宋体" w:hAnsi="宋体" w:cs="宋体"/>
          <w:szCs w:val="21"/>
        </w:rPr>
        <w:t>在履行合同过程中，由于发包人的下列原因造成工期延误的，承包人有权要求发包人延长工期和（或）增加费用，并支付合理利润。需要修订合同进度计划的，按照第10.2款的约定办理。</w:t>
      </w:r>
    </w:p>
    <w:p w14:paraId="39F676B7">
      <w:pPr>
        <w:spacing w:line="400" w:lineRule="exact"/>
        <w:ind w:firstLine="359" w:firstLineChars="171"/>
        <w:rPr>
          <w:rFonts w:hint="eastAsia" w:ascii="宋体" w:hAnsi="宋体" w:cs="宋体"/>
          <w:szCs w:val="21"/>
        </w:rPr>
      </w:pPr>
      <w:r>
        <w:rPr>
          <w:rFonts w:hint="eastAsia" w:ascii="宋体" w:hAnsi="宋体" w:cs="宋体"/>
          <w:szCs w:val="21"/>
        </w:rPr>
        <w:t>（1）增加合同工作内容；</w:t>
      </w:r>
    </w:p>
    <w:p w14:paraId="6339650A">
      <w:pPr>
        <w:spacing w:line="400" w:lineRule="exact"/>
        <w:ind w:firstLine="359" w:firstLineChars="171"/>
        <w:rPr>
          <w:rFonts w:hint="eastAsia" w:ascii="宋体" w:hAnsi="宋体" w:cs="宋体"/>
          <w:szCs w:val="21"/>
        </w:rPr>
      </w:pPr>
      <w:r>
        <w:rPr>
          <w:rFonts w:hint="eastAsia" w:ascii="宋体" w:hAnsi="宋体" w:cs="宋体"/>
          <w:szCs w:val="21"/>
        </w:rPr>
        <w:t>（2）改变合同中任何一项工作的质量要求或其他特性；</w:t>
      </w:r>
    </w:p>
    <w:p w14:paraId="190E45C1">
      <w:pPr>
        <w:spacing w:line="400" w:lineRule="exact"/>
        <w:ind w:firstLine="359" w:firstLineChars="171"/>
        <w:rPr>
          <w:rFonts w:hint="eastAsia" w:ascii="宋体" w:hAnsi="宋体" w:cs="宋体"/>
          <w:szCs w:val="21"/>
        </w:rPr>
      </w:pPr>
      <w:r>
        <w:rPr>
          <w:rFonts w:hint="eastAsia" w:ascii="宋体" w:hAnsi="宋体" w:cs="宋体"/>
          <w:szCs w:val="21"/>
        </w:rPr>
        <w:t>（3）发包人迟延提供材料、工程设备或变更交货地点的；</w:t>
      </w:r>
    </w:p>
    <w:p w14:paraId="4C8A020D">
      <w:pPr>
        <w:spacing w:line="400" w:lineRule="exact"/>
        <w:ind w:firstLine="359" w:firstLineChars="171"/>
        <w:rPr>
          <w:rFonts w:hint="eastAsia" w:ascii="宋体" w:hAnsi="宋体" w:cs="宋体"/>
          <w:szCs w:val="21"/>
        </w:rPr>
      </w:pPr>
      <w:r>
        <w:rPr>
          <w:rFonts w:hint="eastAsia" w:ascii="宋体" w:hAnsi="宋体" w:cs="宋体"/>
          <w:szCs w:val="21"/>
        </w:rPr>
        <w:t>（4）因发包人原因导致的暂停施工；</w:t>
      </w:r>
    </w:p>
    <w:p w14:paraId="7B2182B5">
      <w:pPr>
        <w:spacing w:line="400" w:lineRule="exact"/>
        <w:ind w:firstLine="359" w:firstLineChars="171"/>
        <w:rPr>
          <w:rFonts w:hint="eastAsia" w:ascii="宋体" w:hAnsi="宋体" w:cs="宋体"/>
          <w:szCs w:val="21"/>
        </w:rPr>
      </w:pPr>
      <w:r>
        <w:rPr>
          <w:rFonts w:hint="eastAsia" w:ascii="宋体" w:hAnsi="宋体" w:cs="宋体"/>
          <w:szCs w:val="21"/>
        </w:rPr>
        <w:t>（5）提供图纸延误；</w:t>
      </w:r>
    </w:p>
    <w:p w14:paraId="5F10DDD1">
      <w:pPr>
        <w:spacing w:line="400" w:lineRule="exact"/>
        <w:ind w:firstLine="359" w:firstLineChars="171"/>
        <w:rPr>
          <w:rFonts w:hint="eastAsia" w:ascii="宋体" w:hAnsi="宋体" w:cs="宋体"/>
          <w:szCs w:val="21"/>
        </w:rPr>
      </w:pPr>
      <w:r>
        <w:rPr>
          <w:rFonts w:hint="eastAsia" w:ascii="宋体" w:hAnsi="宋体" w:cs="宋体"/>
          <w:szCs w:val="21"/>
        </w:rPr>
        <w:t>（6）未按合同约定及时支付预付款、进度款；</w:t>
      </w:r>
    </w:p>
    <w:p w14:paraId="4EE4568E">
      <w:pPr>
        <w:spacing w:line="400" w:lineRule="exact"/>
        <w:ind w:firstLine="359" w:firstLineChars="171"/>
        <w:rPr>
          <w:rFonts w:hint="eastAsia" w:ascii="宋体" w:hAnsi="宋体" w:cs="宋体"/>
          <w:szCs w:val="21"/>
        </w:rPr>
      </w:pPr>
      <w:r>
        <w:rPr>
          <w:rFonts w:hint="eastAsia" w:ascii="宋体" w:hAnsi="宋体" w:cs="宋体"/>
          <w:szCs w:val="21"/>
        </w:rPr>
        <w:t>（7）发包人造成工期延误的其他原因。</w:t>
      </w:r>
    </w:p>
    <w:p w14:paraId="5FE850FE">
      <w:pPr>
        <w:pStyle w:val="5"/>
        <w:rPr>
          <w:rFonts w:hint="eastAsia" w:ascii="宋体" w:hAnsi="宋体" w:cs="宋体"/>
          <w:sz w:val="28"/>
          <w:szCs w:val="28"/>
        </w:rPr>
      </w:pPr>
      <w:r>
        <w:rPr>
          <w:rFonts w:hint="eastAsia" w:ascii="宋体" w:hAnsi="宋体" w:cs="宋体"/>
          <w:sz w:val="28"/>
          <w:szCs w:val="28"/>
        </w:rPr>
        <w:t>11.4异常恶劣的气候条件</w:t>
      </w:r>
    </w:p>
    <w:p w14:paraId="7809EE54">
      <w:pPr>
        <w:spacing w:line="360" w:lineRule="auto"/>
        <w:ind w:right="248" w:firstLine="480"/>
        <w:rPr>
          <w:rFonts w:hint="eastAsia" w:ascii="宋体" w:hAnsi="宋体" w:cs="宋体"/>
          <w:szCs w:val="21"/>
        </w:rPr>
      </w:pPr>
      <w:r>
        <w:rPr>
          <w:rFonts w:hint="eastAsia" w:ascii="宋体" w:hAnsi="宋体" w:cs="宋体"/>
          <w:szCs w:val="21"/>
        </w:rPr>
        <w:t>11.4.1当工程所在地发生危及施工安全的异常恶劣气候时，发包人和承包人应按本合同通用合同条款第12条的约定，及时采取暂停施工或部分暂停施工措施。异常恶劣气候条件解除后，承包人应及时安排复工。</w:t>
      </w:r>
    </w:p>
    <w:p w14:paraId="67B6FDE8">
      <w:pPr>
        <w:spacing w:line="360" w:lineRule="auto"/>
        <w:ind w:right="248" w:firstLine="480"/>
        <w:rPr>
          <w:rFonts w:hint="eastAsia" w:ascii="宋体" w:hAnsi="宋体" w:cs="宋体"/>
          <w:szCs w:val="21"/>
        </w:rPr>
      </w:pPr>
      <w:r>
        <w:rPr>
          <w:rFonts w:hint="eastAsia" w:ascii="宋体" w:hAnsi="宋体" w:cs="宋体"/>
          <w:szCs w:val="21"/>
        </w:rPr>
        <w:t>11.4.2异常恶劣气候条件造成的工期延误和工程损坏，应由发包人与承包人参照本合同通用合同条款第21.3款的约定共同协商处理。</w:t>
      </w:r>
    </w:p>
    <w:p w14:paraId="2D5E9EB8">
      <w:pPr>
        <w:spacing w:line="360" w:lineRule="auto"/>
        <w:ind w:right="248" w:firstLine="420" w:firstLineChars="200"/>
        <w:rPr>
          <w:rFonts w:hint="eastAsia" w:ascii="宋体" w:hAnsi="宋体" w:cs="宋体"/>
          <w:szCs w:val="21"/>
        </w:rPr>
      </w:pPr>
      <w:r>
        <w:rPr>
          <w:rFonts w:hint="eastAsia" w:ascii="宋体" w:hAnsi="宋体" w:cs="宋体"/>
          <w:szCs w:val="21"/>
        </w:rPr>
        <w:t>11.4.3 本合同工程界定异常恶劣气候条件的范围在专用合同条款中约定。</w:t>
      </w:r>
    </w:p>
    <w:p w14:paraId="7BE46D85">
      <w:pPr>
        <w:pStyle w:val="5"/>
        <w:rPr>
          <w:rFonts w:hint="eastAsia" w:ascii="宋体" w:hAnsi="宋体" w:cs="宋体"/>
          <w:sz w:val="28"/>
          <w:szCs w:val="28"/>
        </w:rPr>
      </w:pPr>
      <w:r>
        <w:rPr>
          <w:rFonts w:hint="eastAsia" w:ascii="宋体" w:hAnsi="宋体" w:cs="宋体"/>
          <w:sz w:val="28"/>
          <w:szCs w:val="28"/>
        </w:rPr>
        <w:t xml:space="preserve">11.5  承包人工期延误 </w:t>
      </w:r>
    </w:p>
    <w:p w14:paraId="68586328">
      <w:pPr>
        <w:spacing w:line="360" w:lineRule="auto"/>
        <w:ind w:right="248" w:firstLine="420" w:firstLineChars="200"/>
        <w:rPr>
          <w:rFonts w:hint="eastAsia" w:ascii="宋体" w:hAnsi="宋体" w:cs="宋体"/>
          <w:szCs w:val="21"/>
        </w:rPr>
      </w:pPr>
      <w:r>
        <w:rPr>
          <w:rFonts w:hint="eastAsia" w:ascii="宋体" w:hAnsi="宋体" w:cs="宋体"/>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违约金。逾期违约金的计算方法在专用合同条款中约定。承包人支付逾期违约金，不免除承包人完成工程及修补缺陷的义务。</w:t>
      </w:r>
      <w:bookmarkStart w:id="323" w:name="_Toc221950882"/>
    </w:p>
    <w:p w14:paraId="196E9401">
      <w:pPr>
        <w:pStyle w:val="5"/>
        <w:rPr>
          <w:rFonts w:hint="eastAsia" w:ascii="宋体" w:hAnsi="宋体" w:cs="宋体"/>
          <w:sz w:val="28"/>
          <w:szCs w:val="28"/>
        </w:rPr>
      </w:pPr>
      <w:r>
        <w:rPr>
          <w:rFonts w:hint="eastAsia" w:ascii="宋体" w:hAnsi="宋体" w:cs="宋体"/>
          <w:sz w:val="28"/>
          <w:szCs w:val="28"/>
        </w:rPr>
        <w:t>11.6工期提前</w:t>
      </w:r>
    </w:p>
    <w:p w14:paraId="140A67D0">
      <w:pPr>
        <w:spacing w:line="360" w:lineRule="auto"/>
        <w:ind w:right="248" w:firstLine="420" w:firstLineChars="200"/>
        <w:rPr>
          <w:rFonts w:hint="eastAsia" w:ascii="宋体" w:hAnsi="宋体" w:cs="宋体"/>
          <w:szCs w:val="21"/>
        </w:rPr>
      </w:pPr>
      <w:r>
        <w:rPr>
          <w:rFonts w:hint="eastAsia" w:ascii="宋体" w:hAnsi="宋体" w:cs="宋体"/>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EDADEE5">
      <w:pPr>
        <w:spacing w:line="360" w:lineRule="auto"/>
        <w:ind w:right="248" w:firstLine="420" w:firstLineChars="200"/>
        <w:rPr>
          <w:rFonts w:hint="eastAsia" w:ascii="宋体" w:hAnsi="宋体" w:cs="宋体"/>
          <w:szCs w:val="21"/>
        </w:rPr>
      </w:pPr>
      <w:r>
        <w:rPr>
          <w:rFonts w:hint="eastAsia" w:ascii="宋体" w:hAnsi="宋体" w:cs="宋体"/>
          <w:szCs w:val="21"/>
        </w:rPr>
        <w:t>发包人要求提前完工的，双方协商一致后应签订提前完工协议，协议内容包括：</w:t>
      </w:r>
      <w:bookmarkEnd w:id="323"/>
    </w:p>
    <w:p w14:paraId="30F3D74D">
      <w:pPr>
        <w:spacing w:line="360" w:lineRule="auto"/>
        <w:ind w:right="248" w:firstLine="420" w:firstLineChars="200"/>
        <w:rPr>
          <w:rFonts w:hint="eastAsia" w:ascii="宋体" w:hAnsi="宋体" w:cs="宋体"/>
          <w:szCs w:val="21"/>
        </w:rPr>
      </w:pPr>
      <w:bookmarkStart w:id="324" w:name="_Toc221950883"/>
      <w:r>
        <w:rPr>
          <w:rFonts w:hint="eastAsia" w:ascii="宋体" w:hAnsi="宋体" w:cs="宋体"/>
          <w:szCs w:val="21"/>
        </w:rPr>
        <w:t>（1） 提前的时间和修订后的进度计划。</w:t>
      </w:r>
      <w:bookmarkEnd w:id="324"/>
    </w:p>
    <w:p w14:paraId="217245A3">
      <w:pPr>
        <w:spacing w:line="360" w:lineRule="auto"/>
        <w:ind w:right="248" w:firstLine="420" w:firstLineChars="200"/>
        <w:rPr>
          <w:rFonts w:hint="eastAsia" w:ascii="宋体" w:hAnsi="宋体" w:cs="宋体"/>
          <w:szCs w:val="21"/>
        </w:rPr>
      </w:pPr>
      <w:bookmarkStart w:id="325" w:name="_Toc221950884"/>
      <w:r>
        <w:rPr>
          <w:rFonts w:hint="eastAsia" w:ascii="宋体" w:hAnsi="宋体" w:cs="宋体"/>
          <w:szCs w:val="21"/>
        </w:rPr>
        <w:t>（2）承包人的赶工措施。</w:t>
      </w:r>
      <w:bookmarkEnd w:id="325"/>
    </w:p>
    <w:p w14:paraId="76F7D386">
      <w:pPr>
        <w:spacing w:line="360" w:lineRule="auto"/>
        <w:ind w:right="248" w:firstLine="420" w:firstLineChars="200"/>
        <w:rPr>
          <w:rFonts w:hint="eastAsia" w:ascii="宋体" w:hAnsi="宋体" w:cs="宋体"/>
          <w:szCs w:val="21"/>
        </w:rPr>
      </w:pPr>
      <w:bookmarkStart w:id="326" w:name="_Toc221950885"/>
      <w:r>
        <w:rPr>
          <w:rFonts w:hint="eastAsia" w:ascii="宋体" w:hAnsi="宋体" w:cs="宋体"/>
          <w:szCs w:val="21"/>
        </w:rPr>
        <w:t>（3）发包人为赶工提供的条件。</w:t>
      </w:r>
      <w:bookmarkEnd w:id="326"/>
    </w:p>
    <w:p w14:paraId="0EB247C6">
      <w:pPr>
        <w:spacing w:line="360" w:lineRule="auto"/>
        <w:ind w:right="248" w:firstLine="420" w:firstLineChars="200"/>
        <w:rPr>
          <w:rFonts w:hint="eastAsia" w:ascii="宋体" w:hAnsi="宋体" w:cs="宋体"/>
          <w:szCs w:val="21"/>
        </w:rPr>
      </w:pPr>
      <w:bookmarkStart w:id="327" w:name="_Toc221950886"/>
      <w:r>
        <w:rPr>
          <w:rFonts w:hint="eastAsia" w:ascii="宋体" w:hAnsi="宋体" w:cs="宋体"/>
          <w:szCs w:val="21"/>
        </w:rPr>
        <w:t>（4）</w:t>
      </w:r>
      <w:bookmarkEnd w:id="327"/>
      <w:r>
        <w:rPr>
          <w:rFonts w:hint="eastAsia" w:ascii="宋体" w:hAnsi="宋体" w:cs="宋体"/>
          <w:szCs w:val="21"/>
        </w:rPr>
        <w:t>赶工费用（包括利润和奖金）</w:t>
      </w:r>
    </w:p>
    <w:p w14:paraId="6F14F84F">
      <w:pPr>
        <w:pStyle w:val="4"/>
        <w:rPr>
          <w:rFonts w:cs="宋体"/>
          <w:sz w:val="28"/>
          <w:szCs w:val="28"/>
        </w:rPr>
      </w:pPr>
      <w:bookmarkStart w:id="328" w:name="_Toc229305373"/>
      <w:bookmarkStart w:id="329" w:name="_Toc222031015"/>
      <w:bookmarkStart w:id="330" w:name="_Toc229408508"/>
      <w:bookmarkStart w:id="331" w:name="_Toc222029513"/>
      <w:bookmarkStart w:id="332" w:name="_Toc221950888"/>
      <w:bookmarkStart w:id="333" w:name="_Toc222032682"/>
      <w:bookmarkStart w:id="334" w:name="_Toc222033864"/>
      <w:r>
        <w:rPr>
          <w:rFonts w:cs="宋体"/>
          <w:sz w:val="28"/>
          <w:szCs w:val="28"/>
        </w:rPr>
        <w:t>12. 暂停施工</w:t>
      </w:r>
      <w:bookmarkEnd w:id="328"/>
      <w:bookmarkEnd w:id="329"/>
      <w:bookmarkEnd w:id="330"/>
      <w:bookmarkEnd w:id="331"/>
      <w:bookmarkEnd w:id="332"/>
      <w:bookmarkEnd w:id="333"/>
      <w:bookmarkEnd w:id="334"/>
    </w:p>
    <w:p w14:paraId="0DE8D508">
      <w:pPr>
        <w:keepNext/>
        <w:keepLines/>
        <w:spacing w:line="400" w:lineRule="exact"/>
        <w:outlineLvl w:val="2"/>
        <w:rPr>
          <w:rFonts w:hint="eastAsia" w:ascii="宋体" w:hAnsi="宋体" w:cs="宋体"/>
          <w:szCs w:val="21"/>
        </w:rPr>
      </w:pPr>
      <w:bookmarkStart w:id="335" w:name="_Toc152045690"/>
      <w:bookmarkStart w:id="336" w:name="_Toc152042468"/>
      <w:bookmarkStart w:id="337" w:name="_Toc179632708"/>
      <w:bookmarkStart w:id="338" w:name="_Toc144974659"/>
      <w:r>
        <w:rPr>
          <w:rFonts w:hint="eastAsia" w:ascii="宋体" w:hAnsi="宋体" w:cs="宋体"/>
          <w:szCs w:val="21"/>
        </w:rPr>
        <w:t>12.1 承包人暂停施工的责任</w:t>
      </w:r>
      <w:bookmarkEnd w:id="335"/>
      <w:bookmarkEnd w:id="336"/>
      <w:bookmarkEnd w:id="337"/>
      <w:bookmarkEnd w:id="338"/>
    </w:p>
    <w:p w14:paraId="7FBACD7F">
      <w:pPr>
        <w:spacing w:line="400" w:lineRule="exact"/>
        <w:ind w:firstLine="420" w:firstLineChars="200"/>
        <w:rPr>
          <w:rFonts w:hint="eastAsia" w:ascii="宋体" w:hAnsi="宋体" w:cs="宋体"/>
          <w:szCs w:val="21"/>
        </w:rPr>
      </w:pPr>
      <w:r>
        <w:rPr>
          <w:rFonts w:hint="eastAsia" w:ascii="宋体" w:hAnsi="宋体" w:cs="宋体"/>
          <w:szCs w:val="21"/>
        </w:rPr>
        <w:t>因下列暂停施工增加的费用和（或）工期延误由承包人承担：</w:t>
      </w:r>
    </w:p>
    <w:p w14:paraId="0E21F281">
      <w:pPr>
        <w:spacing w:line="400" w:lineRule="exact"/>
        <w:ind w:firstLine="359" w:firstLineChars="171"/>
        <w:rPr>
          <w:rFonts w:hint="eastAsia" w:ascii="宋体" w:hAnsi="宋体" w:cs="宋体"/>
          <w:szCs w:val="21"/>
        </w:rPr>
      </w:pPr>
      <w:r>
        <w:rPr>
          <w:rFonts w:hint="eastAsia" w:ascii="宋体" w:hAnsi="宋体" w:cs="宋体"/>
          <w:szCs w:val="21"/>
        </w:rPr>
        <w:t>（1）承包人违约引起的暂停施工；</w:t>
      </w:r>
    </w:p>
    <w:p w14:paraId="0D4547AF">
      <w:pPr>
        <w:spacing w:line="400" w:lineRule="exact"/>
        <w:ind w:firstLine="359" w:firstLineChars="171"/>
        <w:rPr>
          <w:rFonts w:hint="eastAsia" w:ascii="宋体" w:hAnsi="宋体" w:cs="宋体"/>
          <w:szCs w:val="21"/>
        </w:rPr>
      </w:pPr>
      <w:r>
        <w:rPr>
          <w:rFonts w:hint="eastAsia" w:ascii="宋体" w:hAnsi="宋体" w:cs="宋体"/>
          <w:szCs w:val="21"/>
        </w:rPr>
        <w:t>（2）由于承包人原因为工程合理施工和安全保障所必需的暂停施工；</w:t>
      </w:r>
    </w:p>
    <w:p w14:paraId="5B3FDFD1">
      <w:pPr>
        <w:spacing w:line="400" w:lineRule="exact"/>
        <w:ind w:firstLine="359" w:firstLineChars="171"/>
        <w:rPr>
          <w:rFonts w:hint="eastAsia" w:ascii="宋体" w:hAnsi="宋体" w:cs="宋体"/>
          <w:szCs w:val="21"/>
        </w:rPr>
      </w:pPr>
      <w:r>
        <w:rPr>
          <w:rFonts w:hint="eastAsia" w:ascii="宋体" w:hAnsi="宋体" w:cs="宋体"/>
          <w:szCs w:val="21"/>
        </w:rPr>
        <w:t>（3）承包人擅自暂停施工；</w:t>
      </w:r>
    </w:p>
    <w:p w14:paraId="78B0442B">
      <w:pPr>
        <w:spacing w:line="400" w:lineRule="exact"/>
        <w:ind w:firstLine="359" w:firstLineChars="171"/>
        <w:rPr>
          <w:rFonts w:hint="eastAsia" w:ascii="宋体" w:hAnsi="宋体" w:cs="宋体"/>
          <w:szCs w:val="21"/>
        </w:rPr>
      </w:pPr>
      <w:r>
        <w:rPr>
          <w:rFonts w:hint="eastAsia" w:ascii="宋体" w:hAnsi="宋体" w:cs="宋体"/>
          <w:szCs w:val="21"/>
        </w:rPr>
        <w:t>（4）承包人其他原因引起的暂停施工；</w:t>
      </w:r>
    </w:p>
    <w:p w14:paraId="5E3B03E7">
      <w:pPr>
        <w:spacing w:line="400" w:lineRule="exact"/>
        <w:ind w:firstLine="359" w:firstLineChars="171"/>
        <w:rPr>
          <w:rFonts w:hint="eastAsia" w:ascii="宋体" w:hAnsi="宋体" w:cs="宋体"/>
          <w:szCs w:val="21"/>
        </w:rPr>
      </w:pPr>
      <w:r>
        <w:rPr>
          <w:rFonts w:hint="eastAsia" w:ascii="宋体" w:hAnsi="宋体" w:cs="宋体"/>
          <w:szCs w:val="21"/>
        </w:rPr>
        <w:t>（5）专用合同条款约定由承包人承担的其他暂停施工。</w:t>
      </w:r>
    </w:p>
    <w:p w14:paraId="3D5681A5">
      <w:pPr>
        <w:pStyle w:val="5"/>
        <w:rPr>
          <w:rFonts w:hint="eastAsia" w:ascii="宋体" w:hAnsi="宋体" w:cs="宋体"/>
          <w:sz w:val="28"/>
          <w:szCs w:val="28"/>
        </w:rPr>
      </w:pPr>
      <w:bookmarkStart w:id="339" w:name="_Toc221950893"/>
      <w:r>
        <w:rPr>
          <w:rFonts w:hint="eastAsia" w:ascii="宋体" w:hAnsi="宋体" w:cs="宋体"/>
          <w:sz w:val="28"/>
          <w:szCs w:val="28"/>
        </w:rPr>
        <w:t>12.2发包人暂停施工的责任</w:t>
      </w:r>
    </w:p>
    <w:p w14:paraId="048091D7">
      <w:pPr>
        <w:spacing w:line="360" w:lineRule="auto"/>
        <w:ind w:right="248" w:firstLine="480"/>
        <w:rPr>
          <w:rFonts w:hint="eastAsia" w:ascii="宋体" w:hAnsi="宋体" w:cs="宋体"/>
          <w:szCs w:val="21"/>
        </w:rPr>
      </w:pPr>
      <w:r>
        <w:rPr>
          <w:rFonts w:hint="eastAsia" w:ascii="宋体" w:hAnsi="宋体" w:cs="宋体"/>
          <w:szCs w:val="21"/>
        </w:rPr>
        <w:t>由于发包人原因引起的暂停施工造成工期延误的，承包人有权要求发包人延长工期和（或）增加费用，并支付合理利润。</w:t>
      </w:r>
    </w:p>
    <w:p w14:paraId="71AC0EE4">
      <w:pPr>
        <w:spacing w:line="360" w:lineRule="auto"/>
        <w:ind w:right="248" w:firstLine="480"/>
        <w:rPr>
          <w:rFonts w:hint="eastAsia" w:ascii="宋体" w:hAnsi="宋体" w:cs="宋体"/>
          <w:szCs w:val="21"/>
        </w:rPr>
      </w:pPr>
      <w:r>
        <w:rPr>
          <w:rFonts w:hint="eastAsia" w:ascii="宋体" w:hAnsi="宋体" w:cs="宋体"/>
          <w:szCs w:val="21"/>
        </w:rPr>
        <w:t>属于下列任何一种情况引起的暂停施工，均为发包人的责任：</w:t>
      </w:r>
      <w:bookmarkEnd w:id="339"/>
    </w:p>
    <w:p w14:paraId="7330064E">
      <w:pPr>
        <w:spacing w:line="360" w:lineRule="auto"/>
        <w:ind w:right="248" w:firstLine="480"/>
        <w:rPr>
          <w:rFonts w:hint="eastAsia" w:ascii="宋体" w:hAnsi="宋体" w:cs="宋体"/>
          <w:szCs w:val="21"/>
        </w:rPr>
      </w:pPr>
      <w:bookmarkStart w:id="340" w:name="_Toc221950894"/>
      <w:r>
        <w:rPr>
          <w:rFonts w:hint="eastAsia" w:ascii="宋体" w:hAnsi="宋体" w:cs="宋体"/>
          <w:szCs w:val="21"/>
        </w:rPr>
        <w:t>(1)由于发包人违约引起的暂停施工。</w:t>
      </w:r>
      <w:bookmarkEnd w:id="340"/>
    </w:p>
    <w:p w14:paraId="5168D41E">
      <w:pPr>
        <w:spacing w:line="360" w:lineRule="auto"/>
        <w:ind w:right="248" w:firstLine="480"/>
        <w:rPr>
          <w:rFonts w:hint="eastAsia" w:ascii="宋体" w:hAnsi="宋体" w:cs="宋体"/>
          <w:szCs w:val="21"/>
        </w:rPr>
      </w:pPr>
      <w:bookmarkStart w:id="341" w:name="_Toc221950895"/>
      <w:r>
        <w:rPr>
          <w:rFonts w:hint="eastAsia" w:ascii="宋体" w:hAnsi="宋体" w:cs="宋体"/>
          <w:szCs w:val="21"/>
        </w:rPr>
        <w:t>(2)由于不可抗力的自然或社会因素引起的暂停施工。</w:t>
      </w:r>
      <w:bookmarkEnd w:id="341"/>
    </w:p>
    <w:p w14:paraId="2ADCC37B">
      <w:pPr>
        <w:spacing w:line="360" w:lineRule="auto"/>
        <w:ind w:right="248" w:firstLine="480"/>
        <w:rPr>
          <w:rFonts w:hint="eastAsia" w:ascii="宋体" w:hAnsi="宋体" w:cs="宋体"/>
          <w:szCs w:val="21"/>
        </w:rPr>
      </w:pPr>
      <w:bookmarkStart w:id="342" w:name="_Toc221950896"/>
      <w:r>
        <w:rPr>
          <w:rFonts w:hint="eastAsia" w:ascii="宋体" w:hAnsi="宋体" w:cs="宋体"/>
          <w:szCs w:val="21"/>
        </w:rPr>
        <w:t>(3)专用合同条款中约定的其它由于发包人原因引起的暂停施工。</w:t>
      </w:r>
      <w:bookmarkEnd w:id="342"/>
    </w:p>
    <w:p w14:paraId="337732D7">
      <w:pPr>
        <w:keepNext/>
        <w:keepLines/>
        <w:spacing w:line="400" w:lineRule="exact"/>
        <w:outlineLvl w:val="2"/>
        <w:rPr>
          <w:rFonts w:hint="eastAsia" w:ascii="宋体" w:hAnsi="宋体" w:cs="宋体"/>
          <w:szCs w:val="21"/>
        </w:rPr>
      </w:pPr>
      <w:bookmarkStart w:id="343" w:name="_Toc179632710"/>
      <w:bookmarkStart w:id="344" w:name="_Toc152045692"/>
      <w:bookmarkStart w:id="345" w:name="_Toc144974661"/>
      <w:bookmarkStart w:id="346" w:name="_Toc152042470"/>
      <w:r>
        <w:rPr>
          <w:rFonts w:hint="eastAsia" w:ascii="宋体" w:hAnsi="宋体" w:cs="宋体"/>
          <w:szCs w:val="21"/>
        </w:rPr>
        <w:t>12.3 监理人暂停施工指示</w:t>
      </w:r>
      <w:bookmarkEnd w:id="343"/>
      <w:bookmarkEnd w:id="344"/>
      <w:bookmarkEnd w:id="345"/>
      <w:bookmarkEnd w:id="346"/>
    </w:p>
    <w:p w14:paraId="0DAE34AC">
      <w:pPr>
        <w:spacing w:line="400" w:lineRule="exact"/>
        <w:ind w:firstLine="420" w:firstLineChars="200"/>
        <w:rPr>
          <w:rFonts w:hint="eastAsia" w:ascii="宋体" w:hAnsi="宋体" w:cs="宋体"/>
          <w:szCs w:val="21"/>
        </w:rPr>
      </w:pPr>
      <w:r>
        <w:rPr>
          <w:rFonts w:hint="eastAsia" w:ascii="宋体" w:hAnsi="宋体" w:cs="宋体"/>
          <w:szCs w:val="21"/>
        </w:rPr>
        <w:t>12.3.1 监理人认为有必要时，可向承包人作出暂停施工的指示，承包人应按监理人指示暂停施工。不论由于何种原因引起的暂停施工，暂停施工期间承包人应负责妥善保护工程并提供安全保障。</w:t>
      </w:r>
    </w:p>
    <w:p w14:paraId="00E7D6A2">
      <w:pPr>
        <w:spacing w:line="400" w:lineRule="exact"/>
        <w:ind w:firstLine="420" w:firstLineChars="200"/>
        <w:rPr>
          <w:rFonts w:hint="eastAsia" w:ascii="宋体" w:hAnsi="宋体" w:cs="宋体"/>
          <w:szCs w:val="21"/>
        </w:rPr>
      </w:pPr>
      <w:r>
        <w:rPr>
          <w:rFonts w:hint="eastAsia" w:ascii="宋体" w:hAnsi="宋体" w:cs="宋体"/>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DC4EE4D">
      <w:pPr>
        <w:keepNext/>
        <w:keepLines/>
        <w:spacing w:line="400" w:lineRule="exact"/>
        <w:outlineLvl w:val="2"/>
        <w:rPr>
          <w:rFonts w:hint="eastAsia" w:ascii="宋体" w:hAnsi="宋体" w:cs="宋体"/>
          <w:szCs w:val="21"/>
        </w:rPr>
      </w:pPr>
      <w:bookmarkStart w:id="347" w:name="_Toc144974662"/>
      <w:bookmarkStart w:id="348" w:name="_Toc152045693"/>
      <w:bookmarkStart w:id="349" w:name="_Toc179632711"/>
      <w:bookmarkStart w:id="350" w:name="_Toc152042471"/>
      <w:r>
        <w:rPr>
          <w:rFonts w:hint="eastAsia" w:ascii="宋体" w:hAnsi="宋体" w:cs="宋体"/>
          <w:szCs w:val="21"/>
        </w:rPr>
        <w:t>12.4 暂停施工后的复工</w:t>
      </w:r>
      <w:bookmarkEnd w:id="347"/>
      <w:bookmarkEnd w:id="348"/>
      <w:bookmarkEnd w:id="349"/>
      <w:bookmarkEnd w:id="350"/>
    </w:p>
    <w:p w14:paraId="13F0A7B3">
      <w:pPr>
        <w:spacing w:line="400" w:lineRule="exact"/>
        <w:ind w:firstLine="420" w:firstLineChars="200"/>
        <w:rPr>
          <w:rFonts w:hint="eastAsia" w:ascii="宋体" w:hAnsi="宋体" w:cs="宋体"/>
          <w:szCs w:val="21"/>
        </w:rPr>
      </w:pPr>
      <w:r>
        <w:rPr>
          <w:rFonts w:hint="eastAsia" w:ascii="宋体" w:hAnsi="宋体" w:cs="宋体"/>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BA2E0C2">
      <w:pPr>
        <w:spacing w:line="400" w:lineRule="exact"/>
        <w:ind w:firstLine="420" w:firstLineChars="200"/>
        <w:rPr>
          <w:rFonts w:hint="eastAsia" w:ascii="宋体" w:hAnsi="宋体" w:cs="宋体"/>
          <w:szCs w:val="21"/>
        </w:rPr>
      </w:pPr>
      <w:r>
        <w:rPr>
          <w:rFonts w:hint="eastAsia" w:ascii="宋体" w:hAnsi="宋体" w:cs="宋体"/>
          <w:szCs w:val="21"/>
        </w:rPr>
        <w:t>12.4.2 承包人无故拖延和拒绝复工的，由此增加的费用和工期延误由承包人承担；因发包人原因无法按时复工的，承包人有权要求发包人延长工期和（或）增加费用，并支付合理利润。</w:t>
      </w:r>
    </w:p>
    <w:p w14:paraId="3075B8D0">
      <w:pPr>
        <w:keepNext/>
        <w:keepLines/>
        <w:spacing w:line="400" w:lineRule="exact"/>
        <w:ind w:firstLine="420" w:firstLineChars="200"/>
        <w:outlineLvl w:val="2"/>
        <w:rPr>
          <w:rFonts w:hint="eastAsia" w:ascii="宋体" w:hAnsi="宋体" w:cs="宋体"/>
          <w:szCs w:val="21"/>
        </w:rPr>
      </w:pPr>
      <w:bookmarkStart w:id="351" w:name="_Toc179632712"/>
      <w:bookmarkStart w:id="352" w:name="_Toc144974663"/>
      <w:bookmarkStart w:id="353" w:name="_Toc152042472"/>
      <w:bookmarkStart w:id="354" w:name="_Toc152045694"/>
      <w:r>
        <w:rPr>
          <w:rFonts w:hint="eastAsia" w:ascii="宋体" w:hAnsi="宋体" w:cs="宋体"/>
          <w:szCs w:val="21"/>
        </w:rPr>
        <w:t>12.5 暂停施工持续56天以上</w:t>
      </w:r>
      <w:bookmarkEnd w:id="351"/>
      <w:bookmarkEnd w:id="352"/>
      <w:bookmarkEnd w:id="353"/>
      <w:bookmarkEnd w:id="354"/>
    </w:p>
    <w:p w14:paraId="5AD4AC45">
      <w:pPr>
        <w:spacing w:line="400" w:lineRule="exact"/>
        <w:ind w:firstLine="411" w:firstLineChars="196"/>
        <w:rPr>
          <w:rFonts w:hint="eastAsia" w:ascii="宋体" w:hAnsi="宋体" w:cs="宋体"/>
          <w:szCs w:val="21"/>
        </w:rPr>
      </w:pPr>
      <w:r>
        <w:rPr>
          <w:rFonts w:hint="eastAsia" w:ascii="宋体" w:hAnsi="宋体" w:cs="宋体"/>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6CE5BC0D">
      <w:pPr>
        <w:spacing w:line="400" w:lineRule="exact"/>
        <w:ind w:firstLine="420" w:firstLineChars="200"/>
        <w:rPr>
          <w:rFonts w:hint="eastAsia" w:ascii="宋体" w:hAnsi="宋体" w:cs="宋体"/>
          <w:szCs w:val="21"/>
        </w:rPr>
      </w:pPr>
      <w:r>
        <w:rPr>
          <w:rFonts w:hint="eastAsia" w:ascii="宋体" w:hAnsi="宋体" w:cs="宋体"/>
          <w:szCs w:val="21"/>
        </w:rPr>
        <w:t>12.5.2 由于承包人责任引起的暂停施工，如承包人在收到监理人暂停施工指示后56天内不认真采取有效的复工措施，造成工期延误，可视为承包人违约，应按第22.1款的约定办理。</w:t>
      </w:r>
    </w:p>
    <w:p w14:paraId="26060014">
      <w:pPr>
        <w:pStyle w:val="4"/>
        <w:rPr>
          <w:rFonts w:cs="宋体"/>
          <w:sz w:val="28"/>
          <w:szCs w:val="28"/>
        </w:rPr>
      </w:pPr>
      <w:bookmarkStart w:id="355" w:name="_Toc222032683"/>
      <w:bookmarkStart w:id="356" w:name="_Toc222029514"/>
      <w:bookmarkStart w:id="357" w:name="_Toc229305374"/>
      <w:bookmarkStart w:id="358" w:name="_Toc221950903"/>
      <w:bookmarkStart w:id="359" w:name="_Toc222033865"/>
      <w:bookmarkStart w:id="360" w:name="_Toc222031016"/>
      <w:bookmarkStart w:id="361" w:name="_Toc229408509"/>
      <w:r>
        <w:rPr>
          <w:rFonts w:cs="宋体"/>
          <w:sz w:val="28"/>
          <w:szCs w:val="28"/>
        </w:rPr>
        <w:t>13. 工程质量</w:t>
      </w:r>
      <w:bookmarkEnd w:id="355"/>
      <w:bookmarkEnd w:id="356"/>
      <w:bookmarkEnd w:id="357"/>
      <w:bookmarkEnd w:id="358"/>
      <w:bookmarkEnd w:id="359"/>
      <w:bookmarkEnd w:id="360"/>
      <w:bookmarkEnd w:id="361"/>
    </w:p>
    <w:p w14:paraId="6F2D0D55">
      <w:pPr>
        <w:pStyle w:val="66"/>
        <w:rPr>
          <w:rFonts w:hint="eastAsia" w:ascii="宋体" w:hAnsi="宋体" w:eastAsia="宋体"/>
          <w:sz w:val="21"/>
          <w:szCs w:val="21"/>
        </w:rPr>
      </w:pPr>
      <w:bookmarkStart w:id="362" w:name="_Toc179632714"/>
      <w:bookmarkStart w:id="363" w:name="_Toc144974665"/>
      <w:bookmarkStart w:id="364" w:name="_Toc152042474"/>
      <w:bookmarkStart w:id="365" w:name="_Toc152045696"/>
      <w:bookmarkStart w:id="366" w:name="_Toc221950917"/>
      <w:bookmarkStart w:id="367" w:name="_Toc222031017"/>
      <w:bookmarkStart w:id="368" w:name="_Toc222033866"/>
      <w:bookmarkStart w:id="369" w:name="_Toc229305375"/>
      <w:bookmarkStart w:id="370" w:name="_Toc222032684"/>
      <w:bookmarkStart w:id="371" w:name="_Toc222029515"/>
      <w:r>
        <w:rPr>
          <w:rFonts w:hint="eastAsia" w:ascii="宋体" w:hAnsi="宋体" w:eastAsia="宋体"/>
          <w:sz w:val="21"/>
          <w:szCs w:val="21"/>
        </w:rPr>
        <w:t>13.1 工程质量要求</w:t>
      </w:r>
      <w:bookmarkEnd w:id="362"/>
      <w:bookmarkEnd w:id="363"/>
      <w:bookmarkEnd w:id="364"/>
      <w:bookmarkEnd w:id="365"/>
    </w:p>
    <w:p w14:paraId="05740B28">
      <w:pPr>
        <w:spacing w:line="400" w:lineRule="exact"/>
        <w:ind w:firstLine="420" w:firstLineChars="200"/>
        <w:rPr>
          <w:rFonts w:hint="eastAsia" w:ascii="宋体" w:hAnsi="宋体" w:cs="宋体"/>
          <w:szCs w:val="21"/>
        </w:rPr>
      </w:pPr>
      <w:r>
        <w:rPr>
          <w:rFonts w:hint="eastAsia" w:ascii="宋体" w:hAnsi="宋体" w:cs="宋体"/>
          <w:szCs w:val="21"/>
        </w:rPr>
        <w:t>13.1.1 工程质量验收按合同约定验收标准执行。</w:t>
      </w:r>
    </w:p>
    <w:p w14:paraId="42A103FF">
      <w:pPr>
        <w:spacing w:line="400" w:lineRule="exact"/>
        <w:ind w:firstLine="420" w:firstLineChars="200"/>
        <w:rPr>
          <w:rFonts w:hint="eastAsia" w:ascii="宋体" w:hAnsi="宋体" w:cs="宋体"/>
          <w:szCs w:val="21"/>
        </w:rPr>
      </w:pPr>
      <w:r>
        <w:rPr>
          <w:rFonts w:hint="eastAsia" w:ascii="宋体" w:hAnsi="宋体" w:cs="宋体"/>
          <w:szCs w:val="21"/>
        </w:rPr>
        <w:t>13.1.2 因承包人原因造成工程质量达不到合同约定验收标准的，监理人有权要求承包人返工直至符合合同要求为止，由此造成的费用增加和（或）工期延误由承包人承担。</w:t>
      </w:r>
    </w:p>
    <w:p w14:paraId="6BF7B3C1">
      <w:pPr>
        <w:spacing w:line="400" w:lineRule="exact"/>
        <w:ind w:firstLine="420" w:firstLineChars="200"/>
        <w:rPr>
          <w:rFonts w:hint="eastAsia" w:ascii="宋体" w:hAnsi="宋体" w:cs="宋体"/>
          <w:szCs w:val="21"/>
        </w:rPr>
      </w:pPr>
      <w:r>
        <w:rPr>
          <w:rFonts w:hint="eastAsia" w:ascii="宋体" w:hAnsi="宋体" w:cs="宋体"/>
          <w:szCs w:val="21"/>
        </w:rPr>
        <w:t>13.1.3 因发包人原因造成工程质量达不到合同约定验收标准的，发包人应承担由于承包人返工造成的费用增加和（或）工期延误，并支付承包人合理利润。</w:t>
      </w:r>
    </w:p>
    <w:p w14:paraId="6DD48CAF">
      <w:pPr>
        <w:keepNext/>
        <w:keepLines/>
        <w:spacing w:line="400" w:lineRule="exact"/>
        <w:outlineLvl w:val="2"/>
        <w:rPr>
          <w:rFonts w:hint="eastAsia" w:ascii="宋体" w:hAnsi="宋体" w:cs="宋体"/>
          <w:szCs w:val="21"/>
        </w:rPr>
      </w:pPr>
      <w:bookmarkStart w:id="372" w:name="_Toc179632715"/>
      <w:bookmarkStart w:id="373" w:name="_Toc152042475"/>
      <w:bookmarkStart w:id="374" w:name="_Toc152045697"/>
      <w:bookmarkStart w:id="375" w:name="_Toc144974666"/>
      <w:r>
        <w:rPr>
          <w:rFonts w:hint="eastAsia" w:ascii="宋体" w:hAnsi="宋体" w:cs="宋体"/>
          <w:szCs w:val="21"/>
        </w:rPr>
        <w:t>13.2 承包人的质量管理</w:t>
      </w:r>
      <w:bookmarkEnd w:id="372"/>
      <w:bookmarkEnd w:id="373"/>
      <w:bookmarkEnd w:id="374"/>
      <w:bookmarkEnd w:id="375"/>
    </w:p>
    <w:p w14:paraId="30D3AFB2">
      <w:pPr>
        <w:spacing w:line="400" w:lineRule="exact"/>
        <w:ind w:firstLine="420" w:firstLineChars="200"/>
        <w:rPr>
          <w:rFonts w:hint="eastAsia" w:ascii="宋体" w:hAnsi="宋体" w:cs="宋体"/>
          <w:szCs w:val="21"/>
        </w:rPr>
      </w:pPr>
      <w:r>
        <w:rPr>
          <w:rFonts w:hint="eastAsia" w:ascii="宋体" w:hAnsi="宋体" w:cs="宋体"/>
          <w:szCs w:val="21"/>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监批。监理人应在技术标准和要求（合同技术条款）约定期限内批复承包人。</w:t>
      </w:r>
    </w:p>
    <w:p w14:paraId="1FBF863C">
      <w:pPr>
        <w:spacing w:line="400" w:lineRule="exact"/>
        <w:ind w:firstLine="420" w:firstLineChars="200"/>
        <w:rPr>
          <w:rFonts w:hint="eastAsia" w:ascii="宋体" w:hAnsi="宋体" w:cs="宋体"/>
          <w:szCs w:val="21"/>
        </w:rPr>
      </w:pPr>
      <w:r>
        <w:rPr>
          <w:rFonts w:hint="eastAsia" w:ascii="宋体" w:hAnsi="宋体" w:cs="宋体"/>
          <w:szCs w:val="21"/>
        </w:rPr>
        <w:t>13.2.2 承包人应加强对施工人员的质量教育和技术培训，定期考核施工人员的劳动技能，严格执行规范和操作规程。</w:t>
      </w:r>
    </w:p>
    <w:p w14:paraId="7A8CBD83">
      <w:pPr>
        <w:keepNext/>
        <w:keepLines/>
        <w:spacing w:line="400" w:lineRule="exact"/>
        <w:outlineLvl w:val="2"/>
        <w:rPr>
          <w:rFonts w:hint="eastAsia" w:ascii="宋体" w:hAnsi="宋体" w:cs="宋体"/>
          <w:szCs w:val="21"/>
        </w:rPr>
      </w:pPr>
      <w:bookmarkStart w:id="376" w:name="_Toc152042476"/>
      <w:bookmarkStart w:id="377" w:name="_Toc144974667"/>
      <w:bookmarkStart w:id="378" w:name="_Toc179632716"/>
      <w:bookmarkStart w:id="379" w:name="_Toc152045698"/>
      <w:r>
        <w:rPr>
          <w:rFonts w:hint="eastAsia" w:ascii="宋体" w:hAnsi="宋体" w:cs="宋体"/>
          <w:szCs w:val="21"/>
        </w:rPr>
        <w:t>13.3 承包人的质量检查</w:t>
      </w:r>
      <w:bookmarkEnd w:id="376"/>
      <w:bookmarkEnd w:id="377"/>
      <w:bookmarkEnd w:id="378"/>
      <w:bookmarkEnd w:id="379"/>
    </w:p>
    <w:p w14:paraId="6962336B">
      <w:pPr>
        <w:spacing w:line="400" w:lineRule="exact"/>
        <w:ind w:firstLine="420" w:firstLineChars="200"/>
        <w:rPr>
          <w:rFonts w:hint="eastAsia" w:ascii="宋体" w:hAnsi="宋体" w:cs="宋体"/>
          <w:szCs w:val="21"/>
        </w:rPr>
      </w:pPr>
      <w:r>
        <w:rPr>
          <w:rFonts w:hint="eastAsia" w:ascii="宋体" w:hAnsi="宋体" w:cs="宋体"/>
          <w:szCs w:val="21"/>
        </w:rPr>
        <w:t>承包人应按合同约定对材料、工程设备以及工程的所有部位及其施工工艺进行全过程的质量检查和检验，并作详细记录，编制工程质量报表，报送监理人审查。</w:t>
      </w:r>
    </w:p>
    <w:p w14:paraId="43B74F30">
      <w:pPr>
        <w:keepNext/>
        <w:keepLines/>
        <w:spacing w:line="400" w:lineRule="exact"/>
        <w:outlineLvl w:val="2"/>
        <w:rPr>
          <w:rFonts w:hint="eastAsia" w:ascii="宋体" w:hAnsi="宋体" w:cs="宋体"/>
          <w:szCs w:val="21"/>
        </w:rPr>
      </w:pPr>
      <w:bookmarkStart w:id="380" w:name="_Toc144974668"/>
      <w:bookmarkStart w:id="381" w:name="_Toc152045699"/>
      <w:bookmarkStart w:id="382" w:name="_Toc179632717"/>
      <w:bookmarkStart w:id="383" w:name="_Toc152042477"/>
      <w:r>
        <w:rPr>
          <w:rFonts w:hint="eastAsia" w:ascii="宋体" w:hAnsi="宋体" w:cs="宋体"/>
          <w:szCs w:val="21"/>
        </w:rPr>
        <w:t>13.4 监理人的质量检查</w:t>
      </w:r>
      <w:bookmarkEnd w:id="380"/>
      <w:bookmarkEnd w:id="381"/>
      <w:bookmarkEnd w:id="382"/>
      <w:bookmarkEnd w:id="383"/>
    </w:p>
    <w:p w14:paraId="41EAE684">
      <w:pPr>
        <w:spacing w:line="400" w:lineRule="exact"/>
        <w:ind w:firstLine="420" w:firstLineChars="200"/>
        <w:rPr>
          <w:rFonts w:hint="eastAsia" w:ascii="宋体" w:hAnsi="宋体" w:cs="宋体"/>
          <w:szCs w:val="21"/>
        </w:rPr>
      </w:pPr>
      <w:r>
        <w:rPr>
          <w:rFonts w:hint="eastAsia" w:ascii="宋体" w:hAnsi="宋体" w:cs="宋体"/>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073A50B">
      <w:pPr>
        <w:keepNext/>
        <w:keepLines/>
        <w:spacing w:line="400" w:lineRule="exact"/>
        <w:outlineLvl w:val="2"/>
        <w:rPr>
          <w:rFonts w:hint="eastAsia" w:ascii="宋体" w:hAnsi="宋体" w:cs="宋体"/>
          <w:szCs w:val="21"/>
        </w:rPr>
      </w:pPr>
      <w:bookmarkStart w:id="384" w:name="_Toc152042478"/>
      <w:bookmarkStart w:id="385" w:name="_Toc179632718"/>
      <w:bookmarkStart w:id="386" w:name="_Toc144974669"/>
      <w:bookmarkStart w:id="387" w:name="_Toc152045700"/>
      <w:r>
        <w:rPr>
          <w:rFonts w:hint="eastAsia" w:ascii="宋体" w:hAnsi="宋体" w:cs="宋体"/>
          <w:szCs w:val="21"/>
        </w:rPr>
        <w:t>13.5 工程隐蔽部位覆盖前的检查</w:t>
      </w:r>
      <w:bookmarkEnd w:id="384"/>
      <w:bookmarkEnd w:id="385"/>
      <w:bookmarkEnd w:id="386"/>
      <w:bookmarkEnd w:id="387"/>
    </w:p>
    <w:p w14:paraId="15E916BA">
      <w:pPr>
        <w:spacing w:line="400" w:lineRule="exact"/>
        <w:ind w:firstLine="420" w:firstLineChars="200"/>
        <w:rPr>
          <w:rFonts w:hint="eastAsia" w:ascii="宋体" w:hAnsi="宋体" w:cs="宋体"/>
          <w:szCs w:val="21"/>
        </w:rPr>
      </w:pPr>
      <w:r>
        <w:rPr>
          <w:rFonts w:hint="eastAsia" w:ascii="宋体" w:hAnsi="宋体" w:cs="宋体"/>
          <w:szCs w:val="21"/>
        </w:rPr>
        <w:t>13.5.1 通知监理人检查</w:t>
      </w:r>
    </w:p>
    <w:p w14:paraId="698389AC">
      <w:pPr>
        <w:spacing w:line="400" w:lineRule="exact"/>
        <w:ind w:firstLine="420" w:firstLineChars="200"/>
        <w:rPr>
          <w:rFonts w:hint="eastAsia" w:ascii="宋体" w:hAnsi="宋体" w:cs="宋体"/>
          <w:szCs w:val="21"/>
        </w:rPr>
      </w:pPr>
      <w:r>
        <w:rPr>
          <w:rFonts w:hint="eastAsia" w:ascii="宋体" w:hAnsi="宋体" w:cs="宋体"/>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B53B9EA">
      <w:pPr>
        <w:spacing w:line="400" w:lineRule="exact"/>
        <w:ind w:firstLine="420" w:firstLineChars="200"/>
        <w:rPr>
          <w:rFonts w:hint="eastAsia" w:ascii="宋体" w:hAnsi="宋体" w:cs="宋体"/>
          <w:szCs w:val="21"/>
        </w:rPr>
      </w:pPr>
      <w:r>
        <w:rPr>
          <w:rFonts w:hint="eastAsia" w:ascii="宋体" w:hAnsi="宋体" w:cs="宋体"/>
          <w:szCs w:val="21"/>
        </w:rPr>
        <w:t>13.5.2 监理人未到场检查</w:t>
      </w:r>
    </w:p>
    <w:p w14:paraId="1560203F">
      <w:pPr>
        <w:spacing w:line="400" w:lineRule="exact"/>
        <w:ind w:firstLine="420" w:firstLineChars="200"/>
        <w:rPr>
          <w:rFonts w:hint="eastAsia" w:ascii="宋体" w:hAnsi="宋体" w:cs="宋体"/>
          <w:szCs w:val="21"/>
        </w:rPr>
      </w:pPr>
      <w:r>
        <w:rPr>
          <w:rFonts w:hint="eastAsia" w:ascii="宋体" w:hAnsi="宋体" w:cs="宋体"/>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E6FFD28">
      <w:pPr>
        <w:spacing w:line="400" w:lineRule="exact"/>
        <w:ind w:firstLine="420" w:firstLineChars="200"/>
        <w:rPr>
          <w:rFonts w:hint="eastAsia" w:ascii="宋体" w:hAnsi="宋体" w:cs="宋体"/>
          <w:szCs w:val="21"/>
        </w:rPr>
      </w:pPr>
      <w:r>
        <w:rPr>
          <w:rFonts w:hint="eastAsia" w:ascii="宋体" w:hAnsi="宋体" w:cs="宋体"/>
          <w:szCs w:val="21"/>
        </w:rPr>
        <w:t>13.5.3 监理人重新检查</w:t>
      </w:r>
    </w:p>
    <w:p w14:paraId="782818AB">
      <w:pPr>
        <w:spacing w:line="400" w:lineRule="exact"/>
        <w:ind w:firstLine="420" w:firstLineChars="200"/>
        <w:rPr>
          <w:rFonts w:hint="eastAsia" w:ascii="宋体" w:hAnsi="宋体" w:cs="宋体"/>
          <w:szCs w:val="21"/>
        </w:rPr>
      </w:pPr>
      <w:r>
        <w:rPr>
          <w:rFonts w:hint="eastAsia" w:ascii="宋体" w:hAnsi="宋体" w:cs="宋体"/>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5F74DA3">
      <w:pPr>
        <w:spacing w:line="400" w:lineRule="exact"/>
        <w:ind w:firstLine="420" w:firstLineChars="200"/>
        <w:rPr>
          <w:rFonts w:hint="eastAsia" w:ascii="宋体" w:hAnsi="宋体" w:cs="宋体"/>
          <w:szCs w:val="21"/>
        </w:rPr>
      </w:pPr>
      <w:r>
        <w:rPr>
          <w:rFonts w:hint="eastAsia" w:ascii="宋体" w:hAnsi="宋体" w:cs="宋体"/>
          <w:szCs w:val="21"/>
        </w:rPr>
        <w:t>13.5.4 承包人私自覆盖</w:t>
      </w:r>
    </w:p>
    <w:p w14:paraId="07522AE9">
      <w:pPr>
        <w:spacing w:line="400" w:lineRule="exact"/>
        <w:ind w:firstLine="420" w:firstLineChars="200"/>
        <w:rPr>
          <w:rFonts w:hint="eastAsia" w:ascii="宋体" w:hAnsi="宋体" w:cs="宋体"/>
          <w:szCs w:val="21"/>
        </w:rPr>
      </w:pPr>
      <w:r>
        <w:rPr>
          <w:rFonts w:hint="eastAsia" w:ascii="宋体" w:hAnsi="宋体" w:cs="宋体"/>
          <w:szCs w:val="21"/>
        </w:rPr>
        <w:t>承包人未通知监理人到场检查，私自将工程隐蔽部位覆盖的，监理人有权指示承包人钻孔探测或揭开检查，由此增加的费用和（或）工期延误由承包人承担。</w:t>
      </w:r>
    </w:p>
    <w:p w14:paraId="467E35B8">
      <w:pPr>
        <w:keepNext/>
        <w:keepLines/>
        <w:spacing w:line="400" w:lineRule="exact"/>
        <w:outlineLvl w:val="2"/>
        <w:rPr>
          <w:rFonts w:hint="eastAsia" w:ascii="宋体" w:hAnsi="宋体" w:cs="宋体"/>
          <w:szCs w:val="21"/>
        </w:rPr>
      </w:pPr>
      <w:bookmarkStart w:id="388" w:name="_Toc152045701"/>
      <w:bookmarkStart w:id="389" w:name="_Toc144974670"/>
      <w:bookmarkStart w:id="390" w:name="_Toc152042479"/>
      <w:bookmarkStart w:id="391" w:name="_Toc179632719"/>
      <w:r>
        <w:rPr>
          <w:rFonts w:hint="eastAsia" w:ascii="宋体" w:hAnsi="宋体" w:cs="宋体"/>
          <w:szCs w:val="21"/>
        </w:rPr>
        <w:t>13.6 清除不合格工程</w:t>
      </w:r>
      <w:bookmarkEnd w:id="388"/>
      <w:bookmarkEnd w:id="389"/>
      <w:bookmarkEnd w:id="390"/>
      <w:bookmarkEnd w:id="391"/>
    </w:p>
    <w:p w14:paraId="144653AC">
      <w:pPr>
        <w:spacing w:line="400" w:lineRule="exact"/>
        <w:ind w:firstLine="420" w:firstLineChars="200"/>
        <w:rPr>
          <w:rFonts w:hint="eastAsia" w:ascii="宋体" w:hAnsi="宋体" w:cs="宋体"/>
          <w:szCs w:val="21"/>
        </w:rPr>
      </w:pPr>
      <w:r>
        <w:rPr>
          <w:rFonts w:hint="eastAsia" w:ascii="宋体" w:hAnsi="宋体" w:cs="宋体"/>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0422DA9">
      <w:pPr>
        <w:spacing w:line="400" w:lineRule="exact"/>
        <w:ind w:firstLine="420" w:firstLineChars="200"/>
        <w:rPr>
          <w:rFonts w:hint="eastAsia" w:ascii="宋体" w:hAnsi="宋体" w:cs="宋体"/>
          <w:szCs w:val="21"/>
        </w:rPr>
      </w:pPr>
      <w:r>
        <w:rPr>
          <w:rFonts w:hint="eastAsia" w:ascii="宋体" w:hAnsi="宋体" w:cs="宋体"/>
          <w:szCs w:val="21"/>
        </w:rPr>
        <w:t>13.6.2 由于发包人提供的材料或工程设备不合格造成的工程不合格，需要承包人采取措施补救的，发包人应承担由此增加的费用和（或）工期延误，并支付承包人合理利润。</w:t>
      </w:r>
    </w:p>
    <w:p w14:paraId="2291937A">
      <w:pPr>
        <w:spacing w:before="100" w:beforeAutospacing="1" w:after="100" w:afterAutospacing="1"/>
        <w:rPr>
          <w:rFonts w:hint="eastAsia" w:ascii="宋体" w:hAnsi="宋体" w:cs="宋体"/>
          <w:b/>
          <w:sz w:val="28"/>
          <w:szCs w:val="28"/>
        </w:rPr>
      </w:pPr>
      <w:r>
        <w:rPr>
          <w:rFonts w:hint="eastAsia" w:ascii="宋体" w:hAnsi="宋体" w:cs="宋体"/>
          <w:b/>
          <w:sz w:val="28"/>
          <w:szCs w:val="28"/>
        </w:rPr>
        <w:t>13.7 质量评定</w:t>
      </w:r>
    </w:p>
    <w:p w14:paraId="367ADA06">
      <w:pPr>
        <w:spacing w:line="360" w:lineRule="auto"/>
        <w:ind w:right="-7" w:firstLine="480"/>
        <w:rPr>
          <w:rFonts w:hint="eastAsia" w:ascii="宋体" w:hAnsi="宋体" w:cs="宋体"/>
          <w:szCs w:val="21"/>
        </w:rPr>
      </w:pPr>
      <w:r>
        <w:rPr>
          <w:rFonts w:hint="eastAsia" w:ascii="宋体" w:hAnsi="宋体" w:cs="宋体"/>
          <w:szCs w:val="21"/>
        </w:rPr>
        <w:t>13.7.1发包人应组织进行工程项目划分，并确定单位工程、主要分部工程、重要隐蔽单元工程和关键部位单元工程。</w:t>
      </w:r>
    </w:p>
    <w:p w14:paraId="164B8682">
      <w:pPr>
        <w:spacing w:line="360" w:lineRule="auto"/>
        <w:ind w:right="-7" w:firstLine="480"/>
        <w:rPr>
          <w:rFonts w:hint="eastAsia" w:ascii="宋体" w:hAnsi="宋体" w:cs="宋体"/>
          <w:szCs w:val="21"/>
        </w:rPr>
      </w:pPr>
      <w:r>
        <w:rPr>
          <w:rFonts w:hint="eastAsia" w:ascii="宋体" w:hAnsi="宋体" w:cs="宋体"/>
          <w:szCs w:val="21"/>
        </w:rPr>
        <w:t>13.7.2工程实施过程中，单位工程、主要分部工程、重要隐蔽单元工程和关键部位单元工程的项目划分需要调整时，承包人应报发包人确认。</w:t>
      </w:r>
    </w:p>
    <w:p w14:paraId="6C0485A5">
      <w:pPr>
        <w:spacing w:line="360" w:lineRule="auto"/>
        <w:ind w:right="-7" w:firstLine="480"/>
        <w:rPr>
          <w:rFonts w:hint="eastAsia" w:ascii="宋体" w:hAnsi="宋体" w:cs="宋体"/>
          <w:szCs w:val="21"/>
        </w:rPr>
      </w:pPr>
      <w:r>
        <w:rPr>
          <w:rFonts w:hint="eastAsia" w:ascii="宋体" w:hAnsi="宋体" w:cs="宋体"/>
          <w:szCs w:val="21"/>
        </w:rPr>
        <w:t>13.7.3承包人应在单元（工序）工程质量自评合格后，报监理人核定质量等级并签证认可。</w:t>
      </w:r>
    </w:p>
    <w:p w14:paraId="621C0245">
      <w:pPr>
        <w:spacing w:line="360" w:lineRule="auto"/>
        <w:ind w:right="-7" w:firstLine="480"/>
        <w:rPr>
          <w:rFonts w:hint="eastAsia" w:ascii="宋体" w:hAnsi="宋体" w:cs="宋体"/>
          <w:szCs w:val="21"/>
        </w:rPr>
      </w:pPr>
      <w:r>
        <w:rPr>
          <w:rFonts w:hint="eastAsia" w:ascii="宋体" w:hAnsi="宋体" w:cs="宋体"/>
          <w:szCs w:val="21"/>
        </w:rPr>
        <w:t>13.7.4除专用合同条款另有约定外，承包人应在重要隐蔽单元工程及关键部位单元工程质量自评合格后以及监理人抽检后，由监理人组织承包人等单位组成的联合小组，共同检查核定其质量等级并填写签证表。发包人按有关规定完成质量结论报工程质量监督机构核备手续。</w:t>
      </w:r>
    </w:p>
    <w:p w14:paraId="5AC90DB4">
      <w:pPr>
        <w:spacing w:line="360" w:lineRule="auto"/>
        <w:ind w:right="-7" w:firstLine="480"/>
        <w:rPr>
          <w:rFonts w:hint="eastAsia" w:ascii="宋体" w:hAnsi="宋体" w:cs="宋体"/>
          <w:szCs w:val="21"/>
        </w:rPr>
      </w:pPr>
      <w:r>
        <w:rPr>
          <w:rFonts w:hint="eastAsia" w:ascii="宋体" w:hAnsi="宋体" w:cs="宋体"/>
          <w:szCs w:val="21"/>
        </w:rPr>
        <w:t>13.7.5承包人应在分部工程质量自评合格后，报监理人复核和发包人认定。发包人负责按有关规定完成分部工程质量结论报工程质量监督机构核备（核定）手续。</w:t>
      </w:r>
    </w:p>
    <w:p w14:paraId="39535317">
      <w:pPr>
        <w:spacing w:line="360" w:lineRule="auto"/>
        <w:ind w:right="-7" w:firstLine="480"/>
        <w:rPr>
          <w:rFonts w:hint="eastAsia" w:ascii="宋体" w:hAnsi="宋体" w:cs="宋体"/>
          <w:szCs w:val="21"/>
        </w:rPr>
      </w:pPr>
      <w:r>
        <w:rPr>
          <w:rFonts w:hint="eastAsia" w:ascii="宋体" w:hAnsi="宋体" w:cs="宋体"/>
          <w:szCs w:val="21"/>
        </w:rPr>
        <w:t>13.7.6承包人应在单位工程质量自评合格后，报监理人复核和发包人认定。发包人负责按有关规定完成单位工程质量结论报工程质量监督机构核定手续。</w:t>
      </w:r>
    </w:p>
    <w:p w14:paraId="2EF6888F">
      <w:pPr>
        <w:spacing w:line="360" w:lineRule="auto"/>
        <w:ind w:right="-7" w:firstLine="480"/>
        <w:rPr>
          <w:rFonts w:hint="eastAsia" w:ascii="宋体" w:hAnsi="宋体" w:cs="宋体"/>
          <w:szCs w:val="21"/>
        </w:rPr>
      </w:pPr>
      <w:r>
        <w:rPr>
          <w:rFonts w:hint="eastAsia" w:ascii="宋体" w:hAnsi="宋体" w:cs="宋体"/>
          <w:szCs w:val="21"/>
        </w:rPr>
        <w:t>13.7.7除专用合同条款另有约定外，工程质量等级分为合格和优良，应分别达到约定的标准。</w:t>
      </w:r>
    </w:p>
    <w:p w14:paraId="751E6BA6">
      <w:pPr>
        <w:spacing w:before="100" w:beforeAutospacing="1" w:after="100" w:afterAutospacing="1"/>
        <w:rPr>
          <w:rFonts w:hint="eastAsia" w:ascii="宋体" w:hAnsi="宋体" w:cs="宋体"/>
          <w:b/>
          <w:sz w:val="28"/>
          <w:szCs w:val="28"/>
        </w:rPr>
      </w:pPr>
      <w:r>
        <w:rPr>
          <w:rFonts w:hint="eastAsia" w:ascii="宋体" w:hAnsi="宋体" w:cs="宋体"/>
          <w:b/>
          <w:sz w:val="28"/>
          <w:szCs w:val="28"/>
        </w:rPr>
        <w:t>13.8 质量事故处理</w:t>
      </w:r>
    </w:p>
    <w:p w14:paraId="6DE645DD">
      <w:pPr>
        <w:spacing w:line="360" w:lineRule="auto"/>
        <w:ind w:right="-7" w:firstLine="480"/>
        <w:rPr>
          <w:rFonts w:hint="eastAsia" w:ascii="宋体" w:hAnsi="宋体" w:cs="宋体"/>
          <w:szCs w:val="21"/>
        </w:rPr>
      </w:pPr>
      <w:r>
        <w:rPr>
          <w:rFonts w:hint="eastAsia" w:ascii="宋体" w:hAnsi="宋体" w:cs="宋体"/>
          <w:szCs w:val="21"/>
        </w:rPr>
        <w:t>13.8.1发生质量事故时，承包人应及时向发包人和监理人报告。</w:t>
      </w:r>
    </w:p>
    <w:p w14:paraId="67AEA27B">
      <w:pPr>
        <w:spacing w:line="360" w:lineRule="auto"/>
        <w:ind w:right="-7" w:firstLine="480"/>
        <w:rPr>
          <w:rFonts w:hint="eastAsia" w:ascii="宋体" w:hAnsi="宋体" w:cs="宋体"/>
          <w:szCs w:val="21"/>
        </w:rPr>
      </w:pPr>
      <w:r>
        <w:rPr>
          <w:rFonts w:hint="eastAsia" w:ascii="宋体" w:hAnsi="宋体" w:cs="宋体"/>
          <w:szCs w:val="21"/>
        </w:rPr>
        <w:t>13.8.2质量事故调查处理由发包人按相关规定履行手续，承包人应配合。</w:t>
      </w:r>
    </w:p>
    <w:p w14:paraId="3502EF06">
      <w:pPr>
        <w:spacing w:line="360" w:lineRule="auto"/>
        <w:ind w:right="-7" w:firstLine="480"/>
        <w:rPr>
          <w:rFonts w:hint="eastAsia" w:ascii="宋体" w:hAnsi="宋体" w:cs="宋体"/>
          <w:szCs w:val="21"/>
        </w:rPr>
      </w:pPr>
      <w:r>
        <w:rPr>
          <w:rFonts w:hint="eastAsia" w:ascii="宋体" w:hAnsi="宋体" w:cs="宋体"/>
          <w:szCs w:val="21"/>
        </w:rPr>
        <w:t>13.8.3承包人应对质量缺陷进行备案。发包人委托监理人对质量缺陷备案情况进行监督检查并履行相关手续。</w:t>
      </w:r>
    </w:p>
    <w:p w14:paraId="24FEE4B0">
      <w:pPr>
        <w:spacing w:line="360" w:lineRule="auto"/>
        <w:ind w:right="-7" w:firstLine="480"/>
        <w:rPr>
          <w:rFonts w:hint="eastAsia" w:ascii="宋体" w:hAnsi="宋体" w:cs="宋体"/>
          <w:szCs w:val="21"/>
        </w:rPr>
      </w:pPr>
      <w:r>
        <w:rPr>
          <w:rFonts w:hint="eastAsia" w:ascii="宋体" w:hAnsi="宋体" w:cs="宋体"/>
          <w:szCs w:val="21"/>
        </w:rPr>
        <w:t>13.8.4除专用合同条款另有约定外，工程竣工验收时，发包人负责向竣工验收委员会汇报并提交历次质量缺陷处理的备案资料。</w:t>
      </w:r>
    </w:p>
    <w:p w14:paraId="0F9ABE1A">
      <w:pPr>
        <w:pStyle w:val="4"/>
        <w:rPr>
          <w:rFonts w:cs="宋体"/>
          <w:sz w:val="28"/>
          <w:szCs w:val="28"/>
        </w:rPr>
      </w:pPr>
      <w:bookmarkStart w:id="392" w:name="_Toc229408510"/>
      <w:r>
        <w:rPr>
          <w:rFonts w:cs="宋体"/>
          <w:sz w:val="28"/>
          <w:szCs w:val="28"/>
        </w:rPr>
        <w:t>14. 试验和检验</w:t>
      </w:r>
      <w:bookmarkEnd w:id="366"/>
      <w:bookmarkEnd w:id="367"/>
      <w:bookmarkEnd w:id="368"/>
      <w:bookmarkEnd w:id="369"/>
      <w:bookmarkEnd w:id="370"/>
      <w:bookmarkEnd w:id="371"/>
      <w:bookmarkEnd w:id="392"/>
    </w:p>
    <w:p w14:paraId="41F7820C">
      <w:pPr>
        <w:pStyle w:val="5"/>
        <w:rPr>
          <w:rFonts w:hint="eastAsia" w:ascii="宋体" w:hAnsi="宋体" w:cs="宋体"/>
          <w:sz w:val="28"/>
          <w:szCs w:val="28"/>
        </w:rPr>
      </w:pPr>
      <w:r>
        <w:rPr>
          <w:rFonts w:hint="eastAsia" w:ascii="宋体" w:hAnsi="宋体" w:cs="宋体"/>
          <w:sz w:val="28"/>
          <w:szCs w:val="28"/>
        </w:rPr>
        <w:t>14.1材料、工程设备和工程的试验和检验</w:t>
      </w:r>
    </w:p>
    <w:p w14:paraId="0F955648">
      <w:pPr>
        <w:spacing w:line="400" w:lineRule="exact"/>
        <w:ind w:firstLine="420" w:firstLineChars="200"/>
        <w:rPr>
          <w:rFonts w:hint="eastAsia" w:ascii="宋体" w:hAnsi="宋体" w:cs="宋体"/>
          <w:szCs w:val="21"/>
        </w:rPr>
      </w:pPr>
      <w:r>
        <w:rPr>
          <w:rFonts w:hint="eastAsia" w:ascii="宋体" w:hAnsi="宋体" w:cs="宋体"/>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BCA492B">
      <w:pPr>
        <w:spacing w:line="400" w:lineRule="exact"/>
        <w:ind w:firstLine="420" w:firstLineChars="200"/>
        <w:rPr>
          <w:rFonts w:hint="eastAsia" w:ascii="宋体" w:hAnsi="宋体" w:cs="宋体"/>
          <w:szCs w:val="21"/>
        </w:rPr>
      </w:pPr>
      <w:r>
        <w:rPr>
          <w:rFonts w:hint="eastAsia" w:ascii="宋体" w:hAnsi="宋体" w:cs="宋体"/>
          <w:szCs w:val="21"/>
        </w:rPr>
        <w:t>14.1.2 监理人未按合同约定派员参加试验和检验的，除监理人另有指示外，承包人可自行试验和检验，并应立即将试验和检验结果报送监理人，监理人应签字确认。</w:t>
      </w:r>
    </w:p>
    <w:p w14:paraId="1CD694AE">
      <w:pPr>
        <w:spacing w:line="400" w:lineRule="exact"/>
        <w:ind w:firstLine="420" w:firstLineChars="200"/>
        <w:rPr>
          <w:rFonts w:hint="eastAsia" w:ascii="宋体" w:hAnsi="宋体" w:cs="宋体"/>
          <w:szCs w:val="21"/>
        </w:rPr>
      </w:pPr>
      <w:r>
        <w:rPr>
          <w:rFonts w:hint="eastAsia" w:ascii="宋体" w:hAnsi="宋体" w:cs="宋体"/>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B9A8AA9">
      <w:pPr>
        <w:spacing w:line="400" w:lineRule="exact"/>
        <w:ind w:firstLine="420" w:firstLineChars="200"/>
        <w:rPr>
          <w:rFonts w:hint="eastAsia" w:ascii="宋体" w:hAnsi="宋体" w:cs="宋体"/>
          <w:szCs w:val="21"/>
        </w:rPr>
      </w:pPr>
      <w:r>
        <w:rPr>
          <w:rFonts w:hint="eastAsia" w:ascii="宋体" w:hAnsi="宋体" w:cs="宋体"/>
          <w:szCs w:val="21"/>
        </w:rPr>
        <w:t>14.1.4承包人应按相关规定和标准对水泥、钢材等原材料与中间产品质量进行检验，并报监理人复核。</w:t>
      </w:r>
    </w:p>
    <w:p w14:paraId="3D8AABD0">
      <w:pPr>
        <w:spacing w:line="400" w:lineRule="exact"/>
        <w:ind w:firstLine="420" w:firstLineChars="200"/>
        <w:rPr>
          <w:rFonts w:hint="eastAsia" w:ascii="宋体" w:hAnsi="宋体" w:cs="宋体"/>
          <w:szCs w:val="21"/>
        </w:rPr>
      </w:pPr>
      <w:r>
        <w:rPr>
          <w:rFonts w:hint="eastAsia" w:ascii="宋体" w:hAnsi="宋体" w:cs="宋体"/>
          <w:szCs w:val="21"/>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4F920C4C">
      <w:pPr>
        <w:spacing w:line="400" w:lineRule="exact"/>
        <w:ind w:firstLine="420" w:firstLineChars="200"/>
        <w:rPr>
          <w:rFonts w:hint="eastAsia" w:ascii="宋体" w:hAnsi="宋体" w:cs="宋体"/>
          <w:szCs w:val="21"/>
        </w:rPr>
      </w:pPr>
      <w:r>
        <w:rPr>
          <w:rFonts w:hint="eastAsia" w:ascii="宋体" w:hAnsi="宋体" w:cs="宋体"/>
          <w:szCs w:val="21"/>
        </w:rPr>
        <w:t>14.1.6对专用合同条款约定的试块、试件及有关材料，监理人实行见证取样。见证取样资料由承包人制备，记录应真实齐全，监理人、承包人等参与见证取样人员均应在相关文件上签字。</w:t>
      </w:r>
    </w:p>
    <w:p w14:paraId="2FFD5610">
      <w:pPr>
        <w:keepNext/>
        <w:keepLines/>
        <w:spacing w:line="400" w:lineRule="exact"/>
        <w:outlineLvl w:val="2"/>
        <w:rPr>
          <w:rFonts w:hint="eastAsia" w:ascii="宋体" w:hAnsi="宋体" w:cs="宋体"/>
          <w:szCs w:val="21"/>
        </w:rPr>
      </w:pPr>
      <w:bookmarkStart w:id="393" w:name="_Toc152045704"/>
      <w:bookmarkStart w:id="394" w:name="_Toc179632722"/>
      <w:bookmarkStart w:id="395" w:name="_Toc144974673"/>
      <w:bookmarkStart w:id="396" w:name="_Toc152042482"/>
      <w:r>
        <w:rPr>
          <w:rFonts w:hint="eastAsia" w:ascii="宋体" w:hAnsi="宋体" w:cs="宋体"/>
          <w:szCs w:val="21"/>
        </w:rPr>
        <w:t>14.2 现场材料试验</w:t>
      </w:r>
      <w:bookmarkEnd w:id="393"/>
      <w:bookmarkEnd w:id="394"/>
      <w:bookmarkEnd w:id="395"/>
      <w:bookmarkEnd w:id="396"/>
    </w:p>
    <w:p w14:paraId="4EF4F231">
      <w:pPr>
        <w:spacing w:line="400" w:lineRule="exact"/>
        <w:ind w:firstLine="420" w:firstLineChars="200"/>
        <w:rPr>
          <w:rFonts w:hint="eastAsia" w:ascii="宋体" w:hAnsi="宋体" w:cs="宋体"/>
          <w:szCs w:val="21"/>
        </w:rPr>
      </w:pPr>
      <w:r>
        <w:rPr>
          <w:rFonts w:hint="eastAsia" w:ascii="宋体" w:hAnsi="宋体" w:cs="宋体"/>
          <w:szCs w:val="21"/>
        </w:rPr>
        <w:t>14.2.1 承包人根据合同约定或监理人指示进行的现场材料试验，应由承包人提供试验场所、试验人员、试验设备器材以及其他必要的试验条件。</w:t>
      </w:r>
    </w:p>
    <w:p w14:paraId="01915FE6">
      <w:pPr>
        <w:spacing w:line="400" w:lineRule="exact"/>
        <w:ind w:firstLine="420" w:firstLineChars="200"/>
        <w:rPr>
          <w:rFonts w:hint="eastAsia" w:ascii="宋体" w:hAnsi="宋体" w:cs="宋体"/>
          <w:szCs w:val="21"/>
        </w:rPr>
      </w:pPr>
      <w:r>
        <w:rPr>
          <w:rFonts w:hint="eastAsia" w:ascii="宋体" w:hAnsi="宋体" w:cs="宋体"/>
          <w:szCs w:val="21"/>
        </w:rPr>
        <w:t>14.2.2 监理人在必要时可以使用承包人的试验场所、试验设备器材以及其他试验条件，进行以工程质量检查为目的的复核性材料试验，承包人应予以协助。</w:t>
      </w:r>
    </w:p>
    <w:p w14:paraId="248B198A">
      <w:pPr>
        <w:keepNext/>
        <w:keepLines/>
        <w:spacing w:line="400" w:lineRule="exact"/>
        <w:outlineLvl w:val="2"/>
        <w:rPr>
          <w:rFonts w:hint="eastAsia" w:ascii="宋体" w:hAnsi="宋体" w:cs="宋体"/>
          <w:szCs w:val="21"/>
        </w:rPr>
      </w:pPr>
      <w:bookmarkStart w:id="397" w:name="_Toc179632723"/>
      <w:bookmarkStart w:id="398" w:name="_Toc152045705"/>
      <w:bookmarkStart w:id="399" w:name="_Toc152042483"/>
      <w:bookmarkStart w:id="400" w:name="_Toc144974674"/>
      <w:r>
        <w:rPr>
          <w:rFonts w:hint="eastAsia" w:ascii="宋体" w:hAnsi="宋体" w:cs="宋体"/>
          <w:szCs w:val="21"/>
        </w:rPr>
        <w:t>14.3 现场工艺试验</w:t>
      </w:r>
      <w:bookmarkEnd w:id="397"/>
      <w:bookmarkEnd w:id="398"/>
      <w:bookmarkEnd w:id="399"/>
      <w:bookmarkEnd w:id="400"/>
    </w:p>
    <w:p w14:paraId="1586FF1F">
      <w:pPr>
        <w:spacing w:line="400" w:lineRule="exact"/>
        <w:ind w:firstLine="420" w:firstLineChars="200"/>
        <w:rPr>
          <w:rFonts w:hint="eastAsia" w:ascii="宋体" w:hAnsi="宋体" w:cs="宋体"/>
          <w:szCs w:val="21"/>
        </w:rPr>
      </w:pPr>
      <w:r>
        <w:rPr>
          <w:rFonts w:hint="eastAsia" w:ascii="宋体" w:hAnsi="宋体" w:cs="宋体"/>
          <w:szCs w:val="21"/>
        </w:rPr>
        <w:t>承包人应按合同约定或监理人指示进行现场工艺试验。对大型的现场工艺试验，监理人认为必要时，应由承包人根据监理人提出的工艺试验要求，编制工艺试验措施计划，报送监理人审批。</w:t>
      </w:r>
    </w:p>
    <w:p w14:paraId="3F948C2C">
      <w:pPr>
        <w:pStyle w:val="4"/>
        <w:rPr>
          <w:rFonts w:cs="宋体"/>
          <w:sz w:val="28"/>
          <w:szCs w:val="28"/>
        </w:rPr>
      </w:pPr>
      <w:bookmarkStart w:id="401" w:name="_Toc222033867"/>
      <w:bookmarkStart w:id="402" w:name="_Toc229305376"/>
      <w:bookmarkStart w:id="403" w:name="_Toc222029516"/>
      <w:bookmarkStart w:id="404" w:name="_Toc222032685"/>
      <w:bookmarkStart w:id="405" w:name="_Toc229408511"/>
      <w:bookmarkStart w:id="406" w:name="_Toc222031018"/>
      <w:bookmarkStart w:id="407" w:name="_Toc221950924"/>
      <w:r>
        <w:rPr>
          <w:rFonts w:cs="宋体"/>
          <w:sz w:val="28"/>
          <w:szCs w:val="28"/>
        </w:rPr>
        <w:t>15. 变更</w:t>
      </w:r>
      <w:bookmarkEnd w:id="401"/>
      <w:bookmarkEnd w:id="402"/>
      <w:bookmarkEnd w:id="403"/>
      <w:bookmarkEnd w:id="404"/>
      <w:bookmarkEnd w:id="405"/>
      <w:bookmarkEnd w:id="406"/>
      <w:bookmarkEnd w:id="407"/>
    </w:p>
    <w:p w14:paraId="0BA39697">
      <w:pPr>
        <w:pStyle w:val="5"/>
        <w:rPr>
          <w:rFonts w:hint="eastAsia" w:ascii="宋体" w:hAnsi="宋体" w:cs="宋体"/>
          <w:kern w:val="0"/>
          <w:sz w:val="28"/>
          <w:szCs w:val="28"/>
        </w:rPr>
      </w:pPr>
      <w:bookmarkStart w:id="408" w:name="_Toc221950925"/>
      <w:r>
        <w:rPr>
          <w:rFonts w:hint="eastAsia" w:ascii="宋体" w:hAnsi="宋体" w:cs="宋体"/>
          <w:sz w:val="28"/>
          <w:szCs w:val="28"/>
        </w:rPr>
        <w:t>15.1 变更的范围和内容</w:t>
      </w:r>
      <w:bookmarkEnd w:id="408"/>
    </w:p>
    <w:p w14:paraId="7C3A282B">
      <w:pPr>
        <w:spacing w:line="400" w:lineRule="exact"/>
        <w:ind w:firstLine="420" w:firstLineChars="200"/>
        <w:rPr>
          <w:rFonts w:hint="eastAsia" w:ascii="宋体" w:hAnsi="宋体" w:cs="宋体"/>
          <w:szCs w:val="21"/>
        </w:rPr>
      </w:pPr>
      <w:r>
        <w:rPr>
          <w:rFonts w:hint="eastAsia" w:ascii="宋体" w:hAnsi="宋体" w:cs="宋体"/>
          <w:szCs w:val="21"/>
        </w:rPr>
        <w:t>在履行合同中发生以下情形之一，应按照本条规定进行变更。</w:t>
      </w:r>
    </w:p>
    <w:p w14:paraId="334DD268">
      <w:pPr>
        <w:spacing w:line="400" w:lineRule="exact"/>
        <w:ind w:firstLine="359" w:firstLineChars="171"/>
        <w:rPr>
          <w:rFonts w:hint="eastAsia" w:ascii="宋体" w:hAnsi="宋体" w:cs="宋体"/>
          <w:szCs w:val="21"/>
        </w:rPr>
      </w:pPr>
      <w:r>
        <w:rPr>
          <w:rFonts w:hint="eastAsia" w:ascii="宋体" w:hAnsi="宋体" w:cs="宋体"/>
          <w:szCs w:val="21"/>
        </w:rPr>
        <w:t>（1）取消合同中任何一项工作，但被取消的工作不能转由发包人或其它人实施；</w:t>
      </w:r>
    </w:p>
    <w:p w14:paraId="5BFABCB3">
      <w:pPr>
        <w:spacing w:line="400" w:lineRule="exact"/>
        <w:ind w:firstLine="359" w:firstLineChars="171"/>
        <w:rPr>
          <w:rFonts w:hint="eastAsia" w:ascii="宋体" w:hAnsi="宋体" w:cs="宋体"/>
          <w:szCs w:val="21"/>
        </w:rPr>
      </w:pPr>
      <w:r>
        <w:rPr>
          <w:rFonts w:hint="eastAsia" w:ascii="宋体" w:hAnsi="宋体" w:cs="宋体"/>
          <w:szCs w:val="21"/>
        </w:rPr>
        <w:t>（2）改变合同中任何一项工作的质量或其它特性；</w:t>
      </w:r>
    </w:p>
    <w:p w14:paraId="22D1E746">
      <w:pPr>
        <w:spacing w:line="400" w:lineRule="exact"/>
        <w:ind w:firstLine="359" w:firstLineChars="171"/>
        <w:rPr>
          <w:rFonts w:hint="eastAsia" w:ascii="宋体" w:hAnsi="宋体" w:cs="宋体"/>
          <w:szCs w:val="21"/>
        </w:rPr>
      </w:pPr>
      <w:r>
        <w:rPr>
          <w:rFonts w:hint="eastAsia" w:ascii="宋体" w:hAnsi="宋体" w:cs="宋体"/>
          <w:szCs w:val="21"/>
        </w:rPr>
        <w:t>（3）改变合同工程的基线、标高、位置或尺寸；</w:t>
      </w:r>
    </w:p>
    <w:p w14:paraId="1C8A50DD">
      <w:pPr>
        <w:spacing w:line="400" w:lineRule="exact"/>
        <w:ind w:firstLine="359" w:firstLineChars="171"/>
        <w:rPr>
          <w:rFonts w:hint="eastAsia" w:ascii="宋体" w:hAnsi="宋体" w:cs="宋体"/>
          <w:szCs w:val="21"/>
        </w:rPr>
      </w:pPr>
      <w:r>
        <w:rPr>
          <w:rFonts w:hint="eastAsia" w:ascii="宋体" w:hAnsi="宋体" w:cs="宋体"/>
          <w:szCs w:val="21"/>
        </w:rPr>
        <w:t>（4）改变合同中任何一项工作的施工时间或改变已批准的施工工艺或顺序；</w:t>
      </w:r>
    </w:p>
    <w:p w14:paraId="00F76FC6">
      <w:pPr>
        <w:spacing w:line="400" w:lineRule="exact"/>
        <w:ind w:firstLine="359" w:firstLineChars="171"/>
        <w:rPr>
          <w:rFonts w:hint="eastAsia" w:ascii="宋体" w:hAnsi="宋体" w:cs="宋体"/>
          <w:szCs w:val="21"/>
        </w:rPr>
      </w:pPr>
      <w:r>
        <w:rPr>
          <w:rFonts w:hint="eastAsia" w:ascii="宋体" w:hAnsi="宋体" w:cs="宋体"/>
          <w:szCs w:val="21"/>
        </w:rPr>
        <w:t>（5）为完成工程需要追加的额外工作。</w:t>
      </w:r>
    </w:p>
    <w:p w14:paraId="46FBA62A">
      <w:pPr>
        <w:spacing w:line="400" w:lineRule="exact"/>
        <w:ind w:firstLine="359" w:firstLineChars="171"/>
        <w:rPr>
          <w:rFonts w:hint="eastAsia" w:ascii="宋体" w:hAnsi="宋体" w:cs="宋体"/>
          <w:szCs w:val="21"/>
        </w:rPr>
      </w:pPr>
      <w:r>
        <w:rPr>
          <w:rFonts w:hint="eastAsia" w:ascii="宋体" w:hAnsi="宋体" w:cs="宋体"/>
          <w:szCs w:val="21"/>
        </w:rPr>
        <w:t>（6）增加或减少专用合同条款中约定的关键项目工程量超过其工程总量的一定数量的百分比。</w:t>
      </w:r>
    </w:p>
    <w:p w14:paraId="384E8210">
      <w:pPr>
        <w:spacing w:line="400" w:lineRule="exact"/>
        <w:ind w:firstLine="359" w:firstLineChars="171"/>
        <w:rPr>
          <w:rFonts w:hint="eastAsia" w:ascii="宋体" w:hAnsi="宋体" w:cs="宋体"/>
          <w:szCs w:val="21"/>
        </w:rPr>
      </w:pPr>
      <w:r>
        <w:rPr>
          <w:rFonts w:hint="eastAsia" w:ascii="宋体" w:hAnsi="宋体" w:cs="宋体"/>
          <w:szCs w:val="21"/>
        </w:rPr>
        <w:t>上述第（1）～（6）目的变更内容引起工程施工组织和进度计划发生实质性变动和影响其原定的价格时，才予调整该项目的单价。第（6）目情形下单价调整方式在专用合同条款中约定。</w:t>
      </w:r>
    </w:p>
    <w:p w14:paraId="1B018BB3">
      <w:pPr>
        <w:keepNext/>
        <w:keepLines/>
        <w:spacing w:line="400" w:lineRule="exact"/>
        <w:outlineLvl w:val="2"/>
        <w:rPr>
          <w:rFonts w:hint="eastAsia" w:ascii="宋体" w:hAnsi="宋体" w:cs="宋体"/>
          <w:szCs w:val="21"/>
        </w:rPr>
      </w:pPr>
      <w:bookmarkStart w:id="409" w:name="_Toc152042486"/>
      <w:bookmarkStart w:id="410" w:name="_Toc144974677"/>
      <w:bookmarkStart w:id="411" w:name="_Toc152045708"/>
      <w:bookmarkStart w:id="412" w:name="_Toc179632726"/>
      <w:bookmarkStart w:id="413" w:name="_Toc221950942"/>
      <w:r>
        <w:rPr>
          <w:rFonts w:hint="eastAsia" w:ascii="宋体" w:hAnsi="宋体" w:cs="宋体"/>
          <w:szCs w:val="21"/>
        </w:rPr>
        <w:t>15.2 变更权</w:t>
      </w:r>
      <w:bookmarkEnd w:id="409"/>
      <w:bookmarkEnd w:id="410"/>
      <w:bookmarkEnd w:id="411"/>
      <w:bookmarkEnd w:id="412"/>
    </w:p>
    <w:p w14:paraId="1B98D665">
      <w:pPr>
        <w:spacing w:line="400" w:lineRule="exact"/>
        <w:ind w:firstLine="420" w:firstLineChars="200"/>
        <w:rPr>
          <w:rFonts w:hint="eastAsia" w:ascii="宋体" w:hAnsi="宋体" w:cs="宋体"/>
          <w:szCs w:val="21"/>
        </w:rPr>
      </w:pPr>
      <w:r>
        <w:rPr>
          <w:rFonts w:hint="eastAsia" w:ascii="宋体" w:hAnsi="宋体" w:cs="宋体"/>
          <w:szCs w:val="21"/>
        </w:rPr>
        <w:t>在履行合同过程中，经发包人同意，监理人可按第15.3款约定的变更程序向承包人作出变更指示，承包人应遵照执行。没有监理人的变更指示，承包人不得擅自变更。</w:t>
      </w:r>
    </w:p>
    <w:p w14:paraId="34B1BB0A">
      <w:pPr>
        <w:keepNext/>
        <w:keepLines/>
        <w:spacing w:line="400" w:lineRule="exact"/>
        <w:outlineLvl w:val="2"/>
        <w:rPr>
          <w:rFonts w:hint="eastAsia" w:ascii="宋体" w:hAnsi="宋体" w:cs="宋体"/>
          <w:szCs w:val="21"/>
        </w:rPr>
      </w:pPr>
      <w:bookmarkStart w:id="414" w:name="_Toc179632727"/>
      <w:bookmarkStart w:id="415" w:name="_Toc144974678"/>
      <w:bookmarkStart w:id="416" w:name="_Toc152045709"/>
      <w:bookmarkStart w:id="417" w:name="_Toc152042487"/>
      <w:r>
        <w:rPr>
          <w:rFonts w:hint="eastAsia" w:ascii="宋体" w:hAnsi="宋体" w:cs="宋体"/>
          <w:szCs w:val="21"/>
        </w:rPr>
        <w:t>15.3 变更程序</w:t>
      </w:r>
      <w:bookmarkEnd w:id="414"/>
      <w:bookmarkEnd w:id="415"/>
      <w:bookmarkEnd w:id="416"/>
      <w:bookmarkEnd w:id="417"/>
    </w:p>
    <w:p w14:paraId="4379B654">
      <w:pPr>
        <w:spacing w:line="400" w:lineRule="exact"/>
        <w:ind w:firstLine="420" w:firstLineChars="200"/>
        <w:rPr>
          <w:rFonts w:hint="eastAsia" w:ascii="宋体" w:hAnsi="宋体" w:cs="宋体"/>
          <w:szCs w:val="21"/>
        </w:rPr>
      </w:pPr>
      <w:r>
        <w:rPr>
          <w:rFonts w:hint="eastAsia" w:ascii="宋体" w:hAnsi="宋体" w:cs="宋体"/>
          <w:szCs w:val="21"/>
        </w:rPr>
        <w:t>15.3.1 变更的提出</w:t>
      </w:r>
    </w:p>
    <w:p w14:paraId="068DE6BB">
      <w:pPr>
        <w:spacing w:line="400" w:lineRule="exact"/>
        <w:ind w:firstLine="420" w:firstLineChars="200"/>
        <w:rPr>
          <w:rFonts w:hint="eastAsia" w:ascii="宋体" w:hAnsi="宋体" w:cs="宋体"/>
          <w:szCs w:val="21"/>
        </w:rPr>
      </w:pPr>
      <w:r>
        <w:rPr>
          <w:rFonts w:hint="eastAsia" w:ascii="宋体" w:hAnsi="宋体" w:cs="宋体"/>
          <w:szCs w:val="21"/>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4E4B589F">
      <w:pPr>
        <w:spacing w:line="400" w:lineRule="exact"/>
        <w:ind w:firstLine="420" w:firstLineChars="200"/>
        <w:rPr>
          <w:rFonts w:hint="eastAsia" w:ascii="宋体" w:hAnsi="宋体" w:cs="宋体"/>
          <w:szCs w:val="21"/>
        </w:rPr>
      </w:pPr>
      <w:r>
        <w:rPr>
          <w:rFonts w:hint="eastAsia" w:ascii="宋体" w:hAnsi="宋体" w:cs="宋体"/>
          <w:szCs w:val="21"/>
        </w:rPr>
        <w:t>（2）在合同履行过程中，发生第15.1款约定情形的，监理人应按照第15.3.3项约定向承包人发出变更指示。</w:t>
      </w:r>
    </w:p>
    <w:p w14:paraId="5CA6529A">
      <w:pPr>
        <w:spacing w:line="400" w:lineRule="exact"/>
        <w:ind w:firstLine="420" w:firstLineChars="200"/>
        <w:rPr>
          <w:rFonts w:hint="eastAsia" w:ascii="宋体" w:hAnsi="宋体" w:cs="宋体"/>
          <w:szCs w:val="21"/>
        </w:rPr>
      </w:pPr>
      <w:r>
        <w:rPr>
          <w:rFonts w:hint="eastAsia" w:ascii="宋体" w:hAnsi="宋体" w:cs="宋体"/>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A3046B1">
      <w:pPr>
        <w:spacing w:line="400" w:lineRule="exact"/>
        <w:ind w:firstLine="420" w:firstLineChars="200"/>
        <w:rPr>
          <w:rFonts w:hint="eastAsia" w:ascii="宋体" w:hAnsi="宋体" w:cs="宋体"/>
          <w:szCs w:val="21"/>
        </w:rPr>
      </w:pPr>
      <w:r>
        <w:rPr>
          <w:rFonts w:hint="eastAsia" w:ascii="宋体" w:hAnsi="宋体" w:cs="宋体"/>
          <w:szCs w:val="21"/>
        </w:rPr>
        <w:t>（4）若承包人收到监理人的变更意向书后认为难以实施此项变更，应立即通知监理人，说明原因并附详细依据。监理人与承包人和发包人协商后确定撤销、改变或不改变原变更意向书。</w:t>
      </w:r>
    </w:p>
    <w:p w14:paraId="76FEC7F6">
      <w:pPr>
        <w:spacing w:line="400" w:lineRule="exact"/>
        <w:ind w:firstLine="420" w:firstLineChars="200"/>
        <w:rPr>
          <w:rFonts w:hint="eastAsia" w:ascii="宋体" w:hAnsi="宋体" w:cs="宋体"/>
          <w:szCs w:val="21"/>
        </w:rPr>
      </w:pPr>
      <w:r>
        <w:rPr>
          <w:rFonts w:hint="eastAsia" w:ascii="宋体" w:hAnsi="宋体" w:cs="宋体"/>
          <w:szCs w:val="21"/>
        </w:rPr>
        <w:t>15.3.2 变更估价</w:t>
      </w:r>
    </w:p>
    <w:p w14:paraId="1B2981E3">
      <w:pPr>
        <w:spacing w:line="400" w:lineRule="exact"/>
        <w:ind w:firstLine="420" w:firstLineChars="200"/>
        <w:rPr>
          <w:rFonts w:hint="eastAsia" w:ascii="宋体" w:hAnsi="宋体" w:cs="宋体"/>
          <w:szCs w:val="21"/>
        </w:rPr>
      </w:pPr>
      <w:r>
        <w:rPr>
          <w:rFonts w:hint="eastAsia" w:ascii="宋体" w:hAnsi="宋体" w:cs="宋体"/>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C6D2643">
      <w:pPr>
        <w:spacing w:line="400" w:lineRule="exact"/>
        <w:ind w:firstLine="420" w:firstLineChars="200"/>
        <w:rPr>
          <w:rFonts w:hint="eastAsia" w:ascii="宋体" w:hAnsi="宋体" w:cs="宋体"/>
          <w:szCs w:val="21"/>
        </w:rPr>
      </w:pPr>
      <w:r>
        <w:rPr>
          <w:rFonts w:hint="eastAsia" w:ascii="宋体" w:hAnsi="宋体" w:cs="宋体"/>
          <w:szCs w:val="21"/>
        </w:rPr>
        <w:t>（2）变更工作影响工期的，承包人应提出调整工期的具体细节。监理人认为有必要时，可要求承包人提交要求提前或延长工期的施工进度计划及相应施工措施等详细资料。</w:t>
      </w:r>
    </w:p>
    <w:p w14:paraId="5D5DD295">
      <w:pPr>
        <w:spacing w:line="400" w:lineRule="exact"/>
        <w:ind w:firstLine="420" w:firstLineChars="200"/>
        <w:rPr>
          <w:rFonts w:hint="eastAsia" w:ascii="宋体" w:hAnsi="宋体" w:cs="宋体"/>
          <w:szCs w:val="21"/>
        </w:rPr>
      </w:pPr>
      <w:r>
        <w:rPr>
          <w:rFonts w:hint="eastAsia" w:ascii="宋体" w:hAnsi="宋体" w:cs="宋体"/>
          <w:szCs w:val="21"/>
        </w:rPr>
        <w:t>（3）除专用合同条款对期限另有约定外，监理人收到承包人变更报价书后的14天内，根据第15.4款约定的估价原则，按照第3.5款商定或确定变更价格。</w:t>
      </w:r>
    </w:p>
    <w:p w14:paraId="647B2D36">
      <w:pPr>
        <w:spacing w:line="400" w:lineRule="exact"/>
        <w:ind w:firstLine="420" w:firstLineChars="200"/>
        <w:rPr>
          <w:rFonts w:hint="eastAsia" w:ascii="宋体" w:hAnsi="宋体" w:cs="宋体"/>
          <w:szCs w:val="21"/>
        </w:rPr>
      </w:pPr>
      <w:r>
        <w:rPr>
          <w:rFonts w:hint="eastAsia" w:ascii="宋体" w:hAnsi="宋体" w:cs="宋体"/>
          <w:szCs w:val="21"/>
        </w:rPr>
        <w:t>15.3.3 变更指示</w:t>
      </w:r>
    </w:p>
    <w:p w14:paraId="3679CFA8">
      <w:pPr>
        <w:spacing w:line="400" w:lineRule="exact"/>
        <w:ind w:firstLine="420" w:firstLineChars="200"/>
        <w:rPr>
          <w:rFonts w:hint="eastAsia" w:ascii="宋体" w:hAnsi="宋体" w:cs="宋体"/>
          <w:szCs w:val="21"/>
        </w:rPr>
      </w:pPr>
      <w:r>
        <w:rPr>
          <w:rFonts w:hint="eastAsia" w:ascii="宋体" w:hAnsi="宋体" w:cs="宋体"/>
          <w:szCs w:val="21"/>
        </w:rPr>
        <w:t>（1）变更指示只能由监理人发出。</w:t>
      </w:r>
    </w:p>
    <w:p w14:paraId="05DD3E2A">
      <w:pPr>
        <w:spacing w:line="400" w:lineRule="exact"/>
        <w:ind w:firstLine="420" w:firstLineChars="200"/>
        <w:rPr>
          <w:rFonts w:hint="eastAsia" w:ascii="宋体" w:hAnsi="宋体" w:cs="宋体"/>
          <w:szCs w:val="21"/>
        </w:rPr>
      </w:pPr>
      <w:r>
        <w:rPr>
          <w:rFonts w:hint="eastAsia" w:ascii="宋体" w:hAnsi="宋体" w:cs="宋体"/>
          <w:szCs w:val="21"/>
        </w:rPr>
        <w:t>（2）变更指示应说明变更的目的、范围、变更内容以及变更的工程量及其进度和技术要求，并附有关图纸和文件。承包人收到变更指示后，应按变更指示进行变更工作。</w:t>
      </w:r>
    </w:p>
    <w:p w14:paraId="50FC30D9">
      <w:pPr>
        <w:keepNext/>
        <w:keepLines/>
        <w:spacing w:line="400" w:lineRule="exact"/>
        <w:outlineLvl w:val="2"/>
        <w:rPr>
          <w:rFonts w:hint="eastAsia" w:ascii="宋体" w:hAnsi="宋体" w:cs="宋体"/>
          <w:szCs w:val="21"/>
        </w:rPr>
      </w:pPr>
      <w:bookmarkStart w:id="418" w:name="_Toc152042488"/>
      <w:bookmarkStart w:id="419" w:name="_Toc152045710"/>
      <w:bookmarkStart w:id="420" w:name="_Toc179632728"/>
      <w:bookmarkStart w:id="421" w:name="_Toc144974679"/>
      <w:r>
        <w:rPr>
          <w:rFonts w:hint="eastAsia" w:ascii="宋体" w:hAnsi="宋体" w:cs="宋体"/>
          <w:szCs w:val="21"/>
        </w:rPr>
        <w:t>15.4 变更的估价原则</w:t>
      </w:r>
      <w:bookmarkEnd w:id="418"/>
      <w:bookmarkEnd w:id="419"/>
      <w:bookmarkEnd w:id="420"/>
      <w:bookmarkEnd w:id="421"/>
    </w:p>
    <w:p w14:paraId="04E41F12">
      <w:pPr>
        <w:spacing w:line="400" w:lineRule="exact"/>
        <w:ind w:firstLine="420" w:firstLineChars="200"/>
        <w:rPr>
          <w:rFonts w:hint="eastAsia" w:ascii="宋体" w:hAnsi="宋体" w:cs="宋体"/>
          <w:szCs w:val="21"/>
        </w:rPr>
      </w:pPr>
      <w:r>
        <w:rPr>
          <w:rFonts w:hint="eastAsia" w:ascii="宋体" w:hAnsi="宋体" w:cs="宋体"/>
          <w:szCs w:val="21"/>
        </w:rPr>
        <w:t>除专用合同条款另有约定外，因变更引起的价格调整按照本款约定处理。</w:t>
      </w:r>
    </w:p>
    <w:p w14:paraId="05078659">
      <w:pPr>
        <w:spacing w:line="400" w:lineRule="exact"/>
        <w:ind w:firstLine="420" w:firstLineChars="200"/>
        <w:rPr>
          <w:rFonts w:hint="eastAsia" w:ascii="宋体" w:hAnsi="宋体" w:cs="宋体"/>
          <w:szCs w:val="21"/>
        </w:rPr>
      </w:pPr>
      <w:r>
        <w:rPr>
          <w:rFonts w:hint="eastAsia" w:ascii="宋体" w:hAnsi="宋体" w:cs="宋体"/>
          <w:szCs w:val="21"/>
        </w:rPr>
        <w:t>15.4.1 已标价工程量清单中有适用于变更工作的子目的，采用该子目的单价。</w:t>
      </w:r>
    </w:p>
    <w:p w14:paraId="380CCA93">
      <w:pPr>
        <w:spacing w:line="400" w:lineRule="exact"/>
        <w:ind w:firstLine="420" w:firstLineChars="200"/>
        <w:rPr>
          <w:rFonts w:hint="eastAsia" w:ascii="宋体" w:hAnsi="宋体" w:cs="宋体"/>
          <w:szCs w:val="21"/>
        </w:rPr>
      </w:pPr>
      <w:r>
        <w:rPr>
          <w:rFonts w:hint="eastAsia" w:ascii="宋体" w:hAnsi="宋体" w:cs="宋体"/>
          <w:szCs w:val="21"/>
        </w:rPr>
        <w:t>15.4.2 已标价工程量清单中无适用于变更工作的子目，但有类似子目的，可在合理范围内参照类似子目的单价，由监理人按第3.5款商定或确定变更工作的单价。</w:t>
      </w:r>
    </w:p>
    <w:p w14:paraId="21762E5A">
      <w:pPr>
        <w:spacing w:line="400" w:lineRule="exact"/>
        <w:ind w:firstLine="420" w:firstLineChars="200"/>
        <w:rPr>
          <w:rFonts w:hint="eastAsia" w:ascii="宋体" w:hAnsi="宋体" w:cs="宋体"/>
          <w:szCs w:val="21"/>
        </w:rPr>
      </w:pPr>
      <w:r>
        <w:rPr>
          <w:rFonts w:hint="eastAsia" w:ascii="宋体" w:hAnsi="宋体" w:cs="宋体"/>
          <w:szCs w:val="21"/>
        </w:rPr>
        <w:t>15.4.3 已标价工程量清单中无适用或类似子目的单价，可按照成本加利润的原则，由监理人按第3.5款商定或确定变更工作的单价。</w:t>
      </w:r>
    </w:p>
    <w:p w14:paraId="3195E6BD">
      <w:pPr>
        <w:keepNext/>
        <w:keepLines/>
        <w:spacing w:line="400" w:lineRule="exact"/>
        <w:outlineLvl w:val="2"/>
        <w:rPr>
          <w:rFonts w:hint="eastAsia" w:ascii="宋体" w:hAnsi="宋体" w:cs="宋体"/>
          <w:szCs w:val="21"/>
        </w:rPr>
      </w:pPr>
      <w:bookmarkStart w:id="422" w:name="_Toc152045711"/>
      <w:bookmarkStart w:id="423" w:name="_Toc179632729"/>
      <w:bookmarkStart w:id="424" w:name="_Toc144974680"/>
      <w:bookmarkStart w:id="425" w:name="_Toc152042489"/>
      <w:r>
        <w:rPr>
          <w:rFonts w:hint="eastAsia" w:ascii="宋体" w:hAnsi="宋体" w:cs="宋体"/>
          <w:szCs w:val="21"/>
        </w:rPr>
        <w:t>15.5 承包人的合理化建议</w:t>
      </w:r>
      <w:bookmarkEnd w:id="422"/>
      <w:bookmarkEnd w:id="423"/>
      <w:bookmarkEnd w:id="424"/>
      <w:bookmarkEnd w:id="425"/>
    </w:p>
    <w:p w14:paraId="7484CCA0">
      <w:pPr>
        <w:spacing w:line="400" w:lineRule="exact"/>
        <w:ind w:firstLine="420" w:firstLineChars="200"/>
        <w:rPr>
          <w:rFonts w:hint="eastAsia" w:ascii="宋体" w:hAnsi="宋体" w:cs="宋体"/>
          <w:szCs w:val="21"/>
        </w:rPr>
      </w:pPr>
      <w:r>
        <w:rPr>
          <w:rFonts w:hint="eastAsia" w:ascii="宋体" w:hAnsi="宋体" w:cs="宋体"/>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56C2F127">
      <w:pPr>
        <w:spacing w:line="400" w:lineRule="exact"/>
        <w:ind w:firstLine="420" w:firstLineChars="200"/>
        <w:rPr>
          <w:rFonts w:hint="eastAsia" w:ascii="宋体" w:hAnsi="宋体" w:cs="宋体"/>
          <w:szCs w:val="21"/>
        </w:rPr>
      </w:pPr>
      <w:r>
        <w:rPr>
          <w:rFonts w:hint="eastAsia" w:ascii="宋体" w:hAnsi="宋体" w:cs="宋体"/>
          <w:szCs w:val="21"/>
        </w:rPr>
        <w:t>15.5.2 承包人提出的合理化建议降低了合同价格、缩短了工期或者提高了工程经济效益的，发包人可按国家有关规定在专用合同条款中约定给予奖励。</w:t>
      </w:r>
    </w:p>
    <w:p w14:paraId="25AEA231">
      <w:pPr>
        <w:keepNext/>
        <w:keepLines/>
        <w:spacing w:line="400" w:lineRule="exact"/>
        <w:outlineLvl w:val="2"/>
        <w:rPr>
          <w:rFonts w:hint="eastAsia" w:ascii="宋体" w:hAnsi="宋体" w:cs="宋体"/>
          <w:szCs w:val="21"/>
        </w:rPr>
      </w:pPr>
      <w:bookmarkStart w:id="426" w:name="_Toc152042490"/>
      <w:bookmarkStart w:id="427" w:name="_Toc144974681"/>
      <w:bookmarkStart w:id="428" w:name="_Toc152045712"/>
      <w:bookmarkStart w:id="429" w:name="_Toc179632730"/>
      <w:r>
        <w:rPr>
          <w:rFonts w:hint="eastAsia" w:ascii="宋体" w:hAnsi="宋体" w:cs="宋体"/>
          <w:szCs w:val="21"/>
        </w:rPr>
        <w:t>15.6 暂列金额</w:t>
      </w:r>
      <w:bookmarkEnd w:id="426"/>
      <w:bookmarkEnd w:id="427"/>
      <w:bookmarkEnd w:id="428"/>
      <w:bookmarkEnd w:id="429"/>
    </w:p>
    <w:p w14:paraId="43287234">
      <w:pPr>
        <w:spacing w:line="400" w:lineRule="exact"/>
        <w:ind w:firstLine="420" w:firstLineChars="200"/>
        <w:rPr>
          <w:rFonts w:hint="eastAsia" w:ascii="宋体" w:hAnsi="宋体" w:cs="宋体"/>
          <w:szCs w:val="21"/>
        </w:rPr>
      </w:pPr>
      <w:r>
        <w:rPr>
          <w:rFonts w:hint="eastAsia" w:ascii="宋体" w:hAnsi="宋体" w:cs="宋体"/>
          <w:szCs w:val="21"/>
        </w:rPr>
        <w:t>暂列金额只能按照监理人的指示使用，并对合同价格进行相应调整。</w:t>
      </w:r>
    </w:p>
    <w:p w14:paraId="26B9867B">
      <w:pPr>
        <w:keepNext/>
        <w:keepLines/>
        <w:spacing w:line="400" w:lineRule="exact"/>
        <w:outlineLvl w:val="2"/>
        <w:rPr>
          <w:rFonts w:hint="eastAsia" w:ascii="宋体" w:hAnsi="宋体" w:cs="宋体"/>
          <w:szCs w:val="21"/>
        </w:rPr>
      </w:pPr>
      <w:bookmarkStart w:id="430" w:name="_Toc152045713"/>
      <w:bookmarkStart w:id="431" w:name="_Toc144974682"/>
      <w:bookmarkStart w:id="432" w:name="_Toc179632731"/>
      <w:bookmarkStart w:id="433" w:name="_Toc152042491"/>
      <w:r>
        <w:rPr>
          <w:rFonts w:hint="eastAsia" w:ascii="宋体" w:hAnsi="宋体" w:cs="宋体"/>
          <w:szCs w:val="21"/>
        </w:rPr>
        <w:t>15.7 计日工</w:t>
      </w:r>
      <w:bookmarkEnd w:id="430"/>
      <w:bookmarkEnd w:id="431"/>
      <w:bookmarkEnd w:id="432"/>
      <w:bookmarkEnd w:id="433"/>
    </w:p>
    <w:p w14:paraId="3A213B62">
      <w:pPr>
        <w:spacing w:line="400" w:lineRule="exact"/>
        <w:ind w:firstLine="420" w:firstLineChars="200"/>
        <w:rPr>
          <w:rFonts w:hint="eastAsia" w:ascii="宋体" w:hAnsi="宋体" w:cs="宋体"/>
          <w:szCs w:val="21"/>
          <w:shd w:val="pct10" w:color="auto" w:fill="FFFFFF"/>
        </w:rPr>
      </w:pPr>
      <w:r>
        <w:rPr>
          <w:rFonts w:hint="eastAsia" w:ascii="宋体" w:hAnsi="宋体" w:cs="宋体"/>
          <w:szCs w:val="21"/>
        </w:rPr>
        <w:t>15.7.1 发包人认为有必要时，由监理人通知承包人以计日工方式实施变更的零星工作。其价款按列入已标价工程量清单中的计日工计价子目及其单价进行计算。</w:t>
      </w:r>
    </w:p>
    <w:p w14:paraId="1BC16B39">
      <w:pPr>
        <w:spacing w:line="400" w:lineRule="exact"/>
        <w:ind w:firstLine="420" w:firstLineChars="200"/>
        <w:rPr>
          <w:rFonts w:hint="eastAsia" w:ascii="宋体" w:hAnsi="宋体" w:cs="宋体"/>
          <w:szCs w:val="21"/>
        </w:rPr>
      </w:pPr>
      <w:r>
        <w:rPr>
          <w:rFonts w:hint="eastAsia" w:ascii="宋体" w:hAnsi="宋体" w:cs="宋体"/>
          <w:szCs w:val="21"/>
        </w:rPr>
        <w:t>15.7.2 采用计日工计价的任何一项变更工作，应从暂列金额中支付，承包人应在该项变更的实施过程中，每天提交以下报表和有关凭证报送监理人审批：</w:t>
      </w:r>
    </w:p>
    <w:p w14:paraId="5F12B3EE">
      <w:pPr>
        <w:spacing w:line="400" w:lineRule="exact"/>
        <w:ind w:firstLine="718" w:firstLineChars="342"/>
        <w:rPr>
          <w:rFonts w:hint="eastAsia" w:ascii="宋体" w:hAnsi="宋体" w:cs="宋体"/>
          <w:szCs w:val="21"/>
        </w:rPr>
      </w:pPr>
      <w:r>
        <w:rPr>
          <w:rFonts w:hint="eastAsia" w:ascii="宋体" w:hAnsi="宋体" w:cs="宋体"/>
          <w:szCs w:val="21"/>
        </w:rPr>
        <w:t>（1）工作名称、内容和数量；</w:t>
      </w:r>
    </w:p>
    <w:p w14:paraId="1F479AC7">
      <w:pPr>
        <w:spacing w:line="400" w:lineRule="exact"/>
        <w:ind w:firstLine="718" w:firstLineChars="342"/>
        <w:rPr>
          <w:rFonts w:hint="eastAsia" w:ascii="宋体" w:hAnsi="宋体" w:cs="宋体"/>
          <w:szCs w:val="21"/>
        </w:rPr>
      </w:pPr>
      <w:r>
        <w:rPr>
          <w:rFonts w:hint="eastAsia" w:ascii="宋体" w:hAnsi="宋体" w:cs="宋体"/>
          <w:szCs w:val="21"/>
        </w:rPr>
        <w:t>（2）投入该工作所有人员的姓名、工种、级别和耗用工时；</w:t>
      </w:r>
    </w:p>
    <w:p w14:paraId="5A4AEFAD">
      <w:pPr>
        <w:spacing w:line="400" w:lineRule="exact"/>
        <w:ind w:firstLine="718" w:firstLineChars="342"/>
        <w:rPr>
          <w:rFonts w:hint="eastAsia" w:ascii="宋体" w:hAnsi="宋体" w:cs="宋体"/>
          <w:szCs w:val="21"/>
        </w:rPr>
      </w:pPr>
      <w:r>
        <w:rPr>
          <w:rFonts w:hint="eastAsia" w:ascii="宋体" w:hAnsi="宋体" w:cs="宋体"/>
          <w:szCs w:val="21"/>
        </w:rPr>
        <w:t>（3）投入该工作的材料类别和数量；</w:t>
      </w:r>
    </w:p>
    <w:p w14:paraId="6E60F391">
      <w:pPr>
        <w:spacing w:line="400" w:lineRule="exact"/>
        <w:ind w:firstLine="718" w:firstLineChars="342"/>
        <w:rPr>
          <w:rFonts w:hint="eastAsia" w:ascii="宋体" w:hAnsi="宋体" w:cs="宋体"/>
          <w:szCs w:val="21"/>
        </w:rPr>
      </w:pPr>
      <w:r>
        <w:rPr>
          <w:rFonts w:hint="eastAsia" w:ascii="宋体" w:hAnsi="宋体" w:cs="宋体"/>
          <w:szCs w:val="21"/>
        </w:rPr>
        <w:t>（4）投入该工作的施工设备型号、台数和耗用台时；</w:t>
      </w:r>
    </w:p>
    <w:p w14:paraId="4DC18C01">
      <w:pPr>
        <w:spacing w:line="400" w:lineRule="exact"/>
        <w:ind w:firstLine="718" w:firstLineChars="342"/>
        <w:rPr>
          <w:rFonts w:hint="eastAsia" w:ascii="宋体" w:hAnsi="宋体" w:cs="宋体"/>
          <w:szCs w:val="21"/>
        </w:rPr>
      </w:pPr>
      <w:r>
        <w:rPr>
          <w:rFonts w:hint="eastAsia" w:ascii="宋体" w:hAnsi="宋体" w:cs="宋体"/>
          <w:szCs w:val="21"/>
        </w:rPr>
        <w:t>（5）监理人要求提交的其他资料和凭证。</w:t>
      </w:r>
    </w:p>
    <w:p w14:paraId="229E245D">
      <w:pPr>
        <w:spacing w:line="400" w:lineRule="exact"/>
        <w:ind w:firstLine="420" w:firstLineChars="200"/>
        <w:rPr>
          <w:rFonts w:hint="eastAsia" w:ascii="宋体" w:hAnsi="宋体" w:cs="宋体"/>
          <w:szCs w:val="21"/>
        </w:rPr>
      </w:pPr>
      <w:r>
        <w:rPr>
          <w:rFonts w:hint="eastAsia" w:ascii="宋体" w:hAnsi="宋体" w:cs="宋体"/>
          <w:szCs w:val="21"/>
        </w:rPr>
        <w:t>15.7.3 计日工由承包人汇总后，按第17.3.2项的约定列入进度付款申请单，由监理人复核并经发包人同意后列入进度付款。</w:t>
      </w:r>
    </w:p>
    <w:p w14:paraId="21CD7CC0">
      <w:pPr>
        <w:pStyle w:val="5"/>
        <w:rPr>
          <w:rFonts w:hint="eastAsia" w:ascii="宋体" w:hAnsi="宋体" w:cs="宋体"/>
          <w:sz w:val="28"/>
          <w:szCs w:val="28"/>
        </w:rPr>
      </w:pPr>
      <w:r>
        <w:rPr>
          <w:rFonts w:hint="eastAsia" w:ascii="宋体" w:hAnsi="宋体" w:cs="宋体"/>
          <w:sz w:val="28"/>
          <w:szCs w:val="28"/>
        </w:rPr>
        <w:t>15.8 暂估价</w:t>
      </w:r>
      <w:bookmarkEnd w:id="413"/>
    </w:p>
    <w:p w14:paraId="70A69780">
      <w:pPr>
        <w:spacing w:line="400" w:lineRule="exact"/>
        <w:ind w:firstLine="424" w:firstLineChars="202"/>
        <w:rPr>
          <w:rFonts w:hint="eastAsia" w:ascii="宋体" w:hAnsi="宋体" w:cs="宋体"/>
          <w:szCs w:val="21"/>
        </w:rPr>
      </w:pPr>
      <w:bookmarkStart w:id="434" w:name="_Toc229305377"/>
      <w:bookmarkStart w:id="435" w:name="_Toc222031019"/>
      <w:bookmarkStart w:id="436" w:name="_Toc221950944"/>
      <w:bookmarkStart w:id="437" w:name="_Toc222033868"/>
      <w:bookmarkStart w:id="438" w:name="_Toc222029517"/>
      <w:bookmarkStart w:id="439" w:name="_Toc229408512"/>
      <w:bookmarkStart w:id="440" w:name="_Toc222032686"/>
      <w:r>
        <w:rPr>
          <w:rFonts w:hint="eastAsia" w:ascii="宋体" w:hAnsi="宋体" w:cs="宋体"/>
          <w:szCs w:val="21"/>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与工程量清单中所列金额差以及相应的税金等其他费用列入合同价格。必须招标的暂估价项目招标组织形式、发包人和承包人组织招标时双方的权利义务关系在专用合同条款中约定。</w:t>
      </w:r>
    </w:p>
    <w:p w14:paraId="3470F796">
      <w:pPr>
        <w:spacing w:line="400" w:lineRule="exact"/>
        <w:ind w:firstLine="420" w:firstLineChars="200"/>
        <w:rPr>
          <w:rFonts w:hint="eastAsia" w:ascii="宋体" w:hAnsi="宋体" w:cs="宋体"/>
          <w:szCs w:val="21"/>
        </w:rPr>
      </w:pPr>
      <w:r>
        <w:rPr>
          <w:rFonts w:hint="eastAsia" w:ascii="宋体" w:hAnsi="宋体" w:cs="宋体"/>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25EC296">
      <w:pPr>
        <w:spacing w:line="400" w:lineRule="exact"/>
        <w:ind w:firstLine="420" w:firstLineChars="200"/>
        <w:rPr>
          <w:rFonts w:hint="eastAsia" w:ascii="宋体" w:hAnsi="宋体" w:cs="宋体"/>
          <w:szCs w:val="21"/>
        </w:rPr>
      </w:pPr>
      <w:r>
        <w:rPr>
          <w:rFonts w:hint="eastAsia" w:ascii="宋体" w:hAnsi="宋体" w:cs="宋体"/>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0C2C4DD">
      <w:pPr>
        <w:pStyle w:val="4"/>
        <w:rPr>
          <w:rFonts w:cs="宋体"/>
          <w:sz w:val="28"/>
          <w:szCs w:val="28"/>
        </w:rPr>
      </w:pPr>
      <w:r>
        <w:rPr>
          <w:rFonts w:cs="宋体"/>
          <w:sz w:val="28"/>
          <w:szCs w:val="28"/>
        </w:rPr>
        <w:t>16. 价格调整</w:t>
      </w:r>
      <w:bookmarkEnd w:id="434"/>
      <w:bookmarkEnd w:id="435"/>
      <w:bookmarkEnd w:id="436"/>
      <w:bookmarkEnd w:id="437"/>
      <w:bookmarkEnd w:id="438"/>
      <w:bookmarkEnd w:id="439"/>
      <w:bookmarkEnd w:id="440"/>
    </w:p>
    <w:p w14:paraId="0BF8362F">
      <w:pPr>
        <w:pStyle w:val="5"/>
        <w:rPr>
          <w:rFonts w:hint="eastAsia" w:ascii="宋体" w:hAnsi="宋体" w:cs="宋体"/>
          <w:sz w:val="28"/>
          <w:szCs w:val="28"/>
        </w:rPr>
      </w:pPr>
      <w:bookmarkStart w:id="441" w:name="_Toc221950945"/>
      <w:r>
        <w:rPr>
          <w:rFonts w:hint="eastAsia" w:ascii="宋体" w:hAnsi="宋体" w:cs="宋体"/>
          <w:sz w:val="28"/>
          <w:szCs w:val="28"/>
        </w:rPr>
        <w:t>16.1 物价波动引起的价格调整</w:t>
      </w:r>
      <w:bookmarkEnd w:id="441"/>
    </w:p>
    <w:p w14:paraId="1CCF5631">
      <w:pPr>
        <w:spacing w:line="400" w:lineRule="exact"/>
        <w:ind w:firstLine="420" w:firstLineChars="200"/>
        <w:rPr>
          <w:rFonts w:hint="eastAsia" w:ascii="宋体" w:hAnsi="宋体" w:cs="宋体"/>
          <w:szCs w:val="21"/>
        </w:rPr>
      </w:pPr>
      <w:r>
        <w:rPr>
          <w:rFonts w:hint="eastAsia" w:ascii="宋体" w:hAnsi="宋体" w:cs="宋体"/>
          <w:szCs w:val="21"/>
        </w:rPr>
        <w:t>由于物价波动原因引起合同价格需要调整的，其价格调整方式在专用合同条款中约定。</w:t>
      </w:r>
    </w:p>
    <w:p w14:paraId="04074968">
      <w:pPr>
        <w:spacing w:line="400" w:lineRule="exact"/>
        <w:ind w:firstLine="420" w:firstLineChars="200"/>
        <w:rPr>
          <w:rFonts w:hint="eastAsia" w:ascii="宋体" w:hAnsi="宋体" w:cs="宋体"/>
          <w:szCs w:val="21"/>
        </w:rPr>
      </w:pPr>
      <w:r>
        <w:rPr>
          <w:rFonts w:hint="eastAsia" w:ascii="宋体" w:hAnsi="宋体" w:cs="宋体"/>
          <w:szCs w:val="21"/>
        </w:rPr>
        <w:t>16.1.1 采用价格指数调整价格差额</w:t>
      </w:r>
    </w:p>
    <w:p w14:paraId="0CEB6329">
      <w:pPr>
        <w:spacing w:line="400" w:lineRule="exact"/>
        <w:ind w:firstLine="420" w:firstLineChars="200"/>
        <w:rPr>
          <w:rFonts w:hint="eastAsia" w:ascii="宋体" w:hAnsi="宋体" w:cs="宋体"/>
          <w:szCs w:val="21"/>
        </w:rPr>
      </w:pPr>
      <w:r>
        <w:rPr>
          <w:rFonts w:hint="eastAsia" w:ascii="宋体" w:hAnsi="宋体" w:cs="宋体"/>
          <w:szCs w:val="21"/>
        </w:rPr>
        <w:t>16.1.1.1 价格调整公式</w:t>
      </w:r>
    </w:p>
    <w:p w14:paraId="68F08030">
      <w:pPr>
        <w:spacing w:line="400" w:lineRule="exact"/>
        <w:ind w:firstLine="420" w:firstLineChars="200"/>
        <w:rPr>
          <w:rFonts w:hint="eastAsia" w:ascii="宋体" w:hAnsi="宋体" w:cs="宋体"/>
          <w:szCs w:val="21"/>
        </w:rPr>
      </w:pPr>
      <w:r>
        <w:rPr>
          <w:rFonts w:hint="eastAsia" w:ascii="宋体" w:hAnsi="宋体" w:cs="宋体"/>
          <w:szCs w:val="21"/>
        </w:rPr>
        <w:t>因人工、材料和设备等价格波动影响合同价格时，根据投标函附录中的价格指数和权重表约定的数据，按以下公式计算差额并调整合同价格。</w:t>
      </w:r>
    </w:p>
    <w:p w14:paraId="47C1CF94">
      <w:pPr>
        <w:autoSpaceDE w:val="0"/>
        <w:autoSpaceDN w:val="0"/>
        <w:adjustRightInd w:val="0"/>
        <w:spacing w:line="1200" w:lineRule="exact"/>
        <w:ind w:right="248" w:firstLine="839" w:firstLineChars="398"/>
        <w:rPr>
          <w:rFonts w:hint="eastAsia" w:ascii="宋体" w:hAnsi="宋体" w:cs="宋体"/>
          <w:szCs w:val="21"/>
        </w:rPr>
      </w:pPr>
      <w:r>
        <w:rPr>
          <w:rFonts w:hint="eastAsia" w:ascii="宋体" w:hAnsi="宋体" w:cs="宋体"/>
          <w:b/>
          <w:bCs/>
          <w:kern w:val="0"/>
          <w:szCs w:val="21"/>
          <w:lang w:val="zh-CN"/>
        </w:rPr>
        <w:t xml:space="preserve">        </w:t>
      </w:r>
      <w:r>
        <w:rPr>
          <w:rFonts w:hint="eastAsia" w:ascii="宋体" w:hAnsi="宋体" w:cs="宋体"/>
          <w:position w:val="-34"/>
          <w:szCs w:val="21"/>
        </w:rPr>
        <w:object>
          <v:shape id="_x0000_i1025" o:spt="75" type="#_x0000_t75" style="height:40pt;width:306pt;" o:ole="t" filled="f" o:preferrelative="t" stroked="f" coordsize="21600,21600">
            <v:path/>
            <v:fill on="f" alignshape="1" focussize="0,0"/>
            <v:stroke on="f"/>
            <v:imagedata r:id="rId9" o:title=""/>
            <o:lock v:ext="edit" aspectratio="t"/>
            <w10:wrap type="none"/>
            <w10:anchorlock/>
          </v:shape>
          <o:OLEObject Type="Embed" ProgID="Equation.3" ShapeID="_x0000_i1025" DrawAspect="Content" ObjectID="_1468075725" r:id="rId8">
            <o:LockedField>false</o:LockedField>
          </o:OLEObject>
        </w:object>
      </w:r>
    </w:p>
    <w:p w14:paraId="1A6ADAD7">
      <w:pPr>
        <w:tabs>
          <w:tab w:val="left" w:pos="1260"/>
        </w:tabs>
        <w:spacing w:line="400" w:lineRule="exact"/>
        <w:ind w:firstLine="420" w:firstLineChars="200"/>
        <w:rPr>
          <w:rFonts w:hint="eastAsia" w:ascii="宋体" w:hAnsi="宋体" w:cs="宋体"/>
          <w:szCs w:val="21"/>
        </w:rPr>
      </w:pPr>
      <w:r>
        <w:rPr>
          <w:rFonts w:hint="eastAsia" w:ascii="宋体" w:hAnsi="宋体" w:cs="宋体"/>
          <w:szCs w:val="21"/>
        </w:rPr>
        <w:t xml:space="preserve"> </w:t>
      </w:r>
    </w:p>
    <w:p w14:paraId="4A3BDA8F">
      <w:pPr>
        <w:tabs>
          <w:tab w:val="left" w:pos="1260"/>
        </w:tabs>
        <w:spacing w:line="400" w:lineRule="exact"/>
        <w:ind w:firstLine="420" w:firstLineChars="200"/>
        <w:rPr>
          <w:rFonts w:hint="eastAsia" w:ascii="宋体" w:hAnsi="宋体" w:cs="宋体"/>
          <w:szCs w:val="21"/>
        </w:rPr>
      </w:pPr>
      <w:r>
        <w:rPr>
          <w:rFonts w:hint="eastAsia" w:ascii="宋体" w:hAnsi="宋体" w:cs="宋体"/>
          <w:szCs w:val="21"/>
        </w:rPr>
        <w:t>式中： △P -- 需调整的价格差额；</w:t>
      </w:r>
    </w:p>
    <w:p w14:paraId="7413D982">
      <w:pPr>
        <w:tabs>
          <w:tab w:val="left" w:pos="1260"/>
        </w:tabs>
        <w:spacing w:line="40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P</w:t>
      </w:r>
      <w:r>
        <w:rPr>
          <w:rFonts w:hint="eastAsia" w:ascii="宋体" w:hAnsi="宋体" w:cs="宋体"/>
          <w:szCs w:val="21"/>
          <w:vertAlign w:val="subscript"/>
        </w:rPr>
        <w:t>0</w:t>
      </w:r>
      <w:r>
        <w:rPr>
          <w:rFonts w:hint="eastAsia" w:ascii="宋体" w:hAnsi="宋体" w:cs="宋体"/>
          <w:szCs w:val="21"/>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A58E802">
      <w:pPr>
        <w:tabs>
          <w:tab w:val="left" w:pos="1260"/>
        </w:tabs>
        <w:spacing w:line="400" w:lineRule="exact"/>
        <w:rPr>
          <w:rFonts w:hint="eastAsia" w:ascii="宋体" w:hAnsi="宋体" w:cs="宋体"/>
          <w:szCs w:val="21"/>
        </w:rPr>
      </w:pPr>
      <w:r>
        <w:rPr>
          <w:rFonts w:hint="eastAsia" w:ascii="宋体" w:hAnsi="宋体" w:cs="宋体"/>
          <w:szCs w:val="21"/>
        </w:rPr>
        <w:tab/>
      </w:r>
      <w:bookmarkStart w:id="442" w:name="_Toc144974686"/>
      <w:bookmarkStart w:id="443" w:name="_Toc152042495"/>
      <w:r>
        <w:rPr>
          <w:rFonts w:hint="eastAsia" w:ascii="宋体" w:hAnsi="宋体" w:cs="宋体"/>
          <w:szCs w:val="21"/>
        </w:rPr>
        <w:t>A -- 定值权重(即不调部分的权重)；</w:t>
      </w:r>
      <w:bookmarkEnd w:id="442"/>
      <w:bookmarkEnd w:id="443"/>
    </w:p>
    <w:p w14:paraId="69FEF375">
      <w:pPr>
        <w:tabs>
          <w:tab w:val="left" w:pos="1260"/>
        </w:tabs>
        <w:spacing w:line="40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B</w:t>
      </w:r>
      <w:r>
        <w:rPr>
          <w:rFonts w:hint="eastAsia" w:ascii="宋体" w:hAnsi="宋体" w:cs="宋体"/>
          <w:szCs w:val="21"/>
          <w:vertAlign w:val="subscript"/>
        </w:rPr>
        <w:t>1</w:t>
      </w:r>
      <w:r>
        <w:rPr>
          <w:rFonts w:hint="eastAsia" w:ascii="宋体" w:hAnsi="宋体" w:cs="宋体"/>
          <w:szCs w:val="21"/>
        </w:rPr>
        <w:t>; B</w:t>
      </w:r>
      <w:r>
        <w:rPr>
          <w:rFonts w:hint="eastAsia" w:ascii="宋体" w:hAnsi="宋体" w:cs="宋体"/>
          <w:szCs w:val="21"/>
          <w:vertAlign w:val="subscript"/>
        </w:rPr>
        <w:t>2</w:t>
      </w:r>
      <w:r>
        <w:rPr>
          <w:rFonts w:hint="eastAsia" w:ascii="宋体" w:hAnsi="宋体" w:cs="宋体"/>
          <w:szCs w:val="21"/>
        </w:rPr>
        <w:t xml:space="preserve"> ;B</w:t>
      </w:r>
      <w:r>
        <w:rPr>
          <w:rFonts w:hint="eastAsia" w:ascii="宋体" w:hAnsi="宋体" w:cs="宋体"/>
          <w:szCs w:val="21"/>
          <w:vertAlign w:val="subscript"/>
        </w:rPr>
        <w:t>3</w:t>
      </w:r>
      <w:r>
        <w:rPr>
          <w:rFonts w:hint="eastAsia" w:ascii="宋体" w:hAnsi="宋体" w:cs="宋体"/>
          <w:szCs w:val="21"/>
        </w:rPr>
        <w:t>·····B</w:t>
      </w:r>
      <w:r>
        <w:rPr>
          <w:rFonts w:hint="eastAsia" w:ascii="宋体" w:hAnsi="宋体" w:cs="宋体"/>
          <w:szCs w:val="21"/>
          <w:vertAlign w:val="subscript"/>
        </w:rPr>
        <w:t>n</w:t>
      </w:r>
      <w:r>
        <w:rPr>
          <w:rFonts w:hint="eastAsia" w:ascii="宋体" w:hAnsi="宋体" w:cs="宋体"/>
          <w:szCs w:val="21"/>
        </w:rPr>
        <w:t xml:space="preserve"> -- 各可调因子的变值权重(即可调部分的权重)为各可调因子在投标函投标总报价中所占的比例；</w:t>
      </w:r>
    </w:p>
    <w:p w14:paraId="304601F2">
      <w:pPr>
        <w:tabs>
          <w:tab w:val="left" w:pos="1260"/>
        </w:tabs>
        <w:spacing w:line="40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F</w:t>
      </w:r>
      <w:r>
        <w:rPr>
          <w:rFonts w:hint="eastAsia" w:ascii="宋体" w:hAnsi="宋体" w:cs="宋体"/>
          <w:szCs w:val="21"/>
          <w:vertAlign w:val="subscript"/>
        </w:rPr>
        <w:t>t1</w:t>
      </w:r>
      <w:r>
        <w:rPr>
          <w:rFonts w:hint="eastAsia" w:ascii="宋体" w:hAnsi="宋体" w:cs="宋体"/>
          <w:szCs w:val="21"/>
        </w:rPr>
        <w:t xml:space="preserve"> ;F</w:t>
      </w:r>
      <w:r>
        <w:rPr>
          <w:rFonts w:hint="eastAsia" w:ascii="宋体" w:hAnsi="宋体" w:cs="宋体"/>
          <w:szCs w:val="21"/>
          <w:vertAlign w:val="subscript"/>
        </w:rPr>
        <w:t>t2</w:t>
      </w:r>
      <w:r>
        <w:rPr>
          <w:rFonts w:hint="eastAsia" w:ascii="宋体" w:hAnsi="宋体" w:cs="宋体"/>
          <w:szCs w:val="21"/>
        </w:rPr>
        <w:t xml:space="preserve"> ;F</w:t>
      </w:r>
      <w:r>
        <w:rPr>
          <w:rFonts w:hint="eastAsia" w:ascii="宋体" w:hAnsi="宋体" w:cs="宋体"/>
          <w:szCs w:val="21"/>
          <w:vertAlign w:val="subscript"/>
        </w:rPr>
        <w:t>t3</w:t>
      </w:r>
      <w:r>
        <w:rPr>
          <w:rFonts w:hint="eastAsia" w:ascii="宋体" w:hAnsi="宋体" w:cs="宋体"/>
          <w:szCs w:val="21"/>
        </w:rPr>
        <w:t>·····F</w:t>
      </w:r>
      <w:r>
        <w:rPr>
          <w:rFonts w:hint="eastAsia" w:ascii="宋体" w:hAnsi="宋体" w:cs="宋体"/>
          <w:szCs w:val="21"/>
          <w:vertAlign w:val="subscript"/>
        </w:rPr>
        <w:t>tn</w:t>
      </w:r>
      <w:r>
        <w:rPr>
          <w:rFonts w:hint="eastAsia" w:ascii="宋体" w:hAnsi="宋体" w:cs="宋体"/>
          <w:szCs w:val="21"/>
        </w:rPr>
        <w:t xml:space="preserve"> -- 各可调因子的现行价格指数，指第17.3.3项、第17.5.2项和第17.6.2项约定的付款证书相关周期最后一天的前42天的各可调因子的价格指数；</w:t>
      </w:r>
    </w:p>
    <w:p w14:paraId="1632245A">
      <w:pPr>
        <w:tabs>
          <w:tab w:val="left" w:pos="1260"/>
        </w:tabs>
        <w:spacing w:line="40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F</w:t>
      </w:r>
      <w:r>
        <w:rPr>
          <w:rFonts w:hint="eastAsia" w:ascii="宋体" w:hAnsi="宋体" w:cs="宋体"/>
          <w:szCs w:val="21"/>
          <w:vertAlign w:val="subscript"/>
        </w:rPr>
        <w:t>o1</w:t>
      </w:r>
      <w:r>
        <w:rPr>
          <w:rFonts w:hint="eastAsia" w:ascii="宋体" w:hAnsi="宋体" w:cs="宋体"/>
          <w:szCs w:val="21"/>
        </w:rPr>
        <w:t>; F</w:t>
      </w:r>
      <w:r>
        <w:rPr>
          <w:rFonts w:hint="eastAsia" w:ascii="宋体" w:hAnsi="宋体" w:cs="宋体"/>
          <w:szCs w:val="21"/>
          <w:vertAlign w:val="subscript"/>
        </w:rPr>
        <w:t>o2</w:t>
      </w:r>
      <w:r>
        <w:rPr>
          <w:rFonts w:hint="eastAsia" w:ascii="宋体" w:hAnsi="宋体" w:cs="宋体"/>
          <w:szCs w:val="21"/>
        </w:rPr>
        <w:t>; F</w:t>
      </w:r>
      <w:r>
        <w:rPr>
          <w:rFonts w:hint="eastAsia" w:ascii="宋体" w:hAnsi="宋体" w:cs="宋体"/>
          <w:szCs w:val="21"/>
          <w:vertAlign w:val="subscript"/>
        </w:rPr>
        <w:t>o3</w:t>
      </w:r>
      <w:r>
        <w:rPr>
          <w:rFonts w:hint="eastAsia" w:ascii="宋体" w:hAnsi="宋体" w:cs="宋体"/>
          <w:szCs w:val="21"/>
        </w:rPr>
        <w:t>·····F</w:t>
      </w:r>
      <w:r>
        <w:rPr>
          <w:rFonts w:hint="eastAsia" w:ascii="宋体" w:hAnsi="宋体" w:cs="宋体"/>
          <w:szCs w:val="21"/>
          <w:vertAlign w:val="subscript"/>
        </w:rPr>
        <w:t>on</w:t>
      </w:r>
      <w:r>
        <w:rPr>
          <w:rFonts w:hint="eastAsia" w:ascii="宋体" w:hAnsi="宋体" w:cs="宋体"/>
          <w:szCs w:val="21"/>
        </w:rPr>
        <w:t xml:space="preserve"> -- 各可调因子的基本价格指数，指基准日期的各可调因子的价格指数。</w:t>
      </w:r>
    </w:p>
    <w:p w14:paraId="68F01CAB">
      <w:pPr>
        <w:spacing w:line="400" w:lineRule="exact"/>
        <w:ind w:firstLine="420" w:firstLineChars="200"/>
        <w:rPr>
          <w:rFonts w:hint="eastAsia" w:ascii="宋体" w:hAnsi="宋体" w:cs="宋体"/>
          <w:szCs w:val="21"/>
        </w:rPr>
      </w:pPr>
      <w:r>
        <w:rPr>
          <w:rFonts w:hint="eastAsia" w:ascii="宋体" w:hAnsi="宋体" w:cs="宋体"/>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F81F4C7">
      <w:pPr>
        <w:spacing w:line="400" w:lineRule="exact"/>
        <w:ind w:firstLine="420" w:firstLineChars="200"/>
        <w:rPr>
          <w:rFonts w:hint="eastAsia" w:ascii="宋体" w:hAnsi="宋体" w:cs="宋体"/>
          <w:szCs w:val="21"/>
        </w:rPr>
      </w:pPr>
      <w:r>
        <w:rPr>
          <w:rFonts w:hint="eastAsia" w:ascii="宋体" w:hAnsi="宋体" w:cs="宋体"/>
          <w:szCs w:val="21"/>
        </w:rPr>
        <w:t>16.1.1.2 暂时确定调整差额</w:t>
      </w:r>
    </w:p>
    <w:p w14:paraId="3916CEB4">
      <w:pPr>
        <w:spacing w:line="400" w:lineRule="exact"/>
        <w:ind w:firstLine="420" w:firstLineChars="200"/>
        <w:rPr>
          <w:rFonts w:hint="eastAsia" w:ascii="宋体" w:hAnsi="宋体" w:cs="宋体"/>
          <w:szCs w:val="21"/>
        </w:rPr>
      </w:pPr>
      <w:r>
        <w:rPr>
          <w:rFonts w:hint="eastAsia" w:ascii="宋体" w:hAnsi="宋体" w:cs="宋体"/>
          <w:szCs w:val="21"/>
        </w:rPr>
        <w:t>在计算调整差额时得不到现行价格指数的，可暂用上一次价格指数计算，并在以后的付款中再按实际价格指数进行调整。</w:t>
      </w:r>
    </w:p>
    <w:p w14:paraId="50E36D77">
      <w:pPr>
        <w:spacing w:line="400" w:lineRule="exact"/>
        <w:ind w:firstLine="420" w:firstLineChars="200"/>
        <w:rPr>
          <w:rFonts w:hint="eastAsia" w:ascii="宋体" w:hAnsi="宋体" w:cs="宋体"/>
          <w:szCs w:val="21"/>
        </w:rPr>
      </w:pPr>
      <w:r>
        <w:rPr>
          <w:rFonts w:hint="eastAsia" w:ascii="宋体" w:hAnsi="宋体" w:cs="宋体"/>
          <w:szCs w:val="21"/>
        </w:rPr>
        <w:t>16.1.1.3 权重的调整</w:t>
      </w:r>
    </w:p>
    <w:p w14:paraId="347E70B2">
      <w:pPr>
        <w:spacing w:line="400" w:lineRule="exact"/>
        <w:ind w:firstLine="420" w:firstLineChars="200"/>
        <w:rPr>
          <w:rFonts w:hint="eastAsia" w:ascii="宋体" w:hAnsi="宋体" w:cs="宋体"/>
          <w:szCs w:val="21"/>
        </w:rPr>
      </w:pPr>
      <w:r>
        <w:rPr>
          <w:rFonts w:hint="eastAsia" w:ascii="宋体" w:hAnsi="宋体" w:cs="宋体"/>
          <w:szCs w:val="21"/>
        </w:rPr>
        <w:t>按第15.1款约定的变更导致原定合同中的权重不合理时，由监理人与承包人和发包人协商后进行调整。</w:t>
      </w:r>
    </w:p>
    <w:p w14:paraId="7A12AA8A">
      <w:pPr>
        <w:spacing w:line="400" w:lineRule="exact"/>
        <w:ind w:firstLine="420" w:firstLineChars="200"/>
        <w:rPr>
          <w:rFonts w:hint="eastAsia" w:ascii="宋体" w:hAnsi="宋体" w:cs="宋体"/>
          <w:szCs w:val="21"/>
        </w:rPr>
      </w:pPr>
      <w:r>
        <w:rPr>
          <w:rFonts w:hint="eastAsia" w:ascii="宋体" w:hAnsi="宋体" w:cs="宋体"/>
          <w:szCs w:val="21"/>
        </w:rPr>
        <w:t>16.1.1.4 承包人工期延误后的价格调整</w:t>
      </w:r>
    </w:p>
    <w:p w14:paraId="37F1789B">
      <w:pPr>
        <w:spacing w:line="400" w:lineRule="exact"/>
        <w:ind w:firstLine="420" w:firstLineChars="200"/>
        <w:rPr>
          <w:rFonts w:hint="eastAsia" w:ascii="宋体" w:hAnsi="宋体" w:cs="宋体"/>
          <w:szCs w:val="21"/>
        </w:rPr>
      </w:pPr>
      <w:r>
        <w:rPr>
          <w:rFonts w:hint="eastAsia" w:ascii="宋体" w:hAnsi="宋体" w:cs="宋体"/>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2D1045AE">
      <w:pPr>
        <w:spacing w:line="400" w:lineRule="exact"/>
        <w:ind w:firstLine="420" w:firstLineChars="200"/>
        <w:rPr>
          <w:rFonts w:hint="eastAsia" w:ascii="宋体" w:hAnsi="宋体" w:cs="宋体"/>
          <w:szCs w:val="21"/>
        </w:rPr>
      </w:pPr>
      <w:r>
        <w:rPr>
          <w:rFonts w:hint="eastAsia" w:ascii="宋体" w:hAnsi="宋体" w:cs="宋体"/>
          <w:szCs w:val="21"/>
        </w:rPr>
        <w:t>16.1.2 采用造价信息调整价格差额</w:t>
      </w:r>
    </w:p>
    <w:p w14:paraId="0ECBA14A">
      <w:pPr>
        <w:spacing w:line="400" w:lineRule="exact"/>
        <w:ind w:firstLine="420" w:firstLineChars="200"/>
        <w:rPr>
          <w:rFonts w:hint="eastAsia" w:ascii="宋体" w:hAnsi="宋体" w:cs="宋体"/>
          <w:szCs w:val="21"/>
        </w:rPr>
      </w:pPr>
      <w:r>
        <w:rPr>
          <w:rFonts w:hint="eastAsia" w:ascii="宋体" w:hAnsi="宋体" w:cs="宋体"/>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EF59BCD">
      <w:pPr>
        <w:spacing w:line="400" w:lineRule="exact"/>
        <w:ind w:firstLine="420" w:firstLineChars="200"/>
        <w:rPr>
          <w:rFonts w:hint="eastAsia" w:ascii="宋体" w:hAnsi="宋体" w:cs="宋体"/>
          <w:szCs w:val="21"/>
        </w:rPr>
      </w:pPr>
      <w:r>
        <w:rPr>
          <w:rFonts w:hint="eastAsia" w:ascii="宋体" w:hAnsi="宋体" w:cs="宋体"/>
          <w:szCs w:val="21"/>
        </w:rPr>
        <w:t>工程造价信息的来源以及价格调整的项目和系数在专用合同条款中约定。</w:t>
      </w:r>
    </w:p>
    <w:p w14:paraId="14D0DF5A">
      <w:pPr>
        <w:keepNext/>
        <w:keepLines/>
        <w:spacing w:line="400" w:lineRule="exact"/>
        <w:outlineLvl w:val="2"/>
        <w:rPr>
          <w:rFonts w:hint="eastAsia" w:ascii="宋体" w:hAnsi="宋体" w:cs="宋体"/>
          <w:szCs w:val="21"/>
        </w:rPr>
      </w:pPr>
      <w:bookmarkStart w:id="444" w:name="_Toc152042496"/>
      <w:bookmarkStart w:id="445" w:name="_Toc179632735"/>
      <w:bookmarkStart w:id="446" w:name="_Toc144974688"/>
      <w:bookmarkStart w:id="447" w:name="_Toc152045717"/>
      <w:r>
        <w:rPr>
          <w:rFonts w:hint="eastAsia" w:ascii="宋体" w:hAnsi="宋体" w:cs="宋体"/>
          <w:szCs w:val="21"/>
        </w:rPr>
        <w:t>16.2 法律变化引起的价格调整</w:t>
      </w:r>
      <w:bookmarkEnd w:id="444"/>
      <w:bookmarkEnd w:id="445"/>
      <w:bookmarkEnd w:id="446"/>
      <w:bookmarkEnd w:id="447"/>
    </w:p>
    <w:p w14:paraId="12C39795">
      <w:pPr>
        <w:spacing w:line="400" w:lineRule="exact"/>
        <w:ind w:firstLine="420" w:firstLineChars="200"/>
        <w:rPr>
          <w:rFonts w:hint="eastAsia" w:ascii="宋体" w:hAnsi="宋体" w:cs="宋体"/>
          <w:szCs w:val="21"/>
        </w:rPr>
      </w:pPr>
      <w:r>
        <w:rPr>
          <w:rFonts w:hint="eastAsia" w:ascii="宋体" w:hAnsi="宋体" w:cs="宋体"/>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76F639AE">
      <w:pPr>
        <w:pStyle w:val="4"/>
        <w:rPr>
          <w:rFonts w:cs="宋体"/>
          <w:sz w:val="28"/>
          <w:szCs w:val="28"/>
        </w:rPr>
      </w:pPr>
      <w:bookmarkStart w:id="448" w:name="_Toc221950995"/>
      <w:bookmarkStart w:id="449" w:name="_Toc229305378"/>
      <w:bookmarkStart w:id="450" w:name="_Toc229408513"/>
      <w:bookmarkStart w:id="451" w:name="_Toc222029518"/>
      <w:bookmarkStart w:id="452" w:name="_Toc222033869"/>
      <w:bookmarkStart w:id="453" w:name="_Toc222031020"/>
      <w:bookmarkStart w:id="454" w:name="_Toc222032687"/>
      <w:r>
        <w:rPr>
          <w:rFonts w:cs="宋体"/>
          <w:sz w:val="28"/>
          <w:szCs w:val="28"/>
        </w:rPr>
        <w:t>17. 计量与支付</w:t>
      </w:r>
      <w:bookmarkEnd w:id="448"/>
      <w:bookmarkEnd w:id="449"/>
      <w:bookmarkEnd w:id="450"/>
      <w:bookmarkEnd w:id="451"/>
      <w:bookmarkEnd w:id="452"/>
      <w:bookmarkEnd w:id="453"/>
      <w:bookmarkEnd w:id="454"/>
    </w:p>
    <w:p w14:paraId="2D8637A3">
      <w:pPr>
        <w:pStyle w:val="5"/>
        <w:rPr>
          <w:rFonts w:hint="eastAsia" w:ascii="宋体" w:hAnsi="宋体" w:cs="宋体"/>
          <w:sz w:val="28"/>
          <w:szCs w:val="28"/>
        </w:rPr>
      </w:pPr>
      <w:bookmarkStart w:id="455" w:name="_Toc221950996"/>
      <w:r>
        <w:rPr>
          <w:rFonts w:hint="eastAsia" w:ascii="宋体" w:hAnsi="宋体" w:cs="宋体"/>
          <w:sz w:val="28"/>
          <w:szCs w:val="28"/>
        </w:rPr>
        <w:t>17.1 计量</w:t>
      </w:r>
      <w:bookmarkEnd w:id="455"/>
    </w:p>
    <w:p w14:paraId="111126E5">
      <w:pPr>
        <w:spacing w:line="400" w:lineRule="exact"/>
        <w:ind w:firstLine="420" w:firstLineChars="200"/>
        <w:rPr>
          <w:rFonts w:hint="eastAsia" w:ascii="宋体" w:hAnsi="宋体" w:cs="宋体"/>
          <w:szCs w:val="21"/>
        </w:rPr>
      </w:pPr>
      <w:bookmarkStart w:id="456" w:name="_Toc221951004"/>
      <w:r>
        <w:rPr>
          <w:rFonts w:hint="eastAsia" w:ascii="宋体" w:hAnsi="宋体" w:cs="宋体"/>
          <w:szCs w:val="21"/>
        </w:rPr>
        <w:t>17.1.1 计量单位</w:t>
      </w:r>
    </w:p>
    <w:p w14:paraId="554BA1E4">
      <w:pPr>
        <w:spacing w:line="400" w:lineRule="exact"/>
        <w:ind w:firstLine="420" w:firstLineChars="200"/>
        <w:rPr>
          <w:rFonts w:hint="eastAsia" w:ascii="宋体" w:hAnsi="宋体" w:cs="宋体"/>
          <w:szCs w:val="21"/>
        </w:rPr>
      </w:pPr>
      <w:r>
        <w:rPr>
          <w:rFonts w:hint="eastAsia" w:ascii="宋体" w:hAnsi="宋体" w:cs="宋体"/>
          <w:szCs w:val="21"/>
        </w:rPr>
        <w:t>计量采用国家法定的计量单位。</w:t>
      </w:r>
    </w:p>
    <w:p w14:paraId="59ED569E">
      <w:pPr>
        <w:spacing w:line="400" w:lineRule="exact"/>
        <w:ind w:firstLine="420" w:firstLineChars="200"/>
        <w:rPr>
          <w:rFonts w:hint="eastAsia" w:ascii="宋体" w:hAnsi="宋体" w:cs="宋体"/>
          <w:szCs w:val="21"/>
        </w:rPr>
      </w:pPr>
      <w:r>
        <w:rPr>
          <w:rFonts w:hint="eastAsia" w:ascii="宋体" w:hAnsi="宋体" w:cs="宋体"/>
          <w:szCs w:val="21"/>
        </w:rPr>
        <w:t>17.1.2 计量方法</w:t>
      </w:r>
    </w:p>
    <w:p w14:paraId="7C353D7A">
      <w:pPr>
        <w:spacing w:line="400" w:lineRule="exact"/>
        <w:ind w:firstLine="420" w:firstLineChars="200"/>
        <w:rPr>
          <w:rFonts w:hint="eastAsia" w:ascii="宋体" w:hAnsi="宋体" w:cs="宋体"/>
          <w:szCs w:val="21"/>
        </w:rPr>
      </w:pPr>
      <w:r>
        <w:rPr>
          <w:rFonts w:hint="eastAsia" w:ascii="宋体" w:hAnsi="宋体" w:cs="宋体"/>
          <w:szCs w:val="21"/>
        </w:rPr>
        <w:t>结算工程量应按工程量清单中约定的方法计算。</w:t>
      </w:r>
    </w:p>
    <w:p w14:paraId="618DB78D">
      <w:pPr>
        <w:spacing w:line="400" w:lineRule="exact"/>
        <w:ind w:firstLine="420" w:firstLineChars="200"/>
        <w:rPr>
          <w:rFonts w:hint="eastAsia" w:ascii="宋体" w:hAnsi="宋体" w:cs="宋体"/>
          <w:szCs w:val="21"/>
        </w:rPr>
      </w:pPr>
      <w:r>
        <w:rPr>
          <w:rFonts w:hint="eastAsia" w:ascii="宋体" w:hAnsi="宋体" w:cs="宋体"/>
          <w:szCs w:val="21"/>
        </w:rPr>
        <w:t>17.1.3 计量周期</w:t>
      </w:r>
    </w:p>
    <w:p w14:paraId="16E3F9C5">
      <w:pPr>
        <w:spacing w:line="400" w:lineRule="exact"/>
        <w:ind w:firstLine="420" w:firstLineChars="200"/>
        <w:rPr>
          <w:rFonts w:hint="eastAsia" w:ascii="宋体" w:hAnsi="宋体" w:cs="宋体"/>
          <w:szCs w:val="21"/>
        </w:rPr>
      </w:pPr>
      <w:r>
        <w:rPr>
          <w:rFonts w:hint="eastAsia" w:ascii="宋体" w:hAnsi="宋体" w:cs="宋体"/>
          <w:szCs w:val="21"/>
        </w:rPr>
        <w:t>除专用合同条款另有约定外，单价子目已完成工程量按月计量，总价子目的计量周期按批准的支付分解报告确定。</w:t>
      </w:r>
    </w:p>
    <w:p w14:paraId="6A2B7DA0">
      <w:pPr>
        <w:spacing w:line="400" w:lineRule="exact"/>
        <w:ind w:firstLine="420" w:firstLineChars="200"/>
        <w:rPr>
          <w:rFonts w:hint="eastAsia" w:ascii="宋体" w:hAnsi="宋体" w:cs="宋体"/>
          <w:szCs w:val="21"/>
        </w:rPr>
      </w:pPr>
      <w:r>
        <w:rPr>
          <w:rFonts w:hint="eastAsia" w:ascii="宋体" w:hAnsi="宋体" w:cs="宋体"/>
          <w:szCs w:val="21"/>
        </w:rPr>
        <w:t>17.1.4 单价子目的计量</w:t>
      </w:r>
    </w:p>
    <w:p w14:paraId="0828FB96">
      <w:pPr>
        <w:spacing w:line="400" w:lineRule="exact"/>
        <w:ind w:firstLine="718" w:firstLineChars="342"/>
        <w:rPr>
          <w:rFonts w:hint="eastAsia" w:ascii="宋体" w:hAnsi="宋体" w:cs="宋体"/>
          <w:szCs w:val="21"/>
        </w:rPr>
      </w:pPr>
      <w:r>
        <w:rPr>
          <w:rFonts w:hint="eastAsia" w:ascii="宋体" w:hAnsi="宋体" w:cs="宋体"/>
          <w:szCs w:val="21"/>
        </w:rPr>
        <w:t>（1）已标价工程量清单中的单价子目工程量为估算工程量。结算工程量是承包人实际完成的，并按合同约定的计量方法进行计量的工程量。</w:t>
      </w:r>
    </w:p>
    <w:p w14:paraId="4962332A">
      <w:pPr>
        <w:spacing w:line="400" w:lineRule="exact"/>
        <w:ind w:firstLine="718" w:firstLineChars="342"/>
        <w:rPr>
          <w:rFonts w:hint="eastAsia" w:ascii="宋体" w:hAnsi="宋体" w:cs="宋体"/>
          <w:szCs w:val="21"/>
        </w:rPr>
      </w:pPr>
      <w:r>
        <w:rPr>
          <w:rFonts w:hint="eastAsia" w:ascii="宋体" w:hAnsi="宋体" w:cs="宋体"/>
          <w:szCs w:val="21"/>
        </w:rPr>
        <w:t>（2）承包人对已完成的工程进行计量，向监理人提交进度付款申请单、已完成工程量报表和有关计量资料。</w:t>
      </w:r>
    </w:p>
    <w:p w14:paraId="66C36C1B">
      <w:pPr>
        <w:spacing w:line="400" w:lineRule="exact"/>
        <w:ind w:firstLine="718" w:firstLineChars="342"/>
        <w:rPr>
          <w:rFonts w:hint="eastAsia" w:ascii="宋体" w:hAnsi="宋体" w:cs="宋体"/>
          <w:szCs w:val="21"/>
        </w:rPr>
      </w:pPr>
      <w:r>
        <w:rPr>
          <w:rFonts w:hint="eastAsia" w:ascii="宋体" w:hAnsi="宋体" w:cs="宋体"/>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15F5C51">
      <w:pPr>
        <w:spacing w:line="400" w:lineRule="exact"/>
        <w:ind w:firstLine="718" w:firstLineChars="342"/>
        <w:rPr>
          <w:rFonts w:hint="eastAsia" w:ascii="宋体" w:hAnsi="宋体" w:cs="宋体"/>
          <w:szCs w:val="21"/>
        </w:rPr>
      </w:pPr>
      <w:r>
        <w:rPr>
          <w:rFonts w:hint="eastAsia" w:ascii="宋体" w:hAnsi="宋体" w:cs="宋体"/>
          <w:szCs w:val="21"/>
        </w:rPr>
        <w:t>（4）监理人认为有必要时，可通知承包人共同进行联合测量、计量，承包人应遵照执行。</w:t>
      </w:r>
    </w:p>
    <w:p w14:paraId="1526857F">
      <w:pPr>
        <w:spacing w:line="400" w:lineRule="exact"/>
        <w:ind w:firstLine="718" w:firstLineChars="342"/>
        <w:rPr>
          <w:rFonts w:hint="eastAsia" w:ascii="宋体" w:hAnsi="宋体" w:cs="宋体"/>
          <w:szCs w:val="21"/>
        </w:rPr>
      </w:pPr>
      <w:r>
        <w:rPr>
          <w:rFonts w:hint="eastAsia" w:ascii="宋体" w:hAnsi="宋体" w:cs="宋体"/>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EAAB8E5">
      <w:pPr>
        <w:spacing w:line="400" w:lineRule="exact"/>
        <w:ind w:firstLine="718" w:firstLineChars="342"/>
        <w:rPr>
          <w:rFonts w:hint="eastAsia" w:ascii="宋体" w:hAnsi="宋体" w:cs="宋体"/>
          <w:szCs w:val="21"/>
        </w:rPr>
      </w:pPr>
      <w:r>
        <w:rPr>
          <w:rFonts w:hint="eastAsia" w:ascii="宋体" w:hAnsi="宋体" w:cs="宋体"/>
          <w:szCs w:val="21"/>
        </w:rPr>
        <w:t>（6）监理人应在收到承包人提交的工程量报表后的7天内进行复核，监理人未在约定时间内复核的，承包人提交的工程量报表中的工程量视为承包人实际完成的工程量，据此计算工程价款。</w:t>
      </w:r>
    </w:p>
    <w:p w14:paraId="0C500CE9">
      <w:pPr>
        <w:spacing w:line="400" w:lineRule="exact"/>
        <w:ind w:firstLine="420" w:firstLineChars="200"/>
        <w:rPr>
          <w:rFonts w:hint="eastAsia" w:ascii="宋体" w:hAnsi="宋体" w:cs="宋体"/>
          <w:szCs w:val="21"/>
        </w:rPr>
      </w:pPr>
      <w:r>
        <w:rPr>
          <w:rFonts w:hint="eastAsia" w:ascii="宋体" w:hAnsi="宋体" w:cs="宋体"/>
          <w:szCs w:val="21"/>
        </w:rPr>
        <w:t xml:space="preserve">17.1.5 总价子目的计量 </w:t>
      </w:r>
    </w:p>
    <w:p w14:paraId="334FF1F8">
      <w:pPr>
        <w:spacing w:line="400" w:lineRule="exact"/>
        <w:ind w:firstLine="630" w:firstLineChars="300"/>
        <w:rPr>
          <w:rFonts w:hint="eastAsia" w:ascii="宋体" w:hAnsi="宋体" w:cs="宋体"/>
          <w:szCs w:val="21"/>
        </w:rPr>
      </w:pPr>
      <w:r>
        <w:rPr>
          <w:rFonts w:hint="eastAsia" w:ascii="宋体" w:hAnsi="宋体" w:cs="宋体"/>
          <w:szCs w:val="21"/>
        </w:rPr>
        <w:t>总价子目的分解和计量按照下述约定进行。</w:t>
      </w:r>
    </w:p>
    <w:p w14:paraId="11367130">
      <w:pPr>
        <w:spacing w:line="400" w:lineRule="exact"/>
        <w:ind w:firstLine="630" w:firstLineChars="300"/>
        <w:rPr>
          <w:rFonts w:hint="eastAsia" w:ascii="宋体" w:hAnsi="宋体" w:cs="宋体"/>
          <w:szCs w:val="21"/>
        </w:rPr>
      </w:pPr>
      <w:r>
        <w:rPr>
          <w:rFonts w:hint="eastAsia" w:ascii="宋体" w:hAnsi="宋体" w:cs="宋体"/>
          <w:szCs w:val="21"/>
        </w:rPr>
        <w:t>（1）总价子目的计量和支付应以总价为基础，不因第16.1款中的因素而进行调整。承包人实际完成的工程量，是进行工程目标管理和控制进度支付的依据。</w:t>
      </w:r>
    </w:p>
    <w:p w14:paraId="5694AA20">
      <w:pPr>
        <w:spacing w:line="400" w:lineRule="exact"/>
        <w:ind w:firstLine="630" w:firstLineChars="300"/>
        <w:rPr>
          <w:rFonts w:hint="eastAsia" w:ascii="宋体" w:hAnsi="宋体" w:cs="宋体"/>
          <w:szCs w:val="21"/>
        </w:rPr>
      </w:pPr>
      <w:r>
        <w:rPr>
          <w:rFonts w:hint="eastAsia" w:ascii="宋体" w:hAnsi="宋体" w:cs="宋体"/>
          <w:szCs w:val="21"/>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1A4487A8">
      <w:pPr>
        <w:spacing w:line="400" w:lineRule="exact"/>
        <w:ind w:firstLine="630" w:firstLineChars="300"/>
        <w:rPr>
          <w:rFonts w:hint="eastAsia" w:ascii="宋体" w:hAnsi="宋体" w:cs="宋体"/>
          <w:szCs w:val="21"/>
        </w:rPr>
      </w:pPr>
      <w:r>
        <w:rPr>
          <w:rFonts w:hint="eastAsia" w:ascii="宋体" w:hAnsi="宋体" w:cs="宋体"/>
          <w:szCs w:val="21"/>
        </w:rPr>
        <w:t>（3）监理人对承包人提交的上述资料进行复核，以确定分阶段实际完成的工程量和工程形象目标。对其有异议的，可要求承包人按第8.2款约定进行共同复核和抽样复测。</w:t>
      </w:r>
    </w:p>
    <w:p w14:paraId="7DAB2466">
      <w:pPr>
        <w:spacing w:line="400" w:lineRule="exact"/>
        <w:ind w:firstLine="630" w:firstLineChars="300"/>
        <w:rPr>
          <w:rFonts w:hint="eastAsia" w:ascii="宋体" w:hAnsi="宋体" w:cs="宋体"/>
          <w:szCs w:val="21"/>
        </w:rPr>
      </w:pPr>
      <w:r>
        <w:rPr>
          <w:rFonts w:hint="eastAsia" w:ascii="宋体" w:hAnsi="宋体" w:cs="宋体"/>
          <w:szCs w:val="21"/>
        </w:rPr>
        <w:t xml:space="preserve">（4）除按照第15条约定的变更外，总价子目的工程量是承包人用于结算的最终工程量。 </w:t>
      </w:r>
    </w:p>
    <w:p w14:paraId="28D388C1">
      <w:pPr>
        <w:pStyle w:val="5"/>
        <w:rPr>
          <w:rFonts w:hint="eastAsia" w:ascii="宋体" w:hAnsi="宋体" w:cs="宋体"/>
          <w:sz w:val="28"/>
          <w:szCs w:val="28"/>
        </w:rPr>
      </w:pPr>
      <w:r>
        <w:rPr>
          <w:rFonts w:hint="eastAsia" w:ascii="宋体" w:hAnsi="宋体" w:cs="宋体"/>
          <w:sz w:val="28"/>
          <w:szCs w:val="28"/>
        </w:rPr>
        <w:t>17.2 预付款</w:t>
      </w:r>
      <w:bookmarkEnd w:id="456"/>
    </w:p>
    <w:p w14:paraId="16E25C03">
      <w:pPr>
        <w:spacing w:line="400" w:lineRule="exact"/>
        <w:ind w:firstLine="420" w:firstLineChars="200"/>
        <w:rPr>
          <w:rFonts w:hint="eastAsia" w:ascii="宋体" w:hAnsi="宋体" w:cs="宋体"/>
          <w:szCs w:val="21"/>
        </w:rPr>
      </w:pPr>
      <w:bookmarkStart w:id="457" w:name="_Toc221951006"/>
      <w:r>
        <w:rPr>
          <w:rFonts w:hint="eastAsia" w:ascii="宋体" w:hAnsi="宋体" w:cs="宋体"/>
          <w:szCs w:val="21"/>
        </w:rPr>
        <w:t>17.2.1 预付款</w:t>
      </w:r>
    </w:p>
    <w:p w14:paraId="35F189CC">
      <w:pPr>
        <w:spacing w:line="400" w:lineRule="exact"/>
        <w:ind w:firstLine="420" w:firstLineChars="200"/>
        <w:rPr>
          <w:rFonts w:hint="eastAsia" w:ascii="宋体" w:hAnsi="宋体" w:cs="宋体"/>
          <w:szCs w:val="21"/>
        </w:rPr>
      </w:pPr>
      <w:r>
        <w:rPr>
          <w:rFonts w:hint="eastAsia" w:ascii="宋体" w:hAnsi="宋体" w:cs="宋体"/>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70537342">
      <w:pPr>
        <w:spacing w:line="400" w:lineRule="exact"/>
        <w:ind w:firstLine="420" w:firstLineChars="200"/>
        <w:rPr>
          <w:rFonts w:hint="eastAsia" w:ascii="宋体" w:hAnsi="宋体" w:cs="宋体"/>
          <w:szCs w:val="21"/>
        </w:rPr>
      </w:pPr>
      <w:r>
        <w:rPr>
          <w:rFonts w:hint="eastAsia" w:ascii="宋体" w:hAnsi="宋体" w:cs="宋体"/>
          <w:szCs w:val="21"/>
        </w:rPr>
        <w:t>17.2.2 预付款保函（担保）</w:t>
      </w:r>
    </w:p>
    <w:p w14:paraId="65F86B08">
      <w:pPr>
        <w:spacing w:line="400" w:lineRule="exact"/>
        <w:ind w:firstLine="420" w:firstLineChars="200"/>
        <w:rPr>
          <w:rFonts w:hint="eastAsia" w:ascii="宋体" w:hAnsi="宋体" w:cs="宋体"/>
          <w:szCs w:val="21"/>
        </w:rPr>
      </w:pPr>
      <w:r>
        <w:rPr>
          <w:rFonts w:hint="eastAsia" w:ascii="宋体" w:hAnsi="宋体" w:cs="宋体"/>
          <w:szCs w:val="21"/>
        </w:rPr>
        <w:t>（1）承包人应在收到第一次工程预付款的同时向发包人提交工程预付款担保，担保金额应与第一次工程预付款金额相同，工程预付款担保在第一次工程预付款被发包人扣回前一直有效。</w:t>
      </w:r>
    </w:p>
    <w:p w14:paraId="258F78B8">
      <w:pPr>
        <w:spacing w:line="400" w:lineRule="exact"/>
        <w:ind w:firstLine="420" w:firstLineChars="200"/>
        <w:rPr>
          <w:rFonts w:hint="eastAsia" w:ascii="宋体" w:hAnsi="宋体" w:cs="宋体"/>
          <w:szCs w:val="21"/>
        </w:rPr>
      </w:pPr>
      <w:r>
        <w:rPr>
          <w:rFonts w:hint="eastAsia" w:ascii="宋体" w:hAnsi="宋体" w:cs="宋体"/>
          <w:szCs w:val="21"/>
        </w:rPr>
        <w:t>（2）工程材料预付款的担保在专用合同条款中约定。</w:t>
      </w:r>
    </w:p>
    <w:p w14:paraId="6ADFABA6">
      <w:pPr>
        <w:spacing w:line="400" w:lineRule="exact"/>
        <w:ind w:firstLine="420" w:firstLineChars="200"/>
        <w:rPr>
          <w:rFonts w:hint="eastAsia" w:ascii="宋体" w:hAnsi="宋体" w:cs="宋体"/>
          <w:szCs w:val="21"/>
        </w:rPr>
      </w:pPr>
      <w:r>
        <w:rPr>
          <w:rFonts w:hint="eastAsia" w:ascii="宋体" w:hAnsi="宋体" w:cs="宋体"/>
          <w:szCs w:val="21"/>
        </w:rPr>
        <w:t>（3）预付款担保的担保金额可根据预付款扣回的金额相应递减。</w:t>
      </w:r>
    </w:p>
    <w:p w14:paraId="51A00510">
      <w:pPr>
        <w:spacing w:line="400" w:lineRule="exact"/>
        <w:ind w:firstLine="420" w:firstLineChars="200"/>
        <w:rPr>
          <w:rFonts w:hint="eastAsia" w:ascii="宋体" w:hAnsi="宋体" w:cs="宋体"/>
          <w:szCs w:val="21"/>
        </w:rPr>
      </w:pPr>
      <w:r>
        <w:rPr>
          <w:rFonts w:hint="eastAsia" w:ascii="宋体" w:hAnsi="宋体" w:cs="宋体"/>
          <w:szCs w:val="21"/>
        </w:rPr>
        <w:t>17.2.3 预付款的扣回与还清</w:t>
      </w:r>
    </w:p>
    <w:p w14:paraId="45E43EA0">
      <w:pPr>
        <w:spacing w:line="400" w:lineRule="exact"/>
        <w:ind w:firstLine="420" w:firstLineChars="200"/>
        <w:rPr>
          <w:rFonts w:hint="eastAsia" w:ascii="宋体" w:hAnsi="宋体" w:cs="宋体"/>
          <w:szCs w:val="21"/>
        </w:rPr>
      </w:pPr>
      <w:r>
        <w:rPr>
          <w:rFonts w:hint="eastAsia" w:ascii="宋体" w:hAnsi="宋体" w:cs="宋体"/>
          <w:szCs w:val="21"/>
        </w:rPr>
        <w:t>预付款在进度付款中扣回，扣回与还清办法在专用合同条款中约定。在颁发合同工程完工证书前，由于不可抗力或其它原因解除合同时，预付款尚未扣清的，尚未扣清的预付款余额应作为承包人的到期应付款。</w:t>
      </w:r>
    </w:p>
    <w:bookmarkEnd w:id="457"/>
    <w:p w14:paraId="1400C644">
      <w:pPr>
        <w:pStyle w:val="5"/>
        <w:rPr>
          <w:rFonts w:hint="eastAsia" w:ascii="宋体" w:hAnsi="宋体" w:eastAsia="宋体" w:cs="宋体"/>
          <w:b/>
          <w:bCs/>
          <w:sz w:val="28"/>
          <w:szCs w:val="28"/>
        </w:rPr>
      </w:pPr>
      <w:bookmarkStart w:id="458" w:name="_Toc179632739"/>
      <w:bookmarkStart w:id="459" w:name="_Toc152042500"/>
      <w:bookmarkStart w:id="460" w:name="_Toc152045721"/>
      <w:bookmarkStart w:id="461" w:name="_Toc144974692"/>
      <w:bookmarkStart w:id="462" w:name="_Toc221951013"/>
      <w:r>
        <w:rPr>
          <w:rFonts w:hint="eastAsia" w:ascii="宋体" w:hAnsi="宋体" w:eastAsia="宋体" w:cs="宋体"/>
          <w:b/>
          <w:bCs/>
          <w:sz w:val="28"/>
          <w:szCs w:val="28"/>
        </w:rPr>
        <w:t>17.3 工程进度付款</w:t>
      </w:r>
      <w:bookmarkEnd w:id="458"/>
      <w:bookmarkEnd w:id="459"/>
      <w:bookmarkEnd w:id="460"/>
      <w:bookmarkEnd w:id="461"/>
    </w:p>
    <w:p w14:paraId="73173BE2">
      <w:pPr>
        <w:spacing w:line="400" w:lineRule="exact"/>
        <w:ind w:firstLine="420" w:firstLineChars="200"/>
        <w:rPr>
          <w:rFonts w:hint="eastAsia" w:ascii="宋体" w:hAnsi="宋体" w:cs="宋体"/>
          <w:szCs w:val="21"/>
        </w:rPr>
      </w:pPr>
      <w:r>
        <w:rPr>
          <w:rFonts w:hint="eastAsia" w:ascii="宋体" w:hAnsi="宋体" w:cs="宋体"/>
          <w:szCs w:val="21"/>
        </w:rPr>
        <w:t>17.3.1 付款周期</w:t>
      </w:r>
    </w:p>
    <w:p w14:paraId="3D69CFF8">
      <w:pPr>
        <w:spacing w:line="400" w:lineRule="exact"/>
        <w:ind w:firstLine="420" w:firstLineChars="200"/>
        <w:rPr>
          <w:rFonts w:hint="eastAsia" w:ascii="宋体" w:hAnsi="宋体" w:cs="宋体"/>
          <w:szCs w:val="21"/>
        </w:rPr>
      </w:pPr>
      <w:r>
        <w:rPr>
          <w:rFonts w:hint="eastAsia" w:ascii="宋体" w:hAnsi="宋体" w:cs="宋体"/>
          <w:szCs w:val="21"/>
        </w:rPr>
        <w:t>付款周期同计量周期。</w:t>
      </w:r>
    </w:p>
    <w:p w14:paraId="3DFA9D98">
      <w:pPr>
        <w:spacing w:line="400" w:lineRule="exact"/>
        <w:ind w:firstLine="420" w:firstLineChars="200"/>
        <w:rPr>
          <w:rFonts w:hint="eastAsia" w:ascii="宋体" w:hAnsi="宋体" w:cs="宋体"/>
          <w:szCs w:val="21"/>
        </w:rPr>
      </w:pPr>
      <w:r>
        <w:rPr>
          <w:rFonts w:hint="eastAsia" w:ascii="宋体" w:hAnsi="宋体" w:cs="宋体"/>
          <w:szCs w:val="21"/>
        </w:rPr>
        <w:t>17.3.2 进度付款申请单</w:t>
      </w:r>
    </w:p>
    <w:p w14:paraId="75BC7F2D">
      <w:pPr>
        <w:spacing w:line="400" w:lineRule="exact"/>
        <w:ind w:firstLine="420" w:firstLineChars="200"/>
        <w:rPr>
          <w:rFonts w:hint="eastAsia" w:ascii="宋体" w:hAnsi="宋体" w:cs="宋体"/>
          <w:dstrike/>
          <w:szCs w:val="21"/>
        </w:rPr>
      </w:pPr>
      <w:r>
        <w:rPr>
          <w:rFonts w:hint="eastAsia" w:ascii="宋体" w:hAnsi="宋体" w:cs="宋体"/>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CD932A3">
      <w:pPr>
        <w:spacing w:line="400" w:lineRule="exact"/>
        <w:ind w:firstLine="420" w:firstLineChars="200"/>
        <w:rPr>
          <w:rFonts w:hint="eastAsia" w:ascii="宋体" w:hAnsi="宋体" w:cs="宋体"/>
          <w:szCs w:val="21"/>
        </w:rPr>
      </w:pPr>
      <w:r>
        <w:rPr>
          <w:rFonts w:hint="eastAsia" w:ascii="宋体" w:hAnsi="宋体" w:cs="宋体"/>
          <w:szCs w:val="21"/>
        </w:rPr>
        <w:t>（1）截至本次付款周期末已实施工程的价款；</w:t>
      </w:r>
    </w:p>
    <w:p w14:paraId="58EC9A9B">
      <w:pPr>
        <w:spacing w:line="400" w:lineRule="exact"/>
        <w:ind w:firstLine="420" w:firstLineChars="200"/>
        <w:rPr>
          <w:rFonts w:hint="eastAsia" w:ascii="宋体" w:hAnsi="宋体" w:cs="宋体"/>
          <w:szCs w:val="21"/>
        </w:rPr>
      </w:pPr>
      <w:r>
        <w:rPr>
          <w:rFonts w:hint="eastAsia" w:ascii="宋体" w:hAnsi="宋体" w:cs="宋体"/>
          <w:szCs w:val="21"/>
        </w:rPr>
        <w:t>（2）根据第15条应增加和扣减的变更金额；</w:t>
      </w:r>
    </w:p>
    <w:p w14:paraId="04B56461">
      <w:pPr>
        <w:spacing w:line="400" w:lineRule="exact"/>
        <w:ind w:firstLine="420" w:firstLineChars="200"/>
        <w:rPr>
          <w:rFonts w:hint="eastAsia" w:ascii="宋体" w:hAnsi="宋体" w:cs="宋体"/>
          <w:szCs w:val="21"/>
        </w:rPr>
      </w:pPr>
      <w:r>
        <w:rPr>
          <w:rFonts w:hint="eastAsia" w:ascii="宋体" w:hAnsi="宋体" w:cs="宋体"/>
          <w:szCs w:val="21"/>
        </w:rPr>
        <w:t>（3）根据第23条应增加和扣减的索赔金额；</w:t>
      </w:r>
    </w:p>
    <w:p w14:paraId="7CFDBFAA">
      <w:pPr>
        <w:spacing w:line="400" w:lineRule="exact"/>
        <w:ind w:firstLine="420" w:firstLineChars="200"/>
        <w:rPr>
          <w:rFonts w:hint="eastAsia" w:ascii="宋体" w:hAnsi="宋体" w:cs="宋体"/>
          <w:szCs w:val="21"/>
        </w:rPr>
      </w:pPr>
      <w:r>
        <w:rPr>
          <w:rFonts w:hint="eastAsia" w:ascii="宋体" w:hAnsi="宋体" w:cs="宋体"/>
          <w:szCs w:val="21"/>
        </w:rPr>
        <w:t>（4）根据第17.2款约定应支付的预付款和扣减的返还预付款；</w:t>
      </w:r>
    </w:p>
    <w:p w14:paraId="0EAE5250">
      <w:pPr>
        <w:spacing w:line="400" w:lineRule="exact"/>
        <w:ind w:firstLine="420" w:firstLineChars="200"/>
        <w:rPr>
          <w:rFonts w:hint="eastAsia" w:ascii="宋体" w:hAnsi="宋体" w:cs="宋体"/>
          <w:szCs w:val="21"/>
        </w:rPr>
      </w:pPr>
      <w:r>
        <w:rPr>
          <w:rFonts w:hint="eastAsia" w:ascii="宋体" w:hAnsi="宋体" w:cs="宋体"/>
          <w:szCs w:val="21"/>
        </w:rPr>
        <w:t>（5）根据第17.4.1项约定应扣减的质量保证金；</w:t>
      </w:r>
    </w:p>
    <w:p w14:paraId="445A40D3">
      <w:pPr>
        <w:spacing w:line="400" w:lineRule="exact"/>
        <w:ind w:firstLine="420" w:firstLineChars="200"/>
        <w:rPr>
          <w:rFonts w:hint="eastAsia" w:ascii="宋体" w:hAnsi="宋体" w:cs="宋体"/>
          <w:szCs w:val="21"/>
        </w:rPr>
      </w:pPr>
      <w:r>
        <w:rPr>
          <w:rFonts w:hint="eastAsia" w:ascii="宋体" w:hAnsi="宋体" w:cs="宋体"/>
          <w:szCs w:val="21"/>
        </w:rPr>
        <w:t>（6）根据合同应增加和扣减的其他金额。</w:t>
      </w:r>
    </w:p>
    <w:p w14:paraId="7955070E">
      <w:pPr>
        <w:spacing w:line="400" w:lineRule="exact"/>
        <w:ind w:firstLine="420" w:firstLineChars="200"/>
        <w:rPr>
          <w:rFonts w:hint="eastAsia" w:ascii="宋体" w:hAnsi="宋体" w:cs="宋体"/>
          <w:szCs w:val="21"/>
        </w:rPr>
      </w:pPr>
      <w:r>
        <w:rPr>
          <w:rFonts w:hint="eastAsia" w:ascii="宋体" w:hAnsi="宋体" w:cs="宋体"/>
          <w:szCs w:val="21"/>
        </w:rPr>
        <w:t>17.3.3 进度付款证书和支付时间</w:t>
      </w:r>
    </w:p>
    <w:p w14:paraId="0959B7E8">
      <w:pPr>
        <w:spacing w:line="400" w:lineRule="exact"/>
        <w:ind w:firstLine="630" w:firstLineChars="300"/>
        <w:rPr>
          <w:rFonts w:hint="eastAsia" w:ascii="宋体" w:hAnsi="宋体" w:cs="宋体"/>
          <w:szCs w:val="21"/>
        </w:rPr>
      </w:pPr>
      <w:r>
        <w:rPr>
          <w:rFonts w:hint="eastAsia" w:ascii="宋体" w:hAnsi="宋体" w:cs="宋体"/>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B33E4D3">
      <w:pPr>
        <w:spacing w:line="400" w:lineRule="exact"/>
        <w:ind w:firstLine="718" w:firstLineChars="342"/>
        <w:rPr>
          <w:rFonts w:hint="eastAsia" w:ascii="宋体" w:hAnsi="宋体" w:cs="宋体"/>
          <w:szCs w:val="21"/>
        </w:rPr>
      </w:pPr>
      <w:r>
        <w:rPr>
          <w:rFonts w:hint="eastAsia" w:ascii="宋体" w:hAnsi="宋体" w:cs="宋体"/>
          <w:szCs w:val="21"/>
        </w:rPr>
        <w:t>（2）发包人应在监理人收到进度付款申请单后的28天内，将进度应付款支付给承包人。发包人不按期支付的，按专用合同条款的约定支付逾期付款违约金。</w:t>
      </w:r>
    </w:p>
    <w:p w14:paraId="015B46DE">
      <w:pPr>
        <w:spacing w:line="400" w:lineRule="exact"/>
        <w:ind w:firstLine="718" w:firstLineChars="342"/>
        <w:rPr>
          <w:rFonts w:hint="eastAsia" w:ascii="宋体" w:hAnsi="宋体" w:cs="宋体"/>
          <w:szCs w:val="21"/>
        </w:rPr>
      </w:pPr>
      <w:r>
        <w:rPr>
          <w:rFonts w:hint="eastAsia" w:ascii="宋体" w:hAnsi="宋体" w:cs="宋体"/>
          <w:szCs w:val="21"/>
        </w:rPr>
        <w:t>（3）监理人出具进度付款证书，不应视为监理人已同意、批准或接受了承包人完成的该部分工作。</w:t>
      </w:r>
    </w:p>
    <w:p w14:paraId="5546A650">
      <w:pPr>
        <w:spacing w:line="400" w:lineRule="exact"/>
        <w:ind w:firstLine="718" w:firstLineChars="342"/>
        <w:rPr>
          <w:rFonts w:hint="eastAsia" w:ascii="宋体" w:hAnsi="宋体" w:cs="宋体"/>
          <w:szCs w:val="21"/>
        </w:rPr>
      </w:pPr>
      <w:r>
        <w:rPr>
          <w:rFonts w:hint="eastAsia" w:ascii="宋体" w:hAnsi="宋体" w:cs="宋体"/>
          <w:szCs w:val="21"/>
        </w:rPr>
        <w:t>（4）进度付款涉及政府投资资金的，按照国库集中支付等国家相关规定和专用合同条款的约定办理。</w:t>
      </w:r>
    </w:p>
    <w:p w14:paraId="0B55C31B">
      <w:pPr>
        <w:spacing w:line="400" w:lineRule="exact"/>
        <w:ind w:firstLine="420" w:firstLineChars="200"/>
        <w:rPr>
          <w:rFonts w:hint="eastAsia" w:ascii="宋体" w:hAnsi="宋体" w:cs="宋体"/>
          <w:szCs w:val="21"/>
        </w:rPr>
      </w:pPr>
      <w:r>
        <w:rPr>
          <w:rFonts w:hint="eastAsia" w:ascii="宋体" w:hAnsi="宋体" w:cs="宋体"/>
          <w:szCs w:val="21"/>
        </w:rPr>
        <w:t>17.3.4 工程进度付款的修正</w:t>
      </w:r>
    </w:p>
    <w:p w14:paraId="56200CF2">
      <w:pPr>
        <w:spacing w:line="400" w:lineRule="exact"/>
        <w:ind w:firstLine="420" w:firstLineChars="200"/>
        <w:rPr>
          <w:rFonts w:hint="eastAsia" w:ascii="宋体" w:hAnsi="宋体" w:cs="宋体"/>
          <w:szCs w:val="21"/>
        </w:rPr>
      </w:pPr>
      <w:r>
        <w:rPr>
          <w:rFonts w:hint="eastAsia" w:ascii="宋体" w:hAnsi="宋体" w:cs="宋体"/>
          <w:szCs w:val="21"/>
        </w:rPr>
        <w:t>在对以往历次已签发的进度付款证书进行汇总和复核中发现错、漏或重复的，监理人有权予以修正，承包人也有权提出修正申请。经双方复核同意的修正，应在本次进度付款中支付或扣除。</w:t>
      </w:r>
    </w:p>
    <w:p w14:paraId="03CCCAA0">
      <w:pPr>
        <w:pStyle w:val="5"/>
        <w:rPr>
          <w:rFonts w:hint="eastAsia" w:ascii="宋体" w:hAnsi="宋体" w:cs="宋体"/>
          <w:sz w:val="28"/>
          <w:szCs w:val="28"/>
        </w:rPr>
      </w:pPr>
      <w:r>
        <w:rPr>
          <w:rFonts w:hint="eastAsia" w:ascii="宋体" w:hAnsi="宋体" w:cs="宋体"/>
          <w:sz w:val="28"/>
          <w:szCs w:val="28"/>
        </w:rPr>
        <w:t>17.4 质量保证金</w:t>
      </w:r>
      <w:bookmarkEnd w:id="462"/>
    </w:p>
    <w:p w14:paraId="60FD662B">
      <w:pPr>
        <w:spacing w:line="400" w:lineRule="exact"/>
        <w:ind w:firstLine="420" w:firstLineChars="200"/>
        <w:rPr>
          <w:rFonts w:hint="eastAsia" w:ascii="宋体" w:hAnsi="宋体" w:cs="宋体"/>
          <w:szCs w:val="21"/>
        </w:rPr>
      </w:pPr>
      <w:bookmarkStart w:id="463" w:name="_Toc221951015"/>
      <w:r>
        <w:rPr>
          <w:rFonts w:hint="eastAsia" w:ascii="宋体" w:hAnsi="宋体" w:cs="宋体"/>
          <w:szCs w:val="21"/>
        </w:rPr>
        <w:t>17.4.1监理人应从第一个工程进度付款周期开始，在发包人的进度付款中，按专用合同条款约定扣留质量保证金，直至扣留的工程质量保证金总额达到专用合同条款约定的金额或比例为止。质量保证金的计算额度不止包括预付款的支付与扣回金额。</w:t>
      </w:r>
    </w:p>
    <w:p w14:paraId="3B06A338">
      <w:pPr>
        <w:spacing w:line="400" w:lineRule="exact"/>
        <w:ind w:firstLine="420" w:firstLineChars="200"/>
        <w:rPr>
          <w:rFonts w:hint="eastAsia" w:ascii="宋体" w:hAnsi="宋体" w:cs="宋体"/>
          <w:szCs w:val="21"/>
        </w:rPr>
      </w:pPr>
      <w:r>
        <w:rPr>
          <w:rFonts w:hint="eastAsia" w:ascii="宋体" w:hAnsi="宋体" w:cs="宋体"/>
          <w:szCs w:val="21"/>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0745F1A8">
      <w:pPr>
        <w:spacing w:line="400" w:lineRule="exact"/>
        <w:ind w:firstLine="420" w:firstLineChars="200"/>
        <w:rPr>
          <w:rFonts w:hint="eastAsia" w:ascii="宋体" w:hAnsi="宋体" w:cs="宋体"/>
          <w:szCs w:val="21"/>
        </w:rPr>
      </w:pPr>
      <w:r>
        <w:rPr>
          <w:rFonts w:hint="eastAsia" w:ascii="宋体" w:hAnsi="宋体" w:cs="宋体"/>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0B8E30E">
      <w:pPr>
        <w:pStyle w:val="5"/>
        <w:rPr>
          <w:rFonts w:hint="eastAsia" w:ascii="宋体" w:hAnsi="宋体" w:cs="宋体"/>
          <w:sz w:val="28"/>
          <w:szCs w:val="28"/>
        </w:rPr>
      </w:pPr>
      <w:r>
        <w:rPr>
          <w:rFonts w:hint="eastAsia" w:ascii="宋体" w:hAnsi="宋体" w:cs="宋体"/>
          <w:sz w:val="28"/>
          <w:szCs w:val="28"/>
        </w:rPr>
        <w:t>17.5 竣工结算</w:t>
      </w:r>
      <w:bookmarkEnd w:id="463"/>
      <w:r>
        <w:rPr>
          <w:rFonts w:hint="eastAsia" w:ascii="宋体" w:hAnsi="宋体" w:cs="宋体"/>
          <w:sz w:val="28"/>
          <w:szCs w:val="28"/>
        </w:rPr>
        <w:t>（完工结算）</w:t>
      </w:r>
    </w:p>
    <w:p w14:paraId="2D31E9FE">
      <w:pPr>
        <w:spacing w:line="400" w:lineRule="exact"/>
        <w:ind w:firstLine="420" w:firstLineChars="200"/>
        <w:rPr>
          <w:rFonts w:hint="eastAsia" w:ascii="宋体" w:hAnsi="宋体" w:cs="宋体"/>
          <w:szCs w:val="21"/>
        </w:rPr>
      </w:pPr>
      <w:r>
        <w:rPr>
          <w:rFonts w:hint="eastAsia" w:ascii="宋体" w:hAnsi="宋体" w:cs="宋体"/>
          <w:szCs w:val="21"/>
        </w:rPr>
        <w:t>17.5.1 竣工（完工）付款申请单</w:t>
      </w:r>
    </w:p>
    <w:p w14:paraId="6DA939B8">
      <w:pPr>
        <w:spacing w:line="400" w:lineRule="exact"/>
        <w:ind w:firstLine="718" w:firstLineChars="342"/>
        <w:rPr>
          <w:rFonts w:hint="eastAsia" w:ascii="宋体" w:hAnsi="宋体" w:cs="宋体"/>
          <w:szCs w:val="21"/>
        </w:rPr>
      </w:pPr>
      <w:r>
        <w:rPr>
          <w:rFonts w:hint="eastAsia" w:ascii="宋体" w:hAnsi="宋体" w:cs="宋体"/>
          <w:szCs w:val="21"/>
        </w:rPr>
        <w:t>（1）</w:t>
      </w:r>
      <w:r>
        <w:rPr>
          <w:rFonts w:hint="eastAsia" w:ascii="宋体" w:hAnsi="宋体" w:cs="宋体"/>
          <w:bCs/>
          <w:szCs w:val="21"/>
        </w:rPr>
        <w:t>承包人应在工程接收证书颁发后28天内，按专用合同条款约定的份数向监理人提交完工付款申请单，</w:t>
      </w:r>
      <w:r>
        <w:rPr>
          <w:rFonts w:hint="eastAsia" w:ascii="宋体" w:hAnsi="宋体" w:cs="宋体"/>
          <w:szCs w:val="21"/>
        </w:rPr>
        <w:t>并提供相关证明材料。完工付款申请单应包括下列内容：完工结算合同总价、发包人已支付承包人的工程价款、应扣留的质量保证金、应支付的完工付款金额。</w:t>
      </w:r>
    </w:p>
    <w:p w14:paraId="6B65FAA3">
      <w:pPr>
        <w:spacing w:line="400" w:lineRule="exact"/>
        <w:ind w:firstLine="718" w:firstLineChars="342"/>
        <w:rPr>
          <w:rFonts w:hint="eastAsia" w:ascii="宋体" w:hAnsi="宋体" w:cs="宋体"/>
          <w:szCs w:val="21"/>
        </w:rPr>
      </w:pPr>
      <w:r>
        <w:rPr>
          <w:rFonts w:hint="eastAsia" w:ascii="宋体" w:hAnsi="宋体" w:cs="宋体"/>
          <w:szCs w:val="21"/>
        </w:rPr>
        <w:t>（2）监理人对完工付款申请单有异议的，有权要求承包人进行修正和提供补充资料。经监理人和承包人协商后，由承包人向监理人提交修正后的完工付款申请单。</w:t>
      </w:r>
    </w:p>
    <w:p w14:paraId="64569A55">
      <w:pPr>
        <w:spacing w:line="400" w:lineRule="exact"/>
        <w:ind w:firstLine="420" w:firstLineChars="200"/>
        <w:rPr>
          <w:rFonts w:hint="eastAsia" w:ascii="宋体" w:hAnsi="宋体" w:cs="宋体"/>
          <w:szCs w:val="21"/>
        </w:rPr>
      </w:pPr>
      <w:r>
        <w:rPr>
          <w:rFonts w:hint="eastAsia" w:ascii="宋体" w:hAnsi="宋体" w:cs="宋体"/>
          <w:szCs w:val="21"/>
        </w:rPr>
        <w:t>17.5.2 竣工（完工）付款证书及支付时间</w:t>
      </w:r>
    </w:p>
    <w:p w14:paraId="1254EAC7">
      <w:pPr>
        <w:spacing w:line="400" w:lineRule="exact"/>
        <w:ind w:firstLine="718" w:firstLineChars="342"/>
        <w:rPr>
          <w:rFonts w:hint="eastAsia" w:ascii="宋体" w:hAnsi="宋体" w:cs="宋体"/>
          <w:szCs w:val="21"/>
        </w:rPr>
      </w:pPr>
      <w:r>
        <w:rPr>
          <w:rFonts w:hint="eastAsia" w:ascii="宋体" w:hAnsi="宋体" w:cs="宋体"/>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29C99C1C">
      <w:pPr>
        <w:spacing w:line="400" w:lineRule="exact"/>
        <w:ind w:firstLine="718" w:firstLineChars="342"/>
        <w:rPr>
          <w:rFonts w:hint="eastAsia" w:ascii="宋体" w:hAnsi="宋体" w:cs="宋体"/>
          <w:szCs w:val="21"/>
        </w:rPr>
      </w:pPr>
      <w:r>
        <w:rPr>
          <w:rFonts w:hint="eastAsia" w:ascii="宋体" w:hAnsi="宋体" w:cs="宋体"/>
          <w:szCs w:val="21"/>
        </w:rPr>
        <w:t>（2）发包人应在监理人出具完工付款证书后的14天内，将应支付款支付给承包人。发包人不按期支付的，按第17.3.3（2）目的约定，将逾期付款违约金支付给承包人。</w:t>
      </w:r>
    </w:p>
    <w:p w14:paraId="086F42C7">
      <w:pPr>
        <w:spacing w:line="400" w:lineRule="exact"/>
        <w:ind w:firstLine="718" w:firstLineChars="342"/>
        <w:rPr>
          <w:rFonts w:hint="eastAsia" w:ascii="宋体" w:hAnsi="宋体" w:cs="宋体"/>
          <w:szCs w:val="21"/>
        </w:rPr>
      </w:pPr>
      <w:r>
        <w:rPr>
          <w:rFonts w:hint="eastAsia" w:ascii="宋体" w:hAnsi="宋体" w:cs="宋体"/>
          <w:szCs w:val="21"/>
        </w:rPr>
        <w:t>（3）承包人对发包人签认的完工付款证书有异议的，发包人可出具完工付款申请单中承包人已同意部分的临时付款证书。存在争议的部分，按第24条的约定办理。</w:t>
      </w:r>
    </w:p>
    <w:p w14:paraId="55DEFBAB">
      <w:pPr>
        <w:spacing w:line="400" w:lineRule="exact"/>
        <w:ind w:firstLine="630" w:firstLineChars="300"/>
        <w:rPr>
          <w:rFonts w:hint="eastAsia" w:ascii="宋体" w:hAnsi="宋体" w:cs="宋体"/>
          <w:szCs w:val="21"/>
        </w:rPr>
      </w:pPr>
      <w:r>
        <w:rPr>
          <w:rFonts w:hint="eastAsia" w:ascii="宋体" w:hAnsi="宋体" w:cs="宋体"/>
          <w:szCs w:val="21"/>
        </w:rPr>
        <w:t>（4）完工付款涉及政府投资资金的，按第17.3.3（４）目的约定办理。</w:t>
      </w:r>
    </w:p>
    <w:p w14:paraId="7B56F3E7">
      <w:pPr>
        <w:pStyle w:val="5"/>
        <w:rPr>
          <w:rFonts w:hint="eastAsia" w:ascii="宋体" w:hAnsi="宋体" w:cs="宋体"/>
          <w:sz w:val="28"/>
          <w:szCs w:val="28"/>
        </w:rPr>
      </w:pPr>
      <w:bookmarkStart w:id="464" w:name="_Toc221951017"/>
      <w:r>
        <w:rPr>
          <w:rFonts w:hint="eastAsia" w:ascii="宋体" w:hAnsi="宋体" w:cs="宋体"/>
          <w:sz w:val="28"/>
          <w:szCs w:val="28"/>
        </w:rPr>
        <w:t>17.6 最终结清</w:t>
      </w:r>
      <w:bookmarkEnd w:id="464"/>
    </w:p>
    <w:p w14:paraId="5793D753">
      <w:pPr>
        <w:spacing w:line="400" w:lineRule="exact"/>
        <w:ind w:firstLine="420" w:firstLineChars="200"/>
        <w:rPr>
          <w:rFonts w:hint="eastAsia" w:ascii="宋体" w:hAnsi="宋体" w:cs="宋体"/>
          <w:szCs w:val="21"/>
        </w:rPr>
      </w:pPr>
      <w:r>
        <w:rPr>
          <w:rFonts w:hint="eastAsia" w:ascii="宋体" w:hAnsi="宋体" w:cs="宋体"/>
          <w:szCs w:val="21"/>
        </w:rPr>
        <w:t>17.6.1 最终结清申请单</w:t>
      </w:r>
    </w:p>
    <w:p w14:paraId="0458E65A">
      <w:pPr>
        <w:spacing w:line="400" w:lineRule="exact"/>
        <w:ind w:firstLine="718" w:firstLineChars="342"/>
        <w:rPr>
          <w:rFonts w:hint="eastAsia" w:ascii="宋体" w:hAnsi="宋体" w:cs="宋体"/>
          <w:szCs w:val="21"/>
        </w:rPr>
      </w:pPr>
      <w:r>
        <w:rPr>
          <w:rFonts w:hint="eastAsia" w:ascii="宋体" w:hAnsi="宋体" w:cs="宋体"/>
          <w:szCs w:val="21"/>
        </w:rPr>
        <w:t>（1）工程质量保修责任终止证书签发后，承包人应按监理人批准的格式提交最终结清申请单。提交最终结清申请单的份数在专用合同条款中约定。</w:t>
      </w:r>
    </w:p>
    <w:p w14:paraId="478F4796">
      <w:pPr>
        <w:spacing w:line="400" w:lineRule="exact"/>
        <w:ind w:firstLine="718" w:firstLineChars="342"/>
        <w:rPr>
          <w:rFonts w:hint="eastAsia" w:ascii="宋体" w:hAnsi="宋体" w:cs="宋体"/>
          <w:szCs w:val="21"/>
        </w:rPr>
      </w:pPr>
      <w:r>
        <w:rPr>
          <w:rFonts w:hint="eastAsia" w:ascii="宋体" w:hAnsi="宋体" w:cs="宋体"/>
          <w:szCs w:val="21"/>
        </w:rPr>
        <w:t>（2）发包人对最终结清申请单内容有异议的，有权要求承包人进行修正和提供补充资料，由承包人向监理人提交修正后的最终结清申请单。</w:t>
      </w:r>
    </w:p>
    <w:p w14:paraId="72DB0379">
      <w:pPr>
        <w:spacing w:line="400" w:lineRule="exact"/>
        <w:ind w:firstLine="420" w:firstLineChars="200"/>
        <w:rPr>
          <w:rFonts w:hint="eastAsia" w:ascii="宋体" w:hAnsi="宋体" w:cs="宋体"/>
          <w:szCs w:val="21"/>
        </w:rPr>
      </w:pPr>
      <w:r>
        <w:rPr>
          <w:rFonts w:hint="eastAsia" w:ascii="宋体" w:hAnsi="宋体" w:cs="宋体"/>
          <w:szCs w:val="21"/>
        </w:rPr>
        <w:t>17.6.2 最终结清证书和支付时间</w:t>
      </w:r>
    </w:p>
    <w:p w14:paraId="779C7D75">
      <w:pPr>
        <w:spacing w:line="400" w:lineRule="exact"/>
        <w:ind w:firstLine="718" w:firstLineChars="342"/>
        <w:rPr>
          <w:rFonts w:hint="eastAsia" w:ascii="宋体" w:hAnsi="宋体" w:cs="宋体"/>
          <w:szCs w:val="21"/>
        </w:rPr>
      </w:pPr>
      <w:r>
        <w:rPr>
          <w:rFonts w:hint="eastAsia" w:ascii="宋体" w:hAnsi="宋体" w:cs="宋体"/>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A58BDD5">
      <w:pPr>
        <w:spacing w:line="400" w:lineRule="exact"/>
        <w:ind w:firstLine="718" w:firstLineChars="342"/>
        <w:rPr>
          <w:rFonts w:hint="eastAsia" w:ascii="宋体" w:hAnsi="宋体" w:cs="宋体"/>
          <w:szCs w:val="21"/>
        </w:rPr>
      </w:pPr>
      <w:r>
        <w:rPr>
          <w:rFonts w:hint="eastAsia" w:ascii="宋体" w:hAnsi="宋体" w:cs="宋体"/>
          <w:szCs w:val="21"/>
        </w:rPr>
        <w:t>（2）发包人应在监理人出具最终结清证书后的14天内，将应支付款支付给承包人。发包人不按期支付的，按第17.3.3（2）目的约定，将逾期付款违约金支付给承包人。</w:t>
      </w:r>
    </w:p>
    <w:p w14:paraId="0C0A308F">
      <w:pPr>
        <w:spacing w:line="400" w:lineRule="exact"/>
        <w:ind w:firstLine="718" w:firstLineChars="342"/>
        <w:rPr>
          <w:rFonts w:hint="eastAsia" w:ascii="宋体" w:hAnsi="宋体" w:cs="宋体"/>
          <w:szCs w:val="21"/>
        </w:rPr>
      </w:pPr>
      <w:r>
        <w:rPr>
          <w:rFonts w:hint="eastAsia" w:ascii="宋体" w:hAnsi="宋体" w:cs="宋体"/>
          <w:szCs w:val="21"/>
        </w:rPr>
        <w:t>（3）承包人对发包人签认的最终结清证书有异议的，按第24条的约定办理。</w:t>
      </w:r>
    </w:p>
    <w:p w14:paraId="6C7FC9BD">
      <w:pPr>
        <w:spacing w:line="400" w:lineRule="exact"/>
        <w:ind w:firstLine="718" w:firstLineChars="342"/>
        <w:rPr>
          <w:rFonts w:hint="eastAsia" w:ascii="宋体" w:hAnsi="宋体" w:cs="宋体"/>
          <w:szCs w:val="21"/>
        </w:rPr>
      </w:pPr>
      <w:r>
        <w:rPr>
          <w:rFonts w:hint="eastAsia" w:ascii="宋体" w:hAnsi="宋体" w:cs="宋体"/>
          <w:szCs w:val="21"/>
        </w:rPr>
        <w:t>（4）最终结清付款涉及政府投资资金的，按第17.3.3（４）目的约定办理。</w:t>
      </w:r>
    </w:p>
    <w:p w14:paraId="72875A3D">
      <w:pPr>
        <w:pStyle w:val="5"/>
        <w:rPr>
          <w:rFonts w:hint="eastAsia" w:ascii="宋体" w:hAnsi="宋体" w:cs="宋体"/>
          <w:sz w:val="28"/>
          <w:szCs w:val="28"/>
        </w:rPr>
      </w:pPr>
      <w:r>
        <w:rPr>
          <w:rFonts w:hint="eastAsia" w:ascii="宋体" w:hAnsi="宋体" w:cs="宋体"/>
          <w:sz w:val="28"/>
          <w:szCs w:val="28"/>
        </w:rPr>
        <w:t>17.7竣工财务决算</w:t>
      </w:r>
    </w:p>
    <w:p w14:paraId="23C24672">
      <w:pPr>
        <w:ind w:firstLine="420" w:firstLineChars="200"/>
        <w:rPr>
          <w:rFonts w:hint="eastAsia" w:ascii="宋体" w:hAnsi="宋体" w:cs="宋体"/>
          <w:kern w:val="0"/>
          <w:szCs w:val="21"/>
        </w:rPr>
      </w:pPr>
      <w:r>
        <w:rPr>
          <w:rFonts w:hint="eastAsia" w:ascii="宋体" w:hAnsi="宋体" w:cs="宋体"/>
          <w:kern w:val="0"/>
          <w:szCs w:val="21"/>
        </w:rPr>
        <w:t>发包人负责编制本工程项目竣工财务决算，承包人应按专用合同条款的约定提供竣工财务决算编制所需的相关材料。</w:t>
      </w:r>
    </w:p>
    <w:p w14:paraId="02CA4B61">
      <w:pPr>
        <w:pStyle w:val="5"/>
        <w:rPr>
          <w:rFonts w:hint="eastAsia" w:ascii="宋体" w:hAnsi="宋体" w:cs="宋体"/>
          <w:sz w:val="28"/>
          <w:szCs w:val="28"/>
        </w:rPr>
      </w:pPr>
      <w:r>
        <w:rPr>
          <w:rFonts w:hint="eastAsia" w:ascii="宋体" w:hAnsi="宋体" w:cs="宋体"/>
          <w:sz w:val="28"/>
          <w:szCs w:val="28"/>
        </w:rPr>
        <w:t>17.8竣工审计</w:t>
      </w:r>
    </w:p>
    <w:p w14:paraId="4D1D0D5B">
      <w:pPr>
        <w:ind w:firstLine="420" w:firstLineChars="200"/>
        <w:rPr>
          <w:rFonts w:hint="eastAsia" w:ascii="宋体" w:hAnsi="宋体" w:cs="宋体"/>
          <w:kern w:val="0"/>
          <w:szCs w:val="21"/>
        </w:rPr>
      </w:pPr>
      <w:r>
        <w:rPr>
          <w:rFonts w:hint="eastAsia" w:ascii="宋体" w:hAnsi="宋体" w:cs="宋体"/>
          <w:kern w:val="0"/>
          <w:szCs w:val="21"/>
        </w:rPr>
        <w:t>发包人负责完成本工程竣工审计手续，承包人应完成相关配合工作。</w:t>
      </w:r>
    </w:p>
    <w:p w14:paraId="18D424C7">
      <w:pPr>
        <w:pStyle w:val="4"/>
        <w:rPr>
          <w:rFonts w:cs="宋体"/>
          <w:sz w:val="28"/>
          <w:szCs w:val="28"/>
        </w:rPr>
      </w:pPr>
      <w:bookmarkStart w:id="465" w:name="_Toc229408514"/>
      <w:bookmarkStart w:id="466" w:name="_Toc222033870"/>
      <w:bookmarkStart w:id="467" w:name="_Toc222031021"/>
      <w:bookmarkStart w:id="468" w:name="_Toc229305379"/>
      <w:bookmarkStart w:id="469" w:name="_Toc221951019"/>
      <w:bookmarkStart w:id="470" w:name="_Toc222029519"/>
      <w:bookmarkStart w:id="471" w:name="_Toc222032688"/>
      <w:r>
        <w:rPr>
          <w:rFonts w:cs="宋体"/>
          <w:sz w:val="28"/>
          <w:szCs w:val="28"/>
        </w:rPr>
        <w:t>18. 竣工验收</w:t>
      </w:r>
      <w:bookmarkEnd w:id="465"/>
      <w:bookmarkEnd w:id="466"/>
      <w:bookmarkEnd w:id="467"/>
      <w:bookmarkEnd w:id="468"/>
      <w:bookmarkEnd w:id="469"/>
      <w:bookmarkEnd w:id="470"/>
      <w:bookmarkEnd w:id="471"/>
      <w:r>
        <w:rPr>
          <w:rFonts w:cs="宋体"/>
          <w:sz w:val="28"/>
          <w:szCs w:val="28"/>
        </w:rPr>
        <w:t>（验收）</w:t>
      </w:r>
    </w:p>
    <w:p w14:paraId="5A1BD046">
      <w:pPr>
        <w:spacing w:before="100" w:beforeAutospacing="1" w:after="100" w:afterAutospacing="1"/>
        <w:rPr>
          <w:rFonts w:hint="eastAsia" w:ascii="宋体" w:hAnsi="宋体" w:cs="宋体"/>
          <w:b/>
          <w:sz w:val="28"/>
          <w:szCs w:val="28"/>
        </w:rPr>
      </w:pPr>
      <w:bookmarkStart w:id="472" w:name="_Toc222033871"/>
      <w:bookmarkStart w:id="473" w:name="_Toc221951044"/>
      <w:bookmarkStart w:id="474" w:name="_Toc222029520"/>
      <w:bookmarkStart w:id="475" w:name="_Toc229305380"/>
      <w:bookmarkStart w:id="476" w:name="_Toc222032689"/>
      <w:bookmarkStart w:id="477" w:name="_Toc222031022"/>
      <w:r>
        <w:rPr>
          <w:rFonts w:hint="eastAsia" w:ascii="宋体" w:hAnsi="宋体" w:cs="宋体"/>
          <w:b/>
          <w:sz w:val="28"/>
          <w:szCs w:val="28"/>
        </w:rPr>
        <w:t>18.1 验收工作分类</w:t>
      </w:r>
    </w:p>
    <w:p w14:paraId="2B8DC2C4">
      <w:pPr>
        <w:ind w:firstLine="420" w:firstLineChars="200"/>
        <w:rPr>
          <w:rFonts w:hint="eastAsia" w:ascii="宋体" w:hAnsi="宋体" w:cs="宋体"/>
          <w:kern w:val="0"/>
          <w:szCs w:val="21"/>
        </w:rPr>
      </w:pPr>
      <w:r>
        <w:rPr>
          <w:rFonts w:hint="eastAsia" w:ascii="宋体" w:hAnsi="宋体" w:cs="宋体"/>
          <w:kern w:val="0"/>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0BC83891">
      <w:pPr>
        <w:spacing w:before="100" w:beforeAutospacing="1" w:after="100" w:afterAutospacing="1"/>
        <w:rPr>
          <w:rFonts w:hint="eastAsia" w:ascii="宋体" w:hAnsi="宋体" w:cs="宋体"/>
          <w:b/>
          <w:sz w:val="28"/>
          <w:szCs w:val="28"/>
        </w:rPr>
      </w:pPr>
      <w:r>
        <w:rPr>
          <w:rFonts w:hint="eastAsia" w:ascii="宋体" w:hAnsi="宋体" w:cs="宋体"/>
          <w:b/>
          <w:sz w:val="28"/>
          <w:szCs w:val="28"/>
        </w:rPr>
        <w:t>18.2 分部工程验收</w:t>
      </w:r>
    </w:p>
    <w:p w14:paraId="6D3E915B">
      <w:pPr>
        <w:spacing w:line="400" w:lineRule="exact"/>
        <w:ind w:firstLine="420" w:firstLineChars="200"/>
        <w:rPr>
          <w:rFonts w:hint="eastAsia" w:ascii="宋体" w:hAnsi="宋体" w:cs="宋体"/>
          <w:szCs w:val="21"/>
        </w:rPr>
      </w:pPr>
      <w:r>
        <w:rPr>
          <w:rFonts w:hint="eastAsia" w:ascii="宋体" w:hAnsi="宋体" w:cs="宋体"/>
          <w:szCs w:val="21"/>
        </w:rPr>
        <w:t>18.2.1分部工程具备验收条件时，承包人应向发包人提交验收申请报告，发包人应在收到验收申请报告之日起10个工作日内决定是否同意进行验收。</w:t>
      </w:r>
    </w:p>
    <w:p w14:paraId="5FE96847">
      <w:pPr>
        <w:spacing w:line="400" w:lineRule="exact"/>
        <w:ind w:firstLine="420" w:firstLineChars="200"/>
        <w:rPr>
          <w:rFonts w:hint="eastAsia" w:ascii="宋体" w:hAnsi="宋体" w:cs="宋体"/>
          <w:szCs w:val="21"/>
        </w:rPr>
      </w:pPr>
      <w:r>
        <w:rPr>
          <w:rFonts w:hint="eastAsia" w:ascii="宋体" w:hAnsi="宋体" w:cs="宋体"/>
          <w:szCs w:val="21"/>
        </w:rPr>
        <w:t>18.2.2除专用合同条款另有约定外，监理人主持分部工程验收，承包人应派符合条件的代表参加验收工作组。</w:t>
      </w:r>
    </w:p>
    <w:p w14:paraId="2B2692B0">
      <w:pPr>
        <w:spacing w:line="400" w:lineRule="exact"/>
        <w:ind w:firstLine="420" w:firstLineChars="200"/>
        <w:rPr>
          <w:rFonts w:hint="eastAsia" w:ascii="宋体" w:hAnsi="宋体" w:cs="宋体"/>
          <w:szCs w:val="21"/>
        </w:rPr>
      </w:pPr>
      <w:r>
        <w:rPr>
          <w:rFonts w:hint="eastAsia" w:ascii="宋体" w:hAnsi="宋体" w:cs="宋体"/>
          <w:szCs w:val="21"/>
        </w:rPr>
        <w:t>18.2.3分部工程验收通过后，发包人向承包人发送分部工程验收鉴定书。承包人应及时完成分部工程验收鉴定书载明应由承包人处理的遗留问题。</w:t>
      </w:r>
    </w:p>
    <w:p w14:paraId="48E10181">
      <w:pPr>
        <w:spacing w:before="100" w:beforeAutospacing="1" w:after="100" w:afterAutospacing="1"/>
        <w:rPr>
          <w:rFonts w:hint="eastAsia" w:ascii="宋体" w:hAnsi="宋体" w:cs="宋体"/>
          <w:b/>
          <w:sz w:val="28"/>
          <w:szCs w:val="28"/>
        </w:rPr>
      </w:pPr>
      <w:r>
        <w:rPr>
          <w:rFonts w:hint="eastAsia" w:ascii="宋体" w:hAnsi="宋体" w:cs="宋体"/>
          <w:b/>
          <w:sz w:val="28"/>
          <w:szCs w:val="28"/>
        </w:rPr>
        <w:t>18.3单位工程验收</w:t>
      </w:r>
    </w:p>
    <w:p w14:paraId="31448DB5">
      <w:pPr>
        <w:spacing w:line="400" w:lineRule="exact"/>
        <w:ind w:firstLine="420" w:firstLineChars="200"/>
        <w:rPr>
          <w:rFonts w:hint="eastAsia" w:ascii="宋体" w:hAnsi="宋体" w:cs="宋体"/>
          <w:szCs w:val="21"/>
        </w:rPr>
      </w:pPr>
      <w:r>
        <w:rPr>
          <w:rFonts w:hint="eastAsia" w:ascii="宋体" w:hAnsi="宋体" w:cs="宋体"/>
          <w:szCs w:val="21"/>
        </w:rPr>
        <w:t xml:space="preserve"> 18.3.1单位工程具备验收条件时，承包人应向发包人提交验收申请报告，发包人应在收到验收申请报告之日起10个工作日内决定是否同意进行验收。</w:t>
      </w:r>
    </w:p>
    <w:p w14:paraId="398CC6F4">
      <w:pPr>
        <w:spacing w:line="400" w:lineRule="exact"/>
        <w:ind w:firstLine="420" w:firstLineChars="200"/>
        <w:rPr>
          <w:rFonts w:hint="eastAsia" w:ascii="宋体" w:hAnsi="宋体" w:cs="宋体"/>
          <w:szCs w:val="21"/>
        </w:rPr>
      </w:pPr>
      <w:r>
        <w:rPr>
          <w:rFonts w:hint="eastAsia" w:ascii="宋体" w:hAnsi="宋体" w:cs="宋体"/>
          <w:szCs w:val="21"/>
        </w:rPr>
        <w:t>18.3.2发包人主持单位工程验收，承包人应派符合条件的代表参加验收工作组。</w:t>
      </w:r>
    </w:p>
    <w:p w14:paraId="28D8870C">
      <w:pPr>
        <w:spacing w:line="400" w:lineRule="exact"/>
        <w:ind w:firstLine="420" w:firstLineChars="200"/>
        <w:rPr>
          <w:rFonts w:hint="eastAsia" w:ascii="宋体" w:hAnsi="宋体" w:cs="宋体"/>
          <w:szCs w:val="21"/>
        </w:rPr>
      </w:pPr>
      <w:r>
        <w:rPr>
          <w:rFonts w:hint="eastAsia" w:ascii="宋体" w:hAnsi="宋体" w:cs="宋体"/>
          <w:szCs w:val="21"/>
        </w:rPr>
        <w:t>18.3.3单位工程验收通过后，发包人向承包人发送单位工程验收鉴定书。承包人应及时完成单位工程验收鉴定书载明应由承包人处理的遗留问题。</w:t>
      </w:r>
    </w:p>
    <w:p w14:paraId="734AB258">
      <w:pPr>
        <w:spacing w:line="400" w:lineRule="exact"/>
        <w:ind w:firstLine="420" w:firstLineChars="200"/>
        <w:rPr>
          <w:rFonts w:hint="eastAsia" w:ascii="宋体" w:hAnsi="宋体" w:cs="宋体"/>
          <w:szCs w:val="21"/>
        </w:rPr>
      </w:pPr>
      <w:r>
        <w:rPr>
          <w:rFonts w:hint="eastAsia" w:ascii="宋体" w:hAnsi="宋体" w:cs="宋体"/>
          <w:szCs w:val="21"/>
        </w:rPr>
        <w:t>18.3.4 需提前投入使用的单位工程在专用合同条款中明确。</w:t>
      </w:r>
    </w:p>
    <w:p w14:paraId="3525A14F">
      <w:pPr>
        <w:spacing w:before="100" w:beforeAutospacing="1" w:after="100" w:afterAutospacing="1"/>
        <w:rPr>
          <w:rFonts w:hint="eastAsia" w:ascii="宋体" w:hAnsi="宋体" w:cs="宋体"/>
          <w:b/>
          <w:sz w:val="28"/>
          <w:szCs w:val="28"/>
        </w:rPr>
      </w:pPr>
      <w:r>
        <w:rPr>
          <w:rFonts w:hint="eastAsia" w:ascii="宋体" w:hAnsi="宋体" w:cs="宋体"/>
          <w:b/>
          <w:sz w:val="28"/>
          <w:szCs w:val="28"/>
        </w:rPr>
        <w:t>18.4合同工程完工验收</w:t>
      </w:r>
    </w:p>
    <w:p w14:paraId="24134647">
      <w:pPr>
        <w:spacing w:line="400" w:lineRule="exact"/>
        <w:ind w:firstLine="420" w:firstLineChars="200"/>
        <w:rPr>
          <w:rFonts w:hint="eastAsia" w:ascii="宋体" w:hAnsi="宋体" w:cs="宋体"/>
          <w:szCs w:val="21"/>
        </w:rPr>
      </w:pPr>
      <w:r>
        <w:rPr>
          <w:rFonts w:hint="eastAsia" w:ascii="宋体" w:hAnsi="宋体" w:cs="宋体"/>
          <w:szCs w:val="21"/>
        </w:rPr>
        <w:t>18. 4.1合同工程具备验收条件时，承包人应向发包人提交验收申请报告，发包人应在收到验收申请报告之日起20个工作日内决定是否同意进行验收。</w:t>
      </w:r>
    </w:p>
    <w:p w14:paraId="2444A91E">
      <w:pPr>
        <w:spacing w:line="400" w:lineRule="exact"/>
        <w:ind w:firstLine="420" w:firstLineChars="200"/>
        <w:rPr>
          <w:rFonts w:hint="eastAsia" w:ascii="宋体" w:hAnsi="宋体" w:cs="宋体"/>
          <w:szCs w:val="21"/>
        </w:rPr>
      </w:pPr>
      <w:r>
        <w:rPr>
          <w:rFonts w:hint="eastAsia" w:ascii="宋体" w:hAnsi="宋体" w:cs="宋体"/>
          <w:szCs w:val="21"/>
        </w:rPr>
        <w:t>18.4.2发包人主持合同工程完工验收，承包人应派符合条件的代表参加验收工作组。</w:t>
      </w:r>
    </w:p>
    <w:p w14:paraId="62B2AEAF">
      <w:pPr>
        <w:spacing w:line="400" w:lineRule="exact"/>
        <w:ind w:firstLine="420" w:firstLineChars="200"/>
        <w:rPr>
          <w:rFonts w:hint="eastAsia" w:ascii="宋体" w:hAnsi="宋体" w:cs="宋体"/>
          <w:szCs w:val="21"/>
        </w:rPr>
      </w:pPr>
      <w:r>
        <w:rPr>
          <w:rFonts w:hint="eastAsia" w:ascii="宋体" w:hAnsi="宋体" w:cs="宋体"/>
          <w:szCs w:val="21"/>
        </w:rPr>
        <w:t>18.4.3合同工程完工验收通过后，发包人向承包人发送合同工程完工验收鉴定书。承包人应及时完成合同工程完工验收鉴定书载明应由承包人处理的遗留问题。</w:t>
      </w:r>
    </w:p>
    <w:p w14:paraId="3A02F72A">
      <w:pPr>
        <w:spacing w:line="400" w:lineRule="exact"/>
        <w:ind w:firstLine="420" w:firstLineChars="200"/>
        <w:rPr>
          <w:rFonts w:hint="eastAsia" w:ascii="宋体" w:hAnsi="宋体" w:cs="宋体"/>
          <w:szCs w:val="21"/>
        </w:rPr>
      </w:pPr>
      <w:r>
        <w:rPr>
          <w:rFonts w:hint="eastAsia" w:ascii="宋体" w:hAnsi="宋体" w:cs="宋体"/>
          <w:szCs w:val="21"/>
        </w:rPr>
        <w:t>18.4.4合同工程完工验收通过后，发包人与承包人应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30个工作日内向承包人颁发合同工程完工证书。</w:t>
      </w:r>
    </w:p>
    <w:p w14:paraId="5A1DC720">
      <w:pPr>
        <w:spacing w:line="360" w:lineRule="auto"/>
        <w:ind w:right="248"/>
        <w:rPr>
          <w:rFonts w:hint="eastAsia" w:ascii="宋体" w:hAnsi="宋体" w:cs="宋体"/>
          <w:b/>
          <w:sz w:val="28"/>
          <w:szCs w:val="28"/>
        </w:rPr>
      </w:pPr>
      <w:r>
        <w:rPr>
          <w:rFonts w:hint="eastAsia" w:ascii="宋体" w:hAnsi="宋体" w:cs="宋体"/>
          <w:b/>
          <w:sz w:val="28"/>
          <w:szCs w:val="28"/>
        </w:rPr>
        <w:t>18.5  阶段验收</w:t>
      </w:r>
    </w:p>
    <w:p w14:paraId="7E8D3903">
      <w:pPr>
        <w:spacing w:line="400" w:lineRule="exact"/>
        <w:ind w:firstLine="420" w:firstLineChars="200"/>
        <w:rPr>
          <w:rFonts w:hint="eastAsia" w:ascii="宋体" w:hAnsi="宋体" w:cs="宋体"/>
          <w:szCs w:val="21"/>
        </w:rPr>
      </w:pPr>
      <w:r>
        <w:rPr>
          <w:rFonts w:hint="eastAsia" w:ascii="宋体" w:hAnsi="宋体" w:cs="宋体"/>
          <w:szCs w:val="21"/>
        </w:rPr>
        <w:t>18.5.1 工程建设具备阶段验收条件时，发包人负责提出阶段验收申请报告。承包人应派代表参加阶段验收，并作为被验收单位在验收鉴定书上签字。阶段验收的具体类别在专用合同条款中约定。</w:t>
      </w:r>
    </w:p>
    <w:p w14:paraId="28FC99D1">
      <w:pPr>
        <w:spacing w:line="400" w:lineRule="exact"/>
        <w:ind w:firstLine="420" w:firstLineChars="200"/>
        <w:rPr>
          <w:rFonts w:hint="eastAsia" w:ascii="宋体" w:hAnsi="宋体" w:cs="宋体"/>
          <w:szCs w:val="21"/>
        </w:rPr>
      </w:pPr>
      <w:r>
        <w:rPr>
          <w:rFonts w:hint="eastAsia" w:ascii="宋体" w:hAnsi="宋体" w:cs="宋体"/>
          <w:szCs w:val="21"/>
        </w:rPr>
        <w:t>18.5.2承包人应及时完成阶段验收鉴定书载明应由承包人处理的遗留问题。</w:t>
      </w:r>
    </w:p>
    <w:p w14:paraId="72E6592D">
      <w:pPr>
        <w:spacing w:line="360" w:lineRule="auto"/>
        <w:ind w:right="248"/>
        <w:rPr>
          <w:rFonts w:hint="eastAsia" w:ascii="宋体" w:hAnsi="宋体" w:cs="宋体"/>
          <w:b/>
          <w:sz w:val="28"/>
          <w:szCs w:val="28"/>
        </w:rPr>
      </w:pPr>
      <w:r>
        <w:rPr>
          <w:rFonts w:hint="eastAsia" w:ascii="宋体" w:hAnsi="宋体" w:cs="宋体"/>
          <w:b/>
          <w:sz w:val="28"/>
          <w:szCs w:val="28"/>
        </w:rPr>
        <w:t xml:space="preserve">18.6  专项验收  </w:t>
      </w:r>
    </w:p>
    <w:p w14:paraId="279277E6">
      <w:pPr>
        <w:spacing w:line="400" w:lineRule="exact"/>
        <w:ind w:firstLine="420" w:firstLineChars="200"/>
        <w:rPr>
          <w:rFonts w:hint="eastAsia" w:ascii="宋体" w:hAnsi="宋体" w:cs="宋体"/>
          <w:szCs w:val="21"/>
        </w:rPr>
      </w:pPr>
      <w:r>
        <w:rPr>
          <w:rFonts w:hint="eastAsia" w:ascii="宋体" w:hAnsi="宋体" w:cs="宋体"/>
          <w:szCs w:val="21"/>
        </w:rPr>
        <w:t>18.6.1发包人负责提出专项验收申请报告。承包人应按专项验收的相关规定参加专项验收。专项验收的具体类别在专用合同条款中约定。</w:t>
      </w:r>
    </w:p>
    <w:p w14:paraId="556EAEBF">
      <w:pPr>
        <w:spacing w:line="400" w:lineRule="exact"/>
        <w:ind w:firstLine="420" w:firstLineChars="200"/>
        <w:rPr>
          <w:rFonts w:hint="eastAsia" w:ascii="宋体" w:hAnsi="宋体" w:cs="宋体"/>
          <w:szCs w:val="21"/>
        </w:rPr>
      </w:pPr>
      <w:r>
        <w:rPr>
          <w:rFonts w:hint="eastAsia" w:ascii="宋体" w:hAnsi="宋体" w:cs="宋体"/>
          <w:szCs w:val="21"/>
        </w:rPr>
        <w:t>18.6.2承包应及时完成专项成果性文件载明应由承包人处理的遗留问题。</w:t>
      </w:r>
    </w:p>
    <w:p w14:paraId="552F6E7D">
      <w:pPr>
        <w:spacing w:line="360" w:lineRule="auto"/>
        <w:ind w:right="248"/>
        <w:rPr>
          <w:rFonts w:hint="eastAsia" w:ascii="宋体" w:hAnsi="宋体" w:cs="宋体"/>
          <w:b/>
          <w:sz w:val="28"/>
          <w:szCs w:val="28"/>
        </w:rPr>
      </w:pPr>
      <w:r>
        <w:rPr>
          <w:rFonts w:hint="eastAsia" w:ascii="宋体" w:hAnsi="宋体" w:cs="宋体"/>
          <w:b/>
          <w:sz w:val="28"/>
          <w:szCs w:val="28"/>
        </w:rPr>
        <w:t>18.7 竣工验收</w:t>
      </w:r>
    </w:p>
    <w:p w14:paraId="183C3B5B">
      <w:pPr>
        <w:spacing w:line="400" w:lineRule="exact"/>
        <w:ind w:firstLine="420" w:firstLineChars="200"/>
        <w:rPr>
          <w:rFonts w:hint="eastAsia" w:ascii="宋体" w:hAnsi="宋体" w:cs="宋体"/>
          <w:szCs w:val="21"/>
        </w:rPr>
      </w:pPr>
      <w:r>
        <w:rPr>
          <w:rFonts w:hint="eastAsia" w:ascii="宋体" w:hAnsi="宋体" w:cs="宋体"/>
          <w:szCs w:val="21"/>
        </w:rPr>
        <w:t>18.7.1申请竣工验收前，发包人组织竣工验收自查，承包人应派代表参加。</w:t>
      </w:r>
    </w:p>
    <w:p w14:paraId="2865E70A">
      <w:pPr>
        <w:spacing w:line="400" w:lineRule="exact"/>
        <w:ind w:firstLine="420" w:firstLineChars="200"/>
        <w:rPr>
          <w:rFonts w:hint="eastAsia" w:ascii="宋体" w:hAnsi="宋体" w:cs="宋体"/>
          <w:szCs w:val="21"/>
        </w:rPr>
      </w:pPr>
      <w:r>
        <w:rPr>
          <w:rFonts w:hint="eastAsia" w:ascii="宋体" w:hAnsi="宋体" w:cs="宋体"/>
          <w:szCs w:val="21"/>
        </w:rPr>
        <w:t>18.7.2竣工验收分为竣工技术预验收和竣工验收两个阶段，发包人应通知承包人派代表参加技术预验收和竣工验收。</w:t>
      </w:r>
    </w:p>
    <w:p w14:paraId="1884DC72">
      <w:pPr>
        <w:spacing w:line="400" w:lineRule="exact"/>
        <w:ind w:firstLine="420" w:firstLineChars="200"/>
        <w:rPr>
          <w:rFonts w:hint="eastAsia" w:ascii="宋体" w:hAnsi="宋体" w:cs="宋体"/>
          <w:szCs w:val="21"/>
        </w:rPr>
      </w:pPr>
      <w:r>
        <w:rPr>
          <w:rFonts w:hint="eastAsia" w:ascii="宋体" w:hAnsi="宋体" w:cs="宋体"/>
          <w:szCs w:val="21"/>
        </w:rPr>
        <w:t>18.7.3专用合同条款约定工程需要进行技术鉴定的，承包人应提交有关资料并完成配合工作。</w:t>
      </w:r>
    </w:p>
    <w:p w14:paraId="20C298CF">
      <w:pPr>
        <w:spacing w:line="400" w:lineRule="exact"/>
        <w:ind w:firstLine="420" w:firstLineChars="200"/>
        <w:rPr>
          <w:rFonts w:hint="eastAsia" w:ascii="宋体" w:hAnsi="宋体" w:cs="宋体"/>
          <w:szCs w:val="21"/>
        </w:rPr>
      </w:pPr>
      <w:r>
        <w:rPr>
          <w:rFonts w:hint="eastAsia" w:ascii="宋体" w:hAnsi="宋体" w:cs="宋体"/>
          <w:szCs w:val="21"/>
        </w:rPr>
        <w:t>18.7.4竣工验收需要进行质量检测的，所需费用由发包人承担，但因承包人原因造成质量不合格的除外。</w:t>
      </w:r>
    </w:p>
    <w:p w14:paraId="253544A1">
      <w:pPr>
        <w:spacing w:line="400" w:lineRule="exact"/>
        <w:ind w:firstLine="420" w:firstLineChars="200"/>
        <w:rPr>
          <w:rFonts w:hint="eastAsia" w:ascii="宋体" w:hAnsi="宋体" w:cs="宋体"/>
          <w:szCs w:val="21"/>
        </w:rPr>
      </w:pPr>
      <w:r>
        <w:rPr>
          <w:rFonts w:hint="eastAsia" w:ascii="宋体" w:hAnsi="宋体" w:cs="宋体"/>
          <w:szCs w:val="21"/>
        </w:rPr>
        <w:t>18.7.5工程质量保修期满以及竣工验收遗留问题和尾工处理完成并通过验收后，发包人负责将处理情况和验收成果报送竣工验收主持单位，申请领取工程竣工证书，并发送承包人。</w:t>
      </w:r>
    </w:p>
    <w:p w14:paraId="04E77EA2">
      <w:pPr>
        <w:spacing w:line="360" w:lineRule="auto"/>
        <w:ind w:right="248"/>
        <w:rPr>
          <w:rFonts w:hint="eastAsia" w:ascii="宋体" w:hAnsi="宋体" w:cs="宋体"/>
          <w:b/>
          <w:sz w:val="28"/>
          <w:szCs w:val="28"/>
        </w:rPr>
      </w:pPr>
      <w:r>
        <w:rPr>
          <w:rFonts w:hint="eastAsia" w:ascii="宋体" w:hAnsi="宋体" w:cs="宋体"/>
          <w:b/>
          <w:sz w:val="28"/>
          <w:szCs w:val="28"/>
        </w:rPr>
        <w:t>18.8 施工期运行</w:t>
      </w:r>
    </w:p>
    <w:p w14:paraId="20B980E2">
      <w:pPr>
        <w:spacing w:line="400" w:lineRule="exact"/>
        <w:ind w:firstLine="420" w:firstLineChars="200"/>
        <w:rPr>
          <w:rFonts w:hint="eastAsia" w:ascii="宋体" w:hAnsi="宋体" w:cs="宋体"/>
          <w:szCs w:val="21"/>
        </w:rPr>
      </w:pPr>
      <w:r>
        <w:rPr>
          <w:rFonts w:hint="eastAsia" w:ascii="宋体" w:hAnsi="宋体" w:cs="宋体"/>
          <w:szCs w:val="21"/>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17A898DC">
      <w:pPr>
        <w:spacing w:line="400" w:lineRule="exact"/>
        <w:ind w:firstLine="420" w:firstLineChars="200"/>
        <w:rPr>
          <w:rFonts w:hint="eastAsia" w:ascii="宋体" w:hAnsi="宋体" w:cs="宋体"/>
          <w:szCs w:val="21"/>
        </w:rPr>
      </w:pPr>
      <w:r>
        <w:rPr>
          <w:rFonts w:hint="eastAsia" w:ascii="宋体" w:hAnsi="宋体" w:cs="宋体"/>
          <w:szCs w:val="21"/>
        </w:rPr>
        <w:t>18.8.2在施工期运行中发现工程或工程设备损坏或存在缺陷的，由承包人按第19.2款约定进行修复。</w:t>
      </w:r>
    </w:p>
    <w:p w14:paraId="1C280F48">
      <w:pPr>
        <w:spacing w:line="360" w:lineRule="auto"/>
        <w:ind w:right="248"/>
        <w:rPr>
          <w:rFonts w:hint="eastAsia" w:ascii="宋体" w:hAnsi="宋体" w:cs="宋体"/>
          <w:b/>
          <w:sz w:val="28"/>
          <w:szCs w:val="28"/>
        </w:rPr>
      </w:pPr>
      <w:r>
        <w:rPr>
          <w:rFonts w:hint="eastAsia" w:ascii="宋体" w:hAnsi="宋体" w:cs="宋体"/>
          <w:b/>
          <w:sz w:val="28"/>
          <w:szCs w:val="28"/>
        </w:rPr>
        <w:t>18.9 试运行</w:t>
      </w:r>
    </w:p>
    <w:p w14:paraId="4BC8360E">
      <w:pPr>
        <w:spacing w:line="400" w:lineRule="exact"/>
        <w:ind w:firstLine="420" w:firstLineChars="200"/>
        <w:rPr>
          <w:rFonts w:hint="eastAsia" w:ascii="宋体" w:hAnsi="宋体" w:cs="宋体"/>
          <w:szCs w:val="21"/>
        </w:rPr>
      </w:pPr>
      <w:r>
        <w:rPr>
          <w:rFonts w:hint="eastAsia" w:ascii="宋体" w:hAnsi="宋体" w:cs="宋体"/>
          <w:szCs w:val="21"/>
        </w:rPr>
        <w:t>18.9.1除专用合同条款另有约定外，承包人应按规定进行工程及工程设备试运行，负责提供试运行所需的人员、器材和必要的条件，并承担全部试运行费用。</w:t>
      </w:r>
    </w:p>
    <w:p w14:paraId="621E1C88">
      <w:pPr>
        <w:spacing w:line="400" w:lineRule="exact"/>
        <w:ind w:firstLine="420" w:firstLineChars="200"/>
        <w:rPr>
          <w:rFonts w:hint="eastAsia" w:ascii="宋体" w:hAnsi="宋体" w:cs="宋体"/>
          <w:szCs w:val="21"/>
        </w:rPr>
      </w:pPr>
      <w:r>
        <w:rPr>
          <w:rFonts w:hint="eastAsia" w:ascii="宋体" w:hAnsi="宋体" w:cs="宋体"/>
          <w:szCs w:val="21"/>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D3AB30">
      <w:pPr>
        <w:spacing w:line="360" w:lineRule="auto"/>
        <w:ind w:right="248"/>
        <w:rPr>
          <w:rFonts w:hint="eastAsia" w:ascii="宋体" w:hAnsi="宋体" w:cs="宋体"/>
          <w:b/>
          <w:sz w:val="28"/>
          <w:szCs w:val="28"/>
        </w:rPr>
      </w:pPr>
      <w:r>
        <w:rPr>
          <w:rFonts w:hint="eastAsia" w:ascii="宋体" w:hAnsi="宋体" w:cs="宋体"/>
          <w:b/>
          <w:sz w:val="28"/>
          <w:szCs w:val="28"/>
        </w:rPr>
        <w:t>18.10 竣工（完工）清场</w:t>
      </w:r>
    </w:p>
    <w:p w14:paraId="4DF9A841">
      <w:pPr>
        <w:spacing w:line="400" w:lineRule="exact"/>
        <w:ind w:firstLine="420" w:firstLineChars="200"/>
        <w:rPr>
          <w:rFonts w:hint="eastAsia" w:ascii="宋体" w:hAnsi="宋体" w:cs="宋体"/>
          <w:szCs w:val="21"/>
        </w:rPr>
      </w:pPr>
      <w:r>
        <w:rPr>
          <w:rFonts w:hint="eastAsia" w:ascii="宋体" w:hAnsi="宋体" w:cs="宋体"/>
          <w:szCs w:val="21"/>
        </w:rPr>
        <w:t>1810.1工程项目竣工（完工）清场的工作范围和内容在技术标准和要求（合同技术条款）中约定。</w:t>
      </w:r>
    </w:p>
    <w:p w14:paraId="288395D1">
      <w:pPr>
        <w:spacing w:line="400" w:lineRule="exact"/>
        <w:ind w:firstLine="420" w:firstLineChars="200"/>
        <w:rPr>
          <w:rFonts w:hint="eastAsia" w:ascii="宋体" w:hAnsi="宋体" w:cs="宋体"/>
          <w:szCs w:val="21"/>
        </w:rPr>
      </w:pPr>
      <w:r>
        <w:rPr>
          <w:rFonts w:hint="eastAsia" w:ascii="宋体" w:hAnsi="宋体" w:cs="宋体"/>
          <w:szCs w:val="21"/>
        </w:rPr>
        <w:t>18.10.2承包未按监理人的要求恢复临时占地，或者场地清理未达到合同约定的，发包人有权委托其它人恢复或清理，所发生的金额从拟支付给承包人的款项中扣除。</w:t>
      </w:r>
    </w:p>
    <w:p w14:paraId="2B04192B">
      <w:pPr>
        <w:spacing w:line="360" w:lineRule="auto"/>
        <w:ind w:right="248"/>
        <w:rPr>
          <w:rFonts w:hint="eastAsia" w:ascii="宋体" w:hAnsi="宋体" w:cs="宋体"/>
          <w:b/>
          <w:sz w:val="28"/>
          <w:szCs w:val="28"/>
        </w:rPr>
      </w:pPr>
      <w:bookmarkStart w:id="478" w:name="_Toc229408515"/>
      <w:r>
        <w:rPr>
          <w:rFonts w:hint="eastAsia" w:ascii="宋体" w:hAnsi="宋体" w:cs="宋体"/>
          <w:b/>
          <w:sz w:val="28"/>
          <w:szCs w:val="28"/>
        </w:rPr>
        <w:t>18.11施工队伍的撤离</w:t>
      </w:r>
    </w:p>
    <w:p w14:paraId="439EBDC7">
      <w:pPr>
        <w:spacing w:line="400" w:lineRule="exact"/>
        <w:ind w:firstLine="420" w:firstLineChars="200"/>
        <w:rPr>
          <w:rFonts w:hint="eastAsia" w:ascii="宋体" w:hAnsi="宋体" w:cs="宋体"/>
          <w:szCs w:val="21"/>
        </w:rPr>
      </w:pPr>
      <w:r>
        <w:rPr>
          <w:rFonts w:hint="eastAsia" w:ascii="宋体" w:hAnsi="宋体" w:cs="宋体"/>
          <w:szCs w:val="21"/>
        </w:rPr>
        <w:t>合同工程接收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6831D776">
      <w:pPr>
        <w:pStyle w:val="4"/>
        <w:rPr>
          <w:rFonts w:cs="宋体"/>
          <w:sz w:val="28"/>
          <w:szCs w:val="28"/>
        </w:rPr>
      </w:pPr>
      <w:r>
        <w:rPr>
          <w:rFonts w:cs="宋体"/>
          <w:sz w:val="28"/>
          <w:szCs w:val="28"/>
        </w:rPr>
        <w:t>19. 缺陷责任与保修责任</w:t>
      </w:r>
      <w:bookmarkEnd w:id="472"/>
      <w:bookmarkEnd w:id="473"/>
      <w:bookmarkEnd w:id="474"/>
      <w:bookmarkEnd w:id="475"/>
      <w:bookmarkEnd w:id="476"/>
      <w:bookmarkEnd w:id="477"/>
      <w:bookmarkEnd w:id="478"/>
    </w:p>
    <w:p w14:paraId="751C427A">
      <w:pPr>
        <w:keepNext/>
        <w:keepLines/>
        <w:spacing w:line="400" w:lineRule="exact"/>
        <w:outlineLvl w:val="2"/>
        <w:rPr>
          <w:rFonts w:hint="eastAsia" w:ascii="宋体" w:hAnsi="宋体" w:cs="宋体"/>
          <w:szCs w:val="21"/>
        </w:rPr>
      </w:pPr>
      <w:bookmarkStart w:id="479" w:name="_Toc221951045"/>
      <w:r>
        <w:rPr>
          <w:rFonts w:hint="eastAsia" w:ascii="宋体" w:hAnsi="宋体" w:cs="宋体"/>
          <w:szCs w:val="21"/>
        </w:rPr>
        <w:t>19.1 缺陷责任期（工程质量保修期）的起算时间</w:t>
      </w:r>
      <w:bookmarkEnd w:id="479"/>
    </w:p>
    <w:p w14:paraId="6CCB8A74">
      <w:pPr>
        <w:spacing w:line="400" w:lineRule="exact"/>
        <w:ind w:firstLine="420" w:firstLineChars="200"/>
        <w:rPr>
          <w:rFonts w:hint="eastAsia" w:ascii="宋体" w:hAnsi="宋体" w:cs="宋体"/>
          <w:szCs w:val="21"/>
        </w:rPr>
      </w:pPr>
      <w:bookmarkStart w:id="480" w:name="_Toc221951047"/>
      <w:bookmarkStart w:id="481" w:name="_Toc152045736"/>
      <w:bookmarkStart w:id="482" w:name="_Toc144974707"/>
      <w:bookmarkStart w:id="483" w:name="_Toc152042515"/>
      <w:bookmarkStart w:id="484" w:name="_Toc179632754"/>
      <w:r>
        <w:rPr>
          <w:rFonts w:hint="eastAsia" w:ascii="宋体" w:hAnsi="宋体" w:cs="宋体"/>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bookmarkEnd w:id="480"/>
    </w:p>
    <w:p w14:paraId="5E7D6942">
      <w:pPr>
        <w:keepNext/>
        <w:keepLines/>
        <w:spacing w:line="400" w:lineRule="exact"/>
        <w:outlineLvl w:val="2"/>
        <w:rPr>
          <w:rFonts w:hint="eastAsia" w:ascii="宋体" w:hAnsi="宋体" w:cs="宋体"/>
          <w:szCs w:val="21"/>
        </w:rPr>
      </w:pPr>
      <w:r>
        <w:rPr>
          <w:rFonts w:hint="eastAsia" w:ascii="宋体" w:hAnsi="宋体" w:cs="宋体"/>
          <w:szCs w:val="21"/>
        </w:rPr>
        <w:t>19.2 缺陷责任</w:t>
      </w:r>
      <w:bookmarkEnd w:id="481"/>
      <w:bookmarkEnd w:id="482"/>
      <w:bookmarkEnd w:id="483"/>
      <w:bookmarkEnd w:id="484"/>
    </w:p>
    <w:p w14:paraId="464F0032">
      <w:pPr>
        <w:spacing w:line="400" w:lineRule="exact"/>
        <w:ind w:firstLine="420" w:firstLineChars="200"/>
        <w:rPr>
          <w:rFonts w:hint="eastAsia" w:ascii="宋体" w:hAnsi="宋体" w:cs="宋体"/>
          <w:szCs w:val="21"/>
        </w:rPr>
      </w:pPr>
      <w:r>
        <w:rPr>
          <w:rFonts w:hint="eastAsia" w:ascii="宋体" w:hAnsi="宋体" w:cs="宋体"/>
          <w:szCs w:val="21"/>
        </w:rPr>
        <w:t>19.2.1 承包人应在缺陷责任期内对已交付使用的工程承担缺陷责任。</w:t>
      </w:r>
    </w:p>
    <w:p w14:paraId="757EE5EC">
      <w:pPr>
        <w:spacing w:line="400" w:lineRule="exact"/>
        <w:ind w:firstLine="420" w:firstLineChars="200"/>
        <w:rPr>
          <w:rFonts w:hint="eastAsia" w:ascii="宋体" w:hAnsi="宋体" w:cs="宋体"/>
          <w:szCs w:val="21"/>
        </w:rPr>
      </w:pPr>
      <w:r>
        <w:rPr>
          <w:rFonts w:hint="eastAsia" w:ascii="宋体" w:hAnsi="宋体" w:cs="宋体"/>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1331283E">
      <w:pPr>
        <w:spacing w:line="400" w:lineRule="exact"/>
        <w:ind w:firstLine="420" w:firstLineChars="200"/>
        <w:rPr>
          <w:rFonts w:hint="eastAsia" w:ascii="宋体" w:hAnsi="宋体" w:cs="宋体"/>
          <w:szCs w:val="21"/>
        </w:rPr>
      </w:pPr>
      <w:r>
        <w:rPr>
          <w:rFonts w:hint="eastAsia" w:ascii="宋体" w:hAnsi="宋体" w:cs="宋体"/>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39D771C">
      <w:pPr>
        <w:spacing w:line="400" w:lineRule="exact"/>
        <w:ind w:firstLine="420" w:firstLineChars="200"/>
        <w:rPr>
          <w:rFonts w:hint="eastAsia" w:ascii="宋体" w:hAnsi="宋体" w:cs="宋体"/>
          <w:szCs w:val="21"/>
        </w:rPr>
      </w:pPr>
      <w:r>
        <w:rPr>
          <w:rFonts w:hint="eastAsia" w:ascii="宋体" w:hAnsi="宋体" w:cs="宋体"/>
          <w:szCs w:val="21"/>
        </w:rPr>
        <w:t>19.2.4 承包人不能在合理时间内修复缺陷的，发包人可自行修复或委托其他人修复，所需费用和利润的承担，按第19.2.3项约定办理。</w:t>
      </w:r>
    </w:p>
    <w:p w14:paraId="15A8CFAE">
      <w:pPr>
        <w:keepNext/>
        <w:keepLines/>
        <w:spacing w:line="400" w:lineRule="exact"/>
        <w:outlineLvl w:val="2"/>
        <w:rPr>
          <w:rFonts w:hint="eastAsia" w:ascii="宋体" w:hAnsi="宋体" w:cs="宋体"/>
          <w:szCs w:val="21"/>
        </w:rPr>
      </w:pPr>
      <w:bookmarkStart w:id="485" w:name="_Toc144974708"/>
      <w:bookmarkStart w:id="486" w:name="_Toc152042516"/>
      <w:bookmarkStart w:id="487" w:name="_Toc152045737"/>
      <w:bookmarkStart w:id="488" w:name="_Toc179632755"/>
      <w:r>
        <w:rPr>
          <w:rFonts w:hint="eastAsia" w:ascii="宋体" w:hAnsi="宋体" w:cs="宋体"/>
          <w:szCs w:val="21"/>
        </w:rPr>
        <w:t>19.3 缺陷责任期的延长</w:t>
      </w:r>
      <w:bookmarkEnd w:id="485"/>
      <w:bookmarkEnd w:id="486"/>
      <w:bookmarkEnd w:id="487"/>
      <w:bookmarkEnd w:id="488"/>
    </w:p>
    <w:p w14:paraId="423346EB">
      <w:pPr>
        <w:spacing w:line="400" w:lineRule="exact"/>
        <w:ind w:firstLine="420" w:firstLineChars="200"/>
        <w:rPr>
          <w:rFonts w:hint="eastAsia" w:ascii="宋体" w:hAnsi="宋体" w:cs="宋体"/>
          <w:szCs w:val="21"/>
        </w:rPr>
      </w:pPr>
      <w:r>
        <w:rPr>
          <w:rFonts w:hint="eastAsia" w:ascii="宋体" w:hAnsi="宋体" w:cs="宋体"/>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2911B630">
      <w:pPr>
        <w:keepNext/>
        <w:keepLines/>
        <w:spacing w:line="400" w:lineRule="exact"/>
        <w:outlineLvl w:val="2"/>
        <w:rPr>
          <w:rFonts w:hint="eastAsia" w:ascii="宋体" w:hAnsi="宋体" w:cs="宋体"/>
          <w:szCs w:val="21"/>
        </w:rPr>
      </w:pPr>
      <w:bookmarkStart w:id="489" w:name="_Toc144974709"/>
      <w:bookmarkStart w:id="490" w:name="_Toc152042517"/>
      <w:bookmarkStart w:id="491" w:name="_Toc152045738"/>
      <w:bookmarkStart w:id="492" w:name="_Toc179632756"/>
      <w:r>
        <w:rPr>
          <w:rFonts w:hint="eastAsia" w:ascii="宋体" w:hAnsi="宋体" w:cs="宋体"/>
          <w:szCs w:val="21"/>
        </w:rPr>
        <w:t>19.4 进一步试验和试运行</w:t>
      </w:r>
      <w:bookmarkEnd w:id="489"/>
      <w:bookmarkEnd w:id="490"/>
      <w:bookmarkEnd w:id="491"/>
      <w:bookmarkEnd w:id="492"/>
    </w:p>
    <w:p w14:paraId="69FFD3DE">
      <w:pPr>
        <w:spacing w:line="400" w:lineRule="exact"/>
        <w:ind w:firstLine="420" w:firstLineChars="200"/>
        <w:rPr>
          <w:rFonts w:hint="eastAsia" w:ascii="宋体" w:hAnsi="宋体" w:cs="宋体"/>
          <w:szCs w:val="21"/>
        </w:rPr>
      </w:pPr>
      <w:r>
        <w:rPr>
          <w:rFonts w:hint="eastAsia" w:ascii="宋体" w:hAnsi="宋体" w:cs="宋体"/>
          <w:szCs w:val="21"/>
        </w:rPr>
        <w:t>任何一项缺陷或损坏修复后，经检查证明其影响了工程或工程设备的使用性能，承包人应重新进行合同约定的试验和试运行，试验和试运行的全部费用应由责任方承担。</w:t>
      </w:r>
    </w:p>
    <w:p w14:paraId="1EF61738">
      <w:pPr>
        <w:keepNext/>
        <w:keepLines/>
        <w:spacing w:line="400" w:lineRule="exact"/>
        <w:outlineLvl w:val="2"/>
        <w:rPr>
          <w:rFonts w:hint="eastAsia" w:ascii="宋体" w:hAnsi="宋体" w:cs="宋体"/>
          <w:szCs w:val="21"/>
        </w:rPr>
      </w:pPr>
      <w:bookmarkStart w:id="493" w:name="_Toc179632757"/>
      <w:bookmarkStart w:id="494" w:name="_Toc144974710"/>
      <w:bookmarkStart w:id="495" w:name="_Toc152045739"/>
      <w:bookmarkStart w:id="496" w:name="_Toc152042518"/>
      <w:r>
        <w:rPr>
          <w:rFonts w:hint="eastAsia" w:ascii="宋体" w:hAnsi="宋体" w:cs="宋体"/>
          <w:szCs w:val="21"/>
        </w:rPr>
        <w:t>19.5 承包人的进入权</w:t>
      </w:r>
      <w:bookmarkEnd w:id="493"/>
      <w:bookmarkEnd w:id="494"/>
      <w:bookmarkEnd w:id="495"/>
      <w:bookmarkEnd w:id="496"/>
    </w:p>
    <w:p w14:paraId="5E6B48AC">
      <w:pPr>
        <w:spacing w:line="400" w:lineRule="exact"/>
        <w:ind w:firstLine="420" w:firstLineChars="200"/>
        <w:rPr>
          <w:rFonts w:hint="eastAsia" w:ascii="宋体" w:hAnsi="宋体" w:cs="宋体"/>
          <w:szCs w:val="21"/>
        </w:rPr>
      </w:pPr>
      <w:r>
        <w:rPr>
          <w:rFonts w:hint="eastAsia" w:ascii="宋体" w:hAnsi="宋体" w:cs="宋体"/>
          <w:szCs w:val="21"/>
        </w:rPr>
        <w:t>缺陷责任期内承包人为缺陷修复工作需要，有权进入工程现场，但应遵守发包人的保安和保密规定。</w:t>
      </w:r>
    </w:p>
    <w:p w14:paraId="0282FAF3">
      <w:pPr>
        <w:keepNext/>
        <w:keepLines/>
        <w:spacing w:line="400" w:lineRule="exact"/>
        <w:outlineLvl w:val="2"/>
        <w:rPr>
          <w:rFonts w:hint="eastAsia" w:ascii="宋体" w:hAnsi="宋体" w:cs="宋体"/>
          <w:szCs w:val="21"/>
        </w:rPr>
      </w:pPr>
      <w:bookmarkStart w:id="497" w:name="_Toc179632758"/>
      <w:bookmarkStart w:id="498" w:name="_Toc152042519"/>
      <w:bookmarkStart w:id="499" w:name="_Toc144974711"/>
      <w:bookmarkStart w:id="500" w:name="_Toc152045740"/>
      <w:r>
        <w:rPr>
          <w:rFonts w:hint="eastAsia" w:ascii="宋体" w:hAnsi="宋体" w:cs="宋体"/>
          <w:szCs w:val="21"/>
        </w:rPr>
        <w:t>19.6 缺陷责任期终止证书</w:t>
      </w:r>
      <w:bookmarkEnd w:id="497"/>
      <w:bookmarkEnd w:id="498"/>
      <w:bookmarkEnd w:id="499"/>
      <w:bookmarkEnd w:id="500"/>
      <w:r>
        <w:rPr>
          <w:rFonts w:hint="eastAsia" w:ascii="宋体" w:hAnsi="宋体" w:cs="宋体"/>
          <w:szCs w:val="21"/>
        </w:rPr>
        <w:t>（工程质量保修责任终止证书）</w:t>
      </w:r>
    </w:p>
    <w:p w14:paraId="43EA9726">
      <w:pPr>
        <w:spacing w:line="400" w:lineRule="exact"/>
        <w:ind w:firstLine="420" w:firstLineChars="200"/>
        <w:rPr>
          <w:rFonts w:hint="eastAsia" w:ascii="宋体" w:hAnsi="宋体" w:cs="宋体"/>
          <w:szCs w:val="21"/>
        </w:rPr>
      </w:pPr>
      <w:r>
        <w:rPr>
          <w:rFonts w:hint="eastAsia" w:ascii="宋体" w:hAnsi="宋体" w:cs="宋体"/>
          <w:szCs w:val="21"/>
        </w:rPr>
        <w:t>合同工程完工验收或投入使用验收后，发包人与承包人应办理工程交接手续，承包人应向发包人递交工程质量保修书。</w:t>
      </w:r>
    </w:p>
    <w:p w14:paraId="3FD2E2EB">
      <w:pPr>
        <w:spacing w:line="400" w:lineRule="exact"/>
        <w:ind w:firstLine="420" w:firstLineChars="200"/>
        <w:rPr>
          <w:rFonts w:hint="eastAsia" w:ascii="宋体" w:hAnsi="宋体" w:cs="宋体"/>
          <w:szCs w:val="21"/>
        </w:rPr>
      </w:pPr>
      <w:r>
        <w:rPr>
          <w:rFonts w:hint="eastAsia" w:ascii="宋体" w:hAnsi="宋体" w:cs="宋体"/>
          <w:szCs w:val="21"/>
        </w:rPr>
        <w:t>缺陷责任期（工程质量保修期）满后30个工作日内，发包人应向承包人颁发工程质量保修责任终止证书，并退还剩余的质量保证金，但保修责任范围内的质量缺陷未处理完成的应除外。</w:t>
      </w:r>
    </w:p>
    <w:p w14:paraId="200D1734">
      <w:pPr>
        <w:keepNext/>
        <w:keepLines/>
        <w:spacing w:line="400" w:lineRule="exact"/>
        <w:outlineLvl w:val="2"/>
        <w:rPr>
          <w:rFonts w:hint="eastAsia" w:ascii="宋体" w:hAnsi="宋体" w:cs="宋体"/>
          <w:szCs w:val="21"/>
        </w:rPr>
      </w:pPr>
      <w:bookmarkStart w:id="501" w:name="_Toc152045741"/>
      <w:bookmarkStart w:id="502" w:name="_Toc179632759"/>
      <w:bookmarkStart w:id="503" w:name="_Toc144974712"/>
      <w:bookmarkStart w:id="504" w:name="_Toc152042520"/>
      <w:bookmarkStart w:id="505" w:name="_Toc222033872"/>
      <w:bookmarkStart w:id="506" w:name="_Toc229305381"/>
      <w:bookmarkStart w:id="507" w:name="_Toc221951060"/>
      <w:bookmarkStart w:id="508" w:name="_Toc222031023"/>
      <w:bookmarkStart w:id="509" w:name="_Toc222029521"/>
      <w:bookmarkStart w:id="510" w:name="_Toc229408516"/>
      <w:bookmarkStart w:id="511" w:name="_Toc222032690"/>
      <w:r>
        <w:rPr>
          <w:rFonts w:hint="eastAsia" w:ascii="宋体" w:hAnsi="宋体" w:cs="宋体"/>
          <w:szCs w:val="21"/>
        </w:rPr>
        <w:t>19.7 保修责任</w:t>
      </w:r>
      <w:bookmarkEnd w:id="501"/>
      <w:bookmarkEnd w:id="502"/>
      <w:bookmarkEnd w:id="503"/>
      <w:bookmarkEnd w:id="504"/>
    </w:p>
    <w:p w14:paraId="43AF373F">
      <w:pPr>
        <w:spacing w:line="400" w:lineRule="exact"/>
        <w:ind w:firstLine="420" w:firstLineChars="200"/>
        <w:rPr>
          <w:rFonts w:hint="eastAsia" w:ascii="宋体" w:hAnsi="宋体" w:cs="宋体"/>
          <w:szCs w:val="21"/>
        </w:rPr>
      </w:pPr>
      <w:r>
        <w:rPr>
          <w:rFonts w:hint="eastAsia" w:ascii="宋体" w:hAnsi="宋体" w:cs="宋体"/>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2A89BCF3">
      <w:pPr>
        <w:pStyle w:val="4"/>
        <w:rPr>
          <w:rFonts w:cs="宋体"/>
          <w:sz w:val="28"/>
          <w:szCs w:val="28"/>
        </w:rPr>
      </w:pPr>
      <w:r>
        <w:rPr>
          <w:rFonts w:cs="宋体"/>
          <w:sz w:val="28"/>
          <w:szCs w:val="28"/>
        </w:rPr>
        <w:t>20. 保险</w:t>
      </w:r>
      <w:bookmarkEnd w:id="505"/>
      <w:bookmarkEnd w:id="506"/>
      <w:bookmarkEnd w:id="507"/>
      <w:bookmarkEnd w:id="508"/>
      <w:bookmarkEnd w:id="509"/>
      <w:bookmarkEnd w:id="510"/>
      <w:bookmarkEnd w:id="511"/>
    </w:p>
    <w:p w14:paraId="2C030274">
      <w:pPr>
        <w:keepNext/>
        <w:keepLines/>
        <w:spacing w:line="400" w:lineRule="exact"/>
        <w:outlineLvl w:val="2"/>
        <w:rPr>
          <w:rFonts w:hint="eastAsia" w:ascii="宋体" w:hAnsi="宋体" w:cs="宋体"/>
          <w:szCs w:val="21"/>
        </w:rPr>
      </w:pPr>
      <w:bookmarkStart w:id="512" w:name="_Toc179632761"/>
      <w:bookmarkStart w:id="513" w:name="_Toc144974714"/>
      <w:bookmarkStart w:id="514" w:name="_Toc152045743"/>
      <w:bookmarkStart w:id="515" w:name="_Toc152042522"/>
      <w:r>
        <w:rPr>
          <w:rFonts w:hint="eastAsia" w:ascii="宋体" w:hAnsi="宋体" w:cs="宋体"/>
          <w:szCs w:val="21"/>
        </w:rPr>
        <w:t>20.1 工程保险</w:t>
      </w:r>
      <w:bookmarkEnd w:id="512"/>
      <w:bookmarkEnd w:id="513"/>
      <w:bookmarkEnd w:id="514"/>
      <w:bookmarkEnd w:id="515"/>
    </w:p>
    <w:p w14:paraId="23839133">
      <w:pPr>
        <w:spacing w:line="380" w:lineRule="exact"/>
        <w:ind w:firstLine="420" w:firstLineChars="200"/>
        <w:rPr>
          <w:rFonts w:hint="eastAsia" w:ascii="宋体" w:hAnsi="宋体" w:cs="宋体"/>
          <w:szCs w:val="21"/>
        </w:rPr>
      </w:pPr>
      <w:r>
        <w:rPr>
          <w:rFonts w:hint="eastAsia" w:ascii="宋体" w:hAnsi="宋体" w:cs="宋体"/>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310DF81">
      <w:pPr>
        <w:keepNext/>
        <w:keepLines/>
        <w:spacing w:line="400" w:lineRule="exact"/>
        <w:outlineLvl w:val="2"/>
        <w:rPr>
          <w:rFonts w:hint="eastAsia" w:ascii="宋体" w:hAnsi="宋体" w:cs="宋体"/>
          <w:szCs w:val="21"/>
        </w:rPr>
      </w:pPr>
      <w:bookmarkStart w:id="516" w:name="_Toc144974715"/>
      <w:bookmarkStart w:id="517" w:name="_Toc179632762"/>
      <w:bookmarkStart w:id="518" w:name="_Toc152045744"/>
      <w:bookmarkStart w:id="519" w:name="_Toc152042523"/>
      <w:r>
        <w:rPr>
          <w:rFonts w:hint="eastAsia" w:ascii="宋体" w:hAnsi="宋体" w:cs="宋体"/>
          <w:szCs w:val="21"/>
        </w:rPr>
        <w:t>20.2 人员工伤事故的保险</w:t>
      </w:r>
      <w:bookmarkEnd w:id="516"/>
      <w:bookmarkEnd w:id="517"/>
      <w:bookmarkEnd w:id="518"/>
      <w:bookmarkEnd w:id="519"/>
    </w:p>
    <w:p w14:paraId="79FDD8D1">
      <w:pPr>
        <w:spacing w:line="380" w:lineRule="exact"/>
        <w:ind w:firstLine="420" w:firstLineChars="200"/>
        <w:rPr>
          <w:rFonts w:hint="eastAsia" w:ascii="宋体" w:hAnsi="宋体" w:cs="宋体"/>
          <w:szCs w:val="21"/>
        </w:rPr>
      </w:pPr>
      <w:r>
        <w:rPr>
          <w:rFonts w:hint="eastAsia" w:ascii="宋体" w:hAnsi="宋体" w:cs="宋体"/>
          <w:szCs w:val="21"/>
        </w:rPr>
        <w:t>20.2.1 承包人员工伤事故的保险</w:t>
      </w:r>
    </w:p>
    <w:p w14:paraId="181AB409">
      <w:pPr>
        <w:spacing w:line="380" w:lineRule="exact"/>
        <w:ind w:firstLine="420" w:firstLineChars="200"/>
        <w:rPr>
          <w:rFonts w:hint="eastAsia" w:ascii="宋体" w:hAnsi="宋体" w:cs="宋体"/>
          <w:szCs w:val="21"/>
        </w:rPr>
      </w:pPr>
      <w:r>
        <w:rPr>
          <w:rFonts w:hint="eastAsia" w:ascii="宋体" w:hAnsi="宋体" w:cs="宋体"/>
          <w:szCs w:val="21"/>
        </w:rPr>
        <w:t>承包人应依照有关法律规定参加工伤保险，为其履行合同所雇佣的全部人员，缴纳工伤保险费，并要求其分包人也进行此项保险。</w:t>
      </w:r>
    </w:p>
    <w:p w14:paraId="05EE2C21">
      <w:pPr>
        <w:spacing w:line="380" w:lineRule="exact"/>
        <w:ind w:firstLine="420" w:firstLineChars="200"/>
        <w:rPr>
          <w:rFonts w:hint="eastAsia" w:ascii="宋体" w:hAnsi="宋体" w:cs="宋体"/>
          <w:szCs w:val="21"/>
        </w:rPr>
      </w:pPr>
      <w:r>
        <w:rPr>
          <w:rFonts w:hint="eastAsia" w:ascii="宋体" w:hAnsi="宋体" w:cs="宋体"/>
          <w:szCs w:val="21"/>
        </w:rPr>
        <w:t>20.2.2 发包人员工伤事故的保险</w:t>
      </w:r>
    </w:p>
    <w:p w14:paraId="751BE4D9">
      <w:pPr>
        <w:spacing w:line="380" w:lineRule="exact"/>
        <w:ind w:firstLine="420" w:firstLineChars="200"/>
        <w:rPr>
          <w:rFonts w:hint="eastAsia" w:ascii="宋体" w:hAnsi="宋体" w:cs="宋体"/>
          <w:szCs w:val="21"/>
        </w:rPr>
      </w:pPr>
      <w:r>
        <w:rPr>
          <w:rFonts w:hint="eastAsia" w:ascii="宋体" w:hAnsi="宋体" w:cs="宋体"/>
          <w:szCs w:val="21"/>
        </w:rPr>
        <w:t>发包人应依照有关法律规定参加工伤保险，为其现场机构雇佣的全部人员，缴纳工伤保险费，并要求其监理人也进行此项保险。</w:t>
      </w:r>
    </w:p>
    <w:p w14:paraId="3593E871">
      <w:pPr>
        <w:keepNext/>
        <w:keepLines/>
        <w:spacing w:line="400" w:lineRule="exact"/>
        <w:outlineLvl w:val="2"/>
        <w:rPr>
          <w:rFonts w:hint="eastAsia" w:ascii="宋体" w:hAnsi="宋体" w:cs="宋体"/>
          <w:szCs w:val="21"/>
        </w:rPr>
      </w:pPr>
      <w:bookmarkStart w:id="520" w:name="_Toc152045745"/>
      <w:bookmarkStart w:id="521" w:name="_Toc179632763"/>
      <w:bookmarkStart w:id="522" w:name="_Toc152042524"/>
      <w:bookmarkStart w:id="523" w:name="_Toc144974716"/>
      <w:r>
        <w:rPr>
          <w:rFonts w:hint="eastAsia" w:ascii="宋体" w:hAnsi="宋体" w:cs="宋体"/>
          <w:szCs w:val="21"/>
        </w:rPr>
        <w:t>20.3 人身意外伤害险</w:t>
      </w:r>
      <w:bookmarkEnd w:id="520"/>
      <w:bookmarkEnd w:id="521"/>
      <w:bookmarkEnd w:id="522"/>
      <w:bookmarkEnd w:id="523"/>
    </w:p>
    <w:p w14:paraId="655CAE90">
      <w:pPr>
        <w:spacing w:line="380" w:lineRule="exact"/>
        <w:ind w:firstLine="420" w:firstLineChars="200"/>
        <w:rPr>
          <w:rFonts w:hint="eastAsia" w:ascii="宋体" w:hAnsi="宋体" w:cs="宋体"/>
          <w:szCs w:val="21"/>
        </w:rPr>
      </w:pPr>
      <w:r>
        <w:rPr>
          <w:rFonts w:hint="eastAsia" w:ascii="宋体" w:hAnsi="宋体" w:cs="宋体"/>
          <w:szCs w:val="21"/>
        </w:rPr>
        <w:t>20.3.1 发包人应在整个施工期间为其现场机构雇用的全部人员，投保人身意外伤害险，缴纳保险费，并要求其监理人也进行此项保险。</w:t>
      </w:r>
    </w:p>
    <w:p w14:paraId="325C928F">
      <w:pPr>
        <w:spacing w:line="380" w:lineRule="exact"/>
        <w:ind w:firstLine="420" w:firstLineChars="200"/>
        <w:rPr>
          <w:rFonts w:hint="eastAsia" w:ascii="宋体" w:hAnsi="宋体" w:cs="宋体"/>
          <w:szCs w:val="21"/>
        </w:rPr>
      </w:pPr>
      <w:r>
        <w:rPr>
          <w:rFonts w:hint="eastAsia" w:ascii="宋体" w:hAnsi="宋体" w:cs="宋体"/>
          <w:szCs w:val="21"/>
        </w:rPr>
        <w:t>20.3.2 承包人应在整个施工期间为其现场机构雇用的全部人员，投保人身意外伤害险，缴纳保险费，并要求其分包人也进行此项保险。</w:t>
      </w:r>
    </w:p>
    <w:p w14:paraId="16CAF106">
      <w:pPr>
        <w:keepNext/>
        <w:keepLines/>
        <w:spacing w:line="400" w:lineRule="exact"/>
        <w:outlineLvl w:val="2"/>
        <w:rPr>
          <w:rFonts w:hint="eastAsia" w:ascii="宋体" w:hAnsi="宋体" w:cs="宋体"/>
          <w:szCs w:val="21"/>
        </w:rPr>
      </w:pPr>
      <w:bookmarkStart w:id="524" w:name="_Toc179632764"/>
      <w:bookmarkStart w:id="525" w:name="_Toc152042525"/>
      <w:bookmarkStart w:id="526" w:name="_Toc152045746"/>
      <w:bookmarkStart w:id="527" w:name="_Toc144974717"/>
      <w:r>
        <w:rPr>
          <w:rFonts w:hint="eastAsia" w:ascii="宋体" w:hAnsi="宋体" w:cs="宋体"/>
          <w:szCs w:val="21"/>
        </w:rPr>
        <w:t>20.4 第三者责任险</w:t>
      </w:r>
      <w:bookmarkEnd w:id="524"/>
      <w:bookmarkEnd w:id="525"/>
      <w:bookmarkEnd w:id="526"/>
      <w:bookmarkEnd w:id="527"/>
    </w:p>
    <w:p w14:paraId="3B3E2995">
      <w:pPr>
        <w:spacing w:line="380" w:lineRule="exact"/>
        <w:ind w:firstLine="420" w:firstLineChars="200"/>
        <w:rPr>
          <w:rFonts w:hint="eastAsia" w:ascii="宋体" w:hAnsi="宋体" w:cs="宋体"/>
          <w:szCs w:val="21"/>
        </w:rPr>
      </w:pPr>
      <w:r>
        <w:rPr>
          <w:rFonts w:hint="eastAsia" w:ascii="宋体" w:hAnsi="宋体" w:cs="宋体"/>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268E20A">
      <w:pPr>
        <w:spacing w:line="380" w:lineRule="exact"/>
        <w:ind w:firstLine="420" w:firstLineChars="200"/>
        <w:rPr>
          <w:rFonts w:hint="eastAsia" w:ascii="宋体" w:hAnsi="宋体" w:cs="宋体"/>
          <w:szCs w:val="21"/>
        </w:rPr>
      </w:pPr>
      <w:r>
        <w:rPr>
          <w:rFonts w:hint="eastAsia" w:ascii="宋体" w:hAnsi="宋体" w:cs="宋体"/>
          <w:szCs w:val="21"/>
        </w:rPr>
        <w:t>20.4.2 在缺陷责任期终止证书颁发前，承包人应以承包人和发包人的共同名义，投保第20.4.1项约定的第三者责任险，其保险费率、保险金额等有关内容在专用合同条款中约定。</w:t>
      </w:r>
    </w:p>
    <w:p w14:paraId="47FB7591">
      <w:pPr>
        <w:keepNext/>
        <w:keepLines/>
        <w:spacing w:line="400" w:lineRule="exact"/>
        <w:outlineLvl w:val="2"/>
        <w:rPr>
          <w:rFonts w:hint="eastAsia" w:ascii="宋体" w:hAnsi="宋体" w:cs="宋体"/>
          <w:szCs w:val="21"/>
        </w:rPr>
      </w:pPr>
      <w:bookmarkStart w:id="528" w:name="_Toc152042526"/>
      <w:bookmarkStart w:id="529" w:name="_Toc144974718"/>
      <w:bookmarkStart w:id="530" w:name="_Toc152045747"/>
      <w:bookmarkStart w:id="531" w:name="_Toc179632765"/>
      <w:r>
        <w:rPr>
          <w:rFonts w:hint="eastAsia" w:ascii="宋体" w:hAnsi="宋体" w:cs="宋体"/>
          <w:szCs w:val="21"/>
        </w:rPr>
        <w:t>20.5 其他保险</w:t>
      </w:r>
      <w:bookmarkEnd w:id="528"/>
      <w:bookmarkEnd w:id="529"/>
      <w:bookmarkEnd w:id="530"/>
      <w:bookmarkEnd w:id="531"/>
    </w:p>
    <w:p w14:paraId="7DC54A6C">
      <w:pPr>
        <w:spacing w:line="380" w:lineRule="exact"/>
        <w:ind w:firstLine="420" w:firstLineChars="200"/>
        <w:rPr>
          <w:rFonts w:hint="eastAsia" w:ascii="宋体" w:hAnsi="宋体" w:cs="宋体"/>
          <w:szCs w:val="21"/>
        </w:rPr>
      </w:pPr>
      <w:r>
        <w:rPr>
          <w:rFonts w:hint="eastAsia" w:ascii="宋体" w:hAnsi="宋体" w:cs="宋体"/>
          <w:szCs w:val="21"/>
        </w:rPr>
        <w:t>除专用合同条款另有约定外，承包人应为其施工设备、进场的材料和工程设备等办理保险。</w:t>
      </w:r>
    </w:p>
    <w:p w14:paraId="16FEF9A4">
      <w:pPr>
        <w:keepNext/>
        <w:keepLines/>
        <w:spacing w:line="400" w:lineRule="exact"/>
        <w:outlineLvl w:val="2"/>
        <w:rPr>
          <w:rFonts w:hint="eastAsia" w:ascii="宋体" w:hAnsi="宋体" w:cs="宋体"/>
          <w:szCs w:val="21"/>
        </w:rPr>
      </w:pPr>
      <w:bookmarkStart w:id="532" w:name="_Toc179632766"/>
      <w:bookmarkStart w:id="533" w:name="_Toc152042527"/>
      <w:bookmarkStart w:id="534" w:name="_Toc144974719"/>
      <w:bookmarkStart w:id="535" w:name="_Toc152045748"/>
      <w:r>
        <w:rPr>
          <w:rFonts w:hint="eastAsia" w:ascii="宋体" w:hAnsi="宋体" w:cs="宋体"/>
          <w:szCs w:val="21"/>
        </w:rPr>
        <w:t>20.6 对各项保险的一般要求</w:t>
      </w:r>
      <w:bookmarkEnd w:id="532"/>
      <w:bookmarkEnd w:id="533"/>
      <w:bookmarkEnd w:id="534"/>
      <w:bookmarkEnd w:id="535"/>
    </w:p>
    <w:p w14:paraId="5D399AC9">
      <w:pPr>
        <w:spacing w:line="380" w:lineRule="exact"/>
        <w:ind w:firstLine="420" w:firstLineChars="200"/>
        <w:rPr>
          <w:rFonts w:hint="eastAsia" w:ascii="宋体" w:hAnsi="宋体" w:cs="宋体"/>
          <w:szCs w:val="21"/>
        </w:rPr>
      </w:pPr>
      <w:r>
        <w:rPr>
          <w:rFonts w:hint="eastAsia" w:ascii="宋体" w:hAnsi="宋体" w:cs="宋体"/>
          <w:szCs w:val="21"/>
        </w:rPr>
        <w:t>20.6.1 保险凭证</w:t>
      </w:r>
    </w:p>
    <w:p w14:paraId="64851C19">
      <w:pPr>
        <w:spacing w:line="380" w:lineRule="exact"/>
        <w:ind w:firstLine="420" w:firstLineChars="200"/>
        <w:rPr>
          <w:rFonts w:hint="eastAsia" w:ascii="宋体" w:hAnsi="宋体" w:cs="宋体"/>
          <w:szCs w:val="21"/>
        </w:rPr>
      </w:pPr>
      <w:r>
        <w:rPr>
          <w:rFonts w:hint="eastAsia" w:ascii="宋体" w:hAnsi="宋体" w:cs="宋体"/>
          <w:szCs w:val="21"/>
        </w:rPr>
        <w:t>承包人应在专用合同条款约定的期限内向发包人提交各项保险生效的证据和保险单副本，保险单必须与专用合同条款约定的条件保持一致。</w:t>
      </w:r>
    </w:p>
    <w:p w14:paraId="423E1EA1">
      <w:pPr>
        <w:spacing w:line="380" w:lineRule="exact"/>
        <w:ind w:firstLine="420" w:firstLineChars="200"/>
        <w:rPr>
          <w:rFonts w:hint="eastAsia" w:ascii="宋体" w:hAnsi="宋体" w:cs="宋体"/>
          <w:szCs w:val="21"/>
        </w:rPr>
      </w:pPr>
      <w:r>
        <w:rPr>
          <w:rFonts w:hint="eastAsia" w:ascii="宋体" w:hAnsi="宋体" w:cs="宋体"/>
          <w:szCs w:val="21"/>
        </w:rPr>
        <w:t>20.6.2 保险合同条款的变动</w:t>
      </w:r>
    </w:p>
    <w:p w14:paraId="7EA3E279">
      <w:pPr>
        <w:spacing w:line="380" w:lineRule="exact"/>
        <w:ind w:firstLine="420" w:firstLineChars="200"/>
        <w:rPr>
          <w:rFonts w:hint="eastAsia" w:ascii="宋体" w:hAnsi="宋体" w:cs="宋体"/>
          <w:szCs w:val="21"/>
        </w:rPr>
      </w:pPr>
      <w:r>
        <w:rPr>
          <w:rFonts w:hint="eastAsia" w:ascii="宋体" w:hAnsi="宋体" w:cs="宋体"/>
          <w:szCs w:val="21"/>
        </w:rPr>
        <w:t>承包人需要变动保险合同条款时，应事先征得发包人同意，并通知监理人。保险人作出变动的，承包人应在收到保险人通知后立即通知发包人和监理人。</w:t>
      </w:r>
    </w:p>
    <w:p w14:paraId="19D10E9E">
      <w:pPr>
        <w:spacing w:line="380" w:lineRule="exact"/>
        <w:ind w:firstLine="420" w:firstLineChars="200"/>
        <w:rPr>
          <w:rFonts w:hint="eastAsia" w:ascii="宋体" w:hAnsi="宋体" w:cs="宋体"/>
          <w:szCs w:val="21"/>
        </w:rPr>
      </w:pPr>
      <w:r>
        <w:rPr>
          <w:rFonts w:hint="eastAsia" w:ascii="宋体" w:hAnsi="宋体" w:cs="宋体"/>
          <w:szCs w:val="21"/>
        </w:rPr>
        <w:t>20.6.3 持续保险</w:t>
      </w:r>
    </w:p>
    <w:p w14:paraId="577BED2D">
      <w:pPr>
        <w:spacing w:line="380" w:lineRule="exact"/>
        <w:ind w:firstLine="420" w:firstLineChars="200"/>
        <w:rPr>
          <w:rFonts w:hint="eastAsia" w:ascii="宋体" w:hAnsi="宋体" w:cs="宋体"/>
          <w:szCs w:val="21"/>
        </w:rPr>
      </w:pPr>
      <w:r>
        <w:rPr>
          <w:rFonts w:hint="eastAsia" w:ascii="宋体" w:hAnsi="宋体" w:cs="宋体"/>
          <w:szCs w:val="21"/>
        </w:rPr>
        <w:t>承包人应与保险人保持联系，使保险人能够随时了解工程实施中的变动，并确保按保险合同条款要求持续保险。</w:t>
      </w:r>
    </w:p>
    <w:p w14:paraId="27AFC0CC">
      <w:pPr>
        <w:spacing w:line="380" w:lineRule="exact"/>
        <w:ind w:firstLine="420" w:firstLineChars="200"/>
        <w:rPr>
          <w:rFonts w:hint="eastAsia" w:ascii="宋体" w:hAnsi="宋体" w:cs="宋体"/>
          <w:szCs w:val="21"/>
        </w:rPr>
      </w:pPr>
      <w:r>
        <w:rPr>
          <w:rFonts w:hint="eastAsia" w:ascii="宋体" w:hAnsi="宋体" w:cs="宋体"/>
          <w:szCs w:val="21"/>
        </w:rPr>
        <w:t>20.6.4 保险金不足的补偿</w:t>
      </w:r>
    </w:p>
    <w:p w14:paraId="29CB045B">
      <w:pPr>
        <w:spacing w:line="380" w:lineRule="exact"/>
        <w:ind w:firstLine="420" w:firstLineChars="200"/>
        <w:rPr>
          <w:rFonts w:hint="eastAsia" w:ascii="宋体" w:hAnsi="宋体" w:cs="宋体"/>
          <w:szCs w:val="21"/>
        </w:rPr>
      </w:pPr>
      <w:r>
        <w:rPr>
          <w:rFonts w:hint="eastAsia" w:ascii="宋体" w:hAnsi="宋体" w:cs="宋体"/>
          <w:szCs w:val="21"/>
        </w:rPr>
        <w:t>保险金不足以补偿损失时，应由承包人和发包人各自负责补偿的范围和金额在专用合同条款中约定。</w:t>
      </w:r>
    </w:p>
    <w:p w14:paraId="18661D0F">
      <w:pPr>
        <w:spacing w:line="380" w:lineRule="exact"/>
        <w:ind w:firstLine="420" w:firstLineChars="200"/>
        <w:rPr>
          <w:rFonts w:hint="eastAsia" w:ascii="宋体" w:hAnsi="宋体" w:cs="宋体"/>
          <w:szCs w:val="21"/>
        </w:rPr>
      </w:pPr>
      <w:r>
        <w:rPr>
          <w:rFonts w:hint="eastAsia" w:ascii="宋体" w:hAnsi="宋体" w:cs="宋体"/>
          <w:szCs w:val="21"/>
        </w:rPr>
        <w:t>20.6.5 未按约定投保的补救</w:t>
      </w:r>
    </w:p>
    <w:p w14:paraId="09932BA5">
      <w:pPr>
        <w:spacing w:line="380" w:lineRule="exact"/>
        <w:ind w:firstLine="420" w:firstLineChars="200"/>
        <w:rPr>
          <w:rFonts w:hint="eastAsia" w:ascii="宋体" w:hAnsi="宋体" w:cs="宋体"/>
          <w:szCs w:val="21"/>
        </w:rPr>
      </w:pPr>
      <w:r>
        <w:rPr>
          <w:rFonts w:hint="eastAsia" w:ascii="宋体" w:hAnsi="宋体" w:cs="宋体"/>
          <w:szCs w:val="21"/>
        </w:rPr>
        <w:t>（1）由于负有投保义务的一方当事人未按合同约定办理保险，或未能使保险持续有效的，另一方当事人可代为办理，所需费用由对方当事人承担。</w:t>
      </w:r>
    </w:p>
    <w:p w14:paraId="1D834B72">
      <w:pPr>
        <w:spacing w:line="380" w:lineRule="exact"/>
        <w:ind w:firstLine="420" w:firstLineChars="200"/>
        <w:rPr>
          <w:rFonts w:hint="eastAsia" w:ascii="宋体" w:hAnsi="宋体" w:cs="宋体"/>
          <w:szCs w:val="21"/>
        </w:rPr>
      </w:pPr>
      <w:r>
        <w:rPr>
          <w:rFonts w:hint="eastAsia" w:ascii="宋体" w:hAnsi="宋体" w:cs="宋体"/>
          <w:szCs w:val="21"/>
        </w:rPr>
        <w:t>（2）由于负有投保义务的一方当事人未按合同约定办理某项保险，导致受益人未能得到保险人的赔偿，原应从该项保险得到的保险金应由负有投保义务的一方当事人支付。</w:t>
      </w:r>
    </w:p>
    <w:p w14:paraId="2F712CB9">
      <w:pPr>
        <w:spacing w:line="380" w:lineRule="exact"/>
        <w:ind w:firstLine="420" w:firstLineChars="200"/>
        <w:rPr>
          <w:rFonts w:hint="eastAsia" w:ascii="宋体" w:hAnsi="宋体" w:cs="宋体"/>
          <w:szCs w:val="21"/>
        </w:rPr>
      </w:pPr>
      <w:r>
        <w:rPr>
          <w:rFonts w:hint="eastAsia" w:ascii="宋体" w:hAnsi="宋体" w:cs="宋体"/>
          <w:szCs w:val="21"/>
        </w:rPr>
        <w:t>20.6.6 报告义务</w:t>
      </w:r>
    </w:p>
    <w:p w14:paraId="5CD625AA">
      <w:pPr>
        <w:spacing w:line="400" w:lineRule="exact"/>
        <w:ind w:firstLine="420" w:firstLineChars="200"/>
        <w:rPr>
          <w:rFonts w:hint="eastAsia" w:ascii="宋体" w:hAnsi="宋体" w:cs="宋体"/>
          <w:szCs w:val="21"/>
        </w:rPr>
      </w:pPr>
      <w:r>
        <w:rPr>
          <w:rFonts w:hint="eastAsia" w:ascii="宋体" w:hAnsi="宋体" w:cs="宋体"/>
          <w:szCs w:val="21"/>
        </w:rPr>
        <w:t>当保险事故发生时，投保人应按照保险单规定的条件和期限及时向保险人报告。</w:t>
      </w:r>
    </w:p>
    <w:p w14:paraId="7302E076">
      <w:pPr>
        <w:keepNext/>
        <w:keepLines/>
        <w:spacing w:line="400" w:lineRule="exact"/>
        <w:outlineLvl w:val="2"/>
        <w:rPr>
          <w:rFonts w:hint="eastAsia" w:ascii="宋体" w:hAnsi="宋体" w:cs="宋体"/>
          <w:szCs w:val="21"/>
        </w:rPr>
      </w:pPr>
      <w:bookmarkStart w:id="536" w:name="_Toc221951074"/>
      <w:r>
        <w:rPr>
          <w:rFonts w:hint="eastAsia" w:ascii="宋体" w:hAnsi="宋体" w:cs="宋体"/>
          <w:szCs w:val="21"/>
        </w:rPr>
        <w:t>20.7 风险责任的转移</w:t>
      </w:r>
      <w:bookmarkEnd w:id="536"/>
    </w:p>
    <w:p w14:paraId="4096554D">
      <w:pPr>
        <w:spacing w:line="400" w:lineRule="exact"/>
        <w:ind w:firstLine="420" w:firstLineChars="200"/>
        <w:rPr>
          <w:rFonts w:hint="eastAsia" w:ascii="宋体" w:hAnsi="宋体" w:cs="宋体"/>
          <w:szCs w:val="21"/>
        </w:rPr>
      </w:pPr>
      <w:bookmarkStart w:id="537" w:name="_Toc221951075"/>
      <w:r>
        <w:rPr>
          <w:rFonts w:hint="eastAsia" w:ascii="宋体" w:hAnsi="宋体" w:cs="宋体"/>
          <w:szCs w:val="21"/>
        </w:rPr>
        <w:t>工程通过合同工程完工验收并移交给发包人后，原由承包人应承担的风险责任，以及保险的责任、权利和义务同时转移给发包人，但承包人在缺陷责任期（工程质量保修期）前造成损失和损坏情形除外。</w:t>
      </w:r>
      <w:bookmarkEnd w:id="537"/>
    </w:p>
    <w:p w14:paraId="14E0B201">
      <w:pPr>
        <w:pStyle w:val="4"/>
        <w:rPr>
          <w:rFonts w:cs="宋体"/>
          <w:sz w:val="28"/>
          <w:szCs w:val="28"/>
        </w:rPr>
      </w:pPr>
      <w:bookmarkStart w:id="538" w:name="_Toc229408517"/>
      <w:bookmarkStart w:id="539" w:name="_Toc222029522"/>
      <w:bookmarkStart w:id="540" w:name="_Toc229305382"/>
      <w:bookmarkStart w:id="541" w:name="_Toc222032691"/>
      <w:bookmarkStart w:id="542" w:name="_Toc222033873"/>
      <w:bookmarkStart w:id="543" w:name="_Toc221951076"/>
      <w:bookmarkStart w:id="544" w:name="_Toc222031024"/>
      <w:r>
        <w:rPr>
          <w:rFonts w:cs="宋体"/>
          <w:sz w:val="28"/>
          <w:szCs w:val="28"/>
        </w:rPr>
        <w:t>21. 不可抗力</w:t>
      </w:r>
      <w:bookmarkEnd w:id="538"/>
      <w:bookmarkEnd w:id="539"/>
      <w:bookmarkEnd w:id="540"/>
      <w:bookmarkEnd w:id="541"/>
      <w:bookmarkEnd w:id="542"/>
      <w:bookmarkEnd w:id="543"/>
      <w:bookmarkEnd w:id="544"/>
    </w:p>
    <w:p w14:paraId="3B27ECA7">
      <w:pPr>
        <w:keepNext/>
        <w:keepLines/>
        <w:spacing w:line="400" w:lineRule="exact"/>
        <w:outlineLvl w:val="2"/>
        <w:rPr>
          <w:rFonts w:hint="eastAsia" w:ascii="宋体" w:hAnsi="宋体" w:cs="宋体"/>
          <w:szCs w:val="21"/>
        </w:rPr>
      </w:pPr>
      <w:bookmarkStart w:id="545" w:name="_Toc152042529"/>
      <w:bookmarkStart w:id="546" w:name="_Toc144974721"/>
      <w:bookmarkStart w:id="547" w:name="_Toc152045750"/>
      <w:bookmarkStart w:id="548" w:name="_Toc179632768"/>
      <w:bookmarkStart w:id="549" w:name="_Toc222032692"/>
      <w:bookmarkStart w:id="550" w:name="_Toc221951083"/>
      <w:bookmarkStart w:id="551" w:name="_Toc222033874"/>
      <w:bookmarkStart w:id="552" w:name="_Toc229305383"/>
      <w:bookmarkStart w:id="553" w:name="_Toc222029523"/>
      <w:bookmarkStart w:id="554" w:name="_Toc229408518"/>
      <w:bookmarkStart w:id="555" w:name="_Toc222031025"/>
      <w:r>
        <w:rPr>
          <w:rFonts w:hint="eastAsia" w:ascii="宋体" w:hAnsi="宋体" w:cs="宋体"/>
          <w:szCs w:val="21"/>
        </w:rPr>
        <w:t>21.1 不可抗力的确认</w:t>
      </w:r>
      <w:bookmarkEnd w:id="545"/>
      <w:bookmarkEnd w:id="546"/>
      <w:bookmarkEnd w:id="547"/>
      <w:bookmarkEnd w:id="548"/>
    </w:p>
    <w:p w14:paraId="49973E28">
      <w:pPr>
        <w:spacing w:line="400" w:lineRule="exact"/>
        <w:ind w:firstLine="420" w:firstLineChars="200"/>
        <w:rPr>
          <w:rFonts w:hint="eastAsia" w:ascii="宋体" w:hAnsi="宋体" w:cs="宋体"/>
          <w:szCs w:val="21"/>
        </w:rPr>
      </w:pPr>
      <w:r>
        <w:rPr>
          <w:rFonts w:hint="eastAsia" w:ascii="宋体" w:hAnsi="宋体" w:cs="宋体"/>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65A008A1">
      <w:pPr>
        <w:spacing w:line="400" w:lineRule="exact"/>
        <w:ind w:firstLine="420" w:firstLineChars="200"/>
        <w:rPr>
          <w:rFonts w:hint="eastAsia" w:ascii="宋体" w:hAnsi="宋体" w:cs="宋体"/>
          <w:szCs w:val="21"/>
        </w:rPr>
      </w:pPr>
      <w:r>
        <w:rPr>
          <w:rFonts w:hint="eastAsia" w:ascii="宋体" w:hAnsi="宋体" w:cs="宋体"/>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6E4E708">
      <w:pPr>
        <w:keepNext/>
        <w:keepLines/>
        <w:spacing w:line="400" w:lineRule="exact"/>
        <w:outlineLvl w:val="2"/>
        <w:rPr>
          <w:rFonts w:hint="eastAsia" w:ascii="宋体" w:hAnsi="宋体" w:cs="宋体"/>
          <w:szCs w:val="21"/>
        </w:rPr>
      </w:pPr>
      <w:bookmarkStart w:id="556" w:name="_Toc152042530"/>
      <w:bookmarkStart w:id="557" w:name="_Toc179632769"/>
      <w:bookmarkStart w:id="558" w:name="_Toc144974722"/>
      <w:bookmarkStart w:id="559" w:name="_Toc152045751"/>
      <w:r>
        <w:rPr>
          <w:rFonts w:hint="eastAsia" w:ascii="宋体" w:hAnsi="宋体" w:cs="宋体"/>
          <w:szCs w:val="21"/>
        </w:rPr>
        <w:t>21.2 不可抗力的通知</w:t>
      </w:r>
      <w:bookmarkEnd w:id="556"/>
      <w:bookmarkEnd w:id="557"/>
      <w:bookmarkEnd w:id="558"/>
      <w:bookmarkEnd w:id="559"/>
    </w:p>
    <w:p w14:paraId="7563660C">
      <w:pPr>
        <w:spacing w:line="400" w:lineRule="exact"/>
        <w:ind w:firstLine="420" w:firstLineChars="200"/>
        <w:rPr>
          <w:rFonts w:hint="eastAsia" w:ascii="宋体" w:hAnsi="宋体" w:cs="宋体"/>
          <w:szCs w:val="21"/>
        </w:rPr>
      </w:pPr>
      <w:r>
        <w:rPr>
          <w:rFonts w:hint="eastAsia" w:ascii="宋体" w:hAnsi="宋体" w:cs="宋体"/>
          <w:szCs w:val="21"/>
        </w:rPr>
        <w:t>21.2.1 合同一方当事人遇到不可抗力事件，使其履行合同义务受到阻碍时，应立即通知合同另一方当事人和监理人，书面说明不可抗力和受阻碍的详细情况，并提供必要的证明。</w:t>
      </w:r>
    </w:p>
    <w:p w14:paraId="3DC5776F">
      <w:pPr>
        <w:spacing w:line="400" w:lineRule="exact"/>
        <w:ind w:firstLine="420" w:firstLineChars="200"/>
        <w:rPr>
          <w:rFonts w:hint="eastAsia" w:ascii="宋体" w:hAnsi="宋体" w:cs="宋体"/>
          <w:szCs w:val="21"/>
        </w:rPr>
      </w:pPr>
      <w:r>
        <w:rPr>
          <w:rFonts w:hint="eastAsia" w:ascii="宋体" w:hAnsi="宋体" w:cs="宋体"/>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31371DFF">
      <w:pPr>
        <w:keepNext/>
        <w:keepLines/>
        <w:spacing w:line="400" w:lineRule="exact"/>
        <w:outlineLvl w:val="2"/>
        <w:rPr>
          <w:rFonts w:hint="eastAsia" w:ascii="宋体" w:hAnsi="宋体" w:cs="宋体"/>
          <w:szCs w:val="21"/>
        </w:rPr>
      </w:pPr>
      <w:bookmarkStart w:id="560" w:name="_Toc144974723"/>
      <w:bookmarkStart w:id="561" w:name="_Toc179632770"/>
      <w:bookmarkStart w:id="562" w:name="_Toc152042531"/>
      <w:bookmarkStart w:id="563" w:name="_Toc152045752"/>
      <w:r>
        <w:rPr>
          <w:rFonts w:hint="eastAsia" w:ascii="宋体" w:hAnsi="宋体" w:cs="宋体"/>
          <w:szCs w:val="21"/>
        </w:rPr>
        <w:t>21.3 不可抗力后果及其处理</w:t>
      </w:r>
      <w:bookmarkEnd w:id="560"/>
      <w:bookmarkEnd w:id="561"/>
      <w:bookmarkEnd w:id="562"/>
      <w:bookmarkEnd w:id="563"/>
    </w:p>
    <w:p w14:paraId="4C30113B">
      <w:pPr>
        <w:spacing w:line="380" w:lineRule="exact"/>
        <w:ind w:firstLine="420" w:firstLineChars="200"/>
        <w:rPr>
          <w:rFonts w:hint="eastAsia" w:ascii="宋体" w:hAnsi="宋体" w:cs="宋体"/>
          <w:szCs w:val="21"/>
        </w:rPr>
      </w:pPr>
      <w:r>
        <w:rPr>
          <w:rFonts w:hint="eastAsia" w:ascii="宋体" w:hAnsi="宋体" w:cs="宋体"/>
          <w:szCs w:val="21"/>
        </w:rPr>
        <w:t>21.3.1 不可抗力造成损害的责任</w:t>
      </w:r>
    </w:p>
    <w:p w14:paraId="793CAE59">
      <w:pPr>
        <w:spacing w:line="400" w:lineRule="exact"/>
        <w:ind w:firstLine="420" w:firstLineChars="200"/>
        <w:rPr>
          <w:rFonts w:hint="eastAsia" w:ascii="宋体" w:hAnsi="宋体" w:cs="宋体"/>
          <w:szCs w:val="21"/>
        </w:rPr>
      </w:pPr>
      <w:r>
        <w:rPr>
          <w:rFonts w:hint="eastAsia" w:ascii="宋体" w:hAnsi="宋体" w:cs="宋体"/>
          <w:szCs w:val="21"/>
        </w:rPr>
        <w:t>除专用合同条款另有约定外，不可抗力导致的人员伤亡、财产损失、费用增加和（或）工期延误等后果，由合同双方按以下原则承担：</w:t>
      </w:r>
    </w:p>
    <w:p w14:paraId="5B0A7F34">
      <w:pPr>
        <w:spacing w:line="400" w:lineRule="exact"/>
        <w:ind w:firstLine="718" w:firstLineChars="342"/>
        <w:rPr>
          <w:rFonts w:hint="eastAsia" w:ascii="宋体" w:hAnsi="宋体" w:cs="宋体"/>
          <w:szCs w:val="21"/>
        </w:rPr>
      </w:pPr>
      <w:r>
        <w:rPr>
          <w:rFonts w:hint="eastAsia" w:ascii="宋体" w:hAnsi="宋体" w:cs="宋体"/>
          <w:szCs w:val="21"/>
        </w:rPr>
        <w:t>（1）永久工程，包括已运至施工场地的材料和工程设备的损害，以及因工程损害造成的第三者人员伤亡和财产损失由发包人承担；</w:t>
      </w:r>
    </w:p>
    <w:p w14:paraId="40B7993B">
      <w:pPr>
        <w:spacing w:line="400" w:lineRule="exact"/>
        <w:ind w:firstLine="718" w:firstLineChars="342"/>
        <w:rPr>
          <w:rFonts w:hint="eastAsia" w:ascii="宋体" w:hAnsi="宋体" w:cs="宋体"/>
          <w:szCs w:val="21"/>
        </w:rPr>
      </w:pPr>
      <w:r>
        <w:rPr>
          <w:rFonts w:hint="eastAsia" w:ascii="宋体" w:hAnsi="宋体" w:cs="宋体"/>
          <w:szCs w:val="21"/>
        </w:rPr>
        <w:t>（2）承包人设备的损坏由承包人承担；</w:t>
      </w:r>
    </w:p>
    <w:p w14:paraId="6AB8E62B">
      <w:pPr>
        <w:spacing w:line="400" w:lineRule="exact"/>
        <w:ind w:firstLine="718" w:firstLineChars="342"/>
        <w:rPr>
          <w:rFonts w:hint="eastAsia" w:ascii="宋体" w:hAnsi="宋体" w:cs="宋体"/>
          <w:szCs w:val="21"/>
        </w:rPr>
      </w:pPr>
      <w:r>
        <w:rPr>
          <w:rFonts w:hint="eastAsia" w:ascii="宋体" w:hAnsi="宋体" w:cs="宋体"/>
          <w:szCs w:val="21"/>
        </w:rPr>
        <w:t>（3）发包人和承包人各自承担其人员伤亡和其他财产损失及其相关费用；</w:t>
      </w:r>
    </w:p>
    <w:p w14:paraId="0A8DBFEC">
      <w:pPr>
        <w:spacing w:line="400" w:lineRule="exact"/>
        <w:ind w:firstLine="718" w:firstLineChars="342"/>
        <w:rPr>
          <w:rFonts w:hint="eastAsia" w:ascii="宋体" w:hAnsi="宋体" w:cs="宋体"/>
          <w:szCs w:val="21"/>
        </w:rPr>
      </w:pPr>
      <w:r>
        <w:rPr>
          <w:rFonts w:hint="eastAsia" w:ascii="宋体" w:hAnsi="宋体" w:cs="宋体"/>
          <w:szCs w:val="21"/>
        </w:rPr>
        <w:t>（4）承包人的停工损失由承包人承担，但停工期间应监理人要求照管工程和清理、修复工程的金额由发包人承担；</w:t>
      </w:r>
    </w:p>
    <w:p w14:paraId="337287A1">
      <w:pPr>
        <w:spacing w:line="400" w:lineRule="exact"/>
        <w:ind w:firstLine="718" w:firstLineChars="342"/>
        <w:rPr>
          <w:rFonts w:hint="eastAsia" w:ascii="宋体" w:hAnsi="宋体" w:cs="宋体"/>
          <w:szCs w:val="21"/>
        </w:rPr>
      </w:pPr>
      <w:r>
        <w:rPr>
          <w:rFonts w:hint="eastAsia" w:ascii="宋体" w:hAnsi="宋体" w:cs="宋体"/>
          <w:szCs w:val="21"/>
        </w:rPr>
        <w:t>（5）不能按期竣工的，应合理延长工期，承包人不需支付逾期竣工违约金。发包人要求赶工的，承包人应采取赶工措施，赶工费用由发包人承担。</w:t>
      </w:r>
    </w:p>
    <w:p w14:paraId="5F4566D1">
      <w:pPr>
        <w:spacing w:line="400" w:lineRule="exact"/>
        <w:ind w:firstLine="420" w:firstLineChars="200"/>
        <w:rPr>
          <w:rFonts w:hint="eastAsia" w:ascii="宋体" w:hAnsi="宋体" w:cs="宋体"/>
          <w:szCs w:val="21"/>
        </w:rPr>
      </w:pPr>
      <w:r>
        <w:rPr>
          <w:rFonts w:hint="eastAsia" w:ascii="宋体" w:hAnsi="宋体" w:cs="宋体"/>
          <w:szCs w:val="21"/>
        </w:rPr>
        <w:t>21.3.2 延迟履行期间发生的不可抗力</w:t>
      </w:r>
    </w:p>
    <w:p w14:paraId="2BE33E6A">
      <w:pPr>
        <w:spacing w:line="400" w:lineRule="exact"/>
        <w:ind w:firstLine="420" w:firstLineChars="200"/>
        <w:rPr>
          <w:rFonts w:hint="eastAsia" w:ascii="宋体" w:hAnsi="宋体" w:cs="宋体"/>
          <w:szCs w:val="21"/>
        </w:rPr>
      </w:pPr>
      <w:r>
        <w:rPr>
          <w:rFonts w:hint="eastAsia" w:ascii="宋体" w:hAnsi="宋体" w:cs="宋体"/>
          <w:szCs w:val="21"/>
        </w:rPr>
        <w:t>合同一方当事人延迟履行，在延迟履行期间发生不可抗力的，不免除其责任。</w:t>
      </w:r>
    </w:p>
    <w:p w14:paraId="4CEE6B5A">
      <w:pPr>
        <w:spacing w:line="400" w:lineRule="exact"/>
        <w:ind w:firstLine="420" w:firstLineChars="200"/>
        <w:rPr>
          <w:rFonts w:hint="eastAsia" w:ascii="宋体" w:hAnsi="宋体" w:cs="宋体"/>
          <w:szCs w:val="21"/>
        </w:rPr>
      </w:pPr>
      <w:r>
        <w:rPr>
          <w:rFonts w:hint="eastAsia" w:ascii="宋体" w:hAnsi="宋体" w:cs="宋体"/>
          <w:szCs w:val="21"/>
        </w:rPr>
        <w:t>21.3.3 避免和减少不可抗力损失</w:t>
      </w:r>
    </w:p>
    <w:p w14:paraId="0300C130">
      <w:pPr>
        <w:spacing w:line="400" w:lineRule="exact"/>
        <w:ind w:firstLine="420" w:firstLineChars="200"/>
        <w:rPr>
          <w:rFonts w:hint="eastAsia" w:ascii="宋体" w:hAnsi="宋体" w:cs="宋体"/>
          <w:szCs w:val="21"/>
        </w:rPr>
      </w:pPr>
      <w:r>
        <w:rPr>
          <w:rFonts w:hint="eastAsia" w:ascii="宋体" w:hAnsi="宋体" w:cs="宋体"/>
          <w:szCs w:val="21"/>
        </w:rPr>
        <w:t>不可抗力发生后，发包人和承包人均应采取措施尽量避免和减少损失的扩大，任何一方没有采取有效措施导致损失扩大的，应对扩大的损失承担责任。</w:t>
      </w:r>
    </w:p>
    <w:p w14:paraId="74246388">
      <w:pPr>
        <w:spacing w:line="400" w:lineRule="exact"/>
        <w:ind w:firstLine="420" w:firstLineChars="200"/>
        <w:rPr>
          <w:rFonts w:hint="eastAsia" w:ascii="宋体" w:hAnsi="宋体" w:cs="宋体"/>
          <w:szCs w:val="21"/>
        </w:rPr>
      </w:pPr>
      <w:r>
        <w:rPr>
          <w:rFonts w:hint="eastAsia" w:ascii="宋体" w:hAnsi="宋体" w:cs="宋体"/>
          <w:szCs w:val="21"/>
        </w:rPr>
        <w:t>21.3.4 因不可抗力解除合同</w:t>
      </w:r>
    </w:p>
    <w:p w14:paraId="15BEDF96">
      <w:pPr>
        <w:spacing w:line="400" w:lineRule="exact"/>
        <w:ind w:firstLine="420" w:firstLineChars="200"/>
        <w:rPr>
          <w:rFonts w:hint="eastAsia" w:ascii="宋体" w:hAnsi="宋体" w:cs="宋体"/>
          <w:szCs w:val="21"/>
        </w:rPr>
      </w:pPr>
      <w:r>
        <w:rPr>
          <w:rFonts w:hint="eastAsia" w:ascii="宋体" w:hAnsi="宋体" w:cs="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8790744">
      <w:pPr>
        <w:pStyle w:val="4"/>
        <w:rPr>
          <w:rFonts w:cs="宋体"/>
          <w:sz w:val="28"/>
          <w:szCs w:val="28"/>
        </w:rPr>
      </w:pPr>
      <w:r>
        <w:rPr>
          <w:rFonts w:cs="宋体"/>
          <w:sz w:val="28"/>
          <w:szCs w:val="28"/>
        </w:rPr>
        <w:t>22. 违约</w:t>
      </w:r>
      <w:bookmarkEnd w:id="549"/>
      <w:bookmarkEnd w:id="550"/>
      <w:bookmarkEnd w:id="551"/>
      <w:bookmarkEnd w:id="552"/>
      <w:bookmarkEnd w:id="553"/>
      <w:bookmarkEnd w:id="554"/>
      <w:bookmarkEnd w:id="555"/>
    </w:p>
    <w:p w14:paraId="6672FE53">
      <w:pPr>
        <w:keepNext/>
        <w:keepLines/>
        <w:spacing w:line="400" w:lineRule="exact"/>
        <w:outlineLvl w:val="2"/>
        <w:rPr>
          <w:rFonts w:hint="eastAsia" w:ascii="宋体" w:hAnsi="宋体" w:cs="宋体"/>
          <w:szCs w:val="21"/>
        </w:rPr>
      </w:pPr>
      <w:bookmarkStart w:id="564" w:name="_Toc152042533"/>
      <w:bookmarkStart w:id="565" w:name="_Toc179632772"/>
      <w:bookmarkStart w:id="566" w:name="_Toc144974725"/>
      <w:bookmarkStart w:id="567" w:name="_Toc152045754"/>
      <w:r>
        <w:rPr>
          <w:rFonts w:hint="eastAsia" w:ascii="宋体" w:hAnsi="宋体" w:cs="宋体"/>
          <w:szCs w:val="21"/>
        </w:rPr>
        <w:t>22.1 承包人违约</w:t>
      </w:r>
      <w:bookmarkEnd w:id="564"/>
      <w:bookmarkEnd w:id="565"/>
      <w:bookmarkEnd w:id="566"/>
      <w:bookmarkEnd w:id="567"/>
    </w:p>
    <w:p w14:paraId="2700B9D7">
      <w:pPr>
        <w:spacing w:line="400" w:lineRule="exact"/>
        <w:ind w:firstLine="420" w:firstLineChars="200"/>
        <w:rPr>
          <w:rFonts w:hint="eastAsia" w:ascii="宋体" w:hAnsi="宋体" w:cs="宋体"/>
          <w:szCs w:val="21"/>
        </w:rPr>
      </w:pPr>
      <w:r>
        <w:rPr>
          <w:rFonts w:hint="eastAsia" w:ascii="宋体" w:hAnsi="宋体" w:cs="宋体"/>
          <w:szCs w:val="21"/>
        </w:rPr>
        <w:t>22.1.1 承包人违约的情形</w:t>
      </w:r>
    </w:p>
    <w:p w14:paraId="7E672CF1">
      <w:pPr>
        <w:spacing w:line="400" w:lineRule="exact"/>
        <w:ind w:firstLine="420" w:firstLineChars="200"/>
        <w:rPr>
          <w:rFonts w:hint="eastAsia" w:ascii="宋体" w:hAnsi="宋体" w:cs="宋体"/>
          <w:szCs w:val="21"/>
        </w:rPr>
      </w:pPr>
      <w:r>
        <w:rPr>
          <w:rFonts w:hint="eastAsia" w:ascii="宋体" w:hAnsi="宋体" w:cs="宋体"/>
          <w:szCs w:val="21"/>
        </w:rPr>
        <w:t>在履行合同过程中发生的下列情况属承包人违约：</w:t>
      </w:r>
    </w:p>
    <w:p w14:paraId="59DEBDB5">
      <w:pPr>
        <w:spacing w:line="400" w:lineRule="exact"/>
        <w:ind w:firstLine="718" w:firstLineChars="342"/>
        <w:rPr>
          <w:rFonts w:hint="eastAsia" w:ascii="宋体" w:hAnsi="宋体" w:cs="宋体"/>
          <w:szCs w:val="21"/>
        </w:rPr>
      </w:pPr>
      <w:r>
        <w:rPr>
          <w:rFonts w:hint="eastAsia" w:ascii="宋体" w:hAnsi="宋体" w:cs="宋体"/>
          <w:szCs w:val="21"/>
        </w:rPr>
        <w:t>（1）承包人违反第1.8款或第4.3款的约定，私自将合同的全部或部分权利转让给其他人，或私自将合同的全部或部分义务转移给其他人；</w:t>
      </w:r>
    </w:p>
    <w:p w14:paraId="51597E00">
      <w:pPr>
        <w:spacing w:line="400" w:lineRule="exact"/>
        <w:ind w:firstLine="718" w:firstLineChars="342"/>
        <w:rPr>
          <w:rFonts w:hint="eastAsia" w:ascii="宋体" w:hAnsi="宋体" w:cs="宋体"/>
          <w:szCs w:val="21"/>
        </w:rPr>
      </w:pPr>
      <w:r>
        <w:rPr>
          <w:rFonts w:hint="eastAsia" w:ascii="宋体" w:hAnsi="宋体" w:cs="宋体"/>
          <w:szCs w:val="21"/>
        </w:rPr>
        <w:t>（2）承包人违反第5.3款或第6.4款的约定，未经监理人批准，私自将已按合同约定进入施工场地的施工设备、临时设施或材料撤离施工场地；</w:t>
      </w:r>
    </w:p>
    <w:p w14:paraId="13248E4C">
      <w:pPr>
        <w:spacing w:line="400" w:lineRule="exact"/>
        <w:ind w:firstLine="718" w:firstLineChars="342"/>
        <w:rPr>
          <w:rFonts w:hint="eastAsia" w:ascii="宋体" w:hAnsi="宋体" w:cs="宋体"/>
          <w:szCs w:val="21"/>
        </w:rPr>
      </w:pPr>
      <w:r>
        <w:rPr>
          <w:rFonts w:hint="eastAsia" w:ascii="宋体" w:hAnsi="宋体" w:cs="宋体"/>
          <w:szCs w:val="21"/>
        </w:rPr>
        <w:t>（3）承包人违反第5.4款的约定使用了不合格材料或工程设备，工程质量达不到标准要求，又拒绝清除不合格工程；</w:t>
      </w:r>
    </w:p>
    <w:p w14:paraId="4F553E6F">
      <w:pPr>
        <w:spacing w:line="400" w:lineRule="exact"/>
        <w:ind w:firstLine="718" w:firstLineChars="342"/>
        <w:rPr>
          <w:rFonts w:hint="eastAsia" w:ascii="宋体" w:hAnsi="宋体" w:cs="宋体"/>
          <w:szCs w:val="21"/>
        </w:rPr>
      </w:pPr>
      <w:r>
        <w:rPr>
          <w:rFonts w:hint="eastAsia" w:ascii="宋体" w:hAnsi="宋体" w:cs="宋体"/>
          <w:szCs w:val="21"/>
        </w:rPr>
        <w:t>（4）承包人未能按合同进度计划及时完成合同约定的工作，已造成或预期造成工期延误；</w:t>
      </w:r>
    </w:p>
    <w:p w14:paraId="1BDE3652">
      <w:pPr>
        <w:spacing w:line="400" w:lineRule="exact"/>
        <w:ind w:firstLine="718" w:firstLineChars="342"/>
        <w:rPr>
          <w:rFonts w:hint="eastAsia" w:ascii="宋体" w:hAnsi="宋体" w:cs="宋体"/>
          <w:szCs w:val="21"/>
        </w:rPr>
      </w:pPr>
      <w:r>
        <w:rPr>
          <w:rFonts w:hint="eastAsia" w:ascii="宋体" w:hAnsi="宋体" w:cs="宋体"/>
          <w:szCs w:val="21"/>
        </w:rPr>
        <w:t>（5）承包人在缺陷责任期（工程质量保修期）内，未能对合同工程完工验收鉴定书中所列的缺陷清单的内容或缺陷责任期（工程质量保修期）内发生的缺陷进行修复，而又拒绝按监理人指示再进行修补；</w:t>
      </w:r>
    </w:p>
    <w:p w14:paraId="0A29FC02">
      <w:pPr>
        <w:spacing w:line="400" w:lineRule="exact"/>
        <w:ind w:firstLine="718" w:firstLineChars="342"/>
        <w:rPr>
          <w:rFonts w:hint="eastAsia" w:ascii="宋体" w:hAnsi="宋体" w:cs="宋体"/>
          <w:szCs w:val="21"/>
        </w:rPr>
      </w:pPr>
      <w:r>
        <w:rPr>
          <w:rFonts w:hint="eastAsia" w:ascii="宋体" w:hAnsi="宋体" w:cs="宋体"/>
          <w:szCs w:val="21"/>
        </w:rPr>
        <w:t>（6）承包人无法继续履行或明确表示不履行或实质上已停止履行合同；</w:t>
      </w:r>
    </w:p>
    <w:p w14:paraId="2B48C8EE">
      <w:pPr>
        <w:spacing w:line="400" w:lineRule="exact"/>
        <w:ind w:firstLine="718" w:firstLineChars="342"/>
        <w:rPr>
          <w:rFonts w:hint="eastAsia" w:ascii="宋体" w:hAnsi="宋体" w:cs="宋体"/>
          <w:szCs w:val="21"/>
        </w:rPr>
      </w:pPr>
      <w:r>
        <w:rPr>
          <w:rFonts w:hint="eastAsia" w:ascii="宋体" w:hAnsi="宋体" w:cs="宋体"/>
          <w:szCs w:val="21"/>
        </w:rPr>
        <w:t>（7）承包人不按合同约定履行义务的其他情况。</w:t>
      </w:r>
    </w:p>
    <w:p w14:paraId="07117497">
      <w:pPr>
        <w:spacing w:line="400" w:lineRule="exact"/>
        <w:ind w:firstLine="420" w:firstLineChars="200"/>
        <w:rPr>
          <w:rFonts w:hint="eastAsia" w:ascii="宋体" w:hAnsi="宋体" w:cs="宋体"/>
          <w:szCs w:val="21"/>
        </w:rPr>
      </w:pPr>
      <w:r>
        <w:rPr>
          <w:rFonts w:hint="eastAsia" w:ascii="宋体" w:hAnsi="宋体" w:cs="宋体"/>
          <w:szCs w:val="21"/>
        </w:rPr>
        <w:t>22.1.2 对承包人违约的处理</w:t>
      </w:r>
    </w:p>
    <w:p w14:paraId="641BE5A6">
      <w:pPr>
        <w:spacing w:line="400" w:lineRule="exact"/>
        <w:ind w:firstLine="718" w:firstLineChars="342"/>
        <w:rPr>
          <w:rFonts w:hint="eastAsia" w:ascii="宋体" w:hAnsi="宋体" w:cs="宋体"/>
          <w:szCs w:val="21"/>
        </w:rPr>
      </w:pPr>
      <w:r>
        <w:rPr>
          <w:rFonts w:hint="eastAsia" w:ascii="宋体" w:hAnsi="宋体" w:cs="宋体"/>
          <w:szCs w:val="21"/>
        </w:rPr>
        <w:t>（1）承包人发生第22.1.1（6）目约定的违约情况时，发包人可通知承包人立即解除合同，并按有关法律处理。</w:t>
      </w:r>
    </w:p>
    <w:p w14:paraId="278E4394">
      <w:pPr>
        <w:spacing w:line="400" w:lineRule="exact"/>
        <w:ind w:firstLine="718" w:firstLineChars="342"/>
        <w:rPr>
          <w:rFonts w:hint="eastAsia" w:ascii="宋体" w:hAnsi="宋体" w:cs="宋体"/>
          <w:szCs w:val="21"/>
        </w:rPr>
      </w:pPr>
      <w:r>
        <w:rPr>
          <w:rFonts w:hint="eastAsia" w:ascii="宋体" w:hAnsi="宋体" w:cs="宋体"/>
          <w:szCs w:val="21"/>
        </w:rPr>
        <w:t>（2）承包人发生除第22.1.1（6）目约定以外的其他违约情况时，监理人可向承包人发出整改通知，要求其在指定的期限内改正。承包人应承担其违约所引起的费用增加和（或）工期延误。</w:t>
      </w:r>
    </w:p>
    <w:p w14:paraId="36AAE95E">
      <w:pPr>
        <w:spacing w:line="400" w:lineRule="exact"/>
        <w:ind w:firstLine="718" w:firstLineChars="342"/>
        <w:rPr>
          <w:rFonts w:hint="eastAsia" w:ascii="宋体" w:hAnsi="宋体" w:cs="宋体"/>
          <w:szCs w:val="21"/>
        </w:rPr>
      </w:pPr>
      <w:r>
        <w:rPr>
          <w:rFonts w:hint="eastAsia" w:ascii="宋体" w:hAnsi="宋体" w:cs="宋体"/>
          <w:szCs w:val="21"/>
        </w:rPr>
        <w:t>（3）经检查证明承包人已采取了有效措施纠正违约行为，具备复工条件的，可由监理人签发复工通知复工。</w:t>
      </w:r>
    </w:p>
    <w:p w14:paraId="6D133CE5">
      <w:pPr>
        <w:spacing w:line="400" w:lineRule="exact"/>
        <w:ind w:firstLine="420" w:firstLineChars="200"/>
        <w:rPr>
          <w:rFonts w:hint="eastAsia" w:ascii="宋体" w:hAnsi="宋体" w:cs="宋体"/>
          <w:szCs w:val="21"/>
        </w:rPr>
      </w:pPr>
      <w:r>
        <w:rPr>
          <w:rFonts w:hint="eastAsia" w:ascii="宋体" w:hAnsi="宋体" w:cs="宋体"/>
          <w:szCs w:val="21"/>
        </w:rPr>
        <w:t>22.1.3 承包人违约解除合同</w:t>
      </w:r>
    </w:p>
    <w:p w14:paraId="3087BE49">
      <w:pPr>
        <w:spacing w:line="400" w:lineRule="exact"/>
        <w:ind w:firstLine="420" w:firstLineChars="200"/>
        <w:rPr>
          <w:rFonts w:hint="eastAsia" w:ascii="宋体" w:hAnsi="宋体" w:cs="宋体"/>
          <w:szCs w:val="21"/>
        </w:rPr>
      </w:pPr>
      <w:r>
        <w:rPr>
          <w:rFonts w:hint="eastAsia" w:ascii="宋体" w:hAnsi="宋体" w:cs="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077B52F">
      <w:pPr>
        <w:spacing w:line="400" w:lineRule="exact"/>
        <w:ind w:firstLine="420" w:firstLineChars="200"/>
        <w:rPr>
          <w:rFonts w:hint="eastAsia" w:ascii="宋体" w:hAnsi="宋体" w:cs="宋体"/>
          <w:szCs w:val="21"/>
        </w:rPr>
      </w:pPr>
      <w:r>
        <w:rPr>
          <w:rFonts w:hint="eastAsia" w:ascii="宋体" w:hAnsi="宋体" w:cs="宋体"/>
          <w:szCs w:val="21"/>
        </w:rPr>
        <w:t>22.1.4 合同解除后的估价、付款和结清</w:t>
      </w:r>
    </w:p>
    <w:p w14:paraId="1CB33E1E">
      <w:pPr>
        <w:spacing w:line="400" w:lineRule="exact"/>
        <w:ind w:firstLine="718" w:firstLineChars="342"/>
        <w:rPr>
          <w:rFonts w:hint="eastAsia" w:ascii="宋体" w:hAnsi="宋体" w:cs="宋体"/>
          <w:szCs w:val="21"/>
        </w:rPr>
      </w:pPr>
      <w:r>
        <w:rPr>
          <w:rFonts w:hint="eastAsia" w:ascii="宋体" w:hAnsi="宋体" w:cs="宋体"/>
          <w:szCs w:val="21"/>
        </w:rPr>
        <w:t xml:space="preserve">（1）合同解除后，监理人按第3.5款商定或确定承包人实际完成工作的价值，以及承包人已提供的材料、施工设备、工程设备和临时工程等的价值。 </w:t>
      </w:r>
    </w:p>
    <w:p w14:paraId="5B050114">
      <w:pPr>
        <w:spacing w:line="400" w:lineRule="exact"/>
        <w:ind w:firstLine="718" w:firstLineChars="342"/>
        <w:rPr>
          <w:rFonts w:hint="eastAsia" w:ascii="宋体" w:hAnsi="宋体" w:cs="宋体"/>
          <w:szCs w:val="21"/>
        </w:rPr>
      </w:pPr>
      <w:r>
        <w:rPr>
          <w:rFonts w:hint="eastAsia" w:ascii="宋体" w:hAnsi="宋体" w:cs="宋体"/>
          <w:szCs w:val="21"/>
        </w:rPr>
        <w:t xml:space="preserve">（2）合同解除后，发包人应暂停对承包人的一切付款，查清各项付款和已扣款金额，包括承包人应支付的违约金。 </w:t>
      </w:r>
    </w:p>
    <w:p w14:paraId="6860B1E3">
      <w:pPr>
        <w:spacing w:line="400" w:lineRule="exact"/>
        <w:ind w:firstLine="718" w:firstLineChars="342"/>
        <w:rPr>
          <w:rFonts w:hint="eastAsia" w:ascii="宋体" w:hAnsi="宋体" w:cs="宋体"/>
          <w:szCs w:val="21"/>
        </w:rPr>
      </w:pPr>
      <w:r>
        <w:rPr>
          <w:rFonts w:hint="eastAsia" w:ascii="宋体" w:hAnsi="宋体" w:cs="宋体"/>
          <w:szCs w:val="21"/>
        </w:rPr>
        <w:t>（3）合同解除后，发包人应按第23.4款的约定向承包人索赔由于解除合同给发包人造成的损失。</w:t>
      </w:r>
    </w:p>
    <w:p w14:paraId="7CEE0B64">
      <w:pPr>
        <w:spacing w:line="400" w:lineRule="exact"/>
        <w:ind w:firstLine="718" w:firstLineChars="342"/>
        <w:rPr>
          <w:rFonts w:hint="eastAsia" w:ascii="宋体" w:hAnsi="宋体" w:cs="宋体"/>
          <w:szCs w:val="21"/>
        </w:rPr>
      </w:pPr>
      <w:r>
        <w:rPr>
          <w:rFonts w:hint="eastAsia" w:ascii="宋体" w:hAnsi="宋体" w:cs="宋体"/>
          <w:szCs w:val="21"/>
        </w:rPr>
        <w:t>（4）合同双方确认上述往来款项后，出具最终结清付款证书，结清全部合同款项。</w:t>
      </w:r>
    </w:p>
    <w:p w14:paraId="72D3DCD1">
      <w:pPr>
        <w:spacing w:line="400" w:lineRule="exact"/>
        <w:ind w:firstLine="718" w:firstLineChars="342"/>
        <w:rPr>
          <w:rFonts w:hint="eastAsia" w:ascii="宋体" w:hAnsi="宋体" w:cs="宋体"/>
          <w:szCs w:val="21"/>
        </w:rPr>
      </w:pPr>
      <w:r>
        <w:rPr>
          <w:rFonts w:hint="eastAsia" w:ascii="宋体" w:hAnsi="宋体" w:cs="宋体"/>
          <w:szCs w:val="21"/>
        </w:rPr>
        <w:t>（5）发包人和承包人未能就解除合同后的结清达成一致而形成争议的，按第24条的约定办理。</w:t>
      </w:r>
    </w:p>
    <w:p w14:paraId="45AF8390">
      <w:pPr>
        <w:spacing w:line="400" w:lineRule="exact"/>
        <w:ind w:firstLine="420" w:firstLineChars="200"/>
        <w:rPr>
          <w:rFonts w:hint="eastAsia" w:ascii="宋体" w:hAnsi="宋体" w:cs="宋体"/>
          <w:szCs w:val="21"/>
        </w:rPr>
      </w:pPr>
      <w:r>
        <w:rPr>
          <w:rFonts w:hint="eastAsia" w:ascii="宋体" w:hAnsi="宋体" w:cs="宋体"/>
          <w:szCs w:val="21"/>
        </w:rPr>
        <w:t>22.1.5 协议利益的转让</w:t>
      </w:r>
    </w:p>
    <w:p w14:paraId="2CCAAB46">
      <w:pPr>
        <w:spacing w:line="400" w:lineRule="exact"/>
        <w:ind w:firstLine="420" w:firstLineChars="200"/>
        <w:rPr>
          <w:rFonts w:hint="eastAsia" w:ascii="宋体" w:hAnsi="宋体" w:cs="宋体"/>
          <w:szCs w:val="21"/>
        </w:rPr>
      </w:pPr>
      <w:r>
        <w:rPr>
          <w:rFonts w:hint="eastAsia" w:ascii="宋体" w:hAnsi="宋体" w:cs="宋体"/>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4DC0FFF0">
      <w:pPr>
        <w:spacing w:line="400" w:lineRule="exact"/>
        <w:ind w:firstLine="420" w:firstLineChars="200"/>
        <w:rPr>
          <w:rFonts w:hint="eastAsia" w:ascii="宋体" w:hAnsi="宋体" w:cs="宋体"/>
          <w:szCs w:val="21"/>
        </w:rPr>
      </w:pPr>
      <w:r>
        <w:rPr>
          <w:rFonts w:hint="eastAsia" w:ascii="宋体" w:hAnsi="宋体" w:cs="宋体"/>
          <w:szCs w:val="21"/>
        </w:rPr>
        <w:t>22.1.6 紧急情况下无能力或不愿进行抢救</w:t>
      </w:r>
    </w:p>
    <w:p w14:paraId="7A8FDB70">
      <w:pPr>
        <w:spacing w:line="400" w:lineRule="exact"/>
        <w:ind w:firstLine="420" w:firstLineChars="200"/>
        <w:rPr>
          <w:rFonts w:hint="eastAsia" w:ascii="宋体" w:hAnsi="宋体" w:cs="宋体"/>
          <w:szCs w:val="21"/>
        </w:rPr>
      </w:pPr>
      <w:r>
        <w:rPr>
          <w:rFonts w:hint="eastAsia" w:ascii="宋体" w:hAnsi="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2D0312F">
      <w:pPr>
        <w:keepNext/>
        <w:keepLines/>
        <w:spacing w:line="400" w:lineRule="exact"/>
        <w:outlineLvl w:val="2"/>
        <w:rPr>
          <w:rFonts w:hint="eastAsia" w:ascii="宋体" w:hAnsi="宋体" w:cs="宋体"/>
          <w:szCs w:val="21"/>
        </w:rPr>
      </w:pPr>
      <w:bookmarkStart w:id="568" w:name="_Toc144974726"/>
      <w:bookmarkStart w:id="569" w:name="_Toc152045755"/>
      <w:bookmarkStart w:id="570" w:name="_Toc179632773"/>
      <w:bookmarkStart w:id="571" w:name="_Toc152042534"/>
      <w:r>
        <w:rPr>
          <w:rFonts w:hint="eastAsia" w:ascii="宋体" w:hAnsi="宋体" w:cs="宋体"/>
          <w:szCs w:val="21"/>
        </w:rPr>
        <w:t>22.2 发包人违约</w:t>
      </w:r>
      <w:bookmarkEnd w:id="568"/>
      <w:bookmarkEnd w:id="569"/>
      <w:bookmarkEnd w:id="570"/>
      <w:bookmarkEnd w:id="571"/>
    </w:p>
    <w:p w14:paraId="31E6F485">
      <w:pPr>
        <w:spacing w:line="400" w:lineRule="exact"/>
        <w:ind w:firstLine="420" w:firstLineChars="200"/>
        <w:rPr>
          <w:rFonts w:hint="eastAsia" w:ascii="宋体" w:hAnsi="宋体" w:cs="宋体"/>
          <w:szCs w:val="21"/>
        </w:rPr>
      </w:pPr>
      <w:r>
        <w:rPr>
          <w:rFonts w:hint="eastAsia" w:ascii="宋体" w:hAnsi="宋体" w:cs="宋体"/>
          <w:szCs w:val="21"/>
        </w:rPr>
        <w:t>22.2.1 发包人违约的情形</w:t>
      </w:r>
    </w:p>
    <w:p w14:paraId="5D993C4E">
      <w:pPr>
        <w:spacing w:line="400" w:lineRule="exact"/>
        <w:ind w:firstLine="420" w:firstLineChars="200"/>
        <w:rPr>
          <w:rFonts w:hint="eastAsia" w:ascii="宋体" w:hAnsi="宋体" w:cs="宋体"/>
          <w:szCs w:val="21"/>
        </w:rPr>
      </w:pPr>
      <w:r>
        <w:rPr>
          <w:rFonts w:hint="eastAsia" w:ascii="宋体" w:hAnsi="宋体" w:cs="宋体"/>
          <w:szCs w:val="21"/>
        </w:rPr>
        <w:t>在履行合同过程中发生的下列情形，属发包人违约：</w:t>
      </w:r>
    </w:p>
    <w:p w14:paraId="678F393F">
      <w:pPr>
        <w:spacing w:line="400" w:lineRule="exact"/>
        <w:ind w:firstLine="718" w:firstLineChars="342"/>
        <w:rPr>
          <w:rFonts w:hint="eastAsia" w:ascii="宋体" w:hAnsi="宋体" w:cs="宋体"/>
          <w:szCs w:val="21"/>
        </w:rPr>
      </w:pPr>
      <w:r>
        <w:rPr>
          <w:rFonts w:hint="eastAsia" w:ascii="宋体" w:hAnsi="宋体" w:cs="宋体"/>
          <w:szCs w:val="21"/>
        </w:rPr>
        <w:t>（1）发包人未能按合同约定支付预付款或合同价款，或拖延、拒绝批准付款申请和支付凭证，导致付款延误的；</w:t>
      </w:r>
    </w:p>
    <w:p w14:paraId="72B75A7B">
      <w:pPr>
        <w:spacing w:line="400" w:lineRule="exact"/>
        <w:ind w:firstLine="718" w:firstLineChars="342"/>
        <w:rPr>
          <w:rFonts w:hint="eastAsia" w:ascii="宋体" w:hAnsi="宋体" w:cs="宋体"/>
          <w:szCs w:val="21"/>
        </w:rPr>
      </w:pPr>
      <w:r>
        <w:rPr>
          <w:rFonts w:hint="eastAsia" w:ascii="宋体" w:hAnsi="宋体" w:cs="宋体"/>
          <w:szCs w:val="21"/>
        </w:rPr>
        <w:t>（2）发包人原因造成停工的；</w:t>
      </w:r>
    </w:p>
    <w:p w14:paraId="51CB19F8">
      <w:pPr>
        <w:spacing w:line="400" w:lineRule="exact"/>
        <w:ind w:firstLine="718" w:firstLineChars="342"/>
        <w:rPr>
          <w:rFonts w:hint="eastAsia" w:ascii="宋体" w:hAnsi="宋体" w:cs="宋体"/>
          <w:szCs w:val="21"/>
        </w:rPr>
      </w:pPr>
      <w:r>
        <w:rPr>
          <w:rFonts w:hint="eastAsia" w:ascii="宋体" w:hAnsi="宋体" w:cs="宋体"/>
          <w:szCs w:val="21"/>
        </w:rPr>
        <w:t>（3）监理人无正当理由没有在约定期限内发出复工指示，导致承包人无法复工的；</w:t>
      </w:r>
    </w:p>
    <w:p w14:paraId="5C05BDF6">
      <w:pPr>
        <w:spacing w:line="400" w:lineRule="exact"/>
        <w:ind w:firstLine="718" w:firstLineChars="342"/>
        <w:rPr>
          <w:rFonts w:hint="eastAsia" w:ascii="宋体" w:hAnsi="宋体" w:cs="宋体"/>
          <w:szCs w:val="21"/>
        </w:rPr>
      </w:pPr>
      <w:r>
        <w:rPr>
          <w:rFonts w:hint="eastAsia" w:ascii="宋体" w:hAnsi="宋体" w:cs="宋体"/>
          <w:szCs w:val="21"/>
        </w:rPr>
        <w:t>（4）发包人无法继续履行或明确表示不履行或实质上已停止履行合同的；</w:t>
      </w:r>
    </w:p>
    <w:p w14:paraId="56B40BFC">
      <w:pPr>
        <w:spacing w:line="400" w:lineRule="exact"/>
        <w:ind w:firstLine="718" w:firstLineChars="342"/>
        <w:rPr>
          <w:rFonts w:hint="eastAsia" w:ascii="宋体" w:hAnsi="宋体" w:cs="宋体"/>
          <w:szCs w:val="21"/>
        </w:rPr>
      </w:pPr>
      <w:r>
        <w:rPr>
          <w:rFonts w:hint="eastAsia" w:ascii="宋体" w:hAnsi="宋体" w:cs="宋体"/>
          <w:szCs w:val="21"/>
        </w:rPr>
        <w:t>（5）发包人不履行合同约定其他义务的。</w:t>
      </w:r>
    </w:p>
    <w:p w14:paraId="36915AB1">
      <w:pPr>
        <w:spacing w:line="400" w:lineRule="exact"/>
        <w:ind w:firstLine="420" w:firstLineChars="200"/>
        <w:rPr>
          <w:rFonts w:hint="eastAsia" w:ascii="宋体" w:hAnsi="宋体" w:cs="宋体"/>
          <w:szCs w:val="21"/>
        </w:rPr>
      </w:pPr>
      <w:r>
        <w:rPr>
          <w:rFonts w:hint="eastAsia" w:ascii="宋体" w:hAnsi="宋体" w:cs="宋体"/>
          <w:szCs w:val="21"/>
        </w:rPr>
        <w:t>22.2.2 承包人有权暂停施工</w:t>
      </w:r>
    </w:p>
    <w:p w14:paraId="495233CA">
      <w:pPr>
        <w:spacing w:line="400" w:lineRule="exact"/>
        <w:ind w:firstLine="420" w:firstLineChars="200"/>
        <w:rPr>
          <w:rFonts w:hint="eastAsia" w:ascii="宋体" w:hAnsi="宋体" w:cs="宋体"/>
          <w:szCs w:val="21"/>
        </w:rPr>
      </w:pPr>
      <w:r>
        <w:rPr>
          <w:rFonts w:hint="eastAsia" w:ascii="宋体" w:hAnsi="宋体" w:cs="宋体"/>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2F572C0">
      <w:pPr>
        <w:spacing w:line="400" w:lineRule="exact"/>
        <w:ind w:firstLine="420" w:firstLineChars="200"/>
        <w:rPr>
          <w:rFonts w:hint="eastAsia" w:ascii="宋体" w:hAnsi="宋体" w:cs="宋体"/>
          <w:szCs w:val="21"/>
        </w:rPr>
      </w:pPr>
      <w:r>
        <w:rPr>
          <w:rFonts w:hint="eastAsia" w:ascii="宋体" w:hAnsi="宋体" w:cs="宋体"/>
          <w:szCs w:val="21"/>
        </w:rPr>
        <w:t xml:space="preserve">22.2.3 发包人违约解除合同 </w:t>
      </w:r>
    </w:p>
    <w:p w14:paraId="4E7068A1">
      <w:pPr>
        <w:spacing w:line="400" w:lineRule="exact"/>
        <w:ind w:firstLine="718" w:firstLineChars="342"/>
        <w:rPr>
          <w:rFonts w:hint="eastAsia" w:ascii="宋体" w:hAnsi="宋体" w:cs="宋体"/>
          <w:szCs w:val="21"/>
        </w:rPr>
      </w:pPr>
      <w:r>
        <w:rPr>
          <w:rFonts w:hint="eastAsia" w:ascii="宋体" w:hAnsi="宋体" w:cs="宋体"/>
          <w:szCs w:val="21"/>
        </w:rPr>
        <w:t xml:space="preserve">（1）发生第22.2.1（4）目的违约情况时，承包人可书面通知发包人解除合同。   </w:t>
      </w:r>
    </w:p>
    <w:p w14:paraId="7F5C19A1">
      <w:pPr>
        <w:spacing w:line="400" w:lineRule="exact"/>
        <w:ind w:firstLine="718" w:firstLineChars="342"/>
        <w:rPr>
          <w:rFonts w:hint="eastAsia" w:ascii="宋体" w:hAnsi="宋体" w:cs="宋体"/>
          <w:szCs w:val="21"/>
        </w:rPr>
      </w:pPr>
      <w:r>
        <w:rPr>
          <w:rFonts w:hint="eastAsia" w:ascii="宋体" w:hAnsi="宋体" w:cs="宋体"/>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14:paraId="0AD4955D">
      <w:pPr>
        <w:spacing w:line="400" w:lineRule="exact"/>
        <w:ind w:firstLine="420" w:firstLineChars="200"/>
        <w:rPr>
          <w:rFonts w:hint="eastAsia" w:ascii="宋体" w:hAnsi="宋体" w:cs="宋体"/>
          <w:szCs w:val="21"/>
        </w:rPr>
      </w:pPr>
      <w:r>
        <w:rPr>
          <w:rFonts w:hint="eastAsia" w:ascii="宋体" w:hAnsi="宋体" w:cs="宋体"/>
          <w:szCs w:val="21"/>
        </w:rPr>
        <w:t>22.2.4 解除合同后的付款</w:t>
      </w:r>
    </w:p>
    <w:p w14:paraId="4B5EA4AB">
      <w:pPr>
        <w:spacing w:line="400" w:lineRule="exact"/>
        <w:ind w:firstLine="420" w:firstLineChars="200"/>
        <w:rPr>
          <w:rFonts w:hint="eastAsia" w:ascii="宋体" w:hAnsi="宋体" w:cs="宋体"/>
          <w:szCs w:val="21"/>
        </w:rPr>
      </w:pPr>
      <w:r>
        <w:rPr>
          <w:rFonts w:hint="eastAsia" w:ascii="宋体" w:hAnsi="宋体" w:cs="宋体"/>
          <w:szCs w:val="21"/>
        </w:rPr>
        <w:t>因发包人违约解除合同的，发包人应在解除合同后28天内向承包人支付下列金额，承包人应在此期限内及时向发包人提交要求支付下列金额的有关资料和凭证：</w:t>
      </w:r>
    </w:p>
    <w:p w14:paraId="10AE27EE">
      <w:pPr>
        <w:spacing w:line="400" w:lineRule="exact"/>
        <w:ind w:firstLine="718" w:firstLineChars="342"/>
        <w:rPr>
          <w:rFonts w:hint="eastAsia" w:ascii="宋体" w:hAnsi="宋体" w:cs="宋体"/>
          <w:szCs w:val="21"/>
        </w:rPr>
      </w:pPr>
      <w:r>
        <w:rPr>
          <w:rFonts w:hint="eastAsia" w:ascii="宋体" w:hAnsi="宋体" w:cs="宋体"/>
          <w:szCs w:val="21"/>
        </w:rPr>
        <w:t>（1）合同解除日以前所完成工作的价款；</w:t>
      </w:r>
    </w:p>
    <w:p w14:paraId="2BAC9090">
      <w:pPr>
        <w:spacing w:line="400" w:lineRule="exact"/>
        <w:ind w:firstLine="718" w:firstLineChars="342"/>
        <w:rPr>
          <w:rFonts w:hint="eastAsia" w:ascii="宋体" w:hAnsi="宋体" w:cs="宋体"/>
          <w:szCs w:val="21"/>
        </w:rPr>
      </w:pPr>
      <w:r>
        <w:rPr>
          <w:rFonts w:hint="eastAsia" w:ascii="宋体" w:hAnsi="宋体" w:cs="宋体"/>
          <w:szCs w:val="21"/>
        </w:rPr>
        <w:t>（2）承包人为该工程施工订购并已付款的材料、工程设备和其他物品的金额。发包人付还后，该材料、工程设备和其他物品归发包人所有；</w:t>
      </w:r>
    </w:p>
    <w:p w14:paraId="40500E2C">
      <w:pPr>
        <w:spacing w:line="400" w:lineRule="exact"/>
        <w:ind w:firstLine="718" w:firstLineChars="342"/>
        <w:rPr>
          <w:rFonts w:hint="eastAsia" w:ascii="宋体" w:hAnsi="宋体" w:cs="宋体"/>
          <w:szCs w:val="21"/>
        </w:rPr>
      </w:pPr>
      <w:r>
        <w:rPr>
          <w:rFonts w:hint="eastAsia" w:ascii="宋体" w:hAnsi="宋体" w:cs="宋体"/>
          <w:szCs w:val="21"/>
        </w:rPr>
        <w:t>（3）承包人为完成工程所发生的，而发包人未支付的金额；</w:t>
      </w:r>
    </w:p>
    <w:p w14:paraId="18AA0A27">
      <w:pPr>
        <w:spacing w:line="400" w:lineRule="exact"/>
        <w:ind w:firstLine="718" w:firstLineChars="342"/>
        <w:rPr>
          <w:rFonts w:hint="eastAsia" w:ascii="宋体" w:hAnsi="宋体" w:cs="宋体"/>
          <w:szCs w:val="21"/>
        </w:rPr>
      </w:pPr>
      <w:r>
        <w:rPr>
          <w:rFonts w:hint="eastAsia" w:ascii="宋体" w:hAnsi="宋体" w:cs="宋体"/>
          <w:szCs w:val="21"/>
        </w:rPr>
        <w:t>（4）承包人撤离施工场地以及遣散承包人人员的金额；</w:t>
      </w:r>
    </w:p>
    <w:p w14:paraId="1EFAA5CE">
      <w:pPr>
        <w:spacing w:line="400" w:lineRule="exact"/>
        <w:ind w:firstLine="718" w:firstLineChars="342"/>
        <w:rPr>
          <w:rFonts w:hint="eastAsia" w:ascii="宋体" w:hAnsi="宋体" w:cs="宋体"/>
          <w:szCs w:val="21"/>
        </w:rPr>
      </w:pPr>
      <w:r>
        <w:rPr>
          <w:rFonts w:hint="eastAsia" w:ascii="宋体" w:hAnsi="宋体" w:cs="宋体"/>
          <w:szCs w:val="21"/>
        </w:rPr>
        <w:t>（5）由于解除合同应赔偿的承包人损失；</w:t>
      </w:r>
    </w:p>
    <w:p w14:paraId="49A2163B">
      <w:pPr>
        <w:spacing w:line="400" w:lineRule="exact"/>
        <w:ind w:firstLine="718" w:firstLineChars="342"/>
        <w:rPr>
          <w:rFonts w:hint="eastAsia" w:ascii="宋体" w:hAnsi="宋体" w:cs="宋体"/>
          <w:szCs w:val="21"/>
        </w:rPr>
      </w:pPr>
      <w:r>
        <w:rPr>
          <w:rFonts w:hint="eastAsia" w:ascii="宋体" w:hAnsi="宋体" w:cs="宋体"/>
          <w:szCs w:val="21"/>
        </w:rPr>
        <w:t>（6）按合同约定在合同解除日前应支付给承包人的其他金额。</w:t>
      </w:r>
    </w:p>
    <w:p w14:paraId="2253E04B">
      <w:pPr>
        <w:spacing w:line="400" w:lineRule="exact"/>
        <w:ind w:firstLine="420" w:firstLineChars="200"/>
        <w:rPr>
          <w:rFonts w:hint="eastAsia" w:ascii="宋体" w:hAnsi="宋体" w:cs="宋体"/>
          <w:szCs w:val="21"/>
        </w:rPr>
      </w:pPr>
      <w:r>
        <w:rPr>
          <w:rFonts w:hint="eastAsia" w:ascii="宋体" w:hAnsi="宋体" w:cs="宋体"/>
          <w:szCs w:val="21"/>
        </w:rPr>
        <w:t>发包人应按本项约定支付上述金额并退还质量保证金和履约担保，但有权要求承包人支付应偿还给发包人的各项金额。</w:t>
      </w:r>
    </w:p>
    <w:p w14:paraId="476AE215">
      <w:pPr>
        <w:spacing w:line="400" w:lineRule="exact"/>
        <w:ind w:firstLine="420" w:firstLineChars="200"/>
        <w:rPr>
          <w:rFonts w:hint="eastAsia" w:ascii="宋体" w:hAnsi="宋体" w:cs="宋体"/>
          <w:szCs w:val="21"/>
        </w:rPr>
      </w:pPr>
      <w:r>
        <w:rPr>
          <w:rFonts w:hint="eastAsia" w:ascii="宋体" w:hAnsi="宋体" w:cs="宋体"/>
          <w:szCs w:val="21"/>
        </w:rPr>
        <w:t>22.2.5 解除合同后的承包人撤离</w:t>
      </w:r>
    </w:p>
    <w:p w14:paraId="0118ABA5">
      <w:pPr>
        <w:spacing w:line="400" w:lineRule="exact"/>
        <w:ind w:firstLine="420" w:firstLineChars="200"/>
        <w:rPr>
          <w:rFonts w:hint="eastAsia" w:ascii="宋体" w:hAnsi="宋体" w:cs="宋体"/>
          <w:szCs w:val="21"/>
        </w:rPr>
      </w:pPr>
      <w:r>
        <w:rPr>
          <w:rFonts w:hint="eastAsia" w:ascii="宋体" w:hAnsi="宋体" w:cs="宋体"/>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E07DC7B">
      <w:pPr>
        <w:keepNext/>
        <w:keepLines/>
        <w:spacing w:line="400" w:lineRule="exact"/>
        <w:outlineLvl w:val="2"/>
        <w:rPr>
          <w:rFonts w:hint="eastAsia" w:ascii="宋体" w:hAnsi="宋体" w:cs="宋体"/>
          <w:szCs w:val="21"/>
        </w:rPr>
      </w:pPr>
      <w:bookmarkStart w:id="572" w:name="_Toc179632774"/>
      <w:bookmarkStart w:id="573" w:name="_Toc152045756"/>
      <w:bookmarkStart w:id="574" w:name="_Toc152042535"/>
      <w:r>
        <w:rPr>
          <w:rFonts w:hint="eastAsia" w:ascii="宋体" w:hAnsi="宋体" w:cs="宋体"/>
          <w:szCs w:val="21"/>
        </w:rPr>
        <w:t>22.3 第三人造成的违约</w:t>
      </w:r>
      <w:bookmarkEnd w:id="572"/>
      <w:bookmarkEnd w:id="573"/>
      <w:bookmarkEnd w:id="574"/>
    </w:p>
    <w:p w14:paraId="73997B03">
      <w:pPr>
        <w:spacing w:line="400" w:lineRule="exact"/>
        <w:ind w:firstLine="420" w:firstLineChars="200"/>
        <w:rPr>
          <w:rFonts w:hint="eastAsia" w:ascii="宋体" w:hAnsi="宋体" w:cs="宋体"/>
          <w:szCs w:val="21"/>
        </w:rPr>
      </w:pPr>
      <w:r>
        <w:rPr>
          <w:rFonts w:hint="eastAsia" w:ascii="宋体" w:hAnsi="宋体" w:cs="宋体"/>
          <w:szCs w:val="21"/>
        </w:rPr>
        <w:t>在履行合同过程中，一方当事人因第三人的原因造成违约的，应当向对方当事人承担违约责任。一方当事人和第三人之间的纠纷，依照法律规定或者按照约定解决。</w:t>
      </w:r>
    </w:p>
    <w:p w14:paraId="2540AA1C">
      <w:pPr>
        <w:pStyle w:val="4"/>
        <w:rPr>
          <w:rFonts w:cs="宋体"/>
          <w:sz w:val="28"/>
          <w:szCs w:val="28"/>
        </w:rPr>
      </w:pPr>
      <w:bookmarkStart w:id="575" w:name="_Toc229305384"/>
      <w:bookmarkStart w:id="576" w:name="_Toc222032693"/>
      <w:bookmarkStart w:id="577" w:name="_Toc222031026"/>
      <w:bookmarkStart w:id="578" w:name="_Toc229408519"/>
      <w:bookmarkStart w:id="579" w:name="_Toc222029524"/>
      <w:bookmarkStart w:id="580" w:name="_Toc221951088"/>
      <w:bookmarkStart w:id="581" w:name="_Toc222033875"/>
      <w:r>
        <w:rPr>
          <w:rFonts w:cs="宋体"/>
          <w:sz w:val="28"/>
          <w:szCs w:val="28"/>
        </w:rPr>
        <w:t>23. 索赔</w:t>
      </w:r>
      <w:bookmarkEnd w:id="575"/>
      <w:bookmarkEnd w:id="576"/>
      <w:bookmarkEnd w:id="577"/>
      <w:bookmarkEnd w:id="578"/>
      <w:bookmarkEnd w:id="579"/>
      <w:bookmarkEnd w:id="580"/>
      <w:bookmarkEnd w:id="581"/>
    </w:p>
    <w:p w14:paraId="14A39EAA">
      <w:pPr>
        <w:keepNext/>
        <w:keepLines/>
        <w:spacing w:line="400" w:lineRule="exact"/>
        <w:outlineLvl w:val="2"/>
        <w:rPr>
          <w:rFonts w:hint="eastAsia" w:ascii="宋体" w:hAnsi="宋体" w:cs="宋体"/>
          <w:szCs w:val="21"/>
        </w:rPr>
      </w:pPr>
      <w:bookmarkStart w:id="582" w:name="_Toc179632776"/>
      <w:bookmarkStart w:id="583" w:name="_Toc152042537"/>
      <w:bookmarkStart w:id="584" w:name="_Toc152045758"/>
      <w:bookmarkStart w:id="585" w:name="_Toc144974728"/>
      <w:bookmarkStart w:id="586" w:name="_Toc221951097"/>
      <w:r>
        <w:rPr>
          <w:rFonts w:hint="eastAsia" w:ascii="宋体" w:hAnsi="宋体" w:cs="宋体"/>
          <w:szCs w:val="21"/>
        </w:rPr>
        <w:t>23.1 承包人索赔的提出</w:t>
      </w:r>
      <w:bookmarkEnd w:id="582"/>
      <w:bookmarkEnd w:id="583"/>
      <w:bookmarkEnd w:id="584"/>
      <w:bookmarkEnd w:id="585"/>
    </w:p>
    <w:p w14:paraId="220D1AE5">
      <w:pPr>
        <w:spacing w:line="400" w:lineRule="exact"/>
        <w:ind w:firstLine="420" w:firstLineChars="200"/>
        <w:rPr>
          <w:rFonts w:hint="eastAsia" w:ascii="宋体" w:hAnsi="宋体" w:cs="宋体"/>
          <w:szCs w:val="21"/>
        </w:rPr>
      </w:pPr>
      <w:r>
        <w:rPr>
          <w:rFonts w:hint="eastAsia" w:ascii="宋体" w:hAnsi="宋体" w:cs="宋体"/>
          <w:szCs w:val="21"/>
        </w:rPr>
        <w:t>根据合同约定，承包人认为有权得到追加付款和（或）延长工期的，应按以下程序向发包人提出索赔：</w:t>
      </w:r>
    </w:p>
    <w:p w14:paraId="6D25E385">
      <w:pPr>
        <w:spacing w:line="400" w:lineRule="exact"/>
        <w:ind w:firstLine="359" w:firstLineChars="171"/>
        <w:rPr>
          <w:rFonts w:hint="eastAsia" w:ascii="宋体" w:hAnsi="宋体" w:cs="宋体"/>
          <w:szCs w:val="21"/>
        </w:rPr>
      </w:pPr>
      <w:r>
        <w:rPr>
          <w:rFonts w:hint="eastAsia" w:ascii="宋体" w:hAnsi="宋体" w:cs="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DF8D26D">
      <w:pPr>
        <w:spacing w:line="400" w:lineRule="exact"/>
        <w:ind w:firstLine="359" w:firstLineChars="171"/>
        <w:rPr>
          <w:rFonts w:hint="eastAsia" w:ascii="宋体" w:hAnsi="宋体" w:cs="宋体"/>
          <w:szCs w:val="21"/>
        </w:rPr>
      </w:pPr>
      <w:r>
        <w:rPr>
          <w:rFonts w:hint="eastAsia" w:ascii="宋体" w:hAnsi="宋体" w:cs="宋体"/>
          <w:szCs w:val="21"/>
        </w:rPr>
        <w:t>（2）承包人应在发出索赔意向通知书后28天内，向监理人正式递交索赔通知书。索赔通知书应详细说明索赔理由以及要求追加的付款金额和（或）延长的工期，并附必要的记录和证明材料；</w:t>
      </w:r>
    </w:p>
    <w:p w14:paraId="191CBC99">
      <w:pPr>
        <w:spacing w:line="400" w:lineRule="exact"/>
        <w:ind w:firstLine="359" w:firstLineChars="171"/>
        <w:rPr>
          <w:rFonts w:hint="eastAsia" w:ascii="宋体" w:hAnsi="宋体" w:cs="宋体"/>
          <w:szCs w:val="21"/>
        </w:rPr>
      </w:pPr>
      <w:r>
        <w:rPr>
          <w:rFonts w:hint="eastAsia" w:ascii="宋体" w:hAnsi="宋体" w:cs="宋体"/>
          <w:szCs w:val="21"/>
        </w:rPr>
        <w:t>（3）索赔事件具有连续影响的，承包人应按合理时间间隔继续递交延续索赔通知，说明连续影响的实际情况和记录，列出累计的追加付款金额和（或）工期延长天数；</w:t>
      </w:r>
    </w:p>
    <w:p w14:paraId="14F78F56">
      <w:pPr>
        <w:spacing w:line="400" w:lineRule="exact"/>
        <w:ind w:firstLine="359" w:firstLineChars="171"/>
        <w:rPr>
          <w:rFonts w:hint="eastAsia" w:ascii="宋体" w:hAnsi="宋体" w:cs="宋体"/>
          <w:szCs w:val="21"/>
        </w:rPr>
      </w:pPr>
      <w:r>
        <w:rPr>
          <w:rFonts w:hint="eastAsia" w:ascii="宋体" w:hAnsi="宋体" w:cs="宋体"/>
          <w:szCs w:val="21"/>
        </w:rPr>
        <w:t>（4）在索赔事件影响结束后的28天内，承包人应向监理人递交最终索赔通知书，说明最终要求索赔的追加付款金额和延长的工期，并附必要的记录和证明材料。</w:t>
      </w:r>
    </w:p>
    <w:p w14:paraId="2E22CF61">
      <w:pPr>
        <w:keepNext/>
        <w:keepLines/>
        <w:spacing w:line="400" w:lineRule="exact"/>
        <w:outlineLvl w:val="2"/>
        <w:rPr>
          <w:rFonts w:hint="eastAsia" w:ascii="宋体" w:hAnsi="宋体" w:cs="宋体"/>
          <w:szCs w:val="21"/>
        </w:rPr>
      </w:pPr>
      <w:bookmarkStart w:id="587" w:name="_Toc152042538"/>
      <w:bookmarkStart w:id="588" w:name="_Toc152045759"/>
      <w:bookmarkStart w:id="589" w:name="_Toc144974729"/>
      <w:bookmarkStart w:id="590" w:name="_Toc179632777"/>
      <w:r>
        <w:rPr>
          <w:rFonts w:hint="eastAsia" w:ascii="宋体" w:hAnsi="宋体" w:cs="宋体"/>
          <w:szCs w:val="21"/>
        </w:rPr>
        <w:t>23.2 承包人索赔处理程序</w:t>
      </w:r>
      <w:bookmarkEnd w:id="587"/>
      <w:bookmarkEnd w:id="588"/>
      <w:bookmarkEnd w:id="589"/>
      <w:bookmarkEnd w:id="590"/>
    </w:p>
    <w:p w14:paraId="14D418A1">
      <w:pPr>
        <w:spacing w:line="400" w:lineRule="exact"/>
        <w:ind w:firstLine="359" w:firstLineChars="171"/>
        <w:rPr>
          <w:rFonts w:hint="eastAsia" w:ascii="宋体" w:hAnsi="宋体" w:cs="宋体"/>
          <w:szCs w:val="21"/>
        </w:rPr>
      </w:pPr>
      <w:r>
        <w:rPr>
          <w:rFonts w:hint="eastAsia" w:ascii="宋体" w:hAnsi="宋体" w:cs="宋体"/>
          <w:szCs w:val="21"/>
        </w:rPr>
        <w:t>（1）监理人收到承包人提交的索赔通知书后，应及时审查索赔通知书的内容、查验承包人的记录和证明材料，必要时监理人可要求承包人提交全部原始记录副本。</w:t>
      </w:r>
    </w:p>
    <w:p w14:paraId="0AB56332">
      <w:pPr>
        <w:spacing w:line="400" w:lineRule="exact"/>
        <w:ind w:firstLine="359" w:firstLineChars="171"/>
        <w:rPr>
          <w:rFonts w:hint="eastAsia" w:ascii="宋体" w:hAnsi="宋体" w:cs="宋体"/>
          <w:szCs w:val="21"/>
        </w:rPr>
      </w:pPr>
      <w:r>
        <w:rPr>
          <w:rFonts w:hint="eastAsia" w:ascii="宋体" w:hAnsi="宋体" w:cs="宋体"/>
          <w:szCs w:val="21"/>
        </w:rPr>
        <w:t>（2）监理人应按第3.5款商定或确定追加的付款和（或）延长的工期，并在收到上述索赔通知书或有关索赔的进一步证明材料后的42天内，将索赔处理结果答复承包人。</w:t>
      </w:r>
    </w:p>
    <w:p w14:paraId="58F25CBB">
      <w:pPr>
        <w:spacing w:line="400" w:lineRule="exact"/>
        <w:ind w:firstLine="359" w:firstLineChars="171"/>
        <w:rPr>
          <w:rFonts w:hint="eastAsia" w:ascii="宋体" w:hAnsi="宋体" w:cs="宋体"/>
          <w:szCs w:val="21"/>
        </w:rPr>
      </w:pPr>
      <w:r>
        <w:rPr>
          <w:rFonts w:hint="eastAsia" w:ascii="宋体" w:hAnsi="宋体" w:cs="宋体"/>
          <w:szCs w:val="21"/>
        </w:rPr>
        <w:t>（3）承包人接受索赔处理结果的，发包人应在作出索赔处理结果答复后28天内完成赔付。承包人不接受索赔处理结果的，按第24条的约定办理。</w:t>
      </w:r>
    </w:p>
    <w:p w14:paraId="5874CEFF">
      <w:pPr>
        <w:keepNext/>
        <w:keepLines/>
        <w:spacing w:line="400" w:lineRule="exact"/>
        <w:outlineLvl w:val="2"/>
        <w:rPr>
          <w:rFonts w:hint="eastAsia" w:ascii="宋体" w:hAnsi="宋体" w:cs="宋体"/>
          <w:szCs w:val="21"/>
        </w:rPr>
      </w:pPr>
      <w:bookmarkStart w:id="591" w:name="_Toc152042539"/>
      <w:bookmarkStart w:id="592" w:name="_Toc144974730"/>
      <w:bookmarkStart w:id="593" w:name="_Toc152045760"/>
      <w:bookmarkStart w:id="594" w:name="_Toc179632778"/>
      <w:r>
        <w:rPr>
          <w:rFonts w:hint="eastAsia" w:ascii="宋体" w:hAnsi="宋体" w:cs="宋体"/>
          <w:szCs w:val="21"/>
        </w:rPr>
        <w:t>23.3 承包人提出索赔的期限</w:t>
      </w:r>
      <w:bookmarkEnd w:id="591"/>
      <w:bookmarkEnd w:id="592"/>
      <w:bookmarkEnd w:id="593"/>
      <w:bookmarkEnd w:id="594"/>
    </w:p>
    <w:p w14:paraId="5B58C591">
      <w:pPr>
        <w:spacing w:line="400" w:lineRule="exact"/>
        <w:ind w:firstLine="420" w:firstLineChars="200"/>
        <w:rPr>
          <w:rFonts w:hint="eastAsia" w:ascii="宋体" w:hAnsi="宋体" w:cs="宋体"/>
          <w:szCs w:val="21"/>
        </w:rPr>
      </w:pPr>
      <w:r>
        <w:rPr>
          <w:rFonts w:hint="eastAsia" w:ascii="宋体" w:hAnsi="宋体" w:cs="宋体"/>
          <w:szCs w:val="21"/>
        </w:rPr>
        <w:t>23.3.1 承包人按第17.5款的约定接受了完工付款证书后，应被认为已无权再提出在合同工程完工证书颁发前所发生的任何索赔。</w:t>
      </w:r>
    </w:p>
    <w:p w14:paraId="2FE772AE">
      <w:pPr>
        <w:spacing w:line="400" w:lineRule="exact"/>
        <w:ind w:firstLine="420" w:firstLineChars="200"/>
        <w:rPr>
          <w:rFonts w:hint="eastAsia" w:ascii="宋体" w:hAnsi="宋体" w:cs="宋体"/>
          <w:szCs w:val="21"/>
          <w:shd w:val="pct10" w:color="auto" w:fill="FFFFFF"/>
        </w:rPr>
      </w:pPr>
      <w:r>
        <w:rPr>
          <w:rFonts w:hint="eastAsia" w:ascii="宋体" w:hAnsi="宋体" w:cs="宋体"/>
          <w:szCs w:val="21"/>
        </w:rPr>
        <w:t xml:space="preserve">23.3.2 承包人按第17.6款的约定提交的最终结清申请单中，只限于提出合同工程完工证书颁发后发生的索赔。提出索赔的期限自接受最终结清证书时终止。 </w:t>
      </w:r>
    </w:p>
    <w:p w14:paraId="321A064E">
      <w:pPr>
        <w:keepNext/>
        <w:keepLines/>
        <w:spacing w:line="400" w:lineRule="exact"/>
        <w:outlineLvl w:val="2"/>
        <w:rPr>
          <w:rFonts w:hint="eastAsia" w:ascii="宋体" w:hAnsi="宋体" w:cs="宋体"/>
          <w:szCs w:val="21"/>
        </w:rPr>
      </w:pPr>
      <w:bookmarkStart w:id="595" w:name="_Toc179632779"/>
      <w:bookmarkStart w:id="596" w:name="_Toc152045761"/>
      <w:bookmarkStart w:id="597" w:name="_Toc152042540"/>
      <w:bookmarkStart w:id="598" w:name="_Toc144974731"/>
      <w:r>
        <w:rPr>
          <w:rFonts w:hint="eastAsia" w:ascii="宋体" w:hAnsi="宋体" w:cs="宋体"/>
          <w:szCs w:val="21"/>
        </w:rPr>
        <w:t>23.4 发包人的索赔</w:t>
      </w:r>
      <w:bookmarkEnd w:id="595"/>
      <w:bookmarkEnd w:id="596"/>
      <w:bookmarkEnd w:id="597"/>
      <w:bookmarkEnd w:id="598"/>
    </w:p>
    <w:p w14:paraId="2BFF0812">
      <w:pPr>
        <w:spacing w:line="400" w:lineRule="exact"/>
        <w:ind w:firstLine="420" w:firstLineChars="200"/>
        <w:rPr>
          <w:rFonts w:hint="eastAsia" w:ascii="宋体" w:hAnsi="宋体" w:cs="宋体"/>
          <w:szCs w:val="21"/>
        </w:rPr>
      </w:pPr>
      <w:r>
        <w:rPr>
          <w:rFonts w:hint="eastAsia" w:ascii="宋体" w:hAnsi="宋体" w:cs="宋体"/>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376D3EB4">
      <w:pPr>
        <w:spacing w:line="400" w:lineRule="exact"/>
        <w:ind w:firstLine="420" w:firstLineChars="200"/>
        <w:rPr>
          <w:rFonts w:hint="eastAsia" w:ascii="宋体" w:hAnsi="宋体" w:cs="宋体"/>
          <w:szCs w:val="21"/>
        </w:rPr>
      </w:pPr>
      <w:r>
        <w:rPr>
          <w:rFonts w:hint="eastAsia" w:ascii="宋体" w:hAnsi="宋体" w:cs="宋体"/>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02AD6AFB">
      <w:pPr>
        <w:spacing w:line="400" w:lineRule="exact"/>
        <w:ind w:firstLine="420" w:firstLineChars="200"/>
        <w:rPr>
          <w:rFonts w:hint="eastAsia" w:ascii="宋体" w:hAnsi="宋体" w:cs="宋体"/>
          <w:szCs w:val="21"/>
        </w:rPr>
      </w:pPr>
      <w:r>
        <w:rPr>
          <w:rFonts w:hint="eastAsia" w:ascii="宋体" w:hAnsi="宋体" w:cs="宋体"/>
          <w:szCs w:val="21"/>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bookmarkEnd w:id="586"/>
    </w:p>
    <w:p w14:paraId="4E4507BF">
      <w:pPr>
        <w:pStyle w:val="4"/>
        <w:rPr>
          <w:rFonts w:cs="宋体"/>
          <w:sz w:val="28"/>
          <w:szCs w:val="28"/>
        </w:rPr>
      </w:pPr>
      <w:bookmarkStart w:id="599" w:name="_Toc222029525"/>
      <w:bookmarkStart w:id="600" w:name="_Toc222031027"/>
      <w:bookmarkStart w:id="601" w:name="_Toc229408520"/>
      <w:bookmarkStart w:id="602" w:name="_Toc229305385"/>
      <w:bookmarkStart w:id="603" w:name="_Toc222033876"/>
      <w:bookmarkStart w:id="604" w:name="_Toc222032694"/>
      <w:bookmarkStart w:id="605" w:name="_Toc221951098"/>
      <w:r>
        <w:rPr>
          <w:rFonts w:cs="宋体"/>
          <w:sz w:val="28"/>
          <w:szCs w:val="28"/>
        </w:rPr>
        <w:t>24. 争议的解决</w:t>
      </w:r>
      <w:bookmarkEnd w:id="599"/>
      <w:bookmarkEnd w:id="600"/>
      <w:bookmarkEnd w:id="601"/>
      <w:bookmarkEnd w:id="602"/>
      <w:bookmarkEnd w:id="603"/>
      <w:bookmarkEnd w:id="604"/>
      <w:bookmarkEnd w:id="605"/>
    </w:p>
    <w:p w14:paraId="0EF4FF63">
      <w:pPr>
        <w:keepNext/>
        <w:keepLines/>
        <w:spacing w:line="400" w:lineRule="exact"/>
        <w:outlineLvl w:val="2"/>
        <w:rPr>
          <w:rFonts w:hint="eastAsia" w:ascii="宋体" w:hAnsi="宋体" w:cs="宋体"/>
          <w:szCs w:val="21"/>
        </w:rPr>
      </w:pPr>
      <w:bookmarkStart w:id="606" w:name="_Toc144974733"/>
      <w:bookmarkStart w:id="607" w:name="_Toc152045763"/>
      <w:bookmarkStart w:id="608" w:name="_Toc152042542"/>
      <w:bookmarkStart w:id="609" w:name="_Toc179632781"/>
      <w:r>
        <w:rPr>
          <w:rFonts w:hint="eastAsia" w:ascii="宋体" w:hAnsi="宋体" w:cs="宋体"/>
          <w:szCs w:val="21"/>
        </w:rPr>
        <w:t>24.1 争议的解决方式</w:t>
      </w:r>
      <w:bookmarkEnd w:id="606"/>
      <w:bookmarkEnd w:id="607"/>
      <w:bookmarkEnd w:id="608"/>
      <w:bookmarkEnd w:id="609"/>
    </w:p>
    <w:p w14:paraId="7648925B">
      <w:pPr>
        <w:spacing w:line="400" w:lineRule="exact"/>
        <w:ind w:firstLine="420" w:firstLineChars="200"/>
        <w:rPr>
          <w:rFonts w:hint="eastAsia"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384187C">
      <w:pPr>
        <w:spacing w:line="400" w:lineRule="exact"/>
        <w:ind w:firstLine="420" w:firstLineChars="200"/>
        <w:rPr>
          <w:rFonts w:hint="eastAsia" w:ascii="宋体" w:hAnsi="宋体" w:cs="宋体"/>
          <w:szCs w:val="21"/>
        </w:rPr>
      </w:pPr>
      <w:r>
        <w:rPr>
          <w:rFonts w:hint="eastAsia" w:ascii="宋体" w:hAnsi="宋体" w:cs="宋体"/>
          <w:szCs w:val="21"/>
        </w:rPr>
        <w:t>（1）向约定的仲裁委员会申请仲裁；</w:t>
      </w:r>
    </w:p>
    <w:p w14:paraId="0879F2B9">
      <w:pPr>
        <w:spacing w:line="400" w:lineRule="exact"/>
        <w:ind w:firstLine="420" w:firstLineChars="200"/>
        <w:rPr>
          <w:rFonts w:hint="eastAsia" w:ascii="宋体" w:hAnsi="宋体" w:cs="宋体"/>
          <w:szCs w:val="21"/>
        </w:rPr>
      </w:pPr>
      <w:r>
        <w:rPr>
          <w:rFonts w:hint="eastAsia" w:ascii="宋体" w:hAnsi="宋体" w:cs="宋体"/>
          <w:szCs w:val="21"/>
        </w:rPr>
        <w:t>（2）向有管辖权的人民法院提起诉讼。</w:t>
      </w:r>
    </w:p>
    <w:p w14:paraId="38898A4D">
      <w:pPr>
        <w:keepNext/>
        <w:keepLines/>
        <w:spacing w:line="400" w:lineRule="exact"/>
        <w:outlineLvl w:val="2"/>
        <w:rPr>
          <w:rFonts w:hint="eastAsia" w:ascii="宋体" w:hAnsi="宋体" w:cs="宋体"/>
          <w:szCs w:val="21"/>
        </w:rPr>
      </w:pPr>
      <w:bookmarkStart w:id="610" w:name="_Toc152045764"/>
      <w:bookmarkStart w:id="611" w:name="_Toc152042543"/>
      <w:bookmarkStart w:id="612" w:name="_Toc144974734"/>
      <w:bookmarkStart w:id="613" w:name="_Toc179632782"/>
      <w:r>
        <w:rPr>
          <w:rFonts w:hint="eastAsia" w:ascii="宋体" w:hAnsi="宋体" w:cs="宋体"/>
          <w:szCs w:val="21"/>
        </w:rPr>
        <w:t>24.2 友好解决</w:t>
      </w:r>
      <w:bookmarkEnd w:id="610"/>
      <w:bookmarkEnd w:id="611"/>
      <w:bookmarkEnd w:id="612"/>
      <w:bookmarkEnd w:id="613"/>
    </w:p>
    <w:p w14:paraId="2CF52448">
      <w:pPr>
        <w:spacing w:line="400" w:lineRule="exact"/>
        <w:ind w:firstLine="420" w:firstLineChars="200"/>
        <w:rPr>
          <w:rFonts w:hint="eastAsia" w:ascii="宋体" w:hAnsi="宋体" w:cs="宋体"/>
          <w:szCs w:val="21"/>
        </w:rPr>
      </w:pPr>
      <w:r>
        <w:rPr>
          <w:rFonts w:hint="eastAsia" w:ascii="宋体" w:hAnsi="宋体" w:cs="宋体"/>
          <w:szCs w:val="21"/>
        </w:rPr>
        <w:t>在提请争议评审、仲裁或者诉讼前，以及在争议评审、仲裁或诉讼过程中，发包人和承包人均可共同努力友好协商解决争议。</w:t>
      </w:r>
    </w:p>
    <w:p w14:paraId="5CF8FE7A">
      <w:pPr>
        <w:keepNext/>
        <w:keepLines/>
        <w:spacing w:line="400" w:lineRule="exact"/>
        <w:outlineLvl w:val="2"/>
        <w:rPr>
          <w:rFonts w:hint="eastAsia" w:ascii="宋体" w:hAnsi="宋体" w:cs="宋体"/>
          <w:szCs w:val="21"/>
        </w:rPr>
      </w:pPr>
      <w:bookmarkStart w:id="614" w:name="_Toc152045765"/>
      <w:bookmarkStart w:id="615" w:name="_Toc144974735"/>
      <w:bookmarkStart w:id="616" w:name="_Toc179632783"/>
      <w:bookmarkStart w:id="617" w:name="_Toc152042544"/>
      <w:r>
        <w:rPr>
          <w:rFonts w:hint="eastAsia" w:ascii="宋体" w:hAnsi="宋体" w:cs="宋体"/>
          <w:szCs w:val="21"/>
        </w:rPr>
        <w:t>24.3 争议评审</w:t>
      </w:r>
      <w:bookmarkEnd w:id="614"/>
      <w:bookmarkEnd w:id="615"/>
      <w:bookmarkEnd w:id="616"/>
      <w:bookmarkEnd w:id="617"/>
    </w:p>
    <w:p w14:paraId="7739B23A">
      <w:pPr>
        <w:spacing w:line="400" w:lineRule="exact"/>
        <w:ind w:firstLine="420" w:firstLineChars="200"/>
        <w:rPr>
          <w:rFonts w:hint="eastAsia" w:ascii="宋体" w:hAnsi="宋体" w:cs="宋体"/>
          <w:szCs w:val="21"/>
        </w:rPr>
      </w:pPr>
      <w:r>
        <w:rPr>
          <w:rFonts w:hint="eastAsia" w:ascii="宋体" w:hAnsi="宋体" w:cs="宋体"/>
          <w:szCs w:val="21"/>
        </w:rPr>
        <w:t>24.3.1 采用争议评审的，发包人和承包人应在开工日后的28天内或在争议发生后，协商成立争议评审组。争议评审组由有合同管理和工程实践经验的专家组成。</w:t>
      </w:r>
    </w:p>
    <w:p w14:paraId="45B68294">
      <w:pPr>
        <w:spacing w:line="400" w:lineRule="exact"/>
        <w:ind w:firstLine="420" w:firstLineChars="200"/>
        <w:rPr>
          <w:rFonts w:hint="eastAsia" w:ascii="宋体" w:hAnsi="宋体" w:cs="宋体"/>
          <w:szCs w:val="21"/>
        </w:rPr>
      </w:pPr>
      <w:r>
        <w:rPr>
          <w:rFonts w:hint="eastAsia" w:ascii="宋体" w:hAnsi="宋体" w:cs="宋体"/>
          <w:szCs w:val="21"/>
        </w:rPr>
        <w:t>24.3.2 合同双方的争议，应首先由申请人向争议评审组提交一份详细的评审申请报告，并附必要的文件、图纸和证明材料，申请人还应将上述报告的副本同时提交给被申请人和监理人。</w:t>
      </w:r>
    </w:p>
    <w:p w14:paraId="1F3BF271">
      <w:pPr>
        <w:spacing w:line="400" w:lineRule="exact"/>
        <w:ind w:firstLine="420" w:firstLineChars="200"/>
        <w:rPr>
          <w:rFonts w:hint="eastAsia" w:ascii="宋体" w:hAnsi="宋体" w:cs="宋体"/>
          <w:szCs w:val="21"/>
        </w:rPr>
      </w:pPr>
      <w:r>
        <w:rPr>
          <w:rFonts w:hint="eastAsia" w:ascii="宋体" w:hAnsi="宋体" w:cs="宋体"/>
          <w:szCs w:val="21"/>
        </w:rPr>
        <w:t>24.3.3 被申请人在收到申请人评审申请报告副本后的28天内，向争议评审组提交一份答辩报告，并附证明材料。被申请人应将答辩报告的副本同时提交给申请人和监理人。</w:t>
      </w:r>
    </w:p>
    <w:p w14:paraId="36FEBD29">
      <w:pPr>
        <w:spacing w:line="400" w:lineRule="exact"/>
        <w:ind w:firstLine="420" w:firstLineChars="200"/>
        <w:rPr>
          <w:rFonts w:hint="eastAsia" w:ascii="宋体" w:hAnsi="宋体" w:cs="宋体"/>
          <w:szCs w:val="21"/>
        </w:rPr>
      </w:pPr>
      <w:r>
        <w:rPr>
          <w:rFonts w:hint="eastAsia" w:ascii="宋体" w:hAnsi="宋体" w:cs="宋体"/>
          <w:szCs w:val="21"/>
        </w:rPr>
        <w:t>24.3.4 除专用合同条款另有约定外，争议评审组在收到合同双方报告后的14天内，邀请双方代表和有关人员举行调查会，向双方调查争议细节；必要时争议评审组可要求双方进一步提供补充材料。</w:t>
      </w:r>
    </w:p>
    <w:p w14:paraId="66EB1F76">
      <w:pPr>
        <w:spacing w:line="400" w:lineRule="exact"/>
        <w:ind w:firstLine="420" w:firstLineChars="200"/>
        <w:rPr>
          <w:rFonts w:hint="eastAsia" w:ascii="宋体" w:hAnsi="宋体" w:cs="宋体"/>
          <w:szCs w:val="21"/>
        </w:rPr>
      </w:pPr>
      <w:r>
        <w:rPr>
          <w:rFonts w:hint="eastAsia" w:ascii="宋体" w:hAnsi="宋体" w:cs="宋体"/>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6F3CBA7B">
      <w:pPr>
        <w:spacing w:line="400" w:lineRule="exact"/>
        <w:ind w:firstLine="420" w:firstLineChars="200"/>
        <w:rPr>
          <w:rFonts w:hint="eastAsia" w:ascii="宋体" w:hAnsi="宋体" w:cs="宋体"/>
          <w:szCs w:val="21"/>
        </w:rPr>
      </w:pPr>
      <w:r>
        <w:rPr>
          <w:rFonts w:hint="eastAsia" w:ascii="宋体" w:hAnsi="宋体" w:cs="宋体"/>
          <w:szCs w:val="21"/>
        </w:rPr>
        <w:t>24.3.6 发包人和承包人接受评审意见的，由监理人根据评审意见拟定执行协议，经争议双方签字后作为合同的补充文件，并遵照执行。</w:t>
      </w:r>
    </w:p>
    <w:p w14:paraId="35C7DBAA">
      <w:pPr>
        <w:spacing w:line="400" w:lineRule="exact"/>
        <w:ind w:firstLine="420" w:firstLineChars="200"/>
        <w:rPr>
          <w:rFonts w:hint="eastAsia" w:ascii="宋体" w:hAnsi="宋体" w:cs="宋体"/>
          <w:szCs w:val="21"/>
        </w:rPr>
      </w:pPr>
      <w:r>
        <w:rPr>
          <w:rFonts w:hint="eastAsia" w:ascii="宋体" w:hAnsi="宋体" w:cs="宋体"/>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03D233CE">
      <w:pPr>
        <w:keepNext/>
        <w:keepLines/>
        <w:spacing w:line="400" w:lineRule="exact"/>
        <w:outlineLvl w:val="2"/>
        <w:rPr>
          <w:rFonts w:hint="eastAsia" w:ascii="宋体" w:hAnsi="宋体" w:cs="宋体"/>
          <w:szCs w:val="21"/>
        </w:rPr>
      </w:pPr>
      <w:bookmarkStart w:id="618" w:name="_Toc221951107"/>
      <w:r>
        <w:rPr>
          <w:rFonts w:hint="eastAsia" w:ascii="宋体" w:hAnsi="宋体" w:cs="宋体"/>
          <w:szCs w:val="21"/>
        </w:rPr>
        <w:t>24.4仲裁</w:t>
      </w:r>
      <w:bookmarkEnd w:id="618"/>
      <w:r>
        <w:rPr>
          <w:rFonts w:hint="eastAsia" w:ascii="宋体" w:hAnsi="宋体" w:cs="宋体"/>
          <w:szCs w:val="21"/>
        </w:rPr>
        <w:t xml:space="preserve"> </w:t>
      </w:r>
    </w:p>
    <w:p w14:paraId="592FA6B5">
      <w:pPr>
        <w:spacing w:line="360" w:lineRule="auto"/>
        <w:ind w:firstLine="420" w:firstLineChars="200"/>
        <w:rPr>
          <w:rFonts w:hint="eastAsia" w:ascii="宋体" w:hAnsi="宋体" w:cs="宋体"/>
          <w:szCs w:val="21"/>
        </w:rPr>
      </w:pPr>
      <w:bookmarkStart w:id="619" w:name="_Toc221951108"/>
      <w:r>
        <w:rPr>
          <w:rFonts w:hint="eastAsia" w:ascii="宋体" w:hAnsi="宋体" w:cs="宋体"/>
          <w:szCs w:val="21"/>
        </w:rPr>
        <w:t>24.4.1若合同双方商定直接向仲裁机构申请仲裁，应签订仲裁协议并约定仲裁机构。</w:t>
      </w:r>
      <w:bookmarkEnd w:id="619"/>
    </w:p>
    <w:p w14:paraId="0EA552D4">
      <w:pPr>
        <w:spacing w:line="360" w:lineRule="auto"/>
        <w:rPr>
          <w:rFonts w:hint="eastAsia" w:ascii="宋体" w:hAnsi="宋体" w:cs="宋体"/>
          <w:szCs w:val="21"/>
        </w:rPr>
      </w:pPr>
      <w:r>
        <w:rPr>
          <w:rFonts w:hint="eastAsia" w:ascii="宋体" w:hAnsi="宋体" w:cs="宋体"/>
          <w:szCs w:val="21"/>
        </w:rPr>
        <w:t xml:space="preserve">    </w:t>
      </w:r>
      <w:bookmarkStart w:id="620" w:name="_Toc221951109"/>
      <w:r>
        <w:rPr>
          <w:rFonts w:hint="eastAsia" w:ascii="宋体" w:hAnsi="宋体" w:cs="宋体"/>
          <w:szCs w:val="21"/>
        </w:rPr>
        <w:t>24.4.2若合同双方未能达成仲裁协议，则本合同的仲裁条款无效，任一方均有权向人民法院提起诉讼。</w:t>
      </w:r>
      <w:bookmarkEnd w:id="620"/>
      <w:r>
        <w:rPr>
          <w:rFonts w:hint="eastAsia" w:ascii="宋体" w:hAnsi="宋体" w:cs="宋体"/>
          <w:szCs w:val="21"/>
        </w:rPr>
        <w:t xml:space="preserve"> </w:t>
      </w:r>
    </w:p>
    <w:p w14:paraId="576DB041">
      <w:pPr>
        <w:spacing w:line="360" w:lineRule="auto"/>
        <w:ind w:right="248" w:firstLine="480"/>
        <w:rPr>
          <w:rFonts w:hint="eastAsia" w:ascii="宋体" w:hAnsi="宋体" w:cs="宋体"/>
          <w:sz w:val="24"/>
        </w:rPr>
      </w:pPr>
      <w:r>
        <w:rPr>
          <w:rFonts w:hint="eastAsia" w:ascii="宋体" w:hAnsi="宋体" w:cs="宋体"/>
          <w:sz w:val="24"/>
        </w:rPr>
        <w:t xml:space="preserve"> </w:t>
      </w:r>
    </w:p>
    <w:p w14:paraId="22E357F6">
      <w:pPr>
        <w:spacing w:line="360" w:lineRule="auto"/>
        <w:ind w:firstLine="480" w:firstLineChars="200"/>
        <w:rPr>
          <w:rFonts w:hint="eastAsia" w:ascii="宋体" w:hAnsi="宋体"/>
          <w:kern w:val="0"/>
          <w:sz w:val="24"/>
        </w:rPr>
      </w:pPr>
    </w:p>
    <w:p w14:paraId="663DABDF">
      <w:pPr>
        <w:spacing w:line="440" w:lineRule="exact"/>
        <w:ind w:firstLine="690"/>
        <w:rPr>
          <w:rFonts w:ascii="宋体" w:hAnsi="宋体"/>
          <w:kern w:val="0"/>
          <w:sz w:val="24"/>
        </w:rPr>
      </w:pPr>
    </w:p>
    <w:p w14:paraId="34EAD93E">
      <w:pPr>
        <w:spacing w:line="440" w:lineRule="exact"/>
        <w:ind w:firstLine="690"/>
        <w:rPr>
          <w:rFonts w:ascii="宋体" w:hAnsi="宋体"/>
          <w:kern w:val="0"/>
          <w:sz w:val="24"/>
        </w:rPr>
      </w:pPr>
    </w:p>
    <w:p w14:paraId="65395334">
      <w:pPr>
        <w:spacing w:line="440" w:lineRule="exact"/>
        <w:ind w:firstLine="690"/>
        <w:rPr>
          <w:rFonts w:ascii="宋体" w:hAnsi="宋体"/>
          <w:kern w:val="0"/>
          <w:sz w:val="24"/>
        </w:rPr>
      </w:pPr>
    </w:p>
    <w:p w14:paraId="005FC05E">
      <w:pPr>
        <w:spacing w:line="440" w:lineRule="exact"/>
        <w:rPr>
          <w:rFonts w:ascii="宋体" w:hAnsi="宋体"/>
          <w:kern w:val="0"/>
          <w:sz w:val="24"/>
        </w:rPr>
      </w:pPr>
    </w:p>
    <w:p w14:paraId="4F5025E1">
      <w:pPr>
        <w:spacing w:line="440" w:lineRule="exact"/>
        <w:rPr>
          <w:rFonts w:hint="eastAsia" w:ascii="宋体" w:hAnsi="宋体" w:cs="XBSJ-PK7482000003a-Identity-H"/>
          <w:kern w:val="0"/>
          <w:sz w:val="34"/>
          <w:szCs w:val="34"/>
        </w:rPr>
      </w:pPr>
      <w:r>
        <w:rPr>
          <w:rFonts w:ascii="宋体" w:hAnsi="宋体"/>
          <w:kern w:val="0"/>
          <w:sz w:val="24"/>
        </w:rPr>
        <w:br w:type="page"/>
      </w:r>
    </w:p>
    <w:p w14:paraId="17495BAD">
      <w:pPr>
        <w:spacing w:line="360" w:lineRule="auto"/>
        <w:jc w:val="center"/>
        <w:outlineLvl w:val="1"/>
        <w:rPr>
          <w:rFonts w:ascii="宋体" w:hAnsi="宋体" w:cs="XBSJ-PK7482000003a-Identity-H"/>
          <w:kern w:val="0"/>
          <w:sz w:val="34"/>
          <w:szCs w:val="34"/>
        </w:rPr>
      </w:pPr>
      <w:bookmarkStart w:id="621" w:name="_Toc123884868"/>
      <w:r>
        <w:rPr>
          <w:rFonts w:hint="eastAsia" w:ascii="宋体" w:hAnsi="宋体" w:cs="XBSJ-PK7482000003a-Identity-H"/>
          <w:kern w:val="0"/>
          <w:sz w:val="34"/>
          <w:szCs w:val="34"/>
        </w:rPr>
        <w:t>第三节</w:t>
      </w:r>
      <w:r>
        <w:rPr>
          <w:rFonts w:ascii="宋体" w:hAnsi="宋体"/>
        </w:rPr>
        <w:t xml:space="preserve">   </w:t>
      </w:r>
      <w:r>
        <w:rPr>
          <w:rFonts w:hint="eastAsia" w:ascii="宋体" w:hAnsi="宋体" w:cs="XBSJ-PK7482000003a-Identity-H"/>
          <w:kern w:val="0"/>
          <w:sz w:val="34"/>
          <w:szCs w:val="34"/>
        </w:rPr>
        <w:t>专用合同条款</w:t>
      </w:r>
      <w:bookmarkEnd w:id="621"/>
    </w:p>
    <w:p w14:paraId="268AC4AB">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1 一般约定</w:t>
      </w:r>
    </w:p>
    <w:p w14:paraId="6EA76F7B">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1.1　词语定义</w:t>
      </w:r>
    </w:p>
    <w:p w14:paraId="5ECED236">
      <w:pPr>
        <w:autoSpaceDE w:val="0"/>
        <w:autoSpaceDN w:val="0"/>
        <w:adjustRightInd w:val="0"/>
        <w:spacing w:line="360" w:lineRule="auto"/>
        <w:ind w:left="420"/>
        <w:jc w:val="left"/>
        <w:rPr>
          <w:rFonts w:hint="eastAsia" w:ascii="宋体" w:hAnsi="宋体" w:cs="SSJ-PK7482000002d-Identity-H"/>
          <w:kern w:val="0"/>
          <w:szCs w:val="21"/>
        </w:rPr>
      </w:pPr>
      <w:r>
        <w:rPr>
          <w:rFonts w:hint="eastAsia" w:ascii="宋体" w:hAnsi="宋体" w:cs="E-HZ9-PK748409-Identity-H"/>
          <w:kern w:val="0"/>
          <w:szCs w:val="21"/>
        </w:rPr>
        <w:t>1.1.2</w:t>
      </w:r>
      <w:r>
        <w:rPr>
          <w:rFonts w:hint="eastAsia" w:ascii="宋体" w:hAnsi="宋体" w:cs="O9-PK7484ba-Identity-H"/>
          <w:kern w:val="0"/>
          <w:szCs w:val="21"/>
        </w:rPr>
        <w:t>　</w:t>
      </w:r>
      <w:r>
        <w:rPr>
          <w:rFonts w:hint="eastAsia" w:ascii="宋体" w:hAnsi="宋体" w:cs="SSJ-PK7482000002d-Identity-H"/>
          <w:kern w:val="0"/>
          <w:szCs w:val="21"/>
        </w:rPr>
        <w:t>合同当事人和人员</w:t>
      </w:r>
    </w:p>
    <w:p w14:paraId="2D7A8A74">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E-HZ9-PK748409-Identity-H"/>
          <w:kern w:val="0"/>
          <w:szCs w:val="21"/>
        </w:rPr>
        <w:t>1.1.2.2</w:t>
      </w:r>
      <w:r>
        <w:rPr>
          <w:rFonts w:hint="eastAsia" w:ascii="宋体" w:hAnsi="宋体" w:cs="O9-PK7484ba-Identity-H"/>
          <w:kern w:val="0"/>
          <w:szCs w:val="21"/>
        </w:rPr>
        <w:t>　</w:t>
      </w:r>
      <w:r>
        <w:rPr>
          <w:rFonts w:hint="eastAsia" w:ascii="宋体" w:hAnsi="宋体" w:cs="SSJ-PK7482000002d-Identity-H"/>
          <w:kern w:val="0"/>
          <w:szCs w:val="21"/>
        </w:rPr>
        <w:t>发包人</w:t>
      </w:r>
      <w:r>
        <w:rPr>
          <w:rFonts w:hint="eastAsia" w:ascii="宋体" w:hAnsi="宋体" w:cs="H-SS9-PK74820000032-Identity-H"/>
          <w:kern w:val="0"/>
          <w:szCs w:val="21"/>
        </w:rPr>
        <w:t>：</w:t>
      </w:r>
      <w:r>
        <w:rPr>
          <w:rFonts w:hint="eastAsia" w:ascii="宋体" w:hAnsi="宋体"/>
          <w:kern w:val="0"/>
          <w:szCs w:val="21"/>
          <w:u w:val="single"/>
        </w:rPr>
        <w:t xml:space="preserve">                                               </w:t>
      </w:r>
      <w:r>
        <w:rPr>
          <w:rFonts w:hint="eastAsia" w:ascii="宋体" w:hAnsi="宋体" w:cs="H-SS9-PK74820000032-Identity-H"/>
          <w:kern w:val="0"/>
          <w:szCs w:val="21"/>
        </w:rPr>
        <w:t>。</w:t>
      </w:r>
    </w:p>
    <w:p w14:paraId="3C6B1750">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E-HZ9-PK748409-Identity-H"/>
          <w:kern w:val="0"/>
          <w:szCs w:val="21"/>
        </w:rPr>
        <w:t>1.1.2.3</w:t>
      </w:r>
      <w:r>
        <w:rPr>
          <w:rFonts w:hint="eastAsia" w:ascii="宋体" w:hAnsi="宋体" w:cs="O9-PK7484ba-Identity-H"/>
          <w:kern w:val="0"/>
          <w:szCs w:val="21"/>
        </w:rPr>
        <w:t>　</w:t>
      </w:r>
      <w:r>
        <w:rPr>
          <w:rFonts w:hint="eastAsia" w:ascii="宋体" w:hAnsi="宋体" w:cs="SSJ-PK7482000002d-Identity-H"/>
          <w:kern w:val="0"/>
          <w:szCs w:val="21"/>
        </w:rPr>
        <w:t>承包人</w:t>
      </w:r>
      <w:r>
        <w:rPr>
          <w:rFonts w:hint="eastAsia" w:ascii="宋体" w:hAnsi="宋体" w:cs="H-SS9-PK74820000032-Identity-H"/>
          <w:kern w:val="0"/>
          <w:szCs w:val="21"/>
        </w:rPr>
        <w:t>：</w:t>
      </w:r>
      <w:r>
        <w:rPr>
          <w:rFonts w:hint="eastAsia" w:ascii="宋体" w:hAnsi="宋体" w:cs="H-SS9-PK74820000032-Identity-H"/>
          <w:kern w:val="0"/>
          <w:szCs w:val="21"/>
          <w:u w:val="single"/>
        </w:rPr>
        <w:t>（</w:t>
      </w:r>
      <w:r>
        <w:rPr>
          <w:rFonts w:hint="eastAsia" w:ascii="宋体" w:hAnsi="宋体" w:cs="SSJ-PK7482000002d-Identity-H"/>
          <w:kern w:val="0"/>
          <w:szCs w:val="21"/>
          <w:u w:val="single"/>
        </w:rPr>
        <w:t>签约后填入承包人的名称</w:t>
      </w:r>
      <w:r>
        <w:rPr>
          <w:rFonts w:hint="eastAsia" w:ascii="宋体" w:hAnsi="宋体" w:cs="H-SS9-PK74820000032-Identity-H"/>
          <w:kern w:val="0"/>
          <w:szCs w:val="21"/>
          <w:u w:val="single"/>
        </w:rPr>
        <w:t xml:space="preserve">）                     </w:t>
      </w:r>
      <w:r>
        <w:rPr>
          <w:rFonts w:hint="eastAsia" w:ascii="宋体" w:hAnsi="宋体" w:cs="H-SS9-PK74820000032-Identity-H"/>
          <w:kern w:val="0"/>
          <w:szCs w:val="21"/>
        </w:rPr>
        <w:t>。</w:t>
      </w:r>
    </w:p>
    <w:p w14:paraId="6179FDF1">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E-HZ9-PK748409-Identity-H"/>
          <w:kern w:val="0"/>
          <w:szCs w:val="21"/>
        </w:rPr>
        <w:t xml:space="preserve">1.1.2.6  </w:t>
      </w:r>
      <w:r>
        <w:rPr>
          <w:rFonts w:hint="eastAsia" w:ascii="宋体" w:hAnsi="宋体" w:cs="SSJ-PK7482000002d-Identity-H"/>
          <w:kern w:val="0"/>
          <w:szCs w:val="21"/>
        </w:rPr>
        <w:t>监理人</w:t>
      </w:r>
      <w:r>
        <w:rPr>
          <w:rFonts w:hint="eastAsia" w:ascii="宋体" w:hAnsi="宋体" w:cs="H-SS9-PK74820000032-Identity-H"/>
          <w:kern w:val="0"/>
          <w:szCs w:val="21"/>
        </w:rPr>
        <w:t>：</w:t>
      </w:r>
      <w:r>
        <w:rPr>
          <w:rFonts w:hint="eastAsia" w:ascii="宋体" w:hAnsi="宋体" w:cs="O9-PK7484ba-Identity-H"/>
          <w:kern w:val="0"/>
          <w:szCs w:val="21"/>
          <w:u w:val="single"/>
        </w:rPr>
        <w:t xml:space="preserve">                                               </w:t>
      </w:r>
      <w:r>
        <w:rPr>
          <w:rFonts w:hint="eastAsia" w:ascii="宋体" w:hAnsi="宋体" w:cs="H-SS9-PK74820000032-Identity-H"/>
          <w:kern w:val="0"/>
          <w:szCs w:val="21"/>
        </w:rPr>
        <w:t>。</w:t>
      </w:r>
    </w:p>
    <w:p w14:paraId="00094B9B">
      <w:pPr>
        <w:autoSpaceDE w:val="0"/>
        <w:autoSpaceDN w:val="0"/>
        <w:adjustRightInd w:val="0"/>
        <w:spacing w:line="360" w:lineRule="auto"/>
        <w:ind w:left="420"/>
        <w:jc w:val="left"/>
        <w:rPr>
          <w:rFonts w:hint="eastAsia" w:ascii="宋体" w:hAnsi="宋体" w:cs="SSJ-PK7482000002d-Identity-H"/>
          <w:kern w:val="0"/>
          <w:szCs w:val="21"/>
        </w:rPr>
      </w:pPr>
      <w:r>
        <w:rPr>
          <w:rFonts w:hint="eastAsia" w:ascii="宋体" w:hAnsi="宋体" w:cs="E-HZ9-PK748409-Identity-H"/>
          <w:kern w:val="0"/>
          <w:szCs w:val="21"/>
        </w:rPr>
        <w:t>1.1.4</w:t>
      </w:r>
      <w:r>
        <w:rPr>
          <w:rFonts w:hint="eastAsia" w:ascii="宋体" w:hAnsi="宋体" w:cs="O9-PK7484ba-Identity-H"/>
          <w:kern w:val="0"/>
          <w:szCs w:val="21"/>
        </w:rPr>
        <w:t>　</w:t>
      </w:r>
      <w:r>
        <w:rPr>
          <w:rFonts w:hint="eastAsia" w:ascii="宋体" w:hAnsi="宋体" w:cs="SSJ-PK7482000002d-Identity-H"/>
          <w:kern w:val="0"/>
          <w:szCs w:val="21"/>
        </w:rPr>
        <w:t xml:space="preserve">日期 </w:t>
      </w:r>
    </w:p>
    <w:p w14:paraId="7A92537C">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E-HZ9-PK748409-Identity-H"/>
          <w:kern w:val="0"/>
          <w:szCs w:val="21"/>
        </w:rPr>
        <w:t>1.1.4.5</w:t>
      </w:r>
      <w:r>
        <w:rPr>
          <w:rFonts w:hint="eastAsia" w:ascii="宋体" w:hAnsi="宋体" w:cs="O9-PK7484ba-Identity-H"/>
          <w:kern w:val="0"/>
          <w:szCs w:val="21"/>
        </w:rPr>
        <w:t>　</w:t>
      </w:r>
      <w:r>
        <w:rPr>
          <w:rFonts w:hint="eastAsia" w:ascii="宋体" w:hAnsi="宋体" w:cs="SSJ-PK7482000002d-Identity-H"/>
          <w:kern w:val="0"/>
          <w:szCs w:val="21"/>
        </w:rPr>
        <w:t>缺陷责任期</w:t>
      </w:r>
      <w:r>
        <w:rPr>
          <w:rFonts w:hint="eastAsia" w:ascii="宋体" w:hAnsi="宋体" w:cs="H-SS9-PK74820000032-Identity-H"/>
          <w:kern w:val="0"/>
          <w:szCs w:val="21"/>
        </w:rPr>
        <w:t>（</w:t>
      </w:r>
      <w:r>
        <w:rPr>
          <w:rFonts w:hint="eastAsia" w:ascii="宋体" w:hAnsi="宋体" w:cs="SSJ-PK7482000002d-Identity-H"/>
          <w:kern w:val="0"/>
          <w:szCs w:val="21"/>
        </w:rPr>
        <w:t>工程质量保修期</w:t>
      </w:r>
      <w:r>
        <w:rPr>
          <w:rFonts w:hint="eastAsia" w:ascii="宋体" w:hAnsi="宋体" w:cs="H-SS9-PK74820000032-Identity-H"/>
          <w:kern w:val="0"/>
          <w:szCs w:val="21"/>
        </w:rPr>
        <w:t>）：从工程</w:t>
      </w:r>
      <w:r>
        <w:rPr>
          <w:rFonts w:hint="eastAsia" w:ascii="宋体" w:hAnsi="宋体" w:cs="H-SS9-PK74820000032-Identity-H"/>
          <w:kern w:val="0"/>
          <w:szCs w:val="21"/>
          <w:u w:val="single"/>
        </w:rPr>
        <w:t xml:space="preserve"> 合同完工 </w:t>
      </w:r>
      <w:r>
        <w:rPr>
          <w:rFonts w:hint="eastAsia" w:ascii="宋体" w:hAnsi="宋体" w:cs="H-SS9-PK74820000032-Identity-H"/>
          <w:kern w:val="0"/>
          <w:szCs w:val="21"/>
        </w:rPr>
        <w:t>验收之日起一年。</w:t>
      </w:r>
    </w:p>
    <w:p w14:paraId="008B7F13">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1.4  合同文件的优先顺序</w:t>
      </w:r>
    </w:p>
    <w:p w14:paraId="5BC99291">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SSJ-PK7482000002d-Identity-H"/>
          <w:kern w:val="0"/>
          <w:szCs w:val="21"/>
        </w:rPr>
        <w:t>进入合同文件的各项文件及其优先顺序是</w:t>
      </w:r>
      <w:r>
        <w:rPr>
          <w:rFonts w:hint="eastAsia" w:ascii="宋体" w:hAnsi="宋体" w:cs="H-SS9-PK74820000032-Identity-H"/>
          <w:kern w:val="0"/>
          <w:szCs w:val="21"/>
        </w:rPr>
        <w:t>：</w:t>
      </w:r>
    </w:p>
    <w:p w14:paraId="53608E8D">
      <w:pPr>
        <w:widowControl/>
        <w:adjustRightInd w:val="0"/>
        <w:snapToGrid w:val="0"/>
        <w:spacing w:line="360" w:lineRule="auto"/>
        <w:ind w:left="315"/>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）合同协议书及履行合同的相关补充协议；</w:t>
      </w:r>
    </w:p>
    <w:p w14:paraId="5DE16428">
      <w:pPr>
        <w:widowControl/>
        <w:adjustRightInd w:val="0"/>
        <w:snapToGrid w:val="0"/>
        <w:spacing w:line="360" w:lineRule="auto"/>
        <w:ind w:left="315"/>
        <w:rPr>
          <w:rFonts w:ascii="宋体" w:hAnsi="宋体"/>
          <w:szCs w:val="21"/>
        </w:rPr>
      </w:pPr>
      <w:r>
        <w:rPr>
          <w:rFonts w:hint="eastAsia" w:ascii="宋体" w:hAnsi="宋体"/>
          <w:szCs w:val="21"/>
        </w:rPr>
        <w:t>（2）中标通知书；</w:t>
      </w:r>
    </w:p>
    <w:p w14:paraId="63DBE729">
      <w:pPr>
        <w:widowControl/>
        <w:adjustRightInd w:val="0"/>
        <w:snapToGrid w:val="0"/>
        <w:spacing w:line="360" w:lineRule="auto"/>
        <w:ind w:left="315"/>
        <w:rPr>
          <w:rFonts w:ascii="宋体" w:hAnsi="宋体"/>
          <w:szCs w:val="21"/>
        </w:rPr>
      </w:pPr>
      <w:r>
        <w:rPr>
          <w:rFonts w:hint="eastAsia" w:ascii="宋体" w:hAnsi="宋体"/>
          <w:szCs w:val="21"/>
        </w:rPr>
        <w:t>（3）专用合同条款；</w:t>
      </w:r>
    </w:p>
    <w:p w14:paraId="533B17E5">
      <w:pPr>
        <w:widowControl/>
        <w:adjustRightInd w:val="0"/>
        <w:snapToGrid w:val="0"/>
        <w:spacing w:line="360" w:lineRule="auto"/>
        <w:ind w:left="315"/>
        <w:rPr>
          <w:rFonts w:ascii="宋体" w:hAnsi="宋体"/>
          <w:szCs w:val="21"/>
        </w:rPr>
      </w:pPr>
      <w:r>
        <w:rPr>
          <w:rFonts w:hint="eastAsia" w:ascii="宋体" w:hAnsi="宋体"/>
          <w:szCs w:val="21"/>
        </w:rPr>
        <w:t>（4）通用合同条款；</w:t>
      </w:r>
    </w:p>
    <w:p w14:paraId="1E2F9C1D">
      <w:pPr>
        <w:widowControl/>
        <w:adjustRightInd w:val="0"/>
        <w:snapToGrid w:val="0"/>
        <w:spacing w:line="360" w:lineRule="auto"/>
        <w:ind w:left="315"/>
        <w:rPr>
          <w:rFonts w:ascii="宋体" w:hAnsi="宋体"/>
          <w:szCs w:val="21"/>
        </w:rPr>
      </w:pPr>
      <w:r>
        <w:rPr>
          <w:rFonts w:hint="eastAsia" w:ascii="宋体" w:hAnsi="宋体"/>
          <w:szCs w:val="21"/>
        </w:rPr>
        <w:t>（5）招标文件及其补充资料；</w:t>
      </w:r>
    </w:p>
    <w:p w14:paraId="237BD4F9">
      <w:pPr>
        <w:widowControl/>
        <w:adjustRightInd w:val="0"/>
        <w:snapToGrid w:val="0"/>
        <w:spacing w:line="360" w:lineRule="auto"/>
        <w:ind w:left="315"/>
        <w:rPr>
          <w:rFonts w:ascii="宋体" w:hAnsi="宋体"/>
          <w:szCs w:val="21"/>
        </w:rPr>
      </w:pPr>
      <w:r>
        <w:rPr>
          <w:rFonts w:hint="eastAsia" w:ascii="宋体" w:hAnsi="宋体"/>
          <w:szCs w:val="21"/>
        </w:rPr>
        <w:t>（6）技术标准、规范和要求（合同技术条款）；</w:t>
      </w:r>
    </w:p>
    <w:p w14:paraId="6547F334">
      <w:pPr>
        <w:widowControl/>
        <w:adjustRightInd w:val="0"/>
        <w:snapToGrid w:val="0"/>
        <w:spacing w:line="360" w:lineRule="auto"/>
        <w:ind w:left="315"/>
        <w:rPr>
          <w:rFonts w:ascii="宋体" w:hAnsi="宋体"/>
          <w:szCs w:val="21"/>
        </w:rPr>
      </w:pPr>
      <w:r>
        <w:rPr>
          <w:rFonts w:hint="eastAsia" w:ascii="宋体" w:hAnsi="宋体"/>
          <w:kern w:val="0"/>
          <w:szCs w:val="21"/>
        </w:rPr>
        <w:t>（7）</w:t>
      </w:r>
      <w:r>
        <w:rPr>
          <w:rFonts w:hint="eastAsia" w:ascii="宋体" w:hAnsi="宋体"/>
          <w:szCs w:val="21"/>
        </w:rPr>
        <w:t>图纸；</w:t>
      </w:r>
    </w:p>
    <w:p w14:paraId="31AED7E0">
      <w:pPr>
        <w:widowControl/>
        <w:adjustRightInd w:val="0"/>
        <w:snapToGrid w:val="0"/>
        <w:spacing w:line="360" w:lineRule="auto"/>
        <w:ind w:left="315"/>
        <w:rPr>
          <w:rFonts w:ascii="宋体" w:hAnsi="宋体"/>
          <w:szCs w:val="21"/>
        </w:rPr>
      </w:pPr>
      <w:r>
        <w:rPr>
          <w:rFonts w:hint="eastAsia" w:ascii="宋体" w:hAnsi="宋体"/>
          <w:szCs w:val="21"/>
        </w:rPr>
        <w:t>（8）承包人的投标文件及其附件；</w:t>
      </w:r>
    </w:p>
    <w:p w14:paraId="4AD93A7D">
      <w:pPr>
        <w:widowControl/>
        <w:adjustRightInd w:val="0"/>
        <w:snapToGrid w:val="0"/>
        <w:spacing w:line="360" w:lineRule="auto"/>
        <w:ind w:left="315"/>
        <w:rPr>
          <w:rFonts w:hint="eastAsia" w:ascii="宋体" w:hAnsi="宋体"/>
          <w:kern w:val="0"/>
          <w:szCs w:val="21"/>
        </w:rPr>
      </w:pPr>
      <w:r>
        <w:rPr>
          <w:rFonts w:hint="eastAsia" w:ascii="宋体" w:hAnsi="宋体"/>
          <w:szCs w:val="21"/>
        </w:rPr>
        <w:t>（9）已标价工程</w:t>
      </w:r>
      <w:r>
        <w:rPr>
          <w:rFonts w:hint="eastAsia" w:ascii="宋体" w:hAnsi="宋体"/>
          <w:kern w:val="0"/>
          <w:szCs w:val="21"/>
        </w:rPr>
        <w:t>量清单；</w:t>
      </w:r>
    </w:p>
    <w:p w14:paraId="33850BEB">
      <w:pPr>
        <w:autoSpaceDE w:val="0"/>
        <w:autoSpaceDN w:val="0"/>
        <w:adjustRightInd w:val="0"/>
        <w:spacing w:line="360" w:lineRule="auto"/>
        <w:ind w:left="315"/>
        <w:jc w:val="left"/>
        <w:rPr>
          <w:rFonts w:hint="eastAsia" w:ascii="宋体" w:hAnsi="宋体" w:eastAsia="宋体" w:cs="Times New Roman"/>
          <w:kern w:val="0"/>
          <w:szCs w:val="21"/>
        </w:rPr>
      </w:pPr>
      <w:r>
        <w:rPr>
          <w:rFonts w:hint="eastAsia" w:ascii="宋体" w:hAnsi="宋体" w:eastAsia="宋体" w:cs="Times New Roman"/>
          <w:kern w:val="0"/>
          <w:szCs w:val="21"/>
        </w:rPr>
        <w:t>（10）项目实施工程中的会议纪要、工程变更、签证等修正文件</w:t>
      </w:r>
    </w:p>
    <w:p w14:paraId="391F9FE6">
      <w:pPr>
        <w:autoSpaceDE w:val="0"/>
        <w:autoSpaceDN w:val="0"/>
        <w:adjustRightInd w:val="0"/>
        <w:spacing w:line="360" w:lineRule="auto"/>
        <w:ind w:left="315"/>
        <w:jc w:val="left"/>
        <w:rPr>
          <w:rFonts w:ascii="宋体" w:hAnsi="宋体"/>
          <w:kern w:val="0"/>
          <w:szCs w:val="21"/>
        </w:rPr>
      </w:pPr>
      <w:r>
        <w:rPr>
          <w:rFonts w:hint="eastAsia" w:ascii="宋体" w:hAnsi="宋体"/>
          <w:kern w:val="0"/>
          <w:szCs w:val="21"/>
        </w:rPr>
        <w:t>（11）其它合同文件。</w:t>
      </w:r>
    </w:p>
    <w:p w14:paraId="5A7F3629">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2　发包人义务</w:t>
      </w:r>
    </w:p>
    <w:p w14:paraId="02250AAF">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2.3  提供施工场地</w:t>
      </w:r>
    </w:p>
    <w:p w14:paraId="10F11082">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E-HZ9-PK748409-Identity-H"/>
          <w:kern w:val="0"/>
          <w:szCs w:val="21"/>
        </w:rPr>
        <w:t>2.3.2</w:t>
      </w:r>
      <w:r>
        <w:rPr>
          <w:rFonts w:hint="eastAsia" w:ascii="宋体" w:hAnsi="宋体" w:cs="O9-PK7484ba-Identity-H"/>
          <w:kern w:val="0"/>
          <w:szCs w:val="21"/>
        </w:rPr>
        <w:t>　</w:t>
      </w:r>
      <w:r>
        <w:rPr>
          <w:rFonts w:hint="eastAsia" w:ascii="宋体" w:hAnsi="宋体" w:cs="SSJ-PK7482000002d-Identity-H"/>
          <w:kern w:val="0"/>
          <w:szCs w:val="21"/>
        </w:rPr>
        <w:t>发包人提供的施工场地范围为</w:t>
      </w:r>
      <w:r>
        <w:rPr>
          <w:rFonts w:hint="eastAsia" w:ascii="宋体" w:hAnsi="宋体" w:cs="H-SS9-PK74820000032-Identity-H"/>
          <w:kern w:val="0"/>
          <w:szCs w:val="21"/>
        </w:rPr>
        <w:t>：</w:t>
      </w:r>
      <w:r>
        <w:rPr>
          <w:rFonts w:hint="eastAsia" w:ascii="宋体" w:hAnsi="宋体" w:cs="H-SS9-PK74820000032-Identity-H"/>
          <w:kern w:val="0"/>
          <w:szCs w:val="21"/>
          <w:u w:val="single"/>
        </w:rPr>
        <w:t xml:space="preserve">                    </w:t>
      </w:r>
      <w:r>
        <w:rPr>
          <w:rFonts w:hint="eastAsia" w:ascii="宋体" w:hAnsi="宋体" w:cs="H-SS9-PK74820000032-Identity-H"/>
          <w:kern w:val="0"/>
          <w:szCs w:val="21"/>
        </w:rPr>
        <w:t>。</w:t>
      </w:r>
    </w:p>
    <w:p w14:paraId="23D228E0">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H-SS9-PK74820000032-Identity-H"/>
          <w:kern w:val="0"/>
          <w:szCs w:val="21"/>
        </w:rPr>
        <w:t>2.3.4  双方对外运弃土的堆放按下面的方式处理。</w:t>
      </w:r>
    </w:p>
    <w:p w14:paraId="54795DA7">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H-SS9-PK74820000032-Identity-H"/>
          <w:kern w:val="0"/>
          <w:szCs w:val="21"/>
        </w:rPr>
        <w:t>外运弃土堆场由乙方自行解决，工程量清单中土方挖运单价已包含弃土堆场租金、平整费用、污染治理费用、施工现场与堆土场间道路通行费用等；工程量清单中土方运距为参考距离，单价不因实际运距的调整而变更。</w:t>
      </w:r>
    </w:p>
    <w:p w14:paraId="4B05D454">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3　监理人</w:t>
      </w:r>
    </w:p>
    <w:p w14:paraId="2792631A">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3.1　监理人的职责和权力</w:t>
      </w:r>
    </w:p>
    <w:p w14:paraId="3971C80C">
      <w:pPr>
        <w:autoSpaceDE w:val="0"/>
        <w:autoSpaceDN w:val="0"/>
        <w:adjustRightInd w:val="0"/>
        <w:spacing w:line="360" w:lineRule="auto"/>
        <w:ind w:left="420"/>
        <w:jc w:val="left"/>
        <w:rPr>
          <w:rFonts w:hint="eastAsia" w:ascii="宋体" w:hAnsi="宋体" w:cs="H-SS9-PK74820000032-Identity-H"/>
          <w:kern w:val="0"/>
          <w:szCs w:val="21"/>
        </w:rPr>
      </w:pPr>
      <w:r>
        <w:rPr>
          <w:rFonts w:hint="eastAsia" w:ascii="宋体" w:hAnsi="宋体" w:cs="O9-PK7484ba-Identity-H"/>
          <w:kern w:val="0"/>
          <w:szCs w:val="21"/>
        </w:rPr>
        <w:t>3.1.1　</w:t>
      </w:r>
      <w:r>
        <w:rPr>
          <w:rFonts w:hint="eastAsia" w:ascii="宋体" w:hAnsi="宋体" w:cs="SSJ-PK7482000002d-Identity-H"/>
          <w:kern w:val="0"/>
          <w:szCs w:val="21"/>
        </w:rPr>
        <w:t>监理人须根据发包人事先批准的权力范围行使权力</w:t>
      </w:r>
      <w:r>
        <w:rPr>
          <w:rFonts w:hint="eastAsia" w:ascii="宋体" w:hAnsi="宋体" w:cs="H-SS9-PK74820000032-Identity-H"/>
          <w:kern w:val="0"/>
          <w:szCs w:val="21"/>
        </w:rPr>
        <w:t>，</w:t>
      </w:r>
      <w:r>
        <w:rPr>
          <w:rFonts w:hint="eastAsia" w:ascii="宋体" w:hAnsi="宋体" w:cs="SSJ-PK7482000002d-Identity-H"/>
          <w:kern w:val="0"/>
          <w:szCs w:val="21"/>
        </w:rPr>
        <w:t>发包人批准的权力范围</w:t>
      </w:r>
      <w:r>
        <w:rPr>
          <w:rFonts w:hint="eastAsia" w:ascii="宋体" w:hAnsi="宋体" w:cs="H-SS9-PK74820000032-Identity-H"/>
          <w:kern w:val="0"/>
          <w:szCs w:val="21"/>
        </w:rPr>
        <w:t>：</w:t>
      </w:r>
      <w:r>
        <w:rPr>
          <w:rFonts w:hint="eastAsia" w:ascii="宋体" w:hAnsi="宋体" w:cs="H-SS9-PK74820000032-Identity-H"/>
          <w:kern w:val="0"/>
          <w:szCs w:val="21"/>
          <w:u w:val="single"/>
        </w:rPr>
        <w:t>详见监理委托合同书</w:t>
      </w:r>
      <w:r>
        <w:rPr>
          <w:rFonts w:hint="eastAsia" w:ascii="宋体" w:hAnsi="宋体" w:cs="H-SS9-PK74820000032-Identity-H"/>
          <w:kern w:val="0"/>
          <w:szCs w:val="21"/>
        </w:rPr>
        <w:t>。</w:t>
      </w:r>
    </w:p>
    <w:p w14:paraId="1AFB68B0">
      <w:pPr>
        <w:autoSpaceDE w:val="0"/>
        <w:autoSpaceDN w:val="0"/>
        <w:adjustRightInd w:val="0"/>
        <w:spacing w:line="360" w:lineRule="auto"/>
        <w:jc w:val="left"/>
        <w:rPr>
          <w:rFonts w:hint="eastAsia" w:ascii="宋体" w:hAnsi="宋体" w:cs="XBSJ-PK7482000003a-Identity-H"/>
          <w:kern w:val="0"/>
          <w:sz w:val="22"/>
          <w:szCs w:val="22"/>
        </w:rPr>
      </w:pPr>
      <w:r>
        <w:rPr>
          <w:rFonts w:hint="eastAsia" w:ascii="宋体" w:hAnsi="宋体" w:cs="XBSJ-PK7482000003a-Identity-H"/>
          <w:b/>
          <w:kern w:val="0"/>
          <w:sz w:val="28"/>
          <w:szCs w:val="28"/>
        </w:rPr>
        <w:t>４　承包人</w:t>
      </w:r>
    </w:p>
    <w:p w14:paraId="0BF99A1B">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4.1　承包人的一般义务</w:t>
      </w:r>
    </w:p>
    <w:p w14:paraId="1CC9E904">
      <w:pPr>
        <w:autoSpaceDE w:val="0"/>
        <w:autoSpaceDN w:val="0"/>
        <w:adjustRightInd w:val="0"/>
        <w:spacing w:line="360" w:lineRule="auto"/>
        <w:ind w:firstLine="420" w:firstLineChars="200"/>
        <w:jc w:val="left"/>
        <w:rPr>
          <w:rFonts w:hint="eastAsia" w:ascii="宋体" w:hAnsi="宋体" w:cs="E-HZ9-PK748409-Identity-H"/>
          <w:kern w:val="0"/>
          <w:szCs w:val="21"/>
        </w:rPr>
      </w:pPr>
      <w:r>
        <w:rPr>
          <w:rFonts w:hint="eastAsia" w:ascii="宋体" w:hAnsi="宋体" w:cs="E-HZ9-PK748409-Identity-H"/>
          <w:kern w:val="0"/>
          <w:szCs w:val="21"/>
        </w:rPr>
        <w:t>4.1.9  工程的维护和照管</w:t>
      </w:r>
    </w:p>
    <w:p w14:paraId="1DC03B4C">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H-SS9-PK74820000032-Identity-H"/>
          <w:kern w:val="0"/>
          <w:szCs w:val="21"/>
        </w:rPr>
        <w:t>工程</w:t>
      </w:r>
      <w:r>
        <w:rPr>
          <w:rFonts w:hint="eastAsia" w:ascii="宋体" w:hAnsi="宋体" w:cs="H-SS9-PK74820000032-Identity-H"/>
          <w:kern w:val="0"/>
          <w:szCs w:val="21"/>
          <w:u w:val="single"/>
        </w:rPr>
        <w:t>竣工</w:t>
      </w:r>
      <w:r>
        <w:rPr>
          <w:rFonts w:hint="eastAsia" w:ascii="宋体" w:hAnsi="宋体" w:cs="H-SS9-PK74820000032-Identity-H"/>
          <w:kern w:val="0"/>
          <w:szCs w:val="21"/>
        </w:rPr>
        <w:t>验收前或移交运行管理手续办理前，承包人应负责照管和维护工作。移交运行管理时尚未完工的部分，承包人还应继续负责该部分工程的照管和维护工作。</w:t>
      </w:r>
    </w:p>
    <w:p w14:paraId="23B227E4">
      <w:pPr>
        <w:spacing w:line="360" w:lineRule="auto"/>
        <w:rPr>
          <w:rFonts w:hint="eastAsia" w:ascii="宋体" w:hAnsi="宋体" w:cs="HTJ-PK74820000034-Identity-H"/>
          <w:kern w:val="0"/>
          <w:szCs w:val="21"/>
        </w:rPr>
      </w:pPr>
      <w:r>
        <w:rPr>
          <w:rFonts w:hint="eastAsia" w:ascii="宋体" w:hAnsi="宋体" w:cs="HTJ-PK74820000034-Identity-H"/>
          <w:kern w:val="0"/>
          <w:szCs w:val="21"/>
        </w:rPr>
        <w:t>4.2  履约担保</w:t>
      </w:r>
    </w:p>
    <w:p w14:paraId="10280133">
      <w:pPr>
        <w:spacing w:line="440" w:lineRule="exact"/>
        <w:ind w:firstLine="420" w:firstLineChars="200"/>
        <w:rPr>
          <w:rFonts w:ascii="宋体" w:hAnsi="宋体"/>
          <w:szCs w:val="21"/>
        </w:rPr>
      </w:pPr>
      <w:r>
        <w:rPr>
          <w:rFonts w:hint="eastAsia" w:ascii="宋体" w:hAnsi="宋体" w:cs="HTJ-PK74820000034-Identity-H"/>
          <w:kern w:val="0"/>
          <w:szCs w:val="21"/>
        </w:rPr>
        <w:t>4.2.1</w:t>
      </w:r>
      <w:r>
        <w:rPr>
          <w:rFonts w:hint="eastAsia" w:ascii="宋体" w:hAnsi="宋体"/>
          <w:szCs w:val="21"/>
        </w:rPr>
        <w:t>承包人在合同签定前应提交工程履约保证金</w:t>
      </w:r>
      <w:r>
        <w:rPr>
          <w:rFonts w:hint="eastAsia" w:ascii="宋体" w:hAnsi="宋体"/>
          <w:szCs w:val="21"/>
          <w:lang w:eastAsia="zh-CN"/>
        </w:rPr>
        <w:t>（</w:t>
      </w:r>
      <w:r>
        <w:rPr>
          <w:rFonts w:hint="eastAsia" w:ascii="宋体" w:hAnsi="宋体"/>
          <w:szCs w:val="21"/>
        </w:rPr>
        <w:t>以银行转账或</w:t>
      </w:r>
      <w:r>
        <w:rPr>
          <w:rFonts w:hint="eastAsia" w:ascii="宋体" w:hAnsi="宋体" w:cs="宋体"/>
          <w:kern w:val="0"/>
          <w:szCs w:val="21"/>
          <w:lang w:eastAsia="zh-CN"/>
        </w:rPr>
        <w:t>银行保函或保证保险或担保保函形式，</w:t>
      </w:r>
      <w:r>
        <w:rPr>
          <w:rFonts w:hint="eastAsia"/>
          <w:lang w:eastAsia="zh-CN"/>
        </w:rPr>
        <w:t>优先选择使用电子保函</w:t>
      </w:r>
      <w:r>
        <w:rPr>
          <w:rFonts w:hint="eastAsia" w:ascii="宋体" w:hAnsi="宋体"/>
          <w:szCs w:val="21"/>
          <w:lang w:eastAsia="zh-CN"/>
        </w:rPr>
        <w:t>）</w:t>
      </w:r>
      <w:r>
        <w:rPr>
          <w:rFonts w:hint="eastAsia" w:ascii="宋体" w:hAnsi="宋体"/>
          <w:szCs w:val="21"/>
        </w:rPr>
        <w:t>，中标人履约保证金为中标价的5%。</w:t>
      </w:r>
    </w:p>
    <w:p w14:paraId="675C6465">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HTJ-PK74820000034-Identity-H"/>
          <w:kern w:val="0"/>
          <w:szCs w:val="21"/>
        </w:rPr>
        <w:t>4.2.2</w:t>
      </w:r>
      <w:r>
        <w:rPr>
          <w:rFonts w:hint="eastAsia" w:ascii="宋体" w:hAnsi="宋体" w:cs="H-SS9-PK74820000032-Identity-H"/>
          <w:kern w:val="0"/>
          <w:szCs w:val="21"/>
        </w:rPr>
        <w:t>承包人应保证其履约担保在工程结算经财政部门审核完毕前一直有效。发包人应在工程结算经财政部门审核完毕后</w:t>
      </w:r>
      <w:r>
        <w:rPr>
          <w:rFonts w:hint="eastAsia" w:ascii="宋体" w:hAnsi="宋体" w:cs="H-SS9-PK74820000032-Identity-H"/>
          <w:kern w:val="0"/>
          <w:szCs w:val="21"/>
          <w:u w:val="single"/>
        </w:rPr>
        <w:t xml:space="preserve"> 28 </w:t>
      </w:r>
      <w:r>
        <w:rPr>
          <w:rFonts w:hint="eastAsia" w:ascii="宋体" w:hAnsi="宋体" w:cs="H-SS9-PK74820000032-Identity-H"/>
          <w:kern w:val="0"/>
          <w:szCs w:val="21"/>
        </w:rPr>
        <w:t>天内，把履约担保</w:t>
      </w:r>
      <w:r>
        <w:rPr>
          <w:rFonts w:hint="eastAsia" w:ascii="宋体" w:hAnsi="宋体" w:cs="H-SS9-PK74820000032-Identity-H"/>
          <w:kern w:val="0"/>
          <w:szCs w:val="21"/>
          <w:lang w:eastAsia="zh-CN"/>
        </w:rPr>
        <w:t>（无息）</w:t>
      </w:r>
      <w:r>
        <w:rPr>
          <w:rFonts w:hint="eastAsia" w:ascii="宋体" w:hAnsi="宋体" w:cs="H-SS9-PK74820000032-Identity-H"/>
          <w:kern w:val="0"/>
          <w:szCs w:val="21"/>
        </w:rPr>
        <w:t>退还给承包人。</w:t>
      </w:r>
    </w:p>
    <w:p w14:paraId="0AAEDB68">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4.5  承包人项目负责人</w:t>
      </w:r>
    </w:p>
    <w:p w14:paraId="2562A438">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H-SS9-PK74820000032-Identity-H"/>
          <w:kern w:val="0"/>
          <w:szCs w:val="21"/>
        </w:rPr>
        <w:t>4.5.1在开工前，承包人应按照投标文件承诺的项目负责人（注册建造师）和技术负责人进行任命。拟投入本工程的注册建造师和专职安全员（或安全主任）必须具备水利行业或水利行政主管部门颁发的安全生产考核合格证书。项目技术负责人应具有水利水电类专业工程师或以上职称。无特殊原因不得更换项目负责人（注册建造师）和项目技术负责人，如发生下列行为之一的，经招标人同意后更换。</w:t>
      </w:r>
    </w:p>
    <w:p w14:paraId="34A25E70">
      <w:pPr>
        <w:autoSpaceDE w:val="0"/>
        <w:autoSpaceDN w:val="0"/>
        <w:adjustRightInd w:val="0"/>
        <w:spacing w:line="360" w:lineRule="auto"/>
        <w:ind w:firstLine="420" w:firstLineChars="200"/>
        <w:rPr>
          <w:rFonts w:hint="eastAsia" w:ascii="宋体" w:hAnsi="宋体" w:cs="H-SS9-PK74820000032-Identity-H"/>
          <w:kern w:val="0"/>
          <w:sz w:val="21"/>
          <w:szCs w:val="21"/>
        </w:rPr>
      </w:pPr>
      <w:r>
        <w:rPr>
          <w:rFonts w:hint="eastAsia" w:ascii="宋体" w:hAnsi="宋体" w:cs="H-SS9-PK74820000032-Identity-H"/>
          <w:kern w:val="0"/>
          <w:sz w:val="21"/>
          <w:szCs w:val="21"/>
        </w:rPr>
        <w:t>①因重病或重伤(持有县、区以上医院证明)两个月以上不能履行职责的；</w:t>
      </w:r>
    </w:p>
    <w:p w14:paraId="2E6CCE05">
      <w:pPr>
        <w:autoSpaceDE w:val="0"/>
        <w:autoSpaceDN w:val="0"/>
        <w:adjustRightInd w:val="0"/>
        <w:spacing w:line="360" w:lineRule="auto"/>
        <w:ind w:firstLine="420" w:firstLineChars="200"/>
        <w:rPr>
          <w:rFonts w:hint="eastAsia" w:ascii="宋体" w:hAnsi="宋体" w:cs="H-SS9-PK74820000032-Identity-H"/>
          <w:kern w:val="0"/>
          <w:sz w:val="21"/>
          <w:szCs w:val="21"/>
        </w:rPr>
      </w:pPr>
      <w:r>
        <w:rPr>
          <w:rFonts w:hint="eastAsia" w:ascii="宋体" w:hAnsi="宋体" w:cs="H-SS9-PK74820000032-Identity-H"/>
          <w:kern w:val="0"/>
          <w:sz w:val="21"/>
          <w:szCs w:val="21"/>
        </w:rPr>
        <w:t>②因违法被责令停止执业的；</w:t>
      </w:r>
    </w:p>
    <w:p w14:paraId="24279040">
      <w:pPr>
        <w:autoSpaceDE w:val="0"/>
        <w:autoSpaceDN w:val="0"/>
        <w:adjustRightInd w:val="0"/>
        <w:spacing w:line="360" w:lineRule="auto"/>
        <w:ind w:firstLine="420" w:firstLineChars="200"/>
        <w:rPr>
          <w:rFonts w:hint="eastAsia" w:ascii="宋体" w:hAnsi="宋体" w:cs="H-SS9-PK74820000032-Identity-H"/>
          <w:kern w:val="0"/>
          <w:sz w:val="21"/>
          <w:szCs w:val="21"/>
        </w:rPr>
      </w:pPr>
      <w:r>
        <w:rPr>
          <w:rFonts w:hint="eastAsia" w:ascii="宋体" w:hAnsi="宋体" w:cs="H-SS9-PK74820000032-Identity-H"/>
          <w:kern w:val="0"/>
          <w:sz w:val="21"/>
          <w:szCs w:val="21"/>
        </w:rPr>
        <w:t>③因犯罪被羁押或判刑的；</w:t>
      </w:r>
    </w:p>
    <w:p w14:paraId="1637503C">
      <w:pPr>
        <w:autoSpaceDE w:val="0"/>
        <w:autoSpaceDN w:val="0"/>
        <w:adjustRightInd w:val="0"/>
        <w:spacing w:line="360" w:lineRule="auto"/>
        <w:ind w:firstLine="420" w:firstLineChars="200"/>
        <w:rPr>
          <w:rFonts w:hint="eastAsia" w:ascii="宋体" w:hAnsi="宋体" w:cs="H-SS9-PK74820000032-Identity-H"/>
          <w:kern w:val="0"/>
          <w:sz w:val="21"/>
          <w:szCs w:val="21"/>
        </w:rPr>
      </w:pPr>
      <w:r>
        <w:rPr>
          <w:rFonts w:hint="eastAsia" w:ascii="宋体" w:hAnsi="宋体" w:cs="H-SS9-PK74820000032-Identity-H"/>
          <w:kern w:val="0"/>
          <w:sz w:val="21"/>
          <w:szCs w:val="21"/>
        </w:rPr>
        <w:t>④死亡；</w:t>
      </w:r>
    </w:p>
    <w:p w14:paraId="7313C0CF">
      <w:pPr>
        <w:autoSpaceDE w:val="0"/>
        <w:autoSpaceDN w:val="0"/>
        <w:adjustRightInd w:val="0"/>
        <w:spacing w:line="360" w:lineRule="auto"/>
        <w:ind w:firstLine="420" w:firstLineChars="200"/>
        <w:rPr>
          <w:rFonts w:hint="eastAsia" w:ascii="宋体" w:hAnsi="宋体" w:cs="H-SS9-PK74820000032-Identity-H"/>
          <w:kern w:val="0"/>
          <w:sz w:val="21"/>
          <w:szCs w:val="21"/>
        </w:rPr>
      </w:pPr>
      <w:r>
        <w:rPr>
          <w:rFonts w:hint="eastAsia" w:ascii="宋体" w:hAnsi="宋体" w:cs="H-SS9-PK74820000032-Identity-H"/>
          <w:kern w:val="0"/>
          <w:sz w:val="21"/>
          <w:szCs w:val="21"/>
        </w:rPr>
        <w:t>⑤主动辞职或调离原工作单位的；</w:t>
      </w:r>
    </w:p>
    <w:p w14:paraId="73F0CFC2">
      <w:pPr>
        <w:autoSpaceDE w:val="0"/>
        <w:autoSpaceDN w:val="0"/>
        <w:adjustRightInd w:val="0"/>
        <w:spacing w:line="360" w:lineRule="auto"/>
        <w:ind w:firstLine="420" w:firstLineChars="200"/>
        <w:rPr>
          <w:rFonts w:hint="eastAsia" w:ascii="宋体" w:hAnsi="宋体" w:cs="H-SS9-PK74820000032-Identity-H"/>
          <w:kern w:val="0"/>
          <w:sz w:val="21"/>
          <w:szCs w:val="21"/>
        </w:rPr>
      </w:pPr>
      <w:r>
        <w:rPr>
          <w:rFonts w:hint="eastAsia" w:ascii="宋体" w:hAnsi="宋体" w:cs="H-SS9-PK74820000032-Identity-H"/>
          <w:kern w:val="0"/>
          <w:sz w:val="21"/>
          <w:szCs w:val="21"/>
        </w:rPr>
        <w:t>⑥因管理原因发生重大工程质量、安全事故，</w:t>
      </w:r>
      <w:r>
        <w:rPr>
          <w:rFonts w:hint="eastAsia" w:ascii="宋体" w:hAnsi="宋体" w:cs="H-SS9-PK74820000032-Identity-H"/>
          <w:kern w:val="0"/>
          <w:sz w:val="21"/>
          <w:szCs w:val="21"/>
          <w:lang w:eastAsia="zh-CN"/>
        </w:rPr>
        <w:t>承包人</w:t>
      </w:r>
      <w:r>
        <w:rPr>
          <w:rFonts w:hint="eastAsia" w:ascii="宋体" w:hAnsi="宋体" w:cs="H-SS9-PK74820000032-Identity-H"/>
          <w:kern w:val="0"/>
          <w:sz w:val="21"/>
          <w:szCs w:val="21"/>
        </w:rPr>
        <w:t>认为该项目负责人不称职或监理单位认为该项目总监不称职需要更换的；</w:t>
      </w:r>
    </w:p>
    <w:p w14:paraId="6A3839BA">
      <w:pPr>
        <w:pStyle w:val="19"/>
        <w:ind w:firstLine="420" w:firstLineChars="200"/>
        <w:rPr>
          <w:sz w:val="21"/>
          <w:szCs w:val="21"/>
        </w:rPr>
      </w:pPr>
      <w:r>
        <w:rPr>
          <w:rFonts w:hint="eastAsia"/>
          <w:sz w:val="21"/>
          <w:szCs w:val="21"/>
        </w:rPr>
        <w:t>⑦</w:t>
      </w:r>
      <w:r>
        <w:rPr>
          <w:sz w:val="21"/>
          <w:szCs w:val="21"/>
        </w:rPr>
        <w:t>无能力履行合同的责任和义务，造成严重后果，</w:t>
      </w:r>
      <w:r>
        <w:rPr>
          <w:rFonts w:hint="eastAsia"/>
          <w:sz w:val="21"/>
          <w:szCs w:val="21"/>
          <w:lang w:eastAsia="zh-CN"/>
        </w:rPr>
        <w:t>发包人</w:t>
      </w:r>
      <w:r>
        <w:rPr>
          <w:sz w:val="21"/>
          <w:szCs w:val="21"/>
        </w:rPr>
        <w:t>要求更换的。</w:t>
      </w:r>
    </w:p>
    <w:p w14:paraId="0B859302">
      <w:pPr>
        <w:spacing w:line="440" w:lineRule="exact"/>
        <w:ind w:firstLine="539" w:firstLineChars="257"/>
        <w:rPr>
          <w:rFonts w:hint="eastAsia" w:ascii="宋体" w:hAnsi="宋体"/>
          <w:szCs w:val="21"/>
          <w:highlight w:val="none"/>
        </w:rPr>
      </w:pPr>
      <w:r>
        <w:rPr>
          <w:rFonts w:hint="eastAsia" w:ascii="宋体" w:hAnsi="宋体"/>
          <w:szCs w:val="21"/>
        </w:rPr>
        <w:t>若未经招标人同意自行更换项目负责人（注册建造师）、技术负责人的，或因上述第</w:t>
      </w:r>
      <w:r>
        <w:rPr>
          <w:rFonts w:hint="eastAsia"/>
          <w:szCs w:val="21"/>
        </w:rPr>
        <w:t>⑤</w:t>
      </w:r>
      <w:r>
        <w:rPr>
          <w:rFonts w:hint="eastAsia" w:ascii="宋体" w:hAnsi="宋体"/>
          <w:szCs w:val="21"/>
        </w:rPr>
        <w:t>、</w:t>
      </w:r>
      <w:r>
        <w:rPr>
          <w:rFonts w:hint="eastAsia"/>
          <w:szCs w:val="21"/>
        </w:rPr>
        <w:t>⑥</w:t>
      </w:r>
      <w:r>
        <w:rPr>
          <w:rFonts w:hint="eastAsia" w:ascii="宋体" w:hAnsi="宋体"/>
          <w:szCs w:val="21"/>
        </w:rPr>
        <w:t>、</w:t>
      </w:r>
      <w:r>
        <w:rPr>
          <w:rFonts w:hint="eastAsia"/>
          <w:szCs w:val="21"/>
        </w:rPr>
        <w:t>⑦</w:t>
      </w:r>
      <w:r>
        <w:rPr>
          <w:rFonts w:hint="eastAsia" w:ascii="宋体" w:hAnsi="宋体"/>
          <w:szCs w:val="21"/>
        </w:rPr>
        <w:t>项原因经招标人同意后更换项目负责人（注册建造师）、技术负责人的，</w:t>
      </w:r>
      <w:r>
        <w:rPr>
          <w:rFonts w:hint="eastAsia" w:ascii="宋体" w:hAnsi="宋体"/>
          <w:szCs w:val="21"/>
          <w:highlight w:val="none"/>
        </w:rPr>
        <w:t>施工单位须</w:t>
      </w:r>
      <w:r>
        <w:rPr>
          <w:rFonts w:hint="eastAsia" w:ascii="宋体" w:hAnsi="宋体"/>
          <w:szCs w:val="21"/>
          <w:highlight w:val="none"/>
          <w:lang w:eastAsia="zh-CN"/>
        </w:rPr>
        <w:t>每次支付违约金为合同价的1%且最高不超过50万元</w:t>
      </w:r>
      <w:r>
        <w:rPr>
          <w:rFonts w:hint="eastAsia" w:ascii="宋体" w:hAnsi="宋体"/>
          <w:szCs w:val="21"/>
          <w:highlight w:val="none"/>
        </w:rPr>
        <w:t>。</w:t>
      </w:r>
    </w:p>
    <w:p w14:paraId="59D5ED40">
      <w:pPr>
        <w:spacing w:line="440" w:lineRule="exact"/>
        <w:ind w:firstLine="539" w:firstLineChars="257"/>
        <w:rPr>
          <w:rFonts w:hint="eastAsia" w:ascii="宋体" w:hAnsi="宋体"/>
          <w:szCs w:val="21"/>
        </w:rPr>
      </w:pPr>
      <w:r>
        <w:rPr>
          <w:rFonts w:hint="eastAsia" w:ascii="宋体" w:hAnsi="宋体"/>
          <w:szCs w:val="21"/>
        </w:rPr>
        <w:t>拟更换的项目负责人、技术负责人其获奖情况、业绩履历、技术职称等主要条件不能低于投标文件确定的项目负责人。</w:t>
      </w:r>
    </w:p>
    <w:p w14:paraId="097B86BF">
      <w:pPr>
        <w:spacing w:line="440" w:lineRule="exact"/>
        <w:ind w:firstLine="573"/>
        <w:rPr>
          <w:rFonts w:hint="eastAsia" w:ascii="宋体" w:hAnsi="宋体" w:cs="宋体"/>
          <w:szCs w:val="21"/>
        </w:rPr>
      </w:pPr>
      <w:r>
        <w:rPr>
          <w:rFonts w:hint="eastAsia" w:ascii="宋体" w:hAnsi="宋体" w:cs="HTJ-PK74820000034-Identity-H"/>
          <w:kern w:val="0"/>
          <w:szCs w:val="21"/>
        </w:rPr>
        <w:t>4.5.2</w:t>
      </w:r>
      <w:r>
        <w:rPr>
          <w:rFonts w:hint="eastAsia" w:ascii="宋体" w:hAnsi="宋体"/>
          <w:b/>
          <w:szCs w:val="21"/>
        </w:rPr>
        <w:t>在工程主体施工期间，</w:t>
      </w:r>
      <w:r>
        <w:rPr>
          <w:rFonts w:hint="eastAsia" w:ascii="宋体" w:hAnsi="宋体"/>
          <w:b/>
          <w:szCs w:val="21"/>
          <w:lang w:eastAsia="zh-CN"/>
        </w:rPr>
        <w:t>承包人</w:t>
      </w:r>
      <w:r>
        <w:rPr>
          <w:rFonts w:hint="eastAsia" w:ascii="宋体" w:hAnsi="宋体"/>
          <w:b/>
          <w:szCs w:val="21"/>
        </w:rPr>
        <w:t>项目主要负责人（项目负责人、技术负责人）驻现场必须超过50%的施工工作日（到位情况以</w:t>
      </w:r>
      <w:r>
        <w:rPr>
          <w:rFonts w:hint="eastAsia" w:ascii="宋体" w:hAnsi="宋体"/>
          <w:b/>
          <w:szCs w:val="21"/>
          <w:lang w:eastAsia="zh-CN"/>
        </w:rPr>
        <w:t>发包人</w:t>
      </w:r>
      <w:r>
        <w:rPr>
          <w:rFonts w:hint="eastAsia" w:ascii="宋体" w:hAnsi="宋体"/>
          <w:b/>
          <w:szCs w:val="21"/>
        </w:rPr>
        <w:t>旁站人员考勤签到检查为准），若</w:t>
      </w:r>
      <w:r>
        <w:rPr>
          <w:rFonts w:hint="eastAsia" w:ascii="宋体" w:hAnsi="宋体"/>
          <w:b/>
          <w:szCs w:val="21"/>
          <w:lang w:eastAsia="zh-CN"/>
        </w:rPr>
        <w:t>承包人</w:t>
      </w:r>
      <w:r>
        <w:rPr>
          <w:rFonts w:hint="eastAsia" w:ascii="宋体" w:hAnsi="宋体"/>
          <w:b/>
          <w:szCs w:val="21"/>
        </w:rPr>
        <w:t>项目负责人不按要求到位的，支付发包人中标价5%的违约金。</w:t>
      </w:r>
      <w:r>
        <w:rPr>
          <w:rFonts w:hint="eastAsia" w:ascii="宋体" w:hAnsi="宋体" w:cs="宋体"/>
          <w:szCs w:val="21"/>
        </w:rPr>
        <w:t>此外，①</w:t>
      </w:r>
      <w:r>
        <w:rPr>
          <w:rFonts w:hint="eastAsia" w:ascii="宋体" w:hAnsi="宋体" w:cs="宋体"/>
          <w:szCs w:val="21"/>
          <w:lang w:eastAsia="zh-CN"/>
        </w:rPr>
        <w:t>承包人</w:t>
      </w:r>
      <w:r>
        <w:rPr>
          <w:rFonts w:hint="eastAsia" w:ascii="宋体" w:hAnsi="宋体" w:cs="宋体"/>
          <w:szCs w:val="21"/>
        </w:rPr>
        <w:t>项目主要负责人（项目负责人、技术负责人）必须至少有一人参加每次工程协调会（包含但不限于图纸会审、技术交底、工程变更、工程例会等会议），否则，每缺席（含请假）一次支付违约金1000元（直接记入会议纪要，以作结算依据）。②发包人、行政监督部门有权对</w:t>
      </w:r>
      <w:r>
        <w:rPr>
          <w:rFonts w:hint="eastAsia" w:ascii="宋体" w:hAnsi="宋体" w:cs="宋体"/>
          <w:szCs w:val="21"/>
          <w:lang w:eastAsia="zh-CN"/>
        </w:rPr>
        <w:t>承包人</w:t>
      </w:r>
      <w:r>
        <w:rPr>
          <w:rFonts w:hint="eastAsia" w:ascii="宋体" w:hAnsi="宋体" w:cs="宋体"/>
          <w:szCs w:val="21"/>
        </w:rPr>
        <w:t>项目主要负责人员在岗履职情况进行检查或考核，检查或考核时如发现</w:t>
      </w:r>
      <w:r>
        <w:rPr>
          <w:rFonts w:hint="eastAsia" w:ascii="宋体" w:hAnsi="宋体" w:cs="宋体"/>
          <w:szCs w:val="21"/>
          <w:lang w:eastAsia="zh-CN"/>
        </w:rPr>
        <w:t>承包人</w:t>
      </w:r>
      <w:r>
        <w:rPr>
          <w:rFonts w:hint="eastAsia" w:ascii="宋体" w:hAnsi="宋体" w:cs="宋体"/>
          <w:szCs w:val="21"/>
        </w:rPr>
        <w:t>项目主要负责人</w:t>
      </w:r>
      <w:r>
        <w:rPr>
          <w:rFonts w:hint="eastAsia" w:ascii="宋体" w:hAnsi="宋体"/>
          <w:szCs w:val="21"/>
        </w:rPr>
        <w:t>（项目负责人、技术负责人）不在岗且没有请假手续的，每发现一人次支付发包人1000元违约金。</w:t>
      </w:r>
    </w:p>
    <w:p w14:paraId="732751B2">
      <w:pPr>
        <w:spacing w:line="440" w:lineRule="exact"/>
        <w:ind w:firstLine="573"/>
        <w:rPr>
          <w:rFonts w:hint="eastAsia" w:ascii="宋体" w:hAnsi="宋体"/>
          <w:b/>
          <w:szCs w:val="21"/>
        </w:rPr>
      </w:pPr>
      <w:r>
        <w:rPr>
          <w:rFonts w:hint="eastAsia" w:ascii="宋体" w:hAnsi="宋体"/>
          <w:szCs w:val="21"/>
        </w:rPr>
        <w:t>承包人主要负责人离开工地管理现场应征得总监理工程师同意。对于不符合要求或不称职的承包人主要负责人，发包人或监理人有权要求承包人限期更换。</w:t>
      </w:r>
    </w:p>
    <w:p w14:paraId="4AE608E8">
      <w:pPr>
        <w:spacing w:line="440" w:lineRule="exact"/>
        <w:ind w:firstLine="570"/>
        <w:rPr>
          <w:rFonts w:hint="eastAsia" w:ascii="宋体" w:hAnsi="宋体"/>
          <w:b/>
          <w:szCs w:val="21"/>
        </w:rPr>
      </w:pPr>
      <w:r>
        <w:rPr>
          <w:rFonts w:hint="eastAsia" w:ascii="宋体" w:hAnsi="宋体" w:cs="HTJ-PK74820000034-Identity-H"/>
          <w:kern w:val="0"/>
          <w:szCs w:val="21"/>
        </w:rPr>
        <w:t>4.5.3</w:t>
      </w:r>
      <w:r>
        <w:rPr>
          <w:rFonts w:hint="eastAsia" w:ascii="宋体" w:hAnsi="宋体"/>
          <w:b/>
          <w:szCs w:val="21"/>
        </w:rPr>
        <w:t>若在施工中出现质量问题且</w:t>
      </w:r>
      <w:r>
        <w:rPr>
          <w:rFonts w:hint="eastAsia" w:ascii="宋体" w:hAnsi="宋体"/>
          <w:b/>
          <w:szCs w:val="21"/>
          <w:lang w:eastAsia="zh-CN"/>
        </w:rPr>
        <w:t>承包人</w:t>
      </w:r>
      <w:r>
        <w:rPr>
          <w:rFonts w:hint="eastAsia" w:ascii="宋体" w:hAnsi="宋体"/>
          <w:b/>
          <w:szCs w:val="21"/>
        </w:rPr>
        <w:t>项目负责人不按要求到位，经</w:t>
      </w:r>
      <w:r>
        <w:rPr>
          <w:rFonts w:hint="eastAsia" w:ascii="宋体" w:hAnsi="宋体"/>
          <w:b/>
          <w:szCs w:val="21"/>
          <w:lang w:eastAsia="zh-CN"/>
        </w:rPr>
        <w:t>发包人</w:t>
      </w:r>
      <w:r>
        <w:rPr>
          <w:rFonts w:hint="eastAsia" w:ascii="宋体" w:hAnsi="宋体"/>
          <w:b/>
          <w:szCs w:val="21"/>
        </w:rPr>
        <w:t>三次提出整改要求而施工方没有及时改进或没有实质性响应的，</w:t>
      </w:r>
      <w:r>
        <w:rPr>
          <w:rFonts w:hint="eastAsia" w:ascii="宋体" w:hAnsi="宋体"/>
          <w:b/>
          <w:szCs w:val="21"/>
          <w:lang w:eastAsia="zh-CN"/>
        </w:rPr>
        <w:t>发包人</w:t>
      </w:r>
      <w:r>
        <w:rPr>
          <w:rFonts w:hint="eastAsia" w:ascii="宋体" w:hAnsi="宋体"/>
          <w:b/>
          <w:szCs w:val="21"/>
        </w:rPr>
        <w:t>有权单方解除施工合同，由此造成的所有损失由施工方自行承担，由</w:t>
      </w:r>
      <w:r>
        <w:rPr>
          <w:rFonts w:hint="eastAsia" w:ascii="宋体" w:hAnsi="宋体"/>
          <w:b/>
          <w:szCs w:val="21"/>
          <w:lang w:eastAsia="zh-CN"/>
        </w:rPr>
        <w:t>发包人按照法定方式</w:t>
      </w:r>
      <w:r>
        <w:rPr>
          <w:rFonts w:hint="eastAsia" w:ascii="宋体" w:hAnsi="宋体"/>
          <w:b/>
          <w:szCs w:val="21"/>
        </w:rPr>
        <w:t>另行选择具备相应资质的</w:t>
      </w:r>
      <w:r>
        <w:rPr>
          <w:rFonts w:hint="eastAsia" w:ascii="宋体" w:hAnsi="宋体"/>
          <w:b/>
          <w:szCs w:val="21"/>
          <w:lang w:eastAsia="zh-CN"/>
        </w:rPr>
        <w:t>承包人</w:t>
      </w:r>
      <w:r>
        <w:rPr>
          <w:rFonts w:hint="eastAsia" w:ascii="宋体" w:hAnsi="宋体"/>
          <w:b/>
          <w:szCs w:val="21"/>
        </w:rPr>
        <w:t>进行未完成工程的施工。</w:t>
      </w:r>
    </w:p>
    <w:p w14:paraId="1543C3B5">
      <w:pPr>
        <w:autoSpaceDE w:val="0"/>
        <w:autoSpaceDN w:val="0"/>
        <w:adjustRightInd w:val="0"/>
        <w:spacing w:line="360" w:lineRule="auto"/>
        <w:jc w:val="left"/>
        <w:rPr>
          <w:rFonts w:hint="eastAsia" w:ascii="宋体" w:hAnsi="宋体" w:cs="HTJ-PK74820000034-Identity-H"/>
          <w:kern w:val="0"/>
          <w:szCs w:val="21"/>
        </w:rPr>
      </w:pPr>
    </w:p>
    <w:p w14:paraId="4BE463E4">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５　材料和工程设备</w:t>
      </w:r>
    </w:p>
    <w:p w14:paraId="6A6DDA78">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5.2　发包人提供的材料和工程设备</w:t>
      </w:r>
    </w:p>
    <w:p w14:paraId="76D79E05">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E-HZ9-PK748409-Identity-H"/>
          <w:kern w:val="0"/>
          <w:szCs w:val="21"/>
        </w:rPr>
        <w:t>5.2.1</w:t>
      </w:r>
      <w:r>
        <w:rPr>
          <w:rFonts w:hint="eastAsia" w:ascii="宋体" w:hAnsi="宋体" w:cs="O9-PK7484ba-Identity-H"/>
          <w:kern w:val="0"/>
          <w:szCs w:val="21"/>
        </w:rPr>
        <w:t>　</w:t>
      </w:r>
      <w:r>
        <w:rPr>
          <w:rFonts w:hint="eastAsia" w:ascii="宋体" w:hAnsi="宋体" w:cs="SSJ-PK7482000002d-Identity-H"/>
          <w:kern w:val="0"/>
          <w:szCs w:val="21"/>
        </w:rPr>
        <w:t>发包人提供的材料和工程设备见下表</w:t>
      </w:r>
      <w:r>
        <w:rPr>
          <w:rFonts w:hint="eastAsia" w:ascii="宋体" w:hAnsi="宋体" w:cs="H-SS9-PK74820000032-Identity-H"/>
          <w:kern w:val="0"/>
          <w:szCs w:val="21"/>
        </w:rPr>
        <w:t>：</w:t>
      </w:r>
    </w:p>
    <w:p w14:paraId="0D097429">
      <w:pPr>
        <w:autoSpaceDE w:val="0"/>
        <w:autoSpaceDN w:val="0"/>
        <w:adjustRightInd w:val="0"/>
        <w:spacing w:line="360" w:lineRule="auto"/>
        <w:ind w:firstLine="420" w:firstLineChars="200"/>
        <w:jc w:val="center"/>
        <w:rPr>
          <w:rFonts w:hint="eastAsia" w:ascii="宋体" w:hAnsi="宋体" w:cs="H-SS9-PK74820000032-Identity-H"/>
          <w:kern w:val="0"/>
          <w:szCs w:val="21"/>
        </w:rPr>
      </w:pPr>
      <w:r>
        <w:rPr>
          <w:rFonts w:hint="eastAsia" w:ascii="宋体" w:hAnsi="宋体" w:cs="H-SS9-PK74820000032-Identity-H"/>
          <w:kern w:val="0"/>
          <w:szCs w:val="21"/>
        </w:rPr>
        <w:t>发包人提供的材料表（参考格式）</w:t>
      </w:r>
    </w:p>
    <w:tbl>
      <w:tblPr>
        <w:tblStyle w:val="23"/>
        <w:tblW w:w="0" w:type="auto"/>
        <w:tblInd w:w="0" w:type="dxa"/>
        <w:tblLayout w:type="fixed"/>
        <w:tblCellMar>
          <w:top w:w="0" w:type="dxa"/>
          <w:left w:w="108" w:type="dxa"/>
          <w:bottom w:w="0" w:type="dxa"/>
          <w:right w:w="108" w:type="dxa"/>
        </w:tblCellMar>
      </w:tblPr>
      <w:tblGrid>
        <w:gridCol w:w="738"/>
        <w:gridCol w:w="1365"/>
        <w:gridCol w:w="1443"/>
        <w:gridCol w:w="972"/>
        <w:gridCol w:w="1155"/>
        <w:gridCol w:w="1260"/>
        <w:gridCol w:w="1575"/>
        <w:gridCol w:w="950"/>
      </w:tblGrid>
      <w:tr w14:paraId="3D9AC417">
        <w:trPr>
          <w:trHeight w:val="594" w:hRule="atLeast"/>
        </w:trPr>
        <w:tc>
          <w:tcPr>
            <w:tcW w:w="738" w:type="dxa"/>
            <w:tcBorders>
              <w:top w:val="single" w:color="auto" w:sz="4" w:space="0"/>
              <w:left w:val="single" w:color="auto" w:sz="4" w:space="0"/>
              <w:bottom w:val="single" w:color="auto" w:sz="4" w:space="0"/>
              <w:right w:val="single" w:color="auto" w:sz="4" w:space="0"/>
            </w:tcBorders>
            <w:noWrap w:val="0"/>
            <w:vAlign w:val="bottom"/>
          </w:tcPr>
          <w:p w14:paraId="1AD39B8B">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序号</w:t>
            </w:r>
          </w:p>
        </w:tc>
        <w:tc>
          <w:tcPr>
            <w:tcW w:w="1365" w:type="dxa"/>
            <w:tcBorders>
              <w:top w:val="single" w:color="auto" w:sz="4" w:space="0"/>
              <w:left w:val="single" w:color="auto" w:sz="4" w:space="0"/>
              <w:bottom w:val="single" w:color="auto" w:sz="4" w:space="0"/>
              <w:right w:val="single" w:color="auto" w:sz="4" w:space="0"/>
            </w:tcBorders>
            <w:noWrap w:val="0"/>
            <w:vAlign w:val="bottom"/>
          </w:tcPr>
          <w:p w14:paraId="6B67BD0C">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材料名称</w:t>
            </w:r>
          </w:p>
        </w:tc>
        <w:tc>
          <w:tcPr>
            <w:tcW w:w="1443" w:type="dxa"/>
            <w:tcBorders>
              <w:top w:val="single" w:color="auto" w:sz="4" w:space="0"/>
              <w:left w:val="single" w:color="auto" w:sz="4" w:space="0"/>
              <w:bottom w:val="single" w:color="auto" w:sz="4" w:space="0"/>
              <w:right w:val="single" w:color="auto" w:sz="4" w:space="0"/>
            </w:tcBorders>
            <w:noWrap w:val="0"/>
            <w:vAlign w:val="bottom"/>
          </w:tcPr>
          <w:p w14:paraId="79DE89D8">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材料规格</w:t>
            </w:r>
          </w:p>
        </w:tc>
        <w:tc>
          <w:tcPr>
            <w:tcW w:w="972" w:type="dxa"/>
            <w:tcBorders>
              <w:top w:val="single" w:color="auto" w:sz="4" w:space="0"/>
              <w:left w:val="single" w:color="auto" w:sz="4" w:space="0"/>
              <w:bottom w:val="single" w:color="auto" w:sz="4" w:space="0"/>
              <w:right w:val="single" w:color="auto" w:sz="4" w:space="0"/>
            </w:tcBorders>
            <w:noWrap w:val="0"/>
            <w:vAlign w:val="bottom"/>
          </w:tcPr>
          <w:p w14:paraId="642B1F45">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数量</w:t>
            </w:r>
          </w:p>
        </w:tc>
        <w:tc>
          <w:tcPr>
            <w:tcW w:w="1155" w:type="dxa"/>
            <w:tcBorders>
              <w:top w:val="single" w:color="auto" w:sz="4" w:space="0"/>
              <w:left w:val="single" w:color="auto" w:sz="4" w:space="0"/>
              <w:bottom w:val="single" w:color="auto" w:sz="4" w:space="0"/>
              <w:right w:val="single" w:color="auto" w:sz="4" w:space="0"/>
            </w:tcBorders>
            <w:noWrap w:val="0"/>
            <w:vAlign w:val="bottom"/>
          </w:tcPr>
          <w:p w14:paraId="312485E0">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交货地点</w:t>
            </w:r>
          </w:p>
        </w:tc>
        <w:tc>
          <w:tcPr>
            <w:tcW w:w="1260" w:type="dxa"/>
            <w:tcBorders>
              <w:top w:val="single" w:color="auto" w:sz="4" w:space="0"/>
              <w:left w:val="single" w:color="auto" w:sz="4" w:space="0"/>
              <w:bottom w:val="single" w:color="auto" w:sz="4" w:space="0"/>
              <w:right w:val="single" w:color="auto" w:sz="4" w:space="0"/>
            </w:tcBorders>
            <w:noWrap w:val="0"/>
            <w:vAlign w:val="bottom"/>
          </w:tcPr>
          <w:p w14:paraId="22A9901C">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交货方式</w:t>
            </w:r>
          </w:p>
        </w:tc>
        <w:tc>
          <w:tcPr>
            <w:tcW w:w="1575" w:type="dxa"/>
            <w:tcBorders>
              <w:top w:val="single" w:color="auto" w:sz="4" w:space="0"/>
              <w:left w:val="single" w:color="auto" w:sz="4" w:space="0"/>
              <w:bottom w:val="single" w:color="auto" w:sz="4" w:space="0"/>
              <w:right w:val="single" w:color="auto" w:sz="4" w:space="0"/>
            </w:tcBorders>
            <w:noWrap w:val="0"/>
            <w:vAlign w:val="bottom"/>
          </w:tcPr>
          <w:p w14:paraId="01432A05">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计划交货日期</w:t>
            </w:r>
          </w:p>
        </w:tc>
        <w:tc>
          <w:tcPr>
            <w:tcW w:w="950" w:type="dxa"/>
            <w:tcBorders>
              <w:top w:val="single" w:color="auto" w:sz="4" w:space="0"/>
              <w:left w:val="single" w:color="auto" w:sz="4" w:space="0"/>
              <w:bottom w:val="single" w:color="auto" w:sz="4" w:space="0"/>
              <w:right w:val="single" w:color="auto" w:sz="4" w:space="0"/>
            </w:tcBorders>
            <w:noWrap w:val="0"/>
            <w:vAlign w:val="bottom"/>
          </w:tcPr>
          <w:p w14:paraId="38D0800B">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备注</w:t>
            </w:r>
          </w:p>
        </w:tc>
      </w:tr>
      <w:tr w14:paraId="32FEDA82">
        <w:tblPrEx>
          <w:tblCellMar>
            <w:top w:w="0" w:type="dxa"/>
            <w:left w:w="108" w:type="dxa"/>
            <w:bottom w:w="0" w:type="dxa"/>
            <w:right w:w="108" w:type="dxa"/>
          </w:tblCellMar>
        </w:tblPrEx>
        <w:trPr>
          <w:trHeight w:val="460" w:hRule="atLeast"/>
        </w:trPr>
        <w:tc>
          <w:tcPr>
            <w:tcW w:w="738" w:type="dxa"/>
            <w:tcBorders>
              <w:top w:val="single" w:color="auto" w:sz="4" w:space="0"/>
              <w:left w:val="single" w:color="auto" w:sz="4" w:space="0"/>
              <w:bottom w:val="single" w:color="auto" w:sz="4" w:space="0"/>
              <w:right w:val="single" w:color="auto" w:sz="4" w:space="0"/>
            </w:tcBorders>
            <w:noWrap w:val="0"/>
            <w:vAlign w:val="bottom"/>
          </w:tcPr>
          <w:p w14:paraId="57C6F293">
            <w:pPr>
              <w:autoSpaceDE w:val="0"/>
              <w:autoSpaceDN w:val="0"/>
              <w:adjustRightInd w:val="0"/>
              <w:spacing w:line="360" w:lineRule="auto"/>
              <w:jc w:val="center"/>
              <w:rPr>
                <w:rFonts w:ascii="宋体" w:hAnsi="宋体" w:cs="H-SS9-PK74820000032-Identity-H"/>
                <w:kern w:val="0"/>
                <w:szCs w:val="21"/>
              </w:rPr>
            </w:pPr>
          </w:p>
        </w:tc>
        <w:tc>
          <w:tcPr>
            <w:tcW w:w="1365" w:type="dxa"/>
            <w:tcBorders>
              <w:top w:val="single" w:color="auto" w:sz="4" w:space="0"/>
              <w:left w:val="single" w:color="auto" w:sz="4" w:space="0"/>
              <w:bottom w:val="single" w:color="auto" w:sz="4" w:space="0"/>
              <w:right w:val="single" w:color="auto" w:sz="4" w:space="0"/>
            </w:tcBorders>
            <w:noWrap w:val="0"/>
            <w:vAlign w:val="bottom"/>
          </w:tcPr>
          <w:p w14:paraId="4981ED94">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无</w:t>
            </w:r>
          </w:p>
        </w:tc>
        <w:tc>
          <w:tcPr>
            <w:tcW w:w="1443" w:type="dxa"/>
            <w:tcBorders>
              <w:top w:val="single" w:color="auto" w:sz="4" w:space="0"/>
              <w:left w:val="single" w:color="auto" w:sz="4" w:space="0"/>
              <w:bottom w:val="single" w:color="auto" w:sz="4" w:space="0"/>
              <w:right w:val="single" w:color="auto" w:sz="4" w:space="0"/>
            </w:tcBorders>
            <w:noWrap w:val="0"/>
            <w:vAlign w:val="bottom"/>
          </w:tcPr>
          <w:p w14:paraId="6AE71DD6">
            <w:pPr>
              <w:autoSpaceDE w:val="0"/>
              <w:autoSpaceDN w:val="0"/>
              <w:adjustRightInd w:val="0"/>
              <w:spacing w:line="360" w:lineRule="auto"/>
              <w:jc w:val="center"/>
              <w:rPr>
                <w:rFonts w:ascii="宋体" w:hAnsi="宋体" w:cs="H-SS9-PK74820000032-Identity-H"/>
                <w:kern w:val="0"/>
                <w:szCs w:val="21"/>
              </w:rPr>
            </w:pPr>
          </w:p>
        </w:tc>
        <w:tc>
          <w:tcPr>
            <w:tcW w:w="972" w:type="dxa"/>
            <w:tcBorders>
              <w:top w:val="single" w:color="auto" w:sz="4" w:space="0"/>
              <w:left w:val="single" w:color="auto" w:sz="4" w:space="0"/>
              <w:bottom w:val="single" w:color="auto" w:sz="4" w:space="0"/>
              <w:right w:val="single" w:color="auto" w:sz="4" w:space="0"/>
            </w:tcBorders>
            <w:noWrap w:val="0"/>
            <w:vAlign w:val="bottom"/>
          </w:tcPr>
          <w:p w14:paraId="49DB5EC3">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4825E8F8">
            <w:pPr>
              <w:autoSpaceDE w:val="0"/>
              <w:autoSpaceDN w:val="0"/>
              <w:adjustRightInd w:val="0"/>
              <w:spacing w:line="360" w:lineRule="auto"/>
              <w:jc w:val="center"/>
              <w:rPr>
                <w:rFonts w:ascii="宋体" w:hAnsi="宋体" w:cs="H-SS9-PK74820000032-Identity-H"/>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bottom"/>
          </w:tcPr>
          <w:p w14:paraId="7FC23C60">
            <w:pPr>
              <w:autoSpaceDE w:val="0"/>
              <w:autoSpaceDN w:val="0"/>
              <w:adjustRightInd w:val="0"/>
              <w:spacing w:line="360" w:lineRule="auto"/>
              <w:jc w:val="center"/>
              <w:rPr>
                <w:rFonts w:ascii="宋体" w:hAnsi="宋体" w:cs="H-SS9-PK74820000032-Identity-H"/>
                <w:kern w:val="0"/>
                <w:szCs w:val="21"/>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41E37CBD">
            <w:pPr>
              <w:autoSpaceDE w:val="0"/>
              <w:autoSpaceDN w:val="0"/>
              <w:adjustRightInd w:val="0"/>
              <w:spacing w:line="360" w:lineRule="auto"/>
              <w:jc w:val="center"/>
              <w:rPr>
                <w:rFonts w:ascii="宋体" w:hAnsi="宋体" w:cs="H-SS9-PK74820000032-Identity-H"/>
                <w:kern w:val="0"/>
                <w:szCs w:val="21"/>
              </w:rPr>
            </w:pPr>
          </w:p>
        </w:tc>
        <w:tc>
          <w:tcPr>
            <w:tcW w:w="950" w:type="dxa"/>
            <w:tcBorders>
              <w:top w:val="single" w:color="auto" w:sz="4" w:space="0"/>
              <w:left w:val="single" w:color="auto" w:sz="4" w:space="0"/>
              <w:bottom w:val="single" w:color="auto" w:sz="4" w:space="0"/>
              <w:right w:val="single" w:color="auto" w:sz="4" w:space="0"/>
            </w:tcBorders>
            <w:noWrap w:val="0"/>
            <w:vAlign w:val="bottom"/>
          </w:tcPr>
          <w:p w14:paraId="51FE8B82">
            <w:pPr>
              <w:autoSpaceDE w:val="0"/>
              <w:autoSpaceDN w:val="0"/>
              <w:adjustRightInd w:val="0"/>
              <w:spacing w:line="360" w:lineRule="auto"/>
              <w:jc w:val="center"/>
              <w:rPr>
                <w:rFonts w:ascii="宋体" w:hAnsi="宋体" w:cs="H-SS9-PK74820000032-Identity-H"/>
                <w:kern w:val="0"/>
                <w:szCs w:val="21"/>
              </w:rPr>
            </w:pPr>
          </w:p>
        </w:tc>
      </w:tr>
      <w:tr w14:paraId="6060264C">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bottom"/>
          </w:tcPr>
          <w:p w14:paraId="4340297D">
            <w:pPr>
              <w:autoSpaceDE w:val="0"/>
              <w:autoSpaceDN w:val="0"/>
              <w:adjustRightInd w:val="0"/>
              <w:spacing w:line="360" w:lineRule="auto"/>
              <w:jc w:val="center"/>
              <w:rPr>
                <w:rFonts w:ascii="宋体" w:hAnsi="宋体" w:cs="H-SS9-PK74820000032-Identity-H"/>
                <w:kern w:val="0"/>
                <w:szCs w:val="21"/>
              </w:rPr>
            </w:pPr>
          </w:p>
        </w:tc>
        <w:tc>
          <w:tcPr>
            <w:tcW w:w="1365" w:type="dxa"/>
            <w:tcBorders>
              <w:top w:val="single" w:color="auto" w:sz="4" w:space="0"/>
              <w:left w:val="single" w:color="auto" w:sz="4" w:space="0"/>
              <w:bottom w:val="single" w:color="auto" w:sz="4" w:space="0"/>
              <w:right w:val="single" w:color="auto" w:sz="4" w:space="0"/>
            </w:tcBorders>
            <w:noWrap w:val="0"/>
            <w:vAlign w:val="bottom"/>
          </w:tcPr>
          <w:p w14:paraId="02BAC145">
            <w:pPr>
              <w:autoSpaceDE w:val="0"/>
              <w:autoSpaceDN w:val="0"/>
              <w:adjustRightInd w:val="0"/>
              <w:spacing w:line="360" w:lineRule="auto"/>
              <w:jc w:val="center"/>
              <w:rPr>
                <w:rFonts w:ascii="宋体" w:hAnsi="宋体" w:cs="H-SS9-PK74820000032-Identity-H"/>
                <w:kern w:val="0"/>
                <w:szCs w:val="21"/>
              </w:rPr>
            </w:pPr>
          </w:p>
        </w:tc>
        <w:tc>
          <w:tcPr>
            <w:tcW w:w="1443" w:type="dxa"/>
            <w:tcBorders>
              <w:top w:val="single" w:color="auto" w:sz="4" w:space="0"/>
              <w:left w:val="single" w:color="auto" w:sz="4" w:space="0"/>
              <w:bottom w:val="single" w:color="auto" w:sz="4" w:space="0"/>
              <w:right w:val="single" w:color="auto" w:sz="4" w:space="0"/>
            </w:tcBorders>
            <w:noWrap w:val="0"/>
            <w:vAlign w:val="bottom"/>
          </w:tcPr>
          <w:p w14:paraId="7DE4FD61">
            <w:pPr>
              <w:autoSpaceDE w:val="0"/>
              <w:autoSpaceDN w:val="0"/>
              <w:adjustRightInd w:val="0"/>
              <w:spacing w:line="360" w:lineRule="auto"/>
              <w:jc w:val="center"/>
              <w:rPr>
                <w:rFonts w:ascii="宋体" w:hAnsi="宋体" w:cs="H-SS9-PK74820000032-Identity-H"/>
                <w:kern w:val="0"/>
                <w:szCs w:val="21"/>
              </w:rPr>
            </w:pPr>
          </w:p>
        </w:tc>
        <w:tc>
          <w:tcPr>
            <w:tcW w:w="972" w:type="dxa"/>
            <w:tcBorders>
              <w:top w:val="single" w:color="auto" w:sz="4" w:space="0"/>
              <w:left w:val="single" w:color="auto" w:sz="4" w:space="0"/>
              <w:bottom w:val="single" w:color="auto" w:sz="4" w:space="0"/>
              <w:right w:val="single" w:color="auto" w:sz="4" w:space="0"/>
            </w:tcBorders>
            <w:noWrap w:val="0"/>
            <w:vAlign w:val="bottom"/>
          </w:tcPr>
          <w:p w14:paraId="42F9672E">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676358A8">
            <w:pPr>
              <w:autoSpaceDE w:val="0"/>
              <w:autoSpaceDN w:val="0"/>
              <w:adjustRightInd w:val="0"/>
              <w:spacing w:line="360" w:lineRule="auto"/>
              <w:jc w:val="center"/>
              <w:rPr>
                <w:rFonts w:ascii="宋体" w:hAnsi="宋体" w:cs="H-SS9-PK74820000032-Identity-H"/>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bottom"/>
          </w:tcPr>
          <w:p w14:paraId="784FC14B">
            <w:pPr>
              <w:autoSpaceDE w:val="0"/>
              <w:autoSpaceDN w:val="0"/>
              <w:adjustRightInd w:val="0"/>
              <w:spacing w:line="360" w:lineRule="auto"/>
              <w:jc w:val="center"/>
              <w:rPr>
                <w:rFonts w:ascii="宋体" w:hAnsi="宋体" w:cs="H-SS9-PK74820000032-Identity-H"/>
                <w:kern w:val="0"/>
                <w:szCs w:val="21"/>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AB54908">
            <w:pPr>
              <w:autoSpaceDE w:val="0"/>
              <w:autoSpaceDN w:val="0"/>
              <w:adjustRightInd w:val="0"/>
              <w:spacing w:line="360" w:lineRule="auto"/>
              <w:jc w:val="center"/>
              <w:rPr>
                <w:rFonts w:ascii="宋体" w:hAnsi="宋体" w:cs="H-SS9-PK74820000032-Identity-H"/>
                <w:kern w:val="0"/>
                <w:szCs w:val="21"/>
              </w:rPr>
            </w:pPr>
          </w:p>
        </w:tc>
        <w:tc>
          <w:tcPr>
            <w:tcW w:w="950" w:type="dxa"/>
            <w:tcBorders>
              <w:top w:val="single" w:color="auto" w:sz="4" w:space="0"/>
              <w:left w:val="single" w:color="auto" w:sz="4" w:space="0"/>
              <w:bottom w:val="single" w:color="auto" w:sz="4" w:space="0"/>
              <w:right w:val="single" w:color="auto" w:sz="4" w:space="0"/>
            </w:tcBorders>
            <w:noWrap w:val="0"/>
            <w:vAlign w:val="bottom"/>
          </w:tcPr>
          <w:p w14:paraId="496BB0FC">
            <w:pPr>
              <w:autoSpaceDE w:val="0"/>
              <w:autoSpaceDN w:val="0"/>
              <w:adjustRightInd w:val="0"/>
              <w:spacing w:line="360" w:lineRule="auto"/>
              <w:jc w:val="center"/>
              <w:rPr>
                <w:rFonts w:ascii="宋体" w:hAnsi="宋体" w:cs="H-SS9-PK74820000032-Identity-H"/>
                <w:kern w:val="0"/>
                <w:szCs w:val="21"/>
              </w:rPr>
            </w:pPr>
          </w:p>
        </w:tc>
      </w:tr>
      <w:tr w14:paraId="22EEDB74">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bottom"/>
          </w:tcPr>
          <w:p w14:paraId="474E3C60">
            <w:pPr>
              <w:autoSpaceDE w:val="0"/>
              <w:autoSpaceDN w:val="0"/>
              <w:adjustRightInd w:val="0"/>
              <w:spacing w:line="360" w:lineRule="auto"/>
              <w:jc w:val="center"/>
              <w:rPr>
                <w:rFonts w:ascii="宋体" w:hAnsi="宋体" w:cs="H-SS9-PK74820000032-Identity-H"/>
                <w:kern w:val="0"/>
                <w:szCs w:val="21"/>
              </w:rPr>
            </w:pPr>
          </w:p>
        </w:tc>
        <w:tc>
          <w:tcPr>
            <w:tcW w:w="1365" w:type="dxa"/>
            <w:tcBorders>
              <w:top w:val="single" w:color="auto" w:sz="4" w:space="0"/>
              <w:left w:val="single" w:color="auto" w:sz="4" w:space="0"/>
              <w:bottom w:val="single" w:color="auto" w:sz="4" w:space="0"/>
              <w:right w:val="single" w:color="auto" w:sz="4" w:space="0"/>
            </w:tcBorders>
            <w:noWrap w:val="0"/>
            <w:vAlign w:val="bottom"/>
          </w:tcPr>
          <w:p w14:paraId="24D160DC">
            <w:pPr>
              <w:autoSpaceDE w:val="0"/>
              <w:autoSpaceDN w:val="0"/>
              <w:adjustRightInd w:val="0"/>
              <w:spacing w:line="360" w:lineRule="auto"/>
              <w:jc w:val="center"/>
              <w:rPr>
                <w:rFonts w:ascii="宋体" w:hAnsi="宋体" w:cs="H-SS9-PK74820000032-Identity-H"/>
                <w:kern w:val="0"/>
                <w:szCs w:val="21"/>
              </w:rPr>
            </w:pPr>
          </w:p>
        </w:tc>
        <w:tc>
          <w:tcPr>
            <w:tcW w:w="1443" w:type="dxa"/>
            <w:tcBorders>
              <w:top w:val="single" w:color="auto" w:sz="4" w:space="0"/>
              <w:left w:val="single" w:color="auto" w:sz="4" w:space="0"/>
              <w:bottom w:val="single" w:color="auto" w:sz="4" w:space="0"/>
              <w:right w:val="single" w:color="auto" w:sz="4" w:space="0"/>
            </w:tcBorders>
            <w:noWrap w:val="0"/>
            <w:vAlign w:val="bottom"/>
          </w:tcPr>
          <w:p w14:paraId="1B229D81">
            <w:pPr>
              <w:autoSpaceDE w:val="0"/>
              <w:autoSpaceDN w:val="0"/>
              <w:adjustRightInd w:val="0"/>
              <w:spacing w:line="360" w:lineRule="auto"/>
              <w:jc w:val="center"/>
              <w:rPr>
                <w:rFonts w:ascii="宋体" w:hAnsi="宋体" w:cs="H-SS9-PK74820000032-Identity-H"/>
                <w:kern w:val="0"/>
                <w:szCs w:val="21"/>
              </w:rPr>
            </w:pPr>
          </w:p>
        </w:tc>
        <w:tc>
          <w:tcPr>
            <w:tcW w:w="972" w:type="dxa"/>
            <w:tcBorders>
              <w:top w:val="single" w:color="auto" w:sz="4" w:space="0"/>
              <w:left w:val="single" w:color="auto" w:sz="4" w:space="0"/>
              <w:bottom w:val="single" w:color="auto" w:sz="4" w:space="0"/>
              <w:right w:val="single" w:color="auto" w:sz="4" w:space="0"/>
            </w:tcBorders>
            <w:noWrap w:val="0"/>
            <w:vAlign w:val="bottom"/>
          </w:tcPr>
          <w:p w14:paraId="32FD9126">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34BBDCF0">
            <w:pPr>
              <w:autoSpaceDE w:val="0"/>
              <w:autoSpaceDN w:val="0"/>
              <w:adjustRightInd w:val="0"/>
              <w:spacing w:line="360" w:lineRule="auto"/>
              <w:jc w:val="center"/>
              <w:rPr>
                <w:rFonts w:ascii="宋体" w:hAnsi="宋体" w:cs="H-SS9-PK74820000032-Identity-H"/>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bottom"/>
          </w:tcPr>
          <w:p w14:paraId="0B29148B">
            <w:pPr>
              <w:autoSpaceDE w:val="0"/>
              <w:autoSpaceDN w:val="0"/>
              <w:adjustRightInd w:val="0"/>
              <w:spacing w:line="360" w:lineRule="auto"/>
              <w:jc w:val="center"/>
              <w:rPr>
                <w:rFonts w:ascii="宋体" w:hAnsi="宋体" w:cs="H-SS9-PK74820000032-Identity-H"/>
                <w:kern w:val="0"/>
                <w:szCs w:val="21"/>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76CF1771">
            <w:pPr>
              <w:autoSpaceDE w:val="0"/>
              <w:autoSpaceDN w:val="0"/>
              <w:adjustRightInd w:val="0"/>
              <w:spacing w:line="360" w:lineRule="auto"/>
              <w:jc w:val="center"/>
              <w:rPr>
                <w:rFonts w:ascii="宋体" w:hAnsi="宋体" w:cs="H-SS9-PK74820000032-Identity-H"/>
                <w:kern w:val="0"/>
                <w:szCs w:val="21"/>
              </w:rPr>
            </w:pPr>
          </w:p>
        </w:tc>
        <w:tc>
          <w:tcPr>
            <w:tcW w:w="950" w:type="dxa"/>
            <w:tcBorders>
              <w:top w:val="single" w:color="auto" w:sz="4" w:space="0"/>
              <w:left w:val="single" w:color="auto" w:sz="4" w:space="0"/>
              <w:bottom w:val="single" w:color="auto" w:sz="4" w:space="0"/>
              <w:right w:val="single" w:color="auto" w:sz="4" w:space="0"/>
            </w:tcBorders>
            <w:noWrap w:val="0"/>
            <w:vAlign w:val="bottom"/>
          </w:tcPr>
          <w:p w14:paraId="69713247">
            <w:pPr>
              <w:autoSpaceDE w:val="0"/>
              <w:autoSpaceDN w:val="0"/>
              <w:adjustRightInd w:val="0"/>
              <w:spacing w:line="360" w:lineRule="auto"/>
              <w:jc w:val="center"/>
              <w:rPr>
                <w:rFonts w:ascii="宋体" w:hAnsi="宋体" w:cs="H-SS9-PK74820000032-Identity-H"/>
                <w:kern w:val="0"/>
                <w:szCs w:val="21"/>
              </w:rPr>
            </w:pPr>
          </w:p>
        </w:tc>
      </w:tr>
    </w:tbl>
    <w:p w14:paraId="6D28E000">
      <w:pPr>
        <w:autoSpaceDE w:val="0"/>
        <w:autoSpaceDN w:val="0"/>
        <w:adjustRightInd w:val="0"/>
        <w:spacing w:line="360" w:lineRule="auto"/>
        <w:ind w:firstLine="420" w:firstLineChars="200"/>
        <w:jc w:val="left"/>
        <w:rPr>
          <w:rFonts w:hint="eastAsia" w:ascii="宋体" w:hAnsi="宋体" w:cs="H-SS9-PK74820000032-Identity-H"/>
          <w:kern w:val="0"/>
          <w:szCs w:val="21"/>
        </w:rPr>
      </w:pPr>
    </w:p>
    <w:p w14:paraId="68314A36">
      <w:pPr>
        <w:autoSpaceDE w:val="0"/>
        <w:autoSpaceDN w:val="0"/>
        <w:adjustRightInd w:val="0"/>
        <w:spacing w:line="360" w:lineRule="auto"/>
        <w:jc w:val="center"/>
        <w:rPr>
          <w:rFonts w:hint="eastAsia" w:ascii="宋体" w:hAnsi="宋体" w:cs="SSJ-PK7482000002d-Identity-H"/>
          <w:kern w:val="0"/>
          <w:szCs w:val="21"/>
        </w:rPr>
      </w:pPr>
      <w:r>
        <w:rPr>
          <w:rFonts w:hint="eastAsia" w:ascii="宋体" w:hAnsi="宋体" w:cs="SSJ-PK7482000002d-Identity-H"/>
          <w:kern w:val="0"/>
          <w:szCs w:val="21"/>
        </w:rPr>
        <w:t>发包人提供的工程设备表</w:t>
      </w:r>
      <w:r>
        <w:rPr>
          <w:rFonts w:hint="eastAsia" w:ascii="宋体" w:hAnsi="宋体" w:cs="H-SS9-PK74820000032-Identity-H"/>
          <w:kern w:val="0"/>
          <w:szCs w:val="21"/>
        </w:rPr>
        <w:t>（参考格式）</w:t>
      </w:r>
    </w:p>
    <w:tbl>
      <w:tblPr>
        <w:tblStyle w:val="23"/>
        <w:tblW w:w="0" w:type="auto"/>
        <w:tblInd w:w="0" w:type="dxa"/>
        <w:tblLayout w:type="fixed"/>
        <w:tblCellMar>
          <w:top w:w="0" w:type="dxa"/>
          <w:left w:w="108" w:type="dxa"/>
          <w:bottom w:w="0" w:type="dxa"/>
          <w:right w:w="108" w:type="dxa"/>
        </w:tblCellMar>
      </w:tblPr>
      <w:tblGrid>
        <w:gridCol w:w="738"/>
        <w:gridCol w:w="1575"/>
        <w:gridCol w:w="1365"/>
        <w:gridCol w:w="1050"/>
        <w:gridCol w:w="1182"/>
        <w:gridCol w:w="1182"/>
        <w:gridCol w:w="1521"/>
        <w:gridCol w:w="845"/>
      </w:tblGrid>
      <w:tr w14:paraId="0D431082">
        <w:trPr>
          <w:trHeight w:val="503" w:hRule="atLeast"/>
        </w:trPr>
        <w:tc>
          <w:tcPr>
            <w:tcW w:w="738" w:type="dxa"/>
            <w:tcBorders>
              <w:top w:val="single" w:color="auto" w:sz="4" w:space="0"/>
              <w:left w:val="single" w:color="auto" w:sz="4" w:space="0"/>
              <w:bottom w:val="single" w:color="auto" w:sz="4" w:space="0"/>
              <w:right w:val="single" w:color="auto" w:sz="4" w:space="0"/>
            </w:tcBorders>
            <w:noWrap w:val="0"/>
            <w:vAlign w:val="bottom"/>
          </w:tcPr>
          <w:p w14:paraId="7C01E025">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序号</w:t>
            </w: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9924345">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工程设备名称</w:t>
            </w:r>
          </w:p>
        </w:tc>
        <w:tc>
          <w:tcPr>
            <w:tcW w:w="1365" w:type="dxa"/>
            <w:tcBorders>
              <w:top w:val="single" w:color="auto" w:sz="4" w:space="0"/>
              <w:left w:val="single" w:color="auto" w:sz="4" w:space="0"/>
              <w:bottom w:val="single" w:color="auto" w:sz="4" w:space="0"/>
              <w:right w:val="single" w:color="auto" w:sz="4" w:space="0"/>
            </w:tcBorders>
            <w:noWrap w:val="0"/>
            <w:vAlign w:val="bottom"/>
          </w:tcPr>
          <w:p w14:paraId="11D6D316">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型号及规格</w:t>
            </w:r>
          </w:p>
        </w:tc>
        <w:tc>
          <w:tcPr>
            <w:tcW w:w="1050" w:type="dxa"/>
            <w:tcBorders>
              <w:top w:val="single" w:color="auto" w:sz="4" w:space="0"/>
              <w:left w:val="single" w:color="auto" w:sz="4" w:space="0"/>
              <w:bottom w:val="single" w:color="auto" w:sz="4" w:space="0"/>
              <w:right w:val="single" w:color="auto" w:sz="4" w:space="0"/>
            </w:tcBorders>
            <w:noWrap w:val="0"/>
            <w:vAlign w:val="bottom"/>
          </w:tcPr>
          <w:p w14:paraId="00E35F39">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数量</w:t>
            </w:r>
          </w:p>
        </w:tc>
        <w:tc>
          <w:tcPr>
            <w:tcW w:w="1182" w:type="dxa"/>
            <w:tcBorders>
              <w:top w:val="single" w:color="auto" w:sz="4" w:space="0"/>
              <w:left w:val="single" w:color="auto" w:sz="4" w:space="0"/>
              <w:bottom w:val="single" w:color="auto" w:sz="4" w:space="0"/>
              <w:right w:val="single" w:color="auto" w:sz="4" w:space="0"/>
            </w:tcBorders>
            <w:noWrap w:val="0"/>
            <w:vAlign w:val="bottom"/>
          </w:tcPr>
          <w:p w14:paraId="72925DF8">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交货地点</w:t>
            </w:r>
          </w:p>
        </w:tc>
        <w:tc>
          <w:tcPr>
            <w:tcW w:w="1182" w:type="dxa"/>
            <w:tcBorders>
              <w:top w:val="single" w:color="auto" w:sz="4" w:space="0"/>
              <w:left w:val="single" w:color="auto" w:sz="4" w:space="0"/>
              <w:bottom w:val="single" w:color="auto" w:sz="4" w:space="0"/>
              <w:right w:val="single" w:color="auto" w:sz="4" w:space="0"/>
            </w:tcBorders>
            <w:noWrap w:val="0"/>
            <w:vAlign w:val="bottom"/>
          </w:tcPr>
          <w:p w14:paraId="1C3A9C05">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交货方式</w:t>
            </w:r>
          </w:p>
        </w:tc>
        <w:tc>
          <w:tcPr>
            <w:tcW w:w="1521" w:type="dxa"/>
            <w:tcBorders>
              <w:top w:val="single" w:color="auto" w:sz="4" w:space="0"/>
              <w:left w:val="single" w:color="auto" w:sz="4" w:space="0"/>
              <w:bottom w:val="single" w:color="auto" w:sz="4" w:space="0"/>
              <w:right w:val="single" w:color="auto" w:sz="4" w:space="0"/>
            </w:tcBorders>
            <w:noWrap w:val="0"/>
            <w:vAlign w:val="bottom"/>
          </w:tcPr>
          <w:p w14:paraId="60C5F622">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计划交货日期</w:t>
            </w:r>
          </w:p>
        </w:tc>
        <w:tc>
          <w:tcPr>
            <w:tcW w:w="845" w:type="dxa"/>
            <w:tcBorders>
              <w:top w:val="single" w:color="auto" w:sz="4" w:space="0"/>
              <w:left w:val="single" w:color="auto" w:sz="4" w:space="0"/>
              <w:bottom w:val="single" w:color="auto" w:sz="4" w:space="0"/>
              <w:right w:val="single" w:color="auto" w:sz="4" w:space="0"/>
            </w:tcBorders>
            <w:noWrap w:val="0"/>
            <w:vAlign w:val="bottom"/>
          </w:tcPr>
          <w:p w14:paraId="3345C60F">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备注</w:t>
            </w:r>
          </w:p>
        </w:tc>
      </w:tr>
      <w:tr w14:paraId="0DA329D4">
        <w:tblPrEx>
          <w:tblCellMar>
            <w:top w:w="0" w:type="dxa"/>
            <w:left w:w="108" w:type="dxa"/>
            <w:bottom w:w="0" w:type="dxa"/>
            <w:right w:w="108" w:type="dxa"/>
          </w:tblCellMar>
        </w:tblPrEx>
        <w:trPr>
          <w:trHeight w:val="467" w:hRule="atLeast"/>
        </w:trPr>
        <w:tc>
          <w:tcPr>
            <w:tcW w:w="738" w:type="dxa"/>
            <w:tcBorders>
              <w:top w:val="single" w:color="auto" w:sz="4" w:space="0"/>
              <w:left w:val="single" w:color="auto" w:sz="4" w:space="0"/>
              <w:bottom w:val="single" w:color="auto" w:sz="4" w:space="0"/>
              <w:right w:val="single" w:color="auto" w:sz="4" w:space="0"/>
            </w:tcBorders>
            <w:noWrap w:val="0"/>
            <w:vAlign w:val="bottom"/>
          </w:tcPr>
          <w:p w14:paraId="7FEAF3E5">
            <w:pPr>
              <w:autoSpaceDE w:val="0"/>
              <w:autoSpaceDN w:val="0"/>
              <w:adjustRightInd w:val="0"/>
              <w:spacing w:line="360" w:lineRule="auto"/>
              <w:jc w:val="center"/>
              <w:rPr>
                <w:rFonts w:ascii="宋体" w:hAnsi="宋体" w:cs="H-SS9-PK74820000032-Identity-H"/>
                <w:kern w:val="0"/>
                <w:szCs w:val="21"/>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392D0F9C">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无</w:t>
            </w:r>
          </w:p>
        </w:tc>
        <w:tc>
          <w:tcPr>
            <w:tcW w:w="1365" w:type="dxa"/>
            <w:tcBorders>
              <w:top w:val="single" w:color="auto" w:sz="4" w:space="0"/>
              <w:left w:val="single" w:color="auto" w:sz="4" w:space="0"/>
              <w:bottom w:val="single" w:color="auto" w:sz="4" w:space="0"/>
              <w:right w:val="single" w:color="auto" w:sz="4" w:space="0"/>
            </w:tcBorders>
            <w:noWrap w:val="0"/>
            <w:vAlign w:val="bottom"/>
          </w:tcPr>
          <w:p w14:paraId="30C27D63">
            <w:pPr>
              <w:autoSpaceDE w:val="0"/>
              <w:autoSpaceDN w:val="0"/>
              <w:adjustRightInd w:val="0"/>
              <w:spacing w:line="360" w:lineRule="auto"/>
              <w:jc w:val="center"/>
              <w:rPr>
                <w:rFonts w:ascii="宋体" w:hAnsi="宋体" w:cs="H-SS9-PK74820000032-Identity-H"/>
                <w:kern w:val="0"/>
                <w:szCs w:val="21"/>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7E6B7888">
            <w:pPr>
              <w:autoSpaceDE w:val="0"/>
              <w:autoSpaceDN w:val="0"/>
              <w:adjustRightInd w:val="0"/>
              <w:spacing w:line="360" w:lineRule="auto"/>
              <w:jc w:val="center"/>
              <w:rPr>
                <w:rFonts w:ascii="宋体" w:hAnsi="宋体" w:cs="H-SS9-PK74820000032-Identity-H"/>
                <w:kern w:val="0"/>
                <w:szCs w:val="21"/>
              </w:rPr>
            </w:pPr>
          </w:p>
        </w:tc>
        <w:tc>
          <w:tcPr>
            <w:tcW w:w="1182" w:type="dxa"/>
            <w:tcBorders>
              <w:top w:val="single" w:color="auto" w:sz="4" w:space="0"/>
              <w:left w:val="single" w:color="auto" w:sz="4" w:space="0"/>
              <w:bottom w:val="single" w:color="auto" w:sz="4" w:space="0"/>
              <w:right w:val="single" w:color="auto" w:sz="4" w:space="0"/>
            </w:tcBorders>
            <w:noWrap w:val="0"/>
            <w:vAlign w:val="bottom"/>
          </w:tcPr>
          <w:p w14:paraId="7CC30281">
            <w:pPr>
              <w:autoSpaceDE w:val="0"/>
              <w:autoSpaceDN w:val="0"/>
              <w:adjustRightInd w:val="0"/>
              <w:spacing w:line="360" w:lineRule="auto"/>
              <w:jc w:val="center"/>
              <w:rPr>
                <w:rFonts w:ascii="宋体" w:hAnsi="宋体" w:cs="H-SS9-PK74820000032-Identity-H"/>
                <w:kern w:val="0"/>
                <w:szCs w:val="21"/>
              </w:rPr>
            </w:pPr>
          </w:p>
        </w:tc>
        <w:tc>
          <w:tcPr>
            <w:tcW w:w="1182" w:type="dxa"/>
            <w:tcBorders>
              <w:top w:val="single" w:color="auto" w:sz="4" w:space="0"/>
              <w:left w:val="single" w:color="auto" w:sz="4" w:space="0"/>
              <w:bottom w:val="single" w:color="auto" w:sz="4" w:space="0"/>
              <w:right w:val="single" w:color="auto" w:sz="4" w:space="0"/>
            </w:tcBorders>
            <w:noWrap w:val="0"/>
            <w:vAlign w:val="bottom"/>
          </w:tcPr>
          <w:p w14:paraId="5137E2E8">
            <w:pPr>
              <w:autoSpaceDE w:val="0"/>
              <w:autoSpaceDN w:val="0"/>
              <w:adjustRightInd w:val="0"/>
              <w:spacing w:line="360" w:lineRule="auto"/>
              <w:jc w:val="center"/>
              <w:rPr>
                <w:rFonts w:ascii="宋体" w:hAnsi="宋体" w:cs="H-SS9-PK74820000032-Identity-H"/>
                <w:kern w:val="0"/>
                <w:szCs w:val="21"/>
              </w:rPr>
            </w:pPr>
          </w:p>
        </w:tc>
        <w:tc>
          <w:tcPr>
            <w:tcW w:w="1521" w:type="dxa"/>
            <w:tcBorders>
              <w:top w:val="single" w:color="auto" w:sz="4" w:space="0"/>
              <w:left w:val="single" w:color="auto" w:sz="4" w:space="0"/>
              <w:bottom w:val="single" w:color="auto" w:sz="4" w:space="0"/>
              <w:right w:val="single" w:color="auto" w:sz="4" w:space="0"/>
            </w:tcBorders>
            <w:noWrap w:val="0"/>
            <w:vAlign w:val="bottom"/>
          </w:tcPr>
          <w:p w14:paraId="6E510F3E">
            <w:pPr>
              <w:autoSpaceDE w:val="0"/>
              <w:autoSpaceDN w:val="0"/>
              <w:adjustRightInd w:val="0"/>
              <w:spacing w:line="360" w:lineRule="auto"/>
              <w:jc w:val="center"/>
              <w:rPr>
                <w:rFonts w:ascii="宋体" w:hAnsi="宋体" w:cs="H-SS9-PK74820000032-Identity-H"/>
                <w:kern w:val="0"/>
                <w:szCs w:val="21"/>
              </w:rPr>
            </w:pPr>
          </w:p>
        </w:tc>
        <w:tc>
          <w:tcPr>
            <w:tcW w:w="845" w:type="dxa"/>
            <w:tcBorders>
              <w:top w:val="single" w:color="auto" w:sz="4" w:space="0"/>
              <w:left w:val="single" w:color="auto" w:sz="4" w:space="0"/>
              <w:bottom w:val="single" w:color="auto" w:sz="4" w:space="0"/>
              <w:right w:val="single" w:color="auto" w:sz="4" w:space="0"/>
            </w:tcBorders>
            <w:noWrap w:val="0"/>
            <w:vAlign w:val="bottom"/>
          </w:tcPr>
          <w:p w14:paraId="29F01781">
            <w:pPr>
              <w:autoSpaceDE w:val="0"/>
              <w:autoSpaceDN w:val="0"/>
              <w:adjustRightInd w:val="0"/>
              <w:spacing w:line="360" w:lineRule="auto"/>
              <w:jc w:val="center"/>
              <w:rPr>
                <w:rFonts w:ascii="宋体" w:hAnsi="宋体" w:cs="H-SS9-PK74820000032-Identity-H"/>
                <w:kern w:val="0"/>
                <w:szCs w:val="21"/>
              </w:rPr>
            </w:pPr>
          </w:p>
        </w:tc>
      </w:tr>
      <w:tr w14:paraId="0B7B4C5F">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bottom"/>
          </w:tcPr>
          <w:p w14:paraId="71E76722">
            <w:pPr>
              <w:autoSpaceDE w:val="0"/>
              <w:autoSpaceDN w:val="0"/>
              <w:adjustRightInd w:val="0"/>
              <w:spacing w:line="360" w:lineRule="auto"/>
              <w:jc w:val="center"/>
              <w:rPr>
                <w:rFonts w:ascii="宋体" w:hAnsi="宋体" w:cs="H-SS9-PK74820000032-Identity-H"/>
                <w:kern w:val="0"/>
                <w:szCs w:val="21"/>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59017281">
            <w:pPr>
              <w:autoSpaceDE w:val="0"/>
              <w:autoSpaceDN w:val="0"/>
              <w:adjustRightInd w:val="0"/>
              <w:spacing w:line="360" w:lineRule="auto"/>
              <w:jc w:val="center"/>
              <w:rPr>
                <w:rFonts w:ascii="宋体" w:hAnsi="宋体" w:cs="H-SS9-PK74820000032-Identity-H"/>
                <w:kern w:val="0"/>
                <w:szCs w:val="21"/>
              </w:rPr>
            </w:pPr>
          </w:p>
        </w:tc>
        <w:tc>
          <w:tcPr>
            <w:tcW w:w="1365" w:type="dxa"/>
            <w:tcBorders>
              <w:top w:val="single" w:color="auto" w:sz="4" w:space="0"/>
              <w:left w:val="single" w:color="auto" w:sz="4" w:space="0"/>
              <w:bottom w:val="single" w:color="auto" w:sz="4" w:space="0"/>
              <w:right w:val="single" w:color="auto" w:sz="4" w:space="0"/>
            </w:tcBorders>
            <w:noWrap w:val="0"/>
            <w:vAlign w:val="bottom"/>
          </w:tcPr>
          <w:p w14:paraId="6C86D1B0">
            <w:pPr>
              <w:autoSpaceDE w:val="0"/>
              <w:autoSpaceDN w:val="0"/>
              <w:adjustRightInd w:val="0"/>
              <w:spacing w:line="360" w:lineRule="auto"/>
              <w:jc w:val="center"/>
              <w:rPr>
                <w:rFonts w:ascii="宋体" w:hAnsi="宋体" w:cs="H-SS9-PK74820000032-Identity-H"/>
                <w:kern w:val="0"/>
                <w:szCs w:val="21"/>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13601048">
            <w:pPr>
              <w:autoSpaceDE w:val="0"/>
              <w:autoSpaceDN w:val="0"/>
              <w:adjustRightInd w:val="0"/>
              <w:spacing w:line="360" w:lineRule="auto"/>
              <w:jc w:val="center"/>
              <w:rPr>
                <w:rFonts w:ascii="宋体" w:hAnsi="宋体" w:cs="H-SS9-PK74820000032-Identity-H"/>
                <w:kern w:val="0"/>
                <w:szCs w:val="21"/>
              </w:rPr>
            </w:pPr>
          </w:p>
        </w:tc>
        <w:tc>
          <w:tcPr>
            <w:tcW w:w="1182" w:type="dxa"/>
            <w:tcBorders>
              <w:top w:val="single" w:color="auto" w:sz="4" w:space="0"/>
              <w:left w:val="single" w:color="auto" w:sz="4" w:space="0"/>
              <w:bottom w:val="single" w:color="auto" w:sz="4" w:space="0"/>
              <w:right w:val="single" w:color="auto" w:sz="4" w:space="0"/>
            </w:tcBorders>
            <w:noWrap w:val="0"/>
            <w:vAlign w:val="bottom"/>
          </w:tcPr>
          <w:p w14:paraId="0B0EC619">
            <w:pPr>
              <w:autoSpaceDE w:val="0"/>
              <w:autoSpaceDN w:val="0"/>
              <w:adjustRightInd w:val="0"/>
              <w:spacing w:line="360" w:lineRule="auto"/>
              <w:jc w:val="center"/>
              <w:rPr>
                <w:rFonts w:ascii="宋体" w:hAnsi="宋体" w:cs="H-SS9-PK74820000032-Identity-H"/>
                <w:kern w:val="0"/>
                <w:szCs w:val="21"/>
              </w:rPr>
            </w:pPr>
          </w:p>
        </w:tc>
        <w:tc>
          <w:tcPr>
            <w:tcW w:w="1182" w:type="dxa"/>
            <w:tcBorders>
              <w:top w:val="single" w:color="auto" w:sz="4" w:space="0"/>
              <w:left w:val="single" w:color="auto" w:sz="4" w:space="0"/>
              <w:bottom w:val="single" w:color="auto" w:sz="4" w:space="0"/>
              <w:right w:val="single" w:color="auto" w:sz="4" w:space="0"/>
            </w:tcBorders>
            <w:noWrap w:val="0"/>
            <w:vAlign w:val="bottom"/>
          </w:tcPr>
          <w:p w14:paraId="0FC044E2">
            <w:pPr>
              <w:autoSpaceDE w:val="0"/>
              <w:autoSpaceDN w:val="0"/>
              <w:adjustRightInd w:val="0"/>
              <w:spacing w:line="360" w:lineRule="auto"/>
              <w:jc w:val="center"/>
              <w:rPr>
                <w:rFonts w:ascii="宋体" w:hAnsi="宋体" w:cs="H-SS9-PK74820000032-Identity-H"/>
                <w:kern w:val="0"/>
                <w:szCs w:val="21"/>
              </w:rPr>
            </w:pPr>
          </w:p>
        </w:tc>
        <w:tc>
          <w:tcPr>
            <w:tcW w:w="1521" w:type="dxa"/>
            <w:tcBorders>
              <w:top w:val="single" w:color="auto" w:sz="4" w:space="0"/>
              <w:left w:val="single" w:color="auto" w:sz="4" w:space="0"/>
              <w:bottom w:val="single" w:color="auto" w:sz="4" w:space="0"/>
              <w:right w:val="single" w:color="auto" w:sz="4" w:space="0"/>
            </w:tcBorders>
            <w:noWrap w:val="0"/>
            <w:vAlign w:val="bottom"/>
          </w:tcPr>
          <w:p w14:paraId="15FA7D24">
            <w:pPr>
              <w:autoSpaceDE w:val="0"/>
              <w:autoSpaceDN w:val="0"/>
              <w:adjustRightInd w:val="0"/>
              <w:spacing w:line="360" w:lineRule="auto"/>
              <w:jc w:val="center"/>
              <w:rPr>
                <w:rFonts w:ascii="宋体" w:hAnsi="宋体" w:cs="H-SS9-PK74820000032-Identity-H"/>
                <w:kern w:val="0"/>
                <w:szCs w:val="21"/>
              </w:rPr>
            </w:pPr>
          </w:p>
        </w:tc>
        <w:tc>
          <w:tcPr>
            <w:tcW w:w="845" w:type="dxa"/>
            <w:tcBorders>
              <w:top w:val="single" w:color="auto" w:sz="4" w:space="0"/>
              <w:left w:val="single" w:color="auto" w:sz="4" w:space="0"/>
              <w:bottom w:val="single" w:color="auto" w:sz="4" w:space="0"/>
              <w:right w:val="single" w:color="auto" w:sz="4" w:space="0"/>
            </w:tcBorders>
            <w:noWrap w:val="0"/>
            <w:vAlign w:val="bottom"/>
          </w:tcPr>
          <w:p w14:paraId="056741DC">
            <w:pPr>
              <w:autoSpaceDE w:val="0"/>
              <w:autoSpaceDN w:val="0"/>
              <w:adjustRightInd w:val="0"/>
              <w:spacing w:line="360" w:lineRule="auto"/>
              <w:jc w:val="center"/>
              <w:rPr>
                <w:rFonts w:ascii="宋体" w:hAnsi="宋体" w:cs="H-SS9-PK74820000032-Identity-H"/>
                <w:kern w:val="0"/>
                <w:szCs w:val="21"/>
              </w:rPr>
            </w:pPr>
          </w:p>
        </w:tc>
      </w:tr>
      <w:tr w14:paraId="32BAA580">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bottom"/>
          </w:tcPr>
          <w:p w14:paraId="22191E13">
            <w:pPr>
              <w:autoSpaceDE w:val="0"/>
              <w:autoSpaceDN w:val="0"/>
              <w:adjustRightInd w:val="0"/>
              <w:spacing w:line="360" w:lineRule="auto"/>
              <w:jc w:val="center"/>
              <w:rPr>
                <w:rFonts w:ascii="宋体" w:hAnsi="宋体" w:cs="H-SS9-PK74820000032-Identity-H"/>
                <w:kern w:val="0"/>
                <w:szCs w:val="21"/>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14:paraId="29CEE085">
            <w:pPr>
              <w:autoSpaceDE w:val="0"/>
              <w:autoSpaceDN w:val="0"/>
              <w:adjustRightInd w:val="0"/>
              <w:spacing w:line="360" w:lineRule="auto"/>
              <w:jc w:val="center"/>
              <w:rPr>
                <w:rFonts w:ascii="宋体" w:hAnsi="宋体" w:cs="H-SS9-PK74820000032-Identity-H"/>
                <w:kern w:val="0"/>
                <w:szCs w:val="21"/>
              </w:rPr>
            </w:pPr>
          </w:p>
        </w:tc>
        <w:tc>
          <w:tcPr>
            <w:tcW w:w="1365" w:type="dxa"/>
            <w:tcBorders>
              <w:top w:val="single" w:color="auto" w:sz="4" w:space="0"/>
              <w:left w:val="single" w:color="auto" w:sz="4" w:space="0"/>
              <w:bottom w:val="single" w:color="auto" w:sz="4" w:space="0"/>
              <w:right w:val="single" w:color="auto" w:sz="4" w:space="0"/>
            </w:tcBorders>
            <w:noWrap w:val="0"/>
            <w:vAlign w:val="bottom"/>
          </w:tcPr>
          <w:p w14:paraId="704FA39C">
            <w:pPr>
              <w:autoSpaceDE w:val="0"/>
              <w:autoSpaceDN w:val="0"/>
              <w:adjustRightInd w:val="0"/>
              <w:spacing w:line="360" w:lineRule="auto"/>
              <w:jc w:val="center"/>
              <w:rPr>
                <w:rFonts w:ascii="宋体" w:hAnsi="宋体" w:cs="H-SS9-PK74820000032-Identity-H"/>
                <w:kern w:val="0"/>
                <w:szCs w:val="21"/>
              </w:rPr>
            </w:pPr>
          </w:p>
        </w:tc>
        <w:tc>
          <w:tcPr>
            <w:tcW w:w="1050" w:type="dxa"/>
            <w:tcBorders>
              <w:top w:val="single" w:color="auto" w:sz="4" w:space="0"/>
              <w:left w:val="single" w:color="auto" w:sz="4" w:space="0"/>
              <w:bottom w:val="single" w:color="auto" w:sz="4" w:space="0"/>
              <w:right w:val="single" w:color="auto" w:sz="4" w:space="0"/>
            </w:tcBorders>
            <w:noWrap w:val="0"/>
            <w:vAlign w:val="bottom"/>
          </w:tcPr>
          <w:p w14:paraId="56623CF0">
            <w:pPr>
              <w:autoSpaceDE w:val="0"/>
              <w:autoSpaceDN w:val="0"/>
              <w:adjustRightInd w:val="0"/>
              <w:spacing w:line="360" w:lineRule="auto"/>
              <w:jc w:val="center"/>
              <w:rPr>
                <w:rFonts w:ascii="宋体" w:hAnsi="宋体" w:cs="H-SS9-PK74820000032-Identity-H"/>
                <w:kern w:val="0"/>
                <w:szCs w:val="21"/>
              </w:rPr>
            </w:pPr>
          </w:p>
        </w:tc>
        <w:tc>
          <w:tcPr>
            <w:tcW w:w="1182" w:type="dxa"/>
            <w:tcBorders>
              <w:top w:val="single" w:color="auto" w:sz="4" w:space="0"/>
              <w:left w:val="single" w:color="auto" w:sz="4" w:space="0"/>
              <w:bottom w:val="single" w:color="auto" w:sz="4" w:space="0"/>
              <w:right w:val="single" w:color="auto" w:sz="4" w:space="0"/>
            </w:tcBorders>
            <w:noWrap w:val="0"/>
            <w:vAlign w:val="bottom"/>
          </w:tcPr>
          <w:p w14:paraId="25DE7BC8">
            <w:pPr>
              <w:autoSpaceDE w:val="0"/>
              <w:autoSpaceDN w:val="0"/>
              <w:adjustRightInd w:val="0"/>
              <w:spacing w:line="360" w:lineRule="auto"/>
              <w:jc w:val="center"/>
              <w:rPr>
                <w:rFonts w:ascii="宋体" w:hAnsi="宋体" w:cs="H-SS9-PK74820000032-Identity-H"/>
                <w:kern w:val="0"/>
                <w:szCs w:val="21"/>
              </w:rPr>
            </w:pPr>
          </w:p>
        </w:tc>
        <w:tc>
          <w:tcPr>
            <w:tcW w:w="1182" w:type="dxa"/>
            <w:tcBorders>
              <w:top w:val="single" w:color="auto" w:sz="4" w:space="0"/>
              <w:left w:val="single" w:color="auto" w:sz="4" w:space="0"/>
              <w:bottom w:val="single" w:color="auto" w:sz="4" w:space="0"/>
              <w:right w:val="single" w:color="auto" w:sz="4" w:space="0"/>
            </w:tcBorders>
            <w:noWrap w:val="0"/>
            <w:vAlign w:val="bottom"/>
          </w:tcPr>
          <w:p w14:paraId="4D906EA2">
            <w:pPr>
              <w:autoSpaceDE w:val="0"/>
              <w:autoSpaceDN w:val="0"/>
              <w:adjustRightInd w:val="0"/>
              <w:spacing w:line="360" w:lineRule="auto"/>
              <w:jc w:val="center"/>
              <w:rPr>
                <w:rFonts w:ascii="宋体" w:hAnsi="宋体" w:cs="H-SS9-PK74820000032-Identity-H"/>
                <w:kern w:val="0"/>
                <w:szCs w:val="21"/>
              </w:rPr>
            </w:pPr>
          </w:p>
        </w:tc>
        <w:tc>
          <w:tcPr>
            <w:tcW w:w="1521" w:type="dxa"/>
            <w:tcBorders>
              <w:top w:val="single" w:color="auto" w:sz="4" w:space="0"/>
              <w:left w:val="single" w:color="auto" w:sz="4" w:space="0"/>
              <w:bottom w:val="single" w:color="auto" w:sz="4" w:space="0"/>
              <w:right w:val="single" w:color="auto" w:sz="4" w:space="0"/>
            </w:tcBorders>
            <w:noWrap w:val="0"/>
            <w:vAlign w:val="bottom"/>
          </w:tcPr>
          <w:p w14:paraId="0E4A46A7">
            <w:pPr>
              <w:autoSpaceDE w:val="0"/>
              <w:autoSpaceDN w:val="0"/>
              <w:adjustRightInd w:val="0"/>
              <w:spacing w:line="360" w:lineRule="auto"/>
              <w:jc w:val="center"/>
              <w:rPr>
                <w:rFonts w:ascii="宋体" w:hAnsi="宋体" w:cs="H-SS9-PK74820000032-Identity-H"/>
                <w:kern w:val="0"/>
                <w:szCs w:val="21"/>
              </w:rPr>
            </w:pPr>
          </w:p>
        </w:tc>
        <w:tc>
          <w:tcPr>
            <w:tcW w:w="845" w:type="dxa"/>
            <w:tcBorders>
              <w:top w:val="single" w:color="auto" w:sz="4" w:space="0"/>
              <w:left w:val="single" w:color="auto" w:sz="4" w:space="0"/>
              <w:bottom w:val="single" w:color="auto" w:sz="4" w:space="0"/>
              <w:right w:val="single" w:color="auto" w:sz="4" w:space="0"/>
            </w:tcBorders>
            <w:noWrap w:val="0"/>
            <w:vAlign w:val="bottom"/>
          </w:tcPr>
          <w:p w14:paraId="76727FD7">
            <w:pPr>
              <w:autoSpaceDE w:val="0"/>
              <w:autoSpaceDN w:val="0"/>
              <w:adjustRightInd w:val="0"/>
              <w:spacing w:line="360" w:lineRule="auto"/>
              <w:jc w:val="center"/>
              <w:rPr>
                <w:rFonts w:ascii="宋体" w:hAnsi="宋体" w:cs="H-SS9-PK74820000032-Identity-H"/>
                <w:kern w:val="0"/>
                <w:szCs w:val="21"/>
              </w:rPr>
            </w:pPr>
          </w:p>
        </w:tc>
      </w:tr>
    </w:tbl>
    <w:p w14:paraId="0A6D2C9A">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６　施工设备和临时设施</w:t>
      </w:r>
    </w:p>
    <w:p w14:paraId="6D140A5A">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6.2　发包人提供的施工设备和临时设施</w:t>
      </w:r>
    </w:p>
    <w:p w14:paraId="3A5781FC">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H-SS9-PK74820000032-Identity-H"/>
          <w:kern w:val="0"/>
          <w:szCs w:val="21"/>
        </w:rPr>
        <w:t>（</w:t>
      </w:r>
      <w:r>
        <w:rPr>
          <w:rFonts w:hint="eastAsia" w:ascii="宋体" w:hAnsi="宋体" w:cs="E-BZ9-PK7483cf-Identity-H"/>
          <w:kern w:val="0"/>
          <w:szCs w:val="21"/>
        </w:rPr>
        <w:t>１</w:t>
      </w:r>
      <w:r>
        <w:rPr>
          <w:rFonts w:hint="eastAsia" w:ascii="宋体" w:hAnsi="宋体" w:cs="H-SS9-PK74820000032-Identity-H"/>
          <w:kern w:val="0"/>
          <w:szCs w:val="21"/>
        </w:rPr>
        <w:t>）</w:t>
      </w:r>
      <w:r>
        <w:rPr>
          <w:rFonts w:hint="eastAsia" w:ascii="宋体" w:hAnsi="宋体" w:cs="SSJ-PK7482000002d-Identity-H"/>
          <w:kern w:val="0"/>
          <w:szCs w:val="21"/>
        </w:rPr>
        <w:t>发包人提供的施工设备见下表</w:t>
      </w:r>
      <w:r>
        <w:rPr>
          <w:rFonts w:hint="eastAsia" w:ascii="宋体" w:hAnsi="宋体" w:cs="H-SS9-PK74820000032-Identity-H"/>
          <w:kern w:val="0"/>
          <w:szCs w:val="21"/>
        </w:rPr>
        <w:t>：</w:t>
      </w:r>
    </w:p>
    <w:p w14:paraId="0F710274">
      <w:pPr>
        <w:autoSpaceDE w:val="0"/>
        <w:autoSpaceDN w:val="0"/>
        <w:adjustRightInd w:val="0"/>
        <w:spacing w:line="360" w:lineRule="auto"/>
        <w:ind w:firstLine="3045" w:firstLineChars="1450"/>
        <w:jc w:val="left"/>
        <w:rPr>
          <w:rFonts w:hint="eastAsia" w:ascii="宋体" w:hAnsi="宋体" w:cs="H-SS9-PK74820000032-Identity-H"/>
          <w:kern w:val="0"/>
          <w:szCs w:val="21"/>
        </w:rPr>
      </w:pPr>
      <w:r>
        <w:rPr>
          <w:rFonts w:hint="eastAsia" w:ascii="宋体" w:hAnsi="宋体" w:cs="H-SS9-PK74820000032-Identity-H"/>
          <w:kern w:val="0"/>
          <w:szCs w:val="21"/>
        </w:rPr>
        <w:t>发包人提供的施工设备表（参考格式）</w:t>
      </w:r>
    </w:p>
    <w:tbl>
      <w:tblPr>
        <w:tblStyle w:val="23"/>
        <w:tblW w:w="0" w:type="auto"/>
        <w:tblInd w:w="0" w:type="dxa"/>
        <w:tblLayout w:type="fixed"/>
        <w:tblCellMar>
          <w:top w:w="0" w:type="dxa"/>
          <w:left w:w="108" w:type="dxa"/>
          <w:bottom w:w="0" w:type="dxa"/>
          <w:right w:w="108" w:type="dxa"/>
        </w:tblCellMar>
      </w:tblPr>
      <w:tblGrid>
        <w:gridCol w:w="738"/>
        <w:gridCol w:w="1626"/>
        <w:gridCol w:w="1314"/>
        <w:gridCol w:w="1155"/>
        <w:gridCol w:w="840"/>
        <w:gridCol w:w="1155"/>
        <w:gridCol w:w="1680"/>
        <w:gridCol w:w="950"/>
      </w:tblGrid>
      <w:tr w14:paraId="6A7588DD">
        <w:trPr>
          <w:trHeight w:val="580" w:hRule="atLeast"/>
        </w:trPr>
        <w:tc>
          <w:tcPr>
            <w:tcW w:w="738" w:type="dxa"/>
            <w:tcBorders>
              <w:top w:val="single" w:color="auto" w:sz="4" w:space="0"/>
              <w:left w:val="single" w:color="auto" w:sz="4" w:space="0"/>
              <w:bottom w:val="single" w:color="auto" w:sz="4" w:space="0"/>
              <w:right w:val="single" w:color="auto" w:sz="4" w:space="0"/>
            </w:tcBorders>
            <w:noWrap w:val="0"/>
            <w:vAlign w:val="bottom"/>
          </w:tcPr>
          <w:p w14:paraId="7885C305">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序号</w:t>
            </w:r>
          </w:p>
        </w:tc>
        <w:tc>
          <w:tcPr>
            <w:tcW w:w="1626" w:type="dxa"/>
            <w:tcBorders>
              <w:top w:val="single" w:color="auto" w:sz="4" w:space="0"/>
              <w:left w:val="single" w:color="auto" w:sz="4" w:space="0"/>
              <w:bottom w:val="single" w:color="auto" w:sz="4" w:space="0"/>
              <w:right w:val="single" w:color="auto" w:sz="4" w:space="0"/>
            </w:tcBorders>
            <w:noWrap w:val="0"/>
            <w:vAlign w:val="bottom"/>
          </w:tcPr>
          <w:p w14:paraId="36B1EA6D">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施工设备名称</w:t>
            </w:r>
          </w:p>
        </w:tc>
        <w:tc>
          <w:tcPr>
            <w:tcW w:w="1314" w:type="dxa"/>
            <w:tcBorders>
              <w:top w:val="single" w:color="auto" w:sz="4" w:space="0"/>
              <w:left w:val="single" w:color="auto" w:sz="4" w:space="0"/>
              <w:bottom w:val="single" w:color="auto" w:sz="4" w:space="0"/>
              <w:right w:val="single" w:color="auto" w:sz="4" w:space="0"/>
            </w:tcBorders>
            <w:noWrap w:val="0"/>
            <w:vAlign w:val="bottom"/>
          </w:tcPr>
          <w:p w14:paraId="24238B9D">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型号及规格</w:t>
            </w:r>
          </w:p>
        </w:tc>
        <w:tc>
          <w:tcPr>
            <w:tcW w:w="1155" w:type="dxa"/>
            <w:tcBorders>
              <w:top w:val="single" w:color="auto" w:sz="4" w:space="0"/>
              <w:left w:val="single" w:color="auto" w:sz="4" w:space="0"/>
              <w:bottom w:val="single" w:color="auto" w:sz="4" w:space="0"/>
              <w:right w:val="single" w:color="auto" w:sz="4" w:space="0"/>
            </w:tcBorders>
            <w:noWrap w:val="0"/>
            <w:vAlign w:val="bottom"/>
          </w:tcPr>
          <w:p w14:paraId="0BE7EA67">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设备状况</w:t>
            </w:r>
          </w:p>
        </w:tc>
        <w:tc>
          <w:tcPr>
            <w:tcW w:w="840" w:type="dxa"/>
            <w:tcBorders>
              <w:top w:val="single" w:color="auto" w:sz="4" w:space="0"/>
              <w:left w:val="single" w:color="auto" w:sz="4" w:space="0"/>
              <w:bottom w:val="single" w:color="auto" w:sz="4" w:space="0"/>
              <w:right w:val="single" w:color="auto" w:sz="4" w:space="0"/>
            </w:tcBorders>
            <w:noWrap w:val="0"/>
            <w:vAlign w:val="bottom"/>
          </w:tcPr>
          <w:p w14:paraId="0CF81A80">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数量</w:t>
            </w:r>
          </w:p>
        </w:tc>
        <w:tc>
          <w:tcPr>
            <w:tcW w:w="1155" w:type="dxa"/>
            <w:tcBorders>
              <w:top w:val="single" w:color="auto" w:sz="4" w:space="0"/>
              <w:left w:val="single" w:color="auto" w:sz="4" w:space="0"/>
              <w:bottom w:val="single" w:color="auto" w:sz="4" w:space="0"/>
              <w:right w:val="single" w:color="auto" w:sz="4" w:space="0"/>
            </w:tcBorders>
            <w:noWrap w:val="0"/>
            <w:vAlign w:val="bottom"/>
          </w:tcPr>
          <w:p w14:paraId="5D6F2867">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移交地点</w:t>
            </w:r>
          </w:p>
        </w:tc>
        <w:tc>
          <w:tcPr>
            <w:tcW w:w="1680" w:type="dxa"/>
            <w:tcBorders>
              <w:top w:val="single" w:color="auto" w:sz="4" w:space="0"/>
              <w:left w:val="single" w:color="auto" w:sz="4" w:space="0"/>
              <w:bottom w:val="single" w:color="auto" w:sz="4" w:space="0"/>
              <w:right w:val="single" w:color="auto" w:sz="4" w:space="0"/>
            </w:tcBorders>
            <w:noWrap w:val="0"/>
            <w:vAlign w:val="bottom"/>
          </w:tcPr>
          <w:p w14:paraId="66838AF6">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计划移交日期</w:t>
            </w:r>
          </w:p>
        </w:tc>
        <w:tc>
          <w:tcPr>
            <w:tcW w:w="950" w:type="dxa"/>
            <w:tcBorders>
              <w:top w:val="single" w:color="auto" w:sz="4" w:space="0"/>
              <w:left w:val="single" w:color="auto" w:sz="4" w:space="0"/>
              <w:bottom w:val="single" w:color="auto" w:sz="4" w:space="0"/>
              <w:right w:val="single" w:color="auto" w:sz="4" w:space="0"/>
            </w:tcBorders>
            <w:noWrap w:val="0"/>
            <w:vAlign w:val="bottom"/>
          </w:tcPr>
          <w:p w14:paraId="3980077C">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备注</w:t>
            </w:r>
          </w:p>
        </w:tc>
      </w:tr>
      <w:tr w14:paraId="09E62432">
        <w:tblPrEx>
          <w:tblCellMar>
            <w:top w:w="0" w:type="dxa"/>
            <w:left w:w="108" w:type="dxa"/>
            <w:bottom w:w="0" w:type="dxa"/>
            <w:right w:w="108" w:type="dxa"/>
          </w:tblCellMar>
        </w:tblPrEx>
        <w:trPr>
          <w:trHeight w:val="445" w:hRule="atLeast"/>
        </w:trPr>
        <w:tc>
          <w:tcPr>
            <w:tcW w:w="738" w:type="dxa"/>
            <w:tcBorders>
              <w:top w:val="single" w:color="auto" w:sz="4" w:space="0"/>
              <w:left w:val="single" w:color="auto" w:sz="4" w:space="0"/>
              <w:bottom w:val="single" w:color="auto" w:sz="4" w:space="0"/>
              <w:right w:val="single" w:color="auto" w:sz="4" w:space="0"/>
            </w:tcBorders>
            <w:noWrap w:val="0"/>
            <w:vAlign w:val="bottom"/>
          </w:tcPr>
          <w:p w14:paraId="5B062A6D">
            <w:pPr>
              <w:autoSpaceDE w:val="0"/>
              <w:autoSpaceDN w:val="0"/>
              <w:adjustRightInd w:val="0"/>
              <w:spacing w:line="360" w:lineRule="auto"/>
              <w:jc w:val="center"/>
              <w:rPr>
                <w:rFonts w:ascii="宋体" w:hAnsi="宋体" w:cs="H-SS9-PK74820000032-Identity-H"/>
                <w:kern w:val="0"/>
                <w:szCs w:val="21"/>
              </w:rPr>
            </w:pPr>
          </w:p>
        </w:tc>
        <w:tc>
          <w:tcPr>
            <w:tcW w:w="1626" w:type="dxa"/>
            <w:tcBorders>
              <w:top w:val="single" w:color="auto" w:sz="4" w:space="0"/>
              <w:left w:val="single" w:color="auto" w:sz="4" w:space="0"/>
              <w:bottom w:val="single" w:color="auto" w:sz="4" w:space="0"/>
              <w:right w:val="single" w:color="auto" w:sz="4" w:space="0"/>
            </w:tcBorders>
            <w:noWrap w:val="0"/>
            <w:vAlign w:val="bottom"/>
          </w:tcPr>
          <w:p w14:paraId="23073343">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无</w:t>
            </w:r>
          </w:p>
        </w:tc>
        <w:tc>
          <w:tcPr>
            <w:tcW w:w="1314" w:type="dxa"/>
            <w:tcBorders>
              <w:top w:val="single" w:color="auto" w:sz="4" w:space="0"/>
              <w:left w:val="single" w:color="auto" w:sz="4" w:space="0"/>
              <w:bottom w:val="single" w:color="auto" w:sz="4" w:space="0"/>
              <w:right w:val="single" w:color="auto" w:sz="4" w:space="0"/>
            </w:tcBorders>
            <w:noWrap w:val="0"/>
            <w:vAlign w:val="bottom"/>
          </w:tcPr>
          <w:p w14:paraId="5E984C49">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7B856C6C">
            <w:pPr>
              <w:autoSpaceDE w:val="0"/>
              <w:autoSpaceDN w:val="0"/>
              <w:adjustRightInd w:val="0"/>
              <w:spacing w:line="360" w:lineRule="auto"/>
              <w:jc w:val="center"/>
              <w:rPr>
                <w:rFonts w:ascii="宋体" w:hAnsi="宋体" w:cs="H-SS9-PK74820000032-Identity-H"/>
                <w:kern w:val="0"/>
                <w:szCs w:val="21"/>
              </w:rPr>
            </w:pPr>
          </w:p>
        </w:tc>
        <w:tc>
          <w:tcPr>
            <w:tcW w:w="840" w:type="dxa"/>
            <w:tcBorders>
              <w:top w:val="single" w:color="auto" w:sz="4" w:space="0"/>
              <w:left w:val="single" w:color="auto" w:sz="4" w:space="0"/>
              <w:bottom w:val="single" w:color="auto" w:sz="4" w:space="0"/>
              <w:right w:val="single" w:color="auto" w:sz="4" w:space="0"/>
            </w:tcBorders>
            <w:noWrap w:val="0"/>
            <w:vAlign w:val="bottom"/>
          </w:tcPr>
          <w:p w14:paraId="06B27175">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17448E33">
            <w:pPr>
              <w:autoSpaceDE w:val="0"/>
              <w:autoSpaceDN w:val="0"/>
              <w:adjustRightInd w:val="0"/>
              <w:spacing w:line="360" w:lineRule="auto"/>
              <w:jc w:val="center"/>
              <w:rPr>
                <w:rFonts w:ascii="宋体" w:hAnsi="宋体" w:cs="H-SS9-PK74820000032-Identity-H"/>
                <w:kern w:val="0"/>
                <w:szCs w:val="21"/>
              </w:rPr>
            </w:pPr>
          </w:p>
        </w:tc>
        <w:tc>
          <w:tcPr>
            <w:tcW w:w="1680" w:type="dxa"/>
            <w:tcBorders>
              <w:top w:val="single" w:color="auto" w:sz="4" w:space="0"/>
              <w:left w:val="single" w:color="auto" w:sz="4" w:space="0"/>
              <w:bottom w:val="single" w:color="auto" w:sz="4" w:space="0"/>
              <w:right w:val="single" w:color="auto" w:sz="4" w:space="0"/>
            </w:tcBorders>
            <w:noWrap w:val="0"/>
            <w:vAlign w:val="bottom"/>
          </w:tcPr>
          <w:p w14:paraId="467911B2">
            <w:pPr>
              <w:autoSpaceDE w:val="0"/>
              <w:autoSpaceDN w:val="0"/>
              <w:adjustRightInd w:val="0"/>
              <w:spacing w:line="360" w:lineRule="auto"/>
              <w:jc w:val="center"/>
              <w:rPr>
                <w:rFonts w:ascii="宋体" w:hAnsi="宋体" w:cs="H-SS9-PK74820000032-Identity-H"/>
                <w:kern w:val="0"/>
                <w:szCs w:val="21"/>
              </w:rPr>
            </w:pPr>
          </w:p>
        </w:tc>
        <w:tc>
          <w:tcPr>
            <w:tcW w:w="950" w:type="dxa"/>
            <w:tcBorders>
              <w:top w:val="single" w:color="auto" w:sz="4" w:space="0"/>
              <w:left w:val="single" w:color="auto" w:sz="4" w:space="0"/>
              <w:bottom w:val="single" w:color="auto" w:sz="4" w:space="0"/>
              <w:right w:val="single" w:color="auto" w:sz="4" w:space="0"/>
            </w:tcBorders>
            <w:noWrap w:val="0"/>
            <w:vAlign w:val="bottom"/>
          </w:tcPr>
          <w:p w14:paraId="536171EE">
            <w:pPr>
              <w:autoSpaceDE w:val="0"/>
              <w:autoSpaceDN w:val="0"/>
              <w:adjustRightInd w:val="0"/>
              <w:spacing w:line="360" w:lineRule="auto"/>
              <w:jc w:val="center"/>
              <w:rPr>
                <w:rFonts w:ascii="宋体" w:hAnsi="宋体" w:cs="H-SS9-PK74820000032-Identity-H"/>
                <w:kern w:val="0"/>
                <w:szCs w:val="21"/>
              </w:rPr>
            </w:pPr>
          </w:p>
        </w:tc>
      </w:tr>
      <w:tr w14:paraId="3F3A6B81">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bottom"/>
          </w:tcPr>
          <w:p w14:paraId="177F5838">
            <w:pPr>
              <w:autoSpaceDE w:val="0"/>
              <w:autoSpaceDN w:val="0"/>
              <w:adjustRightInd w:val="0"/>
              <w:spacing w:line="360" w:lineRule="auto"/>
              <w:jc w:val="center"/>
              <w:rPr>
                <w:rFonts w:ascii="宋体" w:hAnsi="宋体" w:cs="H-SS9-PK74820000032-Identity-H"/>
                <w:kern w:val="0"/>
                <w:szCs w:val="21"/>
              </w:rPr>
            </w:pPr>
          </w:p>
        </w:tc>
        <w:tc>
          <w:tcPr>
            <w:tcW w:w="1626" w:type="dxa"/>
            <w:tcBorders>
              <w:top w:val="single" w:color="auto" w:sz="4" w:space="0"/>
              <w:left w:val="single" w:color="auto" w:sz="4" w:space="0"/>
              <w:bottom w:val="single" w:color="auto" w:sz="4" w:space="0"/>
              <w:right w:val="single" w:color="auto" w:sz="4" w:space="0"/>
            </w:tcBorders>
            <w:noWrap w:val="0"/>
            <w:vAlign w:val="bottom"/>
          </w:tcPr>
          <w:p w14:paraId="5AC2A134">
            <w:pPr>
              <w:autoSpaceDE w:val="0"/>
              <w:autoSpaceDN w:val="0"/>
              <w:adjustRightInd w:val="0"/>
              <w:spacing w:line="360" w:lineRule="auto"/>
              <w:jc w:val="center"/>
              <w:rPr>
                <w:rFonts w:ascii="宋体" w:hAnsi="宋体" w:cs="H-SS9-PK74820000032-Identity-H"/>
                <w:kern w:val="0"/>
                <w:szCs w:val="21"/>
              </w:rPr>
            </w:pPr>
          </w:p>
        </w:tc>
        <w:tc>
          <w:tcPr>
            <w:tcW w:w="1314" w:type="dxa"/>
            <w:tcBorders>
              <w:top w:val="single" w:color="auto" w:sz="4" w:space="0"/>
              <w:left w:val="single" w:color="auto" w:sz="4" w:space="0"/>
              <w:bottom w:val="single" w:color="auto" w:sz="4" w:space="0"/>
              <w:right w:val="single" w:color="auto" w:sz="4" w:space="0"/>
            </w:tcBorders>
            <w:noWrap w:val="0"/>
            <w:vAlign w:val="bottom"/>
          </w:tcPr>
          <w:p w14:paraId="46CF3D1D">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351267AA">
            <w:pPr>
              <w:autoSpaceDE w:val="0"/>
              <w:autoSpaceDN w:val="0"/>
              <w:adjustRightInd w:val="0"/>
              <w:spacing w:line="360" w:lineRule="auto"/>
              <w:jc w:val="center"/>
              <w:rPr>
                <w:rFonts w:ascii="宋体" w:hAnsi="宋体" w:cs="H-SS9-PK74820000032-Identity-H"/>
                <w:kern w:val="0"/>
                <w:szCs w:val="21"/>
              </w:rPr>
            </w:pPr>
          </w:p>
        </w:tc>
        <w:tc>
          <w:tcPr>
            <w:tcW w:w="840" w:type="dxa"/>
            <w:tcBorders>
              <w:top w:val="single" w:color="auto" w:sz="4" w:space="0"/>
              <w:left w:val="single" w:color="auto" w:sz="4" w:space="0"/>
              <w:bottom w:val="single" w:color="auto" w:sz="4" w:space="0"/>
              <w:right w:val="single" w:color="auto" w:sz="4" w:space="0"/>
            </w:tcBorders>
            <w:noWrap w:val="0"/>
            <w:vAlign w:val="bottom"/>
          </w:tcPr>
          <w:p w14:paraId="298010D6">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7AD13878">
            <w:pPr>
              <w:autoSpaceDE w:val="0"/>
              <w:autoSpaceDN w:val="0"/>
              <w:adjustRightInd w:val="0"/>
              <w:spacing w:line="360" w:lineRule="auto"/>
              <w:jc w:val="center"/>
              <w:rPr>
                <w:rFonts w:ascii="宋体" w:hAnsi="宋体" w:cs="H-SS9-PK74820000032-Identity-H"/>
                <w:kern w:val="0"/>
                <w:szCs w:val="21"/>
              </w:rPr>
            </w:pPr>
          </w:p>
        </w:tc>
        <w:tc>
          <w:tcPr>
            <w:tcW w:w="1680" w:type="dxa"/>
            <w:tcBorders>
              <w:top w:val="single" w:color="auto" w:sz="4" w:space="0"/>
              <w:left w:val="single" w:color="auto" w:sz="4" w:space="0"/>
              <w:bottom w:val="single" w:color="auto" w:sz="4" w:space="0"/>
              <w:right w:val="single" w:color="auto" w:sz="4" w:space="0"/>
            </w:tcBorders>
            <w:noWrap w:val="0"/>
            <w:vAlign w:val="bottom"/>
          </w:tcPr>
          <w:p w14:paraId="5E77BAA3">
            <w:pPr>
              <w:autoSpaceDE w:val="0"/>
              <w:autoSpaceDN w:val="0"/>
              <w:adjustRightInd w:val="0"/>
              <w:spacing w:line="360" w:lineRule="auto"/>
              <w:jc w:val="center"/>
              <w:rPr>
                <w:rFonts w:ascii="宋体" w:hAnsi="宋体" w:cs="H-SS9-PK74820000032-Identity-H"/>
                <w:kern w:val="0"/>
                <w:szCs w:val="21"/>
              </w:rPr>
            </w:pPr>
          </w:p>
        </w:tc>
        <w:tc>
          <w:tcPr>
            <w:tcW w:w="950" w:type="dxa"/>
            <w:tcBorders>
              <w:top w:val="single" w:color="auto" w:sz="4" w:space="0"/>
              <w:left w:val="single" w:color="auto" w:sz="4" w:space="0"/>
              <w:bottom w:val="single" w:color="auto" w:sz="4" w:space="0"/>
              <w:right w:val="single" w:color="auto" w:sz="4" w:space="0"/>
            </w:tcBorders>
            <w:noWrap w:val="0"/>
            <w:vAlign w:val="bottom"/>
          </w:tcPr>
          <w:p w14:paraId="5DB546F5">
            <w:pPr>
              <w:autoSpaceDE w:val="0"/>
              <w:autoSpaceDN w:val="0"/>
              <w:adjustRightInd w:val="0"/>
              <w:spacing w:line="360" w:lineRule="auto"/>
              <w:jc w:val="center"/>
              <w:rPr>
                <w:rFonts w:ascii="宋体" w:hAnsi="宋体" w:cs="H-SS9-PK74820000032-Identity-H"/>
                <w:kern w:val="0"/>
                <w:szCs w:val="21"/>
              </w:rPr>
            </w:pPr>
          </w:p>
        </w:tc>
      </w:tr>
      <w:tr w14:paraId="797FA6E3">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bottom"/>
          </w:tcPr>
          <w:p w14:paraId="43E9FC1B">
            <w:pPr>
              <w:autoSpaceDE w:val="0"/>
              <w:autoSpaceDN w:val="0"/>
              <w:adjustRightInd w:val="0"/>
              <w:spacing w:line="360" w:lineRule="auto"/>
              <w:jc w:val="center"/>
              <w:rPr>
                <w:rFonts w:ascii="宋体" w:hAnsi="宋体" w:cs="H-SS9-PK74820000032-Identity-H"/>
                <w:kern w:val="0"/>
                <w:szCs w:val="21"/>
              </w:rPr>
            </w:pPr>
          </w:p>
        </w:tc>
        <w:tc>
          <w:tcPr>
            <w:tcW w:w="1626" w:type="dxa"/>
            <w:tcBorders>
              <w:top w:val="single" w:color="auto" w:sz="4" w:space="0"/>
              <w:left w:val="single" w:color="auto" w:sz="4" w:space="0"/>
              <w:bottom w:val="single" w:color="auto" w:sz="4" w:space="0"/>
              <w:right w:val="single" w:color="auto" w:sz="4" w:space="0"/>
            </w:tcBorders>
            <w:noWrap w:val="0"/>
            <w:vAlign w:val="bottom"/>
          </w:tcPr>
          <w:p w14:paraId="62B9D16A">
            <w:pPr>
              <w:autoSpaceDE w:val="0"/>
              <w:autoSpaceDN w:val="0"/>
              <w:adjustRightInd w:val="0"/>
              <w:spacing w:line="360" w:lineRule="auto"/>
              <w:jc w:val="center"/>
              <w:rPr>
                <w:rFonts w:ascii="宋体" w:hAnsi="宋体" w:cs="H-SS9-PK74820000032-Identity-H"/>
                <w:kern w:val="0"/>
                <w:szCs w:val="21"/>
              </w:rPr>
            </w:pPr>
          </w:p>
        </w:tc>
        <w:tc>
          <w:tcPr>
            <w:tcW w:w="1314" w:type="dxa"/>
            <w:tcBorders>
              <w:top w:val="single" w:color="auto" w:sz="4" w:space="0"/>
              <w:left w:val="single" w:color="auto" w:sz="4" w:space="0"/>
              <w:bottom w:val="single" w:color="auto" w:sz="4" w:space="0"/>
              <w:right w:val="single" w:color="auto" w:sz="4" w:space="0"/>
            </w:tcBorders>
            <w:noWrap w:val="0"/>
            <w:vAlign w:val="bottom"/>
          </w:tcPr>
          <w:p w14:paraId="7B5C93B8">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26759191">
            <w:pPr>
              <w:autoSpaceDE w:val="0"/>
              <w:autoSpaceDN w:val="0"/>
              <w:adjustRightInd w:val="0"/>
              <w:spacing w:line="360" w:lineRule="auto"/>
              <w:jc w:val="center"/>
              <w:rPr>
                <w:rFonts w:ascii="宋体" w:hAnsi="宋体" w:cs="H-SS9-PK74820000032-Identity-H"/>
                <w:kern w:val="0"/>
                <w:szCs w:val="21"/>
              </w:rPr>
            </w:pPr>
          </w:p>
        </w:tc>
        <w:tc>
          <w:tcPr>
            <w:tcW w:w="840" w:type="dxa"/>
            <w:tcBorders>
              <w:top w:val="single" w:color="auto" w:sz="4" w:space="0"/>
              <w:left w:val="single" w:color="auto" w:sz="4" w:space="0"/>
              <w:bottom w:val="single" w:color="auto" w:sz="4" w:space="0"/>
              <w:right w:val="single" w:color="auto" w:sz="4" w:space="0"/>
            </w:tcBorders>
            <w:noWrap w:val="0"/>
            <w:vAlign w:val="bottom"/>
          </w:tcPr>
          <w:p w14:paraId="08ADA8F5">
            <w:pPr>
              <w:autoSpaceDE w:val="0"/>
              <w:autoSpaceDN w:val="0"/>
              <w:adjustRightInd w:val="0"/>
              <w:spacing w:line="360" w:lineRule="auto"/>
              <w:jc w:val="center"/>
              <w:rPr>
                <w:rFonts w:ascii="宋体" w:hAnsi="宋体" w:cs="H-SS9-PK74820000032-Identity-H"/>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bottom"/>
          </w:tcPr>
          <w:p w14:paraId="698BAE00">
            <w:pPr>
              <w:autoSpaceDE w:val="0"/>
              <w:autoSpaceDN w:val="0"/>
              <w:adjustRightInd w:val="0"/>
              <w:spacing w:line="360" w:lineRule="auto"/>
              <w:jc w:val="center"/>
              <w:rPr>
                <w:rFonts w:ascii="宋体" w:hAnsi="宋体" w:cs="H-SS9-PK74820000032-Identity-H"/>
                <w:kern w:val="0"/>
                <w:szCs w:val="21"/>
              </w:rPr>
            </w:pPr>
          </w:p>
        </w:tc>
        <w:tc>
          <w:tcPr>
            <w:tcW w:w="1680" w:type="dxa"/>
            <w:tcBorders>
              <w:top w:val="single" w:color="auto" w:sz="4" w:space="0"/>
              <w:left w:val="single" w:color="auto" w:sz="4" w:space="0"/>
              <w:bottom w:val="single" w:color="auto" w:sz="4" w:space="0"/>
              <w:right w:val="single" w:color="auto" w:sz="4" w:space="0"/>
            </w:tcBorders>
            <w:noWrap w:val="0"/>
            <w:vAlign w:val="bottom"/>
          </w:tcPr>
          <w:p w14:paraId="44B292B6">
            <w:pPr>
              <w:autoSpaceDE w:val="0"/>
              <w:autoSpaceDN w:val="0"/>
              <w:adjustRightInd w:val="0"/>
              <w:spacing w:line="360" w:lineRule="auto"/>
              <w:jc w:val="center"/>
              <w:rPr>
                <w:rFonts w:ascii="宋体" w:hAnsi="宋体" w:cs="H-SS9-PK74820000032-Identity-H"/>
                <w:kern w:val="0"/>
                <w:szCs w:val="21"/>
              </w:rPr>
            </w:pPr>
          </w:p>
        </w:tc>
        <w:tc>
          <w:tcPr>
            <w:tcW w:w="950" w:type="dxa"/>
            <w:tcBorders>
              <w:top w:val="single" w:color="auto" w:sz="4" w:space="0"/>
              <w:left w:val="single" w:color="auto" w:sz="4" w:space="0"/>
              <w:bottom w:val="single" w:color="auto" w:sz="4" w:space="0"/>
              <w:right w:val="single" w:color="auto" w:sz="4" w:space="0"/>
            </w:tcBorders>
            <w:noWrap w:val="0"/>
            <w:vAlign w:val="bottom"/>
          </w:tcPr>
          <w:p w14:paraId="46636288">
            <w:pPr>
              <w:autoSpaceDE w:val="0"/>
              <w:autoSpaceDN w:val="0"/>
              <w:adjustRightInd w:val="0"/>
              <w:spacing w:line="360" w:lineRule="auto"/>
              <w:jc w:val="center"/>
              <w:rPr>
                <w:rFonts w:ascii="宋体" w:hAnsi="宋体" w:cs="H-SS9-PK74820000032-Identity-H"/>
                <w:kern w:val="0"/>
                <w:szCs w:val="21"/>
              </w:rPr>
            </w:pPr>
          </w:p>
        </w:tc>
      </w:tr>
    </w:tbl>
    <w:p w14:paraId="7CBEFFA2">
      <w:pPr>
        <w:autoSpaceDE w:val="0"/>
        <w:autoSpaceDN w:val="0"/>
        <w:adjustRightInd w:val="0"/>
        <w:spacing w:line="360" w:lineRule="auto"/>
        <w:jc w:val="left"/>
        <w:rPr>
          <w:rFonts w:hint="eastAsia" w:ascii="宋体" w:hAnsi="宋体" w:cs="H-SS9-PK74820000032-Identity-H"/>
          <w:kern w:val="0"/>
          <w:szCs w:val="21"/>
        </w:rPr>
      </w:pPr>
      <w:r>
        <w:rPr>
          <w:rFonts w:hint="eastAsia" w:ascii="宋体" w:hAnsi="宋体" w:cs="H-SS9-PK74820000032-Identity-H"/>
          <w:kern w:val="0"/>
          <w:szCs w:val="21"/>
        </w:rPr>
        <w:t>注  设备状况栏内填写该设备的新旧程度、购进时间、已使用小时数和最近一次的大修时间。</w:t>
      </w:r>
    </w:p>
    <w:p w14:paraId="54CED74E">
      <w:pPr>
        <w:autoSpaceDE w:val="0"/>
        <w:autoSpaceDN w:val="0"/>
        <w:adjustRightInd w:val="0"/>
        <w:spacing w:line="360" w:lineRule="auto"/>
        <w:ind w:firstLine="420" w:firstLineChars="200"/>
        <w:jc w:val="left"/>
        <w:rPr>
          <w:rFonts w:hint="eastAsia" w:ascii="宋体" w:hAnsi="宋体" w:cs="SSJ-PK7482000002d-Identity-H"/>
          <w:kern w:val="0"/>
          <w:szCs w:val="21"/>
        </w:rPr>
      </w:pPr>
      <w:r>
        <w:rPr>
          <w:rFonts w:hint="eastAsia" w:ascii="宋体" w:hAnsi="宋体" w:cs="SSJ-PK7482000002d-Identity-H"/>
          <w:kern w:val="0"/>
          <w:szCs w:val="21"/>
        </w:rPr>
        <w:t>（２）发包人提供的临时设施：</w:t>
      </w:r>
      <w:r>
        <w:rPr>
          <w:rFonts w:hint="eastAsia" w:ascii="宋体" w:hAnsi="宋体" w:cs="SSJ-PK7482000002d-Identity-H"/>
          <w:kern w:val="0"/>
          <w:szCs w:val="21"/>
          <w:u w:val="single"/>
        </w:rPr>
        <w:t xml:space="preserve">       /        </w:t>
      </w:r>
      <w:r>
        <w:rPr>
          <w:rFonts w:hint="eastAsia" w:ascii="宋体" w:hAnsi="宋体" w:cs="SSJ-PK7482000002d-Identity-H"/>
          <w:kern w:val="0"/>
          <w:szCs w:val="21"/>
        </w:rPr>
        <w:t>。</w:t>
      </w:r>
    </w:p>
    <w:p w14:paraId="62506CE7">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７　交通运输</w:t>
      </w:r>
    </w:p>
    <w:p w14:paraId="6A5EADD3">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7.1　道路通行权和场外设施</w:t>
      </w:r>
    </w:p>
    <w:p w14:paraId="3DF014CB">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SSJ-PK7482000002d-Identity-H"/>
          <w:kern w:val="0"/>
          <w:szCs w:val="21"/>
        </w:rPr>
        <w:t>道路通行权和场外设施的约定</w:t>
      </w:r>
      <w:r>
        <w:rPr>
          <w:rFonts w:hint="eastAsia" w:ascii="宋体" w:hAnsi="宋体" w:cs="H-SS9-PK74820000032-Identity-H"/>
          <w:kern w:val="0"/>
          <w:szCs w:val="21"/>
        </w:rPr>
        <w:t>：</w:t>
      </w:r>
      <w:r>
        <w:rPr>
          <w:rFonts w:hint="eastAsia" w:ascii="宋体" w:hAnsi="宋体" w:cs="H-SS9-PK74820000032-Identity-H"/>
          <w:kern w:val="0"/>
          <w:szCs w:val="21"/>
          <w:u w:val="single"/>
        </w:rPr>
        <w:t xml:space="preserve">        /         </w:t>
      </w:r>
      <w:r>
        <w:rPr>
          <w:rFonts w:hint="eastAsia" w:ascii="宋体" w:hAnsi="宋体" w:cs="H-SS9-PK74820000032-Identity-H"/>
          <w:kern w:val="0"/>
          <w:szCs w:val="21"/>
        </w:rPr>
        <w:t>。</w:t>
      </w:r>
    </w:p>
    <w:p w14:paraId="005B682B">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９　施工安全、治安保卫和环境保护</w:t>
      </w:r>
    </w:p>
    <w:p w14:paraId="730158CE">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9.2　承包人的施工安全责任</w:t>
      </w:r>
    </w:p>
    <w:p w14:paraId="194D30F5">
      <w:pPr>
        <w:tabs>
          <w:tab w:val="left" w:pos="5220"/>
        </w:tabs>
        <w:autoSpaceDE w:val="0"/>
        <w:autoSpaceDN w:val="0"/>
        <w:adjustRightInd w:val="0"/>
        <w:spacing w:line="360" w:lineRule="auto"/>
        <w:ind w:firstLine="420" w:firstLineChars="200"/>
        <w:jc w:val="left"/>
        <w:rPr>
          <w:rFonts w:hint="eastAsia"/>
          <w:lang w:val="en-US" w:eastAsia="zh-CN"/>
        </w:rPr>
      </w:pPr>
      <w:r>
        <w:rPr>
          <w:rFonts w:hint="eastAsia" w:ascii="宋体" w:hAnsi="宋体" w:cs="E-HZ9-PK748409-Identity-H"/>
          <w:kern w:val="0"/>
          <w:szCs w:val="21"/>
          <w:lang w:val="en-US" w:eastAsia="zh-CN"/>
        </w:rPr>
        <w:t>9.2.5</w:t>
      </w:r>
      <w:r>
        <w:rPr>
          <w:rFonts w:hint="eastAsia" w:ascii="宋体" w:hAnsi="宋体" w:cs="O9-PK7484ba-Identity-H"/>
          <w:kern w:val="0"/>
          <w:szCs w:val="21"/>
        </w:rPr>
        <w:t>　本工程安全防护、文明施工措施费为：</w:t>
      </w:r>
      <w:r>
        <w:rPr>
          <w:rFonts w:hint="eastAsia" w:ascii="宋体" w:hAnsi="宋体" w:cs="O9-PK7484ba-Identity-H"/>
          <w:kern w:val="0"/>
          <w:szCs w:val="21"/>
          <w:u w:val="single"/>
        </w:rPr>
        <w:t xml:space="preserve">            </w:t>
      </w:r>
      <w:r>
        <w:rPr>
          <w:rFonts w:hint="eastAsia"/>
          <w:lang w:eastAsia="zh-CN"/>
        </w:rPr>
        <w:t>，有关管理原则、使用要求等详见招标文件第二章</w:t>
      </w:r>
      <w:r>
        <w:rPr>
          <w:rFonts w:hint="eastAsia"/>
          <w:lang w:val="en-US" w:eastAsia="zh-CN"/>
        </w:rPr>
        <w:t>10.4.2小节。</w:t>
      </w:r>
    </w:p>
    <w:p w14:paraId="7C0319FA">
      <w:pPr>
        <w:tabs>
          <w:tab w:val="left" w:pos="5220"/>
        </w:tabs>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E-HZ9-PK748409-Identity-H"/>
          <w:kern w:val="0"/>
          <w:szCs w:val="21"/>
        </w:rPr>
        <w:t>9.2.12</w:t>
      </w:r>
      <w:r>
        <w:rPr>
          <w:rFonts w:hint="eastAsia" w:ascii="宋体" w:hAnsi="宋体" w:cs="O9-PK7484ba-Identity-H"/>
          <w:kern w:val="0"/>
          <w:szCs w:val="21"/>
        </w:rPr>
        <w:t>　</w:t>
      </w:r>
      <w:r>
        <w:rPr>
          <w:rFonts w:hint="eastAsia" w:ascii="宋体" w:hAnsi="宋体" w:cs="SSJ-PK7482000002d-Identity-H"/>
          <w:kern w:val="0"/>
          <w:szCs w:val="21"/>
        </w:rPr>
        <w:t>下列工程应编制专项施工方案</w:t>
      </w:r>
      <w:r>
        <w:rPr>
          <w:rFonts w:hint="eastAsia" w:ascii="宋体" w:hAnsi="宋体" w:cs="H-SS9-PK74820000032-Identity-H"/>
          <w:kern w:val="0"/>
          <w:szCs w:val="21"/>
        </w:rPr>
        <w:t>：</w:t>
      </w:r>
      <w:r>
        <w:rPr>
          <w:rFonts w:hint="eastAsia" w:ascii="宋体" w:hAnsi="宋体" w:cs="H-SS9-PK74820000032-Identity-H"/>
          <w:kern w:val="0"/>
          <w:szCs w:val="21"/>
          <w:u w:val="single"/>
        </w:rPr>
        <w:t xml:space="preserve">         </w:t>
      </w:r>
      <w:r>
        <w:rPr>
          <w:rFonts w:hint="eastAsia" w:ascii="宋体" w:hAnsi="宋体" w:cs="H-SS9-PK74820000032-Identity-H"/>
          <w:kern w:val="0"/>
          <w:szCs w:val="21"/>
        </w:rPr>
        <w:t xml:space="preserve"> 。</w:t>
      </w:r>
      <w:r>
        <w:rPr>
          <w:rFonts w:hint="eastAsia" w:ascii="宋体" w:hAnsi="宋体" w:cs="SSJ-PK7482000002d-Identity-H"/>
          <w:kern w:val="0"/>
          <w:szCs w:val="21"/>
        </w:rPr>
        <w:t>其中</w:t>
      </w:r>
      <w:r>
        <w:rPr>
          <w:rFonts w:hint="eastAsia" w:ascii="宋体" w:hAnsi="宋体" w:cs="SSJ-PK7482000002d-Identity-H"/>
          <w:kern w:val="0"/>
          <w:szCs w:val="21"/>
          <w:u w:val="single"/>
        </w:rPr>
        <w:t xml:space="preserve">     /   </w:t>
      </w:r>
      <w:r>
        <w:rPr>
          <w:rFonts w:hint="eastAsia" w:ascii="宋体" w:hAnsi="宋体" w:cs="SSJ-PK7482000002d-Identity-H"/>
          <w:kern w:val="0"/>
          <w:szCs w:val="21"/>
        </w:rPr>
        <w:t>应组织专家论证和审查</w:t>
      </w:r>
      <w:r>
        <w:rPr>
          <w:rFonts w:hint="eastAsia" w:ascii="宋体" w:hAnsi="宋体" w:cs="H-SS9-PK74820000032-Identity-H"/>
          <w:kern w:val="0"/>
          <w:szCs w:val="21"/>
        </w:rPr>
        <w:t>。</w:t>
      </w:r>
    </w:p>
    <w:p w14:paraId="58E878A2">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9.7　文明施工</w:t>
      </w:r>
    </w:p>
    <w:p w14:paraId="5101E8B8">
      <w:pPr>
        <w:autoSpaceDE w:val="0"/>
        <w:autoSpaceDN w:val="0"/>
        <w:adjustRightInd w:val="0"/>
        <w:spacing w:line="360" w:lineRule="auto"/>
        <w:ind w:firstLine="420" w:firstLineChars="200"/>
        <w:jc w:val="left"/>
        <w:rPr>
          <w:rFonts w:hint="eastAsia" w:ascii="宋体" w:hAnsi="宋体"/>
          <w:szCs w:val="21"/>
        </w:rPr>
      </w:pPr>
      <w:r>
        <w:rPr>
          <w:rFonts w:hint="eastAsia" w:ascii="宋体" w:hAnsi="宋体" w:cs="E-HZ9-PK748409-Identity-H"/>
          <w:kern w:val="0"/>
          <w:szCs w:val="21"/>
        </w:rPr>
        <w:t>9.7.1</w:t>
      </w:r>
      <w:r>
        <w:rPr>
          <w:rFonts w:hint="eastAsia" w:ascii="宋体" w:hAnsi="宋体" w:cs="O9-PK7484ba-Identity-H"/>
          <w:kern w:val="0"/>
          <w:szCs w:val="21"/>
        </w:rPr>
        <w:t>　</w:t>
      </w:r>
      <w:r>
        <w:rPr>
          <w:rFonts w:hint="eastAsia" w:ascii="宋体" w:hAnsi="宋体" w:cs="SSJ-PK7482000002d-Identity-H"/>
          <w:kern w:val="0"/>
          <w:szCs w:val="21"/>
        </w:rPr>
        <w:t>本合同文明工地的约定</w:t>
      </w:r>
      <w:r>
        <w:rPr>
          <w:rFonts w:hint="eastAsia" w:ascii="宋体" w:hAnsi="宋体" w:cs="H-SS9-PK74820000032-Identity-H"/>
          <w:kern w:val="0"/>
          <w:szCs w:val="21"/>
        </w:rPr>
        <w:t>：</w:t>
      </w:r>
      <w:r>
        <w:rPr>
          <w:rFonts w:hint="eastAsia" w:ascii="宋体" w:hAnsi="宋体"/>
          <w:szCs w:val="21"/>
          <w:u w:val="single"/>
        </w:rPr>
        <w:t>发包人对承包人的安全文明施工工作将作不定期考核，考核不合格者必须限期整改，逾期不整改的，</w:t>
      </w:r>
      <w:r>
        <w:rPr>
          <w:rFonts w:hint="eastAsia" w:ascii="宋体" w:hAnsi="宋体"/>
          <w:szCs w:val="21"/>
          <w:u w:val="single"/>
          <w:lang w:eastAsia="zh-CN"/>
        </w:rPr>
        <w:t>承包人</w:t>
      </w:r>
      <w:r>
        <w:rPr>
          <w:rFonts w:hint="eastAsia" w:ascii="宋体" w:hAnsi="宋体"/>
          <w:szCs w:val="21"/>
          <w:u w:val="single"/>
        </w:rPr>
        <w:t>每次</w:t>
      </w:r>
      <w:r>
        <w:rPr>
          <w:rFonts w:hint="eastAsia" w:ascii="宋体" w:hAnsi="宋体"/>
          <w:szCs w:val="21"/>
          <w:u w:val="single"/>
          <w:lang w:eastAsia="zh-CN"/>
        </w:rPr>
        <w:t>支付发包人违约金</w:t>
      </w:r>
      <w:r>
        <w:rPr>
          <w:rFonts w:hint="eastAsia" w:ascii="宋体" w:hAnsi="宋体"/>
          <w:szCs w:val="21"/>
          <w:u w:val="single"/>
        </w:rPr>
        <w:t>人民币</w:t>
      </w:r>
      <w:r>
        <w:rPr>
          <w:rFonts w:ascii="宋体" w:hAnsi="宋体"/>
          <w:szCs w:val="21"/>
          <w:u w:val="single"/>
        </w:rPr>
        <w:t>5000</w:t>
      </w:r>
      <w:r>
        <w:rPr>
          <w:rFonts w:hint="eastAsia" w:ascii="宋体" w:hAnsi="宋体"/>
          <w:szCs w:val="21"/>
          <w:u w:val="single"/>
        </w:rPr>
        <w:t>元，该款项在工程款中扣除</w:t>
      </w:r>
      <w:r>
        <w:rPr>
          <w:rFonts w:hint="eastAsia" w:ascii="宋体" w:hAnsi="宋体"/>
          <w:szCs w:val="21"/>
        </w:rPr>
        <w:t xml:space="preserve">。 </w:t>
      </w:r>
    </w:p>
    <w:p w14:paraId="7FD34C68">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10  进度计划</w:t>
      </w:r>
    </w:p>
    <w:p w14:paraId="66949E81">
      <w:pPr>
        <w:autoSpaceDE w:val="0"/>
        <w:autoSpaceDN w:val="0"/>
        <w:adjustRightInd w:val="0"/>
        <w:spacing w:line="360" w:lineRule="auto"/>
        <w:ind w:firstLine="105" w:firstLineChars="50"/>
        <w:jc w:val="left"/>
        <w:rPr>
          <w:rFonts w:hint="eastAsia" w:ascii="宋体" w:hAnsi="宋体" w:cs="HTJ-PK74820000034-Identity-H"/>
          <w:kern w:val="0"/>
          <w:szCs w:val="21"/>
          <w:highlight w:val="none"/>
        </w:rPr>
      </w:pPr>
      <w:r>
        <w:rPr>
          <w:rFonts w:hint="eastAsia" w:ascii="宋体" w:hAnsi="宋体" w:cs="HTJ-PK74820000034-Identity-H"/>
          <w:kern w:val="0"/>
          <w:szCs w:val="21"/>
          <w:highlight w:val="none"/>
        </w:rPr>
        <w:t>10.1  合同进度计划</w:t>
      </w:r>
      <w:r>
        <w:rPr>
          <w:rFonts w:hint="eastAsia" w:ascii="宋体" w:hAnsi="宋体" w:cs="H-SS9-PK74820000032-Identity-H"/>
          <w:b/>
          <w:kern w:val="0"/>
          <w:szCs w:val="21"/>
          <w:highlight w:val="none"/>
        </w:rPr>
        <w:t>（具体施工节点由招标人根据工程项目实际制定）</w:t>
      </w:r>
    </w:p>
    <w:p w14:paraId="250D5ED8">
      <w:pPr>
        <w:autoSpaceDE w:val="0"/>
        <w:autoSpaceDN w:val="0"/>
        <w:adjustRightInd w:val="0"/>
        <w:spacing w:line="360" w:lineRule="auto"/>
        <w:ind w:firstLine="420" w:firstLineChars="200"/>
        <w:jc w:val="left"/>
        <w:rPr>
          <w:rFonts w:hint="eastAsia" w:ascii="宋体" w:hAnsi="宋体" w:cs="H-SS9-PK74820000032-Identity-H"/>
          <w:b/>
          <w:kern w:val="0"/>
          <w:szCs w:val="21"/>
          <w:highlight w:val="none"/>
        </w:rPr>
      </w:pPr>
      <w:r>
        <w:rPr>
          <w:rFonts w:hint="eastAsia" w:ascii="宋体" w:hAnsi="宋体" w:cs="H-SS9-PK74820000032-Identity-H"/>
          <w:kern w:val="0"/>
          <w:szCs w:val="21"/>
          <w:highlight w:val="none"/>
        </w:rPr>
        <w:t>10.1.1  承包人编制施工进度计划须符合以下要求：</w:t>
      </w:r>
    </w:p>
    <w:p w14:paraId="56FC6DBB">
      <w:pPr>
        <w:autoSpaceDE w:val="0"/>
        <w:autoSpaceDN w:val="0"/>
        <w:adjustRightInd w:val="0"/>
        <w:spacing w:line="360" w:lineRule="auto"/>
        <w:ind w:firstLine="420" w:firstLineChars="200"/>
        <w:jc w:val="left"/>
        <w:rPr>
          <w:rFonts w:hint="eastAsia" w:ascii="宋体" w:hAnsi="宋体" w:cs="H-SS9-PK74820000032-Identity-H"/>
          <w:kern w:val="0"/>
          <w:szCs w:val="21"/>
          <w:highlight w:val="none"/>
        </w:rPr>
      </w:pPr>
      <w:r>
        <w:rPr>
          <w:rFonts w:hint="eastAsia" w:ascii="宋体" w:hAnsi="宋体" w:cs="SSJ-PK7482000002d-Identity-H"/>
          <w:kern w:val="0"/>
          <w:szCs w:val="21"/>
          <w:highlight w:val="none"/>
        </w:rPr>
        <w:t>（</w:t>
      </w:r>
      <w:r>
        <w:rPr>
          <w:rFonts w:hint="eastAsia" w:ascii="宋体" w:hAnsi="宋体" w:cs="SSJ-PK7482000002d-Identity-H"/>
          <w:kern w:val="0"/>
          <w:szCs w:val="21"/>
          <w:highlight w:val="none"/>
          <w:lang w:val="en-US" w:eastAsia="zh-CN"/>
        </w:rPr>
        <w:t>1</w:t>
      </w:r>
      <w:r>
        <w:rPr>
          <w:rFonts w:hint="eastAsia" w:ascii="宋体" w:hAnsi="宋体" w:cs="SSJ-PK7482000002d-Identity-H"/>
          <w:kern w:val="0"/>
          <w:szCs w:val="21"/>
          <w:highlight w:val="none"/>
        </w:rPr>
        <w:t>）计划</w:t>
      </w:r>
      <w:r>
        <w:rPr>
          <w:rFonts w:hint="eastAsia" w:ascii="宋体" w:hAnsi="宋体" w:cs="H-SS9-PK74820000032-Identity-H"/>
          <w:kern w:val="0"/>
          <w:szCs w:val="21"/>
          <w:highlight w:val="none"/>
        </w:rPr>
        <w:t>开工日期：</w:t>
      </w:r>
      <w:r>
        <w:rPr>
          <w:rFonts w:hint="eastAsia" w:ascii="宋体" w:hAnsi="宋体" w:cs="H-SS9-PK74820000032-Identity-H"/>
          <w:kern w:val="0"/>
          <w:szCs w:val="21"/>
          <w:highlight w:val="none"/>
          <w:u w:val="single"/>
          <w:lang w:val="en-US" w:eastAsia="zh-CN"/>
        </w:rPr>
        <w:t>2024</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rPr>
        <w:t>年</w:t>
      </w:r>
      <w:r>
        <w:rPr>
          <w:rFonts w:hint="eastAsia" w:ascii="宋体" w:hAnsi="宋体" w:cs="H-SS9-PK74820000032-Identity-H"/>
          <w:kern w:val="0"/>
          <w:szCs w:val="21"/>
          <w:highlight w:val="none"/>
          <w:u w:val="single"/>
        </w:rPr>
        <w:t>　</w:t>
      </w:r>
      <w:r>
        <w:rPr>
          <w:rFonts w:hint="eastAsia" w:ascii="宋体" w:hAnsi="宋体" w:cs="H-SS9-PK74820000032-Identity-H"/>
          <w:kern w:val="0"/>
          <w:szCs w:val="21"/>
          <w:highlight w:val="none"/>
          <w:u w:val="single"/>
          <w:lang w:val="en-US" w:eastAsia="zh-CN"/>
        </w:rPr>
        <w:t>11</w:t>
      </w:r>
      <w:r>
        <w:rPr>
          <w:rFonts w:hint="eastAsia" w:ascii="宋体" w:hAnsi="宋体" w:cs="H-SS9-PK74820000032-Identity-H"/>
          <w:kern w:val="0"/>
          <w:szCs w:val="21"/>
          <w:highlight w:val="none"/>
          <w:u w:val="single"/>
        </w:rPr>
        <w:t>　</w:t>
      </w:r>
      <w:r>
        <w:rPr>
          <w:rFonts w:hint="eastAsia" w:ascii="宋体" w:hAnsi="宋体" w:cs="H-SS9-PK74820000032-Identity-H"/>
          <w:kern w:val="0"/>
          <w:szCs w:val="21"/>
          <w:highlight w:val="none"/>
        </w:rPr>
        <w:t>月</w:t>
      </w:r>
      <w:r>
        <w:rPr>
          <w:rFonts w:hint="eastAsia" w:ascii="宋体" w:hAnsi="宋体" w:cs="H-SS9-PK74820000032-Identity-H"/>
          <w:kern w:val="0"/>
          <w:szCs w:val="21"/>
          <w:highlight w:val="none"/>
          <w:u w:val="single"/>
        </w:rPr>
        <w:t>　</w:t>
      </w:r>
      <w:r>
        <w:rPr>
          <w:rFonts w:hint="eastAsia" w:ascii="宋体" w:hAnsi="宋体" w:cs="H-SS9-PK74820000032-Identity-H"/>
          <w:kern w:val="0"/>
          <w:szCs w:val="21"/>
          <w:highlight w:val="none"/>
          <w:u w:val="single"/>
          <w:lang w:val="en-US" w:eastAsia="zh-CN"/>
        </w:rPr>
        <w:t>30</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rPr>
        <w:t>日（以监理人开工指令为准）；</w:t>
      </w:r>
    </w:p>
    <w:p w14:paraId="3F723280">
      <w:pPr>
        <w:autoSpaceDE w:val="0"/>
        <w:autoSpaceDN w:val="0"/>
        <w:adjustRightInd w:val="0"/>
        <w:spacing w:line="360" w:lineRule="auto"/>
        <w:ind w:firstLine="420" w:firstLineChars="200"/>
        <w:jc w:val="left"/>
        <w:rPr>
          <w:rFonts w:hint="eastAsia" w:ascii="宋体" w:hAnsi="宋体" w:cs="H-SS9-PK74820000032-Identity-H"/>
          <w:kern w:val="0"/>
          <w:szCs w:val="21"/>
          <w:highlight w:val="none"/>
        </w:rPr>
      </w:pPr>
      <w:r>
        <w:rPr>
          <w:rFonts w:hint="eastAsia" w:ascii="宋体" w:hAnsi="宋体" w:cs="SSJ-PK7482000002d-Identity-H"/>
          <w:kern w:val="0"/>
          <w:szCs w:val="21"/>
          <w:highlight w:val="none"/>
        </w:rPr>
        <w:t>（</w:t>
      </w:r>
      <w:r>
        <w:rPr>
          <w:rFonts w:hint="eastAsia" w:ascii="宋体" w:hAnsi="宋体" w:cs="SSJ-PK7482000002d-Identity-H"/>
          <w:kern w:val="0"/>
          <w:szCs w:val="21"/>
          <w:highlight w:val="none"/>
          <w:lang w:val="en-US" w:eastAsia="zh-CN"/>
        </w:rPr>
        <w:t>2</w:t>
      </w:r>
      <w:r>
        <w:rPr>
          <w:rFonts w:hint="eastAsia" w:ascii="宋体" w:hAnsi="宋体" w:cs="SSJ-PK7482000002d-Identity-H"/>
          <w:kern w:val="0"/>
          <w:szCs w:val="21"/>
          <w:highlight w:val="none"/>
        </w:rPr>
        <w:t>）计划</w:t>
      </w:r>
      <w:r>
        <w:rPr>
          <w:rFonts w:hint="eastAsia" w:ascii="宋体" w:hAnsi="宋体" w:cs="H-SS9-PK74820000032-Identity-H"/>
          <w:kern w:val="0"/>
          <w:szCs w:val="21"/>
          <w:highlight w:val="none"/>
        </w:rPr>
        <w:t>完工日期：</w:t>
      </w:r>
      <w:r>
        <w:rPr>
          <w:rFonts w:hint="eastAsia" w:ascii="宋体" w:hAnsi="宋体" w:cs="H-SS9-PK74820000032-Identity-H"/>
          <w:kern w:val="0"/>
          <w:szCs w:val="21"/>
          <w:highlight w:val="none"/>
          <w:u w:val="single"/>
          <w:lang w:val="en-US" w:eastAsia="zh-CN"/>
        </w:rPr>
        <w:t>2026</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rPr>
        <w:t>年</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u w:val="single"/>
          <w:lang w:val="en-US" w:eastAsia="zh-CN"/>
        </w:rPr>
        <w:t>05</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rPr>
        <w:t>月</w:t>
      </w:r>
      <w:r>
        <w:rPr>
          <w:rFonts w:hint="eastAsia" w:ascii="宋体" w:hAnsi="宋体" w:cs="H-SS9-PK74820000032-Identity-H"/>
          <w:kern w:val="0"/>
          <w:szCs w:val="21"/>
          <w:highlight w:val="none"/>
          <w:u w:val="single"/>
        </w:rPr>
        <w:t>　</w:t>
      </w:r>
      <w:r>
        <w:rPr>
          <w:rFonts w:hint="eastAsia" w:ascii="宋体" w:hAnsi="宋体" w:cs="H-SS9-PK74820000032-Identity-H"/>
          <w:kern w:val="0"/>
          <w:szCs w:val="21"/>
          <w:highlight w:val="none"/>
          <w:u w:val="single"/>
          <w:lang w:val="en-US" w:eastAsia="zh-CN"/>
        </w:rPr>
        <w:t>30</w:t>
      </w:r>
      <w:r>
        <w:rPr>
          <w:rFonts w:hint="eastAsia" w:ascii="宋体" w:hAnsi="宋体" w:cs="H-SS9-PK74820000032-Identity-H"/>
          <w:kern w:val="0"/>
          <w:szCs w:val="21"/>
          <w:highlight w:val="none"/>
          <w:u w:val="single"/>
        </w:rPr>
        <w:t>　</w:t>
      </w:r>
      <w:r>
        <w:rPr>
          <w:rFonts w:hint="eastAsia" w:ascii="宋体" w:hAnsi="宋体" w:cs="H-SS9-PK74820000032-Identity-H"/>
          <w:kern w:val="0"/>
          <w:szCs w:val="21"/>
          <w:highlight w:val="none"/>
        </w:rPr>
        <w:t>日，总工期</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u w:val="single"/>
          <w:lang w:val="en-US" w:eastAsia="zh-CN"/>
        </w:rPr>
        <w:t>547</w:t>
      </w:r>
      <w:r>
        <w:rPr>
          <w:rFonts w:hint="eastAsia" w:ascii="宋体" w:hAnsi="宋体" w:cs="H-SS9-PK74820000032-Identity-H"/>
          <w:kern w:val="0"/>
          <w:szCs w:val="21"/>
          <w:highlight w:val="none"/>
          <w:u w:val="single"/>
        </w:rPr>
        <w:t xml:space="preserve">  </w:t>
      </w:r>
      <w:r>
        <w:rPr>
          <w:rFonts w:hint="eastAsia" w:ascii="宋体" w:hAnsi="宋体" w:cs="H-SS9-PK74820000032-Identity-H"/>
          <w:kern w:val="0"/>
          <w:szCs w:val="21"/>
          <w:highlight w:val="none"/>
        </w:rPr>
        <w:t>日。</w:t>
      </w:r>
    </w:p>
    <w:p w14:paraId="0E786C06">
      <w:pPr>
        <w:autoSpaceDE w:val="0"/>
        <w:autoSpaceDN w:val="0"/>
        <w:adjustRightInd w:val="0"/>
        <w:spacing w:line="360" w:lineRule="auto"/>
        <w:ind w:firstLine="420" w:firstLineChars="200"/>
        <w:jc w:val="left"/>
        <w:rPr>
          <w:rFonts w:hint="eastAsia" w:ascii="宋体" w:hAnsi="宋体" w:cs="H-SS9-PK74820000032-Identity-H"/>
          <w:kern w:val="0"/>
          <w:szCs w:val="21"/>
        </w:rPr>
      </w:pPr>
    </w:p>
    <w:p w14:paraId="1BCFFB80">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11　开工和竣工（完工）</w:t>
      </w:r>
    </w:p>
    <w:p w14:paraId="3F1D1B08">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11.2  竣工（完工）</w:t>
      </w:r>
    </w:p>
    <w:p w14:paraId="632A9F4E">
      <w:pPr>
        <w:snapToGrid w:val="0"/>
        <w:spacing w:line="360" w:lineRule="auto"/>
        <w:ind w:left="50" w:leftChars="24" w:firstLine="420" w:firstLineChars="200"/>
        <w:rPr>
          <w:rFonts w:hint="eastAsia" w:ascii="宋体" w:hAnsi="宋体" w:cs="H-SS9-PK74820000032-Identity-H"/>
          <w:color w:val="auto"/>
          <w:kern w:val="0"/>
          <w:szCs w:val="21"/>
          <w:highlight w:val="none"/>
        </w:rPr>
      </w:pPr>
      <w:r>
        <w:rPr>
          <w:rFonts w:hint="eastAsia" w:ascii="宋体" w:hAnsi="宋体" w:cs="H-SS9-PK74820000032-Identity-H"/>
          <w:color w:val="auto"/>
          <w:kern w:val="0"/>
          <w:szCs w:val="21"/>
          <w:highlight w:val="none"/>
        </w:rPr>
        <w:t>承包人应在第10.1.1项和第11.5款约定的期限内完成合同工程。合同工程实际完工日期在合同工程完工鉴定书（或签证）和竣工验收鉴定书中明确。</w:t>
      </w:r>
    </w:p>
    <w:p w14:paraId="3EA5B048">
      <w:pPr>
        <w:autoSpaceDE w:val="0"/>
        <w:autoSpaceDN w:val="0"/>
        <w:adjustRightInd w:val="0"/>
        <w:spacing w:line="360" w:lineRule="auto"/>
        <w:jc w:val="left"/>
        <w:rPr>
          <w:rFonts w:ascii="宋体" w:hAnsi="宋体" w:cs="HTJ-PK74820000034-Identity-H"/>
          <w:kern w:val="0"/>
          <w:szCs w:val="21"/>
        </w:rPr>
      </w:pPr>
      <w:r>
        <w:rPr>
          <w:rFonts w:hint="eastAsia" w:ascii="宋体" w:hAnsi="宋体" w:cs="HTJ-PK74820000034-Identity-H"/>
          <w:kern w:val="0"/>
          <w:szCs w:val="21"/>
        </w:rPr>
        <w:t xml:space="preserve">11.3  发包人的工期延误 </w:t>
      </w:r>
    </w:p>
    <w:p w14:paraId="521FD032">
      <w:pPr>
        <w:spacing w:line="360" w:lineRule="auto"/>
        <w:ind w:firstLine="420" w:firstLineChars="200"/>
        <w:rPr>
          <w:rFonts w:ascii="宋体" w:hAnsi="宋体"/>
          <w:kern w:val="0"/>
        </w:rPr>
      </w:pPr>
      <w:r>
        <w:rPr>
          <w:rFonts w:hint="eastAsia" w:ascii="宋体" w:hAnsi="宋体"/>
          <w:kern w:val="0"/>
        </w:rPr>
        <w:t>在履行合同过程中，由于发包人的下列原因造成工期延误的，承包人有权要求发包人延长工期。需要增加费用的，按照第</w:t>
      </w:r>
      <w:r>
        <w:rPr>
          <w:rFonts w:ascii="宋体" w:hAnsi="宋体"/>
          <w:kern w:val="0"/>
        </w:rPr>
        <w:t>15</w:t>
      </w:r>
      <w:r>
        <w:rPr>
          <w:rFonts w:hint="eastAsia" w:ascii="宋体" w:hAnsi="宋体"/>
          <w:kern w:val="0"/>
        </w:rPr>
        <w:t>条、第</w:t>
      </w:r>
      <w:r>
        <w:rPr>
          <w:rFonts w:ascii="宋体" w:hAnsi="宋体"/>
          <w:kern w:val="0"/>
        </w:rPr>
        <w:t>16</w:t>
      </w:r>
      <w:r>
        <w:rPr>
          <w:rFonts w:hint="eastAsia" w:ascii="宋体" w:hAnsi="宋体"/>
          <w:kern w:val="0"/>
        </w:rPr>
        <w:t>条的约定办理；需要修订合同进度计划的，按照第</w:t>
      </w:r>
      <w:r>
        <w:rPr>
          <w:rFonts w:ascii="宋体" w:hAnsi="宋体"/>
          <w:kern w:val="0"/>
        </w:rPr>
        <w:t>10.</w:t>
      </w:r>
      <w:r>
        <w:rPr>
          <w:rFonts w:hint="eastAsia" w:ascii="宋体" w:hAnsi="宋体"/>
          <w:kern w:val="0"/>
        </w:rPr>
        <w:t>1款的约定办理。</w:t>
      </w:r>
    </w:p>
    <w:p w14:paraId="7795004B">
      <w:pPr>
        <w:spacing w:line="360" w:lineRule="auto"/>
        <w:ind w:firstLine="420" w:firstLineChars="200"/>
        <w:rPr>
          <w:rFonts w:ascii="宋体" w:hAnsi="宋体"/>
          <w:kern w:val="0"/>
        </w:rPr>
      </w:pPr>
      <w:r>
        <w:rPr>
          <w:rFonts w:hint="eastAsia" w:ascii="宋体" w:hAnsi="宋体"/>
          <w:kern w:val="0"/>
        </w:rPr>
        <w:t>（</w:t>
      </w:r>
      <w:r>
        <w:rPr>
          <w:rFonts w:ascii="宋体" w:hAnsi="宋体"/>
          <w:kern w:val="0"/>
        </w:rPr>
        <w:t>l</w:t>
      </w:r>
      <w:r>
        <w:rPr>
          <w:rFonts w:hint="eastAsia" w:ascii="宋体" w:hAnsi="宋体"/>
          <w:kern w:val="0"/>
        </w:rPr>
        <w:t xml:space="preserve">）增加合同工作内容； </w:t>
      </w:r>
    </w:p>
    <w:p w14:paraId="675B2CC1">
      <w:pPr>
        <w:spacing w:line="360" w:lineRule="auto"/>
        <w:ind w:firstLine="420" w:firstLineChars="200"/>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）改变合同中任何一项工作的质量要求或其他特性；</w:t>
      </w:r>
    </w:p>
    <w:p w14:paraId="71F313DD">
      <w:pPr>
        <w:spacing w:line="360" w:lineRule="auto"/>
        <w:ind w:firstLine="420" w:firstLineChars="200"/>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）发包人迟延提供材料、工程设备或变更交货地点的；</w:t>
      </w:r>
    </w:p>
    <w:p w14:paraId="1C8C3E1C">
      <w:pPr>
        <w:spacing w:line="360" w:lineRule="auto"/>
        <w:ind w:firstLine="420" w:firstLineChars="200"/>
        <w:rPr>
          <w:rFonts w:ascii="宋体" w:hAnsi="宋体"/>
          <w:kern w:val="0"/>
        </w:rPr>
      </w:pPr>
      <w:r>
        <w:rPr>
          <w:rFonts w:hint="eastAsia" w:ascii="宋体" w:hAnsi="宋体"/>
          <w:kern w:val="0"/>
        </w:rPr>
        <w:t>（</w:t>
      </w:r>
      <w:r>
        <w:rPr>
          <w:rFonts w:ascii="宋体" w:hAnsi="宋体"/>
          <w:kern w:val="0"/>
        </w:rPr>
        <w:t>4</w:t>
      </w:r>
      <w:r>
        <w:rPr>
          <w:rFonts w:hint="eastAsia" w:ascii="宋体" w:hAnsi="宋体"/>
          <w:kern w:val="0"/>
        </w:rPr>
        <w:t>）因发包人原因导致的暂停施工；</w:t>
      </w:r>
    </w:p>
    <w:p w14:paraId="23382CDB">
      <w:pPr>
        <w:spacing w:line="360" w:lineRule="auto"/>
        <w:ind w:firstLine="420" w:firstLineChars="200"/>
        <w:rPr>
          <w:rFonts w:ascii="宋体" w:hAnsi="宋体"/>
          <w:kern w:val="0"/>
        </w:rPr>
      </w:pPr>
      <w:r>
        <w:rPr>
          <w:rFonts w:hint="eastAsia" w:ascii="宋体" w:hAnsi="宋体"/>
          <w:kern w:val="0"/>
        </w:rPr>
        <w:t>（</w:t>
      </w:r>
      <w:r>
        <w:rPr>
          <w:rFonts w:ascii="宋体" w:hAnsi="宋体"/>
          <w:kern w:val="0"/>
        </w:rPr>
        <w:t>5</w:t>
      </w:r>
      <w:r>
        <w:rPr>
          <w:rFonts w:hint="eastAsia" w:ascii="宋体" w:hAnsi="宋体"/>
          <w:kern w:val="0"/>
        </w:rPr>
        <w:t>）提供图纸延误；</w:t>
      </w:r>
    </w:p>
    <w:p w14:paraId="653A496F">
      <w:pPr>
        <w:spacing w:line="360" w:lineRule="auto"/>
        <w:ind w:firstLine="420" w:firstLineChars="200"/>
        <w:rPr>
          <w:rFonts w:ascii="宋体" w:hAnsi="宋体" w:cs="H-SS9-PK74820000032-Identity-H"/>
          <w:kern w:val="0"/>
          <w:szCs w:val="21"/>
        </w:rPr>
      </w:pPr>
      <w:r>
        <w:rPr>
          <w:rFonts w:hint="eastAsia" w:ascii="宋体" w:hAnsi="宋体" w:cs="H-SS9-PK74820000032-Identity-H"/>
          <w:kern w:val="0"/>
          <w:szCs w:val="21"/>
        </w:rPr>
        <w:t>（6）未按合同约定及时办理支付预付款、进度款手续；</w:t>
      </w:r>
    </w:p>
    <w:p w14:paraId="426DC028">
      <w:pPr>
        <w:autoSpaceDE w:val="0"/>
        <w:autoSpaceDN w:val="0"/>
        <w:adjustRightInd w:val="0"/>
        <w:spacing w:line="360" w:lineRule="auto"/>
        <w:ind w:firstLine="420" w:firstLineChars="200"/>
        <w:jc w:val="left"/>
        <w:rPr>
          <w:rFonts w:hint="eastAsia" w:ascii="宋体" w:hAnsi="宋体" w:cs="H-SS9-PK74820000032-Identity-H"/>
          <w:kern w:val="0"/>
          <w:szCs w:val="21"/>
        </w:rPr>
      </w:pPr>
      <w:r>
        <w:rPr>
          <w:rFonts w:hint="eastAsia" w:ascii="宋体" w:hAnsi="宋体" w:cs="H-SS9-PK74820000032-Identity-H"/>
          <w:kern w:val="0"/>
          <w:szCs w:val="21"/>
        </w:rPr>
        <w:t>（7）发包人造成工期延误的其他原因。</w:t>
      </w:r>
    </w:p>
    <w:p w14:paraId="1E6D5E0A">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11.4　异常恶劣的气候条件</w:t>
      </w:r>
    </w:p>
    <w:p w14:paraId="25BD5B26">
      <w:pPr>
        <w:autoSpaceDE w:val="0"/>
        <w:autoSpaceDN w:val="0"/>
        <w:adjustRightInd w:val="0"/>
        <w:spacing w:line="360" w:lineRule="auto"/>
        <w:ind w:firstLine="420" w:firstLineChars="200"/>
        <w:jc w:val="left"/>
        <w:rPr>
          <w:rFonts w:hint="eastAsia" w:ascii="宋体" w:hAnsi="宋体"/>
          <w:szCs w:val="21"/>
        </w:rPr>
      </w:pPr>
      <w:r>
        <w:rPr>
          <w:rFonts w:ascii="宋体" w:hAnsi="宋体"/>
          <w:kern w:val="0"/>
        </w:rPr>
        <w:t xml:space="preserve">11.4.2  </w:t>
      </w:r>
      <w:r>
        <w:rPr>
          <w:rFonts w:hint="eastAsia" w:ascii="宋体" w:hAnsi="宋体"/>
          <w:szCs w:val="21"/>
        </w:rPr>
        <w:t>承包人在工程投标时已充分考虑异常恶劣的气候对人员伤亡、财产损失、费用增加和（或）工期延误等不利影响，因此异常恶劣的气候属于其承担的风险范围。</w:t>
      </w:r>
    </w:p>
    <w:p w14:paraId="7B21ACDB">
      <w:pPr>
        <w:autoSpaceDE w:val="0"/>
        <w:autoSpaceDN w:val="0"/>
        <w:adjustRightInd w:val="0"/>
        <w:spacing w:line="360" w:lineRule="auto"/>
        <w:ind w:firstLine="105" w:firstLineChars="50"/>
        <w:jc w:val="left"/>
        <w:rPr>
          <w:rFonts w:hint="eastAsia" w:ascii="宋体" w:hAnsi="宋体" w:cs="HTJ-PK74820000034-Identity-H"/>
          <w:kern w:val="0"/>
          <w:szCs w:val="21"/>
        </w:rPr>
      </w:pPr>
      <w:r>
        <w:rPr>
          <w:rFonts w:hint="eastAsia" w:ascii="宋体" w:hAnsi="宋体" w:cs="HTJ-PK74820000034-Identity-H"/>
          <w:kern w:val="0"/>
          <w:szCs w:val="21"/>
        </w:rPr>
        <w:t>11.5  承包人工期延误</w:t>
      </w:r>
    </w:p>
    <w:p w14:paraId="1FFF70B6">
      <w:pPr>
        <w:autoSpaceDE w:val="0"/>
        <w:autoSpaceDN w:val="0"/>
        <w:adjustRightInd w:val="0"/>
        <w:spacing w:line="360" w:lineRule="auto"/>
        <w:jc w:val="left"/>
        <w:rPr>
          <w:rFonts w:hint="eastAsia" w:ascii="宋体" w:hAnsi="宋体" w:cs="H-SS9-PK74820000032-Identity-H"/>
          <w:kern w:val="0"/>
          <w:szCs w:val="21"/>
        </w:rPr>
      </w:pPr>
      <w:r>
        <w:rPr>
          <w:rFonts w:hint="eastAsia" w:ascii="宋体" w:hAnsi="宋体" w:cs="H-SS9-PK74820000032-Identity-H"/>
          <w:kern w:val="0"/>
          <w:szCs w:val="21"/>
        </w:rPr>
        <w:t xml:space="preserve"> (1)工期延误违约金表</w:t>
      </w:r>
    </w:p>
    <w:tbl>
      <w:tblPr>
        <w:tblStyle w:val="23"/>
        <w:tblW w:w="0" w:type="auto"/>
        <w:tblInd w:w="0" w:type="dxa"/>
        <w:tblLayout w:type="fixed"/>
        <w:tblCellMar>
          <w:top w:w="0" w:type="dxa"/>
          <w:left w:w="108" w:type="dxa"/>
          <w:bottom w:w="0" w:type="dxa"/>
          <w:right w:w="108" w:type="dxa"/>
        </w:tblCellMar>
      </w:tblPr>
      <w:tblGrid>
        <w:gridCol w:w="1263"/>
        <w:gridCol w:w="4095"/>
        <w:gridCol w:w="1785"/>
        <w:gridCol w:w="2205"/>
      </w:tblGrid>
      <w:tr w14:paraId="041527AB">
        <w:trPr>
          <w:trHeight w:val="500" w:hRule="atLeast"/>
        </w:trPr>
        <w:tc>
          <w:tcPr>
            <w:tcW w:w="1263" w:type="dxa"/>
            <w:tcBorders>
              <w:top w:val="single" w:color="auto" w:sz="4" w:space="0"/>
              <w:left w:val="single" w:color="auto" w:sz="4" w:space="0"/>
              <w:bottom w:val="single" w:color="auto" w:sz="4" w:space="0"/>
              <w:right w:val="single" w:color="auto" w:sz="4" w:space="0"/>
            </w:tcBorders>
            <w:noWrap w:val="0"/>
            <w:vAlign w:val="bottom"/>
          </w:tcPr>
          <w:p w14:paraId="3429B2D9">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序号</w:t>
            </w:r>
          </w:p>
        </w:tc>
        <w:tc>
          <w:tcPr>
            <w:tcW w:w="4095" w:type="dxa"/>
            <w:tcBorders>
              <w:top w:val="single" w:color="auto" w:sz="4" w:space="0"/>
              <w:left w:val="single" w:color="auto" w:sz="4" w:space="0"/>
              <w:bottom w:val="single" w:color="auto" w:sz="4" w:space="0"/>
              <w:right w:val="single" w:color="auto" w:sz="4" w:space="0"/>
            </w:tcBorders>
            <w:noWrap w:val="0"/>
            <w:vAlign w:val="bottom"/>
          </w:tcPr>
          <w:p w14:paraId="0544A857">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项目及其说明</w:t>
            </w:r>
          </w:p>
        </w:tc>
        <w:tc>
          <w:tcPr>
            <w:tcW w:w="1785" w:type="dxa"/>
            <w:tcBorders>
              <w:top w:val="single" w:color="auto" w:sz="4" w:space="0"/>
              <w:left w:val="single" w:color="auto" w:sz="4" w:space="0"/>
              <w:bottom w:val="single" w:color="auto" w:sz="4" w:space="0"/>
              <w:right w:val="single" w:color="auto" w:sz="4" w:space="0"/>
            </w:tcBorders>
            <w:noWrap w:val="0"/>
            <w:vAlign w:val="bottom"/>
          </w:tcPr>
          <w:p w14:paraId="7F1FDD0C">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要求完工日期</w:t>
            </w:r>
          </w:p>
        </w:tc>
        <w:tc>
          <w:tcPr>
            <w:tcW w:w="2205" w:type="dxa"/>
            <w:tcBorders>
              <w:top w:val="single" w:color="auto" w:sz="4" w:space="0"/>
              <w:left w:val="single" w:color="auto" w:sz="4" w:space="0"/>
              <w:bottom w:val="single" w:color="auto" w:sz="4" w:space="0"/>
              <w:right w:val="single" w:color="auto" w:sz="4" w:space="0"/>
            </w:tcBorders>
            <w:noWrap w:val="0"/>
            <w:vAlign w:val="bottom"/>
          </w:tcPr>
          <w:p w14:paraId="47F8C07C">
            <w:pPr>
              <w:autoSpaceDE w:val="0"/>
              <w:autoSpaceDN w:val="0"/>
              <w:adjustRightInd w:val="0"/>
              <w:spacing w:line="360" w:lineRule="auto"/>
              <w:jc w:val="center"/>
              <w:rPr>
                <w:rFonts w:ascii="宋体" w:hAnsi="宋体" w:cs="H-SS9-PK74820000032-Identity-H"/>
                <w:kern w:val="0"/>
                <w:szCs w:val="21"/>
              </w:rPr>
            </w:pPr>
            <w:r>
              <w:rPr>
                <w:rFonts w:hint="eastAsia" w:ascii="宋体" w:hAnsi="宋体" w:cs="H-SS9-PK74820000032-Identity-H"/>
                <w:kern w:val="0"/>
                <w:szCs w:val="21"/>
              </w:rPr>
              <w:t>违约金(元/天)</w:t>
            </w:r>
          </w:p>
        </w:tc>
      </w:tr>
      <w:tr w14:paraId="07EA67CA">
        <w:tblPrEx>
          <w:tblCellMar>
            <w:top w:w="0" w:type="dxa"/>
            <w:left w:w="108" w:type="dxa"/>
            <w:bottom w:w="0" w:type="dxa"/>
            <w:right w:w="108" w:type="dxa"/>
          </w:tblCellMar>
        </w:tblPrEx>
        <w:trPr>
          <w:trHeight w:val="621"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D04F657">
            <w:pPr>
              <w:autoSpaceDE w:val="0"/>
              <w:autoSpaceDN w:val="0"/>
              <w:adjustRightInd w:val="0"/>
              <w:spacing w:line="360" w:lineRule="auto"/>
              <w:jc w:val="center"/>
              <w:rPr>
                <w:rFonts w:hint="eastAsia" w:ascii="宋体" w:hAnsi="宋体" w:eastAsia="宋体" w:cs="H-SS9-PK74820000032-Identity-H"/>
                <w:kern w:val="0"/>
                <w:szCs w:val="21"/>
                <w:highlight w:val="none"/>
                <w:lang w:val="en-US" w:eastAsia="zh-CN"/>
              </w:rPr>
            </w:pPr>
            <w:r>
              <w:rPr>
                <w:rFonts w:hint="eastAsia" w:ascii="宋体" w:hAnsi="宋体" w:cs="H-SS9-PK74820000032-Identity-H"/>
                <w:kern w:val="0"/>
                <w:szCs w:val="21"/>
                <w:highlight w:val="none"/>
                <w:lang w:val="en-US" w:eastAsia="zh-CN"/>
              </w:rPr>
              <w:t>1</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41FE7F7C">
            <w:pPr>
              <w:autoSpaceDE w:val="0"/>
              <w:autoSpaceDN w:val="0"/>
              <w:adjustRightInd w:val="0"/>
              <w:spacing w:line="360" w:lineRule="auto"/>
              <w:jc w:val="center"/>
              <w:rPr>
                <w:rFonts w:ascii="宋体" w:hAnsi="宋体" w:cs="H-SS9-PK74820000032-Identity-H"/>
                <w:kern w:val="0"/>
                <w:szCs w:val="21"/>
                <w:highlight w:val="none"/>
              </w:rPr>
            </w:pPr>
            <w:r>
              <w:rPr>
                <w:rFonts w:hint="eastAsia" w:ascii="宋体" w:hAnsi="宋体" w:cs="H-SS9-PK74820000032-Identity-H"/>
                <w:color w:val="auto"/>
                <w:kern w:val="0"/>
                <w:szCs w:val="21"/>
                <w:highlight w:val="none"/>
                <w:lang w:val="en-US" w:eastAsia="zh-CN"/>
              </w:rPr>
              <w:t>工期</w:t>
            </w:r>
            <w:r>
              <w:rPr>
                <w:rFonts w:hint="eastAsia" w:ascii="宋体" w:hAnsi="宋体" w:cs="H-SS9-PK74820000032-Identity-H"/>
                <w:color w:val="auto"/>
                <w:kern w:val="0"/>
                <w:szCs w:val="21"/>
                <w:highlight w:val="none"/>
              </w:rPr>
              <w:t>（以监理人开工指令为准</w:t>
            </w:r>
            <w:r>
              <w:rPr>
                <w:rFonts w:hint="eastAsia" w:ascii="宋体" w:hAnsi="宋体" w:cs="H-SS9-PK74820000032-Identity-H"/>
                <w:color w:val="auto"/>
                <w:kern w:val="0"/>
                <w:szCs w:val="21"/>
                <w:highlight w:val="none"/>
                <w:lang w:eastAsia="zh-CN"/>
              </w:rPr>
              <w:t>，</w:t>
            </w:r>
            <w:r>
              <w:rPr>
                <w:rFonts w:hint="eastAsia" w:ascii="宋体" w:hAnsi="宋体" w:cs="H-SS9-PK74820000032-Identity-H"/>
                <w:color w:val="auto"/>
                <w:kern w:val="0"/>
                <w:szCs w:val="21"/>
                <w:highlight w:val="none"/>
                <w:lang w:val="en-US" w:eastAsia="zh-CN"/>
              </w:rPr>
              <w:t>以总工期547日历天考核施工单位是否违约</w:t>
            </w:r>
            <w:r>
              <w:rPr>
                <w:rFonts w:hint="eastAsia" w:ascii="宋体" w:hAnsi="宋体" w:cs="H-SS9-PK74820000032-Identity-H"/>
                <w:color w:val="auto"/>
                <w:kern w:val="0"/>
                <w:szCs w:val="21"/>
                <w:highlight w:val="none"/>
                <w:lang w:eastAsia="zh-CN"/>
              </w:rPr>
              <w:t>）</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00A4E7C">
            <w:pPr>
              <w:autoSpaceDE w:val="0"/>
              <w:autoSpaceDN w:val="0"/>
              <w:adjustRightInd w:val="0"/>
              <w:spacing w:line="360" w:lineRule="auto"/>
              <w:jc w:val="center"/>
              <w:rPr>
                <w:rFonts w:hint="default" w:ascii="宋体" w:hAnsi="宋体" w:cs="H-SS9-PK74820000032-Identity-H"/>
                <w:kern w:val="0"/>
                <w:szCs w:val="21"/>
                <w:highlight w:val="none"/>
                <w:lang w:val="en-US"/>
              </w:rPr>
            </w:pPr>
            <w:r>
              <w:rPr>
                <w:rFonts w:hint="eastAsia" w:ascii="宋体" w:hAnsi="宋体" w:cs="H-SS9-PK74820000032-Identity-H"/>
                <w:kern w:val="0"/>
                <w:szCs w:val="21"/>
                <w:highlight w:val="none"/>
                <w:u w:val="none"/>
                <w:lang w:val="en-US" w:eastAsia="zh-CN"/>
              </w:rPr>
              <w:t>547日历天</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5214EB7D">
            <w:pPr>
              <w:autoSpaceDE w:val="0"/>
              <w:autoSpaceDN w:val="0"/>
              <w:adjustRightInd w:val="0"/>
              <w:spacing w:line="360" w:lineRule="auto"/>
              <w:jc w:val="center"/>
              <w:rPr>
                <w:rFonts w:ascii="宋体" w:hAnsi="宋体" w:cs="H-SS9-PK74820000032-Identity-H"/>
                <w:kern w:val="0"/>
                <w:szCs w:val="21"/>
                <w:highlight w:val="none"/>
              </w:rPr>
            </w:pPr>
            <w:r>
              <w:rPr>
                <w:rFonts w:hint="eastAsia" w:ascii="宋体" w:hAnsi="宋体" w:cs="H-SS9-PK74820000032-Identity-H"/>
                <w:color w:val="auto"/>
                <w:kern w:val="0"/>
                <w:szCs w:val="21"/>
                <w:highlight w:val="none"/>
                <w:lang w:val="en-US" w:eastAsia="zh-CN"/>
              </w:rPr>
              <w:t>10000元/天</w:t>
            </w:r>
          </w:p>
        </w:tc>
      </w:tr>
      <w:tr w14:paraId="3ACCFC2D">
        <w:tblPrEx>
          <w:tblCellMar>
            <w:top w:w="0" w:type="dxa"/>
            <w:left w:w="108" w:type="dxa"/>
            <w:bottom w:w="0" w:type="dxa"/>
            <w:right w:w="108" w:type="dxa"/>
          </w:tblCellMar>
        </w:tblPrEx>
        <w:trPr>
          <w:trHeight w:val="617"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4A7A0A38">
            <w:pPr>
              <w:autoSpaceDE w:val="0"/>
              <w:autoSpaceDN w:val="0"/>
              <w:adjustRightInd w:val="0"/>
              <w:spacing w:line="360" w:lineRule="auto"/>
              <w:jc w:val="center"/>
              <w:rPr>
                <w:rFonts w:hint="eastAsia" w:ascii="宋体" w:hAnsi="宋体" w:eastAsia="宋体" w:cs="H-SS9-PK74820000032-Identity-H"/>
                <w:kern w:val="0"/>
                <w:szCs w:val="21"/>
                <w:highlight w:val="none"/>
                <w:lang w:val="en-US" w:eastAsia="zh-CN"/>
              </w:rPr>
            </w:pPr>
          </w:p>
        </w:tc>
        <w:tc>
          <w:tcPr>
            <w:tcW w:w="4095" w:type="dxa"/>
            <w:tcBorders>
              <w:top w:val="single" w:color="auto" w:sz="4" w:space="0"/>
              <w:left w:val="single" w:color="auto" w:sz="4" w:space="0"/>
              <w:bottom w:val="single" w:color="auto" w:sz="4" w:space="0"/>
              <w:right w:val="single" w:color="auto" w:sz="4" w:space="0"/>
            </w:tcBorders>
            <w:noWrap w:val="0"/>
            <w:vAlign w:val="center"/>
          </w:tcPr>
          <w:p w14:paraId="109F1B44">
            <w:pPr>
              <w:autoSpaceDE w:val="0"/>
              <w:autoSpaceDN w:val="0"/>
              <w:adjustRightInd w:val="0"/>
              <w:spacing w:line="360" w:lineRule="auto"/>
              <w:jc w:val="center"/>
              <w:rPr>
                <w:rFonts w:ascii="宋体" w:hAnsi="宋体" w:cs="H-SS9-PK74820000032-Identity-H"/>
                <w:kern w:val="0"/>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EB72DA2">
            <w:pPr>
              <w:autoSpaceDE w:val="0"/>
              <w:autoSpaceDN w:val="0"/>
              <w:adjustRightInd w:val="0"/>
              <w:spacing w:line="360" w:lineRule="auto"/>
              <w:jc w:val="center"/>
              <w:rPr>
                <w:rFonts w:ascii="宋体" w:hAnsi="宋体" w:cs="H-SS9-PK74820000032-Identity-H"/>
                <w:kern w:val="0"/>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14:paraId="4D5519FC">
            <w:pPr>
              <w:autoSpaceDE w:val="0"/>
              <w:autoSpaceDN w:val="0"/>
              <w:adjustRightInd w:val="0"/>
              <w:spacing w:line="360" w:lineRule="auto"/>
              <w:jc w:val="center"/>
              <w:rPr>
                <w:rFonts w:ascii="宋体" w:hAnsi="宋体" w:cs="H-SS9-PK74820000032-Identity-H"/>
                <w:kern w:val="0"/>
                <w:szCs w:val="21"/>
                <w:highlight w:val="none"/>
              </w:rPr>
            </w:pPr>
          </w:p>
        </w:tc>
      </w:tr>
      <w:tr w14:paraId="437565E8">
        <w:tblPrEx>
          <w:tblCellMar>
            <w:top w:w="0" w:type="dxa"/>
            <w:left w:w="108" w:type="dxa"/>
            <w:bottom w:w="0" w:type="dxa"/>
            <w:right w:w="108" w:type="dxa"/>
          </w:tblCellMar>
        </w:tblPrEx>
        <w:trPr>
          <w:trHeight w:val="611"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36C100B">
            <w:pPr>
              <w:autoSpaceDE w:val="0"/>
              <w:autoSpaceDN w:val="0"/>
              <w:adjustRightInd w:val="0"/>
              <w:spacing w:line="360" w:lineRule="auto"/>
              <w:jc w:val="center"/>
              <w:rPr>
                <w:rFonts w:hint="eastAsia" w:ascii="宋体" w:hAnsi="宋体" w:eastAsia="宋体" w:cs="H-SS9-PK74820000032-Identity-H"/>
                <w:kern w:val="0"/>
                <w:szCs w:val="21"/>
                <w:highlight w:val="none"/>
                <w:lang w:val="en-US" w:eastAsia="zh-CN"/>
              </w:rPr>
            </w:pPr>
          </w:p>
        </w:tc>
        <w:tc>
          <w:tcPr>
            <w:tcW w:w="4095" w:type="dxa"/>
            <w:tcBorders>
              <w:top w:val="single" w:color="auto" w:sz="4" w:space="0"/>
              <w:left w:val="single" w:color="auto" w:sz="4" w:space="0"/>
              <w:bottom w:val="single" w:color="auto" w:sz="4" w:space="0"/>
              <w:right w:val="single" w:color="auto" w:sz="4" w:space="0"/>
            </w:tcBorders>
            <w:noWrap w:val="0"/>
            <w:vAlign w:val="center"/>
          </w:tcPr>
          <w:p w14:paraId="5E9AA2C3">
            <w:pPr>
              <w:autoSpaceDE w:val="0"/>
              <w:autoSpaceDN w:val="0"/>
              <w:adjustRightInd w:val="0"/>
              <w:spacing w:line="360" w:lineRule="auto"/>
              <w:jc w:val="center"/>
              <w:rPr>
                <w:rFonts w:hint="eastAsia" w:ascii="宋体" w:hAnsi="宋体" w:eastAsia="宋体" w:cs="H-SS9-PK74820000032-Identity-H"/>
                <w:kern w:val="0"/>
                <w:szCs w:val="21"/>
                <w:highlight w:val="none"/>
                <w:lang w:eastAsia="zh-CN"/>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868BD36">
            <w:pPr>
              <w:autoSpaceDE w:val="0"/>
              <w:autoSpaceDN w:val="0"/>
              <w:adjustRightInd w:val="0"/>
              <w:spacing w:line="360" w:lineRule="auto"/>
              <w:jc w:val="center"/>
              <w:rPr>
                <w:rFonts w:ascii="宋体" w:hAnsi="宋体" w:cs="H-SS9-PK74820000032-Identity-H"/>
                <w:kern w:val="0"/>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14:paraId="61723873">
            <w:pPr>
              <w:autoSpaceDE w:val="0"/>
              <w:autoSpaceDN w:val="0"/>
              <w:adjustRightInd w:val="0"/>
              <w:spacing w:line="360" w:lineRule="auto"/>
              <w:jc w:val="center"/>
              <w:rPr>
                <w:rFonts w:ascii="宋体" w:hAnsi="宋体" w:cs="H-SS9-PK74820000032-Identity-H"/>
                <w:kern w:val="0"/>
                <w:szCs w:val="21"/>
                <w:highlight w:val="none"/>
              </w:rPr>
            </w:pPr>
          </w:p>
        </w:tc>
      </w:tr>
    </w:tbl>
    <w:p w14:paraId="0963202C">
      <w:pPr>
        <w:autoSpaceDE w:val="0"/>
        <w:autoSpaceDN w:val="0"/>
        <w:adjustRightInd w:val="0"/>
        <w:spacing w:line="360" w:lineRule="auto"/>
        <w:ind w:firstLine="105" w:firstLineChars="50"/>
        <w:jc w:val="left"/>
        <w:rPr>
          <w:rFonts w:hint="eastAsia" w:ascii="宋体" w:hAnsi="宋体" w:cs="H-SS9-PK74820000032-Identity-H"/>
          <w:kern w:val="0"/>
          <w:szCs w:val="21"/>
          <w:highlight w:val="none"/>
        </w:rPr>
      </w:pPr>
    </w:p>
    <w:p w14:paraId="119C8CF0">
      <w:pPr>
        <w:autoSpaceDE w:val="0"/>
        <w:autoSpaceDN w:val="0"/>
        <w:adjustRightInd w:val="0"/>
        <w:spacing w:line="360" w:lineRule="auto"/>
        <w:ind w:firstLine="420" w:firstLineChars="200"/>
        <w:jc w:val="left"/>
        <w:rPr>
          <w:rFonts w:hint="eastAsia" w:ascii="宋体" w:hAnsi="宋体" w:cs="H-SS9-PK74820000032-Identity-H"/>
          <w:kern w:val="0"/>
          <w:szCs w:val="21"/>
          <w:highlight w:val="none"/>
        </w:rPr>
      </w:pPr>
      <w:r>
        <w:rPr>
          <w:rFonts w:hint="eastAsia" w:ascii="宋体" w:hAnsi="宋体" w:cs="H-SS9-PK74820000032-Identity-H"/>
          <w:kern w:val="0"/>
          <w:szCs w:val="21"/>
          <w:highlight w:val="none"/>
        </w:rPr>
        <w:t>注：</w:t>
      </w:r>
      <w:r>
        <w:rPr>
          <w:rFonts w:hint="eastAsia" w:ascii="宋体" w:hAnsi="宋体" w:cs="H-SS9-PK74820000032-Identity-H"/>
          <w:kern w:val="0"/>
          <w:szCs w:val="21"/>
          <w:highlight w:val="none"/>
          <w:lang w:eastAsia="zh-CN"/>
        </w:rPr>
        <w:t>（</w:t>
      </w:r>
      <w:r>
        <w:rPr>
          <w:rFonts w:hint="eastAsia" w:ascii="宋体" w:hAnsi="宋体" w:cs="H-SS9-PK74820000032-Identity-H"/>
          <w:kern w:val="0"/>
          <w:szCs w:val="21"/>
          <w:highlight w:val="none"/>
          <w:lang w:val="en-US" w:eastAsia="zh-CN"/>
        </w:rPr>
        <w:t>1</w:t>
      </w:r>
      <w:r>
        <w:rPr>
          <w:rFonts w:hint="eastAsia" w:ascii="宋体" w:hAnsi="宋体" w:cs="H-SS9-PK74820000032-Identity-H"/>
          <w:kern w:val="0"/>
          <w:szCs w:val="21"/>
          <w:highlight w:val="none"/>
          <w:lang w:eastAsia="zh-CN"/>
        </w:rPr>
        <w:t>）</w:t>
      </w:r>
      <w:r>
        <w:rPr>
          <w:rFonts w:hint="eastAsia" w:ascii="宋体" w:hAnsi="宋体" w:cs="H-SS9-PK74820000032-Identity-H"/>
          <w:kern w:val="0"/>
          <w:szCs w:val="21"/>
          <w:highlight w:val="none"/>
        </w:rPr>
        <w:t>表中“项目及其说明”和“要求完工日期”与第10.1.1项对应。</w:t>
      </w:r>
    </w:p>
    <w:p w14:paraId="00934570">
      <w:pPr>
        <w:autoSpaceDE w:val="0"/>
        <w:autoSpaceDN w:val="0"/>
        <w:adjustRightInd w:val="0"/>
        <w:spacing w:line="360" w:lineRule="auto"/>
        <w:ind w:firstLine="840" w:firstLineChars="400"/>
        <w:jc w:val="left"/>
        <w:rPr>
          <w:rFonts w:hint="eastAsia" w:ascii="宋体" w:hAnsi="宋体" w:eastAsia="宋体" w:cs="H-SS9-PK74820000032-Identity-H"/>
          <w:kern w:val="0"/>
          <w:szCs w:val="21"/>
        </w:rPr>
      </w:pPr>
      <w:r>
        <w:rPr>
          <w:rFonts w:hint="eastAsia" w:ascii="宋体" w:hAnsi="宋体" w:eastAsia="宋体" w:cs="H-SS9-PK74820000032-Identity-H"/>
          <w:kern w:val="0"/>
          <w:szCs w:val="21"/>
          <w:highlight w:val="none"/>
          <w:lang w:eastAsia="zh-CN"/>
        </w:rPr>
        <w:t>（</w:t>
      </w:r>
      <w:r>
        <w:rPr>
          <w:rFonts w:hint="eastAsia" w:ascii="宋体" w:hAnsi="宋体" w:eastAsia="宋体" w:cs="H-SS9-PK74820000032-Identity-H"/>
          <w:kern w:val="0"/>
          <w:szCs w:val="21"/>
          <w:highlight w:val="none"/>
          <w:lang w:val="en-US" w:eastAsia="zh-CN"/>
        </w:rPr>
        <w:t>2</w:t>
      </w:r>
      <w:r>
        <w:rPr>
          <w:rFonts w:hint="eastAsia" w:ascii="宋体" w:hAnsi="宋体" w:eastAsia="宋体" w:cs="H-SS9-PK74820000032-Identity-H"/>
          <w:kern w:val="0"/>
          <w:szCs w:val="21"/>
          <w:highlight w:val="none"/>
          <w:lang w:eastAsia="zh-CN"/>
        </w:rPr>
        <w:t>）</w:t>
      </w:r>
      <w:r>
        <w:rPr>
          <w:rFonts w:hint="eastAsia" w:ascii="宋体" w:hAnsi="宋体" w:eastAsia="宋体" w:cs="H-SS9-PK74820000032-Identity-H"/>
          <w:kern w:val="0"/>
          <w:szCs w:val="21"/>
          <w:highlight w:val="none"/>
        </w:rPr>
        <w:t>工期延误违约金按每天10000元标准</w:t>
      </w:r>
      <w:r>
        <w:rPr>
          <w:rFonts w:hint="eastAsia" w:ascii="宋体" w:hAnsi="宋体" w:cs="H-SS9-PK74820000032-Identity-H"/>
          <w:kern w:val="0"/>
          <w:szCs w:val="21"/>
          <w:highlight w:val="none"/>
          <w:lang w:eastAsia="zh-CN"/>
        </w:rPr>
        <w:t>由</w:t>
      </w:r>
      <w:r>
        <w:rPr>
          <w:rFonts w:hint="eastAsia" w:ascii="宋体" w:hAnsi="宋体" w:eastAsia="宋体" w:cs="H-SS9-PK74820000032-Identity-H"/>
          <w:b w:val="0"/>
          <w:bCs w:val="0"/>
          <w:kern w:val="0"/>
          <w:sz w:val="21"/>
          <w:szCs w:val="21"/>
          <w:highlight w:val="none"/>
          <w:lang w:val="en-US" w:eastAsia="zh-CN"/>
        </w:rPr>
        <w:t>招标人结合招标项目规模、预算、重要性、度汛要</w:t>
      </w:r>
      <w:r>
        <w:rPr>
          <w:rFonts w:hint="eastAsia" w:ascii="宋体" w:hAnsi="宋体" w:eastAsia="宋体" w:cs="H-SS9-PK74820000032-Identity-H"/>
          <w:b w:val="0"/>
          <w:bCs w:val="0"/>
          <w:kern w:val="0"/>
          <w:sz w:val="21"/>
          <w:szCs w:val="21"/>
          <w:lang w:val="en-US" w:eastAsia="zh-CN"/>
        </w:rPr>
        <w:t>求等设置。</w:t>
      </w:r>
    </w:p>
    <w:p w14:paraId="42F6C16E">
      <w:pPr>
        <w:autoSpaceDE w:val="0"/>
        <w:autoSpaceDN w:val="0"/>
        <w:adjustRightInd w:val="0"/>
        <w:spacing w:line="360" w:lineRule="auto"/>
        <w:ind w:firstLine="840" w:firstLineChars="400"/>
        <w:jc w:val="left"/>
        <w:rPr>
          <w:rFonts w:hint="eastAsia" w:ascii="宋体" w:hAnsi="宋体" w:eastAsia="宋体" w:cs="H-SS9-PK74820000032-Identity-H"/>
          <w:kern w:val="0"/>
          <w:szCs w:val="21"/>
        </w:rPr>
      </w:pPr>
      <w:r>
        <w:rPr>
          <w:rFonts w:hint="eastAsia" w:ascii="宋体" w:hAnsi="宋体" w:eastAsia="宋体" w:cs="H-SS9-PK74820000032-Identity-H"/>
          <w:kern w:val="0"/>
          <w:szCs w:val="21"/>
        </w:rPr>
        <w:t>（</w:t>
      </w:r>
      <w:r>
        <w:rPr>
          <w:rFonts w:hint="eastAsia" w:ascii="宋体" w:hAnsi="宋体" w:eastAsia="宋体" w:cs="H-SS9-PK74820000032-Identity-H"/>
          <w:kern w:val="0"/>
          <w:szCs w:val="21"/>
          <w:lang w:val="en-US" w:eastAsia="zh-CN"/>
        </w:rPr>
        <w:t>3</w:t>
      </w:r>
      <w:r>
        <w:rPr>
          <w:rFonts w:hint="eastAsia" w:ascii="宋体" w:hAnsi="宋体" w:eastAsia="宋体" w:cs="H-SS9-PK74820000032-Identity-H"/>
          <w:kern w:val="0"/>
          <w:szCs w:val="21"/>
        </w:rPr>
        <w:t>）工期延误违约金最高不超过合同价的5%。</w:t>
      </w:r>
    </w:p>
    <w:p w14:paraId="34C52320">
      <w:pPr>
        <w:autoSpaceDE w:val="0"/>
        <w:autoSpaceDN w:val="0"/>
        <w:adjustRightInd w:val="0"/>
        <w:spacing w:line="360" w:lineRule="auto"/>
        <w:ind w:firstLine="105" w:firstLineChars="50"/>
        <w:jc w:val="left"/>
        <w:rPr>
          <w:rFonts w:hint="eastAsia" w:ascii="宋体" w:hAnsi="宋体" w:cs="H-SS9-PK74820000032-Identity-H"/>
          <w:kern w:val="0"/>
          <w:szCs w:val="21"/>
        </w:rPr>
      </w:pPr>
      <w:r>
        <w:rPr>
          <w:rFonts w:hint="eastAsia" w:ascii="宋体" w:hAnsi="宋体" w:cs="HTJ-PK74820000034-Identity-H"/>
          <w:kern w:val="0"/>
          <w:szCs w:val="21"/>
        </w:rPr>
        <w:t>11.6  工期提前</w:t>
      </w:r>
    </w:p>
    <w:p w14:paraId="1E5178F0">
      <w:pPr>
        <w:autoSpaceDE w:val="0"/>
        <w:autoSpaceDN w:val="0"/>
        <w:adjustRightInd w:val="0"/>
        <w:spacing w:line="360" w:lineRule="auto"/>
        <w:ind w:firstLine="105" w:firstLineChars="50"/>
        <w:jc w:val="left"/>
        <w:rPr>
          <w:rFonts w:hint="eastAsia" w:ascii="宋体" w:hAnsi="宋体" w:cs="H-SS9-PK74820000032-Identity-H"/>
          <w:kern w:val="0"/>
          <w:szCs w:val="21"/>
        </w:rPr>
      </w:pPr>
      <w:r>
        <w:rPr>
          <w:rFonts w:hint="eastAsia" w:ascii="宋体" w:hAnsi="宋体" w:cs="H-SS9-PK74820000032-Identity-H"/>
          <w:kern w:val="0"/>
          <w:szCs w:val="21"/>
        </w:rPr>
        <w:t xml:space="preserve">    </w:t>
      </w:r>
      <w:r>
        <w:rPr>
          <w:rFonts w:hint="eastAsia" w:ascii="宋体" w:hAnsi="宋体" w:cs="SSJ-PK7482000002d-Identity-H"/>
          <w:kern w:val="0"/>
          <w:szCs w:val="21"/>
        </w:rPr>
        <w:t>双方对工期提前的奖励约定</w:t>
      </w:r>
      <w:r>
        <w:rPr>
          <w:rFonts w:hint="eastAsia" w:ascii="宋体" w:hAnsi="宋体" w:cs="H-SS9-PK74820000032-Identity-H"/>
          <w:kern w:val="0"/>
          <w:szCs w:val="21"/>
        </w:rPr>
        <w:t>：</w:t>
      </w:r>
      <w:r>
        <w:rPr>
          <w:rFonts w:hint="eastAsia" w:ascii="宋体" w:hAnsi="宋体" w:cs="H-SS9-PK74820000032-Identity-H"/>
          <w:kern w:val="0"/>
          <w:szCs w:val="21"/>
          <w:u w:val="single"/>
        </w:rPr>
        <w:t>不约定</w:t>
      </w:r>
      <w:r>
        <w:rPr>
          <w:rFonts w:hint="eastAsia" w:ascii="宋体" w:hAnsi="宋体" w:cs="H-SS9-PK74820000032-Identity-H"/>
          <w:kern w:val="0"/>
          <w:szCs w:val="21"/>
        </w:rPr>
        <w:t>。</w:t>
      </w:r>
    </w:p>
    <w:p w14:paraId="4958FD4A">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１２　暂停施工</w:t>
      </w:r>
    </w:p>
    <w:p w14:paraId="4F6B5813">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12.1  承包人承担暂停施工责任</w:t>
      </w:r>
    </w:p>
    <w:p w14:paraId="3B43756C">
      <w:pPr>
        <w:autoSpaceDE w:val="0"/>
        <w:autoSpaceDN w:val="0"/>
        <w:adjustRightInd w:val="0"/>
        <w:spacing w:line="360" w:lineRule="auto"/>
        <w:jc w:val="left"/>
        <w:rPr>
          <w:rFonts w:hint="eastAsia" w:ascii="宋体" w:hAnsi="宋体"/>
          <w:kern w:val="0"/>
          <w:u w:val="single"/>
        </w:rPr>
      </w:pPr>
      <w:r>
        <w:rPr>
          <w:rFonts w:hint="eastAsia" w:ascii="宋体" w:hAnsi="宋体"/>
          <w:kern w:val="0"/>
        </w:rPr>
        <w:t xml:space="preserve">（5）承包人承担暂停施工责任的其他情形： </w:t>
      </w:r>
      <w:r>
        <w:rPr>
          <w:rFonts w:hint="eastAsia" w:ascii="宋体" w:hAnsi="宋体"/>
          <w:kern w:val="0"/>
          <w:u w:val="single"/>
        </w:rPr>
        <w:t xml:space="preserve">  承包人与其雇佣的工人以及承包人与分包商之间纠纷引起停工       </w:t>
      </w:r>
      <w:r>
        <w:rPr>
          <w:rFonts w:hint="eastAsia" w:ascii="宋体" w:hAnsi="宋体"/>
          <w:kern w:val="0"/>
        </w:rPr>
        <w:t>。</w:t>
      </w:r>
    </w:p>
    <w:p w14:paraId="622ACEA0">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12.2　发包人暂停施工的责任</w:t>
      </w:r>
    </w:p>
    <w:p w14:paraId="21DF32BE">
      <w:pPr>
        <w:autoSpaceDE w:val="0"/>
        <w:autoSpaceDN w:val="0"/>
        <w:adjustRightInd w:val="0"/>
        <w:spacing w:line="360" w:lineRule="auto"/>
        <w:ind w:firstLine="105" w:firstLineChars="50"/>
        <w:jc w:val="left"/>
        <w:rPr>
          <w:rFonts w:hint="eastAsia" w:ascii="宋体" w:hAnsi="宋体" w:cs="H-SS9-PK74820000032-Identity-H"/>
          <w:kern w:val="0"/>
          <w:szCs w:val="21"/>
        </w:rPr>
      </w:pPr>
      <w:r>
        <w:rPr>
          <w:rFonts w:hint="eastAsia" w:ascii="宋体" w:hAnsi="宋体" w:cs="H-SS9-PK74820000032-Identity-H"/>
          <w:kern w:val="0"/>
          <w:szCs w:val="21"/>
        </w:rPr>
        <w:t xml:space="preserve">    </w:t>
      </w:r>
      <w:r>
        <w:rPr>
          <w:rFonts w:hint="eastAsia" w:ascii="宋体" w:hAnsi="宋体"/>
          <w:kern w:val="0"/>
        </w:rPr>
        <w:t>参照第</w:t>
      </w:r>
      <w:r>
        <w:rPr>
          <w:rFonts w:ascii="宋体" w:hAnsi="宋体"/>
          <w:kern w:val="0"/>
        </w:rPr>
        <w:t xml:space="preserve">11.3 </w:t>
      </w:r>
      <w:r>
        <w:rPr>
          <w:rFonts w:hint="eastAsia" w:ascii="宋体" w:hAnsi="宋体"/>
          <w:kern w:val="0"/>
        </w:rPr>
        <w:t>款的约定办理。</w:t>
      </w:r>
    </w:p>
    <w:p w14:paraId="011B8CDD">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１５　变更</w:t>
      </w:r>
    </w:p>
    <w:p w14:paraId="61F0365C">
      <w:pPr>
        <w:tabs>
          <w:tab w:val="left" w:pos="1260"/>
        </w:tabs>
        <w:spacing w:line="440" w:lineRule="exact"/>
        <w:ind w:firstLine="472" w:firstLineChars="224"/>
        <w:rPr>
          <w:rFonts w:hint="eastAsia" w:ascii="宋体" w:hAnsi="宋体"/>
          <w:szCs w:val="21"/>
        </w:rPr>
      </w:pPr>
      <w:r>
        <w:rPr>
          <w:rFonts w:hint="eastAsia" w:ascii="宋体" w:hAnsi="宋体"/>
          <w:b/>
          <w:szCs w:val="21"/>
        </w:rPr>
        <w:t>15.1</w:t>
      </w:r>
      <w:r>
        <w:rPr>
          <w:rFonts w:hint="eastAsia" w:ascii="宋体" w:hAnsi="宋体"/>
          <w:szCs w:val="21"/>
        </w:rPr>
        <w:t>工程施工过程中，由于设计变更以及施工条件变化等原因，发包人、设计人、承包人及监理人都可以提出设计变更的要求，因设计修改、变更，发包人要求中标单位施工时，中标单位不得以任何理由拒绝施工。设计变更或修改应以书面形式进行。</w:t>
      </w:r>
    </w:p>
    <w:p w14:paraId="31972139">
      <w:pPr>
        <w:tabs>
          <w:tab w:val="left" w:pos="1260"/>
        </w:tabs>
        <w:spacing w:line="440" w:lineRule="exact"/>
        <w:ind w:firstLine="472" w:firstLineChars="224"/>
        <w:rPr>
          <w:rFonts w:hint="eastAsia" w:ascii="宋体" w:hAnsi="宋体"/>
          <w:bCs/>
          <w:szCs w:val="21"/>
        </w:rPr>
      </w:pPr>
      <w:r>
        <w:rPr>
          <w:rFonts w:hint="eastAsia" w:ascii="宋体" w:hAnsi="宋体"/>
          <w:b/>
          <w:bCs/>
          <w:szCs w:val="21"/>
        </w:rPr>
        <w:t>15.2</w:t>
      </w:r>
      <w:r>
        <w:rPr>
          <w:rFonts w:hint="eastAsia" w:ascii="宋体" w:hAnsi="宋体"/>
          <w:bCs/>
          <w:szCs w:val="21"/>
        </w:rPr>
        <w:t>在项目建设过程中，由于不可预见原因，项目法人提出变更要求的，应报相关部门审批后方可实施。</w:t>
      </w:r>
      <w:r>
        <w:rPr>
          <w:rFonts w:hint="eastAsia" w:ascii="宋体" w:hAnsi="宋体"/>
          <w:szCs w:val="21"/>
        </w:rPr>
        <w:t>如遇危及工程安全或可能造成严重经济损失的紧急情况，项目法人可先组织实施，并同时组织有关单位现场确认，并将有关资料</w:t>
      </w:r>
      <w:r>
        <w:rPr>
          <w:rFonts w:hint="eastAsia" w:ascii="宋体" w:hAnsi="宋体"/>
          <w:szCs w:val="21"/>
          <w:highlight w:val="none"/>
        </w:rPr>
        <w:t>报水行政主管部门审批</w:t>
      </w:r>
      <w:r>
        <w:rPr>
          <w:rFonts w:hint="eastAsia" w:ascii="宋体" w:hAnsi="宋体"/>
          <w:szCs w:val="21"/>
        </w:rPr>
        <w:t>，具体要求按照《中山市人民政府办公室关于印发中山市应急抢险救灾工程管理办法的通知》（中府办〔2019〕30号）执行。</w:t>
      </w:r>
    </w:p>
    <w:p w14:paraId="6DADE20E">
      <w:pPr>
        <w:tabs>
          <w:tab w:val="left" w:pos="1260"/>
        </w:tabs>
        <w:spacing w:line="440" w:lineRule="exact"/>
        <w:ind w:firstLine="472" w:firstLineChars="224"/>
        <w:rPr>
          <w:rFonts w:hint="eastAsia" w:ascii="宋体" w:hAnsi="宋体"/>
          <w:szCs w:val="21"/>
        </w:rPr>
      </w:pPr>
      <w:r>
        <w:rPr>
          <w:rFonts w:hint="eastAsia" w:ascii="宋体" w:hAnsi="宋体"/>
          <w:b/>
          <w:bCs/>
          <w:szCs w:val="21"/>
        </w:rPr>
        <w:t>15.3</w:t>
      </w:r>
      <w:r>
        <w:rPr>
          <w:rFonts w:hint="eastAsia" w:ascii="宋体" w:hAnsi="宋体"/>
          <w:szCs w:val="21"/>
        </w:rPr>
        <w:t>经批准需要增加合同规定以外的内容，增加部分符合招标条件的，必须组织招标。</w:t>
      </w:r>
    </w:p>
    <w:p w14:paraId="106C8856">
      <w:pPr>
        <w:tabs>
          <w:tab w:val="left" w:pos="1260"/>
        </w:tabs>
        <w:spacing w:line="440" w:lineRule="exact"/>
        <w:ind w:firstLine="472" w:firstLineChars="224"/>
        <w:rPr>
          <w:rFonts w:hint="eastAsia" w:ascii="宋体" w:hAnsi="宋体"/>
          <w:szCs w:val="21"/>
        </w:rPr>
      </w:pPr>
      <w:r>
        <w:rPr>
          <w:rFonts w:hint="eastAsia" w:ascii="宋体" w:hAnsi="宋体"/>
          <w:b/>
          <w:bCs/>
          <w:szCs w:val="21"/>
        </w:rPr>
        <w:t>15.4</w:t>
      </w:r>
      <w:r>
        <w:rPr>
          <w:rFonts w:hint="eastAsia" w:ascii="宋体" w:hAnsi="宋体"/>
          <w:szCs w:val="21"/>
        </w:rPr>
        <w:t>设计变更的要求或建议应包括以下内容：</w:t>
      </w:r>
    </w:p>
    <w:p w14:paraId="13C7F37B">
      <w:pPr>
        <w:tabs>
          <w:tab w:val="left" w:pos="1400"/>
        </w:tabs>
        <w:spacing w:line="440" w:lineRule="exact"/>
        <w:ind w:firstLine="420" w:firstLineChars="200"/>
        <w:rPr>
          <w:rFonts w:hint="eastAsia" w:ascii="宋体" w:hAnsi="宋体"/>
          <w:bCs/>
          <w:szCs w:val="21"/>
        </w:rPr>
      </w:pPr>
      <w:r>
        <w:rPr>
          <w:rFonts w:hint="eastAsia" w:ascii="宋体" w:hAnsi="宋体"/>
          <w:bCs/>
          <w:szCs w:val="21"/>
        </w:rPr>
        <w:t>(1) 变更的原因和依据（附设计变更的会议纪要）；</w:t>
      </w:r>
    </w:p>
    <w:p w14:paraId="4EEC10D0">
      <w:pPr>
        <w:tabs>
          <w:tab w:val="left" w:pos="1400"/>
        </w:tabs>
        <w:spacing w:line="440" w:lineRule="exact"/>
        <w:ind w:firstLine="420" w:firstLineChars="200"/>
        <w:rPr>
          <w:rFonts w:hint="eastAsia" w:ascii="宋体" w:hAnsi="宋体"/>
          <w:bCs/>
          <w:szCs w:val="21"/>
        </w:rPr>
      </w:pPr>
      <w:r>
        <w:rPr>
          <w:rFonts w:hint="eastAsia" w:ascii="宋体" w:hAnsi="宋体"/>
          <w:bCs/>
          <w:szCs w:val="21"/>
        </w:rPr>
        <w:t>(2) 变更的内容及范围（附设计变更通知）；</w:t>
      </w:r>
    </w:p>
    <w:p w14:paraId="741ABB62">
      <w:pPr>
        <w:tabs>
          <w:tab w:val="left" w:pos="1400"/>
        </w:tabs>
        <w:spacing w:line="440" w:lineRule="exact"/>
        <w:ind w:firstLine="420" w:firstLineChars="200"/>
        <w:rPr>
          <w:rFonts w:hint="eastAsia" w:ascii="宋体" w:hAnsi="宋体"/>
          <w:szCs w:val="21"/>
        </w:rPr>
      </w:pPr>
      <w:r>
        <w:rPr>
          <w:rFonts w:hint="eastAsia" w:ascii="宋体" w:hAnsi="宋体"/>
          <w:szCs w:val="21"/>
        </w:rPr>
        <w:t>(3) 变更工程量清单(包括工程量或工作量、引用单价、变更后合同价格以及引起的施工项目合同价格增加或减少总额)；</w:t>
      </w:r>
    </w:p>
    <w:p w14:paraId="5B6C6161">
      <w:pPr>
        <w:tabs>
          <w:tab w:val="left" w:pos="1400"/>
        </w:tabs>
        <w:spacing w:line="440" w:lineRule="exact"/>
        <w:ind w:firstLine="420" w:firstLineChars="200"/>
        <w:rPr>
          <w:rFonts w:hint="eastAsia" w:ascii="宋体" w:hAnsi="宋体"/>
          <w:szCs w:val="21"/>
        </w:rPr>
      </w:pPr>
      <w:r>
        <w:rPr>
          <w:rFonts w:hint="eastAsia" w:ascii="宋体" w:hAnsi="宋体"/>
          <w:szCs w:val="21"/>
        </w:rPr>
        <w:t>(4) 变更项目施工进度计划(包括施工方案、施工进度以及对合同控制进度目标和完工工期的影响)；</w:t>
      </w:r>
    </w:p>
    <w:p w14:paraId="2742DFA8">
      <w:pPr>
        <w:tabs>
          <w:tab w:val="left" w:pos="1400"/>
        </w:tabs>
        <w:spacing w:line="440" w:lineRule="exact"/>
        <w:ind w:firstLine="420" w:firstLineChars="200"/>
        <w:rPr>
          <w:rFonts w:hint="eastAsia" w:ascii="宋体" w:hAnsi="宋体"/>
          <w:szCs w:val="21"/>
        </w:rPr>
      </w:pPr>
      <w:r>
        <w:rPr>
          <w:rFonts w:hint="eastAsia" w:ascii="宋体" w:hAnsi="宋体"/>
          <w:bCs/>
          <w:szCs w:val="21"/>
        </w:rPr>
        <w:t>(5) 监理人与发包人对设计变更进行有效审查并报主管部门审批。</w:t>
      </w:r>
    </w:p>
    <w:p w14:paraId="11C3A60E">
      <w:pPr>
        <w:tabs>
          <w:tab w:val="left" w:pos="1260"/>
        </w:tabs>
        <w:spacing w:line="440" w:lineRule="exact"/>
        <w:ind w:firstLine="472" w:firstLineChars="224"/>
        <w:rPr>
          <w:rFonts w:hint="eastAsia" w:ascii="宋体" w:hAnsi="宋体"/>
          <w:bCs/>
          <w:szCs w:val="21"/>
        </w:rPr>
      </w:pPr>
      <w:r>
        <w:rPr>
          <w:rFonts w:hint="eastAsia" w:ascii="宋体" w:hAnsi="宋体"/>
          <w:b/>
          <w:bCs/>
          <w:szCs w:val="21"/>
        </w:rPr>
        <w:t>15.5</w:t>
      </w:r>
      <w:r>
        <w:rPr>
          <w:rFonts w:hint="eastAsia" w:ascii="宋体" w:hAnsi="宋体"/>
          <w:bCs/>
          <w:szCs w:val="21"/>
        </w:rPr>
        <w:t xml:space="preserve"> </w:t>
      </w:r>
      <w:r>
        <w:rPr>
          <w:rFonts w:hint="eastAsia" w:ascii="宋体" w:hAnsi="宋体"/>
          <w:szCs w:val="21"/>
        </w:rPr>
        <w:t>设计变更在得到发包人批准，在确定了变更工程的内容后，其增、减部分的承包价按本合同16.6款进行调整。</w:t>
      </w:r>
    </w:p>
    <w:p w14:paraId="257FA449">
      <w:pPr>
        <w:tabs>
          <w:tab w:val="left" w:pos="1260"/>
        </w:tabs>
        <w:spacing w:line="440" w:lineRule="exact"/>
        <w:ind w:firstLine="472" w:firstLineChars="224"/>
        <w:rPr>
          <w:rFonts w:hint="eastAsia" w:ascii="宋体" w:hAnsi="宋体"/>
          <w:szCs w:val="21"/>
        </w:rPr>
      </w:pPr>
      <w:r>
        <w:rPr>
          <w:rFonts w:hint="eastAsia" w:ascii="宋体" w:hAnsi="宋体"/>
          <w:b/>
          <w:bCs/>
          <w:szCs w:val="21"/>
        </w:rPr>
        <w:t>15.6</w:t>
      </w:r>
      <w:r>
        <w:rPr>
          <w:rFonts w:hint="eastAsia" w:ascii="宋体" w:hAnsi="宋体"/>
          <w:szCs w:val="21"/>
        </w:rPr>
        <w:t>因设计变更增加或减少工程的计量和支付：</w:t>
      </w:r>
    </w:p>
    <w:p w14:paraId="1FDEE023">
      <w:pPr>
        <w:tabs>
          <w:tab w:val="left" w:pos="1540"/>
        </w:tabs>
        <w:spacing w:line="440" w:lineRule="exact"/>
        <w:ind w:firstLine="472" w:firstLineChars="225"/>
        <w:rPr>
          <w:rFonts w:hint="eastAsia" w:ascii="宋体" w:hAnsi="宋体"/>
          <w:szCs w:val="21"/>
        </w:rPr>
      </w:pPr>
      <w:r>
        <w:rPr>
          <w:rFonts w:hint="eastAsia" w:ascii="宋体" w:hAnsi="宋体"/>
          <w:szCs w:val="21"/>
        </w:rPr>
        <w:t>15.15.1增加或减少的工程按“综合单价承包”的方式进行计量。</w:t>
      </w:r>
    </w:p>
    <w:p w14:paraId="02508EAE">
      <w:pPr>
        <w:tabs>
          <w:tab w:val="left" w:pos="1540"/>
        </w:tabs>
        <w:spacing w:line="440" w:lineRule="exact"/>
        <w:ind w:firstLine="472" w:firstLineChars="225"/>
        <w:rPr>
          <w:rFonts w:hint="eastAsia" w:ascii="宋体" w:hAnsi="宋体"/>
          <w:szCs w:val="21"/>
        </w:rPr>
      </w:pPr>
      <w:r>
        <w:rPr>
          <w:rFonts w:hint="eastAsia" w:ascii="宋体" w:hAnsi="宋体"/>
          <w:szCs w:val="21"/>
        </w:rPr>
        <w:t>15.55.2增加或减少的工程量由承包人、监理人、发包人三方根据设计修改通知共同签证，依据各项增减工程内容和协商的相应单价和费率，对原投标书的总报价进行调整。</w:t>
      </w:r>
    </w:p>
    <w:p w14:paraId="0BFD6734">
      <w:pPr>
        <w:tabs>
          <w:tab w:val="left" w:pos="1260"/>
        </w:tabs>
        <w:spacing w:line="440" w:lineRule="exact"/>
        <w:ind w:firstLine="474" w:firstLineChars="225"/>
        <w:rPr>
          <w:rFonts w:hint="eastAsia" w:ascii="宋体" w:hAnsi="宋体"/>
          <w:szCs w:val="21"/>
        </w:rPr>
      </w:pPr>
      <w:r>
        <w:rPr>
          <w:rFonts w:hint="eastAsia" w:ascii="宋体" w:hAnsi="宋体"/>
          <w:b/>
          <w:bCs/>
          <w:szCs w:val="21"/>
        </w:rPr>
        <w:t>15.7</w:t>
      </w:r>
      <w:r>
        <w:rPr>
          <w:rFonts w:hint="eastAsia" w:ascii="宋体" w:hAnsi="宋体"/>
          <w:szCs w:val="21"/>
        </w:rPr>
        <w:t>工程变更的支付方式与价格商定后，随工程变更实施列入月工程进度款支付。</w:t>
      </w:r>
    </w:p>
    <w:p w14:paraId="50934705">
      <w:pPr>
        <w:tabs>
          <w:tab w:val="left" w:pos="1260"/>
        </w:tabs>
        <w:spacing w:line="440" w:lineRule="exact"/>
        <w:ind w:firstLine="474" w:firstLineChars="225"/>
        <w:rPr>
          <w:rFonts w:hint="eastAsia" w:ascii="宋体" w:hAnsi="宋体"/>
          <w:szCs w:val="21"/>
        </w:rPr>
      </w:pPr>
      <w:r>
        <w:rPr>
          <w:rFonts w:hint="eastAsia" w:ascii="宋体" w:hAnsi="宋体"/>
          <w:b/>
          <w:bCs/>
          <w:szCs w:val="21"/>
        </w:rPr>
        <w:t>15.8</w:t>
      </w:r>
      <w:r>
        <w:rPr>
          <w:rFonts w:hint="eastAsia" w:ascii="宋体" w:hAnsi="宋体"/>
          <w:szCs w:val="21"/>
        </w:rPr>
        <w:t>如果工程变更的发生是由于承包人的合同责任与风险所导致，则为执行工程变更所发生的费用与工期延误的合同责任由承包人承担。</w:t>
      </w:r>
    </w:p>
    <w:p w14:paraId="6D7E4D7F">
      <w:pPr>
        <w:tabs>
          <w:tab w:val="left" w:pos="1260"/>
        </w:tabs>
        <w:spacing w:line="440" w:lineRule="exact"/>
        <w:ind w:firstLine="474" w:firstLineChars="225"/>
        <w:rPr>
          <w:rFonts w:hint="eastAsia" w:ascii="宋体" w:hAnsi="宋体"/>
          <w:szCs w:val="21"/>
        </w:rPr>
      </w:pPr>
      <w:r>
        <w:rPr>
          <w:rFonts w:hint="eastAsia" w:ascii="宋体" w:hAnsi="宋体"/>
          <w:b/>
          <w:bCs/>
          <w:szCs w:val="21"/>
        </w:rPr>
        <w:t>15.9</w:t>
      </w:r>
      <w:r>
        <w:rPr>
          <w:rFonts w:hint="eastAsia" w:ascii="宋体" w:hAnsi="宋体"/>
          <w:szCs w:val="21"/>
        </w:rPr>
        <w:t>因工程变更导致合同索赔的，按合同文件有关合同索赔的规定执行。</w:t>
      </w:r>
    </w:p>
    <w:p w14:paraId="4E3A54A8">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１６　价格调整</w:t>
      </w:r>
    </w:p>
    <w:p w14:paraId="622D6A8E">
      <w:pPr>
        <w:spacing w:line="440" w:lineRule="exact"/>
        <w:ind w:firstLine="570"/>
        <w:rPr>
          <w:rFonts w:hint="eastAsia" w:ascii="宋体" w:hAnsi="宋体"/>
          <w:szCs w:val="21"/>
        </w:rPr>
      </w:pPr>
      <w:r>
        <w:rPr>
          <w:rFonts w:hint="eastAsia" w:ascii="宋体" w:hAnsi="宋体"/>
          <w:szCs w:val="21"/>
        </w:rPr>
        <w:t>取消原通用合同条款的内容，并代之以：</w:t>
      </w:r>
    </w:p>
    <w:p w14:paraId="14BE8ABA">
      <w:pPr>
        <w:tabs>
          <w:tab w:val="left" w:pos="1120"/>
        </w:tabs>
        <w:spacing w:line="440" w:lineRule="exact"/>
        <w:ind w:firstLine="472" w:firstLineChars="224"/>
        <w:rPr>
          <w:rFonts w:hint="eastAsia" w:ascii="宋体" w:hAnsi="宋体"/>
          <w:b/>
          <w:szCs w:val="21"/>
          <w:highlight w:val="none"/>
        </w:rPr>
      </w:pPr>
      <w:r>
        <w:rPr>
          <w:rFonts w:hint="eastAsia" w:ascii="宋体" w:hAnsi="宋体"/>
          <w:b/>
          <w:szCs w:val="21"/>
          <w:highlight w:val="none"/>
        </w:rPr>
        <w:t>16.1 错项、漏项工程的合同价格调整</w:t>
      </w:r>
    </w:p>
    <w:p w14:paraId="2C552EB3">
      <w:pPr>
        <w:tabs>
          <w:tab w:val="left" w:pos="1120"/>
        </w:tabs>
        <w:spacing w:line="440" w:lineRule="exact"/>
        <w:ind w:firstLine="472" w:firstLineChars="224"/>
        <w:rPr>
          <w:rFonts w:hint="eastAsia" w:ascii="宋体" w:hAnsi="宋体"/>
          <w:b/>
          <w:szCs w:val="21"/>
          <w:highlight w:val="none"/>
        </w:rPr>
      </w:pPr>
      <w:r>
        <w:rPr>
          <w:rFonts w:hint="eastAsia" w:ascii="宋体" w:hAnsi="宋体"/>
          <w:b/>
          <w:szCs w:val="21"/>
          <w:highlight w:val="none"/>
        </w:rPr>
        <w:t>16.1.1永久工程：</w:t>
      </w:r>
    </w:p>
    <w:p w14:paraId="2454629C">
      <w:pPr>
        <w:tabs>
          <w:tab w:val="left" w:pos="1120"/>
        </w:tabs>
        <w:spacing w:line="440" w:lineRule="exact"/>
        <w:ind w:firstLine="470" w:firstLineChars="224"/>
        <w:rPr>
          <w:rFonts w:hint="eastAsia" w:ascii="宋体" w:hAnsi="宋体"/>
          <w:szCs w:val="21"/>
          <w:highlight w:val="none"/>
        </w:rPr>
      </w:pPr>
      <w:r>
        <w:rPr>
          <w:rFonts w:hint="eastAsia" w:ascii="宋体" w:hAnsi="宋体"/>
          <w:szCs w:val="21"/>
          <w:highlight w:val="none"/>
        </w:rPr>
        <w:t>1）错项工程：经监理机构确认的主要单项工程（主要单项工程是指经监理机构确认的该单项工程总造价在10万元以上或占总承包价的3%以上&lt;含3%&gt;的单项工程）实际工程量与工程量清单中估算工程量的差值在±10%内，合同不调价；否则，只调整超出±10%以外的部分。</w:t>
      </w:r>
    </w:p>
    <w:p w14:paraId="26EB31CF">
      <w:pPr>
        <w:tabs>
          <w:tab w:val="left" w:pos="1120"/>
        </w:tabs>
        <w:spacing w:line="440" w:lineRule="exact"/>
        <w:ind w:firstLine="470" w:firstLineChars="224"/>
        <w:rPr>
          <w:rFonts w:hint="eastAsia" w:ascii="宋体" w:hAnsi="宋体"/>
          <w:b/>
          <w:szCs w:val="21"/>
          <w:highlight w:val="none"/>
        </w:rPr>
      </w:pPr>
      <w:r>
        <w:rPr>
          <w:rFonts w:hint="eastAsia" w:ascii="宋体" w:hAnsi="宋体"/>
          <w:szCs w:val="21"/>
          <w:highlight w:val="none"/>
        </w:rPr>
        <w:t>2）漏项工程：经监理单位核定属于漏项工程的,可进行合同价格调整。</w:t>
      </w:r>
    </w:p>
    <w:p w14:paraId="74E0DFFA">
      <w:pPr>
        <w:tabs>
          <w:tab w:val="left" w:pos="1120"/>
        </w:tabs>
        <w:spacing w:line="440" w:lineRule="exact"/>
        <w:ind w:firstLine="472" w:firstLineChars="224"/>
        <w:rPr>
          <w:rFonts w:hint="eastAsia" w:ascii="宋体" w:hAnsi="宋体"/>
          <w:b/>
          <w:szCs w:val="21"/>
        </w:rPr>
      </w:pPr>
      <w:r>
        <w:rPr>
          <w:rFonts w:hint="eastAsia" w:ascii="宋体" w:hAnsi="宋体"/>
          <w:b/>
          <w:szCs w:val="21"/>
        </w:rPr>
        <w:t>16.1.2临时工程：</w:t>
      </w:r>
    </w:p>
    <w:p w14:paraId="0332D512">
      <w:pPr>
        <w:tabs>
          <w:tab w:val="left" w:pos="1120"/>
        </w:tabs>
        <w:spacing w:line="440" w:lineRule="exact"/>
        <w:ind w:firstLine="470" w:firstLineChars="224"/>
        <w:rPr>
          <w:rFonts w:hint="eastAsia" w:ascii="宋体" w:hAnsi="宋体"/>
          <w:szCs w:val="21"/>
        </w:rPr>
      </w:pPr>
      <w:r>
        <w:rPr>
          <w:rFonts w:hint="eastAsia" w:ascii="宋体" w:hAnsi="宋体"/>
          <w:szCs w:val="21"/>
        </w:rPr>
        <w:t>1）临时工程实行固定总价承包，合同实施过程中单项工程的实际工程量与工程量清单中估算工程量的差值无论多少合同均不调价。</w:t>
      </w:r>
    </w:p>
    <w:p w14:paraId="2CB2E9DA">
      <w:pPr>
        <w:tabs>
          <w:tab w:val="left" w:pos="1120"/>
        </w:tabs>
        <w:spacing w:line="440" w:lineRule="exact"/>
        <w:ind w:firstLine="470" w:firstLineChars="224"/>
        <w:rPr>
          <w:rFonts w:hint="eastAsia" w:ascii="宋体" w:hAnsi="宋体"/>
          <w:szCs w:val="21"/>
        </w:rPr>
      </w:pPr>
      <w:r>
        <w:rPr>
          <w:rFonts w:hint="eastAsia" w:ascii="宋体" w:hAnsi="宋体"/>
          <w:szCs w:val="21"/>
        </w:rPr>
        <w:t>2）若临时工程中单项工程的工程量有计算差错或漏项，承包人应在开标前要求答疑，以便于发包人更改，否则，将不再予以更改。</w:t>
      </w:r>
    </w:p>
    <w:p w14:paraId="11740CEF">
      <w:pPr>
        <w:tabs>
          <w:tab w:val="left" w:pos="1120"/>
        </w:tabs>
        <w:spacing w:line="440" w:lineRule="exact"/>
        <w:ind w:firstLine="470" w:firstLineChars="224"/>
        <w:rPr>
          <w:rFonts w:hint="eastAsia" w:ascii="宋体" w:hAnsi="宋体"/>
          <w:szCs w:val="21"/>
        </w:rPr>
      </w:pPr>
      <w:r>
        <w:rPr>
          <w:rFonts w:hint="eastAsia" w:ascii="宋体" w:hAnsi="宋体"/>
          <w:szCs w:val="21"/>
        </w:rPr>
        <w:t>16.2 经发包人和承包人协议的项目，按协议进行合同价格调整。</w:t>
      </w:r>
    </w:p>
    <w:p w14:paraId="4C77F111">
      <w:pPr>
        <w:tabs>
          <w:tab w:val="left" w:pos="1120"/>
        </w:tabs>
        <w:spacing w:line="440" w:lineRule="exact"/>
        <w:ind w:firstLine="470" w:firstLineChars="224"/>
        <w:rPr>
          <w:rFonts w:hint="eastAsia" w:ascii="宋体" w:hAnsi="宋体"/>
          <w:szCs w:val="21"/>
        </w:rPr>
      </w:pPr>
      <w:r>
        <w:rPr>
          <w:rFonts w:hint="eastAsia" w:ascii="宋体" w:hAnsi="宋体"/>
          <w:szCs w:val="21"/>
        </w:rPr>
        <w:t>16.3 单项工程的实际工程量与工程量清单中估算工程量的差值无论多少均不提高或降低单价。</w:t>
      </w:r>
    </w:p>
    <w:p w14:paraId="37213652">
      <w:pPr>
        <w:tabs>
          <w:tab w:val="left" w:pos="1120"/>
        </w:tabs>
        <w:spacing w:line="440" w:lineRule="exact"/>
        <w:ind w:firstLine="470" w:firstLineChars="224"/>
        <w:rPr>
          <w:rFonts w:hint="eastAsia" w:ascii="宋体" w:hAnsi="宋体"/>
          <w:szCs w:val="21"/>
        </w:rPr>
      </w:pPr>
      <w:r>
        <w:rPr>
          <w:rFonts w:hint="eastAsia" w:ascii="宋体" w:hAnsi="宋体"/>
          <w:szCs w:val="21"/>
        </w:rPr>
        <w:t>16.4投标截止日期后本合同适用的有关法律、法规的更改引起的价格调整；国家或省级的立法变更引起的价格调整，依据有关规定采用文件凭据法结算。</w:t>
      </w:r>
    </w:p>
    <w:p w14:paraId="4A9BEFC7">
      <w:pPr>
        <w:tabs>
          <w:tab w:val="left" w:pos="1120"/>
        </w:tabs>
        <w:spacing w:line="440" w:lineRule="exact"/>
        <w:ind w:firstLine="470" w:firstLineChars="224"/>
        <w:rPr>
          <w:rFonts w:hint="eastAsia" w:ascii="宋体" w:hAnsi="宋体"/>
          <w:szCs w:val="21"/>
        </w:rPr>
      </w:pPr>
      <w:r>
        <w:rPr>
          <w:rFonts w:hint="eastAsia" w:ascii="宋体" w:hAnsi="宋体"/>
          <w:szCs w:val="21"/>
        </w:rPr>
        <w:t>16.5中标后或施工期间，当出现以下三种情况时，经监理机构和发包人审核同意，可对合同承包价进行相应调整：</w:t>
      </w:r>
    </w:p>
    <w:p w14:paraId="2D4AFEAB">
      <w:pPr>
        <w:tabs>
          <w:tab w:val="left" w:pos="1120"/>
        </w:tabs>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1）在工程实施过程中出现的工程设计修改或变更，修改或变更部分的结算工程量是承包单位实际完成的并按合同条款有关规定计量的工程量，相应增、减部分的承包价按本合同16.6款内容进行调整；</w:t>
      </w:r>
    </w:p>
    <w:p w14:paraId="564E8F7F">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施工合同履行期间，工程造价主管部门发布的钢筋、水泥、砂、碎石、墙材、电缆（线）、沥青、预拌砂浆、商品混凝土以及管桩等建筑主材价格涨落超过施工承包合同对应的中介预算价格5%时，合同价差按以下原则调整：</w:t>
      </w:r>
    </w:p>
    <w:p w14:paraId="6254DCA9">
      <w:pPr>
        <w:tabs>
          <w:tab w:val="left" w:pos="1120"/>
        </w:tabs>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①如工程合同工期内正常施工或者发包人原因导致工期延误30天以内（含30天）时，材料价格涨落5%以内的风险由承包人承担，超出5%以上的涨价或降价风险由发包人和承包人各按50%的比例共同承担。</w:t>
      </w:r>
    </w:p>
    <w:p w14:paraId="650FFB38">
      <w:pPr>
        <w:tabs>
          <w:tab w:val="left" w:pos="1120"/>
        </w:tabs>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②如工程合同执行中由于发包人原因导致工期延误超过30天时，材料涨落5%以内的风险由承包人承担，超出5%以上的涨价或降价风险均由发包人承担。</w:t>
      </w:r>
    </w:p>
    <w:p w14:paraId="40F08723">
      <w:pPr>
        <w:tabs>
          <w:tab w:val="left" w:pos="1120"/>
        </w:tabs>
        <w:spacing w:line="440" w:lineRule="exact"/>
        <w:ind w:firstLine="470" w:firstLineChars="224"/>
        <w:rPr>
          <w:rFonts w:hint="eastAsia" w:ascii="宋体" w:hAnsi="宋体"/>
          <w:color w:val="auto"/>
          <w:szCs w:val="21"/>
          <w:highlight w:val="none"/>
        </w:rPr>
      </w:pPr>
      <w:r>
        <w:rPr>
          <w:rFonts w:hint="eastAsia" w:ascii="宋体" w:hAnsi="宋体"/>
          <w:color w:val="auto"/>
          <w:szCs w:val="21"/>
          <w:highlight w:val="none"/>
        </w:rPr>
        <w:t>③如工程合同执行中由于承包人原因导致工期延误，材料涨落引起的涨价或降价风险均由承包人承担。</w:t>
      </w:r>
    </w:p>
    <w:p w14:paraId="4B6A84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rPr>
      </w:pPr>
      <w:r>
        <w:rPr>
          <w:rFonts w:hint="eastAsia"/>
        </w:rPr>
        <w:t>计算公式如下：</w:t>
      </w:r>
    </w:p>
    <w:p w14:paraId="50DA5343">
      <w:pPr>
        <w:spacing w:line="360" w:lineRule="auto"/>
        <w:ind w:firstLine="420" w:firstLineChars="200"/>
        <w:rPr>
          <w:rFonts w:hint="eastAsia"/>
          <w:color w:val="auto"/>
          <w:highlight w:val="none"/>
        </w:rPr>
      </w:pPr>
      <w:r>
        <w:rPr>
          <w:rFonts w:hint="eastAsia"/>
          <w:color w:val="auto"/>
          <w:highlight w:val="none"/>
        </w:rPr>
        <w:t>①当材料价格涨幅大于5%时S</w:t>
      </w:r>
      <w:r>
        <w:rPr>
          <w:rFonts w:hint="eastAsia"/>
          <w:color w:val="auto"/>
          <w:highlight w:val="none"/>
          <w:lang w:val="en-US" w:eastAsia="zh-CN"/>
        </w:rPr>
        <w:t>i</w:t>
      </w:r>
      <w:r>
        <w:rPr>
          <w:rFonts w:hint="eastAsia"/>
          <w:color w:val="auto"/>
          <w:highlight w:val="none"/>
        </w:rPr>
        <w:t>=T</w:t>
      </w:r>
      <w:r>
        <w:rPr>
          <w:rFonts w:hint="eastAsia"/>
          <w:color w:val="auto"/>
          <w:highlight w:val="none"/>
          <w:lang w:val="en-US" w:eastAsia="zh-CN"/>
        </w:rPr>
        <w:t>i</w:t>
      </w:r>
      <w:r>
        <w:rPr>
          <w:rFonts w:hint="eastAsia"/>
          <w:color w:val="auto"/>
          <w:highlight w:val="none"/>
        </w:rPr>
        <w:t>*A</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*1.05）；</w:t>
      </w:r>
    </w:p>
    <w:p w14:paraId="5A705D75">
      <w:pPr>
        <w:spacing w:line="360" w:lineRule="auto"/>
        <w:ind w:firstLine="420" w:firstLineChars="200"/>
        <w:rPr>
          <w:rFonts w:hint="eastAsia"/>
          <w:color w:val="auto"/>
          <w:highlight w:val="none"/>
        </w:rPr>
      </w:pPr>
      <w:r>
        <w:rPr>
          <w:rFonts w:hint="eastAsia"/>
          <w:color w:val="auto"/>
          <w:highlight w:val="none"/>
        </w:rPr>
        <w:t>②当材料价格降幅大于5%时S</w:t>
      </w:r>
      <w:r>
        <w:rPr>
          <w:rFonts w:hint="eastAsia"/>
          <w:color w:val="auto"/>
          <w:highlight w:val="none"/>
          <w:lang w:val="en-US" w:eastAsia="zh-CN"/>
        </w:rPr>
        <w:t>i</w:t>
      </w:r>
      <w:r>
        <w:rPr>
          <w:rFonts w:hint="eastAsia"/>
          <w:color w:val="auto"/>
          <w:highlight w:val="none"/>
        </w:rPr>
        <w:t>=T</w:t>
      </w:r>
      <w:r>
        <w:rPr>
          <w:rFonts w:hint="eastAsia"/>
          <w:color w:val="auto"/>
          <w:highlight w:val="none"/>
          <w:lang w:val="en-US" w:eastAsia="zh-CN"/>
        </w:rPr>
        <w:t>i</w:t>
      </w:r>
      <w:r>
        <w:rPr>
          <w:rFonts w:hint="eastAsia"/>
          <w:color w:val="auto"/>
          <w:highlight w:val="none"/>
        </w:rPr>
        <w:t>*A</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-C</w:t>
      </w:r>
      <w:r>
        <w:rPr>
          <w:rFonts w:hint="eastAsia"/>
          <w:color w:val="auto"/>
          <w:highlight w:val="none"/>
          <w:lang w:val="en-US" w:eastAsia="zh-CN"/>
        </w:rPr>
        <w:t>i</w:t>
      </w:r>
      <w:r>
        <w:rPr>
          <w:rFonts w:hint="eastAsia"/>
          <w:color w:val="auto"/>
          <w:highlight w:val="none"/>
        </w:rPr>
        <w:t>*0.95）；</w:t>
      </w:r>
    </w:p>
    <w:p w14:paraId="7C48DFBD">
      <w:pPr>
        <w:spacing w:line="360" w:lineRule="auto"/>
        <w:ind w:firstLine="420" w:firstLineChars="200"/>
        <w:rPr>
          <w:rFonts w:hint="eastAsia"/>
          <w:color w:val="auto"/>
          <w:highlight w:val="none"/>
        </w:rPr>
      </w:pPr>
      <w:r>
        <w:rPr>
          <w:rFonts w:hint="eastAsia"/>
          <w:color w:val="auto"/>
          <w:highlight w:val="none"/>
        </w:rPr>
        <w:t>S</w:t>
      </w:r>
      <w:r>
        <w:rPr>
          <w:rFonts w:hint="eastAsia"/>
          <w:color w:val="auto"/>
          <w:highlight w:val="none"/>
          <w:lang w:val="en-US" w:eastAsia="zh-CN"/>
        </w:rPr>
        <w:t>i：</w:t>
      </w:r>
      <w:r>
        <w:rPr>
          <w:rFonts w:hint="eastAsia"/>
          <w:color w:val="auto"/>
          <w:highlight w:val="none"/>
        </w:rPr>
        <w:t>某种</w:t>
      </w:r>
      <w:r>
        <w:rPr>
          <w:rFonts w:hint="eastAsia"/>
          <w:color w:val="auto"/>
          <w:highlight w:val="none"/>
          <w:lang w:val="en-US" w:eastAsia="zh-CN"/>
        </w:rPr>
        <w:t>建筑</w:t>
      </w:r>
      <w:r>
        <w:rPr>
          <w:rFonts w:hint="eastAsia"/>
          <w:color w:val="auto"/>
          <w:highlight w:val="none"/>
        </w:rPr>
        <w:t>主材</w:t>
      </w:r>
      <w:r>
        <w:rPr>
          <w:rFonts w:hint="eastAsia"/>
          <w:color w:val="auto"/>
          <w:highlight w:val="none"/>
          <w:lang w:val="en-US" w:eastAsia="zh-CN"/>
        </w:rPr>
        <w:t>调</w:t>
      </w:r>
      <w:r>
        <w:rPr>
          <w:rFonts w:hint="eastAsia"/>
          <w:color w:val="auto"/>
          <w:highlight w:val="none"/>
        </w:rPr>
        <w:t>差金额</w:t>
      </w:r>
      <w:r>
        <w:rPr>
          <w:rFonts w:hint="eastAsia" w:ascii="Times New Roman" w:hAnsi="Times New Roman" w:eastAsia="宋体" w:cs="Times New Roman"/>
          <w:color w:val="auto"/>
          <w:highlight w:val="none"/>
        </w:rPr>
        <w:t>（</w:t>
      </w:r>
      <w:r>
        <w:rPr>
          <w:rFonts w:hint="eastAsia" w:ascii="Times New Roman" w:hAnsi="Times New Roman" w:eastAsia="宋体" w:cs="Times New Roman"/>
          <w:i w:val="0"/>
          <w:iCs w:val="0"/>
          <w:caps w:val="0"/>
          <w:color w:val="auto"/>
          <w:spacing w:val="0"/>
          <w:sz w:val="21"/>
          <w:szCs w:val="24"/>
          <w:highlight w:val="none"/>
          <w:shd w:val="clear" w:color="auto" w:fill="auto"/>
        </w:rPr>
        <w:t>当Si为正数时是补偿金额，当Si为负数时是扣减金额</w:t>
      </w:r>
      <w:r>
        <w:rPr>
          <w:rFonts w:hint="eastAsia"/>
          <w:color w:val="auto"/>
          <w:highlight w:val="none"/>
        </w:rPr>
        <w:t>）；</w:t>
      </w:r>
    </w:p>
    <w:p w14:paraId="646BAB65">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T</w:t>
      </w:r>
      <w:r>
        <w:rPr>
          <w:rFonts w:hint="eastAsia" w:ascii="Times New Roman" w:hAnsi="Times New Roman" w:eastAsia="宋体" w:cs="Times New Roman"/>
          <w:color w:val="auto"/>
          <w:highlight w:val="none"/>
          <w:lang w:val="en-US" w:eastAsia="zh-CN"/>
        </w:rPr>
        <w:t>i：</w:t>
      </w:r>
      <w:r>
        <w:rPr>
          <w:rFonts w:hint="eastAsia" w:ascii="Times New Roman" w:hAnsi="Times New Roman" w:eastAsia="宋体" w:cs="Times New Roman"/>
          <w:i w:val="0"/>
          <w:iCs w:val="0"/>
          <w:caps w:val="0"/>
          <w:color w:val="auto"/>
          <w:spacing w:val="0"/>
          <w:sz w:val="21"/>
          <w:szCs w:val="24"/>
          <w:highlight w:val="none"/>
          <w:shd w:val="clear" w:color="auto" w:fill="auto"/>
        </w:rPr>
        <w:t>调差系数；（如合同工期内正常施工或发包人原因导致工期延误30天以内时，调差系数为0.5；如合同执行中由于发包人原因导致工期延误超过30天或承包人原因导致工期延误的，调差系数为1）</w:t>
      </w:r>
      <w:r>
        <w:rPr>
          <w:rFonts w:hint="eastAsia" w:ascii="Times New Roman" w:hAnsi="Times New Roman" w:eastAsia="宋体" w:cs="Times New Roman"/>
          <w:color w:val="auto"/>
          <w:highlight w:val="none"/>
        </w:rPr>
        <w:t>；</w:t>
      </w:r>
    </w:p>
    <w:p w14:paraId="2741B24A">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A</w:t>
      </w:r>
      <w:r>
        <w:rPr>
          <w:rFonts w:hint="eastAsia" w:ascii="Times New Roman" w:hAnsi="Times New Roman" w:eastAsia="宋体" w:cs="Times New Roman"/>
          <w:color w:val="auto"/>
          <w:highlight w:val="none"/>
          <w:lang w:val="en-US" w:eastAsia="zh-CN"/>
        </w:rPr>
        <w:t>i：</w:t>
      </w:r>
      <w:r>
        <w:rPr>
          <w:rFonts w:hint="eastAsia" w:ascii="Times New Roman" w:hAnsi="Times New Roman" w:eastAsia="宋体" w:cs="Times New Roman"/>
          <w:color w:val="auto"/>
          <w:highlight w:val="none"/>
        </w:rPr>
        <w:t>某种建筑主材的消耗量；</w:t>
      </w:r>
    </w:p>
    <w:p w14:paraId="3B43CCE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△C</w:t>
      </w:r>
      <w:r>
        <w:rPr>
          <w:rFonts w:hint="eastAsia" w:ascii="Times New Roman" w:hAnsi="Times New Roman" w:eastAsia="宋体" w:cs="Times New Roman"/>
          <w:color w:val="auto"/>
          <w:highlight w:val="none"/>
          <w:lang w:val="en-US" w:eastAsia="zh-CN"/>
        </w:rPr>
        <w:t>i：</w:t>
      </w:r>
      <w:r>
        <w:rPr>
          <w:rFonts w:hint="eastAsia" w:ascii="Times New Roman" w:hAnsi="Times New Roman" w:eastAsia="宋体" w:cs="Times New Roman"/>
          <w:i w:val="0"/>
          <w:iCs w:val="0"/>
          <w:caps w:val="0"/>
          <w:color w:val="auto"/>
          <w:spacing w:val="0"/>
          <w:sz w:val="21"/>
          <w:szCs w:val="24"/>
          <w:highlight w:val="none"/>
          <w:shd w:val="clear" w:color="auto" w:fill="auto"/>
        </w:rPr>
        <w:t>某种建筑主材在工程实际开工至完工期间（以开工报告和竣工报告为准）工程造价管理机构发布价格的平均值</w:t>
      </w:r>
      <w:r>
        <w:rPr>
          <w:rFonts w:hint="eastAsia" w:ascii="Times New Roman" w:hAnsi="Times New Roman" w:eastAsia="宋体" w:cs="Times New Roman"/>
          <w:color w:val="auto"/>
          <w:highlight w:val="none"/>
        </w:rPr>
        <w:t>；</w:t>
      </w:r>
    </w:p>
    <w:p w14:paraId="5372FC74">
      <w:pPr>
        <w:spacing w:line="360" w:lineRule="auto"/>
        <w:ind w:firstLine="420" w:firstLineChars="200"/>
        <w:rPr>
          <w:rFonts w:hint="eastAsia"/>
          <w:color w:val="auto"/>
          <w:highlight w:val="none"/>
        </w:rPr>
      </w:pPr>
      <w:r>
        <w:rPr>
          <w:rFonts w:hint="eastAsia"/>
          <w:color w:val="auto"/>
          <w:highlight w:val="none"/>
        </w:rPr>
        <w:t>C</w:t>
      </w:r>
      <w:r>
        <w:rPr>
          <w:rFonts w:hint="eastAsia" w:ascii="Times New Roman" w:hAnsi="Times New Roman" w:eastAsia="宋体" w:cs="Times New Roman"/>
          <w:color w:val="auto"/>
          <w:highlight w:val="none"/>
          <w:lang w:val="en-US" w:eastAsia="zh-CN"/>
        </w:rPr>
        <w:t>i：</w:t>
      </w:r>
      <w:r>
        <w:rPr>
          <w:rFonts w:hint="eastAsia"/>
          <w:color w:val="auto"/>
          <w:highlight w:val="none"/>
        </w:rPr>
        <w:t>某种建筑主材在合同中对应的中介预算价格。</w:t>
      </w:r>
    </w:p>
    <w:p w14:paraId="30EF7D1B">
      <w:pPr>
        <w:spacing w:line="360" w:lineRule="auto"/>
        <w:ind w:firstLine="420" w:firstLineChars="200"/>
        <w:rPr>
          <w:rFonts w:hint="eastAsia"/>
          <w:color w:val="auto"/>
          <w:highlight w:val="none"/>
        </w:rPr>
      </w:pPr>
      <w:r>
        <w:rPr>
          <w:rFonts w:hint="eastAsia"/>
          <w:color w:val="auto"/>
          <w:highlight w:val="none"/>
        </w:rPr>
        <w:t>调差金额作为价差计入工程价款，只计取规费和税金，不再按承包人的中标下浮率进行下浮。</w:t>
      </w:r>
    </w:p>
    <w:p w14:paraId="68460354">
      <w:pPr>
        <w:spacing w:line="360" w:lineRule="auto"/>
        <w:ind w:firstLine="420" w:firstLineChars="200"/>
        <w:rPr>
          <w:rFonts w:hint="eastAsia"/>
          <w:color w:val="auto"/>
          <w:highlight w:val="none"/>
        </w:rPr>
      </w:pPr>
      <w:r>
        <w:rPr>
          <w:rFonts w:hint="eastAsia"/>
          <w:color w:val="auto"/>
          <w:highlight w:val="none"/>
        </w:rPr>
        <w:t>3）《中介预算》中主要永久工程项目工程量错项和较大永久工程项目漏项时，可视以下情况进行相应调整：</w:t>
      </w:r>
    </w:p>
    <w:p w14:paraId="0A9F709A">
      <w:pPr>
        <w:tabs>
          <w:tab w:val="left" w:pos="1120"/>
        </w:tabs>
        <w:spacing w:line="440" w:lineRule="exact"/>
        <w:ind w:firstLine="470" w:firstLineChars="224"/>
        <w:rPr>
          <w:rFonts w:hint="eastAsia" w:ascii="宋体" w:hAnsi="宋体"/>
          <w:szCs w:val="21"/>
        </w:rPr>
      </w:pPr>
      <w:r>
        <w:rPr>
          <w:rFonts w:hint="eastAsia" w:ascii="宋体" w:hAnsi="宋体"/>
          <w:szCs w:val="21"/>
        </w:rPr>
        <w:t>①主要永久工程项目（主要单项工程是指经监理机构确认的该单项工程总造价在10万元以上或占总承包价的3%以上&lt;含3%&gt;的单项工程）在按设计要求实际完成的工程量与《中介预算》中相应项目的工程量差值超出±10%时，经审核确认后，只对超出±10%以外的工程量进行补扣，计算工程量时应以设计施工图纸或变更文件作为计算依据。增减部分工程量的合同单价只包含其工程直接费部分费用，计价时由工程造价咨询机构按本次招标工程中介预算的相应计价依据计价。相应增减部分工程量的间接费、企业利润、税金、保险、措施费等其他所有费用将视为已包含在合同总承包价内，不再作调整。</w:t>
      </w:r>
    </w:p>
    <w:p w14:paraId="7C229780">
      <w:pPr>
        <w:tabs>
          <w:tab w:val="left" w:pos="1120"/>
        </w:tabs>
        <w:spacing w:line="440" w:lineRule="exact"/>
        <w:ind w:firstLine="470" w:firstLineChars="224"/>
        <w:rPr>
          <w:rFonts w:hint="eastAsia" w:ascii="宋体" w:hAnsi="宋体"/>
          <w:szCs w:val="21"/>
        </w:rPr>
      </w:pPr>
      <w:r>
        <w:rPr>
          <w:rFonts w:hint="eastAsia" w:ascii="宋体" w:hAnsi="宋体"/>
          <w:szCs w:val="21"/>
        </w:rPr>
        <w:t>②依据设计施工图纸，经核对确认《中介预算》中出现其工程项目漏项时，该遗漏项目工程量依照设计施工图纸进行计算补偿，结算时，补偿项目的单价参照本合同16.6款内容进行调整。</w:t>
      </w:r>
    </w:p>
    <w:p w14:paraId="17924E76">
      <w:pPr>
        <w:spacing w:line="440" w:lineRule="exact"/>
        <w:ind w:firstLine="573"/>
        <w:rPr>
          <w:rFonts w:hint="eastAsia" w:ascii="宋体" w:hAnsi="宋体"/>
          <w:szCs w:val="21"/>
        </w:rPr>
      </w:pPr>
      <w:r>
        <w:rPr>
          <w:rFonts w:hint="eastAsia" w:ascii="宋体" w:hAnsi="宋体"/>
          <w:szCs w:val="21"/>
        </w:rPr>
        <w:t>16.6工程施工期间，因设计修改、变更，</w:t>
      </w:r>
      <w:r>
        <w:rPr>
          <w:rFonts w:hint="eastAsia" w:ascii="宋体" w:hAnsi="宋体"/>
          <w:szCs w:val="21"/>
          <w:lang w:eastAsia="zh-CN"/>
        </w:rPr>
        <w:t>发包人</w:t>
      </w:r>
      <w:r>
        <w:rPr>
          <w:rFonts w:hint="eastAsia" w:ascii="宋体" w:hAnsi="宋体"/>
          <w:szCs w:val="21"/>
        </w:rPr>
        <w:t>要求中标单位施工时，中标单位不得以任何理由拒绝施工，其增、减部分的承包价的调整按下列方法进行：</w:t>
      </w:r>
    </w:p>
    <w:p w14:paraId="069C3FF4">
      <w:pPr>
        <w:spacing w:line="440" w:lineRule="exact"/>
        <w:ind w:firstLine="573"/>
        <w:rPr>
          <w:rFonts w:hint="eastAsia" w:ascii="宋体" w:hAnsi="宋体"/>
          <w:szCs w:val="21"/>
        </w:rPr>
      </w:pPr>
      <w:r>
        <w:rPr>
          <w:rFonts w:hint="eastAsia" w:ascii="宋体" w:hAnsi="宋体"/>
          <w:szCs w:val="21"/>
        </w:rPr>
        <w:t>（1）合同外增加工程的：合同中已有变更工程项目单价的（或类似于变更工程项目单价的），如合同单价低于《中介预算》*中标承包价浮动率，则按合同单价结算；如合同单价高于相应《中介预算》单价*中标承包价浮动率，则按《中介预算》单价*中标承包价浮动率结算；（中标承包价浮动率=投标人的总报价÷《中介预算》总价）；</w:t>
      </w:r>
    </w:p>
    <w:p w14:paraId="10EEBE01">
      <w:pPr>
        <w:spacing w:line="440" w:lineRule="exact"/>
        <w:ind w:firstLine="573"/>
        <w:rPr>
          <w:rFonts w:hint="eastAsia" w:ascii="宋体" w:hAnsi="宋体"/>
          <w:szCs w:val="21"/>
        </w:rPr>
      </w:pPr>
      <w:r>
        <w:rPr>
          <w:rFonts w:hint="eastAsia" w:ascii="宋体" w:hAnsi="宋体"/>
          <w:szCs w:val="21"/>
        </w:rPr>
        <w:t>（2）合同内减少工程的：其减少部分结算单价均按《中介预算》单价*中标承包价浮动率结算；</w:t>
      </w:r>
    </w:p>
    <w:p w14:paraId="5B5FFCBE">
      <w:pPr>
        <w:spacing w:line="440" w:lineRule="exact"/>
        <w:ind w:firstLine="525" w:firstLineChars="250"/>
        <w:rPr>
          <w:rFonts w:hint="eastAsia" w:ascii="宋体" w:hAnsi="宋体"/>
          <w:szCs w:val="21"/>
        </w:rPr>
      </w:pPr>
      <w:r>
        <w:rPr>
          <w:rFonts w:hint="eastAsia" w:ascii="宋体" w:hAnsi="宋体"/>
          <w:szCs w:val="21"/>
        </w:rPr>
        <w:t>（3）合同中没有适用或类似于变更工程的单价，由工程造价咨询机构按本次招标工程中介预算的相应计价依据计价，按中标承包价浮动率（中标承包价浮动率=中标承包价/中介预算总价）经审核后调整执行。</w:t>
      </w:r>
    </w:p>
    <w:p w14:paraId="3DB5F38C">
      <w:pPr>
        <w:spacing w:line="440" w:lineRule="exact"/>
        <w:ind w:firstLine="420" w:firstLineChars="200"/>
        <w:rPr>
          <w:rFonts w:hint="eastAsia" w:ascii="宋体" w:hAnsi="宋体"/>
          <w:szCs w:val="21"/>
        </w:rPr>
      </w:pPr>
      <w:r>
        <w:rPr>
          <w:rFonts w:hint="eastAsia" w:ascii="宋体" w:hAnsi="宋体"/>
          <w:szCs w:val="21"/>
        </w:rPr>
        <w:t>16.7投标报价货币为人民币，合同金额支付结算货币为人民币。</w:t>
      </w:r>
    </w:p>
    <w:p w14:paraId="3BBDCCB5">
      <w:pPr>
        <w:spacing w:line="440" w:lineRule="exact"/>
        <w:ind w:firstLine="420" w:firstLineChars="200"/>
        <w:rPr>
          <w:rFonts w:hint="eastAsia" w:ascii="宋体" w:hAnsi="宋体"/>
          <w:szCs w:val="21"/>
        </w:rPr>
      </w:pPr>
      <w:r>
        <w:rPr>
          <w:rFonts w:hint="eastAsia" w:ascii="宋体" w:hAnsi="宋体"/>
          <w:szCs w:val="21"/>
        </w:rPr>
        <w:t>16.8</w:t>
      </w:r>
      <w:r>
        <w:rPr>
          <w:rFonts w:ascii="宋体" w:hAnsi="宋体"/>
          <w:szCs w:val="21"/>
        </w:rPr>
        <w:t xml:space="preserve"> </w:t>
      </w:r>
      <w:r>
        <w:rPr>
          <w:rFonts w:hint="eastAsia" w:ascii="宋体" w:hAnsi="宋体"/>
          <w:szCs w:val="21"/>
        </w:rPr>
        <w:t>需承包人提出变更报价书的时间为：监理机构发出变更指示后</w:t>
      </w:r>
      <w:r>
        <w:rPr>
          <w:rFonts w:hint="eastAsia" w:ascii="宋体" w:hAnsi="宋体"/>
          <w:szCs w:val="21"/>
          <w:u w:val="single"/>
        </w:rPr>
        <w:t>14</w:t>
      </w:r>
      <w:r>
        <w:rPr>
          <w:rFonts w:hint="eastAsia" w:ascii="宋体" w:hAnsi="宋体"/>
          <w:szCs w:val="21"/>
        </w:rPr>
        <w:t>天内。</w:t>
      </w:r>
    </w:p>
    <w:p w14:paraId="2529CB6E">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１７　计量与支付</w:t>
      </w:r>
    </w:p>
    <w:p w14:paraId="55D91932">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17.1　计量</w:t>
      </w:r>
    </w:p>
    <w:p w14:paraId="24DCBC01">
      <w:pPr>
        <w:spacing w:line="360" w:lineRule="auto"/>
        <w:ind w:firstLine="420" w:firstLineChars="200"/>
        <w:rPr>
          <w:rFonts w:hint="eastAsia" w:ascii="宋体" w:hAnsi="宋体"/>
          <w:szCs w:val="21"/>
        </w:rPr>
      </w:pPr>
      <w:r>
        <w:rPr>
          <w:rFonts w:hint="eastAsia" w:ascii="宋体" w:hAnsi="宋体"/>
          <w:szCs w:val="21"/>
        </w:rPr>
        <w:t>17.1.4单价子目的计量</w:t>
      </w:r>
    </w:p>
    <w:p w14:paraId="772F8272">
      <w:pPr>
        <w:autoSpaceDE w:val="0"/>
        <w:autoSpaceDN w:val="0"/>
        <w:adjustRightInd w:val="0"/>
        <w:spacing w:line="360" w:lineRule="auto"/>
        <w:ind w:firstLine="420" w:firstLineChars="200"/>
        <w:jc w:val="left"/>
        <w:rPr>
          <w:rFonts w:hint="eastAsia" w:ascii="宋体" w:hAnsi="宋体"/>
          <w:szCs w:val="21"/>
        </w:rPr>
      </w:pPr>
      <w:r>
        <w:rPr>
          <w:rFonts w:hint="eastAsia" w:ascii="宋体" w:hAnsi="宋体"/>
          <w:szCs w:val="21"/>
        </w:rPr>
        <w:t>（l)已标价工程量清单中的单价子目工程量为双方认可的并与招标图纸对应的工程量。结算工程量是承包人按图纸（</w:t>
      </w:r>
      <w:r>
        <w:rPr>
          <w:rFonts w:hint="eastAsia" w:ascii="宋体" w:hAnsi="宋体" w:cs="H-SS9-PK74820000032-Identity-H"/>
          <w:kern w:val="0"/>
          <w:szCs w:val="21"/>
        </w:rPr>
        <w:t>含经批准的设计变更</w:t>
      </w:r>
      <w:r>
        <w:rPr>
          <w:rFonts w:hint="eastAsia" w:ascii="宋体" w:hAnsi="宋体"/>
          <w:szCs w:val="21"/>
        </w:rPr>
        <w:t>）完成的</w:t>
      </w:r>
      <w:r>
        <w:rPr>
          <w:rFonts w:hint="eastAsia" w:ascii="宋体" w:hAnsi="宋体" w:cs="SSJ-PK7482000002d-Identity-H"/>
          <w:kern w:val="0"/>
          <w:szCs w:val="21"/>
        </w:rPr>
        <w:t>符合技术标准和要求</w:t>
      </w:r>
      <w:r>
        <w:rPr>
          <w:rFonts w:hint="eastAsia" w:ascii="宋体" w:hAnsi="宋体" w:cs="H-SS9-PK74820000032-Identity-H"/>
          <w:kern w:val="0"/>
          <w:szCs w:val="21"/>
        </w:rPr>
        <w:t>（</w:t>
      </w:r>
      <w:r>
        <w:rPr>
          <w:rFonts w:hint="eastAsia" w:ascii="宋体" w:hAnsi="宋体" w:cs="SSJ-PK7482000002d-Identity-H"/>
          <w:kern w:val="0"/>
          <w:szCs w:val="21"/>
        </w:rPr>
        <w:t>合同技术条款</w:t>
      </w:r>
      <w:r>
        <w:rPr>
          <w:rFonts w:hint="eastAsia" w:ascii="宋体" w:hAnsi="宋体" w:cs="H-SS9-PK74820000032-Identity-H"/>
          <w:kern w:val="0"/>
          <w:szCs w:val="21"/>
        </w:rPr>
        <w:t>）的</w:t>
      </w:r>
      <w:r>
        <w:rPr>
          <w:rFonts w:hint="eastAsia" w:ascii="宋体" w:hAnsi="宋体"/>
          <w:szCs w:val="21"/>
        </w:rPr>
        <w:t>，并经审核批准的工程量。</w:t>
      </w:r>
    </w:p>
    <w:p w14:paraId="657D0AFF">
      <w:pPr>
        <w:autoSpaceDE w:val="0"/>
        <w:autoSpaceDN w:val="0"/>
        <w:adjustRightInd w:val="0"/>
        <w:spacing w:line="360" w:lineRule="auto"/>
        <w:ind w:firstLine="420" w:firstLineChars="200"/>
        <w:jc w:val="left"/>
        <w:rPr>
          <w:rFonts w:hint="eastAsia" w:ascii="宋体" w:hAnsi="宋体" w:cs="HTJ-PK74820000034-Identity-H"/>
          <w:kern w:val="0"/>
          <w:szCs w:val="21"/>
        </w:rPr>
      </w:pPr>
      <w:r>
        <w:rPr>
          <w:rFonts w:hint="eastAsia" w:ascii="宋体" w:hAnsi="宋体"/>
          <w:szCs w:val="21"/>
        </w:rPr>
        <w:t>结算工程量=已标价清单工程量+变更工程量（经中介审核）</w:t>
      </w:r>
    </w:p>
    <w:p w14:paraId="3900DFDD">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17.2　预付款</w:t>
      </w:r>
    </w:p>
    <w:p w14:paraId="76F689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eastAsia="zh-CN"/>
        </w:rPr>
      </w:pPr>
      <w:r>
        <w:rPr>
          <w:rFonts w:hint="eastAsia"/>
          <w:color w:val="auto"/>
          <w:lang w:eastAsia="zh-CN"/>
        </w:rPr>
        <w:t>发包人与承包人</w:t>
      </w:r>
      <w:r>
        <w:rPr>
          <w:rFonts w:hint="eastAsia"/>
          <w:color w:val="auto"/>
        </w:rPr>
        <w:t>签订合同后的一个月内或不迟于约定的开工日期前的7天内</w:t>
      </w:r>
      <w:r>
        <w:rPr>
          <w:rFonts w:hint="eastAsia"/>
          <w:color w:val="auto"/>
          <w:lang w:eastAsia="zh-CN"/>
        </w:rPr>
        <w:t>，承包人开具等额的预付款保函后可向发包人申请预付工程款。</w:t>
      </w:r>
      <w:r>
        <w:rPr>
          <w:rFonts w:hint="eastAsia"/>
          <w:color w:val="auto"/>
        </w:rPr>
        <w:t>预付</w:t>
      </w:r>
      <w:r>
        <w:rPr>
          <w:rFonts w:hint="eastAsia"/>
          <w:color w:val="auto"/>
          <w:lang w:eastAsia="zh-CN"/>
        </w:rPr>
        <w:t>款支付</w:t>
      </w:r>
      <w:r>
        <w:rPr>
          <w:rFonts w:hint="eastAsia"/>
          <w:color w:val="auto"/>
        </w:rPr>
        <w:t>标准为：</w:t>
      </w:r>
    </w:p>
    <w:p w14:paraId="5714C800">
      <w:pPr>
        <w:pStyle w:val="2"/>
        <w:ind w:firstLine="420" w:firstLineChars="200"/>
        <w:rPr>
          <w:rFonts w:hint="eastAsia"/>
          <w:color w:val="auto"/>
          <w:highlight w:val="none"/>
          <w:lang w:val="en-US" w:eastAsia="zh-CN"/>
        </w:rPr>
      </w:pPr>
      <w:r>
        <w:rPr>
          <w:rFonts w:hint="eastAsia"/>
          <w:b w:val="0"/>
          <w:bCs w:val="0"/>
          <w:color w:val="auto"/>
          <w:highlight w:val="none"/>
          <w:lang w:eastAsia="zh-CN"/>
        </w:rPr>
        <w:t xml:space="preserve">① 本项目工程预付款的额度：合同金额（扣除暂列金额）的 </w:t>
      </w:r>
      <w:r>
        <w:rPr>
          <w:rFonts w:hint="eastAsia"/>
          <w:b w:val="0"/>
          <w:bCs w:val="0"/>
          <w:color w:val="auto"/>
          <w:highlight w:val="none"/>
          <w:lang w:val="en-US" w:eastAsia="zh-CN"/>
        </w:rPr>
        <w:t>25</w:t>
      </w:r>
      <w:r>
        <w:rPr>
          <w:rFonts w:hint="eastAsia"/>
          <w:b w:val="0"/>
          <w:bCs w:val="0"/>
          <w:color w:val="auto"/>
          <w:highlight w:val="none"/>
          <w:lang w:eastAsia="zh-CN"/>
        </w:rPr>
        <w:t>%</w:t>
      </w:r>
      <w:r>
        <w:rPr>
          <w:rFonts w:hint="eastAsia"/>
          <w:color w:val="auto"/>
          <w:highlight w:val="none"/>
          <w:lang w:val="en-US" w:eastAsia="zh-CN"/>
        </w:rPr>
        <w:t>。</w:t>
      </w:r>
    </w:p>
    <w:p w14:paraId="774878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auto"/>
          <w:highlight w:val="none"/>
          <w:lang w:eastAsia="zh-CN"/>
        </w:rPr>
      </w:pPr>
      <w:r>
        <w:rPr>
          <w:rFonts w:hint="eastAsia"/>
          <w:b w:val="0"/>
          <w:bCs w:val="0"/>
          <w:color w:val="auto"/>
          <w:highlight w:val="none"/>
          <w:lang w:eastAsia="zh-CN"/>
        </w:rPr>
        <w:t>②</w:t>
      </w:r>
      <w:r>
        <w:rPr>
          <w:rFonts w:hint="eastAsia" w:ascii="Times New Roman" w:hAnsi="Times New Roman" w:eastAsia="宋体" w:cs="Times New Roman"/>
          <w:color w:val="auto"/>
          <w:highlight w:val="none"/>
          <w:lang w:val="en-US" w:eastAsia="zh-CN"/>
        </w:rPr>
        <w:t>工程预付款须实行</w:t>
      </w:r>
      <w:r>
        <w:rPr>
          <w:rFonts w:hint="eastAsia" w:ascii="Times New Roman" w:hAnsi="Times New Roman" w:eastAsia="宋体" w:cs="Times New Roman"/>
          <w:color w:val="auto"/>
          <w:highlight w:val="none"/>
          <w:lang w:eastAsia="zh-CN"/>
        </w:rPr>
        <w:t>分账管理，发包人按预付款金额的</w:t>
      </w:r>
      <w:r>
        <w:rPr>
          <w:rFonts w:hint="eastAsia" w:asciiTheme="minorEastAsia" w:hAnsiTheme="minorEastAsia" w:eastAsiaTheme="minorEastAsia" w:cstheme="minorEastAsia"/>
          <w:color w:val="auto"/>
          <w:highlight w:val="none"/>
          <w:lang w:val="en-US" w:eastAsia="zh-CN"/>
        </w:rPr>
        <w:t>20%</w:t>
      </w:r>
      <w:r>
        <w:rPr>
          <w:rFonts w:hint="eastAsia" w:ascii="Times New Roman" w:hAnsi="Times New Roman" w:eastAsia="宋体" w:cs="Times New Roman"/>
          <w:color w:val="auto"/>
          <w:highlight w:val="none"/>
          <w:lang w:eastAsia="zh-CN"/>
        </w:rPr>
        <w:t>支付至工人工资专用账户。</w:t>
      </w:r>
    </w:p>
    <w:p w14:paraId="186DF0F8">
      <w:pPr>
        <w:pStyle w:val="2"/>
        <w:ind w:firstLine="420" w:firstLineChars="200"/>
        <w:rPr>
          <w:rFonts w:hint="eastAsia"/>
          <w:b w:val="0"/>
          <w:bCs w:val="0"/>
          <w:color w:val="auto"/>
          <w:highlight w:val="none"/>
          <w:lang w:eastAsia="zh-CN"/>
        </w:rPr>
      </w:pPr>
      <w:r>
        <w:rPr>
          <w:rFonts w:hint="eastAsia"/>
          <w:b w:val="0"/>
          <w:bCs w:val="0"/>
          <w:color w:val="auto"/>
          <w:highlight w:val="none"/>
          <w:lang w:eastAsia="zh-CN"/>
        </w:rPr>
        <w:t>③ 预付办法：在具备施工条件的前提下，发包人应在双方签订合同后的一个月内或不迟于约定的</w:t>
      </w:r>
    </w:p>
    <w:p w14:paraId="4EB048D6">
      <w:pPr>
        <w:pStyle w:val="2"/>
        <w:ind w:firstLine="0" w:firstLineChars="0"/>
        <w:rPr>
          <w:rFonts w:hint="eastAsia"/>
          <w:b w:val="0"/>
          <w:bCs w:val="0"/>
          <w:color w:val="auto"/>
          <w:highlight w:val="none"/>
          <w:lang w:eastAsia="zh-CN"/>
        </w:rPr>
      </w:pPr>
      <w:r>
        <w:rPr>
          <w:rFonts w:hint="eastAsia"/>
          <w:b w:val="0"/>
          <w:bCs w:val="0"/>
          <w:color w:val="auto"/>
          <w:highlight w:val="none"/>
          <w:lang w:eastAsia="zh-CN"/>
        </w:rPr>
        <w:t>开工日期前的</w:t>
      </w:r>
      <w:r>
        <w:rPr>
          <w:rFonts w:hint="eastAsia"/>
          <w:b w:val="0"/>
          <w:bCs w:val="0"/>
          <w:color w:val="auto"/>
          <w:highlight w:val="none"/>
          <w:lang w:val="en-US" w:eastAsia="zh-CN"/>
        </w:rPr>
        <w:t>7</w:t>
      </w:r>
      <w:r>
        <w:rPr>
          <w:rFonts w:hint="eastAsia"/>
          <w:b w:val="0"/>
          <w:bCs w:val="0"/>
          <w:color w:val="auto"/>
          <w:highlight w:val="none"/>
          <w:lang w:eastAsia="zh-CN"/>
        </w:rPr>
        <w:t xml:space="preserve">天内向承包人预付工程款，预付工程款为合同金额的 </w:t>
      </w:r>
      <w:r>
        <w:rPr>
          <w:rFonts w:hint="eastAsia"/>
          <w:b w:val="0"/>
          <w:bCs w:val="0"/>
          <w:color w:val="auto"/>
          <w:highlight w:val="none"/>
          <w:lang w:val="en-US" w:eastAsia="zh-CN"/>
        </w:rPr>
        <w:t>25</w:t>
      </w:r>
      <w:r>
        <w:rPr>
          <w:rFonts w:hint="eastAsia"/>
          <w:b w:val="0"/>
          <w:bCs w:val="0"/>
          <w:color w:val="auto"/>
          <w:highlight w:val="none"/>
          <w:lang w:eastAsia="zh-CN"/>
        </w:rPr>
        <w:t>%。</w:t>
      </w:r>
    </w:p>
    <w:p w14:paraId="78231D22">
      <w:pPr>
        <w:pStyle w:val="2"/>
        <w:ind w:firstLine="420" w:firstLineChars="200"/>
        <w:rPr>
          <w:rFonts w:hint="eastAsia"/>
          <w:b w:val="0"/>
          <w:bCs w:val="0"/>
          <w:color w:val="auto"/>
          <w:highlight w:val="none"/>
          <w:lang w:val="en-US" w:eastAsia="zh-CN"/>
        </w:rPr>
      </w:pPr>
      <w:r>
        <w:rPr>
          <w:rFonts w:hint="eastAsia"/>
          <w:b w:val="0"/>
          <w:bCs w:val="0"/>
          <w:color w:val="auto"/>
          <w:highlight w:val="none"/>
          <w:lang w:eastAsia="zh-CN"/>
        </w:rPr>
        <w:t>④ 工程预付款抵扣方式：</w:t>
      </w:r>
      <w:r>
        <w:rPr>
          <w:rFonts w:hint="eastAsia"/>
          <w:b w:val="0"/>
          <w:bCs w:val="0"/>
          <w:color w:val="auto"/>
          <w:highlight w:val="none"/>
          <w:lang w:val="en-US" w:eastAsia="zh-CN"/>
        </w:rPr>
        <w:t>2024年不抵扣，2025年1月份开始每个月抵扣工程预付款总额的25%，</w:t>
      </w:r>
      <w:r>
        <w:rPr>
          <w:rFonts w:hint="eastAsia"/>
          <w:b w:val="0"/>
          <w:bCs w:val="0"/>
          <w:color w:val="auto"/>
          <w:highlight w:val="none"/>
          <w:lang w:eastAsia="zh-CN"/>
        </w:rPr>
        <w:t>在工程进度款支付至合同应付价款的</w:t>
      </w:r>
      <w:r>
        <w:rPr>
          <w:rFonts w:hint="eastAsia"/>
          <w:b w:val="0"/>
          <w:bCs w:val="0"/>
          <w:color w:val="auto"/>
          <w:highlight w:val="none"/>
          <w:lang w:val="en-US" w:eastAsia="zh-CN"/>
        </w:rPr>
        <w:t>80%前抵扣完毕。</w:t>
      </w:r>
    </w:p>
    <w:p w14:paraId="1589131B">
      <w:pPr>
        <w:autoSpaceDE w:val="0"/>
        <w:autoSpaceDN w:val="0"/>
        <w:adjustRightInd w:val="0"/>
        <w:spacing w:line="360" w:lineRule="auto"/>
        <w:jc w:val="left"/>
        <w:rPr>
          <w:rFonts w:hint="eastAsia" w:ascii="宋体" w:hAnsi="宋体" w:cs="HTJ-PK74820000034-Identity-H"/>
          <w:kern w:val="0"/>
          <w:szCs w:val="21"/>
          <w:highlight w:val="none"/>
        </w:rPr>
      </w:pPr>
      <w:r>
        <w:rPr>
          <w:rFonts w:hint="eastAsia" w:ascii="宋体" w:hAnsi="宋体" w:cs="HTJ-PK74820000034-Identity-H"/>
          <w:kern w:val="0"/>
          <w:szCs w:val="21"/>
          <w:highlight w:val="none"/>
        </w:rPr>
        <w:t>17.3  工程进度付款</w:t>
      </w:r>
    </w:p>
    <w:p w14:paraId="758C8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highlight w:val="none"/>
        </w:rPr>
      </w:pPr>
      <w:r>
        <w:rPr>
          <w:rFonts w:hint="eastAsia" w:ascii="宋体" w:hAnsi="宋体"/>
          <w:szCs w:val="21"/>
          <w:highlight w:val="none"/>
        </w:rPr>
        <w:t>17.3.1</w:t>
      </w:r>
      <w:r>
        <w:rPr>
          <w:rFonts w:hint="eastAsia" w:asciiTheme="minorEastAsia" w:hAnsiTheme="minorEastAsia" w:eastAsiaTheme="minorEastAsia" w:cstheme="minorEastAsia"/>
          <w:color w:val="auto"/>
          <w:highlight w:val="none"/>
          <w:lang w:eastAsia="zh-CN"/>
        </w:rPr>
        <w:t>发包人按月（计量周期）支付完成进度工程款的</w:t>
      </w:r>
      <w:r>
        <w:rPr>
          <w:rFonts w:hint="eastAsia" w:asciiTheme="minorEastAsia" w:hAnsiTheme="minorEastAsia" w:eastAsiaTheme="minorEastAsia" w:cstheme="minorEastAsia"/>
          <w:color w:val="auto"/>
          <w:highlight w:val="none"/>
          <w:lang w:val="en-US" w:eastAsia="zh-CN"/>
        </w:rPr>
        <w:t>90</w:t>
      </w:r>
      <w:r>
        <w:rPr>
          <w:rFonts w:hint="eastAsia" w:asciiTheme="minorEastAsia" w:hAnsiTheme="minorEastAsia" w:eastAsiaTheme="minorEastAsia" w:cstheme="minorEastAsia"/>
          <w:color w:val="auto"/>
          <w:highlight w:val="none"/>
          <w:lang w:eastAsia="zh-CN"/>
        </w:rPr>
        <w:t>%给承包人。工程进度款的拨付按每月实际完成工程量，经本工程的监理单位核实且相关资料完备，发包人认可的</w:t>
      </w:r>
      <w:r>
        <w:rPr>
          <w:rFonts w:hint="eastAsia" w:asciiTheme="minorEastAsia" w:hAnsiTheme="minorEastAsia" w:eastAsiaTheme="minorEastAsia" w:cstheme="minorEastAsia"/>
          <w:color w:val="auto"/>
          <w:highlight w:val="none"/>
          <w:lang w:val="en-US" w:eastAsia="zh-CN"/>
        </w:rPr>
        <w:t>90</w:t>
      </w:r>
      <w:r>
        <w:rPr>
          <w:rFonts w:hint="eastAsia" w:asciiTheme="minorEastAsia" w:hAnsiTheme="minorEastAsia" w:eastAsiaTheme="minorEastAsia" w:cstheme="minorEastAsia"/>
          <w:color w:val="auto"/>
          <w:highlight w:val="none"/>
          <w:lang w:eastAsia="zh-CN"/>
        </w:rPr>
        <w:t>%支付工程款。工程完工验收后支付至承包合同总价的</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0%，工程完成结算后一年内支付至工程结算价的97%，余款（工程结算价的3%）作为质量保修金，承包人可以选择待质量保修期满后一个月内申请结清所有款项（无息）或</w:t>
      </w:r>
      <w:r>
        <w:rPr>
          <w:rFonts w:hint="eastAsia" w:asciiTheme="minorEastAsia" w:hAnsiTheme="minorEastAsia" w:eastAsiaTheme="minorEastAsia" w:cstheme="minorEastAsia"/>
          <w:color w:val="auto"/>
          <w:highlight w:val="none"/>
          <w:lang w:val="en-US" w:eastAsia="zh-CN"/>
        </w:rPr>
        <w:t>向发包人提交等额的质量保证金保函</w:t>
      </w:r>
      <w:r>
        <w:rPr>
          <w:rFonts w:hint="eastAsia" w:asciiTheme="minorEastAsia" w:hAnsiTheme="minorEastAsia" w:eastAsiaTheme="minorEastAsia" w:cstheme="minorEastAsia"/>
          <w:color w:val="auto"/>
          <w:highlight w:val="none"/>
          <w:lang w:eastAsia="zh-CN"/>
        </w:rPr>
        <w:t>（优先选择使用电子保函）</w:t>
      </w:r>
      <w:r>
        <w:rPr>
          <w:rFonts w:hint="eastAsia" w:asciiTheme="minorEastAsia" w:hAnsiTheme="minorEastAsia" w:eastAsiaTheme="minorEastAsia" w:cstheme="minorEastAsia"/>
          <w:color w:val="auto"/>
          <w:highlight w:val="none"/>
          <w:lang w:val="en-US" w:eastAsia="zh-CN"/>
        </w:rPr>
        <w:t>后申请</w:t>
      </w:r>
      <w:r>
        <w:rPr>
          <w:rFonts w:hint="eastAsia" w:asciiTheme="minorEastAsia" w:hAnsiTheme="minorEastAsia" w:eastAsiaTheme="minorEastAsia" w:cstheme="minorEastAsia"/>
          <w:color w:val="auto"/>
          <w:highlight w:val="none"/>
          <w:lang w:eastAsia="zh-CN"/>
        </w:rPr>
        <w:t>结清所有款项</w:t>
      </w:r>
      <w:r>
        <w:rPr>
          <w:rFonts w:hint="eastAsia"/>
          <w:highlight w:val="none"/>
          <w:lang w:val="en-US" w:eastAsia="zh-CN"/>
        </w:rPr>
        <w:t>。</w:t>
      </w:r>
    </w:p>
    <w:p w14:paraId="65DC6AAD">
      <w:pPr>
        <w:spacing w:line="440" w:lineRule="exact"/>
        <w:ind w:firstLine="560"/>
        <w:rPr>
          <w:rFonts w:ascii="宋体" w:hAnsi="宋体"/>
          <w:szCs w:val="21"/>
        </w:rPr>
      </w:pPr>
      <w:r>
        <w:rPr>
          <w:rFonts w:hint="eastAsia" w:ascii="宋体" w:hAnsi="宋体"/>
          <w:szCs w:val="21"/>
        </w:rPr>
        <w:t>17.3.2如果发包人在总监理工程师签字上报后</w:t>
      </w:r>
      <w:r>
        <w:rPr>
          <w:rFonts w:ascii="宋体" w:hAnsi="宋体"/>
          <w:szCs w:val="21"/>
          <w:u w:val="single"/>
        </w:rPr>
        <w:t>14</w:t>
      </w:r>
      <w:r>
        <w:rPr>
          <w:rFonts w:hint="eastAsia" w:ascii="宋体" w:hAnsi="宋体"/>
          <w:szCs w:val="21"/>
        </w:rPr>
        <w:t>天内不予支付，也不向监理机构发出说明函，承包人可向发包人提出要求付款通知，发包人在收到承包人通知后仍不能按要求支付，承包人可在发出通知</w:t>
      </w:r>
      <w:r>
        <w:rPr>
          <w:rFonts w:ascii="宋体" w:hAnsi="宋体"/>
          <w:szCs w:val="21"/>
          <w:u w:val="single"/>
        </w:rPr>
        <w:t>7</w:t>
      </w:r>
      <w:r>
        <w:rPr>
          <w:rFonts w:hint="eastAsia" w:ascii="宋体" w:hAnsi="宋体"/>
          <w:szCs w:val="21"/>
        </w:rPr>
        <w:t>天后减缓施工速度，直至停止施工，发包人承担违约责任。</w:t>
      </w:r>
    </w:p>
    <w:p w14:paraId="22E0CEF9">
      <w:pPr>
        <w:spacing w:line="440" w:lineRule="exact"/>
        <w:ind w:firstLine="564"/>
        <w:rPr>
          <w:rFonts w:hint="eastAsia" w:ascii="宋体" w:hAnsi="宋体"/>
          <w:szCs w:val="21"/>
        </w:rPr>
      </w:pPr>
      <w:r>
        <w:rPr>
          <w:rFonts w:hint="eastAsia" w:ascii="宋体" w:hAnsi="宋体"/>
          <w:szCs w:val="21"/>
        </w:rPr>
        <w:t>17.3.3发包人延期付款应支付拖欠工程款的利息，利率按中国人民银行公布的同期活款利率。</w:t>
      </w:r>
    </w:p>
    <w:p w14:paraId="0BBDC862">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17.5  竣工（完工）结算</w:t>
      </w:r>
    </w:p>
    <w:p w14:paraId="2C4382CD">
      <w:pPr>
        <w:autoSpaceDE w:val="0"/>
        <w:autoSpaceDN w:val="0"/>
        <w:adjustRightInd w:val="0"/>
        <w:spacing w:line="360" w:lineRule="auto"/>
        <w:ind w:firstLine="420"/>
        <w:jc w:val="left"/>
        <w:rPr>
          <w:rFonts w:hint="eastAsia" w:ascii="宋体" w:hAnsi="宋体"/>
          <w:kern w:val="0"/>
        </w:rPr>
      </w:pPr>
      <w:r>
        <w:rPr>
          <w:rFonts w:hint="eastAsia" w:ascii="宋体" w:hAnsi="宋体" w:cs="HTJ-PK74820000034-Identity-H"/>
          <w:kern w:val="0"/>
          <w:szCs w:val="21"/>
        </w:rPr>
        <w:t>17.</w:t>
      </w:r>
      <w:r>
        <w:rPr>
          <w:rFonts w:hint="eastAsia" w:ascii="宋体" w:hAnsi="宋体"/>
          <w:kern w:val="0"/>
        </w:rPr>
        <w:t>5.3  工程完工结算价由中标总价和变更工程费两部分组成，变更工程费按照第16款的约定办理。</w:t>
      </w:r>
    </w:p>
    <w:p w14:paraId="15FEE44A">
      <w:pPr>
        <w:autoSpaceDE w:val="0"/>
        <w:autoSpaceDN w:val="0"/>
        <w:adjustRightInd w:val="0"/>
        <w:spacing w:line="360" w:lineRule="auto"/>
        <w:ind w:firstLine="420"/>
        <w:jc w:val="left"/>
        <w:rPr>
          <w:rFonts w:hint="eastAsia" w:ascii="宋体" w:hAnsi="宋体"/>
          <w:kern w:val="0"/>
        </w:rPr>
      </w:pPr>
      <w:r>
        <w:rPr>
          <w:rFonts w:hint="eastAsia" w:ascii="宋体" w:hAnsi="宋体"/>
          <w:kern w:val="0"/>
        </w:rPr>
        <w:t>工程结算价=中标总价+变更工程费</w:t>
      </w:r>
    </w:p>
    <w:p w14:paraId="0B2166D5">
      <w:pPr>
        <w:autoSpaceDE w:val="0"/>
        <w:autoSpaceDN w:val="0"/>
        <w:adjustRightInd w:val="0"/>
        <w:spacing w:line="360" w:lineRule="auto"/>
        <w:jc w:val="left"/>
        <w:rPr>
          <w:rFonts w:hint="eastAsia" w:ascii="宋体" w:hAnsi="宋体" w:cs="HTJ-PK74820000034-Identity-H"/>
          <w:kern w:val="0"/>
          <w:szCs w:val="21"/>
        </w:rPr>
      </w:pPr>
      <w:r>
        <w:rPr>
          <w:rFonts w:hint="eastAsia" w:ascii="宋体" w:hAnsi="宋体" w:cs="HTJ-PK74820000034-Identity-H"/>
          <w:kern w:val="0"/>
          <w:szCs w:val="21"/>
        </w:rPr>
        <w:t>17.6  最终结清</w:t>
      </w:r>
    </w:p>
    <w:p w14:paraId="334724B9">
      <w:pPr>
        <w:autoSpaceDE/>
        <w:autoSpaceDN/>
        <w:adjustRightInd/>
        <w:spacing w:line="360" w:lineRule="auto"/>
        <w:ind w:firstLine="420" w:firstLineChars="200"/>
        <w:jc w:val="both"/>
        <w:outlineLvl w:val="9"/>
        <w:rPr>
          <w:rFonts w:hint="eastAsia"/>
          <w:lang w:eastAsia="zh-CN"/>
        </w:rPr>
      </w:pPr>
      <w:r>
        <w:rPr>
          <w:rFonts w:hint="eastAsia" w:ascii="宋体" w:hAnsi="宋体"/>
        </w:rPr>
        <w:t>工程结算经财政部门审核后，按审核工程结算金额的97％支付，预留工程结算金额的3％作为质量保证金，</w:t>
      </w:r>
      <w:r>
        <w:rPr>
          <w:rFonts w:hint="eastAsia"/>
          <w:lang w:eastAsia="zh-CN"/>
        </w:rPr>
        <w:t>承包人可以选择</w:t>
      </w:r>
      <w:r>
        <w:rPr>
          <w:rFonts w:hint="eastAsia" w:ascii="宋体" w:hAnsi="宋体"/>
        </w:rPr>
        <w:t>待整个工程质量保修期满后</w:t>
      </w:r>
      <w:r>
        <w:rPr>
          <w:rFonts w:hint="eastAsia" w:ascii="宋体" w:hAnsi="宋体"/>
          <w:lang w:val="en-US" w:eastAsia="zh-CN"/>
        </w:rPr>
        <w:t xml:space="preserve"> </w:t>
      </w:r>
      <w:r>
        <w:rPr>
          <w:rFonts w:hint="eastAsia" w:ascii="宋体" w:hAnsi="宋体"/>
          <w:b/>
          <w:u w:val="single"/>
        </w:rPr>
        <w:t>30</w:t>
      </w:r>
      <w:r>
        <w:rPr>
          <w:rFonts w:hint="eastAsia" w:ascii="宋体" w:hAnsi="宋体"/>
          <w:b/>
          <w:u w:val="single"/>
          <w:lang w:val="en-US" w:eastAsia="zh-CN"/>
        </w:rPr>
        <w:t xml:space="preserve"> </w:t>
      </w:r>
      <w:r>
        <w:rPr>
          <w:rFonts w:hint="eastAsia" w:ascii="宋体" w:hAnsi="宋体"/>
        </w:rPr>
        <w:t>天内向</w:t>
      </w:r>
      <w:r>
        <w:rPr>
          <w:rFonts w:hint="eastAsia" w:ascii="宋体" w:hAnsi="宋体"/>
          <w:lang w:eastAsia="zh-CN"/>
        </w:rPr>
        <w:t>发</w:t>
      </w:r>
      <w:r>
        <w:rPr>
          <w:rFonts w:hint="eastAsia" w:ascii="宋体" w:hAnsi="宋体"/>
        </w:rPr>
        <w:t>包人</w:t>
      </w:r>
      <w:r>
        <w:rPr>
          <w:rFonts w:hint="eastAsia" w:ascii="宋体" w:hAnsi="宋体"/>
          <w:lang w:eastAsia="zh-CN"/>
        </w:rPr>
        <w:t>申请</w:t>
      </w:r>
      <w:r>
        <w:rPr>
          <w:rFonts w:hint="eastAsia" w:ascii="宋体" w:hAnsi="宋体"/>
        </w:rPr>
        <w:t>结清所有款项</w:t>
      </w:r>
      <w:r>
        <w:rPr>
          <w:rFonts w:hint="eastAsia" w:ascii="宋体" w:hAnsi="宋体"/>
          <w:lang w:eastAsia="zh-CN"/>
        </w:rPr>
        <w:t>或</w:t>
      </w:r>
      <w:r>
        <w:rPr>
          <w:rFonts w:hint="eastAsia"/>
          <w:lang w:val="en-US" w:eastAsia="zh-CN"/>
        </w:rPr>
        <w:t>向发包人提交等额的质量保证金保函</w:t>
      </w:r>
      <w:r>
        <w:rPr>
          <w:rFonts w:hint="eastAsia"/>
          <w:lang w:eastAsia="zh-CN"/>
        </w:rPr>
        <w:t>（优先选择使用电子保函）</w:t>
      </w:r>
      <w:r>
        <w:rPr>
          <w:rFonts w:hint="eastAsia"/>
          <w:lang w:val="en-US" w:eastAsia="zh-CN"/>
        </w:rPr>
        <w:t>后申请结清</w:t>
      </w:r>
      <w:r>
        <w:rPr>
          <w:rFonts w:hint="eastAsia" w:ascii="宋体" w:hAnsi="宋体"/>
        </w:rPr>
        <w:t>所有款项</w:t>
      </w:r>
      <w:r>
        <w:rPr>
          <w:rFonts w:hint="eastAsia"/>
          <w:lang w:val="en-US" w:eastAsia="zh-CN"/>
        </w:rPr>
        <w:t>。</w:t>
      </w:r>
    </w:p>
    <w:p w14:paraId="36729403">
      <w:pPr>
        <w:autoSpaceDE w:val="0"/>
        <w:autoSpaceDN w:val="0"/>
        <w:adjustRightInd w:val="0"/>
        <w:spacing w:line="360" w:lineRule="exact"/>
        <w:jc w:val="left"/>
        <w:rPr>
          <w:rFonts w:hint="eastAsia" w:ascii="宋体" w:hAnsi="宋体" w:cs="HTJ-PK74820000034-Identity-H"/>
          <w:kern w:val="0"/>
          <w:szCs w:val="21"/>
        </w:rPr>
      </w:pPr>
      <w:r>
        <w:rPr>
          <w:rFonts w:hint="eastAsia" w:ascii="宋体" w:hAnsi="宋体" w:cs="HTJ-PK74820000034-Identity-H"/>
          <w:kern w:val="0"/>
          <w:szCs w:val="21"/>
        </w:rPr>
        <w:t>17.9  其他</w:t>
      </w:r>
    </w:p>
    <w:p w14:paraId="23930AD5">
      <w:pPr>
        <w:autoSpaceDE w:val="0"/>
        <w:autoSpaceDN w:val="0"/>
        <w:adjustRightInd w:val="0"/>
        <w:spacing w:line="360" w:lineRule="exact"/>
        <w:ind w:firstLine="420" w:firstLineChars="200"/>
        <w:jc w:val="left"/>
        <w:rPr>
          <w:rFonts w:hint="eastAsia" w:ascii="宋体" w:hAnsi="宋体"/>
          <w:szCs w:val="21"/>
        </w:rPr>
      </w:pPr>
      <w:r>
        <w:rPr>
          <w:rFonts w:hint="eastAsia" w:ascii="宋体" w:hAnsi="宋体"/>
          <w:szCs w:val="21"/>
        </w:rPr>
        <w:t>因涉及政府投资资金，计量及支付的时间和手续须按照财政部门相关规定办理。</w:t>
      </w:r>
    </w:p>
    <w:p w14:paraId="1FCFD241">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21  不可抗力</w:t>
      </w:r>
    </w:p>
    <w:p w14:paraId="523757C1">
      <w:pPr>
        <w:autoSpaceDE w:val="0"/>
        <w:autoSpaceDN w:val="0"/>
        <w:adjustRightInd w:val="0"/>
        <w:spacing w:line="360" w:lineRule="auto"/>
        <w:jc w:val="left"/>
        <w:rPr>
          <w:rFonts w:hint="eastAsia" w:ascii="宋体" w:hAnsi="宋体" w:cs="E-HZ9-PK748409-Identity-H"/>
          <w:kern w:val="0"/>
          <w:szCs w:val="21"/>
        </w:rPr>
      </w:pPr>
      <w:r>
        <w:rPr>
          <w:rFonts w:hint="eastAsia" w:ascii="宋体" w:hAnsi="宋体" w:cs="E-HZ9-PK748409-Identity-H"/>
          <w:kern w:val="0"/>
          <w:szCs w:val="21"/>
        </w:rPr>
        <w:t>21.1  不可抗力的确定</w:t>
      </w:r>
    </w:p>
    <w:p w14:paraId="32F7DCC6">
      <w:pPr>
        <w:spacing w:line="440" w:lineRule="exact"/>
        <w:ind w:firstLine="560"/>
        <w:rPr>
          <w:rFonts w:ascii="宋体" w:hAnsi="宋体"/>
          <w:szCs w:val="21"/>
        </w:rPr>
      </w:pPr>
      <w:r>
        <w:rPr>
          <w:rFonts w:hint="eastAsia" w:ascii="宋体" w:hAnsi="宋体"/>
          <w:szCs w:val="21"/>
        </w:rPr>
        <w:t>不可抗力的自然灾害还包括：施工区域出现地震烈度</w:t>
      </w:r>
      <w:r>
        <w:rPr>
          <w:rFonts w:ascii="宋体" w:hAnsi="宋体"/>
          <w:szCs w:val="21"/>
        </w:rPr>
        <w:t>VII</w:t>
      </w:r>
      <w:r>
        <w:rPr>
          <w:rFonts w:hint="eastAsia" w:ascii="宋体" w:hAnsi="宋体"/>
          <w:szCs w:val="21"/>
        </w:rPr>
        <w:t>度以上地震；施工区域出现10级以上持续48小时的热带气旋；施工区域出现50年一遇以上洪水（暴潮）；施工区域出现30年一遇以上24小时暴雨。</w:t>
      </w:r>
    </w:p>
    <w:p w14:paraId="18BDD1F1">
      <w:pPr>
        <w:spacing w:line="360" w:lineRule="auto"/>
        <w:rPr>
          <w:rFonts w:hint="eastAsia" w:ascii="宋体" w:hAnsi="宋体" w:cs="E-HZ9-PK748409-Identity-H"/>
          <w:kern w:val="0"/>
          <w:szCs w:val="21"/>
        </w:rPr>
      </w:pPr>
      <w:r>
        <w:rPr>
          <w:rFonts w:hint="eastAsia" w:ascii="宋体" w:hAnsi="宋体" w:cs="E-HZ9-PK748409-Identity-H"/>
          <w:kern w:val="0"/>
          <w:szCs w:val="21"/>
        </w:rPr>
        <w:t>21.3  不可抗力后果及其处理</w:t>
      </w:r>
    </w:p>
    <w:p w14:paraId="60B59094">
      <w:pPr>
        <w:spacing w:line="360" w:lineRule="auto"/>
        <w:ind w:firstLine="420" w:firstLineChars="200"/>
        <w:rPr>
          <w:rFonts w:hint="eastAsia" w:ascii="宋体" w:hAnsi="宋体"/>
          <w:szCs w:val="21"/>
        </w:rPr>
      </w:pPr>
      <w:r>
        <w:rPr>
          <w:rFonts w:hint="eastAsia" w:ascii="宋体" w:hAnsi="宋体"/>
          <w:szCs w:val="21"/>
        </w:rPr>
        <w:t>21.3.1 不可抗力造成损害的责任</w:t>
      </w:r>
    </w:p>
    <w:p w14:paraId="0CFED09D">
      <w:pPr>
        <w:spacing w:line="360" w:lineRule="auto"/>
        <w:ind w:firstLine="420" w:firstLineChars="200"/>
        <w:rPr>
          <w:rFonts w:hint="eastAsia" w:ascii="宋体" w:hAnsi="宋体"/>
          <w:szCs w:val="21"/>
        </w:rPr>
      </w:pPr>
      <w:r>
        <w:rPr>
          <w:rFonts w:hint="eastAsia" w:ascii="宋体" w:hAnsi="宋体"/>
          <w:szCs w:val="21"/>
        </w:rPr>
        <w:t>不可抗力导致的人员伤亡、财产损失、费用增加和（或）工期延误等后果，由合同双方按以下原则承担：</w:t>
      </w:r>
    </w:p>
    <w:p w14:paraId="6507037F">
      <w:pPr>
        <w:spacing w:line="360" w:lineRule="auto"/>
        <w:ind w:firstLine="420" w:firstLineChars="200"/>
        <w:rPr>
          <w:rFonts w:hint="eastAsia" w:ascii="宋体" w:hAnsi="宋体"/>
          <w:szCs w:val="21"/>
        </w:rPr>
      </w:pPr>
      <w:r>
        <w:rPr>
          <w:rFonts w:hint="eastAsia" w:ascii="宋体" w:hAnsi="宋体"/>
          <w:szCs w:val="21"/>
        </w:rPr>
        <w:t>(1)永久工程，包括己运至施工场地的材料和工程设备的损害，以及因工程损害造成的第三者人员伤亡和财产损失由发包人承担；</w:t>
      </w:r>
    </w:p>
    <w:p w14:paraId="5AF1F04F">
      <w:pPr>
        <w:spacing w:line="360" w:lineRule="auto"/>
        <w:ind w:firstLine="420" w:firstLineChars="200"/>
        <w:rPr>
          <w:rFonts w:hint="eastAsia" w:ascii="宋体" w:hAnsi="宋体"/>
          <w:szCs w:val="21"/>
        </w:rPr>
      </w:pPr>
      <w:r>
        <w:rPr>
          <w:rFonts w:hint="eastAsia" w:ascii="宋体" w:hAnsi="宋体"/>
          <w:szCs w:val="21"/>
        </w:rPr>
        <w:t>(2)承包人设备的损坏由承包人承担；</w:t>
      </w:r>
    </w:p>
    <w:p w14:paraId="12F14BBF">
      <w:pPr>
        <w:spacing w:line="360" w:lineRule="auto"/>
        <w:ind w:firstLine="420" w:firstLineChars="200"/>
        <w:rPr>
          <w:rFonts w:hint="eastAsia" w:ascii="宋体" w:hAnsi="宋体"/>
          <w:szCs w:val="21"/>
        </w:rPr>
      </w:pPr>
      <w:r>
        <w:rPr>
          <w:rFonts w:hint="eastAsia" w:ascii="宋体" w:hAnsi="宋体"/>
          <w:szCs w:val="21"/>
        </w:rPr>
        <w:t>(3)发包人和承包人各自承担其人员伤亡和其他财产损失及其相关费用；</w:t>
      </w:r>
    </w:p>
    <w:p w14:paraId="14B90297">
      <w:pPr>
        <w:spacing w:line="360" w:lineRule="auto"/>
        <w:ind w:firstLine="420" w:firstLineChars="200"/>
        <w:rPr>
          <w:rFonts w:hint="eastAsia" w:ascii="宋体" w:hAnsi="宋体"/>
          <w:szCs w:val="21"/>
        </w:rPr>
      </w:pPr>
      <w:r>
        <w:rPr>
          <w:rFonts w:hint="eastAsia" w:ascii="宋体" w:hAnsi="宋体"/>
          <w:szCs w:val="21"/>
        </w:rPr>
        <w:t>(4)承包人的停工损失由承包人承担，但停工期间应监理人要求照管工程费用由发包人承担；</w:t>
      </w:r>
    </w:p>
    <w:p w14:paraId="5D25E6C2">
      <w:pPr>
        <w:spacing w:line="360" w:lineRule="auto"/>
        <w:ind w:firstLine="420" w:firstLineChars="200"/>
        <w:rPr>
          <w:rFonts w:hint="eastAsia" w:ascii="宋体" w:hAnsi="宋体"/>
          <w:szCs w:val="21"/>
        </w:rPr>
      </w:pPr>
      <w:r>
        <w:rPr>
          <w:rFonts w:hint="eastAsia" w:ascii="宋体" w:hAnsi="宋体"/>
          <w:szCs w:val="21"/>
        </w:rPr>
        <w:t>(5)清理、修复工程的费用双方协商解决；</w:t>
      </w:r>
    </w:p>
    <w:p w14:paraId="00FDAA49">
      <w:pPr>
        <w:spacing w:line="360" w:lineRule="auto"/>
        <w:ind w:firstLine="420" w:firstLineChars="200"/>
        <w:rPr>
          <w:rFonts w:hint="eastAsia" w:ascii="宋体" w:hAnsi="宋体"/>
          <w:szCs w:val="21"/>
        </w:rPr>
      </w:pPr>
      <w:r>
        <w:rPr>
          <w:rFonts w:hint="eastAsia" w:ascii="宋体" w:hAnsi="宋体"/>
          <w:szCs w:val="21"/>
        </w:rPr>
        <w:t>(6)不能按期完工的，应合理延长工期。发包人要求赶工的，承包人应采取赶工措施，赶工费用由发包人承担。</w:t>
      </w:r>
    </w:p>
    <w:p w14:paraId="0C4DD26D">
      <w:pPr>
        <w:autoSpaceDE w:val="0"/>
        <w:autoSpaceDN w:val="0"/>
        <w:adjustRightInd w:val="0"/>
        <w:spacing w:line="360" w:lineRule="auto"/>
        <w:jc w:val="left"/>
        <w:rPr>
          <w:rFonts w:hint="eastAsia" w:ascii="宋体" w:hAnsi="宋体" w:cs="XBSJ-PK7482000003a-Identity-H"/>
          <w:b/>
          <w:kern w:val="0"/>
          <w:sz w:val="28"/>
          <w:szCs w:val="28"/>
        </w:rPr>
      </w:pPr>
      <w:r>
        <w:rPr>
          <w:rFonts w:hint="eastAsia" w:ascii="宋体" w:hAnsi="宋体" w:cs="XBSJ-PK7482000003a-Identity-H"/>
          <w:b/>
          <w:kern w:val="0"/>
          <w:sz w:val="28"/>
          <w:szCs w:val="28"/>
        </w:rPr>
        <w:t>22  违约</w:t>
      </w:r>
    </w:p>
    <w:p w14:paraId="63D6FFB8">
      <w:pPr>
        <w:spacing w:line="440" w:lineRule="exact"/>
        <w:ind w:firstLine="570"/>
        <w:rPr>
          <w:rFonts w:hint="eastAsia" w:ascii="宋体" w:hAnsi="宋体"/>
          <w:szCs w:val="21"/>
        </w:rPr>
      </w:pPr>
      <w:r>
        <w:rPr>
          <w:rFonts w:hint="eastAsia" w:ascii="宋体" w:hAnsi="宋体"/>
          <w:szCs w:val="21"/>
        </w:rPr>
        <w:t>取消原通用合同条款22的内容，并代之以：</w:t>
      </w:r>
    </w:p>
    <w:p w14:paraId="5577804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22 违约</w:t>
      </w:r>
    </w:p>
    <w:p w14:paraId="4FA6C4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cs="宋体"/>
          <w:color w:val="auto"/>
          <w:szCs w:val="21"/>
        </w:rPr>
      </w:pPr>
      <w:r>
        <w:rPr>
          <w:rFonts w:hint="eastAsia" w:ascii="宋体" w:hAnsi="宋体" w:cs="宋体"/>
          <w:color w:val="auto"/>
          <w:szCs w:val="21"/>
        </w:rPr>
        <w:t>22.1 承包人违约</w:t>
      </w:r>
    </w:p>
    <w:p w14:paraId="6E335647">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22.1.1 承包人违约的情形</w:t>
      </w:r>
    </w:p>
    <w:p w14:paraId="6384D912">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在履行合同过程中发生的下列情况属承包人违约：</w:t>
      </w:r>
    </w:p>
    <w:p w14:paraId="27EE55FD">
      <w:pPr>
        <w:pageBreakBefore w:val="0"/>
        <w:widowControl w:val="0"/>
        <w:numPr>
          <w:ilvl w:val="0"/>
          <w:numId w:val="7"/>
        </w:numPr>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承包人违反第1.8款或第4.3款的约定，私自将合同的全部或部分权利转让给其他人，或私自将合同的全部或部分义务转移给其他人；</w:t>
      </w:r>
    </w:p>
    <w:p w14:paraId="3D27912A">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）承包人违法分包或违反投标承诺分包工程；</w:t>
      </w:r>
    </w:p>
    <w:p w14:paraId="52DFAF5B">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）因承包人原因导致工程质量不符合合同要求的；</w:t>
      </w:r>
    </w:p>
    <w:p w14:paraId="0C4551F1">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）承包人在投标文件中承诺的项目管理机构主要人员未按招标文件要求驻现场或参加每次工程协调会，经发包人三次发函要求整改无效的；</w:t>
      </w:r>
    </w:p>
    <w:p w14:paraId="6C240424">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）承包人违反第5.3款或第6.4款的约定，未经监理人批准，私自将已按合同约定进入施工场地的施工设备、临时设施或材料撤离施工场地；</w:t>
      </w:r>
    </w:p>
    <w:p w14:paraId="1CD8B028">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）承包人违反第5.4款的约定使用了不合格材料或工程设备，工程质量达不到标准要求，又拒绝清除不合格工程；</w:t>
      </w:r>
    </w:p>
    <w:p w14:paraId="62229F78">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）承包人未能按合同进度计划及时完成合同约定的工作，已造成或预期造成工期延误；</w:t>
      </w:r>
    </w:p>
    <w:p w14:paraId="6D6F24E2">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）承包人在缺陷责任期（工程质量保修期）内，未能对合同工程完工验收鉴定书中所列的缺陷清单的内容或缺陷责任期（工程质量保修期）内发生的缺陷进行修复，而又拒绝按监理人指示再进行修补；</w:t>
      </w:r>
    </w:p>
    <w:p w14:paraId="359B1E77">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）承包人无法继续履行或明确表示不履行或实质上已停止履行合同；</w:t>
      </w:r>
    </w:p>
    <w:p w14:paraId="1D8F880E">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）承包人不按合同约定履行义务的其他情况。</w:t>
      </w:r>
    </w:p>
    <w:p w14:paraId="5D4950F1">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22.1.2 对承包人违约的处理</w:t>
      </w:r>
    </w:p>
    <w:p w14:paraId="49A577BE">
      <w:pPr>
        <w:pageBreakBefore w:val="0"/>
        <w:widowControl w:val="0"/>
        <w:kinsoku/>
        <w:wordWrap/>
        <w:overflowPunct/>
        <w:topLinePunct w:val="0"/>
        <w:autoSpaceDE/>
        <w:autoSpaceDN/>
        <w:bidi w:val="0"/>
        <w:adjustRightInd/>
        <w:snapToGrid/>
        <w:spacing w:line="400" w:lineRule="exact"/>
        <w:ind w:firstLine="721" w:firstLineChars="342"/>
        <w:textAlignment w:val="auto"/>
        <w:outlineLvl w:val="9"/>
        <w:rPr>
          <w:rFonts w:hint="eastAsia" w:ascii="宋体" w:hAnsi="宋体" w:cs="宋体"/>
          <w:color w:val="auto"/>
          <w:szCs w:val="21"/>
        </w:rPr>
      </w:pPr>
      <w:r>
        <w:rPr>
          <w:rFonts w:hint="eastAsia" w:ascii="宋体" w:hAnsi="宋体" w:eastAsia="宋体" w:cs="宋体"/>
          <w:b/>
          <w:bCs/>
          <w:color w:val="auto"/>
          <w:szCs w:val="21"/>
        </w:rPr>
        <w:t>★</w:t>
      </w:r>
      <w:r>
        <w:rPr>
          <w:rFonts w:hint="eastAsia" w:ascii="宋体" w:hAnsi="宋体" w:cs="宋体"/>
          <w:b/>
          <w:bCs/>
          <w:color w:val="auto"/>
          <w:szCs w:val="21"/>
        </w:rPr>
        <w:t>（1）</w:t>
      </w:r>
      <w:r>
        <w:rPr>
          <w:rFonts w:hint="eastAsia" w:ascii="宋体" w:hAnsi="宋体" w:cs="宋体"/>
          <w:b/>
          <w:bCs/>
          <w:color w:val="auto"/>
          <w:szCs w:val="21"/>
          <w:lang w:eastAsia="zh-CN"/>
        </w:rPr>
        <w:t>因水利工程建设具有严格的时效性，当</w:t>
      </w:r>
      <w:r>
        <w:rPr>
          <w:rFonts w:hint="eastAsia" w:ascii="宋体" w:hAnsi="宋体" w:cs="宋体"/>
          <w:b/>
          <w:bCs/>
          <w:color w:val="auto"/>
          <w:szCs w:val="21"/>
        </w:rPr>
        <w:t>承包人发生第22.1.1约定的违约情况时，发包人可通知承包人立即解除合同，并按有关法律处理。</w:t>
      </w:r>
    </w:p>
    <w:p w14:paraId="618BAF24">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（2）承包人发生第22.1.1约定的违约情况时，</w:t>
      </w:r>
      <w:r>
        <w:rPr>
          <w:rFonts w:hint="eastAsia" w:ascii="宋体" w:hAnsi="宋体" w:cs="宋体"/>
          <w:color w:val="auto"/>
          <w:szCs w:val="21"/>
          <w:lang w:eastAsia="zh-CN"/>
        </w:rPr>
        <w:t>也可由发包人</w:t>
      </w:r>
      <w:r>
        <w:rPr>
          <w:rFonts w:hint="eastAsia" w:ascii="宋体" w:hAnsi="宋体" w:cs="宋体"/>
          <w:color w:val="auto"/>
          <w:szCs w:val="21"/>
        </w:rPr>
        <w:t>向承包人发出整改通知，要求其在指定的期限内改正。承包人应承担其违约所引起的费用增加和（或）工期延误。</w:t>
      </w:r>
    </w:p>
    <w:p w14:paraId="64B64B34">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（3）经检查证明承包人已采取了有效措施纠正违约行为，具备复工条件的，</w:t>
      </w:r>
      <w:r>
        <w:rPr>
          <w:rFonts w:hint="eastAsia" w:ascii="宋体" w:hAnsi="宋体" w:cs="宋体"/>
          <w:color w:val="auto"/>
          <w:szCs w:val="21"/>
          <w:lang w:eastAsia="zh-CN"/>
        </w:rPr>
        <w:t>经发包人书面同意，</w:t>
      </w:r>
      <w:r>
        <w:rPr>
          <w:rFonts w:hint="eastAsia" w:ascii="宋体" w:hAnsi="宋体" w:cs="宋体"/>
          <w:color w:val="auto"/>
          <w:szCs w:val="21"/>
        </w:rPr>
        <w:t>可由监理人签发复工通知复工。</w:t>
      </w:r>
    </w:p>
    <w:p w14:paraId="7756379D">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22.1.3 承包人违约解除合同</w:t>
      </w:r>
    </w:p>
    <w:p w14:paraId="27796614">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lang w:eastAsia="zh-CN"/>
        </w:rPr>
        <w:t>发包人发出的整改通知指定期限内，</w:t>
      </w:r>
      <w:r>
        <w:rPr>
          <w:rFonts w:hint="eastAsia" w:ascii="宋体" w:hAnsi="宋体" w:cs="宋体"/>
          <w:color w:val="auto"/>
          <w:szCs w:val="21"/>
        </w:rPr>
        <w:t>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A4F2BA4">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22.1.4 合同解除后的估价、付款和结清</w:t>
      </w:r>
    </w:p>
    <w:p w14:paraId="7E63656C">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 xml:space="preserve">（1）合同解除后，监理人按第3.5款商定或确定承包人实际完成工作的价值，以及承包人已提供的材料、施工设备、工程设备和临时工程等的价值。 </w:t>
      </w:r>
    </w:p>
    <w:p w14:paraId="08A4878A">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 xml:space="preserve">（2）合同解除后，发包人应暂停对承包人的一切付款，查清各项付款和已扣款金额，包括承包人应支付的违约金。 </w:t>
      </w:r>
    </w:p>
    <w:p w14:paraId="742D8FBB">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（3）合同解除后，发包人应按第23.4款的约定向承包人索赔由于解除合同给发包人造成的损失。</w:t>
      </w:r>
    </w:p>
    <w:p w14:paraId="6454095D">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（4）合同双方确认上述往来款项后，出具最终结清付款证书，结清全部合同款项。</w:t>
      </w:r>
    </w:p>
    <w:p w14:paraId="2A3B83E7">
      <w:pPr>
        <w:pageBreakBefore w:val="0"/>
        <w:widowControl w:val="0"/>
        <w:kinsoku/>
        <w:wordWrap/>
        <w:overflowPunct/>
        <w:topLinePunct w:val="0"/>
        <w:autoSpaceDE/>
        <w:autoSpaceDN/>
        <w:bidi w:val="0"/>
        <w:adjustRightInd/>
        <w:snapToGrid/>
        <w:spacing w:line="400" w:lineRule="exact"/>
        <w:ind w:firstLine="718" w:firstLineChars="342"/>
        <w:textAlignment w:val="auto"/>
        <w:outlineLvl w:val="9"/>
        <w:rPr>
          <w:rFonts w:hint="eastAsia" w:ascii="宋体" w:hAnsi="宋体" w:cs="宋体"/>
          <w:color w:val="auto"/>
          <w:szCs w:val="21"/>
        </w:rPr>
      </w:pPr>
      <w:r>
        <w:rPr>
          <w:rFonts w:hint="eastAsia" w:ascii="宋体" w:hAnsi="宋体" w:cs="宋体"/>
          <w:color w:val="auto"/>
          <w:szCs w:val="21"/>
        </w:rPr>
        <w:t>（5）发包人和承包人未能就解除合同后的结清达成一致而形成争议的，按第24条的约定办理。</w:t>
      </w:r>
    </w:p>
    <w:p w14:paraId="22AD8DD8">
      <w:pPr>
        <w:spacing w:line="400" w:lineRule="exact"/>
        <w:ind w:firstLine="718" w:firstLineChars="34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（6）合同解除后，承包人必须提供相关工程验收手续和验收合格资料等，方可办理结算。</w:t>
      </w:r>
    </w:p>
    <w:p w14:paraId="1299067A">
      <w:pPr>
        <w:spacing w:line="400" w:lineRule="exact"/>
        <w:ind w:firstLine="718" w:firstLineChars="342"/>
        <w:rPr>
          <w:rFonts w:hint="eastAsia"/>
        </w:rPr>
      </w:pPr>
      <w:r>
        <w:rPr>
          <w:rFonts w:hint="eastAsia" w:ascii="宋体" w:hAnsi="宋体" w:eastAsia="宋体" w:cs="宋体"/>
          <w:color w:val="auto"/>
          <w:sz w:val="21"/>
          <w:szCs w:val="21"/>
          <w:highlight w:val="none"/>
          <w:lang w:val="en-US" w:eastAsia="zh-CN"/>
        </w:rPr>
        <w:t>（7）合同解除后，承包人已提供的材料、施工设备、工程设备和临时工程等，承包人必须提供施工台账和产品合格证明材料，否则不得办理结算。</w:t>
      </w:r>
    </w:p>
    <w:p w14:paraId="682AFAD7">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22.1.5 协议利益的转让</w:t>
      </w:r>
    </w:p>
    <w:p w14:paraId="22245621">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531B668E">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rPr>
      </w:pPr>
      <w:r>
        <w:rPr>
          <w:rFonts w:hint="eastAsia" w:ascii="宋体" w:hAnsi="宋体" w:cs="宋体"/>
          <w:color w:val="auto"/>
          <w:szCs w:val="21"/>
        </w:rPr>
        <w:t>22.1.6 紧急情况下无能力或不愿进行抢救</w:t>
      </w:r>
    </w:p>
    <w:p w14:paraId="55C3CB77">
      <w:pPr>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lang w:eastAsia="zh-CN"/>
        </w:rPr>
      </w:pPr>
      <w:r>
        <w:rPr>
          <w:rFonts w:hint="eastAsia" w:ascii="宋体" w:hAnsi="宋体" w:cs="宋体"/>
          <w:color w:val="auto"/>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7A8705C">
      <w:pPr>
        <w:autoSpaceDE w:val="0"/>
        <w:autoSpaceDN w:val="0"/>
        <w:adjustRightInd w:val="0"/>
        <w:spacing w:line="360" w:lineRule="auto"/>
        <w:jc w:val="left"/>
        <w:rPr>
          <w:rFonts w:hint="eastAsia" w:ascii="宋体" w:hAnsi="宋体" w:cs="E-HZ9-PK748409-Identity-H"/>
          <w:kern w:val="0"/>
          <w:szCs w:val="21"/>
        </w:rPr>
      </w:pPr>
      <w:r>
        <w:rPr>
          <w:rFonts w:hint="eastAsia" w:ascii="宋体" w:hAnsi="宋体" w:cs="E-HZ9-PK748409-Identity-H"/>
          <w:kern w:val="0"/>
          <w:szCs w:val="21"/>
        </w:rPr>
        <w:t>22.2  发包人违约</w:t>
      </w:r>
    </w:p>
    <w:p w14:paraId="74CC5F6A">
      <w:pPr>
        <w:spacing w:line="360" w:lineRule="auto"/>
        <w:ind w:firstLine="420" w:firstLineChars="200"/>
        <w:rPr>
          <w:rFonts w:hint="eastAsia" w:ascii="宋体" w:hAnsi="宋体"/>
          <w:szCs w:val="21"/>
        </w:rPr>
      </w:pPr>
      <w:r>
        <w:rPr>
          <w:rFonts w:hint="eastAsia" w:ascii="宋体" w:hAnsi="宋体"/>
          <w:szCs w:val="21"/>
        </w:rPr>
        <w:t>22.2.1 发包人违约的情形</w:t>
      </w:r>
    </w:p>
    <w:p w14:paraId="7C49E06A">
      <w:pPr>
        <w:spacing w:line="360" w:lineRule="auto"/>
        <w:ind w:firstLine="420" w:firstLineChars="200"/>
        <w:rPr>
          <w:rFonts w:hint="eastAsia" w:ascii="宋体" w:hAnsi="宋体"/>
          <w:szCs w:val="21"/>
        </w:rPr>
      </w:pPr>
      <w:r>
        <w:rPr>
          <w:rFonts w:hint="eastAsia" w:ascii="宋体" w:hAnsi="宋体"/>
          <w:szCs w:val="21"/>
        </w:rPr>
        <w:t>在履行合同过程中发生的下列情形，属发包人违约：</w:t>
      </w:r>
    </w:p>
    <w:p w14:paraId="50D77D61">
      <w:pPr>
        <w:spacing w:line="360" w:lineRule="auto"/>
        <w:ind w:firstLine="420" w:firstLineChars="200"/>
        <w:rPr>
          <w:rFonts w:hint="eastAsia" w:ascii="宋体" w:hAnsi="宋体"/>
          <w:szCs w:val="21"/>
        </w:rPr>
      </w:pPr>
      <w:r>
        <w:rPr>
          <w:rFonts w:hint="eastAsia" w:ascii="宋体" w:hAnsi="宋体"/>
          <w:szCs w:val="21"/>
        </w:rPr>
        <w:t>(1) 发包人原因造成停工的；</w:t>
      </w:r>
    </w:p>
    <w:p w14:paraId="699D75D1">
      <w:pPr>
        <w:spacing w:line="360" w:lineRule="auto"/>
        <w:ind w:firstLine="420" w:firstLineChars="200"/>
        <w:rPr>
          <w:rFonts w:hint="eastAsia" w:ascii="宋体" w:hAnsi="宋体"/>
          <w:szCs w:val="21"/>
        </w:rPr>
      </w:pPr>
      <w:r>
        <w:rPr>
          <w:rFonts w:hint="eastAsia" w:ascii="宋体" w:hAnsi="宋体"/>
          <w:szCs w:val="21"/>
        </w:rPr>
        <w:t>(2) 发包人无法继续履行或明确表示不履行或实质上已停止履行合同的；</w:t>
      </w:r>
    </w:p>
    <w:p w14:paraId="733586CD">
      <w:pPr>
        <w:spacing w:line="360" w:lineRule="auto"/>
        <w:ind w:firstLine="420" w:firstLineChars="200"/>
        <w:rPr>
          <w:rFonts w:hint="eastAsia" w:ascii="宋体" w:hAnsi="宋体"/>
          <w:szCs w:val="21"/>
        </w:rPr>
      </w:pPr>
      <w:r>
        <w:rPr>
          <w:rFonts w:hint="eastAsia" w:ascii="宋体" w:hAnsi="宋体"/>
          <w:szCs w:val="21"/>
        </w:rPr>
        <w:t>(3) 发包人不履行合同约定其他义务的。</w:t>
      </w:r>
    </w:p>
    <w:p w14:paraId="5F7068CB">
      <w:pPr>
        <w:spacing w:line="360" w:lineRule="auto"/>
        <w:ind w:firstLine="420" w:firstLineChars="200"/>
        <w:rPr>
          <w:rFonts w:hint="eastAsia" w:ascii="宋体" w:hAnsi="宋体"/>
          <w:szCs w:val="21"/>
        </w:rPr>
      </w:pPr>
      <w:r>
        <w:rPr>
          <w:rFonts w:hint="eastAsia" w:ascii="宋体" w:hAnsi="宋体"/>
          <w:szCs w:val="21"/>
        </w:rPr>
        <w:t>22.2.2 承包人有权暂停施工</w:t>
      </w:r>
    </w:p>
    <w:p w14:paraId="037362B5">
      <w:pPr>
        <w:spacing w:line="360" w:lineRule="auto"/>
        <w:ind w:firstLine="420" w:firstLineChars="200"/>
        <w:rPr>
          <w:rFonts w:hint="eastAsia" w:ascii="宋体" w:hAnsi="宋体"/>
          <w:szCs w:val="21"/>
        </w:rPr>
      </w:pPr>
      <w:r>
        <w:rPr>
          <w:rFonts w:hint="eastAsia" w:ascii="宋体" w:hAnsi="宋体"/>
          <w:szCs w:val="21"/>
        </w:rPr>
        <w:t>发包人发生除第22.2.1(2）目以外的违约情况时，承包人可向发包人发出通知，要求发包人采取有效措施纠正违约行为。发包人收到承包人通知后的28天内仍不履行合同义务，承包人有权暂停施工，并通知监理人，发包人应延长工期，若造成承包方施工</w:t>
      </w:r>
      <w:r>
        <w:rPr>
          <w:rFonts w:hint="eastAsia" w:ascii="宋体" w:hAnsi="宋体"/>
          <w:szCs w:val="21"/>
          <w:lang w:eastAsia="zh-CN"/>
        </w:rPr>
        <w:t>成本</w:t>
      </w:r>
      <w:r>
        <w:rPr>
          <w:rFonts w:hint="eastAsia" w:ascii="宋体" w:hAnsi="宋体"/>
          <w:szCs w:val="21"/>
        </w:rPr>
        <w:t>增加的，通过协商解决。</w:t>
      </w:r>
    </w:p>
    <w:p w14:paraId="1D72A95B">
      <w:pPr>
        <w:spacing w:line="360" w:lineRule="auto"/>
        <w:ind w:firstLine="420" w:firstLineChars="200"/>
        <w:rPr>
          <w:rFonts w:hint="eastAsia" w:ascii="宋体" w:hAnsi="宋体"/>
          <w:szCs w:val="21"/>
        </w:rPr>
      </w:pPr>
      <w:r>
        <w:rPr>
          <w:rFonts w:hint="eastAsia" w:ascii="宋体" w:hAnsi="宋体"/>
          <w:szCs w:val="21"/>
        </w:rPr>
        <w:t>22.2.3 发包人违约解除合同</w:t>
      </w:r>
    </w:p>
    <w:p w14:paraId="20E9ADD2">
      <w:pPr>
        <w:spacing w:line="360" w:lineRule="auto"/>
        <w:ind w:firstLine="420" w:firstLineChars="200"/>
        <w:rPr>
          <w:rFonts w:hint="eastAsia" w:ascii="宋体" w:hAnsi="宋体"/>
          <w:szCs w:val="21"/>
        </w:rPr>
      </w:pPr>
      <w:r>
        <w:rPr>
          <w:rFonts w:hint="eastAsia" w:ascii="宋体" w:hAnsi="宋体"/>
          <w:szCs w:val="21"/>
        </w:rPr>
        <w:t>发生第22.2.1(2）目的违约情况时，承包人可书面通知发包人解除合同。</w:t>
      </w:r>
    </w:p>
    <w:p w14:paraId="06B1F7EA">
      <w:pPr>
        <w:spacing w:line="360" w:lineRule="auto"/>
        <w:ind w:firstLine="420" w:firstLineChars="200"/>
        <w:rPr>
          <w:rFonts w:hint="eastAsia" w:ascii="宋体" w:hAnsi="宋体"/>
          <w:szCs w:val="21"/>
        </w:rPr>
      </w:pPr>
      <w:r>
        <w:rPr>
          <w:rFonts w:hint="eastAsia" w:ascii="宋体" w:hAnsi="宋体"/>
          <w:szCs w:val="21"/>
        </w:rPr>
        <w:t>22.2.4 解除合同后的付款</w:t>
      </w:r>
    </w:p>
    <w:p w14:paraId="542DCDBC">
      <w:pPr>
        <w:spacing w:line="360" w:lineRule="auto"/>
        <w:ind w:firstLine="420" w:firstLineChars="200"/>
        <w:rPr>
          <w:rFonts w:hint="eastAsia" w:ascii="宋体" w:hAnsi="宋体"/>
          <w:szCs w:val="21"/>
        </w:rPr>
      </w:pPr>
      <w:r>
        <w:rPr>
          <w:rFonts w:hint="eastAsia" w:ascii="宋体" w:hAnsi="宋体"/>
          <w:szCs w:val="21"/>
        </w:rPr>
        <w:t>因发包人违约解除合同的，发包人应向承包人支付下列金额，承包人应在此期限内及时向发包人提交要求支付下列金额的有关资料和凭证：</w:t>
      </w:r>
    </w:p>
    <w:p w14:paraId="2B179B15">
      <w:pPr>
        <w:spacing w:line="360" w:lineRule="auto"/>
        <w:ind w:firstLine="420" w:firstLineChars="200"/>
        <w:rPr>
          <w:rFonts w:hint="eastAsia" w:ascii="宋体" w:hAnsi="宋体"/>
          <w:szCs w:val="21"/>
        </w:rPr>
      </w:pPr>
      <w:r>
        <w:rPr>
          <w:rFonts w:hint="eastAsia" w:ascii="宋体" w:hAnsi="宋体"/>
          <w:szCs w:val="21"/>
        </w:rPr>
        <w:t>(l) 合同解除日以前所完成工作的价款；</w:t>
      </w:r>
    </w:p>
    <w:p w14:paraId="1D54EC48">
      <w:pPr>
        <w:spacing w:line="500" w:lineRule="exact"/>
        <w:ind w:firstLine="420" w:firstLineChars="200"/>
        <w:rPr>
          <w:rFonts w:hint="eastAsia" w:ascii="宋体" w:hAnsi="宋体"/>
          <w:szCs w:val="21"/>
        </w:rPr>
      </w:pPr>
      <w:r>
        <w:rPr>
          <w:rFonts w:hint="eastAsia" w:ascii="宋体" w:hAnsi="宋体"/>
          <w:szCs w:val="21"/>
        </w:rPr>
        <w:t>(2) 承包人为该工程施工订购并己付款的材料、工程设备和其他物品的金额。发包人付还后，该材料、工程设备和其他物品归发包人所有；</w:t>
      </w:r>
    </w:p>
    <w:p w14:paraId="34DE0204">
      <w:pPr>
        <w:spacing w:line="500" w:lineRule="exact"/>
        <w:ind w:firstLine="420" w:firstLineChars="200"/>
        <w:rPr>
          <w:rFonts w:hint="eastAsia" w:ascii="宋体" w:hAnsi="宋体"/>
          <w:szCs w:val="21"/>
        </w:rPr>
      </w:pPr>
      <w:r>
        <w:rPr>
          <w:rFonts w:hint="eastAsia" w:ascii="宋体" w:hAnsi="宋体"/>
          <w:szCs w:val="21"/>
        </w:rPr>
        <w:t>(3) 承包人为完成工程所发生的，而发包人未支付的金额；</w:t>
      </w:r>
    </w:p>
    <w:p w14:paraId="13028DD7">
      <w:pPr>
        <w:spacing w:line="360" w:lineRule="auto"/>
        <w:ind w:firstLine="420" w:firstLineChars="200"/>
        <w:rPr>
          <w:rFonts w:hint="eastAsia" w:ascii="宋体" w:hAnsi="宋体"/>
          <w:szCs w:val="21"/>
        </w:rPr>
      </w:pPr>
      <w:r>
        <w:rPr>
          <w:rFonts w:hint="eastAsia" w:ascii="宋体" w:hAnsi="宋体"/>
          <w:szCs w:val="21"/>
        </w:rPr>
        <w:t>(4) 按合同约定在合同解除日前应支付给承包人的其他金额。</w:t>
      </w:r>
    </w:p>
    <w:p w14:paraId="262D3F66">
      <w:pPr>
        <w:spacing w:line="360" w:lineRule="auto"/>
        <w:ind w:firstLine="420" w:firstLineChars="200"/>
        <w:rPr>
          <w:rFonts w:hint="eastAsia" w:ascii="宋体" w:hAnsi="宋体"/>
          <w:szCs w:val="21"/>
        </w:rPr>
      </w:pPr>
      <w:r>
        <w:rPr>
          <w:rFonts w:hint="eastAsia" w:ascii="宋体" w:hAnsi="宋体"/>
          <w:szCs w:val="21"/>
        </w:rPr>
        <w:t>发包人应按本项约定支付上述金额并退还质量保证金和履约担保，但有权要求承包人支付应偿还给发包人的各项金额。</w:t>
      </w:r>
    </w:p>
    <w:p w14:paraId="274F9834">
      <w:pPr>
        <w:spacing w:line="360" w:lineRule="auto"/>
        <w:ind w:firstLine="420" w:firstLineChars="200"/>
        <w:rPr>
          <w:rFonts w:hint="eastAsia" w:ascii="宋体" w:hAnsi="宋体"/>
          <w:szCs w:val="21"/>
        </w:rPr>
      </w:pPr>
      <w:r>
        <w:rPr>
          <w:rFonts w:hint="eastAsia" w:ascii="宋体" w:hAnsi="宋体"/>
          <w:szCs w:val="21"/>
        </w:rPr>
        <w:t>22.2.5 解除合同后的承包人撤离</w:t>
      </w:r>
    </w:p>
    <w:p w14:paraId="504D07B6">
      <w:pPr>
        <w:spacing w:line="360" w:lineRule="auto"/>
        <w:ind w:firstLine="420" w:firstLineChars="200"/>
        <w:rPr>
          <w:rFonts w:hint="eastAsia" w:ascii="宋体" w:hAnsi="宋体"/>
          <w:szCs w:val="21"/>
        </w:rPr>
      </w:pPr>
      <w:r>
        <w:rPr>
          <w:rFonts w:hint="eastAsia" w:ascii="宋体" w:hAnsi="宋体"/>
          <w:szCs w:val="21"/>
        </w:rPr>
        <w:t>因发包人违约而解除合同后，承包人应妥善做好已竣工工程和</w:t>
      </w:r>
      <w:r>
        <w:rPr>
          <w:rFonts w:hint="eastAsia" w:ascii="宋体" w:hAnsi="宋体"/>
          <w:szCs w:val="21"/>
          <w:lang w:eastAsia="zh-CN"/>
        </w:rPr>
        <w:t>已</w:t>
      </w:r>
      <w:r>
        <w:rPr>
          <w:rFonts w:hint="eastAsia" w:ascii="宋体" w:hAnsi="宋体"/>
          <w:szCs w:val="21"/>
        </w:rPr>
        <w:t>购材料、设备的保护和移交工作，按发包人要求将承包人设备和人员撤出施工场地。承包人撤出施工场地应遵守第18.7.1 项的约定，发包人应为承包人撤出提供必要条件。</w:t>
      </w:r>
    </w:p>
    <w:p w14:paraId="03E34495">
      <w:pPr>
        <w:autoSpaceDE w:val="0"/>
        <w:autoSpaceDN w:val="0"/>
        <w:adjustRightInd w:val="0"/>
        <w:spacing w:line="360" w:lineRule="auto"/>
        <w:ind w:firstLine="420" w:firstLineChars="200"/>
        <w:jc w:val="left"/>
        <w:rPr>
          <w:rFonts w:hint="eastAsia" w:ascii="宋体" w:hAnsi="宋体"/>
          <w:szCs w:val="21"/>
        </w:rPr>
      </w:pPr>
      <w:r>
        <w:rPr>
          <w:rFonts w:hint="eastAsia" w:ascii="宋体" w:hAnsi="宋体"/>
          <w:szCs w:val="21"/>
        </w:rPr>
        <w:t>22.2.6 由于22.2 款规定的发包人违约责任造成发包人承担费用或工程量发生变更的，按照15.3款办理有关审批手续。</w:t>
      </w:r>
    </w:p>
    <w:p w14:paraId="11B370DA">
      <w:pPr>
        <w:spacing w:line="360" w:lineRule="auto"/>
        <w:rPr>
          <w:rFonts w:hint="eastAsia" w:ascii="宋体" w:hAnsi="宋体" w:eastAsia="宋体" w:cs="Times New Roman"/>
          <w:szCs w:val="21"/>
        </w:rPr>
      </w:pPr>
      <w:r>
        <w:rPr>
          <w:rFonts w:hint="eastAsia" w:ascii="宋体" w:hAnsi="宋体" w:eastAsia="宋体" w:cs="Times New Roman"/>
          <w:szCs w:val="21"/>
        </w:rPr>
        <w:t>22.3 第三人造成的违约</w:t>
      </w:r>
    </w:p>
    <w:p w14:paraId="0426AE1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在履行合同过程中，一方当事人因第三人的原因造成违约的，应当向对方当事人承担违约责任。一方当事人和第三人之间的纠纷，依照法律规定或者按照约定解决。</w:t>
      </w:r>
    </w:p>
    <w:p w14:paraId="17F60A9F">
      <w:pPr>
        <w:spacing w:line="360" w:lineRule="auto"/>
        <w:rPr>
          <w:rFonts w:hint="eastAsia" w:ascii="宋体" w:hAnsi="宋体" w:eastAsia="宋体" w:cs="Times New Roman"/>
          <w:szCs w:val="21"/>
        </w:rPr>
      </w:pPr>
      <w:r>
        <w:rPr>
          <w:rFonts w:hint="eastAsia" w:ascii="宋体" w:hAnsi="宋体" w:cs="XBSJ-PK7482000003a-Identity-H"/>
          <w:b/>
          <w:kern w:val="0"/>
          <w:sz w:val="28"/>
          <w:szCs w:val="28"/>
        </w:rPr>
        <w:t>24  争议的解决</w:t>
      </w:r>
    </w:p>
    <w:p w14:paraId="2270DC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24.1 争议的解决方式</w:t>
      </w:r>
    </w:p>
    <w:p w14:paraId="59D60403">
      <w:pPr>
        <w:spacing w:line="360" w:lineRule="auto"/>
        <w:ind w:firstLine="420" w:firstLineChars="200"/>
        <w:rPr>
          <w:rFonts w:hint="eastAsia" w:ascii="宋体" w:hAnsi="宋体"/>
          <w:szCs w:val="21"/>
          <w:u w:val="single"/>
        </w:rPr>
      </w:pPr>
      <w:r>
        <w:rPr>
          <w:rFonts w:hint="eastAsia" w:ascii="宋体" w:hAnsi="宋体"/>
          <w:szCs w:val="21"/>
        </w:rPr>
        <w:t>合同当事人友好协商解决不成、不愿提请争议评审或不接受争议评审组意见的，约定的合同争议解决方式：</w:t>
      </w:r>
      <w:r>
        <w:rPr>
          <w:rFonts w:hint="eastAsia" w:ascii="宋体" w:hAnsi="宋体"/>
          <w:szCs w:val="21"/>
          <w:u w:val="single"/>
        </w:rPr>
        <w:t>向</w:t>
      </w:r>
      <w:r>
        <w:rPr>
          <w:rFonts w:hint="eastAsia" w:ascii="宋体" w:hAnsi="宋体"/>
          <w:szCs w:val="21"/>
          <w:u w:val="single"/>
          <w:lang w:eastAsia="zh-CN"/>
        </w:rPr>
        <w:t>中山市第一</w:t>
      </w:r>
      <w:r>
        <w:rPr>
          <w:rFonts w:hint="eastAsia" w:ascii="宋体" w:hAnsi="宋体"/>
          <w:szCs w:val="21"/>
          <w:u w:val="single"/>
        </w:rPr>
        <w:t>人民法院提起诉讼。</w:t>
      </w:r>
    </w:p>
    <w:p w14:paraId="32BCAAB8">
      <w:pPr>
        <w:spacing w:line="360" w:lineRule="auto"/>
        <w:rPr>
          <w:rFonts w:hint="eastAsia" w:ascii="宋体" w:hAnsi="宋体" w:cs="XBSJ-PK7482000003a-Identity-H"/>
          <w:b/>
          <w:kern w:val="0"/>
          <w:sz w:val="28"/>
          <w:szCs w:val="28"/>
        </w:rPr>
      </w:pPr>
      <w:r>
        <w:rPr>
          <w:rFonts w:hint="eastAsia" w:ascii="宋体" w:hAnsi="宋体" w:cs="XBSJ-PK7482000003a-Identity-H"/>
          <w:b/>
          <w:kern w:val="0"/>
          <w:sz w:val="28"/>
          <w:szCs w:val="28"/>
        </w:rPr>
        <w:t>25 补充条款</w:t>
      </w:r>
    </w:p>
    <w:p w14:paraId="59139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szCs w:val="21"/>
        </w:rPr>
        <w:t>25.1</w:t>
      </w:r>
      <w:r>
        <w:rPr>
          <w:rFonts w:hint="eastAsia" w:ascii="宋体" w:hAnsi="宋体"/>
          <w:szCs w:val="21"/>
          <w:lang w:val="en-US" w:eastAsia="zh-CN"/>
        </w:rPr>
        <w:t xml:space="preserve"> </w:t>
      </w:r>
      <w:r>
        <w:rPr>
          <w:rFonts w:hint="eastAsia" w:ascii="宋体" w:hAnsi="宋体"/>
          <w:szCs w:val="21"/>
        </w:rPr>
        <w:t>施工现场动态管理要求</w:t>
      </w:r>
      <w:r>
        <w:rPr>
          <w:rFonts w:hint="eastAsia" w:ascii="宋体" w:hAnsi="宋体"/>
          <w:szCs w:val="21"/>
          <w:lang w:eastAsia="zh-CN"/>
        </w:rPr>
        <w:t>（</w:t>
      </w:r>
      <w:r>
        <w:rPr>
          <w:rFonts w:hint="eastAsia" w:ascii="宋体" w:hAnsi="宋体"/>
        </w:rPr>
        <w:t>破堤</w:t>
      </w:r>
      <w:r>
        <w:rPr>
          <w:rFonts w:hint="eastAsia" w:ascii="宋体" w:hAnsi="宋体"/>
          <w:lang w:eastAsia="zh-CN"/>
        </w:rPr>
        <w:t>工程、</w:t>
      </w:r>
      <w:r>
        <w:rPr>
          <w:rFonts w:hint="eastAsia" w:ascii="宋体" w:hAnsi="宋体"/>
          <w:szCs w:val="21"/>
        </w:rPr>
        <w:t>度</w:t>
      </w:r>
      <w:r>
        <w:rPr>
          <w:rFonts w:hint="eastAsia" w:ascii="宋体" w:hAnsi="宋体" w:cs="XBSJ-PK7482000003a-Identity-H"/>
          <w:kern w:val="0"/>
          <w:szCs w:val="21"/>
        </w:rPr>
        <w:t>汛工程及</w:t>
      </w:r>
      <w:r>
        <w:rPr>
          <w:rFonts w:hint="eastAsia" w:ascii="宋体" w:hAnsi="宋体"/>
          <w:szCs w:val="21"/>
        </w:rPr>
        <w:t>投资规模在1000万以上的其他工程需</w:t>
      </w:r>
      <w:r>
        <w:rPr>
          <w:rFonts w:hint="eastAsia" w:ascii="宋体" w:hAnsi="宋体"/>
          <w:szCs w:val="21"/>
          <w:lang w:eastAsia="zh-CN"/>
        </w:rPr>
        <w:t>设置</w:t>
      </w:r>
      <w:r>
        <w:rPr>
          <w:rFonts w:hint="eastAsia" w:ascii="宋体" w:hAnsi="宋体"/>
          <w:szCs w:val="21"/>
        </w:rPr>
        <w:t>此项)</w:t>
      </w:r>
      <w:r>
        <w:rPr>
          <w:rFonts w:hint="eastAsia" w:ascii="宋体" w:hAnsi="宋体"/>
          <w:szCs w:val="21"/>
          <w:lang w:eastAsia="zh-CN"/>
        </w:rPr>
        <w:t>）</w:t>
      </w:r>
    </w:p>
    <w:p w14:paraId="475E1178">
      <w:pPr>
        <w:spacing w:line="360" w:lineRule="auto"/>
        <w:ind w:firstLine="420" w:firstLineChars="200"/>
        <w:rPr>
          <w:rFonts w:hint="eastAsia" w:ascii="宋体" w:hAnsi="宋体"/>
        </w:rPr>
      </w:pPr>
      <w:r>
        <w:rPr>
          <w:rFonts w:hint="eastAsia" w:ascii="宋体" w:hAnsi="宋体"/>
          <w:lang w:eastAsia="zh-CN"/>
        </w:rPr>
        <w:t>对于</w:t>
      </w:r>
      <w:r>
        <w:rPr>
          <w:rFonts w:hint="eastAsia" w:ascii="宋体" w:hAnsi="宋体"/>
        </w:rPr>
        <w:t>所有破堤和有度汛要求的水闸、泵站、堤防</w:t>
      </w:r>
      <w:r>
        <w:rPr>
          <w:rFonts w:hint="eastAsia" w:ascii="宋体" w:hAnsi="宋体"/>
          <w:lang w:eastAsia="zh-CN"/>
        </w:rPr>
        <w:t>、水库</w:t>
      </w:r>
      <w:r>
        <w:rPr>
          <w:rFonts w:hint="eastAsia" w:ascii="宋体" w:hAnsi="宋体"/>
        </w:rPr>
        <w:t>等工程，以及投资规模在1000万以上的其他工程，要求实行质量与安全监督动态管理。本工程适用本条款。</w:t>
      </w:r>
    </w:p>
    <w:p w14:paraId="4207235C">
      <w:pPr>
        <w:spacing w:line="360" w:lineRule="auto"/>
        <w:ind w:firstLine="420" w:firstLineChars="200"/>
        <w:rPr>
          <w:rFonts w:hint="eastAsia" w:ascii="宋体" w:hAnsi="宋体"/>
        </w:rPr>
      </w:pPr>
      <w:r>
        <w:rPr>
          <w:rFonts w:hint="eastAsia" w:ascii="宋体" w:hAnsi="宋体"/>
        </w:rPr>
        <w:t>25.1.1为及时掌握施工现场动态，防范质量安全事故的发生，承包人在主体工程开工前必须在施工现场安装并调试好视频监控设备，并通过公共网络接入视频监控平台，对施工现场适时不间断监控及录像。</w:t>
      </w:r>
    </w:p>
    <w:p w14:paraId="2A3BEA4D">
      <w:pPr>
        <w:spacing w:line="360" w:lineRule="auto"/>
        <w:ind w:firstLine="420" w:firstLineChars="200"/>
        <w:rPr>
          <w:rFonts w:hint="eastAsia" w:ascii="宋体" w:hAnsi="宋体"/>
          <w:b/>
          <w:szCs w:val="21"/>
        </w:rPr>
      </w:pPr>
      <w:r>
        <w:rPr>
          <w:rFonts w:hint="eastAsia" w:ascii="宋体" w:hAnsi="宋体"/>
        </w:rPr>
        <w:t>25.1.2施工现场视频监控点的数量以及布置安装根据施工现场的实际情况来确定，但监控点设置必须满足对主体工程施工的监控需要，设备的选型需符合相关视频监控系统接入要求。</w:t>
      </w:r>
    </w:p>
    <w:p w14:paraId="0C249EF9">
      <w:pPr>
        <w:spacing w:line="360" w:lineRule="auto"/>
        <w:ind w:firstLine="420" w:firstLineChars="200"/>
        <w:rPr>
          <w:rFonts w:hint="eastAsia" w:ascii="宋体" w:hAnsi="宋体"/>
        </w:rPr>
      </w:pPr>
      <w:r>
        <w:rPr>
          <w:rFonts w:hint="eastAsia" w:ascii="宋体" w:hAnsi="宋体"/>
        </w:rPr>
        <w:t>25.1.3视频监控系统的安装、维修保养以及网络租用费用等，列入企业安全生产费中，承包人在投标报价中考虑自行解决。建议发包人协助承包人与当地通信部门沟通，保障施工现场网络及时接入。</w:t>
      </w:r>
    </w:p>
    <w:p w14:paraId="5DF0605A">
      <w:pPr>
        <w:spacing w:line="360" w:lineRule="auto"/>
        <w:ind w:firstLine="420" w:firstLineChars="200"/>
        <w:rPr>
          <w:rFonts w:hint="eastAsia" w:ascii="宋体" w:hAnsi="宋体"/>
        </w:rPr>
      </w:pPr>
      <w:r>
        <w:rPr>
          <w:rFonts w:hint="eastAsia" w:ascii="宋体" w:hAnsi="宋体"/>
        </w:rPr>
        <w:t>25.1.4承包人应采取有效措施保障视频监控设施和线路的安全，指派</w:t>
      </w:r>
      <w:r>
        <w:rPr>
          <w:rFonts w:ascii="宋体" w:hAnsi="宋体"/>
        </w:rPr>
        <w:t>1</w:t>
      </w:r>
      <w:r>
        <w:rPr>
          <w:rFonts w:hint="eastAsia" w:ascii="宋体" w:hAnsi="宋体"/>
        </w:rPr>
        <w:t>名熟悉视频监控操作的管理人员，负责现场监控设备的日常管理和维护，保证</w:t>
      </w:r>
      <w:r>
        <w:rPr>
          <w:rFonts w:ascii="宋体" w:hAnsi="宋体"/>
        </w:rPr>
        <w:t>24</w:t>
      </w:r>
      <w:r>
        <w:rPr>
          <w:rFonts w:hint="eastAsia" w:ascii="宋体" w:hAnsi="宋体"/>
        </w:rPr>
        <w:t>小时开机运行。视频监控设施</w:t>
      </w:r>
      <w:r>
        <w:rPr>
          <w:rFonts w:hint="eastAsia" w:ascii="宋体" w:hAnsi="宋体"/>
          <w:lang w:eastAsia="zh-CN"/>
        </w:rPr>
        <w:t>或</w:t>
      </w:r>
      <w:r>
        <w:rPr>
          <w:rFonts w:hint="eastAsia" w:ascii="宋体" w:hAnsi="宋体"/>
        </w:rPr>
        <w:t>线路</w:t>
      </w:r>
      <w:r>
        <w:rPr>
          <w:rFonts w:hint="eastAsia" w:ascii="宋体" w:hAnsi="宋体"/>
          <w:lang w:eastAsia="zh-CN"/>
        </w:rPr>
        <w:t>发生故障时，承包人须自发现或者应当发现之时起</w:t>
      </w:r>
      <w:r>
        <w:rPr>
          <w:rFonts w:hint="eastAsia" w:ascii="宋体" w:hAnsi="宋体"/>
          <w:lang w:val="en-US" w:eastAsia="zh-CN"/>
        </w:rPr>
        <w:t>72小时内组织力量恢复，否则，每延误24小时，承包人需向发包人支付2000元违约金。</w:t>
      </w:r>
      <w:r>
        <w:rPr>
          <w:rFonts w:hint="eastAsia" w:ascii="宋体" w:hAnsi="宋体"/>
        </w:rPr>
        <w:t xml:space="preserve">工程项目完工验收后，方可拆除施工现场视频监控系统。 </w:t>
      </w:r>
    </w:p>
    <w:p w14:paraId="6E5A3553">
      <w:pPr>
        <w:spacing w:line="360" w:lineRule="auto"/>
        <w:ind w:firstLine="420" w:firstLineChars="200"/>
        <w:rPr>
          <w:rFonts w:hint="eastAsia" w:ascii="宋体" w:hAnsi="宋体"/>
          <w:lang w:val="en-US" w:eastAsia="zh-CN"/>
        </w:rPr>
      </w:pPr>
      <w:r>
        <w:rPr>
          <w:rFonts w:hint="eastAsia" w:ascii="宋体" w:hAnsi="宋体"/>
          <w:lang w:val="en-US" w:eastAsia="zh-CN"/>
        </w:rPr>
        <w:t xml:space="preserve">25.2 </w:t>
      </w:r>
      <w:r>
        <w:rPr>
          <w:rFonts w:hint="eastAsia" w:ascii="宋体" w:hAnsi="宋体"/>
          <w:lang w:eastAsia="zh-CN"/>
        </w:rPr>
        <w:t>运用智慧云监控系统要求（</w:t>
      </w:r>
      <w:r>
        <w:rPr>
          <w:rFonts w:hint="eastAsia" w:ascii="宋体" w:hAnsi="宋体" w:cs="Times New Roman"/>
          <w:b w:val="0"/>
          <w:bCs w:val="0"/>
          <w:kern w:val="2"/>
          <w:sz w:val="21"/>
          <w:szCs w:val="24"/>
          <w:lang w:eastAsia="zh-CN"/>
        </w:rPr>
        <w:t>采用水泥搅拌桩工艺施工的项目</w:t>
      </w:r>
      <w:r>
        <w:rPr>
          <w:rFonts w:hint="eastAsia" w:ascii="宋体" w:hAnsi="宋体"/>
          <w:szCs w:val="24"/>
          <w:rPrChange w:id="1" w:author="user" w:date="2024-08-06T13:01:47Z">
            <w:rPr>
              <w:rFonts w:hint="eastAsia" w:ascii="宋体" w:hAnsi="宋体"/>
              <w:szCs w:val="21"/>
            </w:rPr>
          </w:rPrChange>
        </w:rPr>
        <w:t>需</w:t>
      </w:r>
      <w:r>
        <w:rPr>
          <w:rFonts w:hint="eastAsia" w:ascii="宋体" w:hAnsi="宋体"/>
          <w:szCs w:val="24"/>
          <w:lang w:eastAsia="zh-CN"/>
          <w:rPrChange w:id="2" w:author="user" w:date="2024-08-06T13:01:47Z">
            <w:rPr>
              <w:rFonts w:hint="eastAsia" w:ascii="宋体" w:hAnsi="宋体"/>
              <w:szCs w:val="21"/>
              <w:lang w:eastAsia="zh-CN"/>
            </w:rPr>
          </w:rPrChange>
        </w:rPr>
        <w:t>设置</w:t>
      </w:r>
      <w:r>
        <w:rPr>
          <w:rFonts w:hint="eastAsia" w:ascii="宋体" w:hAnsi="宋体"/>
          <w:szCs w:val="24"/>
          <w:rPrChange w:id="3" w:author="user" w:date="2024-08-06T13:01:47Z">
            <w:rPr>
              <w:rFonts w:hint="eastAsia" w:ascii="宋体" w:hAnsi="宋体"/>
              <w:szCs w:val="21"/>
            </w:rPr>
          </w:rPrChange>
        </w:rPr>
        <w:t>此项</w:t>
      </w:r>
      <w:r>
        <w:rPr>
          <w:rFonts w:hint="eastAsia" w:ascii="宋体" w:hAnsi="宋体"/>
          <w:lang w:eastAsia="zh-CN"/>
        </w:rPr>
        <w:t>）</w:t>
      </w:r>
    </w:p>
    <w:p w14:paraId="1FCD102D">
      <w:pPr>
        <w:spacing w:line="360" w:lineRule="auto"/>
        <w:ind w:firstLine="420" w:firstLineChars="200"/>
        <w:rPr>
          <w:rFonts w:hint="eastAsia" w:ascii="宋体" w:hAnsi="宋体" w:cs="Times New Roman"/>
          <w:b w:val="0"/>
          <w:bCs w:val="0"/>
          <w:kern w:val="2"/>
          <w:sz w:val="21"/>
          <w:szCs w:val="24"/>
          <w:lang w:eastAsia="zh-CN"/>
        </w:rPr>
      </w:pPr>
      <w:r>
        <w:rPr>
          <w:rFonts w:hint="eastAsia" w:ascii="宋体" w:hAnsi="宋体"/>
        </w:rPr>
        <w:t>为有效提高水泥搅拌桩工艺施工水平，</w:t>
      </w:r>
      <w:r>
        <w:rPr>
          <w:rFonts w:hint="eastAsia" w:ascii="宋体" w:hAnsi="宋体"/>
          <w:lang w:eastAsia="zh-CN"/>
        </w:rPr>
        <w:t>承包人需</w:t>
      </w:r>
      <w:r>
        <w:rPr>
          <w:rFonts w:hint="eastAsia" w:ascii="宋体" w:hAnsi="宋体" w:cs="Times New Roman"/>
          <w:b w:val="0"/>
          <w:bCs w:val="0"/>
          <w:kern w:val="2"/>
          <w:sz w:val="21"/>
          <w:szCs w:val="24"/>
          <w:lang w:eastAsia="zh-CN"/>
        </w:rPr>
        <w:t>运用智慧云监控系统实时监测施工过程。</w:t>
      </w:r>
    </w:p>
    <w:p w14:paraId="6B88156C">
      <w:pPr>
        <w:spacing w:line="360" w:lineRule="auto"/>
        <w:ind w:firstLine="420" w:firstLineChars="200"/>
        <w:rPr>
          <w:rFonts w:hint="eastAsia" w:ascii="宋体" w:hAnsi="宋体"/>
        </w:rPr>
      </w:pPr>
      <w:r>
        <w:rPr>
          <w:rFonts w:hint="eastAsia" w:ascii="宋体" w:hAnsi="宋体"/>
          <w:lang w:val="en-US" w:eastAsia="zh-CN"/>
        </w:rPr>
        <w:t xml:space="preserve">25.2.1 </w:t>
      </w:r>
      <w:r>
        <w:rPr>
          <w:rFonts w:hint="eastAsia" w:ascii="宋体" w:hAnsi="宋体"/>
          <w:lang w:eastAsia="zh-CN"/>
        </w:rPr>
        <w:t>智慧云监控</w:t>
      </w:r>
      <w:r>
        <w:rPr>
          <w:rFonts w:hint="eastAsia" w:ascii="宋体" w:hAnsi="宋体"/>
        </w:rPr>
        <w:t>系统由制浆监控系统、打桩监测系统和数据实时存储、分析系统组成。原理是运用物联网技术，通过在施工设备上安装的电磁流量计、角度(垂直度)传感器、深度传感器、电流传感器、在线密度计、等多种传感器件对施工过程数据进行实时采集，实时数据经4G网络基站上传至云服务器后传送至智能手机、PC端等终端设备上，实现对施工全过程的远程、实时、多终端监控。通过对软基土水泥搅拌桩施工过程中的桩长、流量、速度、灰量、电流、垂直度、泥浆比重等关键参数进行实时监测，实时数据同步上云、智能预警、历史查看、原始报表数据导出等功能，通过灵活的技术架构和支撑框架，硬件数据与软件分析相结合，在线实时监测水泥搅拌桩施工全过程各方面信息，并根据监测情况进行相关设计参数调整。</w:t>
      </w:r>
    </w:p>
    <w:p w14:paraId="3CC22E32">
      <w:pPr>
        <w:spacing w:line="360" w:lineRule="auto"/>
        <w:ind w:firstLine="420" w:firstLineChars="200"/>
      </w:pPr>
      <w:r>
        <w:rPr>
          <w:rFonts w:hint="eastAsia" w:ascii="宋体" w:hAnsi="宋体"/>
          <w:lang w:val="en-US" w:eastAsia="zh-CN"/>
        </w:rPr>
        <w:t xml:space="preserve">25.2.2 </w:t>
      </w:r>
      <w:r>
        <w:rPr>
          <w:rFonts w:hint="eastAsia"/>
        </w:rPr>
        <w:t>水泥搅拌桩施工过程中，因承包人未运用智慧云监控系统导致搅拌桩质量不合格的，发包人扣除合同总价中水泥搅拌桩的相关费用。</w:t>
      </w:r>
    </w:p>
    <w:p w14:paraId="18143E64">
      <w:pPr>
        <w:spacing w:line="360" w:lineRule="auto"/>
        <w:ind w:firstLine="420" w:firstLineChars="200"/>
        <w:rPr>
          <w:rFonts w:hint="eastAsia" w:ascii="宋体" w:hAnsi="宋体" w:eastAsia="宋体"/>
          <w:sz w:val="21"/>
          <w:szCs w:val="24"/>
          <w:lang w:val="en-US" w:eastAsia="zh-CN" w:bidi="ar"/>
        </w:rPr>
      </w:pPr>
      <w:r>
        <w:rPr>
          <w:rFonts w:hint="eastAsia" w:ascii="宋体" w:hAnsi="宋体"/>
          <w:lang w:val="en-US" w:eastAsia="zh-CN"/>
        </w:rPr>
        <w:t xml:space="preserve">25.3 </w:t>
      </w:r>
      <w:r>
        <w:rPr>
          <w:rFonts w:hint="eastAsia" w:ascii="宋体" w:hAnsi="宋体" w:eastAsia="宋体"/>
          <w:sz w:val="21"/>
          <w:szCs w:val="24"/>
          <w:lang w:val="en-US" w:eastAsia="zh-CN" w:bidi="ar"/>
        </w:rPr>
        <w:t>施工现场建筑垃圾管理要求</w:t>
      </w:r>
    </w:p>
    <w:p w14:paraId="3E5C5A33">
      <w:pPr>
        <w:spacing w:line="360" w:lineRule="auto"/>
        <w:ind w:firstLine="420" w:firstLineChars="200"/>
        <w:rPr>
          <w:rFonts w:hint="eastAsia" w:ascii="宋体" w:hAnsi="宋体"/>
        </w:rPr>
      </w:pPr>
      <w:r>
        <w:rPr>
          <w:rFonts w:hint="eastAsia" w:ascii="宋体" w:hAnsi="宋体"/>
        </w:rPr>
        <w:t>（1）推进建筑垃圾减量管理。承包人要强化环保意识，推行绿色建造，切实加强项目建筑垃圾源头管控及减量管理，将建筑垃圾减量纳入文明施工内容。施工阶段，承包人须编制施工现场建筑垃圾减量化方案，对产生的建筑垃圾实行分类管理，加强施工管控，减少施工外运，推进源头减量，落实减量措施。</w:t>
      </w:r>
    </w:p>
    <w:p w14:paraId="58921F3B">
      <w:pPr>
        <w:spacing w:line="360" w:lineRule="auto"/>
        <w:ind w:firstLine="420" w:firstLineChars="200"/>
        <w:rPr>
          <w:rFonts w:hint="eastAsia" w:ascii="宋体" w:hAnsi="宋体"/>
        </w:rPr>
      </w:pPr>
      <w:r>
        <w:rPr>
          <w:rFonts w:hint="eastAsia" w:ascii="宋体" w:hAnsi="宋体"/>
        </w:rPr>
        <w:t>（2）提高建筑垃圾再利用率。承包人须在施工组织设计中明确施工现场建筑垃圾减量的具体要求和措施，以及建筑垃圾综合利用产品的使用要求。通过施工组织优化、临时设施和周转材料重复利用、施工现场建筑垃圾再利用、施工过程管控等措施，实现源头减量排放。</w:t>
      </w:r>
    </w:p>
    <w:p w14:paraId="4C62F14F">
      <w:pPr>
        <w:spacing w:line="360" w:lineRule="auto"/>
        <w:ind w:firstLine="420" w:firstLineChars="200"/>
        <w:rPr>
          <w:rFonts w:hint="eastAsia" w:ascii="宋体" w:hAnsi="宋体"/>
          <w:lang w:val="en-US" w:eastAsia="zh-CN"/>
        </w:rPr>
      </w:pPr>
      <w:r>
        <w:rPr>
          <w:rFonts w:hint="eastAsia" w:ascii="宋体" w:hAnsi="宋体"/>
        </w:rPr>
        <w:t>（3）加强建筑垃圾运输履约管理。承包人应将建筑垃圾交给已取得中山市建筑垃圾处置许可（运输）的单位进行运输。</w:t>
      </w:r>
      <w:r>
        <w:rPr>
          <w:rFonts w:hint="eastAsia"/>
        </w:rPr>
        <w:t>在建筑垃圾运输过程中存在沿途抛撒、非法倾倒等影响市容环境卫生行为的</w:t>
      </w:r>
      <w:r>
        <w:rPr>
          <w:rFonts w:hint="eastAsia"/>
          <w:highlight w:val="none"/>
        </w:rPr>
        <w:t>，</w:t>
      </w:r>
      <w:r>
        <w:rPr>
          <w:rFonts w:hint="eastAsia" w:ascii="宋体" w:hAnsi="宋体" w:cs="Times New Roman"/>
          <w:b w:val="0"/>
          <w:bCs w:val="0"/>
          <w:kern w:val="2"/>
          <w:sz w:val="21"/>
          <w:szCs w:val="24"/>
          <w:highlight w:val="none"/>
          <w:lang w:val="en-US" w:eastAsia="zh-CN"/>
        </w:rPr>
        <w:t>承包人需向发包人支付10000元/次的违约金（招标人结合招标项目规模、预算、环境影响等设置具体违约金额</w:t>
      </w:r>
      <w:r>
        <w:rPr>
          <w:rFonts w:hint="eastAsia" w:ascii="宋体" w:hAnsi="宋体" w:eastAsia="宋体" w:cs="Times New Roman"/>
          <w:b w:val="0"/>
          <w:bCs w:val="0"/>
          <w:kern w:val="2"/>
          <w:sz w:val="21"/>
          <w:szCs w:val="24"/>
          <w:highlight w:val="none"/>
          <w:lang w:val="en-US" w:eastAsia="zh-CN"/>
        </w:rPr>
        <w:t>）</w:t>
      </w:r>
      <w:r>
        <w:rPr>
          <w:rFonts w:hint="eastAsia" w:ascii="宋体" w:hAnsi="宋体" w:cs="Times New Roman"/>
          <w:b w:val="0"/>
          <w:bCs w:val="0"/>
          <w:kern w:val="2"/>
          <w:sz w:val="21"/>
          <w:szCs w:val="24"/>
          <w:highlight w:val="none"/>
          <w:lang w:val="en-US" w:eastAsia="zh-CN"/>
        </w:rPr>
        <w:t>，最高不超过合同价的5%。同时，</w:t>
      </w:r>
      <w:r>
        <w:rPr>
          <w:rFonts w:hint="eastAsia" w:ascii="宋体" w:hAnsi="宋体" w:cs="Times New Roman"/>
          <w:b w:val="0"/>
          <w:bCs w:val="0"/>
          <w:kern w:val="2"/>
          <w:sz w:val="21"/>
          <w:szCs w:val="24"/>
          <w:highlight w:val="none"/>
        </w:rPr>
        <w:t>行业监督部门将根据</w:t>
      </w:r>
      <w:r>
        <w:rPr>
          <w:rFonts w:hint="eastAsia" w:ascii="宋体" w:hAnsi="宋体"/>
          <w:highlight w:val="none"/>
        </w:rPr>
        <w:t>《广东省水利厅关于水利建设市场信</w:t>
      </w:r>
      <w:r>
        <w:rPr>
          <w:rFonts w:hint="eastAsia" w:ascii="宋体" w:hAnsi="宋体"/>
        </w:rPr>
        <w:t>用的管理办法》《广东省水利建设市场主体不良信用行为记录认定标准》等</w:t>
      </w:r>
      <w:r>
        <w:rPr>
          <w:rFonts w:hint="eastAsia"/>
        </w:rPr>
        <w:t>有关规定，对承包人的违规行为记不良信用行为记录并扣除承包人在“广东省水利建设市场信用信息平台”的信用分值。</w:t>
      </w:r>
    </w:p>
    <w:p w14:paraId="344DF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25.</w:t>
      </w:r>
      <w:r>
        <w:rPr>
          <w:rFonts w:hint="eastAsia" w:ascii="宋体" w:hAnsi="宋体"/>
          <w:szCs w:val="21"/>
          <w:lang w:val="en-US" w:eastAsia="zh-CN"/>
        </w:rPr>
        <w:t xml:space="preserve">4 </w:t>
      </w:r>
      <w:r>
        <w:rPr>
          <w:rFonts w:hint="eastAsia" w:ascii="宋体" w:hAnsi="宋体"/>
          <w:szCs w:val="21"/>
        </w:rPr>
        <w:t>工人工资支付管理要求</w:t>
      </w:r>
    </w:p>
    <w:p w14:paraId="60C866A4">
      <w:pPr>
        <w:spacing w:line="360" w:lineRule="auto"/>
        <w:ind w:firstLine="420" w:firstLineChars="200"/>
        <w:rPr>
          <w:rFonts w:hint="eastAsia" w:ascii="宋体" w:hAnsi="宋体"/>
        </w:rPr>
      </w:pPr>
      <w:r>
        <w:rPr>
          <w:rFonts w:hint="eastAsia" w:ascii="宋体" w:hAnsi="宋体"/>
        </w:rPr>
        <w:t>本工程项目工人工资支付要求实行分账管理制度，承包人须严格按《中山市水利建设领域工人工资支付分账管理实施细则》（中水[2016]75号）有关规定 对工人工资支付管理承担全面责任：</w:t>
      </w:r>
    </w:p>
    <w:p w14:paraId="2EFA5021">
      <w:pPr>
        <w:spacing w:line="360" w:lineRule="auto"/>
        <w:ind w:firstLine="420" w:firstLineChars="200"/>
        <w:rPr>
          <w:rFonts w:hint="eastAsia" w:ascii="宋体" w:hAnsi="宋体"/>
        </w:rPr>
      </w:pPr>
      <w:r>
        <w:rPr>
          <w:rFonts w:hint="eastAsia" w:ascii="宋体" w:hAnsi="宋体"/>
        </w:rPr>
        <w:t>（1）应当在建设项目动工前，在建设项目所在地商业银行设立工人工资支付专用账户。</w:t>
      </w:r>
    </w:p>
    <w:p w14:paraId="43965CF8">
      <w:pPr>
        <w:spacing w:line="360" w:lineRule="auto"/>
        <w:ind w:firstLine="420" w:firstLineChars="200"/>
        <w:rPr>
          <w:rFonts w:hint="eastAsia" w:ascii="宋体" w:hAnsi="宋体"/>
        </w:rPr>
      </w:pPr>
      <w:r>
        <w:rPr>
          <w:rFonts w:hint="eastAsia" w:ascii="宋体" w:hAnsi="宋体"/>
        </w:rPr>
        <w:t>（2）应当在用工之日起15日内为每一位工人办理工资个人账户。</w:t>
      </w:r>
    </w:p>
    <w:p w14:paraId="3E32404F">
      <w:pPr>
        <w:spacing w:line="360" w:lineRule="auto"/>
        <w:ind w:firstLine="420" w:firstLineChars="200"/>
        <w:rPr>
          <w:rFonts w:hint="eastAsia" w:ascii="宋体" w:hAnsi="宋体"/>
        </w:rPr>
      </w:pPr>
      <w:r>
        <w:rPr>
          <w:rFonts w:hint="eastAsia" w:ascii="宋体" w:hAnsi="宋体"/>
        </w:rPr>
        <w:t>（3）应当指定专人负责建设项目施工现场台账管理，真实、准确记录工人名册、劳务合同、劳动合同、工程进度、工时台账、劳务承包款和工人工资支付等信息，并保存两年以上备查。</w:t>
      </w:r>
    </w:p>
    <w:p w14:paraId="6D0FA394">
      <w:pPr>
        <w:spacing w:line="360" w:lineRule="auto"/>
        <w:ind w:firstLine="420" w:firstLineChars="200"/>
        <w:rPr>
          <w:rFonts w:hint="eastAsia" w:ascii="宋体" w:hAnsi="宋体"/>
        </w:rPr>
      </w:pPr>
      <w:r>
        <w:rPr>
          <w:rFonts w:hint="eastAsia" w:ascii="宋体" w:hAnsi="宋体"/>
        </w:rPr>
        <w:t>（4）应当按照“按时结算，及时支付”的原则，通过工人工资支付专用账户，将工人工资直接支付到工人的工资个人账户，并向</w:t>
      </w:r>
      <w:r>
        <w:rPr>
          <w:rFonts w:hint="eastAsia" w:ascii="宋体" w:hAnsi="宋体"/>
          <w:lang w:eastAsia="zh-CN"/>
        </w:rPr>
        <w:t>发包人</w:t>
      </w:r>
      <w:r>
        <w:rPr>
          <w:rFonts w:hint="eastAsia" w:ascii="宋体" w:hAnsi="宋体"/>
        </w:rPr>
        <w:t>提供工人工资支付明细表。</w:t>
      </w:r>
    </w:p>
    <w:p w14:paraId="70F88421">
      <w:pPr>
        <w:spacing w:line="360" w:lineRule="auto"/>
        <w:ind w:firstLine="420" w:firstLineChars="200"/>
        <w:rPr>
          <w:rFonts w:hint="eastAsia" w:ascii="宋体" w:hAnsi="宋体"/>
        </w:rPr>
      </w:pPr>
      <w:r>
        <w:rPr>
          <w:rFonts w:hint="eastAsia" w:ascii="宋体" w:hAnsi="宋体"/>
        </w:rPr>
        <w:t>（5）应当跟进</w:t>
      </w:r>
      <w:r>
        <w:rPr>
          <w:rFonts w:hint="eastAsia" w:ascii="宋体" w:hAnsi="宋体"/>
          <w:lang w:eastAsia="zh-CN"/>
        </w:rPr>
        <w:t>发包人</w:t>
      </w:r>
      <w:r>
        <w:rPr>
          <w:rFonts w:hint="eastAsia" w:ascii="宋体" w:hAnsi="宋体"/>
        </w:rPr>
        <w:t>拨款情况，对</w:t>
      </w:r>
      <w:r>
        <w:rPr>
          <w:rFonts w:hint="eastAsia" w:ascii="宋体" w:hAnsi="宋体"/>
          <w:lang w:eastAsia="zh-CN"/>
        </w:rPr>
        <w:t>发包人</w:t>
      </w:r>
      <w:r>
        <w:rPr>
          <w:rFonts w:hint="eastAsia" w:ascii="宋体" w:hAnsi="宋体"/>
        </w:rPr>
        <w:t>不按照约定拨付工人工资到工人工资支付专用账户的，应及时向人力资源和社会保障部门或项目审批部门反映。</w:t>
      </w:r>
    </w:p>
    <w:p w14:paraId="5734D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w:t>
      </w:r>
      <w:r>
        <w:rPr>
          <w:rFonts w:hint="eastAsia" w:ascii="宋体" w:hAnsi="宋体" w:cs="Times New Roman"/>
          <w:szCs w:val="21"/>
          <w:lang w:val="en-US" w:eastAsia="zh-CN"/>
        </w:rPr>
        <w:t>5</w:t>
      </w:r>
      <w:r>
        <w:rPr>
          <w:rFonts w:hint="eastAsia" w:ascii="宋体" w:hAnsi="宋体" w:eastAsia="宋体" w:cs="Times New Roman"/>
          <w:szCs w:val="21"/>
          <w:lang w:val="en-US" w:eastAsia="zh-CN"/>
        </w:rPr>
        <w:t xml:space="preserve"> 依法预缴税款要求</w:t>
      </w:r>
    </w:p>
    <w:p w14:paraId="046A99B4">
      <w:pPr>
        <w:spacing w:line="360" w:lineRule="auto"/>
        <w:ind w:firstLine="420" w:firstLineChars="200"/>
        <w:rPr>
          <w:rFonts w:hint="default" w:ascii="宋体" w:hAnsi="宋体" w:eastAsia="宋体" w:cs="Times New Roman"/>
          <w:lang w:val="en-US" w:eastAsia="zh-CN"/>
        </w:rPr>
      </w:pPr>
      <w:r>
        <w:rPr>
          <w:rFonts w:hint="eastAsia" w:ascii="宋体" w:hAnsi="宋体" w:eastAsia="宋体" w:cs="Times New Roman"/>
        </w:rPr>
        <w:t>根据国家税务总局《纳税人跨县（市、区）提供建筑服务增值税征收管理暂行办法》（国家税务总局公告2016年第17号）有关规定，如中标单位为外地建筑企业，应以收到的全部价款和价外费用扣除支付分包款后的余额，按规定预征率向我市税务机关预缴增值税以及城建税、教育费附加等附加税费。</w:t>
      </w:r>
    </w:p>
    <w:p w14:paraId="3ED8F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25.</w:t>
      </w:r>
      <w:r>
        <w:rPr>
          <w:rFonts w:hint="eastAsia" w:ascii="宋体" w:hAnsi="宋体" w:cs="Times New Roman"/>
          <w:szCs w:val="21"/>
          <w:lang w:val="en-US" w:eastAsia="zh-CN"/>
        </w:rPr>
        <w:t>6</w:t>
      </w:r>
      <w:r>
        <w:rPr>
          <w:rFonts w:hint="eastAsia" w:ascii="宋体" w:hAnsi="宋体" w:eastAsia="宋体" w:cs="Times New Roman"/>
          <w:szCs w:val="21"/>
          <w:lang w:val="en-US" w:eastAsia="zh-CN"/>
        </w:rPr>
        <w:t xml:space="preserve"> 投保安全生产责任保险</w:t>
      </w:r>
    </w:p>
    <w:p w14:paraId="57AE6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eastAsia="宋体" w:cs="Times New Roman"/>
          <w:szCs w:val="21"/>
          <w:lang w:val="en-GB" w:eastAsia="zh-CN"/>
        </w:rPr>
        <w:t>承包人在开工前须贯彻落实</w:t>
      </w:r>
      <w:r>
        <w:rPr>
          <w:rFonts w:hint="eastAsia" w:ascii="宋体" w:hAnsi="宋体" w:eastAsia="宋体" w:cs="Times New Roman"/>
          <w:szCs w:val="21"/>
          <w:lang w:val="en-US" w:eastAsia="zh-CN"/>
        </w:rPr>
        <w:t>《广东省应急管理厅 广东省地方金融监管局 中国银行保险监督管理委员会广东监管局关于印发〈广东省安全生产责任保险实施方案〉的通知》（粤应急规〔2021〕2号）、《中山市安全生产委员会办公室关于印发中山市安全生产责任保险实施方案的通知》（中安办〔2021〕77号）要求，按照</w:t>
      </w:r>
      <w:r>
        <w:rPr>
          <w:rFonts w:hint="eastAsia" w:ascii="宋体" w:hAnsi="宋体" w:eastAsia="宋体" w:cs="Times New Roman"/>
          <w:szCs w:val="21"/>
          <w:lang w:val="en-GB" w:eastAsia="zh-CN"/>
        </w:rPr>
        <w:t>责任限额投保安全生产责任保险，提高风险保障能力。投保安全生产责任保险的费用在安全生产费用中列支。</w:t>
      </w:r>
    </w:p>
    <w:p w14:paraId="157135C3">
      <w:pPr>
        <w:rPr>
          <w:rFonts w:hint="eastAsia"/>
        </w:rPr>
      </w:pPr>
    </w:p>
    <w:p w14:paraId="5EEC50DD">
      <w:pPr>
        <w:rPr>
          <w:rFonts w:hint="eastAsia"/>
        </w:rPr>
      </w:pPr>
    </w:p>
    <w:p w14:paraId="7187E3BD">
      <w:pPr>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第五章 工程量清单及工程量清单计价</w:t>
      </w:r>
    </w:p>
    <w:p w14:paraId="401D7A27">
      <w:pPr>
        <w:rPr>
          <w:rFonts w:hint="eastAsia" w:ascii="宋体" w:hAnsi="宋体"/>
          <w:szCs w:val="21"/>
        </w:rPr>
      </w:pPr>
    </w:p>
    <w:p w14:paraId="302F561C">
      <w:pPr>
        <w:spacing w:line="360" w:lineRule="auto"/>
        <w:rPr>
          <w:rFonts w:hint="eastAsia" w:ascii="宋体" w:hAnsi="宋体"/>
          <w:b/>
          <w:szCs w:val="21"/>
        </w:rPr>
      </w:pPr>
      <w:r>
        <w:rPr>
          <w:rFonts w:hint="eastAsia" w:ascii="宋体" w:hAnsi="宋体"/>
          <w:b/>
          <w:szCs w:val="21"/>
        </w:rPr>
        <w:t>1、一般规定</w:t>
      </w:r>
    </w:p>
    <w:p w14:paraId="3CB8C0FA">
      <w:pPr>
        <w:spacing w:line="360" w:lineRule="auto"/>
        <w:rPr>
          <w:rFonts w:hint="eastAsia" w:ascii="宋体" w:hAnsi="宋体"/>
          <w:szCs w:val="21"/>
        </w:rPr>
      </w:pPr>
      <w:r>
        <w:rPr>
          <w:rFonts w:hint="eastAsia" w:ascii="宋体" w:hAnsi="宋体"/>
          <w:szCs w:val="21"/>
        </w:rPr>
        <w:t>1.1采用工程量清单及工程量清单计价的应遵循有关工程量清单计价规范、工程量计算规范的国家标准及省、市建设主管部门的相关规定。</w:t>
      </w:r>
    </w:p>
    <w:p w14:paraId="6E8924EB">
      <w:pPr>
        <w:spacing w:line="360" w:lineRule="auto"/>
        <w:rPr>
          <w:rFonts w:hint="eastAsia" w:ascii="宋体" w:hAnsi="宋体"/>
          <w:b/>
          <w:szCs w:val="21"/>
        </w:rPr>
      </w:pPr>
      <w:r>
        <w:rPr>
          <w:rFonts w:hint="eastAsia" w:ascii="宋体" w:hAnsi="宋体"/>
          <w:b/>
          <w:szCs w:val="21"/>
        </w:rPr>
        <w:t>2、工程量清单说明</w:t>
      </w:r>
    </w:p>
    <w:p w14:paraId="4F960457">
      <w:pPr>
        <w:spacing w:line="360" w:lineRule="auto"/>
        <w:rPr>
          <w:rFonts w:hint="eastAsia" w:ascii="宋体" w:hAnsi="宋体"/>
          <w:szCs w:val="21"/>
        </w:rPr>
      </w:pPr>
      <w:r>
        <w:rPr>
          <w:rFonts w:hint="eastAsia" w:ascii="宋体" w:hAnsi="宋体"/>
          <w:szCs w:val="21"/>
        </w:rPr>
        <w:t>2.1工程量清单由</w:t>
      </w:r>
      <w:r>
        <w:rPr>
          <w:rFonts w:hint="eastAsia" w:ascii="宋体" w:hAnsi="宋体" w:eastAsia="宋体"/>
          <w:color w:val="auto"/>
          <w:szCs w:val="21"/>
          <w:u w:val="single"/>
        </w:rPr>
        <w:t xml:space="preserve">  </w:t>
      </w:r>
      <w:r>
        <w:rPr>
          <w:rFonts w:hint="eastAsia" w:ascii="宋体" w:hAnsi="宋体" w:eastAsia="宋体"/>
          <w:color w:val="auto"/>
          <w:szCs w:val="21"/>
          <w:u w:val="single"/>
          <w:lang w:val="en-US" w:eastAsia="zh-CN"/>
        </w:rPr>
        <w:t>广东中灏勘察设计咨询有限公司</w:t>
      </w:r>
      <w:r>
        <w:rPr>
          <w:rFonts w:hint="eastAsia" w:ascii="宋体" w:hAnsi="宋体" w:eastAsia="宋体"/>
          <w:color w:val="auto"/>
          <w:szCs w:val="21"/>
          <w:u w:val="single"/>
        </w:rPr>
        <w:t xml:space="preserve">  </w:t>
      </w:r>
      <w:r>
        <w:rPr>
          <w:rFonts w:hint="eastAsia" w:ascii="宋体" w:hAnsi="宋体"/>
          <w:color w:val="auto"/>
          <w:szCs w:val="21"/>
        </w:rPr>
        <w:t>编制，</w:t>
      </w:r>
      <w:r>
        <w:rPr>
          <w:rFonts w:hint="eastAsia" w:ascii="宋体" w:hAnsi="宋体"/>
          <w:szCs w:val="21"/>
        </w:rPr>
        <w:t>其准确性和完整性由招标人负责。</w:t>
      </w:r>
    </w:p>
    <w:p w14:paraId="442B58AC">
      <w:pPr>
        <w:spacing w:line="360" w:lineRule="auto"/>
        <w:rPr>
          <w:rFonts w:hint="eastAsia" w:ascii="宋体" w:hAnsi="宋体"/>
          <w:szCs w:val="21"/>
        </w:rPr>
      </w:pPr>
      <w:r>
        <w:rPr>
          <w:rFonts w:hint="eastAsia" w:ascii="宋体" w:hAnsi="宋体"/>
          <w:szCs w:val="21"/>
        </w:rPr>
        <w:t>2.2 本工程量清单的主要编制依据包括但不限于下列内容：</w:t>
      </w:r>
    </w:p>
    <w:p w14:paraId="7C8D0CF7">
      <w:pPr>
        <w:spacing w:line="360" w:lineRule="auto"/>
        <w:rPr>
          <w:rFonts w:hint="eastAsia" w:ascii="宋体" w:hAnsi="宋体"/>
          <w:szCs w:val="21"/>
        </w:rPr>
      </w:pPr>
      <w:r>
        <w:rPr>
          <w:rFonts w:hint="eastAsia" w:ascii="宋体" w:hAnsi="宋体"/>
          <w:szCs w:val="21"/>
        </w:rPr>
        <w:t>（1）、有关工程量清单计价规范、工程量计算规范的国家标准</w:t>
      </w:r>
    </w:p>
    <w:p w14:paraId="25E7D11A">
      <w:pPr>
        <w:spacing w:line="360" w:lineRule="auto"/>
        <w:rPr>
          <w:rFonts w:hint="eastAsia" w:ascii="宋体" w:hAnsi="宋体"/>
          <w:szCs w:val="21"/>
        </w:rPr>
      </w:pPr>
      <w:r>
        <w:rPr>
          <w:rFonts w:hint="eastAsia" w:ascii="宋体" w:hAnsi="宋体"/>
          <w:szCs w:val="21"/>
        </w:rPr>
        <w:t>（2）、广东省建设工程计价通则、计价依据及有关计价规定</w:t>
      </w:r>
    </w:p>
    <w:p w14:paraId="7F923321">
      <w:pPr>
        <w:spacing w:line="360" w:lineRule="auto"/>
        <w:rPr>
          <w:rFonts w:hint="eastAsia" w:ascii="宋体" w:hAnsi="宋体"/>
          <w:szCs w:val="21"/>
        </w:rPr>
      </w:pPr>
      <w:r>
        <w:rPr>
          <w:rFonts w:hint="eastAsia" w:ascii="宋体" w:hAnsi="宋体"/>
          <w:szCs w:val="21"/>
        </w:rPr>
        <w:t>（3）、建设工程施工设计文件</w:t>
      </w:r>
    </w:p>
    <w:p w14:paraId="642F0ABB">
      <w:pPr>
        <w:spacing w:line="360" w:lineRule="auto"/>
        <w:rPr>
          <w:rFonts w:hint="eastAsia" w:ascii="宋体" w:hAnsi="宋体"/>
          <w:szCs w:val="21"/>
        </w:rPr>
      </w:pPr>
      <w:r>
        <w:rPr>
          <w:rFonts w:hint="eastAsia" w:ascii="宋体" w:hAnsi="宋体"/>
          <w:szCs w:val="21"/>
        </w:rPr>
        <w:t>（4）、与建设工程项目有关的标准、规范、技术资料</w:t>
      </w:r>
    </w:p>
    <w:p w14:paraId="3B17F0A5">
      <w:pPr>
        <w:spacing w:line="360" w:lineRule="auto"/>
        <w:rPr>
          <w:rFonts w:hint="eastAsia" w:ascii="宋体" w:hAnsi="宋体"/>
          <w:szCs w:val="21"/>
        </w:rPr>
      </w:pPr>
      <w:r>
        <w:rPr>
          <w:rFonts w:hint="eastAsia" w:ascii="宋体" w:hAnsi="宋体"/>
          <w:szCs w:val="21"/>
        </w:rPr>
        <w:t>（5）、招标文件及其补充通知、答疑纪要</w:t>
      </w:r>
    </w:p>
    <w:p w14:paraId="1A8F9764">
      <w:pPr>
        <w:spacing w:line="360" w:lineRule="auto"/>
        <w:rPr>
          <w:rFonts w:hint="eastAsia" w:ascii="宋体" w:hAnsi="宋体"/>
          <w:szCs w:val="21"/>
        </w:rPr>
      </w:pPr>
      <w:r>
        <w:rPr>
          <w:rFonts w:hint="eastAsia" w:ascii="宋体" w:hAnsi="宋体"/>
          <w:szCs w:val="21"/>
        </w:rPr>
        <w:t>（6）、施工现场情况、工程特点及常规施工方案</w:t>
      </w:r>
    </w:p>
    <w:p w14:paraId="3F77174F">
      <w:pPr>
        <w:spacing w:line="360" w:lineRule="auto"/>
        <w:rPr>
          <w:rFonts w:hint="eastAsia" w:ascii="宋体" w:hAnsi="宋体"/>
          <w:szCs w:val="21"/>
        </w:rPr>
      </w:pPr>
      <w:r>
        <w:rPr>
          <w:rFonts w:hint="eastAsia" w:ascii="宋体" w:hAnsi="宋体"/>
          <w:szCs w:val="21"/>
        </w:rPr>
        <w:t>（7）、其他依据：</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2DE4F751">
      <w:pPr>
        <w:spacing w:line="360" w:lineRule="auto"/>
        <w:rPr>
          <w:rFonts w:hint="eastAsia" w:ascii="宋体" w:hAnsi="宋体"/>
          <w:szCs w:val="21"/>
        </w:rPr>
      </w:pPr>
      <w:r>
        <w:rPr>
          <w:rFonts w:hint="eastAsia" w:ascii="宋体" w:hAnsi="宋体"/>
          <w:szCs w:val="21"/>
        </w:rPr>
        <w:t>2.3 本工程量清单应与招标文件中投标人须知、合同条款、技术标准和要求、图纸及有关工程量清单计价规范、工程量计算规范的国家标准等一起阅读和理解。</w:t>
      </w:r>
    </w:p>
    <w:p w14:paraId="63234510">
      <w:pPr>
        <w:spacing w:line="360" w:lineRule="auto"/>
        <w:rPr>
          <w:rFonts w:hint="eastAsia" w:ascii="宋体" w:hAnsi="宋体"/>
          <w:szCs w:val="21"/>
        </w:rPr>
      </w:pPr>
      <w:r>
        <w:rPr>
          <w:rFonts w:hint="eastAsia" w:ascii="宋体" w:hAnsi="宋体"/>
          <w:szCs w:val="21"/>
        </w:rPr>
        <w:t>2.4 本工程量清单标明的工程量是投标报价的共同基础。实际工程计量和工程价款的支付应遵循合同条款的约定和第七章“技术标准和要求”的有关规定。</w:t>
      </w:r>
    </w:p>
    <w:p w14:paraId="52FDD0B8">
      <w:pPr>
        <w:spacing w:line="360" w:lineRule="auto"/>
        <w:rPr>
          <w:rFonts w:hint="eastAsia" w:ascii="宋体" w:hAnsi="宋体"/>
          <w:szCs w:val="21"/>
          <w:u w:val="single"/>
        </w:rPr>
      </w:pPr>
      <w:r>
        <w:rPr>
          <w:rFonts w:hint="eastAsia" w:ascii="宋体" w:hAnsi="宋体"/>
          <w:szCs w:val="21"/>
        </w:rPr>
        <w:t>2.5 补充的工程量清单已按有关工程量清单计价规范、工程量计算规范的国家标准的要求编制。其项目编码、项目名称、项目特征、计量单位、工程量计算规则、工程内容的说明如下：</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19B07DBD">
      <w:pPr>
        <w:spacing w:line="360" w:lineRule="auto"/>
        <w:rPr>
          <w:rFonts w:hint="eastAsia" w:ascii="宋体" w:hAnsi="宋体"/>
          <w:szCs w:val="21"/>
        </w:rPr>
      </w:pPr>
      <w:r>
        <w:rPr>
          <w:rFonts w:hint="eastAsia" w:ascii="宋体" w:hAnsi="宋体"/>
          <w:szCs w:val="21"/>
        </w:rPr>
        <w:t>2.6、分部分项工程量清单（包括可采用分部分项工程量清单方式编制的可以计算工程量的措施项目）已公布项目编码、项目名称、项目特征、计量单位、工程量。（公布的项目特征为项目的主要特征或工作内容，次要的特征或工作内容虽未具体说明，但均已考虑在内）</w:t>
      </w:r>
    </w:p>
    <w:p w14:paraId="55EF6AF0">
      <w:pPr>
        <w:spacing w:line="360" w:lineRule="auto"/>
        <w:rPr>
          <w:rFonts w:hint="eastAsia" w:ascii="宋体" w:hAnsi="宋体"/>
          <w:szCs w:val="21"/>
        </w:rPr>
      </w:pPr>
      <w:r>
        <w:rPr>
          <w:rFonts w:hint="eastAsia" w:ascii="宋体" w:hAnsi="宋体"/>
          <w:szCs w:val="21"/>
        </w:rPr>
        <w:t>2.7 暂列金额的数量及有关说明：</w:t>
      </w:r>
      <w:r>
        <w:rPr>
          <w:rFonts w:hint="eastAsia" w:ascii="宋体" w:hAnsi="宋体"/>
          <w:szCs w:val="21"/>
          <w:u w:val="single"/>
        </w:rPr>
        <w:t xml:space="preserve">                     /                             </w:t>
      </w:r>
    </w:p>
    <w:p w14:paraId="2C13BEC3">
      <w:pPr>
        <w:spacing w:line="360" w:lineRule="auto"/>
        <w:rPr>
          <w:rFonts w:hint="eastAsia" w:ascii="宋体" w:hAnsi="宋体"/>
          <w:szCs w:val="21"/>
        </w:rPr>
      </w:pPr>
      <w:r>
        <w:rPr>
          <w:rFonts w:hint="eastAsia" w:ascii="宋体" w:hAnsi="宋体"/>
          <w:szCs w:val="21"/>
        </w:rPr>
        <w:t>2.8 计日工的数量及有关说明：</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5F7CA7F0">
      <w:pPr>
        <w:spacing w:line="360" w:lineRule="auto"/>
        <w:rPr>
          <w:rFonts w:hint="eastAsia" w:ascii="宋体" w:hAnsi="宋体"/>
          <w:szCs w:val="21"/>
        </w:rPr>
      </w:pPr>
      <w:r>
        <w:rPr>
          <w:rFonts w:hint="eastAsia" w:ascii="宋体" w:hAnsi="宋体"/>
          <w:szCs w:val="21"/>
        </w:rPr>
        <w:t>2.9 暂估价的内容、数量及有关说明：</w:t>
      </w:r>
      <w:r>
        <w:rPr>
          <w:rFonts w:hint="eastAsia" w:ascii="宋体" w:hAnsi="宋体"/>
          <w:szCs w:val="21"/>
          <w:u w:val="single"/>
        </w:rPr>
        <w:t xml:space="preserve">                   /                           </w:t>
      </w:r>
    </w:p>
    <w:p w14:paraId="624DA785">
      <w:pPr>
        <w:spacing w:line="360" w:lineRule="auto"/>
        <w:rPr>
          <w:rFonts w:hint="eastAsia" w:ascii="宋体" w:hAnsi="宋体"/>
          <w:szCs w:val="21"/>
        </w:rPr>
      </w:pPr>
      <w:r>
        <w:rPr>
          <w:rFonts w:hint="eastAsia" w:ascii="宋体" w:hAnsi="宋体"/>
          <w:szCs w:val="21"/>
        </w:rPr>
        <w:t>2.10 其他需要说明的事项：</w:t>
      </w:r>
      <w:r>
        <w:rPr>
          <w:rFonts w:hint="eastAsia" w:ascii="宋体" w:hAnsi="宋体"/>
          <w:szCs w:val="21"/>
          <w:u w:val="single"/>
        </w:rPr>
        <w:t xml:space="preserve">   （工程量清单编制说明中重要的内容可在此说明）                                               </w:t>
      </w:r>
    </w:p>
    <w:p w14:paraId="5806354A">
      <w:pPr>
        <w:spacing w:line="360" w:lineRule="auto"/>
        <w:rPr>
          <w:rFonts w:hint="eastAsia" w:ascii="宋体" w:hAnsi="宋体"/>
          <w:b/>
          <w:szCs w:val="21"/>
        </w:rPr>
      </w:pPr>
      <w:r>
        <w:rPr>
          <w:rFonts w:hint="eastAsia" w:ascii="宋体" w:hAnsi="宋体"/>
          <w:b/>
          <w:szCs w:val="21"/>
        </w:rPr>
        <w:t>3、招标控制价说明</w:t>
      </w:r>
    </w:p>
    <w:p w14:paraId="0B5294D9">
      <w:pPr>
        <w:spacing w:line="360" w:lineRule="auto"/>
        <w:rPr>
          <w:rFonts w:hint="eastAsia" w:ascii="宋体" w:hAnsi="宋体"/>
          <w:szCs w:val="21"/>
        </w:rPr>
      </w:pPr>
      <w:r>
        <w:rPr>
          <w:rFonts w:hint="eastAsia" w:ascii="宋体" w:hAnsi="宋体"/>
          <w:szCs w:val="21"/>
        </w:rPr>
        <w:t>3.1招标控制价</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p w14:paraId="2F19E7FB">
      <w:pPr>
        <w:spacing w:line="360" w:lineRule="auto"/>
        <w:rPr>
          <w:rFonts w:hint="eastAsia" w:ascii="宋体" w:hAnsi="宋体"/>
          <w:szCs w:val="21"/>
        </w:rPr>
      </w:pPr>
      <w:r>
        <w:rPr>
          <w:rFonts w:hint="eastAsia" w:ascii="宋体" w:hAnsi="宋体"/>
          <w:szCs w:val="21"/>
        </w:rPr>
        <w:t>3.2招标控制价主要编制依据包括但不限于下列内容：</w:t>
      </w:r>
    </w:p>
    <w:p w14:paraId="586E4C24">
      <w:pPr>
        <w:spacing w:line="360" w:lineRule="auto"/>
        <w:rPr>
          <w:rFonts w:hint="eastAsia" w:ascii="宋体" w:hAnsi="宋体"/>
          <w:szCs w:val="21"/>
        </w:rPr>
      </w:pPr>
      <w:r>
        <w:rPr>
          <w:rFonts w:hint="eastAsia" w:ascii="宋体" w:hAnsi="宋体"/>
          <w:szCs w:val="21"/>
        </w:rPr>
        <w:t>（1）、有关工程量清单计价规范、工程量计算规范的国家标准</w:t>
      </w:r>
    </w:p>
    <w:p w14:paraId="67B50F41">
      <w:pPr>
        <w:spacing w:line="360" w:lineRule="auto"/>
        <w:rPr>
          <w:rFonts w:hint="eastAsia" w:ascii="宋体" w:hAnsi="宋体"/>
          <w:szCs w:val="21"/>
        </w:rPr>
      </w:pPr>
      <w:r>
        <w:rPr>
          <w:rFonts w:hint="eastAsia" w:ascii="宋体" w:hAnsi="宋体"/>
          <w:szCs w:val="21"/>
        </w:rPr>
        <w:t>（2）、《建筑工程建筑面积计算规范》（GB/T50353-2005）</w:t>
      </w:r>
    </w:p>
    <w:p w14:paraId="6AC34BDF">
      <w:pPr>
        <w:spacing w:line="360" w:lineRule="auto"/>
        <w:rPr>
          <w:rFonts w:hint="eastAsia" w:ascii="宋体" w:hAnsi="宋体"/>
          <w:szCs w:val="21"/>
        </w:rPr>
      </w:pPr>
      <w:r>
        <w:rPr>
          <w:rFonts w:hint="eastAsia" w:ascii="宋体" w:hAnsi="宋体"/>
          <w:szCs w:val="21"/>
        </w:rPr>
        <w:t>（3）《广东省水利水电建筑工程预算定额》、《广东省水利水电工程施工机械台班费定额》</w:t>
      </w:r>
    </w:p>
    <w:p w14:paraId="79DBE50A">
      <w:pPr>
        <w:spacing w:line="360" w:lineRule="auto"/>
        <w:rPr>
          <w:rFonts w:hint="eastAsia" w:ascii="宋体" w:hAnsi="宋体"/>
          <w:szCs w:val="21"/>
        </w:rPr>
      </w:pPr>
      <w:r>
        <w:rPr>
          <w:rFonts w:hint="eastAsia" w:ascii="宋体" w:hAnsi="宋体"/>
          <w:szCs w:val="21"/>
        </w:rPr>
        <w:t>（4）、招标文件（含工程量清单）及有关要求</w:t>
      </w:r>
    </w:p>
    <w:p w14:paraId="77C2AA0F">
      <w:pPr>
        <w:spacing w:line="360" w:lineRule="auto"/>
        <w:rPr>
          <w:rFonts w:hint="eastAsia" w:ascii="宋体" w:hAnsi="宋体"/>
          <w:szCs w:val="21"/>
        </w:rPr>
      </w:pPr>
      <w:r>
        <w:rPr>
          <w:rFonts w:hint="eastAsia" w:ascii="宋体" w:hAnsi="宋体"/>
          <w:szCs w:val="21"/>
        </w:rPr>
        <w:t>（5）、广东省建设工程计价规程、计价依据及有关计价规定</w:t>
      </w:r>
    </w:p>
    <w:p w14:paraId="0152EA76">
      <w:pPr>
        <w:spacing w:line="360" w:lineRule="auto"/>
        <w:rPr>
          <w:rFonts w:hint="eastAsia" w:ascii="宋体" w:hAnsi="宋体"/>
          <w:szCs w:val="21"/>
        </w:rPr>
      </w:pPr>
      <w:r>
        <w:rPr>
          <w:rFonts w:hint="eastAsia" w:ascii="宋体" w:hAnsi="宋体"/>
          <w:szCs w:val="21"/>
        </w:rPr>
        <w:t>（6）、建设工程施工设计文件</w:t>
      </w:r>
    </w:p>
    <w:p w14:paraId="6FCB8CF3">
      <w:pPr>
        <w:spacing w:line="360" w:lineRule="auto"/>
        <w:rPr>
          <w:rFonts w:hint="eastAsia" w:ascii="宋体" w:hAnsi="宋体"/>
          <w:szCs w:val="21"/>
        </w:rPr>
      </w:pPr>
      <w:r>
        <w:rPr>
          <w:rFonts w:hint="eastAsia" w:ascii="宋体" w:hAnsi="宋体"/>
          <w:szCs w:val="21"/>
        </w:rPr>
        <w:t>（7、与建设工程项目有关的标准、规范、技术资料</w:t>
      </w:r>
    </w:p>
    <w:p w14:paraId="1C8668CF">
      <w:pPr>
        <w:spacing w:line="360" w:lineRule="auto"/>
        <w:rPr>
          <w:rFonts w:hint="eastAsia" w:ascii="宋体" w:hAnsi="宋体"/>
          <w:szCs w:val="21"/>
        </w:rPr>
      </w:pPr>
      <w:r>
        <w:rPr>
          <w:rFonts w:hint="eastAsia" w:ascii="宋体" w:hAnsi="宋体"/>
          <w:szCs w:val="21"/>
        </w:rPr>
        <w:t>（8）、工程造价管理机构发布的工程造价信息；工程造价信息没有的，参考市场价。或招标人能提供可信、有依据的材料单价。</w:t>
      </w:r>
    </w:p>
    <w:p w14:paraId="59941FF6">
      <w:pPr>
        <w:spacing w:line="360" w:lineRule="auto"/>
        <w:rPr>
          <w:rFonts w:hint="eastAsia" w:ascii="宋体" w:hAnsi="宋体"/>
          <w:szCs w:val="21"/>
        </w:rPr>
      </w:pPr>
      <w:r>
        <w:rPr>
          <w:rFonts w:hint="eastAsia" w:ascii="宋体" w:hAnsi="宋体"/>
          <w:szCs w:val="21"/>
        </w:rPr>
        <w:t>（9）、施工现场情况、工程特点及常规施工方案</w:t>
      </w:r>
    </w:p>
    <w:p w14:paraId="45253040">
      <w:pPr>
        <w:spacing w:line="360" w:lineRule="auto"/>
        <w:rPr>
          <w:rFonts w:hint="eastAsia" w:ascii="宋体" w:hAnsi="宋体"/>
          <w:szCs w:val="21"/>
        </w:rPr>
      </w:pPr>
      <w:r>
        <w:rPr>
          <w:rFonts w:hint="eastAsia" w:ascii="宋体" w:hAnsi="宋体"/>
          <w:szCs w:val="21"/>
        </w:rPr>
        <w:t>（10）、其他依据：</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07E7F30D">
      <w:pPr>
        <w:spacing w:line="360" w:lineRule="auto"/>
        <w:rPr>
          <w:rFonts w:hint="eastAsia" w:ascii="宋体" w:hAnsi="宋体"/>
          <w:szCs w:val="21"/>
        </w:rPr>
      </w:pPr>
      <w:r>
        <w:rPr>
          <w:rFonts w:hint="eastAsia" w:ascii="宋体" w:hAnsi="宋体"/>
          <w:szCs w:val="21"/>
        </w:rPr>
        <w:t>3.3 招标控制价应单独公布安全文明施工措施费用。</w:t>
      </w:r>
    </w:p>
    <w:p w14:paraId="4FE23C07">
      <w:pPr>
        <w:spacing w:line="360" w:lineRule="auto"/>
        <w:rPr>
          <w:rFonts w:hint="eastAsia" w:ascii="仿宋_GB2312" w:hAnsi="宋体"/>
          <w:szCs w:val="32"/>
        </w:rPr>
      </w:pPr>
      <w:r>
        <w:rPr>
          <w:rFonts w:hint="eastAsia" w:ascii="宋体" w:hAnsi="宋体"/>
          <w:szCs w:val="21"/>
        </w:rPr>
        <w:t>3.4招标人在开标前至少提前3日</w:t>
      </w:r>
      <w:r>
        <w:rPr>
          <w:rFonts w:hint="eastAsia" w:ascii="仿宋_GB2312" w:hAnsi="宋体"/>
          <w:szCs w:val="32"/>
        </w:rPr>
        <w:t>将招标项目的招标控制价总价、分部分项工程量清单计价合计、措施项目清单计价合计、其他项目清单计价合计、税金和规费合计以及投标控制价的上下限通知所有投标人。</w:t>
      </w:r>
      <w:r>
        <w:rPr>
          <w:rFonts w:hint="eastAsia" w:ascii="宋体" w:hAnsi="宋体"/>
          <w:szCs w:val="21"/>
        </w:rPr>
        <w:t>对涉及有价格调整的材料须列明细清单。</w:t>
      </w:r>
    </w:p>
    <w:p w14:paraId="262C221D">
      <w:pPr>
        <w:spacing w:line="360" w:lineRule="auto"/>
        <w:rPr>
          <w:rFonts w:hint="eastAsia" w:ascii="宋体" w:hAnsi="宋体"/>
          <w:szCs w:val="21"/>
        </w:rPr>
      </w:pPr>
      <w:r>
        <w:rPr>
          <w:rFonts w:hint="eastAsia" w:ascii="宋体" w:hAnsi="宋体"/>
          <w:szCs w:val="21"/>
        </w:rPr>
        <w:t>3.5其他需要说明的事项：</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196A68FF">
      <w:pPr>
        <w:spacing w:line="360" w:lineRule="auto"/>
        <w:rPr>
          <w:rFonts w:hint="eastAsia" w:ascii="宋体" w:hAnsi="宋体"/>
          <w:b/>
          <w:szCs w:val="21"/>
        </w:rPr>
      </w:pPr>
      <w:r>
        <w:rPr>
          <w:rFonts w:hint="eastAsia" w:ascii="宋体" w:hAnsi="宋体"/>
          <w:b/>
          <w:szCs w:val="21"/>
        </w:rPr>
        <w:t>4 投标报价上限值说明</w:t>
      </w:r>
    </w:p>
    <w:p w14:paraId="60212388">
      <w:pPr>
        <w:spacing w:line="360" w:lineRule="auto"/>
        <w:rPr>
          <w:rFonts w:hint="eastAsia" w:ascii="宋体" w:hAnsi="宋体"/>
          <w:szCs w:val="21"/>
        </w:rPr>
      </w:pPr>
      <w:r>
        <w:rPr>
          <w:rFonts w:hint="eastAsia" w:ascii="宋体" w:hAnsi="宋体"/>
          <w:szCs w:val="21"/>
        </w:rPr>
        <w:t>4.1 投标报价上限值根据《关于进一步加强中山市工程建设项目招标投标管理的通知》（中建通[2016]117号）的有关规定及水行政主管部门公布的“水利工程招标投标报价上限一览表”设置。</w:t>
      </w:r>
    </w:p>
    <w:p w14:paraId="19B4968A">
      <w:pPr>
        <w:spacing w:line="360" w:lineRule="auto"/>
        <w:rPr>
          <w:rFonts w:hint="eastAsia" w:ascii="宋体" w:hAnsi="宋体"/>
          <w:szCs w:val="21"/>
        </w:rPr>
      </w:pPr>
      <w:r>
        <w:rPr>
          <w:rFonts w:hint="eastAsia" w:ascii="宋体" w:hAnsi="宋体"/>
          <w:szCs w:val="21"/>
        </w:rPr>
        <w:t>4.2 招标人在开标前至少提前</w:t>
      </w:r>
      <w:r>
        <w:rPr>
          <w:rFonts w:hint="eastAsia" w:ascii="宋体" w:hAnsi="宋体"/>
          <w:szCs w:val="21"/>
          <w:lang w:val="en-US" w:eastAsia="zh-CN"/>
        </w:rPr>
        <w:t>15</w:t>
      </w:r>
      <w:r>
        <w:rPr>
          <w:rFonts w:hint="eastAsia" w:ascii="宋体" w:hAnsi="宋体"/>
          <w:szCs w:val="21"/>
        </w:rPr>
        <w:t>日将投标报价上限值通知所有投标人。</w:t>
      </w:r>
    </w:p>
    <w:p w14:paraId="4992E61D">
      <w:pPr>
        <w:spacing w:line="360" w:lineRule="auto"/>
        <w:rPr>
          <w:rFonts w:hint="eastAsia" w:ascii="宋体" w:hAnsi="宋体"/>
          <w:b/>
          <w:szCs w:val="21"/>
        </w:rPr>
      </w:pPr>
      <w:r>
        <w:rPr>
          <w:rFonts w:hint="eastAsia" w:ascii="宋体" w:hAnsi="宋体"/>
          <w:b/>
          <w:szCs w:val="21"/>
        </w:rPr>
        <w:t>5、工程量清单投标报价说明</w:t>
      </w:r>
    </w:p>
    <w:p w14:paraId="26861CEA">
      <w:pPr>
        <w:spacing w:line="360" w:lineRule="auto"/>
        <w:rPr>
          <w:rFonts w:hint="eastAsia" w:ascii="宋体" w:hAnsi="宋体"/>
          <w:szCs w:val="21"/>
        </w:rPr>
      </w:pPr>
      <w:r>
        <w:rPr>
          <w:rFonts w:hint="eastAsia" w:ascii="宋体" w:hAnsi="宋体"/>
          <w:szCs w:val="21"/>
        </w:rPr>
        <w:t>5.1 每一个工程量清单须填入单价和合价，且只允许有一个报价。若没有填入单价和合价的，视为已包含在工程量清单的其他单价和合价中。</w:t>
      </w:r>
    </w:p>
    <w:p w14:paraId="64FA05FD">
      <w:pPr>
        <w:spacing w:line="360" w:lineRule="auto"/>
        <w:rPr>
          <w:rFonts w:hint="eastAsia" w:ascii="宋体" w:hAnsi="宋体"/>
          <w:szCs w:val="21"/>
        </w:rPr>
      </w:pPr>
      <w:r>
        <w:rPr>
          <w:rFonts w:hint="eastAsia" w:ascii="宋体" w:hAnsi="宋体"/>
          <w:szCs w:val="21"/>
        </w:rPr>
        <w:t>5.2 分部分项工程量清单、措施项目清单的单价或金额应包括所需的人工费、材料费、施工机械使用费和企业管理费与利润，以及招标文件和第四章“合同条款及格式”约定的风险内容及其范围（幅度）。</w:t>
      </w:r>
    </w:p>
    <w:p w14:paraId="0512B1BA">
      <w:pPr>
        <w:spacing w:line="360" w:lineRule="auto"/>
        <w:rPr>
          <w:rFonts w:hint="eastAsia" w:ascii="宋体" w:hAnsi="宋体"/>
          <w:szCs w:val="21"/>
        </w:rPr>
      </w:pPr>
      <w:r>
        <w:rPr>
          <w:rFonts w:hint="eastAsia" w:ascii="宋体" w:hAnsi="宋体"/>
          <w:szCs w:val="21"/>
        </w:rPr>
        <w:t>5.3安全文明施工措施费用应不得低于招标人公布的安全文明施工措施费用。</w:t>
      </w:r>
    </w:p>
    <w:p w14:paraId="083F5FF9">
      <w:pPr>
        <w:spacing w:line="360" w:lineRule="auto"/>
        <w:rPr>
          <w:rFonts w:hint="eastAsia" w:ascii="宋体" w:hAnsi="宋体"/>
          <w:szCs w:val="21"/>
        </w:rPr>
      </w:pPr>
      <w:r>
        <w:rPr>
          <w:rFonts w:hint="eastAsia" w:ascii="宋体" w:hAnsi="宋体"/>
          <w:szCs w:val="21"/>
        </w:rPr>
        <w:t>5.4 规费和税金应按国家或省、市相关部门的规定计价。</w:t>
      </w:r>
    </w:p>
    <w:p w14:paraId="3175501C">
      <w:pPr>
        <w:spacing w:line="360" w:lineRule="auto"/>
        <w:rPr>
          <w:rFonts w:hint="eastAsia" w:ascii="宋体" w:hAnsi="宋体"/>
          <w:szCs w:val="21"/>
        </w:rPr>
      </w:pPr>
      <w:r>
        <w:rPr>
          <w:rFonts w:hint="eastAsia" w:ascii="宋体" w:hAnsi="宋体"/>
          <w:szCs w:val="21"/>
        </w:rPr>
        <w:t>5.5投标报价应包括材料价格明细表或按招标文件的要求提供相应的材料价格表。</w:t>
      </w:r>
    </w:p>
    <w:p w14:paraId="62EE68C7">
      <w:pPr>
        <w:spacing w:line="360" w:lineRule="auto"/>
        <w:rPr>
          <w:rFonts w:hint="eastAsia" w:ascii="宋体" w:hAnsi="宋体"/>
          <w:b/>
          <w:szCs w:val="21"/>
        </w:rPr>
      </w:pPr>
      <w:r>
        <w:rPr>
          <w:rFonts w:hint="eastAsia" w:ascii="宋体" w:hAnsi="宋体"/>
          <w:b/>
          <w:szCs w:val="21"/>
        </w:rPr>
        <w:t>6、其他说明</w:t>
      </w:r>
    </w:p>
    <w:p w14:paraId="691FE1AA">
      <w:pPr>
        <w:spacing w:line="360" w:lineRule="auto"/>
        <w:rPr>
          <w:rFonts w:hint="eastAsia" w:ascii="宋体" w:hAnsi="宋体"/>
          <w:szCs w:val="21"/>
        </w:rPr>
      </w:pPr>
      <w:r>
        <w:rPr>
          <w:rFonts w:hint="eastAsia" w:ascii="宋体" w:hAnsi="宋体"/>
          <w:szCs w:val="21"/>
        </w:rPr>
        <w:t>6.1 工程量清单计价表格组成及格式按有关工程量清单计价规范、工程量计算规范的国家标准的规定选用（须与招标文件同时发出）。</w:t>
      </w:r>
    </w:p>
    <w:p w14:paraId="76700C4B">
      <w:pPr>
        <w:spacing w:line="360" w:lineRule="auto"/>
        <w:rPr>
          <w:rFonts w:hint="eastAsia" w:ascii="宋体" w:hAnsi="宋体"/>
          <w:szCs w:val="21"/>
        </w:rPr>
      </w:pPr>
      <w:r>
        <w:rPr>
          <w:rFonts w:hint="eastAsia" w:ascii="宋体" w:hAnsi="宋体"/>
          <w:szCs w:val="21"/>
        </w:rPr>
        <w:t>6.2 若存在以下情况，按废标处理：</w:t>
      </w:r>
    </w:p>
    <w:p w14:paraId="0C46BBD0">
      <w:pPr>
        <w:spacing w:line="360" w:lineRule="auto"/>
        <w:rPr>
          <w:rFonts w:hint="eastAsia" w:ascii="宋体" w:hAnsi="宋体"/>
          <w:szCs w:val="21"/>
        </w:rPr>
      </w:pPr>
      <w:r>
        <w:rPr>
          <w:rFonts w:hint="eastAsia" w:ascii="宋体" w:hAnsi="宋体"/>
          <w:szCs w:val="21"/>
        </w:rPr>
        <w:t>（1）投标报价高于投标报价上限价的；</w:t>
      </w:r>
    </w:p>
    <w:p w14:paraId="41FFE147">
      <w:pPr>
        <w:spacing w:line="360" w:lineRule="auto"/>
        <w:rPr>
          <w:rFonts w:hint="eastAsia" w:ascii="宋体" w:hAnsi="宋体"/>
          <w:szCs w:val="21"/>
        </w:rPr>
      </w:pPr>
      <w:r>
        <w:rPr>
          <w:rFonts w:hint="eastAsia" w:ascii="宋体" w:hAnsi="宋体"/>
          <w:szCs w:val="21"/>
        </w:rPr>
        <w:t>（2）投标报价中安全文明施工措施费用未按要求单列的；</w:t>
      </w:r>
    </w:p>
    <w:p w14:paraId="43FA9BE2">
      <w:pPr>
        <w:spacing w:line="360" w:lineRule="auto"/>
        <w:rPr>
          <w:rFonts w:hint="eastAsia" w:ascii="宋体" w:hAnsi="宋体"/>
          <w:szCs w:val="21"/>
        </w:rPr>
      </w:pPr>
      <w:r>
        <w:rPr>
          <w:rFonts w:hint="eastAsia" w:ascii="宋体" w:hAnsi="宋体"/>
          <w:szCs w:val="21"/>
        </w:rPr>
        <w:t>（3）投标报价中安全文明施工措施低于招标人公布的安全文明施工措施费用的；</w:t>
      </w:r>
    </w:p>
    <w:p w14:paraId="3B1A70D2">
      <w:pPr>
        <w:spacing w:line="360" w:lineRule="auto"/>
        <w:rPr>
          <w:rFonts w:hint="eastAsia" w:ascii="宋体" w:hAnsi="宋体"/>
          <w:szCs w:val="21"/>
        </w:rPr>
      </w:pPr>
      <w:r>
        <w:rPr>
          <w:rFonts w:hint="eastAsia" w:ascii="宋体" w:hAnsi="宋体"/>
          <w:szCs w:val="21"/>
        </w:rPr>
        <w:t>（4）投标报价中的分部分项工程量清单的项目编码项目、项目名称、项目特征、计量单位、工程量与招标人提供的不一致的；</w:t>
      </w:r>
    </w:p>
    <w:p w14:paraId="092D2F43">
      <w:pPr>
        <w:spacing w:line="360" w:lineRule="auto"/>
        <w:rPr>
          <w:rFonts w:hint="eastAsia" w:ascii="宋体" w:hAnsi="宋体"/>
          <w:szCs w:val="21"/>
        </w:rPr>
      </w:pPr>
      <w:r>
        <w:rPr>
          <w:rFonts w:hint="eastAsia" w:ascii="宋体" w:hAnsi="宋体"/>
          <w:szCs w:val="21"/>
        </w:rPr>
        <w:t>（5）投标报价中的规费、税金不按规定计算的。</w:t>
      </w:r>
    </w:p>
    <w:p w14:paraId="3B1B5582">
      <w:pPr>
        <w:spacing w:line="360" w:lineRule="auto"/>
        <w:rPr>
          <w:rFonts w:hint="eastAsia" w:ascii="宋体" w:hAnsi="宋体"/>
          <w:szCs w:val="21"/>
        </w:rPr>
      </w:pPr>
      <w:r>
        <w:rPr>
          <w:rFonts w:hint="eastAsia" w:ascii="宋体" w:hAnsi="宋体"/>
          <w:szCs w:val="21"/>
        </w:rPr>
        <w:t>（6）投标报价中的投标总价或各个单项工程总价通过乘以系数或直接增减金额来调整价格的。</w:t>
      </w:r>
    </w:p>
    <w:p w14:paraId="4A303405">
      <w:pPr>
        <w:spacing w:line="360" w:lineRule="auto"/>
        <w:rPr>
          <w:rFonts w:hint="eastAsia" w:ascii="宋体" w:hAnsi="宋体"/>
          <w:szCs w:val="21"/>
        </w:rPr>
      </w:pPr>
      <w:r>
        <w:rPr>
          <w:rFonts w:hint="eastAsia" w:ascii="宋体" w:hAnsi="宋体"/>
          <w:szCs w:val="21"/>
        </w:rPr>
        <w:t>（7）投标报价中没有综合单价分析表的。</w:t>
      </w:r>
    </w:p>
    <w:p w14:paraId="3320F57F">
      <w:pPr>
        <w:spacing w:line="360" w:lineRule="auto"/>
        <w:rPr>
          <w:rFonts w:hint="eastAsia" w:ascii="宋体" w:hAnsi="宋体"/>
          <w:szCs w:val="21"/>
        </w:rPr>
      </w:pPr>
      <w:r>
        <w:rPr>
          <w:rFonts w:hint="eastAsia" w:ascii="宋体" w:hAnsi="宋体"/>
          <w:szCs w:val="21"/>
        </w:rPr>
        <w:t>（8）投标报价中没有材料价格明细表的。</w:t>
      </w:r>
    </w:p>
    <w:p w14:paraId="46592DD3">
      <w:pPr>
        <w:spacing w:line="360" w:lineRule="auto"/>
        <w:rPr>
          <w:rFonts w:hint="eastAsia" w:ascii="宋体" w:hAnsi="宋体"/>
          <w:szCs w:val="21"/>
        </w:rPr>
      </w:pPr>
      <w:r>
        <w:rPr>
          <w:rFonts w:hint="eastAsia" w:ascii="宋体" w:hAnsi="宋体"/>
          <w:szCs w:val="21"/>
        </w:rPr>
        <w:t>（9）工程量综合单价分析表的综合单价乘以系数来调整价格的。</w:t>
      </w:r>
    </w:p>
    <w:p w14:paraId="002EDD5A">
      <w:pPr>
        <w:spacing w:line="360" w:lineRule="auto"/>
        <w:rPr>
          <w:rFonts w:hint="eastAsia" w:ascii="宋体" w:hAnsi="宋体"/>
          <w:szCs w:val="21"/>
        </w:rPr>
      </w:pPr>
      <w:r>
        <w:rPr>
          <w:rFonts w:hint="eastAsia" w:ascii="宋体" w:hAnsi="宋体"/>
          <w:szCs w:val="21"/>
        </w:rPr>
        <w:t>（10）工程量综合单价分析表的人工费或材料费或机械费乘以系数调整价格的。</w:t>
      </w:r>
    </w:p>
    <w:p w14:paraId="0818D581">
      <w:pPr>
        <w:spacing w:line="360" w:lineRule="auto"/>
        <w:rPr>
          <w:rFonts w:hint="eastAsia" w:ascii="宋体" w:hAnsi="宋体"/>
          <w:szCs w:val="21"/>
        </w:rPr>
      </w:pPr>
      <w:r>
        <w:rPr>
          <w:rFonts w:hint="eastAsia" w:ascii="宋体" w:hAnsi="宋体"/>
          <w:szCs w:val="21"/>
        </w:rPr>
        <w:t>（11）工程量综合单价分析表的总价与人工费、材料费、机械费、管理费、利润之和相差较大的。（因计算过程由于小数位四舍五入导致的误差除外）。</w:t>
      </w:r>
    </w:p>
    <w:p w14:paraId="64ABA3AA">
      <w:pPr>
        <w:spacing w:line="360" w:lineRule="auto"/>
        <w:rPr>
          <w:rFonts w:hint="eastAsia" w:ascii="宋体" w:hAnsi="宋体"/>
          <w:szCs w:val="21"/>
        </w:rPr>
      </w:pPr>
      <w:r>
        <w:rPr>
          <w:rFonts w:hint="eastAsia" w:ascii="宋体" w:hAnsi="宋体"/>
          <w:szCs w:val="21"/>
        </w:rPr>
        <w:t>（12）暂列金额、材料暂估单价、专业工程暂估价未按照招标控制价中公布的相应金额报价的。</w:t>
      </w:r>
    </w:p>
    <w:p w14:paraId="6CAD8654">
      <w:pPr>
        <w:spacing w:line="360" w:lineRule="auto"/>
        <w:rPr>
          <w:rFonts w:hint="eastAsia" w:ascii="宋体" w:hAnsi="宋体"/>
          <w:szCs w:val="21"/>
        </w:rPr>
      </w:pPr>
    </w:p>
    <w:p w14:paraId="72431B68">
      <w:pPr>
        <w:spacing w:line="360" w:lineRule="auto"/>
        <w:rPr>
          <w:rFonts w:hint="eastAsia" w:ascii="宋体" w:hAnsi="宋体"/>
          <w:szCs w:val="21"/>
        </w:rPr>
      </w:pPr>
    </w:p>
    <w:p w14:paraId="17E66363">
      <w:pPr>
        <w:spacing w:line="360" w:lineRule="auto"/>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1E7A784">
      <w:pPr>
        <w:spacing w:line="360" w:lineRule="auto"/>
        <w:rPr>
          <w:rFonts w:hint="eastAsia" w:ascii="宋体" w:hAnsi="宋体"/>
          <w:szCs w:val="21"/>
        </w:rPr>
      </w:pPr>
    </w:p>
    <w:p w14:paraId="3BFB88E5">
      <w:pPr>
        <w:pStyle w:val="3"/>
        <w:jc w:val="center"/>
        <w:rPr>
          <w:rFonts w:hint="eastAsia"/>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bookmarkStart w:id="622" w:name="_Toc184635129"/>
      <w:r>
        <w:rPr>
          <w:rFonts w:hint="eastAsia"/>
        </w:rPr>
        <w:t>第二</w:t>
      </w:r>
      <w:r>
        <w:rPr>
          <w:rFonts w:hint="eastAsia"/>
          <w:szCs w:val="32"/>
        </w:rPr>
        <w:t>卷</w:t>
      </w:r>
      <w:bookmarkEnd w:id="622"/>
    </w:p>
    <w:p w14:paraId="6A798C4C">
      <w:pPr>
        <w:spacing w:line="360" w:lineRule="auto"/>
        <w:rPr>
          <w:rFonts w:hint="eastAsia" w:ascii="宋体" w:hAnsi="宋体"/>
          <w:szCs w:val="21"/>
        </w:rPr>
      </w:pPr>
    </w:p>
    <w:p w14:paraId="014AD97C">
      <w:pPr>
        <w:pStyle w:val="3"/>
        <w:jc w:val="center"/>
        <w:rPr>
          <w:rFonts w:hint="eastAsia"/>
        </w:rPr>
      </w:pPr>
      <w:bookmarkStart w:id="623" w:name="_Toc184635130"/>
      <w:r>
        <w:rPr>
          <w:rFonts w:hint="eastAsia"/>
        </w:rPr>
        <w:t>第六章 图纸</w:t>
      </w:r>
      <w:bookmarkEnd w:id="623"/>
    </w:p>
    <w:p w14:paraId="33503B83">
      <w:pPr>
        <w:spacing w:line="360" w:lineRule="auto"/>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5B93E8E">
      <w:pPr>
        <w:pStyle w:val="5"/>
        <w:rPr>
          <w:rFonts w:hint="eastAsia"/>
        </w:rPr>
      </w:pPr>
      <w:bookmarkStart w:id="624" w:name="_Toc184635131"/>
      <w:r>
        <w:rPr>
          <w:rFonts w:hint="eastAsia"/>
        </w:rPr>
        <w:t>1、图纸目录</w:t>
      </w:r>
      <w:bookmarkEnd w:id="624"/>
    </w:p>
    <w:p w14:paraId="41067CD2">
      <w:pPr>
        <w:rPr>
          <w:rFonts w:hint="eastAsia"/>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143"/>
        <w:gridCol w:w="1335"/>
        <w:gridCol w:w="1577"/>
        <w:gridCol w:w="1577"/>
        <w:gridCol w:w="1578"/>
      </w:tblGrid>
      <w:tr w14:paraId="0520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center"/>
          </w:tcPr>
          <w:p w14:paraId="324E84DE">
            <w:pPr>
              <w:jc w:val="center"/>
              <w:rPr>
                <w:rFonts w:hint="eastAsia"/>
              </w:rPr>
            </w:pPr>
            <w:r>
              <w:rPr>
                <w:rFonts w:hint="eastAsia" w:ascii="宋体" w:hAnsi="宋体"/>
                <w:szCs w:val="21"/>
              </w:rPr>
              <w:t>序号</w:t>
            </w:r>
          </w:p>
        </w:tc>
        <w:tc>
          <w:tcPr>
            <w:tcW w:w="2143" w:type="dxa"/>
            <w:noWrap w:val="0"/>
            <w:vAlign w:val="center"/>
          </w:tcPr>
          <w:p w14:paraId="6604020A">
            <w:pPr>
              <w:jc w:val="center"/>
              <w:rPr>
                <w:rFonts w:hint="eastAsia"/>
              </w:rPr>
            </w:pPr>
            <w:r>
              <w:rPr>
                <w:rFonts w:hint="eastAsia" w:ascii="宋体" w:hAnsi="宋体"/>
                <w:szCs w:val="21"/>
              </w:rPr>
              <w:t>图名</w:t>
            </w:r>
          </w:p>
        </w:tc>
        <w:tc>
          <w:tcPr>
            <w:tcW w:w="1335" w:type="dxa"/>
            <w:noWrap w:val="0"/>
            <w:vAlign w:val="center"/>
          </w:tcPr>
          <w:p w14:paraId="3D613879">
            <w:pPr>
              <w:jc w:val="center"/>
              <w:rPr>
                <w:rFonts w:hint="eastAsia"/>
              </w:rPr>
            </w:pPr>
            <w:r>
              <w:rPr>
                <w:rFonts w:hint="eastAsia" w:ascii="宋体" w:hAnsi="宋体"/>
                <w:szCs w:val="21"/>
              </w:rPr>
              <w:t>图号</w:t>
            </w:r>
          </w:p>
        </w:tc>
        <w:tc>
          <w:tcPr>
            <w:tcW w:w="1577" w:type="dxa"/>
            <w:noWrap w:val="0"/>
            <w:vAlign w:val="center"/>
          </w:tcPr>
          <w:p w14:paraId="422DDDAB">
            <w:pPr>
              <w:jc w:val="center"/>
              <w:rPr>
                <w:rFonts w:hint="eastAsia"/>
              </w:rPr>
            </w:pPr>
            <w:r>
              <w:rPr>
                <w:rFonts w:hint="eastAsia" w:ascii="宋体" w:hAnsi="宋体"/>
                <w:szCs w:val="21"/>
              </w:rPr>
              <w:t>版本</w:t>
            </w:r>
          </w:p>
        </w:tc>
        <w:tc>
          <w:tcPr>
            <w:tcW w:w="1577" w:type="dxa"/>
            <w:noWrap w:val="0"/>
            <w:vAlign w:val="center"/>
          </w:tcPr>
          <w:p w14:paraId="0FB8DEEA">
            <w:pPr>
              <w:jc w:val="center"/>
              <w:rPr>
                <w:rFonts w:hint="eastAsia"/>
              </w:rPr>
            </w:pPr>
            <w:r>
              <w:rPr>
                <w:rFonts w:hint="eastAsia" w:ascii="宋体" w:hAnsi="宋体"/>
                <w:szCs w:val="21"/>
              </w:rPr>
              <w:t>出图日期</w:t>
            </w:r>
          </w:p>
        </w:tc>
        <w:tc>
          <w:tcPr>
            <w:tcW w:w="1578" w:type="dxa"/>
            <w:noWrap w:val="0"/>
            <w:vAlign w:val="center"/>
          </w:tcPr>
          <w:p w14:paraId="33EE9CEB">
            <w:pPr>
              <w:jc w:val="center"/>
              <w:rPr>
                <w:rFonts w:hint="eastAsia"/>
              </w:rPr>
            </w:pPr>
            <w:r>
              <w:rPr>
                <w:rFonts w:hint="eastAsia" w:ascii="宋体" w:hAnsi="宋体"/>
                <w:szCs w:val="21"/>
              </w:rPr>
              <w:t>备注</w:t>
            </w:r>
          </w:p>
        </w:tc>
      </w:tr>
      <w:tr w14:paraId="772C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03AF9DC4">
            <w:pPr>
              <w:rPr>
                <w:rFonts w:hint="eastAsia"/>
              </w:rPr>
            </w:pPr>
          </w:p>
        </w:tc>
        <w:tc>
          <w:tcPr>
            <w:tcW w:w="2143" w:type="dxa"/>
            <w:noWrap w:val="0"/>
            <w:vAlign w:val="top"/>
          </w:tcPr>
          <w:p w14:paraId="3AF12A58">
            <w:pPr>
              <w:rPr>
                <w:rFonts w:hint="eastAsia"/>
              </w:rPr>
            </w:pPr>
          </w:p>
        </w:tc>
        <w:tc>
          <w:tcPr>
            <w:tcW w:w="1335" w:type="dxa"/>
            <w:noWrap w:val="0"/>
            <w:vAlign w:val="top"/>
          </w:tcPr>
          <w:p w14:paraId="6EFB2122">
            <w:pPr>
              <w:rPr>
                <w:rFonts w:hint="eastAsia"/>
              </w:rPr>
            </w:pPr>
          </w:p>
        </w:tc>
        <w:tc>
          <w:tcPr>
            <w:tcW w:w="1577" w:type="dxa"/>
            <w:noWrap w:val="0"/>
            <w:vAlign w:val="top"/>
          </w:tcPr>
          <w:p w14:paraId="14E323BF">
            <w:pPr>
              <w:rPr>
                <w:rFonts w:hint="eastAsia"/>
              </w:rPr>
            </w:pPr>
          </w:p>
        </w:tc>
        <w:tc>
          <w:tcPr>
            <w:tcW w:w="1577" w:type="dxa"/>
            <w:noWrap w:val="0"/>
            <w:vAlign w:val="top"/>
          </w:tcPr>
          <w:p w14:paraId="47887A26">
            <w:pPr>
              <w:rPr>
                <w:rFonts w:hint="eastAsia"/>
              </w:rPr>
            </w:pPr>
          </w:p>
        </w:tc>
        <w:tc>
          <w:tcPr>
            <w:tcW w:w="1578" w:type="dxa"/>
            <w:noWrap w:val="0"/>
            <w:vAlign w:val="top"/>
          </w:tcPr>
          <w:p w14:paraId="0496D20C">
            <w:pPr>
              <w:rPr>
                <w:rFonts w:hint="eastAsia"/>
              </w:rPr>
            </w:pPr>
          </w:p>
        </w:tc>
      </w:tr>
      <w:tr w14:paraId="1F43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top"/>
          </w:tcPr>
          <w:p w14:paraId="71D3F7E4">
            <w:pPr>
              <w:spacing w:line="360" w:lineRule="auto"/>
              <w:ind w:firstLine="420" w:firstLineChars="200"/>
              <w:rPr>
                <w:rFonts w:hint="eastAsia"/>
              </w:rPr>
            </w:pPr>
          </w:p>
        </w:tc>
        <w:tc>
          <w:tcPr>
            <w:tcW w:w="2143" w:type="dxa"/>
            <w:noWrap w:val="0"/>
            <w:vAlign w:val="top"/>
          </w:tcPr>
          <w:p w14:paraId="048FE9C3">
            <w:pPr>
              <w:rPr>
                <w:rFonts w:hint="eastAsia"/>
              </w:rPr>
            </w:pPr>
          </w:p>
        </w:tc>
        <w:tc>
          <w:tcPr>
            <w:tcW w:w="1335" w:type="dxa"/>
            <w:noWrap w:val="0"/>
            <w:vAlign w:val="top"/>
          </w:tcPr>
          <w:p w14:paraId="6493C210">
            <w:pPr>
              <w:rPr>
                <w:rFonts w:hint="eastAsia"/>
              </w:rPr>
            </w:pPr>
          </w:p>
        </w:tc>
        <w:tc>
          <w:tcPr>
            <w:tcW w:w="1577" w:type="dxa"/>
            <w:noWrap w:val="0"/>
            <w:vAlign w:val="top"/>
          </w:tcPr>
          <w:p w14:paraId="74691C5C">
            <w:pPr>
              <w:rPr>
                <w:rFonts w:hint="eastAsia"/>
              </w:rPr>
            </w:pPr>
          </w:p>
        </w:tc>
        <w:tc>
          <w:tcPr>
            <w:tcW w:w="1577" w:type="dxa"/>
            <w:noWrap w:val="0"/>
            <w:vAlign w:val="top"/>
          </w:tcPr>
          <w:p w14:paraId="3523891C">
            <w:pPr>
              <w:rPr>
                <w:rFonts w:hint="eastAsia"/>
              </w:rPr>
            </w:pPr>
          </w:p>
        </w:tc>
        <w:tc>
          <w:tcPr>
            <w:tcW w:w="1578" w:type="dxa"/>
            <w:noWrap w:val="0"/>
            <w:vAlign w:val="top"/>
          </w:tcPr>
          <w:p w14:paraId="77754CA1">
            <w:pPr>
              <w:rPr>
                <w:rFonts w:hint="eastAsia"/>
              </w:rPr>
            </w:pPr>
          </w:p>
        </w:tc>
      </w:tr>
      <w:tr w14:paraId="69EB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5B7428D3">
            <w:pPr>
              <w:rPr>
                <w:rFonts w:hint="eastAsia"/>
              </w:rPr>
            </w:pPr>
          </w:p>
        </w:tc>
        <w:tc>
          <w:tcPr>
            <w:tcW w:w="2143" w:type="dxa"/>
            <w:noWrap w:val="0"/>
            <w:vAlign w:val="top"/>
          </w:tcPr>
          <w:p w14:paraId="1536BA57">
            <w:pPr>
              <w:rPr>
                <w:rFonts w:hint="eastAsia"/>
              </w:rPr>
            </w:pPr>
          </w:p>
        </w:tc>
        <w:tc>
          <w:tcPr>
            <w:tcW w:w="1335" w:type="dxa"/>
            <w:noWrap w:val="0"/>
            <w:vAlign w:val="top"/>
          </w:tcPr>
          <w:p w14:paraId="0E656823">
            <w:pPr>
              <w:rPr>
                <w:rFonts w:hint="eastAsia"/>
              </w:rPr>
            </w:pPr>
          </w:p>
        </w:tc>
        <w:tc>
          <w:tcPr>
            <w:tcW w:w="1577" w:type="dxa"/>
            <w:noWrap w:val="0"/>
            <w:vAlign w:val="top"/>
          </w:tcPr>
          <w:p w14:paraId="5CD2808A">
            <w:pPr>
              <w:rPr>
                <w:rFonts w:hint="eastAsia"/>
              </w:rPr>
            </w:pPr>
          </w:p>
        </w:tc>
        <w:tc>
          <w:tcPr>
            <w:tcW w:w="1577" w:type="dxa"/>
            <w:noWrap w:val="0"/>
            <w:vAlign w:val="top"/>
          </w:tcPr>
          <w:p w14:paraId="3DE4D7D6">
            <w:pPr>
              <w:rPr>
                <w:rFonts w:hint="eastAsia"/>
              </w:rPr>
            </w:pPr>
          </w:p>
        </w:tc>
        <w:tc>
          <w:tcPr>
            <w:tcW w:w="1578" w:type="dxa"/>
            <w:noWrap w:val="0"/>
            <w:vAlign w:val="top"/>
          </w:tcPr>
          <w:p w14:paraId="424D2439">
            <w:pPr>
              <w:rPr>
                <w:rFonts w:hint="eastAsia"/>
              </w:rPr>
            </w:pPr>
          </w:p>
        </w:tc>
      </w:tr>
      <w:tr w14:paraId="611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3F0B15A1">
            <w:pPr>
              <w:rPr>
                <w:rFonts w:hint="eastAsia"/>
              </w:rPr>
            </w:pPr>
          </w:p>
        </w:tc>
        <w:tc>
          <w:tcPr>
            <w:tcW w:w="2143" w:type="dxa"/>
            <w:noWrap w:val="0"/>
            <w:vAlign w:val="top"/>
          </w:tcPr>
          <w:p w14:paraId="36C9F2AC">
            <w:pPr>
              <w:rPr>
                <w:rFonts w:hint="eastAsia"/>
              </w:rPr>
            </w:pPr>
          </w:p>
        </w:tc>
        <w:tc>
          <w:tcPr>
            <w:tcW w:w="1335" w:type="dxa"/>
            <w:noWrap w:val="0"/>
            <w:vAlign w:val="top"/>
          </w:tcPr>
          <w:p w14:paraId="2D1FA85D">
            <w:pPr>
              <w:rPr>
                <w:rFonts w:hint="eastAsia"/>
              </w:rPr>
            </w:pPr>
          </w:p>
        </w:tc>
        <w:tc>
          <w:tcPr>
            <w:tcW w:w="1577" w:type="dxa"/>
            <w:noWrap w:val="0"/>
            <w:vAlign w:val="top"/>
          </w:tcPr>
          <w:p w14:paraId="595B6070">
            <w:pPr>
              <w:rPr>
                <w:rFonts w:hint="eastAsia"/>
              </w:rPr>
            </w:pPr>
          </w:p>
        </w:tc>
        <w:tc>
          <w:tcPr>
            <w:tcW w:w="1577" w:type="dxa"/>
            <w:noWrap w:val="0"/>
            <w:vAlign w:val="top"/>
          </w:tcPr>
          <w:p w14:paraId="11F978E0">
            <w:pPr>
              <w:rPr>
                <w:rFonts w:hint="eastAsia"/>
              </w:rPr>
            </w:pPr>
          </w:p>
        </w:tc>
        <w:tc>
          <w:tcPr>
            <w:tcW w:w="1578" w:type="dxa"/>
            <w:noWrap w:val="0"/>
            <w:vAlign w:val="top"/>
          </w:tcPr>
          <w:p w14:paraId="15D8EA2B">
            <w:pPr>
              <w:rPr>
                <w:rFonts w:hint="eastAsia"/>
              </w:rPr>
            </w:pPr>
          </w:p>
        </w:tc>
      </w:tr>
      <w:tr w14:paraId="6C6B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top"/>
          </w:tcPr>
          <w:p w14:paraId="1A344725">
            <w:pPr>
              <w:rPr>
                <w:rFonts w:hint="eastAsia"/>
              </w:rPr>
            </w:pPr>
          </w:p>
        </w:tc>
        <w:tc>
          <w:tcPr>
            <w:tcW w:w="2143" w:type="dxa"/>
            <w:noWrap w:val="0"/>
            <w:vAlign w:val="top"/>
          </w:tcPr>
          <w:p w14:paraId="37041CEF">
            <w:pPr>
              <w:rPr>
                <w:rFonts w:hint="eastAsia"/>
              </w:rPr>
            </w:pPr>
          </w:p>
        </w:tc>
        <w:tc>
          <w:tcPr>
            <w:tcW w:w="1335" w:type="dxa"/>
            <w:noWrap w:val="0"/>
            <w:vAlign w:val="top"/>
          </w:tcPr>
          <w:p w14:paraId="75120732">
            <w:pPr>
              <w:rPr>
                <w:rFonts w:hint="eastAsia"/>
              </w:rPr>
            </w:pPr>
          </w:p>
        </w:tc>
        <w:tc>
          <w:tcPr>
            <w:tcW w:w="1577" w:type="dxa"/>
            <w:noWrap w:val="0"/>
            <w:vAlign w:val="top"/>
          </w:tcPr>
          <w:p w14:paraId="35C7A75C">
            <w:pPr>
              <w:rPr>
                <w:rFonts w:hint="eastAsia"/>
              </w:rPr>
            </w:pPr>
          </w:p>
        </w:tc>
        <w:tc>
          <w:tcPr>
            <w:tcW w:w="1577" w:type="dxa"/>
            <w:noWrap w:val="0"/>
            <w:vAlign w:val="top"/>
          </w:tcPr>
          <w:p w14:paraId="2C8A2F47">
            <w:pPr>
              <w:rPr>
                <w:rFonts w:hint="eastAsia"/>
              </w:rPr>
            </w:pPr>
          </w:p>
        </w:tc>
        <w:tc>
          <w:tcPr>
            <w:tcW w:w="1578" w:type="dxa"/>
            <w:noWrap w:val="0"/>
            <w:vAlign w:val="top"/>
          </w:tcPr>
          <w:p w14:paraId="20CFD40A">
            <w:pPr>
              <w:rPr>
                <w:rFonts w:hint="eastAsia"/>
              </w:rPr>
            </w:pPr>
          </w:p>
        </w:tc>
      </w:tr>
      <w:tr w14:paraId="00D4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5F8C5772">
            <w:pPr>
              <w:rPr>
                <w:rFonts w:hint="eastAsia"/>
              </w:rPr>
            </w:pPr>
          </w:p>
        </w:tc>
        <w:tc>
          <w:tcPr>
            <w:tcW w:w="2143" w:type="dxa"/>
            <w:noWrap w:val="0"/>
            <w:vAlign w:val="top"/>
          </w:tcPr>
          <w:p w14:paraId="1D92B9B8">
            <w:pPr>
              <w:rPr>
                <w:rFonts w:hint="eastAsia"/>
              </w:rPr>
            </w:pPr>
          </w:p>
        </w:tc>
        <w:tc>
          <w:tcPr>
            <w:tcW w:w="1335" w:type="dxa"/>
            <w:noWrap w:val="0"/>
            <w:vAlign w:val="top"/>
          </w:tcPr>
          <w:p w14:paraId="3DDC767D">
            <w:pPr>
              <w:rPr>
                <w:rFonts w:hint="eastAsia"/>
              </w:rPr>
            </w:pPr>
          </w:p>
        </w:tc>
        <w:tc>
          <w:tcPr>
            <w:tcW w:w="1577" w:type="dxa"/>
            <w:noWrap w:val="0"/>
            <w:vAlign w:val="top"/>
          </w:tcPr>
          <w:p w14:paraId="5806A246">
            <w:pPr>
              <w:rPr>
                <w:rFonts w:hint="eastAsia"/>
              </w:rPr>
            </w:pPr>
          </w:p>
        </w:tc>
        <w:tc>
          <w:tcPr>
            <w:tcW w:w="1577" w:type="dxa"/>
            <w:noWrap w:val="0"/>
            <w:vAlign w:val="top"/>
          </w:tcPr>
          <w:p w14:paraId="2E4A23C1">
            <w:pPr>
              <w:rPr>
                <w:rFonts w:hint="eastAsia"/>
              </w:rPr>
            </w:pPr>
          </w:p>
        </w:tc>
        <w:tc>
          <w:tcPr>
            <w:tcW w:w="1578" w:type="dxa"/>
            <w:noWrap w:val="0"/>
            <w:vAlign w:val="top"/>
          </w:tcPr>
          <w:p w14:paraId="0F319D8F">
            <w:pPr>
              <w:rPr>
                <w:rFonts w:hint="eastAsia"/>
              </w:rPr>
            </w:pPr>
          </w:p>
        </w:tc>
      </w:tr>
      <w:tr w14:paraId="4039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36E518DF">
            <w:pPr>
              <w:rPr>
                <w:rFonts w:hint="eastAsia"/>
              </w:rPr>
            </w:pPr>
          </w:p>
        </w:tc>
        <w:tc>
          <w:tcPr>
            <w:tcW w:w="2143" w:type="dxa"/>
            <w:noWrap w:val="0"/>
            <w:vAlign w:val="top"/>
          </w:tcPr>
          <w:p w14:paraId="3B6DC672">
            <w:pPr>
              <w:rPr>
                <w:rFonts w:hint="eastAsia"/>
              </w:rPr>
            </w:pPr>
          </w:p>
        </w:tc>
        <w:tc>
          <w:tcPr>
            <w:tcW w:w="1335" w:type="dxa"/>
            <w:noWrap w:val="0"/>
            <w:vAlign w:val="top"/>
          </w:tcPr>
          <w:p w14:paraId="04B95809">
            <w:pPr>
              <w:rPr>
                <w:rFonts w:hint="eastAsia"/>
              </w:rPr>
            </w:pPr>
          </w:p>
        </w:tc>
        <w:tc>
          <w:tcPr>
            <w:tcW w:w="1577" w:type="dxa"/>
            <w:noWrap w:val="0"/>
            <w:vAlign w:val="top"/>
          </w:tcPr>
          <w:p w14:paraId="1B7E36E8">
            <w:pPr>
              <w:rPr>
                <w:rFonts w:hint="eastAsia"/>
              </w:rPr>
            </w:pPr>
          </w:p>
        </w:tc>
        <w:tc>
          <w:tcPr>
            <w:tcW w:w="1577" w:type="dxa"/>
            <w:noWrap w:val="0"/>
            <w:vAlign w:val="top"/>
          </w:tcPr>
          <w:p w14:paraId="3AC1EB05">
            <w:pPr>
              <w:rPr>
                <w:rFonts w:hint="eastAsia"/>
              </w:rPr>
            </w:pPr>
          </w:p>
        </w:tc>
        <w:tc>
          <w:tcPr>
            <w:tcW w:w="1578" w:type="dxa"/>
            <w:noWrap w:val="0"/>
            <w:vAlign w:val="top"/>
          </w:tcPr>
          <w:p w14:paraId="0357D59D">
            <w:pPr>
              <w:rPr>
                <w:rFonts w:hint="eastAsia"/>
              </w:rPr>
            </w:pPr>
          </w:p>
        </w:tc>
      </w:tr>
      <w:tr w14:paraId="121F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top"/>
          </w:tcPr>
          <w:p w14:paraId="127F6046">
            <w:pPr>
              <w:rPr>
                <w:rFonts w:hint="eastAsia"/>
              </w:rPr>
            </w:pPr>
          </w:p>
        </w:tc>
        <w:tc>
          <w:tcPr>
            <w:tcW w:w="2143" w:type="dxa"/>
            <w:noWrap w:val="0"/>
            <w:vAlign w:val="top"/>
          </w:tcPr>
          <w:p w14:paraId="3DA36F0D">
            <w:pPr>
              <w:rPr>
                <w:rFonts w:hint="eastAsia"/>
              </w:rPr>
            </w:pPr>
          </w:p>
        </w:tc>
        <w:tc>
          <w:tcPr>
            <w:tcW w:w="1335" w:type="dxa"/>
            <w:noWrap w:val="0"/>
            <w:vAlign w:val="top"/>
          </w:tcPr>
          <w:p w14:paraId="20C13402">
            <w:pPr>
              <w:rPr>
                <w:rFonts w:hint="eastAsia"/>
              </w:rPr>
            </w:pPr>
          </w:p>
        </w:tc>
        <w:tc>
          <w:tcPr>
            <w:tcW w:w="1577" w:type="dxa"/>
            <w:noWrap w:val="0"/>
            <w:vAlign w:val="top"/>
          </w:tcPr>
          <w:p w14:paraId="1FDC6E45">
            <w:pPr>
              <w:rPr>
                <w:rFonts w:hint="eastAsia"/>
              </w:rPr>
            </w:pPr>
          </w:p>
        </w:tc>
        <w:tc>
          <w:tcPr>
            <w:tcW w:w="1577" w:type="dxa"/>
            <w:noWrap w:val="0"/>
            <w:vAlign w:val="top"/>
          </w:tcPr>
          <w:p w14:paraId="5D734974">
            <w:pPr>
              <w:rPr>
                <w:rFonts w:hint="eastAsia"/>
              </w:rPr>
            </w:pPr>
          </w:p>
        </w:tc>
        <w:tc>
          <w:tcPr>
            <w:tcW w:w="1578" w:type="dxa"/>
            <w:noWrap w:val="0"/>
            <w:vAlign w:val="top"/>
          </w:tcPr>
          <w:p w14:paraId="7C0B12A2">
            <w:pPr>
              <w:rPr>
                <w:rFonts w:hint="eastAsia"/>
              </w:rPr>
            </w:pPr>
          </w:p>
        </w:tc>
      </w:tr>
      <w:tr w14:paraId="641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1EF87788">
            <w:pPr>
              <w:rPr>
                <w:rFonts w:hint="eastAsia"/>
              </w:rPr>
            </w:pPr>
          </w:p>
        </w:tc>
        <w:tc>
          <w:tcPr>
            <w:tcW w:w="2143" w:type="dxa"/>
            <w:noWrap w:val="0"/>
            <w:vAlign w:val="top"/>
          </w:tcPr>
          <w:p w14:paraId="42751BEC">
            <w:pPr>
              <w:rPr>
                <w:rFonts w:hint="eastAsia"/>
              </w:rPr>
            </w:pPr>
          </w:p>
        </w:tc>
        <w:tc>
          <w:tcPr>
            <w:tcW w:w="1335" w:type="dxa"/>
            <w:noWrap w:val="0"/>
            <w:vAlign w:val="top"/>
          </w:tcPr>
          <w:p w14:paraId="482F8A50">
            <w:pPr>
              <w:rPr>
                <w:rFonts w:hint="eastAsia"/>
              </w:rPr>
            </w:pPr>
          </w:p>
        </w:tc>
        <w:tc>
          <w:tcPr>
            <w:tcW w:w="1577" w:type="dxa"/>
            <w:noWrap w:val="0"/>
            <w:vAlign w:val="top"/>
          </w:tcPr>
          <w:p w14:paraId="60F5500F">
            <w:pPr>
              <w:rPr>
                <w:rFonts w:hint="eastAsia"/>
              </w:rPr>
            </w:pPr>
          </w:p>
        </w:tc>
        <w:tc>
          <w:tcPr>
            <w:tcW w:w="1577" w:type="dxa"/>
            <w:noWrap w:val="0"/>
            <w:vAlign w:val="top"/>
          </w:tcPr>
          <w:p w14:paraId="62EADF16">
            <w:pPr>
              <w:rPr>
                <w:rFonts w:hint="eastAsia"/>
              </w:rPr>
            </w:pPr>
          </w:p>
        </w:tc>
        <w:tc>
          <w:tcPr>
            <w:tcW w:w="1578" w:type="dxa"/>
            <w:noWrap w:val="0"/>
            <w:vAlign w:val="top"/>
          </w:tcPr>
          <w:p w14:paraId="3267ED93">
            <w:pPr>
              <w:rPr>
                <w:rFonts w:hint="eastAsia"/>
              </w:rPr>
            </w:pPr>
          </w:p>
        </w:tc>
      </w:tr>
      <w:tr w14:paraId="05B0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top"/>
          </w:tcPr>
          <w:p w14:paraId="6A13203A">
            <w:pPr>
              <w:rPr>
                <w:rFonts w:hint="eastAsia"/>
              </w:rPr>
            </w:pPr>
          </w:p>
        </w:tc>
        <w:tc>
          <w:tcPr>
            <w:tcW w:w="2143" w:type="dxa"/>
            <w:noWrap w:val="0"/>
            <w:vAlign w:val="top"/>
          </w:tcPr>
          <w:p w14:paraId="32949EF2">
            <w:pPr>
              <w:rPr>
                <w:rFonts w:hint="eastAsia"/>
              </w:rPr>
            </w:pPr>
          </w:p>
        </w:tc>
        <w:tc>
          <w:tcPr>
            <w:tcW w:w="1335" w:type="dxa"/>
            <w:noWrap w:val="0"/>
            <w:vAlign w:val="top"/>
          </w:tcPr>
          <w:p w14:paraId="15A74656">
            <w:pPr>
              <w:rPr>
                <w:rFonts w:hint="eastAsia"/>
              </w:rPr>
            </w:pPr>
          </w:p>
        </w:tc>
        <w:tc>
          <w:tcPr>
            <w:tcW w:w="1577" w:type="dxa"/>
            <w:noWrap w:val="0"/>
            <w:vAlign w:val="top"/>
          </w:tcPr>
          <w:p w14:paraId="0ECA6440">
            <w:pPr>
              <w:rPr>
                <w:rFonts w:hint="eastAsia"/>
              </w:rPr>
            </w:pPr>
          </w:p>
        </w:tc>
        <w:tc>
          <w:tcPr>
            <w:tcW w:w="1577" w:type="dxa"/>
            <w:noWrap w:val="0"/>
            <w:vAlign w:val="top"/>
          </w:tcPr>
          <w:p w14:paraId="447FDC0B">
            <w:pPr>
              <w:rPr>
                <w:rFonts w:hint="eastAsia"/>
              </w:rPr>
            </w:pPr>
          </w:p>
        </w:tc>
        <w:tc>
          <w:tcPr>
            <w:tcW w:w="1578" w:type="dxa"/>
            <w:noWrap w:val="0"/>
            <w:vAlign w:val="top"/>
          </w:tcPr>
          <w:p w14:paraId="09F1529E">
            <w:pPr>
              <w:rPr>
                <w:rFonts w:hint="eastAsia"/>
              </w:rPr>
            </w:pPr>
          </w:p>
        </w:tc>
      </w:tr>
      <w:tr w14:paraId="79CB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3D094271">
            <w:pPr>
              <w:rPr>
                <w:rFonts w:hint="eastAsia"/>
              </w:rPr>
            </w:pPr>
          </w:p>
        </w:tc>
        <w:tc>
          <w:tcPr>
            <w:tcW w:w="2143" w:type="dxa"/>
            <w:noWrap w:val="0"/>
            <w:vAlign w:val="top"/>
          </w:tcPr>
          <w:p w14:paraId="5656FA58">
            <w:pPr>
              <w:rPr>
                <w:rFonts w:hint="eastAsia"/>
              </w:rPr>
            </w:pPr>
          </w:p>
        </w:tc>
        <w:tc>
          <w:tcPr>
            <w:tcW w:w="1335" w:type="dxa"/>
            <w:noWrap w:val="0"/>
            <w:vAlign w:val="top"/>
          </w:tcPr>
          <w:p w14:paraId="5CD8AB86">
            <w:pPr>
              <w:rPr>
                <w:rFonts w:hint="eastAsia"/>
              </w:rPr>
            </w:pPr>
          </w:p>
        </w:tc>
        <w:tc>
          <w:tcPr>
            <w:tcW w:w="1577" w:type="dxa"/>
            <w:noWrap w:val="0"/>
            <w:vAlign w:val="top"/>
          </w:tcPr>
          <w:p w14:paraId="2899D446">
            <w:pPr>
              <w:rPr>
                <w:rFonts w:hint="eastAsia"/>
              </w:rPr>
            </w:pPr>
          </w:p>
        </w:tc>
        <w:tc>
          <w:tcPr>
            <w:tcW w:w="1577" w:type="dxa"/>
            <w:noWrap w:val="0"/>
            <w:vAlign w:val="top"/>
          </w:tcPr>
          <w:p w14:paraId="339950C6">
            <w:pPr>
              <w:rPr>
                <w:rFonts w:hint="eastAsia"/>
              </w:rPr>
            </w:pPr>
          </w:p>
        </w:tc>
        <w:tc>
          <w:tcPr>
            <w:tcW w:w="1578" w:type="dxa"/>
            <w:noWrap w:val="0"/>
            <w:vAlign w:val="top"/>
          </w:tcPr>
          <w:p w14:paraId="6EA4E2AA">
            <w:pPr>
              <w:rPr>
                <w:rFonts w:hint="eastAsia"/>
              </w:rPr>
            </w:pPr>
          </w:p>
        </w:tc>
      </w:tr>
      <w:tr w14:paraId="65B2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0B4561D7">
            <w:pPr>
              <w:rPr>
                <w:rFonts w:hint="eastAsia"/>
              </w:rPr>
            </w:pPr>
          </w:p>
        </w:tc>
        <w:tc>
          <w:tcPr>
            <w:tcW w:w="2143" w:type="dxa"/>
            <w:noWrap w:val="0"/>
            <w:vAlign w:val="top"/>
          </w:tcPr>
          <w:p w14:paraId="6603CB3C">
            <w:pPr>
              <w:rPr>
                <w:rFonts w:hint="eastAsia"/>
              </w:rPr>
            </w:pPr>
          </w:p>
        </w:tc>
        <w:tc>
          <w:tcPr>
            <w:tcW w:w="1335" w:type="dxa"/>
            <w:noWrap w:val="0"/>
            <w:vAlign w:val="top"/>
          </w:tcPr>
          <w:p w14:paraId="526CE0F7">
            <w:pPr>
              <w:rPr>
                <w:rFonts w:hint="eastAsia"/>
              </w:rPr>
            </w:pPr>
          </w:p>
        </w:tc>
        <w:tc>
          <w:tcPr>
            <w:tcW w:w="1577" w:type="dxa"/>
            <w:noWrap w:val="0"/>
            <w:vAlign w:val="top"/>
          </w:tcPr>
          <w:p w14:paraId="503EFDF0">
            <w:pPr>
              <w:rPr>
                <w:rFonts w:hint="eastAsia"/>
              </w:rPr>
            </w:pPr>
          </w:p>
        </w:tc>
        <w:tc>
          <w:tcPr>
            <w:tcW w:w="1577" w:type="dxa"/>
            <w:noWrap w:val="0"/>
            <w:vAlign w:val="top"/>
          </w:tcPr>
          <w:p w14:paraId="14025A84">
            <w:pPr>
              <w:rPr>
                <w:rFonts w:hint="eastAsia"/>
              </w:rPr>
            </w:pPr>
          </w:p>
        </w:tc>
        <w:tc>
          <w:tcPr>
            <w:tcW w:w="1578" w:type="dxa"/>
            <w:noWrap w:val="0"/>
            <w:vAlign w:val="top"/>
          </w:tcPr>
          <w:p w14:paraId="15594C5F">
            <w:pPr>
              <w:rPr>
                <w:rFonts w:hint="eastAsia"/>
              </w:rPr>
            </w:pPr>
          </w:p>
        </w:tc>
      </w:tr>
      <w:tr w14:paraId="4B1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top"/>
          </w:tcPr>
          <w:p w14:paraId="51E16BBD">
            <w:pPr>
              <w:rPr>
                <w:rFonts w:hint="eastAsia"/>
              </w:rPr>
            </w:pPr>
          </w:p>
        </w:tc>
        <w:tc>
          <w:tcPr>
            <w:tcW w:w="2143" w:type="dxa"/>
            <w:noWrap w:val="0"/>
            <w:vAlign w:val="top"/>
          </w:tcPr>
          <w:p w14:paraId="40DA820F">
            <w:pPr>
              <w:rPr>
                <w:rFonts w:hint="eastAsia"/>
              </w:rPr>
            </w:pPr>
          </w:p>
        </w:tc>
        <w:tc>
          <w:tcPr>
            <w:tcW w:w="1335" w:type="dxa"/>
            <w:noWrap w:val="0"/>
            <w:vAlign w:val="top"/>
          </w:tcPr>
          <w:p w14:paraId="445B3F08">
            <w:pPr>
              <w:rPr>
                <w:rFonts w:hint="eastAsia"/>
              </w:rPr>
            </w:pPr>
          </w:p>
        </w:tc>
        <w:tc>
          <w:tcPr>
            <w:tcW w:w="1577" w:type="dxa"/>
            <w:noWrap w:val="0"/>
            <w:vAlign w:val="top"/>
          </w:tcPr>
          <w:p w14:paraId="127ECC95">
            <w:pPr>
              <w:rPr>
                <w:rFonts w:hint="eastAsia"/>
              </w:rPr>
            </w:pPr>
          </w:p>
        </w:tc>
        <w:tc>
          <w:tcPr>
            <w:tcW w:w="1577" w:type="dxa"/>
            <w:noWrap w:val="0"/>
            <w:vAlign w:val="top"/>
          </w:tcPr>
          <w:p w14:paraId="77E2A59C">
            <w:pPr>
              <w:rPr>
                <w:rFonts w:hint="eastAsia"/>
              </w:rPr>
            </w:pPr>
          </w:p>
        </w:tc>
        <w:tc>
          <w:tcPr>
            <w:tcW w:w="1578" w:type="dxa"/>
            <w:noWrap w:val="0"/>
            <w:vAlign w:val="top"/>
          </w:tcPr>
          <w:p w14:paraId="4592D416">
            <w:pPr>
              <w:rPr>
                <w:rFonts w:hint="eastAsia"/>
              </w:rPr>
            </w:pPr>
          </w:p>
        </w:tc>
      </w:tr>
      <w:tr w14:paraId="0657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1FFE5883">
            <w:pPr>
              <w:rPr>
                <w:rFonts w:hint="eastAsia"/>
              </w:rPr>
            </w:pPr>
          </w:p>
        </w:tc>
        <w:tc>
          <w:tcPr>
            <w:tcW w:w="2143" w:type="dxa"/>
            <w:noWrap w:val="0"/>
            <w:vAlign w:val="top"/>
          </w:tcPr>
          <w:p w14:paraId="45D2C870">
            <w:pPr>
              <w:rPr>
                <w:rFonts w:hint="eastAsia"/>
              </w:rPr>
            </w:pPr>
          </w:p>
        </w:tc>
        <w:tc>
          <w:tcPr>
            <w:tcW w:w="1335" w:type="dxa"/>
            <w:noWrap w:val="0"/>
            <w:vAlign w:val="top"/>
          </w:tcPr>
          <w:p w14:paraId="4A68301D">
            <w:pPr>
              <w:rPr>
                <w:rFonts w:hint="eastAsia"/>
              </w:rPr>
            </w:pPr>
          </w:p>
        </w:tc>
        <w:tc>
          <w:tcPr>
            <w:tcW w:w="1577" w:type="dxa"/>
            <w:noWrap w:val="0"/>
            <w:vAlign w:val="top"/>
          </w:tcPr>
          <w:p w14:paraId="4A88CF7C">
            <w:pPr>
              <w:rPr>
                <w:rFonts w:hint="eastAsia"/>
              </w:rPr>
            </w:pPr>
          </w:p>
        </w:tc>
        <w:tc>
          <w:tcPr>
            <w:tcW w:w="1577" w:type="dxa"/>
            <w:noWrap w:val="0"/>
            <w:vAlign w:val="top"/>
          </w:tcPr>
          <w:p w14:paraId="62E3CEB9">
            <w:pPr>
              <w:rPr>
                <w:rFonts w:hint="eastAsia"/>
              </w:rPr>
            </w:pPr>
          </w:p>
        </w:tc>
        <w:tc>
          <w:tcPr>
            <w:tcW w:w="1578" w:type="dxa"/>
            <w:noWrap w:val="0"/>
            <w:vAlign w:val="top"/>
          </w:tcPr>
          <w:p w14:paraId="2E2771FA">
            <w:pPr>
              <w:rPr>
                <w:rFonts w:hint="eastAsia"/>
              </w:rPr>
            </w:pPr>
          </w:p>
        </w:tc>
      </w:tr>
      <w:tr w14:paraId="7202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7412ACE6">
            <w:pPr>
              <w:rPr>
                <w:rFonts w:hint="eastAsia"/>
              </w:rPr>
            </w:pPr>
          </w:p>
        </w:tc>
        <w:tc>
          <w:tcPr>
            <w:tcW w:w="2143" w:type="dxa"/>
            <w:noWrap w:val="0"/>
            <w:vAlign w:val="top"/>
          </w:tcPr>
          <w:p w14:paraId="1C348807">
            <w:pPr>
              <w:rPr>
                <w:rFonts w:hint="eastAsia"/>
              </w:rPr>
            </w:pPr>
          </w:p>
        </w:tc>
        <w:tc>
          <w:tcPr>
            <w:tcW w:w="1335" w:type="dxa"/>
            <w:noWrap w:val="0"/>
            <w:vAlign w:val="top"/>
          </w:tcPr>
          <w:p w14:paraId="5BE50532">
            <w:pPr>
              <w:rPr>
                <w:rFonts w:hint="eastAsia"/>
              </w:rPr>
            </w:pPr>
          </w:p>
        </w:tc>
        <w:tc>
          <w:tcPr>
            <w:tcW w:w="1577" w:type="dxa"/>
            <w:noWrap w:val="0"/>
            <w:vAlign w:val="top"/>
          </w:tcPr>
          <w:p w14:paraId="394E6CBE">
            <w:pPr>
              <w:rPr>
                <w:rFonts w:hint="eastAsia"/>
              </w:rPr>
            </w:pPr>
          </w:p>
        </w:tc>
        <w:tc>
          <w:tcPr>
            <w:tcW w:w="1577" w:type="dxa"/>
            <w:noWrap w:val="0"/>
            <w:vAlign w:val="top"/>
          </w:tcPr>
          <w:p w14:paraId="77B4C82D">
            <w:pPr>
              <w:rPr>
                <w:rFonts w:hint="eastAsia"/>
              </w:rPr>
            </w:pPr>
          </w:p>
        </w:tc>
        <w:tc>
          <w:tcPr>
            <w:tcW w:w="1578" w:type="dxa"/>
            <w:noWrap w:val="0"/>
            <w:vAlign w:val="top"/>
          </w:tcPr>
          <w:p w14:paraId="6C0CB0D2">
            <w:pPr>
              <w:rPr>
                <w:rFonts w:hint="eastAsia"/>
              </w:rPr>
            </w:pPr>
          </w:p>
        </w:tc>
      </w:tr>
      <w:tr w14:paraId="24CA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52" w:type="dxa"/>
            <w:noWrap w:val="0"/>
            <w:vAlign w:val="top"/>
          </w:tcPr>
          <w:p w14:paraId="2E70198C">
            <w:pPr>
              <w:rPr>
                <w:rFonts w:hint="eastAsia"/>
              </w:rPr>
            </w:pPr>
          </w:p>
        </w:tc>
        <w:tc>
          <w:tcPr>
            <w:tcW w:w="2143" w:type="dxa"/>
            <w:noWrap w:val="0"/>
            <w:vAlign w:val="top"/>
          </w:tcPr>
          <w:p w14:paraId="61E9E2CC">
            <w:pPr>
              <w:rPr>
                <w:rFonts w:hint="eastAsia"/>
              </w:rPr>
            </w:pPr>
          </w:p>
        </w:tc>
        <w:tc>
          <w:tcPr>
            <w:tcW w:w="1335" w:type="dxa"/>
            <w:noWrap w:val="0"/>
            <w:vAlign w:val="top"/>
          </w:tcPr>
          <w:p w14:paraId="03F8AB52">
            <w:pPr>
              <w:rPr>
                <w:rFonts w:hint="eastAsia"/>
              </w:rPr>
            </w:pPr>
          </w:p>
        </w:tc>
        <w:tc>
          <w:tcPr>
            <w:tcW w:w="1577" w:type="dxa"/>
            <w:noWrap w:val="0"/>
            <w:vAlign w:val="top"/>
          </w:tcPr>
          <w:p w14:paraId="4BE41958">
            <w:pPr>
              <w:rPr>
                <w:rFonts w:hint="eastAsia"/>
              </w:rPr>
            </w:pPr>
          </w:p>
        </w:tc>
        <w:tc>
          <w:tcPr>
            <w:tcW w:w="1577" w:type="dxa"/>
            <w:noWrap w:val="0"/>
            <w:vAlign w:val="top"/>
          </w:tcPr>
          <w:p w14:paraId="46259805">
            <w:pPr>
              <w:rPr>
                <w:rFonts w:hint="eastAsia"/>
              </w:rPr>
            </w:pPr>
          </w:p>
        </w:tc>
        <w:tc>
          <w:tcPr>
            <w:tcW w:w="1578" w:type="dxa"/>
            <w:noWrap w:val="0"/>
            <w:vAlign w:val="top"/>
          </w:tcPr>
          <w:p w14:paraId="222F270F">
            <w:pPr>
              <w:rPr>
                <w:rFonts w:hint="eastAsia"/>
              </w:rPr>
            </w:pPr>
          </w:p>
        </w:tc>
      </w:tr>
      <w:tr w14:paraId="11C5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412364FB">
            <w:pPr>
              <w:rPr>
                <w:rFonts w:hint="eastAsia"/>
              </w:rPr>
            </w:pPr>
          </w:p>
        </w:tc>
        <w:tc>
          <w:tcPr>
            <w:tcW w:w="2143" w:type="dxa"/>
            <w:noWrap w:val="0"/>
            <w:vAlign w:val="top"/>
          </w:tcPr>
          <w:p w14:paraId="25E11670">
            <w:pPr>
              <w:rPr>
                <w:rFonts w:hint="eastAsia"/>
              </w:rPr>
            </w:pPr>
          </w:p>
        </w:tc>
        <w:tc>
          <w:tcPr>
            <w:tcW w:w="1335" w:type="dxa"/>
            <w:noWrap w:val="0"/>
            <w:vAlign w:val="top"/>
          </w:tcPr>
          <w:p w14:paraId="4BDB6248">
            <w:pPr>
              <w:rPr>
                <w:rFonts w:hint="eastAsia"/>
              </w:rPr>
            </w:pPr>
          </w:p>
        </w:tc>
        <w:tc>
          <w:tcPr>
            <w:tcW w:w="1577" w:type="dxa"/>
            <w:noWrap w:val="0"/>
            <w:vAlign w:val="top"/>
          </w:tcPr>
          <w:p w14:paraId="25A9D598">
            <w:pPr>
              <w:rPr>
                <w:rFonts w:hint="eastAsia"/>
              </w:rPr>
            </w:pPr>
          </w:p>
        </w:tc>
        <w:tc>
          <w:tcPr>
            <w:tcW w:w="1577" w:type="dxa"/>
            <w:noWrap w:val="0"/>
            <w:vAlign w:val="top"/>
          </w:tcPr>
          <w:p w14:paraId="5C44FFBA">
            <w:pPr>
              <w:rPr>
                <w:rFonts w:hint="eastAsia"/>
              </w:rPr>
            </w:pPr>
          </w:p>
        </w:tc>
        <w:tc>
          <w:tcPr>
            <w:tcW w:w="1578" w:type="dxa"/>
            <w:noWrap w:val="0"/>
            <w:vAlign w:val="top"/>
          </w:tcPr>
          <w:p w14:paraId="1C34EF01">
            <w:pPr>
              <w:rPr>
                <w:rFonts w:hint="eastAsia"/>
              </w:rPr>
            </w:pPr>
          </w:p>
        </w:tc>
      </w:tr>
      <w:tr w14:paraId="020C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52" w:type="dxa"/>
            <w:noWrap w:val="0"/>
            <w:vAlign w:val="top"/>
          </w:tcPr>
          <w:p w14:paraId="2281D7D8">
            <w:pPr>
              <w:rPr>
                <w:rFonts w:hint="eastAsia"/>
              </w:rPr>
            </w:pPr>
          </w:p>
        </w:tc>
        <w:tc>
          <w:tcPr>
            <w:tcW w:w="2143" w:type="dxa"/>
            <w:noWrap w:val="0"/>
            <w:vAlign w:val="top"/>
          </w:tcPr>
          <w:p w14:paraId="7EEE0B17">
            <w:pPr>
              <w:rPr>
                <w:rFonts w:hint="eastAsia"/>
              </w:rPr>
            </w:pPr>
          </w:p>
        </w:tc>
        <w:tc>
          <w:tcPr>
            <w:tcW w:w="1335" w:type="dxa"/>
            <w:noWrap w:val="0"/>
            <w:vAlign w:val="top"/>
          </w:tcPr>
          <w:p w14:paraId="273AA73D">
            <w:pPr>
              <w:rPr>
                <w:rFonts w:hint="eastAsia"/>
              </w:rPr>
            </w:pPr>
          </w:p>
        </w:tc>
        <w:tc>
          <w:tcPr>
            <w:tcW w:w="1577" w:type="dxa"/>
            <w:noWrap w:val="0"/>
            <w:vAlign w:val="top"/>
          </w:tcPr>
          <w:p w14:paraId="7796A53B">
            <w:pPr>
              <w:rPr>
                <w:rFonts w:hint="eastAsia"/>
              </w:rPr>
            </w:pPr>
          </w:p>
        </w:tc>
        <w:tc>
          <w:tcPr>
            <w:tcW w:w="1577" w:type="dxa"/>
            <w:noWrap w:val="0"/>
            <w:vAlign w:val="top"/>
          </w:tcPr>
          <w:p w14:paraId="43FFBBBA">
            <w:pPr>
              <w:rPr>
                <w:rFonts w:hint="eastAsia"/>
              </w:rPr>
            </w:pPr>
          </w:p>
        </w:tc>
        <w:tc>
          <w:tcPr>
            <w:tcW w:w="1578" w:type="dxa"/>
            <w:noWrap w:val="0"/>
            <w:vAlign w:val="top"/>
          </w:tcPr>
          <w:p w14:paraId="64780233">
            <w:pPr>
              <w:rPr>
                <w:rFonts w:hint="eastAsia"/>
              </w:rPr>
            </w:pPr>
          </w:p>
        </w:tc>
      </w:tr>
    </w:tbl>
    <w:p w14:paraId="2D785CC2">
      <w:pPr>
        <w:rPr>
          <w:rFonts w:hint="eastAsia"/>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B496209">
      <w:pPr>
        <w:pStyle w:val="5"/>
        <w:rPr>
          <w:rFonts w:hint="eastAsia"/>
          <w:b w:val="0"/>
        </w:rPr>
      </w:pPr>
      <w:bookmarkStart w:id="625" w:name="_Toc184635133"/>
      <w:r>
        <w:rPr>
          <w:rFonts w:hint="eastAsia"/>
        </w:rPr>
        <w:t>2、地质勘探资料</w:t>
      </w:r>
      <w:r>
        <w:rPr>
          <w:rFonts w:hint="eastAsia"/>
          <w:b w:val="0"/>
        </w:rPr>
        <w:t>（如需）</w:t>
      </w:r>
    </w:p>
    <w:p w14:paraId="0A1B5335">
      <w:pPr>
        <w:spacing w:line="360" w:lineRule="auto"/>
        <w:rPr>
          <w:rFonts w:hint="eastAsia"/>
        </w:rPr>
      </w:pPr>
    </w:p>
    <w:p w14:paraId="49151F42">
      <w:pPr>
        <w:spacing w:line="360" w:lineRule="auto"/>
        <w:rPr>
          <w:rFonts w:hint="eastAsia"/>
        </w:rPr>
      </w:pPr>
    </w:p>
    <w:p w14:paraId="177338A1">
      <w:pPr>
        <w:spacing w:line="360" w:lineRule="auto"/>
        <w:rPr>
          <w:rFonts w:hint="eastAsia"/>
        </w:rPr>
      </w:pPr>
    </w:p>
    <w:p w14:paraId="55856DDA">
      <w:pPr>
        <w:spacing w:line="360" w:lineRule="auto"/>
        <w:rPr>
          <w:rFonts w:hint="eastAsia"/>
        </w:rPr>
      </w:pPr>
    </w:p>
    <w:p w14:paraId="1BDE7C5C">
      <w:pPr>
        <w:spacing w:line="360" w:lineRule="auto"/>
        <w:rPr>
          <w:rFonts w:hint="eastAsia"/>
        </w:rPr>
      </w:pPr>
    </w:p>
    <w:p w14:paraId="15B1F238">
      <w:pPr>
        <w:spacing w:line="360" w:lineRule="auto"/>
        <w:rPr>
          <w:rFonts w:hint="eastAsia"/>
        </w:rPr>
      </w:pPr>
    </w:p>
    <w:p w14:paraId="18126B55">
      <w:pPr>
        <w:spacing w:line="360" w:lineRule="auto"/>
        <w:rPr>
          <w:rFonts w:hint="eastAsia"/>
        </w:rPr>
      </w:pPr>
    </w:p>
    <w:p w14:paraId="4652C0FD">
      <w:pPr>
        <w:spacing w:line="360" w:lineRule="auto"/>
        <w:rPr>
          <w:rFonts w:hint="eastAsia"/>
        </w:rPr>
      </w:pPr>
    </w:p>
    <w:p w14:paraId="52A5DD4B">
      <w:pPr>
        <w:spacing w:line="360" w:lineRule="auto"/>
        <w:rPr>
          <w:rFonts w:hint="eastAsia"/>
        </w:rPr>
      </w:pPr>
    </w:p>
    <w:p w14:paraId="11C5B370">
      <w:pPr>
        <w:spacing w:line="360" w:lineRule="auto"/>
        <w:rPr>
          <w:rFonts w:hint="eastAsia"/>
        </w:rPr>
      </w:pPr>
    </w:p>
    <w:p w14:paraId="29705C30">
      <w:pPr>
        <w:spacing w:line="360" w:lineRule="auto"/>
        <w:rPr>
          <w:rFonts w:hint="eastAsia"/>
        </w:rPr>
      </w:pPr>
    </w:p>
    <w:p w14:paraId="06D45D69">
      <w:pPr>
        <w:spacing w:line="360" w:lineRule="auto"/>
        <w:rPr>
          <w:rFonts w:hint="eastAsia"/>
        </w:rPr>
      </w:pPr>
    </w:p>
    <w:p w14:paraId="631B17A5">
      <w:pPr>
        <w:spacing w:line="360" w:lineRule="auto"/>
        <w:rPr>
          <w:rFonts w:hint="eastAsia"/>
        </w:rPr>
      </w:pPr>
    </w:p>
    <w:p w14:paraId="5CBBC586">
      <w:pPr>
        <w:spacing w:line="360" w:lineRule="auto"/>
        <w:rPr>
          <w:rFonts w:hint="eastAsia"/>
        </w:rPr>
      </w:pPr>
    </w:p>
    <w:p w14:paraId="710AF43D">
      <w:pPr>
        <w:spacing w:line="360" w:lineRule="auto"/>
        <w:rPr>
          <w:rFonts w:hint="eastAsia"/>
        </w:rPr>
      </w:pPr>
    </w:p>
    <w:p w14:paraId="6C01B4D8">
      <w:pPr>
        <w:spacing w:line="360" w:lineRule="auto"/>
        <w:rPr>
          <w:rFonts w:hint="eastAsia"/>
        </w:rPr>
      </w:pPr>
    </w:p>
    <w:p w14:paraId="72BA5891">
      <w:pPr>
        <w:spacing w:line="360" w:lineRule="auto"/>
        <w:rPr>
          <w:rFonts w:hint="eastAsia"/>
        </w:rPr>
      </w:pPr>
    </w:p>
    <w:p w14:paraId="0F0E4D0B">
      <w:pPr>
        <w:spacing w:line="360" w:lineRule="auto"/>
        <w:rPr>
          <w:rFonts w:hint="eastAsia"/>
        </w:rPr>
      </w:pPr>
    </w:p>
    <w:p w14:paraId="64648358">
      <w:pPr>
        <w:spacing w:line="360" w:lineRule="auto"/>
        <w:rPr>
          <w:rFonts w:hint="eastAsia"/>
        </w:rPr>
      </w:pPr>
    </w:p>
    <w:p w14:paraId="4ACEDEAA">
      <w:pPr>
        <w:spacing w:line="360" w:lineRule="auto"/>
        <w:rPr>
          <w:rFonts w:hint="eastAsia"/>
        </w:rPr>
      </w:pPr>
    </w:p>
    <w:p w14:paraId="2A3EA395">
      <w:pPr>
        <w:spacing w:line="360" w:lineRule="auto"/>
        <w:rPr>
          <w:rFonts w:hint="eastAsia"/>
        </w:rPr>
      </w:pPr>
    </w:p>
    <w:p w14:paraId="5337DFF7">
      <w:pPr>
        <w:spacing w:line="360" w:lineRule="auto"/>
        <w:rPr>
          <w:rFonts w:hint="eastAsia"/>
        </w:rPr>
      </w:pPr>
    </w:p>
    <w:p w14:paraId="3E1D2CF8">
      <w:pPr>
        <w:spacing w:line="360" w:lineRule="auto"/>
        <w:rPr>
          <w:rFonts w:hint="eastAsia"/>
        </w:rPr>
      </w:pPr>
    </w:p>
    <w:p w14:paraId="4C94230E">
      <w:pPr>
        <w:spacing w:line="360" w:lineRule="auto"/>
        <w:rPr>
          <w:rFonts w:hint="eastAsia"/>
        </w:rPr>
      </w:pPr>
    </w:p>
    <w:p w14:paraId="418CF418">
      <w:pPr>
        <w:spacing w:line="360" w:lineRule="auto"/>
        <w:rPr>
          <w:rFonts w:hint="eastAsia"/>
        </w:rPr>
      </w:pPr>
    </w:p>
    <w:p w14:paraId="1DAF177D">
      <w:pPr>
        <w:spacing w:line="360" w:lineRule="auto"/>
        <w:rPr>
          <w:rFonts w:hint="eastAsia"/>
        </w:rPr>
      </w:pPr>
    </w:p>
    <w:p w14:paraId="78AA2A44">
      <w:pPr>
        <w:spacing w:line="360" w:lineRule="auto"/>
        <w:rPr>
          <w:rFonts w:hint="eastAsia"/>
        </w:rPr>
      </w:pPr>
    </w:p>
    <w:p w14:paraId="53E31A8C">
      <w:pPr>
        <w:spacing w:line="360" w:lineRule="auto"/>
        <w:rPr>
          <w:rFonts w:hint="eastAsia"/>
        </w:rPr>
      </w:pPr>
    </w:p>
    <w:p w14:paraId="3DE255A1">
      <w:pPr>
        <w:spacing w:line="360" w:lineRule="auto"/>
        <w:rPr>
          <w:rFonts w:hint="eastAsia"/>
        </w:rPr>
      </w:pPr>
    </w:p>
    <w:p w14:paraId="79CB1DF2">
      <w:pPr>
        <w:spacing w:line="360" w:lineRule="auto"/>
        <w:rPr>
          <w:rFonts w:hint="eastAsia"/>
        </w:rPr>
      </w:pPr>
    </w:p>
    <w:p w14:paraId="4F82DDC8">
      <w:pPr>
        <w:spacing w:line="360" w:lineRule="auto"/>
        <w:rPr>
          <w:rFonts w:hint="eastAsia"/>
        </w:rPr>
      </w:pPr>
    </w:p>
    <w:p w14:paraId="05702672">
      <w:pPr>
        <w:spacing w:line="360" w:lineRule="auto"/>
        <w:rPr>
          <w:rFonts w:hint="eastAsia"/>
        </w:rPr>
      </w:pPr>
    </w:p>
    <w:p w14:paraId="4F3C8775">
      <w:pPr>
        <w:spacing w:line="360" w:lineRule="auto"/>
        <w:rPr>
          <w:rFonts w:hint="eastAsia"/>
        </w:rPr>
      </w:pPr>
    </w:p>
    <w:p w14:paraId="7345FC25">
      <w:pPr>
        <w:spacing w:line="360" w:lineRule="auto"/>
        <w:rPr>
          <w:rFonts w:hint="eastAsia"/>
        </w:rPr>
      </w:pPr>
    </w:p>
    <w:p w14:paraId="75A63B85">
      <w:pPr>
        <w:spacing w:line="360" w:lineRule="auto"/>
        <w:rPr>
          <w:rFonts w:hint="eastAsia"/>
        </w:rPr>
      </w:pPr>
    </w:p>
    <w:p w14:paraId="6CA9A680">
      <w:pPr>
        <w:spacing w:line="360" w:lineRule="auto"/>
        <w:rPr>
          <w:rFonts w:hint="eastAsia"/>
        </w:rPr>
      </w:pPr>
    </w:p>
    <w:p w14:paraId="77B11C37">
      <w:pPr>
        <w:spacing w:line="360" w:lineRule="auto"/>
        <w:rPr>
          <w:rFonts w:hint="eastAsia"/>
        </w:rPr>
      </w:pPr>
    </w:p>
    <w:p w14:paraId="1734CCE1">
      <w:pPr>
        <w:pStyle w:val="3"/>
        <w:jc w:val="center"/>
        <w:rPr>
          <w:rFonts w:hint="eastAsia"/>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rPr>
        <w:t>第三</w:t>
      </w:r>
      <w:r>
        <w:rPr>
          <w:rFonts w:hint="eastAsia"/>
          <w:szCs w:val="32"/>
        </w:rPr>
        <w:t>卷</w:t>
      </w:r>
      <w:bookmarkEnd w:id="625"/>
    </w:p>
    <w:p w14:paraId="67F6775B">
      <w:pPr>
        <w:pStyle w:val="3"/>
        <w:jc w:val="center"/>
        <w:rPr>
          <w:rFonts w:hint="eastAsia"/>
        </w:rPr>
      </w:pPr>
      <w:bookmarkStart w:id="626" w:name="_Toc184635134"/>
    </w:p>
    <w:p w14:paraId="3E8B98D3">
      <w:pPr>
        <w:pStyle w:val="3"/>
        <w:jc w:val="center"/>
        <w:rPr>
          <w:rFonts w:hint="eastAsia"/>
        </w:rPr>
      </w:pPr>
      <w:r>
        <w:rPr>
          <w:rFonts w:hint="eastAsia"/>
        </w:rPr>
        <w:t>第七章 技术标准和要求</w:t>
      </w:r>
      <w:bookmarkEnd w:id="626"/>
    </w:p>
    <w:p w14:paraId="51E9295D">
      <w:pPr>
        <w:spacing w:line="360" w:lineRule="auto"/>
        <w:rPr>
          <w:rFonts w:hint="eastAsia" w:ascii="宋体" w:hAnsi="宋体"/>
          <w:szCs w:val="21"/>
        </w:rPr>
      </w:pPr>
      <w:r>
        <w:rPr>
          <w:rFonts w:hint="eastAsia" w:ascii="宋体" w:hAnsi="宋体"/>
          <w:szCs w:val="21"/>
        </w:rPr>
        <w:t xml:space="preserve"> </w:t>
      </w:r>
    </w:p>
    <w:p w14:paraId="6A87CDF2">
      <w:pPr>
        <w:spacing w:line="360" w:lineRule="auto"/>
        <w:jc w:val="center"/>
        <w:rPr>
          <w:rFonts w:hint="eastAsia" w:ascii="宋体" w:hAnsi="宋体"/>
          <w:sz w:val="32"/>
          <w:szCs w:val="32"/>
        </w:rPr>
      </w:pPr>
      <w:r>
        <w:rPr>
          <w:rFonts w:hint="eastAsia" w:ascii="宋体" w:hAnsi="宋体"/>
          <w:sz w:val="32"/>
          <w:szCs w:val="32"/>
        </w:rPr>
        <w:t>（按设计</w:t>
      </w:r>
      <w:r>
        <w:rPr>
          <w:rFonts w:ascii="宋体" w:hAnsi="宋体"/>
          <w:sz w:val="32"/>
          <w:szCs w:val="32"/>
        </w:rPr>
        <w:t>图纸</w:t>
      </w:r>
      <w:r>
        <w:rPr>
          <w:rFonts w:hint="eastAsia" w:ascii="宋体" w:hAnsi="宋体"/>
          <w:sz w:val="32"/>
          <w:szCs w:val="32"/>
        </w:rPr>
        <w:t>及国家、行业现行技术标准、规范）</w:t>
      </w:r>
    </w:p>
    <w:p w14:paraId="0C60BB95">
      <w:pPr>
        <w:spacing w:line="360" w:lineRule="auto"/>
        <w:rPr>
          <w:rFonts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CF183F0">
      <w:pPr>
        <w:spacing w:line="360" w:lineRule="auto"/>
        <w:rPr>
          <w:rFonts w:hint="eastAsia" w:ascii="宋体" w:hAnsi="宋体"/>
          <w:szCs w:val="21"/>
        </w:rPr>
      </w:pPr>
    </w:p>
    <w:p w14:paraId="7787D31A">
      <w:pPr>
        <w:spacing w:line="360" w:lineRule="auto"/>
        <w:rPr>
          <w:rFonts w:hint="eastAsia" w:ascii="宋体" w:hAnsi="宋体"/>
          <w:szCs w:val="21"/>
        </w:rPr>
      </w:pPr>
    </w:p>
    <w:p w14:paraId="36CC4D44">
      <w:pPr>
        <w:pStyle w:val="3"/>
        <w:jc w:val="center"/>
        <w:rPr>
          <w:rFonts w:hint="eastAsia"/>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bookmarkStart w:id="627" w:name="_Toc184635135"/>
      <w:r>
        <w:rPr>
          <w:rFonts w:hint="eastAsia"/>
        </w:rPr>
        <w:t>第四</w:t>
      </w:r>
      <w:r>
        <w:rPr>
          <w:rFonts w:hint="eastAsia"/>
          <w:szCs w:val="32"/>
        </w:rPr>
        <w:t>卷</w:t>
      </w:r>
      <w:bookmarkEnd w:id="627"/>
    </w:p>
    <w:p w14:paraId="7F97599E">
      <w:pPr>
        <w:spacing w:line="360" w:lineRule="auto"/>
        <w:rPr>
          <w:rFonts w:hint="eastAsia" w:ascii="宋体" w:hAnsi="宋体"/>
          <w:szCs w:val="21"/>
        </w:rPr>
      </w:pPr>
    </w:p>
    <w:p w14:paraId="03057B9D">
      <w:pPr>
        <w:pStyle w:val="3"/>
        <w:jc w:val="center"/>
        <w:rPr>
          <w:rFonts w:hint="eastAsia"/>
        </w:rPr>
      </w:pPr>
      <w:bookmarkStart w:id="628" w:name="_Toc184635136"/>
      <w:r>
        <w:rPr>
          <w:rFonts w:hint="eastAsia"/>
        </w:rPr>
        <w:t>第八章 投标文件格式</w:t>
      </w:r>
      <w:bookmarkEnd w:id="628"/>
    </w:p>
    <w:p w14:paraId="0D0EFC3E">
      <w:pPr>
        <w:spacing w:line="360" w:lineRule="auto"/>
        <w:rPr>
          <w:rFonts w:hint="eastAsia" w:ascii="宋体" w:hAnsi="宋体"/>
          <w:szCs w:val="21"/>
        </w:rPr>
      </w:pPr>
    </w:p>
    <w:p w14:paraId="58A53770">
      <w:pPr>
        <w:spacing w:line="360" w:lineRule="auto"/>
        <w:rPr>
          <w:rFonts w:hint="eastAsia" w:ascii="宋体" w:hAnsi="宋体"/>
          <w:szCs w:val="21"/>
        </w:rPr>
      </w:pPr>
    </w:p>
    <w:p w14:paraId="4FA864F1">
      <w:pPr>
        <w:spacing w:line="360" w:lineRule="auto"/>
        <w:rPr>
          <w:rFonts w:hint="eastAsia" w:ascii="宋体" w:hAnsi="宋体"/>
          <w:szCs w:val="21"/>
        </w:rPr>
      </w:pPr>
    </w:p>
    <w:p w14:paraId="52232076">
      <w:pPr>
        <w:spacing w:line="360" w:lineRule="auto"/>
        <w:rPr>
          <w:rFonts w:hint="eastAsia" w:ascii="宋体" w:hAnsi="宋体"/>
          <w:szCs w:val="21"/>
        </w:rPr>
      </w:pPr>
    </w:p>
    <w:p w14:paraId="2BFB601E">
      <w:pPr>
        <w:spacing w:line="360" w:lineRule="auto"/>
        <w:rPr>
          <w:rFonts w:hint="eastAsia" w:ascii="宋体" w:hAnsi="宋体"/>
          <w:szCs w:val="21"/>
        </w:rPr>
      </w:pPr>
    </w:p>
    <w:p w14:paraId="5E7183DF">
      <w:pPr>
        <w:spacing w:line="360" w:lineRule="auto"/>
        <w:rPr>
          <w:rFonts w:hint="eastAsia" w:ascii="宋体" w:hAnsi="宋体"/>
          <w:szCs w:val="21"/>
        </w:rPr>
      </w:pPr>
    </w:p>
    <w:p w14:paraId="52537E0A">
      <w:pPr>
        <w:spacing w:line="360" w:lineRule="auto"/>
        <w:rPr>
          <w:rFonts w:hint="eastAsia" w:ascii="宋体" w:hAnsi="宋体"/>
          <w:szCs w:val="21"/>
        </w:rPr>
      </w:pPr>
    </w:p>
    <w:p w14:paraId="233CB1AE">
      <w:pPr>
        <w:spacing w:line="360" w:lineRule="auto"/>
        <w:rPr>
          <w:rFonts w:hint="eastAsia" w:ascii="宋体" w:hAnsi="宋体"/>
          <w:szCs w:val="21"/>
        </w:rPr>
      </w:pPr>
    </w:p>
    <w:p w14:paraId="26935A36">
      <w:pPr>
        <w:spacing w:line="360" w:lineRule="auto"/>
        <w:rPr>
          <w:rFonts w:hint="eastAsia" w:ascii="宋体" w:hAnsi="宋体"/>
          <w:szCs w:val="21"/>
        </w:rPr>
      </w:pPr>
    </w:p>
    <w:p w14:paraId="0B39A03C">
      <w:pPr>
        <w:spacing w:line="360" w:lineRule="auto"/>
        <w:rPr>
          <w:rFonts w:hint="eastAsia" w:ascii="宋体" w:hAnsi="宋体"/>
          <w:szCs w:val="21"/>
        </w:rPr>
      </w:pPr>
    </w:p>
    <w:p w14:paraId="19038364">
      <w:pPr>
        <w:spacing w:line="360" w:lineRule="auto"/>
        <w:rPr>
          <w:rFonts w:hint="eastAsia" w:ascii="宋体" w:hAnsi="宋体"/>
          <w:szCs w:val="21"/>
        </w:rPr>
      </w:pPr>
    </w:p>
    <w:p w14:paraId="245BE964">
      <w:pPr>
        <w:spacing w:line="360" w:lineRule="auto"/>
        <w:rPr>
          <w:rFonts w:hint="eastAsia" w:ascii="宋体" w:hAnsi="宋体"/>
          <w:szCs w:val="21"/>
        </w:rPr>
      </w:pPr>
    </w:p>
    <w:p w14:paraId="3E5F439F">
      <w:pPr>
        <w:spacing w:line="360" w:lineRule="auto"/>
        <w:rPr>
          <w:rFonts w:hint="eastAsia" w:ascii="宋体" w:hAnsi="宋体"/>
          <w:szCs w:val="21"/>
        </w:rPr>
      </w:pPr>
    </w:p>
    <w:p w14:paraId="1EB195C1">
      <w:pPr>
        <w:spacing w:line="360" w:lineRule="auto"/>
        <w:rPr>
          <w:rFonts w:hint="eastAsia" w:ascii="宋体" w:hAnsi="宋体"/>
          <w:szCs w:val="21"/>
        </w:rPr>
      </w:pPr>
    </w:p>
    <w:p w14:paraId="0075C810">
      <w:pPr>
        <w:spacing w:line="360" w:lineRule="auto"/>
        <w:rPr>
          <w:rFonts w:hint="eastAsia" w:ascii="宋体" w:hAnsi="宋体"/>
          <w:szCs w:val="21"/>
        </w:rPr>
      </w:pPr>
    </w:p>
    <w:p w14:paraId="7FDDF296">
      <w:pPr>
        <w:spacing w:line="360" w:lineRule="auto"/>
        <w:rPr>
          <w:rFonts w:hint="eastAsia" w:ascii="宋体" w:hAnsi="宋体"/>
          <w:szCs w:val="21"/>
        </w:rPr>
      </w:pPr>
    </w:p>
    <w:p w14:paraId="4E88D99C">
      <w:pPr>
        <w:spacing w:line="360" w:lineRule="auto"/>
        <w:rPr>
          <w:rFonts w:hint="eastAsia" w:ascii="宋体" w:hAnsi="宋体"/>
          <w:szCs w:val="21"/>
        </w:rPr>
      </w:pPr>
    </w:p>
    <w:p w14:paraId="4D8269D6">
      <w:pPr>
        <w:spacing w:line="360" w:lineRule="auto"/>
        <w:rPr>
          <w:rFonts w:hint="eastAsia" w:ascii="宋体" w:hAnsi="宋体"/>
          <w:szCs w:val="21"/>
        </w:rPr>
      </w:pPr>
    </w:p>
    <w:p w14:paraId="3673F54E">
      <w:pPr>
        <w:spacing w:line="360" w:lineRule="auto"/>
        <w:rPr>
          <w:rFonts w:hint="eastAsia" w:ascii="宋体" w:hAnsi="宋体"/>
          <w:szCs w:val="21"/>
        </w:rPr>
      </w:pPr>
    </w:p>
    <w:p w14:paraId="3A62C891">
      <w:pPr>
        <w:spacing w:line="360" w:lineRule="auto"/>
        <w:rPr>
          <w:rFonts w:hint="eastAsia" w:ascii="宋体" w:hAnsi="宋体"/>
          <w:szCs w:val="21"/>
        </w:rPr>
      </w:pPr>
    </w:p>
    <w:p w14:paraId="7800FD53">
      <w:pPr>
        <w:spacing w:line="360" w:lineRule="auto"/>
        <w:rPr>
          <w:rFonts w:hint="eastAsia" w:ascii="宋体" w:hAnsi="宋体"/>
          <w:szCs w:val="21"/>
        </w:rPr>
      </w:pPr>
    </w:p>
    <w:p w14:paraId="4C194A84">
      <w:pPr>
        <w:spacing w:line="360" w:lineRule="auto"/>
        <w:rPr>
          <w:rFonts w:hint="eastAsia" w:ascii="宋体" w:hAnsi="宋体"/>
          <w:szCs w:val="21"/>
        </w:rPr>
      </w:pPr>
    </w:p>
    <w:p w14:paraId="43C910A7">
      <w:pPr>
        <w:spacing w:line="360" w:lineRule="auto"/>
        <w:rPr>
          <w:rFonts w:hint="eastAsia" w:ascii="宋体" w:hAnsi="宋体"/>
          <w:szCs w:val="21"/>
        </w:rPr>
      </w:pPr>
    </w:p>
    <w:p w14:paraId="2EE95BEE">
      <w:pPr>
        <w:spacing w:line="360" w:lineRule="auto"/>
        <w:rPr>
          <w:rFonts w:hint="eastAsia" w:ascii="宋体" w:hAnsi="宋体"/>
          <w:szCs w:val="21"/>
        </w:rPr>
      </w:pPr>
    </w:p>
    <w:p w14:paraId="57D64BDD">
      <w:pPr>
        <w:spacing w:line="360" w:lineRule="auto"/>
        <w:rPr>
          <w:rFonts w:hint="eastAsia" w:ascii="宋体" w:hAnsi="宋体"/>
          <w:szCs w:val="21"/>
        </w:rPr>
      </w:pPr>
    </w:p>
    <w:p w14:paraId="7F351BE8">
      <w:pPr>
        <w:spacing w:line="360" w:lineRule="auto"/>
        <w:rPr>
          <w:rFonts w:hint="eastAsia" w:ascii="宋体" w:hAnsi="宋体"/>
          <w:szCs w:val="21"/>
        </w:rPr>
      </w:pPr>
    </w:p>
    <w:p w14:paraId="37A21CC9">
      <w:pPr>
        <w:spacing w:line="360" w:lineRule="auto"/>
        <w:rPr>
          <w:rFonts w:hint="eastAsia" w:ascii="宋体" w:hAnsi="宋体"/>
          <w:szCs w:val="21"/>
        </w:rPr>
      </w:pPr>
    </w:p>
    <w:p w14:paraId="10C3FC77">
      <w:pPr>
        <w:spacing w:line="360" w:lineRule="auto"/>
        <w:rPr>
          <w:rFonts w:hint="eastAsia" w:ascii="宋体" w:hAnsi="宋体"/>
          <w:szCs w:val="21"/>
        </w:rPr>
      </w:pPr>
    </w:p>
    <w:p w14:paraId="37D99C8C">
      <w:pPr>
        <w:spacing w:line="360" w:lineRule="auto"/>
        <w:rPr>
          <w:rFonts w:hint="eastAsia" w:ascii="宋体" w:hAnsi="宋体"/>
          <w:szCs w:val="21"/>
        </w:rPr>
      </w:pPr>
    </w:p>
    <w:p w14:paraId="48532CE9">
      <w:pPr>
        <w:spacing w:line="360" w:lineRule="auto"/>
        <w:rPr>
          <w:rFonts w:hint="eastAsia" w:ascii="宋体" w:hAnsi="宋体"/>
          <w:szCs w:val="21"/>
        </w:rPr>
      </w:pPr>
    </w:p>
    <w:p w14:paraId="666E0FFA">
      <w:pPr>
        <w:spacing w:line="360" w:lineRule="auto"/>
        <w:rPr>
          <w:rFonts w:hint="eastAsia" w:ascii="宋体" w:hAnsi="宋体"/>
          <w:szCs w:val="21"/>
        </w:rPr>
      </w:pPr>
    </w:p>
    <w:p w14:paraId="06D2550C">
      <w:pPr>
        <w:spacing w:line="360" w:lineRule="auto"/>
        <w:rPr>
          <w:rFonts w:hint="eastAsia" w:ascii="宋体" w:hAnsi="宋体"/>
          <w:szCs w:val="21"/>
        </w:rPr>
      </w:pPr>
    </w:p>
    <w:p w14:paraId="75E0B36A">
      <w:pPr>
        <w:spacing w:line="360" w:lineRule="auto"/>
        <w:jc w:val="right"/>
        <w:rPr>
          <w:rFonts w:hint="eastAsia" w:ascii="宋体" w:hAnsi="宋体"/>
          <w:szCs w:val="21"/>
        </w:rPr>
      </w:pPr>
      <w:r>
        <w:rPr>
          <w:rFonts w:hint="eastAsia" w:ascii="宋体" w:hAnsi="宋体"/>
          <w:szCs w:val="21"/>
        </w:rPr>
        <w:t>正本（副本）</w:t>
      </w:r>
    </w:p>
    <w:p w14:paraId="46504FFC">
      <w:pPr>
        <w:spacing w:line="360" w:lineRule="auto"/>
        <w:ind w:firstLine="643" w:firstLineChars="200"/>
        <w:rPr>
          <w:rFonts w:ascii="宋体" w:hAnsi="宋体"/>
          <w:b/>
          <w:color w:val="auto"/>
          <w:sz w:val="32"/>
          <w:szCs w:val="32"/>
        </w:rPr>
      </w:pPr>
      <w:r>
        <w:rPr>
          <w:rFonts w:hint="eastAsia" w:ascii="宋体" w:hAnsi="宋体"/>
          <w:b/>
          <w:color w:val="auto"/>
          <w:sz w:val="32"/>
          <w:szCs w:val="32"/>
          <w:u w:val="single"/>
        </w:rPr>
        <w:t xml:space="preserve">                </w:t>
      </w:r>
      <w:r>
        <w:rPr>
          <w:rFonts w:hint="eastAsia" w:ascii="宋体" w:hAnsi="宋体"/>
          <w:b/>
          <w:color w:val="auto"/>
          <w:sz w:val="32"/>
          <w:szCs w:val="32"/>
        </w:rPr>
        <w:t>（项目名称）</w:t>
      </w:r>
      <w:r>
        <w:rPr>
          <w:rFonts w:hint="eastAsia" w:ascii="宋体" w:hAnsi="宋体"/>
          <w:b/>
          <w:color w:val="auto"/>
          <w:sz w:val="32"/>
          <w:szCs w:val="32"/>
          <w:u w:val="single"/>
        </w:rPr>
        <w:t xml:space="preserve">         </w:t>
      </w:r>
      <w:r>
        <w:rPr>
          <w:rFonts w:hint="eastAsia" w:ascii="宋体" w:hAnsi="宋体"/>
          <w:b/>
          <w:color w:val="auto"/>
          <w:sz w:val="32"/>
          <w:szCs w:val="32"/>
        </w:rPr>
        <w:t>标段施工招标</w:t>
      </w:r>
    </w:p>
    <w:p w14:paraId="395E8486">
      <w:pPr>
        <w:spacing w:line="360" w:lineRule="auto"/>
        <w:ind w:firstLine="420" w:firstLineChars="200"/>
        <w:rPr>
          <w:rFonts w:ascii="宋体" w:hAnsi="宋体"/>
          <w:szCs w:val="21"/>
        </w:rPr>
      </w:pPr>
    </w:p>
    <w:p w14:paraId="53150E09">
      <w:pPr>
        <w:spacing w:line="360" w:lineRule="auto"/>
        <w:ind w:firstLine="1440" w:firstLineChars="200"/>
        <w:jc w:val="center"/>
        <w:rPr>
          <w:rFonts w:ascii="宋体" w:hAnsi="宋体"/>
          <w:sz w:val="72"/>
          <w:szCs w:val="72"/>
        </w:rPr>
      </w:pPr>
      <w:r>
        <w:rPr>
          <w:rFonts w:hint="eastAsia" w:ascii="宋体" w:hAnsi="宋体"/>
          <w:sz w:val="72"/>
          <w:szCs w:val="72"/>
        </w:rPr>
        <w:t>投 标 文 件</w:t>
      </w:r>
    </w:p>
    <w:p w14:paraId="7B935955">
      <w:pPr>
        <w:spacing w:line="360" w:lineRule="auto"/>
        <w:ind w:firstLine="420" w:firstLineChars="200"/>
        <w:rPr>
          <w:rFonts w:hint="eastAsia" w:ascii="宋体" w:hAnsi="宋体"/>
          <w:szCs w:val="21"/>
        </w:rPr>
      </w:pPr>
    </w:p>
    <w:p w14:paraId="62911683">
      <w:pPr>
        <w:spacing w:line="360" w:lineRule="auto"/>
        <w:ind w:firstLine="420" w:firstLineChars="200"/>
        <w:rPr>
          <w:rFonts w:hint="eastAsia" w:ascii="宋体" w:hAnsi="宋体"/>
          <w:szCs w:val="21"/>
        </w:rPr>
      </w:pPr>
    </w:p>
    <w:p w14:paraId="76C5D596">
      <w:pPr>
        <w:spacing w:line="360" w:lineRule="auto"/>
        <w:ind w:firstLine="960" w:firstLineChars="200"/>
        <w:jc w:val="center"/>
        <w:rPr>
          <w:rFonts w:hint="eastAsia" w:ascii="宋体" w:hAnsi="宋体"/>
          <w:sz w:val="48"/>
          <w:szCs w:val="48"/>
        </w:rPr>
      </w:pPr>
      <w:r>
        <w:rPr>
          <w:rFonts w:hint="eastAsia" w:ascii="宋体" w:hAnsi="宋体"/>
          <w:sz w:val="48"/>
          <w:szCs w:val="48"/>
        </w:rPr>
        <w:t>资格标函</w:t>
      </w:r>
    </w:p>
    <w:p w14:paraId="08BBB026">
      <w:pPr>
        <w:spacing w:line="360" w:lineRule="auto"/>
        <w:ind w:firstLine="420" w:firstLineChars="200"/>
        <w:rPr>
          <w:rFonts w:hint="eastAsia" w:ascii="宋体" w:hAnsi="宋体"/>
          <w:szCs w:val="21"/>
        </w:rPr>
      </w:pPr>
    </w:p>
    <w:p w14:paraId="0CAEF0FD">
      <w:pPr>
        <w:spacing w:line="360" w:lineRule="auto"/>
        <w:ind w:firstLine="420" w:firstLineChars="200"/>
        <w:rPr>
          <w:rFonts w:hint="eastAsia" w:ascii="宋体" w:hAnsi="宋体"/>
          <w:szCs w:val="21"/>
        </w:rPr>
      </w:pPr>
    </w:p>
    <w:p w14:paraId="57E4D7D1">
      <w:pPr>
        <w:spacing w:line="360" w:lineRule="auto"/>
        <w:rPr>
          <w:rFonts w:hint="eastAsia" w:ascii="宋体" w:hAnsi="宋体"/>
          <w:szCs w:val="21"/>
        </w:rPr>
      </w:pPr>
    </w:p>
    <w:p w14:paraId="1D97231E">
      <w:pPr>
        <w:spacing w:line="360" w:lineRule="auto"/>
        <w:ind w:firstLine="420" w:firstLineChars="200"/>
        <w:rPr>
          <w:rFonts w:hint="eastAsia" w:ascii="宋体" w:hAnsi="宋体"/>
          <w:szCs w:val="21"/>
        </w:rPr>
      </w:pPr>
    </w:p>
    <w:p w14:paraId="1F0AB78D">
      <w:pPr>
        <w:spacing w:line="360" w:lineRule="auto"/>
        <w:rPr>
          <w:rFonts w:hint="eastAsia" w:ascii="宋体" w:hAnsi="宋体"/>
          <w:szCs w:val="21"/>
        </w:rPr>
      </w:pPr>
    </w:p>
    <w:p w14:paraId="45F3EBD7">
      <w:pPr>
        <w:spacing w:line="360" w:lineRule="auto"/>
        <w:ind w:firstLine="420" w:firstLineChars="200"/>
        <w:rPr>
          <w:rFonts w:hint="eastAsia" w:ascii="宋体" w:hAnsi="宋体"/>
          <w:szCs w:val="21"/>
        </w:rPr>
      </w:pPr>
    </w:p>
    <w:p w14:paraId="2EA0A6C2">
      <w:pPr>
        <w:spacing w:line="360" w:lineRule="auto"/>
        <w:ind w:firstLine="420" w:firstLineChars="200"/>
        <w:rPr>
          <w:rFonts w:hint="eastAsia" w:ascii="宋体" w:hAnsi="宋体"/>
          <w:szCs w:val="21"/>
        </w:rPr>
      </w:pPr>
    </w:p>
    <w:p w14:paraId="557512FB">
      <w:pPr>
        <w:spacing w:line="360" w:lineRule="auto"/>
        <w:ind w:firstLine="420" w:firstLineChars="200"/>
        <w:rPr>
          <w:rFonts w:hint="eastAsia" w:ascii="宋体" w:hAnsi="宋体"/>
          <w:szCs w:val="21"/>
        </w:rPr>
      </w:pPr>
    </w:p>
    <w:p w14:paraId="20A95BD6">
      <w:pPr>
        <w:spacing w:line="360" w:lineRule="auto"/>
        <w:jc w:val="center"/>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（盖单位公章）</w:t>
      </w:r>
    </w:p>
    <w:p w14:paraId="7B7D8120">
      <w:pPr>
        <w:spacing w:line="360" w:lineRule="auto"/>
        <w:ind w:firstLine="1680" w:firstLineChars="600"/>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0B8B6C39">
      <w:pPr>
        <w:spacing w:line="360" w:lineRule="auto"/>
        <w:jc w:val="center"/>
        <w:rPr>
          <w:rFonts w:hint="eastAsia" w:ascii="宋体" w:hAnsi="宋体"/>
          <w:szCs w:val="21"/>
          <w:u w:val="single"/>
        </w:rPr>
      </w:pPr>
    </w:p>
    <w:p w14:paraId="2E461721">
      <w:pPr>
        <w:spacing w:line="360" w:lineRule="auto"/>
        <w:jc w:val="center"/>
        <w:rPr>
          <w:rFonts w:hint="eastAsia" w:ascii="宋体" w:hAnsi="宋体"/>
          <w:sz w:val="28"/>
          <w:szCs w:val="28"/>
        </w:r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DAB5E69">
      <w:pPr>
        <w:spacing w:line="360" w:lineRule="auto"/>
        <w:jc w:val="left"/>
        <w:rPr>
          <w:rFonts w:hint="eastAsia" w:ascii="宋体" w:hAnsi="宋体"/>
          <w:szCs w:val="21"/>
        </w:rPr>
      </w:pPr>
    </w:p>
    <w:p w14:paraId="7EFC20C8">
      <w:pPr>
        <w:spacing w:line="360" w:lineRule="auto"/>
        <w:jc w:val="left"/>
        <w:rPr>
          <w:rFonts w:hint="eastAsia" w:ascii="宋体" w:hAnsi="宋体"/>
          <w:szCs w:val="21"/>
        </w:rPr>
      </w:pPr>
      <w:r>
        <w:rPr>
          <w:rFonts w:hint="eastAsia" w:ascii="宋体" w:hAnsi="宋体"/>
          <w:szCs w:val="21"/>
        </w:rPr>
        <w:t>说明：本封面仅供参考，格式由投标人自定，但必须包括工程名称、“正本”或“副本”字样（电子标书免）、“资格标”或“资格标函”字样、投标人名称、投标人单位公章、投标人法定代表人或其委托代理人签字。</w:t>
      </w:r>
    </w:p>
    <w:p w14:paraId="7A09D351">
      <w:pPr>
        <w:spacing w:line="360" w:lineRule="auto"/>
        <w:jc w:val="left"/>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A3B5149">
      <w:pPr>
        <w:pStyle w:val="5"/>
        <w:jc w:val="center"/>
        <w:rPr>
          <w:rFonts w:hint="eastAsia"/>
          <w:sz w:val="28"/>
          <w:szCs w:val="28"/>
        </w:rPr>
      </w:pPr>
      <w:r>
        <w:rPr>
          <w:rFonts w:hint="eastAsia"/>
          <w:sz w:val="28"/>
          <w:szCs w:val="28"/>
        </w:rPr>
        <w:t>目  录</w:t>
      </w:r>
    </w:p>
    <w:p w14:paraId="347647C2">
      <w:pPr>
        <w:spacing w:line="360" w:lineRule="auto"/>
        <w:ind w:firstLine="422" w:firstLineChars="200"/>
        <w:jc w:val="center"/>
        <w:rPr>
          <w:rFonts w:hint="eastAsia" w:ascii="宋体" w:hAnsi="宋体"/>
          <w:b/>
          <w:szCs w:val="21"/>
        </w:rPr>
      </w:pPr>
    </w:p>
    <w:p w14:paraId="3BFD3319">
      <w:pPr>
        <w:spacing w:line="360" w:lineRule="auto"/>
        <w:ind w:firstLine="420" w:firstLineChars="200"/>
        <w:jc w:val="center"/>
        <w:rPr>
          <w:rFonts w:hint="eastAsia" w:ascii="宋体" w:hAnsi="宋体"/>
          <w:szCs w:val="21"/>
        </w:rPr>
      </w:pPr>
      <w:r>
        <w:rPr>
          <w:rFonts w:hint="eastAsia" w:ascii="宋体" w:hAnsi="宋体"/>
          <w:szCs w:val="21"/>
        </w:rPr>
        <w:t>资格标函</w:t>
      </w:r>
    </w:p>
    <w:p w14:paraId="6673EFF7">
      <w:pPr>
        <w:spacing w:line="360" w:lineRule="auto"/>
        <w:ind w:firstLine="420" w:firstLineChars="200"/>
        <w:jc w:val="center"/>
        <w:rPr>
          <w:rFonts w:hint="eastAsia" w:ascii="宋体" w:hAnsi="宋体"/>
          <w:szCs w:val="21"/>
        </w:rPr>
      </w:pPr>
    </w:p>
    <w:p w14:paraId="41E1B562">
      <w:pPr>
        <w:spacing w:line="360" w:lineRule="auto"/>
        <w:ind w:firstLine="420" w:firstLineChars="200"/>
        <w:rPr>
          <w:rFonts w:hint="eastAsia" w:ascii="宋体" w:hAnsi="宋体"/>
          <w:szCs w:val="21"/>
        </w:rPr>
      </w:pPr>
      <w:r>
        <w:rPr>
          <w:rFonts w:hint="eastAsia" w:ascii="宋体" w:hAnsi="宋体"/>
          <w:szCs w:val="21"/>
        </w:rPr>
        <w:t>一、法定代表人身份证及有效法定代表人证明；</w:t>
      </w:r>
    </w:p>
    <w:p w14:paraId="19B1B5C9">
      <w:pPr>
        <w:spacing w:line="360" w:lineRule="auto"/>
        <w:ind w:firstLine="420" w:firstLineChars="200"/>
        <w:rPr>
          <w:rFonts w:hint="eastAsia" w:ascii="宋体" w:hAnsi="宋体"/>
          <w:szCs w:val="21"/>
        </w:rPr>
      </w:pPr>
      <w:r>
        <w:rPr>
          <w:rFonts w:hint="eastAsia" w:ascii="宋体" w:hAnsi="宋体"/>
          <w:szCs w:val="21"/>
        </w:rPr>
        <w:t>二、委托代理人身份证及授权委托书（委托代理人参加投标的提供）；</w:t>
      </w:r>
    </w:p>
    <w:p w14:paraId="474C04B7">
      <w:pPr>
        <w:spacing w:line="360" w:lineRule="auto"/>
        <w:ind w:firstLine="420" w:firstLineChars="200"/>
        <w:rPr>
          <w:rFonts w:hint="eastAsia" w:ascii="宋体" w:hAnsi="宋体"/>
          <w:szCs w:val="21"/>
        </w:rPr>
      </w:pPr>
      <w:r>
        <w:rPr>
          <w:rFonts w:hint="eastAsia" w:ascii="宋体" w:hAnsi="宋体"/>
          <w:szCs w:val="21"/>
        </w:rPr>
        <w:t>三、项目负责人的注册建造师证；</w:t>
      </w:r>
    </w:p>
    <w:p w14:paraId="1297B592">
      <w:pPr>
        <w:spacing w:line="360" w:lineRule="auto"/>
        <w:ind w:firstLine="420" w:firstLineChars="200"/>
        <w:rPr>
          <w:rFonts w:hint="eastAsia" w:ascii="宋体" w:hAnsi="宋体"/>
          <w:szCs w:val="21"/>
        </w:rPr>
      </w:pPr>
      <w:r>
        <w:rPr>
          <w:rFonts w:hint="eastAsia" w:ascii="宋体" w:hAnsi="宋体"/>
          <w:szCs w:val="21"/>
        </w:rPr>
        <w:t>四、有效的营业执照；</w:t>
      </w:r>
    </w:p>
    <w:p w14:paraId="79AAF995">
      <w:pPr>
        <w:spacing w:line="360" w:lineRule="auto"/>
        <w:ind w:firstLine="420" w:firstLineChars="200"/>
        <w:rPr>
          <w:rFonts w:hint="eastAsia" w:ascii="宋体" w:hAnsi="宋体"/>
          <w:szCs w:val="21"/>
        </w:rPr>
      </w:pPr>
      <w:r>
        <w:rPr>
          <w:rFonts w:hint="eastAsia" w:ascii="宋体" w:hAnsi="宋体"/>
          <w:szCs w:val="21"/>
        </w:rPr>
        <w:t>五、资质证书；</w:t>
      </w:r>
    </w:p>
    <w:p w14:paraId="3AD3A10E">
      <w:pPr>
        <w:spacing w:line="360" w:lineRule="auto"/>
        <w:ind w:firstLine="420" w:firstLineChars="200"/>
        <w:rPr>
          <w:rFonts w:hint="eastAsia" w:ascii="宋体" w:hAnsi="宋体"/>
          <w:szCs w:val="21"/>
        </w:rPr>
      </w:pPr>
      <w:r>
        <w:rPr>
          <w:rFonts w:hint="eastAsia" w:ascii="宋体" w:hAnsi="宋体"/>
          <w:szCs w:val="21"/>
        </w:rPr>
        <w:t>六、安全生产许可证；</w:t>
      </w:r>
    </w:p>
    <w:p w14:paraId="7BF89521">
      <w:pPr>
        <w:spacing w:line="360" w:lineRule="auto"/>
        <w:ind w:firstLine="420" w:firstLineChars="200"/>
        <w:rPr>
          <w:rFonts w:hint="eastAsia" w:ascii="宋体" w:hAnsi="宋体" w:eastAsia="宋体" w:cs="Times New Roman"/>
          <w:szCs w:val="21"/>
          <w:lang w:eastAsia="zh-CN"/>
        </w:rPr>
      </w:pPr>
      <w:r>
        <w:rPr>
          <w:rFonts w:hint="eastAsia" w:ascii="宋体" w:hAnsi="宋体"/>
          <w:szCs w:val="21"/>
          <w:lang w:eastAsia="zh-CN"/>
        </w:rPr>
        <w:t>七</w:t>
      </w:r>
      <w:r>
        <w:rPr>
          <w:rFonts w:hint="eastAsia" w:ascii="宋体" w:hAnsi="宋体"/>
          <w:szCs w:val="21"/>
        </w:rPr>
        <w:t>、</w:t>
      </w:r>
      <w:r>
        <w:rPr>
          <w:rFonts w:hint="eastAsia" w:ascii="宋体" w:hAnsi="宋体" w:eastAsia="宋体" w:cs="Times New Roman"/>
          <w:szCs w:val="21"/>
        </w:rPr>
        <w:t>类似工程业绩表</w:t>
      </w:r>
      <w:r>
        <w:rPr>
          <w:rFonts w:hint="eastAsia" w:ascii="宋体" w:hAnsi="宋体" w:cs="Times New Roman"/>
          <w:szCs w:val="21"/>
          <w:lang w:eastAsia="zh-CN"/>
        </w:rPr>
        <w:t>；</w:t>
      </w:r>
    </w:p>
    <w:p w14:paraId="42A9BDB7">
      <w:pPr>
        <w:spacing w:line="360" w:lineRule="auto"/>
        <w:ind w:firstLine="420" w:firstLineChars="200"/>
        <w:rPr>
          <w:rFonts w:hint="eastAsia" w:ascii="宋体" w:hAnsi="宋体"/>
          <w:szCs w:val="21"/>
        </w:rPr>
      </w:pPr>
      <w:r>
        <w:rPr>
          <w:rFonts w:hint="eastAsia" w:ascii="宋体" w:hAnsi="宋体" w:cs="宋体"/>
          <w:szCs w:val="21"/>
          <w:lang w:eastAsia="zh-CN"/>
        </w:rPr>
        <w:t>八</w:t>
      </w:r>
      <w:r>
        <w:rPr>
          <w:rFonts w:hint="eastAsia" w:ascii="宋体" w:hAnsi="宋体" w:cs="宋体"/>
          <w:szCs w:val="21"/>
        </w:rPr>
        <w:t>、</w:t>
      </w:r>
      <w:r>
        <w:rPr>
          <w:rFonts w:hint="eastAsia" w:ascii="宋体" w:hAnsi="宋体"/>
          <w:szCs w:val="21"/>
        </w:rPr>
        <w:t>投标人须知前附表1.4.1要求的</w:t>
      </w:r>
      <w:r>
        <w:rPr>
          <w:rFonts w:hint="eastAsia" w:ascii="宋体" w:hAnsi="宋体"/>
          <w:szCs w:val="21"/>
          <w:lang w:eastAsia="zh-CN"/>
        </w:rPr>
        <w:t>其他</w:t>
      </w:r>
      <w:r>
        <w:rPr>
          <w:rFonts w:hint="eastAsia" w:ascii="宋体" w:hAnsi="宋体"/>
          <w:szCs w:val="21"/>
        </w:rPr>
        <w:t>资料；</w:t>
      </w:r>
    </w:p>
    <w:p w14:paraId="7DA4103E">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九、信用承诺书；</w:t>
      </w:r>
    </w:p>
    <w:p w14:paraId="2E9DFE5D">
      <w:pPr>
        <w:spacing w:line="360" w:lineRule="auto"/>
        <w:ind w:firstLine="420" w:firstLineChars="200"/>
        <w:rPr>
          <w:rFonts w:hint="eastAsia" w:ascii="宋体" w:hAnsi="宋体"/>
          <w:szCs w:val="21"/>
        </w:rPr>
      </w:pPr>
      <w:r>
        <w:rPr>
          <w:rFonts w:hint="eastAsia" w:ascii="宋体" w:hAnsi="宋体"/>
          <w:szCs w:val="21"/>
          <w:lang w:eastAsia="zh-CN"/>
        </w:rPr>
        <w:t>十</w:t>
      </w:r>
      <w:r>
        <w:rPr>
          <w:rFonts w:hint="eastAsia" w:ascii="宋体" w:hAnsi="宋体"/>
          <w:szCs w:val="21"/>
        </w:rPr>
        <w:t>、其他。</w:t>
      </w:r>
    </w:p>
    <w:p w14:paraId="5FD11C21">
      <w:pPr>
        <w:spacing w:line="360" w:lineRule="auto"/>
        <w:rPr>
          <w:rFonts w:hint="eastAsia" w:ascii="宋体" w:hAnsi="宋体"/>
          <w:szCs w:val="21"/>
        </w:rPr>
      </w:pPr>
      <w:r>
        <w:rPr>
          <w:rFonts w:hint="eastAsia" w:ascii="宋体" w:hAnsi="宋体"/>
          <w:szCs w:val="21"/>
        </w:rPr>
        <w:t>注：资格评审资料按评标办法前附表“资格评审标准</w:t>
      </w:r>
      <w:r>
        <w:rPr>
          <w:rFonts w:ascii="宋体" w:hAnsi="宋体"/>
          <w:szCs w:val="21"/>
        </w:rPr>
        <w:t>”</w:t>
      </w:r>
      <w:r>
        <w:rPr>
          <w:rFonts w:hint="eastAsia" w:ascii="宋体" w:hAnsi="宋体"/>
          <w:szCs w:val="21"/>
        </w:rPr>
        <w:t>的内容提供，同时</w:t>
      </w:r>
      <w:r>
        <w:rPr>
          <w:rFonts w:hint="eastAsia"/>
          <w:szCs w:val="21"/>
        </w:rPr>
        <w:t>可以按满足资格要求对资格标进行排版调整，不需要重复提供</w:t>
      </w:r>
      <w:r>
        <w:rPr>
          <w:rFonts w:hint="eastAsia" w:ascii="宋体" w:hAnsi="宋体"/>
          <w:szCs w:val="21"/>
        </w:rPr>
        <w:t>。</w:t>
      </w:r>
    </w:p>
    <w:p w14:paraId="13CC89EB">
      <w:pPr>
        <w:spacing w:line="360" w:lineRule="auto"/>
        <w:ind w:firstLine="422" w:firstLineChars="200"/>
        <w:rPr>
          <w:rFonts w:hint="eastAsia" w:ascii="宋体" w:hAnsi="宋体"/>
          <w:b/>
          <w:szCs w:val="21"/>
        </w:rPr>
      </w:pPr>
    </w:p>
    <w:p w14:paraId="354F7DFD">
      <w:pPr>
        <w:spacing w:line="360" w:lineRule="auto"/>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E883D8F">
      <w:pPr>
        <w:pStyle w:val="5"/>
        <w:jc w:val="center"/>
      </w:pPr>
      <w:r>
        <w:rPr>
          <w:rFonts w:hint="eastAsia"/>
        </w:rPr>
        <w:t>一、法定代表人身份证明</w:t>
      </w:r>
    </w:p>
    <w:p w14:paraId="2EB4FE78">
      <w:pPr>
        <w:spacing w:line="360" w:lineRule="auto"/>
        <w:ind w:firstLine="420" w:firstLineChars="200"/>
        <w:rPr>
          <w:rFonts w:hint="eastAsia" w:ascii="宋体" w:hAnsi="宋体"/>
          <w:szCs w:val="21"/>
        </w:rPr>
      </w:pPr>
    </w:p>
    <w:p w14:paraId="209226AC">
      <w:pPr>
        <w:spacing w:line="360" w:lineRule="auto"/>
        <w:ind w:firstLine="420" w:firstLineChars="200"/>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 xml:space="preserve"> </w:t>
      </w:r>
    </w:p>
    <w:p w14:paraId="03049EFC">
      <w:pPr>
        <w:spacing w:line="360" w:lineRule="auto"/>
        <w:ind w:firstLine="420" w:firstLineChars="200"/>
        <w:rPr>
          <w:rFonts w:hint="eastAsia" w:ascii="宋体" w:hAnsi="宋体"/>
          <w:szCs w:val="21"/>
        </w:rPr>
      </w:pPr>
      <w:r>
        <w:rPr>
          <w:rFonts w:hint="eastAsia" w:ascii="宋体" w:hAnsi="宋体"/>
          <w:szCs w:val="21"/>
        </w:rPr>
        <w:t>单位性质：</w:t>
      </w:r>
      <w:r>
        <w:rPr>
          <w:rFonts w:hint="eastAsia" w:ascii="宋体" w:hAnsi="宋体"/>
          <w:szCs w:val="21"/>
          <w:u w:val="single"/>
        </w:rPr>
        <w:t xml:space="preserve">                                  </w:t>
      </w:r>
      <w:r>
        <w:rPr>
          <w:rFonts w:hint="eastAsia" w:ascii="宋体" w:hAnsi="宋体"/>
          <w:szCs w:val="21"/>
        </w:rPr>
        <w:t xml:space="preserve"> </w:t>
      </w:r>
    </w:p>
    <w:p w14:paraId="63CFAF33">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p>
    <w:p w14:paraId="3574E97A">
      <w:pPr>
        <w:spacing w:line="360" w:lineRule="auto"/>
        <w:ind w:firstLine="420" w:firstLineChars="200"/>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2E93E90">
      <w:pPr>
        <w:spacing w:line="360" w:lineRule="auto"/>
        <w:ind w:firstLine="420" w:firstLineChars="200"/>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r>
        <w:rPr>
          <w:rFonts w:hint="eastAsia" w:ascii="宋体" w:hAnsi="宋体"/>
          <w:szCs w:val="21"/>
        </w:rPr>
        <w:t xml:space="preserve"> </w:t>
      </w:r>
    </w:p>
    <w:p w14:paraId="16B1C576">
      <w:pPr>
        <w:spacing w:line="360" w:lineRule="auto"/>
        <w:ind w:firstLine="420" w:firstLineChars="200"/>
        <w:rPr>
          <w:rFonts w:hint="eastAsia"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_</w:t>
      </w:r>
    </w:p>
    <w:p w14:paraId="2AD7C59C">
      <w:pPr>
        <w:spacing w:line="360" w:lineRule="auto"/>
        <w:ind w:firstLine="420" w:firstLineChars="200"/>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0C3D46C8">
      <w:pPr>
        <w:spacing w:line="360" w:lineRule="auto"/>
        <w:ind w:firstLine="840" w:firstLineChars="400"/>
        <w:rPr>
          <w:rFonts w:ascii="宋体" w:hAnsi="宋体"/>
          <w:szCs w:val="21"/>
        </w:rPr>
      </w:pPr>
      <w:r>
        <w:rPr>
          <w:rFonts w:hint="eastAsia" w:ascii="宋体" w:hAnsi="宋体"/>
          <w:szCs w:val="21"/>
        </w:rPr>
        <w:t>特此证明。</w:t>
      </w:r>
    </w:p>
    <w:p w14:paraId="264AA401">
      <w:pPr>
        <w:spacing w:line="360" w:lineRule="auto"/>
        <w:ind w:firstLine="420" w:firstLineChars="200"/>
        <w:rPr>
          <w:rFonts w:hint="eastAsia" w:ascii="宋体" w:hAnsi="宋体"/>
          <w:szCs w:val="21"/>
        </w:rPr>
      </w:pPr>
    </w:p>
    <w:p w14:paraId="5D63A312">
      <w:pPr>
        <w:spacing w:line="360" w:lineRule="auto"/>
        <w:ind w:firstLine="420" w:firstLineChars="200"/>
        <w:rPr>
          <w:rFonts w:hint="eastAsia" w:ascii="宋体" w:hAnsi="宋体"/>
          <w:szCs w:val="21"/>
        </w:rPr>
      </w:pPr>
    </w:p>
    <w:p w14:paraId="646CA0A7">
      <w:pPr>
        <w:spacing w:line="360" w:lineRule="auto"/>
        <w:ind w:firstLine="420" w:firstLineChars="200"/>
        <w:rPr>
          <w:rFonts w:hint="eastAsia" w:ascii="宋体" w:hAnsi="宋体"/>
          <w:szCs w:val="21"/>
        </w:rPr>
      </w:pPr>
      <w:r>
        <w:rPr>
          <w:rFonts w:hint="eastAsia" w:ascii="宋体" w:hAnsi="宋体"/>
          <w:szCs w:val="21"/>
        </w:rPr>
        <w:t>附：法定代表人身份证复印件加盖公章</w:t>
      </w:r>
    </w:p>
    <w:p w14:paraId="44E9E609">
      <w:pPr>
        <w:spacing w:line="360" w:lineRule="auto"/>
        <w:ind w:firstLine="4200" w:firstLineChars="20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14:paraId="0F8D1761">
      <w:pPr>
        <w:spacing w:line="360" w:lineRule="auto"/>
        <w:ind w:firstLine="4515" w:firstLineChars="2150"/>
        <w:rPr>
          <w:rFonts w:hint="eastAsia" w:ascii="宋体" w:hAnsi="宋体"/>
          <w:szCs w:val="21"/>
          <w:u w:val="single"/>
        </w:rPr>
      </w:pPr>
    </w:p>
    <w:p w14:paraId="5A87C0D0">
      <w:pPr>
        <w:spacing w:line="360" w:lineRule="auto"/>
        <w:ind w:firstLine="4515" w:firstLineChars="215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383E81C">
      <w:pPr>
        <w:spacing w:line="360" w:lineRule="auto"/>
        <w:ind w:firstLine="420" w:firstLineChars="200"/>
        <w:rPr>
          <w:rFonts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421EB3D">
      <w:pPr>
        <w:pStyle w:val="5"/>
        <w:jc w:val="center"/>
      </w:pPr>
      <w:r>
        <w:rPr>
          <w:rFonts w:hint="eastAsia"/>
        </w:rPr>
        <w:t>二、授权委托书</w:t>
      </w:r>
    </w:p>
    <w:p w14:paraId="69033C5C">
      <w:pPr>
        <w:spacing w:line="360" w:lineRule="auto"/>
        <w:ind w:firstLine="420" w:firstLineChars="200"/>
        <w:rPr>
          <w:rFonts w:hint="eastAsia" w:ascii="宋体" w:hAnsi="宋体"/>
          <w:szCs w:val="21"/>
        </w:rPr>
      </w:pPr>
    </w:p>
    <w:p w14:paraId="1883BE2A">
      <w:pPr>
        <w:spacing w:line="360" w:lineRule="auto"/>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14:paraId="42DD8A62">
      <w:pPr>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（委托期限建议超过投标有效期，以免发生不必要的废标。）</w:t>
      </w:r>
    </w:p>
    <w:p w14:paraId="46571541">
      <w:pPr>
        <w:spacing w:line="360" w:lineRule="auto"/>
        <w:ind w:firstLine="420" w:firstLineChars="200"/>
        <w:rPr>
          <w:rFonts w:hint="eastAsia" w:ascii="宋体" w:hAnsi="宋体"/>
          <w:szCs w:val="21"/>
        </w:rPr>
      </w:pPr>
    </w:p>
    <w:p w14:paraId="0A1342FB">
      <w:pPr>
        <w:spacing w:line="360" w:lineRule="auto"/>
        <w:ind w:firstLine="420" w:firstLineChars="200"/>
        <w:rPr>
          <w:rFonts w:hint="eastAsia" w:ascii="宋体" w:hAnsi="宋体"/>
          <w:szCs w:val="21"/>
        </w:rPr>
      </w:pPr>
      <w:r>
        <w:rPr>
          <w:rFonts w:hint="eastAsia" w:ascii="宋体" w:hAnsi="宋体"/>
          <w:szCs w:val="21"/>
        </w:rPr>
        <w:t>代理人无转委托权。</w:t>
      </w:r>
    </w:p>
    <w:p w14:paraId="2860D150">
      <w:pPr>
        <w:spacing w:line="360" w:lineRule="auto"/>
        <w:ind w:firstLine="420" w:firstLineChars="200"/>
        <w:rPr>
          <w:rFonts w:ascii="宋体" w:hAnsi="宋体"/>
          <w:szCs w:val="21"/>
        </w:rPr>
      </w:pPr>
      <w:r>
        <w:rPr>
          <w:rFonts w:hint="eastAsia" w:ascii="宋体" w:hAnsi="宋体"/>
          <w:szCs w:val="21"/>
        </w:rPr>
        <w:t>附：委托代理人身份证复印件加盖公章</w:t>
      </w:r>
    </w:p>
    <w:p w14:paraId="75FD19A8">
      <w:pPr>
        <w:spacing w:line="360" w:lineRule="auto"/>
        <w:ind w:firstLine="420" w:firstLineChars="200"/>
        <w:rPr>
          <w:rFonts w:hint="eastAsia" w:ascii="宋体" w:hAnsi="宋体"/>
          <w:szCs w:val="21"/>
        </w:rPr>
      </w:pPr>
    </w:p>
    <w:p w14:paraId="7116B678">
      <w:pPr>
        <w:spacing w:line="360" w:lineRule="auto"/>
        <w:ind w:firstLine="420" w:firstLineChars="200"/>
        <w:rPr>
          <w:rFonts w:hint="eastAsia" w:ascii="宋体" w:hAnsi="宋体"/>
          <w:szCs w:val="21"/>
        </w:rPr>
      </w:pPr>
    </w:p>
    <w:p w14:paraId="267797EF">
      <w:pPr>
        <w:spacing w:line="360" w:lineRule="auto"/>
        <w:ind w:firstLine="420" w:firstLineChars="200"/>
        <w:jc w:val="right"/>
        <w:rPr>
          <w:rFonts w:hint="eastAsia" w:ascii="宋体" w:hAnsi="宋体"/>
          <w:szCs w:val="21"/>
        </w:rPr>
      </w:pPr>
    </w:p>
    <w:p w14:paraId="4CE05145">
      <w:pPr>
        <w:spacing w:line="360" w:lineRule="auto"/>
        <w:jc w:val="righ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14:paraId="33A50ED6">
      <w:pPr>
        <w:spacing w:line="360" w:lineRule="auto"/>
        <w:ind w:firstLine="420" w:firstLineChars="200"/>
        <w:rPr>
          <w:rFonts w:ascii="宋体" w:hAnsi="宋体"/>
          <w:szCs w:val="21"/>
        </w:rPr>
      </w:pPr>
    </w:p>
    <w:p w14:paraId="76E64386">
      <w:pPr>
        <w:spacing w:line="360" w:lineRule="auto"/>
        <w:ind w:firstLine="4725" w:firstLineChars="225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w:t>
      </w:r>
    </w:p>
    <w:p w14:paraId="5568E03F">
      <w:pPr>
        <w:spacing w:line="360" w:lineRule="auto"/>
        <w:ind w:firstLine="420" w:firstLineChars="200"/>
        <w:rPr>
          <w:rFonts w:ascii="宋体" w:hAnsi="宋体"/>
          <w:szCs w:val="21"/>
        </w:rPr>
      </w:pPr>
    </w:p>
    <w:p w14:paraId="7ACE8462">
      <w:pPr>
        <w:spacing w:line="360" w:lineRule="auto"/>
        <w:ind w:firstLine="4725" w:firstLineChars="2250"/>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14:paraId="5617EA5E">
      <w:pPr>
        <w:spacing w:line="360" w:lineRule="auto"/>
        <w:ind w:firstLine="420" w:firstLineChars="200"/>
        <w:rPr>
          <w:rFonts w:hint="eastAsia" w:ascii="宋体" w:hAnsi="宋体"/>
          <w:szCs w:val="21"/>
        </w:rPr>
      </w:pPr>
    </w:p>
    <w:p w14:paraId="2151B4BF">
      <w:pPr>
        <w:spacing w:line="360" w:lineRule="auto"/>
        <w:ind w:firstLine="4725" w:firstLineChars="225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14:paraId="1E72F377">
      <w:pPr>
        <w:spacing w:line="360" w:lineRule="auto"/>
        <w:ind w:firstLine="420" w:firstLineChars="200"/>
        <w:rPr>
          <w:rFonts w:ascii="宋体" w:hAnsi="宋体"/>
          <w:szCs w:val="21"/>
        </w:rPr>
      </w:pPr>
    </w:p>
    <w:p w14:paraId="2469B8BC">
      <w:pPr>
        <w:spacing w:line="360" w:lineRule="auto"/>
        <w:ind w:firstLine="4725" w:firstLineChars="225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41146FE">
      <w:pPr>
        <w:spacing w:line="360" w:lineRule="auto"/>
        <w:ind w:firstLine="4725" w:firstLineChars="2250"/>
        <w:rPr>
          <w:rFonts w:hint="eastAsia" w:ascii="宋体" w:hAnsi="宋体"/>
          <w:szCs w:val="21"/>
          <w:u w:val="single"/>
        </w:rPr>
      </w:pPr>
    </w:p>
    <w:p w14:paraId="67D52E36">
      <w:pPr>
        <w:spacing w:line="360" w:lineRule="auto"/>
        <w:ind w:firstLine="4725" w:firstLineChars="2250"/>
        <w:rPr>
          <w:rFonts w:hint="eastAsia" w:ascii="宋体" w:hAnsi="宋体"/>
          <w:szCs w:val="21"/>
          <w:u w:val="single"/>
        </w:rPr>
      </w:pPr>
      <w:r>
        <w:rPr>
          <w:rFonts w:hint="eastAsia" w:ascii="宋体" w:hAnsi="宋体"/>
          <w:szCs w:val="21"/>
        </w:rPr>
        <w:t xml:space="preserve">联系方式：  </w:t>
      </w:r>
      <w:r>
        <w:rPr>
          <w:rFonts w:hint="eastAsia" w:ascii="宋体" w:hAnsi="宋体"/>
          <w:szCs w:val="21"/>
          <w:u w:val="single"/>
        </w:rPr>
        <w:t xml:space="preserve">                                </w:t>
      </w:r>
      <w:r>
        <w:rPr>
          <w:rFonts w:hint="eastAsia" w:ascii="宋体" w:hAnsi="宋体"/>
          <w:szCs w:val="21"/>
        </w:rPr>
        <w:t xml:space="preserve">   </w:t>
      </w:r>
    </w:p>
    <w:p w14:paraId="00C009F3">
      <w:pPr>
        <w:spacing w:line="360" w:lineRule="auto"/>
        <w:ind w:firstLine="5355" w:firstLineChars="2550"/>
        <w:rPr>
          <w:rFonts w:hint="eastAsia" w:ascii="宋体" w:hAnsi="宋体"/>
          <w:szCs w:val="21"/>
        </w:rPr>
      </w:pPr>
    </w:p>
    <w:p w14:paraId="6026B459">
      <w:pPr>
        <w:spacing w:line="360" w:lineRule="auto"/>
        <w:ind w:firstLine="5040" w:firstLineChars="24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04C8FC4">
      <w:pPr>
        <w:spacing w:line="360" w:lineRule="auto"/>
        <w:ind w:firstLine="420" w:firstLineChars="200"/>
        <w:rPr>
          <w:rFonts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650455C">
      <w:pPr>
        <w:spacing w:line="360" w:lineRule="auto"/>
        <w:jc w:val="center"/>
        <w:rPr>
          <w:rFonts w:hint="eastAsia"/>
          <w:b/>
          <w:sz w:val="24"/>
        </w:rPr>
      </w:pPr>
      <w:r>
        <w:rPr>
          <w:rFonts w:hint="eastAsia"/>
          <w:b/>
          <w:sz w:val="24"/>
        </w:rPr>
        <w:t>三、项目负责人的注册建造师证</w:t>
      </w:r>
    </w:p>
    <w:p w14:paraId="32D832CF">
      <w:pPr>
        <w:spacing w:line="360" w:lineRule="auto"/>
        <w:jc w:val="center"/>
        <w:rPr>
          <w:rFonts w:hint="eastAsia"/>
          <w:b/>
          <w:sz w:val="24"/>
        </w:rPr>
      </w:pPr>
    </w:p>
    <w:p w14:paraId="35AB6CDB">
      <w:pPr>
        <w:spacing w:line="360" w:lineRule="auto"/>
        <w:jc w:val="center"/>
        <w:rPr>
          <w:rFonts w:hint="eastAsia"/>
          <w:b/>
          <w:sz w:val="24"/>
        </w:rPr>
      </w:pPr>
    </w:p>
    <w:p w14:paraId="15EA2003">
      <w:pPr>
        <w:spacing w:line="360" w:lineRule="auto"/>
        <w:jc w:val="center"/>
        <w:rPr>
          <w:rFonts w:hint="eastAsia"/>
          <w:b/>
          <w:sz w:val="24"/>
        </w:rPr>
      </w:pPr>
    </w:p>
    <w:p w14:paraId="6E21D258">
      <w:pPr>
        <w:spacing w:line="360" w:lineRule="auto"/>
        <w:jc w:val="center"/>
        <w:rPr>
          <w:rFonts w:hint="eastAsia"/>
          <w:b/>
          <w:sz w:val="24"/>
        </w:rPr>
      </w:pPr>
    </w:p>
    <w:p w14:paraId="5393D904">
      <w:pPr>
        <w:spacing w:line="360" w:lineRule="auto"/>
        <w:jc w:val="center"/>
        <w:rPr>
          <w:rFonts w:hint="eastAsia"/>
          <w:b/>
          <w:sz w:val="24"/>
        </w:rPr>
      </w:pPr>
    </w:p>
    <w:p w14:paraId="4660AA93">
      <w:pPr>
        <w:spacing w:line="360" w:lineRule="auto"/>
        <w:jc w:val="center"/>
        <w:rPr>
          <w:rFonts w:hint="eastAsia"/>
          <w:b/>
          <w:sz w:val="24"/>
        </w:rPr>
      </w:pPr>
    </w:p>
    <w:p w14:paraId="412B8F23">
      <w:pPr>
        <w:spacing w:line="360" w:lineRule="auto"/>
        <w:jc w:val="center"/>
        <w:rPr>
          <w:rFonts w:hint="eastAsia"/>
          <w:b/>
          <w:sz w:val="24"/>
        </w:rPr>
      </w:pPr>
    </w:p>
    <w:p w14:paraId="21CDDCF1">
      <w:pPr>
        <w:spacing w:line="360" w:lineRule="auto"/>
        <w:jc w:val="center"/>
        <w:rPr>
          <w:rFonts w:hint="eastAsia"/>
          <w:b/>
          <w:sz w:val="24"/>
        </w:rPr>
      </w:pPr>
    </w:p>
    <w:p w14:paraId="77F77293">
      <w:pPr>
        <w:spacing w:line="360" w:lineRule="auto"/>
        <w:jc w:val="center"/>
        <w:rPr>
          <w:rFonts w:hint="eastAsia"/>
          <w:b/>
          <w:sz w:val="24"/>
        </w:rPr>
      </w:pPr>
    </w:p>
    <w:p w14:paraId="75508125">
      <w:pPr>
        <w:spacing w:line="360" w:lineRule="auto"/>
        <w:jc w:val="center"/>
        <w:rPr>
          <w:rFonts w:hint="eastAsia"/>
          <w:b/>
          <w:sz w:val="24"/>
        </w:rPr>
      </w:pPr>
    </w:p>
    <w:p w14:paraId="23ADFA80">
      <w:pPr>
        <w:spacing w:line="360" w:lineRule="auto"/>
        <w:jc w:val="center"/>
        <w:rPr>
          <w:rFonts w:hint="eastAsia"/>
          <w:b/>
          <w:sz w:val="24"/>
        </w:rPr>
      </w:pPr>
    </w:p>
    <w:p w14:paraId="3D6D09B3">
      <w:pPr>
        <w:spacing w:line="360" w:lineRule="auto"/>
        <w:jc w:val="center"/>
        <w:rPr>
          <w:rFonts w:hint="eastAsia"/>
          <w:b/>
          <w:sz w:val="24"/>
        </w:rPr>
      </w:pPr>
    </w:p>
    <w:p w14:paraId="379E0F67">
      <w:pPr>
        <w:spacing w:line="360" w:lineRule="auto"/>
        <w:jc w:val="center"/>
        <w:rPr>
          <w:rFonts w:hint="eastAsia"/>
          <w:b/>
          <w:sz w:val="24"/>
        </w:rPr>
      </w:pPr>
    </w:p>
    <w:p w14:paraId="240ED16D">
      <w:pPr>
        <w:spacing w:line="360" w:lineRule="auto"/>
        <w:jc w:val="center"/>
        <w:rPr>
          <w:rFonts w:hint="eastAsia"/>
          <w:b/>
          <w:sz w:val="24"/>
        </w:rPr>
      </w:pPr>
    </w:p>
    <w:p w14:paraId="253CC580">
      <w:pPr>
        <w:spacing w:line="360" w:lineRule="auto"/>
        <w:jc w:val="center"/>
        <w:rPr>
          <w:rFonts w:hint="eastAsia"/>
          <w:b/>
          <w:sz w:val="24"/>
        </w:rPr>
      </w:pPr>
    </w:p>
    <w:p w14:paraId="1BDA033B">
      <w:pPr>
        <w:spacing w:line="360" w:lineRule="auto"/>
        <w:jc w:val="center"/>
        <w:rPr>
          <w:rFonts w:hint="eastAsia"/>
          <w:b/>
          <w:sz w:val="24"/>
        </w:rPr>
      </w:pPr>
    </w:p>
    <w:p w14:paraId="52099A7D">
      <w:pPr>
        <w:spacing w:line="360" w:lineRule="auto"/>
        <w:jc w:val="center"/>
        <w:rPr>
          <w:rFonts w:hint="eastAsia"/>
          <w:b/>
          <w:sz w:val="24"/>
        </w:rPr>
      </w:pPr>
    </w:p>
    <w:p w14:paraId="70978476">
      <w:pPr>
        <w:spacing w:line="360" w:lineRule="auto"/>
        <w:jc w:val="center"/>
        <w:rPr>
          <w:rFonts w:hint="eastAsia"/>
          <w:b/>
          <w:sz w:val="24"/>
        </w:rPr>
      </w:pPr>
    </w:p>
    <w:p w14:paraId="05F6822F">
      <w:pPr>
        <w:spacing w:line="360" w:lineRule="auto"/>
        <w:jc w:val="center"/>
        <w:rPr>
          <w:rFonts w:hint="eastAsia"/>
          <w:b/>
          <w:sz w:val="24"/>
        </w:rPr>
      </w:pPr>
    </w:p>
    <w:p w14:paraId="386BF22B">
      <w:pPr>
        <w:spacing w:line="360" w:lineRule="auto"/>
        <w:jc w:val="center"/>
        <w:rPr>
          <w:rFonts w:hint="eastAsia"/>
          <w:b/>
          <w:sz w:val="24"/>
        </w:rPr>
      </w:pPr>
    </w:p>
    <w:p w14:paraId="7BB1F835">
      <w:pPr>
        <w:spacing w:line="360" w:lineRule="auto"/>
        <w:jc w:val="center"/>
        <w:rPr>
          <w:rFonts w:hint="eastAsia"/>
          <w:b/>
          <w:sz w:val="24"/>
        </w:rPr>
      </w:pPr>
    </w:p>
    <w:p w14:paraId="04BAF72C">
      <w:pPr>
        <w:spacing w:line="360" w:lineRule="auto"/>
        <w:jc w:val="center"/>
        <w:rPr>
          <w:rFonts w:hint="eastAsia"/>
          <w:b/>
          <w:sz w:val="24"/>
        </w:rPr>
      </w:pPr>
    </w:p>
    <w:p w14:paraId="349C7777">
      <w:pPr>
        <w:spacing w:line="360" w:lineRule="auto"/>
        <w:jc w:val="center"/>
        <w:rPr>
          <w:rFonts w:hint="eastAsia"/>
          <w:b/>
          <w:sz w:val="24"/>
        </w:rPr>
      </w:pPr>
    </w:p>
    <w:p w14:paraId="7F37322B">
      <w:pPr>
        <w:spacing w:line="360" w:lineRule="auto"/>
        <w:jc w:val="center"/>
        <w:rPr>
          <w:rFonts w:hint="eastAsia"/>
          <w:b/>
          <w:sz w:val="24"/>
        </w:rPr>
      </w:pPr>
    </w:p>
    <w:p w14:paraId="7FDB57AF">
      <w:pPr>
        <w:spacing w:line="360" w:lineRule="auto"/>
        <w:jc w:val="center"/>
        <w:rPr>
          <w:rFonts w:hint="eastAsia"/>
          <w:b/>
          <w:sz w:val="24"/>
        </w:rPr>
      </w:pPr>
    </w:p>
    <w:p w14:paraId="689EECFB">
      <w:pPr>
        <w:spacing w:line="360" w:lineRule="auto"/>
        <w:jc w:val="center"/>
        <w:rPr>
          <w:rFonts w:hint="eastAsia"/>
          <w:b/>
          <w:sz w:val="24"/>
        </w:rPr>
      </w:pPr>
    </w:p>
    <w:p w14:paraId="18EF9EFD">
      <w:pPr>
        <w:spacing w:line="360" w:lineRule="auto"/>
        <w:jc w:val="center"/>
        <w:rPr>
          <w:rFonts w:hint="eastAsia"/>
          <w:b/>
          <w:sz w:val="24"/>
        </w:rPr>
      </w:pPr>
    </w:p>
    <w:p w14:paraId="59F82C0B">
      <w:pPr>
        <w:spacing w:line="360" w:lineRule="auto"/>
        <w:jc w:val="center"/>
        <w:rPr>
          <w:rFonts w:hint="eastAsia"/>
          <w:b/>
          <w:sz w:val="24"/>
        </w:rPr>
      </w:pPr>
    </w:p>
    <w:p w14:paraId="61F39356">
      <w:pPr>
        <w:spacing w:line="360" w:lineRule="auto"/>
        <w:jc w:val="center"/>
        <w:rPr>
          <w:rFonts w:hint="eastAsia"/>
          <w:b/>
          <w:sz w:val="24"/>
        </w:rPr>
      </w:pPr>
    </w:p>
    <w:p w14:paraId="79ABAEB9">
      <w:pPr>
        <w:spacing w:line="360" w:lineRule="auto"/>
        <w:jc w:val="center"/>
        <w:rPr>
          <w:rFonts w:hint="eastAsia"/>
          <w:b/>
          <w:sz w:val="24"/>
        </w:rPr>
      </w:pPr>
    </w:p>
    <w:p w14:paraId="4626E8BF">
      <w:pPr>
        <w:spacing w:line="360" w:lineRule="auto"/>
        <w:jc w:val="center"/>
        <w:rPr>
          <w:rFonts w:hint="eastAsia"/>
          <w:b/>
          <w:sz w:val="24"/>
        </w:rPr>
      </w:pPr>
    </w:p>
    <w:p w14:paraId="49FBCE21">
      <w:pPr>
        <w:spacing w:line="360" w:lineRule="auto"/>
        <w:jc w:val="center"/>
        <w:rPr>
          <w:rFonts w:hint="eastAsia"/>
          <w:b/>
          <w:sz w:val="24"/>
        </w:rPr>
      </w:pPr>
    </w:p>
    <w:p w14:paraId="1DEBED0E">
      <w:pPr>
        <w:spacing w:line="360" w:lineRule="auto"/>
        <w:rPr>
          <w:rFonts w:hint="eastAsia"/>
          <w:b/>
          <w:sz w:val="24"/>
        </w:rPr>
      </w:pPr>
    </w:p>
    <w:p w14:paraId="514C9970">
      <w:pPr>
        <w:spacing w:line="360" w:lineRule="auto"/>
        <w:jc w:val="center"/>
        <w:rPr>
          <w:rFonts w:hint="eastAsia" w:ascii="宋体" w:hAnsi="宋体"/>
          <w:b/>
          <w:sz w:val="24"/>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b/>
          <w:sz w:val="24"/>
        </w:rPr>
        <w:t>四、有效营业执照及相关证明材料</w:t>
      </w:r>
    </w:p>
    <w:p w14:paraId="61CBA60A">
      <w:pPr>
        <w:pStyle w:val="5"/>
        <w:jc w:val="center"/>
        <w:rPr>
          <w:rFonts w:hint="eastAsia"/>
        </w:rPr>
      </w:pPr>
      <w:r>
        <w:rPr>
          <w:rFonts w:hint="eastAsia"/>
        </w:rPr>
        <w:t>五、资质证书</w:t>
      </w:r>
    </w:p>
    <w:p w14:paraId="28503339">
      <w:pPr>
        <w:rPr>
          <w:rFonts w:hint="eastAsia"/>
        </w:rPr>
      </w:pPr>
    </w:p>
    <w:p w14:paraId="5E9BC586">
      <w:pPr>
        <w:rPr>
          <w:rFonts w:hint="eastAsia"/>
        </w:rPr>
      </w:pPr>
    </w:p>
    <w:p w14:paraId="2D5477E0">
      <w:pPr>
        <w:rPr>
          <w:rFonts w:hint="eastAsia"/>
        </w:rPr>
      </w:pPr>
    </w:p>
    <w:p w14:paraId="197E49BF">
      <w:pPr>
        <w:rPr>
          <w:rFonts w:hint="eastAsia"/>
        </w:rPr>
      </w:pPr>
    </w:p>
    <w:p w14:paraId="624EA51A">
      <w:pPr>
        <w:rPr>
          <w:rFonts w:hint="eastAsia"/>
        </w:rPr>
      </w:pPr>
    </w:p>
    <w:p w14:paraId="37C16CFC">
      <w:pPr>
        <w:rPr>
          <w:rFonts w:hint="eastAsia"/>
        </w:rPr>
      </w:pPr>
    </w:p>
    <w:p w14:paraId="260FC474">
      <w:pPr>
        <w:rPr>
          <w:rFonts w:hint="eastAsia"/>
        </w:rPr>
      </w:pPr>
    </w:p>
    <w:p w14:paraId="71C7AFD2">
      <w:pPr>
        <w:rPr>
          <w:rFonts w:hint="eastAsia"/>
        </w:rPr>
      </w:pPr>
    </w:p>
    <w:p w14:paraId="3E41F36A">
      <w:pPr>
        <w:rPr>
          <w:rFonts w:hint="eastAsia"/>
        </w:rPr>
      </w:pPr>
    </w:p>
    <w:p w14:paraId="26ACB157">
      <w:pPr>
        <w:rPr>
          <w:rFonts w:hint="eastAsia"/>
        </w:rPr>
      </w:pPr>
    </w:p>
    <w:p w14:paraId="25A4D5F1">
      <w:pPr>
        <w:rPr>
          <w:rFonts w:hint="eastAsia"/>
        </w:rPr>
      </w:pPr>
    </w:p>
    <w:p w14:paraId="3D5ACDB6">
      <w:pPr>
        <w:rPr>
          <w:rFonts w:hint="eastAsia"/>
        </w:rPr>
      </w:pPr>
    </w:p>
    <w:p w14:paraId="72E62BF8">
      <w:pPr>
        <w:rPr>
          <w:rFonts w:hint="eastAsia"/>
        </w:rPr>
      </w:pPr>
    </w:p>
    <w:p w14:paraId="1EE49857">
      <w:pPr>
        <w:rPr>
          <w:rFonts w:hint="eastAsia"/>
        </w:rPr>
      </w:pPr>
    </w:p>
    <w:p w14:paraId="5811316C">
      <w:pPr>
        <w:rPr>
          <w:rFonts w:hint="eastAsia"/>
        </w:rPr>
      </w:pPr>
    </w:p>
    <w:p w14:paraId="0511F0C9">
      <w:pPr>
        <w:rPr>
          <w:rFonts w:hint="eastAsia"/>
        </w:rPr>
      </w:pPr>
    </w:p>
    <w:p w14:paraId="6B8BCDAC">
      <w:pPr>
        <w:rPr>
          <w:rFonts w:hint="eastAsia"/>
        </w:rPr>
      </w:pPr>
    </w:p>
    <w:p w14:paraId="7AF7DA6D">
      <w:pPr>
        <w:rPr>
          <w:rFonts w:hint="eastAsia"/>
        </w:rPr>
      </w:pPr>
    </w:p>
    <w:p w14:paraId="26460B3E">
      <w:pPr>
        <w:rPr>
          <w:rFonts w:hint="eastAsia"/>
        </w:rPr>
      </w:pPr>
    </w:p>
    <w:p w14:paraId="5F710B13">
      <w:pPr>
        <w:rPr>
          <w:rFonts w:hint="eastAsia"/>
        </w:rPr>
      </w:pPr>
    </w:p>
    <w:p w14:paraId="09108248">
      <w:pPr>
        <w:rPr>
          <w:rFonts w:hint="eastAsia"/>
        </w:rPr>
      </w:pPr>
    </w:p>
    <w:p w14:paraId="71EE8C23">
      <w:pPr>
        <w:rPr>
          <w:rFonts w:hint="eastAsia"/>
        </w:rPr>
      </w:pPr>
    </w:p>
    <w:p w14:paraId="33007904">
      <w:pPr>
        <w:rPr>
          <w:rFonts w:hint="eastAsia"/>
        </w:rPr>
      </w:pPr>
    </w:p>
    <w:p w14:paraId="75CD7C52">
      <w:pPr>
        <w:rPr>
          <w:rFonts w:hint="eastAsia"/>
        </w:rPr>
      </w:pPr>
    </w:p>
    <w:p w14:paraId="211632BB">
      <w:pPr>
        <w:rPr>
          <w:rFonts w:hint="eastAsia"/>
        </w:rPr>
      </w:pPr>
    </w:p>
    <w:p w14:paraId="55FD5E32">
      <w:pPr>
        <w:rPr>
          <w:rFonts w:hint="eastAsia"/>
        </w:rPr>
      </w:pPr>
    </w:p>
    <w:p w14:paraId="20B76489">
      <w:pPr>
        <w:rPr>
          <w:rFonts w:hint="eastAsia"/>
        </w:rPr>
      </w:pPr>
    </w:p>
    <w:p w14:paraId="1DC664EA">
      <w:pPr>
        <w:rPr>
          <w:rFonts w:hint="eastAsia"/>
        </w:rPr>
      </w:pPr>
    </w:p>
    <w:p w14:paraId="22529757">
      <w:pPr>
        <w:rPr>
          <w:rFonts w:hint="eastAsia"/>
        </w:rPr>
      </w:pPr>
    </w:p>
    <w:p w14:paraId="44BF40BC">
      <w:pPr>
        <w:rPr>
          <w:rFonts w:hint="eastAsia"/>
        </w:rPr>
      </w:pPr>
    </w:p>
    <w:p w14:paraId="6899A04A">
      <w:pPr>
        <w:rPr>
          <w:rFonts w:hint="eastAsia"/>
        </w:rPr>
      </w:pPr>
    </w:p>
    <w:p w14:paraId="57B33870">
      <w:pPr>
        <w:rPr>
          <w:rFonts w:hint="eastAsia"/>
        </w:rPr>
      </w:pPr>
    </w:p>
    <w:p w14:paraId="13B66D61">
      <w:pPr>
        <w:rPr>
          <w:rFonts w:hint="eastAsia"/>
        </w:rPr>
      </w:pPr>
    </w:p>
    <w:p w14:paraId="602E8B98">
      <w:pPr>
        <w:rPr>
          <w:rFonts w:hint="eastAsia"/>
        </w:rPr>
      </w:pPr>
    </w:p>
    <w:p w14:paraId="355522E4">
      <w:pPr>
        <w:rPr>
          <w:rFonts w:hint="eastAsia"/>
        </w:rPr>
      </w:pPr>
    </w:p>
    <w:p w14:paraId="64865A36">
      <w:pPr>
        <w:rPr>
          <w:rFonts w:hint="eastAsia"/>
        </w:rPr>
      </w:pPr>
    </w:p>
    <w:p w14:paraId="2D0FCCC5">
      <w:pPr>
        <w:rPr>
          <w:rFonts w:hint="eastAsia"/>
        </w:rPr>
      </w:pPr>
    </w:p>
    <w:p w14:paraId="01EBAA32">
      <w:pPr>
        <w:rPr>
          <w:rFonts w:hint="eastAsia"/>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C20F41D">
      <w:pPr>
        <w:pStyle w:val="5"/>
        <w:keepLines w:val="0"/>
        <w:jc w:val="center"/>
        <w:rPr>
          <w:rFonts w:hint="eastAsia" w:ascii="宋体" w:hAnsi="宋体"/>
          <w:szCs w:val="21"/>
        </w:rPr>
      </w:pPr>
      <w:r>
        <w:rPr>
          <w:rFonts w:hint="eastAsia"/>
        </w:rPr>
        <w:t>六、</w:t>
      </w:r>
      <w:r>
        <w:rPr>
          <w:rFonts w:hint="eastAsia" w:ascii="宋体" w:hAnsi="宋体"/>
          <w:szCs w:val="21"/>
        </w:rPr>
        <w:t>安全生产许可证</w:t>
      </w:r>
    </w:p>
    <w:p w14:paraId="56434EE8">
      <w:pPr>
        <w:rPr>
          <w:rFonts w:hint="eastAsia"/>
        </w:rPr>
      </w:pPr>
    </w:p>
    <w:p w14:paraId="1A9ECE3A">
      <w:pPr>
        <w:rPr>
          <w:rFonts w:hint="eastAsia"/>
        </w:rPr>
      </w:pPr>
    </w:p>
    <w:p w14:paraId="6EF82A36">
      <w:pPr>
        <w:rPr>
          <w:rFonts w:hint="eastAsia"/>
        </w:rPr>
      </w:pPr>
    </w:p>
    <w:p w14:paraId="0EBCBE92">
      <w:pPr>
        <w:rPr>
          <w:rFonts w:hint="eastAsia"/>
        </w:rPr>
      </w:pPr>
    </w:p>
    <w:p w14:paraId="51400C5C">
      <w:pPr>
        <w:rPr>
          <w:rFonts w:hint="eastAsia"/>
        </w:rPr>
      </w:pPr>
    </w:p>
    <w:p w14:paraId="1D94F950">
      <w:pPr>
        <w:rPr>
          <w:rFonts w:hint="eastAsia"/>
        </w:rPr>
      </w:pPr>
    </w:p>
    <w:p w14:paraId="02916862">
      <w:pPr>
        <w:rPr>
          <w:rFonts w:hint="eastAsia"/>
        </w:rPr>
      </w:pPr>
    </w:p>
    <w:p w14:paraId="5FB0D172">
      <w:pPr>
        <w:rPr>
          <w:rFonts w:hint="eastAsia"/>
        </w:rPr>
      </w:pPr>
    </w:p>
    <w:p w14:paraId="52D0B886">
      <w:pPr>
        <w:rPr>
          <w:rFonts w:hint="eastAsia"/>
        </w:rPr>
      </w:pPr>
    </w:p>
    <w:p w14:paraId="525D82BD">
      <w:pPr>
        <w:rPr>
          <w:rFonts w:hint="eastAsia"/>
        </w:rPr>
      </w:pPr>
    </w:p>
    <w:p w14:paraId="404030EF">
      <w:pPr>
        <w:rPr>
          <w:rFonts w:hint="eastAsia"/>
        </w:rPr>
      </w:pPr>
    </w:p>
    <w:p w14:paraId="03499F8A">
      <w:pPr>
        <w:rPr>
          <w:rFonts w:hint="eastAsia"/>
        </w:rPr>
      </w:pPr>
    </w:p>
    <w:p w14:paraId="26206EBD">
      <w:pPr>
        <w:rPr>
          <w:rFonts w:hint="eastAsia"/>
        </w:rPr>
      </w:pPr>
    </w:p>
    <w:p w14:paraId="24A3B5E9">
      <w:pPr>
        <w:rPr>
          <w:rFonts w:hint="eastAsia"/>
        </w:rPr>
      </w:pPr>
    </w:p>
    <w:p w14:paraId="28D102EB">
      <w:pPr>
        <w:rPr>
          <w:rFonts w:hint="eastAsia"/>
        </w:rPr>
      </w:pPr>
    </w:p>
    <w:p w14:paraId="46B1A333">
      <w:pPr>
        <w:rPr>
          <w:rFonts w:hint="eastAsia"/>
        </w:rPr>
      </w:pPr>
    </w:p>
    <w:p w14:paraId="7B3E30AC">
      <w:pPr>
        <w:rPr>
          <w:rFonts w:hint="eastAsia"/>
        </w:rPr>
      </w:pPr>
    </w:p>
    <w:p w14:paraId="74CE80CC">
      <w:pPr>
        <w:rPr>
          <w:rFonts w:hint="eastAsia"/>
        </w:rPr>
      </w:pPr>
    </w:p>
    <w:p w14:paraId="71A5F921">
      <w:pPr>
        <w:rPr>
          <w:rFonts w:hint="eastAsia"/>
        </w:rPr>
      </w:pPr>
    </w:p>
    <w:p w14:paraId="7D566753">
      <w:pPr>
        <w:rPr>
          <w:rFonts w:hint="eastAsia"/>
        </w:rPr>
      </w:pPr>
    </w:p>
    <w:p w14:paraId="11F2A0A8">
      <w:pPr>
        <w:rPr>
          <w:rFonts w:hint="eastAsia"/>
        </w:rPr>
      </w:pPr>
    </w:p>
    <w:p w14:paraId="4B2DE7B6">
      <w:pPr>
        <w:rPr>
          <w:rFonts w:hint="eastAsia"/>
        </w:rPr>
      </w:pPr>
    </w:p>
    <w:p w14:paraId="6A13A220">
      <w:pPr>
        <w:rPr>
          <w:rFonts w:hint="eastAsia"/>
        </w:rPr>
      </w:pPr>
    </w:p>
    <w:p w14:paraId="4CC48F28">
      <w:pPr>
        <w:rPr>
          <w:rFonts w:hint="eastAsia"/>
        </w:rPr>
      </w:pPr>
    </w:p>
    <w:p w14:paraId="5D563E8A">
      <w:pPr>
        <w:rPr>
          <w:rFonts w:hint="eastAsia"/>
        </w:rPr>
      </w:pPr>
    </w:p>
    <w:p w14:paraId="4AB82C6C">
      <w:pPr>
        <w:rPr>
          <w:rFonts w:hint="eastAsia"/>
        </w:rPr>
      </w:pPr>
    </w:p>
    <w:p w14:paraId="7180B5C3">
      <w:pPr>
        <w:rPr>
          <w:rFonts w:hint="eastAsia"/>
        </w:rPr>
      </w:pPr>
    </w:p>
    <w:p w14:paraId="6C9A9A0A">
      <w:pPr>
        <w:rPr>
          <w:rFonts w:hint="eastAsia"/>
        </w:rPr>
      </w:pPr>
    </w:p>
    <w:p w14:paraId="1D0794A0">
      <w:pPr>
        <w:rPr>
          <w:rFonts w:hint="eastAsia"/>
        </w:rPr>
      </w:pPr>
    </w:p>
    <w:p w14:paraId="3A955C37">
      <w:pPr>
        <w:rPr>
          <w:rFonts w:hint="eastAsia"/>
        </w:rPr>
      </w:pPr>
    </w:p>
    <w:p w14:paraId="5AE7D426">
      <w:pPr>
        <w:rPr>
          <w:rFonts w:hint="eastAsia"/>
        </w:rPr>
      </w:pPr>
    </w:p>
    <w:p w14:paraId="6FF5811A">
      <w:pPr>
        <w:rPr>
          <w:rFonts w:hint="eastAsia"/>
        </w:rPr>
      </w:pPr>
    </w:p>
    <w:p w14:paraId="45F2CEC4">
      <w:pPr>
        <w:rPr>
          <w:rFonts w:hint="eastAsia"/>
        </w:rPr>
      </w:pPr>
    </w:p>
    <w:p w14:paraId="47CD48DA">
      <w:pPr>
        <w:rPr>
          <w:rFonts w:hint="eastAsia"/>
        </w:rPr>
      </w:pPr>
    </w:p>
    <w:p w14:paraId="542AFE9E">
      <w:pPr>
        <w:rPr>
          <w:rFonts w:hint="eastAsia"/>
        </w:rPr>
      </w:pPr>
    </w:p>
    <w:p w14:paraId="6F999BAB">
      <w:pPr>
        <w:rPr>
          <w:rFonts w:hint="eastAsia"/>
        </w:rPr>
      </w:pPr>
    </w:p>
    <w:p w14:paraId="369B0FF1">
      <w:pPr>
        <w:rPr>
          <w:rFonts w:hint="eastAsia"/>
        </w:rPr>
      </w:pPr>
    </w:p>
    <w:p w14:paraId="56D7F2D7">
      <w:pPr>
        <w:rPr>
          <w:rFonts w:hint="eastAsia"/>
        </w:rPr>
      </w:pPr>
    </w:p>
    <w:p w14:paraId="0B818F0B">
      <w:pPr>
        <w:rPr>
          <w:rFonts w:hint="eastAsia"/>
        </w:rPr>
      </w:pPr>
    </w:p>
    <w:p w14:paraId="572275E4">
      <w:pPr>
        <w:rPr>
          <w:rFonts w:hint="eastAsia"/>
        </w:rPr>
      </w:pPr>
    </w:p>
    <w:p w14:paraId="3B36704D">
      <w:pPr>
        <w:rPr>
          <w:rFonts w:hint="eastAsia"/>
        </w:rPr>
      </w:pPr>
    </w:p>
    <w:p w14:paraId="6C560A03">
      <w:pPr>
        <w:rPr>
          <w:rFonts w:hint="eastAsia"/>
        </w:rPr>
      </w:pPr>
    </w:p>
    <w:p w14:paraId="0B1257DC">
      <w:pPr>
        <w:rPr>
          <w:rFonts w:hint="eastAsia"/>
        </w:rPr>
      </w:pPr>
    </w:p>
    <w:p w14:paraId="7320A44E">
      <w:pPr>
        <w:rPr>
          <w:rFonts w:hint="eastAsia"/>
        </w:rPr>
      </w:pPr>
    </w:p>
    <w:p w14:paraId="04AA0CB9">
      <w:pPr>
        <w:rPr>
          <w:rFonts w:hint="eastAsia"/>
        </w:rPr>
      </w:pPr>
    </w:p>
    <w:p w14:paraId="638D58A8">
      <w:pPr>
        <w:rPr>
          <w:rFonts w:hint="eastAsia"/>
        </w:rPr>
      </w:pPr>
    </w:p>
    <w:p w14:paraId="4EA4E95F">
      <w:pPr>
        <w:rPr>
          <w:rFonts w:hint="eastAsia"/>
        </w:rPr>
      </w:pPr>
    </w:p>
    <w:p w14:paraId="318F7807">
      <w:pPr>
        <w:rPr>
          <w:rFonts w:hint="eastAsia"/>
        </w:rPr>
      </w:pPr>
    </w:p>
    <w:p w14:paraId="6BB80281">
      <w:pPr>
        <w:rPr>
          <w:rFonts w:hint="eastAsia"/>
        </w:rPr>
      </w:pPr>
    </w:p>
    <w:p w14:paraId="6878221F">
      <w:pPr>
        <w:rPr>
          <w:rFonts w:hint="eastAsia"/>
        </w:rPr>
      </w:pPr>
    </w:p>
    <w:p w14:paraId="3A84EB0A">
      <w:pPr>
        <w:rPr>
          <w:rFonts w:hint="eastAsia"/>
        </w:rPr>
      </w:pPr>
    </w:p>
    <w:p w14:paraId="2583D8F0">
      <w:pPr>
        <w:rPr>
          <w:rFonts w:hint="eastAsia" w:ascii="宋体" w:hAnsi="宋体"/>
          <w:b/>
          <w:szCs w:val="21"/>
        </w:rPr>
      </w:pPr>
    </w:p>
    <w:p w14:paraId="3941593B">
      <w:pPr>
        <w:spacing w:line="360" w:lineRule="auto"/>
        <w:rPr>
          <w:rFonts w:hint="eastAsia" w:ascii="宋体" w:hAnsi="宋体"/>
          <w:b/>
          <w:szCs w:val="21"/>
        </w:rPr>
      </w:pPr>
    </w:p>
    <w:p w14:paraId="3A4D090C">
      <w:pPr>
        <w:spacing w:line="360" w:lineRule="auto"/>
        <w:rPr>
          <w:rFonts w:hint="eastAsia" w:ascii="宋体" w:hAnsi="宋体"/>
          <w:b/>
          <w:szCs w:val="21"/>
        </w:rPr>
      </w:pPr>
    </w:p>
    <w:p w14:paraId="76BE7BBA">
      <w:pPr>
        <w:spacing w:line="360" w:lineRule="auto"/>
        <w:jc w:val="center"/>
        <w:rPr>
          <w:rFonts w:hint="eastAsia" w:ascii="Times New Roman" w:hAnsi="Times New Roman"/>
          <w:b/>
          <w:sz w:val="24"/>
        </w:rPr>
      </w:pPr>
      <w:r>
        <w:rPr>
          <w:rFonts w:hint="eastAsia"/>
          <w:b/>
          <w:sz w:val="24"/>
          <w:lang w:eastAsia="zh-CN"/>
        </w:rPr>
        <w:t>七</w:t>
      </w:r>
      <w:r>
        <w:rPr>
          <w:rFonts w:hint="eastAsia" w:ascii="Times New Roman" w:hAnsi="Times New Roman"/>
          <w:b/>
          <w:sz w:val="24"/>
        </w:rPr>
        <w:t>、类似工程业绩表</w:t>
      </w:r>
    </w:p>
    <w:p w14:paraId="401B4570">
      <w:pPr>
        <w:spacing w:after="120"/>
        <w:rPr>
          <w:rFonts w:ascii="Times New Roman" w:hAnsi="Times New Roma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2445"/>
        <w:gridCol w:w="2310"/>
        <w:gridCol w:w="2055"/>
      </w:tblGrid>
      <w:tr w14:paraId="6F22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84" w:type="dxa"/>
            <w:tcBorders>
              <w:top w:val="single" w:color="auto" w:sz="4" w:space="0"/>
              <w:left w:val="single" w:color="auto" w:sz="4" w:space="0"/>
              <w:bottom w:val="single" w:color="auto" w:sz="4" w:space="0"/>
              <w:right w:val="single" w:color="auto" w:sz="4" w:space="0"/>
            </w:tcBorders>
            <w:noWrap w:val="0"/>
            <w:vAlign w:val="center"/>
          </w:tcPr>
          <w:p w14:paraId="60B3A703">
            <w:pPr>
              <w:jc w:val="center"/>
              <w:rPr>
                <w:rFonts w:ascii="宋体" w:hAnsi="宋体"/>
                <w:kern w:val="10"/>
                <w:szCs w:val="21"/>
              </w:rPr>
            </w:pPr>
            <w:r>
              <w:rPr>
                <w:rFonts w:hint="eastAsia" w:ascii="宋体" w:hAnsi="宋体"/>
                <w:kern w:val="10"/>
                <w:szCs w:val="21"/>
              </w:rPr>
              <w:t>工程名称</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9821CB8">
            <w:pPr>
              <w:jc w:val="center"/>
              <w:rPr>
                <w:rFonts w:hint="eastAsia" w:ascii="宋体" w:hAnsi="宋体"/>
                <w:kern w:val="10"/>
                <w:szCs w:val="21"/>
              </w:rPr>
            </w:pPr>
            <w:r>
              <w:rPr>
                <w:rFonts w:hint="eastAsia" w:ascii="宋体" w:hAnsi="宋体"/>
                <w:kern w:val="10"/>
                <w:szCs w:val="21"/>
              </w:rPr>
              <w:t>合同金额（或工程规模）</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81E4882">
            <w:pPr>
              <w:jc w:val="center"/>
              <w:rPr>
                <w:rFonts w:ascii="宋体" w:hAnsi="宋体"/>
                <w:kern w:val="10"/>
                <w:szCs w:val="21"/>
              </w:rPr>
            </w:pPr>
            <w:r>
              <w:rPr>
                <w:rFonts w:hint="eastAsia" w:ascii="宋体" w:hAnsi="宋体"/>
                <w:kern w:val="10"/>
                <w:szCs w:val="21"/>
              </w:rPr>
              <w:t>工程类别（或施工内容）</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261E6547">
            <w:pPr>
              <w:jc w:val="center"/>
              <w:rPr>
                <w:rFonts w:ascii="宋体" w:hAnsi="宋体"/>
                <w:kern w:val="10"/>
                <w:szCs w:val="21"/>
              </w:rPr>
            </w:pPr>
            <w:r>
              <w:rPr>
                <w:rFonts w:hint="eastAsia" w:ascii="宋体" w:hAnsi="宋体"/>
                <w:kern w:val="10"/>
                <w:szCs w:val="21"/>
              </w:rPr>
              <w:t>完成日期</w:t>
            </w:r>
          </w:p>
        </w:tc>
      </w:tr>
      <w:tr w14:paraId="28DB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269408B8">
            <w:pPr>
              <w:jc w:val="center"/>
              <w:rPr>
                <w:rFonts w:ascii="宋体" w:hAnsi="宋体" w:cs="宋体"/>
                <w:b/>
                <w:sz w:val="24"/>
              </w:rPr>
            </w:pPr>
          </w:p>
        </w:tc>
        <w:tc>
          <w:tcPr>
            <w:tcW w:w="2445" w:type="dxa"/>
            <w:tcBorders>
              <w:top w:val="single" w:color="auto" w:sz="4" w:space="0"/>
              <w:left w:val="single" w:color="auto" w:sz="4" w:space="0"/>
              <w:bottom w:val="single" w:color="auto" w:sz="4" w:space="0"/>
              <w:right w:val="single" w:color="auto" w:sz="4" w:space="0"/>
            </w:tcBorders>
            <w:noWrap w:val="0"/>
            <w:vAlign w:val="top"/>
          </w:tcPr>
          <w:p w14:paraId="073A5D6D">
            <w:pPr>
              <w:jc w:val="center"/>
              <w:rPr>
                <w:rFonts w:ascii="宋体" w:hAnsi="宋体" w:cs="宋体"/>
                <w:b/>
                <w:sz w:val="24"/>
              </w:rPr>
            </w:pPr>
          </w:p>
        </w:tc>
        <w:tc>
          <w:tcPr>
            <w:tcW w:w="2310" w:type="dxa"/>
            <w:tcBorders>
              <w:top w:val="single" w:color="auto" w:sz="4" w:space="0"/>
              <w:left w:val="single" w:color="auto" w:sz="4" w:space="0"/>
              <w:bottom w:val="single" w:color="auto" w:sz="4" w:space="0"/>
              <w:right w:val="single" w:color="auto" w:sz="4" w:space="0"/>
            </w:tcBorders>
            <w:noWrap w:val="0"/>
            <w:vAlign w:val="top"/>
          </w:tcPr>
          <w:p w14:paraId="3079AE4A">
            <w:pPr>
              <w:ind w:right="4200" w:rightChars="2000"/>
              <w:jc w:val="center"/>
              <w:rPr>
                <w:rFonts w:ascii="宋体" w:hAnsi="宋体" w:cs="宋体"/>
                <w:b/>
                <w:sz w:val="24"/>
              </w:rPr>
            </w:pPr>
          </w:p>
        </w:tc>
        <w:tc>
          <w:tcPr>
            <w:tcW w:w="2055" w:type="dxa"/>
            <w:tcBorders>
              <w:top w:val="single" w:color="auto" w:sz="4" w:space="0"/>
              <w:left w:val="single" w:color="auto" w:sz="4" w:space="0"/>
              <w:bottom w:val="single" w:color="auto" w:sz="4" w:space="0"/>
              <w:right w:val="single" w:color="auto" w:sz="4" w:space="0"/>
            </w:tcBorders>
            <w:noWrap w:val="0"/>
            <w:vAlign w:val="top"/>
          </w:tcPr>
          <w:p w14:paraId="6FD1DE9D">
            <w:pPr>
              <w:ind w:right="4200" w:rightChars="2000"/>
              <w:jc w:val="center"/>
              <w:rPr>
                <w:rFonts w:ascii="宋体" w:hAnsi="宋体" w:cs="宋体"/>
                <w:b/>
                <w:sz w:val="24"/>
              </w:rPr>
            </w:pPr>
          </w:p>
        </w:tc>
      </w:tr>
    </w:tbl>
    <w:p w14:paraId="0461ACEC">
      <w:pPr>
        <w:ind w:right="945"/>
        <w:jc w:val="left"/>
        <w:rPr>
          <w:rFonts w:ascii="宋体" w:hAnsi="宋体"/>
          <w:szCs w:val="21"/>
        </w:rPr>
      </w:pPr>
    </w:p>
    <w:p w14:paraId="087C812D">
      <w:pPr>
        <w:spacing w:line="360" w:lineRule="auto"/>
        <w:rPr>
          <w:rFonts w:hint="eastAsia" w:ascii="宋体" w:hAnsi="宋体"/>
          <w:b/>
          <w:szCs w:val="21"/>
        </w:rPr>
      </w:pPr>
    </w:p>
    <w:p w14:paraId="29C05ACC">
      <w:pPr>
        <w:tabs>
          <w:tab w:val="left" w:pos="9354"/>
        </w:tabs>
        <w:ind w:right="-2" w:firstLine="422" w:firstLineChars="200"/>
        <w:jc w:val="left"/>
        <w:rPr>
          <w:rFonts w:hint="eastAsia" w:ascii="宋体" w:hAnsi="宋体"/>
          <w:szCs w:val="21"/>
        </w:rPr>
      </w:pPr>
      <w:r>
        <w:rPr>
          <w:rFonts w:hint="eastAsia" w:ascii="宋体" w:hAnsi="宋体"/>
          <w:b/>
          <w:szCs w:val="21"/>
        </w:rPr>
        <w:t>注：</w:t>
      </w:r>
      <w:r>
        <w:rPr>
          <w:rFonts w:hint="eastAsia" w:ascii="宋体" w:hAnsi="宋体"/>
          <w:szCs w:val="21"/>
        </w:rPr>
        <w:t>1、投标人须在本表后附上能反映业绩符合招标文件要求相关证明材料并加盖单位公章：①中标通知书；②有效的施工合同和完工验收合格证明材料的复印件；或有效的施工合同和竣工验收合格证明材料的复印件（若施工合同或完工验收合格证明材料或竣工验收合格证明材料不能明确本项目业绩要求的工程类别（或施工内容）、工程规模和造价金额的，则另须提供结算书或水行政主管部门的工程初步设计批复或其他证明材料的复印件）；③业绩登记发布在“水利建设市场监管平台”上的“工程业绩”截图（路径：首页&gt;从业单位&gt;单位详情）。</w:t>
      </w:r>
    </w:p>
    <w:p w14:paraId="0AF0F4A2">
      <w:pPr>
        <w:tabs>
          <w:tab w:val="left" w:pos="9354"/>
        </w:tabs>
        <w:ind w:right="-2" w:firstLine="420" w:firstLineChars="200"/>
        <w:jc w:val="left"/>
        <w:rPr>
          <w:rFonts w:hint="eastAsia" w:ascii="宋体" w:hAnsi="宋体"/>
          <w:szCs w:val="21"/>
        </w:rPr>
      </w:pPr>
      <w:r>
        <w:rPr>
          <w:rFonts w:hint="eastAsia" w:ascii="宋体" w:hAnsi="宋体"/>
          <w:szCs w:val="21"/>
        </w:rPr>
        <w:t>以上①至③项须同时满足，否则业绩不予认可。</w:t>
      </w:r>
    </w:p>
    <w:p w14:paraId="67F9BA19">
      <w:pPr>
        <w:tabs>
          <w:tab w:val="left" w:pos="9354"/>
        </w:tabs>
        <w:ind w:right="-2" w:firstLine="420" w:firstLineChars="200"/>
        <w:jc w:val="left"/>
        <w:rPr>
          <w:rFonts w:hint="eastAsia" w:ascii="宋体" w:hAnsi="宋体" w:eastAsia="等线"/>
          <w:szCs w:val="21"/>
        </w:rPr>
      </w:pPr>
      <w:r>
        <w:rPr>
          <w:rFonts w:hint="eastAsia" w:ascii="宋体" w:hAnsi="宋体"/>
          <w:szCs w:val="21"/>
        </w:rPr>
        <w:t>2、施工合同可只复印盖章页及含有项目名称、签约主体、合同价款、规模等技术指标的关键页，施工合同复印件须能反映合同签约双方已盖章签字。其他资料需提供完整内容的复印件。</w:t>
      </w:r>
    </w:p>
    <w:p w14:paraId="306F34E3">
      <w:pPr>
        <w:ind w:right="-2" w:firstLine="420" w:firstLineChars="200"/>
        <w:jc w:val="left"/>
        <w:rPr>
          <w:rFonts w:ascii="宋体" w:hAnsi="宋体"/>
          <w:szCs w:val="21"/>
        </w:rPr>
      </w:pPr>
      <w:r>
        <w:rPr>
          <w:rFonts w:hint="eastAsia" w:ascii="宋体" w:hAnsi="宋体"/>
          <w:szCs w:val="21"/>
        </w:rPr>
        <w:t>3、相关完工/竣工验收合格证明材料复印件须能反映工程已完工/竣工验收，并已注明签发日期，完工/竣工验收合格证明材料的签发日期在业绩要求规定的时间范围内的方为有效业绩。</w:t>
      </w:r>
    </w:p>
    <w:p w14:paraId="3397EB95">
      <w:pPr>
        <w:keepNext w:val="0"/>
        <w:keepLines w:val="0"/>
        <w:pageBreakBefore w:val="0"/>
        <w:widowControl w:val="0"/>
        <w:kinsoku/>
        <w:wordWrap/>
        <w:overflowPunct/>
        <w:topLinePunct w:val="0"/>
        <w:autoSpaceDE/>
        <w:autoSpaceDN/>
        <w:bidi w:val="0"/>
        <w:adjustRightInd/>
        <w:snapToGrid/>
        <w:spacing w:line="300" w:lineRule="auto"/>
        <w:ind w:right="945" w:firstLine="420" w:firstLineChars="200"/>
        <w:jc w:val="left"/>
        <w:textAlignment w:val="auto"/>
        <w:rPr>
          <w:rFonts w:ascii="宋体" w:hAnsi="宋体"/>
          <w:szCs w:val="21"/>
        </w:rPr>
      </w:pPr>
      <w:r>
        <w:rPr>
          <w:rFonts w:hint="eastAsia" w:ascii="宋体" w:hAnsi="宋体"/>
          <w:szCs w:val="21"/>
        </w:rPr>
        <w:t>4、完工/竣工验收合格证明材料包括（</w:t>
      </w:r>
      <w:r>
        <w:rPr>
          <w:rFonts w:hint="eastAsia" w:ascii="宋体" w:hAnsi="宋体"/>
          <w:szCs w:val="21"/>
          <w:lang w:val="en-US" w:eastAsia="zh-CN"/>
        </w:rPr>
        <w:t>提供</w:t>
      </w:r>
      <w:r>
        <w:rPr>
          <w:rFonts w:hint="eastAsia" w:ascii="宋体" w:hAnsi="宋体"/>
          <w:szCs w:val="21"/>
        </w:rPr>
        <w:t>以下</w:t>
      </w:r>
      <w:r>
        <w:rPr>
          <w:rFonts w:hint="eastAsia" w:ascii="宋体" w:hAnsi="宋体"/>
          <w:szCs w:val="21"/>
          <w:lang w:val="en-US" w:eastAsia="zh-CN"/>
        </w:rPr>
        <w:t>证明材料</w:t>
      </w:r>
      <w:r>
        <w:rPr>
          <w:rFonts w:hint="eastAsia" w:ascii="宋体" w:hAnsi="宋体"/>
          <w:szCs w:val="21"/>
        </w:rPr>
        <w:t>之一）：</w:t>
      </w:r>
    </w:p>
    <w:p w14:paraId="6421673B">
      <w:pPr>
        <w:keepNext w:val="0"/>
        <w:keepLines w:val="0"/>
        <w:pageBreakBefore w:val="0"/>
        <w:widowControl w:val="0"/>
        <w:kinsoku/>
        <w:wordWrap/>
        <w:overflowPunct/>
        <w:topLinePunct w:val="0"/>
        <w:autoSpaceDE/>
        <w:autoSpaceDN/>
        <w:bidi w:val="0"/>
        <w:adjustRightInd/>
        <w:snapToGrid/>
        <w:spacing w:line="300" w:lineRule="auto"/>
        <w:ind w:right="-2" w:firstLine="420" w:firstLineChars="200"/>
        <w:jc w:val="left"/>
        <w:textAlignment w:val="auto"/>
        <w:rPr>
          <w:rFonts w:hint="eastAsia" w:ascii="宋体" w:hAnsi="宋体"/>
          <w:szCs w:val="21"/>
        </w:rPr>
      </w:pPr>
      <w:r>
        <w:rPr>
          <w:rFonts w:hint="eastAsia" w:ascii="宋体" w:hAnsi="宋体"/>
          <w:szCs w:val="21"/>
          <w:lang w:val="en-US" w:eastAsia="zh-CN"/>
        </w:rPr>
        <w:t>①.</w:t>
      </w:r>
      <w:r>
        <w:rPr>
          <w:rFonts w:hint="eastAsia" w:ascii="宋体" w:hAnsi="宋体"/>
          <w:color w:val="auto"/>
          <w:highlight w:val="none"/>
        </w:rPr>
        <w:t>竣工验收合格证明材料</w:t>
      </w:r>
      <w:r>
        <w:rPr>
          <w:rFonts w:hint="eastAsia" w:ascii="宋体" w:hAnsi="宋体"/>
          <w:szCs w:val="21"/>
        </w:rPr>
        <w:t>；</w:t>
      </w:r>
    </w:p>
    <w:p w14:paraId="116FA09C">
      <w:pPr>
        <w:keepNext w:val="0"/>
        <w:keepLines w:val="0"/>
        <w:pageBreakBefore w:val="0"/>
        <w:widowControl w:val="0"/>
        <w:kinsoku/>
        <w:wordWrap/>
        <w:overflowPunct/>
        <w:topLinePunct w:val="0"/>
        <w:autoSpaceDE/>
        <w:autoSpaceDN/>
        <w:bidi w:val="0"/>
        <w:adjustRightInd/>
        <w:snapToGrid/>
        <w:spacing w:line="300" w:lineRule="auto"/>
        <w:ind w:right="-2" w:firstLine="420" w:firstLineChars="200"/>
        <w:jc w:val="left"/>
        <w:textAlignment w:val="auto"/>
        <w:rPr>
          <w:rFonts w:hint="eastAsia" w:ascii="宋体" w:hAnsi="宋体"/>
          <w:color w:val="auto"/>
          <w:highlight w:val="none"/>
          <w:lang w:eastAsia="zh-CN"/>
        </w:rPr>
      </w:pPr>
      <w:r>
        <w:rPr>
          <w:rFonts w:hint="eastAsia" w:ascii="宋体" w:hAnsi="宋体"/>
          <w:szCs w:val="21"/>
          <w:lang w:val="en-US" w:eastAsia="zh-CN"/>
        </w:rPr>
        <w:t>②.</w:t>
      </w:r>
      <w:r>
        <w:rPr>
          <w:rFonts w:hint="eastAsia" w:ascii="宋体" w:hAnsi="宋体"/>
          <w:color w:val="auto"/>
          <w:highlight w:val="none"/>
        </w:rPr>
        <w:t>完工验收合格证明材料</w:t>
      </w:r>
      <w:r>
        <w:rPr>
          <w:rFonts w:hint="eastAsia" w:ascii="宋体" w:hAnsi="宋体"/>
          <w:color w:val="auto"/>
          <w:highlight w:val="none"/>
          <w:lang w:eastAsia="zh-CN"/>
        </w:rPr>
        <w:t>。</w:t>
      </w:r>
    </w:p>
    <w:p w14:paraId="78EB45AC">
      <w:pPr>
        <w:keepNext w:val="0"/>
        <w:keepLines w:val="0"/>
        <w:pageBreakBefore w:val="0"/>
        <w:widowControl w:val="0"/>
        <w:kinsoku/>
        <w:wordWrap/>
        <w:overflowPunct/>
        <w:topLinePunct w:val="0"/>
        <w:autoSpaceDE/>
        <w:autoSpaceDN/>
        <w:bidi w:val="0"/>
        <w:adjustRightInd/>
        <w:snapToGrid/>
        <w:spacing w:line="300" w:lineRule="auto"/>
        <w:ind w:right="-2" w:firstLine="420" w:firstLineChars="200"/>
        <w:jc w:val="left"/>
        <w:textAlignment w:val="auto"/>
        <w:rPr>
          <w:rFonts w:hint="eastAsia" w:ascii="宋体" w:hAnsi="宋体"/>
          <w:szCs w:val="21"/>
        </w:rPr>
      </w:pPr>
      <w:r>
        <w:rPr>
          <w:rFonts w:hint="eastAsia" w:ascii="宋体" w:hAnsi="宋体"/>
          <w:color w:val="auto"/>
          <w:highlight w:val="none"/>
        </w:rPr>
        <w:t>竣工验收合格证明材料</w:t>
      </w:r>
      <w:r>
        <w:rPr>
          <w:rFonts w:hint="eastAsia" w:ascii="宋体" w:hAnsi="宋体"/>
          <w:color w:val="auto"/>
          <w:highlight w:val="none"/>
          <w:lang w:eastAsia="zh-CN"/>
        </w:rPr>
        <w:t>、</w:t>
      </w:r>
      <w:r>
        <w:rPr>
          <w:rFonts w:hint="eastAsia" w:ascii="宋体" w:hAnsi="宋体"/>
          <w:color w:val="auto"/>
          <w:highlight w:val="none"/>
        </w:rPr>
        <w:t>完工验收合格证明材料须符合《水利工程建设项目验收管理规定》</w:t>
      </w:r>
      <w:r>
        <w:rPr>
          <w:rFonts w:hint="eastAsia" w:ascii="宋体" w:hAnsi="宋体"/>
          <w:color w:val="auto"/>
          <w:highlight w:val="none"/>
          <w:lang w:eastAsia="zh-CN"/>
        </w:rPr>
        <w:t>、</w:t>
      </w:r>
      <w:r>
        <w:rPr>
          <w:rFonts w:hint="eastAsia" w:ascii="宋体" w:hAnsi="宋体"/>
          <w:color w:val="auto"/>
          <w:highlight w:val="none"/>
        </w:rPr>
        <w:t>《水利水电建设工程验收规程》</w:t>
      </w:r>
      <w:r>
        <w:rPr>
          <w:rFonts w:hint="eastAsia" w:ascii="宋体" w:hAnsi="宋体"/>
          <w:color w:val="auto"/>
          <w:highlight w:val="none"/>
          <w:lang w:eastAsia="zh-CN"/>
        </w:rPr>
        <w:t>的</w:t>
      </w:r>
      <w:r>
        <w:rPr>
          <w:rFonts w:hint="eastAsia" w:ascii="宋体" w:hAnsi="宋体"/>
          <w:color w:val="auto"/>
          <w:highlight w:val="none"/>
        </w:rPr>
        <w:t>要求。</w:t>
      </w:r>
    </w:p>
    <w:p w14:paraId="488ACAD3">
      <w:pPr>
        <w:ind w:right="-2" w:firstLine="420" w:firstLineChars="200"/>
        <w:jc w:val="left"/>
        <w:rPr>
          <w:rFonts w:hint="eastAsia" w:ascii="宋体" w:hAnsi="宋体"/>
          <w:szCs w:val="21"/>
        </w:rPr>
      </w:pPr>
      <w:r>
        <w:rPr>
          <w:rFonts w:hint="eastAsia" w:ascii="宋体" w:hAnsi="宋体"/>
          <w:szCs w:val="21"/>
        </w:rPr>
        <w:t>5、合同金额以施工合同中的数据为准。施工承包合同未载明合同总价的，以工程结算资料复印件（工程结算资料须能反映结算双方已盖章确认的结算金额，提交的工程结算资料复印件须加盖投标人公章）为准。</w:t>
      </w:r>
    </w:p>
    <w:p w14:paraId="478B9FED">
      <w:pPr>
        <w:spacing w:line="360" w:lineRule="auto"/>
        <w:ind w:right="-2" w:firstLine="420" w:firstLineChars="200"/>
        <w:jc w:val="left"/>
        <w:rPr>
          <w:rFonts w:hint="eastAsia" w:ascii="宋体" w:hAnsi="宋体"/>
          <w:szCs w:val="21"/>
        </w:rPr>
      </w:pPr>
      <w:r>
        <w:rPr>
          <w:rFonts w:hint="eastAsia" w:ascii="宋体" w:hAnsi="宋体"/>
          <w:szCs w:val="21"/>
        </w:rPr>
        <w:t>6、单项工程指单独发包或单个合同的工程项目，同一工程项目分期发包，签订多个施工合同的，不以累加的合同额作为代表工程业绩。</w:t>
      </w:r>
    </w:p>
    <w:p w14:paraId="44BC3DF4">
      <w:pPr>
        <w:spacing w:line="360" w:lineRule="auto"/>
        <w:ind w:right="-2" w:firstLine="420" w:firstLineChars="200"/>
        <w:jc w:val="left"/>
        <w:rPr>
          <w:rFonts w:hint="eastAsia" w:ascii="宋体" w:hAnsi="宋体" w:eastAsia="宋体"/>
          <w:b/>
          <w:bCs/>
          <w:szCs w:val="21"/>
          <w:highlight w:val="none"/>
          <w:lang w:eastAsia="zh-CN"/>
        </w:rPr>
      </w:pPr>
      <w:r>
        <w:rPr>
          <w:rFonts w:hint="eastAsia" w:ascii="宋体" w:hAnsi="宋体"/>
          <w:szCs w:val="21"/>
          <w:highlight w:val="none"/>
        </w:rPr>
        <w:t>7、单独发包或单个合同的工程项目，建设内容除</w:t>
      </w:r>
      <w:r>
        <w:rPr>
          <w:rFonts w:hint="eastAsia" w:ascii="宋体" w:hAnsi="宋体"/>
          <w:szCs w:val="21"/>
          <w:highlight w:val="none"/>
          <w:u w:val="single"/>
          <w:lang w:val="en-US" w:eastAsia="zh-CN"/>
        </w:rPr>
        <w:t xml:space="preserve"> 水闸工程或泵站工程</w:t>
      </w:r>
      <w:r>
        <w:rPr>
          <w:rFonts w:hint="eastAsia" w:ascii="宋体" w:hAnsi="宋体"/>
          <w:szCs w:val="21"/>
          <w:highlight w:val="none"/>
        </w:rPr>
        <w:t>外还有其他施工内容的，则</w:t>
      </w:r>
      <w:r>
        <w:rPr>
          <w:rFonts w:hint="eastAsia" w:ascii="宋体" w:hAnsi="宋体"/>
          <w:szCs w:val="21"/>
          <w:highlight w:val="none"/>
          <w:u w:val="single"/>
          <w:lang w:val="en-US" w:eastAsia="zh-CN"/>
        </w:rPr>
        <w:t xml:space="preserve"> 水闸工程或泵站工程</w:t>
      </w:r>
      <w:r>
        <w:rPr>
          <w:rFonts w:hint="eastAsia" w:ascii="宋体" w:hAnsi="宋体"/>
          <w:szCs w:val="21"/>
          <w:highlight w:val="none"/>
          <w:u w:val="none"/>
          <w:lang w:val="en-US" w:eastAsia="zh-CN"/>
        </w:rPr>
        <w:t>的</w:t>
      </w:r>
      <w:r>
        <w:rPr>
          <w:rFonts w:hint="eastAsia" w:ascii="宋体" w:hAnsi="宋体"/>
          <w:szCs w:val="21"/>
          <w:highlight w:val="none"/>
        </w:rPr>
        <w:t>工程造价不得低于招标文件要求。</w:t>
      </w:r>
    </w:p>
    <w:p w14:paraId="15668A93">
      <w:pPr>
        <w:ind w:right="-2" w:firstLine="420" w:firstLineChars="200"/>
        <w:jc w:val="left"/>
        <w:rPr>
          <w:rFonts w:hint="eastAsia" w:ascii="宋体" w:hAnsi="宋体"/>
          <w:szCs w:val="21"/>
        </w:rPr>
      </w:pPr>
      <w:r>
        <w:rPr>
          <w:rFonts w:hint="eastAsia" w:ascii="宋体" w:hAnsi="宋体"/>
          <w:szCs w:val="21"/>
        </w:rPr>
        <w:t>8、若业绩是有多个施工单位联合承担的，面积或金额按施工单位家数均分；合同中有约定的，按合同约定为准。</w:t>
      </w:r>
    </w:p>
    <w:p w14:paraId="242FD52A">
      <w:pPr>
        <w:tabs>
          <w:tab w:val="left" w:pos="9354"/>
        </w:tabs>
        <w:ind w:right="-2" w:firstLine="420" w:firstLineChars="200"/>
        <w:jc w:val="left"/>
        <w:rPr>
          <w:rFonts w:hint="eastAsia" w:ascii="宋体" w:hAnsi="宋体"/>
          <w:szCs w:val="21"/>
        </w:rPr>
      </w:pPr>
      <w:r>
        <w:rPr>
          <w:rFonts w:hint="eastAsia" w:ascii="宋体" w:hAnsi="宋体"/>
          <w:szCs w:val="21"/>
        </w:rPr>
        <w:t>9、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565CF3CA">
      <w:pPr>
        <w:tabs>
          <w:tab w:val="left" w:pos="9354"/>
        </w:tabs>
        <w:ind w:right="-2" w:firstLine="420" w:firstLineChars="200"/>
        <w:jc w:val="left"/>
        <w:rPr>
          <w:rFonts w:ascii="宋体" w:hAnsi="宋体"/>
          <w:szCs w:val="21"/>
        </w:rPr>
      </w:pPr>
      <w:r>
        <w:rPr>
          <w:rFonts w:hint="eastAsia" w:ascii="宋体" w:hAnsi="宋体"/>
          <w:szCs w:val="21"/>
        </w:rPr>
        <w:t>10、投标人只需提交1个类似工程业绩。</w:t>
      </w:r>
    </w:p>
    <w:p w14:paraId="75FCC51D">
      <w:pPr>
        <w:rPr>
          <w:rFonts w:hint="eastAsia" w:ascii="Times New Roman" w:hAnsi="Times New Roman"/>
        </w:rPr>
      </w:pPr>
    </w:p>
    <w:p w14:paraId="2C3693FD">
      <w:pPr>
        <w:rPr>
          <w:rFonts w:hint="eastAsia" w:ascii="Times New Roman" w:hAnsi="Times New Roman"/>
        </w:rPr>
      </w:pPr>
    </w:p>
    <w:p w14:paraId="7DD17056">
      <w:pPr>
        <w:spacing w:line="360" w:lineRule="auto"/>
        <w:rPr>
          <w:rFonts w:hint="eastAsia" w:ascii="宋体" w:hAnsi="宋体"/>
          <w:b/>
          <w:szCs w:val="21"/>
        </w:rPr>
      </w:pPr>
    </w:p>
    <w:p w14:paraId="5D6A04CD">
      <w:pPr>
        <w:rPr>
          <w:rFonts w:hint="eastAsia" w:ascii="Times New Roman" w:hAnsi="Times New Roman"/>
        </w:rPr>
      </w:pPr>
    </w:p>
    <w:p w14:paraId="153EABFF">
      <w:pPr>
        <w:rPr>
          <w:rFonts w:hint="eastAsia" w:ascii="Times New Roman" w:hAnsi="Times New Roman"/>
        </w:rPr>
      </w:pPr>
    </w:p>
    <w:p w14:paraId="00E7C035">
      <w:pPr>
        <w:rPr>
          <w:rFonts w:hint="eastAsia" w:ascii="Times New Roman" w:hAnsi="Times New Roman"/>
        </w:rPr>
      </w:pPr>
    </w:p>
    <w:p w14:paraId="4EF8F10C">
      <w:pPr>
        <w:rPr>
          <w:rFonts w:hint="eastAsia" w:ascii="Times New Roman" w:hAnsi="Times New Roman"/>
        </w:rPr>
      </w:pPr>
    </w:p>
    <w:p w14:paraId="3832B179">
      <w:pPr>
        <w:rPr>
          <w:rFonts w:hint="eastAsia" w:ascii="Times New Roman" w:hAnsi="Times New Roman"/>
        </w:rPr>
      </w:pPr>
    </w:p>
    <w:p w14:paraId="5E48F972">
      <w:pPr>
        <w:rPr>
          <w:rFonts w:hint="eastAsia"/>
        </w:rPr>
      </w:pPr>
    </w:p>
    <w:p w14:paraId="4BE0B719">
      <w:pPr>
        <w:rPr>
          <w:rFonts w:hint="eastAsia"/>
        </w:rPr>
      </w:pPr>
    </w:p>
    <w:p w14:paraId="3BE2E4AB">
      <w:pPr>
        <w:rPr>
          <w:rFonts w:hint="eastAsia"/>
        </w:rPr>
      </w:pPr>
    </w:p>
    <w:p w14:paraId="2227942C">
      <w:pPr>
        <w:rPr>
          <w:rFonts w:hint="eastAsia"/>
        </w:rPr>
      </w:pPr>
    </w:p>
    <w:p w14:paraId="68853E26">
      <w:pPr>
        <w:spacing w:line="360" w:lineRule="auto"/>
        <w:jc w:val="center"/>
        <w:rPr>
          <w:rFonts w:hint="eastAsia" w:ascii="Times New Roman" w:hAnsi="Times New Roman"/>
          <w:b/>
          <w:sz w:val="24"/>
        </w:rPr>
      </w:pPr>
      <w:r>
        <w:rPr>
          <w:rFonts w:hint="eastAsia"/>
          <w:b/>
          <w:sz w:val="24"/>
          <w:lang w:eastAsia="zh-CN"/>
        </w:rPr>
        <w:t>八</w:t>
      </w:r>
      <w:r>
        <w:rPr>
          <w:rFonts w:hint="eastAsia" w:ascii="Times New Roman" w:hAnsi="Times New Roman"/>
          <w:b/>
          <w:sz w:val="24"/>
        </w:rPr>
        <w:t>、投标人须知前附表1.4.1要求的</w:t>
      </w:r>
      <w:r>
        <w:rPr>
          <w:rFonts w:hint="eastAsia" w:ascii="Times New Roman" w:hAnsi="Times New Roman"/>
          <w:b/>
          <w:sz w:val="24"/>
          <w:lang w:eastAsia="zh-CN"/>
        </w:rPr>
        <w:t>其他</w:t>
      </w:r>
      <w:r>
        <w:rPr>
          <w:rFonts w:hint="eastAsia" w:ascii="Times New Roman" w:hAnsi="Times New Roman"/>
          <w:b/>
          <w:sz w:val="24"/>
        </w:rPr>
        <w:t>资料</w:t>
      </w:r>
    </w:p>
    <w:p w14:paraId="448DD91B">
      <w:pPr>
        <w:spacing w:line="360" w:lineRule="auto"/>
        <w:jc w:val="center"/>
        <w:rPr>
          <w:rFonts w:hint="eastAsia" w:ascii="宋体" w:hAnsi="宋体"/>
          <w:b/>
          <w:szCs w:val="21"/>
        </w:rPr>
      </w:pPr>
    </w:p>
    <w:p w14:paraId="058C33DC">
      <w:pPr>
        <w:spacing w:line="360" w:lineRule="auto"/>
        <w:jc w:val="center"/>
        <w:rPr>
          <w:rFonts w:hint="eastAsia" w:ascii="宋体" w:hAnsi="宋体"/>
          <w:b/>
          <w:szCs w:val="21"/>
        </w:rPr>
      </w:pPr>
    </w:p>
    <w:p w14:paraId="6AAD8823">
      <w:pPr>
        <w:spacing w:line="360" w:lineRule="auto"/>
        <w:jc w:val="center"/>
        <w:rPr>
          <w:rFonts w:hint="eastAsia" w:ascii="宋体" w:hAnsi="宋体"/>
          <w:b/>
          <w:szCs w:val="21"/>
        </w:rPr>
      </w:pPr>
    </w:p>
    <w:p w14:paraId="22E1B4D3">
      <w:pPr>
        <w:spacing w:line="360" w:lineRule="auto"/>
        <w:jc w:val="center"/>
        <w:rPr>
          <w:rFonts w:hint="eastAsia" w:ascii="宋体" w:hAnsi="宋体"/>
          <w:b/>
          <w:szCs w:val="21"/>
        </w:rPr>
      </w:pPr>
    </w:p>
    <w:p w14:paraId="1AC9A17D">
      <w:pPr>
        <w:spacing w:line="360" w:lineRule="auto"/>
        <w:jc w:val="center"/>
        <w:rPr>
          <w:rFonts w:hint="eastAsia" w:ascii="宋体" w:hAnsi="宋体"/>
          <w:b/>
          <w:szCs w:val="21"/>
        </w:rPr>
      </w:pPr>
    </w:p>
    <w:p w14:paraId="2E1B07BD">
      <w:pPr>
        <w:spacing w:line="360" w:lineRule="auto"/>
        <w:jc w:val="center"/>
        <w:rPr>
          <w:rFonts w:hint="eastAsia" w:ascii="宋体" w:hAnsi="宋体"/>
          <w:b/>
          <w:szCs w:val="21"/>
        </w:rPr>
      </w:pPr>
    </w:p>
    <w:p w14:paraId="14B175DB">
      <w:pPr>
        <w:spacing w:line="360" w:lineRule="auto"/>
        <w:jc w:val="center"/>
        <w:rPr>
          <w:rFonts w:hint="eastAsia" w:ascii="宋体" w:hAnsi="宋体"/>
          <w:b/>
          <w:szCs w:val="21"/>
        </w:rPr>
      </w:pPr>
    </w:p>
    <w:p w14:paraId="6344D735">
      <w:pPr>
        <w:spacing w:line="360" w:lineRule="auto"/>
        <w:jc w:val="center"/>
        <w:rPr>
          <w:rFonts w:hint="eastAsia" w:ascii="宋体" w:hAnsi="宋体"/>
          <w:b/>
          <w:szCs w:val="21"/>
        </w:rPr>
      </w:pPr>
    </w:p>
    <w:p w14:paraId="6B1BB244">
      <w:pPr>
        <w:spacing w:line="360" w:lineRule="auto"/>
        <w:jc w:val="center"/>
        <w:rPr>
          <w:rFonts w:hint="eastAsia" w:ascii="宋体" w:hAnsi="宋体"/>
          <w:b/>
          <w:szCs w:val="21"/>
        </w:rPr>
      </w:pPr>
    </w:p>
    <w:p w14:paraId="1F37FF21">
      <w:pPr>
        <w:spacing w:line="360" w:lineRule="auto"/>
        <w:jc w:val="center"/>
        <w:rPr>
          <w:rFonts w:hint="eastAsia" w:ascii="宋体" w:hAnsi="宋体"/>
          <w:b/>
          <w:szCs w:val="21"/>
        </w:rPr>
      </w:pPr>
    </w:p>
    <w:p w14:paraId="755362CF">
      <w:pPr>
        <w:spacing w:line="360" w:lineRule="auto"/>
        <w:jc w:val="center"/>
        <w:rPr>
          <w:rFonts w:hint="eastAsia" w:ascii="宋体" w:hAnsi="宋体"/>
          <w:b/>
          <w:szCs w:val="21"/>
        </w:rPr>
      </w:pPr>
    </w:p>
    <w:p w14:paraId="07017CB8">
      <w:pPr>
        <w:spacing w:line="360" w:lineRule="auto"/>
        <w:jc w:val="center"/>
        <w:rPr>
          <w:rFonts w:hint="eastAsia" w:ascii="宋体" w:hAnsi="宋体"/>
          <w:b/>
          <w:szCs w:val="21"/>
        </w:rPr>
      </w:pPr>
    </w:p>
    <w:p w14:paraId="66A95C38">
      <w:pPr>
        <w:spacing w:line="360" w:lineRule="auto"/>
        <w:jc w:val="center"/>
        <w:rPr>
          <w:rFonts w:hint="eastAsia" w:ascii="宋体" w:hAnsi="宋体"/>
          <w:b/>
          <w:szCs w:val="21"/>
        </w:rPr>
      </w:pPr>
    </w:p>
    <w:p w14:paraId="7A438017">
      <w:pPr>
        <w:spacing w:line="360" w:lineRule="auto"/>
        <w:jc w:val="center"/>
        <w:rPr>
          <w:rFonts w:hint="eastAsia" w:ascii="宋体" w:hAnsi="宋体"/>
          <w:b/>
          <w:szCs w:val="21"/>
        </w:rPr>
      </w:pPr>
    </w:p>
    <w:p w14:paraId="0113E145">
      <w:pPr>
        <w:spacing w:line="360" w:lineRule="auto"/>
        <w:jc w:val="center"/>
        <w:rPr>
          <w:rFonts w:hint="eastAsia" w:ascii="宋体" w:hAnsi="宋体"/>
          <w:b/>
          <w:szCs w:val="21"/>
        </w:rPr>
      </w:pPr>
    </w:p>
    <w:p w14:paraId="37967B24">
      <w:pPr>
        <w:spacing w:line="360" w:lineRule="auto"/>
        <w:jc w:val="center"/>
        <w:rPr>
          <w:rFonts w:hint="eastAsia" w:ascii="宋体" w:hAnsi="宋体"/>
          <w:b/>
          <w:szCs w:val="21"/>
        </w:rPr>
      </w:pPr>
    </w:p>
    <w:p w14:paraId="7ED478FA">
      <w:pPr>
        <w:spacing w:line="360" w:lineRule="auto"/>
        <w:jc w:val="center"/>
        <w:rPr>
          <w:rFonts w:hint="eastAsia" w:ascii="宋体" w:hAnsi="宋体"/>
          <w:b/>
          <w:szCs w:val="21"/>
        </w:rPr>
      </w:pPr>
    </w:p>
    <w:p w14:paraId="212AF372">
      <w:pPr>
        <w:spacing w:line="360" w:lineRule="auto"/>
        <w:jc w:val="center"/>
        <w:rPr>
          <w:rFonts w:hint="eastAsia" w:ascii="宋体" w:hAnsi="宋体"/>
          <w:b/>
          <w:szCs w:val="21"/>
        </w:rPr>
      </w:pPr>
    </w:p>
    <w:p w14:paraId="26B23FD8">
      <w:pPr>
        <w:spacing w:line="360" w:lineRule="auto"/>
        <w:jc w:val="center"/>
        <w:rPr>
          <w:rFonts w:hint="eastAsia" w:ascii="宋体" w:hAnsi="宋体"/>
          <w:b/>
          <w:szCs w:val="21"/>
        </w:rPr>
      </w:pPr>
    </w:p>
    <w:p w14:paraId="255429DB">
      <w:pPr>
        <w:spacing w:line="360" w:lineRule="auto"/>
        <w:jc w:val="center"/>
        <w:rPr>
          <w:rFonts w:hint="eastAsia" w:ascii="宋体" w:hAnsi="宋体"/>
          <w:b/>
          <w:szCs w:val="21"/>
        </w:rPr>
      </w:pPr>
    </w:p>
    <w:p w14:paraId="2486D36D">
      <w:pPr>
        <w:spacing w:line="360" w:lineRule="auto"/>
        <w:jc w:val="center"/>
        <w:rPr>
          <w:rFonts w:hint="eastAsia" w:ascii="宋体" w:hAnsi="宋体"/>
          <w:b/>
          <w:szCs w:val="21"/>
        </w:rPr>
      </w:pPr>
    </w:p>
    <w:p w14:paraId="45B78A80">
      <w:pPr>
        <w:spacing w:line="360" w:lineRule="auto"/>
        <w:jc w:val="center"/>
        <w:rPr>
          <w:rFonts w:hint="eastAsia" w:ascii="宋体" w:hAnsi="宋体"/>
          <w:b/>
          <w:szCs w:val="21"/>
        </w:rPr>
      </w:pPr>
    </w:p>
    <w:p w14:paraId="59FE0714">
      <w:pPr>
        <w:spacing w:line="360" w:lineRule="auto"/>
        <w:jc w:val="center"/>
        <w:rPr>
          <w:rFonts w:hint="eastAsia" w:ascii="宋体" w:hAnsi="宋体"/>
          <w:b/>
          <w:szCs w:val="21"/>
        </w:rPr>
      </w:pPr>
    </w:p>
    <w:p w14:paraId="2244B4D5">
      <w:pPr>
        <w:spacing w:line="360" w:lineRule="auto"/>
        <w:jc w:val="center"/>
        <w:rPr>
          <w:rFonts w:hint="eastAsia" w:ascii="宋体" w:hAnsi="宋体"/>
          <w:b/>
          <w:szCs w:val="21"/>
        </w:rPr>
      </w:pPr>
    </w:p>
    <w:p w14:paraId="0C912BDB">
      <w:pPr>
        <w:spacing w:line="360" w:lineRule="auto"/>
        <w:jc w:val="center"/>
        <w:rPr>
          <w:rFonts w:hint="eastAsia" w:ascii="宋体" w:hAnsi="宋体"/>
          <w:b/>
          <w:szCs w:val="21"/>
        </w:rPr>
      </w:pPr>
    </w:p>
    <w:p w14:paraId="1E572C49">
      <w:pPr>
        <w:spacing w:line="360" w:lineRule="auto"/>
        <w:jc w:val="center"/>
        <w:rPr>
          <w:rFonts w:hint="eastAsia" w:ascii="宋体" w:hAnsi="宋体"/>
          <w:b/>
          <w:szCs w:val="21"/>
        </w:rPr>
      </w:pPr>
    </w:p>
    <w:p w14:paraId="51518484">
      <w:pPr>
        <w:rPr>
          <w:rFonts w:hint="eastAsia" w:ascii="宋体" w:hAnsi="宋体"/>
          <w:b/>
          <w:bCs w:val="0"/>
          <w:sz w:val="21"/>
          <w:szCs w:val="32"/>
          <w:u w:val="none"/>
          <w:lang w:val="en" w:eastAsia="zh-CN"/>
        </w:rPr>
      </w:pPr>
      <w:r>
        <w:rPr>
          <w:rFonts w:hint="eastAsia" w:ascii="宋体" w:hAnsi="宋体"/>
          <w:b/>
          <w:szCs w:val="21"/>
        </w:rPr>
        <w:br w:type="page"/>
      </w:r>
    </w:p>
    <w:p w14:paraId="5ED6FAE6">
      <w:pPr>
        <w:spacing w:line="360" w:lineRule="auto"/>
        <w:jc w:val="center"/>
        <w:rPr>
          <w:rFonts w:hint="eastAsia" w:ascii="Times New Roman" w:hAnsi="Times New Roman"/>
          <w:b/>
          <w:sz w:val="24"/>
        </w:rPr>
      </w:pPr>
      <w:r>
        <w:rPr>
          <w:rFonts w:hint="eastAsia"/>
          <w:b/>
          <w:sz w:val="24"/>
          <w:lang w:eastAsia="zh-CN"/>
        </w:rPr>
        <w:t>九</w:t>
      </w:r>
      <w:r>
        <w:rPr>
          <w:rFonts w:hint="eastAsia" w:ascii="Times New Roman" w:hAnsi="Times New Roman"/>
          <w:b/>
          <w:sz w:val="24"/>
        </w:rPr>
        <w:t>、信用承诺书</w:t>
      </w:r>
    </w:p>
    <w:p w14:paraId="067A37A7">
      <w:pPr>
        <w:spacing w:line="560" w:lineRule="exact"/>
        <w:jc w:val="center"/>
        <w:rPr>
          <w:rFonts w:ascii="仿宋" w:hAnsi="仿宋" w:eastAsia="仿宋" w:cs="宋体"/>
          <w:b/>
          <w:bCs/>
          <w:sz w:val="44"/>
          <w:szCs w:val="44"/>
        </w:rPr>
      </w:pPr>
    </w:p>
    <w:p w14:paraId="6682F4B9">
      <w:pPr>
        <w:spacing w:line="560" w:lineRule="exact"/>
        <w:ind w:left="638" w:leftChars="304"/>
        <w:rPr>
          <w:rFonts w:hint="eastAsia" w:ascii="宋体" w:hAnsi="宋体" w:cs="宋体"/>
          <w:sz w:val="24"/>
        </w:rPr>
      </w:pPr>
      <w:r>
        <w:rPr>
          <w:rFonts w:hint="eastAsia" w:ascii="宋体" w:hAnsi="宋体" w:cs="宋体"/>
          <w:sz w:val="24"/>
        </w:rPr>
        <w:t>我单位（名称）</w:t>
      </w:r>
      <w:r>
        <w:rPr>
          <w:rFonts w:hint="eastAsia" w:ascii="宋体" w:hAnsi="宋体" w:cs="宋体"/>
          <w:sz w:val="24"/>
          <w:u w:val="single"/>
        </w:rPr>
        <w:t xml:space="preserve">                                </w:t>
      </w:r>
      <w:r>
        <w:rPr>
          <w:rFonts w:hint="eastAsia" w:ascii="宋体" w:hAnsi="宋体" w:cs="宋体"/>
          <w:sz w:val="24"/>
        </w:rPr>
        <w:t>，</w:t>
      </w:r>
    </w:p>
    <w:p w14:paraId="132CF845">
      <w:pPr>
        <w:spacing w:line="560" w:lineRule="exact"/>
        <w:ind w:left="638" w:leftChars="304"/>
        <w:rPr>
          <w:rFonts w:hint="eastAsia" w:ascii="宋体" w:hAnsi="宋体" w:cs="宋体"/>
          <w:sz w:val="24"/>
          <w:u w:val="single"/>
        </w:rPr>
      </w:pPr>
      <w:r>
        <w:rPr>
          <w:rFonts w:hint="eastAsia" w:ascii="宋体" w:hAnsi="宋体" w:cs="宋体"/>
          <w:sz w:val="24"/>
        </w:rPr>
        <w:t>统一社会信用代码为：</w:t>
      </w:r>
      <w:r>
        <w:rPr>
          <w:rFonts w:hint="eastAsia" w:ascii="宋体" w:hAnsi="宋体" w:cs="宋体"/>
          <w:sz w:val="24"/>
          <w:u w:val="single"/>
        </w:rPr>
        <w:t xml:space="preserve">                          </w:t>
      </w:r>
      <w:r>
        <w:rPr>
          <w:rFonts w:hint="eastAsia" w:ascii="宋体" w:hAnsi="宋体" w:cs="宋体"/>
          <w:sz w:val="24"/>
        </w:rPr>
        <w:t>。</w:t>
      </w:r>
    </w:p>
    <w:p w14:paraId="3B8EB007">
      <w:pPr>
        <w:spacing w:line="560" w:lineRule="exact"/>
        <w:rPr>
          <w:rFonts w:hint="eastAsia" w:ascii="宋体" w:hAnsi="宋体" w:cs="宋体"/>
          <w:sz w:val="24"/>
        </w:rPr>
      </w:pPr>
      <w:r>
        <w:rPr>
          <w:rFonts w:hint="eastAsia" w:ascii="宋体" w:hAnsi="宋体" w:cs="宋体"/>
          <w:sz w:val="24"/>
        </w:rPr>
        <w:t xml:space="preserve">   </w:t>
      </w:r>
    </w:p>
    <w:p w14:paraId="25ED11AE">
      <w:pPr>
        <w:spacing w:line="560" w:lineRule="exact"/>
        <w:ind w:firstLine="480" w:firstLineChars="200"/>
        <w:rPr>
          <w:rFonts w:hint="eastAsia" w:ascii="宋体" w:hAnsi="宋体" w:cs="宋体"/>
          <w:sz w:val="24"/>
        </w:rPr>
      </w:pPr>
      <w:r>
        <w:rPr>
          <w:rFonts w:hint="eastAsia" w:ascii="宋体" w:hAnsi="宋体" w:cs="宋体"/>
          <w:sz w:val="24"/>
        </w:rPr>
        <w:t xml:space="preserve"> 为维护统一开放、公平竞争、规范有序的市场秩序，营造诚实守信的信用环境，共同推动社会信用体系建设的健康发展，本企业郑重承诺如下：</w:t>
      </w:r>
    </w:p>
    <w:p w14:paraId="1FE48FF8">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eastAsia="宋体"/>
          <w:b w:val="0"/>
          <w:color w:val="auto"/>
          <w:sz w:val="24"/>
        </w:rPr>
      </w:pPr>
      <w:r>
        <w:rPr>
          <w:rFonts w:hint="eastAsia" w:ascii="Times New Roman" w:hAnsi="Times New Roman" w:eastAsia="宋体"/>
          <w:b w:val="0"/>
          <w:color w:val="auto"/>
          <w:sz w:val="24"/>
        </w:rPr>
        <w:t>一、参与本项目招标投标活动的所有资料均合法、真实、有效，并对所提供资料的真实性负责；</w:t>
      </w:r>
    </w:p>
    <w:p w14:paraId="415AB7C1">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eastAsia="宋体"/>
          <w:b w:val="0"/>
          <w:color w:val="auto"/>
          <w:sz w:val="24"/>
        </w:rPr>
      </w:pPr>
      <w:r>
        <w:rPr>
          <w:rFonts w:hint="eastAsia" w:ascii="Times New Roman" w:hAnsi="Times New Roman" w:eastAsia="宋体"/>
          <w:b w:val="0"/>
          <w:color w:val="auto"/>
          <w:sz w:val="24"/>
        </w:rPr>
        <w:t>二、遵守国家法律、法规、规章和政策规定，开展生产经营活动，主动接受行业监管，自愿接受依法开展的日常检查</w:t>
      </w:r>
      <w:r>
        <w:rPr>
          <w:rFonts w:hint="eastAsia" w:ascii="Times New Roman" w:hAnsi="Times New Roman" w:eastAsia="宋体"/>
          <w:b w:val="0"/>
          <w:color w:val="auto"/>
          <w:sz w:val="24"/>
          <w:shd w:val="clear" w:color="auto" w:fill="FFFFFF"/>
        </w:rPr>
        <w:t>；</w:t>
      </w:r>
    </w:p>
    <w:p w14:paraId="7B8413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color w:val="auto"/>
          <w:sz w:val="24"/>
        </w:rPr>
      </w:pPr>
      <w:r>
        <w:rPr>
          <w:rFonts w:hint="eastAsia" w:ascii="Times New Roman" w:hAnsi="Times New Roman" w:eastAsia="宋体" w:cs="宋体"/>
          <w:b w:val="0"/>
          <w:color w:val="auto"/>
          <w:sz w:val="24"/>
        </w:rPr>
        <w:t>三、若发生违法失信行为，将依照有关法律、法规规章和政策规定接受处罚，并依法承担相应责任；</w:t>
      </w:r>
    </w:p>
    <w:p w14:paraId="182430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color w:val="auto"/>
          <w:sz w:val="24"/>
        </w:rPr>
      </w:pPr>
      <w:r>
        <w:rPr>
          <w:rFonts w:hint="eastAsia" w:ascii="Times New Roman" w:hAnsi="Times New Roman" w:eastAsia="宋体" w:cs="宋体"/>
          <w:b w:val="0"/>
          <w:color w:val="auto"/>
          <w:sz w:val="24"/>
        </w:rPr>
        <w:t>四、自觉接受政府、行业组织、社会公众、新闻舆论的监督，积极履行社会责任；</w:t>
      </w:r>
    </w:p>
    <w:p w14:paraId="18EE81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color w:val="auto"/>
          <w:sz w:val="24"/>
          <w:lang w:eastAsia="zh-CN"/>
        </w:rPr>
      </w:pPr>
      <w:r>
        <w:rPr>
          <w:rFonts w:hint="eastAsia" w:ascii="Times New Roman" w:hAnsi="Times New Roman" w:eastAsia="宋体" w:cs="宋体"/>
          <w:b w:val="0"/>
          <w:color w:val="auto"/>
          <w:sz w:val="24"/>
        </w:rPr>
        <w:t>五、自愿按照信用信息管理有关要求，将信用承诺信息纳入各级信用信息共享平台，并通过各级信用网站向社会公开</w:t>
      </w:r>
      <w:r>
        <w:rPr>
          <w:rFonts w:hint="eastAsia" w:ascii="Times New Roman" w:hAnsi="Times New Roman" w:eastAsia="宋体" w:cs="宋体"/>
          <w:b w:val="0"/>
          <w:color w:val="auto"/>
          <w:sz w:val="24"/>
          <w:lang w:eastAsia="zh-CN"/>
        </w:rPr>
        <w:t>；</w:t>
      </w:r>
    </w:p>
    <w:p w14:paraId="23955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color w:val="auto"/>
          <w:sz w:val="24"/>
          <w:lang w:eastAsia="zh-CN"/>
        </w:rPr>
      </w:pPr>
      <w:r>
        <w:rPr>
          <w:rFonts w:hint="eastAsia" w:cs="宋体"/>
          <w:b w:val="0"/>
          <w:color w:val="auto"/>
          <w:sz w:val="24"/>
          <w:lang w:eastAsia="zh-CN"/>
        </w:rPr>
        <w:t>六</w:t>
      </w:r>
      <w:r>
        <w:rPr>
          <w:rFonts w:hint="eastAsia" w:ascii="Times New Roman" w:hAnsi="Times New Roman" w:eastAsia="宋体" w:cs="宋体"/>
          <w:b w:val="0"/>
          <w:color w:val="auto"/>
          <w:sz w:val="24"/>
          <w:lang w:eastAsia="zh-CN"/>
        </w:rPr>
        <w:t>、本《信用承诺书》同意向社会公开。</w:t>
      </w:r>
    </w:p>
    <w:p w14:paraId="7E08C544">
      <w:pPr>
        <w:pStyle w:val="9"/>
        <w:rPr>
          <w:rFonts w:hint="eastAsia"/>
        </w:rPr>
      </w:pPr>
    </w:p>
    <w:p w14:paraId="78824F95">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Times New Roman" w:hAnsi="Times New Roman" w:eastAsia="宋体" w:cs="宋体"/>
          <w:b w:val="0"/>
          <w:sz w:val="24"/>
        </w:rPr>
      </w:pPr>
    </w:p>
    <w:p w14:paraId="2DCE74E4">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center"/>
        <w:textAlignment w:val="auto"/>
        <w:rPr>
          <w:rFonts w:hint="eastAsia" w:ascii="Times New Roman" w:hAnsi="Times New Roman" w:eastAsia="宋体" w:cs="宋体"/>
          <w:b w:val="0"/>
          <w:sz w:val="24"/>
        </w:rPr>
      </w:pPr>
      <w:r>
        <w:rPr>
          <w:rFonts w:hint="eastAsia" w:cs="宋体"/>
          <w:b w:val="0"/>
          <w:sz w:val="24"/>
          <w:lang w:val="en-US" w:eastAsia="zh-CN"/>
        </w:rPr>
        <w:t xml:space="preserve">             </w:t>
      </w:r>
      <w:r>
        <w:rPr>
          <w:rFonts w:hint="eastAsia" w:ascii="Times New Roman" w:hAnsi="Times New Roman" w:eastAsia="宋体" w:cs="宋体"/>
          <w:b w:val="0"/>
          <w:sz w:val="24"/>
        </w:rPr>
        <w:t>承诺单位</w:t>
      </w:r>
      <w:r>
        <w:rPr>
          <w:rFonts w:hint="eastAsia" w:ascii="Times New Roman" w:hAnsi="Times New Roman" w:eastAsia="宋体" w:cs="宋体"/>
          <w:b w:val="0"/>
          <w:sz w:val="24"/>
          <w:lang w:eastAsia="zh-CN"/>
        </w:rPr>
        <w:t>：</w:t>
      </w:r>
      <w:r>
        <w:rPr>
          <w:rFonts w:hint="eastAsia" w:ascii="Times New Roman" w:hAnsi="Times New Roman" w:eastAsia="宋体" w:cs="宋体"/>
          <w:b w:val="0"/>
          <w:sz w:val="24"/>
        </w:rPr>
        <w:t>（加盖公章）</w:t>
      </w:r>
    </w:p>
    <w:p w14:paraId="0C0256B8">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right"/>
        <w:textAlignment w:val="auto"/>
        <w:rPr>
          <w:rFonts w:hint="eastAsia" w:ascii="Times New Roman" w:hAnsi="Times New Roman" w:eastAsia="宋体" w:cs="宋体"/>
          <w:b w:val="0"/>
          <w:sz w:val="24"/>
        </w:rPr>
      </w:pPr>
    </w:p>
    <w:p w14:paraId="3701BED6">
      <w:pPr>
        <w:keepNext w:val="0"/>
        <w:keepLines w:val="0"/>
        <w:pageBreakBefore w:val="0"/>
        <w:widowControl w:val="0"/>
        <w:kinsoku/>
        <w:wordWrap/>
        <w:overflowPunct/>
        <w:topLinePunct w:val="0"/>
        <w:autoSpaceDE/>
        <w:autoSpaceDN/>
        <w:bidi w:val="0"/>
        <w:adjustRightInd/>
        <w:snapToGrid/>
        <w:spacing w:line="360" w:lineRule="auto"/>
        <w:ind w:firstLine="6000" w:firstLineChars="2500"/>
        <w:jc w:val="both"/>
        <w:textAlignment w:val="auto"/>
        <w:rPr>
          <w:rFonts w:hint="eastAsia" w:ascii="Times New Roman" w:hAnsi="Times New Roman" w:eastAsia="宋体" w:cs="宋体"/>
          <w:b w:val="0"/>
          <w:sz w:val="24"/>
        </w:rPr>
      </w:pPr>
      <w:r>
        <w:rPr>
          <w:rFonts w:hint="eastAsia" w:ascii="Times New Roman" w:hAnsi="Times New Roman" w:eastAsia="宋体" w:cs="宋体"/>
          <w:b w:val="0"/>
          <w:sz w:val="24"/>
        </w:rPr>
        <w:t>法定代表人签字：</w:t>
      </w:r>
    </w:p>
    <w:p w14:paraId="58ECAF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eastAsia="宋体" w:cs="宋体"/>
          <w:b w:val="0"/>
          <w:sz w:val="24"/>
        </w:rPr>
      </w:pPr>
    </w:p>
    <w:p w14:paraId="3319C7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center"/>
        <w:textAlignment w:val="auto"/>
        <w:rPr>
          <w:rFonts w:ascii="Times New Roman" w:hAnsi="Times New Roman" w:eastAsia="宋体"/>
          <w:b w:val="0"/>
          <w:sz w:val="24"/>
        </w:rPr>
      </w:pPr>
      <w:r>
        <w:rPr>
          <w:rFonts w:hint="eastAsia" w:ascii="Times New Roman" w:hAnsi="Times New Roman" w:eastAsia="宋体" w:cs="宋体"/>
          <w:b w:val="0"/>
          <w:sz w:val="24"/>
        </w:rPr>
        <w:t xml:space="preserve">年  </w:t>
      </w:r>
      <w:r>
        <w:rPr>
          <w:rFonts w:hint="eastAsia" w:ascii="Times New Roman" w:hAnsi="Times New Roman" w:eastAsia="宋体" w:cs="宋体"/>
          <w:b w:val="0"/>
          <w:sz w:val="24"/>
          <w:lang w:val="en-US" w:eastAsia="zh-CN"/>
        </w:rPr>
        <w:t xml:space="preserve"> </w:t>
      </w:r>
      <w:r>
        <w:rPr>
          <w:rFonts w:hint="eastAsia" w:ascii="Times New Roman" w:hAnsi="Times New Roman" w:eastAsia="宋体" w:cs="宋体"/>
          <w:b w:val="0"/>
          <w:sz w:val="24"/>
        </w:rPr>
        <w:t xml:space="preserve"> 月 </w:t>
      </w:r>
      <w:r>
        <w:rPr>
          <w:rFonts w:hint="eastAsia" w:ascii="Times New Roman" w:hAnsi="Times New Roman" w:eastAsia="宋体" w:cs="宋体"/>
          <w:b w:val="0"/>
          <w:sz w:val="24"/>
          <w:lang w:val="en-US" w:eastAsia="zh-CN"/>
        </w:rPr>
        <w:t xml:space="preserve"> </w:t>
      </w:r>
      <w:r>
        <w:rPr>
          <w:rFonts w:hint="eastAsia" w:ascii="Times New Roman" w:hAnsi="Times New Roman" w:eastAsia="宋体" w:cs="宋体"/>
          <w:b w:val="0"/>
          <w:sz w:val="24"/>
        </w:rPr>
        <w:t xml:space="preserve">  日</w:t>
      </w:r>
    </w:p>
    <w:p w14:paraId="16C7E621">
      <w:pPr>
        <w:rPr>
          <w:rFonts w:hint="eastAsia" w:ascii="宋体" w:hAnsi="宋体"/>
          <w:szCs w:val="21"/>
        </w:rPr>
      </w:pPr>
      <w:r>
        <w:rPr>
          <w:rFonts w:hint="eastAsia" w:ascii="宋体" w:hAnsi="宋体"/>
          <w:szCs w:val="21"/>
        </w:rPr>
        <w:br w:type="page"/>
      </w:r>
    </w:p>
    <w:p w14:paraId="0F6882B7">
      <w:pPr>
        <w:numPr>
          <w:ilvl w:val="0"/>
          <w:numId w:val="8"/>
        </w:numPr>
        <w:jc w:val="center"/>
        <w:rPr>
          <w:rFonts w:hint="eastAsia" w:ascii="Times New Roman" w:hAnsi="Times New Roman"/>
          <w:b/>
          <w:sz w:val="24"/>
          <w:lang w:val="en-US" w:eastAsia="zh-CN"/>
        </w:rPr>
      </w:pPr>
      <w:r>
        <w:rPr>
          <w:rFonts w:hint="eastAsia" w:ascii="Times New Roman" w:hAnsi="Times New Roman"/>
          <w:b/>
          <w:sz w:val="24"/>
          <w:lang w:val="en-US" w:eastAsia="zh-CN"/>
        </w:rPr>
        <w:t>其他</w:t>
      </w:r>
    </w:p>
    <w:p w14:paraId="6DBB79E3">
      <w:pPr>
        <w:numPr>
          <w:ilvl w:val="0"/>
          <w:numId w:val="0"/>
        </w:numPr>
        <w:jc w:val="both"/>
        <w:rPr>
          <w:rFonts w:hint="eastAsia" w:asciiTheme="minorEastAsia" w:hAnsiTheme="minorEastAsia" w:eastAsiaTheme="minorEastAsia" w:cstheme="minorEastAsia"/>
          <w:color w:val="auto"/>
          <w:highlight w:val="none"/>
        </w:rPr>
      </w:pPr>
    </w:p>
    <w:p w14:paraId="4754EB74">
      <w:pPr>
        <w:numPr>
          <w:ilvl w:val="0"/>
          <w:numId w:val="0"/>
        </w:numPr>
        <w:jc w:val="both"/>
        <w:rPr>
          <w:rFonts w:hint="eastAsia" w:asciiTheme="minorEastAsia" w:hAnsiTheme="minorEastAsia" w:eastAsiaTheme="minorEastAsia" w:cstheme="minorEastAsia"/>
          <w:color w:val="auto"/>
          <w:highlight w:val="none"/>
        </w:rPr>
      </w:pPr>
    </w:p>
    <w:p w14:paraId="0D1BF2A1">
      <w:pPr>
        <w:numPr>
          <w:ilvl w:val="0"/>
          <w:numId w:val="0"/>
        </w:num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注：由投标人自行考虑，若没有需要提供的</w:t>
      </w:r>
      <w:r>
        <w:rPr>
          <w:rFonts w:hint="eastAsia" w:asciiTheme="minorEastAsia" w:hAnsiTheme="minorEastAsia" w:eastAsiaTheme="minorEastAsia" w:cstheme="minorEastAsia"/>
          <w:color w:val="auto"/>
          <w:highlight w:val="none"/>
          <w:lang w:val="en-US" w:eastAsia="zh-CN"/>
        </w:rPr>
        <w:t>其他</w:t>
      </w:r>
      <w:r>
        <w:rPr>
          <w:rFonts w:hint="eastAsia" w:asciiTheme="minorEastAsia" w:hAnsiTheme="minorEastAsia" w:eastAsiaTheme="minorEastAsia" w:cstheme="minorEastAsia"/>
          <w:color w:val="auto"/>
          <w:highlight w:val="none"/>
        </w:rPr>
        <w:t>资料，可以填“无”或不填写内容。</w:t>
      </w:r>
    </w:p>
    <w:p w14:paraId="57725383">
      <w:pPr>
        <w:jc w:val="center"/>
        <w:rPr>
          <w:rFonts w:hint="eastAsia" w:ascii="宋体" w:hAnsi="宋体"/>
          <w:szCs w:val="21"/>
        </w:rPr>
      </w:pPr>
    </w:p>
    <w:p w14:paraId="1DDFD5C0">
      <w:pPr>
        <w:spacing w:line="360" w:lineRule="auto"/>
        <w:ind w:firstLine="420" w:firstLineChars="200"/>
        <w:jc w:val="right"/>
        <w:rPr>
          <w:rFonts w:hint="eastAsia" w:ascii="宋体" w:hAnsi="宋体"/>
          <w:szCs w:val="21"/>
        </w:rPr>
      </w:pPr>
    </w:p>
    <w:p w14:paraId="1C66EC0A">
      <w:pPr>
        <w:spacing w:line="360" w:lineRule="auto"/>
        <w:ind w:firstLine="420" w:firstLineChars="200"/>
        <w:jc w:val="right"/>
        <w:rPr>
          <w:rFonts w:hint="eastAsia" w:ascii="宋体" w:hAnsi="宋体"/>
          <w:szCs w:val="21"/>
        </w:rPr>
      </w:pPr>
    </w:p>
    <w:p w14:paraId="0B62EF6E">
      <w:pPr>
        <w:spacing w:line="360" w:lineRule="auto"/>
        <w:ind w:firstLine="420" w:firstLineChars="200"/>
        <w:jc w:val="right"/>
        <w:rPr>
          <w:rFonts w:hint="eastAsia" w:ascii="宋体" w:hAnsi="宋体"/>
          <w:szCs w:val="21"/>
        </w:rPr>
      </w:pPr>
    </w:p>
    <w:p w14:paraId="269B84D5">
      <w:pPr>
        <w:spacing w:line="360" w:lineRule="auto"/>
        <w:ind w:firstLine="420" w:firstLineChars="200"/>
        <w:jc w:val="right"/>
        <w:rPr>
          <w:rFonts w:hint="eastAsia" w:ascii="宋体" w:hAnsi="宋体"/>
          <w:szCs w:val="21"/>
        </w:rPr>
      </w:pPr>
    </w:p>
    <w:p w14:paraId="260382C5">
      <w:pPr>
        <w:spacing w:line="360" w:lineRule="auto"/>
        <w:ind w:firstLine="420" w:firstLineChars="200"/>
        <w:jc w:val="right"/>
        <w:rPr>
          <w:rFonts w:hint="eastAsia" w:ascii="宋体" w:hAnsi="宋体"/>
          <w:szCs w:val="21"/>
        </w:rPr>
      </w:pPr>
    </w:p>
    <w:p w14:paraId="3C44B4B1">
      <w:pPr>
        <w:spacing w:line="360" w:lineRule="auto"/>
        <w:ind w:firstLine="420" w:firstLineChars="200"/>
        <w:jc w:val="right"/>
        <w:rPr>
          <w:rFonts w:hint="eastAsia" w:ascii="宋体" w:hAnsi="宋体"/>
          <w:szCs w:val="21"/>
        </w:rPr>
      </w:pPr>
    </w:p>
    <w:p w14:paraId="777EE774">
      <w:pPr>
        <w:spacing w:line="360" w:lineRule="auto"/>
        <w:ind w:firstLine="420" w:firstLineChars="200"/>
        <w:jc w:val="right"/>
        <w:rPr>
          <w:rFonts w:hint="eastAsia" w:ascii="宋体" w:hAnsi="宋体"/>
          <w:szCs w:val="21"/>
        </w:rPr>
      </w:pPr>
    </w:p>
    <w:p w14:paraId="160D6F58">
      <w:pPr>
        <w:spacing w:line="360" w:lineRule="auto"/>
        <w:ind w:firstLine="420" w:firstLineChars="200"/>
        <w:jc w:val="right"/>
        <w:rPr>
          <w:rFonts w:hint="eastAsia" w:ascii="宋体" w:hAnsi="宋体"/>
          <w:szCs w:val="21"/>
        </w:rPr>
      </w:pPr>
    </w:p>
    <w:p w14:paraId="6202FFB3">
      <w:pPr>
        <w:spacing w:line="360" w:lineRule="auto"/>
        <w:ind w:firstLine="420" w:firstLineChars="200"/>
        <w:jc w:val="right"/>
        <w:rPr>
          <w:rFonts w:hint="eastAsia" w:ascii="宋体" w:hAnsi="宋体"/>
          <w:szCs w:val="21"/>
        </w:rPr>
      </w:pPr>
    </w:p>
    <w:p w14:paraId="7D9399C4">
      <w:pPr>
        <w:spacing w:line="360" w:lineRule="auto"/>
        <w:ind w:firstLine="420" w:firstLineChars="200"/>
        <w:jc w:val="right"/>
        <w:rPr>
          <w:rFonts w:hint="eastAsia" w:ascii="宋体" w:hAnsi="宋体"/>
          <w:szCs w:val="21"/>
        </w:rPr>
      </w:pPr>
    </w:p>
    <w:p w14:paraId="2ADD3A47">
      <w:pPr>
        <w:spacing w:line="360" w:lineRule="auto"/>
        <w:ind w:firstLine="420" w:firstLineChars="200"/>
        <w:jc w:val="right"/>
        <w:rPr>
          <w:rFonts w:hint="eastAsia" w:ascii="宋体" w:hAnsi="宋体"/>
          <w:szCs w:val="21"/>
        </w:rPr>
      </w:pPr>
    </w:p>
    <w:p w14:paraId="52693092">
      <w:pPr>
        <w:spacing w:line="360" w:lineRule="auto"/>
        <w:ind w:firstLine="420" w:firstLineChars="200"/>
        <w:jc w:val="right"/>
        <w:rPr>
          <w:rFonts w:hint="eastAsia" w:ascii="宋体" w:hAnsi="宋体"/>
          <w:szCs w:val="21"/>
        </w:rPr>
      </w:pPr>
    </w:p>
    <w:p w14:paraId="16D3450D">
      <w:pPr>
        <w:spacing w:line="360" w:lineRule="auto"/>
        <w:ind w:firstLine="420" w:firstLineChars="200"/>
        <w:jc w:val="right"/>
        <w:rPr>
          <w:rFonts w:hint="eastAsia" w:ascii="宋体" w:hAnsi="宋体"/>
          <w:szCs w:val="21"/>
        </w:rPr>
      </w:pPr>
    </w:p>
    <w:p w14:paraId="1481DD22">
      <w:pPr>
        <w:spacing w:line="360" w:lineRule="auto"/>
        <w:ind w:firstLine="420" w:firstLineChars="200"/>
        <w:jc w:val="right"/>
        <w:rPr>
          <w:rFonts w:hint="eastAsia" w:ascii="宋体" w:hAnsi="宋体"/>
          <w:szCs w:val="21"/>
        </w:rPr>
      </w:pPr>
    </w:p>
    <w:p w14:paraId="3DC9B617">
      <w:pPr>
        <w:spacing w:line="360" w:lineRule="auto"/>
        <w:ind w:firstLine="420" w:firstLineChars="200"/>
        <w:jc w:val="right"/>
        <w:rPr>
          <w:rFonts w:hint="eastAsia" w:ascii="宋体" w:hAnsi="宋体"/>
          <w:szCs w:val="21"/>
        </w:rPr>
      </w:pPr>
    </w:p>
    <w:p w14:paraId="39A13E38">
      <w:pPr>
        <w:spacing w:line="360" w:lineRule="auto"/>
        <w:ind w:firstLine="420" w:firstLineChars="200"/>
        <w:jc w:val="right"/>
        <w:rPr>
          <w:rFonts w:hint="eastAsia" w:ascii="宋体" w:hAnsi="宋体"/>
          <w:szCs w:val="21"/>
        </w:rPr>
      </w:pPr>
    </w:p>
    <w:p w14:paraId="60ACF044">
      <w:pPr>
        <w:spacing w:line="360" w:lineRule="auto"/>
        <w:ind w:firstLine="420" w:firstLineChars="200"/>
        <w:jc w:val="right"/>
        <w:rPr>
          <w:rFonts w:hint="eastAsia" w:ascii="宋体" w:hAnsi="宋体"/>
          <w:szCs w:val="21"/>
        </w:rPr>
      </w:pPr>
    </w:p>
    <w:p w14:paraId="4404F3D8">
      <w:pPr>
        <w:spacing w:line="360" w:lineRule="auto"/>
        <w:ind w:firstLine="420" w:firstLineChars="200"/>
        <w:jc w:val="right"/>
        <w:rPr>
          <w:rFonts w:hint="eastAsia" w:ascii="宋体" w:hAnsi="宋体"/>
          <w:szCs w:val="21"/>
        </w:rPr>
      </w:pPr>
    </w:p>
    <w:p w14:paraId="7627D570">
      <w:pPr>
        <w:spacing w:line="360" w:lineRule="auto"/>
        <w:ind w:firstLine="420" w:firstLineChars="200"/>
        <w:jc w:val="right"/>
        <w:rPr>
          <w:rFonts w:hint="eastAsia" w:ascii="宋体" w:hAnsi="宋体"/>
          <w:szCs w:val="21"/>
        </w:rPr>
      </w:pPr>
    </w:p>
    <w:p w14:paraId="2A2E5D11">
      <w:pPr>
        <w:spacing w:line="360" w:lineRule="auto"/>
        <w:ind w:firstLine="420" w:firstLineChars="200"/>
        <w:jc w:val="right"/>
        <w:rPr>
          <w:rFonts w:hint="eastAsia" w:ascii="宋体" w:hAnsi="宋体"/>
          <w:szCs w:val="21"/>
        </w:rPr>
      </w:pPr>
    </w:p>
    <w:p w14:paraId="03E00222">
      <w:pPr>
        <w:spacing w:line="360" w:lineRule="auto"/>
        <w:ind w:firstLine="420" w:firstLineChars="200"/>
        <w:jc w:val="right"/>
        <w:rPr>
          <w:rFonts w:hint="eastAsia" w:ascii="宋体" w:hAnsi="宋体"/>
          <w:szCs w:val="21"/>
        </w:rPr>
      </w:pPr>
    </w:p>
    <w:p w14:paraId="77F1727A">
      <w:pPr>
        <w:spacing w:line="360" w:lineRule="auto"/>
        <w:ind w:firstLine="420" w:firstLineChars="200"/>
        <w:jc w:val="right"/>
        <w:rPr>
          <w:rFonts w:hint="eastAsia" w:ascii="宋体" w:hAnsi="宋体"/>
          <w:szCs w:val="21"/>
        </w:rPr>
      </w:pPr>
    </w:p>
    <w:p w14:paraId="7EA1F77B">
      <w:pPr>
        <w:spacing w:line="360" w:lineRule="auto"/>
        <w:ind w:firstLine="420" w:firstLineChars="200"/>
        <w:jc w:val="right"/>
        <w:rPr>
          <w:rFonts w:hint="eastAsia" w:ascii="宋体" w:hAnsi="宋体"/>
          <w:szCs w:val="21"/>
        </w:rPr>
      </w:pPr>
    </w:p>
    <w:p w14:paraId="18FA553F">
      <w:pPr>
        <w:spacing w:line="360" w:lineRule="auto"/>
        <w:ind w:firstLine="420" w:firstLineChars="200"/>
        <w:jc w:val="right"/>
        <w:rPr>
          <w:rFonts w:hint="eastAsia" w:ascii="宋体" w:hAnsi="宋体"/>
          <w:szCs w:val="21"/>
        </w:rPr>
      </w:pPr>
    </w:p>
    <w:p w14:paraId="28E1BDB8">
      <w:pPr>
        <w:spacing w:line="360" w:lineRule="auto"/>
        <w:ind w:firstLine="420" w:firstLineChars="200"/>
        <w:jc w:val="right"/>
        <w:rPr>
          <w:rFonts w:hint="eastAsia" w:ascii="宋体" w:hAnsi="宋体"/>
          <w:szCs w:val="21"/>
        </w:rPr>
      </w:pPr>
    </w:p>
    <w:p w14:paraId="2EB43A46">
      <w:pPr>
        <w:spacing w:line="360" w:lineRule="auto"/>
        <w:ind w:firstLine="420" w:firstLineChars="200"/>
        <w:jc w:val="right"/>
        <w:rPr>
          <w:rFonts w:hint="eastAsia" w:ascii="宋体" w:hAnsi="宋体"/>
          <w:szCs w:val="21"/>
        </w:rPr>
      </w:pPr>
    </w:p>
    <w:p w14:paraId="2A8251C0">
      <w:pPr>
        <w:spacing w:line="360" w:lineRule="auto"/>
        <w:ind w:firstLine="420" w:firstLineChars="200"/>
        <w:jc w:val="right"/>
        <w:rPr>
          <w:rFonts w:hint="eastAsia" w:ascii="宋体" w:hAnsi="宋体"/>
          <w:szCs w:val="21"/>
        </w:rPr>
      </w:pPr>
    </w:p>
    <w:p w14:paraId="72057F62">
      <w:pPr>
        <w:spacing w:line="360" w:lineRule="auto"/>
        <w:ind w:firstLine="420" w:firstLineChars="200"/>
        <w:jc w:val="right"/>
        <w:rPr>
          <w:rFonts w:hint="eastAsia" w:ascii="宋体" w:hAnsi="宋体"/>
          <w:szCs w:val="21"/>
        </w:rPr>
      </w:pPr>
    </w:p>
    <w:p w14:paraId="67C309D7">
      <w:pPr>
        <w:spacing w:line="360" w:lineRule="auto"/>
        <w:ind w:firstLine="420" w:firstLineChars="200"/>
        <w:jc w:val="right"/>
        <w:rPr>
          <w:rFonts w:hint="eastAsia" w:ascii="宋体" w:hAnsi="宋体"/>
          <w:szCs w:val="21"/>
        </w:rPr>
      </w:pPr>
    </w:p>
    <w:p w14:paraId="20F46720">
      <w:pPr>
        <w:spacing w:line="360" w:lineRule="auto"/>
        <w:ind w:firstLine="420" w:firstLineChars="200"/>
        <w:jc w:val="right"/>
        <w:rPr>
          <w:rFonts w:hint="eastAsia" w:ascii="宋体" w:hAnsi="宋体"/>
          <w:szCs w:val="21"/>
        </w:rPr>
      </w:pPr>
    </w:p>
    <w:p w14:paraId="09822591">
      <w:pPr>
        <w:spacing w:line="360" w:lineRule="auto"/>
        <w:ind w:firstLine="420" w:firstLineChars="200"/>
        <w:jc w:val="right"/>
        <w:rPr>
          <w:rFonts w:hint="eastAsia" w:ascii="宋体" w:hAnsi="宋体"/>
          <w:szCs w:val="21"/>
        </w:rPr>
      </w:pPr>
    </w:p>
    <w:p w14:paraId="3DE8C3B8">
      <w:pPr>
        <w:spacing w:line="360" w:lineRule="auto"/>
        <w:ind w:firstLine="420" w:firstLineChars="200"/>
        <w:jc w:val="right"/>
        <w:rPr>
          <w:rFonts w:hint="eastAsia" w:ascii="宋体" w:hAnsi="宋体"/>
          <w:szCs w:val="21"/>
        </w:rPr>
      </w:pPr>
    </w:p>
    <w:p w14:paraId="2B903E54">
      <w:pPr>
        <w:spacing w:line="360" w:lineRule="auto"/>
        <w:ind w:firstLine="420" w:firstLineChars="200"/>
        <w:jc w:val="right"/>
        <w:rPr>
          <w:rFonts w:hint="eastAsia" w:ascii="宋体" w:hAnsi="宋体"/>
          <w:szCs w:val="21"/>
        </w:rPr>
      </w:pPr>
      <w:r>
        <w:rPr>
          <w:rFonts w:hint="eastAsia" w:ascii="宋体" w:hAnsi="宋体"/>
          <w:szCs w:val="21"/>
        </w:rPr>
        <w:t>正本（副本）</w:t>
      </w:r>
    </w:p>
    <w:p w14:paraId="31479857">
      <w:pPr>
        <w:spacing w:line="360" w:lineRule="auto"/>
        <w:ind w:firstLine="420" w:firstLineChars="200"/>
        <w:rPr>
          <w:rFonts w:hint="eastAsia" w:ascii="宋体" w:hAnsi="宋体"/>
          <w:szCs w:val="21"/>
        </w:rPr>
      </w:pPr>
    </w:p>
    <w:p w14:paraId="469B0F48">
      <w:pPr>
        <w:spacing w:line="360" w:lineRule="auto"/>
        <w:ind w:firstLine="643" w:firstLineChars="200"/>
        <w:rPr>
          <w:rFonts w:ascii="宋体" w:hAnsi="宋体"/>
          <w:b/>
          <w:color w:val="auto"/>
          <w:sz w:val="32"/>
          <w:szCs w:val="32"/>
        </w:rPr>
      </w:pPr>
      <w:r>
        <w:rPr>
          <w:rFonts w:hint="eastAsia" w:ascii="宋体" w:hAnsi="宋体"/>
          <w:b/>
          <w:color w:val="auto"/>
          <w:sz w:val="32"/>
          <w:szCs w:val="32"/>
          <w:u w:val="single"/>
        </w:rPr>
        <w:t xml:space="preserve">                </w:t>
      </w:r>
      <w:r>
        <w:rPr>
          <w:rFonts w:hint="eastAsia" w:ascii="宋体" w:hAnsi="宋体"/>
          <w:b/>
          <w:color w:val="auto"/>
          <w:sz w:val="32"/>
          <w:szCs w:val="32"/>
        </w:rPr>
        <w:t>（项目名称）</w:t>
      </w:r>
      <w:r>
        <w:rPr>
          <w:rFonts w:hint="eastAsia" w:ascii="宋体" w:hAnsi="宋体"/>
          <w:b/>
          <w:color w:val="auto"/>
          <w:sz w:val="32"/>
          <w:szCs w:val="32"/>
          <w:u w:val="single"/>
        </w:rPr>
        <w:t xml:space="preserve">         </w:t>
      </w:r>
      <w:r>
        <w:rPr>
          <w:rFonts w:hint="eastAsia" w:ascii="宋体" w:hAnsi="宋体"/>
          <w:b/>
          <w:color w:val="auto"/>
          <w:sz w:val="32"/>
          <w:szCs w:val="32"/>
        </w:rPr>
        <w:t>标段施工招标</w:t>
      </w:r>
    </w:p>
    <w:p w14:paraId="33A9648D">
      <w:pPr>
        <w:spacing w:line="360" w:lineRule="auto"/>
        <w:ind w:firstLine="420" w:firstLineChars="200"/>
        <w:rPr>
          <w:rFonts w:ascii="宋体" w:hAnsi="宋体"/>
          <w:szCs w:val="21"/>
        </w:rPr>
      </w:pPr>
    </w:p>
    <w:p w14:paraId="5EFF571D">
      <w:pPr>
        <w:spacing w:line="360" w:lineRule="auto"/>
        <w:ind w:firstLine="1440" w:firstLineChars="200"/>
        <w:jc w:val="center"/>
        <w:rPr>
          <w:rFonts w:ascii="宋体" w:hAnsi="宋体"/>
          <w:sz w:val="72"/>
          <w:szCs w:val="72"/>
        </w:rPr>
      </w:pPr>
      <w:r>
        <w:rPr>
          <w:rFonts w:hint="eastAsia" w:ascii="宋体" w:hAnsi="宋体"/>
          <w:sz w:val="72"/>
          <w:szCs w:val="72"/>
        </w:rPr>
        <w:t>投 标 文 件</w:t>
      </w:r>
    </w:p>
    <w:p w14:paraId="4C3A4592">
      <w:pPr>
        <w:spacing w:line="360" w:lineRule="auto"/>
        <w:ind w:firstLine="420" w:firstLineChars="200"/>
        <w:rPr>
          <w:rFonts w:hint="eastAsia" w:ascii="宋体" w:hAnsi="宋体"/>
          <w:szCs w:val="21"/>
        </w:rPr>
      </w:pPr>
    </w:p>
    <w:p w14:paraId="777DD51D">
      <w:pPr>
        <w:spacing w:line="360" w:lineRule="auto"/>
        <w:ind w:firstLine="420" w:firstLineChars="200"/>
        <w:rPr>
          <w:rFonts w:hint="eastAsia" w:ascii="宋体" w:hAnsi="宋体"/>
          <w:szCs w:val="21"/>
        </w:rPr>
      </w:pPr>
    </w:p>
    <w:p w14:paraId="68B9815F">
      <w:pPr>
        <w:spacing w:line="360" w:lineRule="auto"/>
        <w:ind w:firstLine="960" w:firstLineChars="200"/>
        <w:jc w:val="center"/>
        <w:rPr>
          <w:rFonts w:hint="eastAsia" w:ascii="宋体" w:hAnsi="宋体"/>
          <w:sz w:val="48"/>
          <w:szCs w:val="48"/>
        </w:rPr>
      </w:pPr>
      <w:r>
        <w:rPr>
          <w:rFonts w:hint="eastAsia" w:ascii="宋体" w:hAnsi="宋体"/>
          <w:sz w:val="48"/>
          <w:szCs w:val="48"/>
        </w:rPr>
        <w:t>技术标函</w:t>
      </w:r>
    </w:p>
    <w:p w14:paraId="7EA997D9">
      <w:pPr>
        <w:spacing w:line="360" w:lineRule="auto"/>
        <w:ind w:firstLine="420" w:firstLineChars="200"/>
        <w:rPr>
          <w:rFonts w:hint="eastAsia" w:ascii="宋体" w:hAnsi="宋体"/>
          <w:szCs w:val="21"/>
        </w:rPr>
      </w:pPr>
    </w:p>
    <w:p w14:paraId="1D86B87C">
      <w:pPr>
        <w:spacing w:line="360" w:lineRule="auto"/>
        <w:ind w:firstLine="420" w:firstLineChars="200"/>
        <w:rPr>
          <w:rFonts w:hint="eastAsia" w:ascii="宋体" w:hAnsi="宋体"/>
          <w:szCs w:val="21"/>
        </w:rPr>
      </w:pPr>
    </w:p>
    <w:p w14:paraId="4146D245">
      <w:pPr>
        <w:spacing w:line="360" w:lineRule="auto"/>
        <w:rPr>
          <w:rFonts w:hint="eastAsia" w:ascii="宋体" w:hAnsi="宋体"/>
          <w:szCs w:val="21"/>
        </w:rPr>
      </w:pPr>
    </w:p>
    <w:p w14:paraId="0F542434">
      <w:pPr>
        <w:spacing w:line="360" w:lineRule="auto"/>
        <w:ind w:firstLine="420" w:firstLineChars="200"/>
        <w:rPr>
          <w:rFonts w:hint="eastAsia" w:ascii="宋体" w:hAnsi="宋体"/>
          <w:szCs w:val="21"/>
        </w:rPr>
      </w:pPr>
    </w:p>
    <w:p w14:paraId="08EC6E7D">
      <w:pPr>
        <w:spacing w:line="360" w:lineRule="auto"/>
        <w:rPr>
          <w:rFonts w:hint="eastAsia" w:ascii="宋体" w:hAnsi="宋体"/>
          <w:szCs w:val="21"/>
        </w:rPr>
      </w:pPr>
    </w:p>
    <w:p w14:paraId="2BFC533A">
      <w:pPr>
        <w:spacing w:line="360" w:lineRule="auto"/>
        <w:ind w:firstLine="420" w:firstLineChars="200"/>
        <w:rPr>
          <w:rFonts w:hint="eastAsia" w:ascii="宋体" w:hAnsi="宋体"/>
          <w:szCs w:val="21"/>
        </w:rPr>
      </w:pPr>
    </w:p>
    <w:p w14:paraId="29CC5DDB">
      <w:pPr>
        <w:spacing w:line="360" w:lineRule="auto"/>
        <w:ind w:firstLine="420" w:firstLineChars="200"/>
        <w:rPr>
          <w:rFonts w:hint="eastAsia" w:ascii="宋体" w:hAnsi="宋体"/>
          <w:szCs w:val="21"/>
        </w:rPr>
      </w:pPr>
    </w:p>
    <w:p w14:paraId="2DB92710">
      <w:pPr>
        <w:spacing w:line="360" w:lineRule="auto"/>
        <w:ind w:firstLine="420" w:firstLineChars="200"/>
        <w:rPr>
          <w:rFonts w:hint="eastAsia" w:ascii="宋体" w:hAnsi="宋体"/>
          <w:szCs w:val="21"/>
        </w:rPr>
      </w:pPr>
    </w:p>
    <w:p w14:paraId="5C97FF12">
      <w:pPr>
        <w:spacing w:line="360" w:lineRule="auto"/>
        <w:jc w:val="center"/>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（盖单位公章）</w:t>
      </w:r>
    </w:p>
    <w:p w14:paraId="5B1205A7">
      <w:pPr>
        <w:spacing w:line="360" w:lineRule="auto"/>
        <w:ind w:firstLine="560" w:firstLineChars="200"/>
        <w:rPr>
          <w:rFonts w:hint="eastAsia" w:ascii="宋体" w:hAnsi="宋体"/>
          <w:sz w:val="28"/>
          <w:szCs w:val="28"/>
        </w:rPr>
      </w:pPr>
    </w:p>
    <w:p w14:paraId="569BCBAE">
      <w:pPr>
        <w:spacing w:line="360" w:lineRule="auto"/>
        <w:ind w:firstLine="1960" w:firstLineChars="700"/>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7FF87135">
      <w:pPr>
        <w:spacing w:line="360" w:lineRule="auto"/>
        <w:jc w:val="center"/>
        <w:rPr>
          <w:rFonts w:hint="eastAsia" w:ascii="宋体" w:hAnsi="宋体"/>
          <w:szCs w:val="21"/>
          <w:u w:val="single"/>
        </w:rPr>
      </w:pPr>
    </w:p>
    <w:p w14:paraId="2F05BB15">
      <w:pPr>
        <w:spacing w:line="360" w:lineRule="auto"/>
        <w:jc w:val="center"/>
        <w:rPr>
          <w:rFonts w:hint="eastAsia" w:ascii="宋体" w:hAnsi="宋体"/>
          <w:sz w:val="28"/>
          <w:szCs w:val="28"/>
        </w:r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3E3542C">
      <w:pPr>
        <w:spacing w:line="360" w:lineRule="auto"/>
        <w:jc w:val="left"/>
        <w:rPr>
          <w:rFonts w:hint="eastAsia" w:ascii="宋体" w:hAnsi="宋体"/>
          <w:szCs w:val="21"/>
        </w:rPr>
      </w:pPr>
    </w:p>
    <w:p w14:paraId="65A306B8">
      <w:pPr>
        <w:spacing w:line="360" w:lineRule="auto"/>
        <w:jc w:val="left"/>
        <w:rPr>
          <w:rFonts w:hint="eastAsia" w:ascii="宋体" w:hAnsi="宋体"/>
          <w:szCs w:val="21"/>
        </w:rPr>
      </w:pPr>
      <w:r>
        <w:rPr>
          <w:rFonts w:hint="eastAsia" w:ascii="宋体" w:hAnsi="宋体"/>
          <w:szCs w:val="21"/>
        </w:rPr>
        <w:t>说明：本封面仅供参考，格式由投标人自定，但必须包括工程名称、“正本”或“副本”字样（电子标书免）、“技术标”或“技术标函”字样、投标人名称、投标人单位公章、投标人法定代表人或其委托代理人签字。</w:t>
      </w:r>
    </w:p>
    <w:p w14:paraId="091DE422">
      <w:pPr>
        <w:spacing w:line="360" w:lineRule="auto"/>
        <w:jc w:val="left"/>
        <w:rPr>
          <w:rFonts w:hint="eastAsia" w:ascii="宋体" w:hAnsi="宋体"/>
          <w:szCs w:val="21"/>
        </w:rPr>
      </w:pPr>
    </w:p>
    <w:p w14:paraId="706BA7B2">
      <w:pPr>
        <w:spacing w:line="360" w:lineRule="auto"/>
        <w:jc w:val="left"/>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29CD121">
      <w:pPr>
        <w:pStyle w:val="5"/>
        <w:jc w:val="center"/>
        <w:rPr>
          <w:sz w:val="28"/>
          <w:szCs w:val="28"/>
        </w:rPr>
      </w:pPr>
      <w:r>
        <w:rPr>
          <w:rFonts w:hint="eastAsia"/>
          <w:sz w:val="28"/>
          <w:szCs w:val="28"/>
        </w:rPr>
        <w:t>目  录</w:t>
      </w:r>
    </w:p>
    <w:p w14:paraId="13AA8A11">
      <w:pPr>
        <w:spacing w:line="360" w:lineRule="auto"/>
        <w:ind w:firstLine="420" w:firstLineChars="200"/>
        <w:rPr>
          <w:rFonts w:hint="eastAsia" w:ascii="宋体" w:hAnsi="宋体"/>
          <w:szCs w:val="21"/>
        </w:rPr>
      </w:pPr>
    </w:p>
    <w:p w14:paraId="5091F058">
      <w:pPr>
        <w:spacing w:line="360" w:lineRule="auto"/>
        <w:ind w:firstLine="420" w:firstLineChars="200"/>
        <w:jc w:val="center"/>
        <w:rPr>
          <w:rFonts w:hint="eastAsia" w:ascii="宋体" w:hAnsi="宋体"/>
          <w:szCs w:val="21"/>
        </w:rPr>
      </w:pPr>
      <w:r>
        <w:rPr>
          <w:rFonts w:hint="eastAsia" w:ascii="宋体" w:hAnsi="宋体"/>
          <w:szCs w:val="21"/>
        </w:rPr>
        <w:t>技术标函</w:t>
      </w:r>
    </w:p>
    <w:p w14:paraId="4D7F625F">
      <w:pPr>
        <w:spacing w:line="360" w:lineRule="auto"/>
        <w:ind w:firstLine="420" w:firstLineChars="200"/>
        <w:rPr>
          <w:rFonts w:hint="eastAsia" w:ascii="宋体" w:hAnsi="宋体"/>
          <w:szCs w:val="21"/>
        </w:rPr>
      </w:pPr>
      <w:r>
        <w:rPr>
          <w:rFonts w:hint="eastAsia" w:ascii="宋体" w:hAnsi="宋体"/>
          <w:szCs w:val="21"/>
        </w:rPr>
        <w:t>一、基本资料</w:t>
      </w:r>
    </w:p>
    <w:p w14:paraId="191BA1F2">
      <w:pPr>
        <w:spacing w:line="360" w:lineRule="auto"/>
        <w:ind w:firstLine="420" w:firstLineChars="200"/>
        <w:rPr>
          <w:rFonts w:hint="eastAsia" w:ascii="宋体" w:hAnsi="宋体"/>
          <w:szCs w:val="21"/>
        </w:rPr>
      </w:pPr>
      <w:r>
        <w:rPr>
          <w:rFonts w:hint="eastAsia" w:ascii="宋体" w:hAnsi="宋体"/>
          <w:szCs w:val="21"/>
        </w:rPr>
        <w:t>（一）承诺书；</w:t>
      </w:r>
    </w:p>
    <w:p w14:paraId="0B8A24DF">
      <w:pPr>
        <w:spacing w:line="360" w:lineRule="auto"/>
        <w:ind w:firstLine="420" w:firstLineChars="200"/>
        <w:rPr>
          <w:rFonts w:hint="eastAsia" w:ascii="宋体" w:hAnsi="宋体"/>
          <w:szCs w:val="21"/>
        </w:rPr>
      </w:pPr>
      <w:r>
        <w:rPr>
          <w:rFonts w:hint="eastAsia" w:ascii="宋体" w:hAnsi="宋体"/>
          <w:szCs w:val="21"/>
        </w:rPr>
        <w:t>（二）《项目管理机构主要人员配置表》；</w:t>
      </w:r>
    </w:p>
    <w:p w14:paraId="4D72E4E4">
      <w:pPr>
        <w:spacing w:line="360" w:lineRule="auto"/>
        <w:ind w:firstLine="420" w:firstLineChars="200"/>
        <w:rPr>
          <w:rFonts w:hint="eastAsia"/>
        </w:rPr>
      </w:pPr>
      <w:r>
        <w:rPr>
          <w:rFonts w:hint="eastAsia"/>
        </w:rPr>
        <w:t>（</w:t>
      </w:r>
      <w:r>
        <w:rPr>
          <w:rFonts w:hint="eastAsia"/>
          <w:lang w:eastAsia="zh-CN"/>
        </w:rPr>
        <w:t>三</w:t>
      </w:r>
      <w:r>
        <w:rPr>
          <w:rFonts w:hint="eastAsia"/>
        </w:rPr>
        <w:t>）投标人须知前附表规定的其他材料。</w:t>
      </w:r>
    </w:p>
    <w:p w14:paraId="6656A509">
      <w:pPr>
        <w:spacing w:line="360" w:lineRule="auto"/>
        <w:ind w:firstLine="422" w:firstLineChars="200"/>
        <w:rPr>
          <w:rFonts w:hint="eastAsia" w:ascii="宋体" w:hAnsi="宋体"/>
          <w:b/>
          <w:szCs w:val="21"/>
        </w:rPr>
      </w:pPr>
    </w:p>
    <w:p w14:paraId="3D931FB8">
      <w:pPr>
        <w:spacing w:line="360" w:lineRule="auto"/>
        <w:ind w:firstLine="422" w:firstLineChars="200"/>
        <w:rPr>
          <w:rFonts w:hint="eastAsia" w:ascii="宋体" w:hAnsi="宋体"/>
          <w:b/>
          <w:szCs w:val="21"/>
        </w:rPr>
      </w:pPr>
    </w:p>
    <w:p w14:paraId="367E59EB">
      <w:pPr>
        <w:spacing w:line="360" w:lineRule="auto"/>
        <w:ind w:firstLine="422" w:firstLineChars="200"/>
        <w:rPr>
          <w:rFonts w:hint="eastAsia" w:ascii="宋体" w:hAnsi="宋体"/>
          <w:b/>
          <w:szCs w:val="21"/>
        </w:rPr>
      </w:pPr>
    </w:p>
    <w:p w14:paraId="5F4BF229">
      <w:pPr>
        <w:spacing w:line="360" w:lineRule="auto"/>
        <w:ind w:firstLine="422" w:firstLineChars="200"/>
        <w:rPr>
          <w:rFonts w:hint="eastAsia" w:ascii="宋体" w:hAnsi="宋体"/>
          <w:b/>
          <w:szCs w:val="21"/>
        </w:rPr>
      </w:pPr>
    </w:p>
    <w:p w14:paraId="021F0112">
      <w:pPr>
        <w:spacing w:line="360" w:lineRule="auto"/>
        <w:ind w:firstLine="422" w:firstLineChars="200"/>
        <w:rPr>
          <w:rFonts w:hint="eastAsia" w:ascii="宋体" w:hAnsi="宋体"/>
          <w:b/>
          <w:szCs w:val="21"/>
        </w:rPr>
      </w:pPr>
    </w:p>
    <w:p w14:paraId="0E28F6ED">
      <w:pPr>
        <w:spacing w:line="360" w:lineRule="auto"/>
        <w:ind w:firstLine="422" w:firstLineChars="200"/>
        <w:rPr>
          <w:rFonts w:hint="eastAsia" w:ascii="宋体" w:hAnsi="宋体"/>
          <w:b/>
          <w:szCs w:val="21"/>
        </w:rPr>
      </w:pPr>
    </w:p>
    <w:p w14:paraId="77EB59C8">
      <w:pPr>
        <w:spacing w:line="360" w:lineRule="auto"/>
        <w:ind w:firstLine="422" w:firstLineChars="200"/>
        <w:rPr>
          <w:rFonts w:hint="eastAsia" w:ascii="宋体" w:hAnsi="宋体"/>
          <w:b/>
          <w:szCs w:val="21"/>
        </w:rPr>
      </w:pPr>
    </w:p>
    <w:p w14:paraId="2719FE71">
      <w:pPr>
        <w:spacing w:line="360" w:lineRule="auto"/>
        <w:ind w:firstLine="422" w:firstLineChars="200"/>
        <w:rPr>
          <w:rFonts w:hint="eastAsia" w:ascii="宋体" w:hAnsi="宋体"/>
          <w:b/>
          <w:szCs w:val="21"/>
        </w:rPr>
      </w:pPr>
    </w:p>
    <w:p w14:paraId="1A848367">
      <w:pPr>
        <w:spacing w:line="360" w:lineRule="auto"/>
        <w:ind w:firstLine="422" w:firstLineChars="200"/>
        <w:rPr>
          <w:rFonts w:hint="eastAsia" w:ascii="宋体" w:hAnsi="宋体"/>
          <w:b/>
          <w:szCs w:val="21"/>
        </w:rPr>
      </w:pPr>
    </w:p>
    <w:p w14:paraId="1CD53114">
      <w:pPr>
        <w:spacing w:line="360" w:lineRule="auto"/>
        <w:ind w:firstLine="422" w:firstLineChars="200"/>
        <w:rPr>
          <w:rFonts w:hint="eastAsia" w:ascii="宋体" w:hAnsi="宋体"/>
          <w:b/>
          <w:szCs w:val="21"/>
        </w:rPr>
      </w:pPr>
    </w:p>
    <w:p w14:paraId="2D29ECB2">
      <w:pPr>
        <w:spacing w:line="360" w:lineRule="auto"/>
        <w:ind w:firstLine="422" w:firstLineChars="200"/>
        <w:rPr>
          <w:rFonts w:hint="eastAsia" w:ascii="宋体" w:hAnsi="宋体"/>
          <w:b/>
          <w:szCs w:val="21"/>
        </w:rPr>
      </w:pPr>
    </w:p>
    <w:p w14:paraId="0EB5B1DD">
      <w:pPr>
        <w:spacing w:line="360" w:lineRule="auto"/>
        <w:ind w:firstLine="422" w:firstLineChars="200"/>
        <w:rPr>
          <w:rFonts w:hint="eastAsia" w:ascii="宋体" w:hAnsi="宋体"/>
          <w:b/>
          <w:szCs w:val="21"/>
        </w:rPr>
      </w:pPr>
    </w:p>
    <w:p w14:paraId="0D043E8C">
      <w:pPr>
        <w:spacing w:line="360" w:lineRule="auto"/>
        <w:ind w:firstLine="422" w:firstLineChars="200"/>
        <w:rPr>
          <w:rFonts w:hint="eastAsia" w:ascii="宋体" w:hAnsi="宋体"/>
          <w:b/>
          <w:szCs w:val="21"/>
        </w:rPr>
      </w:pPr>
    </w:p>
    <w:p w14:paraId="308ACE72">
      <w:pPr>
        <w:spacing w:line="360" w:lineRule="auto"/>
        <w:ind w:firstLine="422" w:firstLineChars="200"/>
        <w:rPr>
          <w:rFonts w:hint="eastAsia" w:ascii="宋体" w:hAnsi="宋体"/>
          <w:b/>
          <w:szCs w:val="21"/>
        </w:rPr>
      </w:pPr>
    </w:p>
    <w:p w14:paraId="2D951ACB">
      <w:pPr>
        <w:spacing w:line="360" w:lineRule="auto"/>
        <w:ind w:firstLine="422" w:firstLineChars="200"/>
        <w:rPr>
          <w:rFonts w:hint="eastAsia" w:ascii="宋体" w:hAnsi="宋体"/>
          <w:b/>
          <w:szCs w:val="21"/>
        </w:rPr>
      </w:pPr>
    </w:p>
    <w:p w14:paraId="1334075F">
      <w:pPr>
        <w:spacing w:line="360" w:lineRule="auto"/>
        <w:ind w:firstLine="422" w:firstLineChars="200"/>
        <w:rPr>
          <w:rFonts w:hint="eastAsia" w:ascii="宋体" w:hAnsi="宋体"/>
          <w:b/>
          <w:szCs w:val="21"/>
        </w:rPr>
      </w:pPr>
    </w:p>
    <w:p w14:paraId="04A0438D">
      <w:pPr>
        <w:spacing w:line="360" w:lineRule="auto"/>
        <w:ind w:firstLine="422" w:firstLineChars="200"/>
        <w:rPr>
          <w:rFonts w:hint="eastAsia" w:ascii="宋体" w:hAnsi="宋体"/>
          <w:b/>
          <w:szCs w:val="21"/>
        </w:rPr>
      </w:pPr>
    </w:p>
    <w:p w14:paraId="3FB3F936">
      <w:pPr>
        <w:pStyle w:val="2"/>
        <w:rPr>
          <w:rFonts w:hint="eastAsia"/>
        </w:rPr>
      </w:pPr>
    </w:p>
    <w:p w14:paraId="3EF09612">
      <w:pPr>
        <w:spacing w:line="360" w:lineRule="auto"/>
        <w:ind w:firstLine="422" w:firstLineChars="200"/>
        <w:rPr>
          <w:rFonts w:hint="eastAsia" w:ascii="宋体" w:hAnsi="宋体"/>
          <w:b/>
          <w:szCs w:val="21"/>
        </w:rPr>
      </w:pPr>
    </w:p>
    <w:p w14:paraId="3BCE77EA">
      <w:pPr>
        <w:spacing w:line="360" w:lineRule="auto"/>
        <w:ind w:firstLine="422" w:firstLineChars="200"/>
        <w:rPr>
          <w:rFonts w:hint="eastAsia" w:ascii="宋体" w:hAnsi="宋体"/>
          <w:b/>
          <w:szCs w:val="21"/>
        </w:rPr>
      </w:pPr>
    </w:p>
    <w:p w14:paraId="52E00C3F">
      <w:pPr>
        <w:spacing w:line="360" w:lineRule="auto"/>
        <w:ind w:firstLine="422" w:firstLineChars="200"/>
        <w:rPr>
          <w:rFonts w:hint="eastAsia" w:ascii="宋体" w:hAnsi="宋体"/>
          <w:b/>
          <w:szCs w:val="21"/>
        </w:rPr>
      </w:pPr>
    </w:p>
    <w:p w14:paraId="2082CBAD">
      <w:pPr>
        <w:spacing w:line="360" w:lineRule="auto"/>
        <w:ind w:firstLine="422" w:firstLineChars="200"/>
        <w:rPr>
          <w:rFonts w:hint="eastAsia" w:ascii="宋体" w:hAnsi="宋体"/>
          <w:b/>
          <w:szCs w:val="21"/>
        </w:rPr>
      </w:pPr>
    </w:p>
    <w:p w14:paraId="4A20DD30">
      <w:pPr>
        <w:pStyle w:val="2"/>
        <w:rPr>
          <w:rFonts w:hint="eastAsia" w:ascii="宋体" w:hAnsi="宋体"/>
          <w:b/>
          <w:szCs w:val="21"/>
        </w:rPr>
      </w:pPr>
    </w:p>
    <w:p w14:paraId="437B448D">
      <w:pPr>
        <w:rPr>
          <w:rFonts w:hint="eastAsia"/>
        </w:rPr>
      </w:pPr>
    </w:p>
    <w:p w14:paraId="73F00A09">
      <w:pPr>
        <w:spacing w:line="360" w:lineRule="auto"/>
        <w:ind w:firstLine="422" w:firstLineChars="200"/>
        <w:rPr>
          <w:rFonts w:hint="eastAsia" w:ascii="宋体" w:hAnsi="宋体"/>
          <w:b/>
          <w:szCs w:val="21"/>
        </w:rPr>
      </w:pPr>
    </w:p>
    <w:p w14:paraId="244C200C">
      <w:pPr>
        <w:spacing w:line="360" w:lineRule="auto"/>
        <w:ind w:firstLine="422" w:firstLineChars="200"/>
        <w:rPr>
          <w:rFonts w:hint="eastAsia" w:ascii="宋体" w:hAnsi="宋体"/>
          <w:b/>
          <w:szCs w:val="21"/>
        </w:rPr>
      </w:pPr>
    </w:p>
    <w:p w14:paraId="4E40BC2D">
      <w:pPr>
        <w:spacing w:line="360" w:lineRule="auto"/>
        <w:ind w:firstLine="422" w:firstLineChars="200"/>
        <w:rPr>
          <w:rFonts w:hint="eastAsia" w:ascii="宋体" w:hAnsi="宋体"/>
          <w:b/>
          <w:szCs w:val="21"/>
        </w:rPr>
      </w:pPr>
    </w:p>
    <w:p w14:paraId="22498EBA">
      <w:pPr>
        <w:spacing w:line="360" w:lineRule="auto"/>
        <w:ind w:firstLine="422" w:firstLineChars="200"/>
        <w:rPr>
          <w:rFonts w:hint="eastAsia" w:ascii="宋体" w:hAnsi="宋体"/>
          <w:b/>
          <w:szCs w:val="21"/>
        </w:rPr>
      </w:pPr>
    </w:p>
    <w:p w14:paraId="792FDD98">
      <w:pPr>
        <w:autoSpaceDE w:val="0"/>
        <w:autoSpaceDN w:val="0"/>
        <w:adjustRightInd w:val="0"/>
        <w:ind w:firstLine="482" w:firstLineChars="200"/>
        <w:jc w:val="center"/>
        <w:rPr>
          <w:rFonts w:hint="eastAsia" w:ascii="宋体" w:hAnsi="宋体"/>
          <w:szCs w:val="21"/>
        </w:rPr>
      </w:pPr>
      <w:r>
        <w:rPr>
          <w:rFonts w:hint="eastAsia"/>
          <w:b/>
          <w:sz w:val="24"/>
        </w:rPr>
        <w:t>（一）承  诺  书</w:t>
      </w:r>
    </w:p>
    <w:p w14:paraId="0F542B08">
      <w:pPr>
        <w:snapToGrid w:val="0"/>
        <w:spacing w:line="360" w:lineRule="auto"/>
        <w:jc w:val="center"/>
        <w:rPr>
          <w:rFonts w:hint="eastAsia" w:ascii="宋体" w:hAnsi="宋体"/>
          <w:b/>
          <w:sz w:val="24"/>
        </w:rPr>
      </w:pPr>
    </w:p>
    <w:p w14:paraId="725053EF">
      <w:pPr>
        <w:snapToGrid w:val="0"/>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5483D991">
      <w:pPr>
        <w:snapToGrid w:val="0"/>
        <w:spacing w:line="360" w:lineRule="auto"/>
        <w:ind w:firstLine="420" w:firstLineChars="200"/>
        <w:rPr>
          <w:rFonts w:hint="eastAsia"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工程施工招标文件、招标答疑要求和内容，我公司全面响应，严格按照招标文件精神及施工图纸进行施工，并作出郑重承诺：</w:t>
      </w:r>
    </w:p>
    <w:p w14:paraId="03E5C443">
      <w:pPr>
        <w:snapToGrid w:val="0"/>
        <w:spacing w:line="360" w:lineRule="auto"/>
        <w:ind w:firstLine="420" w:firstLineChars="200"/>
        <w:rPr>
          <w:rFonts w:hint="eastAsia" w:ascii="宋体" w:hAnsi="宋体"/>
          <w:szCs w:val="21"/>
        </w:rPr>
      </w:pPr>
      <w:r>
        <w:rPr>
          <w:rFonts w:hint="eastAsia" w:ascii="宋体" w:hAnsi="宋体"/>
          <w:szCs w:val="21"/>
        </w:rPr>
        <w:t xml:space="preserve">1、工程质量： </w:t>
      </w:r>
    </w:p>
    <w:p w14:paraId="5D8029E3">
      <w:pPr>
        <w:snapToGrid w:val="0"/>
        <w:spacing w:line="360" w:lineRule="auto"/>
        <w:rPr>
          <w:rFonts w:hint="eastAsia" w:ascii="宋体" w:hAnsi="宋体"/>
          <w:szCs w:val="21"/>
        </w:rPr>
      </w:pPr>
    </w:p>
    <w:p w14:paraId="465242A3">
      <w:pPr>
        <w:snapToGrid w:val="0"/>
        <w:spacing w:line="360" w:lineRule="auto"/>
        <w:ind w:firstLine="420" w:firstLineChars="200"/>
        <w:rPr>
          <w:rFonts w:hint="eastAsia" w:ascii="宋体" w:hAnsi="宋体"/>
          <w:szCs w:val="21"/>
        </w:rPr>
      </w:pPr>
      <w:r>
        <w:rPr>
          <w:rFonts w:hint="eastAsia" w:ascii="宋体" w:hAnsi="宋体"/>
          <w:szCs w:val="21"/>
        </w:rPr>
        <w:t xml:space="preserve">2、施工工期： </w:t>
      </w:r>
    </w:p>
    <w:p w14:paraId="1B061200">
      <w:pPr>
        <w:snapToGrid w:val="0"/>
        <w:spacing w:line="360" w:lineRule="auto"/>
        <w:rPr>
          <w:rFonts w:hint="eastAsia" w:ascii="宋体" w:hAnsi="宋体"/>
          <w:szCs w:val="21"/>
        </w:rPr>
      </w:pPr>
    </w:p>
    <w:p w14:paraId="12BDB535">
      <w:pPr>
        <w:snapToGrid w:val="0"/>
        <w:spacing w:line="360" w:lineRule="auto"/>
        <w:ind w:firstLine="420" w:firstLineChars="200"/>
        <w:rPr>
          <w:rFonts w:hint="eastAsia" w:ascii="宋体" w:hAnsi="宋体"/>
          <w:szCs w:val="21"/>
        </w:rPr>
      </w:pPr>
      <w:r>
        <w:rPr>
          <w:rFonts w:hint="eastAsia" w:ascii="宋体" w:hAnsi="宋体"/>
          <w:szCs w:val="21"/>
        </w:rPr>
        <w:t>3、施工安全：</w:t>
      </w:r>
    </w:p>
    <w:p w14:paraId="3A860D97">
      <w:pPr>
        <w:snapToGrid w:val="0"/>
        <w:spacing w:line="360" w:lineRule="auto"/>
        <w:rPr>
          <w:rFonts w:hint="eastAsia" w:ascii="宋体" w:hAnsi="宋体"/>
          <w:szCs w:val="21"/>
        </w:rPr>
      </w:pPr>
    </w:p>
    <w:p w14:paraId="088DA3DC">
      <w:pPr>
        <w:snapToGrid w:val="0"/>
        <w:spacing w:line="360" w:lineRule="auto"/>
        <w:ind w:firstLine="420" w:firstLineChars="200"/>
        <w:rPr>
          <w:rFonts w:hint="eastAsia" w:ascii="宋体" w:hAnsi="宋体"/>
          <w:szCs w:val="21"/>
        </w:rPr>
      </w:pPr>
      <w:r>
        <w:rPr>
          <w:rFonts w:hint="eastAsia" w:ascii="宋体" w:hAnsi="宋体"/>
          <w:szCs w:val="21"/>
        </w:rPr>
        <w:t xml:space="preserve">4、文明施工： </w:t>
      </w:r>
    </w:p>
    <w:p w14:paraId="3541FDF5">
      <w:pPr>
        <w:snapToGrid w:val="0"/>
        <w:spacing w:line="360" w:lineRule="auto"/>
        <w:rPr>
          <w:rFonts w:hint="eastAsia" w:ascii="宋体" w:hAnsi="宋体"/>
          <w:szCs w:val="21"/>
        </w:rPr>
      </w:pPr>
    </w:p>
    <w:p w14:paraId="6BF58C62">
      <w:pPr>
        <w:snapToGrid w:val="0"/>
        <w:spacing w:line="360" w:lineRule="auto"/>
        <w:ind w:firstLine="420" w:firstLineChars="200"/>
        <w:rPr>
          <w:rFonts w:hint="eastAsia" w:ascii="宋体" w:hAnsi="宋体"/>
          <w:szCs w:val="21"/>
        </w:rPr>
      </w:pPr>
      <w:r>
        <w:rPr>
          <w:rFonts w:hint="eastAsia" w:ascii="宋体" w:hAnsi="宋体"/>
          <w:szCs w:val="21"/>
        </w:rPr>
        <w:t>5、拟投入本项目的项目负责人及项目管理班子主要人员：</w:t>
      </w:r>
    </w:p>
    <w:p w14:paraId="70A5011D">
      <w:pPr>
        <w:snapToGrid w:val="0"/>
        <w:spacing w:line="360" w:lineRule="auto"/>
        <w:ind w:firstLine="420" w:firstLineChars="200"/>
        <w:rPr>
          <w:rFonts w:hint="eastAsia" w:ascii="宋体" w:hAnsi="宋体"/>
          <w:szCs w:val="21"/>
        </w:rPr>
      </w:pPr>
      <w:r>
        <w:rPr>
          <w:rFonts w:hint="eastAsia" w:ascii="宋体" w:hAnsi="宋体"/>
          <w:szCs w:val="21"/>
        </w:rPr>
        <w:t>（保证按合同约定安装施工现场视频监控系统，其费用包含在投标报价中。保证按投标文件承诺的项目负责人及项目管理班子人员投入到本项目施工现场，接受行政主管部门监督，否则作不良行为处理。）</w:t>
      </w:r>
    </w:p>
    <w:p w14:paraId="1CAB391A">
      <w:pPr>
        <w:snapToGrid w:val="0"/>
        <w:spacing w:line="360" w:lineRule="auto"/>
        <w:ind w:firstLine="420" w:firstLineChars="200"/>
        <w:rPr>
          <w:rFonts w:hint="eastAsia" w:ascii="宋体" w:hAnsi="宋体"/>
          <w:szCs w:val="21"/>
        </w:rPr>
      </w:pPr>
      <w:r>
        <w:rPr>
          <w:rFonts w:hint="eastAsia" w:ascii="宋体" w:hAnsi="宋体"/>
          <w:szCs w:val="21"/>
        </w:rPr>
        <w:t>6、拟投入本项目的机械设备：</w:t>
      </w:r>
    </w:p>
    <w:p w14:paraId="34D3D45B">
      <w:pPr>
        <w:snapToGrid w:val="0"/>
        <w:spacing w:line="360" w:lineRule="auto"/>
        <w:ind w:firstLine="420" w:firstLineChars="200"/>
        <w:rPr>
          <w:rFonts w:hint="eastAsia" w:ascii="宋体" w:hAnsi="宋体"/>
          <w:szCs w:val="21"/>
        </w:rPr>
      </w:pPr>
      <w:r>
        <w:rPr>
          <w:rFonts w:hint="eastAsia" w:ascii="宋体" w:hAnsi="宋体"/>
          <w:szCs w:val="21"/>
        </w:rPr>
        <w:t>（保证按投标文件承诺的机械设备投入到本项目的施工现场，否则作不良行为处理。）</w:t>
      </w:r>
    </w:p>
    <w:p w14:paraId="396BBC9F">
      <w:pPr>
        <w:snapToGrid w:val="0"/>
        <w:spacing w:line="360" w:lineRule="auto"/>
        <w:ind w:firstLine="420" w:firstLineChars="200"/>
        <w:rPr>
          <w:rFonts w:hint="eastAsia" w:ascii="宋体" w:hAnsi="宋体"/>
          <w:szCs w:val="21"/>
        </w:rPr>
      </w:pPr>
      <w:r>
        <w:rPr>
          <w:rFonts w:hint="eastAsia" w:ascii="宋体" w:hAnsi="宋体"/>
          <w:szCs w:val="21"/>
        </w:rPr>
        <w:t>7、投标有效期：</w:t>
      </w:r>
    </w:p>
    <w:p w14:paraId="7DA44B5E">
      <w:pPr>
        <w:snapToGrid w:val="0"/>
        <w:spacing w:line="360" w:lineRule="auto"/>
        <w:ind w:firstLine="420" w:firstLineChars="200"/>
        <w:rPr>
          <w:rFonts w:hint="eastAsia" w:ascii="宋体" w:hAnsi="宋体"/>
          <w:szCs w:val="21"/>
        </w:rPr>
      </w:pPr>
      <w:r>
        <w:rPr>
          <w:rFonts w:hint="eastAsia" w:ascii="宋体" w:hAnsi="宋体"/>
          <w:szCs w:val="21"/>
        </w:rPr>
        <w:t>8、技术标准和要求：</w:t>
      </w:r>
    </w:p>
    <w:p w14:paraId="016EA3BD">
      <w:pPr>
        <w:snapToGrid w:val="0"/>
        <w:spacing w:line="360" w:lineRule="auto"/>
        <w:ind w:firstLine="420" w:firstLineChars="200"/>
        <w:rPr>
          <w:rFonts w:hint="eastAsia" w:ascii="宋体" w:hAnsi="宋体"/>
          <w:szCs w:val="21"/>
        </w:rPr>
      </w:pPr>
      <w:r>
        <w:rPr>
          <w:rFonts w:hint="eastAsia" w:ascii="宋体" w:hAnsi="宋体"/>
          <w:szCs w:val="21"/>
        </w:rPr>
        <w:t>（保证按招标文件的技术标准和要求完成本项目，否则作不良行为处理。）</w:t>
      </w:r>
    </w:p>
    <w:p w14:paraId="55851952">
      <w:pPr>
        <w:snapToGrid w:val="0"/>
        <w:spacing w:line="360" w:lineRule="auto"/>
        <w:ind w:firstLine="420" w:firstLineChars="200"/>
        <w:rPr>
          <w:rFonts w:hint="eastAsia" w:ascii="宋体" w:hAnsi="宋体"/>
          <w:szCs w:val="21"/>
        </w:rPr>
      </w:pPr>
      <w:r>
        <w:rPr>
          <w:rFonts w:hint="eastAsia" w:ascii="宋体" w:hAnsi="宋体"/>
          <w:szCs w:val="21"/>
        </w:rPr>
        <w:t>9、</w:t>
      </w:r>
      <w:r>
        <w:rPr>
          <w:rFonts w:hint="eastAsia" w:ascii="??" w:hAnsi="??" w:cs="宋体"/>
          <w:kern w:val="0"/>
          <w:szCs w:val="21"/>
        </w:rPr>
        <w:t>企业承诺相关资料的真实性：</w:t>
      </w:r>
    </w:p>
    <w:p w14:paraId="25C55869">
      <w:pPr>
        <w:snapToGrid w:val="0"/>
        <w:spacing w:line="360" w:lineRule="auto"/>
        <w:ind w:firstLine="420" w:firstLineChars="200"/>
        <w:rPr>
          <w:rFonts w:hint="eastAsia" w:ascii="宋体" w:hAnsi="宋体"/>
          <w:szCs w:val="21"/>
        </w:rPr>
      </w:pPr>
      <w:r>
        <w:rPr>
          <w:rFonts w:hint="eastAsia" w:ascii="宋体" w:hAnsi="宋体"/>
          <w:szCs w:val="21"/>
        </w:rPr>
        <w:t>10、其他</w:t>
      </w:r>
    </w:p>
    <w:p w14:paraId="7DA3AB40">
      <w:pPr>
        <w:snapToGrid w:val="0"/>
        <w:spacing w:line="360" w:lineRule="auto"/>
        <w:ind w:firstLine="2660"/>
        <w:rPr>
          <w:rFonts w:hint="eastAsia" w:ascii="宋体" w:hAnsi="宋体"/>
          <w:szCs w:val="21"/>
        </w:rPr>
      </w:pPr>
    </w:p>
    <w:p w14:paraId="6E3AFA0B">
      <w:pPr>
        <w:snapToGrid w:val="0"/>
        <w:spacing w:line="360" w:lineRule="auto"/>
        <w:ind w:left="840" w:leftChars="400" w:firstLine="4443" w:firstLineChars="2116"/>
        <w:rPr>
          <w:rFonts w:hint="eastAsia" w:ascii="宋体" w:hAnsi="宋体"/>
          <w:szCs w:val="21"/>
        </w:rPr>
      </w:pPr>
      <w:r>
        <w:rPr>
          <w:rFonts w:hint="eastAsia" w:ascii="宋体" w:hAnsi="宋体"/>
          <w:szCs w:val="21"/>
        </w:rPr>
        <w:t>承 诺 单 位 (公章)：</w:t>
      </w:r>
    </w:p>
    <w:p w14:paraId="726473DB">
      <w:pPr>
        <w:snapToGrid w:val="0"/>
        <w:spacing w:line="360" w:lineRule="auto"/>
        <w:ind w:left="840" w:leftChars="400" w:firstLine="2660"/>
        <w:rPr>
          <w:rFonts w:hint="eastAsia" w:ascii="宋体" w:hAnsi="宋体"/>
          <w:szCs w:val="21"/>
        </w:rPr>
      </w:pPr>
    </w:p>
    <w:p w14:paraId="6CDB1A94">
      <w:pPr>
        <w:snapToGrid w:val="0"/>
        <w:spacing w:line="360" w:lineRule="auto"/>
        <w:ind w:left="840" w:leftChars="400" w:firstLine="3918" w:firstLineChars="1866"/>
        <w:rPr>
          <w:rFonts w:hint="eastAsia" w:ascii="宋体" w:hAnsi="宋体"/>
          <w:szCs w:val="21"/>
        </w:rPr>
      </w:pPr>
      <w:r>
        <w:rPr>
          <w:rFonts w:hint="eastAsia" w:ascii="宋体" w:hAnsi="宋体"/>
          <w:szCs w:val="21"/>
        </w:rPr>
        <w:t>法定代表人(或委托代理人) (签字) ：</w:t>
      </w:r>
    </w:p>
    <w:p w14:paraId="188C706F">
      <w:pPr>
        <w:snapToGrid w:val="0"/>
        <w:spacing w:line="360" w:lineRule="auto"/>
        <w:ind w:left="840" w:leftChars="400" w:firstLine="2660"/>
        <w:rPr>
          <w:rFonts w:hint="eastAsia" w:ascii="宋体" w:hAnsi="宋体"/>
          <w:szCs w:val="21"/>
        </w:rPr>
      </w:pPr>
    </w:p>
    <w:p w14:paraId="364C744F">
      <w:pPr>
        <w:spacing w:line="360" w:lineRule="auto"/>
        <w:ind w:left="840" w:leftChars="400" w:firstLine="3885" w:firstLineChars="1850"/>
        <w:rPr>
          <w:rFonts w:hint="eastAsia" w:ascii="宋体" w:hAnsi="宋体"/>
          <w:szCs w:val="21"/>
        </w:rPr>
      </w:pPr>
      <w:r>
        <w:rPr>
          <w:rFonts w:hint="eastAsia" w:ascii="宋体" w:hAnsi="宋体"/>
          <w:szCs w:val="21"/>
        </w:rPr>
        <w:t>日   期：</w:t>
      </w:r>
    </w:p>
    <w:p w14:paraId="0F99FECE">
      <w:pPr>
        <w:spacing w:line="360" w:lineRule="auto"/>
        <w:rPr>
          <w:rFonts w:hint="eastAsia" w:ascii="宋体" w:hAnsi="宋体"/>
          <w:szCs w:val="21"/>
        </w:rPr>
      </w:pPr>
    </w:p>
    <w:p w14:paraId="7CE5D2B0">
      <w:pPr>
        <w:snapToGrid w:val="0"/>
        <w:spacing w:line="360" w:lineRule="auto"/>
        <w:jc w:val="center"/>
        <w:rPr>
          <w:rFonts w:hint="eastAsia"/>
          <w:b/>
          <w:sz w:val="24"/>
        </w:rPr>
      </w:pPr>
    </w:p>
    <w:p w14:paraId="5B256979">
      <w:pPr>
        <w:spacing w:line="360" w:lineRule="auto"/>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F0F3A24">
      <w:pPr>
        <w:pStyle w:val="5"/>
        <w:jc w:val="center"/>
        <w:rPr>
          <w:rFonts w:ascii="宋体" w:hAnsi="宋体"/>
          <w:szCs w:val="21"/>
        </w:rPr>
      </w:pPr>
      <w:r>
        <w:rPr>
          <w:rFonts w:hint="eastAsia" w:ascii="宋体" w:hAnsi="宋体"/>
          <w:szCs w:val="21"/>
        </w:rPr>
        <w:t>（二）</w:t>
      </w:r>
      <w:r>
        <w:rPr>
          <w:rFonts w:hint="eastAsia"/>
        </w:rPr>
        <w:t>项目管理机构主要人员配置表</w:t>
      </w:r>
    </w:p>
    <w:p w14:paraId="5E0414A9">
      <w:pPr>
        <w:pStyle w:val="2"/>
        <w:jc w:val="center"/>
      </w:pPr>
    </w:p>
    <w:p w14:paraId="2E6B1266">
      <w:pPr>
        <w:spacing w:line="360" w:lineRule="auto"/>
        <w:rPr>
          <w:rFonts w:hint="eastAsia" w:ascii="宋体" w:hAnsi="宋体"/>
          <w:szCs w:val="21"/>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14:paraId="29AE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noWrap w:val="0"/>
            <w:vAlign w:val="center"/>
          </w:tcPr>
          <w:p w14:paraId="14E57299">
            <w:pPr>
              <w:spacing w:line="360" w:lineRule="auto"/>
              <w:jc w:val="center"/>
              <w:rPr>
                <w:rFonts w:hint="eastAsia" w:ascii="宋体" w:hAnsi="宋体"/>
                <w:szCs w:val="21"/>
              </w:rPr>
            </w:pPr>
            <w:r>
              <w:rPr>
                <w:rFonts w:hint="eastAsia" w:ascii="宋体" w:hAnsi="宋体"/>
                <w:szCs w:val="21"/>
              </w:rPr>
              <w:t>职务</w:t>
            </w:r>
          </w:p>
        </w:tc>
        <w:tc>
          <w:tcPr>
            <w:tcW w:w="726" w:type="dxa"/>
            <w:vMerge w:val="restart"/>
            <w:noWrap w:val="0"/>
            <w:vAlign w:val="center"/>
          </w:tcPr>
          <w:p w14:paraId="51362859">
            <w:pPr>
              <w:spacing w:line="360" w:lineRule="auto"/>
              <w:jc w:val="center"/>
              <w:rPr>
                <w:rFonts w:hint="eastAsia" w:ascii="宋体" w:hAnsi="宋体"/>
                <w:szCs w:val="21"/>
              </w:rPr>
            </w:pPr>
            <w:r>
              <w:rPr>
                <w:rFonts w:hint="eastAsia" w:ascii="宋体" w:hAnsi="宋体"/>
                <w:szCs w:val="21"/>
              </w:rPr>
              <w:t>姓名</w:t>
            </w:r>
          </w:p>
        </w:tc>
        <w:tc>
          <w:tcPr>
            <w:tcW w:w="889" w:type="dxa"/>
            <w:vMerge w:val="restart"/>
            <w:noWrap w:val="0"/>
            <w:vAlign w:val="center"/>
          </w:tcPr>
          <w:p w14:paraId="664A26FD">
            <w:pPr>
              <w:spacing w:line="360" w:lineRule="auto"/>
              <w:jc w:val="center"/>
              <w:rPr>
                <w:rFonts w:hint="eastAsia" w:ascii="宋体" w:hAnsi="宋体"/>
                <w:szCs w:val="21"/>
              </w:rPr>
            </w:pPr>
            <w:r>
              <w:rPr>
                <w:rFonts w:hint="eastAsia" w:ascii="宋体" w:hAnsi="宋体"/>
                <w:szCs w:val="21"/>
              </w:rPr>
              <w:t>职称</w:t>
            </w:r>
          </w:p>
        </w:tc>
        <w:tc>
          <w:tcPr>
            <w:tcW w:w="6045" w:type="dxa"/>
            <w:gridSpan w:val="5"/>
            <w:noWrap w:val="0"/>
            <w:vAlign w:val="center"/>
          </w:tcPr>
          <w:p w14:paraId="3EE51F38">
            <w:pPr>
              <w:spacing w:line="360" w:lineRule="auto"/>
              <w:jc w:val="center"/>
              <w:rPr>
                <w:rFonts w:hint="eastAsia" w:ascii="宋体" w:hAnsi="宋体"/>
                <w:szCs w:val="21"/>
              </w:rPr>
            </w:pPr>
            <w:r>
              <w:rPr>
                <w:rFonts w:hint="eastAsia" w:ascii="宋体" w:hAnsi="宋体"/>
                <w:szCs w:val="21"/>
              </w:rPr>
              <w:t>执业或职业资格证明</w:t>
            </w:r>
          </w:p>
        </w:tc>
        <w:tc>
          <w:tcPr>
            <w:tcW w:w="1069" w:type="dxa"/>
            <w:vMerge w:val="restart"/>
            <w:noWrap w:val="0"/>
            <w:vAlign w:val="center"/>
          </w:tcPr>
          <w:p w14:paraId="2326F93D">
            <w:pPr>
              <w:spacing w:line="360" w:lineRule="auto"/>
              <w:jc w:val="center"/>
              <w:rPr>
                <w:rFonts w:hint="eastAsia" w:ascii="宋体" w:hAnsi="宋体"/>
                <w:szCs w:val="21"/>
              </w:rPr>
            </w:pPr>
            <w:r>
              <w:rPr>
                <w:rFonts w:hint="eastAsia" w:ascii="宋体" w:hAnsi="宋体"/>
                <w:szCs w:val="21"/>
              </w:rPr>
              <w:t>备注</w:t>
            </w:r>
          </w:p>
        </w:tc>
      </w:tr>
      <w:tr w14:paraId="2581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noWrap w:val="0"/>
            <w:vAlign w:val="top"/>
          </w:tcPr>
          <w:p w14:paraId="13B05D43">
            <w:pPr>
              <w:spacing w:line="360" w:lineRule="auto"/>
              <w:rPr>
                <w:rFonts w:hint="eastAsia" w:ascii="宋体" w:hAnsi="宋体"/>
                <w:szCs w:val="21"/>
              </w:rPr>
            </w:pPr>
          </w:p>
        </w:tc>
        <w:tc>
          <w:tcPr>
            <w:tcW w:w="726" w:type="dxa"/>
            <w:vMerge w:val="continue"/>
            <w:noWrap w:val="0"/>
            <w:vAlign w:val="top"/>
          </w:tcPr>
          <w:p w14:paraId="486D76EA">
            <w:pPr>
              <w:spacing w:line="360" w:lineRule="auto"/>
              <w:rPr>
                <w:rFonts w:hint="eastAsia" w:ascii="宋体" w:hAnsi="宋体"/>
                <w:szCs w:val="21"/>
              </w:rPr>
            </w:pPr>
          </w:p>
        </w:tc>
        <w:tc>
          <w:tcPr>
            <w:tcW w:w="889" w:type="dxa"/>
            <w:vMerge w:val="continue"/>
            <w:noWrap w:val="0"/>
            <w:vAlign w:val="top"/>
          </w:tcPr>
          <w:p w14:paraId="5158F47D">
            <w:pPr>
              <w:spacing w:line="360" w:lineRule="auto"/>
              <w:rPr>
                <w:rFonts w:hint="eastAsia" w:ascii="宋体" w:hAnsi="宋体"/>
                <w:szCs w:val="21"/>
              </w:rPr>
            </w:pPr>
          </w:p>
        </w:tc>
        <w:tc>
          <w:tcPr>
            <w:tcW w:w="1451" w:type="dxa"/>
            <w:noWrap w:val="0"/>
            <w:vAlign w:val="center"/>
          </w:tcPr>
          <w:p w14:paraId="36317768">
            <w:pPr>
              <w:spacing w:line="360" w:lineRule="auto"/>
              <w:jc w:val="center"/>
              <w:rPr>
                <w:rFonts w:hint="eastAsia" w:ascii="宋体" w:hAnsi="宋体"/>
                <w:szCs w:val="21"/>
              </w:rPr>
            </w:pPr>
            <w:r>
              <w:rPr>
                <w:rFonts w:hint="eastAsia" w:ascii="宋体" w:hAnsi="宋体"/>
                <w:szCs w:val="21"/>
              </w:rPr>
              <w:t>证书名称</w:t>
            </w:r>
          </w:p>
        </w:tc>
        <w:tc>
          <w:tcPr>
            <w:tcW w:w="900" w:type="dxa"/>
            <w:noWrap w:val="0"/>
            <w:vAlign w:val="center"/>
          </w:tcPr>
          <w:p w14:paraId="1820A182">
            <w:pPr>
              <w:spacing w:line="360" w:lineRule="auto"/>
              <w:jc w:val="center"/>
              <w:rPr>
                <w:rFonts w:hint="eastAsia" w:ascii="宋体" w:hAnsi="宋体"/>
                <w:szCs w:val="21"/>
              </w:rPr>
            </w:pPr>
            <w:r>
              <w:rPr>
                <w:rFonts w:hint="eastAsia" w:ascii="宋体" w:hAnsi="宋体"/>
                <w:szCs w:val="21"/>
              </w:rPr>
              <w:t>级别</w:t>
            </w:r>
          </w:p>
        </w:tc>
        <w:tc>
          <w:tcPr>
            <w:tcW w:w="1080" w:type="dxa"/>
            <w:noWrap w:val="0"/>
            <w:vAlign w:val="center"/>
          </w:tcPr>
          <w:p w14:paraId="0C8EB44D">
            <w:pPr>
              <w:spacing w:line="360" w:lineRule="auto"/>
              <w:jc w:val="center"/>
              <w:rPr>
                <w:rFonts w:hint="eastAsia" w:ascii="宋体" w:hAnsi="宋体"/>
                <w:szCs w:val="21"/>
              </w:rPr>
            </w:pPr>
            <w:r>
              <w:rPr>
                <w:rFonts w:hint="eastAsia" w:ascii="宋体" w:hAnsi="宋体"/>
                <w:szCs w:val="21"/>
              </w:rPr>
              <w:t>证号</w:t>
            </w:r>
          </w:p>
        </w:tc>
        <w:tc>
          <w:tcPr>
            <w:tcW w:w="1286" w:type="dxa"/>
            <w:noWrap w:val="0"/>
            <w:vAlign w:val="center"/>
          </w:tcPr>
          <w:p w14:paraId="3F2F691E">
            <w:pPr>
              <w:spacing w:line="360" w:lineRule="auto"/>
              <w:jc w:val="center"/>
              <w:rPr>
                <w:rFonts w:hint="eastAsia" w:ascii="宋体" w:hAnsi="宋体"/>
                <w:szCs w:val="21"/>
              </w:rPr>
            </w:pPr>
            <w:r>
              <w:rPr>
                <w:rFonts w:hint="eastAsia" w:ascii="宋体" w:hAnsi="宋体"/>
                <w:szCs w:val="21"/>
              </w:rPr>
              <w:t>专业</w:t>
            </w:r>
          </w:p>
        </w:tc>
        <w:tc>
          <w:tcPr>
            <w:tcW w:w="1328" w:type="dxa"/>
            <w:noWrap w:val="0"/>
            <w:vAlign w:val="center"/>
          </w:tcPr>
          <w:p w14:paraId="1C902105">
            <w:pPr>
              <w:spacing w:line="360" w:lineRule="auto"/>
              <w:jc w:val="center"/>
              <w:rPr>
                <w:rFonts w:hint="eastAsia" w:ascii="宋体" w:hAnsi="宋体"/>
                <w:szCs w:val="21"/>
              </w:rPr>
            </w:pPr>
            <w:r>
              <w:rPr>
                <w:rFonts w:hint="eastAsia" w:ascii="宋体" w:hAnsi="宋体"/>
                <w:szCs w:val="21"/>
              </w:rPr>
              <w:t>养老保险</w:t>
            </w:r>
          </w:p>
        </w:tc>
        <w:tc>
          <w:tcPr>
            <w:tcW w:w="1069" w:type="dxa"/>
            <w:vMerge w:val="continue"/>
            <w:noWrap w:val="0"/>
            <w:vAlign w:val="top"/>
          </w:tcPr>
          <w:p w14:paraId="13E4C5E7">
            <w:pPr>
              <w:spacing w:line="360" w:lineRule="auto"/>
              <w:rPr>
                <w:rFonts w:hint="eastAsia" w:ascii="宋体" w:hAnsi="宋体"/>
                <w:szCs w:val="21"/>
              </w:rPr>
            </w:pPr>
          </w:p>
        </w:tc>
      </w:tr>
      <w:tr w14:paraId="11B8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26A9A2E3">
            <w:pPr>
              <w:spacing w:line="360" w:lineRule="auto"/>
              <w:rPr>
                <w:rFonts w:hint="eastAsia" w:ascii="宋体" w:hAnsi="宋体"/>
                <w:szCs w:val="21"/>
              </w:rPr>
            </w:pPr>
          </w:p>
        </w:tc>
        <w:tc>
          <w:tcPr>
            <w:tcW w:w="726" w:type="dxa"/>
            <w:noWrap w:val="0"/>
            <w:vAlign w:val="top"/>
          </w:tcPr>
          <w:p w14:paraId="2B13BFF6">
            <w:pPr>
              <w:spacing w:line="360" w:lineRule="auto"/>
              <w:rPr>
                <w:rFonts w:hint="eastAsia" w:ascii="宋体" w:hAnsi="宋体"/>
                <w:szCs w:val="21"/>
              </w:rPr>
            </w:pPr>
          </w:p>
        </w:tc>
        <w:tc>
          <w:tcPr>
            <w:tcW w:w="889" w:type="dxa"/>
            <w:noWrap w:val="0"/>
            <w:vAlign w:val="top"/>
          </w:tcPr>
          <w:p w14:paraId="74A15BFD">
            <w:pPr>
              <w:spacing w:line="360" w:lineRule="auto"/>
              <w:rPr>
                <w:rFonts w:hint="eastAsia" w:ascii="宋体" w:hAnsi="宋体"/>
                <w:szCs w:val="21"/>
              </w:rPr>
            </w:pPr>
          </w:p>
        </w:tc>
        <w:tc>
          <w:tcPr>
            <w:tcW w:w="1451" w:type="dxa"/>
            <w:noWrap w:val="0"/>
            <w:vAlign w:val="top"/>
          </w:tcPr>
          <w:p w14:paraId="4183ABA3">
            <w:pPr>
              <w:spacing w:line="360" w:lineRule="auto"/>
              <w:rPr>
                <w:rFonts w:hint="eastAsia" w:ascii="宋体" w:hAnsi="宋体"/>
                <w:szCs w:val="21"/>
              </w:rPr>
            </w:pPr>
          </w:p>
        </w:tc>
        <w:tc>
          <w:tcPr>
            <w:tcW w:w="900" w:type="dxa"/>
            <w:noWrap w:val="0"/>
            <w:vAlign w:val="top"/>
          </w:tcPr>
          <w:p w14:paraId="76331BCF">
            <w:pPr>
              <w:spacing w:line="360" w:lineRule="auto"/>
              <w:rPr>
                <w:rFonts w:hint="eastAsia" w:ascii="宋体" w:hAnsi="宋体"/>
                <w:szCs w:val="21"/>
              </w:rPr>
            </w:pPr>
          </w:p>
        </w:tc>
        <w:tc>
          <w:tcPr>
            <w:tcW w:w="1080" w:type="dxa"/>
            <w:noWrap w:val="0"/>
            <w:vAlign w:val="top"/>
          </w:tcPr>
          <w:p w14:paraId="31EFD298">
            <w:pPr>
              <w:spacing w:line="360" w:lineRule="auto"/>
              <w:rPr>
                <w:rFonts w:hint="eastAsia" w:ascii="宋体" w:hAnsi="宋体"/>
                <w:szCs w:val="21"/>
              </w:rPr>
            </w:pPr>
          </w:p>
        </w:tc>
        <w:tc>
          <w:tcPr>
            <w:tcW w:w="1286" w:type="dxa"/>
            <w:noWrap w:val="0"/>
            <w:vAlign w:val="top"/>
          </w:tcPr>
          <w:p w14:paraId="54381BE7">
            <w:pPr>
              <w:spacing w:line="360" w:lineRule="auto"/>
              <w:rPr>
                <w:rFonts w:hint="eastAsia" w:ascii="宋体" w:hAnsi="宋体"/>
                <w:szCs w:val="21"/>
              </w:rPr>
            </w:pPr>
          </w:p>
        </w:tc>
        <w:tc>
          <w:tcPr>
            <w:tcW w:w="1328" w:type="dxa"/>
            <w:noWrap w:val="0"/>
            <w:vAlign w:val="top"/>
          </w:tcPr>
          <w:p w14:paraId="0C2D65D2">
            <w:pPr>
              <w:spacing w:line="360" w:lineRule="auto"/>
              <w:ind w:firstLine="420" w:firstLineChars="200"/>
              <w:rPr>
                <w:rFonts w:hint="eastAsia" w:ascii="宋体" w:hAnsi="宋体"/>
                <w:szCs w:val="21"/>
              </w:rPr>
            </w:pPr>
          </w:p>
        </w:tc>
        <w:tc>
          <w:tcPr>
            <w:tcW w:w="1069" w:type="dxa"/>
            <w:noWrap w:val="0"/>
            <w:vAlign w:val="top"/>
          </w:tcPr>
          <w:p w14:paraId="3B3DD338">
            <w:pPr>
              <w:spacing w:line="360" w:lineRule="auto"/>
              <w:rPr>
                <w:rFonts w:hint="eastAsia" w:ascii="宋体" w:hAnsi="宋体"/>
                <w:szCs w:val="21"/>
              </w:rPr>
            </w:pPr>
          </w:p>
        </w:tc>
      </w:tr>
      <w:tr w14:paraId="5424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7F49E454">
            <w:pPr>
              <w:spacing w:line="360" w:lineRule="auto"/>
              <w:rPr>
                <w:rFonts w:hint="eastAsia" w:ascii="宋体" w:hAnsi="宋体"/>
                <w:szCs w:val="21"/>
              </w:rPr>
            </w:pPr>
          </w:p>
        </w:tc>
        <w:tc>
          <w:tcPr>
            <w:tcW w:w="726" w:type="dxa"/>
            <w:noWrap w:val="0"/>
            <w:vAlign w:val="top"/>
          </w:tcPr>
          <w:p w14:paraId="3B039E5C">
            <w:pPr>
              <w:spacing w:line="360" w:lineRule="auto"/>
              <w:rPr>
                <w:rFonts w:hint="eastAsia" w:ascii="宋体" w:hAnsi="宋体"/>
                <w:szCs w:val="21"/>
              </w:rPr>
            </w:pPr>
          </w:p>
        </w:tc>
        <w:tc>
          <w:tcPr>
            <w:tcW w:w="889" w:type="dxa"/>
            <w:noWrap w:val="0"/>
            <w:vAlign w:val="top"/>
          </w:tcPr>
          <w:p w14:paraId="74C9FA26">
            <w:pPr>
              <w:spacing w:line="360" w:lineRule="auto"/>
              <w:rPr>
                <w:rFonts w:hint="eastAsia" w:ascii="宋体" w:hAnsi="宋体"/>
                <w:szCs w:val="21"/>
              </w:rPr>
            </w:pPr>
          </w:p>
        </w:tc>
        <w:tc>
          <w:tcPr>
            <w:tcW w:w="1451" w:type="dxa"/>
            <w:noWrap w:val="0"/>
            <w:vAlign w:val="top"/>
          </w:tcPr>
          <w:p w14:paraId="55903C2B">
            <w:pPr>
              <w:spacing w:line="360" w:lineRule="auto"/>
              <w:rPr>
                <w:rFonts w:hint="eastAsia" w:ascii="宋体" w:hAnsi="宋体"/>
                <w:szCs w:val="21"/>
              </w:rPr>
            </w:pPr>
          </w:p>
        </w:tc>
        <w:tc>
          <w:tcPr>
            <w:tcW w:w="900" w:type="dxa"/>
            <w:noWrap w:val="0"/>
            <w:vAlign w:val="top"/>
          </w:tcPr>
          <w:p w14:paraId="77F21A88">
            <w:pPr>
              <w:spacing w:line="360" w:lineRule="auto"/>
              <w:rPr>
                <w:rFonts w:hint="eastAsia" w:ascii="宋体" w:hAnsi="宋体"/>
                <w:szCs w:val="21"/>
              </w:rPr>
            </w:pPr>
          </w:p>
        </w:tc>
        <w:tc>
          <w:tcPr>
            <w:tcW w:w="1080" w:type="dxa"/>
            <w:noWrap w:val="0"/>
            <w:vAlign w:val="top"/>
          </w:tcPr>
          <w:p w14:paraId="5688230B">
            <w:pPr>
              <w:spacing w:line="360" w:lineRule="auto"/>
              <w:rPr>
                <w:rFonts w:hint="eastAsia" w:ascii="宋体" w:hAnsi="宋体"/>
                <w:szCs w:val="21"/>
              </w:rPr>
            </w:pPr>
          </w:p>
        </w:tc>
        <w:tc>
          <w:tcPr>
            <w:tcW w:w="1286" w:type="dxa"/>
            <w:noWrap w:val="0"/>
            <w:vAlign w:val="top"/>
          </w:tcPr>
          <w:p w14:paraId="11DC3B2D">
            <w:pPr>
              <w:spacing w:line="360" w:lineRule="auto"/>
              <w:rPr>
                <w:rFonts w:hint="eastAsia" w:ascii="宋体" w:hAnsi="宋体"/>
                <w:szCs w:val="21"/>
              </w:rPr>
            </w:pPr>
          </w:p>
        </w:tc>
        <w:tc>
          <w:tcPr>
            <w:tcW w:w="1328" w:type="dxa"/>
            <w:noWrap w:val="0"/>
            <w:vAlign w:val="top"/>
          </w:tcPr>
          <w:p w14:paraId="1E97525B">
            <w:pPr>
              <w:spacing w:line="360" w:lineRule="auto"/>
              <w:rPr>
                <w:rFonts w:hint="eastAsia" w:ascii="宋体" w:hAnsi="宋体"/>
                <w:szCs w:val="21"/>
              </w:rPr>
            </w:pPr>
          </w:p>
        </w:tc>
        <w:tc>
          <w:tcPr>
            <w:tcW w:w="1069" w:type="dxa"/>
            <w:noWrap w:val="0"/>
            <w:vAlign w:val="top"/>
          </w:tcPr>
          <w:p w14:paraId="68D162FA">
            <w:pPr>
              <w:spacing w:line="360" w:lineRule="auto"/>
              <w:rPr>
                <w:rFonts w:hint="eastAsia" w:ascii="宋体" w:hAnsi="宋体"/>
                <w:szCs w:val="21"/>
              </w:rPr>
            </w:pPr>
          </w:p>
        </w:tc>
      </w:tr>
      <w:tr w14:paraId="2FA7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5FFA0E72">
            <w:pPr>
              <w:spacing w:line="360" w:lineRule="auto"/>
              <w:rPr>
                <w:rFonts w:hint="eastAsia" w:ascii="宋体" w:hAnsi="宋体"/>
                <w:szCs w:val="21"/>
              </w:rPr>
            </w:pPr>
          </w:p>
        </w:tc>
        <w:tc>
          <w:tcPr>
            <w:tcW w:w="726" w:type="dxa"/>
            <w:noWrap w:val="0"/>
            <w:vAlign w:val="top"/>
          </w:tcPr>
          <w:p w14:paraId="50E47B00">
            <w:pPr>
              <w:spacing w:line="360" w:lineRule="auto"/>
              <w:rPr>
                <w:rFonts w:hint="eastAsia" w:ascii="宋体" w:hAnsi="宋体"/>
                <w:szCs w:val="21"/>
              </w:rPr>
            </w:pPr>
          </w:p>
        </w:tc>
        <w:tc>
          <w:tcPr>
            <w:tcW w:w="889" w:type="dxa"/>
            <w:noWrap w:val="0"/>
            <w:vAlign w:val="top"/>
          </w:tcPr>
          <w:p w14:paraId="33F29FBD">
            <w:pPr>
              <w:spacing w:line="360" w:lineRule="auto"/>
              <w:rPr>
                <w:rFonts w:hint="eastAsia" w:ascii="宋体" w:hAnsi="宋体"/>
                <w:szCs w:val="21"/>
              </w:rPr>
            </w:pPr>
          </w:p>
        </w:tc>
        <w:tc>
          <w:tcPr>
            <w:tcW w:w="1451" w:type="dxa"/>
            <w:noWrap w:val="0"/>
            <w:vAlign w:val="top"/>
          </w:tcPr>
          <w:p w14:paraId="53DEF0C1">
            <w:pPr>
              <w:spacing w:line="360" w:lineRule="auto"/>
              <w:rPr>
                <w:rFonts w:hint="eastAsia" w:ascii="宋体" w:hAnsi="宋体"/>
                <w:szCs w:val="21"/>
              </w:rPr>
            </w:pPr>
          </w:p>
        </w:tc>
        <w:tc>
          <w:tcPr>
            <w:tcW w:w="900" w:type="dxa"/>
            <w:noWrap w:val="0"/>
            <w:vAlign w:val="top"/>
          </w:tcPr>
          <w:p w14:paraId="18E31579">
            <w:pPr>
              <w:spacing w:line="360" w:lineRule="auto"/>
              <w:rPr>
                <w:rFonts w:hint="eastAsia" w:ascii="宋体" w:hAnsi="宋体"/>
                <w:szCs w:val="21"/>
              </w:rPr>
            </w:pPr>
          </w:p>
        </w:tc>
        <w:tc>
          <w:tcPr>
            <w:tcW w:w="1080" w:type="dxa"/>
            <w:noWrap w:val="0"/>
            <w:vAlign w:val="top"/>
          </w:tcPr>
          <w:p w14:paraId="7AF2B565">
            <w:pPr>
              <w:spacing w:line="360" w:lineRule="auto"/>
              <w:rPr>
                <w:rFonts w:hint="eastAsia" w:ascii="宋体" w:hAnsi="宋体"/>
                <w:szCs w:val="21"/>
              </w:rPr>
            </w:pPr>
          </w:p>
        </w:tc>
        <w:tc>
          <w:tcPr>
            <w:tcW w:w="1286" w:type="dxa"/>
            <w:noWrap w:val="0"/>
            <w:vAlign w:val="top"/>
          </w:tcPr>
          <w:p w14:paraId="777B6C02">
            <w:pPr>
              <w:spacing w:line="360" w:lineRule="auto"/>
              <w:rPr>
                <w:rFonts w:hint="eastAsia" w:ascii="宋体" w:hAnsi="宋体"/>
                <w:szCs w:val="21"/>
              </w:rPr>
            </w:pPr>
          </w:p>
        </w:tc>
        <w:tc>
          <w:tcPr>
            <w:tcW w:w="1328" w:type="dxa"/>
            <w:noWrap w:val="0"/>
            <w:vAlign w:val="top"/>
          </w:tcPr>
          <w:p w14:paraId="3919C390">
            <w:pPr>
              <w:spacing w:line="360" w:lineRule="auto"/>
              <w:rPr>
                <w:rFonts w:hint="eastAsia" w:ascii="宋体" w:hAnsi="宋体"/>
                <w:szCs w:val="21"/>
              </w:rPr>
            </w:pPr>
          </w:p>
        </w:tc>
        <w:tc>
          <w:tcPr>
            <w:tcW w:w="1069" w:type="dxa"/>
            <w:noWrap w:val="0"/>
            <w:vAlign w:val="top"/>
          </w:tcPr>
          <w:p w14:paraId="649C869E">
            <w:pPr>
              <w:spacing w:line="360" w:lineRule="auto"/>
              <w:rPr>
                <w:rFonts w:hint="eastAsia" w:ascii="宋体" w:hAnsi="宋体"/>
                <w:szCs w:val="21"/>
              </w:rPr>
            </w:pPr>
          </w:p>
        </w:tc>
      </w:tr>
      <w:tr w14:paraId="30AF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602BA381">
            <w:pPr>
              <w:spacing w:line="360" w:lineRule="auto"/>
              <w:rPr>
                <w:rFonts w:hint="eastAsia" w:ascii="宋体" w:hAnsi="宋体"/>
                <w:szCs w:val="21"/>
              </w:rPr>
            </w:pPr>
          </w:p>
        </w:tc>
        <w:tc>
          <w:tcPr>
            <w:tcW w:w="726" w:type="dxa"/>
            <w:noWrap w:val="0"/>
            <w:vAlign w:val="top"/>
          </w:tcPr>
          <w:p w14:paraId="68159D74">
            <w:pPr>
              <w:spacing w:line="360" w:lineRule="auto"/>
              <w:rPr>
                <w:rFonts w:hint="eastAsia" w:ascii="宋体" w:hAnsi="宋体"/>
                <w:szCs w:val="21"/>
              </w:rPr>
            </w:pPr>
          </w:p>
        </w:tc>
        <w:tc>
          <w:tcPr>
            <w:tcW w:w="889" w:type="dxa"/>
            <w:noWrap w:val="0"/>
            <w:vAlign w:val="top"/>
          </w:tcPr>
          <w:p w14:paraId="13095D85">
            <w:pPr>
              <w:spacing w:line="360" w:lineRule="auto"/>
              <w:rPr>
                <w:rFonts w:hint="eastAsia" w:ascii="宋体" w:hAnsi="宋体"/>
                <w:szCs w:val="21"/>
              </w:rPr>
            </w:pPr>
          </w:p>
        </w:tc>
        <w:tc>
          <w:tcPr>
            <w:tcW w:w="1451" w:type="dxa"/>
            <w:noWrap w:val="0"/>
            <w:vAlign w:val="top"/>
          </w:tcPr>
          <w:p w14:paraId="55487BA3">
            <w:pPr>
              <w:spacing w:line="360" w:lineRule="auto"/>
              <w:rPr>
                <w:rFonts w:hint="eastAsia" w:ascii="宋体" w:hAnsi="宋体"/>
                <w:szCs w:val="21"/>
              </w:rPr>
            </w:pPr>
          </w:p>
        </w:tc>
        <w:tc>
          <w:tcPr>
            <w:tcW w:w="900" w:type="dxa"/>
            <w:noWrap w:val="0"/>
            <w:vAlign w:val="top"/>
          </w:tcPr>
          <w:p w14:paraId="1D075666">
            <w:pPr>
              <w:spacing w:line="360" w:lineRule="auto"/>
              <w:rPr>
                <w:rFonts w:hint="eastAsia" w:ascii="宋体" w:hAnsi="宋体"/>
                <w:szCs w:val="21"/>
              </w:rPr>
            </w:pPr>
          </w:p>
        </w:tc>
        <w:tc>
          <w:tcPr>
            <w:tcW w:w="1080" w:type="dxa"/>
            <w:noWrap w:val="0"/>
            <w:vAlign w:val="top"/>
          </w:tcPr>
          <w:p w14:paraId="7471FCE5">
            <w:pPr>
              <w:spacing w:line="360" w:lineRule="auto"/>
              <w:rPr>
                <w:rFonts w:hint="eastAsia" w:ascii="宋体" w:hAnsi="宋体"/>
                <w:szCs w:val="21"/>
              </w:rPr>
            </w:pPr>
          </w:p>
        </w:tc>
        <w:tc>
          <w:tcPr>
            <w:tcW w:w="1286" w:type="dxa"/>
            <w:noWrap w:val="0"/>
            <w:vAlign w:val="top"/>
          </w:tcPr>
          <w:p w14:paraId="1138BB4A">
            <w:pPr>
              <w:spacing w:line="360" w:lineRule="auto"/>
              <w:rPr>
                <w:rFonts w:hint="eastAsia" w:ascii="宋体" w:hAnsi="宋体"/>
                <w:szCs w:val="21"/>
              </w:rPr>
            </w:pPr>
          </w:p>
        </w:tc>
        <w:tc>
          <w:tcPr>
            <w:tcW w:w="1328" w:type="dxa"/>
            <w:noWrap w:val="0"/>
            <w:vAlign w:val="top"/>
          </w:tcPr>
          <w:p w14:paraId="3E12AD9E">
            <w:pPr>
              <w:spacing w:line="360" w:lineRule="auto"/>
              <w:rPr>
                <w:rFonts w:hint="eastAsia" w:ascii="宋体" w:hAnsi="宋体"/>
                <w:szCs w:val="21"/>
              </w:rPr>
            </w:pPr>
          </w:p>
        </w:tc>
        <w:tc>
          <w:tcPr>
            <w:tcW w:w="1069" w:type="dxa"/>
            <w:noWrap w:val="0"/>
            <w:vAlign w:val="top"/>
          </w:tcPr>
          <w:p w14:paraId="26710BA8">
            <w:pPr>
              <w:spacing w:line="360" w:lineRule="auto"/>
              <w:rPr>
                <w:rFonts w:hint="eastAsia" w:ascii="宋体" w:hAnsi="宋体"/>
                <w:szCs w:val="21"/>
              </w:rPr>
            </w:pPr>
          </w:p>
        </w:tc>
      </w:tr>
      <w:tr w14:paraId="378F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63DE6C68">
            <w:pPr>
              <w:spacing w:line="360" w:lineRule="auto"/>
              <w:rPr>
                <w:rFonts w:hint="eastAsia" w:ascii="宋体" w:hAnsi="宋体"/>
                <w:szCs w:val="21"/>
              </w:rPr>
            </w:pPr>
          </w:p>
        </w:tc>
        <w:tc>
          <w:tcPr>
            <w:tcW w:w="726" w:type="dxa"/>
            <w:noWrap w:val="0"/>
            <w:vAlign w:val="top"/>
          </w:tcPr>
          <w:p w14:paraId="2188F0D9">
            <w:pPr>
              <w:spacing w:line="360" w:lineRule="auto"/>
              <w:rPr>
                <w:rFonts w:hint="eastAsia" w:ascii="宋体" w:hAnsi="宋体"/>
                <w:szCs w:val="21"/>
              </w:rPr>
            </w:pPr>
          </w:p>
        </w:tc>
        <w:tc>
          <w:tcPr>
            <w:tcW w:w="889" w:type="dxa"/>
            <w:noWrap w:val="0"/>
            <w:vAlign w:val="top"/>
          </w:tcPr>
          <w:p w14:paraId="36090C53">
            <w:pPr>
              <w:spacing w:line="360" w:lineRule="auto"/>
              <w:rPr>
                <w:rFonts w:hint="eastAsia" w:ascii="宋体" w:hAnsi="宋体"/>
                <w:szCs w:val="21"/>
              </w:rPr>
            </w:pPr>
          </w:p>
        </w:tc>
        <w:tc>
          <w:tcPr>
            <w:tcW w:w="1451" w:type="dxa"/>
            <w:noWrap w:val="0"/>
            <w:vAlign w:val="top"/>
          </w:tcPr>
          <w:p w14:paraId="2A57C42C">
            <w:pPr>
              <w:spacing w:line="360" w:lineRule="auto"/>
              <w:rPr>
                <w:rFonts w:hint="eastAsia" w:ascii="宋体" w:hAnsi="宋体"/>
                <w:szCs w:val="21"/>
              </w:rPr>
            </w:pPr>
          </w:p>
        </w:tc>
        <w:tc>
          <w:tcPr>
            <w:tcW w:w="900" w:type="dxa"/>
            <w:noWrap w:val="0"/>
            <w:vAlign w:val="top"/>
          </w:tcPr>
          <w:p w14:paraId="23C0D456">
            <w:pPr>
              <w:spacing w:line="360" w:lineRule="auto"/>
              <w:rPr>
                <w:rFonts w:hint="eastAsia" w:ascii="宋体" w:hAnsi="宋体"/>
                <w:szCs w:val="21"/>
              </w:rPr>
            </w:pPr>
          </w:p>
        </w:tc>
        <w:tc>
          <w:tcPr>
            <w:tcW w:w="1080" w:type="dxa"/>
            <w:noWrap w:val="0"/>
            <w:vAlign w:val="top"/>
          </w:tcPr>
          <w:p w14:paraId="29D31A95">
            <w:pPr>
              <w:spacing w:line="360" w:lineRule="auto"/>
              <w:rPr>
                <w:rFonts w:hint="eastAsia" w:ascii="宋体" w:hAnsi="宋体"/>
                <w:szCs w:val="21"/>
              </w:rPr>
            </w:pPr>
          </w:p>
        </w:tc>
        <w:tc>
          <w:tcPr>
            <w:tcW w:w="1286" w:type="dxa"/>
            <w:noWrap w:val="0"/>
            <w:vAlign w:val="top"/>
          </w:tcPr>
          <w:p w14:paraId="06DA556B">
            <w:pPr>
              <w:spacing w:line="360" w:lineRule="auto"/>
              <w:rPr>
                <w:rFonts w:hint="eastAsia" w:ascii="宋体" w:hAnsi="宋体"/>
                <w:szCs w:val="21"/>
              </w:rPr>
            </w:pPr>
          </w:p>
        </w:tc>
        <w:tc>
          <w:tcPr>
            <w:tcW w:w="1328" w:type="dxa"/>
            <w:noWrap w:val="0"/>
            <w:vAlign w:val="top"/>
          </w:tcPr>
          <w:p w14:paraId="1479F560">
            <w:pPr>
              <w:spacing w:line="360" w:lineRule="auto"/>
              <w:rPr>
                <w:rFonts w:hint="eastAsia" w:ascii="宋体" w:hAnsi="宋体"/>
                <w:szCs w:val="21"/>
              </w:rPr>
            </w:pPr>
          </w:p>
        </w:tc>
        <w:tc>
          <w:tcPr>
            <w:tcW w:w="1069" w:type="dxa"/>
            <w:noWrap w:val="0"/>
            <w:vAlign w:val="top"/>
          </w:tcPr>
          <w:p w14:paraId="5F36FB2F">
            <w:pPr>
              <w:spacing w:line="360" w:lineRule="auto"/>
              <w:rPr>
                <w:rFonts w:hint="eastAsia" w:ascii="宋体" w:hAnsi="宋体"/>
                <w:szCs w:val="21"/>
              </w:rPr>
            </w:pPr>
          </w:p>
        </w:tc>
      </w:tr>
      <w:tr w14:paraId="6761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2F915DE1">
            <w:pPr>
              <w:spacing w:line="360" w:lineRule="auto"/>
              <w:rPr>
                <w:rFonts w:hint="eastAsia" w:ascii="宋体" w:hAnsi="宋体"/>
                <w:szCs w:val="21"/>
              </w:rPr>
            </w:pPr>
          </w:p>
        </w:tc>
        <w:tc>
          <w:tcPr>
            <w:tcW w:w="726" w:type="dxa"/>
            <w:noWrap w:val="0"/>
            <w:vAlign w:val="top"/>
          </w:tcPr>
          <w:p w14:paraId="445A5490">
            <w:pPr>
              <w:spacing w:line="360" w:lineRule="auto"/>
              <w:rPr>
                <w:rFonts w:hint="eastAsia" w:ascii="宋体" w:hAnsi="宋体"/>
                <w:szCs w:val="21"/>
              </w:rPr>
            </w:pPr>
          </w:p>
        </w:tc>
        <w:tc>
          <w:tcPr>
            <w:tcW w:w="889" w:type="dxa"/>
            <w:noWrap w:val="0"/>
            <w:vAlign w:val="top"/>
          </w:tcPr>
          <w:p w14:paraId="3740182A">
            <w:pPr>
              <w:spacing w:line="360" w:lineRule="auto"/>
              <w:rPr>
                <w:rFonts w:hint="eastAsia" w:ascii="宋体" w:hAnsi="宋体"/>
                <w:szCs w:val="21"/>
              </w:rPr>
            </w:pPr>
          </w:p>
        </w:tc>
        <w:tc>
          <w:tcPr>
            <w:tcW w:w="1451" w:type="dxa"/>
            <w:noWrap w:val="0"/>
            <w:vAlign w:val="top"/>
          </w:tcPr>
          <w:p w14:paraId="4E1BF531">
            <w:pPr>
              <w:spacing w:line="360" w:lineRule="auto"/>
              <w:rPr>
                <w:rFonts w:hint="eastAsia" w:ascii="宋体" w:hAnsi="宋体"/>
                <w:szCs w:val="21"/>
              </w:rPr>
            </w:pPr>
          </w:p>
        </w:tc>
        <w:tc>
          <w:tcPr>
            <w:tcW w:w="900" w:type="dxa"/>
            <w:noWrap w:val="0"/>
            <w:vAlign w:val="top"/>
          </w:tcPr>
          <w:p w14:paraId="0D3E3450">
            <w:pPr>
              <w:spacing w:line="360" w:lineRule="auto"/>
              <w:rPr>
                <w:rFonts w:hint="eastAsia" w:ascii="宋体" w:hAnsi="宋体"/>
                <w:szCs w:val="21"/>
              </w:rPr>
            </w:pPr>
          </w:p>
        </w:tc>
        <w:tc>
          <w:tcPr>
            <w:tcW w:w="1080" w:type="dxa"/>
            <w:noWrap w:val="0"/>
            <w:vAlign w:val="top"/>
          </w:tcPr>
          <w:p w14:paraId="79A48D3C">
            <w:pPr>
              <w:spacing w:line="360" w:lineRule="auto"/>
              <w:rPr>
                <w:rFonts w:hint="eastAsia" w:ascii="宋体" w:hAnsi="宋体"/>
                <w:szCs w:val="21"/>
              </w:rPr>
            </w:pPr>
          </w:p>
        </w:tc>
        <w:tc>
          <w:tcPr>
            <w:tcW w:w="1286" w:type="dxa"/>
            <w:noWrap w:val="0"/>
            <w:vAlign w:val="top"/>
          </w:tcPr>
          <w:p w14:paraId="6E44F4CC">
            <w:pPr>
              <w:spacing w:line="360" w:lineRule="auto"/>
              <w:rPr>
                <w:rFonts w:hint="eastAsia" w:ascii="宋体" w:hAnsi="宋体"/>
                <w:szCs w:val="21"/>
              </w:rPr>
            </w:pPr>
          </w:p>
        </w:tc>
        <w:tc>
          <w:tcPr>
            <w:tcW w:w="1328" w:type="dxa"/>
            <w:noWrap w:val="0"/>
            <w:vAlign w:val="top"/>
          </w:tcPr>
          <w:p w14:paraId="6F3B8461">
            <w:pPr>
              <w:spacing w:line="360" w:lineRule="auto"/>
              <w:rPr>
                <w:rFonts w:hint="eastAsia" w:ascii="宋体" w:hAnsi="宋体"/>
                <w:szCs w:val="21"/>
              </w:rPr>
            </w:pPr>
          </w:p>
        </w:tc>
        <w:tc>
          <w:tcPr>
            <w:tcW w:w="1069" w:type="dxa"/>
            <w:noWrap w:val="0"/>
            <w:vAlign w:val="top"/>
          </w:tcPr>
          <w:p w14:paraId="0FE50AF8">
            <w:pPr>
              <w:spacing w:line="360" w:lineRule="auto"/>
              <w:rPr>
                <w:rFonts w:hint="eastAsia" w:ascii="宋体" w:hAnsi="宋体"/>
                <w:szCs w:val="21"/>
              </w:rPr>
            </w:pPr>
          </w:p>
        </w:tc>
      </w:tr>
      <w:tr w14:paraId="5BFB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1A8B71C1">
            <w:pPr>
              <w:spacing w:line="360" w:lineRule="auto"/>
              <w:rPr>
                <w:rFonts w:hint="eastAsia" w:ascii="宋体" w:hAnsi="宋体"/>
                <w:szCs w:val="21"/>
              </w:rPr>
            </w:pPr>
          </w:p>
        </w:tc>
        <w:tc>
          <w:tcPr>
            <w:tcW w:w="726" w:type="dxa"/>
            <w:noWrap w:val="0"/>
            <w:vAlign w:val="top"/>
          </w:tcPr>
          <w:p w14:paraId="7FDAB564">
            <w:pPr>
              <w:spacing w:line="360" w:lineRule="auto"/>
              <w:rPr>
                <w:rFonts w:hint="eastAsia" w:ascii="宋体" w:hAnsi="宋体"/>
                <w:szCs w:val="21"/>
              </w:rPr>
            </w:pPr>
          </w:p>
        </w:tc>
        <w:tc>
          <w:tcPr>
            <w:tcW w:w="889" w:type="dxa"/>
            <w:noWrap w:val="0"/>
            <w:vAlign w:val="top"/>
          </w:tcPr>
          <w:p w14:paraId="014EB3D1">
            <w:pPr>
              <w:spacing w:line="360" w:lineRule="auto"/>
              <w:rPr>
                <w:rFonts w:hint="eastAsia" w:ascii="宋体" w:hAnsi="宋体"/>
                <w:szCs w:val="21"/>
              </w:rPr>
            </w:pPr>
          </w:p>
        </w:tc>
        <w:tc>
          <w:tcPr>
            <w:tcW w:w="1451" w:type="dxa"/>
            <w:noWrap w:val="0"/>
            <w:vAlign w:val="top"/>
          </w:tcPr>
          <w:p w14:paraId="2444BA31">
            <w:pPr>
              <w:spacing w:line="360" w:lineRule="auto"/>
              <w:rPr>
                <w:rFonts w:hint="eastAsia" w:ascii="宋体" w:hAnsi="宋体"/>
                <w:szCs w:val="21"/>
              </w:rPr>
            </w:pPr>
          </w:p>
        </w:tc>
        <w:tc>
          <w:tcPr>
            <w:tcW w:w="900" w:type="dxa"/>
            <w:noWrap w:val="0"/>
            <w:vAlign w:val="top"/>
          </w:tcPr>
          <w:p w14:paraId="3ACE7789">
            <w:pPr>
              <w:spacing w:line="360" w:lineRule="auto"/>
              <w:rPr>
                <w:rFonts w:hint="eastAsia" w:ascii="宋体" w:hAnsi="宋体"/>
                <w:szCs w:val="21"/>
              </w:rPr>
            </w:pPr>
          </w:p>
        </w:tc>
        <w:tc>
          <w:tcPr>
            <w:tcW w:w="1080" w:type="dxa"/>
            <w:noWrap w:val="0"/>
            <w:vAlign w:val="top"/>
          </w:tcPr>
          <w:p w14:paraId="413E361C">
            <w:pPr>
              <w:spacing w:line="360" w:lineRule="auto"/>
              <w:rPr>
                <w:rFonts w:hint="eastAsia" w:ascii="宋体" w:hAnsi="宋体"/>
                <w:szCs w:val="21"/>
              </w:rPr>
            </w:pPr>
          </w:p>
        </w:tc>
        <w:tc>
          <w:tcPr>
            <w:tcW w:w="1286" w:type="dxa"/>
            <w:noWrap w:val="0"/>
            <w:vAlign w:val="top"/>
          </w:tcPr>
          <w:p w14:paraId="2A3B55E1">
            <w:pPr>
              <w:spacing w:line="360" w:lineRule="auto"/>
              <w:rPr>
                <w:rFonts w:hint="eastAsia" w:ascii="宋体" w:hAnsi="宋体"/>
                <w:szCs w:val="21"/>
              </w:rPr>
            </w:pPr>
          </w:p>
        </w:tc>
        <w:tc>
          <w:tcPr>
            <w:tcW w:w="1328" w:type="dxa"/>
            <w:noWrap w:val="0"/>
            <w:vAlign w:val="top"/>
          </w:tcPr>
          <w:p w14:paraId="4B5FC784">
            <w:pPr>
              <w:spacing w:line="360" w:lineRule="auto"/>
              <w:rPr>
                <w:rFonts w:hint="eastAsia" w:ascii="宋体" w:hAnsi="宋体"/>
                <w:szCs w:val="21"/>
              </w:rPr>
            </w:pPr>
          </w:p>
        </w:tc>
        <w:tc>
          <w:tcPr>
            <w:tcW w:w="1069" w:type="dxa"/>
            <w:noWrap w:val="0"/>
            <w:vAlign w:val="top"/>
          </w:tcPr>
          <w:p w14:paraId="2C31162C">
            <w:pPr>
              <w:spacing w:line="360" w:lineRule="auto"/>
              <w:rPr>
                <w:rFonts w:hint="eastAsia" w:ascii="宋体" w:hAnsi="宋体"/>
                <w:szCs w:val="21"/>
              </w:rPr>
            </w:pPr>
          </w:p>
        </w:tc>
      </w:tr>
      <w:tr w14:paraId="4ED3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632F92E7">
            <w:pPr>
              <w:spacing w:line="360" w:lineRule="auto"/>
              <w:rPr>
                <w:rFonts w:hint="eastAsia" w:ascii="宋体" w:hAnsi="宋体"/>
                <w:szCs w:val="21"/>
              </w:rPr>
            </w:pPr>
          </w:p>
        </w:tc>
        <w:tc>
          <w:tcPr>
            <w:tcW w:w="726" w:type="dxa"/>
            <w:noWrap w:val="0"/>
            <w:vAlign w:val="top"/>
          </w:tcPr>
          <w:p w14:paraId="41B72078">
            <w:pPr>
              <w:spacing w:line="360" w:lineRule="auto"/>
              <w:rPr>
                <w:rFonts w:hint="eastAsia" w:ascii="宋体" w:hAnsi="宋体"/>
                <w:szCs w:val="21"/>
              </w:rPr>
            </w:pPr>
          </w:p>
        </w:tc>
        <w:tc>
          <w:tcPr>
            <w:tcW w:w="889" w:type="dxa"/>
            <w:noWrap w:val="0"/>
            <w:vAlign w:val="top"/>
          </w:tcPr>
          <w:p w14:paraId="3F1A99BB">
            <w:pPr>
              <w:spacing w:line="360" w:lineRule="auto"/>
              <w:rPr>
                <w:rFonts w:hint="eastAsia" w:ascii="宋体" w:hAnsi="宋体"/>
                <w:szCs w:val="21"/>
              </w:rPr>
            </w:pPr>
          </w:p>
        </w:tc>
        <w:tc>
          <w:tcPr>
            <w:tcW w:w="1451" w:type="dxa"/>
            <w:noWrap w:val="0"/>
            <w:vAlign w:val="top"/>
          </w:tcPr>
          <w:p w14:paraId="382DD74F">
            <w:pPr>
              <w:spacing w:line="360" w:lineRule="auto"/>
              <w:rPr>
                <w:rFonts w:hint="eastAsia" w:ascii="宋体" w:hAnsi="宋体"/>
                <w:szCs w:val="21"/>
              </w:rPr>
            </w:pPr>
          </w:p>
        </w:tc>
        <w:tc>
          <w:tcPr>
            <w:tcW w:w="900" w:type="dxa"/>
            <w:noWrap w:val="0"/>
            <w:vAlign w:val="top"/>
          </w:tcPr>
          <w:p w14:paraId="04931205">
            <w:pPr>
              <w:spacing w:line="360" w:lineRule="auto"/>
              <w:rPr>
                <w:rFonts w:hint="eastAsia" w:ascii="宋体" w:hAnsi="宋体"/>
                <w:szCs w:val="21"/>
              </w:rPr>
            </w:pPr>
          </w:p>
        </w:tc>
        <w:tc>
          <w:tcPr>
            <w:tcW w:w="1080" w:type="dxa"/>
            <w:noWrap w:val="0"/>
            <w:vAlign w:val="top"/>
          </w:tcPr>
          <w:p w14:paraId="4D8D6842">
            <w:pPr>
              <w:spacing w:line="360" w:lineRule="auto"/>
              <w:rPr>
                <w:rFonts w:hint="eastAsia" w:ascii="宋体" w:hAnsi="宋体"/>
                <w:szCs w:val="21"/>
              </w:rPr>
            </w:pPr>
          </w:p>
        </w:tc>
        <w:tc>
          <w:tcPr>
            <w:tcW w:w="1286" w:type="dxa"/>
            <w:noWrap w:val="0"/>
            <w:vAlign w:val="top"/>
          </w:tcPr>
          <w:p w14:paraId="3CDD7B60">
            <w:pPr>
              <w:spacing w:line="360" w:lineRule="auto"/>
              <w:rPr>
                <w:rFonts w:hint="eastAsia" w:ascii="宋体" w:hAnsi="宋体"/>
                <w:szCs w:val="21"/>
              </w:rPr>
            </w:pPr>
          </w:p>
        </w:tc>
        <w:tc>
          <w:tcPr>
            <w:tcW w:w="1328" w:type="dxa"/>
            <w:noWrap w:val="0"/>
            <w:vAlign w:val="top"/>
          </w:tcPr>
          <w:p w14:paraId="57EA5B9B">
            <w:pPr>
              <w:spacing w:line="360" w:lineRule="auto"/>
              <w:rPr>
                <w:rFonts w:hint="eastAsia" w:ascii="宋体" w:hAnsi="宋体"/>
                <w:szCs w:val="21"/>
              </w:rPr>
            </w:pPr>
          </w:p>
        </w:tc>
        <w:tc>
          <w:tcPr>
            <w:tcW w:w="1069" w:type="dxa"/>
            <w:noWrap w:val="0"/>
            <w:vAlign w:val="top"/>
          </w:tcPr>
          <w:p w14:paraId="12CAE8D4">
            <w:pPr>
              <w:spacing w:line="360" w:lineRule="auto"/>
              <w:rPr>
                <w:rFonts w:hint="eastAsia" w:ascii="宋体" w:hAnsi="宋体"/>
                <w:szCs w:val="21"/>
              </w:rPr>
            </w:pPr>
          </w:p>
        </w:tc>
      </w:tr>
      <w:tr w14:paraId="0195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7BB84C24">
            <w:pPr>
              <w:spacing w:line="360" w:lineRule="auto"/>
              <w:rPr>
                <w:rFonts w:hint="eastAsia" w:ascii="宋体" w:hAnsi="宋体"/>
                <w:szCs w:val="21"/>
              </w:rPr>
            </w:pPr>
          </w:p>
        </w:tc>
        <w:tc>
          <w:tcPr>
            <w:tcW w:w="726" w:type="dxa"/>
            <w:noWrap w:val="0"/>
            <w:vAlign w:val="top"/>
          </w:tcPr>
          <w:p w14:paraId="652B270B">
            <w:pPr>
              <w:spacing w:line="360" w:lineRule="auto"/>
              <w:rPr>
                <w:rFonts w:hint="eastAsia" w:ascii="宋体" w:hAnsi="宋体"/>
                <w:szCs w:val="21"/>
              </w:rPr>
            </w:pPr>
          </w:p>
        </w:tc>
        <w:tc>
          <w:tcPr>
            <w:tcW w:w="889" w:type="dxa"/>
            <w:noWrap w:val="0"/>
            <w:vAlign w:val="top"/>
          </w:tcPr>
          <w:p w14:paraId="006F8ED8">
            <w:pPr>
              <w:spacing w:line="360" w:lineRule="auto"/>
              <w:rPr>
                <w:rFonts w:hint="eastAsia" w:ascii="宋体" w:hAnsi="宋体"/>
                <w:szCs w:val="21"/>
              </w:rPr>
            </w:pPr>
          </w:p>
        </w:tc>
        <w:tc>
          <w:tcPr>
            <w:tcW w:w="1451" w:type="dxa"/>
            <w:noWrap w:val="0"/>
            <w:vAlign w:val="top"/>
          </w:tcPr>
          <w:p w14:paraId="0B0AB50B">
            <w:pPr>
              <w:spacing w:line="360" w:lineRule="auto"/>
              <w:rPr>
                <w:rFonts w:hint="eastAsia" w:ascii="宋体" w:hAnsi="宋体"/>
                <w:szCs w:val="21"/>
              </w:rPr>
            </w:pPr>
          </w:p>
        </w:tc>
        <w:tc>
          <w:tcPr>
            <w:tcW w:w="900" w:type="dxa"/>
            <w:noWrap w:val="0"/>
            <w:vAlign w:val="top"/>
          </w:tcPr>
          <w:p w14:paraId="3CD17CEA">
            <w:pPr>
              <w:spacing w:line="360" w:lineRule="auto"/>
              <w:rPr>
                <w:rFonts w:hint="eastAsia" w:ascii="宋体" w:hAnsi="宋体"/>
                <w:szCs w:val="21"/>
              </w:rPr>
            </w:pPr>
          </w:p>
        </w:tc>
        <w:tc>
          <w:tcPr>
            <w:tcW w:w="1080" w:type="dxa"/>
            <w:noWrap w:val="0"/>
            <w:vAlign w:val="top"/>
          </w:tcPr>
          <w:p w14:paraId="49008D47">
            <w:pPr>
              <w:spacing w:line="360" w:lineRule="auto"/>
              <w:rPr>
                <w:rFonts w:hint="eastAsia" w:ascii="宋体" w:hAnsi="宋体"/>
                <w:szCs w:val="21"/>
              </w:rPr>
            </w:pPr>
          </w:p>
        </w:tc>
        <w:tc>
          <w:tcPr>
            <w:tcW w:w="1286" w:type="dxa"/>
            <w:noWrap w:val="0"/>
            <w:vAlign w:val="top"/>
          </w:tcPr>
          <w:p w14:paraId="6C705900">
            <w:pPr>
              <w:spacing w:line="360" w:lineRule="auto"/>
              <w:rPr>
                <w:rFonts w:hint="eastAsia" w:ascii="宋体" w:hAnsi="宋体"/>
                <w:szCs w:val="21"/>
              </w:rPr>
            </w:pPr>
          </w:p>
        </w:tc>
        <w:tc>
          <w:tcPr>
            <w:tcW w:w="1328" w:type="dxa"/>
            <w:noWrap w:val="0"/>
            <w:vAlign w:val="top"/>
          </w:tcPr>
          <w:p w14:paraId="24A09BC5">
            <w:pPr>
              <w:spacing w:line="360" w:lineRule="auto"/>
              <w:rPr>
                <w:rFonts w:hint="eastAsia" w:ascii="宋体" w:hAnsi="宋体"/>
                <w:szCs w:val="21"/>
              </w:rPr>
            </w:pPr>
          </w:p>
        </w:tc>
        <w:tc>
          <w:tcPr>
            <w:tcW w:w="1069" w:type="dxa"/>
            <w:noWrap w:val="0"/>
            <w:vAlign w:val="top"/>
          </w:tcPr>
          <w:p w14:paraId="33C6A0B7">
            <w:pPr>
              <w:spacing w:line="360" w:lineRule="auto"/>
              <w:rPr>
                <w:rFonts w:hint="eastAsia" w:ascii="宋体" w:hAnsi="宋体"/>
                <w:szCs w:val="21"/>
              </w:rPr>
            </w:pPr>
          </w:p>
        </w:tc>
      </w:tr>
      <w:tr w14:paraId="4FD5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2EDB9C09">
            <w:pPr>
              <w:spacing w:line="360" w:lineRule="auto"/>
              <w:rPr>
                <w:rFonts w:hint="eastAsia" w:ascii="宋体" w:hAnsi="宋体"/>
                <w:szCs w:val="21"/>
              </w:rPr>
            </w:pPr>
          </w:p>
        </w:tc>
        <w:tc>
          <w:tcPr>
            <w:tcW w:w="726" w:type="dxa"/>
            <w:noWrap w:val="0"/>
            <w:vAlign w:val="top"/>
          </w:tcPr>
          <w:p w14:paraId="07C3CEDF">
            <w:pPr>
              <w:spacing w:line="360" w:lineRule="auto"/>
              <w:rPr>
                <w:rFonts w:hint="eastAsia" w:ascii="宋体" w:hAnsi="宋体"/>
                <w:szCs w:val="21"/>
              </w:rPr>
            </w:pPr>
          </w:p>
        </w:tc>
        <w:tc>
          <w:tcPr>
            <w:tcW w:w="889" w:type="dxa"/>
            <w:noWrap w:val="0"/>
            <w:vAlign w:val="top"/>
          </w:tcPr>
          <w:p w14:paraId="322D6C8E">
            <w:pPr>
              <w:spacing w:line="360" w:lineRule="auto"/>
              <w:rPr>
                <w:rFonts w:hint="eastAsia" w:ascii="宋体" w:hAnsi="宋体"/>
                <w:szCs w:val="21"/>
              </w:rPr>
            </w:pPr>
          </w:p>
        </w:tc>
        <w:tc>
          <w:tcPr>
            <w:tcW w:w="1451" w:type="dxa"/>
            <w:noWrap w:val="0"/>
            <w:vAlign w:val="top"/>
          </w:tcPr>
          <w:p w14:paraId="09367384">
            <w:pPr>
              <w:spacing w:line="360" w:lineRule="auto"/>
              <w:rPr>
                <w:rFonts w:hint="eastAsia" w:ascii="宋体" w:hAnsi="宋体"/>
                <w:szCs w:val="21"/>
              </w:rPr>
            </w:pPr>
          </w:p>
        </w:tc>
        <w:tc>
          <w:tcPr>
            <w:tcW w:w="900" w:type="dxa"/>
            <w:noWrap w:val="0"/>
            <w:vAlign w:val="top"/>
          </w:tcPr>
          <w:p w14:paraId="7AE3AECF">
            <w:pPr>
              <w:spacing w:line="360" w:lineRule="auto"/>
              <w:rPr>
                <w:rFonts w:hint="eastAsia" w:ascii="宋体" w:hAnsi="宋体"/>
                <w:szCs w:val="21"/>
              </w:rPr>
            </w:pPr>
          </w:p>
        </w:tc>
        <w:tc>
          <w:tcPr>
            <w:tcW w:w="1080" w:type="dxa"/>
            <w:noWrap w:val="0"/>
            <w:vAlign w:val="top"/>
          </w:tcPr>
          <w:p w14:paraId="227FA93A">
            <w:pPr>
              <w:spacing w:line="360" w:lineRule="auto"/>
              <w:rPr>
                <w:rFonts w:hint="eastAsia" w:ascii="宋体" w:hAnsi="宋体"/>
                <w:szCs w:val="21"/>
              </w:rPr>
            </w:pPr>
          </w:p>
        </w:tc>
        <w:tc>
          <w:tcPr>
            <w:tcW w:w="1286" w:type="dxa"/>
            <w:noWrap w:val="0"/>
            <w:vAlign w:val="top"/>
          </w:tcPr>
          <w:p w14:paraId="2620C6E2">
            <w:pPr>
              <w:spacing w:line="360" w:lineRule="auto"/>
              <w:rPr>
                <w:rFonts w:hint="eastAsia" w:ascii="宋体" w:hAnsi="宋体"/>
                <w:szCs w:val="21"/>
              </w:rPr>
            </w:pPr>
          </w:p>
        </w:tc>
        <w:tc>
          <w:tcPr>
            <w:tcW w:w="1328" w:type="dxa"/>
            <w:noWrap w:val="0"/>
            <w:vAlign w:val="top"/>
          </w:tcPr>
          <w:p w14:paraId="2115B1ED">
            <w:pPr>
              <w:spacing w:line="360" w:lineRule="auto"/>
              <w:rPr>
                <w:rFonts w:hint="eastAsia" w:ascii="宋体" w:hAnsi="宋体"/>
                <w:szCs w:val="21"/>
              </w:rPr>
            </w:pPr>
          </w:p>
        </w:tc>
        <w:tc>
          <w:tcPr>
            <w:tcW w:w="1069" w:type="dxa"/>
            <w:noWrap w:val="0"/>
            <w:vAlign w:val="top"/>
          </w:tcPr>
          <w:p w14:paraId="1543B858">
            <w:pPr>
              <w:spacing w:line="360" w:lineRule="auto"/>
              <w:rPr>
                <w:rFonts w:hint="eastAsia" w:ascii="宋体" w:hAnsi="宋体"/>
                <w:szCs w:val="21"/>
              </w:rPr>
            </w:pPr>
          </w:p>
        </w:tc>
      </w:tr>
      <w:tr w14:paraId="39B5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47151AB5">
            <w:pPr>
              <w:spacing w:line="360" w:lineRule="auto"/>
              <w:rPr>
                <w:rFonts w:hint="eastAsia" w:ascii="宋体" w:hAnsi="宋体"/>
                <w:szCs w:val="21"/>
              </w:rPr>
            </w:pPr>
          </w:p>
        </w:tc>
        <w:tc>
          <w:tcPr>
            <w:tcW w:w="726" w:type="dxa"/>
            <w:noWrap w:val="0"/>
            <w:vAlign w:val="top"/>
          </w:tcPr>
          <w:p w14:paraId="2D820D02">
            <w:pPr>
              <w:spacing w:line="360" w:lineRule="auto"/>
              <w:rPr>
                <w:rFonts w:hint="eastAsia" w:ascii="宋体" w:hAnsi="宋体"/>
                <w:szCs w:val="21"/>
              </w:rPr>
            </w:pPr>
          </w:p>
        </w:tc>
        <w:tc>
          <w:tcPr>
            <w:tcW w:w="889" w:type="dxa"/>
            <w:noWrap w:val="0"/>
            <w:vAlign w:val="top"/>
          </w:tcPr>
          <w:p w14:paraId="007E6D61">
            <w:pPr>
              <w:spacing w:line="360" w:lineRule="auto"/>
              <w:rPr>
                <w:rFonts w:hint="eastAsia" w:ascii="宋体" w:hAnsi="宋体"/>
                <w:szCs w:val="21"/>
              </w:rPr>
            </w:pPr>
          </w:p>
        </w:tc>
        <w:tc>
          <w:tcPr>
            <w:tcW w:w="1451" w:type="dxa"/>
            <w:noWrap w:val="0"/>
            <w:vAlign w:val="top"/>
          </w:tcPr>
          <w:p w14:paraId="1F643115">
            <w:pPr>
              <w:spacing w:line="360" w:lineRule="auto"/>
              <w:rPr>
                <w:rFonts w:hint="eastAsia" w:ascii="宋体" w:hAnsi="宋体"/>
                <w:szCs w:val="21"/>
              </w:rPr>
            </w:pPr>
          </w:p>
        </w:tc>
        <w:tc>
          <w:tcPr>
            <w:tcW w:w="900" w:type="dxa"/>
            <w:noWrap w:val="0"/>
            <w:vAlign w:val="top"/>
          </w:tcPr>
          <w:p w14:paraId="7ACE811B">
            <w:pPr>
              <w:spacing w:line="360" w:lineRule="auto"/>
              <w:rPr>
                <w:rFonts w:hint="eastAsia" w:ascii="宋体" w:hAnsi="宋体"/>
                <w:szCs w:val="21"/>
              </w:rPr>
            </w:pPr>
          </w:p>
        </w:tc>
        <w:tc>
          <w:tcPr>
            <w:tcW w:w="1080" w:type="dxa"/>
            <w:noWrap w:val="0"/>
            <w:vAlign w:val="top"/>
          </w:tcPr>
          <w:p w14:paraId="1B35B12D">
            <w:pPr>
              <w:spacing w:line="360" w:lineRule="auto"/>
              <w:rPr>
                <w:rFonts w:hint="eastAsia" w:ascii="宋体" w:hAnsi="宋体"/>
                <w:szCs w:val="21"/>
              </w:rPr>
            </w:pPr>
          </w:p>
        </w:tc>
        <w:tc>
          <w:tcPr>
            <w:tcW w:w="1286" w:type="dxa"/>
            <w:noWrap w:val="0"/>
            <w:vAlign w:val="top"/>
          </w:tcPr>
          <w:p w14:paraId="538E7837">
            <w:pPr>
              <w:spacing w:line="360" w:lineRule="auto"/>
              <w:rPr>
                <w:rFonts w:hint="eastAsia" w:ascii="宋体" w:hAnsi="宋体"/>
                <w:szCs w:val="21"/>
              </w:rPr>
            </w:pPr>
          </w:p>
        </w:tc>
        <w:tc>
          <w:tcPr>
            <w:tcW w:w="1328" w:type="dxa"/>
            <w:noWrap w:val="0"/>
            <w:vAlign w:val="top"/>
          </w:tcPr>
          <w:p w14:paraId="77CDE4A5">
            <w:pPr>
              <w:spacing w:line="360" w:lineRule="auto"/>
              <w:rPr>
                <w:rFonts w:hint="eastAsia" w:ascii="宋体" w:hAnsi="宋体"/>
                <w:szCs w:val="21"/>
              </w:rPr>
            </w:pPr>
          </w:p>
        </w:tc>
        <w:tc>
          <w:tcPr>
            <w:tcW w:w="1069" w:type="dxa"/>
            <w:noWrap w:val="0"/>
            <w:vAlign w:val="top"/>
          </w:tcPr>
          <w:p w14:paraId="42F133F0">
            <w:pPr>
              <w:spacing w:line="360" w:lineRule="auto"/>
              <w:rPr>
                <w:rFonts w:hint="eastAsia" w:ascii="宋体" w:hAnsi="宋体"/>
                <w:szCs w:val="21"/>
              </w:rPr>
            </w:pPr>
          </w:p>
        </w:tc>
      </w:tr>
      <w:tr w14:paraId="0ABC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55D66D9A">
            <w:pPr>
              <w:spacing w:line="360" w:lineRule="auto"/>
              <w:rPr>
                <w:rFonts w:hint="eastAsia" w:ascii="宋体" w:hAnsi="宋体"/>
                <w:szCs w:val="21"/>
              </w:rPr>
            </w:pPr>
          </w:p>
        </w:tc>
        <w:tc>
          <w:tcPr>
            <w:tcW w:w="726" w:type="dxa"/>
            <w:noWrap w:val="0"/>
            <w:vAlign w:val="top"/>
          </w:tcPr>
          <w:p w14:paraId="6038EA4F">
            <w:pPr>
              <w:spacing w:line="360" w:lineRule="auto"/>
              <w:rPr>
                <w:rFonts w:hint="eastAsia" w:ascii="宋体" w:hAnsi="宋体"/>
                <w:szCs w:val="21"/>
              </w:rPr>
            </w:pPr>
          </w:p>
        </w:tc>
        <w:tc>
          <w:tcPr>
            <w:tcW w:w="889" w:type="dxa"/>
            <w:noWrap w:val="0"/>
            <w:vAlign w:val="top"/>
          </w:tcPr>
          <w:p w14:paraId="3A7353EC">
            <w:pPr>
              <w:spacing w:line="360" w:lineRule="auto"/>
              <w:rPr>
                <w:rFonts w:hint="eastAsia" w:ascii="宋体" w:hAnsi="宋体"/>
                <w:szCs w:val="21"/>
              </w:rPr>
            </w:pPr>
          </w:p>
        </w:tc>
        <w:tc>
          <w:tcPr>
            <w:tcW w:w="1451" w:type="dxa"/>
            <w:noWrap w:val="0"/>
            <w:vAlign w:val="top"/>
          </w:tcPr>
          <w:p w14:paraId="180FC5BD">
            <w:pPr>
              <w:spacing w:line="360" w:lineRule="auto"/>
              <w:rPr>
                <w:rFonts w:hint="eastAsia" w:ascii="宋体" w:hAnsi="宋体"/>
                <w:szCs w:val="21"/>
              </w:rPr>
            </w:pPr>
          </w:p>
        </w:tc>
        <w:tc>
          <w:tcPr>
            <w:tcW w:w="900" w:type="dxa"/>
            <w:noWrap w:val="0"/>
            <w:vAlign w:val="top"/>
          </w:tcPr>
          <w:p w14:paraId="76C3A1F5">
            <w:pPr>
              <w:spacing w:line="360" w:lineRule="auto"/>
              <w:rPr>
                <w:rFonts w:hint="eastAsia" w:ascii="宋体" w:hAnsi="宋体"/>
                <w:szCs w:val="21"/>
              </w:rPr>
            </w:pPr>
          </w:p>
        </w:tc>
        <w:tc>
          <w:tcPr>
            <w:tcW w:w="1080" w:type="dxa"/>
            <w:noWrap w:val="0"/>
            <w:vAlign w:val="top"/>
          </w:tcPr>
          <w:p w14:paraId="086755EA">
            <w:pPr>
              <w:spacing w:line="360" w:lineRule="auto"/>
              <w:rPr>
                <w:rFonts w:hint="eastAsia" w:ascii="宋体" w:hAnsi="宋体"/>
                <w:szCs w:val="21"/>
              </w:rPr>
            </w:pPr>
          </w:p>
        </w:tc>
        <w:tc>
          <w:tcPr>
            <w:tcW w:w="1286" w:type="dxa"/>
            <w:noWrap w:val="0"/>
            <w:vAlign w:val="top"/>
          </w:tcPr>
          <w:p w14:paraId="72288DE7">
            <w:pPr>
              <w:spacing w:line="360" w:lineRule="auto"/>
              <w:rPr>
                <w:rFonts w:hint="eastAsia" w:ascii="宋体" w:hAnsi="宋体"/>
                <w:szCs w:val="21"/>
              </w:rPr>
            </w:pPr>
          </w:p>
        </w:tc>
        <w:tc>
          <w:tcPr>
            <w:tcW w:w="1328" w:type="dxa"/>
            <w:noWrap w:val="0"/>
            <w:vAlign w:val="top"/>
          </w:tcPr>
          <w:p w14:paraId="37EBDBCB">
            <w:pPr>
              <w:spacing w:line="360" w:lineRule="auto"/>
              <w:rPr>
                <w:rFonts w:hint="eastAsia" w:ascii="宋体" w:hAnsi="宋体"/>
                <w:szCs w:val="21"/>
              </w:rPr>
            </w:pPr>
          </w:p>
        </w:tc>
        <w:tc>
          <w:tcPr>
            <w:tcW w:w="1069" w:type="dxa"/>
            <w:noWrap w:val="0"/>
            <w:vAlign w:val="top"/>
          </w:tcPr>
          <w:p w14:paraId="42789E2B">
            <w:pPr>
              <w:spacing w:line="360" w:lineRule="auto"/>
              <w:rPr>
                <w:rFonts w:hint="eastAsia" w:ascii="宋体" w:hAnsi="宋体"/>
                <w:szCs w:val="21"/>
              </w:rPr>
            </w:pPr>
          </w:p>
        </w:tc>
      </w:tr>
      <w:tr w14:paraId="616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val="0"/>
            <w:vAlign w:val="top"/>
          </w:tcPr>
          <w:p w14:paraId="0A7B7250">
            <w:pPr>
              <w:spacing w:line="360" w:lineRule="auto"/>
              <w:rPr>
                <w:rFonts w:hint="eastAsia" w:ascii="宋体" w:hAnsi="宋体"/>
                <w:szCs w:val="21"/>
              </w:rPr>
            </w:pPr>
          </w:p>
        </w:tc>
        <w:tc>
          <w:tcPr>
            <w:tcW w:w="726" w:type="dxa"/>
            <w:noWrap w:val="0"/>
            <w:vAlign w:val="top"/>
          </w:tcPr>
          <w:p w14:paraId="74C39974">
            <w:pPr>
              <w:spacing w:line="360" w:lineRule="auto"/>
              <w:rPr>
                <w:rFonts w:hint="eastAsia" w:ascii="宋体" w:hAnsi="宋体"/>
                <w:szCs w:val="21"/>
              </w:rPr>
            </w:pPr>
          </w:p>
        </w:tc>
        <w:tc>
          <w:tcPr>
            <w:tcW w:w="889" w:type="dxa"/>
            <w:noWrap w:val="0"/>
            <w:vAlign w:val="top"/>
          </w:tcPr>
          <w:p w14:paraId="269CAFBE">
            <w:pPr>
              <w:spacing w:line="360" w:lineRule="auto"/>
              <w:rPr>
                <w:rFonts w:hint="eastAsia" w:ascii="宋体" w:hAnsi="宋体"/>
                <w:szCs w:val="21"/>
              </w:rPr>
            </w:pPr>
          </w:p>
        </w:tc>
        <w:tc>
          <w:tcPr>
            <w:tcW w:w="1451" w:type="dxa"/>
            <w:noWrap w:val="0"/>
            <w:vAlign w:val="top"/>
          </w:tcPr>
          <w:p w14:paraId="6C1F3E74">
            <w:pPr>
              <w:spacing w:line="360" w:lineRule="auto"/>
              <w:rPr>
                <w:rFonts w:hint="eastAsia" w:ascii="宋体" w:hAnsi="宋体"/>
                <w:szCs w:val="21"/>
              </w:rPr>
            </w:pPr>
          </w:p>
        </w:tc>
        <w:tc>
          <w:tcPr>
            <w:tcW w:w="900" w:type="dxa"/>
            <w:noWrap w:val="0"/>
            <w:vAlign w:val="top"/>
          </w:tcPr>
          <w:p w14:paraId="4BDB2A2B">
            <w:pPr>
              <w:spacing w:line="360" w:lineRule="auto"/>
              <w:rPr>
                <w:rFonts w:hint="eastAsia" w:ascii="宋体" w:hAnsi="宋体"/>
                <w:szCs w:val="21"/>
              </w:rPr>
            </w:pPr>
          </w:p>
        </w:tc>
        <w:tc>
          <w:tcPr>
            <w:tcW w:w="1080" w:type="dxa"/>
            <w:noWrap w:val="0"/>
            <w:vAlign w:val="top"/>
          </w:tcPr>
          <w:p w14:paraId="40FB0DFB">
            <w:pPr>
              <w:spacing w:line="360" w:lineRule="auto"/>
              <w:rPr>
                <w:rFonts w:hint="eastAsia" w:ascii="宋体" w:hAnsi="宋体"/>
                <w:szCs w:val="21"/>
              </w:rPr>
            </w:pPr>
          </w:p>
        </w:tc>
        <w:tc>
          <w:tcPr>
            <w:tcW w:w="1286" w:type="dxa"/>
            <w:noWrap w:val="0"/>
            <w:vAlign w:val="top"/>
          </w:tcPr>
          <w:p w14:paraId="4EA4028D">
            <w:pPr>
              <w:spacing w:line="360" w:lineRule="auto"/>
              <w:rPr>
                <w:rFonts w:hint="eastAsia" w:ascii="宋体" w:hAnsi="宋体"/>
                <w:szCs w:val="21"/>
              </w:rPr>
            </w:pPr>
          </w:p>
        </w:tc>
        <w:tc>
          <w:tcPr>
            <w:tcW w:w="1328" w:type="dxa"/>
            <w:noWrap w:val="0"/>
            <w:vAlign w:val="top"/>
          </w:tcPr>
          <w:p w14:paraId="163A9BD2">
            <w:pPr>
              <w:spacing w:line="360" w:lineRule="auto"/>
              <w:rPr>
                <w:rFonts w:hint="eastAsia" w:ascii="宋体" w:hAnsi="宋体"/>
                <w:szCs w:val="21"/>
              </w:rPr>
            </w:pPr>
          </w:p>
        </w:tc>
        <w:tc>
          <w:tcPr>
            <w:tcW w:w="1069" w:type="dxa"/>
            <w:noWrap w:val="0"/>
            <w:vAlign w:val="top"/>
          </w:tcPr>
          <w:p w14:paraId="6DDF1990">
            <w:pPr>
              <w:spacing w:line="360" w:lineRule="auto"/>
              <w:rPr>
                <w:rFonts w:hint="eastAsia" w:ascii="宋体" w:hAnsi="宋体"/>
                <w:szCs w:val="21"/>
              </w:rPr>
            </w:pPr>
          </w:p>
        </w:tc>
      </w:tr>
      <w:tr w14:paraId="060F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val="0"/>
            <w:vAlign w:val="top"/>
          </w:tcPr>
          <w:p w14:paraId="09D8A7DC">
            <w:pPr>
              <w:spacing w:line="360" w:lineRule="auto"/>
              <w:rPr>
                <w:rFonts w:hint="eastAsia" w:ascii="宋体" w:hAnsi="宋体"/>
                <w:szCs w:val="21"/>
              </w:rPr>
            </w:pPr>
          </w:p>
        </w:tc>
        <w:tc>
          <w:tcPr>
            <w:tcW w:w="726" w:type="dxa"/>
            <w:noWrap w:val="0"/>
            <w:vAlign w:val="top"/>
          </w:tcPr>
          <w:p w14:paraId="0CE7082C">
            <w:pPr>
              <w:spacing w:line="360" w:lineRule="auto"/>
              <w:rPr>
                <w:rFonts w:hint="eastAsia" w:ascii="宋体" w:hAnsi="宋体"/>
                <w:szCs w:val="21"/>
              </w:rPr>
            </w:pPr>
          </w:p>
        </w:tc>
        <w:tc>
          <w:tcPr>
            <w:tcW w:w="889" w:type="dxa"/>
            <w:noWrap w:val="0"/>
            <w:vAlign w:val="top"/>
          </w:tcPr>
          <w:p w14:paraId="2F4F7CB4">
            <w:pPr>
              <w:spacing w:line="360" w:lineRule="auto"/>
              <w:rPr>
                <w:rFonts w:hint="eastAsia" w:ascii="宋体" w:hAnsi="宋体"/>
                <w:szCs w:val="21"/>
              </w:rPr>
            </w:pPr>
          </w:p>
        </w:tc>
        <w:tc>
          <w:tcPr>
            <w:tcW w:w="1451" w:type="dxa"/>
            <w:noWrap w:val="0"/>
            <w:vAlign w:val="top"/>
          </w:tcPr>
          <w:p w14:paraId="2FB74C60">
            <w:pPr>
              <w:spacing w:line="360" w:lineRule="auto"/>
              <w:rPr>
                <w:rFonts w:hint="eastAsia" w:ascii="宋体" w:hAnsi="宋体"/>
                <w:szCs w:val="21"/>
              </w:rPr>
            </w:pPr>
          </w:p>
        </w:tc>
        <w:tc>
          <w:tcPr>
            <w:tcW w:w="900" w:type="dxa"/>
            <w:noWrap w:val="0"/>
            <w:vAlign w:val="top"/>
          </w:tcPr>
          <w:p w14:paraId="4ECF7FB6">
            <w:pPr>
              <w:spacing w:line="360" w:lineRule="auto"/>
              <w:rPr>
                <w:rFonts w:hint="eastAsia" w:ascii="宋体" w:hAnsi="宋体"/>
                <w:szCs w:val="21"/>
              </w:rPr>
            </w:pPr>
          </w:p>
        </w:tc>
        <w:tc>
          <w:tcPr>
            <w:tcW w:w="1080" w:type="dxa"/>
            <w:noWrap w:val="0"/>
            <w:vAlign w:val="top"/>
          </w:tcPr>
          <w:p w14:paraId="774D9226">
            <w:pPr>
              <w:spacing w:line="360" w:lineRule="auto"/>
              <w:rPr>
                <w:rFonts w:hint="eastAsia" w:ascii="宋体" w:hAnsi="宋体"/>
                <w:szCs w:val="21"/>
              </w:rPr>
            </w:pPr>
          </w:p>
        </w:tc>
        <w:tc>
          <w:tcPr>
            <w:tcW w:w="1286" w:type="dxa"/>
            <w:noWrap w:val="0"/>
            <w:vAlign w:val="top"/>
          </w:tcPr>
          <w:p w14:paraId="0B741402">
            <w:pPr>
              <w:spacing w:line="360" w:lineRule="auto"/>
              <w:rPr>
                <w:rFonts w:hint="eastAsia" w:ascii="宋体" w:hAnsi="宋体"/>
                <w:szCs w:val="21"/>
              </w:rPr>
            </w:pPr>
          </w:p>
        </w:tc>
        <w:tc>
          <w:tcPr>
            <w:tcW w:w="1328" w:type="dxa"/>
            <w:noWrap w:val="0"/>
            <w:vAlign w:val="top"/>
          </w:tcPr>
          <w:p w14:paraId="4613015A">
            <w:pPr>
              <w:spacing w:line="360" w:lineRule="auto"/>
              <w:rPr>
                <w:rFonts w:hint="eastAsia" w:ascii="宋体" w:hAnsi="宋体"/>
                <w:szCs w:val="21"/>
              </w:rPr>
            </w:pPr>
          </w:p>
        </w:tc>
        <w:tc>
          <w:tcPr>
            <w:tcW w:w="1069" w:type="dxa"/>
            <w:noWrap w:val="0"/>
            <w:vAlign w:val="top"/>
          </w:tcPr>
          <w:p w14:paraId="5A96A2D8">
            <w:pPr>
              <w:spacing w:line="360" w:lineRule="auto"/>
              <w:rPr>
                <w:rFonts w:hint="eastAsia" w:ascii="宋体" w:hAnsi="宋体"/>
                <w:szCs w:val="21"/>
              </w:rPr>
            </w:pPr>
          </w:p>
        </w:tc>
      </w:tr>
    </w:tbl>
    <w:p w14:paraId="795D3F8A">
      <w:pPr>
        <w:spacing w:line="360" w:lineRule="auto"/>
        <w:ind w:firstLine="420" w:firstLineChars="200"/>
        <w:rPr>
          <w:rFonts w:hint="eastAsia" w:ascii="宋体" w:hAnsi="宋体"/>
          <w:szCs w:val="21"/>
        </w:rPr>
      </w:pPr>
      <w:r>
        <w:rPr>
          <w:rFonts w:hint="eastAsia" w:ascii="宋体" w:hAnsi="宋体"/>
          <w:szCs w:val="21"/>
        </w:rPr>
        <w:t>项目负责人应附注册建造师证、第二代身份证和社保证明原件扫描件；技术负责人应附第二代身份证、职称证和社保证明原件扫描件；其他主要人员应附执业证或岗位证书（培训证）、第二代身份证和社保证明原件扫描件。</w:t>
      </w:r>
    </w:p>
    <w:p w14:paraId="3ECE5E0F">
      <w:pPr>
        <w:spacing w:line="360" w:lineRule="auto"/>
        <w:ind w:firstLine="420" w:firstLineChars="200"/>
        <w:rPr>
          <w:rFonts w:hint="eastAsia" w:ascii="宋体" w:hAnsi="宋体"/>
          <w:szCs w:val="21"/>
        </w:rPr>
      </w:pPr>
      <w:r>
        <w:rPr>
          <w:rFonts w:hint="eastAsia" w:ascii="宋体" w:hAnsi="宋体"/>
          <w:szCs w:val="21"/>
        </w:rPr>
        <w:t>注：1、拟报项目管理机构组成表必须满足投标人须知前附表10.1款规定，否则评审不合格。</w:t>
      </w:r>
    </w:p>
    <w:p w14:paraId="609B39DD">
      <w:pPr>
        <w:pStyle w:val="8"/>
        <w:ind w:firstLine="840" w:firstLineChars="400"/>
        <w:rPr>
          <w:rFonts w:hint="eastAsia"/>
        </w:rPr>
      </w:pPr>
      <w:r>
        <w:rPr>
          <w:rFonts w:hint="eastAsia"/>
        </w:rPr>
        <w:t>2、本人员配置表相关人员配置与投标人在交易系统在线填报的人员配置应保持一致，如出现不一致时，作废标处理。</w:t>
      </w:r>
    </w:p>
    <w:p w14:paraId="2E0B273A">
      <w:pPr>
        <w:spacing w:line="360" w:lineRule="auto"/>
        <w:ind w:firstLine="840" w:firstLineChars="400"/>
        <w:rPr>
          <w:rFonts w:hint="eastAsia" w:ascii="宋体" w:hAnsi="宋体"/>
          <w:szCs w:val="21"/>
        </w:rPr>
      </w:pPr>
      <w:r>
        <w:rPr>
          <w:rFonts w:hint="eastAsia" w:ascii="宋体" w:hAnsi="宋体"/>
          <w:szCs w:val="21"/>
        </w:rPr>
        <w:t>3、本表“养老保险”一栏只需填写是否缴纳养老保险即可。</w:t>
      </w:r>
    </w:p>
    <w:p w14:paraId="3D2E5254">
      <w:pPr>
        <w:spacing w:line="360" w:lineRule="auto"/>
        <w:ind w:firstLine="420" w:firstLineChars="200"/>
        <w:rPr>
          <w:rFonts w:hint="eastAsia" w:ascii="宋体" w:hAnsi="宋体"/>
          <w:szCs w:val="21"/>
        </w:rPr>
      </w:pPr>
    </w:p>
    <w:p w14:paraId="607B6E72">
      <w:pPr>
        <w:jc w:val="center"/>
        <w:rPr>
          <w:rFonts w:hint="eastAsia" w:ascii="宋体" w:hAnsi="宋体"/>
          <w:b/>
          <w:szCs w:val="21"/>
        </w:rPr>
      </w:pPr>
    </w:p>
    <w:p w14:paraId="34D23B00">
      <w:pPr>
        <w:jc w:val="center"/>
        <w:rPr>
          <w:rFonts w:hint="eastAsia" w:ascii="宋体" w:hAnsi="宋体"/>
          <w:b/>
          <w:szCs w:val="21"/>
        </w:rPr>
      </w:pPr>
      <w:r>
        <w:rPr>
          <w:rFonts w:hint="eastAsia" w:ascii="宋体" w:hAnsi="宋体"/>
          <w:b/>
          <w:szCs w:val="21"/>
        </w:rPr>
        <w:t>（</w:t>
      </w:r>
      <w:r>
        <w:rPr>
          <w:rFonts w:hint="eastAsia" w:ascii="宋体" w:hAnsi="宋体"/>
          <w:b/>
          <w:szCs w:val="21"/>
          <w:lang w:eastAsia="zh-CN"/>
        </w:rPr>
        <w:t>三</w:t>
      </w:r>
      <w:r>
        <w:rPr>
          <w:rFonts w:hint="eastAsia" w:ascii="宋体" w:hAnsi="宋体"/>
          <w:b/>
          <w:szCs w:val="21"/>
        </w:rPr>
        <w:t>）投标人须知前附表规定的其他材料</w:t>
      </w:r>
    </w:p>
    <w:p w14:paraId="3CAB8FDB">
      <w:pPr>
        <w:rPr>
          <w:rFonts w:hint="eastAsia"/>
        </w:rPr>
      </w:pPr>
    </w:p>
    <w:p w14:paraId="39D30446">
      <w:pPr>
        <w:rPr>
          <w:rFonts w:hint="eastAsia"/>
        </w:rPr>
      </w:pPr>
    </w:p>
    <w:p w14:paraId="6235ABBF">
      <w:pPr>
        <w:jc w:val="left"/>
        <w:rPr>
          <w:rFonts w:hint="eastAsia"/>
          <w:color w:val="auto"/>
          <w:highlight w:val="none"/>
          <w:lang w:val="en-US" w:eastAsia="zh-CN"/>
        </w:rPr>
      </w:pPr>
      <w:r>
        <w:rPr>
          <w:rFonts w:hint="eastAsia" w:asciiTheme="minorEastAsia" w:hAnsiTheme="minorEastAsia" w:eastAsiaTheme="minorEastAsia" w:cstheme="minorEastAsia"/>
          <w:color w:val="auto"/>
          <w:highlight w:val="none"/>
        </w:rPr>
        <w:t>注：由投标人自行考虑，若没有需要提供的</w:t>
      </w:r>
      <w:r>
        <w:rPr>
          <w:rFonts w:hint="eastAsia" w:asciiTheme="minorEastAsia" w:hAnsiTheme="minorEastAsia" w:eastAsiaTheme="minorEastAsia" w:cstheme="minorEastAsia"/>
          <w:color w:val="auto"/>
          <w:highlight w:val="none"/>
          <w:lang w:val="en-US" w:eastAsia="zh-CN"/>
        </w:rPr>
        <w:t>其他</w:t>
      </w:r>
      <w:r>
        <w:rPr>
          <w:rFonts w:hint="eastAsia" w:asciiTheme="minorEastAsia" w:hAnsiTheme="minorEastAsia" w:eastAsiaTheme="minorEastAsia" w:cstheme="minorEastAsia"/>
          <w:color w:val="auto"/>
          <w:highlight w:val="none"/>
        </w:rPr>
        <w:t>资料，可以填“无”或不填写内容。</w:t>
      </w:r>
    </w:p>
    <w:p w14:paraId="06447BEC">
      <w:pPr>
        <w:rPr>
          <w:rFonts w:hint="eastAsia"/>
        </w:rPr>
      </w:pPr>
    </w:p>
    <w:p w14:paraId="0D08EA66">
      <w:pPr>
        <w:rPr>
          <w:rFonts w:hint="eastAsia"/>
        </w:rPr>
      </w:pPr>
    </w:p>
    <w:p w14:paraId="5753C733">
      <w:pPr>
        <w:rPr>
          <w:rFonts w:hint="eastAsia"/>
        </w:rPr>
      </w:pPr>
    </w:p>
    <w:p w14:paraId="51F3AD16">
      <w:pPr>
        <w:rPr>
          <w:rFonts w:hint="eastAsia"/>
        </w:rPr>
      </w:pPr>
    </w:p>
    <w:p w14:paraId="1798EB2D">
      <w:pPr>
        <w:rPr>
          <w:rFonts w:hint="eastAsia"/>
        </w:rPr>
      </w:pPr>
    </w:p>
    <w:p w14:paraId="0509566C">
      <w:pPr>
        <w:rPr>
          <w:rFonts w:hint="eastAsia"/>
        </w:rPr>
      </w:pPr>
    </w:p>
    <w:p w14:paraId="7B0F0E9C">
      <w:pPr>
        <w:rPr>
          <w:rFonts w:hint="eastAsia"/>
        </w:rPr>
      </w:pPr>
    </w:p>
    <w:p w14:paraId="658A8989">
      <w:pPr>
        <w:rPr>
          <w:rFonts w:hint="eastAsia"/>
        </w:rPr>
      </w:pPr>
    </w:p>
    <w:p w14:paraId="46126356">
      <w:pPr>
        <w:rPr>
          <w:rFonts w:hint="eastAsia"/>
        </w:rPr>
      </w:pPr>
    </w:p>
    <w:p w14:paraId="3B59681F">
      <w:pPr>
        <w:rPr>
          <w:rFonts w:hint="eastAsia"/>
        </w:rPr>
      </w:pPr>
    </w:p>
    <w:p w14:paraId="60CCFA12">
      <w:pPr>
        <w:rPr>
          <w:rFonts w:hint="eastAsia"/>
        </w:rPr>
      </w:pPr>
    </w:p>
    <w:p w14:paraId="0DB3E178">
      <w:pPr>
        <w:rPr>
          <w:rFonts w:hint="eastAsia"/>
        </w:rPr>
      </w:pPr>
    </w:p>
    <w:p w14:paraId="021CD3FA">
      <w:pPr>
        <w:rPr>
          <w:rFonts w:hint="eastAsia"/>
        </w:rPr>
      </w:pPr>
    </w:p>
    <w:p w14:paraId="6D4544CA">
      <w:pPr>
        <w:rPr>
          <w:rFonts w:hint="eastAsia"/>
        </w:rPr>
      </w:pPr>
    </w:p>
    <w:p w14:paraId="75494892">
      <w:pPr>
        <w:rPr>
          <w:rFonts w:hint="eastAsia"/>
        </w:rPr>
      </w:pPr>
    </w:p>
    <w:p w14:paraId="252A7324">
      <w:pPr>
        <w:rPr>
          <w:rFonts w:hint="eastAsia"/>
        </w:rPr>
      </w:pPr>
    </w:p>
    <w:p w14:paraId="10224C91">
      <w:pPr>
        <w:rPr>
          <w:rFonts w:hint="eastAsia"/>
        </w:rPr>
      </w:pPr>
    </w:p>
    <w:p w14:paraId="5A69DAA2">
      <w:pPr>
        <w:rPr>
          <w:rFonts w:hint="eastAsia"/>
        </w:rPr>
      </w:pPr>
    </w:p>
    <w:p w14:paraId="69F5EC94">
      <w:pPr>
        <w:rPr>
          <w:rFonts w:hint="eastAsia"/>
        </w:rPr>
      </w:pPr>
    </w:p>
    <w:p w14:paraId="66CED34E">
      <w:pPr>
        <w:rPr>
          <w:rFonts w:hint="eastAsia"/>
        </w:rPr>
      </w:pPr>
    </w:p>
    <w:p w14:paraId="7A128A33">
      <w:pPr>
        <w:rPr>
          <w:rFonts w:hint="eastAsia"/>
        </w:rPr>
      </w:pPr>
    </w:p>
    <w:p w14:paraId="3BCCB0BE">
      <w:pPr>
        <w:rPr>
          <w:rFonts w:hint="eastAsia"/>
        </w:rPr>
      </w:pPr>
    </w:p>
    <w:p w14:paraId="145CA7BB">
      <w:pPr>
        <w:rPr>
          <w:rFonts w:hint="eastAsia"/>
        </w:rPr>
      </w:pPr>
    </w:p>
    <w:p w14:paraId="57F75053">
      <w:pPr>
        <w:rPr>
          <w:rFonts w:hint="eastAsia"/>
        </w:rPr>
      </w:pPr>
    </w:p>
    <w:p w14:paraId="314C6A3F">
      <w:pPr>
        <w:rPr>
          <w:rFonts w:hint="eastAsia"/>
        </w:rPr>
      </w:pPr>
    </w:p>
    <w:p w14:paraId="52D8730F">
      <w:pPr>
        <w:rPr>
          <w:rFonts w:hint="eastAsia"/>
        </w:rPr>
      </w:pPr>
    </w:p>
    <w:p w14:paraId="3FBD3C14">
      <w:pPr>
        <w:rPr>
          <w:rFonts w:hint="eastAsia"/>
        </w:rPr>
      </w:pPr>
    </w:p>
    <w:p w14:paraId="6550CA0B">
      <w:pPr>
        <w:rPr>
          <w:rFonts w:hint="eastAsia"/>
        </w:rPr>
      </w:pPr>
    </w:p>
    <w:p w14:paraId="0DBE899E">
      <w:pPr>
        <w:rPr>
          <w:rFonts w:hint="eastAsia"/>
        </w:rPr>
      </w:pPr>
    </w:p>
    <w:p w14:paraId="1B955B19">
      <w:pPr>
        <w:rPr>
          <w:rFonts w:hint="eastAsia"/>
        </w:rPr>
      </w:pPr>
    </w:p>
    <w:p w14:paraId="0043C4F7">
      <w:pPr>
        <w:rPr>
          <w:rFonts w:hint="eastAsia"/>
        </w:rPr>
      </w:pPr>
    </w:p>
    <w:p w14:paraId="2D5AB14C">
      <w:pPr>
        <w:rPr>
          <w:rFonts w:hint="eastAsia"/>
        </w:rPr>
      </w:pPr>
    </w:p>
    <w:p w14:paraId="0CC10ACB">
      <w:pPr>
        <w:rPr>
          <w:rFonts w:hint="eastAsia"/>
        </w:rPr>
      </w:pPr>
    </w:p>
    <w:p w14:paraId="7D699433">
      <w:pPr>
        <w:rPr>
          <w:rFonts w:hint="eastAsia"/>
        </w:rPr>
      </w:pPr>
    </w:p>
    <w:p w14:paraId="2DF7D3DC">
      <w:pPr>
        <w:rPr>
          <w:rFonts w:hint="eastAsia"/>
        </w:rPr>
      </w:pPr>
    </w:p>
    <w:p w14:paraId="7491C766">
      <w:pPr>
        <w:rPr>
          <w:rFonts w:hint="eastAsia"/>
        </w:rPr>
      </w:pPr>
    </w:p>
    <w:p w14:paraId="751B21E2">
      <w:pPr>
        <w:rPr>
          <w:rFonts w:hint="eastAsia"/>
        </w:rPr>
      </w:pPr>
    </w:p>
    <w:p w14:paraId="3EBA1E4B">
      <w:pPr>
        <w:rPr>
          <w:rFonts w:hint="eastAsia"/>
        </w:rPr>
      </w:pPr>
    </w:p>
    <w:p w14:paraId="4EAD1C1F">
      <w:pPr>
        <w:rPr>
          <w:rFonts w:hint="eastAsia"/>
        </w:rPr>
      </w:pPr>
    </w:p>
    <w:p w14:paraId="2CA75F4B">
      <w:pPr>
        <w:rPr>
          <w:rFonts w:hint="eastAsia"/>
        </w:rPr>
      </w:pPr>
    </w:p>
    <w:p w14:paraId="36D3CBC8">
      <w:pPr>
        <w:rPr>
          <w:rFonts w:hint="eastAsia"/>
        </w:rPr>
      </w:pPr>
    </w:p>
    <w:p w14:paraId="50A6F084">
      <w:pPr>
        <w:rPr>
          <w:rFonts w:hint="eastAsia"/>
        </w:rPr>
      </w:pPr>
    </w:p>
    <w:p w14:paraId="32E29703">
      <w:pPr>
        <w:rPr>
          <w:rFonts w:hint="eastAsia"/>
        </w:rPr>
      </w:pPr>
    </w:p>
    <w:p w14:paraId="76501227">
      <w:pPr>
        <w:rPr>
          <w:rFonts w:hint="eastAsia"/>
        </w:rPr>
      </w:pPr>
    </w:p>
    <w:p w14:paraId="3C03E951">
      <w:pPr>
        <w:rPr>
          <w:rFonts w:hint="eastAsia"/>
        </w:rPr>
      </w:pPr>
      <w:r>
        <w:rPr>
          <w:rFonts w:hint="eastAsia"/>
        </w:rPr>
        <w:br w:type="page"/>
      </w:r>
    </w:p>
    <w:p w14:paraId="4BDD2606"/>
    <w:p w14:paraId="1A48815D">
      <w:pPr>
        <w:spacing w:line="360" w:lineRule="auto"/>
        <w:ind w:right="560"/>
        <w:jc w:val="right"/>
        <w:rPr>
          <w:rFonts w:hint="eastAsia" w:ascii="宋体" w:hAnsi="宋体"/>
          <w:sz w:val="28"/>
          <w:szCs w:val="28"/>
        </w:rPr>
      </w:pPr>
      <w:r>
        <w:rPr>
          <w:rFonts w:hint="eastAsia" w:ascii="宋体" w:hAnsi="宋体"/>
          <w:sz w:val="28"/>
          <w:szCs w:val="28"/>
        </w:rPr>
        <w:t>正（副）本</w:t>
      </w:r>
    </w:p>
    <w:p w14:paraId="404FCCC0">
      <w:pPr>
        <w:spacing w:line="360" w:lineRule="auto"/>
        <w:ind w:firstLine="420" w:firstLineChars="200"/>
        <w:jc w:val="right"/>
        <w:rPr>
          <w:rFonts w:hint="eastAsia" w:ascii="宋体" w:hAnsi="宋体"/>
          <w:szCs w:val="21"/>
        </w:rPr>
      </w:pPr>
    </w:p>
    <w:p w14:paraId="52EBF119">
      <w:pPr>
        <w:spacing w:line="360" w:lineRule="auto"/>
        <w:ind w:firstLine="643" w:firstLineChars="200"/>
        <w:rPr>
          <w:rFonts w:ascii="宋体" w:hAnsi="宋体"/>
          <w:b/>
          <w:color w:val="auto"/>
          <w:sz w:val="32"/>
          <w:szCs w:val="32"/>
        </w:rPr>
      </w:pPr>
      <w:r>
        <w:rPr>
          <w:rFonts w:hint="eastAsia" w:ascii="宋体" w:hAnsi="宋体"/>
          <w:b/>
          <w:color w:val="auto"/>
          <w:sz w:val="32"/>
          <w:szCs w:val="32"/>
          <w:u w:val="single"/>
        </w:rPr>
        <w:t xml:space="preserve">                </w:t>
      </w:r>
      <w:r>
        <w:rPr>
          <w:rFonts w:hint="eastAsia" w:ascii="宋体" w:hAnsi="宋体"/>
          <w:b/>
          <w:color w:val="auto"/>
          <w:sz w:val="32"/>
          <w:szCs w:val="32"/>
        </w:rPr>
        <w:t>（项目名称）</w:t>
      </w:r>
      <w:r>
        <w:rPr>
          <w:rFonts w:hint="eastAsia" w:ascii="宋体" w:hAnsi="宋体"/>
          <w:b/>
          <w:color w:val="auto"/>
          <w:sz w:val="32"/>
          <w:szCs w:val="32"/>
          <w:u w:val="single"/>
        </w:rPr>
        <w:t xml:space="preserve">         </w:t>
      </w:r>
      <w:r>
        <w:rPr>
          <w:rFonts w:hint="eastAsia" w:ascii="宋体" w:hAnsi="宋体"/>
          <w:b/>
          <w:color w:val="auto"/>
          <w:sz w:val="32"/>
          <w:szCs w:val="32"/>
        </w:rPr>
        <w:t>标段施工招标</w:t>
      </w:r>
    </w:p>
    <w:p w14:paraId="2EBFE5D5">
      <w:pPr>
        <w:spacing w:line="360" w:lineRule="auto"/>
        <w:ind w:firstLine="420" w:firstLineChars="200"/>
        <w:rPr>
          <w:rFonts w:ascii="宋体" w:hAnsi="宋体"/>
          <w:szCs w:val="21"/>
        </w:rPr>
      </w:pPr>
    </w:p>
    <w:p w14:paraId="324EE9EB">
      <w:pPr>
        <w:spacing w:line="360" w:lineRule="auto"/>
        <w:ind w:firstLine="1440" w:firstLineChars="200"/>
        <w:jc w:val="center"/>
        <w:rPr>
          <w:rFonts w:ascii="宋体" w:hAnsi="宋体"/>
          <w:sz w:val="72"/>
          <w:szCs w:val="72"/>
        </w:rPr>
      </w:pPr>
      <w:r>
        <w:rPr>
          <w:rFonts w:hint="eastAsia" w:ascii="宋体" w:hAnsi="宋体"/>
          <w:sz w:val="72"/>
          <w:szCs w:val="72"/>
        </w:rPr>
        <w:t>投 标 文 件</w:t>
      </w:r>
    </w:p>
    <w:p w14:paraId="67CF1609">
      <w:pPr>
        <w:spacing w:line="360" w:lineRule="auto"/>
        <w:ind w:firstLine="880" w:firstLineChars="200"/>
        <w:rPr>
          <w:rFonts w:hint="eastAsia" w:ascii="宋体" w:hAnsi="宋体"/>
          <w:sz w:val="44"/>
          <w:szCs w:val="44"/>
        </w:rPr>
      </w:pPr>
    </w:p>
    <w:p w14:paraId="4BF83C65">
      <w:pPr>
        <w:snapToGrid w:val="0"/>
        <w:spacing w:line="360" w:lineRule="auto"/>
        <w:jc w:val="center"/>
        <w:rPr>
          <w:rFonts w:hint="eastAsia" w:ascii="宋体" w:hAnsi="宋体"/>
          <w:sz w:val="28"/>
          <w:szCs w:val="28"/>
        </w:rPr>
      </w:pPr>
      <w:r>
        <w:rPr>
          <w:rFonts w:hint="eastAsia" w:ascii="宋体" w:hAnsi="宋体"/>
          <w:sz w:val="44"/>
          <w:szCs w:val="44"/>
        </w:rPr>
        <w:t xml:space="preserve">投标报价函 </w:t>
      </w:r>
      <w:r>
        <w:rPr>
          <w:rFonts w:hint="eastAsia" w:ascii="宋体" w:hAnsi="宋体"/>
          <w:sz w:val="28"/>
          <w:szCs w:val="28"/>
        </w:rPr>
        <w:t xml:space="preserve">    </w:t>
      </w:r>
    </w:p>
    <w:p w14:paraId="42D9A9C9">
      <w:pPr>
        <w:snapToGrid w:val="0"/>
        <w:spacing w:line="360" w:lineRule="auto"/>
        <w:jc w:val="center"/>
        <w:rPr>
          <w:rFonts w:hint="eastAsia" w:ascii="宋体" w:hAnsi="宋体"/>
          <w:sz w:val="28"/>
          <w:szCs w:val="28"/>
        </w:rPr>
      </w:pPr>
    </w:p>
    <w:p w14:paraId="060CDD63">
      <w:pPr>
        <w:snapToGrid w:val="0"/>
        <w:spacing w:line="360" w:lineRule="auto"/>
        <w:jc w:val="center"/>
        <w:rPr>
          <w:rFonts w:hint="eastAsia" w:ascii="宋体" w:hAnsi="宋体"/>
          <w:sz w:val="28"/>
          <w:szCs w:val="28"/>
        </w:rPr>
      </w:pPr>
      <w:r>
        <w:rPr>
          <w:rFonts w:hint="eastAsia" w:ascii="宋体" w:hAnsi="宋体"/>
          <w:sz w:val="28"/>
          <w:szCs w:val="28"/>
        </w:rPr>
        <w:t xml:space="preserve">   （适用于纸质标书，由中标单位中标后按要求提交）</w:t>
      </w:r>
    </w:p>
    <w:p w14:paraId="52339C6E">
      <w:pPr>
        <w:spacing w:line="360" w:lineRule="auto"/>
        <w:ind w:firstLine="420" w:firstLineChars="200"/>
        <w:rPr>
          <w:rFonts w:hint="eastAsia" w:ascii="宋体" w:hAnsi="宋体"/>
          <w:szCs w:val="21"/>
        </w:rPr>
      </w:pPr>
    </w:p>
    <w:p w14:paraId="2389F964">
      <w:pPr>
        <w:spacing w:line="360" w:lineRule="auto"/>
        <w:rPr>
          <w:rFonts w:hint="eastAsia" w:ascii="宋体" w:hAnsi="宋体"/>
          <w:szCs w:val="21"/>
        </w:rPr>
      </w:pPr>
    </w:p>
    <w:p w14:paraId="53B09395">
      <w:pPr>
        <w:spacing w:line="360" w:lineRule="auto"/>
        <w:rPr>
          <w:rFonts w:hint="eastAsia" w:ascii="宋体" w:hAnsi="宋体"/>
          <w:szCs w:val="21"/>
        </w:rPr>
      </w:pPr>
    </w:p>
    <w:p w14:paraId="663439A8">
      <w:pPr>
        <w:spacing w:line="360" w:lineRule="auto"/>
        <w:ind w:firstLine="420" w:firstLineChars="200"/>
        <w:rPr>
          <w:rFonts w:hint="eastAsia" w:ascii="宋体" w:hAnsi="宋体"/>
          <w:szCs w:val="21"/>
        </w:rPr>
      </w:pPr>
    </w:p>
    <w:p w14:paraId="75BC2833">
      <w:pPr>
        <w:spacing w:line="360" w:lineRule="auto"/>
        <w:ind w:firstLine="420" w:firstLineChars="200"/>
        <w:rPr>
          <w:rFonts w:hint="eastAsia" w:ascii="宋体" w:hAnsi="宋体"/>
          <w:szCs w:val="21"/>
        </w:rPr>
      </w:pPr>
    </w:p>
    <w:p w14:paraId="6B5E58F5">
      <w:pPr>
        <w:spacing w:line="360" w:lineRule="auto"/>
        <w:jc w:val="center"/>
        <w:rPr>
          <w:rFonts w:hint="eastAsia"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（盖单位公章）</w:t>
      </w:r>
    </w:p>
    <w:p w14:paraId="7B23DEF3">
      <w:pPr>
        <w:spacing w:line="360" w:lineRule="auto"/>
        <w:jc w:val="center"/>
        <w:rPr>
          <w:rFonts w:hint="eastAsia" w:ascii="宋体" w:hAnsi="宋体"/>
          <w:sz w:val="28"/>
          <w:szCs w:val="28"/>
        </w:rPr>
      </w:pPr>
    </w:p>
    <w:p w14:paraId="1FFE0972">
      <w:pPr>
        <w:spacing w:line="360" w:lineRule="auto"/>
        <w:ind w:firstLine="1820" w:firstLineChars="650"/>
        <w:rPr>
          <w:rFonts w:hint="eastAsia" w:ascii="宋体" w:hAnsi="宋体"/>
          <w:sz w:val="28"/>
          <w:szCs w:val="28"/>
        </w:rPr>
      </w:pPr>
      <w:r>
        <w:rPr>
          <w:rFonts w:hint="eastAsia" w:ascii="宋体" w:hAnsi="宋体"/>
          <w:sz w:val="28"/>
          <w:szCs w:val="28"/>
        </w:rPr>
        <w:t>法定代表人或委托代理人：</w:t>
      </w:r>
      <w:r>
        <w:rPr>
          <w:rFonts w:hint="eastAsia" w:ascii="宋体" w:hAnsi="宋体"/>
          <w:sz w:val="28"/>
          <w:szCs w:val="28"/>
          <w:u w:val="single"/>
        </w:rPr>
        <w:t xml:space="preserve">            </w:t>
      </w:r>
      <w:r>
        <w:rPr>
          <w:rFonts w:hint="eastAsia" w:ascii="宋体" w:hAnsi="宋体"/>
          <w:sz w:val="28"/>
          <w:szCs w:val="28"/>
        </w:rPr>
        <w:t>（签字）</w:t>
      </w:r>
    </w:p>
    <w:p w14:paraId="3989CD8B">
      <w:pPr>
        <w:spacing w:line="360" w:lineRule="auto"/>
        <w:ind w:firstLine="1960" w:firstLineChars="700"/>
        <w:rPr>
          <w:rFonts w:hint="eastAsia" w:ascii="宋体" w:hAnsi="宋体"/>
          <w:sz w:val="28"/>
          <w:szCs w:val="28"/>
        </w:rPr>
      </w:pPr>
    </w:p>
    <w:p w14:paraId="3B6A6AC3">
      <w:pPr>
        <w:spacing w:line="360" w:lineRule="auto"/>
        <w:jc w:val="center"/>
        <w:rPr>
          <w:rFonts w:hint="eastAsia" w:ascii="宋体" w:hAnsi="宋体"/>
          <w:szCs w:val="21"/>
          <w:u w:val="single"/>
        </w:rPr>
      </w:pPr>
    </w:p>
    <w:p w14:paraId="1B4ECD6E">
      <w:pPr>
        <w:spacing w:line="360" w:lineRule="auto"/>
        <w:jc w:val="center"/>
        <w:rPr>
          <w:rFonts w:hint="eastAsia" w:ascii="宋体" w:hAnsi="宋体"/>
          <w:sz w:val="28"/>
          <w:szCs w:val="28"/>
        </w:rPr>
      </w:pPr>
      <w:r>
        <w:rPr>
          <w:rFonts w:hint="eastAsia" w:ascii="宋体" w:hAnsi="宋体"/>
          <w:szCs w:val="21"/>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472DF44">
      <w:pPr>
        <w:spacing w:line="360" w:lineRule="auto"/>
        <w:jc w:val="left"/>
        <w:rPr>
          <w:rFonts w:hint="eastAsia" w:ascii="宋体" w:hAnsi="宋体"/>
          <w:szCs w:val="21"/>
        </w:rPr>
      </w:pPr>
    </w:p>
    <w:p w14:paraId="29DD226F">
      <w:pPr>
        <w:spacing w:line="360" w:lineRule="auto"/>
        <w:rPr>
          <w:rFonts w:hint="eastAsia" w:ascii="宋体" w:hAnsi="宋体"/>
          <w:szCs w:val="21"/>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szCs w:val="21"/>
        </w:rPr>
        <w:t>说明：本封面仅供参考，格式由投标人自定，但必须包括工程名称、“正本”或“副本”字样（电子标书免）， “投标报价”或“投标报价函”字样、投标人名称、投标人单位公章、投标人法定代表人或其委托代理人签字、编制人签字。</w:t>
      </w:r>
    </w:p>
    <w:p w14:paraId="3491E5CD">
      <w:pPr>
        <w:pStyle w:val="5"/>
        <w:jc w:val="center"/>
        <w:rPr>
          <w:sz w:val="28"/>
          <w:szCs w:val="28"/>
        </w:rPr>
      </w:pPr>
      <w:r>
        <w:rPr>
          <w:rFonts w:hint="eastAsia"/>
          <w:sz w:val="28"/>
          <w:szCs w:val="28"/>
        </w:rPr>
        <w:t>目  录</w:t>
      </w:r>
    </w:p>
    <w:p w14:paraId="1A559B22">
      <w:pPr>
        <w:rPr>
          <w:rFonts w:hint="eastAsia" w:ascii="宋体" w:hAnsi="宋体"/>
          <w:szCs w:val="21"/>
        </w:rPr>
      </w:pPr>
    </w:p>
    <w:p w14:paraId="031D7B0A">
      <w:pPr>
        <w:rPr>
          <w:rFonts w:hint="eastAsia"/>
        </w:rPr>
      </w:pPr>
      <w:r>
        <w:rPr>
          <w:rFonts w:hint="eastAsia"/>
        </w:rPr>
        <w:t>一、投标报价汇总表（其中的</w:t>
      </w:r>
      <w:r>
        <w:rPr>
          <w:rFonts w:hint="eastAsia" w:ascii="宋体" w:hAnsi="宋体"/>
          <w:szCs w:val="21"/>
        </w:rPr>
        <w:t>安全防护、文明施工措施费须在此表中单列）</w:t>
      </w:r>
    </w:p>
    <w:p w14:paraId="02408DE5">
      <w:pPr>
        <w:rPr>
          <w:rFonts w:hint="eastAsia"/>
        </w:rPr>
      </w:pPr>
    </w:p>
    <w:p w14:paraId="1F4280CF">
      <w:pPr>
        <w:rPr>
          <w:rFonts w:hint="eastAsia"/>
        </w:rPr>
      </w:pPr>
      <w:r>
        <w:rPr>
          <w:rFonts w:hint="eastAsia"/>
        </w:rPr>
        <w:t>二、已标价工程量清单</w:t>
      </w:r>
    </w:p>
    <w:p w14:paraId="702EB536">
      <w:pPr>
        <w:rPr>
          <w:rFonts w:hint="eastAsia"/>
        </w:rPr>
      </w:pPr>
    </w:p>
    <w:p w14:paraId="6BDA551C">
      <w:pPr>
        <w:rPr>
          <w:rFonts w:hint="eastAsia"/>
        </w:rPr>
      </w:pPr>
      <w:r>
        <w:rPr>
          <w:rFonts w:hint="eastAsia"/>
        </w:rPr>
        <w:t>三、其他</w:t>
      </w:r>
    </w:p>
    <w:p w14:paraId="0018900E">
      <w:pPr>
        <w:rPr>
          <w:rFonts w:hint="eastAsia" w:ascii="Arial" w:hAnsi="Arial"/>
          <w:b/>
          <w:bCs/>
          <w:szCs w:val="28"/>
        </w:rPr>
      </w:pPr>
    </w:p>
    <w:p w14:paraId="7395278F">
      <w:pPr>
        <w:rPr>
          <w:rFonts w:hint="eastAsia" w:ascii="Arial" w:hAnsi="Arial"/>
          <w:b/>
          <w:bCs/>
          <w:szCs w:val="28"/>
        </w:rPr>
      </w:pPr>
    </w:p>
    <w:p w14:paraId="7296A9AE">
      <w:pPr>
        <w:rPr>
          <w:rFonts w:hint="eastAsia" w:ascii="Arial" w:hAnsi="Arial"/>
          <w:b/>
          <w:bCs/>
          <w:szCs w:val="28"/>
        </w:rPr>
      </w:pPr>
    </w:p>
    <w:p w14:paraId="14A9BEAC">
      <w:pPr>
        <w:rPr>
          <w:rFonts w:hint="eastAsia" w:ascii="Arial" w:hAnsi="Arial"/>
          <w:b/>
          <w:bCs/>
          <w:szCs w:val="28"/>
        </w:rPr>
      </w:pPr>
    </w:p>
    <w:p w14:paraId="5C2FA952">
      <w:pPr>
        <w:rPr>
          <w:rFonts w:hint="eastAsia" w:ascii="Arial" w:hAnsi="Arial"/>
          <w:b/>
          <w:bCs/>
          <w:szCs w:val="28"/>
        </w:rPr>
      </w:pPr>
    </w:p>
    <w:p w14:paraId="2C8846FE">
      <w:pPr>
        <w:rPr>
          <w:rFonts w:hint="eastAsia" w:ascii="Arial" w:hAnsi="Arial"/>
          <w:b/>
          <w:bCs/>
          <w:szCs w:val="28"/>
        </w:rPr>
      </w:pPr>
    </w:p>
    <w:p w14:paraId="0DD445E5">
      <w:pPr>
        <w:rPr>
          <w:rFonts w:hint="eastAsia" w:ascii="Arial" w:hAnsi="Arial"/>
          <w:b/>
          <w:bCs/>
          <w:szCs w:val="28"/>
        </w:rPr>
      </w:pPr>
    </w:p>
    <w:p w14:paraId="361FAFD7">
      <w:pPr>
        <w:rPr>
          <w:rFonts w:hint="eastAsia" w:ascii="Arial" w:hAnsi="Arial"/>
          <w:b/>
          <w:bCs/>
          <w:szCs w:val="28"/>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23C48CC">
      <w:pPr>
        <w:jc w:val="center"/>
        <w:rPr>
          <w:rFonts w:hint="eastAsia"/>
          <w:b/>
        </w:rPr>
      </w:pPr>
      <w:r>
        <w:rPr>
          <w:rFonts w:hint="eastAsia"/>
          <w:b/>
        </w:rPr>
        <w:t>一、投标报价汇总表</w:t>
      </w:r>
    </w:p>
    <w:p w14:paraId="59C5D538">
      <w:pPr>
        <w:jc w:val="center"/>
        <w:rPr>
          <w:rFonts w:hint="eastAsia"/>
        </w:rPr>
      </w:pPr>
      <w:r>
        <w:rPr>
          <w:rFonts w:hint="eastAsia"/>
        </w:rPr>
        <w:t>（其中的</w:t>
      </w:r>
      <w:r>
        <w:rPr>
          <w:rFonts w:hint="eastAsia" w:ascii="宋体" w:hAnsi="宋体"/>
          <w:szCs w:val="21"/>
        </w:rPr>
        <w:t>安全防护、文明施工措施费须在此表中单列）</w:t>
      </w:r>
    </w:p>
    <w:p w14:paraId="6394DBC7">
      <w:pPr>
        <w:snapToGrid w:val="0"/>
        <w:spacing w:line="360" w:lineRule="auto"/>
        <w:jc w:val="center"/>
        <w:rPr>
          <w:rFonts w:hint="eastAsia" w:ascii="宋体" w:hAnsi="宋体"/>
          <w:b/>
          <w:sz w:val="30"/>
          <w:szCs w:val="30"/>
        </w:rPr>
      </w:pPr>
    </w:p>
    <w:p w14:paraId="21B42D8A">
      <w:pPr>
        <w:snapToGrid w:val="0"/>
        <w:spacing w:line="360" w:lineRule="auto"/>
        <w:jc w:val="center"/>
        <w:rPr>
          <w:rFonts w:hint="eastAsia" w:ascii="宋体" w:hAnsi="宋体"/>
          <w:b/>
          <w:sz w:val="30"/>
          <w:szCs w:val="30"/>
        </w:rPr>
      </w:pPr>
      <w:r>
        <w:rPr>
          <w:rFonts w:hint="eastAsia" w:ascii="宋体" w:hAnsi="宋体"/>
          <w:b/>
          <w:sz w:val="30"/>
          <w:szCs w:val="30"/>
        </w:rPr>
        <w:t>投标报价汇总表</w:t>
      </w:r>
    </w:p>
    <w:p w14:paraId="4CAD3FEC">
      <w:pPr>
        <w:snapToGrid w:val="0"/>
        <w:spacing w:line="360" w:lineRule="auto"/>
        <w:jc w:val="center"/>
        <w:rPr>
          <w:rFonts w:hint="eastAsia" w:ascii="宋体" w:hAnsi="宋体"/>
          <w:sz w:val="28"/>
          <w:szCs w:val="28"/>
        </w:rPr>
      </w:pPr>
      <w:r>
        <w:rPr>
          <w:rFonts w:hint="eastAsia" w:ascii="宋体" w:hAnsi="宋体"/>
          <w:sz w:val="28"/>
          <w:szCs w:val="28"/>
        </w:rPr>
        <w:t>（适用于纸质标书）</w:t>
      </w:r>
    </w:p>
    <w:p w14:paraId="019730FE">
      <w:pPr>
        <w:snapToGrid w:val="0"/>
        <w:spacing w:line="360" w:lineRule="auto"/>
        <w:ind w:firstLine="28"/>
        <w:rPr>
          <w:rFonts w:hint="eastAsia" w:ascii="宋体" w:hAnsi="宋体"/>
          <w:szCs w:val="21"/>
        </w:rPr>
      </w:pPr>
      <w:r>
        <w:rPr>
          <w:rFonts w:hint="eastAsia" w:ascii="宋体" w:hAnsi="宋体"/>
          <w:szCs w:val="21"/>
        </w:rPr>
        <w:t>招标人（建设单位）</w:t>
      </w:r>
      <w:r>
        <w:rPr>
          <w:rFonts w:hint="eastAsia" w:ascii="宋体" w:hAnsi="宋体"/>
          <w:szCs w:val="21"/>
          <w:u w:val="single"/>
        </w:rPr>
        <w:t xml:space="preserve">：                        </w:t>
      </w:r>
      <w:r>
        <w:rPr>
          <w:rFonts w:hint="eastAsia" w:ascii="宋体" w:hAnsi="宋体"/>
          <w:szCs w:val="21"/>
        </w:rPr>
        <w:t xml:space="preserve">  </w:t>
      </w:r>
    </w:p>
    <w:p w14:paraId="42F7CFFD">
      <w:pPr>
        <w:snapToGrid w:val="0"/>
        <w:spacing w:line="360" w:lineRule="auto"/>
        <w:ind w:left="1050" w:hanging="1050" w:hangingChars="500"/>
        <w:rPr>
          <w:rFonts w:hint="eastAsia" w:ascii="宋体" w:hAnsi="宋体"/>
          <w:szCs w:val="21"/>
          <w:u w:val="single"/>
        </w:rPr>
      </w:pPr>
      <w:r>
        <w:rPr>
          <w:rFonts w:hint="eastAsia" w:ascii="宋体" w:hAnsi="宋体"/>
          <w:szCs w:val="21"/>
        </w:rPr>
        <w:t>工程名称</w:t>
      </w:r>
      <w:r>
        <w:rPr>
          <w:rFonts w:hint="eastAsia" w:ascii="宋体" w:hAnsi="宋体"/>
          <w:szCs w:val="21"/>
          <w:u w:val="single"/>
        </w:rPr>
        <w:t xml:space="preserve">：                                     </w:t>
      </w:r>
    </w:p>
    <w:p w14:paraId="4B228C64">
      <w:pPr>
        <w:snapToGrid w:val="0"/>
        <w:spacing w:line="360" w:lineRule="auto"/>
        <w:rPr>
          <w:rFonts w:hint="eastAsia" w:ascii="宋体" w:hAnsi="宋体"/>
          <w:szCs w:val="21"/>
          <w:lang w:val="en-GB"/>
        </w:rPr>
      </w:pPr>
      <w:r>
        <w:rPr>
          <w:rFonts w:hint="eastAsia" w:ascii="宋体" w:hAnsi="宋体"/>
          <w:szCs w:val="21"/>
        </w:rPr>
        <w:t>投标总价（含税价）：（小写）人民币</w:t>
      </w:r>
      <w:r>
        <w:rPr>
          <w:rFonts w:hint="eastAsia" w:ascii="宋体" w:hAnsi="宋体"/>
          <w:szCs w:val="21"/>
          <w:u w:val="single"/>
        </w:rPr>
        <w:t xml:space="preserve">                             </w:t>
      </w:r>
      <w:r>
        <w:rPr>
          <w:rFonts w:hint="eastAsia" w:ascii="宋体" w:hAnsi="宋体"/>
          <w:szCs w:val="21"/>
        </w:rPr>
        <w:t>元</w:t>
      </w:r>
    </w:p>
    <w:p w14:paraId="23DC4591">
      <w:pPr>
        <w:snapToGrid w:val="0"/>
        <w:spacing w:line="360" w:lineRule="auto"/>
        <w:rPr>
          <w:rFonts w:hint="eastAsia" w:ascii="宋体" w:hAnsi="宋体"/>
          <w:szCs w:val="21"/>
        </w:rPr>
      </w:pPr>
      <w:r>
        <w:rPr>
          <w:rFonts w:hint="eastAsia" w:ascii="宋体" w:hAnsi="宋体"/>
          <w:szCs w:val="21"/>
        </w:rPr>
        <w:t xml:space="preserve">                  （大写）人民币</w:t>
      </w:r>
      <w:r>
        <w:rPr>
          <w:rFonts w:hint="eastAsia" w:ascii="宋体" w:hAnsi="宋体"/>
          <w:szCs w:val="21"/>
          <w:u w:val="single"/>
        </w:rPr>
        <w:t xml:space="preserve">                             </w:t>
      </w:r>
      <w:r>
        <w:rPr>
          <w:rFonts w:hint="eastAsia" w:ascii="宋体" w:hAnsi="宋体"/>
          <w:szCs w:val="21"/>
        </w:rPr>
        <w:t>元</w:t>
      </w:r>
    </w:p>
    <w:p w14:paraId="18193266">
      <w:pPr>
        <w:snapToGrid w:val="0"/>
        <w:spacing w:line="360" w:lineRule="auto"/>
        <w:rPr>
          <w:rFonts w:hint="eastAsia" w:ascii="宋体" w:hAnsi="宋体"/>
          <w:szCs w:val="21"/>
        </w:rPr>
      </w:pPr>
      <w:r>
        <w:rPr>
          <w:rFonts w:hint="eastAsia" w:ascii="宋体" w:hAnsi="宋体"/>
          <w:szCs w:val="21"/>
        </w:rPr>
        <w:t>上述报价已经包含安全防护、文明施工措施费。</w:t>
      </w:r>
    </w:p>
    <w:p w14:paraId="3C992333">
      <w:pPr>
        <w:snapToGrid w:val="0"/>
        <w:spacing w:line="360" w:lineRule="auto"/>
        <w:rPr>
          <w:rFonts w:hint="eastAsia" w:ascii="宋体" w:hAnsi="宋体"/>
          <w:szCs w:val="21"/>
        </w:rPr>
      </w:pPr>
      <w:r>
        <w:rPr>
          <w:rFonts w:hint="eastAsia" w:ascii="宋体" w:hAnsi="宋体"/>
          <w:szCs w:val="21"/>
        </w:rPr>
        <w:t>（1）安全防护、文明施工措施费：</w:t>
      </w:r>
    </w:p>
    <w:p w14:paraId="606C7840">
      <w:pPr>
        <w:snapToGrid w:val="0"/>
        <w:spacing w:line="360" w:lineRule="auto"/>
        <w:ind w:firstLine="1050" w:firstLineChars="500"/>
        <w:rPr>
          <w:rFonts w:hint="eastAsia" w:ascii="宋体" w:hAnsi="宋体"/>
          <w:szCs w:val="21"/>
        </w:rPr>
      </w:pPr>
      <w:r>
        <w:rPr>
          <w:rFonts w:hint="eastAsia" w:ascii="宋体" w:hAnsi="宋体"/>
          <w:szCs w:val="21"/>
        </w:rPr>
        <w:t>（小写）人民币</w:t>
      </w:r>
      <w:r>
        <w:rPr>
          <w:rFonts w:hint="eastAsia" w:ascii="宋体" w:hAnsi="宋体"/>
          <w:szCs w:val="21"/>
          <w:u w:val="single"/>
        </w:rPr>
        <w:t xml:space="preserve">                            </w:t>
      </w:r>
      <w:r>
        <w:rPr>
          <w:rFonts w:hint="eastAsia" w:ascii="宋体" w:hAnsi="宋体"/>
          <w:szCs w:val="21"/>
        </w:rPr>
        <w:t>元</w:t>
      </w:r>
    </w:p>
    <w:p w14:paraId="4AF85C7D">
      <w:pPr>
        <w:snapToGrid w:val="0"/>
        <w:spacing w:line="360" w:lineRule="auto"/>
        <w:ind w:firstLine="1050" w:firstLineChars="500"/>
        <w:rPr>
          <w:rFonts w:hint="eastAsia" w:ascii="宋体" w:hAnsi="宋体"/>
          <w:szCs w:val="21"/>
        </w:rPr>
      </w:pPr>
      <w:r>
        <w:rPr>
          <w:rFonts w:hint="eastAsia" w:ascii="宋体" w:hAnsi="宋体"/>
          <w:szCs w:val="21"/>
        </w:rPr>
        <w:t>（大写）人民币</w:t>
      </w:r>
      <w:r>
        <w:rPr>
          <w:rFonts w:hint="eastAsia" w:ascii="宋体" w:hAnsi="宋体"/>
          <w:szCs w:val="21"/>
          <w:u w:val="single"/>
        </w:rPr>
        <w:t xml:space="preserve">                            </w:t>
      </w:r>
      <w:r>
        <w:rPr>
          <w:rFonts w:hint="eastAsia" w:ascii="宋体" w:hAnsi="宋体"/>
          <w:szCs w:val="21"/>
        </w:rPr>
        <w:t>元</w:t>
      </w:r>
    </w:p>
    <w:p w14:paraId="73F0AD7B">
      <w:pPr>
        <w:snapToGrid w:val="0"/>
        <w:spacing w:line="360" w:lineRule="auto"/>
        <w:rPr>
          <w:rFonts w:hint="eastAsia" w:ascii="宋体" w:hAnsi="宋体"/>
          <w:b/>
          <w:szCs w:val="21"/>
        </w:rPr>
      </w:pPr>
      <w:r>
        <w:rPr>
          <w:rFonts w:hint="eastAsia" w:ascii="宋体" w:hAnsi="宋体"/>
          <w:b/>
          <w:szCs w:val="21"/>
        </w:rPr>
        <w:t>（有效安全防护、文明施工措施费报价大于或等于答疑时公布的招标控制价该部分价格的100%）</w:t>
      </w:r>
    </w:p>
    <w:p w14:paraId="07F0111A">
      <w:pPr>
        <w:snapToGrid w:val="0"/>
        <w:spacing w:line="360" w:lineRule="auto"/>
        <w:rPr>
          <w:rFonts w:hint="eastAsia" w:ascii="宋体" w:hAnsi="宋体"/>
          <w:szCs w:val="21"/>
        </w:rPr>
      </w:pPr>
      <w:r>
        <w:rPr>
          <w:rFonts w:hint="eastAsia" w:ascii="宋体" w:hAnsi="宋体"/>
          <w:szCs w:val="21"/>
        </w:rPr>
        <w:t>（2）本工程“投标总价”由</w:t>
      </w:r>
      <w:r>
        <w:rPr>
          <w:rFonts w:hint="eastAsia" w:ascii="宋体" w:hAnsi="宋体"/>
          <w:szCs w:val="21"/>
          <w:u w:val="single"/>
        </w:rPr>
        <w:t xml:space="preserve">    </w:t>
      </w:r>
      <w:r>
        <w:rPr>
          <w:rFonts w:hint="eastAsia" w:ascii="宋体" w:hAnsi="宋体"/>
          <w:szCs w:val="21"/>
        </w:rPr>
        <w:t>项分项工程投标价组成，分别如下：</w:t>
      </w:r>
    </w:p>
    <w:tbl>
      <w:tblPr>
        <w:tblStyle w:val="23"/>
        <w:tblW w:w="0" w:type="auto"/>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578"/>
        <w:gridCol w:w="1800"/>
        <w:gridCol w:w="1817"/>
      </w:tblGrid>
      <w:tr w14:paraId="717D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1" w:type="dxa"/>
            <w:noWrap w:val="0"/>
            <w:vAlign w:val="center"/>
          </w:tcPr>
          <w:p w14:paraId="13F563FF">
            <w:pPr>
              <w:snapToGrid w:val="0"/>
              <w:jc w:val="center"/>
              <w:rPr>
                <w:rFonts w:hint="eastAsia" w:ascii="宋体" w:hAnsi="宋体"/>
                <w:szCs w:val="21"/>
              </w:rPr>
            </w:pPr>
            <w:r>
              <w:rPr>
                <w:rFonts w:hint="eastAsia" w:ascii="宋体" w:hAnsi="宋体"/>
                <w:szCs w:val="21"/>
              </w:rPr>
              <w:t>序号</w:t>
            </w:r>
          </w:p>
        </w:tc>
        <w:tc>
          <w:tcPr>
            <w:tcW w:w="4578" w:type="dxa"/>
            <w:noWrap w:val="0"/>
            <w:vAlign w:val="center"/>
          </w:tcPr>
          <w:p w14:paraId="57F3E7B5">
            <w:pPr>
              <w:snapToGrid w:val="0"/>
              <w:jc w:val="center"/>
              <w:rPr>
                <w:rFonts w:hint="eastAsia" w:ascii="宋体" w:hAnsi="宋体"/>
                <w:szCs w:val="21"/>
              </w:rPr>
            </w:pPr>
            <w:r>
              <w:rPr>
                <w:rFonts w:hint="eastAsia" w:ascii="宋体" w:hAnsi="宋体"/>
                <w:szCs w:val="21"/>
              </w:rPr>
              <w:t>分项工程名称</w:t>
            </w:r>
          </w:p>
        </w:tc>
        <w:tc>
          <w:tcPr>
            <w:tcW w:w="1800" w:type="dxa"/>
            <w:noWrap w:val="0"/>
            <w:vAlign w:val="center"/>
          </w:tcPr>
          <w:p w14:paraId="28FBA021">
            <w:pPr>
              <w:snapToGrid w:val="0"/>
              <w:jc w:val="center"/>
              <w:rPr>
                <w:rFonts w:hint="eastAsia" w:ascii="宋体" w:hAnsi="宋体"/>
                <w:szCs w:val="21"/>
              </w:rPr>
            </w:pPr>
            <w:r>
              <w:rPr>
                <w:rFonts w:hint="eastAsia" w:ascii="宋体" w:hAnsi="宋体"/>
                <w:szCs w:val="21"/>
              </w:rPr>
              <w:t>投标价（元）</w:t>
            </w:r>
          </w:p>
        </w:tc>
        <w:tc>
          <w:tcPr>
            <w:tcW w:w="1817" w:type="dxa"/>
            <w:noWrap w:val="0"/>
            <w:vAlign w:val="center"/>
          </w:tcPr>
          <w:p w14:paraId="477251F0">
            <w:pPr>
              <w:snapToGrid w:val="0"/>
              <w:rPr>
                <w:rFonts w:hint="eastAsia" w:ascii="宋体" w:hAnsi="宋体"/>
                <w:szCs w:val="21"/>
              </w:rPr>
            </w:pPr>
            <w:r>
              <w:rPr>
                <w:rFonts w:hint="eastAsia" w:ascii="宋体" w:hAnsi="宋体"/>
                <w:szCs w:val="21"/>
              </w:rPr>
              <w:t>安全防护、文明施工措施费</w:t>
            </w:r>
          </w:p>
        </w:tc>
      </w:tr>
      <w:tr w14:paraId="5D26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1" w:type="dxa"/>
            <w:noWrap w:val="0"/>
            <w:vAlign w:val="center"/>
          </w:tcPr>
          <w:p w14:paraId="1B29EC63">
            <w:pPr>
              <w:snapToGrid w:val="0"/>
              <w:jc w:val="center"/>
              <w:rPr>
                <w:rFonts w:hint="eastAsia" w:ascii="宋体" w:hAnsi="宋体"/>
                <w:szCs w:val="21"/>
              </w:rPr>
            </w:pPr>
          </w:p>
        </w:tc>
        <w:tc>
          <w:tcPr>
            <w:tcW w:w="4578" w:type="dxa"/>
            <w:noWrap w:val="0"/>
            <w:vAlign w:val="center"/>
          </w:tcPr>
          <w:p w14:paraId="4F94193A">
            <w:pPr>
              <w:snapToGrid w:val="0"/>
              <w:rPr>
                <w:rFonts w:hint="eastAsia" w:ascii="宋体" w:hAnsi="宋体"/>
                <w:szCs w:val="21"/>
              </w:rPr>
            </w:pPr>
          </w:p>
        </w:tc>
        <w:tc>
          <w:tcPr>
            <w:tcW w:w="1800" w:type="dxa"/>
            <w:noWrap w:val="0"/>
            <w:vAlign w:val="top"/>
          </w:tcPr>
          <w:p w14:paraId="3A4EAD50">
            <w:pPr>
              <w:snapToGrid w:val="0"/>
              <w:rPr>
                <w:rFonts w:hint="eastAsia" w:ascii="宋体" w:hAnsi="宋体"/>
                <w:szCs w:val="21"/>
              </w:rPr>
            </w:pPr>
          </w:p>
        </w:tc>
        <w:tc>
          <w:tcPr>
            <w:tcW w:w="1817" w:type="dxa"/>
            <w:noWrap w:val="0"/>
            <w:vAlign w:val="top"/>
          </w:tcPr>
          <w:p w14:paraId="65C2BB57">
            <w:pPr>
              <w:snapToGrid w:val="0"/>
              <w:rPr>
                <w:rFonts w:hint="eastAsia" w:ascii="宋体" w:hAnsi="宋体"/>
                <w:szCs w:val="21"/>
              </w:rPr>
            </w:pPr>
          </w:p>
        </w:tc>
      </w:tr>
      <w:tr w14:paraId="4731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1" w:type="dxa"/>
            <w:noWrap w:val="0"/>
            <w:vAlign w:val="center"/>
          </w:tcPr>
          <w:p w14:paraId="42B8B026">
            <w:pPr>
              <w:snapToGrid w:val="0"/>
              <w:jc w:val="center"/>
              <w:rPr>
                <w:rFonts w:hint="eastAsia" w:ascii="宋体" w:hAnsi="宋体"/>
                <w:szCs w:val="21"/>
              </w:rPr>
            </w:pPr>
          </w:p>
        </w:tc>
        <w:tc>
          <w:tcPr>
            <w:tcW w:w="4578" w:type="dxa"/>
            <w:noWrap w:val="0"/>
            <w:vAlign w:val="center"/>
          </w:tcPr>
          <w:p w14:paraId="25CBB366">
            <w:pPr>
              <w:snapToGrid w:val="0"/>
              <w:rPr>
                <w:rFonts w:hint="eastAsia" w:ascii="宋体" w:hAnsi="宋体"/>
                <w:szCs w:val="21"/>
              </w:rPr>
            </w:pPr>
          </w:p>
        </w:tc>
        <w:tc>
          <w:tcPr>
            <w:tcW w:w="1800" w:type="dxa"/>
            <w:noWrap w:val="0"/>
            <w:vAlign w:val="top"/>
          </w:tcPr>
          <w:p w14:paraId="2893E576">
            <w:pPr>
              <w:snapToGrid w:val="0"/>
              <w:rPr>
                <w:rFonts w:hint="eastAsia" w:ascii="宋体" w:hAnsi="宋体"/>
                <w:szCs w:val="21"/>
              </w:rPr>
            </w:pPr>
          </w:p>
        </w:tc>
        <w:tc>
          <w:tcPr>
            <w:tcW w:w="1817" w:type="dxa"/>
            <w:noWrap w:val="0"/>
            <w:vAlign w:val="top"/>
          </w:tcPr>
          <w:p w14:paraId="34E35653">
            <w:pPr>
              <w:snapToGrid w:val="0"/>
              <w:rPr>
                <w:rFonts w:hint="eastAsia" w:ascii="宋体" w:hAnsi="宋体"/>
                <w:szCs w:val="21"/>
              </w:rPr>
            </w:pPr>
          </w:p>
        </w:tc>
      </w:tr>
      <w:tr w14:paraId="3107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1" w:type="dxa"/>
            <w:noWrap w:val="0"/>
            <w:vAlign w:val="center"/>
          </w:tcPr>
          <w:p w14:paraId="076431F6">
            <w:pPr>
              <w:snapToGrid w:val="0"/>
              <w:jc w:val="center"/>
              <w:rPr>
                <w:rFonts w:hint="eastAsia" w:ascii="宋体" w:hAnsi="宋体"/>
                <w:szCs w:val="21"/>
              </w:rPr>
            </w:pPr>
          </w:p>
        </w:tc>
        <w:tc>
          <w:tcPr>
            <w:tcW w:w="4578" w:type="dxa"/>
            <w:noWrap w:val="0"/>
            <w:vAlign w:val="center"/>
          </w:tcPr>
          <w:p w14:paraId="3450F69C">
            <w:pPr>
              <w:snapToGrid w:val="0"/>
              <w:rPr>
                <w:rFonts w:hint="eastAsia" w:ascii="宋体" w:hAnsi="宋体"/>
                <w:szCs w:val="21"/>
              </w:rPr>
            </w:pPr>
          </w:p>
        </w:tc>
        <w:tc>
          <w:tcPr>
            <w:tcW w:w="1800" w:type="dxa"/>
            <w:noWrap w:val="0"/>
            <w:vAlign w:val="top"/>
          </w:tcPr>
          <w:p w14:paraId="02546CC2">
            <w:pPr>
              <w:snapToGrid w:val="0"/>
              <w:rPr>
                <w:rFonts w:hint="eastAsia" w:ascii="宋体" w:hAnsi="宋体"/>
                <w:szCs w:val="21"/>
              </w:rPr>
            </w:pPr>
          </w:p>
        </w:tc>
        <w:tc>
          <w:tcPr>
            <w:tcW w:w="1817" w:type="dxa"/>
            <w:noWrap w:val="0"/>
            <w:vAlign w:val="top"/>
          </w:tcPr>
          <w:p w14:paraId="2FA08CC6">
            <w:pPr>
              <w:snapToGrid w:val="0"/>
              <w:rPr>
                <w:rFonts w:hint="eastAsia" w:ascii="宋体" w:hAnsi="宋体"/>
                <w:szCs w:val="21"/>
              </w:rPr>
            </w:pPr>
          </w:p>
        </w:tc>
      </w:tr>
      <w:tr w14:paraId="32BD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1" w:type="dxa"/>
            <w:noWrap w:val="0"/>
            <w:vAlign w:val="top"/>
          </w:tcPr>
          <w:p w14:paraId="6E8D0C1A">
            <w:pPr>
              <w:snapToGrid w:val="0"/>
              <w:rPr>
                <w:rFonts w:hint="eastAsia" w:ascii="宋体" w:hAnsi="宋体"/>
                <w:szCs w:val="21"/>
              </w:rPr>
            </w:pPr>
          </w:p>
        </w:tc>
        <w:tc>
          <w:tcPr>
            <w:tcW w:w="4578" w:type="dxa"/>
            <w:noWrap w:val="0"/>
            <w:vAlign w:val="top"/>
          </w:tcPr>
          <w:p w14:paraId="6A5430E1">
            <w:pPr>
              <w:snapToGrid w:val="0"/>
              <w:rPr>
                <w:rFonts w:hint="eastAsia" w:ascii="宋体" w:hAnsi="宋体"/>
                <w:szCs w:val="21"/>
              </w:rPr>
            </w:pPr>
          </w:p>
        </w:tc>
        <w:tc>
          <w:tcPr>
            <w:tcW w:w="1800" w:type="dxa"/>
            <w:noWrap w:val="0"/>
            <w:vAlign w:val="top"/>
          </w:tcPr>
          <w:p w14:paraId="57184D3D">
            <w:pPr>
              <w:snapToGrid w:val="0"/>
              <w:rPr>
                <w:rFonts w:hint="eastAsia" w:ascii="宋体" w:hAnsi="宋体"/>
                <w:szCs w:val="21"/>
              </w:rPr>
            </w:pPr>
          </w:p>
        </w:tc>
        <w:tc>
          <w:tcPr>
            <w:tcW w:w="1817" w:type="dxa"/>
            <w:noWrap w:val="0"/>
            <w:vAlign w:val="top"/>
          </w:tcPr>
          <w:p w14:paraId="22DA0D26">
            <w:pPr>
              <w:snapToGrid w:val="0"/>
              <w:rPr>
                <w:rFonts w:hint="eastAsia" w:ascii="宋体" w:hAnsi="宋体"/>
                <w:szCs w:val="21"/>
              </w:rPr>
            </w:pPr>
          </w:p>
        </w:tc>
      </w:tr>
      <w:tr w14:paraId="65B2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329" w:type="dxa"/>
            <w:gridSpan w:val="2"/>
            <w:noWrap w:val="0"/>
            <w:vAlign w:val="center"/>
          </w:tcPr>
          <w:p w14:paraId="71F55938">
            <w:pPr>
              <w:snapToGrid w:val="0"/>
              <w:jc w:val="center"/>
              <w:rPr>
                <w:rFonts w:hint="eastAsia" w:ascii="宋体" w:hAnsi="宋体"/>
                <w:szCs w:val="21"/>
              </w:rPr>
            </w:pPr>
            <w:r>
              <w:rPr>
                <w:rFonts w:hint="eastAsia" w:ascii="宋体" w:hAnsi="宋体"/>
                <w:szCs w:val="21"/>
              </w:rPr>
              <w:t>合计（即“投标总价” ）</w:t>
            </w:r>
          </w:p>
        </w:tc>
        <w:tc>
          <w:tcPr>
            <w:tcW w:w="1800" w:type="dxa"/>
            <w:noWrap w:val="0"/>
            <w:vAlign w:val="top"/>
          </w:tcPr>
          <w:p w14:paraId="3C88ABB8">
            <w:pPr>
              <w:snapToGrid w:val="0"/>
              <w:rPr>
                <w:rFonts w:hint="eastAsia" w:ascii="宋体" w:hAnsi="宋体"/>
                <w:szCs w:val="21"/>
              </w:rPr>
            </w:pPr>
          </w:p>
        </w:tc>
        <w:tc>
          <w:tcPr>
            <w:tcW w:w="1817" w:type="dxa"/>
            <w:noWrap w:val="0"/>
            <w:vAlign w:val="top"/>
          </w:tcPr>
          <w:p w14:paraId="3BA8C180">
            <w:pPr>
              <w:snapToGrid w:val="0"/>
              <w:rPr>
                <w:rFonts w:hint="eastAsia" w:ascii="宋体" w:hAnsi="宋体"/>
                <w:szCs w:val="21"/>
              </w:rPr>
            </w:pPr>
          </w:p>
        </w:tc>
      </w:tr>
    </w:tbl>
    <w:p w14:paraId="763FC842">
      <w:pPr>
        <w:snapToGrid w:val="0"/>
        <w:spacing w:line="360" w:lineRule="auto"/>
        <w:rPr>
          <w:rFonts w:hint="eastAsia" w:ascii="宋体" w:hAnsi="宋体"/>
          <w:szCs w:val="21"/>
        </w:rPr>
      </w:pPr>
    </w:p>
    <w:p w14:paraId="3CCFFF70">
      <w:pPr>
        <w:snapToGrid w:val="0"/>
        <w:spacing w:line="360" w:lineRule="auto"/>
        <w:rPr>
          <w:rFonts w:hint="eastAsia" w:ascii="宋体" w:hAnsi="宋体"/>
          <w:szCs w:val="21"/>
        </w:rPr>
      </w:pPr>
    </w:p>
    <w:p w14:paraId="272D9C99">
      <w:pPr>
        <w:snapToGrid w:val="0"/>
        <w:spacing w:line="360" w:lineRule="auto"/>
        <w:ind w:left="1260" w:leftChars="600" w:firstLine="2125" w:firstLineChars="1012"/>
        <w:rPr>
          <w:rFonts w:hint="eastAsia" w:ascii="宋体" w:hAnsi="宋体"/>
          <w:szCs w:val="21"/>
        </w:rPr>
      </w:pPr>
      <w:r>
        <w:rPr>
          <w:rFonts w:hint="eastAsia" w:ascii="宋体" w:hAnsi="宋体"/>
          <w:szCs w:val="21"/>
        </w:rPr>
        <w:t xml:space="preserve">投标单位：（加盖公章）                  </w:t>
      </w:r>
    </w:p>
    <w:p w14:paraId="7F4BBFCF">
      <w:pPr>
        <w:snapToGrid w:val="0"/>
        <w:spacing w:line="360" w:lineRule="auto"/>
        <w:ind w:left="1260" w:leftChars="600" w:firstLine="2125" w:firstLineChars="1012"/>
        <w:rPr>
          <w:rFonts w:hint="eastAsia" w:ascii="宋体" w:hAnsi="宋体"/>
          <w:szCs w:val="21"/>
        </w:rPr>
      </w:pPr>
    </w:p>
    <w:p w14:paraId="3E2E6C6B">
      <w:pPr>
        <w:snapToGrid w:val="0"/>
        <w:spacing w:line="360" w:lineRule="auto"/>
        <w:ind w:left="1260" w:leftChars="600" w:firstLine="2125" w:firstLineChars="1012"/>
        <w:rPr>
          <w:rFonts w:hint="eastAsia" w:ascii="宋体" w:hAnsi="宋体"/>
          <w:szCs w:val="21"/>
        </w:rPr>
      </w:pPr>
      <w:r>
        <w:rPr>
          <w:rFonts w:hint="eastAsia" w:ascii="宋体" w:hAnsi="宋体"/>
          <w:szCs w:val="21"/>
        </w:rPr>
        <w:t>法定代表人（或委托代理人）签名：</w:t>
      </w:r>
    </w:p>
    <w:p w14:paraId="67BD13F5">
      <w:pPr>
        <w:snapToGrid w:val="0"/>
        <w:spacing w:line="360" w:lineRule="auto"/>
        <w:ind w:left="1260" w:leftChars="600" w:firstLine="2125" w:firstLineChars="1012"/>
        <w:rPr>
          <w:rFonts w:hint="eastAsia" w:ascii="宋体" w:hAnsi="宋体"/>
          <w:szCs w:val="21"/>
        </w:rPr>
      </w:pPr>
    </w:p>
    <w:p w14:paraId="43622A14">
      <w:pPr>
        <w:snapToGrid w:val="0"/>
        <w:spacing w:line="360" w:lineRule="auto"/>
        <w:ind w:left="1260" w:leftChars="600" w:firstLine="2125" w:firstLineChars="1012"/>
        <w:rPr>
          <w:rFonts w:hint="eastAsia" w:ascii="宋体" w:hAnsi="宋体"/>
          <w:szCs w:val="21"/>
        </w:rPr>
      </w:pPr>
      <w:r>
        <w:rPr>
          <w:rFonts w:hint="eastAsia" w:ascii="宋体" w:hAnsi="宋体"/>
          <w:szCs w:val="21"/>
        </w:rPr>
        <w:t>日    期：</w:t>
      </w:r>
    </w:p>
    <w:p w14:paraId="7AC01E91">
      <w:pPr>
        <w:snapToGrid w:val="0"/>
        <w:spacing w:line="360" w:lineRule="auto"/>
        <w:rPr>
          <w:rFonts w:hint="eastAsia" w:ascii="宋体" w:hAnsi="宋体"/>
          <w:sz w:val="24"/>
        </w:rPr>
      </w:pPr>
    </w:p>
    <w:p w14:paraId="7BA2D70B">
      <w:pPr>
        <w:rPr>
          <w:rFonts w:hint="eastAsia"/>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99673A9">
      <w:pPr>
        <w:jc w:val="center"/>
        <w:rPr>
          <w:rFonts w:hint="eastAsia"/>
          <w:b/>
        </w:rPr>
      </w:pPr>
      <w:r>
        <w:rPr>
          <w:rFonts w:hint="eastAsia"/>
          <w:b/>
        </w:rPr>
        <w:t>二、已标价工程量清单</w:t>
      </w:r>
    </w:p>
    <w:p w14:paraId="790B4533">
      <w:pPr>
        <w:rPr>
          <w:rFonts w:hint="eastAsia"/>
        </w:rPr>
      </w:pPr>
    </w:p>
    <w:p w14:paraId="0DD647EA">
      <w:pPr>
        <w:rPr>
          <w:rFonts w:hint="eastAsia"/>
        </w:rPr>
      </w:pPr>
    </w:p>
    <w:p w14:paraId="7E10F56F">
      <w:pPr>
        <w:rPr>
          <w:rFonts w:hint="eastAsia"/>
        </w:rPr>
      </w:pPr>
    </w:p>
    <w:p w14:paraId="0D066B0D">
      <w:pPr>
        <w:rPr>
          <w:rFonts w:hint="eastAsia"/>
        </w:rPr>
      </w:pPr>
    </w:p>
    <w:p w14:paraId="49A8F111">
      <w:pPr>
        <w:rPr>
          <w:rFonts w:hint="eastAsia"/>
        </w:rPr>
      </w:pPr>
    </w:p>
    <w:p w14:paraId="737EE0A4">
      <w:pPr>
        <w:rPr>
          <w:rFonts w:hint="eastAsia"/>
        </w:rPr>
      </w:pPr>
    </w:p>
    <w:p w14:paraId="6E33405D">
      <w:pPr>
        <w:rPr>
          <w:rFonts w:hint="eastAsia"/>
        </w:rPr>
      </w:pPr>
    </w:p>
    <w:p w14:paraId="4F166BEC">
      <w:pPr>
        <w:rPr>
          <w:rFonts w:hint="eastAsia"/>
        </w:rPr>
      </w:pPr>
    </w:p>
    <w:p w14:paraId="3AE1891A">
      <w:pPr>
        <w:rPr>
          <w:rFonts w:hint="eastAsia"/>
        </w:rPr>
      </w:pPr>
    </w:p>
    <w:p w14:paraId="0840E7AD">
      <w:pPr>
        <w:rPr>
          <w:rFonts w:hint="eastAsia"/>
        </w:rPr>
      </w:pPr>
    </w:p>
    <w:p w14:paraId="4E61EBB8">
      <w:pPr>
        <w:rPr>
          <w:rFonts w:hint="eastAsia"/>
        </w:rPr>
      </w:pPr>
    </w:p>
    <w:p w14:paraId="25ECA48C">
      <w:pPr>
        <w:rPr>
          <w:rFonts w:hint="eastAsia"/>
        </w:rPr>
      </w:pPr>
    </w:p>
    <w:p w14:paraId="2120ACED">
      <w:pPr>
        <w:rPr>
          <w:rFonts w:hint="eastAsia"/>
        </w:rPr>
      </w:pPr>
    </w:p>
    <w:p w14:paraId="55D4BF52">
      <w:pPr>
        <w:rPr>
          <w:rFonts w:hint="eastAsia"/>
        </w:rPr>
      </w:pPr>
    </w:p>
    <w:p w14:paraId="79842ECF">
      <w:pPr>
        <w:rPr>
          <w:rFonts w:hint="eastAsia"/>
        </w:rPr>
      </w:pPr>
    </w:p>
    <w:p w14:paraId="316247F0">
      <w:pPr>
        <w:rPr>
          <w:rFonts w:hint="eastAsia"/>
        </w:rPr>
      </w:pPr>
    </w:p>
    <w:p w14:paraId="70031EDC">
      <w:pPr>
        <w:rPr>
          <w:rFonts w:hint="eastAsia"/>
        </w:rPr>
      </w:pPr>
    </w:p>
    <w:p w14:paraId="0A88D2E8">
      <w:pPr>
        <w:rPr>
          <w:rFonts w:hint="eastAsia"/>
        </w:rPr>
      </w:pPr>
    </w:p>
    <w:p w14:paraId="66F3BB67">
      <w:pPr>
        <w:rPr>
          <w:rFonts w:hint="eastAsia"/>
        </w:rPr>
      </w:pPr>
    </w:p>
    <w:p w14:paraId="50E900EE">
      <w:pPr>
        <w:rPr>
          <w:rFonts w:hint="eastAsia"/>
        </w:rPr>
      </w:pPr>
    </w:p>
    <w:p w14:paraId="4EC5B979">
      <w:pPr>
        <w:rPr>
          <w:rFonts w:hint="eastAsia"/>
        </w:rPr>
      </w:pPr>
    </w:p>
    <w:p w14:paraId="6FEA65AA">
      <w:pPr>
        <w:rPr>
          <w:rFonts w:hint="eastAsia"/>
        </w:rPr>
      </w:pPr>
    </w:p>
    <w:p w14:paraId="2CDB810F">
      <w:pPr>
        <w:rPr>
          <w:rFonts w:hint="eastAsia"/>
        </w:rPr>
      </w:pPr>
    </w:p>
    <w:p w14:paraId="6D5585CC">
      <w:pPr>
        <w:rPr>
          <w:rFonts w:hint="eastAsia"/>
        </w:rPr>
      </w:pPr>
    </w:p>
    <w:p w14:paraId="41F20B7A">
      <w:pPr>
        <w:rPr>
          <w:rFonts w:hint="eastAsia"/>
        </w:rPr>
      </w:pPr>
    </w:p>
    <w:p w14:paraId="05991879">
      <w:pPr>
        <w:rPr>
          <w:rFonts w:hint="eastAsia"/>
        </w:rPr>
      </w:pPr>
    </w:p>
    <w:p w14:paraId="5BB4AABD">
      <w:pPr>
        <w:rPr>
          <w:rFonts w:hint="eastAsia"/>
        </w:rPr>
      </w:pPr>
    </w:p>
    <w:p w14:paraId="56183CDF">
      <w:pPr>
        <w:rPr>
          <w:rFonts w:hint="eastAsia"/>
        </w:rPr>
      </w:pPr>
    </w:p>
    <w:p w14:paraId="0909852C">
      <w:pPr>
        <w:rPr>
          <w:rFonts w:hint="eastAsia"/>
        </w:rPr>
      </w:pPr>
    </w:p>
    <w:p w14:paraId="312FAEFB">
      <w:pPr>
        <w:rPr>
          <w:rFonts w:hint="eastAsia"/>
        </w:rPr>
      </w:pPr>
    </w:p>
    <w:p w14:paraId="3190FD11">
      <w:pPr>
        <w:rPr>
          <w:rFonts w:hint="eastAsia"/>
        </w:rPr>
      </w:pPr>
    </w:p>
    <w:p w14:paraId="777C0D68">
      <w:pPr>
        <w:rPr>
          <w:rFonts w:hint="eastAsia"/>
        </w:rPr>
      </w:pPr>
    </w:p>
    <w:p w14:paraId="189C4AB1">
      <w:pPr>
        <w:rPr>
          <w:rFonts w:hint="eastAsia"/>
        </w:rPr>
      </w:pPr>
    </w:p>
    <w:p w14:paraId="46A52FE3">
      <w:pPr>
        <w:rPr>
          <w:rFonts w:hint="eastAsia"/>
        </w:rPr>
      </w:pPr>
    </w:p>
    <w:p w14:paraId="28FBAF86">
      <w:pPr>
        <w:rPr>
          <w:rFonts w:hint="eastAsia"/>
        </w:rPr>
      </w:pPr>
    </w:p>
    <w:p w14:paraId="18604954">
      <w:pPr>
        <w:rPr>
          <w:rFonts w:hint="eastAsia"/>
        </w:rPr>
      </w:pPr>
    </w:p>
    <w:p w14:paraId="050DFD8F">
      <w:pPr>
        <w:rPr>
          <w:rFonts w:hint="eastAsia"/>
        </w:rPr>
      </w:pPr>
    </w:p>
    <w:p w14:paraId="43353B98">
      <w:pPr>
        <w:rPr>
          <w:rFonts w:hint="eastAsia"/>
        </w:rPr>
      </w:pPr>
    </w:p>
    <w:p w14:paraId="0EEE66FE">
      <w:pPr>
        <w:rPr>
          <w:rFonts w:hint="eastAsia"/>
        </w:rPr>
      </w:pPr>
    </w:p>
    <w:p w14:paraId="6984A4CF">
      <w:pPr>
        <w:rPr>
          <w:rFonts w:hint="eastAsia"/>
        </w:rPr>
      </w:pPr>
    </w:p>
    <w:p w14:paraId="7A63FB49">
      <w:pPr>
        <w:numPr>
          <w:ilvl w:val="0"/>
          <w:numId w:val="9"/>
        </w:numPr>
        <w:jc w:val="center"/>
        <w:rPr>
          <w:rFonts w:hint="eastAsia"/>
          <w:b/>
        </w:rPr>
      </w:pPr>
      <w:r>
        <w:rPr>
          <w:rFonts w:hint="eastAsia"/>
          <w:b/>
        </w:rPr>
        <w:t>其 他</w:t>
      </w:r>
    </w:p>
    <w:p w14:paraId="5F2618ED">
      <w:pPr>
        <w:pStyle w:val="2"/>
        <w:numPr>
          <w:ilvl w:val="0"/>
          <w:numId w:val="0"/>
        </w:numPr>
        <w:rPr>
          <w:rFonts w:hint="eastAsia"/>
        </w:rPr>
      </w:pPr>
    </w:p>
    <w:p w14:paraId="06E2F448">
      <w:pPr>
        <w:rPr>
          <w:rFonts w:hint="eastAsia"/>
        </w:rPr>
      </w:pPr>
    </w:p>
    <w:p w14:paraId="07DF4B5F">
      <w:pPr>
        <w:jc w:val="left"/>
        <w:rPr>
          <w:rFonts w:hint="eastAsia"/>
          <w:color w:val="auto"/>
          <w:highlight w:val="none"/>
          <w:lang w:val="en-US" w:eastAsia="zh-CN"/>
        </w:rPr>
      </w:pPr>
      <w:r>
        <w:rPr>
          <w:rFonts w:hint="eastAsia" w:asciiTheme="minorEastAsia" w:hAnsiTheme="minorEastAsia" w:eastAsiaTheme="minorEastAsia" w:cstheme="minorEastAsia"/>
          <w:color w:val="auto"/>
          <w:highlight w:val="none"/>
        </w:rPr>
        <w:t>注：由投标人自行考虑，若没有需要提供的</w:t>
      </w:r>
      <w:r>
        <w:rPr>
          <w:rFonts w:hint="eastAsia" w:asciiTheme="minorEastAsia" w:hAnsiTheme="minorEastAsia" w:eastAsiaTheme="minorEastAsia" w:cstheme="minorEastAsia"/>
          <w:color w:val="auto"/>
          <w:highlight w:val="none"/>
          <w:lang w:val="en-US" w:eastAsia="zh-CN"/>
        </w:rPr>
        <w:t>其他</w:t>
      </w:r>
      <w:r>
        <w:rPr>
          <w:rFonts w:hint="eastAsia" w:asciiTheme="minorEastAsia" w:hAnsiTheme="minorEastAsia" w:eastAsiaTheme="minorEastAsia" w:cstheme="minorEastAsia"/>
          <w:color w:val="auto"/>
          <w:highlight w:val="none"/>
        </w:rPr>
        <w:t>资料，可以填“无”或不填写内容。</w:t>
      </w:r>
    </w:p>
    <w:p w14:paraId="02B25AF7">
      <w:pPr>
        <w:spacing w:line="500" w:lineRule="exact"/>
        <w:jc w:val="left"/>
        <w:rPr>
          <w:rFonts w:hint="eastAsia" w:ascii="仿宋_GB2312" w:eastAsia="仿宋_GB2312"/>
          <w:sz w:val="32"/>
          <w:szCs w:val="32"/>
        </w:rPr>
      </w:pPr>
    </w:p>
    <w:sectPr>
      <w:pgSz w:w="11906" w:h="16838"/>
      <w:pgMar w:top="2098" w:right="1588" w:bottom="209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XBSJ-PK7482000003a-Identity-H">
    <w:altName w:val="黑体"/>
    <w:panose1 w:val="00000000000000000000"/>
    <w:charset w:val="00"/>
    <w:family w:val="auto"/>
    <w:pitch w:val="default"/>
    <w:sig w:usb0="00000000" w:usb1="00000000" w:usb2="00000010" w:usb3="00000000" w:csb0="00040000" w:csb1="00000000"/>
  </w:font>
  <w:font w:name="HTJ-PK74820000034-Identity-H">
    <w:altName w:val="黑体"/>
    <w:panose1 w:val="00000000000000000000"/>
    <w:charset w:val="00"/>
    <w:family w:val="auto"/>
    <w:pitch w:val="default"/>
    <w:sig w:usb0="00000000" w:usb1="00000000" w:usb2="00000010" w:usb3="00000000" w:csb0="00040000" w:csb1="00000000"/>
  </w:font>
  <w:font w:name="SSJ-PK7482000002d-Identity-H">
    <w:altName w:val="黑体"/>
    <w:panose1 w:val="00000000000000000000"/>
    <w:charset w:val="00"/>
    <w:family w:val="auto"/>
    <w:pitch w:val="default"/>
    <w:sig w:usb0="00000000" w:usb1="00000000" w:usb2="00000010" w:usb3="00000000" w:csb0="00040000" w:csb1="00000000"/>
  </w:font>
  <w:font w:name="E-HZ9-PK748409-Identity-H">
    <w:altName w:val="黑体"/>
    <w:panose1 w:val="00000000000000000000"/>
    <w:charset w:val="00"/>
    <w:family w:val="auto"/>
    <w:pitch w:val="default"/>
    <w:sig w:usb0="00000000" w:usb1="00000000" w:usb2="00000010" w:usb3="00000000" w:csb0="00040000" w:csb1="00000000"/>
  </w:font>
  <w:font w:name="O9-PK7484ba-Identity-H">
    <w:altName w:val="黑体"/>
    <w:panose1 w:val="00000000000000000000"/>
    <w:charset w:val="00"/>
    <w:family w:val="auto"/>
    <w:pitch w:val="default"/>
    <w:sig w:usb0="00000000" w:usb1="00000000" w:usb2="00000010" w:usb3="00000000" w:csb0="00040000" w:csb1="00000000"/>
  </w:font>
  <w:font w:name="H-SS9-PK74820000032-Identity-H">
    <w:altName w:val="黑体"/>
    <w:panose1 w:val="00000000000000000000"/>
    <w:charset w:val="00"/>
    <w:family w:val="auto"/>
    <w:pitch w:val="default"/>
    <w:sig w:usb0="00000000" w:usb1="00000000" w:usb2="00000010" w:usb3="00000000" w:csb0="00040000" w:csb1="00000000"/>
  </w:font>
  <w:font w:name="E-BZ9-PK7483cf-Identity-H">
    <w:altName w:val="黑体"/>
    <w:panose1 w:val="00000000000000000000"/>
    <w:charset w:val="00"/>
    <w:family w:val="auto"/>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14F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965D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965D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495A">
    <w:pPr>
      <w:pStyle w:val="1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044DA">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E044DA">
                    <w:pPr>
                      <w:pStyle w:val="1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3EE2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41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87D6B"/>
    <w:multiLevelType w:val="singleLevel"/>
    <w:tmpl w:val="B2F87D6B"/>
    <w:lvl w:ilvl="0" w:tentative="0">
      <w:start w:val="10"/>
      <w:numFmt w:val="chineseCounting"/>
      <w:suff w:val="nothing"/>
      <w:lvlText w:val="%1、"/>
      <w:lvlJc w:val="left"/>
      <w:rPr>
        <w:rFonts w:hint="eastAsia"/>
      </w:rPr>
    </w:lvl>
  </w:abstractNum>
  <w:abstractNum w:abstractNumId="1">
    <w:nsid w:val="E7E4B0FB"/>
    <w:multiLevelType w:val="singleLevel"/>
    <w:tmpl w:val="E7E4B0FB"/>
    <w:lvl w:ilvl="0" w:tentative="0">
      <w:start w:val="1"/>
      <w:numFmt w:val="decimal"/>
      <w:suff w:val="nothing"/>
      <w:lvlText w:val="%1、"/>
      <w:lvlJc w:val="left"/>
    </w:lvl>
  </w:abstractNum>
  <w:abstractNum w:abstractNumId="2">
    <w:nsid w:val="256FF7DB"/>
    <w:multiLevelType w:val="singleLevel"/>
    <w:tmpl w:val="256FF7DB"/>
    <w:lvl w:ilvl="0" w:tentative="0">
      <w:start w:val="3"/>
      <w:numFmt w:val="chineseCounting"/>
      <w:suff w:val="nothing"/>
      <w:lvlText w:val="%1、"/>
      <w:lvlJc w:val="left"/>
      <w:rPr>
        <w:rFonts w:hint="eastAsia"/>
      </w:rPr>
    </w:lvl>
  </w:abstractNum>
  <w:abstractNum w:abstractNumId="3">
    <w:nsid w:val="5B83B8EC"/>
    <w:multiLevelType w:val="singleLevel"/>
    <w:tmpl w:val="5B83B8EC"/>
    <w:lvl w:ilvl="0" w:tentative="0">
      <w:start w:val="1"/>
      <w:numFmt w:val="decimal"/>
      <w:suff w:val="nothing"/>
      <w:lvlText w:val="%1、"/>
      <w:lvlJc w:val="left"/>
    </w:lvl>
  </w:abstractNum>
  <w:abstractNum w:abstractNumId="4">
    <w:nsid w:val="5F4EF2E8"/>
    <w:multiLevelType w:val="singleLevel"/>
    <w:tmpl w:val="5F4EF2E8"/>
    <w:lvl w:ilvl="0" w:tentative="0">
      <w:start w:val="1"/>
      <w:numFmt w:val="decimal"/>
      <w:suff w:val="nothing"/>
      <w:lvlText w:val="（%1）"/>
      <w:lvlJc w:val="left"/>
    </w:lvl>
  </w:abstractNum>
  <w:abstractNum w:abstractNumId="5">
    <w:nsid w:val="5F62D6B0"/>
    <w:multiLevelType w:val="singleLevel"/>
    <w:tmpl w:val="5F62D6B0"/>
    <w:lvl w:ilvl="0" w:tentative="0">
      <w:start w:val="1"/>
      <w:numFmt w:val="decimal"/>
      <w:suff w:val="nothing"/>
      <w:lvlText w:val="（%1）"/>
      <w:lvlJc w:val="left"/>
    </w:lvl>
  </w:abstractNum>
  <w:abstractNum w:abstractNumId="6">
    <w:nsid w:val="5F62DF97"/>
    <w:multiLevelType w:val="singleLevel"/>
    <w:tmpl w:val="5F62DF97"/>
    <w:lvl w:ilvl="0" w:tentative="0">
      <w:start w:val="1"/>
      <w:numFmt w:val="decimal"/>
      <w:suff w:val="nothing"/>
      <w:lvlText w:val="（%1）"/>
      <w:lvlJc w:val="left"/>
    </w:lvl>
  </w:abstractNum>
  <w:abstractNum w:abstractNumId="7">
    <w:nsid w:val="60F62492"/>
    <w:multiLevelType w:val="singleLevel"/>
    <w:tmpl w:val="60F62492"/>
    <w:lvl w:ilvl="0" w:tentative="0">
      <w:start w:val="2"/>
      <w:numFmt w:val="decimal"/>
      <w:suff w:val="nothing"/>
      <w:lvlText w:val="(%1）"/>
      <w:lvlJc w:val="left"/>
    </w:lvl>
  </w:abstractNum>
  <w:abstractNum w:abstractNumId="8">
    <w:nsid w:val="78645F0F"/>
    <w:multiLevelType w:val="singleLevel"/>
    <w:tmpl w:val="78645F0F"/>
    <w:lvl w:ilvl="0" w:tentative="0">
      <w:start w:val="1"/>
      <w:numFmt w:val="decimal"/>
      <w:suff w:val="nothing"/>
      <w:lvlText w:val="（%1）"/>
      <w:lvlJc w:val="left"/>
    </w:lvl>
  </w:abstractNum>
  <w:num w:numId="1">
    <w:abstractNumId w:val="1"/>
  </w:num>
  <w:num w:numId="2">
    <w:abstractNumId w:val="3"/>
  </w:num>
  <w:num w:numId="3">
    <w:abstractNumId w:val="7"/>
  </w:num>
  <w:num w:numId="4">
    <w:abstractNumId w:val="4"/>
  </w:num>
  <w:num w:numId="5">
    <w:abstractNumId w:val="6"/>
  </w:num>
  <w:num w:numId="6">
    <w:abstractNumId w:val="5"/>
  </w:num>
  <w:num w:numId="7">
    <w:abstractNumId w:val="8"/>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NzczYWQyMzZiNGZjNjcwNDEyNWE4Y2VlZDYyMDUifQ=="/>
  </w:docVars>
  <w:rsids>
    <w:rsidRoot w:val="00172A27"/>
    <w:rsid w:val="000053BD"/>
    <w:rsid w:val="000110A3"/>
    <w:rsid w:val="00012E39"/>
    <w:rsid w:val="00013371"/>
    <w:rsid w:val="00013A71"/>
    <w:rsid w:val="00017079"/>
    <w:rsid w:val="00017C7B"/>
    <w:rsid w:val="000201B8"/>
    <w:rsid w:val="00023740"/>
    <w:rsid w:val="00024241"/>
    <w:rsid w:val="00026579"/>
    <w:rsid w:val="000266DE"/>
    <w:rsid w:val="00026BF9"/>
    <w:rsid w:val="000377FA"/>
    <w:rsid w:val="00037E78"/>
    <w:rsid w:val="0004104E"/>
    <w:rsid w:val="00042B0E"/>
    <w:rsid w:val="0004751A"/>
    <w:rsid w:val="000506A2"/>
    <w:rsid w:val="000522BA"/>
    <w:rsid w:val="00055058"/>
    <w:rsid w:val="00056AE0"/>
    <w:rsid w:val="00056FA7"/>
    <w:rsid w:val="00065EA3"/>
    <w:rsid w:val="00066420"/>
    <w:rsid w:val="00071D2A"/>
    <w:rsid w:val="00073650"/>
    <w:rsid w:val="00077067"/>
    <w:rsid w:val="000811FF"/>
    <w:rsid w:val="00084FCD"/>
    <w:rsid w:val="0008749F"/>
    <w:rsid w:val="000958CD"/>
    <w:rsid w:val="00097D44"/>
    <w:rsid w:val="000A414E"/>
    <w:rsid w:val="000A421A"/>
    <w:rsid w:val="000A4705"/>
    <w:rsid w:val="000A4CD9"/>
    <w:rsid w:val="000B1073"/>
    <w:rsid w:val="000B1D00"/>
    <w:rsid w:val="000B2346"/>
    <w:rsid w:val="000C2622"/>
    <w:rsid w:val="000C3842"/>
    <w:rsid w:val="000D24C2"/>
    <w:rsid w:val="000D2707"/>
    <w:rsid w:val="000D292D"/>
    <w:rsid w:val="000D2E03"/>
    <w:rsid w:val="000D3043"/>
    <w:rsid w:val="000D3C78"/>
    <w:rsid w:val="000E1DDA"/>
    <w:rsid w:val="000F2BF8"/>
    <w:rsid w:val="00100990"/>
    <w:rsid w:val="00100F98"/>
    <w:rsid w:val="0010567C"/>
    <w:rsid w:val="00111C19"/>
    <w:rsid w:val="00112443"/>
    <w:rsid w:val="00113C5E"/>
    <w:rsid w:val="0011651A"/>
    <w:rsid w:val="00125711"/>
    <w:rsid w:val="0012683D"/>
    <w:rsid w:val="00133771"/>
    <w:rsid w:val="00134C4E"/>
    <w:rsid w:val="00135626"/>
    <w:rsid w:val="00137E30"/>
    <w:rsid w:val="0014169F"/>
    <w:rsid w:val="0014712B"/>
    <w:rsid w:val="0014798C"/>
    <w:rsid w:val="001519BE"/>
    <w:rsid w:val="00162D76"/>
    <w:rsid w:val="00164C31"/>
    <w:rsid w:val="00171CCE"/>
    <w:rsid w:val="00174F9A"/>
    <w:rsid w:val="0017584E"/>
    <w:rsid w:val="00184063"/>
    <w:rsid w:val="00184B0D"/>
    <w:rsid w:val="00187476"/>
    <w:rsid w:val="001A1170"/>
    <w:rsid w:val="001A21A9"/>
    <w:rsid w:val="001A2537"/>
    <w:rsid w:val="001A3E7D"/>
    <w:rsid w:val="001A4566"/>
    <w:rsid w:val="001B5396"/>
    <w:rsid w:val="001B5579"/>
    <w:rsid w:val="001B6A83"/>
    <w:rsid w:val="001C1455"/>
    <w:rsid w:val="001C2BFE"/>
    <w:rsid w:val="001C64BE"/>
    <w:rsid w:val="001C6705"/>
    <w:rsid w:val="001C6BBF"/>
    <w:rsid w:val="001D2D21"/>
    <w:rsid w:val="001D5CE1"/>
    <w:rsid w:val="001E1536"/>
    <w:rsid w:val="001E2888"/>
    <w:rsid w:val="001E3EC7"/>
    <w:rsid w:val="001F1E6B"/>
    <w:rsid w:val="001F215A"/>
    <w:rsid w:val="001F31F1"/>
    <w:rsid w:val="001F5582"/>
    <w:rsid w:val="00200C26"/>
    <w:rsid w:val="00205DD6"/>
    <w:rsid w:val="00206497"/>
    <w:rsid w:val="0020798E"/>
    <w:rsid w:val="0021022A"/>
    <w:rsid w:val="002112C2"/>
    <w:rsid w:val="00212051"/>
    <w:rsid w:val="00214F0F"/>
    <w:rsid w:val="002160AB"/>
    <w:rsid w:val="002322C8"/>
    <w:rsid w:val="00232A44"/>
    <w:rsid w:val="00233D2A"/>
    <w:rsid w:val="0023596F"/>
    <w:rsid w:val="002360D7"/>
    <w:rsid w:val="00237E39"/>
    <w:rsid w:val="0024209B"/>
    <w:rsid w:val="00244EA5"/>
    <w:rsid w:val="0024688B"/>
    <w:rsid w:val="00251D8A"/>
    <w:rsid w:val="002615B5"/>
    <w:rsid w:val="00263467"/>
    <w:rsid w:val="00263A6F"/>
    <w:rsid w:val="00264F70"/>
    <w:rsid w:val="00273FE4"/>
    <w:rsid w:val="00277C90"/>
    <w:rsid w:val="002818B4"/>
    <w:rsid w:val="002829AC"/>
    <w:rsid w:val="002836EC"/>
    <w:rsid w:val="002857EC"/>
    <w:rsid w:val="00286B39"/>
    <w:rsid w:val="0029004F"/>
    <w:rsid w:val="002911B4"/>
    <w:rsid w:val="00293443"/>
    <w:rsid w:val="00293A7B"/>
    <w:rsid w:val="00294403"/>
    <w:rsid w:val="002A2294"/>
    <w:rsid w:val="002B5036"/>
    <w:rsid w:val="002B66FA"/>
    <w:rsid w:val="002B777F"/>
    <w:rsid w:val="002B7CF9"/>
    <w:rsid w:val="002B7DC1"/>
    <w:rsid w:val="002C1256"/>
    <w:rsid w:val="002D1D51"/>
    <w:rsid w:val="002D5DEA"/>
    <w:rsid w:val="002D67A6"/>
    <w:rsid w:val="002D79F7"/>
    <w:rsid w:val="002E2004"/>
    <w:rsid w:val="002E4A65"/>
    <w:rsid w:val="002E587A"/>
    <w:rsid w:val="002F5B39"/>
    <w:rsid w:val="002F697C"/>
    <w:rsid w:val="0030771B"/>
    <w:rsid w:val="00314C0D"/>
    <w:rsid w:val="003151CD"/>
    <w:rsid w:val="00316482"/>
    <w:rsid w:val="0031757F"/>
    <w:rsid w:val="0032061A"/>
    <w:rsid w:val="00324F2E"/>
    <w:rsid w:val="003256D6"/>
    <w:rsid w:val="003301F3"/>
    <w:rsid w:val="0033074F"/>
    <w:rsid w:val="00333394"/>
    <w:rsid w:val="003420D5"/>
    <w:rsid w:val="0034499C"/>
    <w:rsid w:val="003564FF"/>
    <w:rsid w:val="00356EF4"/>
    <w:rsid w:val="0036619C"/>
    <w:rsid w:val="00370E1E"/>
    <w:rsid w:val="00372AEB"/>
    <w:rsid w:val="00374C10"/>
    <w:rsid w:val="00380469"/>
    <w:rsid w:val="00384299"/>
    <w:rsid w:val="00384E54"/>
    <w:rsid w:val="0038669B"/>
    <w:rsid w:val="0039042A"/>
    <w:rsid w:val="00391204"/>
    <w:rsid w:val="0039542E"/>
    <w:rsid w:val="0039731A"/>
    <w:rsid w:val="003A12A2"/>
    <w:rsid w:val="003A14E2"/>
    <w:rsid w:val="003A22BB"/>
    <w:rsid w:val="003A2D73"/>
    <w:rsid w:val="003A4DEB"/>
    <w:rsid w:val="003B0320"/>
    <w:rsid w:val="003B1C3C"/>
    <w:rsid w:val="003B2141"/>
    <w:rsid w:val="003B31C1"/>
    <w:rsid w:val="003B4698"/>
    <w:rsid w:val="003B7410"/>
    <w:rsid w:val="003C26B0"/>
    <w:rsid w:val="003C2F63"/>
    <w:rsid w:val="003C3FDD"/>
    <w:rsid w:val="003E0A96"/>
    <w:rsid w:val="003E2384"/>
    <w:rsid w:val="003E49FD"/>
    <w:rsid w:val="003F3CF2"/>
    <w:rsid w:val="003F5181"/>
    <w:rsid w:val="003F6065"/>
    <w:rsid w:val="0040042C"/>
    <w:rsid w:val="00413CE9"/>
    <w:rsid w:val="00415EE1"/>
    <w:rsid w:val="00416A41"/>
    <w:rsid w:val="00421109"/>
    <w:rsid w:val="00424656"/>
    <w:rsid w:val="00427711"/>
    <w:rsid w:val="0043092B"/>
    <w:rsid w:val="00430E6D"/>
    <w:rsid w:val="00432984"/>
    <w:rsid w:val="00434A4F"/>
    <w:rsid w:val="004507B3"/>
    <w:rsid w:val="00450CF4"/>
    <w:rsid w:val="00452E1F"/>
    <w:rsid w:val="00455BCB"/>
    <w:rsid w:val="00455DF6"/>
    <w:rsid w:val="0045610C"/>
    <w:rsid w:val="004618E2"/>
    <w:rsid w:val="0046203F"/>
    <w:rsid w:val="00466D45"/>
    <w:rsid w:val="004741A8"/>
    <w:rsid w:val="00484272"/>
    <w:rsid w:val="00486EE9"/>
    <w:rsid w:val="00493FF9"/>
    <w:rsid w:val="00497EEF"/>
    <w:rsid w:val="004A44B8"/>
    <w:rsid w:val="004A6FA6"/>
    <w:rsid w:val="004A7197"/>
    <w:rsid w:val="004B136B"/>
    <w:rsid w:val="004B2510"/>
    <w:rsid w:val="004B5158"/>
    <w:rsid w:val="004C1DD5"/>
    <w:rsid w:val="004C7B29"/>
    <w:rsid w:val="004D0E04"/>
    <w:rsid w:val="004E3BD7"/>
    <w:rsid w:val="004E5C07"/>
    <w:rsid w:val="004F064E"/>
    <w:rsid w:val="004F42EE"/>
    <w:rsid w:val="004F585E"/>
    <w:rsid w:val="00502FCF"/>
    <w:rsid w:val="005067A8"/>
    <w:rsid w:val="00511AE1"/>
    <w:rsid w:val="00514073"/>
    <w:rsid w:val="00514AE4"/>
    <w:rsid w:val="00514FE6"/>
    <w:rsid w:val="005203B7"/>
    <w:rsid w:val="005228E5"/>
    <w:rsid w:val="005239E6"/>
    <w:rsid w:val="00525C24"/>
    <w:rsid w:val="00527330"/>
    <w:rsid w:val="0053046B"/>
    <w:rsid w:val="00534DDF"/>
    <w:rsid w:val="005436F2"/>
    <w:rsid w:val="00544839"/>
    <w:rsid w:val="00551488"/>
    <w:rsid w:val="00555A44"/>
    <w:rsid w:val="00557376"/>
    <w:rsid w:val="00557DB3"/>
    <w:rsid w:val="005642CC"/>
    <w:rsid w:val="00574418"/>
    <w:rsid w:val="00575FEC"/>
    <w:rsid w:val="00577CE1"/>
    <w:rsid w:val="00580BB2"/>
    <w:rsid w:val="00581D39"/>
    <w:rsid w:val="00583E59"/>
    <w:rsid w:val="0058728A"/>
    <w:rsid w:val="005A42E5"/>
    <w:rsid w:val="005A5C64"/>
    <w:rsid w:val="005A6D24"/>
    <w:rsid w:val="005A771B"/>
    <w:rsid w:val="005B236E"/>
    <w:rsid w:val="005B4869"/>
    <w:rsid w:val="005B6EF6"/>
    <w:rsid w:val="005B7120"/>
    <w:rsid w:val="005C2232"/>
    <w:rsid w:val="005D123B"/>
    <w:rsid w:val="005D5381"/>
    <w:rsid w:val="005E13CC"/>
    <w:rsid w:val="005E13DD"/>
    <w:rsid w:val="005E1772"/>
    <w:rsid w:val="005E1EA2"/>
    <w:rsid w:val="005E2B56"/>
    <w:rsid w:val="005E63D7"/>
    <w:rsid w:val="005E6FBD"/>
    <w:rsid w:val="005E7AB0"/>
    <w:rsid w:val="005F013B"/>
    <w:rsid w:val="005F0846"/>
    <w:rsid w:val="005F3383"/>
    <w:rsid w:val="005F69AF"/>
    <w:rsid w:val="006039DD"/>
    <w:rsid w:val="006075D0"/>
    <w:rsid w:val="006106E0"/>
    <w:rsid w:val="0061292F"/>
    <w:rsid w:val="00625F9B"/>
    <w:rsid w:val="00630E08"/>
    <w:rsid w:val="00632604"/>
    <w:rsid w:val="00635D17"/>
    <w:rsid w:val="00635FA2"/>
    <w:rsid w:val="0064058D"/>
    <w:rsid w:val="0064414E"/>
    <w:rsid w:val="006612B8"/>
    <w:rsid w:val="006659AD"/>
    <w:rsid w:val="00667AF6"/>
    <w:rsid w:val="0067137D"/>
    <w:rsid w:val="006720E6"/>
    <w:rsid w:val="006762B3"/>
    <w:rsid w:val="0068121C"/>
    <w:rsid w:val="0068404E"/>
    <w:rsid w:val="00684EC6"/>
    <w:rsid w:val="006924AB"/>
    <w:rsid w:val="00694E32"/>
    <w:rsid w:val="00695A0B"/>
    <w:rsid w:val="00695BAF"/>
    <w:rsid w:val="006970D8"/>
    <w:rsid w:val="00697F65"/>
    <w:rsid w:val="006A020B"/>
    <w:rsid w:val="006A773D"/>
    <w:rsid w:val="006C10EE"/>
    <w:rsid w:val="006D25E2"/>
    <w:rsid w:val="006D3BD3"/>
    <w:rsid w:val="006D499D"/>
    <w:rsid w:val="006E1B8E"/>
    <w:rsid w:val="006E325C"/>
    <w:rsid w:val="006E78AA"/>
    <w:rsid w:val="006F3014"/>
    <w:rsid w:val="006F4593"/>
    <w:rsid w:val="0070058B"/>
    <w:rsid w:val="00701636"/>
    <w:rsid w:val="00704552"/>
    <w:rsid w:val="00704F1B"/>
    <w:rsid w:val="00705FF7"/>
    <w:rsid w:val="007061E0"/>
    <w:rsid w:val="00711F00"/>
    <w:rsid w:val="00712D6B"/>
    <w:rsid w:val="007133EA"/>
    <w:rsid w:val="0071556E"/>
    <w:rsid w:val="00715900"/>
    <w:rsid w:val="00716914"/>
    <w:rsid w:val="00726BA9"/>
    <w:rsid w:val="00727B80"/>
    <w:rsid w:val="00734969"/>
    <w:rsid w:val="00735D8C"/>
    <w:rsid w:val="00741361"/>
    <w:rsid w:val="0074695D"/>
    <w:rsid w:val="00751425"/>
    <w:rsid w:val="0075271F"/>
    <w:rsid w:val="007538E5"/>
    <w:rsid w:val="00756DE0"/>
    <w:rsid w:val="0075702F"/>
    <w:rsid w:val="00761CFA"/>
    <w:rsid w:val="00764C06"/>
    <w:rsid w:val="00775687"/>
    <w:rsid w:val="0077740E"/>
    <w:rsid w:val="0077798B"/>
    <w:rsid w:val="007800E5"/>
    <w:rsid w:val="00781A67"/>
    <w:rsid w:val="00782CCB"/>
    <w:rsid w:val="007927E1"/>
    <w:rsid w:val="00792F7D"/>
    <w:rsid w:val="007935C1"/>
    <w:rsid w:val="00794296"/>
    <w:rsid w:val="00795BBC"/>
    <w:rsid w:val="00795D7D"/>
    <w:rsid w:val="007A4A9F"/>
    <w:rsid w:val="007A4BDD"/>
    <w:rsid w:val="007B3834"/>
    <w:rsid w:val="007D1DD4"/>
    <w:rsid w:val="007D41F9"/>
    <w:rsid w:val="007D53A1"/>
    <w:rsid w:val="007D5626"/>
    <w:rsid w:val="007E6D52"/>
    <w:rsid w:val="007F6330"/>
    <w:rsid w:val="007F63D4"/>
    <w:rsid w:val="0080263B"/>
    <w:rsid w:val="00805685"/>
    <w:rsid w:val="00806BE0"/>
    <w:rsid w:val="00810EC3"/>
    <w:rsid w:val="008149E1"/>
    <w:rsid w:val="00816322"/>
    <w:rsid w:val="00821A30"/>
    <w:rsid w:val="00821D62"/>
    <w:rsid w:val="0082397D"/>
    <w:rsid w:val="00824401"/>
    <w:rsid w:val="008337C7"/>
    <w:rsid w:val="00834AF1"/>
    <w:rsid w:val="00835D11"/>
    <w:rsid w:val="008370BF"/>
    <w:rsid w:val="008377B5"/>
    <w:rsid w:val="008419D0"/>
    <w:rsid w:val="008426F1"/>
    <w:rsid w:val="00846DA4"/>
    <w:rsid w:val="00847EE0"/>
    <w:rsid w:val="00850CD1"/>
    <w:rsid w:val="00851D98"/>
    <w:rsid w:val="008564EE"/>
    <w:rsid w:val="00862AF8"/>
    <w:rsid w:val="00866A66"/>
    <w:rsid w:val="008702EE"/>
    <w:rsid w:val="008718C6"/>
    <w:rsid w:val="0087468C"/>
    <w:rsid w:val="008750AB"/>
    <w:rsid w:val="008768BB"/>
    <w:rsid w:val="00881D18"/>
    <w:rsid w:val="008837EE"/>
    <w:rsid w:val="008877DD"/>
    <w:rsid w:val="008A4EA5"/>
    <w:rsid w:val="008A5E88"/>
    <w:rsid w:val="008B0904"/>
    <w:rsid w:val="008B47F3"/>
    <w:rsid w:val="008B4E63"/>
    <w:rsid w:val="008B53BD"/>
    <w:rsid w:val="008B78DF"/>
    <w:rsid w:val="008C1B15"/>
    <w:rsid w:val="008C2149"/>
    <w:rsid w:val="008D0E92"/>
    <w:rsid w:val="008D2AB0"/>
    <w:rsid w:val="008D4E7A"/>
    <w:rsid w:val="008E095F"/>
    <w:rsid w:val="008E24AD"/>
    <w:rsid w:val="008E7316"/>
    <w:rsid w:val="008F3070"/>
    <w:rsid w:val="008F5A21"/>
    <w:rsid w:val="00900D84"/>
    <w:rsid w:val="00901EB9"/>
    <w:rsid w:val="0090281A"/>
    <w:rsid w:val="00902C43"/>
    <w:rsid w:val="00903D78"/>
    <w:rsid w:val="00913A1A"/>
    <w:rsid w:val="00913D91"/>
    <w:rsid w:val="00933760"/>
    <w:rsid w:val="00937B64"/>
    <w:rsid w:val="009444CC"/>
    <w:rsid w:val="00944840"/>
    <w:rsid w:val="0094710B"/>
    <w:rsid w:val="00952D4E"/>
    <w:rsid w:val="009530B7"/>
    <w:rsid w:val="00953BEA"/>
    <w:rsid w:val="00965C25"/>
    <w:rsid w:val="00967E8D"/>
    <w:rsid w:val="0097349E"/>
    <w:rsid w:val="00973553"/>
    <w:rsid w:val="009812E6"/>
    <w:rsid w:val="00982D02"/>
    <w:rsid w:val="00983271"/>
    <w:rsid w:val="00992D75"/>
    <w:rsid w:val="00993590"/>
    <w:rsid w:val="009947C3"/>
    <w:rsid w:val="00994D9B"/>
    <w:rsid w:val="009A3F07"/>
    <w:rsid w:val="009B1513"/>
    <w:rsid w:val="009B1677"/>
    <w:rsid w:val="009B2FAD"/>
    <w:rsid w:val="009B3975"/>
    <w:rsid w:val="009B61F5"/>
    <w:rsid w:val="009B62AA"/>
    <w:rsid w:val="009C357C"/>
    <w:rsid w:val="009C4785"/>
    <w:rsid w:val="009D290B"/>
    <w:rsid w:val="009D3654"/>
    <w:rsid w:val="009D768A"/>
    <w:rsid w:val="009E0859"/>
    <w:rsid w:val="009E4006"/>
    <w:rsid w:val="009F0361"/>
    <w:rsid w:val="009F177C"/>
    <w:rsid w:val="009F2325"/>
    <w:rsid w:val="009F299E"/>
    <w:rsid w:val="009F78E8"/>
    <w:rsid w:val="00A01886"/>
    <w:rsid w:val="00A025DE"/>
    <w:rsid w:val="00A045B8"/>
    <w:rsid w:val="00A05914"/>
    <w:rsid w:val="00A06DED"/>
    <w:rsid w:val="00A0734D"/>
    <w:rsid w:val="00A100C5"/>
    <w:rsid w:val="00A134F3"/>
    <w:rsid w:val="00A17264"/>
    <w:rsid w:val="00A26373"/>
    <w:rsid w:val="00A26868"/>
    <w:rsid w:val="00A268B5"/>
    <w:rsid w:val="00A26B12"/>
    <w:rsid w:val="00A3591E"/>
    <w:rsid w:val="00A4180E"/>
    <w:rsid w:val="00A46374"/>
    <w:rsid w:val="00A46936"/>
    <w:rsid w:val="00A5306A"/>
    <w:rsid w:val="00A53128"/>
    <w:rsid w:val="00A55B56"/>
    <w:rsid w:val="00A61937"/>
    <w:rsid w:val="00A6224C"/>
    <w:rsid w:val="00A64A8B"/>
    <w:rsid w:val="00A659A7"/>
    <w:rsid w:val="00A65DD5"/>
    <w:rsid w:val="00A766C2"/>
    <w:rsid w:val="00A77ABF"/>
    <w:rsid w:val="00A80E13"/>
    <w:rsid w:val="00A81933"/>
    <w:rsid w:val="00A82437"/>
    <w:rsid w:val="00A87460"/>
    <w:rsid w:val="00A900F1"/>
    <w:rsid w:val="00A92B0A"/>
    <w:rsid w:val="00A94485"/>
    <w:rsid w:val="00A95D9C"/>
    <w:rsid w:val="00AA5D6D"/>
    <w:rsid w:val="00AA6589"/>
    <w:rsid w:val="00AA6603"/>
    <w:rsid w:val="00AB1433"/>
    <w:rsid w:val="00AB2699"/>
    <w:rsid w:val="00AB76BE"/>
    <w:rsid w:val="00AB78A0"/>
    <w:rsid w:val="00AC352C"/>
    <w:rsid w:val="00AC4A1B"/>
    <w:rsid w:val="00AC5866"/>
    <w:rsid w:val="00AD0618"/>
    <w:rsid w:val="00AD3535"/>
    <w:rsid w:val="00AD668F"/>
    <w:rsid w:val="00AE54FB"/>
    <w:rsid w:val="00AF21FF"/>
    <w:rsid w:val="00AF7FCC"/>
    <w:rsid w:val="00B0183B"/>
    <w:rsid w:val="00B11C79"/>
    <w:rsid w:val="00B12857"/>
    <w:rsid w:val="00B12CD3"/>
    <w:rsid w:val="00B13833"/>
    <w:rsid w:val="00B13A68"/>
    <w:rsid w:val="00B14635"/>
    <w:rsid w:val="00B16D9D"/>
    <w:rsid w:val="00B21F04"/>
    <w:rsid w:val="00B26C6B"/>
    <w:rsid w:val="00B303D7"/>
    <w:rsid w:val="00B315ED"/>
    <w:rsid w:val="00B3176A"/>
    <w:rsid w:val="00B32A6A"/>
    <w:rsid w:val="00B42798"/>
    <w:rsid w:val="00B42B9C"/>
    <w:rsid w:val="00B42F14"/>
    <w:rsid w:val="00B43AF6"/>
    <w:rsid w:val="00B46340"/>
    <w:rsid w:val="00B46A53"/>
    <w:rsid w:val="00B52040"/>
    <w:rsid w:val="00B520CE"/>
    <w:rsid w:val="00B52EF6"/>
    <w:rsid w:val="00B5389E"/>
    <w:rsid w:val="00B61635"/>
    <w:rsid w:val="00B61E33"/>
    <w:rsid w:val="00B75566"/>
    <w:rsid w:val="00B7745F"/>
    <w:rsid w:val="00B82752"/>
    <w:rsid w:val="00B82876"/>
    <w:rsid w:val="00B854EA"/>
    <w:rsid w:val="00B85A53"/>
    <w:rsid w:val="00BA5E01"/>
    <w:rsid w:val="00BB0261"/>
    <w:rsid w:val="00BB12D2"/>
    <w:rsid w:val="00BB3095"/>
    <w:rsid w:val="00BC0540"/>
    <w:rsid w:val="00BC6062"/>
    <w:rsid w:val="00BE54A1"/>
    <w:rsid w:val="00BF1954"/>
    <w:rsid w:val="00BF28D1"/>
    <w:rsid w:val="00BF3DB7"/>
    <w:rsid w:val="00C07037"/>
    <w:rsid w:val="00C104A6"/>
    <w:rsid w:val="00C15C6B"/>
    <w:rsid w:val="00C2026C"/>
    <w:rsid w:val="00C22D10"/>
    <w:rsid w:val="00C2719C"/>
    <w:rsid w:val="00C27330"/>
    <w:rsid w:val="00C30756"/>
    <w:rsid w:val="00C308A8"/>
    <w:rsid w:val="00C31887"/>
    <w:rsid w:val="00C319D1"/>
    <w:rsid w:val="00C32CA7"/>
    <w:rsid w:val="00C33421"/>
    <w:rsid w:val="00C34A37"/>
    <w:rsid w:val="00C45815"/>
    <w:rsid w:val="00C50B23"/>
    <w:rsid w:val="00C5291B"/>
    <w:rsid w:val="00C550BC"/>
    <w:rsid w:val="00C565B1"/>
    <w:rsid w:val="00C60723"/>
    <w:rsid w:val="00C60BB1"/>
    <w:rsid w:val="00C6317B"/>
    <w:rsid w:val="00C72FA7"/>
    <w:rsid w:val="00C73DB6"/>
    <w:rsid w:val="00C75438"/>
    <w:rsid w:val="00C77582"/>
    <w:rsid w:val="00C776AE"/>
    <w:rsid w:val="00C805F0"/>
    <w:rsid w:val="00C812A8"/>
    <w:rsid w:val="00C84426"/>
    <w:rsid w:val="00C847D3"/>
    <w:rsid w:val="00C849E4"/>
    <w:rsid w:val="00C85F84"/>
    <w:rsid w:val="00C86B7F"/>
    <w:rsid w:val="00C90DC6"/>
    <w:rsid w:val="00C92AC5"/>
    <w:rsid w:val="00CA3690"/>
    <w:rsid w:val="00CB15C7"/>
    <w:rsid w:val="00CB2F51"/>
    <w:rsid w:val="00CB63DE"/>
    <w:rsid w:val="00CC6D05"/>
    <w:rsid w:val="00CC7A43"/>
    <w:rsid w:val="00CD396A"/>
    <w:rsid w:val="00CD5647"/>
    <w:rsid w:val="00CD6336"/>
    <w:rsid w:val="00CD73EC"/>
    <w:rsid w:val="00CD7D7B"/>
    <w:rsid w:val="00CE1E52"/>
    <w:rsid w:val="00CE41DB"/>
    <w:rsid w:val="00CF0704"/>
    <w:rsid w:val="00CF356A"/>
    <w:rsid w:val="00CF7996"/>
    <w:rsid w:val="00D01F50"/>
    <w:rsid w:val="00D033AE"/>
    <w:rsid w:val="00D04FCA"/>
    <w:rsid w:val="00D05A2A"/>
    <w:rsid w:val="00D14D2E"/>
    <w:rsid w:val="00D24F6F"/>
    <w:rsid w:val="00D3438F"/>
    <w:rsid w:val="00D42D66"/>
    <w:rsid w:val="00D53817"/>
    <w:rsid w:val="00D542B7"/>
    <w:rsid w:val="00D62132"/>
    <w:rsid w:val="00D63365"/>
    <w:rsid w:val="00D65297"/>
    <w:rsid w:val="00D67383"/>
    <w:rsid w:val="00D709D5"/>
    <w:rsid w:val="00D745B3"/>
    <w:rsid w:val="00D74BF1"/>
    <w:rsid w:val="00D759A1"/>
    <w:rsid w:val="00D75FE1"/>
    <w:rsid w:val="00D767A6"/>
    <w:rsid w:val="00D77B90"/>
    <w:rsid w:val="00D810A8"/>
    <w:rsid w:val="00D83369"/>
    <w:rsid w:val="00D847A7"/>
    <w:rsid w:val="00D847EE"/>
    <w:rsid w:val="00D9206A"/>
    <w:rsid w:val="00DA01B1"/>
    <w:rsid w:val="00DA2313"/>
    <w:rsid w:val="00DA64D0"/>
    <w:rsid w:val="00DB4497"/>
    <w:rsid w:val="00DC2B51"/>
    <w:rsid w:val="00DC2D2C"/>
    <w:rsid w:val="00DC3FC4"/>
    <w:rsid w:val="00DC7E54"/>
    <w:rsid w:val="00DD582F"/>
    <w:rsid w:val="00DE1071"/>
    <w:rsid w:val="00DE230B"/>
    <w:rsid w:val="00DE2D34"/>
    <w:rsid w:val="00DE43BA"/>
    <w:rsid w:val="00DE6033"/>
    <w:rsid w:val="00DE6FBC"/>
    <w:rsid w:val="00DE7589"/>
    <w:rsid w:val="00DF1DD2"/>
    <w:rsid w:val="00E03EB5"/>
    <w:rsid w:val="00E0514B"/>
    <w:rsid w:val="00E05154"/>
    <w:rsid w:val="00E05C11"/>
    <w:rsid w:val="00E07570"/>
    <w:rsid w:val="00E11DF1"/>
    <w:rsid w:val="00E12A04"/>
    <w:rsid w:val="00E12F2C"/>
    <w:rsid w:val="00E15B8F"/>
    <w:rsid w:val="00E23FD3"/>
    <w:rsid w:val="00E314C6"/>
    <w:rsid w:val="00E3253B"/>
    <w:rsid w:val="00E33CB2"/>
    <w:rsid w:val="00E35DAA"/>
    <w:rsid w:val="00E36F96"/>
    <w:rsid w:val="00E37B93"/>
    <w:rsid w:val="00E40530"/>
    <w:rsid w:val="00E41296"/>
    <w:rsid w:val="00E42E47"/>
    <w:rsid w:val="00E43C4C"/>
    <w:rsid w:val="00E46004"/>
    <w:rsid w:val="00E52687"/>
    <w:rsid w:val="00E52CDF"/>
    <w:rsid w:val="00E707AB"/>
    <w:rsid w:val="00E7240B"/>
    <w:rsid w:val="00E96735"/>
    <w:rsid w:val="00EA3545"/>
    <w:rsid w:val="00EA3F12"/>
    <w:rsid w:val="00EA4B82"/>
    <w:rsid w:val="00EA6A1A"/>
    <w:rsid w:val="00EB060D"/>
    <w:rsid w:val="00EB796A"/>
    <w:rsid w:val="00EC3E9D"/>
    <w:rsid w:val="00EC635A"/>
    <w:rsid w:val="00EC7FDE"/>
    <w:rsid w:val="00ED0742"/>
    <w:rsid w:val="00ED429E"/>
    <w:rsid w:val="00ED5C39"/>
    <w:rsid w:val="00ED61E6"/>
    <w:rsid w:val="00EE0F81"/>
    <w:rsid w:val="00EE1FCF"/>
    <w:rsid w:val="00EE5556"/>
    <w:rsid w:val="00EE7514"/>
    <w:rsid w:val="00EF2A6B"/>
    <w:rsid w:val="00EF58FC"/>
    <w:rsid w:val="00F05DF9"/>
    <w:rsid w:val="00F126AB"/>
    <w:rsid w:val="00F17D8A"/>
    <w:rsid w:val="00F23B4A"/>
    <w:rsid w:val="00F2793F"/>
    <w:rsid w:val="00F32A0B"/>
    <w:rsid w:val="00F33307"/>
    <w:rsid w:val="00F34048"/>
    <w:rsid w:val="00F50E43"/>
    <w:rsid w:val="00F51D3E"/>
    <w:rsid w:val="00F52F41"/>
    <w:rsid w:val="00F55363"/>
    <w:rsid w:val="00F572B0"/>
    <w:rsid w:val="00F610E0"/>
    <w:rsid w:val="00F70423"/>
    <w:rsid w:val="00F705D0"/>
    <w:rsid w:val="00F71C70"/>
    <w:rsid w:val="00F72052"/>
    <w:rsid w:val="00F72BCF"/>
    <w:rsid w:val="00F72E03"/>
    <w:rsid w:val="00F75AED"/>
    <w:rsid w:val="00F779E1"/>
    <w:rsid w:val="00F81205"/>
    <w:rsid w:val="00F90E70"/>
    <w:rsid w:val="00F93EEA"/>
    <w:rsid w:val="00F945F5"/>
    <w:rsid w:val="00F94FE8"/>
    <w:rsid w:val="00F95E1B"/>
    <w:rsid w:val="00FA5E32"/>
    <w:rsid w:val="00FA6D9D"/>
    <w:rsid w:val="00FC49B4"/>
    <w:rsid w:val="00FD768D"/>
    <w:rsid w:val="00FE11B5"/>
    <w:rsid w:val="00FE71A2"/>
    <w:rsid w:val="00FF158D"/>
    <w:rsid w:val="00FF3CE9"/>
    <w:rsid w:val="00FF5942"/>
    <w:rsid w:val="00FF5990"/>
    <w:rsid w:val="00FF5C92"/>
    <w:rsid w:val="011078C7"/>
    <w:rsid w:val="012610EE"/>
    <w:rsid w:val="01266199"/>
    <w:rsid w:val="012A58C3"/>
    <w:rsid w:val="01583748"/>
    <w:rsid w:val="015C787F"/>
    <w:rsid w:val="01A56261"/>
    <w:rsid w:val="023A2FC1"/>
    <w:rsid w:val="029167E5"/>
    <w:rsid w:val="02D91C2A"/>
    <w:rsid w:val="02F45C70"/>
    <w:rsid w:val="031675BB"/>
    <w:rsid w:val="03222E2E"/>
    <w:rsid w:val="042E5A91"/>
    <w:rsid w:val="04900898"/>
    <w:rsid w:val="04A70186"/>
    <w:rsid w:val="04AB52D3"/>
    <w:rsid w:val="04B41F70"/>
    <w:rsid w:val="04D87C8B"/>
    <w:rsid w:val="05687CD1"/>
    <w:rsid w:val="064400B2"/>
    <w:rsid w:val="06EF69F3"/>
    <w:rsid w:val="07100621"/>
    <w:rsid w:val="07CC1890"/>
    <w:rsid w:val="07DE2E4E"/>
    <w:rsid w:val="080E03DC"/>
    <w:rsid w:val="081B750E"/>
    <w:rsid w:val="085409E1"/>
    <w:rsid w:val="085E5949"/>
    <w:rsid w:val="08970E86"/>
    <w:rsid w:val="08A41020"/>
    <w:rsid w:val="08ED366F"/>
    <w:rsid w:val="09815944"/>
    <w:rsid w:val="0A51598F"/>
    <w:rsid w:val="0A6F2E94"/>
    <w:rsid w:val="0AE4620C"/>
    <w:rsid w:val="0B6C32B6"/>
    <w:rsid w:val="0B9211EE"/>
    <w:rsid w:val="0B9A495D"/>
    <w:rsid w:val="0BA5315C"/>
    <w:rsid w:val="0C5C049F"/>
    <w:rsid w:val="0CB06EE4"/>
    <w:rsid w:val="0D084CFA"/>
    <w:rsid w:val="0D3360B2"/>
    <w:rsid w:val="0DA87805"/>
    <w:rsid w:val="0DF94590"/>
    <w:rsid w:val="0E437F2C"/>
    <w:rsid w:val="0E975183"/>
    <w:rsid w:val="0E9E0DD7"/>
    <w:rsid w:val="0F2E5AE8"/>
    <w:rsid w:val="0F901565"/>
    <w:rsid w:val="0F933B9D"/>
    <w:rsid w:val="0FC1559D"/>
    <w:rsid w:val="1025078D"/>
    <w:rsid w:val="105B57F5"/>
    <w:rsid w:val="10F83D12"/>
    <w:rsid w:val="119767AA"/>
    <w:rsid w:val="11A227BD"/>
    <w:rsid w:val="11E44ED2"/>
    <w:rsid w:val="122A7A80"/>
    <w:rsid w:val="124043CE"/>
    <w:rsid w:val="12614B78"/>
    <w:rsid w:val="12887D91"/>
    <w:rsid w:val="129366A3"/>
    <w:rsid w:val="12966437"/>
    <w:rsid w:val="12A12A75"/>
    <w:rsid w:val="12AC2D1B"/>
    <w:rsid w:val="13201BEB"/>
    <w:rsid w:val="13E61469"/>
    <w:rsid w:val="14176267"/>
    <w:rsid w:val="144B713C"/>
    <w:rsid w:val="15A72150"/>
    <w:rsid w:val="15B13AD3"/>
    <w:rsid w:val="15C106BE"/>
    <w:rsid w:val="15F418EA"/>
    <w:rsid w:val="165D5DB9"/>
    <w:rsid w:val="16EF17CB"/>
    <w:rsid w:val="171F19B0"/>
    <w:rsid w:val="179C1185"/>
    <w:rsid w:val="17E7C96D"/>
    <w:rsid w:val="17EE58A4"/>
    <w:rsid w:val="18D86AC4"/>
    <w:rsid w:val="18E61148"/>
    <w:rsid w:val="18F32AFF"/>
    <w:rsid w:val="18FB100C"/>
    <w:rsid w:val="19F3005A"/>
    <w:rsid w:val="1A37347C"/>
    <w:rsid w:val="1AA94BBC"/>
    <w:rsid w:val="1AD31694"/>
    <w:rsid w:val="1BEB3C6A"/>
    <w:rsid w:val="1C44590F"/>
    <w:rsid w:val="1C5152DD"/>
    <w:rsid w:val="1C9A232A"/>
    <w:rsid w:val="1CAF4564"/>
    <w:rsid w:val="1CC31B01"/>
    <w:rsid w:val="1CD079CB"/>
    <w:rsid w:val="1D1B65B7"/>
    <w:rsid w:val="1D2834B6"/>
    <w:rsid w:val="1D6BF093"/>
    <w:rsid w:val="1D735A5A"/>
    <w:rsid w:val="1D9B7401"/>
    <w:rsid w:val="1DEA0062"/>
    <w:rsid w:val="1DFD131C"/>
    <w:rsid w:val="1E1F3F70"/>
    <w:rsid w:val="1E643A08"/>
    <w:rsid w:val="1F7E7C0A"/>
    <w:rsid w:val="1FA47700"/>
    <w:rsid w:val="20754975"/>
    <w:rsid w:val="215A6946"/>
    <w:rsid w:val="21C52FD6"/>
    <w:rsid w:val="21EF4232"/>
    <w:rsid w:val="23972C95"/>
    <w:rsid w:val="2464432F"/>
    <w:rsid w:val="24FE1C26"/>
    <w:rsid w:val="26E7071F"/>
    <w:rsid w:val="27885E4B"/>
    <w:rsid w:val="27C16072"/>
    <w:rsid w:val="27EEF718"/>
    <w:rsid w:val="2811330F"/>
    <w:rsid w:val="284F1DFA"/>
    <w:rsid w:val="28B25FCF"/>
    <w:rsid w:val="2949583F"/>
    <w:rsid w:val="2A2B10FB"/>
    <w:rsid w:val="2B765F7D"/>
    <w:rsid w:val="2BE938A0"/>
    <w:rsid w:val="2C2528A2"/>
    <w:rsid w:val="2CCF1067"/>
    <w:rsid w:val="2D2C6148"/>
    <w:rsid w:val="2D4270CF"/>
    <w:rsid w:val="2D4B56B9"/>
    <w:rsid w:val="2DFD2DFD"/>
    <w:rsid w:val="2E5239A3"/>
    <w:rsid w:val="2E6F0DE1"/>
    <w:rsid w:val="2E715617"/>
    <w:rsid w:val="2EB55486"/>
    <w:rsid w:val="2EC27BA3"/>
    <w:rsid w:val="2F1D0D44"/>
    <w:rsid w:val="2F2C7DF4"/>
    <w:rsid w:val="2F35072C"/>
    <w:rsid w:val="2F6D1076"/>
    <w:rsid w:val="2FB9045A"/>
    <w:rsid w:val="30532CD1"/>
    <w:rsid w:val="305A1127"/>
    <w:rsid w:val="30FD39D4"/>
    <w:rsid w:val="312D3F3B"/>
    <w:rsid w:val="31F91B2E"/>
    <w:rsid w:val="326567B2"/>
    <w:rsid w:val="33312FC4"/>
    <w:rsid w:val="33F00D0E"/>
    <w:rsid w:val="340A696F"/>
    <w:rsid w:val="35DD4DEC"/>
    <w:rsid w:val="35FFE850"/>
    <w:rsid w:val="36172316"/>
    <w:rsid w:val="36266C69"/>
    <w:rsid w:val="364F4585"/>
    <w:rsid w:val="365B26B2"/>
    <w:rsid w:val="36C82BC4"/>
    <w:rsid w:val="3730632F"/>
    <w:rsid w:val="375E362C"/>
    <w:rsid w:val="37CD10E5"/>
    <w:rsid w:val="38FE2452"/>
    <w:rsid w:val="39FD73DF"/>
    <w:rsid w:val="3A070370"/>
    <w:rsid w:val="3A577D39"/>
    <w:rsid w:val="3A5B5CEA"/>
    <w:rsid w:val="3B7111D7"/>
    <w:rsid w:val="3CFFB655"/>
    <w:rsid w:val="3D08531B"/>
    <w:rsid w:val="3D6F84BA"/>
    <w:rsid w:val="3D714C6E"/>
    <w:rsid w:val="3DD4481A"/>
    <w:rsid w:val="3DD72D59"/>
    <w:rsid w:val="3E040F4F"/>
    <w:rsid w:val="3ED709CD"/>
    <w:rsid w:val="3EF7C014"/>
    <w:rsid w:val="3F2D1CB6"/>
    <w:rsid w:val="3FDF2363"/>
    <w:rsid w:val="3FDF598A"/>
    <w:rsid w:val="3FE55086"/>
    <w:rsid w:val="3FEEB8D8"/>
    <w:rsid w:val="403D52DB"/>
    <w:rsid w:val="40497EC0"/>
    <w:rsid w:val="40662A84"/>
    <w:rsid w:val="40730CFD"/>
    <w:rsid w:val="409F303F"/>
    <w:rsid w:val="411D1E9A"/>
    <w:rsid w:val="41270465"/>
    <w:rsid w:val="414825B1"/>
    <w:rsid w:val="42423883"/>
    <w:rsid w:val="429960CF"/>
    <w:rsid w:val="42E52490"/>
    <w:rsid w:val="42E61C5A"/>
    <w:rsid w:val="4339305C"/>
    <w:rsid w:val="4348021F"/>
    <w:rsid w:val="436E3B4B"/>
    <w:rsid w:val="437E1A03"/>
    <w:rsid w:val="43996CCD"/>
    <w:rsid w:val="43DE0B83"/>
    <w:rsid w:val="44890DFE"/>
    <w:rsid w:val="44E977E0"/>
    <w:rsid w:val="453B4D78"/>
    <w:rsid w:val="45B1654F"/>
    <w:rsid w:val="45BC65A0"/>
    <w:rsid w:val="460B740D"/>
    <w:rsid w:val="48160602"/>
    <w:rsid w:val="484A6504"/>
    <w:rsid w:val="486508E9"/>
    <w:rsid w:val="48A26623"/>
    <w:rsid w:val="494E7332"/>
    <w:rsid w:val="4989333F"/>
    <w:rsid w:val="49A96B05"/>
    <w:rsid w:val="4A1505F1"/>
    <w:rsid w:val="4B5A0632"/>
    <w:rsid w:val="4B9F32EE"/>
    <w:rsid w:val="4BF73B81"/>
    <w:rsid w:val="4C675BBA"/>
    <w:rsid w:val="4E5E09CA"/>
    <w:rsid w:val="4E795374"/>
    <w:rsid w:val="4E882EF9"/>
    <w:rsid w:val="4EF91B3B"/>
    <w:rsid w:val="4EFB6EBD"/>
    <w:rsid w:val="4F645E04"/>
    <w:rsid w:val="4F76745F"/>
    <w:rsid w:val="4FE87012"/>
    <w:rsid w:val="505B7D78"/>
    <w:rsid w:val="50B86F91"/>
    <w:rsid w:val="50F67166"/>
    <w:rsid w:val="51380D0A"/>
    <w:rsid w:val="514D065E"/>
    <w:rsid w:val="51C3412D"/>
    <w:rsid w:val="523D5FDF"/>
    <w:rsid w:val="526368C7"/>
    <w:rsid w:val="52C51023"/>
    <w:rsid w:val="53A34740"/>
    <w:rsid w:val="54DC4CB2"/>
    <w:rsid w:val="54F95E78"/>
    <w:rsid w:val="553473E6"/>
    <w:rsid w:val="55467EE7"/>
    <w:rsid w:val="55A25EB5"/>
    <w:rsid w:val="55BF0797"/>
    <w:rsid w:val="55F3A286"/>
    <w:rsid w:val="56864E22"/>
    <w:rsid w:val="570861EB"/>
    <w:rsid w:val="57DFFE33"/>
    <w:rsid w:val="57F3093B"/>
    <w:rsid w:val="57FB7AFE"/>
    <w:rsid w:val="57FF0044"/>
    <w:rsid w:val="58A74EA7"/>
    <w:rsid w:val="58CD4FF7"/>
    <w:rsid w:val="591C5472"/>
    <w:rsid w:val="59343E5B"/>
    <w:rsid w:val="5A33532D"/>
    <w:rsid w:val="5A791AFD"/>
    <w:rsid w:val="5A84341B"/>
    <w:rsid w:val="5AA41DFF"/>
    <w:rsid w:val="5ACF7EA7"/>
    <w:rsid w:val="5AFAB360"/>
    <w:rsid w:val="5B271E46"/>
    <w:rsid w:val="5B6E1818"/>
    <w:rsid w:val="5B735EF0"/>
    <w:rsid w:val="5BC35C35"/>
    <w:rsid w:val="5BEC10F1"/>
    <w:rsid w:val="5BFE7BBD"/>
    <w:rsid w:val="5CF01205"/>
    <w:rsid w:val="5CF803A6"/>
    <w:rsid w:val="5DA531AE"/>
    <w:rsid w:val="5E464238"/>
    <w:rsid w:val="5E9BD331"/>
    <w:rsid w:val="5E9F5687"/>
    <w:rsid w:val="5ECA1FD8"/>
    <w:rsid w:val="5EF5BF9E"/>
    <w:rsid w:val="5F48187B"/>
    <w:rsid w:val="5F7F57AA"/>
    <w:rsid w:val="5FBF3E7F"/>
    <w:rsid w:val="5FC23346"/>
    <w:rsid w:val="5FEDCC52"/>
    <w:rsid w:val="5FF9A723"/>
    <w:rsid w:val="5FFDC4CD"/>
    <w:rsid w:val="609A68A4"/>
    <w:rsid w:val="61761B2C"/>
    <w:rsid w:val="61783F6D"/>
    <w:rsid w:val="61954B1F"/>
    <w:rsid w:val="62563D87"/>
    <w:rsid w:val="62796BF7"/>
    <w:rsid w:val="62A84549"/>
    <w:rsid w:val="62CC536E"/>
    <w:rsid w:val="6389792B"/>
    <w:rsid w:val="639D465C"/>
    <w:rsid w:val="63F11C3D"/>
    <w:rsid w:val="644F4547"/>
    <w:rsid w:val="64E6122D"/>
    <w:rsid w:val="64FC41D1"/>
    <w:rsid w:val="65011939"/>
    <w:rsid w:val="65EF2887"/>
    <w:rsid w:val="66456B14"/>
    <w:rsid w:val="66778B94"/>
    <w:rsid w:val="6684258A"/>
    <w:rsid w:val="66C81CFF"/>
    <w:rsid w:val="66FC3474"/>
    <w:rsid w:val="67DA6508"/>
    <w:rsid w:val="67F653A7"/>
    <w:rsid w:val="6869154C"/>
    <w:rsid w:val="68B90107"/>
    <w:rsid w:val="68E30BC8"/>
    <w:rsid w:val="68F9687C"/>
    <w:rsid w:val="699C74EC"/>
    <w:rsid w:val="69B80730"/>
    <w:rsid w:val="69C83232"/>
    <w:rsid w:val="6A1526D6"/>
    <w:rsid w:val="6ABC76E7"/>
    <w:rsid w:val="6AEF5C50"/>
    <w:rsid w:val="6AF5A749"/>
    <w:rsid w:val="6BEB2495"/>
    <w:rsid w:val="6C186A79"/>
    <w:rsid w:val="6D8D0C2E"/>
    <w:rsid w:val="6E0E763A"/>
    <w:rsid w:val="6EAB367A"/>
    <w:rsid w:val="6EAC7162"/>
    <w:rsid w:val="6EAF50A7"/>
    <w:rsid w:val="6ED20FCB"/>
    <w:rsid w:val="6EE42A72"/>
    <w:rsid w:val="6EFFAAF3"/>
    <w:rsid w:val="6FF57BBF"/>
    <w:rsid w:val="70682D3E"/>
    <w:rsid w:val="70E94540"/>
    <w:rsid w:val="70EE75A7"/>
    <w:rsid w:val="70FF2E46"/>
    <w:rsid w:val="71066EA0"/>
    <w:rsid w:val="71692570"/>
    <w:rsid w:val="71812492"/>
    <w:rsid w:val="718A59FC"/>
    <w:rsid w:val="71B87BC8"/>
    <w:rsid w:val="71DA65B1"/>
    <w:rsid w:val="72163EFD"/>
    <w:rsid w:val="726C367A"/>
    <w:rsid w:val="7344DC6C"/>
    <w:rsid w:val="73B057E9"/>
    <w:rsid w:val="73B46C58"/>
    <w:rsid w:val="74EEB09D"/>
    <w:rsid w:val="74FA419E"/>
    <w:rsid w:val="753E7F9D"/>
    <w:rsid w:val="754D2F31"/>
    <w:rsid w:val="75BF167C"/>
    <w:rsid w:val="76086907"/>
    <w:rsid w:val="760A11E0"/>
    <w:rsid w:val="7676129A"/>
    <w:rsid w:val="76D37824"/>
    <w:rsid w:val="76FDF5D2"/>
    <w:rsid w:val="77BF73CC"/>
    <w:rsid w:val="77E73627"/>
    <w:rsid w:val="77E809D1"/>
    <w:rsid w:val="77F321FE"/>
    <w:rsid w:val="780236F1"/>
    <w:rsid w:val="785D5F3F"/>
    <w:rsid w:val="7983124E"/>
    <w:rsid w:val="7AEA15E0"/>
    <w:rsid w:val="7AFF3410"/>
    <w:rsid w:val="7B2B22E0"/>
    <w:rsid w:val="7B2B67C0"/>
    <w:rsid w:val="7BD38EFC"/>
    <w:rsid w:val="7BF344C5"/>
    <w:rsid w:val="7BFFD9D4"/>
    <w:rsid w:val="7C6446CA"/>
    <w:rsid w:val="7CB83544"/>
    <w:rsid w:val="7D4E1660"/>
    <w:rsid w:val="7DCF3130"/>
    <w:rsid w:val="7DF7E877"/>
    <w:rsid w:val="7DFB82C5"/>
    <w:rsid w:val="7E0E3937"/>
    <w:rsid w:val="7E1FF09F"/>
    <w:rsid w:val="7E4B683A"/>
    <w:rsid w:val="7E616498"/>
    <w:rsid w:val="7ECC1C85"/>
    <w:rsid w:val="7F010591"/>
    <w:rsid w:val="7F352517"/>
    <w:rsid w:val="7F6F139F"/>
    <w:rsid w:val="7F987C6E"/>
    <w:rsid w:val="7F9E78A0"/>
    <w:rsid w:val="7FBC6406"/>
    <w:rsid w:val="7FBFDBC3"/>
    <w:rsid w:val="7FBFE182"/>
    <w:rsid w:val="7FC6022D"/>
    <w:rsid w:val="7FE2CF30"/>
    <w:rsid w:val="7FEC117E"/>
    <w:rsid w:val="7FF6314C"/>
    <w:rsid w:val="7FF7ECCA"/>
    <w:rsid w:val="7FFB4F48"/>
    <w:rsid w:val="9AFF8106"/>
    <w:rsid w:val="9B5E51AE"/>
    <w:rsid w:val="A9FE85C3"/>
    <w:rsid w:val="ACEFC50A"/>
    <w:rsid w:val="B3EE3D5E"/>
    <w:rsid w:val="B43F8E1F"/>
    <w:rsid w:val="B6FB46B2"/>
    <w:rsid w:val="B77F9E47"/>
    <w:rsid w:val="B7FDE317"/>
    <w:rsid w:val="BD9F018D"/>
    <w:rsid w:val="BDDFAAE5"/>
    <w:rsid w:val="BFA2D316"/>
    <w:rsid w:val="BFCF8CA4"/>
    <w:rsid w:val="BFFFD365"/>
    <w:rsid w:val="C4FF2551"/>
    <w:rsid w:val="C78FA7E5"/>
    <w:rsid w:val="CBF71B87"/>
    <w:rsid w:val="CFFB6801"/>
    <w:rsid w:val="D3FFEA52"/>
    <w:rsid w:val="D7FF775F"/>
    <w:rsid w:val="DB7FEE6E"/>
    <w:rsid w:val="DBEE3350"/>
    <w:rsid w:val="DDFDA409"/>
    <w:rsid w:val="DDFE4706"/>
    <w:rsid w:val="DEEF4526"/>
    <w:rsid w:val="DF75B5BA"/>
    <w:rsid w:val="DFB361D8"/>
    <w:rsid w:val="DFC769A3"/>
    <w:rsid w:val="EDED751C"/>
    <w:rsid w:val="EDF71411"/>
    <w:rsid w:val="EEE6F936"/>
    <w:rsid w:val="EF7E197E"/>
    <w:rsid w:val="EFBD3703"/>
    <w:rsid w:val="F3FB0EA1"/>
    <w:rsid w:val="F7B6E2B3"/>
    <w:rsid w:val="F7FF9BBA"/>
    <w:rsid w:val="F9F784EF"/>
    <w:rsid w:val="FA7E8558"/>
    <w:rsid w:val="FBA7EF1F"/>
    <w:rsid w:val="FBDA15A3"/>
    <w:rsid w:val="FBF33FBA"/>
    <w:rsid w:val="FDBF9685"/>
    <w:rsid w:val="FDDCF657"/>
    <w:rsid w:val="FE4FEE67"/>
    <w:rsid w:val="FE6D298D"/>
    <w:rsid w:val="FF7D4DB1"/>
    <w:rsid w:val="FFB77B19"/>
    <w:rsid w:val="FFCE0F85"/>
    <w:rsid w:val="FFEF0880"/>
    <w:rsid w:val="FFF1CB5C"/>
    <w:rsid w:val="FFFE084E"/>
    <w:rsid w:val="FFFF20B7"/>
    <w:rsid w:val="FFFFD1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link w:val="34"/>
    <w:qFormat/>
    <w:uiPriority w:val="0"/>
    <w:pPr>
      <w:keepNext/>
      <w:keepLines/>
      <w:spacing w:line="360" w:lineRule="auto"/>
      <w:outlineLvl w:val="2"/>
    </w:pPr>
    <w:rPr>
      <w:b/>
      <w:bCs/>
      <w:sz w:val="24"/>
      <w:szCs w:val="32"/>
    </w:rPr>
  </w:style>
  <w:style w:type="paragraph" w:styleId="2">
    <w:name w:val="heading 4"/>
    <w:basedOn w:val="1"/>
    <w:next w:val="1"/>
    <w:link w:val="32"/>
    <w:qFormat/>
    <w:uiPriority w:val="0"/>
    <w:pPr>
      <w:keepNext/>
      <w:keepLines/>
      <w:spacing w:line="360" w:lineRule="auto"/>
      <w:outlineLvl w:val="3"/>
    </w:pPr>
    <w:rPr>
      <w:rFonts w:ascii="Arial" w:hAnsi="Arial"/>
      <w:b/>
      <w:bCs/>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pacing w:line="560" w:lineRule="exact"/>
      <w:ind w:firstLine="624"/>
      <w:textAlignment w:val="baseline"/>
    </w:pPr>
    <w:rPr>
      <w:rFonts w:eastAsia="仿宋_GB2312"/>
      <w:spacing w:val="8"/>
      <w:sz w:val="32"/>
    </w:rPr>
  </w:style>
  <w:style w:type="paragraph" w:styleId="7">
    <w:name w:val="Document Map"/>
    <w:basedOn w:val="1"/>
    <w:link w:val="35"/>
    <w:qFormat/>
    <w:uiPriority w:val="0"/>
    <w:pPr>
      <w:shd w:val="clear" w:color="auto" w:fill="000080"/>
    </w:pPr>
  </w:style>
  <w:style w:type="paragraph" w:styleId="8">
    <w:name w:val="annotation text"/>
    <w:basedOn w:val="1"/>
    <w:link w:val="36"/>
    <w:qFormat/>
    <w:uiPriority w:val="0"/>
    <w:pPr>
      <w:jc w:val="left"/>
    </w:pPr>
  </w:style>
  <w:style w:type="paragraph" w:styleId="9">
    <w:name w:val="Body Text"/>
    <w:basedOn w:val="1"/>
    <w:next w:val="10"/>
    <w:qFormat/>
    <w:uiPriority w:val="0"/>
    <w:pPr>
      <w:spacing w:after="120"/>
    </w:pPr>
  </w:style>
  <w:style w:type="paragraph" w:styleId="10">
    <w:name w:val="toc 5"/>
    <w:basedOn w:val="1"/>
    <w:next w:val="1"/>
    <w:qFormat/>
    <w:uiPriority w:val="0"/>
    <w:pPr>
      <w:ind w:left="840"/>
      <w:jc w:val="left"/>
    </w:pPr>
    <w:rPr>
      <w:rFonts w:ascii="Calibri" w:hAnsi="Calibri"/>
      <w:sz w:val="18"/>
      <w:szCs w:val="18"/>
    </w:r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szCs w:val="21"/>
    </w:rPr>
  </w:style>
  <w:style w:type="paragraph" w:styleId="13">
    <w:name w:val="Date"/>
    <w:basedOn w:val="1"/>
    <w:next w:val="1"/>
    <w:link w:val="38"/>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8"/>
    <w:next w:val="8"/>
    <w:link w:val="39"/>
    <w:qFormat/>
    <w:uiPriority w:val="0"/>
    <w:rPr>
      <w:b/>
      <w:bCs/>
    </w:rPr>
  </w:style>
  <w:style w:type="paragraph" w:styleId="22">
    <w:name w:val="Body Text First Indent"/>
    <w:basedOn w:val="9"/>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basedOn w:val="25"/>
    <w:qFormat/>
    <w:uiPriority w:val="0"/>
  </w:style>
  <w:style w:type="character" w:styleId="28">
    <w:name w:val="FollowedHyperlink"/>
    <w:qFormat/>
    <w:uiPriority w:val="0"/>
    <w:rPr>
      <w:color w:val="800080"/>
      <w:u w:val="none"/>
    </w:rPr>
  </w:style>
  <w:style w:type="character" w:styleId="29">
    <w:name w:val="Emphasis"/>
    <w:qFormat/>
    <w:uiPriority w:val="0"/>
  </w:style>
  <w:style w:type="character" w:styleId="30">
    <w:name w:val="Hyperlink"/>
    <w:qFormat/>
    <w:uiPriority w:val="0"/>
    <w:rPr>
      <w:color w:val="0000FF"/>
      <w:u w:val="none"/>
    </w:rPr>
  </w:style>
  <w:style w:type="character" w:styleId="31">
    <w:name w:val="annotation reference"/>
    <w:qFormat/>
    <w:uiPriority w:val="0"/>
    <w:rPr>
      <w:sz w:val="21"/>
      <w:szCs w:val="21"/>
    </w:rPr>
  </w:style>
  <w:style w:type="character" w:customStyle="1" w:styleId="32">
    <w:name w:val="标题 4 Char"/>
    <w:link w:val="2"/>
    <w:qFormat/>
    <w:uiPriority w:val="0"/>
    <w:rPr>
      <w:rFonts w:ascii="Arial" w:hAnsi="Arial"/>
      <w:b/>
      <w:bCs/>
      <w:kern w:val="2"/>
      <w:sz w:val="21"/>
      <w:szCs w:val="28"/>
    </w:rPr>
  </w:style>
  <w:style w:type="character" w:customStyle="1" w:styleId="33">
    <w:name w:val="标题 1 Char"/>
    <w:link w:val="3"/>
    <w:qFormat/>
    <w:uiPriority w:val="0"/>
    <w:rPr>
      <w:b/>
      <w:bCs/>
      <w:kern w:val="44"/>
      <w:sz w:val="32"/>
      <w:szCs w:val="44"/>
    </w:rPr>
  </w:style>
  <w:style w:type="character" w:customStyle="1" w:styleId="34">
    <w:name w:val="标题 3 Char"/>
    <w:link w:val="5"/>
    <w:qFormat/>
    <w:uiPriority w:val="0"/>
    <w:rPr>
      <w:b/>
      <w:bCs/>
      <w:kern w:val="2"/>
      <w:sz w:val="24"/>
      <w:szCs w:val="32"/>
    </w:rPr>
  </w:style>
  <w:style w:type="character" w:customStyle="1" w:styleId="35">
    <w:name w:val="文档结构图 Char"/>
    <w:link w:val="7"/>
    <w:qFormat/>
    <w:uiPriority w:val="0"/>
    <w:rPr>
      <w:kern w:val="2"/>
      <w:sz w:val="21"/>
      <w:szCs w:val="24"/>
      <w:shd w:val="clear" w:color="auto" w:fill="000080"/>
    </w:rPr>
  </w:style>
  <w:style w:type="character" w:customStyle="1" w:styleId="36">
    <w:name w:val="批注文字 Char"/>
    <w:link w:val="8"/>
    <w:qFormat/>
    <w:uiPriority w:val="0"/>
    <w:rPr>
      <w:kern w:val="2"/>
      <w:sz w:val="21"/>
      <w:szCs w:val="24"/>
    </w:rPr>
  </w:style>
  <w:style w:type="character" w:customStyle="1" w:styleId="37">
    <w:name w:val="纯文本 Char"/>
    <w:link w:val="12"/>
    <w:qFormat/>
    <w:uiPriority w:val="0"/>
    <w:rPr>
      <w:rFonts w:ascii="宋体" w:hAnsi="Courier New" w:cs="Courier New"/>
      <w:kern w:val="2"/>
      <w:sz w:val="21"/>
      <w:szCs w:val="21"/>
    </w:rPr>
  </w:style>
  <w:style w:type="character" w:customStyle="1" w:styleId="38">
    <w:name w:val="日期 Char"/>
    <w:link w:val="13"/>
    <w:qFormat/>
    <w:uiPriority w:val="0"/>
    <w:rPr>
      <w:kern w:val="2"/>
      <w:sz w:val="21"/>
      <w:szCs w:val="24"/>
    </w:rPr>
  </w:style>
  <w:style w:type="character" w:customStyle="1" w:styleId="39">
    <w:name w:val="批注主题 Char"/>
    <w:link w:val="21"/>
    <w:qFormat/>
    <w:uiPriority w:val="0"/>
    <w:rPr>
      <w:b/>
      <w:bCs/>
      <w:kern w:val="2"/>
      <w:sz w:val="21"/>
      <w:szCs w:val="24"/>
    </w:rPr>
  </w:style>
  <w:style w:type="character" w:customStyle="1" w:styleId="40">
    <w:name w:val="selp"/>
    <w:qFormat/>
    <w:uiPriority w:val="0"/>
    <w:rPr>
      <w:bdr w:val="single" w:color="BCBCBC" w:sz="6" w:space="0"/>
      <w:shd w:val="clear" w:color="auto" w:fill="FFFFFF"/>
    </w:rPr>
  </w:style>
  <w:style w:type="character" w:customStyle="1" w:styleId="41">
    <w:name w:val="edit"/>
    <w:qFormat/>
    <w:uiPriority w:val="0"/>
    <w:rPr>
      <w:shd w:val="clear" w:color="auto" w:fill="FFFFFF"/>
    </w:rPr>
  </w:style>
  <w:style w:type="character" w:customStyle="1" w:styleId="42">
    <w:name w:val="apple-style-span"/>
    <w:basedOn w:val="25"/>
    <w:qFormat/>
    <w:uiPriority w:val="0"/>
  </w:style>
  <w:style w:type="character" w:customStyle="1" w:styleId="43">
    <w:name w:val=" Char Char2"/>
    <w:qFormat/>
    <w:uiPriority w:val="0"/>
    <w:rPr>
      <w:rFonts w:eastAsia="宋体"/>
      <w:b/>
      <w:bCs/>
      <w:kern w:val="2"/>
      <w:sz w:val="24"/>
      <w:szCs w:val="32"/>
      <w:lang w:val="en-US" w:eastAsia="zh-CN" w:bidi="ar-SA"/>
    </w:rPr>
  </w:style>
  <w:style w:type="character" w:customStyle="1" w:styleId="44">
    <w:name w:val="formoperating1"/>
    <w:basedOn w:val="25"/>
    <w:qFormat/>
    <w:uiPriority w:val="0"/>
  </w:style>
  <w:style w:type="character" w:customStyle="1" w:styleId="45">
    <w:name w:val="fontviewclass1"/>
    <w:basedOn w:val="25"/>
    <w:qFormat/>
    <w:uiPriority w:val="0"/>
  </w:style>
  <w:style w:type="character" w:customStyle="1" w:styleId="46">
    <w:name w:val="formoperatingright"/>
    <w:basedOn w:val="25"/>
    <w:qFormat/>
    <w:uiPriority w:val="0"/>
  </w:style>
  <w:style w:type="character" w:customStyle="1" w:styleId="47">
    <w:name w:val="readonly"/>
    <w:qFormat/>
    <w:uiPriority w:val="0"/>
    <w:rPr>
      <w:shd w:val="clear" w:color="auto" w:fill="EFEFEF"/>
    </w:rPr>
  </w:style>
  <w:style w:type="character" w:customStyle="1" w:styleId="48">
    <w:name w:val="contextmenu"/>
    <w:qFormat/>
    <w:uiPriority w:val="0"/>
    <w:rPr>
      <w:sz w:val="18"/>
      <w:szCs w:val="18"/>
      <w:bdr w:val="outset" w:color="FFFFFF" w:sz="6" w:space="0"/>
      <w:shd w:val="clear" w:color="auto" w:fill="F4FCFE"/>
    </w:rPr>
  </w:style>
  <w:style w:type="character" w:customStyle="1" w:styleId="49">
    <w:name w:val="portlets"/>
    <w:basedOn w:val="25"/>
    <w:qFormat/>
    <w:uiPriority w:val="0"/>
  </w:style>
  <w:style w:type="character" w:customStyle="1" w:styleId="50">
    <w:name w:val="operationspanex"/>
    <w:basedOn w:val="25"/>
    <w:qFormat/>
    <w:uiPriority w:val="0"/>
  </w:style>
  <w:style w:type="character" w:customStyle="1" w:styleId="51">
    <w:name w:val="未处理的提及"/>
    <w:unhideWhenUsed/>
    <w:qFormat/>
    <w:uiPriority w:val="99"/>
    <w:rPr>
      <w:color w:val="605E5C"/>
      <w:shd w:val="clear" w:color="auto" w:fill="E1DFDD"/>
    </w:rPr>
  </w:style>
  <w:style w:type="paragraph" w:customStyle="1" w:styleId="52">
    <w:name w:val="样式1"/>
    <w:basedOn w:val="1"/>
    <w:next w:val="2"/>
    <w:qFormat/>
    <w:uiPriority w:val="0"/>
    <w:pPr>
      <w:spacing w:line="360" w:lineRule="auto"/>
      <w:ind w:firstLine="420" w:firstLineChars="200"/>
    </w:pPr>
    <w:rPr>
      <w:rFonts w:ascii="宋体" w:hAnsi="宋体"/>
      <w:szCs w:val="21"/>
    </w:rPr>
  </w:style>
  <w:style w:type="paragraph" w:customStyle="1" w:styleId="53">
    <w:name w:val=" Char Char Char Char"/>
    <w:basedOn w:val="1"/>
    <w:qFormat/>
    <w:uiPriority w:val="0"/>
  </w:style>
  <w:style w:type="paragraph" w:customStyle="1" w:styleId="54">
    <w:name w:val="Char1"/>
    <w:basedOn w:val="7"/>
    <w:qFormat/>
    <w:uiPriority w:val="0"/>
    <w:rPr>
      <w:kern w:val="0"/>
      <w:sz w:val="24"/>
    </w:rPr>
  </w:style>
  <w:style w:type="paragraph" w:customStyle="1" w:styleId="55">
    <w:name w:val="Char2"/>
    <w:basedOn w:val="1"/>
    <w:qFormat/>
    <w:uiPriority w:val="0"/>
  </w:style>
  <w:style w:type="paragraph" w:customStyle="1" w:styleId="56">
    <w:name w:val=" Char Char Char Char1 Char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Char Char Char"/>
    <w:basedOn w:val="1"/>
    <w:qFormat/>
    <w:uiPriority w:val="0"/>
    <w:rPr>
      <w:rFonts w:ascii="Tahoma" w:hAnsi="Tahoma"/>
      <w:sz w:val="24"/>
      <w:szCs w:val="20"/>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_Style 57"/>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 Char Char Char Char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62">
    <w:name w:val=" Char Char Char Char1"/>
    <w:basedOn w:val="1"/>
    <w:qFormat/>
    <w:uiPriority w:val="0"/>
    <w:pPr>
      <w:widowControl/>
      <w:spacing w:after="160" w:line="240" w:lineRule="exact"/>
      <w:jc w:val="left"/>
    </w:pPr>
    <w:rPr>
      <w:rFonts w:ascii="Verdana" w:hAnsi="Verdana"/>
      <w:kern w:val="0"/>
      <w:szCs w:val="20"/>
      <w:lang w:eastAsia="en-US"/>
    </w:rPr>
  </w:style>
  <w:style w:type="paragraph" w:styleId="63">
    <w:name w:val="List Paragraph"/>
    <w:basedOn w:val="1"/>
    <w:qFormat/>
    <w:uiPriority w:val="0"/>
    <w:pPr>
      <w:ind w:firstLine="420" w:firstLineChars="200"/>
    </w:pPr>
    <w:rPr>
      <w:rFonts w:ascii="Calibri" w:hAnsi="Calibri"/>
      <w:szCs w:val="22"/>
    </w:rPr>
  </w:style>
  <w:style w:type="paragraph" w:customStyle="1" w:styleId="64">
    <w:name w:val=" Char Char"/>
    <w:basedOn w:val="1"/>
    <w:qFormat/>
    <w:uiPriority w:val="0"/>
    <w:pPr>
      <w:widowControl/>
      <w:spacing w:after="160" w:line="240" w:lineRule="exact"/>
      <w:jc w:val="left"/>
    </w:pPr>
    <w:rPr>
      <w:rFonts w:ascii="Verdana" w:hAnsi="Verdana"/>
      <w:kern w:val="0"/>
      <w:szCs w:val="20"/>
      <w:lang w:eastAsia="en-US"/>
    </w:rPr>
  </w:style>
  <w:style w:type="paragraph" w:customStyle="1" w:styleId="65">
    <w:name w:val="Char Char Char Char"/>
    <w:basedOn w:val="1"/>
    <w:qFormat/>
    <w:uiPriority w:val="0"/>
    <w:pPr>
      <w:widowControl/>
      <w:spacing w:after="160" w:line="240" w:lineRule="exact"/>
      <w:jc w:val="left"/>
    </w:pPr>
  </w:style>
  <w:style w:type="paragraph" w:customStyle="1" w:styleId="66">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149</Pages>
  <Words>4952</Words>
  <Characters>5394</Characters>
  <Lines>930</Lines>
  <Paragraphs>262</Paragraphs>
  <TotalTime>0</TotalTime>
  <ScaleCrop>false</ScaleCrop>
  <LinksUpToDate>false</LinksUpToDate>
  <CharactersWithSpaces>5559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2016-09-14T00:09:00Z</dcterms:created>
  <dc:creator>cy</dc:creator>
  <cp:lastModifiedBy>洧苇</cp:lastModifiedBy>
  <cp:lastPrinted>2023-07-25T18:17:00Z</cp:lastPrinted>
  <dcterms:modified xsi:type="dcterms:W3CDTF">2024-10-28T10:25:12Z</dcterms:modified>
  <dc:title>中建通〔2014〕28号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F4784D4B6527449B81E2A3AB434A002F_13</vt:lpwstr>
  </property>
</Properties>
</file>