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rPr>
          <w:rFonts w:hint="eastAsia" w:ascii="宋体" w:hAnsi="宋体" w:cs="宋体"/>
          <w:b/>
          <w:bCs/>
          <w:snapToGrid w:val="0"/>
          <w:color w:val="auto"/>
          <w:kern w:val="0"/>
          <w:sz w:val="28"/>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eastAsia="宋体" w:cs="宋体"/>
          <w:b/>
          <w:color w:val="auto"/>
          <w:spacing w:val="-12"/>
          <w:sz w:val="44"/>
          <w:szCs w:val="36"/>
          <w:highlight w:val="none"/>
          <w:lang w:eastAsia="zh-CN"/>
        </w:rPr>
      </w:pPr>
      <w:r>
        <w:rPr>
          <w:rFonts w:hint="eastAsia" w:ascii="宋体" w:hAnsi="宋体" w:cs="宋体"/>
          <w:b/>
          <w:color w:val="auto"/>
          <w:spacing w:val="-12"/>
          <w:sz w:val="52"/>
          <w:szCs w:val="36"/>
          <w:highlight w:val="none"/>
          <w:lang w:eastAsia="zh-CN"/>
        </w:rPr>
        <w:t>消毒灭菌装置</w:t>
      </w: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bCs/>
          <w:snapToGrid w:val="0"/>
          <w:color w:val="auto"/>
          <w:kern w:val="0"/>
          <w:sz w:val="72"/>
          <w:szCs w:val="80"/>
          <w:highlight w:val="none"/>
        </w:rPr>
      </w:pPr>
      <w:r>
        <w:rPr>
          <w:rFonts w:hint="eastAsia" w:ascii="宋体" w:hAnsi="宋体" w:cs="宋体"/>
          <w:b/>
          <w:bCs/>
          <w:snapToGrid w:val="0"/>
          <w:color w:val="auto"/>
          <w:kern w:val="0"/>
          <w:sz w:val="72"/>
          <w:szCs w:val="80"/>
          <w:highlight w:val="none"/>
        </w:rPr>
        <w:t>招 标 文 件</w:t>
      </w:r>
    </w:p>
    <w:p>
      <w:pPr>
        <w:jc w:val="center"/>
        <w:rPr>
          <w:rFonts w:hint="eastAsia" w:ascii="宋体" w:hAnsi="宋体" w:cs="宋体"/>
          <w:b/>
          <w:snapToGrid w:val="0"/>
          <w:color w:val="auto"/>
          <w:kern w:val="0"/>
          <w:sz w:val="56"/>
          <w:szCs w:val="72"/>
          <w:highlight w:val="none"/>
        </w:rPr>
      </w:pPr>
    </w:p>
    <w:p>
      <w:pPr>
        <w:spacing w:line="360" w:lineRule="auto"/>
        <w:jc w:val="center"/>
        <w:rPr>
          <w:rFonts w:hint="eastAsia" w:ascii="宋体" w:hAnsi="宋体" w:eastAsia="宋体" w:cs="宋体"/>
          <w:bCs/>
          <w:snapToGrid w:val="0"/>
          <w:color w:val="auto"/>
          <w:kern w:val="0"/>
          <w:sz w:val="28"/>
          <w:szCs w:val="32"/>
          <w:highlight w:val="none"/>
          <w:lang w:eastAsia="zh-CN"/>
        </w:rPr>
      </w:pPr>
      <w:r>
        <w:rPr>
          <w:rFonts w:hint="eastAsia" w:ascii="宋体" w:hAnsi="宋体" w:cs="宋体"/>
          <w:bCs/>
          <w:snapToGrid w:val="0"/>
          <w:color w:val="auto"/>
          <w:kern w:val="0"/>
          <w:sz w:val="28"/>
          <w:szCs w:val="32"/>
          <w:highlight w:val="none"/>
        </w:rPr>
        <w:t>项目编号：0613-</w:t>
      </w:r>
      <w:r>
        <w:rPr>
          <w:rFonts w:hint="eastAsia" w:ascii="宋体" w:hAnsi="宋体" w:cs="宋体"/>
          <w:bCs/>
          <w:snapToGrid w:val="0"/>
          <w:color w:val="auto"/>
          <w:kern w:val="0"/>
          <w:sz w:val="28"/>
          <w:szCs w:val="32"/>
          <w:highlight w:val="none"/>
          <w:lang w:eastAsia="zh-CN"/>
        </w:rPr>
        <w:t>247123066049</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spacing w:line="300" w:lineRule="auto"/>
        <w:jc w:val="center"/>
        <w:rPr>
          <w:rFonts w:hint="eastAsia" w:ascii="宋体" w:hAnsi="宋体" w:cs="宋体"/>
          <w:b/>
          <w:bCs/>
          <w:color w:val="auto"/>
          <w:sz w:val="32"/>
          <w:szCs w:val="36"/>
          <w:highlight w:val="none"/>
        </w:rPr>
      </w:pPr>
      <w:r>
        <w:rPr>
          <w:rFonts w:hint="eastAsia" w:ascii="宋体" w:hAnsi="宋体" w:cs="宋体"/>
          <w:b/>
          <w:bCs/>
          <w:color w:val="auto"/>
          <w:sz w:val="32"/>
          <w:szCs w:val="36"/>
          <w:highlight w:val="none"/>
        </w:rPr>
        <w:t>招 标 人：复旦大学附属妇产科医院</w:t>
      </w:r>
    </w:p>
    <w:p>
      <w:pPr>
        <w:spacing w:line="300" w:lineRule="auto"/>
        <w:jc w:val="center"/>
        <w:rPr>
          <w:rFonts w:hint="eastAsia" w:ascii="宋体" w:hAnsi="宋体" w:cs="宋体"/>
          <w:b/>
          <w:bCs/>
          <w:color w:val="auto"/>
          <w:sz w:val="32"/>
          <w:szCs w:val="36"/>
          <w:highlight w:val="none"/>
        </w:rPr>
      </w:pPr>
      <w:r>
        <w:rPr>
          <w:rFonts w:hint="eastAsia" w:ascii="宋体" w:hAnsi="宋体" w:cs="宋体"/>
          <w:b/>
          <w:bCs/>
          <w:color w:val="auto"/>
          <w:sz w:val="32"/>
          <w:szCs w:val="36"/>
          <w:highlight w:val="none"/>
        </w:rPr>
        <w:t>招标代理机构：上海机电设备招标有限公司</w:t>
      </w:r>
    </w:p>
    <w:p>
      <w:pPr>
        <w:spacing w:line="360" w:lineRule="auto"/>
        <w:jc w:val="center"/>
        <w:rPr>
          <w:rFonts w:hint="eastAsia" w:ascii="宋体" w:hAnsi="宋体" w:cs="宋体"/>
          <w:color w:val="auto"/>
          <w:sz w:val="28"/>
          <w:szCs w:val="32"/>
          <w:highlight w:val="none"/>
        </w:rPr>
      </w:pPr>
      <w:r>
        <w:rPr>
          <w:rFonts w:ascii="宋体" w:hAnsi="宋体" w:cs="宋体"/>
          <w:b/>
          <w:bCs/>
          <w:color w:val="auto"/>
          <w:sz w:val="32"/>
          <w:szCs w:val="36"/>
          <w:highlight w:val="none"/>
        </w:rPr>
        <w:t>202</w:t>
      </w:r>
      <w:r>
        <w:rPr>
          <w:rFonts w:hint="eastAsia" w:ascii="宋体" w:hAnsi="宋体" w:cs="宋体"/>
          <w:b/>
          <w:bCs/>
          <w:color w:val="auto"/>
          <w:sz w:val="32"/>
          <w:szCs w:val="36"/>
          <w:highlight w:val="none"/>
        </w:rPr>
        <w:t>4</w:t>
      </w:r>
      <w:r>
        <w:rPr>
          <w:rFonts w:ascii="宋体" w:hAnsi="宋体" w:cs="宋体"/>
          <w:b/>
          <w:bCs/>
          <w:color w:val="auto"/>
          <w:sz w:val="32"/>
          <w:szCs w:val="36"/>
          <w:highlight w:val="none"/>
        </w:rPr>
        <w:t>年</w:t>
      </w:r>
      <w:r>
        <w:rPr>
          <w:rFonts w:hint="eastAsia" w:ascii="宋体" w:hAnsi="宋体" w:cs="宋体"/>
          <w:b/>
          <w:bCs/>
          <w:color w:val="auto"/>
          <w:sz w:val="32"/>
          <w:szCs w:val="36"/>
          <w:highlight w:val="none"/>
          <w:lang w:val="en-US" w:eastAsia="zh-CN"/>
        </w:rPr>
        <w:t>11</w:t>
      </w:r>
      <w:r>
        <w:rPr>
          <w:rFonts w:ascii="宋体" w:hAnsi="宋体" w:cs="宋体"/>
          <w:b/>
          <w:bCs/>
          <w:color w:val="auto"/>
          <w:sz w:val="32"/>
          <w:szCs w:val="36"/>
          <w:highlight w:val="none"/>
        </w:rPr>
        <w:t>月</w:t>
      </w:r>
    </w:p>
    <w:p>
      <w:pPr>
        <w:spacing w:line="360" w:lineRule="auto"/>
        <w:ind w:firstLine="640"/>
        <w:jc w:val="center"/>
        <w:rPr>
          <w:rFonts w:hint="eastAsia" w:ascii="宋体" w:hAnsi="宋体" w:cs="宋体"/>
          <w:color w:val="auto"/>
          <w:sz w:val="32"/>
          <w:szCs w:val="36"/>
          <w:highlight w:val="none"/>
        </w:rPr>
        <w:sectPr>
          <w:type w:val="continuous"/>
          <w:pgSz w:w="11907" w:h="16839"/>
          <w:pgMar w:top="1440" w:right="1803" w:bottom="1440" w:left="1803" w:header="720" w:footer="720" w:gutter="0"/>
          <w:pgNumType w:fmt="upperRoman"/>
          <w:cols w:space="720" w:num="1"/>
          <w:docGrid w:linePitch="286" w:charSpace="0"/>
        </w:sectPr>
      </w:pP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上海机电设备招标有限公司</w:t>
      </w: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t>廉洁自律公约</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（2016年修订）</w:t>
      </w:r>
    </w:p>
    <w:p>
      <w:pPr>
        <w:spacing w:line="360" w:lineRule="auto"/>
        <w:jc w:val="center"/>
        <w:rPr>
          <w:rFonts w:hint="eastAsia" w:ascii="宋体" w:hAnsi="宋体" w:cs="宋体"/>
          <w:b/>
          <w:color w:val="auto"/>
          <w:sz w:val="24"/>
          <w:szCs w:val="24"/>
          <w:highlight w:val="none"/>
        </w:rPr>
      </w:pP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贯彻落实中央八项规定的精神，不断增强招投标人员廉洁自律意识，牢筑防腐思想防线，提高拒腐防变能力，根据中央有关廉洁自律准则规定，上海机电设备招标有限公司（以下称，甲方）结合工作实际，特制定本公约。参加本招标项目的投标人（以下称，乙方）也应遵守本公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一、、甲乙双方应当共同遵守法律法规，自觉树立良好的职业道德，强化服务意识、诚实守信、秉公办事，自觉践行本公约。</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二、甲方人员不得暗示、索要或接受乙方的礼金、礼券、消费卡，以及各种有价证券和支付凭证；不得向乙方报销个人费用；不得利用职权或者职务谋取私利。</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三、甲方人员不得以任何方式和理由向乙方推荐其配偶、子女及其配偶等亲属和其他特定关系人参与本招标项目以及相关经营活动。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四、甲方人员不得接受可能影响其公正执行公务的乙方宴请或者旅游、健身、娱乐等活动安排。</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五、乙方人员不准以任何形式向甲方人员馈赠礼金、礼券、消费卡，以及各种有价证券和支付凭证；不得接受甲方报销个人费用的要求。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六、乙方人员不准以任何方式和理由接受甲方人员推荐其配偶、子女及其配偶等亲属和其他特定关系人参与本招标项目以及相关经营活动。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七、乙方人员不准邀请甲方人员参加有可能影响其公正执行公务的宴请或者旅游、健身、娱乐等活动。</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八、甲乙任一方人员存在违反本公约行为的，应当依法作出相应的处分；或者甲乙任一方人员存在违反法律法规情形的，应当追究法律责任；乙方人员存在前述情形之一的，将被取消本项目的投标资格。</w:t>
      </w:r>
    </w:p>
    <w:p>
      <w:pPr>
        <w:pStyle w:val="4"/>
        <w:keepNext w:val="0"/>
        <w:keepLines w:val="0"/>
        <w:spacing w:before="0" w:after="0" w:line="360" w:lineRule="auto"/>
        <w:jc w:val="center"/>
        <w:rPr>
          <w:rFonts w:hint="eastAsia" w:ascii="宋体" w:hAnsi="宋体" w:cs="宋体"/>
          <w:color w:val="auto"/>
          <w:szCs w:val="44"/>
          <w:highlight w:val="none"/>
        </w:rPr>
      </w:pPr>
      <w:r>
        <w:rPr>
          <w:rFonts w:hint="eastAsia" w:ascii="宋体" w:hAnsi="宋体" w:cs="宋体"/>
          <w:color w:val="auto"/>
          <w:sz w:val="24"/>
          <w:szCs w:val="24"/>
          <w:highlight w:val="none"/>
        </w:rPr>
        <w:br w:type="page"/>
      </w:r>
      <w:bookmarkStart w:id="0" w:name="_Toc392227728"/>
      <w:bookmarkStart w:id="1" w:name="_Toc457747910"/>
      <w:bookmarkStart w:id="2" w:name="_Toc4173"/>
      <w:bookmarkStart w:id="3" w:name="_Toc10675"/>
      <w:bookmarkStart w:id="4" w:name="_Toc24389"/>
      <w:bookmarkStart w:id="5" w:name="_Toc152045511"/>
      <w:bookmarkStart w:id="6" w:name="_Toc144974479"/>
      <w:bookmarkStart w:id="7" w:name="_Toc152042287"/>
      <w:r>
        <w:rPr>
          <w:rFonts w:hint="eastAsia" w:ascii="宋体" w:hAnsi="宋体" w:cs="宋体"/>
          <w:color w:val="auto"/>
          <w:sz w:val="32"/>
          <w:szCs w:val="32"/>
          <w:highlight w:val="none"/>
        </w:rPr>
        <w:t xml:space="preserve">第一章 </w:t>
      </w:r>
      <w:bookmarkEnd w:id="0"/>
      <w:bookmarkEnd w:id="1"/>
      <w:bookmarkStart w:id="8" w:name="_Toc392227729"/>
      <w:r>
        <w:rPr>
          <w:rFonts w:hint="eastAsia" w:ascii="宋体" w:hAnsi="宋体" w:cs="宋体"/>
          <w:color w:val="auto"/>
          <w:sz w:val="32"/>
          <w:szCs w:val="32"/>
          <w:highlight w:val="none"/>
        </w:rPr>
        <w:t>招标公告</w:t>
      </w:r>
      <w:bookmarkEnd w:id="2"/>
      <w:bookmarkEnd w:id="3"/>
      <w:bookmarkEnd w:id="4"/>
    </w:p>
    <w:bookmarkEnd w:id="8"/>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项目概况</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eastAsia="zh-CN"/>
        </w:rPr>
        <w:t>消毒灭菌装置</w:t>
      </w:r>
      <w:r>
        <w:rPr>
          <w:rFonts w:hint="eastAsia" w:ascii="宋体" w:hAnsi="宋体" w:cs="宋体"/>
          <w:color w:val="auto"/>
          <w:sz w:val="24"/>
          <w:szCs w:val="24"/>
          <w:highlight w:val="none"/>
        </w:rPr>
        <w:t>招标项目的潜在投标人应在</w:t>
      </w:r>
      <w:r>
        <w:rPr>
          <w:rFonts w:hint="eastAsia" w:asciiTheme="minorEastAsia" w:hAnsiTheme="minorEastAsia" w:eastAsiaTheme="minorEastAsia" w:cstheme="minorEastAsia"/>
          <w:color w:val="auto"/>
          <w:sz w:val="24"/>
          <w:szCs w:val="24"/>
          <w:highlight w:val="none"/>
        </w:rPr>
        <w:t>“中招联合招标采购平台”（网址：http://www.365trade.com.cn）</w:t>
      </w:r>
      <w:r>
        <w:rPr>
          <w:rFonts w:hint="eastAsia" w:ascii="宋体" w:hAnsi="宋体" w:cs="宋体"/>
          <w:color w:val="auto"/>
          <w:sz w:val="24"/>
          <w:szCs w:val="24"/>
          <w:highlight w:val="none"/>
        </w:rPr>
        <w:t>获取招标文件，并于2024年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日13点30分（北京时间）前递交投标文件。</w:t>
      </w:r>
    </w:p>
    <w:p>
      <w:pPr>
        <w:numPr>
          <w:ilvl w:val="0"/>
          <w:numId w:val="1"/>
        </w:numPr>
        <w:spacing w:line="360" w:lineRule="auto"/>
        <w:outlineLvl w:val="1"/>
        <w:rPr>
          <w:rFonts w:hint="eastAsia" w:ascii="宋体" w:hAnsi="宋体" w:cs="宋体"/>
          <w:b/>
          <w:bCs/>
          <w:color w:val="auto"/>
          <w:sz w:val="24"/>
          <w:szCs w:val="24"/>
          <w:highlight w:val="none"/>
        </w:rPr>
      </w:pPr>
      <w:bookmarkStart w:id="9" w:name="_Toc28359002"/>
      <w:bookmarkStart w:id="10" w:name="_Toc28359079"/>
      <w:bookmarkStart w:id="11" w:name="_Toc35393790"/>
      <w:bookmarkStart w:id="12" w:name="_Toc14037"/>
      <w:bookmarkStart w:id="13" w:name="_Toc35393621"/>
      <w:bookmarkStart w:id="14" w:name="_Toc27001"/>
      <w:bookmarkStart w:id="15" w:name="_Hlk24379207"/>
      <w:r>
        <w:rPr>
          <w:rFonts w:hint="eastAsia" w:ascii="宋体" w:hAnsi="宋体" w:cs="宋体"/>
          <w:b/>
          <w:bCs/>
          <w:color w:val="auto"/>
          <w:sz w:val="24"/>
          <w:szCs w:val="24"/>
          <w:highlight w:val="none"/>
        </w:rPr>
        <w:t>项目基本情况</w:t>
      </w:r>
      <w:bookmarkEnd w:id="9"/>
      <w:bookmarkEnd w:id="10"/>
      <w:bookmarkEnd w:id="11"/>
      <w:bookmarkEnd w:id="12"/>
      <w:bookmarkEnd w:id="13"/>
      <w:bookmarkEnd w:id="14"/>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项目编号：0613-</w:t>
      </w:r>
      <w:r>
        <w:rPr>
          <w:rFonts w:hint="eastAsia" w:ascii="宋体" w:hAnsi="宋体" w:cs="宋体"/>
          <w:color w:val="auto"/>
          <w:sz w:val="24"/>
          <w:szCs w:val="24"/>
          <w:highlight w:val="none"/>
          <w:lang w:eastAsia="zh-CN"/>
        </w:rPr>
        <w:t>247123066049</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项目名称：</w:t>
      </w:r>
      <w:r>
        <w:rPr>
          <w:rFonts w:hint="eastAsia" w:ascii="宋体" w:hAnsi="宋体" w:cs="宋体"/>
          <w:color w:val="auto"/>
          <w:sz w:val="24"/>
          <w:szCs w:val="24"/>
          <w:highlight w:val="none"/>
          <w:lang w:eastAsia="zh-CN"/>
        </w:rPr>
        <w:t>消毒灭菌装置</w:t>
      </w:r>
    </w:p>
    <w:bookmarkEnd w:id="15"/>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预算金额：</w:t>
      </w:r>
      <w:r>
        <w:rPr>
          <w:rFonts w:hint="eastAsia" w:ascii="宋体" w:hAnsi="宋体" w:cs="宋体"/>
          <w:color w:val="auto"/>
          <w:sz w:val="24"/>
          <w:szCs w:val="24"/>
          <w:highlight w:val="none"/>
          <w:lang w:val="en-US" w:eastAsia="zh-CN"/>
        </w:rPr>
        <w:t>660</w:t>
      </w:r>
      <w:r>
        <w:rPr>
          <w:rFonts w:hint="eastAsia" w:ascii="宋体" w:hAnsi="宋体" w:cs="宋体"/>
          <w:color w:val="auto"/>
          <w:sz w:val="24"/>
          <w:szCs w:val="24"/>
          <w:highlight w:val="none"/>
        </w:rPr>
        <w:t>万元人民币（含税）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最高限价（如有）：</w:t>
      </w:r>
      <w:r>
        <w:rPr>
          <w:rFonts w:hint="eastAsia" w:ascii="宋体" w:hAnsi="宋体" w:cs="宋体"/>
          <w:color w:val="auto"/>
          <w:sz w:val="24"/>
          <w:szCs w:val="24"/>
          <w:highlight w:val="none"/>
          <w:lang w:val="en-US" w:eastAsia="zh-CN"/>
        </w:rPr>
        <w:t>615</w:t>
      </w:r>
      <w:r>
        <w:rPr>
          <w:rFonts w:hint="eastAsia" w:ascii="宋体" w:hAnsi="宋体" w:cs="宋体"/>
          <w:color w:val="auto"/>
          <w:sz w:val="24"/>
          <w:szCs w:val="24"/>
          <w:highlight w:val="none"/>
        </w:rPr>
        <w:t>万元人民币（含税）</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p>
      <w:pPr>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标的的名称：</w:t>
      </w:r>
      <w:r>
        <w:rPr>
          <w:rFonts w:hint="eastAsia" w:ascii="宋体" w:hAnsi="宋体" w:cs="宋体"/>
          <w:color w:val="auto"/>
          <w:sz w:val="24"/>
          <w:szCs w:val="24"/>
          <w:highlight w:val="none"/>
          <w:lang w:eastAsia="zh-CN"/>
        </w:rPr>
        <w:t>消毒灭菌装置</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套</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简要技术需求：用于医院对医疗器械和用品的低温快速灭菌。</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合同履行期限：合同签订后</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0日内指定地点交货。</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本项目不接受联合体投标。</w:t>
      </w:r>
    </w:p>
    <w:p>
      <w:pPr>
        <w:numPr>
          <w:ilvl w:val="0"/>
          <w:numId w:val="1"/>
        </w:numPr>
        <w:spacing w:line="360" w:lineRule="auto"/>
        <w:outlineLvl w:val="1"/>
        <w:rPr>
          <w:rFonts w:hint="eastAsia" w:ascii="宋体" w:hAnsi="宋体" w:cs="宋体"/>
          <w:b/>
          <w:bCs/>
          <w:color w:val="auto"/>
          <w:sz w:val="24"/>
          <w:szCs w:val="24"/>
          <w:highlight w:val="none"/>
        </w:rPr>
      </w:pPr>
      <w:bookmarkStart w:id="16" w:name="_Toc35393622"/>
      <w:bookmarkStart w:id="17" w:name="_Toc35393791"/>
      <w:bookmarkStart w:id="18" w:name="_Toc28359080"/>
      <w:bookmarkStart w:id="19" w:name="_Toc28359003"/>
      <w:bookmarkStart w:id="20" w:name="_Toc18269"/>
      <w:bookmarkStart w:id="21" w:name="_Toc9466"/>
      <w:r>
        <w:rPr>
          <w:rFonts w:hint="eastAsia" w:ascii="宋体" w:hAnsi="宋体" w:cs="宋体"/>
          <w:b/>
          <w:bCs/>
          <w:color w:val="auto"/>
          <w:sz w:val="24"/>
          <w:szCs w:val="24"/>
          <w:highlight w:val="none"/>
        </w:rPr>
        <w:t>申请人的资格要求：</w:t>
      </w:r>
      <w:bookmarkEnd w:id="16"/>
      <w:bookmarkEnd w:id="17"/>
      <w:bookmarkEnd w:id="18"/>
      <w:bookmarkEnd w:id="19"/>
      <w:bookmarkEnd w:id="20"/>
      <w:bookmarkEnd w:id="21"/>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1.满足《中华人民共和国政府采购法》第二十二条规定；</w:t>
      </w:r>
    </w:p>
    <w:p>
      <w:pPr>
        <w:spacing w:line="360" w:lineRule="auto"/>
        <w:ind w:firstLine="480" w:firstLineChars="200"/>
        <w:rPr>
          <w:rFonts w:hint="eastAsia" w:ascii="宋体" w:hAnsi="宋体" w:cs="宋体"/>
          <w:color w:val="auto"/>
          <w:sz w:val="24"/>
          <w:szCs w:val="24"/>
          <w:highlight w:val="none"/>
        </w:rPr>
      </w:pPr>
      <w:bookmarkStart w:id="22" w:name="_Toc28359081"/>
      <w:bookmarkStart w:id="23" w:name="_Toc28359004"/>
      <w:r>
        <w:rPr>
          <w:rFonts w:hint="eastAsia" w:ascii="宋体" w:hAnsi="宋体" w:cs="宋体"/>
          <w:color w:val="auto"/>
          <w:sz w:val="24"/>
          <w:szCs w:val="24"/>
          <w:highlight w:val="none"/>
        </w:rPr>
        <w:t>2.落实政府采购政策需满足的资格要求：</w:t>
      </w:r>
      <w:r>
        <w:rPr>
          <w:rFonts w:hint="eastAsia" w:asciiTheme="minorEastAsia" w:hAnsiTheme="minorEastAsia" w:eastAsiaTheme="minorEastAsia" w:cstheme="minorEastAsia"/>
          <w:color w:val="auto"/>
          <w:sz w:val="24"/>
          <w:szCs w:val="24"/>
          <w:highlight w:val="none"/>
          <w:lang w:val="en-US" w:eastAsia="zh-CN"/>
        </w:rPr>
        <w:t>/</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3.本项目的特定资格要求：</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宋体" w:hAnsi="宋体" w:cs="宋体"/>
          <w:bCs/>
          <w:color w:val="auto"/>
          <w:sz w:val="24"/>
          <w:szCs w:val="24"/>
          <w:highlight w:val="none"/>
        </w:rPr>
        <w:t>投标人未被“信用中国网站”（www.creditchina.gov.cn）列入失信被执行人、重大</w:t>
      </w:r>
      <w:r>
        <w:rPr>
          <w:rFonts w:hint="eastAsia" w:ascii="宋体" w:hAnsi="宋体" w:cs="宋体"/>
          <w:color w:val="auto"/>
          <w:sz w:val="24"/>
          <w:szCs w:val="24"/>
          <w:highlight w:val="none"/>
        </w:rPr>
        <w:t>税收</w:t>
      </w:r>
      <w:r>
        <w:rPr>
          <w:rFonts w:hint="eastAsia" w:ascii="宋体" w:hAnsi="宋体" w:cs="宋体"/>
          <w:bCs/>
          <w:color w:val="auto"/>
          <w:sz w:val="24"/>
          <w:szCs w:val="24"/>
          <w:highlight w:val="none"/>
        </w:rPr>
        <w:t>违法案件当事人</w:t>
      </w:r>
      <w:r>
        <w:rPr>
          <w:rFonts w:hint="eastAsia" w:ascii="宋体" w:hAnsi="宋体" w:cs="宋体"/>
          <w:color w:val="auto"/>
          <w:sz w:val="24"/>
          <w:szCs w:val="24"/>
          <w:highlight w:val="none"/>
        </w:rPr>
        <w:t>名单</w:t>
      </w:r>
      <w:r>
        <w:rPr>
          <w:rFonts w:hint="eastAsia" w:ascii="宋体" w:hAnsi="宋体" w:cs="宋体"/>
          <w:bCs/>
          <w:color w:val="auto"/>
          <w:sz w:val="24"/>
          <w:szCs w:val="24"/>
          <w:highlight w:val="none"/>
        </w:rPr>
        <w:t>或政府采购严重违法失信名单。</w:t>
      </w:r>
    </w:p>
    <w:p>
      <w:pPr>
        <w:numPr>
          <w:ilvl w:val="0"/>
          <w:numId w:val="2"/>
        </w:numPr>
        <w:spacing w:line="360" w:lineRule="auto"/>
        <w:ind w:left="0" w:firstLine="432" w:firstLineChars="18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在投标截止时间前三年内投标人或其单位负责人、拟委任的项目负责人无行贿犯罪行为的。</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宋体" w:hAnsi="宋体" w:cs="宋体"/>
          <w:color w:val="auto"/>
          <w:sz w:val="24"/>
          <w:szCs w:val="24"/>
          <w:highlight w:val="none"/>
        </w:rPr>
        <w:t>与本项目招标代理机构的负责人为同一人或者存在直接控股和管理关系的供应商不得参加本次政府采购活动。</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宋体" w:hAnsi="宋体" w:cs="宋体"/>
          <w:color w:val="auto"/>
          <w:sz w:val="24"/>
          <w:szCs w:val="24"/>
          <w:highlight w:val="none"/>
        </w:rPr>
        <w:t>单位负责人为同一人或者存在直接</w:t>
      </w:r>
      <w:r>
        <w:rPr>
          <w:rFonts w:hint="eastAsia" w:ascii="宋体" w:hAnsi="宋体" w:cs="宋体"/>
          <w:bCs/>
          <w:color w:val="auto"/>
          <w:sz w:val="24"/>
          <w:szCs w:val="24"/>
          <w:highlight w:val="none"/>
        </w:rPr>
        <w:t>控股</w:t>
      </w:r>
      <w:r>
        <w:rPr>
          <w:rFonts w:hint="eastAsia" w:ascii="宋体" w:hAnsi="宋体" w:cs="宋体"/>
          <w:color w:val="auto"/>
          <w:sz w:val="24"/>
          <w:szCs w:val="24"/>
          <w:highlight w:val="none"/>
        </w:rPr>
        <w:t>、管理关系的不同投标人，不得同时参加同一包件的投标或者未划分包件的同一招标项目的投标。</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宋体" w:hAnsi="宋体" w:cs="宋体"/>
          <w:color w:val="auto"/>
          <w:sz w:val="24"/>
          <w:szCs w:val="24"/>
          <w:highlight w:val="none"/>
        </w:rPr>
        <w:t>为本项目提供整体设计、规范编制</w:t>
      </w:r>
      <w:r>
        <w:rPr>
          <w:rFonts w:hint="eastAsia" w:ascii="宋体" w:hAnsi="宋体" w:cs="宋体"/>
          <w:bCs/>
          <w:color w:val="auto"/>
          <w:sz w:val="24"/>
          <w:szCs w:val="24"/>
          <w:highlight w:val="none"/>
        </w:rPr>
        <w:t>或者</w:t>
      </w:r>
      <w:r>
        <w:rPr>
          <w:rFonts w:hint="eastAsia" w:ascii="宋体" w:hAnsi="宋体" w:cs="宋体"/>
          <w:color w:val="auto"/>
          <w:sz w:val="24"/>
          <w:szCs w:val="24"/>
          <w:highlight w:val="none"/>
        </w:rPr>
        <w:t>项目管理、监理、检测等服务的供应商不得参加本次政府采购活动。</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宋体" w:hAnsi="宋体" w:cs="宋体"/>
          <w:color w:val="auto"/>
          <w:sz w:val="24"/>
          <w:szCs w:val="24"/>
          <w:highlight w:val="none"/>
        </w:rPr>
        <w:t>资质要求：</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（1）投标产品具备国家相关行业主管部门颁发的有效期内的医疗器械注册证（备案证）。</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如投标人不是所投产品的制造商，应具备与本次招标内容相适应的有效期内的医疗器械经营许可证（备案证）；如投标人是所投产品的制造商，应具备与本次招标内容相适应的有效期内的医疗器械生产许可证（备案证）</w:t>
      </w:r>
      <w:r>
        <w:rPr>
          <w:rStyle w:val="38"/>
          <w:rFonts w:hint="eastAsia" w:ascii="Times New Roman" w:hAnsi="Times New Roman"/>
          <w:color w:val="auto"/>
          <w:szCs w:val="20"/>
          <w:highlight w:val="none"/>
        </w:rPr>
        <w:t>。</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本项目非专门面向中小企业采购</w:t>
      </w:r>
      <w:r>
        <w:rPr>
          <w:rFonts w:hint="eastAsia" w:asciiTheme="minorEastAsia" w:hAnsiTheme="minorEastAsia" w:eastAsiaTheme="minorEastAsia" w:cstheme="minorEastAsia"/>
          <w:color w:val="auto"/>
          <w:sz w:val="24"/>
          <w:szCs w:val="24"/>
          <w:highlight w:val="none"/>
          <w:lang w:eastAsia="zh-CN"/>
        </w:rPr>
        <w:t>。</w:t>
      </w:r>
    </w:p>
    <w:p>
      <w:pPr>
        <w:numPr>
          <w:ilvl w:val="0"/>
          <w:numId w:val="2"/>
        </w:numPr>
        <w:spacing w:line="360" w:lineRule="auto"/>
        <w:ind w:left="0" w:firstLine="432" w:firstLineChars="180"/>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本项目接受进口产品投标（进口产品指源产地来自中华人民共和国境外的产品）</w:t>
      </w:r>
      <w:r>
        <w:rPr>
          <w:rFonts w:hint="eastAsia" w:asciiTheme="minorEastAsia" w:hAnsiTheme="minorEastAsia" w:eastAsiaTheme="minorEastAsia" w:cstheme="minorEastAsia"/>
          <w:color w:val="auto"/>
          <w:sz w:val="24"/>
          <w:szCs w:val="24"/>
          <w:highlight w:val="none"/>
          <w:lang w:eastAsia="zh-CN"/>
        </w:rPr>
        <w:t>。</w:t>
      </w:r>
    </w:p>
    <w:p>
      <w:pPr>
        <w:numPr>
          <w:ilvl w:val="0"/>
          <w:numId w:val="1"/>
        </w:numPr>
        <w:spacing w:line="360" w:lineRule="auto"/>
        <w:outlineLvl w:val="1"/>
        <w:rPr>
          <w:rFonts w:hint="eastAsia" w:ascii="宋体" w:hAnsi="宋体" w:cs="宋体"/>
          <w:b/>
          <w:bCs/>
          <w:color w:val="auto"/>
          <w:sz w:val="24"/>
          <w:szCs w:val="24"/>
          <w:highlight w:val="none"/>
        </w:rPr>
      </w:pPr>
      <w:bookmarkStart w:id="24" w:name="_Toc14508"/>
      <w:bookmarkStart w:id="25" w:name="_Toc3115"/>
      <w:bookmarkStart w:id="26" w:name="_Toc35393792"/>
      <w:bookmarkStart w:id="27" w:name="_Toc35393623"/>
      <w:r>
        <w:rPr>
          <w:rFonts w:hint="eastAsia" w:ascii="宋体" w:hAnsi="宋体" w:cs="宋体"/>
          <w:b/>
          <w:bCs/>
          <w:color w:val="auto"/>
          <w:sz w:val="24"/>
          <w:szCs w:val="24"/>
          <w:highlight w:val="none"/>
        </w:rPr>
        <w:t>获取招标文件</w:t>
      </w:r>
      <w:bookmarkEnd w:id="22"/>
      <w:bookmarkEnd w:id="23"/>
      <w:bookmarkEnd w:id="24"/>
      <w:bookmarkEnd w:id="25"/>
      <w:bookmarkEnd w:id="26"/>
      <w:bookmarkEnd w:id="27"/>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时间：2024年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15</w:t>
      </w:r>
      <w:r>
        <w:rPr>
          <w:rFonts w:hint="eastAsia" w:ascii="宋体" w:hAnsi="宋体" w:cs="宋体"/>
          <w:color w:val="auto"/>
          <w:sz w:val="24"/>
          <w:szCs w:val="24"/>
          <w:highlight w:val="none"/>
        </w:rPr>
        <w:t>日至2024年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22</w:t>
      </w:r>
      <w:r>
        <w:rPr>
          <w:rFonts w:hint="eastAsia" w:ascii="宋体" w:hAnsi="宋体" w:cs="宋体"/>
          <w:color w:val="auto"/>
          <w:sz w:val="24"/>
          <w:szCs w:val="24"/>
          <w:highlight w:val="none"/>
        </w:rPr>
        <w:t>日</w:t>
      </w:r>
      <w:r>
        <w:rPr>
          <w:rFonts w:hint="eastAsia" w:ascii="宋体" w:hAnsi="宋体" w:cs="宋体"/>
          <w:iCs/>
          <w:color w:val="auto"/>
          <w:sz w:val="24"/>
          <w:szCs w:val="24"/>
          <w:highlight w:val="none"/>
        </w:rPr>
        <w:t>（</w:t>
      </w:r>
      <w:r>
        <w:rPr>
          <w:rFonts w:hint="eastAsia" w:ascii="宋体" w:hAnsi="宋体" w:cs="宋体"/>
          <w:i/>
          <w:color w:val="auto"/>
          <w:sz w:val="24"/>
          <w:szCs w:val="24"/>
          <w:highlight w:val="none"/>
        </w:rPr>
        <w:t>提供期限自本公告发布之日起不得少于5个工作日</w:t>
      </w:r>
      <w:r>
        <w:rPr>
          <w:rFonts w:hint="eastAsia" w:ascii="宋体" w:hAnsi="宋体" w:cs="宋体"/>
          <w:iCs/>
          <w:color w:val="auto"/>
          <w:sz w:val="24"/>
          <w:szCs w:val="24"/>
          <w:highlight w:val="none"/>
        </w:rPr>
        <w:t>）</w:t>
      </w:r>
      <w:r>
        <w:rPr>
          <w:rFonts w:hint="eastAsia" w:ascii="宋体" w:hAnsi="宋体" w:cs="宋体"/>
          <w:color w:val="auto"/>
          <w:sz w:val="24"/>
          <w:szCs w:val="24"/>
          <w:highlight w:val="none"/>
        </w:rPr>
        <w:t>，每天9:00至12:00，13:00至17:00（北京时间，法定节假日除外）</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地点：</w:t>
      </w:r>
      <w:r>
        <w:rPr>
          <w:rFonts w:hint="eastAsia" w:asciiTheme="minorEastAsia" w:hAnsiTheme="minorEastAsia" w:eastAsiaTheme="minorEastAsia" w:cstheme="minorEastAsia"/>
          <w:color w:val="auto"/>
          <w:sz w:val="24"/>
          <w:szCs w:val="24"/>
          <w:highlight w:val="none"/>
        </w:rPr>
        <w:t>“中招联合招标采购平台”（网址：http://www.365trade.com.cn）</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方式：（1）凡有意购买招标文件的潜在投标人，请前往“中招联合招标采购平台”进行供应商注册，注册免费（网址：http://www.365trade.com.cn）（在注册页面准确填写供应商名称、统一社会信用代码等信息，并按照要求上传供应商公司证件，信息完善后点击“完成注册”）；（2）注册审核通过后，登录系统，</w:t>
      </w:r>
      <w:r>
        <w:rPr>
          <w:rFonts w:hint="eastAsia" w:ascii="宋体" w:hAnsi="宋体"/>
          <w:color w:val="auto"/>
          <w:sz w:val="24"/>
          <w:highlight w:val="none"/>
        </w:rPr>
        <w:t>点击“我的工作台”--</w:t>
      </w:r>
      <w:r>
        <w:rPr>
          <w:rFonts w:hint="eastAsia" w:ascii="宋体" w:hAnsi="宋体" w:cs="宋体"/>
          <w:color w:val="auto"/>
          <w:sz w:val="24"/>
          <w:szCs w:val="24"/>
          <w:highlight w:val="none"/>
        </w:rPr>
        <w:t>“寻找招标项目”进行项目名称查询，找到项目后点击“我要参与”。（3）标书费用支付完成后，供应商可进行招标文件的下载；（4）标书款发票由上海机电设备招标有限公司开具。（5）平台操作过程中如需帮助，可联系平台客服热线010-86397110（上午9：00—11：30，下午：13：00—17:00）获取支持；潜在投标人在标书发售截止时间前登录中招联合招标采购平台注册、购买标书，否则将无法保证获取电子版招标文件。</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售价：￥800元，本公告包含的招标文件售价总和。</w:t>
      </w:r>
    </w:p>
    <w:p>
      <w:pPr>
        <w:numPr>
          <w:ilvl w:val="0"/>
          <w:numId w:val="1"/>
        </w:numPr>
        <w:spacing w:line="360" w:lineRule="auto"/>
        <w:outlineLvl w:val="1"/>
        <w:rPr>
          <w:rFonts w:hint="eastAsia" w:ascii="宋体" w:hAnsi="宋体" w:cs="宋体"/>
          <w:b/>
          <w:bCs/>
          <w:color w:val="auto"/>
          <w:sz w:val="24"/>
          <w:szCs w:val="24"/>
          <w:highlight w:val="none"/>
        </w:rPr>
      </w:pPr>
      <w:bookmarkStart w:id="28" w:name="_Toc28359005"/>
      <w:bookmarkStart w:id="29" w:name="_Toc28359082"/>
      <w:bookmarkStart w:id="30" w:name="_Toc35393793"/>
      <w:bookmarkStart w:id="31" w:name="_Toc35393624"/>
      <w:bookmarkStart w:id="32" w:name="_Toc14694"/>
      <w:bookmarkStart w:id="33" w:name="_Toc4672"/>
      <w:r>
        <w:rPr>
          <w:rFonts w:hint="eastAsia" w:ascii="宋体" w:hAnsi="宋体" w:cs="宋体"/>
          <w:b/>
          <w:bCs/>
          <w:color w:val="auto"/>
          <w:sz w:val="24"/>
          <w:szCs w:val="24"/>
          <w:highlight w:val="none"/>
        </w:rPr>
        <w:t>提交投标文件</w:t>
      </w:r>
      <w:bookmarkEnd w:id="28"/>
      <w:bookmarkEnd w:id="29"/>
      <w:r>
        <w:rPr>
          <w:rFonts w:hint="eastAsia" w:ascii="宋体" w:hAnsi="宋体" w:cs="宋体"/>
          <w:b/>
          <w:bCs/>
          <w:color w:val="auto"/>
          <w:sz w:val="24"/>
          <w:szCs w:val="24"/>
          <w:highlight w:val="none"/>
        </w:rPr>
        <w:t>截止时间、开标时间和地点</w:t>
      </w:r>
      <w:bookmarkEnd w:id="30"/>
      <w:bookmarkEnd w:id="31"/>
      <w:bookmarkEnd w:id="32"/>
      <w:bookmarkEnd w:id="33"/>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提交投标文件截止时间：2024</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w:t>
      </w:r>
      <w:r>
        <w:rPr>
          <w:rFonts w:hint="eastAsia" w:ascii="宋体" w:hAnsi="宋体" w:cs="宋体"/>
          <w:bCs/>
          <w:color w:val="auto"/>
          <w:sz w:val="24"/>
          <w:szCs w:val="24"/>
          <w:highlight w:val="none"/>
        </w:rPr>
        <w:t>13点30分（北京时间）</w:t>
      </w:r>
    </w:p>
    <w:p>
      <w:pPr>
        <w:spacing w:line="360" w:lineRule="auto"/>
        <w:ind w:firstLine="480" w:firstLineChars="200"/>
        <w:rPr>
          <w:color w:val="auto"/>
          <w:sz w:val="24"/>
          <w:szCs w:val="24"/>
          <w:highlight w:val="none"/>
        </w:rPr>
      </w:pPr>
      <w:r>
        <w:rPr>
          <w:rFonts w:hint="eastAsia"/>
          <w:color w:val="auto"/>
          <w:sz w:val="24"/>
          <w:szCs w:val="24"/>
          <w:highlight w:val="none"/>
        </w:rPr>
        <w:t>开标时间：</w:t>
      </w:r>
      <w:r>
        <w:rPr>
          <w:rFonts w:hint="eastAsia" w:ascii="宋体" w:hAnsi="宋体" w:cs="宋体"/>
          <w:bCs/>
          <w:color w:val="auto"/>
          <w:sz w:val="24"/>
          <w:szCs w:val="24"/>
          <w:highlight w:val="none"/>
        </w:rPr>
        <w:t>2024年</w:t>
      </w:r>
      <w:r>
        <w:rPr>
          <w:rFonts w:hint="eastAsia" w:ascii="宋体" w:hAnsi="宋体" w:cs="宋体"/>
          <w:bCs/>
          <w:color w:val="auto"/>
          <w:sz w:val="24"/>
          <w:szCs w:val="24"/>
          <w:highlight w:val="none"/>
          <w:lang w:val="en-US" w:eastAsia="zh-CN"/>
        </w:rPr>
        <w:t>12</w:t>
      </w:r>
      <w:r>
        <w:rPr>
          <w:rFonts w:hint="eastAsia" w:ascii="宋体" w:hAnsi="宋体" w:cs="宋体"/>
          <w:bCs/>
          <w:color w:val="auto"/>
          <w:sz w:val="24"/>
          <w:szCs w:val="24"/>
          <w:highlight w:val="none"/>
        </w:rPr>
        <w:t>月</w:t>
      </w:r>
      <w:r>
        <w:rPr>
          <w:rFonts w:hint="eastAsia" w:ascii="宋体" w:hAnsi="宋体" w:cs="宋体"/>
          <w:bCs/>
          <w:color w:val="auto"/>
          <w:sz w:val="24"/>
          <w:szCs w:val="24"/>
          <w:highlight w:val="none"/>
          <w:lang w:val="en-US" w:eastAsia="zh-CN"/>
        </w:rPr>
        <w:t>6</w:t>
      </w:r>
      <w:r>
        <w:rPr>
          <w:rFonts w:hint="eastAsia" w:ascii="宋体" w:hAnsi="宋体" w:cs="宋体"/>
          <w:bCs/>
          <w:color w:val="auto"/>
          <w:sz w:val="24"/>
          <w:szCs w:val="24"/>
          <w:highlight w:val="none"/>
        </w:rPr>
        <w:t>日13点30分（北京时间）</w:t>
      </w:r>
    </w:p>
    <w:p>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color w:val="auto"/>
          <w:sz w:val="24"/>
          <w:szCs w:val="24"/>
          <w:highlight w:val="none"/>
        </w:rPr>
        <w:t>地点：上海市普陀区长寿路285号恒达大厦22楼开标大厅</w:t>
      </w:r>
    </w:p>
    <w:p>
      <w:pPr>
        <w:numPr>
          <w:ilvl w:val="0"/>
          <w:numId w:val="1"/>
        </w:numPr>
        <w:spacing w:line="360" w:lineRule="auto"/>
        <w:outlineLvl w:val="1"/>
        <w:rPr>
          <w:rFonts w:hint="eastAsia" w:ascii="宋体" w:hAnsi="宋体" w:cs="宋体"/>
          <w:b/>
          <w:bCs/>
          <w:color w:val="auto"/>
          <w:sz w:val="24"/>
          <w:szCs w:val="24"/>
          <w:highlight w:val="none"/>
        </w:rPr>
      </w:pPr>
      <w:bookmarkStart w:id="34" w:name="_Toc35393794"/>
      <w:bookmarkStart w:id="35" w:name="_Toc35393625"/>
      <w:bookmarkStart w:id="36" w:name="_Toc28359084"/>
      <w:bookmarkStart w:id="37" w:name="_Toc16694"/>
      <w:bookmarkStart w:id="38" w:name="_Toc28359007"/>
      <w:bookmarkStart w:id="39" w:name="_Toc29365"/>
      <w:r>
        <w:rPr>
          <w:rFonts w:hint="eastAsia" w:ascii="宋体" w:hAnsi="宋体" w:cs="宋体"/>
          <w:b/>
          <w:bCs/>
          <w:color w:val="auto"/>
          <w:sz w:val="24"/>
          <w:szCs w:val="24"/>
          <w:highlight w:val="none"/>
        </w:rPr>
        <w:t>公告期限</w:t>
      </w:r>
      <w:bookmarkEnd w:id="34"/>
      <w:bookmarkEnd w:id="35"/>
      <w:bookmarkEnd w:id="36"/>
      <w:bookmarkEnd w:id="37"/>
      <w:bookmarkEnd w:id="38"/>
      <w:bookmarkEnd w:id="39"/>
    </w:p>
    <w:p>
      <w:pPr>
        <w:spacing w:line="360" w:lineRule="auto"/>
        <w:ind w:firstLine="480" w:firstLine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自本公告发布之日起5个工作日。</w:t>
      </w:r>
    </w:p>
    <w:p>
      <w:pPr>
        <w:numPr>
          <w:ilvl w:val="0"/>
          <w:numId w:val="1"/>
        </w:numPr>
        <w:spacing w:line="360" w:lineRule="auto"/>
        <w:outlineLvl w:val="1"/>
        <w:rPr>
          <w:rFonts w:hint="eastAsia" w:ascii="宋体" w:hAnsi="宋体" w:cs="宋体"/>
          <w:b/>
          <w:bCs/>
          <w:color w:val="auto"/>
          <w:sz w:val="24"/>
          <w:szCs w:val="24"/>
          <w:highlight w:val="none"/>
        </w:rPr>
      </w:pPr>
      <w:bookmarkStart w:id="40" w:name="_Toc35393626"/>
      <w:bookmarkStart w:id="41" w:name="_Toc35393795"/>
      <w:bookmarkStart w:id="42" w:name="_Toc26792"/>
      <w:bookmarkStart w:id="43" w:name="_Toc4989"/>
      <w:r>
        <w:rPr>
          <w:rFonts w:hint="eastAsia" w:ascii="宋体" w:hAnsi="宋体" w:cs="宋体"/>
          <w:b/>
          <w:bCs/>
          <w:color w:val="auto"/>
          <w:sz w:val="24"/>
          <w:szCs w:val="24"/>
          <w:highlight w:val="none"/>
        </w:rPr>
        <w:t>其他补充事宜</w:t>
      </w:r>
      <w:bookmarkEnd w:id="40"/>
      <w:bookmarkEnd w:id="41"/>
      <w:bookmarkEnd w:id="42"/>
      <w:bookmarkEnd w:id="43"/>
    </w:p>
    <w:p>
      <w:pPr>
        <w:pStyle w:val="69"/>
        <w:spacing w:line="360" w:lineRule="auto"/>
        <w:ind w:left="495" w:firstLine="0" w:firstLineChars="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本次招标执行支持中小微企业、促进残疾人就业、支持监狱和戒毒企业、扶持不发达地区和少数民族地区等相关政策。</w:t>
      </w:r>
    </w:p>
    <w:p>
      <w:pPr>
        <w:spacing w:line="360" w:lineRule="auto"/>
        <w:ind w:firstLine="480" w:firstLineChars="200"/>
        <w:rPr>
          <w:rFonts w:hint="eastAsia" w:ascii="宋体" w:hAnsi="宋体" w:cs="宋体"/>
          <w:color w:val="auto"/>
          <w:sz w:val="24"/>
          <w:szCs w:val="24"/>
          <w:highlight w:val="none"/>
        </w:rPr>
      </w:pPr>
      <w:r>
        <w:rPr>
          <w:rFonts w:hint="eastAsia" w:asciiTheme="minorEastAsia" w:hAnsiTheme="minorEastAsia" w:eastAsiaTheme="minorEastAsia" w:cstheme="minorEastAsia"/>
          <w:color w:val="auto"/>
          <w:sz w:val="24"/>
          <w:szCs w:val="24"/>
          <w:highlight w:val="none"/>
        </w:rPr>
        <w:t>投标人须保证获得招标文件需提交的资料和所填写内容真实、完整、有效、一致，如因投标人递交虚假材料或填写信息错误导致的与本项目有关的任何损失由投标人承担。</w:t>
      </w:r>
    </w:p>
    <w:p>
      <w:pPr>
        <w:pStyle w:val="64"/>
        <w:spacing w:line="360" w:lineRule="auto"/>
        <w:ind w:left="495" w:firstLine="0" w:firstLineChars="0"/>
        <w:rPr>
          <w:rFonts w:hint="eastAsia" w:ascii="宋体" w:hAnsi="宋体" w:cs="宋体"/>
          <w:color w:val="auto"/>
          <w:sz w:val="24"/>
          <w:szCs w:val="24"/>
          <w:highlight w:val="none"/>
        </w:rPr>
      </w:pPr>
    </w:p>
    <w:p>
      <w:pPr>
        <w:numPr>
          <w:ilvl w:val="0"/>
          <w:numId w:val="1"/>
        </w:numPr>
        <w:spacing w:line="360" w:lineRule="auto"/>
        <w:outlineLvl w:val="1"/>
        <w:rPr>
          <w:rFonts w:hint="eastAsia" w:ascii="宋体" w:hAnsi="宋体" w:cs="宋体"/>
          <w:b/>
          <w:bCs/>
          <w:color w:val="auto"/>
          <w:sz w:val="24"/>
          <w:szCs w:val="24"/>
          <w:highlight w:val="none"/>
        </w:rPr>
      </w:pPr>
      <w:bookmarkStart w:id="44" w:name="_Toc35393627"/>
      <w:bookmarkStart w:id="45" w:name="_Toc28359085"/>
      <w:bookmarkStart w:id="46" w:name="_Toc35393796"/>
      <w:bookmarkStart w:id="47" w:name="_Toc12940"/>
      <w:bookmarkStart w:id="48" w:name="_Toc28359008"/>
      <w:bookmarkStart w:id="49" w:name="_Toc2168"/>
      <w:r>
        <w:rPr>
          <w:rFonts w:hint="eastAsia" w:ascii="宋体" w:hAnsi="宋体" w:cs="宋体"/>
          <w:b/>
          <w:bCs/>
          <w:color w:val="auto"/>
          <w:sz w:val="24"/>
          <w:szCs w:val="24"/>
          <w:highlight w:val="none"/>
        </w:rPr>
        <w:t>对本次招标提出询问，请按以下方式联系。</w:t>
      </w:r>
      <w:bookmarkEnd w:id="44"/>
      <w:bookmarkEnd w:id="45"/>
      <w:bookmarkEnd w:id="46"/>
      <w:bookmarkEnd w:id="47"/>
      <w:bookmarkEnd w:id="48"/>
      <w:bookmarkEnd w:id="49"/>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1.采购人信息</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名称：复旦大学附属妇产科医院</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地址：上海市沈阳路128号</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联系方式：</w:t>
      </w:r>
      <w:bookmarkStart w:id="50" w:name="_Toc28359086"/>
      <w:bookmarkStart w:id="51" w:name="_Toc28359009"/>
      <w:r>
        <w:rPr>
          <w:rFonts w:hint="eastAsia" w:ascii="宋体" w:hAnsi="宋体" w:cs="宋体"/>
          <w:color w:val="auto"/>
          <w:sz w:val="24"/>
          <w:szCs w:val="24"/>
          <w:highlight w:val="none"/>
        </w:rPr>
        <w:t>张莉亚 021-33189900</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50"/>
      <w:bookmarkEnd w:id="51"/>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名称：上海机电设备招标有限公司</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地址：上海市普陀区长寿路285号恒达大厦16楼</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bookmarkStart w:id="52" w:name="_Toc28359087"/>
      <w:bookmarkStart w:id="53" w:name="_Toc28359010"/>
      <w:r>
        <w:rPr>
          <w:rFonts w:hint="eastAsia" w:ascii="宋体" w:hAnsi="宋体" w:cs="宋体"/>
          <w:color w:val="auto"/>
          <w:sz w:val="24"/>
          <w:szCs w:val="24"/>
          <w:highlight w:val="none"/>
        </w:rPr>
        <w:t>张子豪、孙瑞强，021-32557735、32557738，电子邮箱：zzh@shbid.com</w:t>
      </w:r>
    </w:p>
    <w:p>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3.项目联系方式</w:t>
      </w:r>
      <w:bookmarkEnd w:id="52"/>
      <w:bookmarkEnd w:id="53"/>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项目联系人：张子豪、孙瑞强</w:t>
      </w: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电话：021-</w:t>
      </w:r>
      <w:bookmarkEnd w:id="5"/>
      <w:bookmarkEnd w:id="6"/>
      <w:bookmarkEnd w:id="7"/>
      <w:r>
        <w:rPr>
          <w:rFonts w:hint="eastAsia" w:ascii="宋体" w:hAnsi="宋体" w:cs="宋体"/>
          <w:color w:val="auto"/>
          <w:sz w:val="24"/>
          <w:szCs w:val="24"/>
          <w:highlight w:val="none"/>
        </w:rPr>
        <w:t>32557735、32557738</w:t>
      </w:r>
    </w:p>
    <w:p>
      <w:pPr>
        <w:pStyle w:val="14"/>
        <w:rPr>
          <w:rFonts w:hint="eastAsia" w:ascii="宋体" w:hAnsi="宋体" w:cs="宋体"/>
          <w:color w:val="auto"/>
          <w:sz w:val="24"/>
          <w:szCs w:val="24"/>
          <w:highlight w:val="none"/>
        </w:rPr>
      </w:pPr>
    </w:p>
    <w:p>
      <w:pPr>
        <w:pStyle w:val="4"/>
        <w:keepNext w:val="0"/>
        <w:keepLines w:val="0"/>
        <w:spacing w:before="0" w:after="0" w:line="360" w:lineRule="auto"/>
        <w:jc w:val="center"/>
        <w:rPr>
          <w:rFonts w:hint="eastAsia" w:ascii="宋体" w:hAnsi="宋体" w:cs="宋体"/>
          <w:color w:val="auto"/>
          <w:sz w:val="28"/>
          <w:szCs w:val="28"/>
          <w:highlight w:val="none"/>
        </w:rPr>
        <w:sectPr>
          <w:footerReference r:id="rId3" w:type="default"/>
          <w:pgSz w:w="11907" w:h="16839"/>
          <w:pgMar w:top="1440" w:right="1803" w:bottom="1440" w:left="1803" w:header="720" w:footer="720" w:gutter="0"/>
          <w:pgNumType w:start="1"/>
          <w:cols w:space="720" w:num="1"/>
          <w:docGrid w:linePitch="286" w:charSpace="0"/>
        </w:sectPr>
      </w:pPr>
      <w:bookmarkStart w:id="54" w:name="_Toc392227736"/>
    </w:p>
    <w:bookmarkEnd w:id="54"/>
    <w:p>
      <w:pPr>
        <w:pStyle w:val="4"/>
        <w:keepNext w:val="0"/>
        <w:keepLines w:val="0"/>
        <w:spacing w:before="0" w:after="0" w:line="360" w:lineRule="auto"/>
        <w:jc w:val="center"/>
        <w:rPr>
          <w:rFonts w:hint="eastAsia" w:ascii="宋体" w:hAnsi="宋体" w:cs="宋体"/>
          <w:color w:val="auto"/>
          <w:highlight w:val="none"/>
        </w:rPr>
      </w:pPr>
      <w:bookmarkStart w:id="55" w:name="_Toc15511"/>
      <w:bookmarkStart w:id="56" w:name="_Toc16054"/>
      <w:bookmarkStart w:id="57" w:name="_Toc392227745"/>
      <w:bookmarkStart w:id="58" w:name="_Toc457747927"/>
      <w:bookmarkStart w:id="59" w:name="_Toc31504"/>
      <w:r>
        <w:rPr>
          <w:rFonts w:hint="eastAsia" w:ascii="宋体" w:hAnsi="宋体" w:cs="宋体"/>
          <w:color w:val="auto"/>
          <w:sz w:val="32"/>
          <w:szCs w:val="32"/>
          <w:highlight w:val="none"/>
        </w:rPr>
        <w:t>第二章 投标人须知</w:t>
      </w:r>
      <w:bookmarkEnd w:id="55"/>
      <w:bookmarkEnd w:id="56"/>
      <w:bookmarkEnd w:id="57"/>
      <w:bookmarkEnd w:id="58"/>
      <w:bookmarkEnd w:id="59"/>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60" w:name="_Toc29104"/>
      <w:bookmarkStart w:id="61" w:name="_Toc457747928"/>
      <w:bookmarkStart w:id="62" w:name="_Toc26242"/>
      <w:bookmarkStart w:id="63" w:name="_Toc392227746"/>
      <w:r>
        <w:rPr>
          <w:rFonts w:hint="eastAsia" w:ascii="宋体" w:hAnsi="宋体" w:eastAsia="宋体" w:cs="宋体"/>
          <w:color w:val="auto"/>
          <w:sz w:val="30"/>
          <w:szCs w:val="30"/>
          <w:highlight w:val="none"/>
        </w:rPr>
        <w:t>投标人须知前附表</w:t>
      </w:r>
      <w:bookmarkEnd w:id="60"/>
      <w:bookmarkEnd w:id="61"/>
      <w:bookmarkEnd w:id="62"/>
      <w:bookmarkEnd w:id="63"/>
    </w:p>
    <w:tbl>
      <w:tblPr>
        <w:tblStyle w:val="32"/>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979"/>
        <w:gridCol w:w="1821"/>
        <w:gridCol w:w="5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条款号</w:t>
            </w:r>
          </w:p>
        </w:tc>
        <w:tc>
          <w:tcPr>
            <w:tcW w:w="1821" w:type="dxa"/>
            <w:tcBorders>
              <w:tl2br w:val="nil"/>
              <w:tr2bl w:val="nil"/>
            </w:tcBorders>
            <w:vAlign w:val="center"/>
          </w:tcPr>
          <w:p>
            <w:pPr>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条款名称</w:t>
            </w:r>
          </w:p>
        </w:tc>
        <w:tc>
          <w:tcPr>
            <w:tcW w:w="5660" w:type="dxa"/>
            <w:tcBorders>
              <w:tl2br w:val="nil"/>
              <w:tr2bl w:val="nil"/>
            </w:tcBorders>
            <w:vAlign w:val="center"/>
          </w:tcPr>
          <w:p>
            <w:pPr>
              <w:spacing w:line="400" w:lineRule="exact"/>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1.1.2</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招标人</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名称：复旦大学附属妇产科医院</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地址：上海市沈阳路128号</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联系人：张莉亚</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电话：021-33189900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1.1.3</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w:t>
            </w:r>
          </w:p>
        </w:tc>
        <w:tc>
          <w:tcPr>
            <w:tcW w:w="5660"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名称：上海机电设备招标有限公司</w:t>
            </w:r>
          </w:p>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地址：上海市普陀区长寿路285号恒达大厦16楼</w:t>
            </w:r>
          </w:p>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联系人：张子豪、孙瑞强</w:t>
            </w:r>
          </w:p>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电话：021-32557735、32557738</w:t>
            </w:r>
          </w:p>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电子邮箱：zzh@shbid.com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1.1.4</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招标项目名称</w:t>
            </w:r>
          </w:p>
        </w:tc>
        <w:tc>
          <w:tcPr>
            <w:tcW w:w="5660" w:type="dxa"/>
            <w:tcBorders>
              <w:tl2br w:val="nil"/>
              <w:tr2bl w:val="nil"/>
            </w:tcBorders>
            <w:vAlign w:val="center"/>
          </w:tcPr>
          <w:p>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eastAsia="zh-CN"/>
              </w:rPr>
              <w:t>消毒灭菌装置</w:t>
            </w:r>
          </w:p>
          <w:p>
            <w:pPr>
              <w:spacing w:line="400" w:lineRule="exact"/>
              <w:rPr>
                <w:rFonts w:hint="eastAsia" w:ascii="宋体" w:hAnsi="宋体" w:cs="宋体"/>
                <w:color w:val="auto"/>
                <w:sz w:val="24"/>
                <w:szCs w:val="24"/>
                <w:highlight w:val="none"/>
              </w:rPr>
            </w:pPr>
            <w:r>
              <w:rPr>
                <w:rFonts w:hint="eastAsia"/>
                <w:color w:val="auto"/>
                <w:sz w:val="24"/>
                <w:szCs w:val="24"/>
                <w:highlight w:val="none"/>
              </w:rPr>
              <w:t>项目所属行业：工业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1.1.5</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是否划分包件</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本项目不划分包件，投标人应对所有招标产品进行投标，不接受仅对其中部分产品进行投标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资金来源及比例</w:t>
            </w:r>
          </w:p>
        </w:tc>
        <w:tc>
          <w:tcPr>
            <w:tcW w:w="5660" w:type="dxa"/>
            <w:tcBorders>
              <w:tl2br w:val="nil"/>
              <w:tr2bl w:val="nil"/>
            </w:tcBorders>
            <w:vAlign w:val="center"/>
          </w:tcPr>
          <w:p>
            <w:pPr>
              <w:spacing w:line="400" w:lineRule="exact"/>
              <w:jc w:val="left"/>
              <w:rPr>
                <w:rFonts w:hint="default" w:ascii="宋体" w:hAnsi="宋体" w:eastAsia="宋体" w:cs="宋体"/>
                <w:color w:val="auto"/>
                <w:sz w:val="24"/>
                <w:szCs w:val="24"/>
                <w:highlight w:val="none"/>
                <w:lang w:val="en-US" w:eastAsia="zh-CN"/>
              </w:rPr>
            </w:pPr>
            <w:r>
              <w:rPr>
                <w:rFonts w:hint="eastAsia" w:ascii="宋体" w:hAnsi="宋体" w:cs="宋体"/>
                <w:snapToGrid w:val="0"/>
                <w:color w:val="auto"/>
                <w:kern w:val="0"/>
                <w:sz w:val="24"/>
                <w:szCs w:val="24"/>
                <w:highlight w:val="none"/>
                <w:lang w:val="en-US" w:eastAsia="zh-CN"/>
              </w:rPr>
              <w:t>医院自筹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资金落实情况</w:t>
            </w:r>
          </w:p>
        </w:tc>
        <w:tc>
          <w:tcPr>
            <w:tcW w:w="5660"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1.8.1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现场考察</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标前答疑会</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1.10.1</w:t>
            </w:r>
          </w:p>
        </w:tc>
        <w:tc>
          <w:tcPr>
            <w:tcW w:w="1821" w:type="dxa"/>
            <w:tcBorders>
              <w:tl2br w:val="nil"/>
              <w:tr2bl w:val="nil"/>
            </w:tcBorders>
            <w:vAlign w:val="center"/>
          </w:tcPr>
          <w:p>
            <w:pPr>
              <w:pStyle w:val="42"/>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w:t>
            </w:r>
          </w:p>
        </w:tc>
        <w:tc>
          <w:tcPr>
            <w:tcW w:w="5660" w:type="dxa"/>
            <w:tcBorders>
              <w:tl2br w:val="nil"/>
              <w:tr2bl w:val="nil"/>
            </w:tcBorders>
          </w:tcPr>
          <w:p>
            <w:pPr>
              <w:pStyle w:val="42"/>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1.11.1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实质性要求和条件</w:t>
            </w:r>
          </w:p>
        </w:tc>
        <w:tc>
          <w:tcPr>
            <w:tcW w:w="5660" w:type="dxa"/>
            <w:tcBorders>
              <w:tl2br w:val="nil"/>
              <w:tr2bl w:val="nil"/>
            </w:tcBorders>
            <w:vAlign w:val="center"/>
          </w:tcPr>
          <w:p>
            <w:pPr>
              <w:pStyle w:val="13"/>
              <w:topLinePunct/>
              <w:spacing w:line="400" w:lineRule="exact"/>
              <w:rPr>
                <w:rFonts w:hint="eastAsia" w:hAnsi="宋体" w:cs="宋体"/>
                <w:color w:val="auto"/>
                <w:szCs w:val="24"/>
                <w:highlight w:val="none"/>
              </w:rPr>
            </w:pPr>
            <w:r>
              <w:rPr>
                <w:rFonts w:hint="eastAsia" w:hAnsi="宋体" w:cs="宋体"/>
                <w:color w:val="auto"/>
                <w:szCs w:val="24"/>
                <w:highlight w:val="none"/>
              </w:rPr>
              <w:t>见本招标文件中标注星号（★）的内容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2.1</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构成招标文件的其他资料</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1.9.2</w:t>
            </w:r>
          </w:p>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投标人要求澄清招标文件的截止时间</w:t>
            </w:r>
          </w:p>
        </w:tc>
        <w:tc>
          <w:tcPr>
            <w:tcW w:w="5660" w:type="dxa"/>
            <w:tcBorders>
              <w:tl2br w:val="nil"/>
              <w:tr2bl w:val="nil"/>
            </w:tcBorders>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2024年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23</w:t>
            </w:r>
            <w:r>
              <w:rPr>
                <w:rFonts w:hint="eastAsia" w:ascii="宋体" w:hAnsi="宋体" w:cs="宋体"/>
                <w:color w:val="auto"/>
                <w:sz w:val="24"/>
                <w:szCs w:val="24"/>
                <w:highlight w:val="none"/>
              </w:rPr>
              <w:t>日12时00分；</w:t>
            </w:r>
          </w:p>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投标人须将盖章版扫描件和可编辑版（Word版）发</w:t>
            </w:r>
            <w:r>
              <w:rPr>
                <w:rFonts w:hint="eastAsia" w:ascii="宋体" w:hAnsi="宋体" w:cs="宋体"/>
                <w:color w:val="auto"/>
                <w:sz w:val="24"/>
                <w:szCs w:val="24"/>
                <w:highlight w:val="none"/>
                <w:lang w:val="fr-FR"/>
              </w:rPr>
              <w:t>E-mail至招标代理机构</w:t>
            </w:r>
            <w:r>
              <w:rPr>
                <w:rFonts w:hint="eastAsia" w:ascii="宋体" w:hAnsi="宋体" w:cs="宋体"/>
                <w:color w:val="auto"/>
                <w:sz w:val="24"/>
                <w:szCs w:val="24"/>
                <w:highlight w:val="none"/>
              </w:rPr>
              <w:t>以下邮箱：zzh@shbid.com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2.2</w:t>
            </w:r>
          </w:p>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2.3</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招标文件的澄清和修改</w:t>
            </w:r>
          </w:p>
        </w:tc>
        <w:tc>
          <w:tcPr>
            <w:tcW w:w="5660" w:type="dxa"/>
            <w:tcBorders>
              <w:tl2br w:val="nil"/>
              <w:tr2bl w:val="nil"/>
            </w:tcBorders>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招标文件的澄清和修改，将通过发布招标公告的媒介以</w:t>
            </w:r>
            <w:r>
              <w:rPr>
                <w:rFonts w:hint="eastAsia" w:ascii="宋体" w:hAnsi="宋体" w:cs="宋体"/>
                <w:b/>
                <w:color w:val="auto"/>
                <w:sz w:val="24"/>
                <w:szCs w:val="24"/>
                <w:highlight w:val="none"/>
              </w:rPr>
              <w:t>澄清或修改公告的形式发布</w:t>
            </w:r>
            <w:r>
              <w:rPr>
                <w:rFonts w:hint="eastAsia" w:ascii="宋体" w:hAnsi="宋体" w:cs="宋体"/>
                <w:color w:val="auto"/>
                <w:sz w:val="24"/>
                <w:szCs w:val="24"/>
                <w:highlight w:val="none"/>
              </w:rPr>
              <w:t>，除此以外的其他任何澄清、修改方式及澄清、修改内容均属无效，不得作为投标的依据。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3.1.1.3</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样品</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3.2.6</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最高投标限价</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b/>
                <w:bCs/>
                <w:color w:val="auto"/>
                <w:sz w:val="24"/>
                <w:szCs w:val="24"/>
                <w:highlight w:val="none"/>
              </w:rPr>
              <w:t>本次招标设定的最高投标限价为</w:t>
            </w:r>
            <w:r>
              <w:rPr>
                <w:rFonts w:hint="eastAsia" w:ascii="宋体" w:hAnsi="宋体" w:cs="宋体"/>
                <w:b/>
                <w:bCs/>
                <w:color w:val="auto"/>
                <w:sz w:val="24"/>
                <w:szCs w:val="24"/>
                <w:highlight w:val="none"/>
                <w:lang w:val="en-US" w:eastAsia="zh-CN"/>
              </w:rPr>
              <w:t>615</w:t>
            </w:r>
            <w:r>
              <w:rPr>
                <w:rFonts w:hint="eastAsia" w:ascii="宋体" w:hAnsi="宋体" w:cs="宋体"/>
                <w:b/>
                <w:bCs/>
                <w:color w:val="auto"/>
                <w:sz w:val="24"/>
                <w:szCs w:val="24"/>
                <w:highlight w:val="none"/>
              </w:rPr>
              <w:t>万元人民币（含税），高于最高投标限价的投标将按无效投标处理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3.2.9</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投标报价的其他要求</w:t>
            </w:r>
          </w:p>
        </w:tc>
        <w:tc>
          <w:tcPr>
            <w:tcW w:w="5660" w:type="dxa"/>
            <w:tcBorders>
              <w:tl2br w:val="nil"/>
              <w:tr2bl w:val="nil"/>
            </w:tcBorders>
            <w:vAlign w:val="center"/>
          </w:tcPr>
          <w:p>
            <w:pPr>
              <w:numPr>
                <w:ilvl w:val="0"/>
                <w:numId w:val="3"/>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所报费用包括可能发生的所有与完成本项目有关的一切费用。包括但不限于货物价款（含必备的附件，如配件、备品备件、专用工具等）、包装费、运输费、装卸费、保险费、税费、安装费、调试费、培训费等一切费用。</w:t>
            </w:r>
          </w:p>
          <w:p>
            <w:pPr>
              <w:numPr>
                <w:ilvl w:val="0"/>
                <w:numId w:val="3"/>
              </w:numPr>
              <w:spacing w:line="400" w:lineRule="exact"/>
              <w:rPr>
                <w:rFonts w:hint="eastAsia" w:ascii="宋体" w:hAnsi="宋体" w:cs="宋体"/>
                <w:color w:val="auto"/>
                <w:sz w:val="24"/>
                <w:highlight w:val="none"/>
              </w:rPr>
            </w:pPr>
            <w:r>
              <w:rPr>
                <w:rFonts w:hint="eastAsia" w:ascii="宋体" w:hAnsi="宋体" w:cs="宋体"/>
                <w:color w:val="auto"/>
                <w:sz w:val="24"/>
                <w:highlight w:val="none"/>
              </w:rPr>
              <w:t>本次招标允许报优惠价，但必须折算到单价中，不允许以一次性优惠方式报价。投标人必须提供投标分项报价表，投标总价=Σ单价×数量。不符合要求的投标应当予以否决。</w:t>
            </w:r>
          </w:p>
          <w:p>
            <w:pPr>
              <w:numPr>
                <w:ilvl w:val="0"/>
                <w:numId w:val="3"/>
              </w:numPr>
              <w:spacing w:line="400" w:lineRule="exact"/>
              <w:rPr>
                <w:rFonts w:hint="eastAsia" w:ascii="宋体" w:hAnsi="宋体" w:cs="宋体"/>
                <w:color w:val="auto"/>
                <w:sz w:val="24"/>
                <w:highlight w:val="none"/>
              </w:rPr>
            </w:pPr>
            <w:r>
              <w:rPr>
                <w:rFonts w:hint="eastAsia" w:ascii="宋体" w:hAnsi="宋体" w:cs="宋体"/>
                <w:color w:val="auto"/>
                <w:sz w:val="24"/>
                <w:highlight w:val="none"/>
              </w:rPr>
              <w:t>投标人需提供质保期后运行2年所需的易损件和备品备件的清单和价格，并承诺在</w:t>
            </w:r>
            <w:r>
              <w:rPr>
                <w:rFonts w:hint="eastAsia" w:ascii="宋体" w:hAnsi="宋体" w:cs="宋体"/>
                <w:snapToGrid w:val="0"/>
                <w:color w:val="auto"/>
                <w:sz w:val="24"/>
                <w:highlight w:val="none"/>
              </w:rPr>
              <w:t>质保期满后</w:t>
            </w:r>
            <w:r>
              <w:rPr>
                <w:rFonts w:hint="eastAsia" w:ascii="宋体" w:hAnsi="宋体" w:cs="宋体"/>
                <w:color w:val="auto"/>
                <w:sz w:val="24"/>
                <w:highlight w:val="none"/>
              </w:rPr>
              <w:t>5年内不高于上述清单的价格，此报价不计入投标总价。</w:t>
            </w:r>
          </w:p>
          <w:p>
            <w:pPr>
              <w:numPr>
                <w:ilvl w:val="0"/>
                <w:numId w:val="3"/>
              </w:numPr>
              <w:spacing w:line="400" w:lineRule="exact"/>
              <w:rPr>
                <w:rFonts w:hint="eastAsia" w:ascii="宋体" w:hAnsi="宋体" w:cs="宋体"/>
                <w:color w:val="auto"/>
                <w:sz w:val="24"/>
                <w:highlight w:val="none"/>
              </w:rPr>
            </w:pPr>
            <w:r>
              <w:rPr>
                <w:rFonts w:hint="eastAsia" w:ascii="宋体" w:hAnsi="宋体" w:cs="宋体"/>
                <w:color w:val="auto"/>
                <w:sz w:val="24"/>
                <w:szCs w:val="24"/>
                <w:highlight w:val="none"/>
              </w:rPr>
              <w:t>投标文件中提供详细配置清单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3.3.1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从投标截止之日起：</w:t>
            </w:r>
            <w:bookmarkStart w:id="64" w:name="_Toc384308207"/>
            <w:bookmarkStart w:id="65" w:name="_Toc1789"/>
            <w:bookmarkStart w:id="66" w:name="_Toc369531512"/>
            <w:bookmarkStart w:id="67" w:name="_Toc352691470"/>
            <w:bookmarkStart w:id="68" w:name="_Toc300834946"/>
            <w:bookmarkStart w:id="69" w:name="_Toc361508582"/>
            <w:r>
              <w:rPr>
                <w:rFonts w:hint="eastAsia" w:ascii="宋体" w:hAnsi="宋体" w:cs="宋体"/>
                <w:color w:val="auto"/>
                <w:sz w:val="24"/>
                <w:szCs w:val="24"/>
                <w:highlight w:val="non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w:t>
            </w:r>
            <w:bookmarkEnd w:id="64"/>
            <w:bookmarkEnd w:id="65"/>
            <w:bookmarkEnd w:id="66"/>
            <w:bookmarkEnd w:id="67"/>
            <w:bookmarkEnd w:id="68"/>
            <w:bookmarkEnd w:id="69"/>
            <w:r>
              <w:rPr>
                <w:rFonts w:hint="eastAsia" w:ascii="宋体" w:hAnsi="宋体" w:cs="宋体"/>
                <w:color w:val="auto"/>
                <w:sz w:val="24"/>
                <w:szCs w:val="24"/>
                <w:highlight w:val="none"/>
              </w:rPr>
              <w:t>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c>
          <w:tcPr>
            <w:tcW w:w="5660" w:type="dxa"/>
            <w:tcBorders>
              <w:tl2br w:val="nil"/>
              <w:tr2bl w:val="nil"/>
            </w:tcBorders>
            <w:vAlign w:val="center"/>
          </w:tcPr>
          <w:p>
            <w:pPr>
              <w:pStyle w:val="13"/>
              <w:topLinePunct/>
              <w:spacing w:line="400" w:lineRule="exact"/>
              <w:rPr>
                <w:rFonts w:hint="eastAsia" w:hAnsi="宋体" w:cs="宋体"/>
                <w:color w:val="auto"/>
                <w:szCs w:val="24"/>
                <w:highlight w:val="none"/>
              </w:rPr>
            </w:pPr>
            <w:r>
              <w:rPr>
                <w:rFonts w:hint="eastAsia" w:hAnsi="宋体" w:cs="宋体"/>
                <w:color w:val="auto"/>
                <w:szCs w:val="24"/>
                <w:highlight w:val="none"/>
              </w:rPr>
              <w:t>投标人应按招标文件要求递交投标保证金：</w:t>
            </w:r>
          </w:p>
          <w:p>
            <w:pPr>
              <w:pStyle w:val="13"/>
              <w:topLinePunct/>
              <w:spacing w:line="400" w:lineRule="exact"/>
              <w:rPr>
                <w:rFonts w:hint="eastAsia" w:hAnsi="宋体" w:cs="宋体"/>
                <w:color w:val="auto"/>
                <w:szCs w:val="24"/>
                <w:highlight w:val="none"/>
              </w:rPr>
            </w:pPr>
            <w:r>
              <w:rPr>
                <w:rFonts w:hint="eastAsia" w:hAnsi="宋体" w:cs="宋体"/>
                <w:color w:val="auto"/>
                <w:szCs w:val="24"/>
                <w:highlight w:val="none"/>
              </w:rPr>
              <w:t>投标保证金的金额：人民币</w:t>
            </w:r>
            <w:r>
              <w:rPr>
                <w:rFonts w:hint="eastAsia" w:hAnsi="宋体" w:cs="宋体"/>
                <w:color w:val="auto"/>
                <w:szCs w:val="24"/>
                <w:highlight w:val="none"/>
                <w:lang w:val="en-US" w:eastAsia="zh-CN"/>
              </w:rPr>
              <w:t>70000</w:t>
            </w:r>
            <w:r>
              <w:rPr>
                <w:rFonts w:hint="eastAsia" w:hAnsi="宋体" w:cs="宋体"/>
                <w:color w:val="auto"/>
                <w:szCs w:val="24"/>
                <w:highlight w:val="none"/>
              </w:rPr>
              <w:t>元</w:t>
            </w:r>
          </w:p>
          <w:p>
            <w:pPr>
              <w:pStyle w:val="13"/>
              <w:topLinePunct/>
              <w:spacing w:line="400" w:lineRule="exact"/>
              <w:rPr>
                <w:rFonts w:hint="eastAsia" w:hAnsi="宋体" w:cs="宋体"/>
                <w:color w:val="auto"/>
                <w:szCs w:val="24"/>
                <w:highlight w:val="none"/>
              </w:rPr>
            </w:pPr>
            <w:r>
              <w:rPr>
                <w:rFonts w:hint="eastAsia" w:hAnsi="宋体" w:cs="宋体"/>
                <w:color w:val="auto"/>
                <w:szCs w:val="24"/>
                <w:highlight w:val="none"/>
              </w:rPr>
              <w:t>投标保证金的形式：按《投标保证金提交与退还操作须知》（见本章附件）提交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3.4.4</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其他可以不予退还投标保证金的情形</w:t>
            </w:r>
          </w:p>
        </w:tc>
        <w:tc>
          <w:tcPr>
            <w:tcW w:w="5660" w:type="dxa"/>
            <w:tcBorders>
              <w:tl2br w:val="nil"/>
              <w:tr2bl w:val="nil"/>
            </w:tcBorders>
            <w:vAlign w:val="center"/>
          </w:tcPr>
          <w:p>
            <w:pPr>
              <w:spacing w:line="360" w:lineRule="auto"/>
              <w:rPr>
                <w:rFonts w:hint="eastAsia" w:ascii="宋体" w:hAnsi="宋体" w:cs="宋体"/>
                <w:i/>
                <w:color w:val="auto"/>
                <w:sz w:val="24"/>
                <w:szCs w:val="24"/>
                <w:highlight w:val="none"/>
              </w:rPr>
            </w:pPr>
            <w:r>
              <w:rPr>
                <w:rFonts w:hint="eastAsia" w:ascii="宋体" w:hAnsi="宋体" w:cs="宋体"/>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3.5.1.2</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财务状况报告，依法缴纳税收和社会保障资金的相关材料</w:t>
            </w:r>
          </w:p>
        </w:tc>
        <w:tc>
          <w:tcPr>
            <w:tcW w:w="5660" w:type="dxa"/>
            <w:tcBorders>
              <w:tl2br w:val="nil"/>
              <w:tr2bl w:val="nil"/>
            </w:tcBorders>
            <w:vAlign w:val="center"/>
          </w:tcPr>
          <w:p>
            <w:pPr>
              <w:numPr>
                <w:ilvl w:val="0"/>
                <w:numId w:val="4"/>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是法人的，应提供近2年财务报告（2022年和2023年。截止至投标日成立不足2年的投标人可提供自成立以来），或其开户银行在开标日前六个月内开具的资信良好的资信证明原件或该原件的复印件（复印件加盖投标人公章）。部分其他组织和自然人，没有财务报告，可以提供银行在开标日前六个月内开具的资信良好的资信证明原件或该原件的复印件（复印件加盖投标人公章）。备注：银行出具的资信证明无需针对本项目或本项目招标人。投标人如提供了财政部门认可的政府采购专业担保机构出具的投标担保函，则不需再提供上述财务状况报告。</w:t>
            </w:r>
          </w:p>
          <w:p>
            <w:pPr>
              <w:numPr>
                <w:ilvl w:val="0"/>
                <w:numId w:val="4"/>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投标人应提供近6个月内任意一个月的纳税证明证明文件。</w:t>
            </w:r>
          </w:p>
          <w:p>
            <w:pPr>
              <w:numPr>
                <w:ilvl w:val="0"/>
                <w:numId w:val="4"/>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投标人应提供近6个月内任意一个月的缴纳社会保险的证明文件。</w:t>
            </w:r>
          </w:p>
          <w:p>
            <w:pPr>
              <w:numPr>
                <w:ilvl w:val="0"/>
                <w:numId w:val="4"/>
              </w:num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依法免税或不需要缴纳社会保障资金的投标人，应提供相应证明文件证明其依法免税或不需要缴纳社会保障资金。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3.5.1.5</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其他证明材料</w:t>
            </w:r>
          </w:p>
        </w:tc>
        <w:tc>
          <w:tcPr>
            <w:tcW w:w="5660" w:type="dxa"/>
            <w:tcBorders>
              <w:tl2br w:val="nil"/>
              <w:tr2bl w:val="nil"/>
            </w:tcBorders>
            <w:vAlign w:val="center"/>
          </w:tcPr>
          <w:p>
            <w:pPr>
              <w:numPr>
                <w:ilvl w:val="0"/>
                <w:numId w:val="5"/>
              </w:numPr>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近3年投标人无重大违法的书面声明</w:t>
            </w:r>
          </w:p>
          <w:p>
            <w:pPr>
              <w:numPr>
                <w:ilvl w:val="0"/>
                <w:numId w:val="5"/>
              </w:numPr>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近3年投标人无行贿犯罪情况的书面声明。</w:t>
            </w:r>
          </w:p>
          <w:p>
            <w:pPr>
              <w:numPr>
                <w:ilvl w:val="0"/>
                <w:numId w:val="5"/>
              </w:numPr>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投标产品具备国家相关行业主管部门颁发的有效期内的医疗器械</w:t>
            </w:r>
            <w:r>
              <w:rPr>
                <w:rFonts w:hint="eastAsia" w:ascii="宋体" w:hAnsi="宋体" w:cs="宋体"/>
                <w:color w:val="auto"/>
                <w:sz w:val="24"/>
                <w:szCs w:val="24"/>
                <w:highlight w:val="none"/>
              </w:rPr>
              <w:t>注册证</w:t>
            </w:r>
            <w:r>
              <w:rPr>
                <w:rFonts w:hint="eastAsia" w:ascii="宋体" w:hAnsi="宋体" w:cs="宋体"/>
                <w:bCs/>
                <w:color w:val="auto"/>
                <w:sz w:val="24"/>
                <w:szCs w:val="24"/>
                <w:highlight w:val="none"/>
              </w:rPr>
              <w:t>（备案证）。</w:t>
            </w:r>
          </w:p>
          <w:p>
            <w:pPr>
              <w:numPr>
                <w:ilvl w:val="0"/>
                <w:numId w:val="5"/>
              </w:numPr>
              <w:spacing w:line="400" w:lineRule="exact"/>
              <w:rPr>
                <w:rFonts w:hint="eastAsia" w:ascii="宋体" w:hAnsi="宋体" w:cs="宋体"/>
                <w:snapToGrid w:val="0"/>
                <w:color w:val="auto"/>
                <w:kern w:val="0"/>
                <w:sz w:val="24"/>
                <w:highlight w:val="none"/>
              </w:rPr>
            </w:pPr>
            <w:r>
              <w:rPr>
                <w:rFonts w:hint="eastAsia" w:ascii="宋体" w:hAnsi="宋体" w:cs="宋体"/>
                <w:bCs/>
                <w:color w:val="auto"/>
                <w:sz w:val="24"/>
                <w:szCs w:val="24"/>
                <w:highlight w:val="none"/>
              </w:rPr>
              <w:t>如投标人不是所投产品的制造商，应具备与本次招标内容相适应的有效期内的医疗器械经营许可证（备案证）；如投标人是所投产品的制造商，应具备与本次招标内容相适应的有效期内的医疗器械生产许可证（备案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3.6.1</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是否允许递交备选投标方案</w:t>
            </w:r>
          </w:p>
        </w:tc>
        <w:tc>
          <w:tcPr>
            <w:tcW w:w="5660" w:type="dxa"/>
            <w:tcBorders>
              <w:tl2br w:val="nil"/>
              <w:tr2bl w:val="nil"/>
            </w:tcBorders>
            <w:vAlign w:val="center"/>
          </w:tcPr>
          <w:p>
            <w:pPr>
              <w:pStyle w:val="13"/>
              <w:topLinePunct/>
              <w:spacing w:line="400" w:lineRule="exact"/>
              <w:rPr>
                <w:rFonts w:hint="eastAsia" w:hAnsi="宋体" w:cs="宋体"/>
                <w:color w:val="auto"/>
                <w:szCs w:val="24"/>
                <w:highlight w:val="none"/>
              </w:rPr>
            </w:pPr>
            <w:r>
              <w:rPr>
                <w:rFonts w:hint="eastAsia" w:hAnsi="宋体" w:cs="宋体"/>
                <w:color w:val="auto"/>
                <w:szCs w:val="24"/>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3.7.3</w:t>
            </w:r>
          </w:p>
        </w:tc>
        <w:tc>
          <w:tcPr>
            <w:tcW w:w="1821" w:type="dxa"/>
            <w:tcBorders>
              <w:tl2br w:val="nil"/>
              <w:tr2bl w:val="nil"/>
            </w:tcBorders>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投标文件的制作的特殊要求</w:t>
            </w:r>
          </w:p>
        </w:tc>
        <w:tc>
          <w:tcPr>
            <w:tcW w:w="5660" w:type="dxa"/>
            <w:tcBorders>
              <w:tl2br w:val="nil"/>
              <w:tr2bl w:val="nil"/>
            </w:tcBorders>
            <w:vAlign w:val="center"/>
          </w:tcPr>
          <w:p>
            <w:pPr>
              <w:spacing w:line="276" w:lineRule="auto"/>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投标文件A4装订成册，长边胶装（除个别资料如图纸等可采用A3纸，短边胶装）。</w:t>
            </w:r>
          </w:p>
          <w:p>
            <w:pPr>
              <w:pStyle w:val="13"/>
              <w:topLinePunct/>
              <w:spacing w:line="400" w:lineRule="exact"/>
              <w:rPr>
                <w:rFonts w:hint="eastAsia" w:hAnsi="宋体" w:cs="宋体"/>
                <w:bCs/>
                <w:color w:val="auto"/>
                <w:szCs w:val="24"/>
                <w:highlight w:val="none"/>
              </w:rPr>
            </w:pPr>
            <w:r>
              <w:rPr>
                <w:rFonts w:hint="eastAsia" w:hAnsi="宋体" w:cs="宋体"/>
                <w:bCs/>
                <w:color w:val="auto"/>
                <w:szCs w:val="24"/>
                <w:highlight w:val="none"/>
              </w:rPr>
              <w:t>投标文件采用热熔胶胶装、不易拆散和换页。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3.7.4</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投标文件副本份数及其他要求</w:t>
            </w:r>
          </w:p>
        </w:tc>
        <w:tc>
          <w:tcPr>
            <w:tcW w:w="5660" w:type="dxa"/>
            <w:tcBorders>
              <w:tl2br w:val="nil"/>
              <w:tr2bl w:val="nil"/>
            </w:tcBorders>
            <w:vAlign w:val="center"/>
          </w:tcPr>
          <w:p>
            <w:pPr>
              <w:spacing w:line="400" w:lineRule="exact"/>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投标文件正本1份、投标文件副本份数：5份</w:t>
            </w:r>
          </w:p>
          <w:p>
            <w:pPr>
              <w:spacing w:line="400" w:lineRule="exact"/>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rPr>
              <w:t>同时提供整份投标文件（WORD版和签字盖章PDF版）的电子版1份，光盘或U盘。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3.7.5</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投标文件是否需分册装订</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不需要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投标文件包装要求</w:t>
            </w:r>
          </w:p>
        </w:tc>
        <w:tc>
          <w:tcPr>
            <w:tcW w:w="5660" w:type="dxa"/>
            <w:tcBorders>
              <w:tl2br w:val="nil"/>
              <w:tr2bl w:val="nil"/>
            </w:tcBorders>
            <w:vAlign w:val="center"/>
          </w:tcPr>
          <w:p>
            <w:pPr>
              <w:spacing w:line="400" w:lineRule="exact"/>
              <w:rPr>
                <w:rFonts w:hint="eastAsia" w:ascii="宋体" w:hAnsi="宋体" w:cs="宋体"/>
                <w:b/>
                <w:i/>
                <w:color w:val="auto"/>
                <w:sz w:val="24"/>
                <w:szCs w:val="24"/>
                <w:highlight w:val="none"/>
              </w:rPr>
            </w:pPr>
            <w:r>
              <w:rPr>
                <w:rFonts w:hint="eastAsia" w:ascii="宋体" w:hAnsi="宋体" w:cs="宋体"/>
                <w:color w:val="auto"/>
                <w:sz w:val="24"/>
                <w:szCs w:val="24"/>
                <w:highlight w:val="none"/>
              </w:rPr>
              <w:t>商务部分与技术部分：</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2"/>
                <w:sz w:val="1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不分开包装  □分开包装</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正本与副本：        </w:t>
            </w:r>
            <w:r>
              <w:rPr>
                <w:rFonts w:hint="eastAsia" w:ascii="宋体" w:hAnsi="宋体" w:cs="宋体"/>
                <w:color w:val="auto"/>
                <w:sz w:val="24"/>
                <w:szCs w:val="24"/>
                <w:highlight w:val="none"/>
              </w:rPr>
              <w:fldChar w:fldCharType="begin"/>
            </w:r>
            <w:r>
              <w:rPr>
                <w:rFonts w:hint="eastAsia" w:ascii="宋体" w:hAnsi="宋体" w:cs="宋体"/>
                <w:color w:val="auto"/>
                <w:sz w:val="24"/>
                <w:szCs w:val="24"/>
                <w:highlight w:val="none"/>
              </w:rPr>
              <w:instrText xml:space="preserve"> EQ \o\ac(□,</w:instrText>
            </w:r>
            <w:r>
              <w:rPr>
                <w:rFonts w:hint="eastAsia" w:ascii="宋体" w:hAnsi="宋体" w:cs="宋体"/>
                <w:color w:val="auto"/>
                <w:position w:val="2"/>
                <w:sz w:val="16"/>
                <w:szCs w:val="24"/>
                <w:highlight w:val="none"/>
              </w:rPr>
              <w:instrText xml:space="preserve">√</w:instrText>
            </w:r>
            <w:r>
              <w:rPr>
                <w:rFonts w:hint="eastAsia" w:ascii="宋体" w:hAnsi="宋体" w:cs="宋体"/>
                <w:color w:val="auto"/>
                <w:sz w:val="24"/>
                <w:szCs w:val="24"/>
                <w:highlight w:val="none"/>
              </w:rPr>
              <w:instrText xml:space="preserve">)</w:instrText>
            </w:r>
            <w:r>
              <w:rPr>
                <w:rFonts w:hint="eastAsia" w:ascii="宋体" w:hAnsi="宋体" w:cs="宋体"/>
                <w:color w:val="auto"/>
                <w:sz w:val="24"/>
                <w:szCs w:val="24"/>
                <w:highlight w:val="none"/>
              </w:rPr>
              <w:fldChar w:fldCharType="end"/>
            </w:r>
            <w:r>
              <w:rPr>
                <w:rFonts w:hint="eastAsia" w:ascii="宋体" w:hAnsi="宋体" w:cs="宋体"/>
                <w:color w:val="auto"/>
                <w:sz w:val="24"/>
                <w:szCs w:val="24"/>
                <w:highlight w:val="none"/>
              </w:rPr>
              <w:t>不分开包装  □分开包装</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投标文件电子版：单独包装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4.1.2</w:t>
            </w:r>
          </w:p>
        </w:tc>
        <w:tc>
          <w:tcPr>
            <w:tcW w:w="1821" w:type="dxa"/>
            <w:tcBorders>
              <w:tl2br w:val="nil"/>
              <w:tr2bl w:val="nil"/>
            </w:tcBorders>
            <w:vAlign w:val="center"/>
          </w:tcPr>
          <w:p>
            <w:pPr>
              <w:spacing w:line="400" w:lineRule="exact"/>
              <w:jc w:val="left"/>
              <w:rPr>
                <w:rFonts w:hint="eastAsia" w:ascii="宋体" w:hAnsi="宋体" w:cs="宋体"/>
                <w:color w:val="auto"/>
                <w:sz w:val="24"/>
                <w:szCs w:val="24"/>
                <w:highlight w:val="none"/>
                <w:shd w:val="clear" w:color="FFFFFF" w:fill="D9D9D9"/>
              </w:rPr>
            </w:pPr>
            <w:r>
              <w:rPr>
                <w:rFonts w:hint="eastAsia" w:ascii="宋体" w:hAnsi="宋体" w:cs="宋体"/>
                <w:color w:val="auto"/>
                <w:sz w:val="24"/>
                <w:szCs w:val="24"/>
                <w:highlight w:val="none"/>
              </w:rPr>
              <w:t>封套上应载明的信息</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招标人</w:t>
            </w:r>
            <w:bookmarkStart w:id="70" w:name="_Toc144974495"/>
            <w:bookmarkStart w:id="71" w:name="_Toc300834947"/>
            <w:bookmarkStart w:id="72" w:name="_Toc247527551"/>
            <w:bookmarkStart w:id="73" w:name="_Toc152042303"/>
            <w:bookmarkStart w:id="74" w:name="_Toc152045527"/>
            <w:bookmarkStart w:id="75" w:name="_Toc247513950"/>
            <w:bookmarkStart w:id="76" w:name="_Toc361508583"/>
            <w:bookmarkStart w:id="77" w:name="_Toc352691471"/>
            <w:bookmarkStart w:id="78" w:name="_Toc369531513"/>
            <w:bookmarkStart w:id="79" w:name="_Toc384308208"/>
            <w:bookmarkStart w:id="80" w:name="_Toc6783"/>
            <w:r>
              <w:rPr>
                <w:rFonts w:hint="eastAsia" w:ascii="宋体" w:hAnsi="宋体" w:cs="宋体"/>
                <w:color w:val="auto"/>
                <w:sz w:val="24"/>
                <w:szCs w:val="24"/>
                <w:highlight w:val="none"/>
              </w:rPr>
              <w:t>名称：复旦大学附属妇产科医院</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招标代理机构名称：上海机电设备招标有限公司</w:t>
            </w:r>
          </w:p>
          <w:bookmarkEnd w:id="70"/>
          <w:bookmarkEnd w:id="71"/>
          <w:bookmarkEnd w:id="72"/>
          <w:bookmarkEnd w:id="73"/>
          <w:bookmarkEnd w:id="74"/>
          <w:bookmarkEnd w:id="75"/>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u w:val="single"/>
                <w:lang w:eastAsia="zh-CN"/>
              </w:rPr>
              <w:t>消毒灭菌装置</w:t>
            </w:r>
            <w:r>
              <w:rPr>
                <w:rFonts w:hint="eastAsia" w:ascii="宋体" w:hAnsi="宋体" w:cs="宋体"/>
                <w:color w:val="auto"/>
                <w:sz w:val="24"/>
                <w:szCs w:val="24"/>
                <w:highlight w:val="none"/>
              </w:rPr>
              <w:t>采购招标项目投标文件</w:t>
            </w:r>
            <w:bookmarkEnd w:id="76"/>
            <w:bookmarkEnd w:id="77"/>
            <w:bookmarkEnd w:id="78"/>
            <w:bookmarkEnd w:id="79"/>
            <w:bookmarkEnd w:id="80"/>
          </w:p>
          <w:p>
            <w:pPr>
              <w:spacing w:line="400" w:lineRule="exact"/>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rPr>
              <w:t>项目编号：</w:t>
            </w:r>
            <w:r>
              <w:rPr>
                <w:rFonts w:hint="eastAsia" w:ascii="宋体" w:hAnsi="宋体" w:cs="宋体"/>
                <w:color w:val="auto"/>
                <w:sz w:val="24"/>
                <w:szCs w:val="24"/>
                <w:highlight w:val="none"/>
                <w:u w:val="single"/>
              </w:rPr>
              <w:t>0613-</w:t>
            </w:r>
            <w:r>
              <w:rPr>
                <w:rFonts w:hint="eastAsia" w:ascii="宋体" w:hAnsi="宋体" w:cs="宋体"/>
                <w:color w:val="auto"/>
                <w:sz w:val="24"/>
                <w:szCs w:val="24"/>
                <w:highlight w:val="none"/>
                <w:u w:val="single"/>
                <w:lang w:eastAsia="zh-CN"/>
              </w:rPr>
              <w:t>247123066049</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时</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分（即开标时间）前不得开启</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投标文件电子版封套上应清楚标明“电子版”字样。</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投标文件应清楚标明“正本”或“副本”字样。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投标截止时间</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2024年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日13点30分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4.2.2</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递交投标文件地点</w:t>
            </w:r>
          </w:p>
        </w:tc>
        <w:tc>
          <w:tcPr>
            <w:tcW w:w="5660" w:type="dxa"/>
            <w:tcBorders>
              <w:tl2br w:val="nil"/>
              <w:tr2bl w:val="nil"/>
            </w:tcBorders>
            <w:vAlign w:val="center"/>
          </w:tcPr>
          <w:p>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上海市普陀区长寿路285号恒达大厦22楼开标大厅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4.2.3</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投标文件是否退还</w:t>
            </w:r>
          </w:p>
        </w:tc>
        <w:tc>
          <w:tcPr>
            <w:tcW w:w="5660" w:type="dxa"/>
            <w:tcBorders>
              <w:tl2br w:val="nil"/>
              <w:tr2bl w:val="nil"/>
            </w:tcBorders>
            <w:vAlign w:val="center"/>
          </w:tcPr>
          <w:p>
            <w:pPr>
              <w:pStyle w:val="13"/>
              <w:topLinePunct/>
              <w:spacing w:line="400" w:lineRule="exact"/>
              <w:rPr>
                <w:rFonts w:hint="eastAsia" w:hAnsi="宋体" w:cs="宋体"/>
                <w:color w:val="auto"/>
                <w:szCs w:val="24"/>
                <w:highlight w:val="none"/>
                <w:u w:val="single"/>
              </w:rPr>
            </w:pPr>
            <w:r>
              <w:rPr>
                <w:rFonts w:hint="eastAsia" w:hAnsi="宋体" w:cs="宋体"/>
                <w:color w:val="auto"/>
                <w:szCs w:val="24"/>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开标时间和地点</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开标时间：同投标截止时间</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开标地点：上海市普陀区长寿路285号恒达大厦22楼开标大厅</w:t>
            </w:r>
          </w:p>
          <w:p>
            <w:pPr>
              <w:spacing w:line="400" w:lineRule="exact"/>
              <w:rPr>
                <w:rFonts w:hint="eastAsia" w:ascii="宋体" w:hAnsi="宋体" w:cs="宋体"/>
                <w:color w:val="auto"/>
                <w:sz w:val="24"/>
                <w:szCs w:val="24"/>
                <w:highlight w:val="none"/>
              </w:rPr>
            </w:pPr>
            <w:r>
              <w:rPr>
                <w:rFonts w:hint="eastAsia" w:ascii="宋体" w:hAnsi="宋体" w:cs="宋体"/>
                <w:b/>
                <w:snapToGrid w:val="0"/>
                <w:color w:val="auto"/>
                <w:kern w:val="0"/>
                <w:sz w:val="24"/>
                <w:szCs w:val="24"/>
                <w:highlight w:val="none"/>
              </w:rPr>
              <w:t>投标人代表应当参加开标，如投标人代表未出席开标大会及未在开标记录上签字的各方代表均视作对开标过程无异议。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5.2</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开标程序</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开标顺序：先到先开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7.3.2</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是否委托评标委员会直接确定中标人</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8.3.1</w:t>
            </w:r>
          </w:p>
        </w:tc>
        <w:tc>
          <w:tcPr>
            <w:tcW w:w="1821"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履约保证金</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不需提供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9.1</w:t>
            </w:r>
          </w:p>
        </w:tc>
        <w:tc>
          <w:tcPr>
            <w:tcW w:w="1821" w:type="dxa"/>
            <w:tcBorders>
              <w:tl2br w:val="nil"/>
              <w:tr2bl w:val="nil"/>
            </w:tcBorders>
            <w:vAlign w:val="center"/>
          </w:tcPr>
          <w:p>
            <w:pPr>
              <w:spacing w:line="400" w:lineRule="exact"/>
              <w:jc w:val="center"/>
              <w:rPr>
                <w:rFonts w:hint="eastAsia" w:ascii="宋体" w:hAnsi="宋体" w:cs="宋体"/>
                <w:color w:val="auto"/>
                <w:sz w:val="24"/>
                <w:highlight w:val="none"/>
              </w:rPr>
            </w:pPr>
            <w:r>
              <w:rPr>
                <w:rFonts w:hint="eastAsia" w:ascii="宋体" w:hAnsi="宋体" w:cs="宋体"/>
                <w:color w:val="auto"/>
                <w:sz w:val="24"/>
                <w:szCs w:val="24"/>
                <w:highlight w:val="none"/>
              </w:rPr>
              <w:t>质疑联系方式</w:t>
            </w:r>
          </w:p>
        </w:tc>
        <w:tc>
          <w:tcPr>
            <w:tcW w:w="5660" w:type="dxa"/>
            <w:tcBorders>
              <w:tl2br w:val="nil"/>
              <w:tr2bl w:val="nil"/>
            </w:tcBorders>
            <w:vAlign w:val="center"/>
          </w:tcPr>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联系单位：上海机电设备招标有限公司</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 系 人：陆佳怡、李荣华</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联系电话：021-32557793、021-32557773</w:t>
            </w:r>
          </w:p>
          <w:p>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联系地址：上海市普陀区长寿路285号恒达大厦16楼</w:t>
            </w:r>
          </w:p>
          <w:p>
            <w:pPr>
              <w:spacing w:line="400" w:lineRule="exact"/>
              <w:rPr>
                <w:rFonts w:hint="eastAsia" w:ascii="宋体" w:hAnsi="宋体" w:cs="宋体"/>
                <w:color w:val="auto"/>
                <w:highlight w:val="none"/>
              </w:rPr>
            </w:pPr>
            <w:r>
              <w:rPr>
                <w:rFonts w:hint="eastAsia" w:ascii="宋体" w:hAnsi="宋体" w:cs="宋体"/>
                <w:color w:val="auto"/>
                <w:sz w:val="24"/>
                <w:szCs w:val="24"/>
                <w:highlight w:val="none"/>
              </w:rPr>
              <w:t>提交形式：</w:t>
            </w:r>
            <w:r>
              <w:rPr>
                <w:rFonts w:hint="eastAsia" w:ascii="宋体" w:hAnsi="宋体" w:cs="宋体"/>
                <w:color w:val="auto"/>
                <w:sz w:val="24"/>
                <w:szCs w:val="24"/>
                <w:highlight w:val="none"/>
                <w:u w:val="single"/>
              </w:rPr>
              <w:t>盖有投标人单位公章的书面纸质材料。</w:t>
            </w:r>
          </w:p>
          <w:p>
            <w:pPr>
              <w:spacing w:line="400" w:lineRule="exact"/>
              <w:rPr>
                <w:rFonts w:hint="eastAsia" w:ascii="宋体" w:hAnsi="宋体" w:cs="宋体"/>
                <w:color w:val="auto"/>
                <w:sz w:val="24"/>
                <w:highlight w:val="none"/>
              </w:rPr>
            </w:pPr>
            <w:r>
              <w:rPr>
                <w:rFonts w:hint="eastAsia" w:ascii="宋体" w:hAnsi="宋体" w:cs="宋体"/>
                <w:color w:val="auto"/>
                <w:sz w:val="24"/>
                <w:szCs w:val="24"/>
                <w:highlight w:val="none"/>
              </w:rPr>
              <w:t>请投标人将可编辑文件以电子邮件的形式发送至招标代理机构以下邮箱：zzh@shbid.com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979" w:type="dxa"/>
            <w:tcBorders>
              <w:tl2br w:val="nil"/>
              <w:tr2bl w:val="nil"/>
            </w:tcBorders>
            <w:vAlign w:val="center"/>
          </w:tcPr>
          <w:p>
            <w:pPr>
              <w:spacing w:line="400" w:lineRule="exact"/>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10.2</w:t>
            </w:r>
          </w:p>
        </w:tc>
        <w:tc>
          <w:tcPr>
            <w:tcW w:w="1821" w:type="dxa"/>
            <w:tcBorders>
              <w:tl2br w:val="nil"/>
              <w:tr2bl w:val="nil"/>
            </w:tcBorders>
            <w:vAlign w:val="center"/>
          </w:tcPr>
          <w:p>
            <w:pPr>
              <w:autoSpaceDE w:val="0"/>
              <w:autoSpaceDN w:val="0"/>
              <w:spacing w:line="360" w:lineRule="auto"/>
              <w:jc w:val="center"/>
              <w:rPr>
                <w:rFonts w:hint="eastAsia" w:ascii="宋体" w:hAnsi="宋体" w:cs="宋体"/>
                <w:color w:val="auto"/>
                <w:sz w:val="24"/>
                <w:szCs w:val="24"/>
                <w:highlight w:val="none"/>
              </w:rPr>
            </w:pPr>
            <w:r>
              <w:rPr>
                <w:rFonts w:hint="eastAsia" w:ascii="宋体" w:hAnsi="宋体" w:cs="宋体"/>
                <w:color w:val="auto"/>
                <w:sz w:val="24"/>
                <w:highlight w:val="none"/>
              </w:rPr>
              <w:t>招标代理服务费</w:t>
            </w:r>
          </w:p>
        </w:tc>
        <w:tc>
          <w:tcPr>
            <w:tcW w:w="5660" w:type="dxa"/>
            <w:tcBorders>
              <w:tl2br w:val="nil"/>
              <w:tr2bl w:val="nil"/>
            </w:tcBorders>
            <w:vAlign w:val="center"/>
          </w:tcPr>
          <w:p>
            <w:pPr>
              <w:spacing w:line="360" w:lineRule="auto"/>
              <w:rPr>
                <w:rFonts w:hint="eastAsia" w:ascii="宋体" w:hAnsi="宋体" w:eastAsia="宋体" w:cs="宋体"/>
                <w:color w:val="auto"/>
                <w:sz w:val="24"/>
                <w:highlight w:val="none"/>
                <w:lang w:eastAsia="zh-CN"/>
              </w:rPr>
            </w:pPr>
            <w:r>
              <w:rPr>
                <w:rFonts w:hint="eastAsia" w:ascii="宋体" w:hAnsi="宋体" w:cs="宋体"/>
                <w:color w:val="auto"/>
                <w:sz w:val="24"/>
                <w:szCs w:val="24"/>
                <w:highlight w:val="none"/>
              </w:rPr>
              <w:t>招标代理服务费的金额：中标通知书发出后30天内，中标人须向上海机电设备招标有限公司一次付清招标代理服务费，招标代理服务费以中标金额为基准，参照国家发展计划委员会“计价格（2002）1980号”文《招标代理服务收费管理暂行办法》规定，采用差额定率累进计费方式收取</w:t>
            </w:r>
            <w:r>
              <w:rPr>
                <w:rFonts w:hint="eastAsia" w:ascii="宋体" w:hAnsi="宋体" w:cs="宋体"/>
                <w:color w:val="auto"/>
                <w:sz w:val="24"/>
                <w:szCs w:val="24"/>
                <w:highlight w:val="none"/>
                <w:lang w:eastAsia="zh-CN"/>
              </w:rPr>
              <w:t>。</w:t>
            </w:r>
          </w:p>
          <w:p>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按上述标准收取的招标代理服务费若低于6000元，则按保底价格6000元收取。</w:t>
            </w:r>
          </w:p>
          <w:p>
            <w:pPr>
              <w:autoSpaceDE w:val="0"/>
              <w:autoSpaceDN w:val="0"/>
              <w:spacing w:line="360" w:lineRule="auto"/>
              <w:rPr>
                <w:rFonts w:hint="eastAsia" w:ascii="宋体" w:hAnsi="宋体" w:cs="宋体"/>
                <w:b/>
                <w:color w:val="auto"/>
                <w:sz w:val="24"/>
                <w:highlight w:val="none"/>
              </w:rPr>
            </w:pPr>
            <w:r>
              <w:rPr>
                <w:rFonts w:hint="eastAsia" w:ascii="宋体" w:hAnsi="宋体" w:cs="宋体"/>
                <w:color w:val="auto"/>
                <w:sz w:val="24"/>
                <w:highlight w:val="none"/>
              </w:rPr>
              <w:t>招标代理服务费的交纳方式：贷记凭证、电汇或网银支付。</w:t>
            </w:r>
          </w:p>
        </w:tc>
      </w:tr>
    </w:tbl>
    <w:p>
      <w:pPr>
        <w:spacing w:line="360" w:lineRule="auto"/>
        <w:outlineLvl w:val="2"/>
        <w:rPr>
          <w:rFonts w:hint="eastAsia" w:ascii="宋体" w:hAnsi="宋体" w:cs="宋体"/>
          <w:color w:val="auto"/>
          <w:sz w:val="24"/>
          <w:szCs w:val="24"/>
          <w:highlight w:val="none"/>
        </w:rPr>
      </w:pPr>
      <w:bookmarkStart w:id="81" w:name="_Toc392227799"/>
      <w:r>
        <w:rPr>
          <w:rFonts w:hint="eastAsia" w:ascii="宋体" w:hAnsi="宋体" w:cs="宋体"/>
          <w:color w:val="auto"/>
          <w:sz w:val="24"/>
          <w:szCs w:val="24"/>
          <w:highlight w:val="none"/>
        </w:rPr>
        <w:br w:type="page"/>
      </w:r>
    </w:p>
    <w:tbl>
      <w:tblPr>
        <w:tblStyle w:val="32"/>
        <w:tblW w:w="8460" w:type="dxa"/>
        <w:tblInd w:w="0" w:type="dxa"/>
        <w:tblLayout w:type="fixed"/>
        <w:tblCellMar>
          <w:top w:w="0" w:type="dxa"/>
          <w:left w:w="108" w:type="dxa"/>
          <w:bottom w:w="0" w:type="dxa"/>
          <w:right w:w="108" w:type="dxa"/>
        </w:tblCellMar>
      </w:tblPr>
      <w:tblGrid>
        <w:gridCol w:w="1058"/>
        <w:gridCol w:w="157"/>
        <w:gridCol w:w="7245"/>
      </w:tblGrid>
      <w:tr>
        <w:tblPrEx>
          <w:tblCellMar>
            <w:top w:w="0" w:type="dxa"/>
            <w:left w:w="108" w:type="dxa"/>
            <w:bottom w:w="0" w:type="dxa"/>
            <w:right w:w="108" w:type="dxa"/>
          </w:tblCellMar>
        </w:tblPrEx>
        <w:tc>
          <w:tcPr>
            <w:tcW w:w="8460" w:type="dxa"/>
            <w:gridSpan w:val="3"/>
          </w:tcPr>
          <w:p>
            <w:pPr>
              <w:outlineLvl w:val="1"/>
              <w:rPr>
                <w:rFonts w:hint="eastAsia" w:ascii="宋体" w:hAnsi="宋体" w:cs="宋体"/>
                <w:b/>
                <w:color w:val="auto"/>
                <w:sz w:val="24"/>
                <w:szCs w:val="24"/>
                <w:highlight w:val="none"/>
              </w:rPr>
            </w:pPr>
            <w:bookmarkStart w:id="82" w:name="_Toc21255"/>
            <w:r>
              <w:rPr>
                <w:rFonts w:hint="eastAsia" w:ascii="宋体" w:hAnsi="宋体" w:cs="宋体"/>
                <w:b/>
                <w:color w:val="auto"/>
                <w:sz w:val="24"/>
                <w:szCs w:val="24"/>
                <w:highlight w:val="none"/>
              </w:rPr>
              <w:t>1. 总则</w:t>
            </w:r>
            <w:bookmarkEnd w:id="82"/>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w:t>
            </w:r>
          </w:p>
        </w:tc>
        <w:tc>
          <w:tcPr>
            <w:tcW w:w="7402" w:type="dxa"/>
            <w:gridSpan w:val="2"/>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招标项目概况</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根据《中华人民共和国政府采购法》、《中华人民共和国政府采购法实施条例》、《政府采购货物和服务招标投标管理办法（财政部令2017年第87号）》等有关法律、法规和规章的规定，本招标项目已具备招标条件，现对本次货物采购进行招标。</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1.1.2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1.1.3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招标代理机构：见投标人须知前附表。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1.1.4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招标项目名称：见投标人须知前附表。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1.1.5</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招标项目包件划分情况：见投标人须知前附表。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 xml:space="preserve">1.2 </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bookmarkStart w:id="83" w:name="_Toc392227749"/>
            <w:bookmarkStart w:id="84" w:name="_Toc457747931"/>
            <w:r>
              <w:rPr>
                <w:rFonts w:hint="eastAsia" w:ascii="宋体" w:hAnsi="宋体" w:eastAsia="宋体" w:cs="宋体"/>
                <w:b/>
                <w:bCs/>
                <w:color w:val="auto"/>
                <w:sz w:val="24"/>
                <w:szCs w:val="24"/>
                <w:highlight w:val="none"/>
              </w:rPr>
              <w:t>招标项目的资金来源</w:t>
            </w:r>
            <w:bookmarkEnd w:id="83"/>
            <w:bookmarkEnd w:id="84"/>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1.2.1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资金来源及比例：见投标人须知前附表。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1.2.2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资金落实情况：见投标人须知前附表。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1.3</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投标人资格要求</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1.3.1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投标人的资格要求见投标邀请，需要提交的相关证明材料见本章第 3.5 款的规定。</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1.3.2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投标邀请中规定接受联合体投标的，联合体除应符合投标邀请所列明的相关资格要求外，还应遵守以下规定：</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（1）联合体各方应按招标文件提供的格式签订联合体协议书，明确联合体牵头人和各方权利义务，并承诺就中标项目向招标人承担连带责任；</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（2）由同一专业的单位组成的联合体，按照资质等级较低的单位确定资质等级；</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（3）联合体各方不得再以自己名义单独或参加其他联合体在本招标项目中投标，否则各相关投标均无效。</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1.4</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费用承担</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投标人准备和参加投标活动发生的费用自理。</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1.5</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保密</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参与招标投标活动的各方应对招标文件和投标文件中</w:t>
            </w:r>
            <w:bookmarkStart w:id="85" w:name="_Toc5326"/>
            <w:bookmarkStart w:id="86" w:name="_Toc369531519"/>
            <w:bookmarkStart w:id="87" w:name="_Toc361508589"/>
            <w:bookmarkStart w:id="88" w:name="_Toc352691477"/>
            <w:bookmarkStart w:id="89" w:name="_Toc384308214"/>
            <w:r>
              <w:rPr>
                <w:rFonts w:hint="eastAsia" w:ascii="宋体" w:hAnsi="宋体" w:cs="宋体"/>
                <w:color w:val="auto"/>
                <w:sz w:val="24"/>
                <w:szCs w:val="24"/>
                <w:highlight w:val="none"/>
              </w:rPr>
              <w:t>的商业和技术等秘密保密</w:t>
            </w:r>
            <w:bookmarkEnd w:id="85"/>
            <w:bookmarkEnd w:id="86"/>
            <w:bookmarkEnd w:id="87"/>
            <w:bookmarkEnd w:id="88"/>
            <w:bookmarkEnd w:id="89"/>
            <w:r>
              <w:rPr>
                <w:rFonts w:hint="eastAsia" w:ascii="宋体" w:hAnsi="宋体" w:cs="宋体"/>
                <w:color w:val="auto"/>
                <w:sz w:val="24"/>
                <w:szCs w:val="24"/>
                <w:highlight w:val="none"/>
              </w:rPr>
              <w:t>，否则应承担相应的法律责任。</w:t>
            </w:r>
          </w:p>
        </w:tc>
      </w:tr>
      <w:tr>
        <w:tblPrEx>
          <w:tblCellMar>
            <w:top w:w="0" w:type="dxa"/>
            <w:left w:w="108" w:type="dxa"/>
            <w:bottom w:w="0" w:type="dxa"/>
            <w:right w:w="108" w:type="dxa"/>
          </w:tblCellMar>
        </w:tblPrEx>
        <w:tc>
          <w:tcPr>
            <w:tcW w:w="1058" w:type="dxa"/>
          </w:tcPr>
          <w:p>
            <w:pPr>
              <w:rPr>
                <w:rFonts w:hint="eastAsia" w:ascii="宋体" w:hAnsi="宋体" w:cs="宋体"/>
                <w:b/>
                <w:color w:val="auto"/>
                <w:sz w:val="24"/>
                <w:szCs w:val="24"/>
                <w:highlight w:val="none"/>
              </w:rPr>
            </w:pPr>
            <w:r>
              <w:rPr>
                <w:rFonts w:hint="eastAsia" w:ascii="宋体" w:hAnsi="宋体" w:cs="宋体"/>
                <w:b/>
                <w:bCs/>
                <w:color w:val="auto"/>
                <w:sz w:val="24"/>
                <w:szCs w:val="24"/>
                <w:highlight w:val="none"/>
              </w:rPr>
              <w:t>1.6</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语言文字</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招标投标文件使用的语言文字为中文。专用术语使用外文的，应附有中文注释。</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b/>
                <w:bCs/>
                <w:color w:val="auto"/>
                <w:sz w:val="24"/>
                <w:szCs w:val="24"/>
                <w:highlight w:val="none"/>
              </w:rPr>
              <w:t>1.7</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计量单位</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所有计量均采用中华人民共和国法定计量单位。</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b/>
                <w:bCs/>
                <w:color w:val="auto"/>
                <w:sz w:val="24"/>
                <w:szCs w:val="24"/>
                <w:highlight w:val="none"/>
              </w:rPr>
              <w:t>1.8</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现场考察</w:t>
            </w:r>
          </w:p>
        </w:tc>
      </w:tr>
      <w:tr>
        <w:tblPrEx>
          <w:tblCellMar>
            <w:top w:w="0" w:type="dxa"/>
            <w:left w:w="108" w:type="dxa"/>
            <w:bottom w:w="0" w:type="dxa"/>
            <w:right w:w="108" w:type="dxa"/>
          </w:tblCellMar>
        </w:tblPrEx>
        <w:tc>
          <w:tcPr>
            <w:tcW w:w="1058"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1.8.1</w:t>
            </w:r>
          </w:p>
        </w:tc>
        <w:tc>
          <w:tcPr>
            <w:tcW w:w="7402" w:type="dxa"/>
            <w:gridSpan w:val="2"/>
          </w:tcPr>
          <w:p>
            <w:pPr>
              <w:rPr>
                <w:rFonts w:hint="eastAsia" w:ascii="宋体" w:hAnsi="宋体" w:cs="宋体"/>
                <w:b/>
                <w:bCs/>
                <w:color w:val="auto"/>
                <w:sz w:val="24"/>
                <w:szCs w:val="24"/>
                <w:highlight w:val="none"/>
              </w:rPr>
            </w:pPr>
            <w:r>
              <w:rPr>
                <w:rFonts w:hint="eastAsia" w:ascii="宋体" w:hAnsi="宋体" w:cs="宋体"/>
                <w:color w:val="auto"/>
                <w:sz w:val="24"/>
                <w:szCs w:val="24"/>
                <w:highlight w:val="none"/>
              </w:rPr>
              <w:t xml:space="preserve">投标人须知前附表规定组织现场考察的，投标人应按投标人须知前附表规定的现场考察时间、集中地点参加招标人组织的项目现场考察。 </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1.8.2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投标人现场考察发生的费用自理。</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1.8.3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除招标人的原因外，投标人自行负责在现场考察中所发生的人员伤亡和财产损失。</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1.8.4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招标人在现场考察中介绍的相关的情况，仅供投标人在编制投标文件时参考，招标人不对投标人据此作出的判断和决策负责。</w:t>
            </w:r>
          </w:p>
        </w:tc>
      </w:tr>
      <w:tr>
        <w:tblPrEx>
          <w:tblCellMar>
            <w:top w:w="0" w:type="dxa"/>
            <w:left w:w="108" w:type="dxa"/>
            <w:bottom w:w="0" w:type="dxa"/>
            <w:right w:w="108" w:type="dxa"/>
          </w:tblCellMar>
        </w:tblPrEx>
        <w:tc>
          <w:tcPr>
            <w:tcW w:w="1058" w:type="dxa"/>
          </w:tcPr>
          <w:p>
            <w:pPr>
              <w:rPr>
                <w:rFonts w:hint="eastAsia" w:ascii="宋体" w:hAnsi="宋体" w:cs="宋体"/>
                <w:b/>
                <w:color w:val="auto"/>
                <w:sz w:val="24"/>
                <w:szCs w:val="24"/>
                <w:highlight w:val="none"/>
              </w:rPr>
            </w:pPr>
            <w:r>
              <w:rPr>
                <w:rFonts w:hint="eastAsia" w:ascii="宋体" w:hAnsi="宋体" w:cs="宋体"/>
                <w:b/>
                <w:bCs/>
                <w:color w:val="auto"/>
                <w:sz w:val="24"/>
                <w:szCs w:val="24"/>
                <w:highlight w:val="none"/>
              </w:rPr>
              <w:t>1.9</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标前答疑会</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1.9.1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投标人须知前附表规定召开开标前答疑会的，招标人按投标人须知前附表规定的时间和地点召开标前答疑会，澄清投标人提出的问题。</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1.9.2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应在投标人须知前附表规定的时间前，以书面形式（包括信件、电报、电传、传真、电子数据交换和电子邮件等可以有形地表现所载内容的形式，下同）将提出的问题送达招标人，以便招标人在会议期间澄清。</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1.9.3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标前答疑会后，招标人将对投标人所提问题的澄清，以书面形式通知所有购买招标文件的投标人，但不指明澄清问题的来源。该澄清内容为招标文件的组成部分。</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1.10</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分包</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1.10.1</w:t>
            </w:r>
          </w:p>
        </w:tc>
        <w:tc>
          <w:tcPr>
            <w:tcW w:w="7402" w:type="dxa"/>
            <w:gridSpan w:val="2"/>
          </w:tcPr>
          <w:p>
            <w:pPr>
              <w:pStyle w:val="14"/>
              <w:spacing w:after="0"/>
              <w:ind w:right="214"/>
              <w:rPr>
                <w:rFonts w:hint="eastAsia" w:ascii="宋体" w:hAnsi="宋体" w:cs="宋体"/>
                <w:color w:val="auto"/>
                <w:sz w:val="24"/>
                <w:szCs w:val="24"/>
                <w:highlight w:val="none"/>
              </w:rPr>
            </w:pPr>
            <w:r>
              <w:rPr>
                <w:rFonts w:hint="eastAsia" w:ascii="宋体" w:hAnsi="宋体" w:cs="宋体"/>
                <w:color w:val="auto"/>
                <w:sz w:val="24"/>
                <w:szCs w:val="24"/>
                <w:highlight w:val="none"/>
              </w:rPr>
              <w:t>投标人拟在中标后将中标项目的非主体、非关键性工作分包的，应当在投标文件中载明分包承担主体，分包承担主体应当具备</w:t>
            </w:r>
            <w:r>
              <w:rPr>
                <w:rFonts w:hint="eastAsia" w:ascii="宋体" w:hAnsi="宋体" w:cs="宋体"/>
                <w:color w:val="auto"/>
                <w:spacing w:val="-1"/>
                <w:sz w:val="24"/>
                <w:szCs w:val="24"/>
                <w:highlight w:val="none"/>
              </w:rPr>
              <w:t>投标人须知前附表规定的</w:t>
            </w:r>
            <w:r>
              <w:rPr>
                <w:rFonts w:hint="eastAsia" w:ascii="宋体" w:hAnsi="宋体" w:cs="宋体"/>
                <w:color w:val="auto"/>
                <w:sz w:val="24"/>
                <w:szCs w:val="24"/>
                <w:highlight w:val="none"/>
              </w:rPr>
              <w:t>相应资质条件且不得再次分包，</w:t>
            </w:r>
            <w:r>
              <w:rPr>
                <w:rFonts w:hint="eastAsia" w:ascii="宋体" w:hAnsi="宋体" w:cs="宋体"/>
                <w:color w:val="auto"/>
                <w:spacing w:val="-1"/>
                <w:sz w:val="24"/>
                <w:szCs w:val="24"/>
                <w:highlight w:val="none"/>
              </w:rPr>
              <w:t>除投标人须知前附表</w:t>
            </w:r>
            <w:bookmarkStart w:id="90" w:name="_Hlk494297390"/>
            <w:r>
              <w:rPr>
                <w:rFonts w:hint="eastAsia" w:ascii="宋体" w:hAnsi="宋体" w:cs="宋体"/>
                <w:color w:val="auto"/>
                <w:spacing w:val="-1"/>
                <w:sz w:val="24"/>
                <w:szCs w:val="24"/>
                <w:highlight w:val="none"/>
              </w:rPr>
              <w:t>规定</w:t>
            </w:r>
            <w:bookmarkEnd w:id="90"/>
            <w:r>
              <w:rPr>
                <w:rFonts w:hint="eastAsia" w:ascii="宋体" w:hAnsi="宋体" w:cs="宋体"/>
                <w:color w:val="auto"/>
                <w:spacing w:val="-1"/>
                <w:sz w:val="24"/>
                <w:szCs w:val="24"/>
                <w:highlight w:val="none"/>
              </w:rPr>
              <w:t>的非主体</w:t>
            </w:r>
            <w:r>
              <w:rPr>
                <w:rFonts w:hint="eastAsia" w:ascii="宋体" w:hAnsi="宋体" w:cs="宋体"/>
                <w:color w:val="auto"/>
                <w:sz w:val="24"/>
                <w:szCs w:val="24"/>
                <w:highlight w:val="none"/>
              </w:rPr>
              <w:t>、非关键性工作外，其他工作不得分包。</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1.10.2</w:t>
            </w:r>
          </w:p>
        </w:tc>
        <w:tc>
          <w:tcPr>
            <w:tcW w:w="7402" w:type="dxa"/>
            <w:gridSpan w:val="2"/>
          </w:tcPr>
          <w:p>
            <w:pPr>
              <w:pStyle w:val="14"/>
              <w:spacing w:after="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中标人不得向他人转让中标项目。中标人应当就分包项目向招标人负责，接受分包的人就分包项目承担连带责任。</w:t>
            </w:r>
          </w:p>
        </w:tc>
      </w:tr>
      <w:tr>
        <w:tblPrEx>
          <w:tblCellMar>
            <w:top w:w="0" w:type="dxa"/>
            <w:left w:w="108" w:type="dxa"/>
            <w:bottom w:w="0" w:type="dxa"/>
            <w:right w:w="108" w:type="dxa"/>
          </w:tblCellMar>
        </w:tblPrEx>
        <w:tc>
          <w:tcPr>
            <w:tcW w:w="1058" w:type="dxa"/>
          </w:tcPr>
          <w:p>
            <w:pPr>
              <w:rPr>
                <w:rFonts w:hint="eastAsia" w:ascii="宋体" w:hAnsi="宋体" w:cs="宋体"/>
                <w:b/>
                <w:color w:val="auto"/>
                <w:sz w:val="24"/>
                <w:szCs w:val="24"/>
                <w:highlight w:val="none"/>
              </w:rPr>
            </w:pPr>
            <w:r>
              <w:rPr>
                <w:rFonts w:hint="eastAsia" w:ascii="宋体" w:hAnsi="宋体" w:cs="宋体"/>
                <w:b/>
                <w:bCs/>
                <w:color w:val="auto"/>
                <w:sz w:val="24"/>
                <w:szCs w:val="24"/>
                <w:highlight w:val="none"/>
              </w:rPr>
              <w:t>1.11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highlight w:val="none"/>
              </w:rPr>
            </w:pPr>
            <w:r>
              <w:rPr>
                <w:rFonts w:hint="eastAsia" w:ascii="宋体" w:hAnsi="宋体" w:eastAsia="宋体" w:cs="宋体"/>
                <w:b/>
                <w:bCs/>
                <w:color w:val="auto"/>
                <w:sz w:val="24"/>
                <w:szCs w:val="24"/>
                <w:highlight w:val="none"/>
              </w:rPr>
              <w:t>响应和偏差</w:t>
            </w:r>
          </w:p>
        </w:tc>
      </w:tr>
      <w:tr>
        <w:tblPrEx>
          <w:tblCellMar>
            <w:top w:w="0" w:type="dxa"/>
            <w:left w:w="108" w:type="dxa"/>
            <w:bottom w:w="0" w:type="dxa"/>
            <w:right w:w="108" w:type="dxa"/>
          </w:tblCellMar>
        </w:tblPrEx>
        <w:tc>
          <w:tcPr>
            <w:tcW w:w="1058"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1.11.1</w:t>
            </w:r>
          </w:p>
        </w:tc>
        <w:tc>
          <w:tcPr>
            <w:tcW w:w="7402" w:type="dxa"/>
            <w:gridSpan w:val="2"/>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投标文件应当对招标文件的实质性要求和条件作出满足性或更有利于招标人的响应，</w:t>
            </w:r>
            <w:r>
              <w:rPr>
                <w:rFonts w:hint="eastAsia" w:ascii="宋体" w:hAnsi="宋体" w:cs="宋体"/>
                <w:bCs/>
                <w:color w:val="auto"/>
                <w:sz w:val="24"/>
                <w:szCs w:val="24"/>
                <w:highlight w:val="none"/>
              </w:rPr>
              <w:t>否则，投标无效。</w:t>
            </w:r>
            <w:r>
              <w:rPr>
                <w:rFonts w:hint="eastAsia" w:ascii="宋体" w:hAnsi="宋体" w:cs="宋体"/>
                <w:color w:val="auto"/>
                <w:sz w:val="24"/>
                <w:szCs w:val="24"/>
                <w:highlight w:val="none"/>
              </w:rPr>
              <w:t>实质性要求和条件见投标人须知前附表。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1.11.2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投标人应根据招标文件的要求提供投标设备技术性能指标的详细描述、技术支持资料及技术服务和售后服务计划等内容以对招标文件作出响应。</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1.11.3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投标文件对招标文件的全部偏差，均应在投标文件的</w:t>
            </w:r>
            <w:r>
              <w:rPr>
                <w:rFonts w:hint="eastAsia" w:ascii="宋体" w:hAnsi="宋体" w:cs="宋体"/>
                <w:b/>
                <w:color w:val="auto"/>
                <w:sz w:val="24"/>
                <w:szCs w:val="24"/>
                <w:highlight w:val="none"/>
              </w:rPr>
              <w:t>商务和技术偏差表</w:t>
            </w:r>
            <w:r>
              <w:rPr>
                <w:rFonts w:hint="eastAsia" w:ascii="宋体" w:hAnsi="宋体" w:cs="宋体"/>
                <w:color w:val="auto"/>
                <w:sz w:val="24"/>
                <w:szCs w:val="24"/>
                <w:highlight w:val="none"/>
              </w:rPr>
              <w:t>中列明，除列明的内容外，视为投标人响应招标文件的全部要求。</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1.12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同义词语</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构成招标文件组成部分的“合同格式”和“技术规格及要求”等章节中出现的措辞“买方”、“甲方”和“卖方”、“乙方”、“中标人”在招标投标阶段应当分别按“招标人”和“投标人”进行理解。</w:t>
            </w:r>
          </w:p>
        </w:tc>
      </w:tr>
      <w:tr>
        <w:tblPrEx>
          <w:tblCellMar>
            <w:top w:w="0" w:type="dxa"/>
            <w:left w:w="108" w:type="dxa"/>
            <w:bottom w:w="0" w:type="dxa"/>
            <w:right w:w="108" w:type="dxa"/>
          </w:tblCellMar>
        </w:tblPrEx>
        <w:trPr>
          <w:trHeight w:val="90" w:hRule="atLeast"/>
        </w:trPr>
        <w:tc>
          <w:tcPr>
            <w:tcW w:w="8460" w:type="dxa"/>
            <w:gridSpan w:val="3"/>
          </w:tcPr>
          <w:p>
            <w:pPr>
              <w:outlineLvl w:val="1"/>
              <w:rPr>
                <w:rFonts w:hint="eastAsia" w:ascii="宋体" w:hAnsi="宋体" w:cs="宋体"/>
                <w:b/>
                <w:bCs/>
                <w:color w:val="auto"/>
                <w:sz w:val="24"/>
                <w:szCs w:val="24"/>
                <w:highlight w:val="none"/>
              </w:rPr>
            </w:pPr>
            <w:bookmarkStart w:id="91" w:name="_Toc18261"/>
            <w:r>
              <w:rPr>
                <w:rFonts w:hint="eastAsia" w:ascii="宋体" w:hAnsi="宋体" w:cs="宋体"/>
                <w:b/>
                <w:bCs/>
                <w:color w:val="auto"/>
                <w:sz w:val="24"/>
                <w:szCs w:val="24"/>
                <w:highlight w:val="none"/>
              </w:rPr>
              <w:t>2. 招标文件</w:t>
            </w:r>
            <w:bookmarkEnd w:id="91"/>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2.1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招标文件的组成</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本招标文件包括：</w:t>
            </w:r>
          </w:p>
          <w:p>
            <w:pPr>
              <w:numPr>
                <w:ilvl w:val="0"/>
                <w:numId w:val="6"/>
              </w:numPr>
              <w:ind w:left="1068" w:hanging="1068"/>
              <w:rPr>
                <w:rFonts w:hint="eastAsia" w:ascii="宋体" w:hAnsi="宋体" w:cs="宋体"/>
                <w:color w:val="auto"/>
                <w:sz w:val="24"/>
                <w:szCs w:val="24"/>
                <w:highlight w:val="none"/>
              </w:rPr>
            </w:pPr>
            <w:r>
              <w:rPr>
                <w:rFonts w:hint="eastAsia" w:ascii="宋体" w:hAnsi="宋体" w:cs="宋体"/>
                <w:color w:val="auto"/>
                <w:sz w:val="24"/>
                <w:szCs w:val="24"/>
                <w:highlight w:val="none"/>
              </w:rPr>
              <w:t>招标公告</w:t>
            </w:r>
          </w:p>
          <w:p>
            <w:pPr>
              <w:numPr>
                <w:ilvl w:val="0"/>
                <w:numId w:val="6"/>
              </w:numPr>
              <w:ind w:left="1068" w:hanging="1068"/>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w:t>
            </w:r>
          </w:p>
          <w:p>
            <w:pPr>
              <w:numPr>
                <w:ilvl w:val="0"/>
                <w:numId w:val="6"/>
              </w:numPr>
              <w:ind w:left="1068" w:hanging="1068"/>
              <w:rPr>
                <w:rFonts w:hint="eastAsia" w:ascii="宋体" w:hAnsi="宋体" w:cs="宋体"/>
                <w:color w:val="auto"/>
                <w:sz w:val="24"/>
                <w:szCs w:val="24"/>
                <w:highlight w:val="none"/>
              </w:rPr>
            </w:pPr>
            <w:r>
              <w:rPr>
                <w:rFonts w:hint="eastAsia" w:ascii="宋体" w:hAnsi="宋体" w:cs="宋体"/>
                <w:color w:val="auto"/>
                <w:sz w:val="24"/>
                <w:szCs w:val="24"/>
                <w:highlight w:val="none"/>
              </w:rPr>
              <w:t>评标办法；</w:t>
            </w:r>
          </w:p>
          <w:p>
            <w:pPr>
              <w:numPr>
                <w:ilvl w:val="0"/>
                <w:numId w:val="6"/>
              </w:numPr>
              <w:ind w:left="1068" w:hanging="1068"/>
              <w:rPr>
                <w:rFonts w:hint="eastAsia" w:ascii="宋体" w:hAnsi="宋体" w:cs="宋体"/>
                <w:color w:val="auto"/>
                <w:sz w:val="24"/>
                <w:szCs w:val="24"/>
                <w:highlight w:val="none"/>
              </w:rPr>
            </w:pPr>
            <w:r>
              <w:rPr>
                <w:rFonts w:hint="eastAsia" w:ascii="宋体" w:hAnsi="宋体" w:cs="宋体"/>
                <w:color w:val="auto"/>
                <w:sz w:val="24"/>
                <w:szCs w:val="24"/>
                <w:highlight w:val="none"/>
              </w:rPr>
              <w:t>合同格式；</w:t>
            </w:r>
          </w:p>
          <w:p>
            <w:pPr>
              <w:numPr>
                <w:ilvl w:val="0"/>
                <w:numId w:val="6"/>
              </w:numPr>
              <w:ind w:left="1068" w:hanging="1068"/>
              <w:rPr>
                <w:rFonts w:hint="eastAsia" w:ascii="宋体" w:hAnsi="宋体" w:cs="宋体"/>
                <w:color w:val="auto"/>
                <w:sz w:val="24"/>
                <w:szCs w:val="24"/>
                <w:highlight w:val="none"/>
              </w:rPr>
            </w:pPr>
            <w:r>
              <w:rPr>
                <w:rFonts w:hint="eastAsia" w:ascii="宋体" w:hAnsi="宋体" w:cs="宋体"/>
                <w:color w:val="auto"/>
                <w:sz w:val="24"/>
                <w:szCs w:val="24"/>
                <w:highlight w:val="none"/>
              </w:rPr>
              <w:t>采购需求；</w:t>
            </w:r>
          </w:p>
          <w:p>
            <w:pPr>
              <w:numPr>
                <w:ilvl w:val="0"/>
                <w:numId w:val="6"/>
              </w:numPr>
              <w:ind w:left="1068" w:hanging="1068"/>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投标文件格式；</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其他 投标人须知前附表规定的其他资料。</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根据本章第1.9款、第2.2款和第2.3款对招标文件所作的澄清、修改，作为补充招标文件，构成招标文件的组成部分。</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b/>
                <w:bCs/>
                <w:color w:val="auto"/>
                <w:sz w:val="24"/>
                <w:szCs w:val="24"/>
                <w:highlight w:val="none"/>
              </w:rPr>
              <w:t>2.2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招标文件的澄清</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2.2.1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应仔细阅读和检查招标文件的全部内容。如发现缺页或附件不全，应及时向招标人提出，以便补齐。如有疑问，应在投标人须知前附表规定的时间前以书面形式将提出的问题送达招标人，要求招标人对招标文件予以澄清。</w:t>
            </w:r>
          </w:p>
        </w:tc>
      </w:tr>
      <w:tr>
        <w:tblPrEx>
          <w:tblCellMar>
            <w:top w:w="0" w:type="dxa"/>
            <w:left w:w="108" w:type="dxa"/>
            <w:bottom w:w="0" w:type="dxa"/>
            <w:right w:w="108" w:type="dxa"/>
          </w:tblCellMar>
        </w:tblPrEx>
        <w:tc>
          <w:tcPr>
            <w:tcW w:w="1058" w:type="dxa"/>
          </w:tcPr>
          <w:p>
            <w:pPr>
              <w:rPr>
                <w:rFonts w:hint="eastAsia" w:ascii="宋体" w:hAnsi="宋体" w:cs="宋体"/>
                <w:color w:val="auto"/>
                <w:highlight w:val="none"/>
              </w:rPr>
            </w:pPr>
            <w:r>
              <w:rPr>
                <w:rFonts w:hint="eastAsia" w:ascii="宋体" w:hAnsi="宋体" w:cs="宋体"/>
                <w:color w:val="auto"/>
                <w:sz w:val="24"/>
                <w:szCs w:val="24"/>
                <w:highlight w:val="none"/>
              </w:rPr>
              <w:t>2.2.2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文件的澄清以书面形式发给所有购买招标文件的投标人，但不指明澄清问题的来源。澄清发出的时间距本招标文件规定的投标截止时间不足15日的，并且澄清内容可能影响投标文件编制的，将相应延长投标截止时间。</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2.2.3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投标人在收到澄清后，应及时向招标代理机构办理签收手续或以书面方式确认其收到；否则，投标人将被视为已理解并接受招标文件及补充招标文件的所有内容。</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2.2.4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除非招标人认为确有必要答复，否则，招标人有权拒绝回复投标人在投标人须知前附表规定的时间后的任何澄清要求。</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2.3</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highlight w:val="none"/>
              </w:rPr>
            </w:pPr>
            <w:r>
              <w:rPr>
                <w:rFonts w:hint="eastAsia" w:ascii="宋体" w:hAnsi="宋体" w:eastAsia="宋体" w:cs="宋体"/>
                <w:b/>
                <w:bCs/>
                <w:color w:val="auto"/>
                <w:sz w:val="24"/>
                <w:szCs w:val="24"/>
                <w:highlight w:val="none"/>
              </w:rPr>
              <w:t>招标文件的修改</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2.3.1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招标人可以书面形式修改招标文件，并通知所有已</w:t>
            </w:r>
            <w:bookmarkStart w:id="92" w:name="_Toc26878"/>
            <w:bookmarkStart w:id="93" w:name="_Toc352691480"/>
            <w:bookmarkStart w:id="94" w:name="_Toc369531522"/>
            <w:r>
              <w:rPr>
                <w:rFonts w:hint="eastAsia" w:ascii="宋体" w:hAnsi="宋体" w:cs="宋体"/>
                <w:color w:val="auto"/>
                <w:sz w:val="24"/>
                <w:szCs w:val="24"/>
                <w:highlight w:val="none"/>
              </w:rPr>
              <w:t>购买招标文件</w:t>
            </w:r>
            <w:bookmarkEnd w:id="92"/>
            <w:bookmarkEnd w:id="93"/>
            <w:bookmarkEnd w:id="94"/>
            <w:r>
              <w:rPr>
                <w:rFonts w:hint="eastAsia" w:ascii="宋体" w:hAnsi="宋体" w:cs="宋体"/>
                <w:color w:val="auto"/>
                <w:sz w:val="24"/>
                <w:szCs w:val="24"/>
                <w:highlight w:val="none"/>
              </w:rPr>
              <w:t>的投标人。修改招标文件的时间距本招标文件规定的投标截止时间不足15日的，并且修改内容可</w:t>
            </w:r>
            <w:bookmarkStart w:id="95" w:name="_Toc144974505"/>
            <w:bookmarkStart w:id="96" w:name="_Toc152042313"/>
            <w:bookmarkStart w:id="97" w:name="_Toc384308217"/>
            <w:bookmarkStart w:id="98" w:name="_Toc361508592"/>
            <w:bookmarkStart w:id="99" w:name="_Toc8349"/>
            <w:bookmarkStart w:id="100" w:name="_Toc369531523"/>
            <w:bookmarkStart w:id="101" w:name="_Toc152045537"/>
            <w:bookmarkStart w:id="102" w:name="_Toc247527561"/>
            <w:bookmarkStart w:id="103" w:name="_Toc352691481"/>
            <w:bookmarkStart w:id="104" w:name="_Toc247513960"/>
            <w:bookmarkStart w:id="105" w:name="_Toc300834957"/>
            <w:r>
              <w:rPr>
                <w:rFonts w:hint="eastAsia" w:ascii="宋体" w:hAnsi="宋体" w:cs="宋体"/>
                <w:color w:val="auto"/>
                <w:sz w:val="24"/>
                <w:szCs w:val="24"/>
                <w:highlight w:val="none"/>
              </w:rPr>
              <w:t>能影响投标文</w:t>
            </w:r>
            <w:bookmarkEnd w:id="95"/>
            <w:r>
              <w:rPr>
                <w:rFonts w:hint="eastAsia" w:ascii="宋体" w:hAnsi="宋体" w:cs="宋体"/>
                <w:color w:val="auto"/>
                <w:sz w:val="24"/>
                <w:szCs w:val="24"/>
                <w:highlight w:val="none"/>
              </w:rPr>
              <w:t>件编</w:t>
            </w:r>
            <w:bookmarkEnd w:id="96"/>
            <w:bookmarkEnd w:id="97"/>
            <w:bookmarkEnd w:id="98"/>
            <w:bookmarkEnd w:id="99"/>
            <w:bookmarkEnd w:id="100"/>
            <w:bookmarkEnd w:id="101"/>
            <w:bookmarkEnd w:id="102"/>
            <w:bookmarkEnd w:id="103"/>
            <w:bookmarkEnd w:id="104"/>
            <w:bookmarkEnd w:id="105"/>
            <w:r>
              <w:rPr>
                <w:rFonts w:hint="eastAsia" w:ascii="宋体" w:hAnsi="宋体" w:cs="宋体"/>
                <w:color w:val="auto"/>
                <w:sz w:val="24"/>
                <w:szCs w:val="24"/>
                <w:highlight w:val="none"/>
              </w:rPr>
              <w:t>制的，将相应延长投标截止时间</w:t>
            </w:r>
          </w:p>
        </w:tc>
      </w:tr>
      <w:tr>
        <w:tblPrEx>
          <w:tblCellMar>
            <w:top w:w="0" w:type="dxa"/>
            <w:left w:w="108" w:type="dxa"/>
            <w:bottom w:w="0" w:type="dxa"/>
            <w:right w:w="108" w:type="dxa"/>
          </w:tblCellMar>
        </w:tblPrEx>
        <w:tc>
          <w:tcPr>
            <w:tcW w:w="1058"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2.3.2</w:t>
            </w:r>
          </w:p>
        </w:tc>
        <w:tc>
          <w:tcPr>
            <w:tcW w:w="7402" w:type="dxa"/>
            <w:gridSpan w:val="2"/>
          </w:tcPr>
          <w:p>
            <w:pPr>
              <w:rPr>
                <w:rFonts w:hint="eastAsia" w:ascii="宋体" w:hAnsi="宋体" w:cs="宋体"/>
                <w:b/>
                <w:bCs/>
                <w:color w:val="auto"/>
                <w:sz w:val="24"/>
                <w:szCs w:val="24"/>
                <w:highlight w:val="none"/>
              </w:rPr>
            </w:pPr>
            <w:r>
              <w:rPr>
                <w:rFonts w:hint="eastAsia" w:ascii="宋体" w:hAnsi="宋体" w:cs="宋体"/>
                <w:color w:val="auto"/>
                <w:sz w:val="24"/>
                <w:szCs w:val="24"/>
                <w:highlight w:val="none"/>
              </w:rPr>
              <w:t>投标人收到修改内容</w:t>
            </w:r>
            <w:bookmarkStart w:id="106" w:name="_Toc300834958"/>
            <w:bookmarkStart w:id="107" w:name="_Toc361508593"/>
            <w:bookmarkStart w:id="108" w:name="_Toc152042314"/>
            <w:bookmarkStart w:id="109" w:name="_Toc384308218"/>
            <w:bookmarkStart w:id="110" w:name="_Toc152045538"/>
            <w:bookmarkStart w:id="111" w:name="_Toc247527562"/>
            <w:bookmarkStart w:id="112" w:name="_Toc352691482"/>
            <w:bookmarkStart w:id="113" w:name="_Toc247513961"/>
            <w:bookmarkStart w:id="114" w:name="_Toc144974506"/>
            <w:bookmarkStart w:id="115" w:name="_Toc369531524"/>
            <w:bookmarkStart w:id="116" w:name="_Toc24632"/>
            <w:r>
              <w:rPr>
                <w:rFonts w:hint="eastAsia" w:ascii="宋体" w:hAnsi="宋体" w:cs="宋体"/>
                <w:color w:val="auto"/>
                <w:sz w:val="24"/>
                <w:szCs w:val="24"/>
                <w:highlight w:val="none"/>
              </w:rPr>
              <w:t>后</w:t>
            </w:r>
            <w:bookmarkEnd w:id="106"/>
            <w:bookmarkEnd w:id="107"/>
            <w:bookmarkEnd w:id="108"/>
            <w:bookmarkEnd w:id="109"/>
            <w:bookmarkEnd w:id="110"/>
            <w:bookmarkEnd w:id="111"/>
            <w:bookmarkEnd w:id="112"/>
            <w:bookmarkEnd w:id="113"/>
            <w:bookmarkEnd w:id="114"/>
            <w:bookmarkEnd w:id="115"/>
            <w:bookmarkEnd w:id="116"/>
            <w:r>
              <w:rPr>
                <w:rFonts w:hint="eastAsia" w:ascii="宋体" w:hAnsi="宋体" w:cs="宋体"/>
                <w:color w:val="auto"/>
                <w:sz w:val="24"/>
                <w:szCs w:val="24"/>
                <w:highlight w:val="none"/>
              </w:rPr>
              <w:t>，应及时向招标代理机构办理签收手续或以书面方式确认其收到；否则，投标人将被视为已理解并接受招标文件及补充招标文件的所有内容。</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17" w:name="_Toc4806"/>
            <w:r>
              <w:rPr>
                <w:rFonts w:hint="eastAsia" w:ascii="宋体" w:hAnsi="宋体" w:cs="宋体"/>
                <w:b/>
                <w:bCs/>
                <w:color w:val="auto"/>
                <w:sz w:val="24"/>
                <w:szCs w:val="24"/>
                <w:highlight w:val="none"/>
              </w:rPr>
              <w:t>3. 投标文件</w:t>
            </w:r>
            <w:bookmarkEnd w:id="117"/>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3.1</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投标文件的组成</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3.1.1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投标文件应包括下列内容：</w:t>
            </w:r>
          </w:p>
        </w:tc>
      </w:tr>
      <w:tr>
        <w:tblPrEx>
          <w:tblCellMar>
            <w:top w:w="0" w:type="dxa"/>
            <w:left w:w="108" w:type="dxa"/>
            <w:bottom w:w="0" w:type="dxa"/>
            <w:right w:w="108" w:type="dxa"/>
          </w:tblCellMar>
        </w:tblPrEx>
        <w:tc>
          <w:tcPr>
            <w:tcW w:w="1215" w:type="dxa"/>
            <w:gridSpan w:val="2"/>
          </w:tcPr>
          <w:p>
            <w:pPr>
              <w:rPr>
                <w:rFonts w:hint="eastAsia" w:ascii="宋体" w:hAnsi="宋体" w:cs="宋体"/>
                <w:b/>
                <w:color w:val="auto"/>
                <w:sz w:val="24"/>
                <w:szCs w:val="24"/>
                <w:highlight w:val="none"/>
              </w:rPr>
            </w:pPr>
            <w:r>
              <w:rPr>
                <w:rFonts w:hint="eastAsia" w:ascii="宋体" w:hAnsi="宋体" w:cs="宋体"/>
                <w:bCs/>
                <w:color w:val="auto"/>
                <w:sz w:val="24"/>
                <w:szCs w:val="24"/>
                <w:highlight w:val="none"/>
              </w:rPr>
              <w:t>3.1.1.1</w:t>
            </w:r>
          </w:p>
        </w:tc>
        <w:tc>
          <w:tcPr>
            <w:tcW w:w="7245" w:type="dxa"/>
          </w:tcPr>
          <w:p>
            <w:pPr>
              <w:rPr>
                <w:rFonts w:hint="eastAsia" w:ascii="宋体" w:hAnsi="宋体" w:cs="宋体"/>
                <w:b/>
                <w:bCs/>
                <w:color w:val="auto"/>
                <w:sz w:val="24"/>
                <w:szCs w:val="24"/>
                <w:highlight w:val="none"/>
              </w:rPr>
            </w:pPr>
            <w:r>
              <w:rPr>
                <w:rFonts w:hint="eastAsia" w:ascii="宋体" w:hAnsi="宋体" w:cs="宋体"/>
                <w:b/>
                <w:color w:val="auto"/>
                <w:sz w:val="24"/>
                <w:szCs w:val="24"/>
                <w:highlight w:val="none"/>
              </w:rPr>
              <w:t>商务部分：</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投标函；</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投标保证金；</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法定代表人（单位负责人）证明</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授权委托书；</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联合体协议书（联合体投标时适用）；</w:t>
            </w:r>
          </w:p>
        </w:tc>
      </w:tr>
      <w:tr>
        <w:tblPrEx>
          <w:tblCellMar>
            <w:top w:w="0" w:type="dxa"/>
            <w:left w:w="108" w:type="dxa"/>
            <w:bottom w:w="0" w:type="dxa"/>
            <w:right w:w="108" w:type="dxa"/>
          </w:tblCellMar>
        </w:tblPrEx>
        <w:tc>
          <w:tcPr>
            <w:tcW w:w="1215" w:type="dxa"/>
            <w:gridSpan w:val="2"/>
          </w:tcPr>
          <w:p>
            <w:pPr>
              <w:rPr>
                <w:rFonts w:hint="eastAsia" w:ascii="宋体" w:hAnsi="宋体" w:cs="宋体"/>
                <w:b/>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开标一览表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分项报价表；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商务偏差表；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资格和履约能力证明资料；</w:t>
            </w:r>
          </w:p>
        </w:tc>
      </w:tr>
      <w:tr>
        <w:tblPrEx>
          <w:tblCellMar>
            <w:top w:w="0" w:type="dxa"/>
            <w:left w:w="108" w:type="dxa"/>
            <w:bottom w:w="0" w:type="dxa"/>
            <w:right w:w="108" w:type="dxa"/>
          </w:tblCellMar>
        </w:tblPrEx>
        <w:tc>
          <w:tcPr>
            <w:tcW w:w="1215" w:type="dxa"/>
            <w:gridSpan w:val="2"/>
          </w:tcPr>
          <w:p>
            <w:pPr>
              <w:rPr>
                <w:rFonts w:hint="eastAsia" w:ascii="宋体" w:hAnsi="宋体" w:cs="宋体"/>
                <w:b/>
                <w:color w:val="auto"/>
                <w:sz w:val="24"/>
                <w:szCs w:val="24"/>
                <w:highlight w:val="none"/>
              </w:rPr>
            </w:pPr>
          </w:p>
        </w:tc>
        <w:tc>
          <w:tcPr>
            <w:tcW w:w="7245" w:type="dxa"/>
          </w:tcPr>
          <w:p>
            <w:pPr>
              <w:numPr>
                <w:ilvl w:val="0"/>
                <w:numId w:val="7"/>
              </w:numP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投标人须知前附表规定的构成投标文件商务部分的其他资料。</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Cs/>
                <w:color w:val="auto"/>
                <w:sz w:val="24"/>
                <w:szCs w:val="24"/>
                <w:highlight w:val="none"/>
              </w:rPr>
              <w:t>3.1.1.2</w:t>
            </w:r>
          </w:p>
        </w:tc>
        <w:tc>
          <w:tcPr>
            <w:tcW w:w="7245"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技术部分：</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8"/>
              </w:numPr>
              <w:rPr>
                <w:rFonts w:hint="eastAsia" w:ascii="宋体" w:hAnsi="宋体" w:cs="宋体"/>
                <w:color w:val="auto"/>
                <w:sz w:val="24"/>
                <w:szCs w:val="24"/>
                <w:highlight w:val="none"/>
              </w:rPr>
            </w:pPr>
            <w:r>
              <w:rPr>
                <w:rFonts w:hint="eastAsia" w:ascii="宋体" w:hAnsi="宋体" w:cs="宋体"/>
                <w:color w:val="auto"/>
                <w:sz w:val="24"/>
                <w:szCs w:val="24"/>
                <w:highlight w:val="none"/>
              </w:rPr>
              <w:t>技术偏差表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8"/>
              </w:numPr>
              <w:rPr>
                <w:rFonts w:hint="eastAsia" w:ascii="宋体" w:hAnsi="宋体" w:cs="宋体"/>
                <w:color w:val="auto"/>
                <w:sz w:val="24"/>
                <w:szCs w:val="24"/>
                <w:highlight w:val="none"/>
              </w:rPr>
            </w:pPr>
            <w:r>
              <w:rPr>
                <w:rFonts w:hint="eastAsia" w:ascii="宋体" w:hAnsi="宋体" w:cs="宋体"/>
                <w:color w:val="auto"/>
                <w:sz w:val="24"/>
                <w:szCs w:val="24"/>
                <w:highlight w:val="none"/>
              </w:rPr>
              <w:t>投标设备技术性能指标的详细描述；</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8"/>
              </w:numPr>
              <w:rPr>
                <w:rFonts w:hint="eastAsia" w:ascii="宋体" w:hAnsi="宋体" w:cs="宋体"/>
                <w:color w:val="auto"/>
                <w:sz w:val="24"/>
                <w:szCs w:val="24"/>
                <w:highlight w:val="none"/>
              </w:rPr>
            </w:pPr>
            <w:r>
              <w:rPr>
                <w:rFonts w:hint="eastAsia" w:ascii="宋体" w:hAnsi="宋体" w:cs="宋体"/>
                <w:color w:val="auto"/>
                <w:sz w:val="24"/>
                <w:szCs w:val="24"/>
                <w:highlight w:val="none"/>
              </w:rPr>
              <w:t>技术服务和售后服务计划；</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8"/>
              </w:numPr>
              <w:rPr>
                <w:rFonts w:hint="eastAsia" w:ascii="宋体" w:hAnsi="宋体" w:cs="宋体"/>
                <w:color w:val="auto"/>
                <w:sz w:val="24"/>
                <w:szCs w:val="24"/>
                <w:highlight w:val="none"/>
              </w:rPr>
            </w:pPr>
            <w:r>
              <w:rPr>
                <w:rFonts w:hint="eastAsia" w:ascii="宋体" w:hAnsi="宋体" w:cs="宋体"/>
                <w:color w:val="auto"/>
                <w:sz w:val="24"/>
                <w:szCs w:val="24"/>
                <w:highlight w:val="none"/>
              </w:rPr>
              <w:t>技术支持资料；</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numPr>
                <w:ilvl w:val="0"/>
                <w:numId w:val="8"/>
              </w:numP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投标人须知前附表规定的构成投标文件技术部分的其他资料。</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3.1.1.3</w:t>
            </w:r>
          </w:p>
        </w:tc>
        <w:tc>
          <w:tcPr>
            <w:tcW w:w="7245"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样品：</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投标人须知前附表要求投标人提供样品的，样品制作的标准和要求见第五章《采购需求》、样品的评审方法以及评审标准见第三章《评标办法》。需要随样品提交检测报告的，检测机构的要求、检测内容等见本须知前附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采购活动结束后，对于未中标人提供的样品，招标人将及时退还或者经未中标人同意后自行处理；对于中标人提供的样品，应当按照招标文件的规定进行保管、封存，并作为履约验收的参考。</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3.1.2</w:t>
            </w: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投标人须知前附表规定不接受联合体投标的，或投标人没有组成联合体的，投标文件不包括本章第3.1.1款中所指的联合体协议书。</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3.1.3</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投标人须知前附表未要求提交投标保证金的，投标文件不包括本章第3.1.1款中所指的投标保证金。</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3.2</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投标报价 </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投标人应充分了解本项目的总体情况以及考虑影响投标报价的各项要素后进行报价。</w:t>
            </w:r>
            <w:r>
              <w:rPr>
                <w:rFonts w:hint="eastAsia" w:ascii="宋体" w:hAnsi="宋体" w:cs="宋体"/>
                <w:bCs/>
                <w:color w:val="auto"/>
                <w:spacing w:val="-4"/>
                <w:sz w:val="24"/>
                <w:szCs w:val="24"/>
                <w:highlight w:val="none"/>
              </w:rPr>
              <w:t>投标报价不得有缺漏项，且应包括国家规定的增值税等各项税金</w:t>
            </w:r>
            <w:r>
              <w:rPr>
                <w:rFonts w:hint="eastAsia" w:ascii="宋体" w:hAnsi="宋体" w:cs="宋体"/>
                <w:bCs/>
                <w:color w:val="auto"/>
                <w:sz w:val="24"/>
                <w:szCs w:val="24"/>
                <w:highlight w:val="none"/>
              </w:rPr>
              <w:t>。</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3.2.2</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投标人应按第六章“投标文件格式”填写投标函、开标一览表及分项报价表等。</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3.2.3</w:t>
            </w:r>
          </w:p>
        </w:tc>
        <w:tc>
          <w:tcPr>
            <w:tcW w:w="7245" w:type="dxa"/>
          </w:tcPr>
          <w:p>
            <w:pPr>
              <w:rPr>
                <w:rFonts w:hint="eastAsia" w:ascii="宋体" w:hAnsi="宋体" w:cs="宋体"/>
                <w:color w:val="auto"/>
                <w:highlight w:val="none"/>
              </w:rPr>
            </w:pPr>
            <w:r>
              <w:rPr>
                <w:rFonts w:hint="eastAsia" w:ascii="宋体" w:hAnsi="宋体" w:cs="宋体"/>
                <w:color w:val="auto"/>
                <w:sz w:val="24"/>
                <w:szCs w:val="24"/>
                <w:highlight w:val="none"/>
              </w:rPr>
              <w:t>投标人在投标截止时间前修改投标函中的投标报价总额，应同时修</w:t>
            </w:r>
            <w:bookmarkStart w:id="118" w:name="_Toc152045542"/>
            <w:bookmarkStart w:id="119" w:name="_Toc247513966"/>
            <w:bookmarkStart w:id="120" w:name="_Toc369531529"/>
            <w:bookmarkStart w:id="121" w:name="_Toc247527567"/>
            <w:bookmarkStart w:id="122" w:name="_Toc352691486"/>
            <w:bookmarkStart w:id="123" w:name="_Toc152042318"/>
            <w:bookmarkStart w:id="124" w:name="_Toc25772"/>
            <w:bookmarkStart w:id="125" w:name="_Toc300834963"/>
            <w:bookmarkStart w:id="126" w:name="_Toc384308223"/>
            <w:bookmarkStart w:id="127" w:name="_Toc144974510"/>
            <w:bookmarkStart w:id="128" w:name="_Toc361508598"/>
            <w:r>
              <w:rPr>
                <w:rFonts w:hint="eastAsia" w:ascii="宋体" w:hAnsi="宋体" w:cs="宋体"/>
                <w:color w:val="auto"/>
                <w:sz w:val="24"/>
                <w:szCs w:val="24"/>
                <w:highlight w:val="none"/>
              </w:rPr>
              <w:t>改投标文件“</w:t>
            </w:r>
            <w:bookmarkEnd w:id="118"/>
            <w:bookmarkEnd w:id="119"/>
            <w:bookmarkEnd w:id="120"/>
            <w:bookmarkEnd w:id="121"/>
            <w:bookmarkEnd w:id="122"/>
            <w:bookmarkEnd w:id="123"/>
            <w:bookmarkEnd w:id="124"/>
            <w:bookmarkEnd w:id="125"/>
            <w:bookmarkEnd w:id="126"/>
            <w:bookmarkEnd w:id="127"/>
            <w:bookmarkEnd w:id="128"/>
            <w:bookmarkStart w:id="129" w:name="_Toc144974511"/>
            <w:bookmarkStart w:id="130" w:name="_Toc247527568"/>
            <w:bookmarkStart w:id="131" w:name="_Toc361508599"/>
            <w:bookmarkStart w:id="132" w:name="_Toc384308224"/>
            <w:bookmarkStart w:id="133" w:name="_Toc369531530"/>
            <w:bookmarkStart w:id="134" w:name="_Toc352691487"/>
            <w:bookmarkStart w:id="135" w:name="_Toc247513967"/>
            <w:bookmarkStart w:id="136" w:name="_Toc300834964"/>
            <w:bookmarkStart w:id="137" w:name="_Toc15242"/>
            <w:bookmarkStart w:id="138" w:name="_Toc152045543"/>
            <w:bookmarkStart w:id="139" w:name="_Toc152042319"/>
            <w:r>
              <w:rPr>
                <w:rFonts w:hint="eastAsia" w:ascii="宋体" w:hAnsi="宋体" w:cs="宋体"/>
                <w:color w:val="auto"/>
                <w:sz w:val="24"/>
                <w:szCs w:val="24"/>
                <w:highlight w:val="none"/>
              </w:rPr>
              <w:t>分项报价表”中的相应报价。此修</w:t>
            </w:r>
            <w:bookmarkEnd w:id="129"/>
            <w:bookmarkEnd w:id="130"/>
            <w:bookmarkEnd w:id="131"/>
            <w:bookmarkEnd w:id="132"/>
            <w:bookmarkEnd w:id="133"/>
            <w:bookmarkEnd w:id="134"/>
            <w:bookmarkEnd w:id="135"/>
            <w:bookmarkEnd w:id="136"/>
            <w:bookmarkEnd w:id="137"/>
            <w:bookmarkEnd w:id="138"/>
            <w:bookmarkEnd w:id="139"/>
            <w:r>
              <w:rPr>
                <w:rFonts w:hint="eastAsia" w:ascii="宋体" w:hAnsi="宋体" w:cs="宋体"/>
                <w:color w:val="auto"/>
                <w:sz w:val="24"/>
                <w:szCs w:val="24"/>
                <w:highlight w:val="none"/>
              </w:rPr>
              <w:t>改须符合本章第4.1款的有关要求。</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3.2.4</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若投标人的开标一览表报价与投标函报价不一致，开标时以其开标一览表报价为准。</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3.2.5</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投标报价为各分项报价金额之和，投标报价与分项报价的合价不一致的，以分项报价的合价为准；如分项报价中存在缺漏项，则视为缺漏项价格已包含在其他分项报价之中，并在评审时作不利于该评标人的处理。</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3.2.6</w:t>
            </w: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招标人设有最高投标限价的，投标人的投标报价不得超过最高投标限价，最高投标限价在投标人须知前附表中载明。</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3.2.7</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各项投标价格均以人民币报价。</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3.2.8</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highlight w:val="none"/>
              </w:rPr>
              <w:t>汇率风险全部由投标人承担。</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3.2.9</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投标报价的其他要求见投标人须知前附表。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3.3</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投标有效期</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3.3.1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投标有效期见投标人须知前附表。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3.3.2</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在投标有效期内，投标人撤销投标文件的，应承担招标文件和法律规定的责任。</w:t>
            </w:r>
          </w:p>
        </w:tc>
      </w:tr>
      <w:tr>
        <w:tblPrEx>
          <w:tblCellMar>
            <w:top w:w="0" w:type="dxa"/>
            <w:left w:w="108" w:type="dxa"/>
            <w:bottom w:w="0" w:type="dxa"/>
            <w:right w:w="108" w:type="dxa"/>
          </w:tblCellMar>
        </w:tblPrEx>
        <w:tc>
          <w:tcPr>
            <w:tcW w:w="1215" w:type="dxa"/>
            <w:gridSpan w:val="2"/>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3.3.3</w:t>
            </w: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bCs/>
                <w:color w:val="auto"/>
                <w:sz w:val="24"/>
                <w:szCs w:val="24"/>
                <w:highlight w:val="none"/>
              </w:rPr>
              <w:t>3.4</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投标保证金</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3.4.1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投标人在递交投标文件的同时，应按投标人须知前附表规定的金额</w:t>
            </w:r>
            <w:bookmarkStart w:id="140" w:name="_Toc384308226"/>
            <w:bookmarkStart w:id="141" w:name="_Toc300834966"/>
            <w:bookmarkStart w:id="142" w:name="_Toc352691489"/>
            <w:bookmarkStart w:id="143" w:name="_Toc247527570"/>
            <w:bookmarkStart w:id="144" w:name="_Toc152045545"/>
            <w:bookmarkStart w:id="145" w:name="_Toc369531532"/>
            <w:bookmarkStart w:id="146" w:name="_Toc152042321"/>
            <w:bookmarkStart w:id="147" w:name="_Toc4592"/>
            <w:bookmarkStart w:id="148" w:name="_Toc361508601"/>
            <w:bookmarkStart w:id="149" w:name="_Toc247513969"/>
            <w:bookmarkStart w:id="150" w:name="_Toc144974513"/>
            <w:r>
              <w:rPr>
                <w:rFonts w:hint="eastAsia" w:ascii="宋体" w:hAnsi="宋体" w:cs="宋体"/>
                <w:color w:val="auto"/>
                <w:sz w:val="24"/>
                <w:szCs w:val="24"/>
                <w:highlight w:val="none"/>
              </w:rPr>
              <w:t>、形式</w:t>
            </w:r>
            <w:bookmarkEnd w:id="140"/>
            <w:bookmarkEnd w:id="141"/>
            <w:bookmarkEnd w:id="142"/>
            <w:bookmarkEnd w:id="143"/>
            <w:bookmarkEnd w:id="144"/>
            <w:bookmarkEnd w:id="145"/>
            <w:bookmarkEnd w:id="146"/>
            <w:bookmarkEnd w:id="147"/>
            <w:bookmarkEnd w:id="148"/>
            <w:bookmarkEnd w:id="149"/>
            <w:bookmarkEnd w:id="150"/>
            <w:r>
              <w:rPr>
                <w:rFonts w:hint="eastAsia" w:ascii="宋体" w:hAnsi="宋体" w:cs="宋体"/>
                <w:color w:val="auto"/>
                <w:sz w:val="24"/>
                <w:szCs w:val="24"/>
                <w:highlight w:val="none"/>
              </w:rPr>
              <w:t>递交投标保证金，并作为其投标文件的组成部分。</w:t>
            </w:r>
            <w:r>
              <w:rPr>
                <w:rFonts w:hint="eastAsia" w:ascii="宋体" w:hAnsi="宋体" w:cs="宋体"/>
                <w:color w:val="auto"/>
                <w:sz w:val="24"/>
                <w:highlight w:val="none"/>
              </w:rPr>
              <w:t>投标保证金的有效期与投标有效期一致。</w:t>
            </w:r>
            <w:r>
              <w:rPr>
                <w:rFonts w:hint="eastAsia" w:ascii="宋体" w:hAnsi="宋体" w:cs="宋体"/>
                <w:color w:val="auto"/>
                <w:sz w:val="24"/>
                <w:szCs w:val="24"/>
                <w:highlight w:val="none"/>
              </w:rPr>
              <w:t>联合体投标的，其投标保证金应当由联合体一方或多方共同递交，且所提交的投标保证金应对联合体的所有成员均具有约束力，并应符合投标人须知前附表的规定。</w:t>
            </w:r>
          </w:p>
        </w:tc>
      </w:tr>
      <w:tr>
        <w:tblPrEx>
          <w:tblCellMar>
            <w:top w:w="0" w:type="dxa"/>
            <w:left w:w="108" w:type="dxa"/>
            <w:bottom w:w="0" w:type="dxa"/>
            <w:right w:w="108" w:type="dxa"/>
          </w:tblCellMar>
        </w:tblPrEx>
        <w:tc>
          <w:tcPr>
            <w:tcW w:w="1215" w:type="dxa"/>
            <w:gridSpan w:val="2"/>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3.4.2</w:t>
            </w:r>
          </w:p>
        </w:tc>
        <w:tc>
          <w:tcPr>
            <w:tcW w:w="7245" w:type="dxa"/>
          </w:tcPr>
          <w:p>
            <w:pPr>
              <w:jc w:val="left"/>
              <w:rPr>
                <w:rFonts w:hint="eastAsia" w:ascii="宋体" w:hAnsi="宋体" w:cs="宋体"/>
                <w:b/>
                <w:color w:val="auto"/>
                <w:sz w:val="24"/>
                <w:szCs w:val="24"/>
                <w:highlight w:val="none"/>
              </w:rPr>
            </w:pPr>
            <w:r>
              <w:rPr>
                <w:rFonts w:hint="eastAsia" w:ascii="宋体" w:hAnsi="宋体" w:cs="宋体"/>
                <w:color w:val="auto"/>
                <w:sz w:val="24"/>
                <w:highlight w:val="none"/>
              </w:rPr>
              <w:t>投标保证金是用于保护本次招标免受投标人的不当行为而引起的风险。</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3.4.3</w:t>
            </w:r>
          </w:p>
        </w:tc>
        <w:tc>
          <w:tcPr>
            <w:tcW w:w="7245" w:type="dxa"/>
          </w:tcPr>
          <w:p>
            <w:pPr>
              <w:rPr>
                <w:rFonts w:hint="eastAsia" w:ascii="宋体" w:hAnsi="宋体" w:cs="宋体"/>
                <w:color w:val="auto"/>
                <w:highlight w:val="none"/>
              </w:rPr>
            </w:pPr>
            <w:r>
              <w:rPr>
                <w:rFonts w:hint="eastAsia" w:ascii="宋体" w:hAnsi="宋体" w:cs="宋体"/>
                <w:color w:val="auto"/>
                <w:sz w:val="24"/>
                <w:szCs w:val="24"/>
                <w:highlight w:val="none"/>
              </w:rPr>
              <w:t>保证金的退还：</w:t>
            </w:r>
          </w:p>
        </w:tc>
      </w:tr>
      <w:tr>
        <w:tblPrEx>
          <w:tblCellMar>
            <w:top w:w="0" w:type="dxa"/>
            <w:left w:w="108" w:type="dxa"/>
            <w:bottom w:w="0" w:type="dxa"/>
            <w:right w:w="108" w:type="dxa"/>
          </w:tblCellMar>
        </w:tblPrEx>
        <w:tc>
          <w:tcPr>
            <w:tcW w:w="1215" w:type="dxa"/>
            <w:gridSpan w:val="2"/>
          </w:tcPr>
          <w:p>
            <w:pPr>
              <w:rPr>
                <w:rFonts w:hint="eastAsia" w:ascii="宋体" w:hAnsi="宋体" w:cs="宋体"/>
                <w:b/>
                <w:color w:val="auto"/>
                <w:sz w:val="24"/>
                <w:szCs w:val="24"/>
                <w:highlight w:val="none"/>
              </w:rPr>
            </w:pPr>
          </w:p>
        </w:tc>
        <w:tc>
          <w:tcPr>
            <w:tcW w:w="7245" w:type="dxa"/>
          </w:tcPr>
          <w:p>
            <w:pPr>
              <w:rPr>
                <w:rFonts w:hint="eastAsia" w:ascii="宋体" w:hAnsi="宋体" w:cs="宋体"/>
                <w:color w:val="auto"/>
                <w:highlight w:val="none"/>
              </w:rPr>
            </w:pPr>
            <w:r>
              <w:rPr>
                <w:rFonts w:hint="eastAsia" w:ascii="宋体" w:hAnsi="宋体" w:cs="宋体"/>
                <w:color w:val="auto"/>
                <w:sz w:val="24"/>
                <w:szCs w:val="24"/>
                <w:highlight w:val="none"/>
              </w:rPr>
              <w:t>（1）投标人在投标截止时间前撤回已提交的投标文件的，将在收到投标人书面撤回通知之日起5个工作日内，退还已收取的投标保证金，但因投标人自身原因导致无法及时退还的除外。</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（2）未中标人的投标保证金，将在中标通知书发出后5个工作日内退还。</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（3）中标人的投标保证金，在中标人按招标文件规定签订合同后5个工作日内退还。</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highlight w:val="none"/>
              </w:rPr>
            </w:pPr>
            <w:r>
              <w:rPr>
                <w:rFonts w:hint="eastAsia" w:ascii="宋体" w:hAnsi="宋体" w:cs="宋体"/>
                <w:color w:val="auto"/>
                <w:sz w:val="24"/>
                <w:szCs w:val="24"/>
                <w:highlight w:val="none"/>
              </w:rPr>
              <w:t>3.4.4</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有下列情形之一的，投标保证金将不予退还： </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（1）投标人在投标有效期内撤销投标文件；</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（2）中标人在收到中标通知书后，无正当理由不与招标人订立合同，在签订合同时向招标人提出附加条件，或者不按照招标文件要求提交履约保证金；</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 xml:space="preserve">（3）中标人将中标项目转让给他人或者在投标文件中未说明且未经招标人同意，将中标项目分包给他人的； </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（4）投标人有串通投标、弄虚作假、行贿或其他严重违背公平竞争和诚实信用原则、扰乱招标投标正常秩序行为的；</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（5）发生投标人须知前附表规定的其他可以不予退还投标保证金的情形。</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3.5</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资格和履约能力证明资料</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3.5.1</w:t>
            </w: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投标人须按照《政府采购法实施条例》以及招标文件的要求，按第六章“投标文件格式”填写关于资格和履约能力的相关信息，并提供相关证明材料。包括但不限于：</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3.5.1.1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法人或者其他组织的营业执照等证明文件，自然人的身份证明；</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3.5.1.2</w:t>
            </w: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财务状况报告，依法缴纳税收和社会保障资金的相关材料；如：</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a)投标人是法人的，应提供本须知前附表规定年份的经审计的财务报告，或其开户银行出具的资信证明。部分其他组织和自然人，没有经审计的财务报告，可以提供银行出具的资信证明。</w:t>
            </w:r>
          </w:p>
          <w:p>
            <w:pPr>
              <w:rPr>
                <w:rFonts w:hint="eastAsia" w:ascii="宋体" w:hAnsi="宋体" w:cs="宋体"/>
                <w:color w:val="auto"/>
                <w:sz w:val="24"/>
                <w:szCs w:val="24"/>
                <w:highlight w:val="none"/>
              </w:rPr>
            </w:pPr>
            <w:r>
              <w:rPr>
                <w:rFonts w:hint="eastAsia" w:ascii="宋体" w:hAnsi="宋体" w:cs="宋体"/>
                <w:b/>
                <w:color w:val="auto"/>
                <w:sz w:val="24"/>
                <w:szCs w:val="24"/>
                <w:highlight w:val="none"/>
              </w:rPr>
              <w:t>投标人如提供了财政部门认可的政府采购专业担保机构出具的投标担保函，则不需再提供上述财务状况报告。</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b/>
                <w:color w:val="auto"/>
                <w:sz w:val="24"/>
                <w:szCs w:val="24"/>
                <w:highlight w:val="none"/>
              </w:rPr>
            </w:pPr>
            <w:r>
              <w:rPr>
                <w:rFonts w:hint="eastAsia" w:ascii="宋体" w:hAnsi="宋体" w:cs="宋体"/>
                <w:color w:val="auto"/>
                <w:sz w:val="24"/>
                <w:szCs w:val="24"/>
                <w:highlight w:val="none"/>
              </w:rPr>
              <w:t>b)投标人应提供税务登记证和本须知前附表规定时间内的纳税证明。</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c) 投标人应提供社会保险登记证和本须知前附表规定时间内的缴纳社会保险的证明。</w:t>
            </w:r>
          </w:p>
          <w:p>
            <w:pPr>
              <w:rPr>
                <w:rFonts w:hint="eastAsia" w:ascii="宋体" w:hAnsi="宋体" w:cs="宋体"/>
                <w:color w:val="auto"/>
                <w:sz w:val="24"/>
                <w:szCs w:val="24"/>
                <w:highlight w:val="none"/>
              </w:rPr>
            </w:pPr>
            <w:r>
              <w:rPr>
                <w:rFonts w:hint="eastAsia" w:ascii="宋体" w:hAnsi="宋体" w:cs="宋体"/>
                <w:b/>
                <w:color w:val="auto"/>
                <w:sz w:val="24"/>
                <w:szCs w:val="24"/>
                <w:highlight w:val="none"/>
              </w:rPr>
              <w:t>依法免税或不需要缴纳社会保障资金的投标人，应提供相应证明文件证明其依法免税或不需要缴纳社会保障资金。</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highlight w:val="none"/>
              </w:rPr>
            </w:pPr>
            <w:r>
              <w:rPr>
                <w:rFonts w:hint="eastAsia" w:ascii="宋体" w:hAnsi="宋体" w:cs="宋体"/>
                <w:color w:val="auto"/>
                <w:sz w:val="24"/>
                <w:szCs w:val="24"/>
                <w:highlight w:val="none"/>
              </w:rPr>
              <w:t>3.5.1.3</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具备履行合同所必需的设备和专业技术能力的证明材料；</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3.5.1.4</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参加本次政府采购活动前3年内在经营活动中没有重大违法记录的书面声明，</w:t>
            </w:r>
            <w:r>
              <w:rPr>
                <w:rFonts w:hint="eastAsia" w:ascii="宋体" w:hAnsi="宋体" w:cs="宋体"/>
                <w:b/>
                <w:color w:val="auto"/>
                <w:sz w:val="24"/>
                <w:szCs w:val="24"/>
                <w:highlight w:val="none"/>
              </w:rPr>
              <w:t>重大违法记录指投标人因违法经营受到刑事处罚或者责令停产停业、吊销许可证或者执照、较大数额罚款等行政处罚</w:t>
            </w:r>
            <w:r>
              <w:rPr>
                <w:rFonts w:hint="eastAsia" w:ascii="宋体" w:hAnsi="宋体" w:cs="宋体"/>
                <w:color w:val="auto"/>
                <w:sz w:val="24"/>
                <w:szCs w:val="24"/>
                <w:highlight w:val="none"/>
              </w:rPr>
              <w:t>；</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3.5.1.5</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投标人须知前附表规定的其他证明材料。</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3.5.2</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如投标人为小微企业，</w:t>
            </w:r>
            <w:r>
              <w:rPr>
                <w:rFonts w:hint="eastAsia" w:ascii="宋体" w:hAnsi="宋体" w:cs="宋体"/>
                <w:bCs/>
                <w:color w:val="auto"/>
                <w:sz w:val="24"/>
                <w:szCs w:val="24"/>
                <w:highlight w:val="none"/>
              </w:rPr>
              <w:t>应</w:t>
            </w:r>
            <w:r>
              <w:rPr>
                <w:rFonts w:hint="eastAsia" w:ascii="宋体" w:hAnsi="宋体" w:cs="宋体"/>
                <w:color w:val="auto"/>
                <w:sz w:val="24"/>
                <w:szCs w:val="24"/>
                <w:highlight w:val="none"/>
              </w:rPr>
              <w:t>提供符合《政府采购促进中小企业发展管理办法》（财库﹝2020﹞46号）文格式要求的《中小企业声明函》。</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如投标人为残疾人福利性单位，</w:t>
            </w:r>
            <w:r>
              <w:rPr>
                <w:rFonts w:hint="eastAsia" w:ascii="宋体" w:hAnsi="宋体" w:cs="宋体"/>
                <w:bCs/>
                <w:color w:val="auto"/>
                <w:sz w:val="24"/>
                <w:szCs w:val="24"/>
                <w:highlight w:val="none"/>
              </w:rPr>
              <w:t>应</w:t>
            </w:r>
            <w:r>
              <w:rPr>
                <w:rFonts w:hint="eastAsia" w:ascii="宋体" w:hAnsi="宋体" w:cs="宋体"/>
                <w:color w:val="auto"/>
                <w:sz w:val="24"/>
                <w:szCs w:val="24"/>
                <w:highlight w:val="none"/>
              </w:rPr>
              <w:t>提供符合财库〔2017〕141号文格式要求的《残疾人福利性单位声明函》，</w:t>
            </w:r>
            <w:r>
              <w:rPr>
                <w:rFonts w:hint="eastAsia" w:ascii="宋体" w:hAnsi="宋体" w:cs="宋体"/>
                <w:color w:val="auto"/>
                <w:kern w:val="0"/>
                <w:sz w:val="24"/>
                <w:szCs w:val="24"/>
                <w:highlight w:val="none"/>
              </w:rPr>
              <w:t>并对声明的真实性负责。</w:t>
            </w:r>
            <w:r>
              <w:rPr>
                <w:rFonts w:hint="eastAsia" w:ascii="宋体" w:hAnsi="宋体" w:cs="宋体"/>
                <w:color w:val="auto"/>
                <w:sz w:val="24"/>
                <w:szCs w:val="24"/>
                <w:highlight w:val="none"/>
              </w:rPr>
              <w:t>一旦中标将在中标结果公告中公告其声明函，接受社会监督。</w:t>
            </w:r>
          </w:p>
          <w:p>
            <w:pPr>
              <w:rPr>
                <w:rFonts w:hint="eastAsia" w:ascii="宋体" w:hAnsi="宋体" w:cs="宋体"/>
                <w:color w:val="auto"/>
                <w:sz w:val="24"/>
                <w:szCs w:val="24"/>
                <w:highlight w:val="none"/>
              </w:rPr>
            </w:pPr>
            <w:r>
              <w:rPr>
                <w:rFonts w:hint="eastAsia" w:ascii="宋体" w:hAnsi="宋体" w:cs="宋体"/>
                <w:bCs/>
                <w:color w:val="auto"/>
                <w:sz w:val="24"/>
                <w:szCs w:val="24"/>
                <w:highlight w:val="none"/>
              </w:rPr>
              <w:t>如投标人为监狱或戒毒企业，应提供由省级以上监狱管理局、戒毒管理局（含新疆生产建设兵团）出具的属于监狱或戒毒企业的证明文件。</w:t>
            </w:r>
          </w:p>
        </w:tc>
      </w:tr>
      <w:tr>
        <w:tblPrEx>
          <w:tblCellMar>
            <w:top w:w="0" w:type="dxa"/>
            <w:left w:w="108" w:type="dxa"/>
            <w:bottom w:w="0" w:type="dxa"/>
            <w:right w:w="108" w:type="dxa"/>
          </w:tblCellMar>
        </w:tblPrEx>
        <w:tc>
          <w:tcPr>
            <w:tcW w:w="1215" w:type="dxa"/>
            <w:gridSpan w:val="2"/>
          </w:tcPr>
          <w:p>
            <w:pPr>
              <w:rPr>
                <w:rFonts w:hint="eastAsia" w:ascii="宋体" w:hAnsi="宋体" w:cs="宋体"/>
                <w:bCs/>
                <w:color w:val="auto"/>
                <w:sz w:val="24"/>
                <w:szCs w:val="24"/>
                <w:highlight w:val="none"/>
              </w:rPr>
            </w:pPr>
            <w:bookmarkStart w:id="151" w:name="_Toc457747936"/>
            <w:bookmarkStart w:id="152" w:name="_Toc392227755"/>
            <w:r>
              <w:rPr>
                <w:rFonts w:hint="eastAsia" w:ascii="宋体" w:hAnsi="宋体" w:cs="宋体"/>
                <w:bCs/>
                <w:color w:val="auto"/>
                <w:sz w:val="24"/>
                <w:szCs w:val="24"/>
                <w:highlight w:val="none"/>
              </w:rPr>
              <w:t>3.5.3</w:t>
            </w:r>
          </w:p>
        </w:tc>
        <w:tc>
          <w:tcPr>
            <w:tcW w:w="7245" w:type="dxa"/>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投标人未如实提交上述证明材料或提供的资料不符合招标文件要求的，将承担在资格审查或符合性检查中被判定为不合格的风险，或在详细评审中不能享受相关政府采购政策的优惠。</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3.6</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备选投标方案</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3.6.1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除投标人须知前附表规定允许外，投标人不得递交备选投标方案，否则其投标无效。</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3.6.2</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但备选投标方案的报价不得高于投标报价。</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3.6.3</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投标人提供两个或两个以上投标报价，或者在投标文件中提供一个报价，但同时提供两个或两个以上供</w:t>
            </w:r>
            <w:bookmarkStart w:id="153" w:name="_Toc369531538"/>
            <w:bookmarkStart w:id="154" w:name="_Toc144974518"/>
            <w:bookmarkStart w:id="155" w:name="_Toc384308232"/>
            <w:bookmarkStart w:id="156" w:name="_Toc247527575"/>
            <w:bookmarkStart w:id="157" w:name="_Toc152042326"/>
            <w:bookmarkStart w:id="158" w:name="_Toc361508607"/>
            <w:bookmarkStart w:id="159" w:name="_Toc300834971"/>
            <w:bookmarkStart w:id="160" w:name="_Toc352691495"/>
            <w:bookmarkStart w:id="161" w:name="_Toc29902"/>
            <w:bookmarkStart w:id="162" w:name="_Toc152045550"/>
            <w:bookmarkStart w:id="163" w:name="_Toc247513974"/>
            <w:r>
              <w:rPr>
                <w:rFonts w:hint="eastAsia" w:ascii="宋体" w:hAnsi="宋体" w:cs="宋体"/>
                <w:color w:val="auto"/>
                <w:sz w:val="24"/>
                <w:szCs w:val="24"/>
                <w:highlight w:val="none"/>
              </w:rPr>
              <w:t>货方案的</w:t>
            </w:r>
            <w:bookmarkEnd w:id="153"/>
            <w:bookmarkEnd w:id="154"/>
            <w:bookmarkEnd w:id="155"/>
            <w:bookmarkEnd w:id="156"/>
            <w:bookmarkEnd w:id="157"/>
            <w:bookmarkEnd w:id="158"/>
            <w:bookmarkEnd w:id="159"/>
            <w:bookmarkEnd w:id="160"/>
            <w:bookmarkEnd w:id="161"/>
            <w:bookmarkEnd w:id="162"/>
            <w:bookmarkEnd w:id="163"/>
            <w:r>
              <w:rPr>
                <w:rFonts w:hint="eastAsia" w:ascii="宋体" w:hAnsi="宋体" w:cs="宋体"/>
                <w:color w:val="auto"/>
                <w:sz w:val="24"/>
                <w:szCs w:val="24"/>
                <w:highlight w:val="none"/>
              </w:rPr>
              <w:t>，视为提供备选方案。</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3.7</w:t>
            </w:r>
          </w:p>
        </w:tc>
        <w:tc>
          <w:tcPr>
            <w:tcW w:w="7245" w:type="dxa"/>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投标文件的编制</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3.7.1</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投标文件应按第六章“投标文件格式”进行编写，如有必要，可以增加附页，作为投标文件的组成部分。</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3.7.2</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应用不褪色的材料书写或打印，投标函应由投标人的法定代表人（单位负责人）或其委托代理人签字（或盖章）或盖单位公章。由投标人的法定代表人（单位负责人）签字（或盖章）的，应附法定代表人（单位负责人）身份证明，由其委托代理人签字（或盖章）的，应附授权委托书，身份证明或授权委托书应符合第六章“投标文件格式”的要求。投标文件应尽量避免涂改、行间插字或删除。如果出现上述情况，改动之处应由投标人的法定代表人（单位负责人）或其委托代理人签字（或盖章）或盖单位公章。</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3.7.3</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投标文件的制作要求参照投标人须知前附表。</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3.7.4</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投标文件正本一份，副本份数见投标人须知前附表。正本和副本的封面</w:t>
            </w:r>
            <w:r>
              <w:rPr>
                <w:rStyle w:val="38"/>
                <w:rFonts w:hint="eastAsia" w:ascii="宋体" w:hAnsi="宋体" w:cs="宋体"/>
                <w:color w:val="auto"/>
                <w:kern w:val="0"/>
                <w:sz w:val="24"/>
                <w:szCs w:val="24"/>
                <w:highlight w:val="none"/>
              </w:rPr>
              <w:t>右上角</w:t>
            </w:r>
            <w:r>
              <w:rPr>
                <w:rFonts w:hint="eastAsia" w:ascii="宋体" w:hAnsi="宋体" w:cs="宋体"/>
                <w:color w:val="auto"/>
                <w:sz w:val="24"/>
                <w:szCs w:val="24"/>
                <w:highlight w:val="none"/>
              </w:rPr>
              <w:t>上应清楚地标记“正本”或“副本”的字样。投标人应根据投标人须知前附表要求提供电子版文件。</w:t>
            </w:r>
            <w:r>
              <w:rPr>
                <w:rFonts w:hint="eastAsia" w:ascii="宋体" w:hAnsi="宋体" w:cs="宋体"/>
                <w:b/>
                <w:color w:val="auto"/>
                <w:sz w:val="24"/>
                <w:szCs w:val="24"/>
                <w:highlight w:val="none"/>
              </w:rPr>
              <w:t>当副本和正本不一致或电子版文件与纸质正本文件不一致时，以纸质正本文件为准</w:t>
            </w:r>
            <w:r>
              <w:rPr>
                <w:rFonts w:hint="eastAsia" w:ascii="宋体" w:hAnsi="宋体" w:cs="宋体"/>
                <w:color w:val="auto"/>
                <w:sz w:val="24"/>
                <w:szCs w:val="24"/>
                <w:highlight w:val="none"/>
              </w:rPr>
              <w:t>。</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3.7.5</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投标文件的正本与副本应分别装订，并编制目录，投标文件需分册装订的，具体分册装订要求见投标人须知前附表规定。</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3.7.6</w:t>
            </w: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投标文件的签署：</w:t>
            </w:r>
          </w:p>
        </w:tc>
      </w:tr>
      <w:tr>
        <w:tblPrEx>
          <w:tblCellMar>
            <w:top w:w="0" w:type="dxa"/>
            <w:left w:w="108" w:type="dxa"/>
            <w:bottom w:w="0" w:type="dxa"/>
            <w:right w:w="108" w:type="dxa"/>
          </w:tblCellMar>
        </w:tblPrEx>
        <w:tc>
          <w:tcPr>
            <w:tcW w:w="1215" w:type="dxa"/>
            <w:gridSpan w:val="2"/>
          </w:tcPr>
          <w:p>
            <w:pPr>
              <w:rPr>
                <w:rFonts w:hint="eastAsia" w:ascii="宋体" w:hAnsi="宋体" w:cs="宋体"/>
                <w:color w:val="auto"/>
                <w:sz w:val="24"/>
                <w:szCs w:val="24"/>
                <w:highlight w:val="none"/>
              </w:rPr>
            </w:pPr>
          </w:p>
        </w:tc>
        <w:tc>
          <w:tcPr>
            <w:tcW w:w="7245"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需盖章和签字处应由投标人的法定代表人（单位负责人）或其委托代理人签字或盖章并加盖单位公章。</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64" w:name="_Toc30103"/>
            <w:r>
              <w:rPr>
                <w:rFonts w:hint="eastAsia" w:ascii="宋体" w:hAnsi="宋体" w:cs="宋体"/>
                <w:b/>
                <w:bCs/>
                <w:color w:val="auto"/>
                <w:sz w:val="24"/>
                <w:szCs w:val="24"/>
                <w:highlight w:val="none"/>
              </w:rPr>
              <w:t>4. 投标</w:t>
            </w:r>
            <w:bookmarkEnd w:id="164"/>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4.1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投标文件的密封和标记</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4.1.1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投标文件应密封包装，包装要求见投标人须知前附表。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4.1.2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投标文件封套上应写明的内容见投标人须知前附表。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4.2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投标文件的递交</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4.2.1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投标人应在投标人须知前附表规定的投标截止时间前递交投标文件。</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4.2.2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投标人递交投标文件的地点：见投标人须知前附表。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4.2.3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除投标人须知前附表另有规定外，投标人所递交的投标文件不予退还。</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4.2.4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招标人接收投标文件后，向投标人出具签收凭证。</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4.3</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投标文件的拒收</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有下列情形之一的，投标文件应当被拒收。</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4.3.1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投标文件逾期送达或者未送达指定地点的；</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4.3.2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投标文件未按照招标文件要求密封的。</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4.4</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投标文件的修改与撤回</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4.4.1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在本章第4.2.1项规定的投标截止时间前，投标人可以修改或撤回已递交的投标文件，但应以书面形式通知招标人。</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4.4.2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投标人修改或撤回已递交投标文件的书面通知应按照本章第3.7.2项的要求签字或盖章。招标人收到书面通知后，向投标人出具签收凭证。</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4.4.3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投标人撤回投标文件的，招标人自收到投标人书面撤回通知之日起5日内退还已收取的投标保证金。</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4.4.4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修改的内容为投标文件的组成部分。修改的投标文件应按照本章第3条、第4条的规定进行编制、密封、标记和递交，并标明“修改”字样。</w:t>
            </w:r>
          </w:p>
        </w:tc>
      </w:tr>
      <w:tr>
        <w:tblPrEx>
          <w:tblCellMar>
            <w:top w:w="0" w:type="dxa"/>
            <w:left w:w="108" w:type="dxa"/>
            <w:bottom w:w="0" w:type="dxa"/>
            <w:right w:w="108" w:type="dxa"/>
          </w:tblCellMar>
        </w:tblPrEx>
        <w:tc>
          <w:tcPr>
            <w:tcW w:w="1058" w:type="dxa"/>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4.5</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投标人必须保证投标资料的真实性，招标人、招标代理机构或评标委员会保留进一步核查投标资料原件的权力，对于弄虚作假的行为，投标人将自行承担由此而引起的各种法律后果和责任。</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65" w:name="_Toc810"/>
            <w:r>
              <w:rPr>
                <w:rFonts w:hint="eastAsia" w:ascii="宋体" w:hAnsi="宋体" w:cs="宋体"/>
                <w:b/>
                <w:bCs/>
                <w:color w:val="auto"/>
                <w:sz w:val="24"/>
                <w:szCs w:val="24"/>
                <w:highlight w:val="none"/>
              </w:rPr>
              <w:t>5. 开标</w:t>
            </w:r>
            <w:bookmarkEnd w:id="165"/>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5.1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开标时间和地点</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招标人在本章第4.2.1项规定的投标截止时间（开标时间）和投标人须知前附表规定的地点公开开标，并邀请所有投标人的法定代表人（单位负责人）或其委托代理人准时参加。</w:t>
            </w:r>
            <w:r>
              <w:rPr>
                <w:rFonts w:hint="eastAsia" w:ascii="宋体" w:hAnsi="宋体" w:cs="宋体"/>
                <w:b/>
                <w:snapToGrid w:val="0"/>
                <w:color w:val="auto"/>
                <w:kern w:val="0"/>
                <w:sz w:val="24"/>
                <w:szCs w:val="24"/>
                <w:highlight w:val="none"/>
              </w:rPr>
              <w:t>投标人代表应当参加开标，如投标人代表未出席开标大会及未在开标记录上签字的各方代表均视作对开标过程无异议。</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5.2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开标程序</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5.2.1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主持人按下列程序进行开标：</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宣布开标纪律；</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宣布开标人、唱标人、记录人等有关人员姓名；</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公布在投标截止时间前递交投标文件的投标人名称；</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宣布对投标文件的密封情况查验结果；</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按照投标人须知前附表的规定确定并宣布投标文件开标顺序；</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按照宣布的开标顺序当众开标，公布投标人名称、投标报价及其他内容，并记录在案；</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投标人代表、记录人等有关人员在开标记录上签字确认；</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未出席开标大会以及未在开标记录上签字的各方代表均视为对开标过程无异议。</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numPr>
                <w:ilvl w:val="0"/>
                <w:numId w:val="9"/>
              </w:numPr>
              <w:rPr>
                <w:rFonts w:hint="eastAsia" w:ascii="宋体" w:hAnsi="宋体" w:cs="宋体"/>
                <w:color w:val="auto"/>
                <w:sz w:val="24"/>
                <w:szCs w:val="24"/>
                <w:highlight w:val="none"/>
              </w:rPr>
            </w:pPr>
            <w:r>
              <w:rPr>
                <w:rFonts w:hint="eastAsia" w:ascii="宋体" w:hAnsi="宋体" w:cs="宋体"/>
                <w:color w:val="auto"/>
                <w:sz w:val="24"/>
                <w:szCs w:val="24"/>
                <w:highlight w:val="none"/>
              </w:rPr>
              <w:t>开标结束。</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66" w:name="_Toc26632"/>
            <w:r>
              <w:rPr>
                <w:rFonts w:hint="eastAsia" w:ascii="宋体" w:hAnsi="宋体" w:cs="宋体"/>
                <w:b/>
                <w:bCs/>
                <w:color w:val="auto"/>
                <w:sz w:val="24"/>
                <w:szCs w:val="24"/>
                <w:highlight w:val="none"/>
              </w:rPr>
              <w:t>6. 资格审查</w:t>
            </w:r>
            <w:bookmarkEnd w:id="166"/>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Cs/>
                <w:color w:val="auto"/>
                <w:sz w:val="24"/>
                <w:szCs w:val="24"/>
                <w:highlight w:val="none"/>
              </w:rPr>
              <w:t>6.1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开标结束后，招标人和招标代理机构将对投标人的资格进行审查，检查投标人资格是否符合本项目投标邀请中列明的对投标人的资格要求。</w:t>
            </w:r>
            <w:r>
              <w:rPr>
                <w:rFonts w:hint="eastAsia" w:ascii="宋体" w:hAnsi="宋体" w:eastAsia="宋体" w:cs="宋体"/>
                <w:b/>
                <w:color w:val="auto"/>
                <w:sz w:val="24"/>
                <w:szCs w:val="24"/>
                <w:highlight w:val="none"/>
              </w:rPr>
              <w:t>合格投标人不足3家的，不再进行评标，本项目流标。</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6.2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招标人和招标代理机构在对投标人的资格进行审查的同时，在“信用中国”网站（www.creditchina.gov.cn）查询投标人的信用信息，</w:t>
            </w:r>
            <w:r>
              <w:rPr>
                <w:rFonts w:hint="eastAsia" w:ascii="宋体" w:hAnsi="宋体" w:eastAsia="宋体" w:cs="宋体"/>
                <w:b/>
                <w:color w:val="auto"/>
                <w:sz w:val="24"/>
                <w:szCs w:val="24"/>
                <w:highlight w:val="none"/>
              </w:rPr>
              <w:t>信用信息查询记录和证据留存的方式采用网页截屏打印</w:t>
            </w:r>
            <w:r>
              <w:rPr>
                <w:rFonts w:hint="eastAsia" w:ascii="宋体" w:hAnsi="宋体" w:eastAsia="宋体" w:cs="宋体"/>
                <w:color w:val="auto"/>
                <w:sz w:val="24"/>
                <w:szCs w:val="24"/>
                <w:highlight w:val="none"/>
              </w:rPr>
              <w:t>，与采购文件等一并归档。</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6.3</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提供相同品牌产品（包括同一制造商生产的相同品牌产品和不同制造商生产的相同品牌产品）的不同投标人参加同一合同项下投标的，按一家投标人计算。认定后投标品牌不足3个的，不再进行评标，本项目流标。</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6.4</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投标人须知前附表规定了核心产品的，不同投标人提供的核心产品品牌相同的，按前款规定处理。</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67" w:name="_Toc16792"/>
            <w:r>
              <w:rPr>
                <w:rFonts w:hint="eastAsia" w:ascii="宋体" w:hAnsi="宋体" w:cs="宋体"/>
                <w:b/>
                <w:bCs/>
                <w:color w:val="auto"/>
                <w:sz w:val="24"/>
                <w:szCs w:val="24"/>
                <w:highlight w:val="none"/>
              </w:rPr>
              <w:t>7. 评标</w:t>
            </w:r>
            <w:bookmarkEnd w:id="167"/>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7.1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评标委员会</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评标由招标人依法组建的评标委员会负责。</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7.2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评标原则</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评标活动遵循公平、公正、科学和择优的原则。</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7.3</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评标</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7.3.1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评标委员会按照第三章“评标办法”规定的方法、评审因素、标准和程序对投标文件进行评审。第三章“评标办法”没有规定的方法、评审因素和标准，不作为评标依据。</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7.3.2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除投标人须知前附表规定评标委员会直接确定中标人外，评标委员会应当向招标人提交推荐中标候选人名单，推荐中标候选人的人数见投标人须知前附表。</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7.3.3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评标完成后，评标委员会应当向招标人提交书面评标报告。</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68" w:name="_Toc18845"/>
            <w:r>
              <w:rPr>
                <w:rFonts w:hint="eastAsia" w:ascii="宋体" w:hAnsi="宋体" w:cs="宋体"/>
                <w:b/>
                <w:bCs/>
                <w:color w:val="auto"/>
                <w:sz w:val="24"/>
                <w:szCs w:val="24"/>
                <w:highlight w:val="none"/>
              </w:rPr>
              <w:t>8. 合同授予</w:t>
            </w:r>
            <w:bookmarkEnd w:id="168"/>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8.1</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定标</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由招标人或招标人委托评标委员会依法确定中标人。</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8.2</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中标结果公告及中标通知</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在本章第3.3款规定的投标有效期内，招标人确认中标人后，招标代理机构通过发布招标公告的同一媒介对中标结果进行公告，公告期限为1个工作日。中标结果公告的同时，招标人或招标代理机构将向中标人发出中标通知书</w:t>
            </w:r>
            <w:bookmarkStart w:id="169" w:name="_Toc384308244"/>
            <w:bookmarkStart w:id="170" w:name="_Toc5668"/>
            <w:bookmarkStart w:id="171" w:name="_Toc369531550"/>
            <w:bookmarkStart w:id="172" w:name="_Toc300834983"/>
            <w:bookmarkStart w:id="173" w:name="_Toc352691506"/>
            <w:bookmarkStart w:id="174" w:name="_Toc361508619"/>
            <w:r>
              <w:rPr>
                <w:rFonts w:hint="eastAsia" w:ascii="宋体" w:hAnsi="宋体" w:cs="宋体"/>
                <w:color w:val="auto"/>
                <w:sz w:val="24"/>
                <w:szCs w:val="24"/>
                <w:highlight w:val="none"/>
              </w:rPr>
              <w:t>，同时将中</w:t>
            </w:r>
            <w:bookmarkEnd w:id="169"/>
            <w:bookmarkEnd w:id="170"/>
            <w:bookmarkEnd w:id="171"/>
            <w:bookmarkEnd w:id="172"/>
            <w:bookmarkEnd w:id="173"/>
            <w:bookmarkEnd w:id="174"/>
            <w:r>
              <w:rPr>
                <w:rFonts w:hint="eastAsia" w:ascii="宋体" w:hAnsi="宋体" w:cs="宋体"/>
                <w:color w:val="auto"/>
                <w:sz w:val="24"/>
                <w:szCs w:val="24"/>
                <w:highlight w:val="none"/>
              </w:rPr>
              <w:t>标结果通知未中标的投标人。</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8.3</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履约保证金</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8.3.1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中标人应按投标人须知前附表规定的形式、金额、提交时间和招标文件第四章“合同格式”规定的或者事先经过招标人书面认可的履约保证金格式向招标人提交履约保证金。除投标人须知前附表另有规定外，履约保证金金额为中标合同金额的10%。联合体中标的，其履约保证金以联合体各方或者联合体中牵头人的名义提交。</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8.3.2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中标人不能按本章第8.4.1项要求提交履约保证金的，视为放弃中标，其投标保证金不予退还，给招标人造成的损失超过投标保证金数额的，中标人还应当对超过部分予以赔偿。</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b/>
                <w:color w:val="auto"/>
                <w:sz w:val="24"/>
                <w:szCs w:val="24"/>
                <w:highlight w:val="none"/>
              </w:rPr>
              <w:t>8.4</w:t>
            </w:r>
          </w:p>
        </w:tc>
        <w:tc>
          <w:tcPr>
            <w:tcW w:w="7402" w:type="dxa"/>
            <w:gridSpan w:val="2"/>
          </w:tcPr>
          <w:p>
            <w:pPr>
              <w:pStyle w:val="6"/>
              <w:keepNext w:val="0"/>
              <w:keepLines w:val="0"/>
              <w:spacing w:before="0" w:after="0" w:line="240" w:lineRule="auto"/>
              <w:ind w:firstLine="0" w:firstLineChars="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签订合同</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8.4.1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招标人和中标人应当在</w:t>
            </w:r>
            <w:r>
              <w:rPr>
                <w:rFonts w:hint="eastAsia" w:ascii="宋体" w:hAnsi="宋体" w:cs="宋体"/>
                <w:color w:val="auto"/>
                <w:sz w:val="24"/>
                <w:highlight w:val="none"/>
              </w:rPr>
              <w:t>投标有效期内以及</w:t>
            </w:r>
            <w:r>
              <w:rPr>
                <w:rFonts w:hint="eastAsia" w:ascii="宋体" w:hAnsi="宋体" w:cs="宋体"/>
                <w:color w:val="auto"/>
                <w:sz w:val="24"/>
                <w:szCs w:val="24"/>
                <w:highlight w:val="none"/>
              </w:rPr>
              <w:t>中标通知书发出之日起</w:t>
            </w:r>
            <w:bookmarkStart w:id="175" w:name="_Toc152042340"/>
            <w:bookmarkStart w:id="176" w:name="_Toc4656"/>
            <w:bookmarkStart w:id="177" w:name="_Toc300834986"/>
            <w:bookmarkStart w:id="178" w:name="_Toc144974532"/>
            <w:bookmarkStart w:id="179" w:name="_Toc247527589"/>
            <w:bookmarkStart w:id="180" w:name="_Toc369531553"/>
            <w:bookmarkStart w:id="181" w:name="_Toc352691509"/>
            <w:bookmarkStart w:id="182" w:name="_Toc361508622"/>
            <w:bookmarkStart w:id="183" w:name="_Toc152045564"/>
            <w:bookmarkStart w:id="184" w:name="_Toc384308247"/>
            <w:bookmarkStart w:id="185" w:name="_Toc247513988"/>
            <w:r>
              <w:rPr>
                <w:rFonts w:hint="eastAsia" w:ascii="宋体" w:hAnsi="宋体" w:cs="宋体"/>
                <w:color w:val="auto"/>
                <w:sz w:val="24"/>
                <w:szCs w:val="24"/>
                <w:highlight w:val="none"/>
              </w:rPr>
              <w:t>30日内，根据招</w:t>
            </w:r>
            <w:bookmarkEnd w:id="175"/>
            <w:bookmarkEnd w:id="176"/>
            <w:bookmarkEnd w:id="177"/>
            <w:bookmarkEnd w:id="178"/>
            <w:bookmarkEnd w:id="179"/>
            <w:bookmarkEnd w:id="180"/>
            <w:bookmarkEnd w:id="181"/>
            <w:bookmarkEnd w:id="182"/>
            <w:bookmarkEnd w:id="183"/>
            <w:bookmarkEnd w:id="184"/>
            <w:bookmarkEnd w:id="185"/>
            <w:r>
              <w:rPr>
                <w:rFonts w:hint="eastAsia" w:ascii="宋体" w:hAnsi="宋体" w:cs="宋体"/>
                <w:color w:val="auto"/>
                <w:sz w:val="24"/>
                <w:szCs w:val="24"/>
                <w:highlight w:val="none"/>
              </w:rPr>
              <w:t>标文件和中标人的投标文件订立书面合同。中标人无正</w:t>
            </w:r>
            <w:bookmarkStart w:id="186" w:name="_Toc247527590"/>
            <w:bookmarkStart w:id="187" w:name="_Toc361508623"/>
            <w:bookmarkStart w:id="188" w:name="_Toc152042341"/>
            <w:bookmarkStart w:id="189" w:name="_Toc352691510"/>
            <w:bookmarkStart w:id="190" w:name="_Toc247513989"/>
            <w:bookmarkStart w:id="191" w:name="_Toc18247"/>
            <w:bookmarkStart w:id="192" w:name="_Toc384308248"/>
            <w:bookmarkStart w:id="193" w:name="_Toc300834987"/>
            <w:bookmarkStart w:id="194" w:name="_Toc369531554"/>
            <w:bookmarkStart w:id="195" w:name="_Toc152045565"/>
            <w:bookmarkStart w:id="196" w:name="_Toc144974533"/>
            <w:r>
              <w:rPr>
                <w:rFonts w:hint="eastAsia" w:ascii="宋体" w:hAnsi="宋体" w:cs="宋体"/>
                <w:color w:val="auto"/>
                <w:sz w:val="24"/>
                <w:szCs w:val="24"/>
                <w:highlight w:val="none"/>
              </w:rPr>
              <w:t>当理由拒签合</w:t>
            </w:r>
            <w:bookmarkEnd w:id="186"/>
            <w:bookmarkEnd w:id="187"/>
            <w:bookmarkEnd w:id="188"/>
            <w:bookmarkEnd w:id="189"/>
            <w:bookmarkEnd w:id="190"/>
            <w:bookmarkEnd w:id="191"/>
            <w:bookmarkEnd w:id="192"/>
            <w:bookmarkEnd w:id="193"/>
            <w:bookmarkEnd w:id="194"/>
            <w:bookmarkEnd w:id="195"/>
            <w:bookmarkEnd w:id="196"/>
            <w:r>
              <w:rPr>
                <w:rFonts w:hint="eastAsia" w:ascii="宋体" w:hAnsi="宋体" w:cs="宋体"/>
                <w:color w:val="auto"/>
                <w:sz w:val="24"/>
                <w:szCs w:val="24"/>
                <w:highlight w:val="none"/>
              </w:rPr>
              <w:t>同，或者提出其他附加条件的，招标人有权取消其中标资格，其投标保证金不予退还；给招标人造成的损失超过投标保证金数额的，中标人还应当对超过部分予以赔偿。</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8.4.2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发出中标通知书后，招标人无正当理由拒签合同的，或者提出其他附加条件的，招标人向中标人退还投标保证金；给中标人造成损失的，还应当赔偿损失。</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8.4.3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联合体中标的，联合体各方应当共同与招标人签订合同，就中标项目向招标人承担连带责任。</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97" w:name="_Toc11236"/>
            <w:r>
              <w:rPr>
                <w:rFonts w:hint="eastAsia" w:ascii="宋体" w:hAnsi="宋体" w:cs="宋体"/>
                <w:b/>
                <w:bCs/>
                <w:color w:val="auto"/>
                <w:sz w:val="24"/>
                <w:szCs w:val="24"/>
                <w:highlight w:val="none"/>
              </w:rPr>
              <w:t>9. 质疑</w:t>
            </w:r>
            <w:bookmarkEnd w:id="197"/>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参加本次政府采购活动的供应商认为招标文件、招标过程和中标结果使自己的权益受到损害的，可以在知道或者应当知道其权益受到损害之日起7个工作日内，以书面纸质原件形式向投标人须知前附表中载明的联系单位、联系人、联系电话和联系地址，一次性提出针对同一采购环节的质疑。</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质疑函内容应当包括以下主要内容：</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9.2.1</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供应商的姓名或者名称、地址、邮编、联系人及联系电话；</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9.2.2</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质疑项目的名称、编号；</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具体、明确的质疑事项和与质疑事项相关的请求；</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事实依据；</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9.2.5</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必要的法律依据；</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9.2.6</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提出质疑的日期。</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9.3</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质疑函应当署名，一式叁份。由法定代表人或者授权代表签字并加盖公章后生效；其他组织或者自然人提出质疑的，质疑函必须由其主要负责人或者质疑提起人本人签字，并附有效身份证明复印件。代理人办理质疑事务时，还应当提交授权委托书，授权委托书应当载明代理人的姓名或者名称、代理事项、具体权限、期限和相关事项。否则招标人或者招标代理机构不予受理。</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9.4</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书面纸质原件形式外的其他任何方式的质疑，或者质疑函的内容不全的，招标人或者招标代理机构均不予接受和回复。</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9.5</w:t>
            </w: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招标人或者招标代理机构在收到质疑函后7个工作日内作出书面答复，并以书面形式通知质疑供应商和其他有关供应商，但答复内容涉及商业秘密的除外。</w:t>
            </w:r>
          </w:p>
        </w:tc>
      </w:tr>
      <w:tr>
        <w:tblPrEx>
          <w:tblCellMar>
            <w:top w:w="0" w:type="dxa"/>
            <w:left w:w="108" w:type="dxa"/>
            <w:bottom w:w="0" w:type="dxa"/>
            <w:right w:w="108" w:type="dxa"/>
          </w:tblCellMar>
        </w:tblPrEx>
        <w:tc>
          <w:tcPr>
            <w:tcW w:w="8460" w:type="dxa"/>
            <w:gridSpan w:val="3"/>
          </w:tcPr>
          <w:p>
            <w:pPr>
              <w:outlineLvl w:val="1"/>
              <w:rPr>
                <w:rFonts w:hint="eastAsia" w:ascii="宋体" w:hAnsi="宋体" w:cs="宋体"/>
                <w:b/>
                <w:bCs/>
                <w:color w:val="auto"/>
                <w:sz w:val="24"/>
                <w:szCs w:val="24"/>
                <w:highlight w:val="none"/>
              </w:rPr>
            </w:pPr>
            <w:bookmarkStart w:id="198" w:name="_Toc11453"/>
            <w:r>
              <w:rPr>
                <w:rFonts w:hint="eastAsia" w:ascii="宋体" w:hAnsi="宋体" w:cs="宋体"/>
                <w:b/>
                <w:bCs/>
                <w:color w:val="auto"/>
                <w:sz w:val="24"/>
                <w:szCs w:val="24"/>
                <w:highlight w:val="none"/>
              </w:rPr>
              <w:t>10. 需要补充的其他内容</w:t>
            </w:r>
            <w:bookmarkEnd w:id="198"/>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10.1</w:t>
            </w:r>
          </w:p>
        </w:tc>
        <w:tc>
          <w:tcPr>
            <w:tcW w:w="7402" w:type="dxa"/>
            <w:gridSpan w:val="2"/>
          </w:tcPr>
          <w:p>
            <w:pPr>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争议的解决</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p>
        </w:tc>
        <w:tc>
          <w:tcPr>
            <w:tcW w:w="7402" w:type="dxa"/>
            <w:gridSpan w:val="2"/>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在招投标过程中发生的争议，招投标各方当事人应及时沟通、协商解决。</w:t>
            </w:r>
          </w:p>
        </w:tc>
      </w:tr>
      <w:tr>
        <w:tblPrEx>
          <w:tblCellMar>
            <w:top w:w="0" w:type="dxa"/>
            <w:left w:w="108" w:type="dxa"/>
            <w:bottom w:w="0" w:type="dxa"/>
            <w:right w:w="108" w:type="dxa"/>
          </w:tblCellMar>
        </w:tblPrEx>
        <w:tc>
          <w:tcPr>
            <w:tcW w:w="1058" w:type="dxa"/>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10.2 </w:t>
            </w:r>
          </w:p>
        </w:tc>
        <w:tc>
          <w:tcPr>
            <w:tcW w:w="7402" w:type="dxa"/>
            <w:gridSpan w:val="2"/>
          </w:tcPr>
          <w:p>
            <w:pPr>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其他补充内容见投标人须知前附表。</w:t>
            </w:r>
          </w:p>
        </w:tc>
      </w:tr>
      <w:bookmarkEnd w:id="151"/>
      <w:bookmarkEnd w:id="152"/>
    </w:tbl>
    <w:p>
      <w:pPr>
        <w:spacing w:line="360" w:lineRule="auto"/>
        <w:ind w:firstLine="480" w:firstLineChars="200"/>
        <w:outlineLvl w:val="2"/>
        <w:rPr>
          <w:rFonts w:hint="eastAsia" w:ascii="宋体" w:hAnsi="宋体" w:cs="宋体"/>
          <w:color w:val="auto"/>
          <w:sz w:val="24"/>
          <w:szCs w:val="24"/>
          <w:highlight w:val="none"/>
        </w:rPr>
      </w:pPr>
    </w:p>
    <w:p>
      <w:pPr>
        <w:spacing w:line="400" w:lineRule="exact"/>
        <w:ind w:firstLine="480" w:firstLineChars="200"/>
        <w:rPr>
          <w:rFonts w:hint="eastAsia" w:ascii="宋体" w:hAnsi="宋体"/>
          <w:color w:val="auto"/>
          <w:sz w:val="24"/>
          <w:szCs w:val="24"/>
          <w:highlight w:val="none"/>
        </w:rPr>
      </w:pPr>
      <w:r>
        <w:rPr>
          <w:rFonts w:hint="eastAsia" w:ascii="宋体" w:hAnsi="宋体" w:cs="宋体"/>
          <w:snapToGrid w:val="0"/>
          <w:color w:val="auto"/>
          <w:kern w:val="0"/>
          <w:sz w:val="24"/>
          <w:szCs w:val="21"/>
          <w:highlight w:val="none"/>
        </w:rPr>
        <w:br w:type="page"/>
      </w:r>
      <w:bookmarkEnd w:id="81"/>
      <w:r>
        <w:rPr>
          <w:rFonts w:ascii="宋体" w:hAnsi="宋体"/>
          <w:color w:val="auto"/>
          <w:sz w:val="24"/>
          <w:szCs w:val="24"/>
          <w:highlight w:val="none"/>
        </w:rPr>
        <w:t>附件：</w:t>
      </w:r>
    </w:p>
    <w:p>
      <w:pPr>
        <w:spacing w:line="360" w:lineRule="auto"/>
        <w:jc w:val="center"/>
        <w:rPr>
          <w:rFonts w:hint="eastAsia" w:ascii="宋体" w:hAnsi="宋体"/>
          <w:b/>
          <w:bCs/>
          <w:color w:val="auto"/>
          <w:sz w:val="24"/>
          <w:szCs w:val="24"/>
          <w:highlight w:val="none"/>
        </w:rPr>
      </w:pPr>
      <w:r>
        <w:rPr>
          <w:rFonts w:ascii="宋体" w:hAnsi="宋体"/>
          <w:b/>
          <w:bCs/>
          <w:color w:val="auto"/>
          <w:sz w:val="24"/>
          <w:szCs w:val="24"/>
          <w:highlight w:val="none"/>
        </w:rPr>
        <w:t>《投标保证金提交与退还操作须知》</w:t>
      </w:r>
    </w:p>
    <w:p>
      <w:pPr>
        <w:spacing w:after="156" w:line="360" w:lineRule="auto"/>
        <w:ind w:firstLine="480" w:firstLineChars="200"/>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为使投标保证金能及时提交和</w:t>
      </w:r>
      <w:r>
        <w:rPr>
          <w:rFonts w:hint="eastAsia" w:ascii="宋体" w:hAnsi="宋体"/>
          <w:snapToGrid w:val="0"/>
          <w:color w:val="auto"/>
          <w:kern w:val="0"/>
          <w:sz w:val="24"/>
          <w:szCs w:val="24"/>
          <w:highlight w:val="none"/>
        </w:rPr>
        <w:t>得到</w:t>
      </w:r>
      <w:r>
        <w:rPr>
          <w:rFonts w:ascii="宋体" w:hAnsi="宋体"/>
          <w:snapToGrid w:val="0"/>
          <w:color w:val="auto"/>
          <w:kern w:val="0"/>
          <w:sz w:val="24"/>
          <w:szCs w:val="24"/>
          <w:highlight w:val="none"/>
        </w:rPr>
        <w:t>退还，</w:t>
      </w:r>
      <w:r>
        <w:rPr>
          <w:rFonts w:hint="eastAsia" w:ascii="宋体" w:hAnsi="宋体"/>
          <w:snapToGrid w:val="0"/>
          <w:color w:val="auto"/>
          <w:kern w:val="0"/>
          <w:sz w:val="24"/>
          <w:szCs w:val="24"/>
          <w:highlight w:val="none"/>
        </w:rPr>
        <w:t>上海机电设备招标有限公司（以下简称“招标代理机构”）</w:t>
      </w:r>
      <w:r>
        <w:rPr>
          <w:rFonts w:ascii="宋体" w:hAnsi="宋体"/>
          <w:snapToGrid w:val="0"/>
          <w:color w:val="auto"/>
          <w:kern w:val="0"/>
          <w:sz w:val="24"/>
          <w:szCs w:val="24"/>
          <w:highlight w:val="none"/>
        </w:rPr>
        <w:t>特制定本操作须知。</w:t>
      </w:r>
    </w:p>
    <w:p>
      <w:pPr>
        <w:spacing w:line="360" w:lineRule="auto"/>
        <w:ind w:firstLine="480" w:firstLineChars="200"/>
        <w:rPr>
          <w:rFonts w:hint="eastAsia" w:ascii="宋体" w:hAnsi="宋体"/>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一</w:t>
      </w:r>
      <w:r>
        <w:rPr>
          <w:rFonts w:ascii="宋体" w:hAnsi="宋体"/>
          <w:b/>
          <w:bCs/>
          <w:snapToGrid w:val="0"/>
          <w:color w:val="auto"/>
          <w:kern w:val="0"/>
          <w:sz w:val="24"/>
          <w:szCs w:val="24"/>
          <w:highlight w:val="none"/>
        </w:rPr>
        <w:t>、提交投标保证金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时间</w:t>
      </w:r>
    </w:p>
    <w:p>
      <w:pPr>
        <w:spacing w:line="360" w:lineRule="auto"/>
        <w:ind w:firstLine="480" w:firstLineChars="200"/>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报名成功后至投标截止时间前。</w:t>
      </w:r>
    </w:p>
    <w:p>
      <w:pPr>
        <w:spacing w:line="360" w:lineRule="auto"/>
        <w:ind w:firstLine="480" w:firstLineChars="200"/>
        <w:rPr>
          <w:rFonts w:hint="eastAsia" w:ascii="宋体" w:hAnsi="宋体"/>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二、提交投标保证金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方式</w:t>
      </w:r>
    </w:p>
    <w:p>
      <w:pPr>
        <w:spacing w:after="156" w:line="360" w:lineRule="auto"/>
        <w:ind w:firstLine="480" w:firstLineChars="200"/>
        <w:rPr>
          <w:rFonts w:hint="eastAsia" w:ascii="宋体" w:hAnsi="宋体"/>
          <w:bCs/>
          <w:snapToGrid w:val="0"/>
          <w:color w:val="auto"/>
          <w:kern w:val="0"/>
          <w:sz w:val="24"/>
          <w:szCs w:val="24"/>
          <w:highlight w:val="none"/>
        </w:rPr>
      </w:pPr>
      <w:bookmarkStart w:id="199" w:name="OLE_LINK40"/>
      <w:r>
        <w:rPr>
          <w:rFonts w:hint="eastAsia" w:ascii="宋体" w:hAnsi="宋体"/>
          <w:bCs/>
          <w:snapToGrid w:val="0"/>
          <w:color w:val="auto"/>
          <w:kern w:val="0"/>
          <w:sz w:val="24"/>
          <w:szCs w:val="24"/>
          <w:highlight w:val="none"/>
        </w:rPr>
        <w:t>投标人通过中招联合招标采购平台（以下简称“平台”）完成项目报名后以线上方式提交投标保证金（保证金账号为14位虚拟数字账号，仅针对本投标人本项目及本分包有效，对其他投标人、其他项目或分包无效）。</w:t>
      </w:r>
    </w:p>
    <w:p>
      <w:pPr>
        <w:numPr>
          <w:ilvl w:val="0"/>
          <w:numId w:val="10"/>
        </w:numPr>
        <w:spacing w:line="360" w:lineRule="auto"/>
        <w:ind w:left="785" w:hanging="367"/>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中国境内投标人</w:t>
      </w:r>
      <w:bookmarkEnd w:id="199"/>
      <w:r>
        <w:rPr>
          <w:rFonts w:hint="eastAsia" w:ascii="宋体" w:hAnsi="宋体"/>
          <w:bCs/>
          <w:snapToGrid w:val="0"/>
          <w:color w:val="auto"/>
          <w:kern w:val="0"/>
          <w:sz w:val="24"/>
          <w:szCs w:val="24"/>
          <w:highlight w:val="none"/>
        </w:rPr>
        <w:t>的</w:t>
      </w:r>
      <w:bookmarkStart w:id="200" w:name="OLE_LINK38"/>
      <w:r>
        <w:rPr>
          <w:rFonts w:hint="eastAsia" w:ascii="宋体" w:hAnsi="宋体"/>
          <w:bCs/>
          <w:snapToGrid w:val="0"/>
          <w:color w:val="auto"/>
          <w:kern w:val="0"/>
          <w:sz w:val="24"/>
          <w:szCs w:val="24"/>
          <w:highlight w:val="none"/>
        </w:rPr>
        <w:t>保证金以电汇、银行转账或银行保函的方式提交。</w:t>
      </w:r>
    </w:p>
    <w:bookmarkEnd w:id="200"/>
    <w:p>
      <w:pPr>
        <w:numPr>
          <w:ilvl w:val="0"/>
          <w:numId w:val="10"/>
        </w:numPr>
        <w:spacing w:line="360" w:lineRule="auto"/>
        <w:ind w:left="785" w:leftChars="199" w:hanging="367" w:hangingChars="153"/>
        <w:rPr>
          <w:rFonts w:hint="eastAsia" w:ascii="宋体" w:hAnsi="宋体"/>
          <w:bCs/>
          <w:snapToGrid w:val="0"/>
          <w:color w:val="auto"/>
          <w:kern w:val="0"/>
          <w:sz w:val="24"/>
          <w:szCs w:val="24"/>
          <w:highlight w:val="none"/>
        </w:rPr>
      </w:pPr>
      <w:bookmarkStart w:id="201" w:name="OLE_LINK41"/>
      <w:r>
        <w:rPr>
          <w:rFonts w:hint="eastAsia" w:ascii="宋体" w:hAnsi="宋体"/>
          <w:bCs/>
          <w:snapToGrid w:val="0"/>
          <w:color w:val="auto"/>
          <w:kern w:val="0"/>
          <w:sz w:val="24"/>
          <w:szCs w:val="24"/>
          <w:highlight w:val="none"/>
        </w:rPr>
        <w:t>中国境外（含中国台湾、香港和澳门地区）投标人</w:t>
      </w:r>
      <w:bookmarkEnd w:id="201"/>
      <w:r>
        <w:rPr>
          <w:rFonts w:hint="eastAsia" w:ascii="宋体" w:hAnsi="宋体"/>
          <w:bCs/>
          <w:snapToGrid w:val="0"/>
          <w:color w:val="auto"/>
          <w:kern w:val="0"/>
          <w:sz w:val="24"/>
          <w:szCs w:val="24"/>
          <w:highlight w:val="none"/>
        </w:rPr>
        <w:t>的保证金一般采用</w:t>
      </w:r>
      <w:r>
        <w:rPr>
          <w:rFonts w:ascii="宋体" w:hAnsi="宋体"/>
          <w:bCs/>
          <w:snapToGrid w:val="0"/>
          <w:color w:val="auto"/>
          <w:kern w:val="0"/>
          <w:sz w:val="24"/>
          <w:szCs w:val="24"/>
          <w:highlight w:val="none"/>
        </w:rPr>
        <w:t>银行保函</w:t>
      </w:r>
      <w:r>
        <w:rPr>
          <w:rFonts w:hint="eastAsia" w:ascii="宋体" w:hAnsi="宋体"/>
          <w:bCs/>
          <w:snapToGrid w:val="0"/>
          <w:color w:val="auto"/>
          <w:kern w:val="0"/>
          <w:sz w:val="24"/>
          <w:szCs w:val="24"/>
          <w:highlight w:val="none"/>
        </w:rPr>
        <w:t>的</w:t>
      </w:r>
      <w:r>
        <w:rPr>
          <w:rFonts w:ascii="宋体" w:hAnsi="宋体"/>
          <w:bCs/>
          <w:snapToGrid w:val="0"/>
          <w:color w:val="auto"/>
          <w:kern w:val="0"/>
          <w:sz w:val="24"/>
          <w:szCs w:val="24"/>
          <w:highlight w:val="none"/>
        </w:rPr>
        <w:t>方式提交</w:t>
      </w:r>
      <w:r>
        <w:rPr>
          <w:rFonts w:hint="eastAsia" w:ascii="宋体" w:hAnsi="宋体"/>
          <w:bCs/>
          <w:snapToGrid w:val="0"/>
          <w:color w:val="auto"/>
          <w:kern w:val="0"/>
          <w:sz w:val="24"/>
          <w:szCs w:val="24"/>
          <w:highlight w:val="none"/>
        </w:rPr>
        <w:t>。</w:t>
      </w:r>
    </w:p>
    <w:p>
      <w:pPr>
        <w:spacing w:line="360" w:lineRule="auto"/>
        <w:ind w:left="97" w:leftChars="46"/>
        <w:rPr>
          <w:rFonts w:hint="eastAsia" w:ascii="宋体" w:hAnsi="宋体"/>
          <w:bCs/>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三、提交投标保证金的注意事项</w:t>
      </w:r>
    </w:p>
    <w:p>
      <w:pPr>
        <w:numPr>
          <w:ilvl w:val="0"/>
          <w:numId w:val="11"/>
        </w:numPr>
        <w:spacing w:line="360" w:lineRule="auto"/>
        <w:ind w:left="798" w:leftChars="202" w:hanging="374" w:hangingChars="156"/>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投标人</w:t>
      </w:r>
      <w:r>
        <w:rPr>
          <w:rFonts w:hint="eastAsia" w:ascii="宋体" w:hAnsi="宋体"/>
          <w:snapToGrid w:val="0"/>
          <w:color w:val="auto"/>
          <w:kern w:val="0"/>
          <w:sz w:val="24"/>
          <w:szCs w:val="24"/>
          <w:highlight w:val="none"/>
        </w:rPr>
        <w:t>应当</w:t>
      </w:r>
      <w:r>
        <w:rPr>
          <w:rFonts w:ascii="宋体" w:hAnsi="宋体"/>
          <w:snapToGrid w:val="0"/>
          <w:color w:val="auto"/>
          <w:kern w:val="0"/>
          <w:sz w:val="24"/>
          <w:szCs w:val="24"/>
          <w:highlight w:val="none"/>
        </w:rPr>
        <w:t>按照招标文件的要求足额提交投标保证金，不得提供虚假、无效的缴纳凭证。</w:t>
      </w:r>
    </w:p>
    <w:p>
      <w:pPr>
        <w:numPr>
          <w:ilvl w:val="0"/>
          <w:numId w:val="11"/>
        </w:numPr>
        <w:spacing w:line="360" w:lineRule="auto"/>
        <w:ind w:left="798" w:leftChars="202" w:hanging="374" w:hangingChars="156"/>
        <w:rPr>
          <w:rFonts w:hint="eastAsia" w:ascii="宋体" w:hAnsi="宋体"/>
          <w:snapToGrid w:val="0"/>
          <w:color w:val="auto"/>
          <w:kern w:val="0"/>
          <w:sz w:val="24"/>
          <w:szCs w:val="24"/>
          <w:highlight w:val="none"/>
        </w:rPr>
      </w:pPr>
      <w:r>
        <w:rPr>
          <w:rFonts w:hint="eastAsia" w:ascii="宋体" w:hAnsi="宋体"/>
          <w:bCs/>
          <w:snapToGrid w:val="0"/>
          <w:color w:val="auto"/>
          <w:kern w:val="0"/>
          <w:sz w:val="24"/>
          <w:szCs w:val="24"/>
          <w:highlight w:val="none"/>
        </w:rPr>
        <w:t>当投标人投多个招标项目或一个招标项目的多个包件或标段时，每个项目、包件或标段的投标保证金应当分别提交</w:t>
      </w:r>
      <w:r>
        <w:rPr>
          <w:rFonts w:hint="eastAsia" w:ascii="宋体" w:hAnsi="宋体"/>
          <w:snapToGrid w:val="0"/>
          <w:color w:val="auto"/>
          <w:kern w:val="0"/>
          <w:sz w:val="24"/>
          <w:szCs w:val="24"/>
          <w:highlight w:val="none"/>
        </w:rPr>
        <w:t>。</w:t>
      </w:r>
    </w:p>
    <w:p>
      <w:pPr>
        <w:numPr>
          <w:ilvl w:val="0"/>
          <w:numId w:val="11"/>
        </w:numPr>
        <w:spacing w:line="360" w:lineRule="auto"/>
        <w:ind w:left="798" w:leftChars="202" w:hanging="374" w:hangingChars="156"/>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投标保证金的付款人</w:t>
      </w:r>
      <w:r>
        <w:rPr>
          <w:rFonts w:hint="eastAsia" w:ascii="宋体" w:hAnsi="宋体"/>
          <w:snapToGrid w:val="0"/>
          <w:color w:val="auto"/>
          <w:kern w:val="0"/>
          <w:sz w:val="24"/>
          <w:szCs w:val="24"/>
          <w:highlight w:val="none"/>
        </w:rPr>
        <w:t>应当</w:t>
      </w:r>
      <w:r>
        <w:rPr>
          <w:rFonts w:ascii="宋体" w:hAnsi="宋体"/>
          <w:snapToGrid w:val="0"/>
          <w:color w:val="auto"/>
          <w:kern w:val="0"/>
          <w:sz w:val="24"/>
          <w:szCs w:val="24"/>
          <w:highlight w:val="none"/>
        </w:rPr>
        <w:t>与投标人名称一致，不得委托分支机构代为提交</w:t>
      </w:r>
      <w:r>
        <w:rPr>
          <w:rFonts w:hint="eastAsia" w:ascii="宋体" w:hAnsi="宋体"/>
          <w:snapToGrid w:val="0"/>
          <w:color w:val="auto"/>
          <w:kern w:val="0"/>
          <w:sz w:val="24"/>
          <w:szCs w:val="24"/>
          <w:highlight w:val="none"/>
        </w:rPr>
        <w:t>。</w:t>
      </w:r>
    </w:p>
    <w:p>
      <w:pPr>
        <w:numPr>
          <w:ilvl w:val="0"/>
          <w:numId w:val="11"/>
        </w:numPr>
        <w:spacing w:line="360" w:lineRule="auto"/>
        <w:ind w:left="798" w:leftChars="202" w:hanging="374" w:hangingChars="156"/>
        <w:rPr>
          <w:rFonts w:hint="eastAsia" w:ascii="宋体" w:hAnsi="宋体"/>
          <w:bCs/>
          <w:snapToGrid w:val="0"/>
          <w:color w:val="auto"/>
          <w:kern w:val="0"/>
          <w:sz w:val="24"/>
          <w:szCs w:val="24"/>
          <w:highlight w:val="none"/>
        </w:rPr>
      </w:pPr>
      <w:r>
        <w:rPr>
          <w:rFonts w:ascii="宋体" w:hAnsi="宋体"/>
          <w:bCs/>
          <w:snapToGrid w:val="0"/>
          <w:color w:val="auto"/>
          <w:kern w:val="0"/>
          <w:sz w:val="24"/>
          <w:szCs w:val="24"/>
          <w:highlight w:val="none"/>
        </w:rPr>
        <w:t>银行保函的申请人必须是投标人，</w:t>
      </w:r>
      <w:r>
        <w:rPr>
          <w:rFonts w:hint="eastAsia" w:ascii="宋体" w:hAnsi="宋体"/>
          <w:bCs/>
          <w:snapToGrid w:val="0"/>
          <w:color w:val="auto"/>
          <w:kern w:val="0"/>
          <w:sz w:val="24"/>
          <w:szCs w:val="24"/>
          <w:highlight w:val="none"/>
        </w:rPr>
        <w:t>中国境内投标人的</w:t>
      </w:r>
      <w:r>
        <w:rPr>
          <w:rFonts w:ascii="宋体" w:hAnsi="宋体"/>
          <w:bCs/>
          <w:snapToGrid w:val="0"/>
          <w:color w:val="auto"/>
          <w:kern w:val="0"/>
          <w:sz w:val="24"/>
          <w:szCs w:val="24"/>
          <w:highlight w:val="none"/>
        </w:rPr>
        <w:t>保证人必须是投标人的开户银行</w:t>
      </w:r>
      <w:r>
        <w:rPr>
          <w:rFonts w:hint="eastAsia" w:ascii="宋体" w:hAnsi="宋体"/>
          <w:bCs/>
          <w:snapToGrid w:val="0"/>
          <w:color w:val="auto"/>
          <w:kern w:val="0"/>
          <w:sz w:val="24"/>
          <w:szCs w:val="24"/>
          <w:highlight w:val="none"/>
        </w:rPr>
        <w:t>；中国境外投标人可通过一家在中国境内或境外信誉好的银行直接开具投标保证金银行保函</w:t>
      </w:r>
      <w:r>
        <w:rPr>
          <w:rFonts w:ascii="宋体" w:hAnsi="宋体"/>
          <w:bCs/>
          <w:snapToGrid w:val="0"/>
          <w:color w:val="auto"/>
          <w:kern w:val="0"/>
          <w:sz w:val="24"/>
          <w:szCs w:val="24"/>
          <w:highlight w:val="none"/>
        </w:rPr>
        <w:t>。</w:t>
      </w:r>
    </w:p>
    <w:p>
      <w:pPr>
        <w:numPr>
          <w:ilvl w:val="0"/>
          <w:numId w:val="11"/>
        </w:numPr>
        <w:spacing w:line="360" w:lineRule="auto"/>
        <w:ind w:left="798" w:leftChars="202" w:hanging="374" w:hangingChars="156"/>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银行保函采用</w:t>
      </w:r>
      <w:r>
        <w:rPr>
          <w:rFonts w:hint="eastAsia" w:ascii="宋体" w:hAnsi="宋体"/>
          <w:snapToGrid w:val="0"/>
          <w:color w:val="auto"/>
          <w:kern w:val="0"/>
          <w:sz w:val="24"/>
          <w:szCs w:val="24"/>
          <w:highlight w:val="none"/>
        </w:rPr>
        <w:t>招标文件提供的格式，或采用事先为招标代理机构接受的其他格式</w:t>
      </w:r>
      <w:r>
        <w:rPr>
          <w:rFonts w:ascii="宋体" w:hAnsi="宋体"/>
          <w:snapToGrid w:val="0"/>
          <w:color w:val="auto"/>
          <w:kern w:val="0"/>
          <w:sz w:val="24"/>
          <w:szCs w:val="24"/>
          <w:highlight w:val="none"/>
        </w:rPr>
        <w:t>。</w:t>
      </w:r>
    </w:p>
    <w:p>
      <w:pPr>
        <w:numPr>
          <w:ilvl w:val="0"/>
          <w:numId w:val="11"/>
        </w:numPr>
        <w:spacing w:line="360" w:lineRule="auto"/>
        <w:ind w:left="798" w:leftChars="202" w:hanging="374" w:hangingChars="156"/>
        <w:rPr>
          <w:rFonts w:hint="eastAsia" w:ascii="宋体" w:hAnsi="宋体"/>
          <w:b/>
          <w:bCs/>
          <w:snapToGrid w:val="0"/>
          <w:color w:val="auto"/>
          <w:kern w:val="0"/>
          <w:sz w:val="24"/>
          <w:szCs w:val="24"/>
          <w:highlight w:val="none"/>
        </w:rPr>
      </w:pPr>
      <w:r>
        <w:rPr>
          <w:rFonts w:hint="eastAsia" w:ascii="宋体" w:hAnsi="宋体"/>
          <w:bCs/>
          <w:snapToGrid w:val="0"/>
          <w:color w:val="auto"/>
          <w:kern w:val="0"/>
          <w:sz w:val="24"/>
          <w:szCs w:val="24"/>
          <w:highlight w:val="none"/>
        </w:rPr>
        <w:t>当投标人为两家或两家以上单位组成的联合体时（招标文件中明确接受联合体投标的），</w:t>
      </w:r>
      <w:r>
        <w:rPr>
          <w:rFonts w:hint="eastAsia" w:ascii="宋体" w:hAnsi="宋体"/>
          <w:color w:val="auto"/>
          <w:sz w:val="24"/>
          <w:szCs w:val="24"/>
          <w:highlight w:val="none"/>
        </w:rPr>
        <w:t>应由联合体的一方或多方共同提交投标保证金，且所提交的投标保证金应对联合体的所有成员均具有约束力。</w:t>
      </w:r>
    </w:p>
    <w:p>
      <w:pPr>
        <w:spacing w:line="360" w:lineRule="auto"/>
        <w:ind w:left="97" w:leftChars="46"/>
        <w:rPr>
          <w:rFonts w:hint="eastAsia" w:ascii="宋体" w:hAnsi="宋体"/>
          <w:b/>
          <w:bCs/>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四</w:t>
      </w:r>
      <w:r>
        <w:rPr>
          <w:rFonts w:ascii="宋体" w:hAnsi="宋体"/>
          <w:b/>
          <w:bCs/>
          <w:snapToGrid w:val="0"/>
          <w:color w:val="auto"/>
          <w:kern w:val="0"/>
          <w:sz w:val="24"/>
          <w:szCs w:val="24"/>
          <w:highlight w:val="none"/>
        </w:rPr>
        <w:t>、提交投标保证金程序</w:t>
      </w:r>
    </w:p>
    <w:p>
      <w:pPr>
        <w:spacing w:line="360" w:lineRule="auto"/>
        <w:ind w:firstLine="480" w:firstLineChars="200"/>
        <w:outlineLvl w:val="3"/>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一</w:t>
      </w:r>
      <w:r>
        <w:rPr>
          <w:rFonts w:hint="eastAsia" w:ascii="宋体" w:hAnsi="宋体"/>
          <w:snapToGrid w:val="0"/>
          <w:color w:val="auto"/>
          <w:kern w:val="0"/>
          <w:sz w:val="24"/>
          <w:szCs w:val="24"/>
          <w:highlight w:val="none"/>
        </w:rPr>
        <w:t>）</w:t>
      </w:r>
      <w:bookmarkStart w:id="202" w:name="OLE_LINK8"/>
      <w:bookmarkStart w:id="203" w:name="OLE_LINK26"/>
      <w:bookmarkStart w:id="204" w:name="OLE_LINK9"/>
      <w:r>
        <w:rPr>
          <w:rFonts w:ascii="宋体" w:hAnsi="宋体"/>
          <w:snapToGrid w:val="0"/>
          <w:color w:val="auto"/>
          <w:kern w:val="0"/>
          <w:sz w:val="24"/>
          <w:szCs w:val="24"/>
          <w:highlight w:val="none"/>
        </w:rPr>
        <w:t>采用</w:t>
      </w:r>
      <w:bookmarkStart w:id="205" w:name="OLE_LINK47"/>
      <w:r>
        <w:rPr>
          <w:rFonts w:ascii="宋体" w:hAnsi="宋体"/>
          <w:snapToGrid w:val="0"/>
          <w:color w:val="auto"/>
          <w:kern w:val="0"/>
          <w:sz w:val="24"/>
          <w:szCs w:val="24"/>
          <w:highlight w:val="none"/>
        </w:rPr>
        <w:t>电汇、银行转账方式</w:t>
      </w:r>
      <w:bookmarkEnd w:id="205"/>
      <w:r>
        <w:rPr>
          <w:rFonts w:ascii="宋体" w:hAnsi="宋体"/>
          <w:snapToGrid w:val="0"/>
          <w:color w:val="auto"/>
          <w:kern w:val="0"/>
          <w:sz w:val="24"/>
          <w:szCs w:val="24"/>
          <w:highlight w:val="none"/>
        </w:rPr>
        <w:t>提交</w:t>
      </w:r>
      <w:bookmarkEnd w:id="202"/>
      <w:r>
        <w:rPr>
          <w:rFonts w:ascii="宋体" w:hAnsi="宋体"/>
          <w:snapToGrid w:val="0"/>
          <w:color w:val="auto"/>
          <w:kern w:val="0"/>
          <w:sz w:val="24"/>
          <w:szCs w:val="24"/>
          <w:highlight w:val="none"/>
        </w:rPr>
        <w:t>的</w:t>
      </w:r>
      <w:bookmarkEnd w:id="203"/>
      <w:r>
        <w:rPr>
          <w:rFonts w:ascii="宋体" w:hAnsi="宋体"/>
          <w:snapToGrid w:val="0"/>
          <w:color w:val="auto"/>
          <w:kern w:val="0"/>
          <w:sz w:val="24"/>
          <w:szCs w:val="24"/>
          <w:highlight w:val="none"/>
        </w:rPr>
        <w:t>：</w:t>
      </w:r>
    </w:p>
    <w:p>
      <w:pPr>
        <w:spacing w:line="360" w:lineRule="auto"/>
        <w:ind w:firstLine="470" w:firstLineChars="196"/>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投标人在招标文件规定的投标截止时间前通过平台（我参与的项目-主控台-缴纳保证金）汇至相关虚拟保证金账户</w:t>
      </w:r>
      <w:r>
        <w:rPr>
          <w:rFonts w:ascii="宋体" w:hAnsi="宋体"/>
          <w:snapToGrid w:val="0"/>
          <w:color w:val="auto"/>
          <w:kern w:val="0"/>
          <w:sz w:val="24"/>
          <w:szCs w:val="24"/>
          <w:highlight w:val="none"/>
        </w:rPr>
        <w:t>，并在制作投标文件时附上保证金支付状态的截图（</w:t>
      </w:r>
      <w:r>
        <w:rPr>
          <w:rFonts w:hint="eastAsia" w:ascii="宋体" w:hAnsi="宋体"/>
          <w:snapToGrid w:val="0"/>
          <w:color w:val="auto"/>
          <w:kern w:val="0"/>
          <w:sz w:val="24"/>
          <w:szCs w:val="24"/>
          <w:highlight w:val="none"/>
        </w:rPr>
        <w:t>我参与的项目-主控台-缴纳保证金-交易记录</w:t>
      </w:r>
      <w:r>
        <w:rPr>
          <w:rFonts w:ascii="宋体" w:hAnsi="宋体"/>
          <w:snapToGrid w:val="0"/>
          <w:color w:val="auto"/>
          <w:kern w:val="0"/>
          <w:sz w:val="24"/>
          <w:szCs w:val="24"/>
          <w:highlight w:val="none"/>
        </w:rPr>
        <w:t>）。</w:t>
      </w:r>
    </w:p>
    <w:bookmarkEnd w:id="204"/>
    <w:p>
      <w:pPr>
        <w:spacing w:line="360" w:lineRule="auto"/>
        <w:ind w:firstLine="480" w:firstLineChars="200"/>
        <w:outlineLvl w:val="3"/>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w:t>
      </w:r>
      <w:r>
        <w:rPr>
          <w:rFonts w:ascii="宋体" w:hAnsi="宋体"/>
          <w:snapToGrid w:val="0"/>
          <w:color w:val="auto"/>
          <w:kern w:val="0"/>
          <w:sz w:val="24"/>
          <w:szCs w:val="24"/>
          <w:highlight w:val="none"/>
        </w:rPr>
        <w:t>采用银行保函方式提交的：</w:t>
      </w:r>
    </w:p>
    <w:p>
      <w:pPr>
        <w:spacing w:line="360" w:lineRule="auto"/>
        <w:ind w:firstLine="470" w:firstLineChars="196"/>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投标人应当将银行保函正本随投标文件一起递交（若为</w:t>
      </w:r>
      <w:r>
        <w:rPr>
          <w:rFonts w:ascii="宋体" w:hAnsi="宋体"/>
          <w:snapToGrid w:val="0"/>
          <w:color w:val="auto"/>
          <w:kern w:val="0"/>
          <w:sz w:val="24"/>
          <w:szCs w:val="24"/>
          <w:highlight w:val="none"/>
        </w:rPr>
        <w:t>全流程电子标项目，</w:t>
      </w:r>
      <w:r>
        <w:rPr>
          <w:rFonts w:hint="eastAsia" w:ascii="宋体" w:hAnsi="宋体"/>
          <w:snapToGrid w:val="0"/>
          <w:color w:val="auto"/>
          <w:kern w:val="0"/>
          <w:sz w:val="24"/>
          <w:szCs w:val="24"/>
          <w:highlight w:val="none"/>
        </w:rPr>
        <w:t>银行保函应与投标文件一起上传）。</w:t>
      </w:r>
    </w:p>
    <w:p>
      <w:pPr>
        <w:spacing w:line="360" w:lineRule="auto"/>
        <w:ind w:left="567" w:leftChars="270" w:firstLine="480" w:firstLineChars="200"/>
        <w:rPr>
          <w:rFonts w:hint="eastAsia" w:ascii="宋体" w:hAnsi="宋体"/>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ascii="宋体" w:hAnsi="宋体"/>
          <w:b/>
          <w:bCs/>
          <w:snapToGrid w:val="0"/>
          <w:color w:val="auto"/>
          <w:kern w:val="0"/>
          <w:sz w:val="24"/>
          <w:szCs w:val="24"/>
          <w:highlight w:val="none"/>
        </w:rPr>
        <w:t>五、投标保证金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利息计算和划付</w:t>
      </w:r>
    </w:p>
    <w:p>
      <w:pPr>
        <w:spacing w:line="360" w:lineRule="auto"/>
        <w:ind w:left="1230" w:leftChars="201" w:hanging="808" w:hangingChars="337"/>
        <w:outlineLvl w:val="3"/>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一</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计息利率：</w:t>
      </w:r>
    </w:p>
    <w:p>
      <w:pPr>
        <w:spacing w:line="360" w:lineRule="auto"/>
        <w:ind w:firstLine="470" w:firstLineChars="196"/>
        <w:rPr>
          <w:rFonts w:hint="eastAsia" w:ascii="宋体" w:hAnsi="宋体"/>
          <w:snapToGrid w:val="0"/>
          <w:color w:val="auto"/>
          <w:kern w:val="0"/>
          <w:sz w:val="24"/>
          <w:szCs w:val="24"/>
          <w:highlight w:val="none"/>
        </w:rPr>
      </w:pPr>
      <w:r>
        <w:rPr>
          <w:rFonts w:ascii="宋体" w:hAnsi="宋体"/>
          <w:bCs/>
          <w:snapToGrid w:val="0"/>
          <w:color w:val="auto"/>
          <w:kern w:val="0"/>
          <w:sz w:val="24"/>
          <w:szCs w:val="24"/>
          <w:highlight w:val="none"/>
        </w:rPr>
        <w:t>保证金入账后至退还保证金之日期间，按</w:t>
      </w:r>
      <w:r>
        <w:rPr>
          <w:rFonts w:hint="eastAsia" w:ascii="宋体" w:hAnsi="宋体"/>
          <w:bCs/>
          <w:snapToGrid w:val="0"/>
          <w:color w:val="auto"/>
          <w:kern w:val="0"/>
          <w:sz w:val="24"/>
          <w:szCs w:val="24"/>
          <w:highlight w:val="none"/>
        </w:rPr>
        <w:t>中国</w:t>
      </w:r>
      <w:r>
        <w:rPr>
          <w:rFonts w:ascii="宋体" w:hAnsi="宋体"/>
          <w:bCs/>
          <w:snapToGrid w:val="0"/>
          <w:color w:val="auto"/>
          <w:kern w:val="0"/>
          <w:sz w:val="24"/>
          <w:szCs w:val="24"/>
          <w:highlight w:val="none"/>
        </w:rPr>
        <w:t>人民银行规定的活期存款利率计息（若利率调整，将分段计算）</w:t>
      </w:r>
      <w:r>
        <w:rPr>
          <w:rFonts w:hint="eastAsia" w:ascii="宋体" w:hAnsi="宋体"/>
          <w:bCs/>
          <w:snapToGrid w:val="0"/>
          <w:color w:val="auto"/>
          <w:kern w:val="0"/>
          <w:sz w:val="24"/>
          <w:szCs w:val="24"/>
          <w:highlight w:val="none"/>
        </w:rPr>
        <w:t>；但以银行保函</w:t>
      </w:r>
      <w:r>
        <w:rPr>
          <w:rFonts w:ascii="宋体" w:hAnsi="宋体"/>
          <w:bCs/>
          <w:snapToGrid w:val="0"/>
          <w:color w:val="auto"/>
          <w:kern w:val="0"/>
          <w:sz w:val="24"/>
          <w:szCs w:val="24"/>
          <w:highlight w:val="none"/>
        </w:rPr>
        <w:t>方式提交的</w:t>
      </w:r>
      <w:r>
        <w:rPr>
          <w:rFonts w:hint="eastAsia" w:ascii="宋体" w:hAnsi="宋体"/>
          <w:bCs/>
          <w:snapToGrid w:val="0"/>
          <w:color w:val="auto"/>
          <w:kern w:val="0"/>
          <w:sz w:val="24"/>
          <w:szCs w:val="24"/>
          <w:highlight w:val="none"/>
        </w:rPr>
        <w:t>投标保证金将不计利息</w:t>
      </w:r>
      <w:r>
        <w:rPr>
          <w:rFonts w:ascii="宋体" w:hAnsi="宋体"/>
          <w:snapToGrid w:val="0"/>
          <w:color w:val="auto"/>
          <w:kern w:val="0"/>
          <w:sz w:val="24"/>
          <w:szCs w:val="24"/>
          <w:highlight w:val="none"/>
        </w:rPr>
        <w:t>。</w:t>
      </w:r>
    </w:p>
    <w:p>
      <w:pPr>
        <w:spacing w:line="360" w:lineRule="auto"/>
        <w:ind w:left="1230" w:leftChars="201" w:hanging="808" w:hangingChars="337"/>
        <w:outlineLvl w:val="3"/>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二</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划付方式：</w:t>
      </w:r>
    </w:p>
    <w:p>
      <w:pPr>
        <w:spacing w:line="360" w:lineRule="auto"/>
        <w:ind w:firstLine="470" w:firstLineChars="196"/>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按投标保证金存放期间计算利息，退</w:t>
      </w:r>
      <w:r>
        <w:rPr>
          <w:rFonts w:hint="eastAsia" w:ascii="宋体" w:hAnsi="宋体"/>
          <w:snapToGrid w:val="0"/>
          <w:color w:val="auto"/>
          <w:kern w:val="0"/>
          <w:sz w:val="24"/>
          <w:szCs w:val="24"/>
          <w:highlight w:val="none"/>
        </w:rPr>
        <w:t>还</w:t>
      </w:r>
      <w:r>
        <w:rPr>
          <w:rFonts w:ascii="宋体" w:hAnsi="宋体"/>
          <w:snapToGrid w:val="0"/>
          <w:color w:val="auto"/>
          <w:kern w:val="0"/>
          <w:sz w:val="24"/>
          <w:szCs w:val="24"/>
          <w:highlight w:val="none"/>
        </w:rPr>
        <w:t>投标保证金同时将利息划付至投标保证金的付款人账户。</w:t>
      </w:r>
    </w:p>
    <w:p>
      <w:pPr>
        <w:spacing w:line="360" w:lineRule="auto"/>
        <w:ind w:left="567" w:leftChars="270" w:firstLine="648" w:firstLineChars="270"/>
        <w:rPr>
          <w:rFonts w:hint="eastAsia" w:ascii="宋体" w:hAnsi="宋体"/>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六、</w:t>
      </w:r>
      <w:r>
        <w:rPr>
          <w:rFonts w:ascii="宋体" w:hAnsi="宋体"/>
          <w:b/>
          <w:bCs/>
          <w:snapToGrid w:val="0"/>
          <w:color w:val="auto"/>
          <w:kern w:val="0"/>
          <w:sz w:val="24"/>
          <w:szCs w:val="24"/>
          <w:highlight w:val="none"/>
        </w:rPr>
        <w:t>投标保证金</w:t>
      </w:r>
      <w:r>
        <w:rPr>
          <w:rFonts w:hint="eastAsia" w:ascii="宋体" w:hAnsi="宋体"/>
          <w:b/>
          <w:bCs/>
          <w:snapToGrid w:val="0"/>
          <w:color w:val="auto"/>
          <w:kern w:val="0"/>
          <w:sz w:val="24"/>
          <w:szCs w:val="24"/>
          <w:highlight w:val="none"/>
        </w:rPr>
        <w:t>的</w:t>
      </w:r>
      <w:r>
        <w:rPr>
          <w:rFonts w:ascii="宋体" w:hAnsi="宋体"/>
          <w:b/>
          <w:bCs/>
          <w:snapToGrid w:val="0"/>
          <w:color w:val="auto"/>
          <w:kern w:val="0"/>
          <w:sz w:val="24"/>
          <w:szCs w:val="24"/>
          <w:highlight w:val="none"/>
        </w:rPr>
        <w:t>退还</w:t>
      </w:r>
    </w:p>
    <w:p>
      <w:pPr>
        <w:spacing w:line="360" w:lineRule="auto"/>
        <w:ind w:firstLine="470" w:firstLineChars="196"/>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投标保证金最迟在招标人与中标人签订书面合同后的5日内退还</w:t>
      </w:r>
      <w:r>
        <w:rPr>
          <w:rFonts w:hint="eastAsia" w:ascii="宋体" w:hAnsi="宋体"/>
          <w:snapToGrid w:val="0"/>
          <w:color w:val="auto"/>
          <w:kern w:val="0"/>
          <w:sz w:val="24"/>
          <w:szCs w:val="24"/>
          <w:highlight w:val="none"/>
        </w:rPr>
        <w:t>。</w:t>
      </w:r>
      <w:r>
        <w:rPr>
          <w:rFonts w:hint="eastAsia" w:ascii="宋体" w:hAnsi="宋体"/>
          <w:bCs/>
          <w:snapToGrid w:val="0"/>
          <w:color w:val="auto"/>
          <w:kern w:val="0"/>
          <w:sz w:val="24"/>
          <w:szCs w:val="24"/>
          <w:highlight w:val="none"/>
        </w:rPr>
        <w:t>在未发生招标文件规定的不予退还投标保证金的情况时，招标代理机构按以下程序和方式办理投标保证金退还手续。</w:t>
      </w:r>
    </w:p>
    <w:p>
      <w:pPr>
        <w:spacing w:line="360" w:lineRule="auto"/>
        <w:ind w:firstLine="480" w:firstLineChars="200"/>
        <w:outlineLvl w:val="3"/>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（一）</w:t>
      </w:r>
      <w:r>
        <w:rPr>
          <w:rFonts w:ascii="宋体" w:hAnsi="宋体"/>
          <w:snapToGrid w:val="0"/>
          <w:color w:val="auto"/>
          <w:kern w:val="0"/>
          <w:sz w:val="24"/>
          <w:szCs w:val="24"/>
          <w:highlight w:val="none"/>
        </w:rPr>
        <w:t>未中标</w:t>
      </w:r>
      <w:r>
        <w:rPr>
          <w:rFonts w:hint="eastAsia" w:ascii="宋体" w:hAnsi="宋体"/>
          <w:snapToGrid w:val="0"/>
          <w:color w:val="auto"/>
          <w:kern w:val="0"/>
          <w:sz w:val="24"/>
          <w:szCs w:val="24"/>
          <w:highlight w:val="none"/>
        </w:rPr>
        <w:t>人</w:t>
      </w:r>
    </w:p>
    <w:p>
      <w:pPr>
        <w:spacing w:line="360" w:lineRule="auto"/>
        <w:ind w:firstLine="480" w:firstLineChars="200"/>
        <w:outlineLvl w:val="4"/>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bookmarkStart w:id="206" w:name="OLE_LINK44"/>
      <w:r>
        <w:rPr>
          <w:rFonts w:ascii="宋体" w:hAnsi="宋体"/>
          <w:snapToGrid w:val="0"/>
          <w:color w:val="auto"/>
          <w:kern w:val="0"/>
          <w:sz w:val="24"/>
          <w:szCs w:val="24"/>
          <w:highlight w:val="none"/>
        </w:rPr>
        <w:t>采用电汇</w:t>
      </w:r>
      <w:bookmarkStart w:id="207" w:name="OLE_LINK31"/>
      <w:r>
        <w:rPr>
          <w:rFonts w:ascii="宋体" w:hAnsi="宋体"/>
          <w:snapToGrid w:val="0"/>
          <w:color w:val="auto"/>
          <w:kern w:val="0"/>
          <w:sz w:val="24"/>
          <w:szCs w:val="24"/>
          <w:highlight w:val="none"/>
        </w:rPr>
        <w:t>、银行转账方式</w:t>
      </w:r>
      <w:bookmarkEnd w:id="206"/>
      <w:bookmarkEnd w:id="207"/>
      <w:r>
        <w:rPr>
          <w:rFonts w:ascii="宋体" w:hAnsi="宋体"/>
          <w:snapToGrid w:val="0"/>
          <w:color w:val="auto"/>
          <w:kern w:val="0"/>
          <w:sz w:val="24"/>
          <w:szCs w:val="24"/>
          <w:highlight w:val="none"/>
        </w:rPr>
        <w:t>提交的：</w:t>
      </w:r>
    </w:p>
    <w:p>
      <w:pPr>
        <w:spacing w:line="360" w:lineRule="auto"/>
        <w:ind w:firstLine="470" w:firstLineChars="196"/>
        <w:rPr>
          <w:rFonts w:hint="eastAsia" w:ascii="宋体" w:hAnsi="宋体"/>
          <w:snapToGrid w:val="0"/>
          <w:color w:val="auto"/>
          <w:kern w:val="0"/>
          <w:sz w:val="24"/>
          <w:szCs w:val="24"/>
          <w:highlight w:val="none"/>
        </w:rPr>
      </w:pPr>
      <w:bookmarkStart w:id="208" w:name="OLE_LINK32"/>
      <w:r>
        <w:rPr>
          <w:rFonts w:ascii="宋体" w:hAnsi="宋体"/>
          <w:snapToGrid w:val="0"/>
          <w:color w:val="auto"/>
          <w:kern w:val="0"/>
          <w:sz w:val="24"/>
          <w:szCs w:val="24"/>
          <w:highlight w:val="none"/>
        </w:rPr>
        <w:t>投标人</w:t>
      </w:r>
      <w:r>
        <w:rPr>
          <w:rFonts w:hint="eastAsia" w:ascii="宋体" w:hAnsi="宋体"/>
          <w:snapToGrid w:val="0"/>
          <w:color w:val="auto"/>
          <w:kern w:val="0"/>
          <w:sz w:val="24"/>
          <w:szCs w:val="24"/>
          <w:highlight w:val="none"/>
        </w:rPr>
        <w:t>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未</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w:t>
      </w:r>
      <w:bookmarkStart w:id="209" w:name="OLE_LINK14"/>
      <w:r>
        <w:rPr>
          <w:rFonts w:hint="eastAsia" w:ascii="宋体" w:hAnsi="宋体"/>
          <w:snapToGrid w:val="0"/>
          <w:color w:val="auto"/>
          <w:kern w:val="0"/>
          <w:sz w:val="24"/>
          <w:szCs w:val="24"/>
          <w:highlight w:val="none"/>
        </w:rPr>
        <w:t>招标代理机构本项目的负责人</w:t>
      </w:r>
      <w:bookmarkEnd w:id="209"/>
      <w:r>
        <w:rPr>
          <w:rFonts w:hint="eastAsia" w:ascii="宋体" w:hAnsi="宋体"/>
          <w:snapToGrid w:val="0"/>
          <w:color w:val="auto"/>
          <w:kern w:val="0"/>
          <w:sz w:val="24"/>
          <w:szCs w:val="24"/>
          <w:highlight w:val="none"/>
        </w:rPr>
        <w:t>申请退还</w:t>
      </w:r>
      <w:bookmarkEnd w:id="208"/>
      <w:r>
        <w:rPr>
          <w:rFonts w:hint="eastAsia" w:ascii="宋体" w:hAnsi="宋体"/>
          <w:snapToGrid w:val="0"/>
          <w:color w:val="auto"/>
          <w:kern w:val="0"/>
          <w:sz w:val="24"/>
          <w:szCs w:val="24"/>
          <w:highlight w:val="none"/>
        </w:rPr>
        <w:t>，</w:t>
      </w:r>
      <w:bookmarkStart w:id="210" w:name="OLE_LINK42"/>
      <w:r>
        <w:rPr>
          <w:rFonts w:hint="eastAsia" w:ascii="宋体" w:hAnsi="宋体"/>
          <w:snapToGrid w:val="0"/>
          <w:color w:val="auto"/>
          <w:kern w:val="0"/>
          <w:sz w:val="24"/>
          <w:szCs w:val="24"/>
          <w:highlight w:val="none"/>
        </w:rPr>
        <w:t>招标代理机构的项目负责人在平台申请退还保证金，待财务</w:t>
      </w:r>
      <w:r>
        <w:rPr>
          <w:rFonts w:ascii="宋体" w:hAnsi="宋体"/>
          <w:snapToGrid w:val="0"/>
          <w:color w:val="auto"/>
          <w:kern w:val="0"/>
          <w:sz w:val="24"/>
          <w:szCs w:val="24"/>
          <w:highlight w:val="none"/>
        </w:rPr>
        <w:t>审核后，银行将</w:t>
      </w:r>
      <w:r>
        <w:rPr>
          <w:rFonts w:hint="eastAsia" w:ascii="宋体" w:hAnsi="宋体"/>
          <w:snapToGrid w:val="0"/>
          <w:color w:val="auto"/>
          <w:kern w:val="0"/>
          <w:sz w:val="24"/>
          <w:szCs w:val="24"/>
          <w:highlight w:val="none"/>
        </w:rPr>
        <w:t>采用</w:t>
      </w:r>
      <w:r>
        <w:rPr>
          <w:rFonts w:ascii="宋体" w:hAnsi="宋体"/>
          <w:snapToGrid w:val="0"/>
          <w:color w:val="auto"/>
          <w:kern w:val="0"/>
          <w:sz w:val="24"/>
          <w:szCs w:val="24"/>
          <w:highlight w:val="none"/>
        </w:rPr>
        <w:t>网上支付方式退还</w:t>
      </w:r>
      <w:bookmarkEnd w:id="210"/>
      <w:r>
        <w:rPr>
          <w:rFonts w:ascii="宋体" w:hAnsi="宋体"/>
          <w:snapToGrid w:val="0"/>
          <w:color w:val="auto"/>
          <w:kern w:val="0"/>
          <w:sz w:val="24"/>
          <w:szCs w:val="24"/>
          <w:highlight w:val="none"/>
        </w:rPr>
        <w:t>。</w:t>
      </w:r>
    </w:p>
    <w:p>
      <w:pPr>
        <w:spacing w:line="360" w:lineRule="auto"/>
        <w:ind w:firstLine="480" w:firstLineChars="200"/>
        <w:outlineLvl w:val="4"/>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2</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采用银行保函</w:t>
      </w:r>
      <w:bookmarkStart w:id="211" w:name="OLE_LINK13"/>
      <w:r>
        <w:rPr>
          <w:rFonts w:ascii="宋体" w:hAnsi="宋体"/>
          <w:snapToGrid w:val="0"/>
          <w:color w:val="auto"/>
          <w:kern w:val="0"/>
          <w:sz w:val="24"/>
          <w:szCs w:val="24"/>
          <w:highlight w:val="none"/>
        </w:rPr>
        <w:t>方式提交的</w:t>
      </w:r>
      <w:bookmarkEnd w:id="211"/>
      <w:r>
        <w:rPr>
          <w:rFonts w:ascii="宋体" w:hAnsi="宋体"/>
          <w:snapToGrid w:val="0"/>
          <w:color w:val="auto"/>
          <w:kern w:val="0"/>
          <w:sz w:val="24"/>
          <w:szCs w:val="24"/>
          <w:highlight w:val="none"/>
        </w:rPr>
        <w:t>：</w:t>
      </w:r>
    </w:p>
    <w:p>
      <w:pPr>
        <w:spacing w:line="360" w:lineRule="auto"/>
        <w:ind w:firstLine="470" w:firstLineChars="196"/>
        <w:rPr>
          <w:rFonts w:hint="eastAsia" w:ascii="宋体" w:hAnsi="宋体"/>
          <w:snapToGrid w:val="0"/>
          <w:color w:val="auto"/>
          <w:kern w:val="0"/>
          <w:sz w:val="24"/>
          <w:szCs w:val="24"/>
          <w:highlight w:val="none"/>
        </w:rPr>
      </w:pPr>
      <w:r>
        <w:rPr>
          <w:rFonts w:ascii="宋体" w:hAnsi="宋体"/>
          <w:snapToGrid w:val="0"/>
          <w:color w:val="auto"/>
          <w:kern w:val="0"/>
          <w:sz w:val="24"/>
          <w:szCs w:val="24"/>
          <w:highlight w:val="none"/>
        </w:rPr>
        <w:t>投标人</w:t>
      </w:r>
      <w:r>
        <w:rPr>
          <w:rFonts w:hint="eastAsia" w:ascii="宋体" w:hAnsi="宋体"/>
          <w:snapToGrid w:val="0"/>
          <w:color w:val="auto"/>
          <w:kern w:val="0"/>
          <w:sz w:val="24"/>
          <w:szCs w:val="24"/>
          <w:highlight w:val="none"/>
        </w:rPr>
        <w:t>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未</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》后，向招标代理机构本项目的负责人申请，招标代理机构的项目负责人将银行保函原件予以</w:t>
      </w:r>
      <w:r>
        <w:rPr>
          <w:rFonts w:ascii="宋体" w:hAnsi="宋体"/>
          <w:snapToGrid w:val="0"/>
          <w:color w:val="auto"/>
          <w:kern w:val="0"/>
          <w:sz w:val="24"/>
          <w:szCs w:val="24"/>
          <w:highlight w:val="none"/>
        </w:rPr>
        <w:t>退还（全流程电子标项目无退还操作）</w:t>
      </w:r>
      <w:r>
        <w:rPr>
          <w:rFonts w:hint="eastAsia" w:ascii="宋体" w:hAnsi="宋体"/>
          <w:snapToGrid w:val="0"/>
          <w:color w:val="auto"/>
          <w:kern w:val="0"/>
          <w:sz w:val="24"/>
          <w:szCs w:val="24"/>
          <w:highlight w:val="none"/>
        </w:rPr>
        <w:t>。</w:t>
      </w:r>
    </w:p>
    <w:p>
      <w:pPr>
        <w:spacing w:line="360" w:lineRule="auto"/>
        <w:ind w:firstLine="480" w:firstLineChars="200"/>
        <w:outlineLvl w:val="3"/>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（二）</w:t>
      </w:r>
      <w:r>
        <w:rPr>
          <w:rFonts w:ascii="宋体" w:hAnsi="宋体"/>
          <w:snapToGrid w:val="0"/>
          <w:color w:val="auto"/>
          <w:kern w:val="0"/>
          <w:sz w:val="24"/>
          <w:szCs w:val="24"/>
          <w:highlight w:val="none"/>
        </w:rPr>
        <w:t>中标</w:t>
      </w:r>
      <w:r>
        <w:rPr>
          <w:rFonts w:hint="eastAsia" w:ascii="宋体" w:hAnsi="宋体"/>
          <w:snapToGrid w:val="0"/>
          <w:color w:val="auto"/>
          <w:kern w:val="0"/>
          <w:sz w:val="24"/>
          <w:szCs w:val="24"/>
          <w:highlight w:val="none"/>
        </w:rPr>
        <w:t>人</w:t>
      </w:r>
    </w:p>
    <w:p>
      <w:pPr>
        <w:spacing w:line="360" w:lineRule="auto"/>
        <w:ind w:firstLine="480" w:firstLineChars="200"/>
        <w:outlineLvl w:val="4"/>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1、</w:t>
      </w:r>
      <w:r>
        <w:rPr>
          <w:rFonts w:ascii="宋体" w:hAnsi="宋体"/>
          <w:snapToGrid w:val="0"/>
          <w:color w:val="auto"/>
          <w:kern w:val="0"/>
          <w:sz w:val="24"/>
          <w:szCs w:val="24"/>
          <w:highlight w:val="none"/>
        </w:rPr>
        <w:t>采用电汇、银行转账方式提交的：</w:t>
      </w:r>
    </w:p>
    <w:p>
      <w:pPr>
        <w:spacing w:line="360" w:lineRule="auto"/>
        <w:ind w:firstLine="470" w:firstLineChars="196"/>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中</w:t>
      </w:r>
      <w:r>
        <w:rPr>
          <w:rFonts w:ascii="宋体" w:hAnsi="宋体"/>
          <w:snapToGrid w:val="0"/>
          <w:color w:val="auto"/>
          <w:kern w:val="0"/>
          <w:sz w:val="24"/>
          <w:szCs w:val="24"/>
          <w:highlight w:val="none"/>
        </w:rPr>
        <w:t>标人</w:t>
      </w:r>
      <w:r>
        <w:rPr>
          <w:rFonts w:hint="eastAsia" w:ascii="宋体" w:hAnsi="宋体"/>
          <w:snapToGrid w:val="0"/>
          <w:color w:val="auto"/>
          <w:kern w:val="0"/>
          <w:sz w:val="24"/>
          <w:szCs w:val="24"/>
          <w:highlight w:val="none"/>
        </w:rPr>
        <w:t>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》后，向招标代理机构本项目的负责人申请退还，</w:t>
      </w:r>
      <w:bookmarkStart w:id="212" w:name="OLE_LINK43"/>
      <w:r>
        <w:rPr>
          <w:rFonts w:hint="eastAsia" w:ascii="宋体" w:hAnsi="宋体"/>
          <w:snapToGrid w:val="0"/>
          <w:color w:val="auto"/>
          <w:kern w:val="0"/>
          <w:sz w:val="24"/>
          <w:szCs w:val="24"/>
          <w:highlight w:val="none"/>
        </w:rPr>
        <w:t>招标代理机构的项目负责人在平台申请退还保证金，待财务审核后，银行将采用网上支付方式退还。</w:t>
      </w:r>
      <w:bookmarkEnd w:id="212"/>
      <w:bookmarkStart w:id="213" w:name="OLE_LINK21"/>
    </w:p>
    <w:bookmarkEnd w:id="213"/>
    <w:p>
      <w:pPr>
        <w:spacing w:line="360" w:lineRule="auto"/>
        <w:ind w:firstLine="480" w:firstLineChars="200"/>
        <w:outlineLvl w:val="4"/>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采用</w:t>
      </w:r>
      <w:r>
        <w:rPr>
          <w:rFonts w:hint="eastAsia" w:ascii="宋体" w:hAnsi="宋体"/>
          <w:snapToGrid w:val="0"/>
          <w:color w:val="auto"/>
          <w:kern w:val="0"/>
          <w:sz w:val="24"/>
          <w:szCs w:val="24"/>
          <w:highlight w:val="none"/>
        </w:rPr>
        <w:t>书面</w:t>
      </w:r>
      <w:r>
        <w:rPr>
          <w:rFonts w:ascii="宋体" w:hAnsi="宋体"/>
          <w:snapToGrid w:val="0"/>
          <w:color w:val="auto"/>
          <w:kern w:val="0"/>
          <w:sz w:val="24"/>
          <w:szCs w:val="24"/>
          <w:highlight w:val="none"/>
        </w:rPr>
        <w:t>银行保函方式提交的：</w:t>
      </w:r>
    </w:p>
    <w:p>
      <w:pPr>
        <w:spacing w:line="360" w:lineRule="auto"/>
        <w:ind w:firstLine="470" w:firstLineChars="196"/>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中</w:t>
      </w:r>
      <w:r>
        <w:rPr>
          <w:rFonts w:ascii="宋体" w:hAnsi="宋体"/>
          <w:snapToGrid w:val="0"/>
          <w:color w:val="auto"/>
          <w:kern w:val="0"/>
          <w:sz w:val="24"/>
          <w:szCs w:val="24"/>
          <w:highlight w:val="none"/>
        </w:rPr>
        <w:t>标人在收到</w:t>
      </w:r>
      <w:r>
        <w:rPr>
          <w:color w:val="auto"/>
          <w:highlight w:val="none"/>
        </w:rPr>
        <w:fldChar w:fldCharType="begin"/>
      </w:r>
      <w:r>
        <w:rPr>
          <w:color w:val="auto"/>
          <w:highlight w:val="none"/>
        </w:rPr>
        <w:instrText xml:space="preserve"> HYPERLINK "http://www.66law.cn/topic2010/招标人/" \o "招标人" </w:instrText>
      </w:r>
      <w:r>
        <w:rPr>
          <w:color w:val="auto"/>
          <w:highlight w:val="none"/>
        </w:rPr>
        <w:fldChar w:fldCharType="separate"/>
      </w:r>
      <w:r>
        <w:rPr>
          <w:rFonts w:ascii="宋体" w:hAnsi="宋体"/>
          <w:snapToGrid w:val="0"/>
          <w:color w:val="auto"/>
          <w:kern w:val="0"/>
          <w:sz w:val="24"/>
          <w:szCs w:val="24"/>
          <w:highlight w:val="none"/>
        </w:rPr>
        <w:t>招标人</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或招标代理机构</w:t>
      </w:r>
      <w:r>
        <w:rPr>
          <w:rFonts w:ascii="宋体" w:hAnsi="宋体"/>
          <w:snapToGrid w:val="0"/>
          <w:color w:val="auto"/>
          <w:kern w:val="0"/>
          <w:sz w:val="24"/>
          <w:szCs w:val="24"/>
          <w:highlight w:val="none"/>
        </w:rPr>
        <w:t>发出的</w:t>
      </w:r>
      <w:r>
        <w:rPr>
          <w:rFonts w:hint="eastAsia" w:ascii="宋体" w:hAnsi="宋体"/>
          <w:snapToGrid w:val="0"/>
          <w:color w:val="auto"/>
          <w:kern w:val="0"/>
          <w:sz w:val="24"/>
          <w:szCs w:val="24"/>
          <w:highlight w:val="none"/>
        </w:rPr>
        <w:t>《</w:t>
      </w:r>
      <w:r>
        <w:rPr>
          <w:color w:val="auto"/>
          <w:highlight w:val="none"/>
        </w:rPr>
        <w:fldChar w:fldCharType="begin"/>
      </w:r>
      <w:r>
        <w:rPr>
          <w:color w:val="auto"/>
          <w:highlight w:val="none"/>
        </w:rPr>
        <w:instrText xml:space="preserve"> HYPERLINK "http://www.66law.cn/topic2010/中标通知书/" \o "中标通知书" </w:instrText>
      </w:r>
      <w:r>
        <w:rPr>
          <w:color w:val="auto"/>
          <w:highlight w:val="none"/>
        </w:rPr>
        <w:fldChar w:fldCharType="separate"/>
      </w:r>
      <w:r>
        <w:rPr>
          <w:rFonts w:ascii="宋体" w:hAnsi="宋体"/>
          <w:snapToGrid w:val="0"/>
          <w:color w:val="auto"/>
          <w:kern w:val="0"/>
          <w:sz w:val="24"/>
          <w:szCs w:val="24"/>
          <w:highlight w:val="none"/>
        </w:rPr>
        <w:t>中标通知书</w:t>
      </w:r>
      <w:r>
        <w:rPr>
          <w:rFonts w:ascii="宋体" w:hAnsi="宋体"/>
          <w:snapToGrid w:val="0"/>
          <w:color w:val="auto"/>
          <w:kern w:val="0"/>
          <w:sz w:val="24"/>
          <w:szCs w:val="24"/>
          <w:highlight w:val="none"/>
        </w:rPr>
        <w:fldChar w:fldCharType="end"/>
      </w:r>
      <w:r>
        <w:rPr>
          <w:rFonts w:hint="eastAsia" w:ascii="宋体" w:hAnsi="宋体"/>
          <w:snapToGrid w:val="0"/>
          <w:color w:val="auto"/>
          <w:kern w:val="0"/>
          <w:sz w:val="24"/>
          <w:szCs w:val="24"/>
          <w:highlight w:val="none"/>
        </w:rPr>
        <w:t>》后，向招标代理机构本项目的负责人申请，招标代理机构的项目负责人将</w:t>
      </w:r>
      <w:bookmarkStart w:id="214" w:name="OLE_LINK22"/>
      <w:r>
        <w:rPr>
          <w:rFonts w:hint="eastAsia" w:ascii="宋体" w:hAnsi="宋体"/>
          <w:snapToGrid w:val="0"/>
          <w:color w:val="auto"/>
          <w:kern w:val="0"/>
          <w:sz w:val="24"/>
          <w:szCs w:val="24"/>
          <w:highlight w:val="none"/>
        </w:rPr>
        <w:t>银行保函原件</w:t>
      </w:r>
      <w:bookmarkEnd w:id="214"/>
      <w:r>
        <w:rPr>
          <w:rFonts w:hint="eastAsia" w:ascii="宋体" w:hAnsi="宋体"/>
          <w:snapToGrid w:val="0"/>
          <w:color w:val="auto"/>
          <w:kern w:val="0"/>
          <w:sz w:val="24"/>
          <w:szCs w:val="24"/>
          <w:highlight w:val="none"/>
        </w:rPr>
        <w:t>予以</w:t>
      </w:r>
      <w:r>
        <w:rPr>
          <w:rFonts w:ascii="宋体" w:hAnsi="宋体"/>
          <w:snapToGrid w:val="0"/>
          <w:color w:val="auto"/>
          <w:kern w:val="0"/>
          <w:sz w:val="24"/>
          <w:szCs w:val="24"/>
          <w:highlight w:val="none"/>
        </w:rPr>
        <w:t>退还（全流程电子标项目无退还操作）</w:t>
      </w:r>
      <w:r>
        <w:rPr>
          <w:rFonts w:hint="eastAsia" w:ascii="宋体" w:hAnsi="宋体"/>
          <w:snapToGrid w:val="0"/>
          <w:color w:val="auto"/>
          <w:kern w:val="0"/>
          <w:sz w:val="24"/>
          <w:szCs w:val="24"/>
          <w:highlight w:val="none"/>
        </w:rPr>
        <w:t>。</w:t>
      </w:r>
    </w:p>
    <w:p>
      <w:pPr>
        <w:spacing w:line="360" w:lineRule="auto"/>
        <w:ind w:firstLine="480" w:firstLineChars="200"/>
        <w:outlineLvl w:val="4"/>
        <w:rPr>
          <w:rFonts w:hint="eastAsia" w:ascii="宋体" w:hAnsi="宋体"/>
          <w:bCs/>
          <w:snapToGrid w:val="0"/>
          <w:color w:val="auto"/>
          <w:kern w:val="0"/>
          <w:sz w:val="24"/>
          <w:szCs w:val="24"/>
          <w:highlight w:val="none"/>
        </w:rPr>
      </w:pPr>
      <w:r>
        <w:rPr>
          <w:rFonts w:hint="eastAsia" w:ascii="宋体" w:hAnsi="宋体"/>
          <w:bCs/>
          <w:snapToGrid w:val="0"/>
          <w:color w:val="auto"/>
          <w:kern w:val="0"/>
          <w:sz w:val="24"/>
          <w:szCs w:val="24"/>
          <w:highlight w:val="none"/>
        </w:rPr>
        <w:t>3、如</w:t>
      </w:r>
      <w:bookmarkStart w:id="215" w:name="OLE_LINK52"/>
      <w:r>
        <w:rPr>
          <w:rFonts w:hint="eastAsia" w:ascii="宋体" w:hAnsi="宋体"/>
          <w:bCs/>
          <w:snapToGrid w:val="0"/>
          <w:color w:val="auto"/>
          <w:kern w:val="0"/>
          <w:sz w:val="24"/>
          <w:szCs w:val="24"/>
          <w:highlight w:val="none"/>
        </w:rPr>
        <w:t>招标文件规定</w:t>
      </w:r>
      <w:bookmarkEnd w:id="215"/>
      <w:r>
        <w:rPr>
          <w:rFonts w:hint="eastAsia" w:ascii="宋体" w:hAnsi="宋体"/>
          <w:bCs/>
          <w:snapToGrid w:val="0"/>
          <w:color w:val="auto"/>
          <w:kern w:val="0"/>
          <w:sz w:val="24"/>
          <w:szCs w:val="24"/>
          <w:highlight w:val="none"/>
        </w:rPr>
        <w:t>由中</w:t>
      </w:r>
      <w:r>
        <w:rPr>
          <w:rFonts w:ascii="宋体" w:hAnsi="宋体"/>
          <w:bCs/>
          <w:snapToGrid w:val="0"/>
          <w:color w:val="auto"/>
          <w:kern w:val="0"/>
          <w:sz w:val="24"/>
          <w:szCs w:val="24"/>
          <w:highlight w:val="none"/>
        </w:rPr>
        <w:t>标人</w:t>
      </w:r>
      <w:r>
        <w:rPr>
          <w:rFonts w:hint="eastAsia" w:ascii="宋体" w:hAnsi="宋体"/>
          <w:bCs/>
          <w:snapToGrid w:val="0"/>
          <w:color w:val="auto"/>
          <w:kern w:val="0"/>
          <w:sz w:val="24"/>
          <w:szCs w:val="24"/>
          <w:highlight w:val="none"/>
        </w:rPr>
        <w:t>缴纳招标代理服务费的，中标人须先向招标代理机构缴纳招标代理服务费后，招标代理机构再办理退还投标保证金手续。</w:t>
      </w:r>
    </w:p>
    <w:p>
      <w:pPr>
        <w:spacing w:line="360" w:lineRule="auto"/>
        <w:outlineLvl w:val="4"/>
        <w:rPr>
          <w:rFonts w:hint="eastAsia" w:ascii="宋体" w:hAnsi="宋体"/>
          <w:b/>
          <w:bCs/>
          <w:snapToGrid w:val="0"/>
          <w:color w:val="auto"/>
          <w:kern w:val="0"/>
          <w:sz w:val="24"/>
          <w:szCs w:val="24"/>
          <w:highlight w:val="none"/>
        </w:rPr>
      </w:pPr>
    </w:p>
    <w:p>
      <w:pPr>
        <w:spacing w:line="360" w:lineRule="auto"/>
        <w:outlineLvl w:val="2"/>
        <w:rPr>
          <w:rFonts w:hint="eastAsia" w:ascii="宋体" w:hAnsi="宋体"/>
          <w:b/>
          <w:bCs/>
          <w:snapToGrid w:val="0"/>
          <w:color w:val="auto"/>
          <w:kern w:val="0"/>
          <w:sz w:val="24"/>
          <w:szCs w:val="24"/>
          <w:highlight w:val="none"/>
        </w:rPr>
      </w:pPr>
      <w:r>
        <w:rPr>
          <w:rFonts w:hint="eastAsia" w:ascii="宋体" w:hAnsi="宋体"/>
          <w:b/>
          <w:bCs/>
          <w:snapToGrid w:val="0"/>
          <w:color w:val="auto"/>
          <w:kern w:val="0"/>
          <w:sz w:val="24"/>
          <w:szCs w:val="24"/>
          <w:highlight w:val="none"/>
        </w:rPr>
        <w:t>七</w:t>
      </w:r>
      <w:r>
        <w:rPr>
          <w:rFonts w:ascii="宋体" w:hAnsi="宋体"/>
          <w:b/>
          <w:bCs/>
          <w:snapToGrid w:val="0"/>
          <w:color w:val="auto"/>
          <w:kern w:val="0"/>
          <w:sz w:val="24"/>
          <w:szCs w:val="24"/>
          <w:highlight w:val="none"/>
        </w:rPr>
        <w:t>、其他事项</w:t>
      </w:r>
    </w:p>
    <w:p>
      <w:pPr>
        <w:spacing w:line="360" w:lineRule="auto"/>
        <w:ind w:firstLine="480" w:firstLineChars="200"/>
        <w:rPr>
          <w:rFonts w:hint="eastAsia" w:ascii="宋体" w:hAnsi="宋体"/>
          <w:snapToGrid w:val="0"/>
          <w:color w:val="auto"/>
          <w:kern w:val="0"/>
          <w:sz w:val="24"/>
          <w:szCs w:val="24"/>
          <w:highlight w:val="none"/>
        </w:rPr>
      </w:pPr>
      <w:r>
        <w:rPr>
          <w:rFonts w:ascii="宋体" w:hAnsi="宋体"/>
          <w:color w:val="auto"/>
          <w:sz w:val="24"/>
          <w:szCs w:val="24"/>
          <w:highlight w:val="none"/>
        </w:rPr>
        <w:t>1、</w:t>
      </w:r>
      <w:r>
        <w:rPr>
          <w:rFonts w:ascii="宋体" w:hAnsi="宋体"/>
          <w:snapToGrid w:val="0"/>
          <w:color w:val="auto"/>
          <w:kern w:val="0"/>
          <w:sz w:val="24"/>
          <w:szCs w:val="24"/>
          <w:highlight w:val="none"/>
        </w:rPr>
        <w:t>如投标人对</w:t>
      </w:r>
      <w:r>
        <w:rPr>
          <w:rFonts w:ascii="宋体" w:hAnsi="宋体"/>
          <w:color w:val="auto"/>
          <w:sz w:val="24"/>
          <w:szCs w:val="24"/>
          <w:highlight w:val="none"/>
        </w:rPr>
        <w:t>本须知</w:t>
      </w:r>
      <w:r>
        <w:rPr>
          <w:rFonts w:ascii="宋体" w:hAnsi="宋体"/>
          <w:snapToGrid w:val="0"/>
          <w:color w:val="auto"/>
          <w:kern w:val="0"/>
          <w:sz w:val="24"/>
          <w:szCs w:val="24"/>
          <w:highlight w:val="none"/>
        </w:rPr>
        <w:t>中的相关内容作进一步咨询，可按招标文件“投标人须知”的相关规定以书面形式向招标代理机构提出，</w:t>
      </w:r>
      <w:r>
        <w:rPr>
          <w:rFonts w:hint="eastAsia" w:ascii="宋体" w:hAnsi="宋体"/>
          <w:snapToGrid w:val="0"/>
          <w:color w:val="auto"/>
          <w:kern w:val="0"/>
          <w:sz w:val="24"/>
          <w:szCs w:val="24"/>
          <w:highlight w:val="none"/>
        </w:rPr>
        <w:t>或</w:t>
      </w:r>
      <w:r>
        <w:rPr>
          <w:rFonts w:ascii="宋体" w:hAnsi="宋体"/>
          <w:snapToGrid w:val="0"/>
          <w:color w:val="auto"/>
          <w:kern w:val="0"/>
          <w:sz w:val="24"/>
          <w:szCs w:val="24"/>
          <w:highlight w:val="none"/>
        </w:rPr>
        <w:t>向招标文件中列明的招标代理机构的项目负责人或平台客服（010-86397110）</w:t>
      </w:r>
      <w:r>
        <w:rPr>
          <w:rFonts w:hint="eastAsia" w:ascii="宋体" w:hAnsi="宋体"/>
          <w:snapToGrid w:val="0"/>
          <w:color w:val="auto"/>
          <w:kern w:val="0"/>
          <w:sz w:val="24"/>
          <w:szCs w:val="24"/>
          <w:highlight w:val="none"/>
        </w:rPr>
        <w:t>电话</w:t>
      </w:r>
      <w:r>
        <w:rPr>
          <w:rFonts w:ascii="宋体" w:hAnsi="宋体"/>
          <w:snapToGrid w:val="0"/>
          <w:color w:val="auto"/>
          <w:kern w:val="0"/>
          <w:sz w:val="24"/>
          <w:szCs w:val="24"/>
          <w:highlight w:val="none"/>
        </w:rPr>
        <w:t>咨询。</w:t>
      </w:r>
    </w:p>
    <w:p>
      <w:pPr>
        <w:spacing w:line="360" w:lineRule="auto"/>
        <w:ind w:firstLine="480" w:firstLineChars="200"/>
        <w:rPr>
          <w:rFonts w:hint="eastAsia" w:ascii="宋体" w:hAnsi="宋体"/>
          <w:snapToGrid w:val="0"/>
          <w:color w:val="auto"/>
          <w:kern w:val="0"/>
          <w:sz w:val="24"/>
          <w:szCs w:val="24"/>
          <w:highlight w:val="none"/>
        </w:rPr>
      </w:pPr>
      <w:r>
        <w:rPr>
          <w:rFonts w:hint="eastAsia" w:ascii="宋体" w:hAnsi="宋体"/>
          <w:snapToGrid w:val="0"/>
          <w:color w:val="auto"/>
          <w:kern w:val="0"/>
          <w:sz w:val="24"/>
          <w:szCs w:val="24"/>
          <w:highlight w:val="none"/>
        </w:rPr>
        <w:t>2、</w:t>
      </w:r>
      <w:r>
        <w:rPr>
          <w:rFonts w:ascii="宋体" w:hAnsi="宋体"/>
          <w:snapToGrid w:val="0"/>
          <w:color w:val="auto"/>
          <w:kern w:val="0"/>
          <w:sz w:val="24"/>
          <w:szCs w:val="24"/>
          <w:highlight w:val="none"/>
        </w:rPr>
        <w:t>对竞争性谈判、竞争性磋商</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询价、</w:t>
      </w:r>
      <w:r>
        <w:rPr>
          <w:rFonts w:hint="eastAsia" w:ascii="宋体" w:hAnsi="宋体"/>
          <w:snapToGrid w:val="0"/>
          <w:color w:val="auto"/>
          <w:kern w:val="0"/>
          <w:sz w:val="24"/>
          <w:szCs w:val="24"/>
          <w:highlight w:val="none"/>
        </w:rPr>
        <w:t>比选或单一来源</w:t>
      </w:r>
      <w:r>
        <w:rPr>
          <w:rFonts w:ascii="宋体" w:hAnsi="宋体"/>
          <w:snapToGrid w:val="0"/>
          <w:color w:val="auto"/>
          <w:kern w:val="0"/>
          <w:sz w:val="24"/>
          <w:szCs w:val="24"/>
          <w:highlight w:val="none"/>
        </w:rPr>
        <w:t>采购项目，如果在竞争性谈判文件</w:t>
      </w:r>
      <w:r>
        <w:rPr>
          <w:rFonts w:hint="eastAsia" w:ascii="宋体" w:hAnsi="宋体"/>
          <w:snapToGrid w:val="0"/>
          <w:color w:val="auto"/>
          <w:kern w:val="0"/>
          <w:sz w:val="24"/>
          <w:szCs w:val="24"/>
          <w:highlight w:val="none"/>
        </w:rPr>
        <w:t>、竞争性磋商文件、</w:t>
      </w:r>
      <w:r>
        <w:rPr>
          <w:rFonts w:ascii="宋体" w:hAnsi="宋体"/>
          <w:snapToGrid w:val="0"/>
          <w:color w:val="auto"/>
          <w:kern w:val="0"/>
          <w:sz w:val="24"/>
          <w:szCs w:val="24"/>
          <w:highlight w:val="none"/>
        </w:rPr>
        <w:t>询价文件</w:t>
      </w:r>
      <w:r>
        <w:rPr>
          <w:rFonts w:hint="eastAsia" w:ascii="宋体" w:hAnsi="宋体"/>
          <w:snapToGrid w:val="0"/>
          <w:color w:val="auto"/>
          <w:kern w:val="0"/>
          <w:sz w:val="24"/>
          <w:szCs w:val="24"/>
          <w:highlight w:val="none"/>
        </w:rPr>
        <w:t>、比选文件、单一来源采购文件</w:t>
      </w:r>
      <w:r>
        <w:rPr>
          <w:rFonts w:ascii="宋体" w:hAnsi="宋体"/>
          <w:snapToGrid w:val="0"/>
          <w:color w:val="auto"/>
          <w:kern w:val="0"/>
          <w:sz w:val="24"/>
          <w:szCs w:val="24"/>
          <w:highlight w:val="none"/>
        </w:rPr>
        <w:t>中要求供应商提交</w:t>
      </w:r>
      <w:r>
        <w:rPr>
          <w:rFonts w:ascii="宋体" w:hAnsi="宋体"/>
          <w:bCs/>
          <w:snapToGrid w:val="0"/>
          <w:color w:val="auto"/>
          <w:kern w:val="0"/>
          <w:sz w:val="24"/>
          <w:szCs w:val="24"/>
          <w:highlight w:val="none"/>
        </w:rPr>
        <w:t>保证金</w:t>
      </w:r>
      <w:r>
        <w:rPr>
          <w:rFonts w:hint="eastAsia" w:ascii="宋体" w:hAnsi="宋体"/>
          <w:bCs/>
          <w:snapToGrid w:val="0"/>
          <w:color w:val="auto"/>
          <w:kern w:val="0"/>
          <w:sz w:val="24"/>
          <w:szCs w:val="24"/>
          <w:highlight w:val="none"/>
        </w:rPr>
        <w:t>的</w:t>
      </w:r>
      <w:r>
        <w:rPr>
          <w:rFonts w:ascii="宋体" w:hAnsi="宋体"/>
          <w:snapToGrid w:val="0"/>
          <w:color w:val="auto"/>
          <w:kern w:val="0"/>
          <w:sz w:val="24"/>
          <w:szCs w:val="24"/>
          <w:highlight w:val="none"/>
        </w:rPr>
        <w:t>，则表示</w:t>
      </w:r>
      <w:r>
        <w:rPr>
          <w:rFonts w:ascii="宋体" w:hAnsi="宋体"/>
          <w:color w:val="auto"/>
          <w:sz w:val="24"/>
          <w:szCs w:val="24"/>
          <w:highlight w:val="none"/>
        </w:rPr>
        <w:t>本须知</w:t>
      </w:r>
      <w:r>
        <w:rPr>
          <w:rFonts w:ascii="宋体" w:hAnsi="宋体"/>
          <w:snapToGrid w:val="0"/>
          <w:color w:val="auto"/>
          <w:kern w:val="0"/>
          <w:sz w:val="24"/>
          <w:szCs w:val="24"/>
          <w:highlight w:val="none"/>
        </w:rPr>
        <w:t>有关投标保证金提交和退还的规定将同样适用于对应的竞争性谈判</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询价</w:t>
      </w:r>
      <w:r>
        <w:rPr>
          <w:rFonts w:hint="eastAsia" w:ascii="宋体" w:hAnsi="宋体"/>
          <w:snapToGrid w:val="0"/>
          <w:color w:val="auto"/>
          <w:kern w:val="0"/>
          <w:sz w:val="24"/>
          <w:szCs w:val="24"/>
          <w:highlight w:val="none"/>
        </w:rPr>
        <w:t>或比选</w:t>
      </w:r>
      <w:r>
        <w:rPr>
          <w:rFonts w:ascii="宋体" w:hAnsi="宋体"/>
          <w:snapToGrid w:val="0"/>
          <w:color w:val="auto"/>
          <w:kern w:val="0"/>
          <w:sz w:val="24"/>
          <w:szCs w:val="24"/>
          <w:highlight w:val="none"/>
        </w:rPr>
        <w:t>采购项目</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此时，</w:t>
      </w:r>
      <w:r>
        <w:rPr>
          <w:rFonts w:ascii="宋体" w:hAnsi="宋体"/>
          <w:color w:val="auto"/>
          <w:sz w:val="24"/>
          <w:szCs w:val="24"/>
          <w:highlight w:val="none"/>
        </w:rPr>
        <w:t>本须知</w:t>
      </w:r>
      <w:r>
        <w:rPr>
          <w:rFonts w:ascii="宋体" w:hAnsi="宋体"/>
          <w:snapToGrid w:val="0"/>
          <w:color w:val="auto"/>
          <w:kern w:val="0"/>
          <w:sz w:val="24"/>
          <w:szCs w:val="24"/>
          <w:highlight w:val="none"/>
        </w:rPr>
        <w:t>中的“投标人”应理解为参加谈判</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报价的“供应商”；“中标人”应理解为“成交人”；“未中标人”应理解为“未成交人”；</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中标通知书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应理解为</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成交通知书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w:t>
      </w:r>
      <w:r>
        <w:rPr>
          <w:rFonts w:hint="eastAsia" w:ascii="宋体" w:hAnsi="宋体"/>
          <w:snapToGrid w:val="0"/>
          <w:color w:val="auto"/>
          <w:kern w:val="0"/>
          <w:sz w:val="24"/>
          <w:szCs w:val="24"/>
          <w:highlight w:val="none"/>
        </w:rPr>
        <w:t>《未</w:t>
      </w:r>
      <w:r>
        <w:rPr>
          <w:rFonts w:ascii="宋体" w:hAnsi="宋体"/>
          <w:snapToGrid w:val="0"/>
          <w:color w:val="auto"/>
          <w:kern w:val="0"/>
          <w:sz w:val="24"/>
          <w:szCs w:val="24"/>
          <w:highlight w:val="none"/>
        </w:rPr>
        <w:t>中标通知书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应理解为</w:t>
      </w:r>
      <w:r>
        <w:rPr>
          <w:rFonts w:hint="eastAsia" w:ascii="宋体" w:hAnsi="宋体"/>
          <w:snapToGrid w:val="0"/>
          <w:color w:val="auto"/>
          <w:kern w:val="0"/>
          <w:sz w:val="24"/>
          <w:szCs w:val="24"/>
          <w:highlight w:val="none"/>
        </w:rPr>
        <w:t>《未成交</w:t>
      </w:r>
      <w:r>
        <w:rPr>
          <w:rFonts w:ascii="宋体" w:hAnsi="宋体"/>
          <w:snapToGrid w:val="0"/>
          <w:color w:val="auto"/>
          <w:kern w:val="0"/>
          <w:sz w:val="24"/>
          <w:szCs w:val="24"/>
          <w:highlight w:val="none"/>
        </w:rPr>
        <w:t>通知书</w:t>
      </w:r>
      <w:r>
        <w:rPr>
          <w:rFonts w:hint="eastAsia" w:ascii="宋体" w:hAnsi="宋体"/>
          <w:snapToGrid w:val="0"/>
          <w:color w:val="auto"/>
          <w:kern w:val="0"/>
          <w:sz w:val="24"/>
          <w:szCs w:val="24"/>
          <w:highlight w:val="none"/>
        </w:rPr>
        <w:t>》</w:t>
      </w:r>
      <w:r>
        <w:rPr>
          <w:rFonts w:ascii="宋体" w:hAnsi="宋体"/>
          <w:snapToGrid w:val="0"/>
          <w:color w:val="auto"/>
          <w:kern w:val="0"/>
          <w:sz w:val="24"/>
          <w:szCs w:val="24"/>
          <w:highlight w:val="none"/>
        </w:rPr>
        <w:t>。</w:t>
      </w:r>
    </w:p>
    <w:p>
      <w:pPr>
        <w:pStyle w:val="40"/>
        <w:spacing w:line="360" w:lineRule="auto"/>
        <w:ind w:firstLine="420"/>
        <w:rPr>
          <w:rFonts w:ascii="宋体" w:hAnsi="宋体" w:cs="宋体"/>
          <w:color w:val="auto"/>
          <w:highlight w:val="none"/>
        </w:rPr>
      </w:pPr>
    </w:p>
    <w:p>
      <w:pPr>
        <w:pStyle w:val="4"/>
        <w:keepNext w:val="0"/>
        <w:keepLines w:val="0"/>
        <w:spacing w:before="0" w:after="0" w:line="360" w:lineRule="auto"/>
        <w:jc w:val="center"/>
        <w:rPr>
          <w:rFonts w:hint="eastAsia" w:ascii="宋体" w:hAnsi="宋体" w:cs="宋体"/>
          <w:color w:val="auto"/>
          <w:szCs w:val="44"/>
          <w:highlight w:val="none"/>
        </w:rPr>
      </w:pPr>
      <w:bookmarkStart w:id="216" w:name="_Toc18847"/>
      <w:bookmarkEnd w:id="216"/>
      <w:bookmarkStart w:id="217" w:name="_Toc375213739"/>
      <w:bookmarkEnd w:id="217"/>
      <w:bookmarkStart w:id="218" w:name="_Toc295339643"/>
      <w:bookmarkEnd w:id="218"/>
      <w:bookmarkStart w:id="219" w:name="_Toc388529349"/>
      <w:bookmarkEnd w:id="219"/>
      <w:bookmarkStart w:id="220" w:name="_Toc294383742"/>
      <w:bookmarkEnd w:id="220"/>
      <w:bookmarkStart w:id="221" w:name="_Toc762"/>
      <w:bookmarkEnd w:id="221"/>
      <w:bookmarkStart w:id="222" w:name="_Toc388529347"/>
      <w:bookmarkEnd w:id="222"/>
      <w:bookmarkStart w:id="223" w:name="_Toc372754680"/>
      <w:bookmarkEnd w:id="223"/>
      <w:bookmarkStart w:id="224" w:name="_Toc388529348"/>
      <w:bookmarkEnd w:id="224"/>
      <w:bookmarkStart w:id="225" w:name="_Toc288164077"/>
      <w:bookmarkEnd w:id="225"/>
      <w:bookmarkStart w:id="226" w:name="_Toc19353"/>
      <w:bookmarkEnd w:id="226"/>
      <w:bookmarkStart w:id="227" w:name="_Toc402466058"/>
      <w:bookmarkEnd w:id="227"/>
      <w:bookmarkStart w:id="228" w:name="_Toc294383740"/>
      <w:bookmarkEnd w:id="228"/>
      <w:r>
        <w:rPr>
          <w:rFonts w:hint="eastAsia" w:ascii="宋体" w:hAnsi="宋体" w:cs="宋体"/>
          <w:color w:val="auto"/>
          <w:sz w:val="24"/>
          <w:szCs w:val="24"/>
          <w:highlight w:val="none"/>
        </w:rPr>
        <w:br w:type="page"/>
      </w:r>
      <w:bookmarkStart w:id="229" w:name="_Toc392227805"/>
      <w:bookmarkStart w:id="230" w:name="_Toc12056"/>
      <w:bookmarkStart w:id="231" w:name="_Toc26241"/>
      <w:bookmarkStart w:id="232" w:name="_Toc457747979"/>
      <w:bookmarkStart w:id="233" w:name="_Toc8374"/>
      <w:r>
        <w:rPr>
          <w:rFonts w:hint="eastAsia" w:ascii="宋体" w:hAnsi="宋体" w:cs="宋体"/>
          <w:color w:val="auto"/>
          <w:sz w:val="32"/>
          <w:szCs w:val="32"/>
          <w:highlight w:val="none"/>
        </w:rPr>
        <w:t>第三章 评标方法</w:t>
      </w:r>
      <w:bookmarkEnd w:id="229"/>
      <w:bookmarkEnd w:id="230"/>
      <w:bookmarkEnd w:id="231"/>
      <w:bookmarkEnd w:id="232"/>
      <w:bookmarkEnd w:id="233"/>
    </w:p>
    <w:p>
      <w:pPr>
        <w:spacing w:line="360" w:lineRule="auto"/>
        <w:ind w:firstLine="480" w:firstLineChars="200"/>
        <w:rPr>
          <w:rFonts w:hint="eastAsia" w:ascii="宋体" w:hAnsi="宋体" w:cs="宋体"/>
          <w:b/>
          <w:bCs/>
          <w:snapToGrid w:val="0"/>
          <w:color w:val="auto"/>
          <w:kern w:val="0"/>
          <w:sz w:val="24"/>
          <w:highlight w:val="none"/>
        </w:rPr>
      </w:pPr>
      <w:r>
        <w:rPr>
          <w:rFonts w:hint="eastAsia" w:ascii="宋体" w:hAnsi="宋体" w:cs="宋体"/>
          <w:snapToGrid w:val="0"/>
          <w:color w:val="auto"/>
          <w:kern w:val="0"/>
          <w:sz w:val="24"/>
          <w:highlight w:val="none"/>
          <w:lang w:val="zh-CN"/>
        </w:rPr>
        <w:t>根据《中华人民共和国政府采购法》、《中华人民共和国政府采购法实施条例》和</w:t>
      </w:r>
      <w:r>
        <w:rPr>
          <w:rFonts w:hint="eastAsia" w:ascii="宋体" w:hAnsi="宋体" w:cs="宋体"/>
          <w:color w:val="auto"/>
          <w:sz w:val="24"/>
          <w:szCs w:val="24"/>
          <w:highlight w:val="none"/>
        </w:rPr>
        <w:t>《政府采购货物和服务招标投标管理办法（财政部令2017年第87号）》</w:t>
      </w:r>
      <w:r>
        <w:rPr>
          <w:rFonts w:hint="eastAsia" w:ascii="宋体" w:hAnsi="宋体" w:cs="宋体"/>
          <w:snapToGrid w:val="0"/>
          <w:color w:val="auto"/>
          <w:kern w:val="0"/>
          <w:sz w:val="24"/>
          <w:highlight w:val="none"/>
          <w:lang w:val="zh-CN"/>
        </w:rPr>
        <w:t>的有关规定，并结合本项目招标文件中的有关要求，特制定本办法。</w:t>
      </w:r>
    </w:p>
    <w:p>
      <w:pPr>
        <w:pStyle w:val="17"/>
        <w:spacing w:line="360" w:lineRule="auto"/>
        <w:outlineLvl w:val="2"/>
        <w:rPr>
          <w:rFonts w:hint="eastAsia" w:hAnsi="宋体" w:cs="宋体"/>
          <w:b/>
          <w:snapToGrid w:val="0"/>
          <w:color w:val="auto"/>
          <w:kern w:val="0"/>
          <w:sz w:val="24"/>
          <w:szCs w:val="24"/>
          <w:highlight w:val="none"/>
        </w:rPr>
      </w:pPr>
      <w:r>
        <w:rPr>
          <w:rFonts w:hint="eastAsia" w:hAnsi="宋体" w:cs="宋体"/>
          <w:b/>
          <w:snapToGrid w:val="0"/>
          <w:color w:val="auto"/>
          <w:kern w:val="0"/>
          <w:sz w:val="24"/>
          <w:szCs w:val="24"/>
          <w:highlight w:val="none"/>
        </w:rPr>
        <w:t>一、评标原则</w:t>
      </w:r>
    </w:p>
    <w:p>
      <w:pPr>
        <w:widowControl/>
        <w:numPr>
          <w:ilvl w:val="0"/>
          <w:numId w:val="12"/>
        </w:num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由依法组建的评标委员会对</w:t>
      </w:r>
      <w:r>
        <w:rPr>
          <w:rFonts w:hint="eastAsia" w:ascii="宋体" w:hAnsi="宋体" w:cs="宋体"/>
          <w:color w:val="auto"/>
          <w:sz w:val="24"/>
          <w:szCs w:val="24"/>
          <w:highlight w:val="none"/>
        </w:rPr>
        <w:t>符合资格的投标人的投标文件进行符合性审查，以确定其是否满足招标文件的实质性要求，</w:t>
      </w:r>
      <w:r>
        <w:rPr>
          <w:rFonts w:hint="eastAsia" w:ascii="宋体" w:hAnsi="宋体" w:cs="宋体"/>
          <w:snapToGrid w:val="0"/>
          <w:color w:val="auto"/>
          <w:kern w:val="0"/>
          <w:sz w:val="24"/>
          <w:highlight w:val="none"/>
        </w:rPr>
        <w:t>通过符合性审查的投标文件才可以进入详细评审。</w:t>
      </w:r>
    </w:p>
    <w:p>
      <w:pPr>
        <w:widowControl/>
        <w:numPr>
          <w:ilvl w:val="0"/>
          <w:numId w:val="12"/>
        </w:num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详细评审采用综合评分法，投标人的综合得分为投标人价格分和技术商务分的合计得分，总分为100分；其中价格分为30分、技术商务分为70分。</w:t>
      </w:r>
      <w:bookmarkStart w:id="234" w:name="OLE_LINK3"/>
      <w:bookmarkStart w:id="235" w:name="OLE_LINK5"/>
      <w:r>
        <w:rPr>
          <w:rFonts w:hint="eastAsia" w:ascii="宋体" w:hAnsi="宋体" w:cs="宋体"/>
          <w:snapToGrid w:val="0"/>
          <w:color w:val="auto"/>
          <w:kern w:val="0"/>
          <w:sz w:val="24"/>
          <w:highlight w:val="none"/>
        </w:rPr>
        <w:t>技术商务依据评标委员会打分合计后的算术平均值作为投标人技术商务分</w:t>
      </w:r>
      <w:bookmarkEnd w:id="234"/>
      <w:bookmarkEnd w:id="235"/>
      <w:r>
        <w:rPr>
          <w:rFonts w:hint="eastAsia" w:ascii="宋体" w:hAnsi="宋体" w:cs="宋体"/>
          <w:snapToGrid w:val="0"/>
          <w:color w:val="auto"/>
          <w:kern w:val="0"/>
          <w:sz w:val="24"/>
          <w:highlight w:val="none"/>
        </w:rPr>
        <w:t>。评分分值计算保留小数点后2位，小数点后第3位“四舍五入”。</w:t>
      </w:r>
    </w:p>
    <w:p>
      <w:pPr>
        <w:widowControl/>
        <w:numPr>
          <w:ilvl w:val="0"/>
          <w:numId w:val="12"/>
        </w:numPr>
        <w:snapToGrid w:val="0"/>
        <w:spacing w:line="360" w:lineRule="auto"/>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评标委员会成员对需要共同认定的事项存在争议的，应当按照少数服从多数的原则作出结论。持不同意见的评标委员会成员应当在评标报告上签署不同意见及理由，否则视为同意评标报告。</w:t>
      </w:r>
    </w:p>
    <w:p>
      <w:pPr>
        <w:pStyle w:val="17"/>
        <w:spacing w:line="360" w:lineRule="auto"/>
        <w:outlineLvl w:val="2"/>
        <w:rPr>
          <w:rFonts w:hint="eastAsia" w:hAnsi="宋体" w:cs="宋体"/>
          <w:b/>
          <w:snapToGrid w:val="0"/>
          <w:color w:val="auto"/>
          <w:kern w:val="0"/>
          <w:sz w:val="24"/>
          <w:szCs w:val="24"/>
          <w:highlight w:val="none"/>
        </w:rPr>
      </w:pPr>
      <w:r>
        <w:rPr>
          <w:rFonts w:hint="eastAsia" w:hAnsi="宋体" w:cs="宋体"/>
          <w:b/>
          <w:snapToGrid w:val="0"/>
          <w:color w:val="auto"/>
          <w:kern w:val="0"/>
          <w:sz w:val="24"/>
          <w:szCs w:val="24"/>
          <w:highlight w:val="none"/>
        </w:rPr>
        <w:t>二、评标程序</w:t>
      </w:r>
    </w:p>
    <w:p>
      <w:pPr>
        <w:pStyle w:val="17"/>
        <w:spacing w:line="360" w:lineRule="auto"/>
        <w:outlineLvl w:val="2"/>
        <w:rPr>
          <w:rFonts w:hint="eastAsia" w:hAnsi="宋体" w:cs="宋体"/>
          <w:b/>
          <w:snapToGrid w:val="0"/>
          <w:color w:val="auto"/>
          <w:kern w:val="0"/>
          <w:sz w:val="24"/>
          <w:szCs w:val="24"/>
          <w:highlight w:val="none"/>
        </w:rPr>
      </w:pPr>
      <w:r>
        <w:rPr>
          <w:rFonts w:hint="eastAsia" w:hAnsi="宋体" w:cs="宋体"/>
          <w:b/>
          <w:snapToGrid w:val="0"/>
          <w:color w:val="auto"/>
          <w:kern w:val="0"/>
          <w:sz w:val="24"/>
          <w:highlight w:val="none"/>
        </w:rPr>
        <w:t xml:space="preserve">(一) </w:t>
      </w:r>
      <w:r>
        <w:rPr>
          <w:rFonts w:hint="eastAsia" w:hAnsi="宋体" w:cs="宋体"/>
          <w:b/>
          <w:snapToGrid w:val="0"/>
          <w:color w:val="auto"/>
          <w:kern w:val="0"/>
          <w:sz w:val="24"/>
          <w:szCs w:val="24"/>
          <w:highlight w:val="none"/>
        </w:rPr>
        <w:t>符合性评审</w:t>
      </w:r>
    </w:p>
    <w:p>
      <w:pPr>
        <w:widowControl/>
        <w:snapToGrid w:val="0"/>
        <w:spacing w:line="360" w:lineRule="auto"/>
        <w:ind w:firstLine="482" w:firstLineChars="200"/>
        <w:rPr>
          <w:rFonts w:hint="eastAsia" w:ascii="宋体" w:hAnsi="宋体" w:cs="宋体"/>
          <w:b/>
          <w:snapToGrid w:val="0"/>
          <w:color w:val="auto"/>
          <w:kern w:val="0"/>
          <w:sz w:val="24"/>
          <w:highlight w:val="none"/>
        </w:rPr>
      </w:pPr>
      <w:r>
        <w:rPr>
          <w:rFonts w:hint="eastAsia" w:ascii="宋体" w:hAnsi="宋体" w:cs="宋体"/>
          <w:b/>
          <w:bCs/>
          <w:snapToGrid w:val="0"/>
          <w:color w:val="auto"/>
          <w:kern w:val="0"/>
          <w:sz w:val="24"/>
          <w:highlight w:val="none"/>
        </w:rPr>
        <w:t>投标人有以下情形之一的，投标无效：</w:t>
      </w:r>
    </w:p>
    <w:p>
      <w:pPr>
        <w:widowControl/>
        <w:numPr>
          <w:ilvl w:val="0"/>
          <w:numId w:val="13"/>
        </w:numPr>
        <w:snapToGrid w:val="0"/>
        <w:spacing w:line="360" w:lineRule="auto"/>
        <w:ind w:left="425" w:hanging="424" w:hangingChars="177"/>
        <w:rPr>
          <w:rFonts w:hint="eastAsia" w:ascii="宋体" w:hAnsi="宋体" w:cs="宋体"/>
          <w:color w:val="auto"/>
          <w:sz w:val="24"/>
          <w:szCs w:val="24"/>
          <w:highlight w:val="none"/>
        </w:rPr>
      </w:pPr>
      <w:r>
        <w:rPr>
          <w:rFonts w:hint="eastAsia" w:ascii="宋体" w:hAnsi="宋体" w:cs="宋体"/>
          <w:color w:val="auto"/>
          <w:sz w:val="24"/>
          <w:szCs w:val="24"/>
          <w:highlight w:val="none"/>
        </w:rPr>
        <w:t>未按照招标文件的规定提交投标保证金的。</w:t>
      </w:r>
    </w:p>
    <w:p>
      <w:pPr>
        <w:widowControl/>
        <w:numPr>
          <w:ilvl w:val="0"/>
          <w:numId w:val="13"/>
        </w:numPr>
        <w:snapToGrid w:val="0"/>
        <w:spacing w:line="360" w:lineRule="auto"/>
        <w:ind w:left="425" w:hanging="424" w:hangingChars="177"/>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投标文件未按招标文件要求签署、盖章的。</w:t>
      </w:r>
    </w:p>
    <w:p>
      <w:pPr>
        <w:widowControl/>
        <w:numPr>
          <w:ilvl w:val="0"/>
          <w:numId w:val="13"/>
        </w:numPr>
        <w:snapToGrid w:val="0"/>
        <w:spacing w:line="360" w:lineRule="auto"/>
        <w:ind w:left="425" w:hanging="424" w:hangingChars="177"/>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投标人资质条件不符合招标文件要求；</w:t>
      </w:r>
    </w:p>
    <w:p>
      <w:pPr>
        <w:widowControl/>
        <w:numPr>
          <w:ilvl w:val="0"/>
          <w:numId w:val="13"/>
        </w:numPr>
        <w:snapToGrid w:val="0"/>
        <w:spacing w:line="360" w:lineRule="auto"/>
        <w:ind w:left="425" w:hanging="424" w:hangingChars="177"/>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投标报价超过招标文件中规定的预算金额或者最高限价的。</w:t>
      </w:r>
    </w:p>
    <w:p>
      <w:pPr>
        <w:widowControl/>
        <w:numPr>
          <w:ilvl w:val="0"/>
          <w:numId w:val="13"/>
        </w:numPr>
        <w:snapToGrid w:val="0"/>
        <w:spacing w:line="360" w:lineRule="auto"/>
        <w:ind w:left="425" w:hanging="424" w:hangingChars="177"/>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投标文件含有采购人不能接受的附加条件的。</w:t>
      </w:r>
    </w:p>
    <w:p>
      <w:pPr>
        <w:widowControl/>
        <w:numPr>
          <w:ilvl w:val="0"/>
          <w:numId w:val="13"/>
        </w:numPr>
        <w:snapToGrid w:val="0"/>
        <w:spacing w:line="360" w:lineRule="auto"/>
        <w:ind w:left="425" w:hanging="424" w:hangingChars="177"/>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法律、法规和招标文件规定的其他无效情形</w:t>
      </w:r>
      <w:r>
        <w:rPr>
          <w:rFonts w:hint="eastAsia" w:ascii="宋体" w:hAnsi="宋体" w:cs="宋体"/>
          <w:snapToGrid w:val="0"/>
          <w:color w:val="auto"/>
          <w:kern w:val="0"/>
          <w:sz w:val="24"/>
          <w:highlight w:val="none"/>
        </w:rPr>
        <w:t>。</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同一投标人提交两个以上不同的投标文件或者投标报价，但招标文件要求提交备选投标的除外。</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 xml:space="preserve"> 投标人的报价有缺漏项或投标人不确认修正后的报价的</w:t>
      </w:r>
      <w:r>
        <w:rPr>
          <w:rFonts w:hint="eastAsia" w:ascii="宋体" w:hAnsi="宋体" w:cs="宋体"/>
          <w:snapToGrid w:val="0"/>
          <w:color w:val="auto"/>
          <w:kern w:val="0"/>
          <w:sz w:val="24"/>
          <w:highlight w:val="none"/>
        </w:rPr>
        <w:t>；</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投标有效期不足的；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zh-CN"/>
        </w:rPr>
        <w:t>投标文件非法定代表人（单位负责人）签字时，无法定代表人（单位负责人）有效授权书的；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w:t>
      </w:r>
      <w:r>
        <w:rPr>
          <w:rFonts w:hint="eastAsia" w:ascii="宋体" w:hAnsi="宋体" w:cs="宋体"/>
          <w:snapToGrid w:val="0"/>
          <w:color w:val="auto"/>
          <w:kern w:val="0"/>
          <w:sz w:val="24"/>
          <w:highlight w:val="none"/>
          <w:lang w:val="zh-CN"/>
        </w:rPr>
        <w:t>投标人的“投标函”或“开标一览表”或招标文件要求的证明文件未提供</w:t>
      </w:r>
      <w:r>
        <w:rPr>
          <w:rFonts w:hint="eastAsia" w:ascii="宋体" w:hAnsi="宋体" w:cs="宋体"/>
          <w:snapToGrid w:val="0"/>
          <w:color w:val="auto"/>
          <w:kern w:val="0"/>
          <w:sz w:val="24"/>
          <w:highlight w:val="none"/>
        </w:rPr>
        <w:t>的或提供的资料不符合招标文件要求的</w:t>
      </w:r>
      <w:r>
        <w:rPr>
          <w:rFonts w:hint="eastAsia" w:ascii="宋体" w:hAnsi="宋体" w:cs="宋体"/>
          <w:snapToGrid w:val="0"/>
          <w:color w:val="auto"/>
          <w:kern w:val="0"/>
          <w:sz w:val="24"/>
          <w:highlight w:val="none"/>
          <w:lang w:val="zh-CN"/>
        </w:rPr>
        <w:t>；</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投标人不按评标委员会要求澄清、说明或补正的；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投标人为招标人不具有独立法人资格的附属机构（单位）的；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投标人与本招标项目的其他投标人为同一单位负责人的；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 xml:space="preserve"> 投标人与本招标项目的其他投标人存在控股、管理关系的；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投标人被依法暂停或取消投标资格的；</w:t>
      </w:r>
    </w:p>
    <w:p>
      <w:pPr>
        <w:widowControl/>
        <w:numPr>
          <w:ilvl w:val="1"/>
          <w:numId w:val="13"/>
        </w:numPr>
        <w:snapToGrid w:val="0"/>
        <w:spacing w:line="360" w:lineRule="auto"/>
        <w:ind w:left="879" w:leftChars="190" w:hanging="480" w:hangingChars="20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投标人被责令停业，暂扣或吊销执照，或吊销资质证书的；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投标人进入清算程序，或被宣告破产，或其他丧失履约能力的情形的；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投标人被市场监管机关在国家企业信用信息公示系统中列入严重违法失信企业名单的；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投标人或其法定代表人被最高人民法院在“信用中国”网站列入失信被执行人名单的；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投标人被列入重大税收违法案件当事人名单、政府采购严重违法失信行为记录名单的；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在近三年内投标人或其法定代表人、拟委任的项目负责人有行贿犯罪行为的；</w:t>
      </w:r>
    </w:p>
    <w:p>
      <w:pPr>
        <w:widowControl/>
        <w:numPr>
          <w:ilvl w:val="1"/>
          <w:numId w:val="13"/>
        </w:numPr>
        <w:snapToGrid w:val="0"/>
        <w:spacing w:line="360" w:lineRule="auto"/>
        <w:ind w:left="1023" w:leftChars="190" w:hanging="624" w:hangingChars="26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其他未对招标文件实质性要求和条件作出响应的：</w:t>
      </w:r>
    </w:p>
    <w:p>
      <w:pPr>
        <w:widowControl/>
        <w:numPr>
          <w:ilvl w:val="2"/>
          <w:numId w:val="13"/>
        </w:numPr>
        <w:snapToGrid w:val="0"/>
        <w:spacing w:line="360" w:lineRule="auto"/>
        <w:ind w:left="960" w:leftChars="457"/>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lang w:val="zh-CN"/>
        </w:rPr>
        <w:t>投标文件不满足招标文件加注星号（</w:t>
      </w:r>
      <w:r>
        <w:rPr>
          <w:rFonts w:hint="eastAsia" w:ascii="宋体" w:hAnsi="宋体" w:cs="宋体"/>
          <w:snapToGrid w:val="0"/>
          <w:color w:val="auto"/>
          <w:kern w:val="0"/>
          <w:sz w:val="24"/>
          <w:highlight w:val="none"/>
          <w:lang w:val="fi-FI"/>
        </w:rPr>
        <w:t>“★”</w:t>
      </w:r>
      <w:r>
        <w:rPr>
          <w:rFonts w:hint="eastAsia" w:ascii="宋体" w:hAnsi="宋体" w:cs="宋体"/>
          <w:snapToGrid w:val="0"/>
          <w:color w:val="auto"/>
          <w:kern w:val="0"/>
          <w:sz w:val="24"/>
          <w:highlight w:val="none"/>
          <w:lang w:val="zh-CN"/>
        </w:rPr>
        <w:t>）的条款或参数要求的；</w:t>
      </w:r>
    </w:p>
    <w:p>
      <w:pPr>
        <w:widowControl/>
        <w:numPr>
          <w:ilvl w:val="2"/>
          <w:numId w:val="13"/>
        </w:numPr>
        <w:snapToGrid w:val="0"/>
        <w:spacing w:line="360" w:lineRule="auto"/>
        <w:ind w:left="960" w:leftChars="457"/>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rPr>
        <w:t>未提供近3年投标人重大违法的书面声明；</w:t>
      </w:r>
    </w:p>
    <w:p>
      <w:pPr>
        <w:widowControl/>
        <w:numPr>
          <w:ilvl w:val="2"/>
          <w:numId w:val="13"/>
        </w:numPr>
        <w:snapToGrid w:val="0"/>
        <w:spacing w:line="360" w:lineRule="auto"/>
        <w:ind w:left="960" w:leftChars="457"/>
        <w:rPr>
          <w:rFonts w:hint="eastAsia" w:ascii="宋体" w:hAnsi="宋体" w:cs="宋体"/>
          <w:snapToGrid w:val="0"/>
          <w:color w:val="auto"/>
          <w:kern w:val="0"/>
          <w:sz w:val="24"/>
          <w:highlight w:val="none"/>
          <w:lang w:val="zh-CN"/>
        </w:rPr>
      </w:pPr>
      <w:r>
        <w:rPr>
          <w:rFonts w:hint="eastAsia" w:ascii="宋体" w:hAnsi="宋体" w:cs="宋体"/>
          <w:snapToGrid w:val="0"/>
          <w:color w:val="auto"/>
          <w:kern w:val="0"/>
          <w:sz w:val="24"/>
          <w:highlight w:val="none"/>
        </w:rPr>
        <w:t>未提供近3年投标人无行贿犯罪情况的书面声明；</w:t>
      </w:r>
    </w:p>
    <w:p>
      <w:pPr>
        <w:widowControl/>
        <w:numPr>
          <w:ilvl w:val="0"/>
          <w:numId w:val="13"/>
        </w:numPr>
        <w:snapToGrid w:val="0"/>
        <w:spacing w:line="360" w:lineRule="auto"/>
        <w:ind w:left="425" w:hanging="424" w:hangingChars="177"/>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投标人有串通投标、弄虚作假、妨碍其他投标人的竞争、损害招标人或者其他投标人的合法权益等行为的。</w:t>
      </w:r>
    </w:p>
    <w:p>
      <w:pPr>
        <w:pStyle w:val="17"/>
        <w:spacing w:line="360" w:lineRule="auto"/>
        <w:outlineLvl w:val="2"/>
        <w:rPr>
          <w:rFonts w:hint="eastAsia" w:hAnsi="宋体" w:cs="宋体"/>
          <w:b/>
          <w:snapToGrid w:val="0"/>
          <w:color w:val="auto"/>
          <w:kern w:val="0"/>
          <w:sz w:val="24"/>
          <w:highlight w:val="none"/>
        </w:rPr>
      </w:pPr>
      <w:r>
        <w:rPr>
          <w:rFonts w:hint="eastAsia" w:hAnsi="宋体" w:cs="宋体"/>
          <w:b/>
          <w:bCs/>
          <w:snapToGrid w:val="0"/>
          <w:color w:val="auto"/>
          <w:kern w:val="0"/>
          <w:sz w:val="24"/>
          <w:highlight w:val="none"/>
        </w:rPr>
        <w:t>(二) 澄清</w:t>
      </w:r>
    </w:p>
    <w:p>
      <w:pPr>
        <w:adjustRightInd w:val="0"/>
        <w:snapToGrid w:val="0"/>
        <w:spacing w:line="360" w:lineRule="auto"/>
        <w:ind w:left="153" w:leftChars="73" w:firstLine="480" w:firstLineChars="200"/>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评标过程中，对于投标文件中含义不明确、同类问题表述不一致或者有明显文字和计算错误的内容，评标委员会应当以书面形式要求投标人在合理期限内作出必要的澄清、说明或者补正。投标人的澄清、说明或者补正应当采用书面形式，并加盖公章，或者由法定代表人（单位负责人）或其授权的代表签字。投标人的澄清、说明或者补正不得超出投标文件的范围或者改变投标文件的实质性内容</w:t>
      </w:r>
      <w:r>
        <w:rPr>
          <w:rFonts w:hint="eastAsia" w:ascii="宋体" w:hAnsi="宋体" w:cs="宋体"/>
          <w:snapToGrid w:val="0"/>
          <w:color w:val="auto"/>
          <w:kern w:val="0"/>
          <w:sz w:val="24"/>
          <w:highlight w:val="none"/>
        </w:rPr>
        <w:t>。评标委员会对投标人提交的回复有疑问的，可以要求投标人进一步澄清，直至满足评标委员会的要求。</w:t>
      </w:r>
    </w:p>
    <w:p>
      <w:pPr>
        <w:pStyle w:val="17"/>
        <w:spacing w:line="360" w:lineRule="auto"/>
        <w:outlineLvl w:val="2"/>
        <w:rPr>
          <w:rFonts w:hint="eastAsia" w:hAnsi="宋体" w:cs="宋体"/>
          <w:b/>
          <w:snapToGrid w:val="0"/>
          <w:color w:val="auto"/>
          <w:kern w:val="0"/>
          <w:sz w:val="24"/>
          <w:highlight w:val="none"/>
        </w:rPr>
      </w:pPr>
      <w:r>
        <w:rPr>
          <w:rFonts w:hint="eastAsia" w:hAnsi="宋体" w:cs="宋体"/>
          <w:b/>
          <w:snapToGrid w:val="0"/>
          <w:color w:val="auto"/>
          <w:kern w:val="0"/>
          <w:sz w:val="24"/>
          <w:szCs w:val="24"/>
          <w:highlight w:val="none"/>
        </w:rPr>
        <w:t xml:space="preserve">(三) </w:t>
      </w:r>
      <w:r>
        <w:rPr>
          <w:rFonts w:hint="eastAsia" w:hAnsi="宋体" w:cs="宋体"/>
          <w:b/>
          <w:bCs/>
          <w:snapToGrid w:val="0"/>
          <w:color w:val="auto"/>
          <w:kern w:val="0"/>
          <w:sz w:val="24"/>
          <w:highlight w:val="none"/>
        </w:rPr>
        <w:t>修正</w:t>
      </w:r>
    </w:p>
    <w:p>
      <w:pPr>
        <w:widowControl/>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投标文件报价出现前后不一致的，按照下列规定修正：</w:t>
      </w:r>
      <w:r>
        <w:rPr>
          <w:rFonts w:hint="eastAsia" w:ascii="宋体" w:hAnsi="宋体" w:cs="宋体"/>
          <w:snapToGrid w:val="0"/>
          <w:color w:val="auto"/>
          <w:kern w:val="0"/>
          <w:sz w:val="24"/>
          <w:highlight w:val="none"/>
        </w:rPr>
        <w:t xml:space="preserve"> </w:t>
      </w:r>
    </w:p>
    <w:p>
      <w:pPr>
        <w:numPr>
          <w:ilvl w:val="0"/>
          <w:numId w:val="14"/>
        </w:numPr>
        <w:adjustRightInd w:val="0"/>
        <w:snapToGrid w:val="0"/>
        <w:spacing w:line="360" w:lineRule="auto"/>
        <w:ind w:left="855" w:leftChars="229" w:hanging="374" w:hangingChars="156"/>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投标文件中开标一览表（报价表）内容与投标文件中相应内容不一致的，以开标一览表（报价表）为准；</w:t>
      </w:r>
    </w:p>
    <w:p>
      <w:pPr>
        <w:numPr>
          <w:ilvl w:val="0"/>
          <w:numId w:val="14"/>
        </w:numPr>
        <w:adjustRightInd w:val="0"/>
        <w:snapToGrid w:val="0"/>
        <w:spacing w:line="360" w:lineRule="auto"/>
        <w:ind w:left="855" w:leftChars="229" w:hanging="374" w:hangingChars="156"/>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大写金额和小写金额不一致的，以大写金额为准；</w:t>
      </w:r>
    </w:p>
    <w:p>
      <w:pPr>
        <w:numPr>
          <w:ilvl w:val="0"/>
          <w:numId w:val="14"/>
        </w:numPr>
        <w:adjustRightInd w:val="0"/>
        <w:snapToGrid w:val="0"/>
        <w:spacing w:line="360" w:lineRule="auto"/>
        <w:ind w:left="855" w:leftChars="229" w:hanging="374" w:hangingChars="156"/>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单价金额小数点或者百分比有明显错位的，以开标一览表的总价为准，并修改单价；</w:t>
      </w:r>
    </w:p>
    <w:p>
      <w:pPr>
        <w:numPr>
          <w:ilvl w:val="0"/>
          <w:numId w:val="14"/>
        </w:numPr>
        <w:adjustRightInd w:val="0"/>
        <w:snapToGrid w:val="0"/>
        <w:spacing w:line="360" w:lineRule="auto"/>
        <w:ind w:left="855" w:leftChars="229" w:hanging="374" w:hangingChars="156"/>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总价金额与按单价汇总金额不一致的，以单价金额计算结果为准。</w:t>
      </w:r>
    </w:p>
    <w:p>
      <w:pPr>
        <w:adjustRightInd w:val="0"/>
        <w:snapToGrid w:val="0"/>
        <w:spacing w:line="360" w:lineRule="auto"/>
        <w:ind w:firstLine="480" w:firstLineChars="200"/>
        <w:rPr>
          <w:rFonts w:hint="eastAsia" w:ascii="宋体" w:hAnsi="宋体" w:cs="宋体"/>
          <w:snapToGrid w:val="0"/>
          <w:color w:val="auto"/>
          <w:kern w:val="0"/>
          <w:sz w:val="24"/>
          <w:highlight w:val="none"/>
        </w:rPr>
      </w:pPr>
      <w:r>
        <w:rPr>
          <w:rFonts w:hint="eastAsia" w:ascii="宋体" w:hAnsi="宋体" w:cs="宋体"/>
          <w:color w:val="auto"/>
          <w:sz w:val="24"/>
          <w:szCs w:val="24"/>
          <w:highlight w:val="none"/>
        </w:rPr>
        <w:t>同时出现两种以上不一致的，按照前款规定的顺序修正。</w:t>
      </w:r>
      <w:r>
        <w:rPr>
          <w:rFonts w:hint="eastAsia" w:ascii="宋体" w:hAnsi="宋体" w:cs="宋体"/>
          <w:snapToGrid w:val="0"/>
          <w:color w:val="auto"/>
          <w:kern w:val="0"/>
          <w:sz w:val="24"/>
          <w:highlight w:val="none"/>
        </w:rPr>
        <w:t>评标委员会要求投标人对投标报价进行书面确认。投标人不确认的，其投标无效。</w:t>
      </w:r>
    </w:p>
    <w:p>
      <w:pPr>
        <w:pStyle w:val="17"/>
        <w:spacing w:line="360" w:lineRule="auto"/>
        <w:outlineLvl w:val="2"/>
        <w:rPr>
          <w:rFonts w:hint="eastAsia" w:hAnsi="宋体" w:cs="宋体"/>
          <w:b/>
          <w:snapToGrid w:val="0"/>
          <w:color w:val="auto"/>
          <w:kern w:val="0"/>
          <w:sz w:val="24"/>
          <w:szCs w:val="24"/>
          <w:highlight w:val="none"/>
        </w:rPr>
      </w:pPr>
      <w:r>
        <w:rPr>
          <w:rFonts w:hint="eastAsia" w:hAnsi="宋体" w:cs="宋体"/>
          <w:b/>
          <w:snapToGrid w:val="0"/>
          <w:color w:val="auto"/>
          <w:kern w:val="0"/>
          <w:sz w:val="24"/>
          <w:szCs w:val="24"/>
          <w:highlight w:val="none"/>
        </w:rPr>
        <w:t xml:space="preserve">(四) </w:t>
      </w:r>
      <w:r>
        <w:rPr>
          <w:rFonts w:hint="eastAsia" w:hAnsi="宋体" w:cs="宋体"/>
          <w:snapToGrid w:val="0"/>
          <w:color w:val="auto"/>
          <w:kern w:val="0"/>
          <w:sz w:val="24"/>
          <w:highlight w:val="none"/>
        </w:rPr>
        <w:t>评标委员会认为投标人的报价明显低于其他通过符合性审查投标人的报价，有可能影响产品质量或者不能诚信履约的，应当要求投标人在评标现场合理的时间内提供书面说明，必要时提交相关证明材料；投标人不能证明其报价合理性的，评标委员会应当将其作为无效投标处理。</w:t>
      </w:r>
    </w:p>
    <w:p>
      <w:pPr>
        <w:pStyle w:val="17"/>
        <w:spacing w:line="360" w:lineRule="auto"/>
        <w:outlineLvl w:val="2"/>
        <w:rPr>
          <w:rFonts w:hint="eastAsia" w:hAnsi="宋体" w:cs="宋体"/>
          <w:b/>
          <w:snapToGrid w:val="0"/>
          <w:color w:val="auto"/>
          <w:kern w:val="0"/>
          <w:sz w:val="24"/>
          <w:szCs w:val="24"/>
          <w:highlight w:val="none"/>
        </w:rPr>
      </w:pPr>
      <w:r>
        <w:rPr>
          <w:rFonts w:hint="eastAsia" w:hAnsi="宋体" w:cs="宋体"/>
          <w:b/>
          <w:snapToGrid w:val="0"/>
          <w:color w:val="auto"/>
          <w:kern w:val="0"/>
          <w:sz w:val="24"/>
          <w:szCs w:val="24"/>
          <w:highlight w:val="none"/>
        </w:rPr>
        <w:t>(五)详细评审</w:t>
      </w:r>
    </w:p>
    <w:p>
      <w:pPr>
        <w:adjustRightInd w:val="0"/>
        <w:snapToGrid w:val="0"/>
        <w:spacing w:line="360" w:lineRule="auto"/>
        <w:rPr>
          <w:rFonts w:hint="eastAsia" w:ascii="宋体" w:hAnsi="宋体" w:cs="宋体"/>
          <w:b/>
          <w:bCs/>
          <w:snapToGrid w:val="0"/>
          <w:color w:val="auto"/>
          <w:kern w:val="0"/>
          <w:sz w:val="24"/>
          <w:highlight w:val="none"/>
        </w:rPr>
      </w:pPr>
      <w:r>
        <w:rPr>
          <w:rFonts w:hint="eastAsia" w:ascii="宋体" w:hAnsi="宋体" w:cs="宋体"/>
          <w:b/>
          <w:snapToGrid w:val="0"/>
          <w:color w:val="auto"/>
          <w:kern w:val="0"/>
          <w:sz w:val="24"/>
          <w:highlight w:val="none"/>
        </w:rPr>
        <w:t>1、</w:t>
      </w:r>
      <w:r>
        <w:rPr>
          <w:rFonts w:hint="eastAsia" w:ascii="宋体" w:hAnsi="宋体" w:cs="宋体"/>
          <w:b/>
          <w:bCs/>
          <w:snapToGrid w:val="0"/>
          <w:color w:val="auto"/>
          <w:kern w:val="0"/>
          <w:sz w:val="24"/>
          <w:highlight w:val="none"/>
        </w:rPr>
        <w:t>技术商务部分</w:t>
      </w:r>
    </w:p>
    <w:tbl>
      <w:tblPr>
        <w:tblStyle w:val="32"/>
        <w:tblW w:w="473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1470"/>
        <w:gridCol w:w="775"/>
        <w:gridCol w:w="50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序号</w:t>
            </w:r>
          </w:p>
        </w:tc>
        <w:tc>
          <w:tcPr>
            <w:tcW w:w="918"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评审内容</w:t>
            </w:r>
          </w:p>
        </w:tc>
        <w:tc>
          <w:tcPr>
            <w:tcW w:w="484"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分值</w:t>
            </w:r>
          </w:p>
        </w:tc>
        <w:tc>
          <w:tcPr>
            <w:tcW w:w="3160"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37" w:type="pct"/>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918" w:type="pct"/>
            <w:vAlign w:val="center"/>
          </w:tcPr>
          <w:p>
            <w:pPr>
              <w:rPr>
                <w:rFonts w:hint="eastAsia" w:ascii="宋体" w:hAnsi="宋体" w:cs="宋体"/>
                <w:bCs/>
                <w:color w:val="auto"/>
                <w:sz w:val="24"/>
                <w:szCs w:val="24"/>
                <w:highlight w:val="none"/>
              </w:rPr>
            </w:pPr>
            <w:r>
              <w:rPr>
                <w:rFonts w:hint="eastAsia" w:ascii="宋体" w:hAnsi="宋体" w:cs="宋体"/>
                <w:color w:val="auto"/>
                <w:sz w:val="24"/>
                <w:szCs w:val="24"/>
                <w:highlight w:val="none"/>
              </w:rPr>
              <w:t>技术响应程度【</w:t>
            </w:r>
            <w:r>
              <w:rPr>
                <w:rFonts w:hint="eastAsia" w:ascii="宋体" w:hAnsi="宋体" w:cs="宋体"/>
                <w:bCs/>
                <w:color w:val="auto"/>
                <w:sz w:val="24"/>
                <w:szCs w:val="24"/>
                <w:highlight w:val="none"/>
              </w:rPr>
              <w:t>客观分</w:t>
            </w:r>
            <w:r>
              <w:rPr>
                <w:rFonts w:hint="eastAsia" w:ascii="宋体" w:hAnsi="宋体" w:cs="宋体"/>
                <w:color w:val="auto"/>
                <w:sz w:val="24"/>
                <w:szCs w:val="24"/>
                <w:highlight w:val="none"/>
              </w:rPr>
              <w:t>】</w:t>
            </w:r>
          </w:p>
        </w:tc>
        <w:tc>
          <w:tcPr>
            <w:tcW w:w="484" w:type="pct"/>
            <w:vAlign w:val="center"/>
          </w:tcPr>
          <w:p>
            <w:pPr>
              <w:jc w:val="center"/>
              <w:rPr>
                <w:rFonts w:hint="eastAsia" w:ascii="宋体" w:hAnsi="宋体" w:cs="宋体"/>
                <w:bCs/>
                <w:color w:val="auto"/>
                <w:sz w:val="24"/>
                <w:szCs w:val="24"/>
                <w:highlight w:val="none"/>
              </w:rPr>
            </w:pPr>
            <w:r>
              <w:rPr>
                <w:rFonts w:ascii="宋体" w:hAnsi="宋体" w:cs="宋体"/>
                <w:bCs/>
                <w:color w:val="auto"/>
                <w:sz w:val="24"/>
                <w:szCs w:val="24"/>
                <w:highlight w:val="none"/>
              </w:rPr>
              <w:t>30</w:t>
            </w:r>
          </w:p>
        </w:tc>
        <w:tc>
          <w:tcPr>
            <w:tcW w:w="3160" w:type="pct"/>
            <w:vAlign w:val="center"/>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投标设备技术参数完全符合招标文件要求的，得</w:t>
            </w:r>
            <w:r>
              <w:rPr>
                <w:rFonts w:ascii="宋体" w:hAnsi="宋体" w:cs="宋体"/>
                <w:bCs/>
                <w:color w:val="auto"/>
                <w:sz w:val="24"/>
                <w:szCs w:val="24"/>
                <w:highlight w:val="none"/>
              </w:rPr>
              <w:t>30</w:t>
            </w:r>
            <w:r>
              <w:rPr>
                <w:rFonts w:hint="eastAsia" w:ascii="宋体" w:hAnsi="宋体" w:cs="宋体"/>
                <w:bCs/>
                <w:color w:val="auto"/>
                <w:sz w:val="24"/>
                <w:szCs w:val="24"/>
                <w:highlight w:val="none"/>
              </w:rPr>
              <w:t>分；</w:t>
            </w:r>
          </w:p>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不满足带“▲”项技术条款的，每项扣4分；</w:t>
            </w:r>
          </w:p>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不满足非“▲”项技术条款的，每项扣2分；</w:t>
            </w:r>
          </w:p>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2</w:t>
            </w:r>
          </w:p>
        </w:tc>
        <w:tc>
          <w:tcPr>
            <w:tcW w:w="918" w:type="pct"/>
            <w:vAlign w:val="center"/>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产品整体性能、产品先进性【主观分】</w:t>
            </w:r>
          </w:p>
        </w:tc>
        <w:tc>
          <w:tcPr>
            <w:tcW w:w="484" w:type="pct"/>
            <w:vAlign w:val="center"/>
          </w:tcPr>
          <w:p>
            <w:pPr>
              <w:jc w:val="center"/>
              <w:rPr>
                <w:rFonts w:hint="eastAsia" w:ascii="宋体" w:hAnsi="宋体" w:cs="宋体"/>
                <w:bCs/>
                <w:color w:val="auto"/>
                <w:sz w:val="24"/>
                <w:szCs w:val="24"/>
                <w:highlight w:val="none"/>
              </w:rPr>
            </w:pPr>
            <w:r>
              <w:rPr>
                <w:rFonts w:ascii="宋体" w:hAnsi="宋体" w:cs="宋体"/>
                <w:bCs/>
                <w:color w:val="auto"/>
                <w:sz w:val="24"/>
                <w:szCs w:val="24"/>
                <w:highlight w:val="none"/>
              </w:rPr>
              <w:t>15</w:t>
            </w:r>
          </w:p>
        </w:tc>
        <w:tc>
          <w:tcPr>
            <w:tcW w:w="3160" w:type="pct"/>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产品整体性能、先进性好，15分；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产品整体性能、先进性较好，12分；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产品整体性能、先进性一般，9分；</w:t>
            </w:r>
          </w:p>
          <w:p>
            <w:pPr>
              <w:rPr>
                <w:rFonts w:hint="eastAsia" w:ascii="宋体" w:hAnsi="宋体" w:cs="宋体"/>
                <w:bCs/>
                <w:color w:val="auto"/>
                <w:sz w:val="24"/>
                <w:szCs w:val="24"/>
                <w:highlight w:val="none"/>
              </w:rPr>
            </w:pPr>
            <w:r>
              <w:rPr>
                <w:rFonts w:hint="eastAsia" w:ascii="宋体" w:hAnsi="宋体" w:cs="宋体"/>
                <w:color w:val="auto"/>
                <w:sz w:val="24"/>
                <w:szCs w:val="24"/>
                <w:highlight w:val="none"/>
              </w:rPr>
              <w:t>产品整体性能、先进性差，6分。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3</w:t>
            </w:r>
          </w:p>
        </w:tc>
        <w:tc>
          <w:tcPr>
            <w:tcW w:w="918" w:type="pct"/>
            <w:vAlign w:val="center"/>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售后服务【主观分】</w:t>
            </w:r>
          </w:p>
        </w:tc>
        <w:tc>
          <w:tcPr>
            <w:tcW w:w="484" w:type="pct"/>
            <w:vAlign w:val="center"/>
          </w:tcPr>
          <w:p>
            <w:pPr>
              <w:jc w:val="center"/>
              <w:rPr>
                <w:rFonts w:hint="eastAsia" w:ascii="宋体" w:hAnsi="宋体" w:cs="宋体"/>
                <w:bCs/>
                <w:color w:val="auto"/>
                <w:sz w:val="24"/>
                <w:szCs w:val="24"/>
                <w:highlight w:val="none"/>
              </w:rPr>
            </w:pPr>
            <w:r>
              <w:rPr>
                <w:rFonts w:ascii="宋体" w:hAnsi="宋体" w:cs="宋体"/>
                <w:bCs/>
                <w:color w:val="auto"/>
                <w:sz w:val="24"/>
                <w:szCs w:val="24"/>
                <w:highlight w:val="none"/>
              </w:rPr>
              <w:t>15</w:t>
            </w:r>
          </w:p>
        </w:tc>
        <w:tc>
          <w:tcPr>
            <w:tcW w:w="3160" w:type="pct"/>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售后服务方案和售后能力合理的得15分；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售后服务方案和售后能力较合理的12分；</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t>售后服务方案和售后能力合理性一般的得9分；</w:t>
            </w:r>
          </w:p>
          <w:p>
            <w:pPr>
              <w:pStyle w:val="14"/>
              <w:rPr>
                <w:rFonts w:hint="eastAsia" w:ascii="宋体" w:hAnsi="宋体" w:cs="宋体"/>
                <w:bCs/>
                <w:color w:val="auto"/>
                <w:sz w:val="24"/>
                <w:szCs w:val="24"/>
                <w:highlight w:val="none"/>
              </w:rPr>
            </w:pPr>
            <w:r>
              <w:rPr>
                <w:rFonts w:hint="eastAsia" w:ascii="宋体" w:hAnsi="宋体" w:cs="宋体"/>
                <w:color w:val="auto"/>
                <w:sz w:val="24"/>
                <w:szCs w:val="24"/>
                <w:highlight w:val="none"/>
              </w:rPr>
              <w:t>售后服务方案和售后能力不合理的得6分。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4</w:t>
            </w:r>
          </w:p>
        </w:tc>
        <w:tc>
          <w:tcPr>
            <w:tcW w:w="918" w:type="pct"/>
            <w:vAlign w:val="center"/>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类似业绩情况</w:t>
            </w:r>
            <w:r>
              <w:rPr>
                <w:rFonts w:hint="eastAsia" w:ascii="宋体" w:hAnsi="宋体" w:cs="宋体"/>
                <w:color w:val="auto"/>
                <w:sz w:val="24"/>
                <w:szCs w:val="24"/>
                <w:highlight w:val="none"/>
              </w:rPr>
              <w:t>【</w:t>
            </w:r>
            <w:r>
              <w:rPr>
                <w:rFonts w:hint="eastAsia" w:ascii="宋体" w:hAnsi="宋体" w:cs="宋体"/>
                <w:bCs/>
                <w:color w:val="auto"/>
                <w:sz w:val="24"/>
                <w:szCs w:val="24"/>
                <w:highlight w:val="none"/>
              </w:rPr>
              <w:t>客观分</w:t>
            </w:r>
            <w:r>
              <w:rPr>
                <w:rFonts w:hint="eastAsia" w:ascii="宋体" w:hAnsi="宋体" w:cs="宋体"/>
                <w:color w:val="auto"/>
                <w:sz w:val="24"/>
                <w:szCs w:val="24"/>
                <w:highlight w:val="none"/>
              </w:rPr>
              <w:t>】</w:t>
            </w:r>
          </w:p>
        </w:tc>
        <w:tc>
          <w:tcPr>
            <w:tcW w:w="484"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3160" w:type="pct"/>
            <w:vAlign w:val="center"/>
          </w:tcPr>
          <w:p>
            <w:pPr>
              <w:rPr>
                <w:rFonts w:hint="eastAsia" w:ascii="宋体" w:hAnsi="宋体" w:cs="宋体"/>
                <w:color w:val="auto"/>
                <w:sz w:val="24"/>
                <w:szCs w:val="24"/>
                <w:highlight w:val="none"/>
              </w:rPr>
            </w:pPr>
            <w:r>
              <w:rPr>
                <w:rFonts w:hint="eastAsia" w:ascii="宋体" w:hAnsi="宋体" w:cs="宋体"/>
                <w:color w:val="auto"/>
                <w:sz w:val="24"/>
                <w:szCs w:val="24"/>
                <w:highlight w:val="none"/>
              </w:rPr>
              <w:t>投标人或投标产品的类似业绩，以2021年1</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月1日以来签订的合同复印件为准，每份合同1分，最多5分，是否属于有效业绩由评标委员会认定。复印件要求字体和印章清晰（部分保密内容可进行隐藏处理），如提供复印件不清晰而无法辨认，则评标时将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7" w:type="pct"/>
            <w:vAlign w:val="center"/>
          </w:tcPr>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5</w:t>
            </w:r>
          </w:p>
        </w:tc>
        <w:tc>
          <w:tcPr>
            <w:tcW w:w="918" w:type="pct"/>
            <w:vAlign w:val="center"/>
          </w:tcPr>
          <w:p>
            <w:pPr>
              <w:jc w:val="center"/>
              <w:rPr>
                <w:rFonts w:hint="eastAsia" w:ascii="宋体" w:hAnsi="宋体" w:cs="宋体"/>
                <w:bCs/>
                <w:color w:val="auto"/>
                <w:sz w:val="24"/>
                <w:szCs w:val="24"/>
                <w:highlight w:val="none"/>
              </w:rPr>
            </w:pPr>
            <w:r>
              <w:rPr>
                <w:rFonts w:hint="eastAsia" w:ascii="宋体" w:hAnsi="宋体" w:cs="宋体"/>
                <w:color w:val="auto"/>
                <w:sz w:val="24"/>
                <w:szCs w:val="24"/>
                <w:highlight w:val="none"/>
              </w:rPr>
              <w:t>厂家授权函【</w:t>
            </w:r>
            <w:r>
              <w:rPr>
                <w:rFonts w:hint="eastAsia" w:ascii="宋体" w:hAnsi="宋体" w:cs="宋体"/>
                <w:bCs/>
                <w:color w:val="auto"/>
                <w:sz w:val="24"/>
                <w:szCs w:val="24"/>
                <w:highlight w:val="none"/>
              </w:rPr>
              <w:t>客观分</w:t>
            </w:r>
            <w:r>
              <w:rPr>
                <w:rFonts w:hint="eastAsia" w:ascii="宋体" w:hAnsi="宋体" w:cs="宋体"/>
                <w:color w:val="auto"/>
                <w:sz w:val="24"/>
                <w:szCs w:val="24"/>
                <w:highlight w:val="none"/>
              </w:rPr>
              <w:t>】</w:t>
            </w:r>
          </w:p>
        </w:tc>
        <w:tc>
          <w:tcPr>
            <w:tcW w:w="484"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5</w:t>
            </w:r>
          </w:p>
        </w:tc>
        <w:tc>
          <w:tcPr>
            <w:tcW w:w="3160" w:type="pct"/>
            <w:vAlign w:val="center"/>
          </w:tcPr>
          <w:p>
            <w:pPr>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投标人非投标产品制造商时，投标文件中提供制造厂家授权书（含投标产品销售代理证书等）的，或者投标人为制造商的，得5分，否则不得分。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5" w:type="pct"/>
            <w:gridSpan w:val="2"/>
            <w:vAlign w:val="center"/>
          </w:tcPr>
          <w:p>
            <w:pPr>
              <w:jc w:val="center"/>
              <w:rPr>
                <w:rFonts w:hint="eastAsia" w:ascii="宋体" w:hAnsi="宋体" w:cs="宋体"/>
                <w:color w:val="auto"/>
                <w:sz w:val="24"/>
                <w:szCs w:val="24"/>
                <w:highlight w:val="none"/>
              </w:rPr>
            </w:pPr>
            <w:r>
              <w:rPr>
                <w:rFonts w:hint="eastAsia" w:ascii="宋体" w:hAnsi="宋体" w:cs="宋体"/>
                <w:bCs/>
                <w:color w:val="auto"/>
                <w:sz w:val="24"/>
                <w:szCs w:val="24"/>
                <w:highlight w:val="none"/>
              </w:rPr>
              <w:t>技术商务小计</w:t>
            </w:r>
          </w:p>
        </w:tc>
        <w:tc>
          <w:tcPr>
            <w:tcW w:w="484" w:type="pct"/>
            <w:vAlign w:val="center"/>
          </w:tcPr>
          <w:p>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70</w:t>
            </w:r>
          </w:p>
        </w:tc>
        <w:tc>
          <w:tcPr>
            <w:tcW w:w="3160" w:type="pct"/>
            <w:vAlign w:val="center"/>
          </w:tcPr>
          <w:p>
            <w:pPr>
              <w:rPr>
                <w:rFonts w:hint="eastAsia" w:ascii="宋体" w:hAnsi="宋体" w:cs="宋体"/>
                <w:bCs/>
                <w:color w:val="auto"/>
                <w:sz w:val="24"/>
                <w:szCs w:val="24"/>
                <w:highlight w:val="none"/>
              </w:rPr>
            </w:pPr>
          </w:p>
        </w:tc>
      </w:tr>
    </w:tbl>
    <w:p>
      <w:pPr>
        <w:adjustRightInd w:val="0"/>
        <w:snapToGrid w:val="0"/>
        <w:spacing w:line="360" w:lineRule="auto"/>
        <w:rPr>
          <w:rFonts w:hint="eastAsia" w:ascii="宋体" w:hAnsi="宋体" w:cs="宋体"/>
          <w:b/>
          <w:snapToGrid w:val="0"/>
          <w:color w:val="auto"/>
          <w:kern w:val="0"/>
          <w:sz w:val="24"/>
          <w:highlight w:val="none"/>
        </w:rPr>
      </w:pPr>
    </w:p>
    <w:p>
      <w:pPr>
        <w:adjustRightInd w:val="0"/>
        <w:snapToGrid w:val="0"/>
        <w:spacing w:line="360" w:lineRule="auto"/>
        <w:rPr>
          <w:rFonts w:hint="eastAsia" w:ascii="宋体" w:hAnsi="宋体" w:cs="宋体"/>
          <w:b/>
          <w:bCs/>
          <w:snapToGrid w:val="0"/>
          <w:color w:val="auto"/>
          <w:kern w:val="0"/>
          <w:sz w:val="24"/>
          <w:highlight w:val="none"/>
        </w:rPr>
      </w:pPr>
      <w:r>
        <w:rPr>
          <w:rFonts w:hint="eastAsia" w:ascii="宋体" w:hAnsi="宋体" w:cs="宋体"/>
          <w:b/>
          <w:snapToGrid w:val="0"/>
          <w:color w:val="auto"/>
          <w:kern w:val="0"/>
          <w:sz w:val="24"/>
          <w:highlight w:val="none"/>
        </w:rPr>
        <w:t>2、</w:t>
      </w:r>
      <w:r>
        <w:rPr>
          <w:rFonts w:hint="eastAsia" w:ascii="宋体" w:hAnsi="宋体" w:cs="宋体"/>
          <w:b/>
          <w:bCs/>
          <w:snapToGrid w:val="0"/>
          <w:color w:val="auto"/>
          <w:kern w:val="0"/>
          <w:sz w:val="24"/>
          <w:highlight w:val="none"/>
        </w:rPr>
        <w:t>价格分</w:t>
      </w:r>
    </w:p>
    <w:p>
      <w:pPr>
        <w:spacing w:line="360" w:lineRule="auto"/>
        <w:rPr>
          <w:rFonts w:hint="eastAsia" w:ascii="宋体" w:hAnsi="宋体" w:cs="宋体"/>
          <w:b/>
          <w:bCs/>
          <w:snapToGrid w:val="0"/>
          <w:color w:val="auto"/>
          <w:kern w:val="0"/>
          <w:sz w:val="24"/>
          <w:highlight w:val="none"/>
        </w:rPr>
      </w:pPr>
      <w:r>
        <w:rPr>
          <w:rFonts w:hint="eastAsia" w:ascii="宋体" w:hAnsi="宋体" w:cs="宋体"/>
          <w:b/>
          <w:snapToGrid w:val="0"/>
          <w:color w:val="auto"/>
          <w:kern w:val="0"/>
          <w:sz w:val="24"/>
          <w:highlight w:val="none"/>
        </w:rPr>
        <w:t>1）</w:t>
      </w:r>
      <w:r>
        <w:rPr>
          <w:rFonts w:hint="eastAsia" w:ascii="宋体" w:hAnsi="宋体" w:cs="宋体"/>
          <w:b/>
          <w:bCs/>
          <w:snapToGrid w:val="0"/>
          <w:color w:val="auto"/>
          <w:kern w:val="0"/>
          <w:sz w:val="24"/>
          <w:highlight w:val="none"/>
        </w:rPr>
        <w:t>价格调整</w:t>
      </w:r>
    </w:p>
    <w:p>
      <w:pPr>
        <w:spacing w:line="360" w:lineRule="auto"/>
        <w:ind w:firstLine="480"/>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w:t>
      </w:r>
      <w:r>
        <w:rPr>
          <w:rFonts w:hint="eastAsia" w:ascii="宋体" w:hAnsi="宋体" w:cs="宋体"/>
          <w:bCs/>
          <w:snapToGrid w:val="0"/>
          <w:color w:val="auto"/>
          <w:kern w:val="0"/>
          <w:sz w:val="24"/>
          <w:highlight w:val="none"/>
        </w:rPr>
        <w:t>委员会对各投标人的</w:t>
      </w:r>
      <w:r>
        <w:rPr>
          <w:rFonts w:hint="eastAsia" w:ascii="宋体" w:hAnsi="宋体" w:cs="宋体"/>
          <w:snapToGrid w:val="0"/>
          <w:color w:val="auto"/>
          <w:kern w:val="0"/>
          <w:sz w:val="24"/>
          <w:highlight w:val="none"/>
        </w:rPr>
        <w:t>投标报价</w:t>
      </w:r>
      <w:r>
        <w:rPr>
          <w:rFonts w:hint="eastAsia" w:ascii="宋体" w:hAnsi="宋体" w:cs="宋体"/>
          <w:bCs/>
          <w:snapToGrid w:val="0"/>
          <w:color w:val="auto"/>
          <w:kern w:val="0"/>
          <w:sz w:val="24"/>
          <w:highlight w:val="none"/>
        </w:rPr>
        <w:t>（报价有修正的，为经投标人确认后的修正价），</w:t>
      </w:r>
      <w:r>
        <w:rPr>
          <w:rFonts w:hint="eastAsia" w:ascii="宋体" w:hAnsi="宋体" w:cs="宋体"/>
          <w:snapToGrid w:val="0"/>
          <w:color w:val="auto"/>
          <w:kern w:val="0"/>
          <w:sz w:val="24"/>
          <w:highlight w:val="none"/>
        </w:rPr>
        <w:t>按以下落实政府采购政策需进行价格扣除的方法进行必要的价格调整：</w:t>
      </w:r>
    </w:p>
    <w:p>
      <w:pPr>
        <w:spacing w:line="360" w:lineRule="auto"/>
        <w:ind w:firstLine="480" w:firstLineChars="200"/>
        <w:rPr>
          <w:rFonts w:hint="eastAsia" w:ascii="宋体" w:hAnsi="宋体" w:cs="宋体"/>
          <w:color w:val="auto"/>
          <w:sz w:val="24"/>
          <w:szCs w:val="24"/>
          <w:highlight w:val="none"/>
        </w:rPr>
      </w:pPr>
      <w:r>
        <w:rPr>
          <w:rFonts w:hint="eastAsia" w:asciiTheme="minorEastAsia" w:hAnsiTheme="minorEastAsia" w:eastAsiaTheme="minorEastAsia" w:cstheme="minorEastAsia"/>
          <w:b w:val="0"/>
          <w:bCs w:val="0"/>
          <w:snapToGrid w:val="0"/>
          <w:color w:val="auto"/>
          <w:kern w:val="0"/>
          <w:sz w:val="24"/>
          <w:szCs w:val="21"/>
          <w:highlight w:val="none"/>
          <w:u w:val="none"/>
        </w:rPr>
        <w:t>根据《财政部、工业和信息化部关于印发〈政府采购促进中小企业发展管理办法〉的通知》（财库〔2020〕46号）</w:t>
      </w:r>
      <w:r>
        <w:rPr>
          <w:rFonts w:hint="eastAsia" w:asciiTheme="minorEastAsia" w:hAnsiTheme="minorEastAsia" w:eastAsiaTheme="minorEastAsia" w:cstheme="minorEastAsia"/>
          <w:b w:val="0"/>
          <w:bCs w:val="0"/>
          <w:snapToGrid w:val="0"/>
          <w:color w:val="auto"/>
          <w:kern w:val="0"/>
          <w:sz w:val="24"/>
          <w:szCs w:val="21"/>
          <w:highlight w:val="none"/>
          <w:u w:val="none"/>
          <w:lang w:eastAsia="zh-CN"/>
        </w:rPr>
        <w:t>、《财政部关于进一步加大政府采购支持中小企业力度的通知》（财库〔2022〕19号）</w:t>
      </w:r>
      <w:r>
        <w:rPr>
          <w:rFonts w:hint="eastAsia" w:asciiTheme="minorEastAsia" w:hAnsiTheme="minorEastAsia" w:eastAsiaTheme="minorEastAsia" w:cstheme="minorEastAsia"/>
          <w:b w:val="0"/>
          <w:bCs w:val="0"/>
          <w:snapToGrid w:val="0"/>
          <w:color w:val="auto"/>
          <w:kern w:val="0"/>
          <w:sz w:val="24"/>
          <w:szCs w:val="21"/>
          <w:highlight w:val="none"/>
          <w:u w:val="none"/>
        </w:rPr>
        <w:t>精神，</w:t>
      </w:r>
      <w:r>
        <w:rPr>
          <w:rFonts w:hint="eastAsia" w:asciiTheme="minorEastAsia" w:hAnsiTheme="minorEastAsia" w:eastAsiaTheme="minorEastAsia" w:cstheme="minorEastAsia"/>
          <w:b/>
          <w:bCs/>
          <w:color w:val="auto"/>
          <w:sz w:val="24"/>
          <w:szCs w:val="24"/>
          <w:highlight w:val="none"/>
          <w:u w:val="none"/>
        </w:rPr>
        <w:t>对于非专门面向中小企业的项目</w:t>
      </w:r>
      <w:r>
        <w:rPr>
          <w:rFonts w:hint="eastAsia" w:asciiTheme="minorEastAsia" w:hAnsiTheme="minorEastAsia" w:eastAsiaTheme="minorEastAsia" w:cstheme="minorEastAsia"/>
          <w:b w:val="0"/>
          <w:bCs w:val="0"/>
          <w:color w:val="auto"/>
          <w:sz w:val="24"/>
          <w:szCs w:val="24"/>
          <w:highlight w:val="none"/>
          <w:u w:val="none"/>
        </w:rPr>
        <w:t>，当拟供产品（或服务）是由小型和微型企业提供（需提供</w:t>
      </w:r>
      <w:r>
        <w:rPr>
          <w:rFonts w:hint="eastAsia" w:asciiTheme="minorEastAsia" w:hAnsiTheme="minorEastAsia" w:eastAsiaTheme="minorEastAsia" w:cstheme="minorEastAsia"/>
          <w:b w:val="0"/>
          <w:bCs w:val="0"/>
          <w:color w:val="auto"/>
          <w:sz w:val="24"/>
          <w:szCs w:val="24"/>
          <w:highlight w:val="none"/>
          <w:u w:val="none"/>
          <w:lang w:val="en-US" w:eastAsia="zh-CN"/>
        </w:rPr>
        <w:t>中小企业声明函</w:t>
      </w:r>
      <w:r>
        <w:rPr>
          <w:rFonts w:hint="eastAsia" w:asciiTheme="minorEastAsia" w:hAnsiTheme="minorEastAsia" w:eastAsiaTheme="minorEastAsia" w:cstheme="minorEastAsia"/>
          <w:b w:val="0"/>
          <w:bCs w:val="0"/>
          <w:color w:val="auto"/>
          <w:sz w:val="24"/>
          <w:szCs w:val="24"/>
          <w:highlight w:val="none"/>
          <w:u w:val="none"/>
        </w:rPr>
        <w:t>）时，将给予</w:t>
      </w:r>
      <w:r>
        <w:rPr>
          <w:rFonts w:hint="eastAsia" w:asciiTheme="minorEastAsia" w:hAnsiTheme="minorEastAsia" w:eastAsiaTheme="minorEastAsia" w:cstheme="minorEastAsia"/>
          <w:b w:val="0"/>
          <w:bCs w:val="0"/>
          <w:color w:val="auto"/>
          <w:sz w:val="24"/>
          <w:szCs w:val="24"/>
          <w:highlight w:val="none"/>
          <w:u w:val="none"/>
          <w:lang w:val="en-US" w:eastAsia="zh-CN"/>
        </w:rPr>
        <w:t>10</w:t>
      </w:r>
      <w:r>
        <w:rPr>
          <w:rFonts w:hint="eastAsia" w:asciiTheme="minorEastAsia" w:hAnsiTheme="minorEastAsia" w:eastAsiaTheme="minorEastAsia" w:cstheme="minorEastAsia"/>
          <w:b w:val="0"/>
          <w:bCs w:val="0"/>
          <w:color w:val="auto"/>
          <w:sz w:val="24"/>
          <w:szCs w:val="24"/>
          <w:highlight w:val="none"/>
          <w:u w:val="none"/>
        </w:rPr>
        <w:t>%的价格扣除；享受上述评标优惠的前提条件是小型和微型企业不得将自己承担的工作分包或转包给大型、中型企业或其他组织；</w:t>
      </w:r>
    </w:p>
    <w:p>
      <w:pPr>
        <w:spacing w:line="360" w:lineRule="auto"/>
        <w:ind w:firstLine="482" w:firstLineChars="200"/>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中小企业应当在投标文件中提供《中小企业声明函》，否则不得享受相关中小企业扶持政策。</w:t>
      </w:r>
    </w:p>
    <w:p>
      <w:pPr>
        <w:spacing w:line="360" w:lineRule="auto"/>
        <w:ind w:firstLine="480"/>
        <w:rPr>
          <w:rFonts w:hint="eastAsia" w:ascii="宋体" w:hAnsi="宋体" w:cs="宋体"/>
          <w:b/>
          <w:bCs/>
          <w:color w:val="auto"/>
          <w:sz w:val="24"/>
          <w:szCs w:val="24"/>
          <w:highlight w:val="none"/>
        </w:rPr>
      </w:pPr>
      <w:r>
        <w:rPr>
          <w:rFonts w:hint="eastAsia" w:ascii="宋体" w:hAnsi="宋体" w:cs="宋体"/>
          <w:snapToGrid w:val="0"/>
          <w:color w:val="auto"/>
          <w:kern w:val="0"/>
          <w:sz w:val="24"/>
          <w:highlight w:val="none"/>
        </w:rPr>
        <w:t>另根据《财政部、民政部、中国残疾人联合会关于促进残疾人就业政府采购政策的通知》（财库〔2017〕141号）和《财政部 司法部关于政府采购支持监狱企业发展有关问题的通知》（财库〔2014〕68），投标人为</w:t>
      </w:r>
      <w:r>
        <w:rPr>
          <w:rFonts w:hint="eastAsia" w:ascii="宋体" w:hAnsi="宋体" w:cs="宋体"/>
          <w:b/>
          <w:color w:val="auto"/>
          <w:sz w:val="24"/>
          <w:szCs w:val="24"/>
          <w:highlight w:val="none"/>
        </w:rPr>
        <w:t>残疾人福利性单位</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监狱或戒毒企业，且提供了相应证明的</w:t>
      </w:r>
      <w:r>
        <w:rPr>
          <w:rFonts w:hint="eastAsia" w:ascii="宋体" w:hAnsi="宋体" w:cs="宋体"/>
          <w:color w:val="auto"/>
          <w:sz w:val="24"/>
          <w:szCs w:val="24"/>
          <w:highlight w:val="none"/>
        </w:rPr>
        <w:t>，</w:t>
      </w:r>
      <w:r>
        <w:rPr>
          <w:rFonts w:hint="eastAsia" w:ascii="宋体" w:hAnsi="宋体" w:cs="宋体"/>
          <w:b/>
          <w:bCs/>
          <w:color w:val="auto"/>
          <w:sz w:val="24"/>
          <w:szCs w:val="24"/>
          <w:highlight w:val="none"/>
        </w:rPr>
        <w:t>视同为小型和微型企业，执行上述支持小型和微型企业的相同政策。</w:t>
      </w:r>
    </w:p>
    <w:p>
      <w:pPr>
        <w:spacing w:line="360" w:lineRule="auto"/>
        <w:ind w:firstLine="480" w:firstLineChars="200"/>
        <w:rPr>
          <w:rFonts w:hint="eastAsia" w:ascii="宋体" w:hAnsi="宋体" w:cs="宋体"/>
          <w:snapToGrid w:val="0"/>
          <w:color w:val="auto"/>
          <w:kern w:val="0"/>
          <w:sz w:val="24"/>
          <w:szCs w:val="21"/>
          <w:highlight w:val="none"/>
        </w:rPr>
      </w:pPr>
    </w:p>
    <w:p>
      <w:pPr>
        <w:spacing w:line="360" w:lineRule="auto"/>
        <w:rPr>
          <w:rFonts w:hint="eastAsia" w:ascii="宋体" w:hAnsi="宋体" w:cs="宋体"/>
          <w:b/>
          <w:snapToGrid w:val="0"/>
          <w:color w:val="auto"/>
          <w:kern w:val="0"/>
          <w:sz w:val="24"/>
          <w:szCs w:val="21"/>
          <w:highlight w:val="none"/>
        </w:rPr>
      </w:pPr>
      <w:r>
        <w:rPr>
          <w:rFonts w:hint="eastAsia" w:ascii="宋体" w:hAnsi="宋体" w:cs="宋体"/>
          <w:b/>
          <w:snapToGrid w:val="0"/>
          <w:color w:val="auto"/>
          <w:kern w:val="0"/>
          <w:sz w:val="24"/>
          <w:szCs w:val="21"/>
          <w:highlight w:val="none"/>
        </w:rPr>
        <w:t>2）评标基准价：</w:t>
      </w:r>
    </w:p>
    <w:p>
      <w:pPr>
        <w:spacing w:line="360" w:lineRule="auto"/>
        <w:ind w:firstLine="480" w:firstLineChars="200"/>
        <w:rPr>
          <w:rFonts w:hint="eastAsia" w:ascii="宋体" w:hAnsi="宋体" w:cs="宋体"/>
          <w:snapToGrid w:val="0"/>
          <w:color w:val="auto"/>
          <w:kern w:val="0"/>
          <w:sz w:val="24"/>
          <w:szCs w:val="21"/>
          <w:highlight w:val="none"/>
        </w:rPr>
      </w:pPr>
      <w:r>
        <w:rPr>
          <w:rFonts w:hint="eastAsia" w:ascii="宋体" w:hAnsi="宋体" w:cs="宋体"/>
          <w:snapToGrid w:val="0"/>
          <w:color w:val="auto"/>
          <w:kern w:val="0"/>
          <w:sz w:val="24"/>
          <w:szCs w:val="21"/>
          <w:highlight w:val="none"/>
        </w:rPr>
        <w:t>按</w:t>
      </w:r>
      <w:r>
        <w:rPr>
          <w:rFonts w:hint="eastAsia" w:ascii="宋体" w:hAnsi="宋体" w:cs="宋体"/>
          <w:b/>
          <w:snapToGrid w:val="0"/>
          <w:color w:val="auto"/>
          <w:kern w:val="0"/>
          <w:sz w:val="24"/>
          <w:szCs w:val="21"/>
          <w:highlight w:val="none"/>
        </w:rPr>
        <w:t>价格调整后的最低价</w:t>
      </w:r>
      <w:r>
        <w:rPr>
          <w:rFonts w:hint="eastAsia" w:ascii="宋体" w:hAnsi="宋体" w:cs="宋体"/>
          <w:snapToGrid w:val="0"/>
          <w:color w:val="auto"/>
          <w:kern w:val="0"/>
          <w:sz w:val="24"/>
          <w:szCs w:val="21"/>
          <w:highlight w:val="none"/>
        </w:rPr>
        <w:t>为评标基准价，其价格分为30分。其他投标人的价格分统一按照下列公式计算：价格得分=(评标基准价／评标价)×30，小数点后保留2位，第三位四舍五入法。</w:t>
      </w:r>
    </w:p>
    <w:p>
      <w:pPr>
        <w:spacing w:line="360" w:lineRule="auto"/>
        <w:ind w:firstLine="482" w:firstLineChars="200"/>
        <w:rPr>
          <w:rFonts w:hint="eastAsia" w:ascii="宋体" w:hAnsi="宋体" w:cs="宋体"/>
          <w:b/>
          <w:snapToGrid w:val="0"/>
          <w:color w:val="auto"/>
          <w:kern w:val="0"/>
          <w:sz w:val="24"/>
          <w:highlight w:val="none"/>
        </w:rPr>
      </w:pPr>
    </w:p>
    <w:p>
      <w:pPr>
        <w:spacing w:line="360" w:lineRule="auto"/>
        <w:rPr>
          <w:rFonts w:hint="eastAsia" w:ascii="宋体" w:hAnsi="宋体" w:cs="宋体"/>
          <w:b/>
          <w:snapToGrid w:val="0"/>
          <w:color w:val="auto"/>
          <w:kern w:val="0"/>
          <w:sz w:val="24"/>
          <w:highlight w:val="none"/>
        </w:rPr>
      </w:pPr>
      <w:r>
        <w:rPr>
          <w:rFonts w:hint="eastAsia" w:ascii="宋体" w:hAnsi="宋体" w:cs="宋体"/>
          <w:b/>
          <w:snapToGrid w:val="0"/>
          <w:color w:val="auto"/>
          <w:kern w:val="0"/>
          <w:sz w:val="24"/>
          <w:highlight w:val="none"/>
        </w:rPr>
        <w:t>3、排序</w:t>
      </w:r>
    </w:p>
    <w:p>
      <w:pPr>
        <w:spacing w:line="360" w:lineRule="auto"/>
        <w:ind w:firstLine="566" w:firstLineChars="236"/>
        <w:rPr>
          <w:rFonts w:hint="eastAsia" w:ascii="宋体" w:hAnsi="宋体" w:cs="宋体"/>
          <w:snapToGrid w:val="0"/>
          <w:color w:val="auto"/>
          <w:kern w:val="0"/>
          <w:sz w:val="24"/>
          <w:highlight w:val="none"/>
        </w:rPr>
      </w:pPr>
      <w:r>
        <w:rPr>
          <w:rFonts w:hint="eastAsia" w:ascii="宋体" w:hAnsi="宋体" w:cs="宋体"/>
          <w:snapToGrid w:val="0"/>
          <w:color w:val="auto"/>
          <w:kern w:val="0"/>
          <w:sz w:val="24"/>
          <w:highlight w:val="none"/>
        </w:rPr>
        <w:t>评标委员会按综合得分（技术商务分 + 价格分）</w:t>
      </w:r>
      <w:r>
        <w:rPr>
          <w:rFonts w:hint="eastAsia" w:ascii="宋体" w:hAnsi="宋体" w:cs="宋体"/>
          <w:color w:val="auto"/>
          <w:sz w:val="24"/>
          <w:szCs w:val="24"/>
          <w:highlight w:val="none"/>
        </w:rPr>
        <w:t>由高到低顺序排列。综合得分相同的，按投标报价由低到高顺序排列。综合得分且投标报价也相同的</w:t>
      </w:r>
      <w:r>
        <w:rPr>
          <w:rFonts w:hint="eastAsia" w:ascii="宋体" w:hAnsi="宋体" w:cs="宋体"/>
          <w:snapToGrid w:val="0"/>
          <w:color w:val="auto"/>
          <w:kern w:val="0"/>
          <w:sz w:val="24"/>
          <w:highlight w:val="none"/>
        </w:rPr>
        <w:t>，则由评委采用记名投票表决，得票多者排名靠前。</w:t>
      </w:r>
    </w:p>
    <w:p>
      <w:pPr>
        <w:spacing w:line="360" w:lineRule="auto"/>
        <w:rPr>
          <w:rFonts w:hint="eastAsia" w:ascii="宋体" w:hAnsi="宋体" w:cs="宋体"/>
          <w:b/>
          <w:bCs/>
          <w:snapToGrid w:val="0"/>
          <w:color w:val="auto"/>
          <w:kern w:val="0"/>
          <w:sz w:val="24"/>
          <w:highlight w:val="none"/>
        </w:rPr>
      </w:pPr>
      <w:r>
        <w:rPr>
          <w:rFonts w:hint="eastAsia" w:ascii="宋体" w:hAnsi="宋体" w:cs="宋体"/>
          <w:b/>
          <w:snapToGrid w:val="0"/>
          <w:color w:val="auto"/>
          <w:kern w:val="0"/>
          <w:sz w:val="24"/>
          <w:highlight w:val="none"/>
        </w:rPr>
        <w:t>4、</w:t>
      </w:r>
      <w:r>
        <w:rPr>
          <w:rFonts w:hint="eastAsia" w:ascii="宋体" w:hAnsi="宋体" w:cs="宋体"/>
          <w:b/>
          <w:bCs/>
          <w:snapToGrid w:val="0"/>
          <w:color w:val="auto"/>
          <w:kern w:val="0"/>
          <w:sz w:val="24"/>
          <w:highlight w:val="none"/>
        </w:rPr>
        <w:t>评标结果</w:t>
      </w:r>
    </w:p>
    <w:p>
      <w:pPr>
        <w:spacing w:line="360" w:lineRule="auto"/>
        <w:ind w:firstLine="480" w:firstLineChars="200"/>
        <w:rPr>
          <w:rFonts w:hint="eastAsia" w:ascii="宋体" w:hAnsi="宋体" w:cs="宋体"/>
          <w:bCs/>
          <w:snapToGrid w:val="0"/>
          <w:color w:val="auto"/>
          <w:kern w:val="0"/>
          <w:sz w:val="24"/>
          <w:highlight w:val="none"/>
        </w:rPr>
      </w:pPr>
      <w:r>
        <w:rPr>
          <w:rFonts w:hint="eastAsia" w:ascii="宋体" w:hAnsi="宋体" w:cs="宋体"/>
          <w:bCs/>
          <w:snapToGrid w:val="0"/>
          <w:color w:val="auto"/>
          <w:kern w:val="0"/>
          <w:sz w:val="24"/>
          <w:highlight w:val="none"/>
        </w:rPr>
        <w:t>评标委员会确定</w:t>
      </w:r>
      <w:r>
        <w:rPr>
          <w:rFonts w:hint="eastAsia" w:ascii="宋体" w:hAnsi="宋体" w:cs="宋体"/>
          <w:snapToGrid w:val="0"/>
          <w:color w:val="auto"/>
          <w:kern w:val="0"/>
          <w:sz w:val="24"/>
          <w:highlight w:val="none"/>
        </w:rPr>
        <w:t>排序第一</w:t>
      </w:r>
      <w:r>
        <w:rPr>
          <w:rFonts w:hint="eastAsia" w:ascii="宋体" w:hAnsi="宋体" w:cs="宋体"/>
          <w:bCs/>
          <w:snapToGrid w:val="0"/>
          <w:color w:val="auto"/>
          <w:kern w:val="0"/>
          <w:sz w:val="24"/>
          <w:highlight w:val="none"/>
        </w:rPr>
        <w:t>的投标人为本招标项目的中标人。</w:t>
      </w:r>
    </w:p>
    <w:p>
      <w:pPr>
        <w:pStyle w:val="14"/>
        <w:rPr>
          <w:rFonts w:hint="eastAsia" w:ascii="宋体" w:hAnsi="宋体" w:cs="宋体"/>
          <w:bCs/>
          <w:snapToGrid w:val="0"/>
          <w:color w:val="auto"/>
          <w:kern w:val="0"/>
          <w:sz w:val="24"/>
          <w:highlight w:val="none"/>
        </w:rPr>
      </w:pPr>
    </w:p>
    <w:p>
      <w:pPr>
        <w:pStyle w:val="14"/>
        <w:rPr>
          <w:rFonts w:hint="eastAsia" w:ascii="宋体" w:hAnsi="宋体" w:cs="宋体"/>
          <w:bCs/>
          <w:snapToGrid w:val="0"/>
          <w:color w:val="auto"/>
          <w:kern w:val="0"/>
          <w:sz w:val="24"/>
          <w:highlight w:val="none"/>
        </w:rPr>
      </w:pPr>
    </w:p>
    <w:p>
      <w:pPr>
        <w:pStyle w:val="4"/>
        <w:keepNext w:val="0"/>
        <w:keepLines w:val="0"/>
        <w:spacing w:before="0" w:after="0" w:line="360" w:lineRule="auto"/>
        <w:jc w:val="center"/>
        <w:rPr>
          <w:rFonts w:hint="eastAsia" w:ascii="宋体" w:hAnsi="宋体" w:cs="宋体"/>
          <w:color w:val="auto"/>
          <w:highlight w:val="none"/>
        </w:rPr>
      </w:pPr>
      <w:bookmarkStart w:id="236" w:name="_Toc457747980"/>
      <w:bookmarkStart w:id="237" w:name="_Toc392227827"/>
      <w:r>
        <w:rPr>
          <w:rFonts w:hint="eastAsia" w:ascii="宋体" w:hAnsi="宋体" w:cs="宋体"/>
          <w:bCs/>
          <w:color w:val="auto"/>
          <w:sz w:val="32"/>
          <w:szCs w:val="72"/>
          <w:highlight w:val="none"/>
        </w:rPr>
        <w:br w:type="page"/>
      </w:r>
      <w:bookmarkStart w:id="238" w:name="_Toc25989"/>
      <w:r>
        <w:rPr>
          <w:rFonts w:hint="eastAsia" w:ascii="宋体" w:hAnsi="宋体" w:cs="宋体"/>
          <w:bCs/>
          <w:color w:val="auto"/>
          <w:sz w:val="32"/>
          <w:szCs w:val="72"/>
          <w:highlight w:val="none"/>
        </w:rPr>
        <w:t xml:space="preserve">第四章 </w:t>
      </w:r>
      <w:r>
        <w:rPr>
          <w:rFonts w:hint="eastAsia" w:ascii="宋体" w:hAnsi="宋体" w:cs="宋体"/>
          <w:color w:val="auto"/>
          <w:sz w:val="32"/>
          <w:szCs w:val="32"/>
          <w:highlight w:val="none"/>
        </w:rPr>
        <w:t>合同</w:t>
      </w:r>
      <w:r>
        <w:rPr>
          <w:rFonts w:hint="eastAsia" w:ascii="宋体" w:hAnsi="宋体" w:cs="宋体"/>
          <w:bCs/>
          <w:color w:val="auto"/>
          <w:sz w:val="32"/>
          <w:szCs w:val="72"/>
          <w:highlight w:val="none"/>
        </w:rPr>
        <w:t>格式</w:t>
      </w:r>
      <w:bookmarkEnd w:id="236"/>
      <w:bookmarkEnd w:id="237"/>
      <w:bookmarkEnd w:id="238"/>
    </w:p>
    <w:p>
      <w:pPr>
        <w:jc w:val="center"/>
        <w:rPr>
          <w:b/>
          <w:color w:val="auto"/>
          <w:sz w:val="32"/>
          <w:szCs w:val="32"/>
          <w:highlight w:val="none"/>
        </w:rPr>
      </w:pPr>
      <w:bookmarkStart w:id="239" w:name="_Toc246997081"/>
      <w:bookmarkStart w:id="240" w:name="_Toc179632787"/>
      <w:bookmarkStart w:id="241" w:name="_Toc247085853"/>
      <w:bookmarkStart w:id="242" w:name="_Toc246996338"/>
      <w:bookmarkStart w:id="243" w:name="_Toc152042388"/>
      <w:bookmarkStart w:id="244" w:name="_Toc152042549"/>
      <w:bookmarkStart w:id="245" w:name="_Toc144974829"/>
      <w:bookmarkStart w:id="246" w:name="_Toc184635122"/>
      <w:bookmarkStart w:id="247" w:name="_Toc144974578"/>
      <w:bookmarkStart w:id="248" w:name="_Toc247527798"/>
      <w:bookmarkStart w:id="249" w:name="_Toc300835199"/>
      <w:bookmarkStart w:id="250" w:name="_Toc152045610"/>
      <w:bookmarkStart w:id="251" w:name="_Toc247514197"/>
      <w:r>
        <w:rPr>
          <w:rFonts w:hint="eastAsia"/>
          <w:b/>
          <w:bCs/>
          <w:color w:val="auto"/>
          <w:sz w:val="32"/>
          <w:szCs w:val="32"/>
          <w:highlight w:val="none"/>
        </w:rPr>
        <w:t>医疗设备</w:t>
      </w:r>
      <w:r>
        <w:rPr>
          <w:rFonts w:hint="eastAsia"/>
          <w:b/>
          <w:color w:val="auto"/>
          <w:sz w:val="32"/>
          <w:szCs w:val="32"/>
          <w:highlight w:val="none"/>
        </w:rPr>
        <w:t>购销内贸合同</w:t>
      </w:r>
    </w:p>
    <w:p>
      <w:pPr>
        <w:jc w:val="center"/>
        <w:rPr>
          <w:b/>
          <w:bCs/>
          <w:color w:val="auto"/>
          <w:highlight w:val="none"/>
        </w:rPr>
      </w:pPr>
    </w:p>
    <w:p>
      <w:pPr>
        <w:rPr>
          <w:b/>
          <w:bCs/>
          <w:color w:val="auto"/>
          <w:sz w:val="24"/>
          <w:highlight w:val="none"/>
        </w:rPr>
      </w:pPr>
      <w:r>
        <w:rPr>
          <w:rFonts w:hint="eastAsia"/>
          <w:b/>
          <w:bCs/>
          <w:color w:val="auto"/>
          <w:szCs w:val="21"/>
          <w:highlight w:val="none"/>
        </w:rPr>
        <w:t>合同编号：FCK-CG                       签约地  ：</w:t>
      </w:r>
      <w:r>
        <w:rPr>
          <w:rFonts w:hint="eastAsia"/>
          <w:b/>
          <w:bCs/>
          <w:color w:val="auto"/>
          <w:sz w:val="24"/>
          <w:highlight w:val="none"/>
        </w:rPr>
        <w:t xml:space="preserve"> 上海市                          </w:t>
      </w:r>
    </w:p>
    <w:p>
      <w:pPr>
        <w:rPr>
          <w:b/>
          <w:bCs/>
          <w:color w:val="auto"/>
          <w:szCs w:val="21"/>
          <w:highlight w:val="none"/>
        </w:rPr>
      </w:pPr>
      <w:r>
        <w:rPr>
          <w:rFonts w:hint="eastAsia"/>
          <w:b/>
          <w:bCs/>
          <w:color w:val="auto"/>
          <w:szCs w:val="21"/>
          <w:highlight w:val="none"/>
        </w:rPr>
        <w:t xml:space="preserve">甲方（买方）：复旦大学附属妇产科医院       乙方（卖方）： </w:t>
      </w:r>
    </w:p>
    <w:p>
      <w:pPr>
        <w:rPr>
          <w:b/>
          <w:bCs/>
          <w:color w:val="auto"/>
          <w:szCs w:val="21"/>
          <w:highlight w:val="none"/>
        </w:rPr>
      </w:pPr>
      <w:r>
        <w:rPr>
          <w:rFonts w:hint="eastAsia"/>
          <w:b/>
          <w:bCs/>
          <w:color w:val="auto"/>
          <w:szCs w:val="21"/>
          <w:highlight w:val="none"/>
        </w:rPr>
        <w:t>地址：上海市杨浦区沈阳路128号            地址：</w:t>
      </w:r>
    </w:p>
    <w:p>
      <w:pPr>
        <w:pStyle w:val="3"/>
        <w:ind w:left="422" w:hanging="422" w:hangingChars="200"/>
        <w:rPr>
          <w:b/>
          <w:bCs/>
          <w:color w:val="auto"/>
          <w:highlight w:val="none"/>
        </w:rPr>
      </w:pPr>
      <w:r>
        <w:rPr>
          <w:rFonts w:hint="eastAsia"/>
          <w:b/>
          <w:bCs/>
          <w:color w:val="auto"/>
          <w:highlight w:val="none"/>
        </w:rPr>
        <w:t>1．</w:t>
      </w:r>
      <w:r>
        <w:rPr>
          <w:rFonts w:hint="eastAsia"/>
          <w:color w:val="auto"/>
          <w:highlight w:val="none"/>
        </w:rPr>
        <w:t xml:space="preserve">甲乙双方根据《中华人民共和国民法典》，在平等互利、协商一致的基础上，买方同意向卖方购买，同时卖方同意向买方出售以下设备： </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1276"/>
        <w:gridCol w:w="851"/>
        <w:gridCol w:w="850"/>
        <w:gridCol w:w="709"/>
        <w:gridCol w:w="709"/>
        <w:gridCol w:w="1417"/>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1701" w:type="dxa"/>
            <w:vAlign w:val="center"/>
          </w:tcPr>
          <w:p>
            <w:pPr>
              <w:jc w:val="center"/>
              <w:rPr>
                <w:b/>
                <w:bCs/>
                <w:color w:val="auto"/>
                <w:highlight w:val="none"/>
              </w:rPr>
            </w:pPr>
            <w:r>
              <w:rPr>
                <w:rFonts w:hint="eastAsia"/>
                <w:b/>
                <w:bCs/>
                <w:color w:val="auto"/>
                <w:highlight w:val="none"/>
              </w:rPr>
              <w:t>设备名称</w:t>
            </w:r>
          </w:p>
        </w:tc>
        <w:tc>
          <w:tcPr>
            <w:tcW w:w="1276" w:type="dxa"/>
            <w:vAlign w:val="center"/>
          </w:tcPr>
          <w:p>
            <w:pPr>
              <w:jc w:val="center"/>
              <w:rPr>
                <w:b/>
                <w:bCs/>
                <w:color w:val="auto"/>
                <w:highlight w:val="none"/>
              </w:rPr>
            </w:pPr>
            <w:r>
              <w:rPr>
                <w:rFonts w:hint="eastAsia"/>
                <w:b/>
                <w:bCs/>
                <w:color w:val="auto"/>
                <w:highlight w:val="none"/>
              </w:rPr>
              <w:t>规格型号</w:t>
            </w:r>
          </w:p>
        </w:tc>
        <w:tc>
          <w:tcPr>
            <w:tcW w:w="851" w:type="dxa"/>
            <w:vAlign w:val="center"/>
          </w:tcPr>
          <w:p>
            <w:pPr>
              <w:jc w:val="center"/>
              <w:rPr>
                <w:b/>
                <w:bCs/>
                <w:color w:val="auto"/>
                <w:highlight w:val="none"/>
              </w:rPr>
            </w:pPr>
            <w:r>
              <w:rPr>
                <w:rFonts w:hint="eastAsia"/>
                <w:b/>
                <w:bCs/>
                <w:color w:val="auto"/>
                <w:highlight w:val="none"/>
              </w:rPr>
              <w:t>品牌</w:t>
            </w:r>
          </w:p>
        </w:tc>
        <w:tc>
          <w:tcPr>
            <w:tcW w:w="850" w:type="dxa"/>
            <w:vAlign w:val="center"/>
          </w:tcPr>
          <w:p>
            <w:pPr>
              <w:jc w:val="center"/>
              <w:rPr>
                <w:b/>
                <w:bCs/>
                <w:color w:val="auto"/>
                <w:highlight w:val="none"/>
              </w:rPr>
            </w:pPr>
            <w:r>
              <w:rPr>
                <w:rFonts w:hint="eastAsia"/>
                <w:b/>
                <w:bCs/>
                <w:color w:val="auto"/>
                <w:highlight w:val="none"/>
              </w:rPr>
              <w:t>原产地</w:t>
            </w:r>
          </w:p>
        </w:tc>
        <w:tc>
          <w:tcPr>
            <w:tcW w:w="709" w:type="dxa"/>
            <w:vAlign w:val="center"/>
          </w:tcPr>
          <w:p>
            <w:pPr>
              <w:jc w:val="center"/>
              <w:rPr>
                <w:b/>
                <w:bCs/>
                <w:color w:val="auto"/>
                <w:highlight w:val="none"/>
              </w:rPr>
            </w:pPr>
            <w:r>
              <w:rPr>
                <w:rFonts w:hint="eastAsia"/>
                <w:b/>
                <w:bCs/>
                <w:color w:val="auto"/>
                <w:highlight w:val="none"/>
              </w:rPr>
              <w:t>数量</w:t>
            </w:r>
          </w:p>
        </w:tc>
        <w:tc>
          <w:tcPr>
            <w:tcW w:w="709" w:type="dxa"/>
            <w:vAlign w:val="center"/>
          </w:tcPr>
          <w:p>
            <w:pPr>
              <w:jc w:val="center"/>
              <w:rPr>
                <w:b/>
                <w:bCs/>
                <w:color w:val="auto"/>
                <w:highlight w:val="none"/>
              </w:rPr>
            </w:pPr>
            <w:r>
              <w:rPr>
                <w:rFonts w:hint="eastAsia"/>
                <w:b/>
                <w:bCs/>
                <w:color w:val="auto"/>
                <w:highlight w:val="none"/>
              </w:rPr>
              <w:t>单位</w:t>
            </w:r>
          </w:p>
        </w:tc>
        <w:tc>
          <w:tcPr>
            <w:tcW w:w="1417" w:type="dxa"/>
            <w:vAlign w:val="center"/>
          </w:tcPr>
          <w:p>
            <w:pPr>
              <w:jc w:val="center"/>
              <w:rPr>
                <w:b/>
                <w:bCs/>
                <w:color w:val="auto"/>
                <w:highlight w:val="none"/>
              </w:rPr>
            </w:pPr>
            <w:r>
              <w:rPr>
                <w:rFonts w:hint="eastAsia"/>
                <w:b/>
                <w:bCs/>
                <w:color w:val="auto"/>
                <w:highlight w:val="none"/>
              </w:rPr>
              <w:t>单价</w:t>
            </w:r>
          </w:p>
        </w:tc>
        <w:tc>
          <w:tcPr>
            <w:tcW w:w="1418" w:type="dxa"/>
            <w:vAlign w:val="center"/>
          </w:tcPr>
          <w:p>
            <w:pPr>
              <w:jc w:val="center"/>
              <w:rPr>
                <w:b/>
                <w:bCs/>
                <w:color w:val="auto"/>
                <w:highlight w:val="none"/>
              </w:rPr>
            </w:pPr>
            <w:r>
              <w:rPr>
                <w:rFonts w:hint="eastAsia"/>
                <w:b/>
                <w:bCs/>
                <w:color w:val="auto"/>
                <w:highlight w:val="none"/>
              </w:rPr>
              <w:t>成交金额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1" w:type="dxa"/>
            <w:vAlign w:val="center"/>
          </w:tcPr>
          <w:p>
            <w:pPr>
              <w:jc w:val="center"/>
              <w:rPr>
                <w:color w:val="auto"/>
                <w:highlight w:val="none"/>
              </w:rPr>
            </w:pPr>
          </w:p>
        </w:tc>
        <w:tc>
          <w:tcPr>
            <w:tcW w:w="1276" w:type="dxa"/>
            <w:vAlign w:val="center"/>
          </w:tcPr>
          <w:p>
            <w:pPr>
              <w:jc w:val="center"/>
              <w:rPr>
                <w:color w:val="auto"/>
                <w:highlight w:val="none"/>
              </w:rPr>
            </w:pPr>
          </w:p>
        </w:tc>
        <w:tc>
          <w:tcPr>
            <w:tcW w:w="851" w:type="dxa"/>
            <w:vAlign w:val="center"/>
          </w:tcPr>
          <w:p>
            <w:pPr>
              <w:jc w:val="center"/>
              <w:rPr>
                <w:color w:val="auto"/>
                <w:highlight w:val="none"/>
              </w:rPr>
            </w:pPr>
          </w:p>
        </w:tc>
        <w:tc>
          <w:tcPr>
            <w:tcW w:w="850" w:type="dxa"/>
            <w:vAlign w:val="center"/>
          </w:tcPr>
          <w:p>
            <w:pPr>
              <w:jc w:val="center"/>
              <w:rPr>
                <w:color w:val="auto"/>
                <w:highlight w:val="none"/>
              </w:rPr>
            </w:pPr>
          </w:p>
        </w:tc>
        <w:tc>
          <w:tcPr>
            <w:tcW w:w="709" w:type="dxa"/>
            <w:vAlign w:val="center"/>
          </w:tcPr>
          <w:p>
            <w:pPr>
              <w:jc w:val="center"/>
              <w:rPr>
                <w:color w:val="auto"/>
                <w:highlight w:val="none"/>
              </w:rPr>
            </w:pPr>
          </w:p>
        </w:tc>
        <w:tc>
          <w:tcPr>
            <w:tcW w:w="709" w:type="dxa"/>
            <w:vAlign w:val="center"/>
          </w:tcPr>
          <w:p>
            <w:pPr>
              <w:ind w:firstLine="105" w:firstLineChars="50"/>
              <w:rPr>
                <w:color w:val="auto"/>
                <w:highlight w:val="none"/>
              </w:rPr>
            </w:pPr>
          </w:p>
        </w:tc>
        <w:tc>
          <w:tcPr>
            <w:tcW w:w="1417" w:type="dxa"/>
            <w:vAlign w:val="center"/>
          </w:tcPr>
          <w:p>
            <w:pPr>
              <w:jc w:val="center"/>
              <w:rPr>
                <w:color w:val="auto"/>
                <w:highlight w:val="none"/>
              </w:rPr>
            </w:pPr>
          </w:p>
        </w:tc>
        <w:tc>
          <w:tcPr>
            <w:tcW w:w="1418" w:type="dxa"/>
            <w:vAlign w:val="center"/>
          </w:tcPr>
          <w:p>
            <w:pPr>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701" w:type="dxa"/>
            <w:vAlign w:val="center"/>
          </w:tcPr>
          <w:p>
            <w:pPr>
              <w:jc w:val="center"/>
              <w:rPr>
                <w:color w:val="auto"/>
                <w:highlight w:val="none"/>
              </w:rPr>
            </w:pPr>
          </w:p>
        </w:tc>
        <w:tc>
          <w:tcPr>
            <w:tcW w:w="1276" w:type="dxa"/>
            <w:vAlign w:val="center"/>
          </w:tcPr>
          <w:p>
            <w:pPr>
              <w:jc w:val="center"/>
              <w:rPr>
                <w:color w:val="auto"/>
                <w:highlight w:val="none"/>
              </w:rPr>
            </w:pPr>
          </w:p>
        </w:tc>
        <w:tc>
          <w:tcPr>
            <w:tcW w:w="851" w:type="dxa"/>
            <w:vAlign w:val="center"/>
          </w:tcPr>
          <w:p>
            <w:pPr>
              <w:jc w:val="center"/>
              <w:rPr>
                <w:color w:val="auto"/>
                <w:highlight w:val="none"/>
              </w:rPr>
            </w:pPr>
          </w:p>
        </w:tc>
        <w:tc>
          <w:tcPr>
            <w:tcW w:w="850" w:type="dxa"/>
            <w:vAlign w:val="center"/>
          </w:tcPr>
          <w:p>
            <w:pPr>
              <w:jc w:val="center"/>
              <w:rPr>
                <w:color w:val="auto"/>
                <w:highlight w:val="none"/>
              </w:rPr>
            </w:pPr>
          </w:p>
        </w:tc>
        <w:tc>
          <w:tcPr>
            <w:tcW w:w="709" w:type="dxa"/>
            <w:vAlign w:val="center"/>
          </w:tcPr>
          <w:p>
            <w:pPr>
              <w:jc w:val="center"/>
              <w:rPr>
                <w:color w:val="auto"/>
                <w:highlight w:val="none"/>
              </w:rPr>
            </w:pPr>
          </w:p>
        </w:tc>
        <w:tc>
          <w:tcPr>
            <w:tcW w:w="709" w:type="dxa"/>
            <w:vAlign w:val="center"/>
          </w:tcPr>
          <w:p>
            <w:pPr>
              <w:ind w:firstLine="105" w:firstLineChars="50"/>
              <w:rPr>
                <w:color w:val="auto"/>
                <w:highlight w:val="none"/>
              </w:rPr>
            </w:pPr>
          </w:p>
        </w:tc>
        <w:tc>
          <w:tcPr>
            <w:tcW w:w="1417" w:type="dxa"/>
            <w:vAlign w:val="center"/>
          </w:tcPr>
          <w:p>
            <w:pPr>
              <w:jc w:val="center"/>
              <w:rPr>
                <w:color w:val="auto"/>
                <w:highlight w:val="none"/>
              </w:rPr>
            </w:pPr>
          </w:p>
        </w:tc>
        <w:tc>
          <w:tcPr>
            <w:tcW w:w="1418" w:type="dxa"/>
            <w:vAlign w:val="center"/>
          </w:tcPr>
          <w:p>
            <w:pPr>
              <w:jc w:val="center"/>
              <w:rPr>
                <w:b/>
                <w:bCs/>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trPr>
        <w:tc>
          <w:tcPr>
            <w:tcW w:w="6096" w:type="dxa"/>
            <w:gridSpan w:val="6"/>
            <w:vAlign w:val="center"/>
          </w:tcPr>
          <w:p>
            <w:pPr>
              <w:rPr>
                <w:b/>
                <w:bCs/>
                <w:color w:val="auto"/>
                <w:highlight w:val="none"/>
              </w:rPr>
            </w:pPr>
            <w:r>
              <w:rPr>
                <w:rFonts w:hint="eastAsia"/>
                <w:b/>
                <w:bCs/>
                <w:color w:val="auto"/>
                <w:highlight w:val="none"/>
              </w:rPr>
              <w:t>合计成交金额（大写）：  万 仟 佰 拾 圆  整(RMB)</w:t>
            </w:r>
          </w:p>
        </w:tc>
        <w:tc>
          <w:tcPr>
            <w:tcW w:w="2835" w:type="dxa"/>
            <w:gridSpan w:val="2"/>
            <w:vAlign w:val="center"/>
          </w:tcPr>
          <w:p>
            <w:pPr>
              <w:rPr>
                <w:b/>
                <w:bCs/>
                <w:color w:val="auto"/>
                <w:highlight w:val="none"/>
              </w:rPr>
            </w:pPr>
            <w:r>
              <w:rPr>
                <w:rFonts w:hint="eastAsia"/>
                <w:b/>
                <w:bCs/>
                <w:color w:val="auto"/>
                <w:highlight w:val="none"/>
              </w:rPr>
              <w:t>合计：</w:t>
            </w:r>
          </w:p>
        </w:tc>
      </w:tr>
    </w:tbl>
    <w:p>
      <w:pPr>
        <w:rPr>
          <w:color w:val="auto"/>
          <w:highlight w:val="none"/>
        </w:rPr>
      </w:pPr>
      <w:r>
        <w:rPr>
          <w:rFonts w:hint="eastAsia"/>
          <w:color w:val="auto"/>
          <w:highlight w:val="none"/>
        </w:rPr>
        <w:t>本合同的设备配置以复旦大学附属妇产科医院</w:t>
      </w:r>
      <w:r>
        <w:rPr>
          <w:rFonts w:hint="eastAsia"/>
          <w:color w:val="auto"/>
          <w:highlight w:val="none"/>
          <w:u w:val="single"/>
        </w:rPr>
        <w:t xml:space="preserve">      </w:t>
      </w:r>
      <w:r>
        <w:rPr>
          <w:rFonts w:hint="eastAsia"/>
          <w:color w:val="auto"/>
          <w:highlight w:val="none"/>
        </w:rPr>
        <w:t>所签配置清单上的配置为准。如有变更，需提交书面变更通知。</w:t>
      </w:r>
    </w:p>
    <w:p>
      <w:pPr>
        <w:ind w:left="358" w:hanging="358" w:hangingChars="170"/>
        <w:rPr>
          <w:b/>
          <w:bCs/>
          <w:color w:val="auto"/>
          <w:highlight w:val="none"/>
        </w:rPr>
      </w:pPr>
      <w:r>
        <w:rPr>
          <w:rFonts w:hint="eastAsia"/>
          <w:b/>
          <w:bCs/>
          <w:color w:val="auto"/>
          <w:highlight w:val="none"/>
        </w:rPr>
        <w:t xml:space="preserve">2. 设备的交付期 </w:t>
      </w:r>
      <w:r>
        <w:rPr>
          <w:rFonts w:hint="eastAsia"/>
          <w:color w:val="auto"/>
          <w:highlight w:val="none"/>
        </w:rPr>
        <w:t>乙方在合同生效的</w:t>
      </w:r>
      <w:r>
        <w:rPr>
          <w:rFonts w:hint="eastAsia"/>
          <w:color w:val="auto"/>
          <w:highlight w:val="none"/>
          <w:u w:val="single"/>
        </w:rPr>
        <w:t xml:space="preserve">     </w:t>
      </w:r>
      <w:r>
        <w:rPr>
          <w:rFonts w:hint="eastAsia"/>
          <w:color w:val="auto"/>
          <w:highlight w:val="none"/>
        </w:rPr>
        <w:t>天内向甲方交付上述设备。</w:t>
      </w:r>
    </w:p>
    <w:p>
      <w:pPr>
        <w:rPr>
          <w:b/>
          <w:bCs/>
          <w:color w:val="auto"/>
          <w:highlight w:val="none"/>
        </w:rPr>
      </w:pPr>
      <w:r>
        <w:rPr>
          <w:rFonts w:hint="eastAsia"/>
          <w:b/>
          <w:bCs/>
          <w:color w:val="auto"/>
          <w:highlight w:val="none"/>
        </w:rPr>
        <w:t>3. 设备运输、安装和验收</w:t>
      </w:r>
    </w:p>
    <w:p>
      <w:pPr>
        <w:rPr>
          <w:color w:val="auto"/>
          <w:highlight w:val="none"/>
        </w:rPr>
      </w:pPr>
      <w:r>
        <w:rPr>
          <w:rFonts w:hint="eastAsia"/>
          <w:color w:val="auto"/>
          <w:highlight w:val="none"/>
        </w:rPr>
        <w:t>3.1乙方确保设备安全无损地运抵甲方指定现场，并承担设备的运费、保险费、装卸费等费用。乙方还应在发货前通知甲方设备的运输信息以及到货时间，以便甲方做好验货准备。</w:t>
      </w:r>
    </w:p>
    <w:p>
      <w:pPr>
        <w:rPr>
          <w:color w:val="auto"/>
          <w:highlight w:val="none"/>
        </w:rPr>
      </w:pPr>
      <w:r>
        <w:rPr>
          <w:rFonts w:hint="eastAsia"/>
          <w:color w:val="auto"/>
          <w:highlight w:val="none"/>
        </w:rPr>
        <w:t>3.2甲乙双方对设备进行开箱清点检查验收，如果发现数量不足或有质量、技术等问题，乙方应在_</w:t>
      </w:r>
      <w:r>
        <w:rPr>
          <w:rFonts w:hint="eastAsia"/>
          <w:color w:val="auto"/>
          <w:highlight w:val="none"/>
          <w:u w:val="single"/>
        </w:rPr>
        <w:t xml:space="preserve">7 </w:t>
      </w:r>
      <w:r>
        <w:rPr>
          <w:rFonts w:hint="eastAsia"/>
          <w:color w:val="auto"/>
          <w:highlight w:val="none"/>
        </w:rPr>
        <w:t>天内，按照甲方的要求，采取补足、更换或退货等处理措施，并承担由此发生的一切损失和费用。</w:t>
      </w:r>
    </w:p>
    <w:p>
      <w:pPr>
        <w:rPr>
          <w:color w:val="auto"/>
          <w:highlight w:val="none"/>
        </w:rPr>
      </w:pPr>
      <w:r>
        <w:rPr>
          <w:rFonts w:hint="eastAsia"/>
          <w:color w:val="auto"/>
          <w:highlight w:val="none"/>
        </w:rPr>
        <w:t>3.3设备到货后，乙方应在接到甲方通知后___天内安装调试完成。</w:t>
      </w:r>
    </w:p>
    <w:p>
      <w:pPr>
        <w:rPr>
          <w:color w:val="auto"/>
          <w:highlight w:val="none"/>
        </w:rPr>
      </w:pPr>
      <w:r>
        <w:rPr>
          <w:rFonts w:hint="eastAsia"/>
          <w:color w:val="auto"/>
          <w:highlight w:val="none"/>
        </w:rPr>
        <w:t>3.4甲、乙双方在符合国家相关技术标准的基础上，根据购置设备的技术标准(见附件) 以及采购或招标时乙方承诺的原厂的技术参数为标准对设备进行技术验收。医疗设备必须符合IHE医疗信息系统集成规范，并免费提供信息系统接口，医学影像设备须提供DICOM软硬件接口，数字化医疗设备须提供HL7软硬件接口，并经甲乙双方验收合格后，双方在甲方《验收合格单》上签字确认。</w:t>
      </w:r>
    </w:p>
    <w:p>
      <w:pPr>
        <w:rPr>
          <w:b/>
          <w:bCs/>
          <w:color w:val="auto"/>
          <w:highlight w:val="none"/>
        </w:rPr>
      </w:pPr>
      <w:r>
        <w:rPr>
          <w:rFonts w:hint="eastAsia"/>
          <w:b/>
          <w:bCs/>
          <w:color w:val="auto"/>
          <w:highlight w:val="none"/>
        </w:rPr>
        <w:t>4</w:t>
      </w:r>
      <w:r>
        <w:rPr>
          <w:rFonts w:hint="eastAsia"/>
          <w:color w:val="auto"/>
          <w:highlight w:val="none"/>
        </w:rPr>
        <w:t>.</w:t>
      </w:r>
      <w:r>
        <w:rPr>
          <w:rFonts w:hint="eastAsia"/>
          <w:b/>
          <w:bCs/>
          <w:color w:val="auto"/>
          <w:highlight w:val="none"/>
        </w:rPr>
        <w:t>付款方式</w:t>
      </w:r>
    </w:p>
    <w:p>
      <w:pPr>
        <w:rPr>
          <w:color w:val="auto"/>
          <w:highlight w:val="none"/>
        </w:rPr>
      </w:pPr>
      <w:r>
        <w:rPr>
          <w:rFonts w:hint="eastAsia"/>
          <w:color w:val="auto"/>
          <w:highlight w:val="none"/>
        </w:rPr>
        <w:t>安装调试验收合格正常使用后乙方应向甲方出具与设备合同总价金额相对应的发票。甲方在收到乙方发票并确认无误后，应在___个月内以</w:t>
      </w:r>
      <w:r>
        <w:rPr>
          <w:rFonts w:hint="eastAsia"/>
          <w:color w:val="auto"/>
          <w:highlight w:val="none"/>
          <w:u w:val="single"/>
        </w:rPr>
        <w:t xml:space="preserve"> 银行汇款 </w:t>
      </w:r>
      <w:r>
        <w:rPr>
          <w:rFonts w:hint="eastAsia"/>
          <w:color w:val="auto"/>
          <w:highlight w:val="none"/>
        </w:rPr>
        <w:t xml:space="preserve">方式向乙方指定银行账户分期或一次性支付货款。 </w:t>
      </w:r>
    </w:p>
    <w:p>
      <w:pPr>
        <w:rPr>
          <w:b/>
          <w:bCs/>
          <w:color w:val="auto"/>
          <w:highlight w:val="none"/>
        </w:rPr>
      </w:pPr>
      <w:r>
        <w:rPr>
          <w:rFonts w:hint="eastAsia"/>
          <w:b/>
          <w:color w:val="auto"/>
          <w:highlight w:val="none"/>
        </w:rPr>
        <w:t>5</w:t>
      </w:r>
      <w:r>
        <w:rPr>
          <w:rFonts w:hint="eastAsia"/>
          <w:b/>
          <w:bCs/>
          <w:color w:val="auto"/>
          <w:highlight w:val="none"/>
        </w:rPr>
        <w:t>.伴随服务</w:t>
      </w:r>
    </w:p>
    <w:p>
      <w:pPr>
        <w:ind w:left="8" w:leftChars="-28" w:hanging="67" w:hangingChars="32"/>
        <w:jc w:val="left"/>
        <w:rPr>
          <w:color w:val="auto"/>
          <w:highlight w:val="none"/>
        </w:rPr>
      </w:pPr>
      <w:r>
        <w:rPr>
          <w:rFonts w:hint="eastAsia"/>
          <w:color w:val="auto"/>
          <w:highlight w:val="none"/>
        </w:rPr>
        <w:t>5.1乙方应提供设备的技术文件，包括相应的图纸、维护手册、软件备份、故障代码表、备件清单、零部件、维修密码等维护维修必须的材料信息等，这些文件应随同设备一起发运至甲方</w:t>
      </w:r>
    </w:p>
    <w:p>
      <w:pPr>
        <w:ind w:left="8" w:leftChars="-28" w:hanging="67" w:hangingChars="32"/>
        <w:jc w:val="left"/>
        <w:rPr>
          <w:color w:val="auto"/>
          <w:highlight w:val="none"/>
        </w:rPr>
      </w:pPr>
      <w:r>
        <w:rPr>
          <w:rFonts w:hint="eastAsia"/>
          <w:color w:val="auto"/>
          <w:highlight w:val="none"/>
        </w:rPr>
        <w:t>5.2乙方还应免费提供下列服务：</w:t>
      </w:r>
    </w:p>
    <w:p>
      <w:pPr>
        <w:numPr>
          <w:ilvl w:val="0"/>
          <w:numId w:val="15"/>
        </w:numPr>
        <w:tabs>
          <w:tab w:val="left" w:pos="102"/>
          <w:tab w:val="clear" w:pos="1137"/>
        </w:tabs>
        <w:ind w:left="13" w:leftChars="6"/>
        <w:jc w:val="left"/>
        <w:rPr>
          <w:color w:val="auto"/>
          <w:highlight w:val="none"/>
        </w:rPr>
      </w:pPr>
      <w:r>
        <w:rPr>
          <w:rFonts w:hint="eastAsia"/>
          <w:color w:val="auto"/>
          <w:highlight w:val="none"/>
        </w:rPr>
        <w:t>设备的现场安装和调试；</w:t>
      </w:r>
    </w:p>
    <w:p>
      <w:pPr>
        <w:numPr>
          <w:ilvl w:val="0"/>
          <w:numId w:val="15"/>
        </w:numPr>
        <w:tabs>
          <w:tab w:val="left" w:pos="522"/>
          <w:tab w:val="clear" w:pos="1137"/>
        </w:tabs>
        <w:ind w:left="13" w:leftChars="6"/>
        <w:jc w:val="left"/>
        <w:rPr>
          <w:color w:val="auto"/>
          <w:highlight w:val="none"/>
        </w:rPr>
      </w:pPr>
      <w:r>
        <w:rPr>
          <w:rFonts w:hint="eastAsia"/>
          <w:color w:val="auto"/>
          <w:highlight w:val="none"/>
        </w:rPr>
        <w:t>提供设备安装和维修所需的专用工具和辅助材料；</w:t>
      </w:r>
    </w:p>
    <w:p>
      <w:pPr>
        <w:numPr>
          <w:ilvl w:val="0"/>
          <w:numId w:val="15"/>
        </w:numPr>
        <w:tabs>
          <w:tab w:val="left" w:pos="522"/>
          <w:tab w:val="clear" w:pos="1137"/>
        </w:tabs>
        <w:ind w:left="13" w:leftChars="6"/>
        <w:jc w:val="left"/>
        <w:rPr>
          <w:color w:val="auto"/>
          <w:highlight w:val="none"/>
        </w:rPr>
      </w:pPr>
      <w:r>
        <w:rPr>
          <w:rFonts w:hint="eastAsia"/>
          <w:color w:val="auto"/>
          <w:highlight w:val="none"/>
        </w:rPr>
        <w:t>乙方应派专业技术人员在项目现场对甲方使用人员进行培训或指导，在使用一段时间后可根据甲方的要求另行安排培训计划，并且乙方应随时接受甲方使用人员有关设备使用的咨询，积极解答相关操作问题。</w:t>
      </w:r>
    </w:p>
    <w:p>
      <w:pPr>
        <w:rPr>
          <w:b/>
          <w:bCs/>
          <w:color w:val="auto"/>
          <w:highlight w:val="none"/>
        </w:rPr>
      </w:pPr>
      <w:r>
        <w:rPr>
          <w:rFonts w:hint="eastAsia"/>
          <w:b/>
          <w:bCs/>
          <w:color w:val="auto"/>
          <w:highlight w:val="none"/>
        </w:rPr>
        <w:t>6.质量保证及售后服务</w:t>
      </w:r>
    </w:p>
    <w:p>
      <w:pPr>
        <w:rPr>
          <w:color w:val="auto"/>
          <w:highlight w:val="none"/>
        </w:rPr>
      </w:pPr>
      <w:r>
        <w:rPr>
          <w:rFonts w:hint="eastAsia"/>
          <w:color w:val="auto"/>
          <w:highlight w:val="none"/>
        </w:rPr>
        <w:t>6.1乙方应保证所供设备是在</w:t>
      </w:r>
      <w:r>
        <w:rPr>
          <w:rFonts w:hint="eastAsia"/>
          <w:color w:val="auto"/>
          <w:highlight w:val="none"/>
          <w:u w:val="single"/>
        </w:rPr>
        <w:t xml:space="preserve">        </w:t>
      </w:r>
      <w:r>
        <w:rPr>
          <w:rFonts w:hint="eastAsia"/>
          <w:color w:val="auto"/>
          <w:highlight w:val="none"/>
        </w:rPr>
        <w:t>（年月）后生产的全新的、未使用过的，并符合国家有关标准、行业有关标准、制造厂标准及合同技术标准要求。如果在甲方验收合格后，设备的质量或规格仍存在与合同不符，或证实设备是有缺陷的，包括潜在的缺陷或使用不符合要求的材料等，乙方应在接到甲方通知后7天内负责采用符合合同规定的规格、质量和性能要求的新零件、部件或设备来更换有缺陷的部分，其费用由乙方负担。同时，乙方应按本合同规定，相应延长更换件的质量保证期。</w:t>
      </w:r>
    </w:p>
    <w:p>
      <w:pPr>
        <w:rPr>
          <w:color w:val="auto"/>
          <w:highlight w:val="none"/>
        </w:rPr>
      </w:pPr>
      <w:r>
        <w:rPr>
          <w:rFonts w:hint="eastAsia"/>
          <w:color w:val="auto"/>
          <w:highlight w:val="none"/>
        </w:rPr>
        <w:t>6.2乙方应提供总保修期</w:t>
      </w:r>
      <w:r>
        <w:rPr>
          <w:rFonts w:hint="eastAsia"/>
          <w:color w:val="auto"/>
          <w:highlight w:val="none"/>
          <w:u w:val="single"/>
        </w:rPr>
        <w:t xml:space="preserve">      </w:t>
      </w:r>
      <w:r>
        <w:rPr>
          <w:rFonts w:hint="eastAsia"/>
          <w:color w:val="auto"/>
          <w:highlight w:val="none"/>
        </w:rPr>
        <w:t>个月，其中原厂包修</w:t>
      </w:r>
      <w:r>
        <w:rPr>
          <w:rFonts w:hint="eastAsia"/>
          <w:color w:val="auto"/>
          <w:highlight w:val="none"/>
          <w:u w:val="single"/>
        </w:rPr>
        <w:t xml:space="preserve">      </w:t>
      </w:r>
      <w:r>
        <w:rPr>
          <w:rFonts w:hint="eastAsia"/>
          <w:color w:val="auto"/>
          <w:highlight w:val="none"/>
        </w:rPr>
        <w:t>个月，乙方保修</w:t>
      </w:r>
      <w:r>
        <w:rPr>
          <w:rFonts w:hint="eastAsia"/>
          <w:color w:val="auto"/>
          <w:highlight w:val="none"/>
          <w:u w:val="single"/>
        </w:rPr>
        <w:t xml:space="preserve">      </w:t>
      </w:r>
      <w:r>
        <w:rPr>
          <w:rFonts w:hint="eastAsia"/>
          <w:color w:val="auto"/>
          <w:highlight w:val="none"/>
        </w:rPr>
        <w:t>个月。保修期的期限应以甲乙双方的验收合格之日起计算，保修期内免费更换零配件及免收工时费。乙方在保修期内应确保开机率为95%以上，如达不到此要求、即相应延长保修期。</w:t>
      </w:r>
    </w:p>
    <w:p>
      <w:pPr>
        <w:rPr>
          <w:color w:val="auto"/>
          <w:highlight w:val="none"/>
        </w:rPr>
      </w:pPr>
      <w:r>
        <w:rPr>
          <w:rFonts w:hint="eastAsia"/>
          <w:color w:val="auto"/>
          <w:highlight w:val="none"/>
        </w:rPr>
        <w:t>6.3乙方收到甲方提出的报修要求后，应在</w:t>
      </w:r>
      <w:r>
        <w:rPr>
          <w:rFonts w:hint="eastAsia"/>
          <w:color w:val="auto"/>
          <w:highlight w:val="none"/>
          <w:u w:val="single"/>
        </w:rPr>
        <w:t xml:space="preserve">     </w:t>
      </w:r>
      <w:r>
        <w:rPr>
          <w:rFonts w:hint="eastAsia"/>
          <w:color w:val="auto"/>
          <w:highlight w:val="none"/>
        </w:rPr>
        <w:t>小时内到达甲方现场，履行维修义务（不可抗拒力量下除外）</w:t>
      </w:r>
      <w:bookmarkStart w:id="252" w:name="_Hlk130823391"/>
      <w:r>
        <w:rPr>
          <w:rFonts w:hint="eastAsia"/>
          <w:color w:val="auto"/>
          <w:highlight w:val="none"/>
        </w:rPr>
        <w:t>，并在___小时内解决问题</w:t>
      </w:r>
      <w:bookmarkEnd w:id="252"/>
      <w:r>
        <w:rPr>
          <w:rFonts w:hint="eastAsia"/>
          <w:color w:val="auto"/>
          <w:highlight w:val="none"/>
        </w:rPr>
        <w:t>。如果乙方不能按约定时间处理故障，甲方有权选择第三方进行维修，由此产生的维修费用由乙方承担。</w:t>
      </w:r>
    </w:p>
    <w:p>
      <w:pPr>
        <w:rPr>
          <w:color w:val="auto"/>
          <w:highlight w:val="none"/>
        </w:rPr>
      </w:pPr>
      <w:r>
        <w:rPr>
          <w:rFonts w:hint="eastAsia"/>
          <w:color w:val="auto"/>
          <w:highlight w:val="none"/>
        </w:rPr>
        <w:t>6.</w:t>
      </w:r>
      <w:r>
        <w:rPr>
          <w:color w:val="auto"/>
          <w:highlight w:val="none"/>
        </w:rPr>
        <w:t>4</w:t>
      </w:r>
      <w:r>
        <w:rPr>
          <w:rFonts w:hint="eastAsia"/>
          <w:color w:val="auto"/>
          <w:highlight w:val="none"/>
        </w:rPr>
        <w:t xml:space="preserve"> 无条件接受中华人民共和国财政部令第87号《政府采购货物和服务招标投标管理办法》的相关条款规定。</w:t>
      </w:r>
    </w:p>
    <w:p>
      <w:pPr>
        <w:rPr>
          <w:color w:val="auto"/>
          <w:highlight w:val="none"/>
        </w:rPr>
      </w:pPr>
      <w:r>
        <w:rPr>
          <w:rFonts w:hint="eastAsia"/>
          <w:color w:val="auto"/>
          <w:highlight w:val="none"/>
        </w:rPr>
        <w:t>6</w:t>
      </w:r>
      <w:r>
        <w:rPr>
          <w:color w:val="auto"/>
          <w:highlight w:val="none"/>
        </w:rPr>
        <w:t>.5</w:t>
      </w:r>
      <w:r>
        <w:rPr>
          <w:rFonts w:hint="eastAsia"/>
          <w:color w:val="auto"/>
          <w:highlight w:val="none"/>
        </w:rPr>
        <w:t>乙方应当保证在其出售的合同标的上不存在任何担保物权，如抵押权、质押权、留置权等。</w:t>
      </w:r>
    </w:p>
    <w:p>
      <w:pPr>
        <w:rPr>
          <w:b/>
          <w:bCs/>
          <w:color w:val="auto"/>
          <w:highlight w:val="none"/>
        </w:rPr>
      </w:pPr>
      <w:r>
        <w:rPr>
          <w:rFonts w:hint="eastAsia"/>
          <w:b/>
          <w:bCs/>
          <w:color w:val="auto"/>
          <w:highlight w:val="none"/>
        </w:rPr>
        <w:t>7.索赔条款</w:t>
      </w:r>
    </w:p>
    <w:p>
      <w:pPr>
        <w:ind w:firstLine="1"/>
        <w:rPr>
          <w:color w:val="auto"/>
          <w:highlight w:val="none"/>
        </w:rPr>
      </w:pPr>
      <w:r>
        <w:rPr>
          <w:rFonts w:hint="eastAsia"/>
          <w:color w:val="auto"/>
          <w:highlight w:val="none"/>
        </w:rPr>
        <w:t>7.1 如乙方交付设备不符合本合同约定，甲方有权选择下列方式之一要求乙方进行补救：</w:t>
      </w:r>
    </w:p>
    <w:p>
      <w:pPr>
        <w:ind w:left="71" w:leftChars="34" w:firstLine="210" w:firstLineChars="100"/>
        <w:rPr>
          <w:color w:val="auto"/>
          <w:highlight w:val="none"/>
        </w:rPr>
      </w:pPr>
      <w:r>
        <w:rPr>
          <w:rFonts w:hint="eastAsia"/>
          <w:color w:val="auto"/>
          <w:highlight w:val="none"/>
        </w:rPr>
        <w:t>7.1.1同意甲方退货，及时为甲方办理退货手续，并将全额货款在设备被确认为不符合合同约定之日起30日内偿还给甲方，并由乙方负担因退货而发生的一切直接损失和费用。</w:t>
      </w:r>
    </w:p>
    <w:p>
      <w:pPr>
        <w:ind w:left="71" w:leftChars="34" w:firstLine="210" w:firstLineChars="100"/>
        <w:rPr>
          <w:color w:val="auto"/>
          <w:highlight w:val="none"/>
        </w:rPr>
      </w:pPr>
      <w:r>
        <w:rPr>
          <w:rFonts w:hint="eastAsia"/>
          <w:color w:val="auto"/>
          <w:highlight w:val="none"/>
        </w:rPr>
        <w:t>7.1.2按照设备的疵劣程度、损坏的范围和甲方所遭受的损失，乙方折价收取或在设备被确认为不符合同约定之日起30日内向甲方返还已收取的部分货款。</w:t>
      </w:r>
    </w:p>
    <w:p>
      <w:pPr>
        <w:ind w:firstLine="210" w:firstLineChars="100"/>
        <w:rPr>
          <w:color w:val="auto"/>
          <w:highlight w:val="none"/>
        </w:rPr>
      </w:pPr>
      <w:r>
        <w:rPr>
          <w:rFonts w:hint="eastAsia"/>
          <w:color w:val="auto"/>
          <w:highlight w:val="none"/>
        </w:rPr>
        <w:t>7.1.3乙方应在设备被确认为不符合同约定之日起15日内调换有瑕疵的设备，换货必须全新并符合本合同规定的规格，质量和性能等，乙方并负责因此而产生的一切费用和甲方的一切直接损失。</w:t>
      </w:r>
    </w:p>
    <w:p>
      <w:pPr>
        <w:ind w:firstLine="1"/>
        <w:rPr>
          <w:color w:val="auto"/>
          <w:highlight w:val="none"/>
        </w:rPr>
      </w:pPr>
      <w:r>
        <w:rPr>
          <w:rFonts w:hint="eastAsia"/>
          <w:color w:val="auto"/>
          <w:highlight w:val="none"/>
        </w:rPr>
        <w:t>7.2如果乙方没有按照合同规定的时间交货和提供服务，甲方应从货款中扣除误期赔偿费而不影响合同项下的其他补救办法。乙方发生延期交货和延期服务或延期退款的，每逾期一日按设备合同总价的千分之三向甲方支付赔偿金，直至交货或提供服务为止,但误期赔偿费的最高限额不超过合同价的百分之二十（20％）。如乙方超过约定期限15天仍不交货或提供服务的，甲方有权终止合同并要求退货退款，乙方应在甲方要求终止本协议之日起30日内将甲方已付货款返还至甲方。</w:t>
      </w:r>
    </w:p>
    <w:p>
      <w:pPr>
        <w:ind w:firstLine="1"/>
        <w:rPr>
          <w:color w:val="auto"/>
          <w:highlight w:val="none"/>
        </w:rPr>
      </w:pPr>
      <w:r>
        <w:rPr>
          <w:rFonts w:hint="eastAsia"/>
          <w:color w:val="auto"/>
          <w:highlight w:val="none"/>
        </w:rPr>
        <w:t>7.3乙方应保证甲方和使用单位在使用该设备或其任何一部分时免受第三方提出侵犯其包括但不限于专利、实用新型、工业产权、外观设计、商标、服务标记、厂商名称、货源标记或原产地名称的起诉，否则应当承担违约责任并赔偿甲方全部损失。</w:t>
      </w:r>
    </w:p>
    <w:p>
      <w:pPr>
        <w:ind w:firstLine="1"/>
        <w:rPr>
          <w:color w:val="auto"/>
          <w:highlight w:val="none"/>
        </w:rPr>
      </w:pPr>
      <w:r>
        <w:rPr>
          <w:rFonts w:hint="eastAsia"/>
          <w:color w:val="auto"/>
          <w:highlight w:val="none"/>
        </w:rPr>
        <w:t>7</w:t>
      </w:r>
      <w:r>
        <w:rPr>
          <w:color w:val="auto"/>
          <w:highlight w:val="none"/>
        </w:rPr>
        <w:t xml:space="preserve">.4 </w:t>
      </w:r>
      <w:r>
        <w:rPr>
          <w:rFonts w:hint="eastAsia"/>
          <w:color w:val="auto"/>
          <w:highlight w:val="none"/>
        </w:rPr>
        <w:t>本合同项下甲方损失均包括但不限于有关部门经济处罚、第三方索赔、直接经济损失、律师费、诉讼费、保全费、鉴定费、差旅费。</w:t>
      </w:r>
    </w:p>
    <w:p>
      <w:pPr>
        <w:ind w:firstLine="1"/>
        <w:rPr>
          <w:color w:val="auto"/>
          <w:highlight w:val="none"/>
        </w:rPr>
      </w:pPr>
      <w:r>
        <w:rPr>
          <w:rFonts w:hint="eastAsia"/>
          <w:b/>
          <w:bCs/>
          <w:color w:val="auto"/>
          <w:highlight w:val="none"/>
        </w:rPr>
        <w:t>8.争端的解决</w:t>
      </w:r>
    </w:p>
    <w:p>
      <w:pPr>
        <w:rPr>
          <w:color w:val="auto"/>
          <w:highlight w:val="none"/>
        </w:rPr>
      </w:pPr>
      <w:r>
        <w:rPr>
          <w:rFonts w:hint="eastAsia"/>
          <w:color w:val="auto"/>
          <w:highlight w:val="none"/>
        </w:rPr>
        <w:t>双方如在履行合同中发生纠纷,首先应友好协商，协商不成，双方均有权向甲方所在地人民法院起诉。</w:t>
      </w:r>
    </w:p>
    <w:p>
      <w:pPr>
        <w:rPr>
          <w:b/>
          <w:bCs/>
          <w:color w:val="auto"/>
          <w:highlight w:val="none"/>
        </w:rPr>
      </w:pPr>
      <w:r>
        <w:rPr>
          <w:rFonts w:hint="eastAsia"/>
          <w:b/>
          <w:bCs/>
          <w:color w:val="auto"/>
          <w:highlight w:val="none"/>
        </w:rPr>
        <w:t>9.合同生效</w:t>
      </w:r>
    </w:p>
    <w:p>
      <w:pPr>
        <w:rPr>
          <w:color w:val="auto"/>
          <w:highlight w:val="none"/>
        </w:rPr>
      </w:pPr>
      <w:r>
        <w:rPr>
          <w:rFonts w:hint="eastAsia"/>
          <w:color w:val="auto"/>
          <w:highlight w:val="none"/>
        </w:rPr>
        <w:t>9.1本合同自甲乙双方最终签订之日起生效，直至双方将各自权利义务实现及履行完毕之日止。</w:t>
      </w:r>
    </w:p>
    <w:p>
      <w:pPr>
        <w:ind w:left="-59" w:leftChars="-28" w:firstLine="105" w:firstLineChars="50"/>
        <w:rPr>
          <w:color w:val="auto"/>
          <w:highlight w:val="none"/>
        </w:rPr>
      </w:pPr>
      <w:r>
        <w:rPr>
          <w:rFonts w:hint="eastAsia"/>
          <w:color w:val="auto"/>
          <w:highlight w:val="none"/>
        </w:rPr>
        <w:t xml:space="preserve">9.2 本协议一式 </w:t>
      </w:r>
      <w:r>
        <w:rPr>
          <w:rFonts w:hint="eastAsia"/>
          <w:color w:val="auto"/>
          <w:highlight w:val="none"/>
          <w:u w:val="single"/>
        </w:rPr>
        <w:t xml:space="preserve">肆 </w:t>
      </w:r>
      <w:r>
        <w:rPr>
          <w:rFonts w:hint="eastAsia"/>
          <w:color w:val="auto"/>
          <w:highlight w:val="none"/>
        </w:rPr>
        <w:t>份，以中文书就，甲方执贰份，乙方执贰份，具有相同的法律效应。</w:t>
      </w:r>
    </w:p>
    <w:p>
      <w:pPr>
        <w:rPr>
          <w:color w:val="auto"/>
          <w:highlight w:val="none"/>
        </w:rPr>
      </w:pPr>
      <w:r>
        <w:rPr>
          <w:rFonts w:hint="eastAsia"/>
          <w:b/>
          <w:bCs/>
          <w:color w:val="auto"/>
          <w:highlight w:val="none"/>
        </w:rPr>
        <w:t xml:space="preserve">10.合同附件 </w:t>
      </w:r>
      <w:r>
        <w:rPr>
          <w:rFonts w:hint="eastAsia"/>
          <w:color w:val="auto"/>
          <w:highlight w:val="none"/>
        </w:rPr>
        <w:t>合同附件是合同的不可分割的组成部分，与合同具有同等法律效力。</w:t>
      </w:r>
    </w:p>
    <w:p>
      <w:pPr>
        <w:rPr>
          <w:color w:val="auto"/>
          <w:highlight w:val="none"/>
        </w:rPr>
      </w:pPr>
      <w:r>
        <w:rPr>
          <w:rFonts w:hint="eastAsia"/>
          <w:color w:val="auto"/>
          <w:highlight w:val="none"/>
        </w:rPr>
        <w:t xml:space="preserve">10.1配置清单     </w:t>
      </w:r>
      <w:r>
        <w:rPr>
          <w:rFonts w:hint="eastAsia" w:ascii="宋体" w:hAnsi="宋体"/>
          <w:color w:val="auto"/>
          <w:highlight w:val="none"/>
        </w:rPr>
        <w:t xml:space="preserve"> </w:t>
      </w:r>
      <w:r>
        <w:rPr>
          <w:rFonts w:hint="eastAsia" w:ascii="宋体" w:hAnsi="宋体"/>
          <w:b/>
          <w:color w:val="auto"/>
          <w:highlight w:val="none"/>
        </w:rPr>
        <w:t xml:space="preserve">  </w:t>
      </w:r>
      <w:r>
        <w:rPr>
          <w:rFonts w:hint="eastAsia"/>
          <w:color w:val="auto"/>
          <w:highlight w:val="none"/>
        </w:rPr>
        <w:t xml:space="preserve">设备的配置清单         </w:t>
      </w:r>
    </w:p>
    <w:p>
      <w:pPr>
        <w:rPr>
          <w:color w:val="auto"/>
          <w:highlight w:val="none"/>
        </w:rPr>
      </w:pPr>
      <w:r>
        <w:rPr>
          <w:rFonts w:hint="eastAsia"/>
          <w:color w:val="auto"/>
          <w:highlight w:val="none"/>
        </w:rPr>
        <w:t xml:space="preserve">10.2技术标准        投标文件的技术响应    </w:t>
      </w:r>
      <w:r>
        <w:rPr>
          <w:rFonts w:hint="eastAsia" w:ascii="宋体" w:hAnsi="宋体"/>
          <w:color w:val="auto"/>
          <w:highlight w:val="none"/>
        </w:rPr>
        <w:t xml:space="preserve"> </w:t>
      </w:r>
      <w:r>
        <w:rPr>
          <w:rFonts w:hint="eastAsia"/>
          <w:color w:val="auto"/>
          <w:highlight w:val="none"/>
        </w:rPr>
        <w:t xml:space="preserve">设备技术说明   </w:t>
      </w:r>
    </w:p>
    <w:p>
      <w:pPr>
        <w:jc w:val="left"/>
        <w:rPr>
          <w:color w:val="auto"/>
          <w:highlight w:val="none"/>
        </w:rPr>
      </w:pPr>
      <w:r>
        <w:rPr>
          <w:rFonts w:hint="eastAsia"/>
          <w:b/>
          <w:bCs/>
          <w:color w:val="auto"/>
          <w:highlight w:val="none"/>
        </w:rPr>
        <w:t>11.</w:t>
      </w:r>
      <w:r>
        <w:rPr>
          <w:rFonts w:hint="eastAsia"/>
          <w:b/>
          <w:color w:val="auto"/>
          <w:highlight w:val="none"/>
        </w:rPr>
        <w:t>特别约定</w:t>
      </w:r>
      <w:r>
        <w:rPr>
          <w:rFonts w:hint="eastAsia"/>
          <w:b/>
          <w:color w:val="auto"/>
          <w:highlight w:val="none"/>
          <w:u w:val="single"/>
        </w:rPr>
        <w:t xml:space="preserve">                                                                      </w:t>
      </w:r>
    </w:p>
    <w:p>
      <w:pPr>
        <w:ind w:firstLine="422" w:firstLineChars="200"/>
        <w:rPr>
          <w:b/>
          <w:bCs/>
          <w:color w:val="auto"/>
          <w:highlight w:val="none"/>
        </w:rPr>
      </w:pPr>
    </w:p>
    <w:p>
      <w:pPr>
        <w:ind w:firstLine="422" w:firstLineChars="200"/>
        <w:rPr>
          <w:b/>
          <w:bCs/>
          <w:color w:val="auto"/>
          <w:highlight w:val="none"/>
        </w:rPr>
      </w:pPr>
    </w:p>
    <w:p>
      <w:pPr>
        <w:ind w:firstLine="422" w:firstLineChars="200"/>
        <w:rPr>
          <w:b/>
          <w:bCs/>
          <w:color w:val="auto"/>
          <w:highlight w:val="none"/>
        </w:rPr>
      </w:pPr>
    </w:p>
    <w:p>
      <w:pPr>
        <w:ind w:firstLine="525" w:firstLineChars="249"/>
        <w:rPr>
          <w:b/>
          <w:bCs/>
          <w:color w:val="auto"/>
          <w:highlight w:val="none"/>
        </w:rPr>
      </w:pPr>
      <w:r>
        <w:rPr>
          <w:rFonts w:hint="eastAsia"/>
          <w:b/>
          <w:bCs/>
          <w:color w:val="auto"/>
          <w:highlight w:val="none"/>
        </w:rPr>
        <w:t xml:space="preserve">甲方：复旦大学附属妇产科医院                     乙方： </w:t>
      </w:r>
    </w:p>
    <w:p>
      <w:pPr>
        <w:ind w:firstLine="310" w:firstLineChars="147"/>
        <w:rPr>
          <w:b/>
          <w:bCs/>
          <w:color w:val="auto"/>
          <w:highlight w:val="none"/>
        </w:rPr>
      </w:pPr>
      <w:r>
        <w:rPr>
          <w:rFonts w:hint="eastAsia"/>
          <w:b/>
          <w:bCs/>
          <w:color w:val="auto"/>
          <w:highlight w:val="none"/>
        </w:rPr>
        <w:t>（盖章）                                          （盖章）</w:t>
      </w:r>
    </w:p>
    <w:p>
      <w:pPr>
        <w:ind w:left="420"/>
        <w:rPr>
          <w:b/>
          <w:bCs/>
          <w:color w:val="auto"/>
          <w:highlight w:val="none"/>
        </w:rPr>
      </w:pPr>
      <w:r>
        <w:rPr>
          <w:rFonts w:hint="eastAsia"/>
          <w:b/>
          <w:bCs/>
          <w:color w:val="auto"/>
          <w:highlight w:val="none"/>
        </w:rPr>
        <w:t>甲方法定代表人                                  乙方法定代表人或授权委托人</w:t>
      </w:r>
    </w:p>
    <w:p>
      <w:pPr>
        <w:ind w:left="420"/>
        <w:rPr>
          <w:b/>
          <w:bCs/>
          <w:color w:val="auto"/>
          <w:highlight w:val="none"/>
        </w:rPr>
      </w:pPr>
      <w:r>
        <w:rPr>
          <w:rFonts w:hint="eastAsia"/>
          <w:b/>
          <w:bCs/>
          <w:color w:val="auto"/>
          <w:highlight w:val="none"/>
        </w:rPr>
        <w:t xml:space="preserve">                      </w:t>
      </w:r>
    </w:p>
    <w:p>
      <w:pPr>
        <w:ind w:firstLine="422" w:firstLineChars="200"/>
        <w:rPr>
          <w:b/>
          <w:color w:val="auto"/>
          <w:highlight w:val="none"/>
        </w:rPr>
      </w:pPr>
      <w:r>
        <w:rPr>
          <w:rFonts w:hint="eastAsia"/>
          <w:b/>
          <w:color w:val="auto"/>
          <w:highlight w:val="none"/>
        </w:rPr>
        <w:t>__________________________                      __________________________</w:t>
      </w:r>
    </w:p>
    <w:p>
      <w:pPr>
        <w:ind w:firstLine="422" w:firstLineChars="200"/>
        <w:rPr>
          <w:b/>
          <w:color w:val="auto"/>
          <w:highlight w:val="none"/>
        </w:rPr>
      </w:pPr>
      <w:r>
        <w:rPr>
          <w:rFonts w:hint="eastAsia"/>
          <w:b/>
          <w:color w:val="auto"/>
          <w:highlight w:val="none"/>
        </w:rPr>
        <w:t>日期：____________________                        日期：____________________</w:t>
      </w:r>
    </w:p>
    <w:p>
      <w:pPr>
        <w:spacing w:line="360" w:lineRule="auto"/>
        <w:jc w:val="center"/>
        <w:outlineLvl w:val="1"/>
        <w:rPr>
          <w:rFonts w:hint="eastAsia" w:ascii="宋体" w:hAnsi="宋体" w:cs="宋体"/>
          <w:color w:val="auto"/>
          <w:sz w:val="24"/>
          <w:highlight w:val="none"/>
        </w:rPr>
      </w:pPr>
    </w:p>
    <w:p>
      <w:pPr>
        <w:rPr>
          <w:rFonts w:hint="eastAsia" w:ascii="宋体" w:hAnsi="宋体" w:cs="宋体"/>
          <w:b/>
          <w:color w:val="auto"/>
          <w:highlight w:val="none"/>
        </w:rPr>
      </w:pPr>
      <w:r>
        <w:rPr>
          <w:rFonts w:hint="eastAsia" w:ascii="宋体" w:hAnsi="宋体" w:cs="宋体"/>
          <w:b/>
          <w:color w:val="auto"/>
          <w:highlight w:val="none"/>
        </w:rPr>
        <w:br w:type="page"/>
      </w:r>
    </w:p>
    <w:p>
      <w:pPr>
        <w:spacing w:after="120" w:afterLines="50" w:line="480" w:lineRule="exact"/>
        <w:ind w:firstLine="562" w:firstLineChars="200"/>
        <w:jc w:val="center"/>
        <w:rPr>
          <w:rFonts w:hint="eastAsia" w:ascii="宋体" w:hAnsi="宋体" w:cs="宋体"/>
          <w:b/>
          <w:color w:val="auto"/>
          <w:sz w:val="28"/>
          <w:szCs w:val="28"/>
          <w:highlight w:val="none"/>
        </w:rPr>
      </w:pPr>
      <w:bookmarkStart w:id="253" w:name="_Hlk144305335"/>
      <w:r>
        <w:rPr>
          <w:rFonts w:hint="eastAsia" w:ascii="宋体" w:hAnsi="宋体" w:cs="宋体"/>
          <w:b/>
          <w:color w:val="auto"/>
          <w:sz w:val="28"/>
          <w:szCs w:val="28"/>
          <w:highlight w:val="none"/>
        </w:rPr>
        <w:t>复旦大学附属妇产科医院廉洁购销合同</w:t>
      </w:r>
    </w:p>
    <w:p>
      <w:pPr>
        <w:rPr>
          <w:rFonts w:hint="eastAsia" w:ascii="宋体" w:hAnsi="宋体" w:cs="宋体"/>
          <w:color w:val="auto"/>
          <w:szCs w:val="21"/>
          <w:highlight w:val="none"/>
        </w:rPr>
      </w:pPr>
      <w:r>
        <w:rPr>
          <w:rFonts w:hint="eastAsia" w:ascii="宋体" w:hAnsi="宋体" w:cs="宋体"/>
          <w:b/>
          <w:color w:val="auto"/>
          <w:szCs w:val="21"/>
          <w:highlight w:val="none"/>
        </w:rPr>
        <w:t>甲方</w:t>
      </w:r>
      <w:r>
        <w:rPr>
          <w:rFonts w:hint="eastAsia" w:ascii="宋体" w:hAnsi="宋体" w:cs="宋体"/>
          <w:color w:val="auto"/>
          <w:szCs w:val="21"/>
          <w:highlight w:val="none"/>
        </w:rPr>
        <w:t>：复旦大学附属妇产科医院</w:t>
      </w:r>
    </w:p>
    <w:p>
      <w:pPr>
        <w:rPr>
          <w:rFonts w:hint="eastAsia" w:ascii="宋体" w:hAnsi="宋体" w:cs="宋体"/>
          <w:color w:val="auto"/>
          <w:szCs w:val="21"/>
          <w:highlight w:val="none"/>
        </w:rPr>
      </w:pPr>
      <w:r>
        <w:rPr>
          <w:rFonts w:hint="eastAsia" w:ascii="宋体" w:hAnsi="宋体" w:cs="宋体"/>
          <w:b/>
          <w:color w:val="auto"/>
          <w:szCs w:val="21"/>
          <w:highlight w:val="none"/>
        </w:rPr>
        <w:t>乙方</w:t>
      </w:r>
      <w:r>
        <w:rPr>
          <w:rFonts w:hint="eastAsia" w:ascii="宋体" w:hAnsi="宋体" w:cs="宋体"/>
          <w:color w:val="auto"/>
          <w:szCs w:val="21"/>
          <w:highlight w:val="none"/>
        </w:rPr>
        <w:t>：</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为进一步加强医疗卫生行风建设，规范医疗卫生机构购销行为，有效防范商业贿赂行为，营造公平交易、诚实守信的购销环境，经甲、乙双方协商，同意签订本合同，并共同遵守：</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一、甲乙双方按照《民法典》及购销合同约定购销药品、医用设备、医用耗材、软硬件设备、办公用品（日用品）、基建修缮等产品。</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二、甲方应当严格执行购销合同验收、入库制度，对采购产品及发票进行查验，不得违反有关规定合同外采购、违价采购或从非规定渠道采购。</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四、严禁甲方工作人员利用任何途径和方式，为乙方统计医师个人及临床科室有关医药产品用量信息，或为乙方统计提供便利。</w:t>
      </w:r>
    </w:p>
    <w:p>
      <w:pPr>
        <w:ind w:firstLine="420" w:firstLineChars="200"/>
        <w:rPr>
          <w:rFonts w:hint="eastAsia" w:ascii="宋体" w:hAnsi="宋体" w:cs="宋体"/>
          <w:color w:val="auto"/>
          <w:kern w:val="0"/>
          <w:szCs w:val="21"/>
          <w:highlight w:val="none"/>
        </w:rPr>
      </w:pPr>
      <w:r>
        <w:rPr>
          <w:rFonts w:hint="eastAsia" w:ascii="宋体" w:hAnsi="宋体" w:cs="宋体"/>
          <w:color w:val="auto"/>
          <w:szCs w:val="21"/>
          <w:highlight w:val="none"/>
        </w:rPr>
        <w:t>五、乙方不得以回扣、宴请等方式影响甲方工作人员采购或</w:t>
      </w:r>
      <w:r>
        <w:rPr>
          <w:rFonts w:hint="eastAsia" w:ascii="宋体" w:hAnsi="宋体" w:cs="宋体"/>
          <w:color w:val="auto"/>
          <w:kern w:val="0"/>
          <w:szCs w:val="21"/>
          <w:highlight w:val="none"/>
        </w:rPr>
        <w:t>使用产品的选择权，不得在学术活动中提供旅游、超标准支付食宿费用。</w:t>
      </w:r>
    </w:p>
    <w:p>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六、乙方指定____________________作为销售代表洽谈业务。严格遵守甲方关于接待医药生产经营企业管理的规定进行备案和预约，销售代表必须在指定时间到甲方指定地点联系商谈，不得擅自到住院部、门急诊部、医技科室及医务人员宿舍等推销产品，不得借故到甲方相关领导、部门负责人及工作人员家中访谈并提供任何好处费。</w:t>
      </w:r>
    </w:p>
    <w:p>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七、乙方如违反本合同，一经发现，甲方有权终止购销合同，并向有关卫生健康行政部门报告。如乙方被列入商业贿赂不良记录，则严格按照国家卫生计生委、上海市卫生计生委及甲方关于建立医药购销领域商业贿赂不良记录的相关规定处理。</w:t>
      </w:r>
    </w:p>
    <w:p>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八、本合同作为产品购销合同的重要组成部分，与购销合同一并执行，具有同等的法律效力，双方如在履行合同中发生纠纷，首先应友好协商，协商不成，双方均应向甲方所在地有管辖权的人民法院诉讼解决。</w:t>
      </w:r>
    </w:p>
    <w:p>
      <w:pPr>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九、本合同一式三份，甲、乙双方各执一份，甲方纪检监察部门执一份，并从签订之日起生效。</w:t>
      </w:r>
    </w:p>
    <w:p>
      <w:pPr>
        <w:rPr>
          <w:rFonts w:hint="eastAsia" w:ascii="宋体" w:hAnsi="宋体" w:cs="宋体"/>
          <w:color w:val="auto"/>
          <w:kern w:val="0"/>
          <w:szCs w:val="21"/>
          <w:highlight w:val="none"/>
        </w:rPr>
      </w:pPr>
    </w:p>
    <w:p>
      <w:pPr>
        <w:rPr>
          <w:rFonts w:hint="eastAsia" w:ascii="宋体" w:hAnsi="宋体" w:cs="宋体"/>
          <w:color w:val="auto"/>
          <w:kern w:val="0"/>
          <w:szCs w:val="21"/>
          <w:highlight w:val="none"/>
        </w:rPr>
      </w:pP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甲方(盖章)：                                  乙方(盖章)：</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法定代表人(或授权代表)：                法定代表人(或授权代表)：</w:t>
      </w:r>
    </w:p>
    <w:p>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p>
    <w:p>
      <w:pPr>
        <w:rPr>
          <w:rFonts w:hint="eastAsia" w:ascii="宋体" w:hAnsi="宋体" w:cs="宋体"/>
          <w:color w:val="auto"/>
          <w:szCs w:val="21"/>
          <w:highlight w:val="none"/>
        </w:rPr>
      </w:pPr>
      <w:r>
        <w:rPr>
          <w:rFonts w:hint="eastAsia" w:ascii="宋体" w:hAnsi="宋体" w:cs="宋体"/>
          <w:color w:val="auto"/>
          <w:kern w:val="0"/>
          <w:szCs w:val="21"/>
          <w:highlight w:val="none"/>
        </w:rPr>
        <w:t>年   月   日                                   年   月   日</w:t>
      </w:r>
    </w:p>
    <w:bookmarkEnd w:id="253"/>
    <w:p>
      <w:pPr>
        <w:pStyle w:val="4"/>
        <w:keepNext w:val="0"/>
        <w:keepLines w:val="0"/>
        <w:spacing w:before="0" w:after="0" w:line="360" w:lineRule="auto"/>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bookmarkEnd w:id="239"/>
    <w:bookmarkEnd w:id="240"/>
    <w:bookmarkEnd w:id="241"/>
    <w:bookmarkEnd w:id="242"/>
    <w:p>
      <w:pPr>
        <w:pStyle w:val="4"/>
        <w:keepNext w:val="0"/>
        <w:keepLines w:val="0"/>
        <w:spacing w:before="0" w:after="0" w:line="360" w:lineRule="auto"/>
        <w:jc w:val="center"/>
        <w:rPr>
          <w:rFonts w:hint="eastAsia" w:ascii="宋体" w:hAnsi="宋体" w:cs="宋体"/>
          <w:b w:val="0"/>
          <w:bCs/>
          <w:color w:val="auto"/>
          <w:sz w:val="24"/>
          <w:szCs w:val="24"/>
          <w:highlight w:val="none"/>
        </w:rPr>
        <w:sectPr>
          <w:footerReference r:id="rId4" w:type="default"/>
          <w:pgSz w:w="11850" w:h="16783"/>
          <w:pgMar w:top="1440" w:right="1803" w:bottom="1440" w:left="1803" w:header="720" w:footer="720" w:gutter="0"/>
          <w:cols w:space="720" w:num="1"/>
          <w:docGrid w:linePitch="286" w:charSpace="0"/>
        </w:sectPr>
      </w:pPr>
      <w:bookmarkStart w:id="254" w:name="_Toc24324"/>
      <w:bookmarkStart w:id="255" w:name="_Toc392227905"/>
      <w:bookmarkStart w:id="256" w:name="_Toc457748048"/>
      <w:bookmarkStart w:id="257" w:name="_Toc15568"/>
    </w:p>
    <w:p>
      <w:pPr>
        <w:pStyle w:val="4"/>
        <w:keepNext w:val="0"/>
        <w:keepLines w:val="0"/>
        <w:numPr>
          <w:ilvl w:val="0"/>
          <w:numId w:val="16"/>
        </w:numPr>
        <w:spacing w:before="0" w:after="0" w:line="360" w:lineRule="auto"/>
        <w:jc w:val="center"/>
        <w:rPr>
          <w:rFonts w:hint="eastAsia" w:ascii="宋体" w:hAnsi="宋体" w:cs="宋体"/>
          <w:color w:val="auto"/>
          <w:sz w:val="32"/>
          <w:szCs w:val="32"/>
          <w:highlight w:val="none"/>
        </w:rPr>
      </w:pPr>
      <w:bookmarkStart w:id="258" w:name="_Toc29349"/>
      <w:bookmarkStart w:id="259" w:name="_Toc21503"/>
      <w:bookmarkStart w:id="260" w:name="_Toc25902"/>
      <w:r>
        <w:rPr>
          <w:rFonts w:hint="eastAsia" w:ascii="宋体" w:hAnsi="宋体" w:cs="宋体"/>
          <w:color w:val="auto"/>
          <w:sz w:val="32"/>
          <w:szCs w:val="32"/>
          <w:highlight w:val="none"/>
        </w:rPr>
        <w:t>采购需求</w:t>
      </w:r>
      <w:bookmarkEnd w:id="258"/>
      <w:bookmarkEnd w:id="259"/>
      <w:bookmarkEnd w:id="260"/>
    </w:p>
    <w:p>
      <w:pPr>
        <w:rPr>
          <w:b/>
          <w:bCs/>
          <w:color w:val="auto"/>
          <w:sz w:val="24"/>
          <w:szCs w:val="24"/>
          <w:highlight w:val="none"/>
        </w:rPr>
      </w:pPr>
      <w:r>
        <w:rPr>
          <w:rFonts w:hint="eastAsia"/>
          <w:b/>
          <w:bCs/>
          <w:color w:val="auto"/>
          <w:sz w:val="24"/>
          <w:szCs w:val="24"/>
          <w:highlight w:val="none"/>
        </w:rPr>
        <w:t>一、技术要求</w:t>
      </w:r>
    </w:p>
    <w:tbl>
      <w:tblPr>
        <w:tblStyle w:val="32"/>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0"/>
        <w:gridCol w:w="4543"/>
        <w:gridCol w:w="1687"/>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30" w:type="dxa"/>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序号</w:t>
            </w:r>
          </w:p>
        </w:tc>
        <w:tc>
          <w:tcPr>
            <w:tcW w:w="4543" w:type="dxa"/>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招标术要求</w:t>
            </w:r>
          </w:p>
        </w:tc>
        <w:tc>
          <w:tcPr>
            <w:tcW w:w="1687" w:type="dxa"/>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投标响应</w:t>
            </w:r>
          </w:p>
        </w:tc>
        <w:tc>
          <w:tcPr>
            <w:tcW w:w="900" w:type="dxa"/>
            <w:vAlign w:val="center"/>
          </w:tcPr>
          <w:p>
            <w:pPr>
              <w:jc w:val="center"/>
              <w:rPr>
                <w:rFonts w:ascii="宋体" w:hAnsi="宋体" w:cs="宋体"/>
                <w:b/>
                <w:color w:val="auto"/>
                <w:sz w:val="24"/>
                <w:szCs w:val="24"/>
                <w:highlight w:val="none"/>
              </w:rPr>
            </w:pPr>
            <w:r>
              <w:rPr>
                <w:rFonts w:hint="eastAsia" w:ascii="宋体" w:hAnsi="宋体" w:cs="宋体"/>
                <w:b/>
                <w:color w:val="auto"/>
                <w:sz w:val="24"/>
                <w:szCs w:val="24"/>
                <w:highlight w:val="none"/>
              </w:rPr>
              <w:t>响应/偏离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w:t>
            </w:r>
          </w:p>
        </w:tc>
        <w:tc>
          <w:tcPr>
            <w:tcW w:w="4543" w:type="dxa"/>
            <w:vAlign w:val="top"/>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技术参数：</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用途：用于医院对医疗器械和用品的低温快速灭菌；</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color w:val="auto"/>
                <w:highlight w:val="none"/>
                <w:lang w:val="en-US" w:eastAsia="zh-CN"/>
              </w:rPr>
              <w:t>▲</w:t>
            </w:r>
            <w:r>
              <w:rPr>
                <w:rFonts w:hint="eastAsia" w:ascii="宋体" w:hAnsi="宋体" w:cs="宋体"/>
                <w:color w:val="auto"/>
                <w:sz w:val="24"/>
                <w:szCs w:val="24"/>
                <w:highlight w:val="none"/>
              </w:rPr>
              <w:t>1.2</w:t>
            </w:r>
          </w:p>
        </w:tc>
        <w:tc>
          <w:tcPr>
            <w:tcW w:w="4543" w:type="dxa"/>
            <w:vAlign w:val="top"/>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方法：灭菌方法：符合国标GB27955-2020《过氧化氢气体等离子体低温灭菌器卫生要求》，通过过氧化氢气体弥散灭菌，并用等离子技术解析舱内及器械表面的过氧化氢，终产物为水和氧气（提供说明书或相应证明文件）；</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1.3</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使用低频等离子发生器，频率范围≤55K赫兹，保证设备更高稳定性和更低故障率，增强使用寿命；</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1.4</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总容积：≥150L；</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1.5</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灭菌周期：具备双循环加强型灭菌技术，半周期检测（提供卫生部认定的国家级消毒产品检验机构出具的半周期检测报告）；作为灭菌平台，可以到达≥4种循环模式；</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1.6</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具有负载调节程序，可用于管腔残余水份干燥和自动系统检测，降低取消率；</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▲1.7</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灭菌速度：管腔灭菌程序≤50分钟，软镜灭菌程序≤45分钟；并有专门的软式内镜灭菌模式及表面灭菌模式，表面灭菌≤25分钟；</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▲1.8</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管腔器械灭菌：可以对直径≤0.7mm、长度≥500mm的硬性管腔灭菌；可以对直径≤1mm、长度≥1000mm的聚乙烯管腔灭菌；</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1.9</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软式内镜灭菌：可以对直径≤1mm，长度≥1000mm的软式内窥镜进行灭菌，时间≤50分钟，如宫腔镜、阴道镜等；</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▲1.10</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灭菌剂：可视化卡匣式单胶囊单循环精确释放装置，人体无需接触、无挥发；常温保存，无需其他特殊保存条件；</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1.11</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射频识别功能：卡匣须有化学泄露指示卡及内嵌无线射频识别电子标签，标签包含但不限于卡匣效期、制造商、插入时间、胶囊状态、完成循环数等信息；并且部分使用过的卡匣可被识别重新插入使用，节约成本，避免浪费；</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▲1.12</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灭菌剂浓度在53%～60%之间。在过氧化氢进入灭菌舱体前可对过氧化氢进行提纯从而增强灭菌能力，可将过氧化氢浓度提升到80%</w:t>
            </w:r>
            <w:r>
              <w:rPr>
                <w:rFonts w:hint="eastAsia" w:ascii="宋体" w:hAnsi="宋体" w:cs="宋体"/>
                <w:color w:val="auto"/>
                <w:sz w:val="24"/>
                <w:szCs w:val="24"/>
                <w:highlight w:val="none"/>
                <w:lang w:val="en-US" w:eastAsia="zh-CN"/>
              </w:rPr>
              <w:t>及</w:t>
            </w:r>
            <w:r>
              <w:rPr>
                <w:rFonts w:hint="eastAsia" w:ascii="宋体" w:hAnsi="宋体" w:cs="宋体"/>
                <w:color w:val="auto"/>
                <w:sz w:val="24"/>
                <w:szCs w:val="24"/>
                <w:highlight w:val="none"/>
              </w:rPr>
              <w:t>以上；</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▲1.13</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灭菌剂剂量：可视化卡匣，单胶囊单循用量≥5.</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ml过氧化氢；</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1.14</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显示屏：采用全触摸式液晶屏，屏幕尺寸≥10英寸；</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1.15</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物理参数监测：记录并打印每个灭菌阶段的舱内压力、温度、过氧化氢浓度、灭菌时间、等离子功率等灭菌参数；</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rPr>
              <w:t>1.16</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过氧化氢浓度监测：可在灭菌过程中对舱体内过氧化氢浓度值进行每秒实时监测，确保灭菌效果；</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1.17</w:t>
            </w:r>
          </w:p>
        </w:tc>
        <w:tc>
          <w:tcPr>
            <w:tcW w:w="4543" w:type="dxa"/>
            <w:vAlign w:val="top"/>
          </w:tcPr>
          <w:p>
            <w:pPr>
              <w:widowControl/>
              <w:jc w:val="left"/>
              <w:textAlignment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连续动态监控系统：灭菌过程中可实时连续动态监测舱体参数数据，并可以电脑输出该数据；</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1.18</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兼容材质：包括常见金属材料如铝、不锈钢等，常见非金属材料如聚乙烯、玻璃、PVC等≥20种材质（提供说明书或相应证明文件）；</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▲1.19</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生物监测：可扫描指示剂标签自动记录生物监测结果，生物监测时间≤15分钟。生物测试菌种为嗜热脂肪杆菌芽孢；</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1.20</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报警提示系统：设备自动监测系统，并具备过氧化氢浓度每秒实时检测功能；自动提示保修需要，可自动报警；</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1.21</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脚触式光感开关门：手动式拉门或脚踏式自动升降门，便于工作人员脱手操作；</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1.22</w:t>
            </w:r>
          </w:p>
        </w:tc>
        <w:tc>
          <w:tcPr>
            <w:tcW w:w="4543"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具备装载指导功能：每灭菌循环前屏幕显示器械灭菌种类和装载指导（提供说明书或相应证明文件）；</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1.23</w:t>
            </w:r>
          </w:p>
        </w:tc>
        <w:tc>
          <w:tcPr>
            <w:tcW w:w="4543"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数字网络化技术：信息网络互连系统,可实现与HIS系统连接提供灭菌循环参数、生物监测结果等数据；</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1.24</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数据存储：可存储≥180个循环数据；</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1.25</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灭菌安全性：提供保证人体安全的生物相容性试验相关文献；</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1.26</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灭菌后器械管腔过氧化氢残留量测试：提供灭菌后器械管腔过氧化氢残留量的实验报告；</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1.27</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使用年限：≥10年；</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1.28</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场地条件：设备无需额外通风曝气要求，无需安装洗眼站；</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1.29</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提供三家以上器械生产厂家灭菌兼容许可证明文件；</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1.30</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可灭菌达芬奇手术机器人器械，并具备厂家推荐信；</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▲1.31</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眼科器械灭菌：可以对眼科器械进行灭菌（提供证明文件）；</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1.32</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可提供不断更新的查询器械兼容性的平台或系统。</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配置：</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2.1</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硬件：主机一台</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2.2</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软件：管腔灭菌循环一个</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2.3</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软镜灭菌循环两个</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1330" w:type="dxa"/>
            <w:vAlign w:val="top"/>
          </w:tcPr>
          <w:p>
            <w:pPr>
              <w:widowControl/>
              <w:jc w:val="left"/>
              <w:textAlignment w:val="center"/>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2.4</w:t>
            </w:r>
          </w:p>
        </w:tc>
        <w:tc>
          <w:tcPr>
            <w:tcW w:w="4543" w:type="dxa"/>
            <w:vAlign w:val="bottom"/>
          </w:tcPr>
          <w:p>
            <w:pPr>
              <w:widowControl/>
              <w:jc w:val="left"/>
              <w:textAlignment w:val="center"/>
              <w:rPr>
                <w:rFonts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rPr>
              <w:t>表面灭菌循环一个</w:t>
            </w:r>
          </w:p>
        </w:tc>
        <w:tc>
          <w:tcPr>
            <w:tcW w:w="1687" w:type="dxa"/>
            <w:vAlign w:val="center"/>
          </w:tcPr>
          <w:p>
            <w:pPr>
              <w:widowControl/>
              <w:jc w:val="left"/>
              <w:textAlignment w:val="center"/>
              <w:rPr>
                <w:rFonts w:ascii="宋体" w:hAnsi="宋体" w:cs="宋体"/>
                <w:b w:val="0"/>
                <w:bCs w:val="0"/>
                <w:color w:val="auto"/>
                <w:sz w:val="24"/>
                <w:szCs w:val="24"/>
                <w:highlight w:val="none"/>
              </w:rPr>
            </w:pPr>
          </w:p>
        </w:tc>
        <w:tc>
          <w:tcPr>
            <w:tcW w:w="900" w:type="dxa"/>
            <w:vAlign w:val="center"/>
          </w:tcPr>
          <w:p>
            <w:pPr>
              <w:widowControl/>
              <w:jc w:val="left"/>
              <w:textAlignment w:val="center"/>
              <w:rPr>
                <w:rFonts w:ascii="宋体" w:hAnsi="宋体" w:cs="宋体"/>
                <w:b w:val="0"/>
                <w:bCs w:val="0"/>
                <w:color w:val="auto"/>
                <w:sz w:val="24"/>
                <w:szCs w:val="24"/>
                <w:highlight w:val="none"/>
              </w:rPr>
            </w:pPr>
          </w:p>
        </w:tc>
      </w:tr>
    </w:tbl>
    <w:p>
      <w:pPr>
        <w:rPr>
          <w:b/>
          <w:bCs/>
          <w:color w:val="auto"/>
          <w:sz w:val="24"/>
          <w:szCs w:val="24"/>
          <w:highlight w:val="none"/>
        </w:rPr>
      </w:pPr>
    </w:p>
    <w:p>
      <w:pPr>
        <w:spacing w:line="360" w:lineRule="auto"/>
        <w:rPr>
          <w:color w:val="auto"/>
          <w:highlight w:val="none"/>
        </w:rPr>
      </w:pPr>
      <w:r>
        <w:rPr>
          <w:rFonts w:hint="eastAsia"/>
          <w:b/>
          <w:bCs/>
          <w:color w:val="auto"/>
          <w:sz w:val="24"/>
          <w:szCs w:val="24"/>
          <w:highlight w:val="none"/>
        </w:rPr>
        <w:t>二、商务要求</w:t>
      </w:r>
    </w:p>
    <w:p>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1、包修期限：原厂包修</w:t>
      </w:r>
      <w:r>
        <w:rPr>
          <w:rFonts w:hint="eastAsia" w:ascii="宋体" w:hAnsi="宋体" w:cs="宋体"/>
          <w:color w:val="auto"/>
          <w:sz w:val="24"/>
          <w:szCs w:val="24"/>
          <w:highlight w:val="none"/>
          <w:lang w:val="en-US" w:eastAsia="zh-CN"/>
        </w:rPr>
        <w:t>60</w:t>
      </w:r>
      <w:bookmarkStart w:id="357" w:name="_GoBack"/>
      <w:bookmarkEnd w:id="357"/>
      <w:r>
        <w:rPr>
          <w:rFonts w:hint="eastAsia" w:ascii="宋体" w:hAnsi="宋体" w:cs="宋体"/>
          <w:color w:val="auto"/>
          <w:sz w:val="24"/>
          <w:szCs w:val="24"/>
          <w:highlight w:val="none"/>
        </w:rPr>
        <w:t>个月，代理供应商保修/个月。</w:t>
      </w:r>
    </w:p>
    <w:p>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2、交货期：</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0天。</w:t>
      </w:r>
    </w:p>
    <w:p>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3、到货后</w:t>
      </w:r>
      <w:r>
        <w:rPr>
          <w:rFonts w:hint="eastAsia" w:ascii="宋体" w:hAnsi="宋体" w:cs="宋体"/>
          <w:color w:val="auto"/>
          <w:sz w:val="24"/>
          <w:szCs w:val="24"/>
          <w:highlight w:val="none"/>
          <w:lang w:val="en-US" w:eastAsia="zh-CN"/>
        </w:rPr>
        <w:t>30</w:t>
      </w:r>
      <w:r>
        <w:rPr>
          <w:rFonts w:hint="eastAsia" w:ascii="宋体" w:hAnsi="宋体" w:cs="宋体"/>
          <w:color w:val="auto"/>
          <w:sz w:val="24"/>
          <w:szCs w:val="24"/>
          <w:highlight w:val="none"/>
        </w:rPr>
        <w:t>天内安装完成调试。</w:t>
      </w:r>
    </w:p>
    <w:p>
      <w:pPr>
        <w:spacing w:line="360" w:lineRule="auto"/>
        <w:ind w:firstLine="410" w:firstLineChars="171"/>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rPr>
        <w:t>4、乙方收到甲方提出的报修要求后，应在</w:t>
      </w: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小时内到达甲方现场，履行维修义务(不可抗拒力量下除外)，并在</w:t>
      </w:r>
      <w:r>
        <w:rPr>
          <w:rFonts w:hint="eastAsia" w:ascii="宋体" w:hAnsi="宋体" w:cs="宋体"/>
          <w:color w:val="auto"/>
          <w:sz w:val="24"/>
          <w:szCs w:val="24"/>
          <w:highlight w:val="none"/>
          <w:lang w:val="en-US" w:eastAsia="zh-CN"/>
        </w:rPr>
        <w:t>24</w:t>
      </w:r>
      <w:r>
        <w:rPr>
          <w:rFonts w:hint="eastAsia" w:ascii="宋体" w:hAnsi="宋体" w:cs="宋体"/>
          <w:color w:val="auto"/>
          <w:sz w:val="24"/>
          <w:szCs w:val="24"/>
          <w:highlight w:val="none"/>
        </w:rPr>
        <w:t>小时内解决问题。</w:t>
      </w:r>
    </w:p>
    <w:p>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、所供设备是在2023年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月后生产的全新的、未使用过的。</w:t>
      </w:r>
    </w:p>
    <w:p>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付款方式：安装调试验收合格正常使用后成交人应向采购人出具与设备合同总价金额相对应的发票。采购人在收到成交人发票并确认无误后，应在4个月内以银行汇款方式向成交人指定银行账户一次性支付货款。</w:t>
      </w:r>
    </w:p>
    <w:p>
      <w:pPr>
        <w:spacing w:line="360" w:lineRule="auto"/>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、乙方需承担医院信息化设备接口所有费用。</w:t>
      </w:r>
    </w:p>
    <w:p>
      <w:pPr>
        <w:pStyle w:val="10"/>
        <w:rPr>
          <w:color w:val="auto"/>
          <w:highlight w:val="none"/>
        </w:rPr>
      </w:pPr>
    </w:p>
    <w:p>
      <w:pPr>
        <w:pStyle w:val="10"/>
        <w:rPr>
          <w:color w:val="auto"/>
          <w:highlight w:val="none"/>
        </w:rPr>
      </w:pPr>
    </w:p>
    <w:p>
      <w:pPr>
        <w:pStyle w:val="10"/>
        <w:rPr>
          <w:color w:val="auto"/>
          <w:highlight w:val="none"/>
        </w:rPr>
        <w:sectPr>
          <w:pgSz w:w="11850" w:h="16783"/>
          <w:pgMar w:top="1440" w:right="1803" w:bottom="1440" w:left="1803" w:header="720" w:footer="720" w:gutter="0"/>
          <w:cols w:space="720" w:num="1"/>
          <w:docGrid w:linePitch="286" w:charSpace="0"/>
        </w:sectPr>
      </w:pPr>
    </w:p>
    <w:p>
      <w:pPr>
        <w:pStyle w:val="14"/>
        <w:rPr>
          <w:color w:val="auto"/>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b w:val="0"/>
          <w:bCs/>
          <w:color w:val="auto"/>
          <w:sz w:val="24"/>
          <w:szCs w:val="24"/>
          <w:highlight w:val="none"/>
        </w:rPr>
      </w:pPr>
    </w:p>
    <w:p>
      <w:pPr>
        <w:pStyle w:val="4"/>
        <w:keepNext w:val="0"/>
        <w:keepLines w:val="0"/>
        <w:spacing w:before="0" w:after="0" w:line="360" w:lineRule="auto"/>
        <w:jc w:val="center"/>
        <w:rPr>
          <w:rFonts w:hint="eastAsia" w:ascii="宋体" w:hAnsi="宋体" w:cs="宋体"/>
          <w:color w:val="auto"/>
          <w:szCs w:val="44"/>
          <w:highlight w:val="none"/>
        </w:rPr>
      </w:pPr>
      <w:bookmarkStart w:id="261" w:name="_Toc11027"/>
      <w:r>
        <w:rPr>
          <w:rFonts w:hint="eastAsia" w:ascii="宋体" w:hAnsi="宋体" w:cs="宋体"/>
          <w:color w:val="auto"/>
          <w:szCs w:val="44"/>
          <w:highlight w:val="none"/>
        </w:rPr>
        <w:t>第六章 投标文件格式</w:t>
      </w:r>
      <w:bookmarkEnd w:id="254"/>
      <w:bookmarkEnd w:id="255"/>
      <w:bookmarkEnd w:id="256"/>
      <w:bookmarkEnd w:id="257"/>
      <w:bookmarkEnd w:id="261"/>
    </w:p>
    <w:p>
      <w:pPr>
        <w:pStyle w:val="5"/>
        <w:keepNext w:val="0"/>
        <w:keepLines w:val="0"/>
        <w:spacing w:before="0" w:after="0" w:line="360" w:lineRule="auto"/>
        <w:jc w:val="center"/>
        <w:rPr>
          <w:rFonts w:hint="eastAsia" w:ascii="宋体" w:hAnsi="宋体" w:eastAsia="宋体" w:cs="宋体"/>
          <w:color w:val="auto"/>
          <w:sz w:val="30"/>
          <w:szCs w:val="30"/>
          <w:highlight w:val="none"/>
        </w:rPr>
      </w:pPr>
    </w:p>
    <w:p>
      <w:pPr>
        <w:rPr>
          <w:rFonts w:hint="eastAsia" w:ascii="宋体" w:hAnsi="宋体" w:cs="宋体"/>
          <w:bCs/>
          <w:color w:val="auto"/>
          <w:spacing w:val="-12"/>
          <w:sz w:val="48"/>
          <w:szCs w:val="36"/>
          <w:highlight w:val="none"/>
        </w:rPr>
      </w:pPr>
      <w:r>
        <w:rPr>
          <w:rFonts w:hint="eastAsia" w:ascii="宋体" w:hAnsi="宋体" w:cs="宋体"/>
          <w:bCs/>
          <w:color w:val="auto"/>
          <w:spacing w:val="-12"/>
          <w:sz w:val="48"/>
          <w:szCs w:val="36"/>
          <w:highlight w:val="none"/>
        </w:rPr>
        <w:br w:type="page"/>
      </w:r>
    </w:p>
    <w:p>
      <w:pPr>
        <w:jc w:val="center"/>
        <w:rPr>
          <w:rFonts w:hint="eastAsia" w:ascii="宋体" w:hAnsi="宋体" w:cs="宋体"/>
          <w:bCs/>
          <w:color w:val="auto"/>
          <w:spacing w:val="-12"/>
          <w:sz w:val="48"/>
          <w:szCs w:val="36"/>
          <w:highlight w:val="none"/>
        </w:rPr>
      </w:pPr>
    </w:p>
    <w:p>
      <w:pPr>
        <w:jc w:val="center"/>
        <w:rPr>
          <w:rFonts w:hint="eastAsia" w:ascii="宋体" w:hAnsi="宋体" w:cs="宋体"/>
          <w:bCs/>
          <w:color w:val="auto"/>
          <w:spacing w:val="-12"/>
          <w:sz w:val="48"/>
          <w:szCs w:val="36"/>
          <w:highlight w:val="none"/>
        </w:rPr>
      </w:pPr>
      <w:r>
        <w:rPr>
          <w:rFonts w:hint="eastAsia" w:ascii="宋体" w:hAnsi="宋体" w:cs="宋体"/>
          <w:bCs/>
          <w:color w:val="auto"/>
          <w:spacing w:val="-12"/>
          <w:sz w:val="48"/>
          <w:szCs w:val="36"/>
          <w:highlight w:val="none"/>
        </w:rPr>
        <w:t>复旦大学附属妇产科医院</w:t>
      </w:r>
    </w:p>
    <w:p>
      <w:pPr>
        <w:jc w:val="center"/>
        <w:rPr>
          <w:rFonts w:hint="eastAsia" w:ascii="宋体" w:hAnsi="宋体" w:eastAsia="宋体" w:cs="宋体"/>
          <w:bCs/>
          <w:color w:val="auto"/>
          <w:spacing w:val="-12"/>
          <w:sz w:val="48"/>
          <w:szCs w:val="36"/>
          <w:highlight w:val="none"/>
          <w:lang w:eastAsia="zh-CN"/>
        </w:rPr>
      </w:pPr>
      <w:r>
        <w:rPr>
          <w:rFonts w:hint="eastAsia" w:ascii="宋体" w:hAnsi="宋体" w:cs="宋体"/>
          <w:bCs/>
          <w:color w:val="auto"/>
          <w:spacing w:val="-12"/>
          <w:sz w:val="48"/>
          <w:szCs w:val="36"/>
          <w:highlight w:val="none"/>
          <w:lang w:eastAsia="zh-CN"/>
        </w:rPr>
        <w:t>消毒灭菌装置</w:t>
      </w: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b/>
          <w:snapToGrid w:val="0"/>
          <w:color w:val="auto"/>
          <w:kern w:val="0"/>
          <w:sz w:val="56"/>
          <w:szCs w:val="72"/>
          <w:highlight w:val="none"/>
        </w:rPr>
      </w:pPr>
    </w:p>
    <w:p>
      <w:pPr>
        <w:jc w:val="center"/>
        <w:rPr>
          <w:rFonts w:hint="eastAsia" w:ascii="宋体" w:hAnsi="宋体" w:cs="宋体"/>
          <w:snapToGrid w:val="0"/>
          <w:color w:val="auto"/>
          <w:kern w:val="0"/>
          <w:sz w:val="72"/>
          <w:szCs w:val="80"/>
          <w:highlight w:val="none"/>
        </w:rPr>
      </w:pPr>
      <w:r>
        <w:rPr>
          <w:rFonts w:hint="eastAsia" w:ascii="宋体" w:hAnsi="宋体" w:cs="宋体"/>
          <w:snapToGrid w:val="0"/>
          <w:color w:val="auto"/>
          <w:kern w:val="0"/>
          <w:sz w:val="72"/>
          <w:szCs w:val="80"/>
          <w:highlight w:val="none"/>
        </w:rPr>
        <w:t>投 标 文 件</w:t>
      </w:r>
    </w:p>
    <w:p>
      <w:pPr>
        <w:jc w:val="center"/>
        <w:rPr>
          <w:rFonts w:hint="eastAsia" w:ascii="宋体" w:hAnsi="宋体" w:cs="宋体"/>
          <w:b/>
          <w:snapToGrid w:val="0"/>
          <w:color w:val="auto"/>
          <w:kern w:val="0"/>
          <w:sz w:val="56"/>
          <w:szCs w:val="72"/>
          <w:highlight w:val="none"/>
        </w:rPr>
      </w:pPr>
    </w:p>
    <w:p>
      <w:pPr>
        <w:spacing w:line="360" w:lineRule="auto"/>
        <w:jc w:val="center"/>
        <w:rPr>
          <w:rFonts w:hint="eastAsia" w:ascii="宋体" w:hAnsi="宋体" w:eastAsia="宋体" w:cs="宋体"/>
          <w:bCs/>
          <w:snapToGrid w:val="0"/>
          <w:color w:val="auto"/>
          <w:kern w:val="0"/>
          <w:sz w:val="28"/>
          <w:szCs w:val="32"/>
          <w:highlight w:val="none"/>
          <w:lang w:eastAsia="zh-CN"/>
        </w:rPr>
      </w:pPr>
      <w:r>
        <w:rPr>
          <w:rFonts w:hint="eastAsia" w:ascii="宋体" w:hAnsi="宋体" w:cs="宋体"/>
          <w:bCs/>
          <w:snapToGrid w:val="0"/>
          <w:color w:val="auto"/>
          <w:kern w:val="0"/>
          <w:sz w:val="28"/>
          <w:szCs w:val="32"/>
          <w:highlight w:val="none"/>
        </w:rPr>
        <w:t>项目编号：0613-</w:t>
      </w:r>
      <w:r>
        <w:rPr>
          <w:rFonts w:hint="eastAsia" w:ascii="宋体" w:hAnsi="宋体" w:cs="宋体"/>
          <w:bCs/>
          <w:snapToGrid w:val="0"/>
          <w:color w:val="auto"/>
          <w:kern w:val="0"/>
          <w:sz w:val="28"/>
          <w:szCs w:val="32"/>
          <w:highlight w:val="none"/>
          <w:lang w:eastAsia="zh-CN"/>
        </w:rPr>
        <w:t>247123066049</w:t>
      </w: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spacing w:line="300" w:lineRule="auto"/>
        <w:jc w:val="center"/>
        <w:rPr>
          <w:rFonts w:hint="eastAsia" w:ascii="宋体" w:hAnsi="宋体" w:cs="宋体"/>
          <w:color w:val="auto"/>
          <w:sz w:val="28"/>
          <w:szCs w:val="32"/>
          <w:highlight w:val="none"/>
        </w:rPr>
      </w:pPr>
      <w:r>
        <w:rPr>
          <w:rFonts w:hint="eastAsia" w:ascii="宋体" w:hAnsi="宋体" w:cs="宋体"/>
          <w:color w:val="auto"/>
          <w:sz w:val="28"/>
          <w:szCs w:val="32"/>
          <w:highlight w:val="none"/>
        </w:rPr>
        <w:t>投 标 人：</w:t>
      </w:r>
      <w:r>
        <w:rPr>
          <w:rFonts w:hint="eastAsia" w:ascii="宋体" w:hAnsi="宋体" w:cs="宋体"/>
          <w:color w:val="auto"/>
          <w:sz w:val="28"/>
          <w:szCs w:val="32"/>
          <w:highlight w:val="none"/>
          <w:u w:val="single"/>
        </w:rPr>
        <w:t xml:space="preserve">                        </w:t>
      </w:r>
      <w:r>
        <w:rPr>
          <w:rFonts w:hint="eastAsia" w:ascii="宋体" w:hAnsi="宋体" w:cs="宋体"/>
          <w:color w:val="auto"/>
          <w:sz w:val="28"/>
          <w:szCs w:val="32"/>
          <w:highlight w:val="none"/>
        </w:rPr>
        <w:t>（盖单位公章）</w:t>
      </w:r>
    </w:p>
    <w:p>
      <w:pPr>
        <w:spacing w:line="300" w:lineRule="auto"/>
        <w:jc w:val="center"/>
        <w:rPr>
          <w:rFonts w:hint="eastAsia" w:ascii="宋体" w:hAnsi="宋体" w:cs="宋体"/>
          <w:color w:val="auto"/>
          <w:sz w:val="28"/>
          <w:szCs w:val="32"/>
          <w:highlight w:val="none"/>
        </w:rPr>
      </w:pPr>
      <w:r>
        <w:rPr>
          <w:rFonts w:hint="eastAsia" w:ascii="宋体" w:hAnsi="宋体" w:cs="宋体"/>
          <w:color w:val="auto"/>
          <w:sz w:val="28"/>
          <w:szCs w:val="32"/>
          <w:highlight w:val="none"/>
        </w:rPr>
        <w:t xml:space="preserve"> </w:t>
      </w:r>
    </w:p>
    <w:p>
      <w:pPr>
        <w:spacing w:line="360" w:lineRule="auto"/>
        <w:jc w:val="center"/>
        <w:rPr>
          <w:rFonts w:hint="eastAsia" w:ascii="宋体" w:hAnsi="宋体" w:cs="宋体"/>
          <w:color w:val="auto"/>
          <w:sz w:val="28"/>
          <w:szCs w:val="32"/>
          <w:highlight w:val="none"/>
        </w:rPr>
      </w:pPr>
      <w:r>
        <w:rPr>
          <w:rFonts w:hint="eastAsia" w:ascii="宋体" w:hAnsi="宋体" w:cs="宋体"/>
          <w:color w:val="auto"/>
          <w:sz w:val="28"/>
          <w:szCs w:val="32"/>
          <w:highlight w:val="none"/>
          <w:u w:val="single"/>
        </w:rPr>
        <w:t xml:space="preserve">      </w:t>
      </w:r>
      <w:r>
        <w:rPr>
          <w:rFonts w:hint="eastAsia" w:ascii="宋体" w:hAnsi="宋体" w:cs="宋体"/>
          <w:color w:val="auto"/>
          <w:sz w:val="28"/>
          <w:szCs w:val="32"/>
          <w:highlight w:val="none"/>
        </w:rPr>
        <w:t>年</w:t>
      </w:r>
      <w:r>
        <w:rPr>
          <w:rFonts w:hint="eastAsia" w:ascii="宋体" w:hAnsi="宋体" w:cs="宋体"/>
          <w:color w:val="auto"/>
          <w:sz w:val="28"/>
          <w:szCs w:val="32"/>
          <w:highlight w:val="none"/>
          <w:u w:val="single"/>
        </w:rPr>
        <w:t xml:space="preserve">      </w:t>
      </w:r>
      <w:r>
        <w:rPr>
          <w:rFonts w:hint="eastAsia" w:ascii="宋体" w:hAnsi="宋体" w:cs="宋体"/>
          <w:color w:val="auto"/>
          <w:sz w:val="28"/>
          <w:szCs w:val="32"/>
          <w:highlight w:val="none"/>
        </w:rPr>
        <w:t>月</w:t>
      </w:r>
      <w:r>
        <w:rPr>
          <w:rFonts w:hint="eastAsia" w:ascii="宋体" w:hAnsi="宋体" w:cs="宋体"/>
          <w:color w:val="auto"/>
          <w:sz w:val="28"/>
          <w:szCs w:val="32"/>
          <w:highlight w:val="none"/>
          <w:u w:val="single"/>
        </w:rPr>
        <w:t xml:space="preserve">      </w:t>
      </w:r>
      <w:r>
        <w:rPr>
          <w:rFonts w:hint="eastAsia" w:ascii="宋体" w:hAnsi="宋体" w:cs="宋体"/>
          <w:color w:val="auto"/>
          <w:sz w:val="28"/>
          <w:szCs w:val="32"/>
          <w:highlight w:val="none"/>
        </w:rPr>
        <w:t>日</w:t>
      </w:r>
    </w:p>
    <w:p>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262" w:name="_Toc16818"/>
      <w:bookmarkStart w:id="263" w:name="_Toc392227906"/>
      <w:bookmarkStart w:id="264" w:name="_Toc30929"/>
      <w:bookmarkStart w:id="265" w:name="_Toc457748049"/>
      <w:r>
        <w:rPr>
          <w:rFonts w:hint="eastAsia" w:ascii="宋体" w:hAnsi="宋体" w:eastAsia="宋体" w:cs="宋体"/>
          <w:color w:val="auto"/>
          <w:sz w:val="30"/>
          <w:szCs w:val="30"/>
          <w:highlight w:val="none"/>
        </w:rPr>
        <w:t>目  录</w:t>
      </w:r>
      <w:bookmarkEnd w:id="262"/>
      <w:bookmarkEnd w:id="263"/>
      <w:bookmarkEnd w:id="264"/>
      <w:bookmarkEnd w:id="265"/>
    </w:p>
    <w:p>
      <w:pPr>
        <w:spacing w:line="360" w:lineRule="auto"/>
        <w:rPr>
          <w:rFonts w:hint="eastAsia" w:ascii="宋体" w:hAnsi="宋体" w:cs="宋体"/>
          <w:color w:val="auto"/>
          <w:highlight w:val="none"/>
        </w:rPr>
      </w:pPr>
    </w:p>
    <w:p>
      <w:pPr>
        <w:spacing w:line="360" w:lineRule="auto"/>
        <w:rPr>
          <w:rFonts w:hint="eastAsia" w:ascii="宋体" w:hAnsi="宋体" w:cs="宋体"/>
          <w:color w:val="auto"/>
          <w:sz w:val="24"/>
          <w:szCs w:val="24"/>
          <w:highlight w:val="none"/>
        </w:rPr>
      </w:pPr>
      <w:bookmarkStart w:id="266" w:name="_Toc369531691"/>
      <w:bookmarkStart w:id="267" w:name="_Toc7039"/>
      <w:bookmarkStart w:id="268" w:name="_Toc352691655"/>
      <w:r>
        <w:rPr>
          <w:rFonts w:hint="eastAsia" w:ascii="宋体" w:hAnsi="宋体" w:cs="宋体"/>
          <w:b/>
          <w:color w:val="auto"/>
          <w:szCs w:val="21"/>
          <w:highlight w:val="none"/>
        </w:rPr>
        <w:t>编制详细的目录</w:t>
      </w:r>
    </w:p>
    <w:p>
      <w:pPr>
        <w:spacing w:line="360" w:lineRule="auto"/>
        <w:rPr>
          <w:rFonts w:hint="eastAsia" w:ascii="宋体" w:hAnsi="宋体" w:cs="宋体"/>
          <w:color w:val="auto"/>
          <w:sz w:val="24"/>
          <w:szCs w:val="24"/>
          <w:highlight w:val="none"/>
        </w:rPr>
      </w:pPr>
    </w:p>
    <w:p>
      <w:pPr>
        <w:spacing w:line="360" w:lineRule="auto"/>
        <w:rPr>
          <w:rFonts w:hint="eastAsia" w:ascii="宋体" w:hAnsi="宋体" w:cs="宋体"/>
          <w:color w:val="auto"/>
          <w:sz w:val="24"/>
          <w:szCs w:val="24"/>
          <w:highlight w:val="none"/>
        </w:rPr>
      </w:pPr>
    </w:p>
    <w:p>
      <w:pPr>
        <w:pStyle w:val="30"/>
        <w:rPr>
          <w:rFonts w:hint="eastAsia" w:ascii="宋体" w:hAnsi="宋体"/>
          <w:color w:val="auto"/>
          <w:sz w:val="30"/>
          <w:szCs w:val="30"/>
          <w:highlight w:val="none"/>
        </w:rPr>
      </w:pPr>
      <w:r>
        <w:rPr>
          <w:rFonts w:hint="eastAsia" w:ascii="宋体" w:hAnsi="宋体"/>
          <w:color w:val="auto"/>
          <w:sz w:val="24"/>
          <w:szCs w:val="24"/>
          <w:highlight w:val="none"/>
        </w:rPr>
        <w:br w:type="page"/>
      </w:r>
      <w:bookmarkEnd w:id="266"/>
      <w:bookmarkEnd w:id="267"/>
      <w:bookmarkEnd w:id="268"/>
      <w:bookmarkStart w:id="269" w:name="_Toc24606"/>
      <w:bookmarkStart w:id="270" w:name="_Toc6161"/>
      <w:bookmarkStart w:id="271" w:name="_Toc457748050"/>
      <w:bookmarkStart w:id="272" w:name="_Toc392227907"/>
      <w:r>
        <w:rPr>
          <w:rFonts w:hint="eastAsia" w:ascii="宋体" w:hAnsi="宋体"/>
          <w:color w:val="auto"/>
          <w:sz w:val="30"/>
          <w:szCs w:val="30"/>
          <w:highlight w:val="none"/>
        </w:rPr>
        <w:t>无串通</w:t>
      </w:r>
      <w:r>
        <w:rPr>
          <w:rFonts w:ascii="宋体" w:hAnsi="宋体"/>
          <w:color w:val="auto"/>
          <w:sz w:val="30"/>
          <w:szCs w:val="30"/>
          <w:highlight w:val="none"/>
        </w:rPr>
        <w:t>投标</w:t>
      </w:r>
      <w:r>
        <w:rPr>
          <w:rFonts w:hint="eastAsia" w:ascii="宋体" w:hAnsi="宋体"/>
          <w:color w:val="auto"/>
          <w:sz w:val="30"/>
          <w:szCs w:val="30"/>
          <w:highlight w:val="none"/>
        </w:rPr>
        <w:t>及</w:t>
      </w:r>
      <w:r>
        <w:rPr>
          <w:rFonts w:ascii="宋体" w:hAnsi="宋体"/>
          <w:color w:val="auto"/>
          <w:sz w:val="30"/>
          <w:szCs w:val="30"/>
          <w:highlight w:val="none"/>
        </w:rPr>
        <w:t>弄虚作假</w:t>
      </w:r>
      <w:r>
        <w:rPr>
          <w:rFonts w:hint="eastAsia" w:ascii="宋体" w:hAnsi="宋体"/>
          <w:color w:val="auto"/>
          <w:sz w:val="30"/>
          <w:szCs w:val="30"/>
          <w:highlight w:val="none"/>
        </w:rPr>
        <w:t>行为承诺书</w:t>
      </w:r>
      <w:bookmarkEnd w:id="269"/>
    </w:p>
    <w:p>
      <w:pPr>
        <w:spacing w:line="440" w:lineRule="exact"/>
        <w:rPr>
          <w:rFonts w:hint="eastAsia" w:ascii="宋体" w:hAnsi="宋体"/>
          <w:color w:val="auto"/>
          <w:szCs w:val="21"/>
          <w:highlight w:val="none"/>
        </w:rPr>
      </w:pPr>
      <w:r>
        <w:rPr>
          <w:rFonts w:hint="eastAsia" w:ascii="宋体" w:hAnsi="宋体"/>
          <w:color w:val="auto"/>
          <w:szCs w:val="21"/>
          <w:highlight w:val="none"/>
        </w:rPr>
        <w:t>复旦大学附属妇产科医院：</w:t>
      </w:r>
    </w:p>
    <w:p>
      <w:pPr>
        <w:spacing w:line="440" w:lineRule="exact"/>
        <w:ind w:firstLine="420" w:firstLineChars="200"/>
        <w:rPr>
          <w:rFonts w:hint="eastAsia" w:ascii="宋体" w:hAnsi="宋体"/>
          <w:b/>
          <w:bCs/>
          <w:color w:val="auto"/>
          <w:szCs w:val="21"/>
          <w:highlight w:val="none"/>
        </w:rPr>
      </w:pPr>
      <w:r>
        <w:rPr>
          <w:rFonts w:hint="eastAsia" w:ascii="宋体" w:hAnsi="宋体"/>
          <w:color w:val="auto"/>
          <w:szCs w:val="21"/>
          <w:highlight w:val="none"/>
        </w:rPr>
        <w:t>我公司承诺参加</w:t>
      </w:r>
      <w:r>
        <w:rPr>
          <w:rFonts w:ascii="宋体" w:hAnsi="宋体"/>
          <w:color w:val="auto"/>
          <w:szCs w:val="21"/>
          <w:highlight w:val="none"/>
        </w:rPr>
        <w:t>本次</w:t>
      </w:r>
      <w:r>
        <w:rPr>
          <w:rFonts w:hint="eastAsia" w:ascii="宋体" w:hAnsi="宋体"/>
          <w:color w:val="auto"/>
          <w:szCs w:val="21"/>
          <w:highlight w:val="none"/>
        </w:rPr>
        <w:t>采购</w:t>
      </w:r>
      <w:r>
        <w:rPr>
          <w:rFonts w:ascii="宋体" w:hAnsi="宋体"/>
          <w:color w:val="auto"/>
          <w:szCs w:val="21"/>
          <w:highlight w:val="none"/>
        </w:rPr>
        <w:t>项目</w:t>
      </w:r>
      <w:r>
        <w:rPr>
          <w:rFonts w:hint="eastAsia" w:ascii="宋体" w:hAnsi="宋体"/>
          <w:color w:val="auto"/>
          <w:szCs w:val="21"/>
          <w:highlight w:val="none"/>
        </w:rPr>
        <w:t>（项目名称：</w:t>
      </w:r>
      <w:r>
        <w:rPr>
          <w:rFonts w:hint="eastAsia" w:ascii="宋体" w:hAnsi="宋体"/>
          <w:color w:val="auto"/>
          <w:szCs w:val="21"/>
          <w:highlight w:val="none"/>
          <w:lang w:eastAsia="zh-CN"/>
        </w:rPr>
        <w:t>消毒灭菌装置</w:t>
      </w:r>
      <w:r>
        <w:rPr>
          <w:rFonts w:hint="eastAsia" w:ascii="宋体" w:hAnsi="宋体"/>
          <w:color w:val="auto"/>
          <w:szCs w:val="21"/>
          <w:highlight w:val="none"/>
        </w:rPr>
        <w:t>，项目</w:t>
      </w:r>
      <w:r>
        <w:rPr>
          <w:rFonts w:ascii="宋体" w:hAnsi="宋体"/>
          <w:color w:val="auto"/>
          <w:szCs w:val="21"/>
          <w:highlight w:val="none"/>
        </w:rPr>
        <w:t>编号：</w:t>
      </w:r>
      <w:r>
        <w:rPr>
          <w:rFonts w:hint="eastAsia" w:ascii="宋体" w:hAnsi="宋体"/>
          <w:color w:val="auto"/>
          <w:szCs w:val="21"/>
          <w:highlight w:val="none"/>
        </w:rPr>
        <w:t>0613-</w:t>
      </w:r>
      <w:r>
        <w:rPr>
          <w:rFonts w:hint="eastAsia" w:ascii="宋体" w:hAnsi="宋体"/>
          <w:color w:val="auto"/>
          <w:szCs w:val="21"/>
          <w:highlight w:val="none"/>
          <w:lang w:eastAsia="zh-CN"/>
        </w:rPr>
        <w:t>247123066049</w:t>
      </w:r>
      <w:r>
        <w:rPr>
          <w:rFonts w:ascii="宋体" w:hAnsi="宋体"/>
          <w:color w:val="auto"/>
          <w:szCs w:val="21"/>
          <w:highlight w:val="none"/>
        </w:rPr>
        <w:t>）</w:t>
      </w:r>
      <w:r>
        <w:rPr>
          <w:rFonts w:hint="eastAsia" w:ascii="宋体" w:hAnsi="宋体"/>
          <w:color w:val="auto"/>
          <w:szCs w:val="21"/>
          <w:highlight w:val="none"/>
        </w:rPr>
        <w:t>，严格遵守国家的相关法律法规和规章及有关规定，</w:t>
      </w:r>
      <w:r>
        <w:rPr>
          <w:rFonts w:hint="eastAsia" w:ascii="宋体" w:hAnsi="宋体"/>
          <w:b/>
          <w:color w:val="auto"/>
          <w:szCs w:val="21"/>
          <w:highlight w:val="none"/>
        </w:rPr>
        <w:t>不存在以下违法、违规行为</w:t>
      </w:r>
      <w:r>
        <w:rPr>
          <w:rFonts w:hint="eastAsia" w:ascii="宋体" w:hAnsi="宋体"/>
          <w:b/>
          <w:bCs/>
          <w:color w:val="auto"/>
          <w:szCs w:val="21"/>
          <w:highlight w:val="none"/>
        </w:rPr>
        <w:t>：</w:t>
      </w:r>
    </w:p>
    <w:p>
      <w:pPr>
        <w:pStyle w:val="64"/>
        <w:numPr>
          <w:ilvl w:val="0"/>
          <w:numId w:val="17"/>
        </w:numPr>
        <w:adjustRightInd w:val="0"/>
        <w:spacing w:line="440" w:lineRule="exact"/>
        <w:ind w:left="284" w:firstLine="0" w:firstLineChars="0"/>
        <w:rPr>
          <w:rFonts w:hint="eastAsia" w:ascii="宋体" w:hAnsi="宋体"/>
          <w:color w:val="auto"/>
          <w:szCs w:val="21"/>
          <w:highlight w:val="none"/>
        </w:rPr>
      </w:pPr>
      <w:r>
        <w:rPr>
          <w:rFonts w:hint="eastAsia" w:ascii="宋体" w:hAnsi="宋体"/>
          <w:color w:val="auto"/>
          <w:szCs w:val="21"/>
          <w:highlight w:val="none"/>
        </w:rPr>
        <w:t>属于或视为串通投标的行为：</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投标人之间协商投标报价等投标文件的实质性内容；</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投标人之间约定中标人；</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投标人之间约定部分投标人放弃投标或者中标；</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属于同一集团、协会、商会等组织成员的投标人按照该组织要求协同投标；</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投标人之间为谋取中标或者排斥特定投标人而采取的其他联合行动。</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不同投标人的投标文件由同一单位或者个人编制；</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不同投标人委托同一单位或者个人办理投标事宜；</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不同投标人的投标文件载明的项目管理成员为同一人；</w:t>
      </w:r>
    </w:p>
    <w:p>
      <w:pPr>
        <w:pStyle w:val="64"/>
        <w:numPr>
          <w:ilvl w:val="0"/>
          <w:numId w:val="18"/>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不同投标人的投标文件异常一致或者投标报价呈规律性差异；</w:t>
      </w:r>
    </w:p>
    <w:p>
      <w:pPr>
        <w:pStyle w:val="64"/>
        <w:numPr>
          <w:ilvl w:val="0"/>
          <w:numId w:val="19"/>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不同投标人的投标文件相互混装；</w:t>
      </w:r>
    </w:p>
    <w:p>
      <w:pPr>
        <w:pStyle w:val="64"/>
        <w:numPr>
          <w:ilvl w:val="0"/>
          <w:numId w:val="19"/>
        </w:numPr>
        <w:autoSpaceDE w:val="0"/>
        <w:autoSpaceDN w:val="0"/>
        <w:adjustRightInd w:val="0"/>
        <w:spacing w:line="440" w:lineRule="exact"/>
        <w:ind w:left="424" w:leftChars="202"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不同投标人的投标保证金从同一单位或者个人的账户转出。</w:t>
      </w:r>
    </w:p>
    <w:p>
      <w:pPr>
        <w:pStyle w:val="64"/>
        <w:numPr>
          <w:ilvl w:val="0"/>
          <w:numId w:val="17"/>
        </w:numPr>
        <w:autoSpaceDE w:val="0"/>
        <w:autoSpaceDN w:val="0"/>
        <w:adjustRightInd w:val="0"/>
        <w:spacing w:line="440" w:lineRule="exact"/>
        <w:ind w:left="284" w:firstLine="0" w:firstLineChars="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其他方式弄虚作假的行为：</w:t>
      </w:r>
    </w:p>
    <w:p>
      <w:pPr>
        <w:pStyle w:val="64"/>
        <w:numPr>
          <w:ilvl w:val="0"/>
          <w:numId w:val="20"/>
        </w:numPr>
        <w:autoSpaceDE w:val="0"/>
        <w:autoSpaceDN w:val="0"/>
        <w:adjustRightInd w:val="0"/>
        <w:spacing w:line="440" w:lineRule="exact"/>
        <w:ind w:left="0"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使用通过受让或者租借等方式获取的资格、资质证书投标的；</w:t>
      </w:r>
    </w:p>
    <w:p>
      <w:pPr>
        <w:pStyle w:val="64"/>
        <w:numPr>
          <w:ilvl w:val="0"/>
          <w:numId w:val="20"/>
        </w:numPr>
        <w:autoSpaceDE w:val="0"/>
        <w:autoSpaceDN w:val="0"/>
        <w:adjustRightInd w:val="0"/>
        <w:spacing w:line="440" w:lineRule="exact"/>
        <w:ind w:left="0"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使用伪造、变造的许可证件；</w:t>
      </w:r>
    </w:p>
    <w:p>
      <w:pPr>
        <w:pStyle w:val="64"/>
        <w:numPr>
          <w:ilvl w:val="0"/>
          <w:numId w:val="20"/>
        </w:numPr>
        <w:autoSpaceDE w:val="0"/>
        <w:autoSpaceDN w:val="0"/>
        <w:adjustRightInd w:val="0"/>
        <w:spacing w:line="440" w:lineRule="exact"/>
        <w:ind w:left="0"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提供虚假的财务状况或者业绩；</w:t>
      </w:r>
    </w:p>
    <w:p>
      <w:pPr>
        <w:pStyle w:val="64"/>
        <w:numPr>
          <w:ilvl w:val="0"/>
          <w:numId w:val="20"/>
        </w:numPr>
        <w:autoSpaceDE w:val="0"/>
        <w:autoSpaceDN w:val="0"/>
        <w:adjustRightInd w:val="0"/>
        <w:spacing w:line="440" w:lineRule="exact"/>
        <w:ind w:left="0"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提供虚假的项目负责人或者主要技术人员简历、劳动关系证明；</w:t>
      </w:r>
    </w:p>
    <w:p>
      <w:pPr>
        <w:pStyle w:val="64"/>
        <w:numPr>
          <w:ilvl w:val="0"/>
          <w:numId w:val="20"/>
        </w:numPr>
        <w:autoSpaceDE w:val="0"/>
        <w:autoSpaceDN w:val="0"/>
        <w:adjustRightInd w:val="0"/>
        <w:spacing w:line="440" w:lineRule="exact"/>
        <w:ind w:left="0" w:firstLine="371" w:firstLineChars="177"/>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提供虚假的信用状况；</w:t>
      </w:r>
    </w:p>
    <w:p>
      <w:pPr>
        <w:pStyle w:val="64"/>
        <w:numPr>
          <w:ilvl w:val="0"/>
          <w:numId w:val="20"/>
        </w:numPr>
        <w:spacing w:line="440" w:lineRule="exact"/>
        <w:ind w:left="0" w:firstLine="371" w:firstLineChars="177"/>
        <w:rPr>
          <w:rFonts w:hint="eastAsia" w:ascii="宋体" w:hAnsi="宋体" w:cs="宋体"/>
          <w:color w:val="auto"/>
          <w:kern w:val="0"/>
          <w:szCs w:val="21"/>
          <w:highlight w:val="none"/>
        </w:rPr>
      </w:pPr>
      <w:r>
        <w:rPr>
          <w:rFonts w:hint="eastAsia" w:ascii="宋体" w:hAnsi="宋体" w:cs="宋体"/>
          <w:color w:val="auto"/>
          <w:kern w:val="0"/>
          <w:szCs w:val="21"/>
          <w:highlight w:val="none"/>
        </w:rPr>
        <w:t>其他弄虚作假的行为。</w:t>
      </w:r>
    </w:p>
    <w:p>
      <w:pPr>
        <w:spacing w:line="440" w:lineRule="exact"/>
        <w:ind w:firstLine="422" w:firstLineChars="200"/>
        <w:rPr>
          <w:rFonts w:hint="eastAsia" w:ascii="宋体" w:hAnsi="宋体" w:cs="宋体"/>
          <w:color w:val="auto"/>
          <w:kern w:val="0"/>
          <w:szCs w:val="21"/>
          <w:highlight w:val="none"/>
        </w:rPr>
      </w:pPr>
      <w:r>
        <w:rPr>
          <w:rFonts w:hint="eastAsia" w:ascii="宋体" w:hAnsi="宋体" w:cs="宋体"/>
          <w:b/>
          <w:bCs/>
          <w:color w:val="auto"/>
          <w:kern w:val="0"/>
          <w:szCs w:val="21"/>
          <w:highlight w:val="none"/>
        </w:rPr>
        <w:t>如发现我公司存在上述行为，我公司愿承担一切</w:t>
      </w:r>
      <w:r>
        <w:rPr>
          <w:rFonts w:ascii="宋体" w:hAnsi="宋体" w:cs="宋体"/>
          <w:b/>
          <w:bCs/>
          <w:color w:val="auto"/>
          <w:kern w:val="0"/>
          <w:szCs w:val="21"/>
          <w:highlight w:val="none"/>
        </w:rPr>
        <w:t>法律</w:t>
      </w:r>
      <w:r>
        <w:rPr>
          <w:rFonts w:hint="eastAsia" w:ascii="宋体" w:hAnsi="宋体" w:cs="宋体"/>
          <w:b/>
          <w:bCs/>
          <w:color w:val="auto"/>
          <w:kern w:val="0"/>
          <w:szCs w:val="21"/>
          <w:highlight w:val="none"/>
        </w:rPr>
        <w:t>责任</w:t>
      </w:r>
      <w:r>
        <w:rPr>
          <w:rFonts w:hint="eastAsia" w:ascii="宋体" w:hAnsi="宋体" w:cs="宋体"/>
          <w:color w:val="auto"/>
          <w:kern w:val="0"/>
          <w:szCs w:val="21"/>
          <w:highlight w:val="none"/>
        </w:rPr>
        <w:t>。</w:t>
      </w:r>
    </w:p>
    <w:p>
      <w:pPr>
        <w:spacing w:line="440" w:lineRule="exact"/>
        <w:rPr>
          <w:rFonts w:hint="eastAsia" w:ascii="宋体" w:hAnsi="宋体" w:cs="宋体"/>
          <w:color w:val="auto"/>
          <w:kern w:val="0"/>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440" w:lineRule="exact"/>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法定代表人或其委托代理人姓名、职务（印刷体）：_______________</w:t>
      </w:r>
    </w:p>
    <w:p>
      <w:pPr>
        <w:spacing w:line="440" w:lineRule="exact"/>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440" w:lineRule="exact"/>
        <w:ind w:left="360" w:right="900"/>
        <w:jc w:val="center"/>
        <w:rPr>
          <w:rFonts w:hint="eastAsia" w:ascii="宋体" w:hAnsi="宋体"/>
          <w:color w:val="auto"/>
          <w:szCs w:val="21"/>
          <w:highlight w:val="none"/>
        </w:rPr>
      </w:pPr>
      <w:r>
        <w:rPr>
          <w:rFonts w:hint="eastAsia" w:ascii="宋体" w:hAnsi="宋体"/>
          <w:color w:val="auto"/>
          <w:szCs w:val="21"/>
          <w:highlight w:val="none"/>
        </w:rPr>
        <w:t xml:space="preserve">                  </w:t>
      </w:r>
      <w:r>
        <w:rPr>
          <w:rFonts w:ascii="宋体" w:hAnsi="宋体"/>
          <w:color w:val="auto"/>
          <w:szCs w:val="21"/>
          <w:highlight w:val="none"/>
        </w:rPr>
        <w:t xml:space="preserve">             日期：</w:t>
      </w:r>
      <w:r>
        <w:rPr>
          <w:rFonts w:hint="eastAsia" w:ascii="宋体" w:hAnsi="宋体"/>
          <w:color w:val="auto"/>
          <w:szCs w:val="21"/>
          <w:highlight w:val="none"/>
        </w:rPr>
        <w:t xml:space="preserve">      </w:t>
      </w:r>
      <w:r>
        <w:rPr>
          <w:rFonts w:ascii="宋体" w:hAnsi="宋体"/>
          <w:color w:val="auto"/>
          <w:szCs w:val="21"/>
          <w:highlight w:val="none"/>
        </w:rPr>
        <w:t>年</w:t>
      </w:r>
      <w:r>
        <w:rPr>
          <w:rFonts w:hint="eastAsia" w:ascii="宋体" w:hAnsi="宋体"/>
          <w:color w:val="auto"/>
          <w:szCs w:val="21"/>
          <w:highlight w:val="none"/>
        </w:rPr>
        <w:t xml:space="preserve">    </w:t>
      </w:r>
      <w:r>
        <w:rPr>
          <w:rFonts w:ascii="宋体" w:hAnsi="宋体"/>
          <w:color w:val="auto"/>
          <w:szCs w:val="21"/>
          <w:highlight w:val="none"/>
        </w:rPr>
        <w:t>月</w:t>
      </w:r>
      <w:r>
        <w:rPr>
          <w:rFonts w:hint="eastAsia" w:ascii="宋体" w:hAnsi="宋体"/>
          <w:color w:val="auto"/>
          <w:szCs w:val="21"/>
          <w:highlight w:val="none"/>
        </w:rPr>
        <w:t xml:space="preserve">    </w:t>
      </w:r>
      <w:r>
        <w:rPr>
          <w:rFonts w:ascii="宋体" w:hAnsi="宋体"/>
          <w:color w:val="auto"/>
          <w:szCs w:val="21"/>
          <w:highlight w:val="none"/>
        </w:rPr>
        <w:t>日</w:t>
      </w:r>
    </w:p>
    <w:p>
      <w:pPr>
        <w:rPr>
          <w:rFonts w:hint="eastAsia" w:ascii="宋体" w:hAnsi="宋体" w:cs="宋体"/>
          <w:color w:val="auto"/>
          <w:sz w:val="24"/>
          <w:szCs w:val="24"/>
          <w:highlight w:val="none"/>
        </w:rPr>
      </w:pPr>
      <w:r>
        <w:rPr>
          <w:rFonts w:hint="eastAsia" w:ascii="宋体" w:hAnsi="宋体" w:cs="宋体"/>
          <w:color w:val="auto"/>
          <w:sz w:val="24"/>
          <w:szCs w:val="24"/>
          <w:highlight w:val="none"/>
        </w:rPr>
        <w:br w:type="page"/>
      </w: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273" w:name="_Toc19567"/>
      <w:r>
        <w:rPr>
          <w:rFonts w:hint="eastAsia" w:ascii="宋体" w:hAnsi="宋体" w:eastAsia="宋体" w:cs="宋体"/>
          <w:color w:val="auto"/>
          <w:sz w:val="30"/>
          <w:szCs w:val="30"/>
          <w:highlight w:val="none"/>
        </w:rPr>
        <w:t>投标</w:t>
      </w:r>
      <w:bookmarkStart w:id="274" w:name="_Toc6931"/>
      <w:bookmarkStart w:id="275" w:name="_Toc369531692"/>
      <w:bookmarkStart w:id="276" w:name="_Toc352691656"/>
      <w:r>
        <w:rPr>
          <w:rFonts w:hint="eastAsia" w:ascii="宋体" w:hAnsi="宋体" w:eastAsia="宋体" w:cs="宋体"/>
          <w:color w:val="auto"/>
          <w:sz w:val="30"/>
          <w:szCs w:val="30"/>
          <w:highlight w:val="none"/>
        </w:rPr>
        <w:t>函</w:t>
      </w:r>
      <w:bookmarkEnd w:id="270"/>
      <w:bookmarkEnd w:id="271"/>
      <w:bookmarkEnd w:id="272"/>
      <w:bookmarkEnd w:id="273"/>
    </w:p>
    <w:bookmarkEnd w:id="274"/>
    <w:bookmarkEnd w:id="275"/>
    <w:bookmarkEnd w:id="276"/>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复旦大学附属妇产科医院：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1、我方已仔细研究了</w:t>
      </w:r>
      <w:r>
        <w:rPr>
          <w:rFonts w:hint="eastAsia" w:ascii="宋体" w:hAnsi="宋体" w:cs="宋体"/>
          <w:color w:val="auto"/>
          <w:szCs w:val="21"/>
          <w:highlight w:val="none"/>
          <w:u w:val="single"/>
          <w:lang w:eastAsia="zh-CN"/>
        </w:rPr>
        <w:t>消毒灭菌装置</w:t>
      </w:r>
      <w:r>
        <w:rPr>
          <w:rFonts w:hint="eastAsia" w:ascii="宋体" w:hAnsi="宋体" w:cs="宋体"/>
          <w:color w:val="auto"/>
          <w:szCs w:val="21"/>
          <w:highlight w:val="none"/>
        </w:rPr>
        <w:t xml:space="preserve"> 项目（项目编号：0613-</w:t>
      </w:r>
      <w:r>
        <w:rPr>
          <w:rFonts w:hint="eastAsia" w:ascii="宋体" w:hAnsi="宋体" w:cs="宋体"/>
          <w:color w:val="auto"/>
          <w:szCs w:val="21"/>
          <w:highlight w:val="none"/>
          <w:lang w:eastAsia="zh-CN"/>
        </w:rPr>
        <w:t>247123066049</w:t>
      </w:r>
      <w:r>
        <w:rPr>
          <w:rFonts w:hint="eastAsia" w:ascii="宋体" w:hAnsi="宋体" w:cs="宋体"/>
          <w:color w:val="auto"/>
          <w:szCs w:val="21"/>
          <w:highlight w:val="none"/>
        </w:rPr>
        <w:t>）的招标文件，包括补充文件（如有的话）的全部内容，愿意以“开标一览表”的投标总报价，提供本招标项目所需的货物及相关服务，并按合同约定履行义务。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2、我方的投标文件包括下列内容：</w:t>
      </w:r>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（1）投标函；</w:t>
      </w:r>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（2）已按照招标文件要求递交投标保证金；</w:t>
      </w:r>
    </w:p>
    <w:p>
      <w:pPr>
        <w:spacing w:line="360" w:lineRule="auto"/>
        <w:ind w:firstLine="405"/>
        <w:rPr>
          <w:rFonts w:hint="eastAsia" w:ascii="宋体" w:hAnsi="宋体" w:cs="宋体"/>
          <w:color w:val="auto"/>
          <w:szCs w:val="21"/>
          <w:highlight w:val="none"/>
        </w:rPr>
      </w:pPr>
      <w:r>
        <w:rPr>
          <w:rFonts w:hint="eastAsia" w:ascii="宋体" w:hAnsi="宋体" w:cs="宋体"/>
          <w:color w:val="auto"/>
          <w:szCs w:val="21"/>
          <w:highlight w:val="none"/>
        </w:rPr>
        <w:t>（3）按招标文件要求提供的全部文件。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3、我方承诺除商务和技术偏差表列出的偏差外，我方响应招标文件的全部要求。</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4、我方投标的有效期为90个日历日，并承诺在此投标有效期内不撤销投标文件。</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5、我方完全理解贵方不一定要接受最低价的投标或收到的任何投标。</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6、如我方中标，我方承诺：</w:t>
      </w:r>
    </w:p>
    <w:p>
      <w:pPr>
        <w:spacing w:line="360" w:lineRule="auto"/>
        <w:ind w:left="945" w:leftChars="400" w:hanging="105" w:hangingChars="50"/>
        <w:rPr>
          <w:rFonts w:hint="eastAsia" w:ascii="宋体" w:hAnsi="宋体" w:cs="宋体"/>
          <w:color w:val="auto"/>
          <w:szCs w:val="21"/>
          <w:highlight w:val="none"/>
        </w:rPr>
      </w:pPr>
      <w:r>
        <w:rPr>
          <w:rFonts w:hint="eastAsia" w:ascii="宋体" w:hAnsi="宋体" w:cs="宋体"/>
          <w:color w:val="auto"/>
          <w:szCs w:val="21"/>
          <w:highlight w:val="none"/>
        </w:rPr>
        <w:t>（1）在收到中标通知书后，在规定的期限内与贵方签订合同；</w:t>
      </w:r>
    </w:p>
    <w:p>
      <w:pPr>
        <w:spacing w:line="360" w:lineRule="auto"/>
        <w:ind w:left="945" w:leftChars="400" w:hanging="105" w:hangingChars="50"/>
        <w:rPr>
          <w:rFonts w:hint="eastAsia" w:ascii="宋体" w:hAnsi="宋体" w:cs="宋体"/>
          <w:color w:val="auto"/>
          <w:szCs w:val="21"/>
          <w:highlight w:val="none"/>
        </w:rPr>
      </w:pPr>
      <w:r>
        <w:rPr>
          <w:rFonts w:hint="eastAsia" w:ascii="宋体" w:hAnsi="宋体" w:cs="宋体"/>
          <w:color w:val="auto"/>
          <w:szCs w:val="21"/>
          <w:highlight w:val="none"/>
        </w:rPr>
        <w:t>（2）在签订合同时不向贵方提出附加条件；</w:t>
      </w:r>
    </w:p>
    <w:p>
      <w:pPr>
        <w:spacing w:line="360" w:lineRule="auto"/>
        <w:ind w:left="945" w:leftChars="400" w:hanging="105" w:hangingChars="50"/>
        <w:rPr>
          <w:rFonts w:hint="eastAsia" w:ascii="宋体" w:hAnsi="宋体" w:cs="宋体"/>
          <w:color w:val="auto"/>
          <w:szCs w:val="21"/>
          <w:highlight w:val="none"/>
        </w:rPr>
      </w:pPr>
      <w:r>
        <w:rPr>
          <w:rFonts w:hint="eastAsia" w:ascii="宋体" w:hAnsi="宋体" w:cs="宋体"/>
          <w:color w:val="auto"/>
          <w:szCs w:val="21"/>
          <w:highlight w:val="none"/>
        </w:rPr>
        <w:t>（3）按照招标文件要求提交履约保证金；</w:t>
      </w:r>
      <w:bookmarkStart w:id="277" w:name="_Toc352691658"/>
      <w:bookmarkStart w:id="278" w:name="_Toc369531694"/>
      <w:bookmarkStart w:id="279" w:name="_Toc1187"/>
    </w:p>
    <w:p>
      <w:pPr>
        <w:spacing w:line="360" w:lineRule="auto"/>
        <w:ind w:left="945" w:leftChars="400" w:hanging="105" w:hangingChars="50"/>
        <w:rPr>
          <w:rFonts w:hint="eastAsia" w:ascii="宋体" w:hAnsi="宋体" w:cs="宋体"/>
          <w:color w:val="auto"/>
          <w:szCs w:val="21"/>
          <w:highlight w:val="none"/>
        </w:rPr>
      </w:pPr>
      <w:r>
        <w:rPr>
          <w:rFonts w:hint="eastAsia" w:ascii="宋体" w:hAnsi="宋体" w:cs="宋体"/>
          <w:color w:val="auto"/>
          <w:szCs w:val="21"/>
          <w:highlight w:val="none"/>
        </w:rPr>
        <w:t>（4）在合</w:t>
      </w:r>
      <w:bookmarkEnd w:id="277"/>
      <w:bookmarkEnd w:id="278"/>
      <w:bookmarkEnd w:id="279"/>
      <w:r>
        <w:rPr>
          <w:rFonts w:hint="eastAsia" w:ascii="宋体" w:hAnsi="宋体" w:cs="宋体"/>
          <w:color w:val="auto"/>
          <w:szCs w:val="21"/>
          <w:highlight w:val="none"/>
        </w:rPr>
        <w:t>同约定的期限内完成合同规定的全部义务。</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7、我方在此声明，所递交的投标文件及有关资料内容完整、真实和准确，且不存在第一章“投标邀请”3.5和3.7所列的任何一种情形。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8、</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（其他补充说明）。</w:t>
      </w:r>
    </w:p>
    <w:p>
      <w:pPr>
        <w:spacing w:line="360" w:lineRule="auto"/>
        <w:ind w:firstLine="420" w:firstLineChars="200"/>
        <w:rPr>
          <w:rFonts w:hint="eastAsia" w:ascii="宋体" w:hAnsi="宋体" w:cs="宋体"/>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法定代表人或其委托代理人姓名、职务（印刷体）：_______________</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电子邮件：</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传真：</w:t>
      </w:r>
      <w:r>
        <w:rPr>
          <w:rFonts w:hint="eastAsia" w:ascii="宋体" w:hAnsi="宋体" w:cs="宋体"/>
          <w:color w:val="auto"/>
          <w:szCs w:val="21"/>
          <w:highlight w:val="none"/>
          <w:u w:val="single"/>
        </w:rPr>
        <w:t xml:space="preserve">         </w:t>
      </w:r>
      <w:bookmarkStart w:id="280" w:name="_Toc352691659"/>
      <w:bookmarkStart w:id="281" w:name="_Toc369531695"/>
      <w:bookmarkStart w:id="282" w:name="_Toc16568"/>
      <w:r>
        <w:rPr>
          <w:rFonts w:hint="eastAsia" w:ascii="宋体" w:hAnsi="宋体" w:cs="宋体"/>
          <w:color w:val="auto"/>
          <w:szCs w:val="21"/>
          <w:highlight w:val="none"/>
          <w:u w:val="single"/>
        </w:rPr>
        <w:t xml:space="preserve">   </w:t>
      </w:r>
      <w:bookmarkEnd w:id="280"/>
      <w:bookmarkEnd w:id="281"/>
      <w:bookmarkEnd w:id="282"/>
      <w:r>
        <w:rPr>
          <w:rFonts w:hint="eastAsia" w:ascii="宋体" w:hAnsi="宋体" w:cs="宋体"/>
          <w:color w:val="auto"/>
          <w:szCs w:val="21"/>
          <w:highlight w:val="none"/>
          <w:u w:val="single"/>
        </w:rPr>
        <w:t xml:space="preserve">     </w:t>
      </w:r>
      <w:bookmarkStart w:id="283" w:name="_Toc369531696"/>
      <w:bookmarkStart w:id="284" w:name="_Toc352691660"/>
      <w:bookmarkStart w:id="285" w:name="_Toc16824"/>
      <w:r>
        <w:rPr>
          <w:rFonts w:hint="eastAsia" w:ascii="宋体" w:hAnsi="宋体" w:cs="宋体"/>
          <w:color w:val="auto"/>
          <w:szCs w:val="21"/>
          <w:highlight w:val="none"/>
          <w:u w:val="single"/>
        </w:rPr>
        <w:t xml:space="preserve">           </w:t>
      </w:r>
      <w:bookmarkEnd w:id="283"/>
      <w:bookmarkEnd w:id="284"/>
      <w:bookmarkEnd w:id="285"/>
      <w:r>
        <w:rPr>
          <w:rFonts w:hint="eastAsia" w:ascii="宋体" w:hAnsi="宋体" w:cs="宋体"/>
          <w:color w:val="auto"/>
          <w:szCs w:val="21"/>
          <w:highlight w:val="none"/>
          <w:u w:val="single"/>
        </w:rPr>
        <w:t xml:space="preserve">         </w:t>
      </w:r>
    </w:p>
    <w:p>
      <w:pPr>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rPr>
        <w:t>邮政编码：</w:t>
      </w:r>
      <w:r>
        <w:rPr>
          <w:rFonts w:hint="eastAsia" w:ascii="宋体" w:hAnsi="宋体" w:cs="宋体"/>
          <w:color w:val="auto"/>
          <w:szCs w:val="21"/>
          <w:highlight w:val="none"/>
          <w:u w:val="single"/>
        </w:rPr>
        <w:t xml:space="preserve">    </w:t>
      </w:r>
      <w:bookmarkEnd w:id="243"/>
      <w:bookmarkEnd w:id="244"/>
      <w:bookmarkEnd w:id="245"/>
      <w:bookmarkEnd w:id="246"/>
      <w:bookmarkEnd w:id="247"/>
      <w:bookmarkEnd w:id="248"/>
      <w:bookmarkEnd w:id="249"/>
      <w:bookmarkEnd w:id="250"/>
      <w:bookmarkEnd w:id="251"/>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p>
    <w:p>
      <w:pPr>
        <w:wordWrap w:val="0"/>
        <w:spacing w:line="360" w:lineRule="auto"/>
        <w:ind w:firstLine="4725" w:firstLineChars="2250"/>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rPr>
          <w:rFonts w:hint="eastAsia" w:ascii="宋体" w:hAnsi="宋体" w:cs="宋体"/>
          <w:color w:val="auto"/>
          <w:sz w:val="24"/>
          <w:szCs w:val="24"/>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286" w:name="_Toc300835209"/>
      <w:bookmarkStart w:id="287" w:name="_Toc247527827"/>
      <w:bookmarkStart w:id="288" w:name="_Toc152042576"/>
      <w:bookmarkStart w:id="289" w:name="_Toc144974856"/>
      <w:bookmarkStart w:id="290" w:name="_Toc152045787"/>
      <w:bookmarkStart w:id="291" w:name="_Toc17960"/>
      <w:bookmarkStart w:id="292" w:name="_Toc369531697"/>
      <w:bookmarkStart w:id="293" w:name="_Toc247514246"/>
      <w:bookmarkStart w:id="294" w:name="_Toc361508752"/>
      <w:bookmarkStart w:id="295" w:name="_Toc352691661"/>
      <w:bookmarkStart w:id="296" w:name="_Toc384308375"/>
      <w:r>
        <w:rPr>
          <w:rFonts w:hint="eastAsia" w:ascii="宋体" w:hAnsi="宋体" w:eastAsia="宋体" w:cs="宋体"/>
          <w:color w:val="auto"/>
          <w:sz w:val="24"/>
          <w:szCs w:val="24"/>
          <w:highlight w:val="none"/>
        </w:rPr>
        <w:br w:type="page"/>
      </w:r>
      <w:bookmarkStart w:id="297" w:name="_Toc9580"/>
      <w:bookmarkStart w:id="298" w:name="_Toc457748051"/>
      <w:bookmarkStart w:id="299" w:name="_Toc26392"/>
      <w:r>
        <w:rPr>
          <w:rFonts w:hint="eastAsia" w:ascii="宋体" w:hAnsi="宋体" w:eastAsia="宋体" w:cs="宋体"/>
          <w:color w:val="auto"/>
          <w:sz w:val="30"/>
          <w:szCs w:val="30"/>
          <w:highlight w:val="none"/>
        </w:rPr>
        <w:t>投标保证金</w:t>
      </w:r>
      <w:bookmarkEnd w:id="297"/>
      <w:bookmarkEnd w:id="298"/>
      <w:bookmarkEnd w:id="299"/>
    </w:p>
    <w:p>
      <w:pPr>
        <w:spacing w:line="360" w:lineRule="auto"/>
        <w:jc w:val="center"/>
        <w:rPr>
          <w:rFonts w:hint="eastAsia" w:ascii="宋体" w:hAnsi="宋体" w:cs="宋体"/>
          <w:b/>
          <w:color w:val="auto"/>
          <w:sz w:val="24"/>
          <w:szCs w:val="24"/>
          <w:highlight w:val="none"/>
        </w:rPr>
      </w:pPr>
    </w:p>
    <w:p>
      <w:pPr>
        <w:spacing w:line="360" w:lineRule="auto"/>
        <w:jc w:val="center"/>
        <w:rPr>
          <w:rFonts w:hint="eastAsia" w:ascii="宋体" w:hAnsi="宋体" w:cs="宋体"/>
          <w:b/>
          <w:color w:val="auto"/>
          <w:sz w:val="24"/>
          <w:szCs w:val="24"/>
          <w:highlight w:val="none"/>
        </w:rPr>
      </w:pPr>
    </w:p>
    <w:p>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附投标保证金</w:t>
      </w:r>
      <w:bookmarkStart w:id="300" w:name="OLE_LINK48"/>
      <w:r>
        <w:rPr>
          <w:rFonts w:hint="eastAsia" w:ascii="宋体" w:hAnsi="宋体" w:cs="宋体"/>
          <w:color w:val="auto"/>
          <w:sz w:val="24"/>
          <w:szCs w:val="24"/>
          <w:highlight w:val="none"/>
        </w:rPr>
        <w:t>复印件</w:t>
      </w:r>
      <w:bookmarkEnd w:id="300"/>
    </w:p>
    <w:p>
      <w:pPr>
        <w:spacing w:line="360" w:lineRule="auto"/>
        <w:ind w:firstLine="480" w:firstLineChars="200"/>
        <w:rPr>
          <w:rFonts w:hint="eastAsia" w:ascii="宋体" w:hAnsi="宋体" w:cs="宋体"/>
          <w:color w:val="auto"/>
          <w:sz w:val="24"/>
          <w:szCs w:val="24"/>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b w:val="0"/>
          <w:color w:val="auto"/>
          <w:sz w:val="24"/>
          <w:szCs w:val="24"/>
          <w:highlight w:val="none"/>
        </w:rPr>
        <w:br w:type="page"/>
      </w:r>
      <w:bookmarkStart w:id="301" w:name="_Toc392227908"/>
      <w:bookmarkStart w:id="302" w:name="_Toc457748054"/>
      <w:bookmarkStart w:id="303" w:name="_Toc8854"/>
      <w:bookmarkStart w:id="304" w:name="_Toc22168"/>
      <w:bookmarkStart w:id="305" w:name="_Toc457748053"/>
      <w:r>
        <w:rPr>
          <w:rFonts w:hint="eastAsia" w:ascii="宋体" w:hAnsi="宋体" w:eastAsia="宋体" w:cs="宋体"/>
          <w:color w:val="auto"/>
          <w:sz w:val="30"/>
          <w:szCs w:val="30"/>
          <w:highlight w:val="none"/>
        </w:rPr>
        <w:t>法定代表人（单位负责人）身份证明</w:t>
      </w:r>
      <w:bookmarkEnd w:id="301"/>
      <w:bookmarkEnd w:id="302"/>
      <w:bookmarkEnd w:id="303"/>
      <w:bookmarkEnd w:id="304"/>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单位性质：</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地    址：</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成立时间：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       经营期限：</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日至</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姓    名：</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性     别：</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年    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职     务：</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（投标人名称）的法定代表人（单位负责人）。</w:t>
      </w:r>
    </w:p>
    <w:p>
      <w:pPr>
        <w:spacing w:line="360" w:lineRule="auto"/>
        <w:rPr>
          <w:rFonts w:hint="eastAsia" w:ascii="宋体" w:hAnsi="宋体" w:cs="宋体"/>
          <w:color w:val="auto"/>
          <w:szCs w:val="21"/>
          <w:highlight w:val="none"/>
        </w:rPr>
      </w:pPr>
    </w:p>
    <w:p>
      <w:pPr>
        <w:spacing w:line="360" w:lineRule="auto"/>
        <w:ind w:firstLine="420"/>
        <w:rPr>
          <w:rFonts w:hint="eastAsia" w:ascii="宋体" w:hAnsi="宋体" w:cs="宋体"/>
          <w:color w:val="auto"/>
          <w:szCs w:val="21"/>
          <w:highlight w:val="none"/>
        </w:rPr>
      </w:pPr>
      <w:r>
        <w:rPr>
          <w:rFonts w:hint="eastAsia" w:ascii="宋体" w:hAnsi="宋体" w:cs="宋体"/>
          <w:color w:val="auto"/>
          <w:szCs w:val="21"/>
          <w:highlight w:val="none"/>
        </w:rPr>
        <w:t>特此证明。</w:t>
      </w:r>
    </w:p>
    <w:p>
      <w:pPr>
        <w:spacing w:line="360" w:lineRule="auto"/>
        <w:jc w:val="right"/>
        <w:rPr>
          <w:rFonts w:hint="eastAsia" w:ascii="宋体" w:hAnsi="宋体" w:cs="宋体"/>
          <w:color w:val="auto"/>
          <w:szCs w:val="21"/>
          <w:highlight w:val="none"/>
        </w:rPr>
      </w:pPr>
    </w:p>
    <w:p>
      <w:pPr>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spacing w:line="360" w:lineRule="auto"/>
        <w:jc w:val="right"/>
        <w:rPr>
          <w:rFonts w:hint="eastAsia" w:ascii="宋体" w:hAnsi="宋体" w:cs="宋体"/>
          <w:color w:val="auto"/>
          <w:szCs w:val="21"/>
          <w:highlight w:val="none"/>
          <w:u w:val="single"/>
        </w:rPr>
      </w:pPr>
    </w:p>
    <w:p>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ind w:firstLine="840" w:firstLineChars="400"/>
        <w:rPr>
          <w:rFonts w:hint="eastAsia" w:ascii="宋体" w:hAnsi="宋体" w:cs="宋体"/>
          <w:color w:val="auto"/>
          <w:szCs w:val="21"/>
          <w:highlight w:val="none"/>
        </w:rPr>
      </w:pPr>
    </w:p>
    <w:p>
      <w:pPr>
        <w:spacing w:line="360" w:lineRule="auto"/>
        <w:ind w:firstLine="420"/>
        <w:jc w:val="left"/>
        <w:rPr>
          <w:rFonts w:hint="eastAsia" w:ascii="宋体" w:hAnsi="宋体" w:cs="宋体"/>
          <w:color w:val="auto"/>
          <w:szCs w:val="21"/>
          <w:highlight w:val="none"/>
        </w:rPr>
      </w:pPr>
      <w:r>
        <w:rPr>
          <w:rFonts w:hint="eastAsia" w:ascii="宋体" w:hAnsi="宋体" w:cs="宋体"/>
          <w:color w:val="auto"/>
          <w:szCs w:val="21"/>
          <w:highlight w:val="none"/>
        </w:rPr>
        <w:t>法定代表人身份证复印件粘贴处：</w:t>
      </w:r>
    </w:p>
    <w:tbl>
      <w:tblPr>
        <w:tblStyle w:val="32"/>
        <w:tblpPr w:leftFromText="180" w:rightFromText="180" w:vertAnchor="text" w:horzAnchor="margin" w:tblpXSpec="center" w:tblpY="506"/>
        <w:tblOverlap w:val="never"/>
        <w:tblW w:w="5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9" w:hRule="atLeast"/>
        </w:trPr>
        <w:tc>
          <w:tcPr>
            <w:tcW w:w="5784" w:type="dxa"/>
          </w:tcPr>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在此粘贴身份证复印件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tc>
      </w:tr>
    </w:tbl>
    <w:p>
      <w:pPr>
        <w:spacing w:line="360" w:lineRule="auto"/>
        <w:ind w:firstLine="600" w:firstLineChars="200"/>
        <w:jc w:val="center"/>
        <w:outlineLvl w:val="1"/>
        <w:rPr>
          <w:rFonts w:hint="eastAsia" w:ascii="宋体" w:hAnsi="宋体" w:cs="宋体"/>
          <w:b/>
          <w:color w:val="auto"/>
          <w:sz w:val="30"/>
          <w:szCs w:val="30"/>
          <w:highlight w:val="none"/>
        </w:rPr>
      </w:pPr>
      <w:r>
        <w:rPr>
          <w:rFonts w:hint="eastAsia" w:ascii="宋体" w:hAnsi="宋体" w:cs="宋体"/>
          <w:color w:val="auto"/>
          <w:sz w:val="30"/>
          <w:szCs w:val="30"/>
          <w:highlight w:val="none"/>
        </w:rPr>
        <w:br w:type="page"/>
      </w:r>
      <w:bookmarkStart w:id="306" w:name="OLE_LINK2"/>
      <w:bookmarkStart w:id="307" w:name="_Toc21838"/>
      <w:bookmarkStart w:id="308" w:name="OLE_LINK1"/>
      <w:bookmarkStart w:id="309" w:name="_Toc11495"/>
      <w:r>
        <w:rPr>
          <w:rFonts w:hint="eastAsia" w:ascii="宋体" w:hAnsi="宋体" w:cs="宋体"/>
          <w:b/>
          <w:color w:val="auto"/>
          <w:sz w:val="30"/>
          <w:szCs w:val="30"/>
          <w:highlight w:val="none"/>
        </w:rPr>
        <w:t>法定代表人（单位负责人）授权委托书</w:t>
      </w:r>
      <w:bookmarkEnd w:id="306"/>
      <w:bookmarkEnd w:id="307"/>
      <w:bookmarkEnd w:id="308"/>
      <w:bookmarkEnd w:id="309"/>
    </w:p>
    <w:p>
      <w:pPr>
        <w:spacing w:line="360" w:lineRule="auto"/>
        <w:ind w:firstLine="602" w:firstLineChars="200"/>
        <w:jc w:val="center"/>
        <w:rPr>
          <w:rFonts w:hint="eastAsia" w:ascii="宋体" w:hAnsi="宋体" w:cs="宋体"/>
          <w:b/>
          <w:color w:val="auto"/>
          <w:sz w:val="30"/>
          <w:szCs w:val="30"/>
          <w:highlight w:val="none"/>
        </w:rPr>
      </w:pP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（姓名）系</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（投标人名称）的法定代表人（单位负责人），现授权</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（姓名）为我方代理人。代理人根据授权，以我方名义签署、澄清、说明、补正、提交、撤回、修改</w:t>
      </w:r>
      <w:r>
        <w:rPr>
          <w:rFonts w:hint="eastAsia" w:ascii="宋体" w:hAnsi="宋体" w:cs="宋体"/>
          <w:color w:val="auto"/>
          <w:szCs w:val="21"/>
          <w:highlight w:val="none"/>
          <w:u w:val="single"/>
          <w:lang w:eastAsia="zh-CN"/>
        </w:rPr>
        <w:t>消毒灭菌装置</w:t>
      </w:r>
      <w:r>
        <w:rPr>
          <w:rFonts w:hint="eastAsia" w:ascii="宋体" w:hAnsi="宋体" w:cs="宋体"/>
          <w:color w:val="auto"/>
          <w:szCs w:val="21"/>
          <w:highlight w:val="none"/>
          <w:u w:val="single"/>
        </w:rPr>
        <w:t>、项目编号0613-</w:t>
      </w:r>
      <w:r>
        <w:rPr>
          <w:rFonts w:hint="eastAsia" w:ascii="宋体" w:hAnsi="宋体" w:cs="宋体"/>
          <w:color w:val="auto"/>
          <w:szCs w:val="21"/>
          <w:highlight w:val="none"/>
          <w:u w:val="single"/>
          <w:lang w:eastAsia="zh-CN"/>
        </w:rPr>
        <w:t>247123066049</w:t>
      </w:r>
      <w:r>
        <w:rPr>
          <w:rFonts w:hint="eastAsia" w:ascii="宋体" w:hAnsi="宋体" w:cs="宋体"/>
          <w:color w:val="auto"/>
          <w:szCs w:val="21"/>
          <w:highlight w:val="none"/>
        </w:rPr>
        <w:t>投标文件、签订合同和处理有关事宜，其法律后果由我方承担。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委托期限：</w:t>
      </w:r>
      <w:r>
        <w:rPr>
          <w:rFonts w:hint="eastAsia" w:ascii="宋体" w:hAnsi="宋体" w:cs="宋体"/>
          <w:color w:val="auto"/>
          <w:szCs w:val="21"/>
          <w:highlight w:val="none"/>
          <w:u w:val="single"/>
        </w:rPr>
        <w:t xml:space="preserve">                                                       </w:t>
      </w:r>
    </w:p>
    <w:p>
      <w:pPr>
        <w:spacing w:line="360" w:lineRule="auto"/>
        <w:ind w:firstLine="1260" w:firstLineChars="600"/>
        <w:rPr>
          <w:rFonts w:hint="eastAsia" w:ascii="宋体" w:hAnsi="宋体" w:cs="宋体"/>
          <w:color w:val="auto"/>
          <w:szCs w:val="21"/>
          <w:highlight w:val="none"/>
        </w:rPr>
      </w:pPr>
      <w:r>
        <w:rPr>
          <w:rFonts w:hint="eastAsia" w:ascii="宋体" w:hAnsi="宋体" w:cs="宋体"/>
          <w:color w:val="auto"/>
          <w:szCs w:val="21"/>
          <w:highlight w:val="none"/>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代理人无转委托权。</w:t>
      </w:r>
    </w:p>
    <w:p>
      <w:pPr>
        <w:spacing w:line="360" w:lineRule="auto"/>
        <w:ind w:firstLine="3570" w:firstLineChars="1700"/>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法定代表人：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u w:val="single"/>
        </w:rPr>
      </w:pPr>
      <w:r>
        <w:rPr>
          <w:rFonts w:hint="eastAsia" w:ascii="宋体" w:hAnsi="宋体" w:cs="宋体"/>
          <w:color w:val="auto"/>
          <w:szCs w:val="21"/>
          <w:highlight w:val="none"/>
        </w:rPr>
        <w:t xml:space="preserve">    身份证号码：</w:t>
      </w:r>
      <w:r>
        <w:rPr>
          <w:rFonts w:hint="eastAsia" w:ascii="宋体" w:hAnsi="宋体" w:cs="宋体"/>
          <w:color w:val="auto"/>
          <w:szCs w:val="21"/>
          <w:highlight w:val="none"/>
          <w:u w:val="single"/>
        </w:rPr>
        <w:t xml:space="preserve">                                   </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 xml:space="preserve">    身份证号码：</w:t>
      </w:r>
      <w:r>
        <w:rPr>
          <w:rFonts w:hint="eastAsia" w:ascii="宋体" w:hAnsi="宋体" w:cs="宋体"/>
          <w:color w:val="auto"/>
          <w:szCs w:val="21"/>
          <w:highlight w:val="none"/>
          <w:u w:val="single"/>
        </w:rPr>
        <w:t xml:space="preserve">                                   </w:t>
      </w:r>
    </w:p>
    <w:p>
      <w:pPr>
        <w:wordWrap w:val="0"/>
        <w:spacing w:line="360" w:lineRule="auto"/>
        <w:jc w:val="right"/>
        <w:rPr>
          <w:rFonts w:hint="eastAsia" w:ascii="宋体" w:hAnsi="宋体" w:cs="宋体"/>
          <w:color w:val="auto"/>
          <w:szCs w:val="21"/>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rPr>
          <w:rFonts w:hint="eastAsia" w:ascii="宋体" w:hAnsi="宋体" w:cs="宋体"/>
          <w:color w:val="auto"/>
          <w:szCs w:val="21"/>
          <w:highlight w:val="none"/>
        </w:rPr>
      </w:pPr>
    </w:p>
    <w:p>
      <w:pPr>
        <w:spacing w:line="360" w:lineRule="auto"/>
        <w:ind w:firstLine="420"/>
        <w:rPr>
          <w:rFonts w:hint="eastAsia" w:ascii="宋体" w:hAnsi="宋体" w:cs="宋体"/>
          <w:color w:val="auto"/>
          <w:sz w:val="24"/>
          <w:highlight w:val="none"/>
        </w:rPr>
      </w:pPr>
      <w:r>
        <w:rPr>
          <w:rFonts w:hint="eastAsia" w:ascii="宋体" w:hAnsi="宋体" w:cs="宋体"/>
          <w:color w:val="auto"/>
          <w:szCs w:val="21"/>
          <w:highlight w:val="none"/>
        </w:rPr>
        <w:t>委托代理人身份证复印件粘贴处：</w:t>
      </w:r>
    </w:p>
    <w:tbl>
      <w:tblPr>
        <w:tblStyle w:val="32"/>
        <w:tblpPr w:leftFromText="180" w:rightFromText="180" w:vertAnchor="text" w:horzAnchor="margin" w:tblpXSpec="center" w:tblpY="506"/>
        <w:tblOverlap w:val="never"/>
        <w:tblW w:w="5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59" w:hRule="atLeast"/>
        </w:trPr>
        <w:tc>
          <w:tcPr>
            <w:tcW w:w="5784" w:type="dxa"/>
          </w:tcPr>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在此粘贴身份证复印件</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p>
        </w:tc>
      </w:tr>
    </w:tbl>
    <w:p>
      <w:pPr>
        <w:pStyle w:val="5"/>
        <w:keepNext w:val="0"/>
        <w:keepLines w:val="0"/>
        <w:spacing w:before="0" w:after="0" w:line="360" w:lineRule="auto"/>
        <w:jc w:val="center"/>
        <w:rPr>
          <w:rFonts w:hint="eastAsia" w:ascii="宋体" w:hAnsi="宋体" w:eastAsia="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rPr>
          <w:rFonts w:hint="eastAsia" w:ascii="宋体" w:hAnsi="宋体" w:cs="宋体"/>
          <w:color w:val="auto"/>
          <w:highlight w:val="none"/>
        </w:rPr>
      </w:pPr>
    </w:p>
    <w:p>
      <w:pPr>
        <w:jc w:val="left"/>
        <w:rPr>
          <w:rFonts w:hint="eastAsia" w:ascii="宋体" w:hAnsi="宋体" w:cs="宋体"/>
          <w:color w:val="auto"/>
          <w:sz w:val="30"/>
          <w:szCs w:val="30"/>
          <w:highlight w:val="none"/>
        </w:rPr>
      </w:pPr>
      <w:bookmarkStart w:id="310" w:name="_Toc9467"/>
    </w:p>
    <w:p>
      <w:pPr>
        <w:tabs>
          <w:tab w:val="right" w:pos="8244"/>
        </w:tabs>
        <w:jc w:val="left"/>
        <w:rPr>
          <w:rFonts w:hint="eastAsia" w:ascii="宋体" w:hAnsi="宋体" w:cs="宋体"/>
          <w:b/>
          <w:bCs/>
          <w:color w:val="auto"/>
          <w:sz w:val="30"/>
          <w:szCs w:val="30"/>
          <w:highlight w:val="none"/>
        </w:rPr>
        <w:sectPr>
          <w:pgSz w:w="11850" w:h="16783"/>
          <w:pgMar w:top="1440" w:right="1803" w:bottom="1440" w:left="1803" w:header="720" w:footer="720" w:gutter="0"/>
          <w:cols w:space="720" w:num="1"/>
          <w:docGrid w:linePitch="286" w:charSpace="0"/>
        </w:sectPr>
      </w:pPr>
    </w:p>
    <w:p>
      <w:pPr>
        <w:tabs>
          <w:tab w:val="right" w:pos="8244"/>
        </w:tabs>
        <w:jc w:val="center"/>
        <w:rPr>
          <w:rFonts w:hint="eastAsia" w:ascii="宋体" w:hAnsi="宋体" w:cs="宋体"/>
          <w:b/>
          <w:bCs/>
          <w:color w:val="auto"/>
          <w:sz w:val="30"/>
          <w:szCs w:val="30"/>
          <w:highlight w:val="none"/>
        </w:rPr>
      </w:pPr>
      <w:r>
        <w:rPr>
          <w:rFonts w:hint="eastAsia" w:ascii="宋体" w:hAnsi="宋体" w:cs="宋体"/>
          <w:b/>
          <w:bCs/>
          <w:color w:val="auto"/>
          <w:sz w:val="30"/>
          <w:szCs w:val="30"/>
          <w:highlight w:val="none"/>
        </w:rPr>
        <w:t>开标一览表</w:t>
      </w:r>
      <w:bookmarkEnd w:id="305"/>
      <w:bookmarkEnd w:id="310"/>
    </w:p>
    <w:p>
      <w:pPr>
        <w:spacing w:line="360" w:lineRule="auto"/>
        <w:rPr>
          <w:rFonts w:hint="eastAsia" w:ascii="宋体" w:hAnsi="宋体" w:cs="宋体"/>
          <w:color w:val="auto"/>
          <w:szCs w:val="21"/>
          <w:highlight w:val="none"/>
        </w:rPr>
      </w:pP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项目编号：0613-</w:t>
      </w:r>
      <w:r>
        <w:rPr>
          <w:rFonts w:hint="eastAsia" w:ascii="宋体" w:hAnsi="宋体" w:cs="宋体"/>
          <w:color w:val="auto"/>
          <w:szCs w:val="21"/>
          <w:highlight w:val="none"/>
          <w:lang w:eastAsia="zh-CN"/>
        </w:rPr>
        <w:t>247123066049</w:t>
      </w:r>
    </w:p>
    <w:tbl>
      <w:tblPr>
        <w:tblStyle w:val="32"/>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5" w:type="dxa"/>
          <w:left w:w="108" w:type="dxa"/>
          <w:bottom w:w="85" w:type="dxa"/>
          <w:right w:w="108" w:type="dxa"/>
        </w:tblCellMar>
      </w:tblPr>
      <w:tblGrid>
        <w:gridCol w:w="3239"/>
        <w:gridCol w:w="2865"/>
        <w:gridCol w:w="2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1915" w:type="pct"/>
            <w:vAlign w:val="center"/>
          </w:tcPr>
          <w:p>
            <w:pPr>
              <w:jc w:val="center"/>
              <w:rPr>
                <w:rFonts w:hint="eastAsia" w:ascii="宋体" w:hAnsi="宋体"/>
                <w:color w:val="auto"/>
                <w:szCs w:val="21"/>
                <w:highlight w:val="none"/>
              </w:rPr>
            </w:pPr>
            <w:r>
              <w:rPr>
                <w:rFonts w:hint="eastAsia" w:ascii="宋体" w:hAnsi="宋体"/>
                <w:color w:val="auto"/>
                <w:szCs w:val="21"/>
                <w:highlight w:val="none"/>
              </w:rPr>
              <w:t>项目名称</w:t>
            </w:r>
          </w:p>
        </w:tc>
        <w:tc>
          <w:tcPr>
            <w:tcW w:w="1693" w:type="pct"/>
            <w:vAlign w:val="center"/>
          </w:tcPr>
          <w:p>
            <w:pPr>
              <w:jc w:val="center"/>
              <w:rPr>
                <w:rFonts w:hint="eastAsia" w:ascii="宋体" w:hAnsi="宋体"/>
                <w:color w:val="auto"/>
                <w:szCs w:val="21"/>
                <w:highlight w:val="none"/>
              </w:rPr>
            </w:pPr>
            <w:r>
              <w:rPr>
                <w:rFonts w:hint="eastAsia" w:ascii="宋体" w:hAnsi="宋体"/>
                <w:color w:val="auto"/>
                <w:szCs w:val="21"/>
                <w:highlight w:val="none"/>
              </w:rPr>
              <w:t>投标总价</w:t>
            </w:r>
          </w:p>
          <w:p>
            <w:pPr>
              <w:jc w:val="center"/>
              <w:rPr>
                <w:rFonts w:hint="eastAsia" w:ascii="宋体" w:hAnsi="宋体"/>
                <w:color w:val="auto"/>
                <w:szCs w:val="21"/>
                <w:highlight w:val="none"/>
              </w:rPr>
            </w:pPr>
            <w:r>
              <w:rPr>
                <w:rFonts w:hint="eastAsia" w:ascii="宋体" w:hAnsi="宋体" w:cs="宋体"/>
                <w:color w:val="auto"/>
                <w:szCs w:val="21"/>
                <w:highlight w:val="none"/>
              </w:rPr>
              <w:t>元人民币</w:t>
            </w:r>
          </w:p>
        </w:tc>
        <w:tc>
          <w:tcPr>
            <w:tcW w:w="1391" w:type="pct"/>
            <w:vAlign w:val="center"/>
          </w:tcPr>
          <w:p>
            <w:pPr>
              <w:jc w:val="center"/>
              <w:rPr>
                <w:rFonts w:hint="eastAsia"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1915" w:type="pct"/>
            <w:vAlign w:val="center"/>
          </w:tcPr>
          <w:p>
            <w:pPr>
              <w:jc w:val="center"/>
              <w:rPr>
                <w:rFonts w:hint="eastAsia" w:ascii="宋体" w:hAnsi="宋体" w:eastAsia="宋体"/>
                <w:color w:val="auto"/>
                <w:szCs w:val="21"/>
                <w:highlight w:val="none"/>
                <w:lang w:eastAsia="zh-CN"/>
              </w:rPr>
            </w:pPr>
            <w:r>
              <w:rPr>
                <w:rFonts w:hint="eastAsia" w:ascii="宋体" w:hAnsi="宋体" w:cs="宋体"/>
                <w:color w:val="auto"/>
                <w:szCs w:val="21"/>
                <w:highlight w:val="none"/>
                <w:lang w:eastAsia="zh-CN"/>
              </w:rPr>
              <w:t>消毒灭菌装置</w:t>
            </w:r>
          </w:p>
        </w:tc>
        <w:tc>
          <w:tcPr>
            <w:tcW w:w="1693" w:type="pct"/>
            <w:vAlign w:val="center"/>
          </w:tcPr>
          <w:p>
            <w:pPr>
              <w:jc w:val="center"/>
              <w:rPr>
                <w:rFonts w:hint="eastAsia" w:ascii="宋体" w:hAnsi="宋体"/>
                <w:color w:val="auto"/>
                <w:szCs w:val="21"/>
                <w:highlight w:val="none"/>
              </w:rPr>
            </w:pPr>
          </w:p>
        </w:tc>
        <w:tc>
          <w:tcPr>
            <w:tcW w:w="1391" w:type="pct"/>
            <w:vAlign w:val="center"/>
          </w:tcPr>
          <w:p>
            <w:pPr>
              <w:jc w:val="center"/>
              <w:rPr>
                <w:rFonts w:hint="eastAsia" w:ascii="宋体" w:hAnsi="宋体"/>
                <w:color w:val="auto"/>
                <w:szCs w:val="21"/>
                <w:highlight w:val="none"/>
              </w:rPr>
            </w:pPr>
          </w:p>
        </w:tc>
      </w:tr>
    </w:tbl>
    <w:p>
      <w:pPr>
        <w:pStyle w:val="14"/>
        <w:rPr>
          <w:rFonts w:hint="eastAsia" w:ascii="宋体" w:hAnsi="宋体" w:cs="宋体"/>
          <w:color w:val="auto"/>
          <w:szCs w:val="21"/>
          <w:highlight w:val="none"/>
        </w:rPr>
      </w:pPr>
    </w:p>
    <w:p>
      <w:pPr>
        <w:pStyle w:val="14"/>
        <w:rPr>
          <w:rFonts w:hint="eastAsia" w:ascii="宋体" w:hAnsi="宋体" w:cs="宋体"/>
          <w:color w:val="auto"/>
          <w:szCs w:val="21"/>
          <w:highlight w:val="none"/>
        </w:rPr>
      </w:pPr>
      <w:r>
        <w:rPr>
          <w:rFonts w:hint="eastAsia" w:ascii="宋体" w:hAnsi="宋体" w:cs="宋体"/>
          <w:color w:val="auto"/>
          <w:szCs w:val="21"/>
          <w:highlight w:val="none"/>
        </w:rPr>
        <w:t>投标声明：_______</w:t>
      </w:r>
      <w:r>
        <w:rPr>
          <w:rFonts w:hint="eastAsia" w:ascii="宋体" w:hAnsi="宋体"/>
          <w:color w:val="auto"/>
          <w:szCs w:val="21"/>
          <w:highlight w:val="none"/>
        </w:rPr>
        <w:t>（填写“无”或“有”，如有的话，请详细说明）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rPr>
          <w:rFonts w:hint="eastAsia" w:ascii="宋体" w:hAnsi="宋体" w:cs="宋体"/>
          <w:color w:val="auto"/>
          <w:sz w:val="24"/>
          <w:szCs w:val="24"/>
          <w:highlight w:val="none"/>
        </w:rPr>
      </w:pPr>
    </w:p>
    <w:bookmarkEnd w:id="286"/>
    <w:bookmarkEnd w:id="287"/>
    <w:bookmarkEnd w:id="288"/>
    <w:bookmarkEnd w:id="289"/>
    <w:bookmarkEnd w:id="290"/>
    <w:bookmarkEnd w:id="291"/>
    <w:bookmarkEnd w:id="292"/>
    <w:bookmarkEnd w:id="293"/>
    <w:bookmarkEnd w:id="294"/>
    <w:bookmarkEnd w:id="295"/>
    <w:bookmarkEnd w:id="296"/>
    <w:p>
      <w:pPr>
        <w:pStyle w:val="5"/>
        <w:keepNext w:val="0"/>
        <w:keepLines w:val="0"/>
        <w:spacing w:before="0" w:after="0" w:line="360" w:lineRule="auto"/>
        <w:jc w:val="center"/>
        <w:rPr>
          <w:rFonts w:hint="eastAsia" w:ascii="宋体" w:hAnsi="宋体" w:eastAsia="宋体" w:cs="宋体"/>
          <w:color w:val="auto"/>
          <w:sz w:val="30"/>
          <w:szCs w:val="30"/>
          <w:highlight w:val="none"/>
        </w:rPr>
        <w:sectPr>
          <w:pgSz w:w="11850" w:h="16783"/>
          <w:pgMar w:top="1440" w:right="1803" w:bottom="1440" w:left="1803" w:header="720" w:footer="720" w:gutter="0"/>
          <w:cols w:space="720" w:num="1"/>
          <w:docGrid w:linePitch="286" w:charSpace="0"/>
        </w:sectPr>
      </w:pPr>
      <w:bookmarkStart w:id="311" w:name="_Toc457748056"/>
      <w:bookmarkStart w:id="312" w:name="_Toc30778"/>
      <w:bookmarkStart w:id="313" w:name="_Toc392227914"/>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314" w:name="_Toc31227"/>
      <w:r>
        <w:rPr>
          <w:rFonts w:hint="eastAsia" w:ascii="宋体" w:hAnsi="宋体" w:eastAsia="宋体" w:cs="宋体"/>
          <w:color w:val="auto"/>
          <w:sz w:val="30"/>
          <w:szCs w:val="30"/>
          <w:highlight w:val="none"/>
        </w:rPr>
        <w:t>投标分项报价表</w:t>
      </w:r>
      <w:bookmarkEnd w:id="311"/>
      <w:bookmarkEnd w:id="312"/>
      <w:bookmarkEnd w:id="313"/>
      <w:bookmarkEnd w:id="314"/>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消毒灭菌装置</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项目编号：0613-</w:t>
      </w:r>
      <w:r>
        <w:rPr>
          <w:rFonts w:hint="eastAsia" w:ascii="宋体" w:hAnsi="宋体" w:cs="宋体"/>
          <w:color w:val="auto"/>
          <w:szCs w:val="21"/>
          <w:highlight w:val="none"/>
          <w:lang w:eastAsia="zh-CN"/>
        </w:rPr>
        <w:t>247123066049</w:t>
      </w:r>
      <w:r>
        <w:rPr>
          <w:rFonts w:hint="eastAsia" w:ascii="宋体" w:hAnsi="宋体" w:cs="宋体"/>
          <w:color w:val="auto"/>
          <w:szCs w:val="21"/>
          <w:highlight w:val="none"/>
        </w:rPr>
        <w:t xml:space="preserve">                       单位：人民币元</w:t>
      </w:r>
    </w:p>
    <w:tbl>
      <w:tblPr>
        <w:tblStyle w:val="32"/>
        <w:tblW w:w="13951"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32"/>
        <w:gridCol w:w="2015"/>
        <w:gridCol w:w="1337"/>
        <w:gridCol w:w="2422"/>
        <w:gridCol w:w="1007"/>
        <w:gridCol w:w="1733"/>
        <w:gridCol w:w="3380"/>
        <w:gridCol w:w="112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vAlign w:val="center"/>
          </w:tcPr>
          <w:p>
            <w:pPr>
              <w:jc w:val="center"/>
              <w:rPr>
                <w:rFonts w:hint="eastAsia" w:ascii="宋体" w:hAnsi="宋体" w:cs="宋体"/>
                <w:color w:val="auto"/>
                <w:highlight w:val="none"/>
              </w:rPr>
            </w:pPr>
            <w:r>
              <w:rPr>
                <w:rFonts w:hint="eastAsia" w:ascii="宋体" w:hAnsi="宋体" w:cs="宋体"/>
                <w:color w:val="auto"/>
                <w:highlight w:val="none"/>
              </w:rPr>
              <w:t>序号</w:t>
            </w:r>
          </w:p>
        </w:tc>
        <w:tc>
          <w:tcPr>
            <w:tcW w:w="2015" w:type="dxa"/>
            <w:vAlign w:val="center"/>
          </w:tcPr>
          <w:p>
            <w:pPr>
              <w:jc w:val="center"/>
              <w:rPr>
                <w:rFonts w:hint="eastAsia" w:ascii="宋体" w:hAnsi="宋体" w:cs="宋体"/>
                <w:color w:val="auto"/>
                <w:highlight w:val="none"/>
              </w:rPr>
            </w:pPr>
            <w:r>
              <w:rPr>
                <w:rFonts w:hint="eastAsia" w:ascii="宋体" w:hAnsi="宋体" w:cs="宋体"/>
                <w:color w:val="auto"/>
                <w:highlight w:val="none"/>
              </w:rPr>
              <w:t>名称</w:t>
            </w:r>
          </w:p>
        </w:tc>
        <w:tc>
          <w:tcPr>
            <w:tcW w:w="1337" w:type="dxa"/>
            <w:vAlign w:val="center"/>
          </w:tcPr>
          <w:p>
            <w:pPr>
              <w:jc w:val="center"/>
              <w:rPr>
                <w:rFonts w:hint="eastAsia" w:ascii="宋体" w:hAnsi="宋体" w:cs="宋体"/>
                <w:color w:val="auto"/>
                <w:highlight w:val="none"/>
              </w:rPr>
            </w:pPr>
            <w:r>
              <w:rPr>
                <w:rFonts w:hint="eastAsia" w:ascii="宋体" w:hAnsi="宋体" w:cs="宋体"/>
                <w:color w:val="auto"/>
                <w:highlight w:val="none"/>
              </w:rPr>
              <w:t>型号和规格</w:t>
            </w:r>
          </w:p>
        </w:tc>
        <w:tc>
          <w:tcPr>
            <w:tcW w:w="2422" w:type="dxa"/>
            <w:vAlign w:val="center"/>
          </w:tcPr>
          <w:p>
            <w:pPr>
              <w:jc w:val="center"/>
              <w:rPr>
                <w:rFonts w:hint="eastAsia" w:ascii="宋体" w:hAnsi="宋体" w:cs="宋体"/>
                <w:color w:val="auto"/>
                <w:highlight w:val="none"/>
              </w:rPr>
            </w:pPr>
            <w:r>
              <w:rPr>
                <w:rFonts w:hint="eastAsia" w:ascii="宋体" w:hAnsi="宋体" w:cs="宋体"/>
                <w:color w:val="auto"/>
                <w:highlight w:val="none"/>
              </w:rPr>
              <w:t>原产地和制造商</w:t>
            </w:r>
          </w:p>
        </w:tc>
        <w:tc>
          <w:tcPr>
            <w:tcW w:w="1007" w:type="dxa"/>
            <w:vAlign w:val="center"/>
          </w:tcPr>
          <w:p>
            <w:pPr>
              <w:jc w:val="center"/>
              <w:rPr>
                <w:rFonts w:hint="eastAsia" w:ascii="宋体" w:hAnsi="宋体" w:cs="宋体"/>
                <w:color w:val="auto"/>
                <w:highlight w:val="none"/>
              </w:rPr>
            </w:pPr>
            <w:r>
              <w:rPr>
                <w:rFonts w:hint="eastAsia" w:ascii="宋体" w:hAnsi="宋体" w:cs="宋体"/>
                <w:color w:val="auto"/>
                <w:highlight w:val="none"/>
              </w:rPr>
              <w:t>数量</w:t>
            </w:r>
          </w:p>
        </w:tc>
        <w:tc>
          <w:tcPr>
            <w:tcW w:w="1733" w:type="dxa"/>
            <w:vAlign w:val="center"/>
          </w:tcPr>
          <w:p>
            <w:pPr>
              <w:jc w:val="center"/>
              <w:rPr>
                <w:rFonts w:hint="eastAsia" w:ascii="宋体" w:hAnsi="宋体" w:cs="宋体"/>
                <w:color w:val="auto"/>
                <w:highlight w:val="none"/>
              </w:rPr>
            </w:pPr>
            <w:r>
              <w:rPr>
                <w:rFonts w:hint="eastAsia" w:ascii="宋体" w:hAnsi="宋体" w:cs="宋体"/>
                <w:color w:val="auto"/>
                <w:highlight w:val="none"/>
              </w:rPr>
              <w:t>单价</w:t>
            </w:r>
          </w:p>
        </w:tc>
        <w:tc>
          <w:tcPr>
            <w:tcW w:w="3380" w:type="dxa"/>
            <w:vAlign w:val="center"/>
          </w:tcPr>
          <w:p>
            <w:pPr>
              <w:jc w:val="center"/>
              <w:rPr>
                <w:rFonts w:hint="eastAsia" w:ascii="宋体" w:hAnsi="宋体" w:cs="宋体"/>
                <w:color w:val="auto"/>
                <w:highlight w:val="none"/>
              </w:rPr>
            </w:pPr>
            <w:r>
              <w:rPr>
                <w:rFonts w:hint="eastAsia" w:ascii="宋体" w:hAnsi="宋体" w:cs="宋体"/>
                <w:color w:val="auto"/>
                <w:highlight w:val="none"/>
              </w:rPr>
              <w:t>总价</w:t>
            </w:r>
          </w:p>
        </w:tc>
        <w:tc>
          <w:tcPr>
            <w:tcW w:w="1125" w:type="dxa"/>
            <w:vAlign w:val="center"/>
          </w:tcPr>
          <w:p>
            <w:pPr>
              <w:jc w:val="center"/>
              <w:rPr>
                <w:rFonts w:hint="eastAsia" w:ascii="宋体" w:hAnsi="宋体" w:cs="宋体"/>
                <w:color w:val="auto"/>
                <w:highlight w:val="none"/>
              </w:rPr>
            </w:pPr>
            <w:r>
              <w:rPr>
                <w:rFonts w:hint="eastAsia" w:ascii="宋体" w:hAnsi="宋体" w:cs="宋体"/>
                <w:color w:val="auto"/>
                <w:highlight w:val="none"/>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tcPr>
          <w:p>
            <w:pPr>
              <w:jc w:val="center"/>
              <w:rPr>
                <w:rFonts w:hint="eastAsia" w:ascii="宋体" w:hAnsi="宋体" w:cs="宋体"/>
                <w:color w:val="auto"/>
                <w:highlight w:val="none"/>
              </w:rPr>
            </w:pPr>
            <w:r>
              <w:rPr>
                <w:rFonts w:hint="eastAsia" w:ascii="宋体" w:hAnsi="宋体" w:cs="宋体"/>
                <w:color w:val="auto"/>
                <w:highlight w:val="none"/>
              </w:rPr>
              <w:t>1</w:t>
            </w:r>
          </w:p>
        </w:tc>
        <w:tc>
          <w:tcPr>
            <w:tcW w:w="2015" w:type="dxa"/>
          </w:tcPr>
          <w:p>
            <w:pPr>
              <w:jc w:val="center"/>
              <w:rPr>
                <w:rFonts w:hint="eastAsia" w:ascii="宋体" w:hAnsi="宋体" w:cs="宋体"/>
                <w:color w:val="auto"/>
                <w:highlight w:val="none"/>
              </w:rPr>
            </w:pPr>
          </w:p>
        </w:tc>
        <w:tc>
          <w:tcPr>
            <w:tcW w:w="1337" w:type="dxa"/>
          </w:tcPr>
          <w:p>
            <w:pPr>
              <w:jc w:val="center"/>
              <w:rPr>
                <w:rFonts w:hint="eastAsia" w:ascii="宋体" w:hAnsi="宋体" w:cs="宋体"/>
                <w:color w:val="auto"/>
                <w:highlight w:val="none"/>
              </w:rPr>
            </w:pPr>
          </w:p>
        </w:tc>
        <w:tc>
          <w:tcPr>
            <w:tcW w:w="2422" w:type="dxa"/>
          </w:tcPr>
          <w:p>
            <w:pPr>
              <w:jc w:val="center"/>
              <w:rPr>
                <w:rFonts w:hint="eastAsia" w:ascii="宋体" w:hAnsi="宋体" w:cs="宋体"/>
                <w:color w:val="auto"/>
                <w:highlight w:val="none"/>
              </w:rPr>
            </w:pPr>
          </w:p>
        </w:tc>
        <w:tc>
          <w:tcPr>
            <w:tcW w:w="1007" w:type="dxa"/>
          </w:tcPr>
          <w:p>
            <w:pPr>
              <w:jc w:val="center"/>
              <w:rPr>
                <w:rFonts w:hint="eastAsia" w:ascii="宋体" w:hAnsi="宋体" w:cs="宋体"/>
                <w:color w:val="auto"/>
                <w:highlight w:val="none"/>
              </w:rPr>
            </w:pPr>
          </w:p>
        </w:tc>
        <w:tc>
          <w:tcPr>
            <w:tcW w:w="1733" w:type="dxa"/>
          </w:tcPr>
          <w:p>
            <w:pPr>
              <w:jc w:val="center"/>
              <w:rPr>
                <w:rFonts w:hint="eastAsia" w:ascii="宋体" w:hAnsi="宋体" w:cs="宋体"/>
                <w:color w:val="auto"/>
                <w:highlight w:val="none"/>
              </w:rPr>
            </w:pP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tcPr>
          <w:p>
            <w:pPr>
              <w:jc w:val="center"/>
              <w:rPr>
                <w:rFonts w:hint="eastAsia" w:ascii="宋体" w:hAnsi="宋体" w:cs="宋体"/>
                <w:color w:val="auto"/>
                <w:highlight w:val="none"/>
              </w:rPr>
            </w:pPr>
            <w:r>
              <w:rPr>
                <w:rFonts w:hint="eastAsia" w:ascii="宋体" w:hAnsi="宋体" w:cs="宋体"/>
                <w:color w:val="auto"/>
                <w:highlight w:val="none"/>
              </w:rPr>
              <w:t>2</w:t>
            </w:r>
          </w:p>
        </w:tc>
        <w:tc>
          <w:tcPr>
            <w:tcW w:w="2015" w:type="dxa"/>
          </w:tcPr>
          <w:p>
            <w:pPr>
              <w:jc w:val="center"/>
              <w:rPr>
                <w:rFonts w:hint="eastAsia" w:ascii="宋体" w:hAnsi="宋体" w:cs="宋体"/>
                <w:color w:val="auto"/>
                <w:highlight w:val="none"/>
              </w:rPr>
            </w:pPr>
          </w:p>
        </w:tc>
        <w:tc>
          <w:tcPr>
            <w:tcW w:w="1337" w:type="dxa"/>
          </w:tcPr>
          <w:p>
            <w:pPr>
              <w:jc w:val="center"/>
              <w:rPr>
                <w:rFonts w:hint="eastAsia" w:ascii="宋体" w:hAnsi="宋体" w:cs="宋体"/>
                <w:color w:val="auto"/>
                <w:highlight w:val="none"/>
              </w:rPr>
            </w:pPr>
          </w:p>
        </w:tc>
        <w:tc>
          <w:tcPr>
            <w:tcW w:w="2422" w:type="dxa"/>
          </w:tcPr>
          <w:p>
            <w:pPr>
              <w:jc w:val="center"/>
              <w:rPr>
                <w:rFonts w:hint="eastAsia" w:ascii="宋体" w:hAnsi="宋体" w:cs="宋体"/>
                <w:color w:val="auto"/>
                <w:highlight w:val="none"/>
              </w:rPr>
            </w:pPr>
          </w:p>
        </w:tc>
        <w:tc>
          <w:tcPr>
            <w:tcW w:w="1007" w:type="dxa"/>
          </w:tcPr>
          <w:p>
            <w:pPr>
              <w:jc w:val="center"/>
              <w:rPr>
                <w:rFonts w:hint="eastAsia" w:ascii="宋体" w:hAnsi="宋体" w:cs="宋体"/>
                <w:color w:val="auto"/>
                <w:highlight w:val="none"/>
              </w:rPr>
            </w:pPr>
          </w:p>
        </w:tc>
        <w:tc>
          <w:tcPr>
            <w:tcW w:w="1733" w:type="dxa"/>
          </w:tcPr>
          <w:p>
            <w:pPr>
              <w:jc w:val="center"/>
              <w:rPr>
                <w:rFonts w:hint="eastAsia" w:ascii="宋体" w:hAnsi="宋体" w:cs="宋体"/>
                <w:color w:val="auto"/>
                <w:highlight w:val="none"/>
              </w:rPr>
            </w:pP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tcPr>
          <w:p>
            <w:pPr>
              <w:jc w:val="center"/>
              <w:rPr>
                <w:rFonts w:hint="eastAsia" w:ascii="宋体" w:hAnsi="宋体" w:cs="宋体"/>
                <w:color w:val="auto"/>
                <w:highlight w:val="none"/>
              </w:rPr>
            </w:pPr>
            <w:r>
              <w:rPr>
                <w:rFonts w:hint="eastAsia" w:ascii="宋体" w:hAnsi="宋体" w:cs="宋体"/>
                <w:color w:val="auto"/>
                <w:highlight w:val="none"/>
              </w:rPr>
              <w:t>3</w:t>
            </w:r>
          </w:p>
        </w:tc>
        <w:tc>
          <w:tcPr>
            <w:tcW w:w="2015" w:type="dxa"/>
          </w:tcPr>
          <w:p>
            <w:pPr>
              <w:jc w:val="center"/>
              <w:rPr>
                <w:rFonts w:hint="eastAsia" w:ascii="宋体" w:hAnsi="宋体" w:cs="宋体"/>
                <w:color w:val="auto"/>
                <w:highlight w:val="none"/>
              </w:rPr>
            </w:pPr>
          </w:p>
        </w:tc>
        <w:tc>
          <w:tcPr>
            <w:tcW w:w="1337" w:type="dxa"/>
          </w:tcPr>
          <w:p>
            <w:pPr>
              <w:jc w:val="center"/>
              <w:rPr>
                <w:rFonts w:hint="eastAsia" w:ascii="宋体" w:hAnsi="宋体" w:cs="宋体"/>
                <w:color w:val="auto"/>
                <w:highlight w:val="none"/>
              </w:rPr>
            </w:pPr>
          </w:p>
        </w:tc>
        <w:tc>
          <w:tcPr>
            <w:tcW w:w="2422" w:type="dxa"/>
          </w:tcPr>
          <w:p>
            <w:pPr>
              <w:jc w:val="center"/>
              <w:rPr>
                <w:rFonts w:hint="eastAsia" w:ascii="宋体" w:hAnsi="宋体" w:cs="宋体"/>
                <w:color w:val="auto"/>
                <w:highlight w:val="none"/>
              </w:rPr>
            </w:pPr>
          </w:p>
        </w:tc>
        <w:tc>
          <w:tcPr>
            <w:tcW w:w="1007" w:type="dxa"/>
          </w:tcPr>
          <w:p>
            <w:pPr>
              <w:jc w:val="center"/>
              <w:rPr>
                <w:rFonts w:hint="eastAsia" w:ascii="宋体" w:hAnsi="宋体" w:cs="宋体"/>
                <w:color w:val="auto"/>
                <w:highlight w:val="none"/>
              </w:rPr>
            </w:pPr>
          </w:p>
        </w:tc>
        <w:tc>
          <w:tcPr>
            <w:tcW w:w="1733" w:type="dxa"/>
          </w:tcPr>
          <w:p>
            <w:pPr>
              <w:jc w:val="center"/>
              <w:rPr>
                <w:rFonts w:hint="eastAsia" w:ascii="宋体" w:hAnsi="宋体" w:cs="宋体"/>
                <w:color w:val="auto"/>
                <w:highlight w:val="none"/>
              </w:rPr>
            </w:pP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tcPr>
          <w:p>
            <w:pPr>
              <w:jc w:val="center"/>
              <w:rPr>
                <w:rFonts w:hint="eastAsia" w:ascii="宋体" w:hAnsi="宋体" w:cs="宋体"/>
                <w:color w:val="auto"/>
                <w:highlight w:val="none"/>
              </w:rPr>
            </w:pPr>
            <w:r>
              <w:rPr>
                <w:rFonts w:hint="eastAsia" w:ascii="宋体" w:hAnsi="宋体" w:cs="宋体"/>
                <w:color w:val="auto"/>
                <w:highlight w:val="none"/>
              </w:rPr>
              <w:t>4</w:t>
            </w:r>
          </w:p>
        </w:tc>
        <w:tc>
          <w:tcPr>
            <w:tcW w:w="2015" w:type="dxa"/>
          </w:tcPr>
          <w:p>
            <w:pPr>
              <w:jc w:val="center"/>
              <w:rPr>
                <w:rFonts w:hint="eastAsia" w:ascii="宋体" w:hAnsi="宋体" w:cs="宋体"/>
                <w:color w:val="auto"/>
                <w:highlight w:val="none"/>
              </w:rPr>
            </w:pPr>
          </w:p>
        </w:tc>
        <w:tc>
          <w:tcPr>
            <w:tcW w:w="1337" w:type="dxa"/>
          </w:tcPr>
          <w:p>
            <w:pPr>
              <w:jc w:val="center"/>
              <w:rPr>
                <w:rFonts w:hint="eastAsia" w:ascii="宋体" w:hAnsi="宋体" w:cs="宋体"/>
                <w:color w:val="auto"/>
                <w:highlight w:val="none"/>
              </w:rPr>
            </w:pPr>
          </w:p>
        </w:tc>
        <w:tc>
          <w:tcPr>
            <w:tcW w:w="2422" w:type="dxa"/>
          </w:tcPr>
          <w:p>
            <w:pPr>
              <w:jc w:val="center"/>
              <w:rPr>
                <w:rFonts w:hint="eastAsia" w:ascii="宋体" w:hAnsi="宋体" w:cs="宋体"/>
                <w:color w:val="auto"/>
                <w:highlight w:val="none"/>
              </w:rPr>
            </w:pPr>
          </w:p>
        </w:tc>
        <w:tc>
          <w:tcPr>
            <w:tcW w:w="1007" w:type="dxa"/>
          </w:tcPr>
          <w:p>
            <w:pPr>
              <w:jc w:val="center"/>
              <w:rPr>
                <w:rFonts w:hint="eastAsia" w:ascii="宋体" w:hAnsi="宋体" w:cs="宋体"/>
                <w:color w:val="auto"/>
                <w:highlight w:val="none"/>
              </w:rPr>
            </w:pPr>
          </w:p>
        </w:tc>
        <w:tc>
          <w:tcPr>
            <w:tcW w:w="1733" w:type="dxa"/>
          </w:tcPr>
          <w:p>
            <w:pPr>
              <w:jc w:val="center"/>
              <w:rPr>
                <w:rFonts w:hint="eastAsia" w:ascii="宋体" w:hAnsi="宋体" w:cs="宋体"/>
                <w:color w:val="auto"/>
                <w:highlight w:val="none"/>
              </w:rPr>
            </w:pP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tcPr>
          <w:p>
            <w:pPr>
              <w:jc w:val="center"/>
              <w:rPr>
                <w:rFonts w:hint="eastAsia" w:ascii="宋体" w:hAnsi="宋体" w:cs="宋体"/>
                <w:color w:val="auto"/>
                <w:highlight w:val="none"/>
              </w:rPr>
            </w:pPr>
            <w:r>
              <w:rPr>
                <w:rFonts w:hint="eastAsia" w:ascii="宋体" w:hAnsi="宋体" w:cs="宋体"/>
                <w:color w:val="auto"/>
                <w:highlight w:val="none"/>
              </w:rPr>
              <w:t>5</w:t>
            </w:r>
          </w:p>
        </w:tc>
        <w:tc>
          <w:tcPr>
            <w:tcW w:w="2015" w:type="dxa"/>
          </w:tcPr>
          <w:p>
            <w:pPr>
              <w:jc w:val="center"/>
              <w:rPr>
                <w:rFonts w:hint="eastAsia" w:ascii="宋体" w:hAnsi="宋体" w:cs="宋体"/>
                <w:color w:val="auto"/>
                <w:highlight w:val="none"/>
              </w:rPr>
            </w:pPr>
          </w:p>
        </w:tc>
        <w:tc>
          <w:tcPr>
            <w:tcW w:w="1337" w:type="dxa"/>
          </w:tcPr>
          <w:p>
            <w:pPr>
              <w:jc w:val="center"/>
              <w:rPr>
                <w:rFonts w:hint="eastAsia" w:ascii="宋体" w:hAnsi="宋体" w:cs="宋体"/>
                <w:color w:val="auto"/>
                <w:highlight w:val="none"/>
              </w:rPr>
            </w:pPr>
          </w:p>
        </w:tc>
        <w:tc>
          <w:tcPr>
            <w:tcW w:w="2422" w:type="dxa"/>
          </w:tcPr>
          <w:p>
            <w:pPr>
              <w:jc w:val="center"/>
              <w:rPr>
                <w:rFonts w:hint="eastAsia" w:ascii="宋体" w:hAnsi="宋体" w:cs="宋体"/>
                <w:color w:val="auto"/>
                <w:highlight w:val="none"/>
              </w:rPr>
            </w:pPr>
          </w:p>
        </w:tc>
        <w:tc>
          <w:tcPr>
            <w:tcW w:w="1007" w:type="dxa"/>
          </w:tcPr>
          <w:p>
            <w:pPr>
              <w:jc w:val="center"/>
              <w:rPr>
                <w:rFonts w:hint="eastAsia" w:ascii="宋体" w:hAnsi="宋体" w:cs="宋体"/>
                <w:color w:val="auto"/>
                <w:highlight w:val="none"/>
              </w:rPr>
            </w:pPr>
          </w:p>
        </w:tc>
        <w:tc>
          <w:tcPr>
            <w:tcW w:w="1733" w:type="dxa"/>
          </w:tcPr>
          <w:p>
            <w:pPr>
              <w:jc w:val="center"/>
              <w:rPr>
                <w:rFonts w:hint="eastAsia" w:ascii="宋体" w:hAnsi="宋体" w:cs="宋体"/>
                <w:color w:val="auto"/>
                <w:highlight w:val="none"/>
              </w:rPr>
            </w:pP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32" w:type="dxa"/>
            <w:vAlign w:val="center"/>
          </w:tcPr>
          <w:p>
            <w:pPr>
              <w:jc w:val="center"/>
              <w:rPr>
                <w:rFonts w:hint="eastAsia" w:ascii="宋体" w:hAnsi="宋体" w:cs="宋体"/>
                <w:color w:val="auto"/>
                <w:highlight w:val="none"/>
              </w:rPr>
            </w:pPr>
            <w:r>
              <w:rPr>
                <w:rFonts w:hint="eastAsia" w:ascii="宋体" w:hAnsi="宋体" w:cs="宋体"/>
                <w:color w:val="auto"/>
                <w:highlight w:val="none"/>
              </w:rPr>
              <w:t>……</w:t>
            </w:r>
          </w:p>
        </w:tc>
        <w:tc>
          <w:tcPr>
            <w:tcW w:w="2015" w:type="dxa"/>
          </w:tcPr>
          <w:p>
            <w:pPr>
              <w:jc w:val="center"/>
              <w:rPr>
                <w:rFonts w:hint="eastAsia" w:ascii="宋体" w:hAnsi="宋体" w:cs="宋体"/>
                <w:color w:val="auto"/>
                <w:highlight w:val="none"/>
              </w:rPr>
            </w:pPr>
          </w:p>
        </w:tc>
        <w:tc>
          <w:tcPr>
            <w:tcW w:w="1337" w:type="dxa"/>
          </w:tcPr>
          <w:p>
            <w:pPr>
              <w:jc w:val="center"/>
              <w:rPr>
                <w:rFonts w:hint="eastAsia" w:ascii="宋体" w:hAnsi="宋体" w:cs="宋体"/>
                <w:color w:val="auto"/>
                <w:highlight w:val="none"/>
              </w:rPr>
            </w:pPr>
          </w:p>
        </w:tc>
        <w:tc>
          <w:tcPr>
            <w:tcW w:w="2422" w:type="dxa"/>
          </w:tcPr>
          <w:p>
            <w:pPr>
              <w:jc w:val="center"/>
              <w:rPr>
                <w:rFonts w:hint="eastAsia" w:ascii="宋体" w:hAnsi="宋体" w:cs="宋体"/>
                <w:color w:val="auto"/>
                <w:highlight w:val="none"/>
              </w:rPr>
            </w:pPr>
          </w:p>
        </w:tc>
        <w:tc>
          <w:tcPr>
            <w:tcW w:w="1007" w:type="dxa"/>
          </w:tcPr>
          <w:p>
            <w:pPr>
              <w:jc w:val="center"/>
              <w:rPr>
                <w:rFonts w:hint="eastAsia" w:ascii="宋体" w:hAnsi="宋体" w:cs="宋体"/>
                <w:color w:val="auto"/>
                <w:highlight w:val="none"/>
              </w:rPr>
            </w:pPr>
          </w:p>
        </w:tc>
        <w:tc>
          <w:tcPr>
            <w:tcW w:w="1733" w:type="dxa"/>
          </w:tcPr>
          <w:p>
            <w:pPr>
              <w:jc w:val="center"/>
              <w:rPr>
                <w:rFonts w:hint="eastAsia" w:ascii="宋体" w:hAnsi="宋体" w:cs="宋体"/>
                <w:color w:val="auto"/>
                <w:highlight w:val="none"/>
              </w:rPr>
            </w:pP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c>
          <w:tcPr>
            <w:tcW w:w="9446" w:type="dxa"/>
            <w:gridSpan w:val="6"/>
            <w:vAlign w:val="center"/>
          </w:tcPr>
          <w:p>
            <w:pPr>
              <w:jc w:val="center"/>
              <w:rPr>
                <w:rFonts w:hint="eastAsia" w:ascii="宋体" w:hAnsi="宋体" w:cs="宋体"/>
                <w:color w:val="auto"/>
                <w:highlight w:val="none"/>
              </w:rPr>
            </w:pPr>
            <w:r>
              <w:rPr>
                <w:rFonts w:hint="eastAsia" w:ascii="宋体" w:hAnsi="宋体" w:cs="宋体"/>
                <w:b/>
                <w:bCs/>
                <w:color w:val="auto"/>
                <w:szCs w:val="21"/>
                <w:highlight w:val="none"/>
              </w:rPr>
              <w:t>合计：</w:t>
            </w:r>
          </w:p>
        </w:tc>
        <w:tc>
          <w:tcPr>
            <w:tcW w:w="3380" w:type="dxa"/>
          </w:tcPr>
          <w:p>
            <w:pPr>
              <w:jc w:val="center"/>
              <w:rPr>
                <w:rFonts w:hint="eastAsia" w:ascii="宋体" w:hAnsi="宋体" w:cs="宋体"/>
                <w:color w:val="auto"/>
                <w:highlight w:val="none"/>
              </w:rPr>
            </w:pPr>
          </w:p>
        </w:tc>
        <w:tc>
          <w:tcPr>
            <w:tcW w:w="1125" w:type="dxa"/>
          </w:tcPr>
          <w:p>
            <w:pPr>
              <w:jc w:val="center"/>
              <w:rPr>
                <w:rFonts w:hint="eastAsia" w:ascii="宋体" w:hAnsi="宋体" w:cs="宋体"/>
                <w:color w:val="auto"/>
                <w:highlight w:val="none"/>
              </w:rPr>
            </w:pPr>
          </w:p>
        </w:tc>
      </w:tr>
    </w:tbl>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交货期：</w:t>
      </w:r>
      <w:r>
        <w:rPr>
          <w:rFonts w:hint="eastAsia" w:ascii="宋体" w:hAnsi="宋体" w:cs="宋体"/>
          <w:color w:val="auto"/>
          <w:szCs w:val="21"/>
          <w:highlight w:val="none"/>
          <w:u w:val="single"/>
        </w:rPr>
        <w:t xml:space="preserve">           </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color w:val="auto"/>
          <w:highlight w:val="none"/>
        </w:rPr>
      </w:pPr>
      <w:r>
        <w:rPr>
          <w:rFonts w:hint="eastAsia" w:ascii="宋体" w:hAnsi="宋体"/>
          <w:color w:val="auto"/>
          <w:szCs w:val="21"/>
          <w:highlight w:val="none"/>
        </w:rPr>
        <w:t>保修期：原厂包修</w:t>
      </w:r>
      <w:r>
        <w:rPr>
          <w:rFonts w:hint="eastAsia" w:ascii="宋体" w:hAnsi="宋体" w:cs="宋体"/>
          <w:color w:val="auto"/>
          <w:szCs w:val="21"/>
          <w:highlight w:val="none"/>
          <w:u w:val="single"/>
        </w:rPr>
        <w:t xml:space="preserve">      </w:t>
      </w:r>
      <w:r>
        <w:rPr>
          <w:rFonts w:hint="eastAsia" w:ascii="宋体" w:hAnsi="宋体"/>
          <w:color w:val="auto"/>
          <w:szCs w:val="21"/>
          <w:highlight w:val="none"/>
        </w:rPr>
        <w:t>个月，代理供应商保修</w:t>
      </w:r>
      <w:r>
        <w:rPr>
          <w:rFonts w:hint="eastAsia" w:ascii="宋体" w:hAnsi="宋体" w:cs="宋体"/>
          <w:color w:val="auto"/>
          <w:szCs w:val="21"/>
          <w:highlight w:val="none"/>
          <w:u w:val="single"/>
        </w:rPr>
        <w:t xml:space="preserve">      </w:t>
      </w:r>
      <w:r>
        <w:rPr>
          <w:rFonts w:hint="eastAsia" w:ascii="宋体" w:hAnsi="宋体"/>
          <w:color w:val="auto"/>
          <w:szCs w:val="21"/>
          <w:highlight w:val="none"/>
        </w:rPr>
        <w:t>个月</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①开标一览表中“投标总价”应与投标分项报价表中“合计”保持一致。</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②以上报价均为含税价。</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olor w:val="auto"/>
          <w:szCs w:val="21"/>
          <w:highlight w:val="none"/>
        </w:rPr>
      </w:pPr>
      <w:r>
        <w:rPr>
          <w:rFonts w:hint="eastAsia" w:ascii="宋体" w:hAnsi="宋体"/>
          <w:color w:val="auto"/>
          <w:szCs w:val="21"/>
          <w:highlight w:val="none"/>
        </w:rPr>
        <w:t>③最高投标限价：</w:t>
      </w:r>
      <w:r>
        <w:rPr>
          <w:rFonts w:hint="eastAsia" w:ascii="宋体" w:hAnsi="宋体"/>
          <w:color w:val="auto"/>
          <w:szCs w:val="21"/>
          <w:highlight w:val="none"/>
          <w:lang w:val="en-US" w:eastAsia="zh-CN"/>
        </w:rPr>
        <w:t>615</w:t>
      </w:r>
      <w:r>
        <w:rPr>
          <w:rFonts w:hint="eastAsia" w:ascii="宋体" w:hAnsi="宋体"/>
          <w:color w:val="auto"/>
          <w:szCs w:val="21"/>
          <w:highlight w:val="none"/>
        </w:rPr>
        <w:t>万元人民币</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bCs/>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jc w:val="left"/>
        <w:rPr>
          <w:rFonts w:hint="eastAsia" w:ascii="宋体" w:hAnsi="宋体" w:cs="宋体"/>
          <w:b/>
          <w:color w:val="auto"/>
          <w:sz w:val="24"/>
          <w:highlight w:val="none"/>
        </w:rPr>
        <w:sectPr>
          <w:pgSz w:w="16783" w:h="11850" w:orient="landscape"/>
          <w:pgMar w:top="1803" w:right="1440" w:bottom="1803" w:left="1440" w:header="720" w:footer="720" w:gutter="0"/>
          <w:cols w:space="720" w:num="1"/>
          <w:docGrid w:linePitch="286" w:charSpace="0"/>
        </w:sectPr>
      </w:pPr>
    </w:p>
    <w:p>
      <w:pPr>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附表：</w:t>
      </w:r>
    </w:p>
    <w:p>
      <w:pPr>
        <w:spacing w:line="360" w:lineRule="auto"/>
        <w:jc w:val="center"/>
        <w:rPr>
          <w:rFonts w:hint="eastAsia" w:ascii="宋体" w:hAnsi="宋体" w:cs="宋体"/>
          <w:b/>
          <w:color w:val="auto"/>
          <w:sz w:val="28"/>
          <w:szCs w:val="21"/>
          <w:highlight w:val="none"/>
        </w:rPr>
      </w:pPr>
      <w:r>
        <w:rPr>
          <w:rFonts w:hint="eastAsia" w:ascii="宋体" w:hAnsi="宋体" w:cs="宋体"/>
          <w:b/>
          <w:color w:val="auto"/>
          <w:sz w:val="28"/>
          <w:szCs w:val="21"/>
          <w:highlight w:val="none"/>
        </w:rPr>
        <w:t>详细的配置清单</w:t>
      </w:r>
    </w:p>
    <w:p>
      <w:pPr>
        <w:rPr>
          <w:rFonts w:hint="eastAsia" w:ascii="宋体" w:hAnsi="宋体" w:cs="宋体"/>
          <w:b/>
          <w:color w:val="auto"/>
          <w:highlight w:val="none"/>
        </w:rPr>
      </w:pPr>
      <w:r>
        <w:rPr>
          <w:rFonts w:hint="eastAsia" w:ascii="宋体" w:hAnsi="宋体" w:cs="宋体"/>
          <w:b/>
          <w:color w:val="auto"/>
          <w:highlight w:val="none"/>
        </w:rPr>
        <w:t>复旦大学附属妇产科医院：</w:t>
      </w:r>
    </w:p>
    <w:p>
      <w:pPr>
        <w:ind w:firstLine="422" w:firstLineChars="200"/>
        <w:rPr>
          <w:rFonts w:hint="eastAsia" w:ascii="宋体" w:hAnsi="宋体" w:cs="宋体"/>
          <w:b/>
          <w:color w:val="auto"/>
          <w:highlight w:val="none"/>
        </w:rPr>
      </w:pPr>
      <w:r>
        <w:rPr>
          <w:rFonts w:hint="eastAsia" w:ascii="宋体" w:hAnsi="宋体" w:cs="宋体"/>
          <w:b/>
          <w:color w:val="auto"/>
          <w:highlight w:val="none"/>
        </w:rPr>
        <w:t>针对</w:t>
      </w:r>
      <w:r>
        <w:rPr>
          <w:rFonts w:hint="eastAsia" w:ascii="宋体" w:hAnsi="宋体" w:cs="宋体"/>
          <w:b/>
          <w:color w:val="auto"/>
          <w:highlight w:val="none"/>
          <w:lang w:eastAsia="zh-CN"/>
        </w:rPr>
        <w:t>消毒灭菌装置</w:t>
      </w:r>
      <w:r>
        <w:rPr>
          <w:rFonts w:hint="eastAsia" w:ascii="宋体" w:hAnsi="宋体" w:cs="宋体"/>
          <w:b/>
          <w:color w:val="auto"/>
          <w:highlight w:val="none"/>
        </w:rPr>
        <w:t>（项目编号：0613-</w:t>
      </w:r>
      <w:r>
        <w:rPr>
          <w:rFonts w:hint="eastAsia" w:ascii="宋体" w:hAnsi="宋体" w:cs="宋体"/>
          <w:b/>
          <w:color w:val="auto"/>
          <w:highlight w:val="none"/>
          <w:lang w:eastAsia="zh-CN"/>
        </w:rPr>
        <w:t>247123066049</w:t>
      </w:r>
      <w:r>
        <w:rPr>
          <w:rFonts w:hint="eastAsia" w:ascii="宋体" w:hAnsi="宋体" w:cs="宋体"/>
          <w:b/>
          <w:color w:val="auto"/>
          <w:highlight w:val="none"/>
        </w:rPr>
        <w:t>），详细的配置清单如下：</w:t>
      </w: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2" w:firstLineChars="200"/>
        <w:rPr>
          <w:rFonts w:hint="eastAsia" w:ascii="宋体" w:hAnsi="宋体" w:cs="宋体"/>
          <w:b/>
          <w:color w:val="auto"/>
          <w:highlight w:val="none"/>
        </w:rPr>
      </w:pP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ind w:firstLine="420" w:firstLineChars="200"/>
        <w:rPr>
          <w:rFonts w:hint="eastAsia" w:ascii="宋体" w:hAnsi="宋体" w:cs="宋体"/>
          <w:color w:val="auto"/>
          <w:szCs w:val="21"/>
          <w:highlight w:val="none"/>
        </w:rPr>
      </w:pPr>
    </w:p>
    <w:p>
      <w:pPr>
        <w:ind w:firstLine="420" w:firstLineChars="200"/>
        <w:rPr>
          <w:rFonts w:hint="eastAsia" w:ascii="宋体" w:hAnsi="宋体" w:cs="宋体"/>
          <w:b/>
          <w:color w:val="auto"/>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jc w:val="left"/>
        <w:rPr>
          <w:rFonts w:hint="eastAsia" w:ascii="宋体" w:hAnsi="宋体" w:cs="宋体"/>
          <w:b/>
          <w:color w:val="auto"/>
          <w:sz w:val="24"/>
          <w:highlight w:val="none"/>
        </w:rPr>
      </w:pPr>
    </w:p>
    <w:p>
      <w:pPr>
        <w:spacing w:line="360" w:lineRule="auto"/>
        <w:jc w:val="center"/>
        <w:rPr>
          <w:rFonts w:hint="eastAsia" w:ascii="宋体" w:hAnsi="宋体" w:cs="宋体"/>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备品备件报价表</w:t>
      </w:r>
    </w:p>
    <w:p>
      <w:pPr>
        <w:spacing w:line="360" w:lineRule="auto"/>
        <w:ind w:firstLine="480"/>
        <w:jc w:val="center"/>
        <w:rPr>
          <w:rFonts w:hint="eastAsia" w:ascii="宋体" w:hAnsi="宋体" w:cs="宋体"/>
          <w:b/>
          <w:color w:val="auto"/>
          <w:sz w:val="24"/>
          <w:highlight w:val="none"/>
        </w:rPr>
      </w:pPr>
    </w:p>
    <w:p>
      <w:pPr>
        <w:spacing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消毒灭菌装置</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项目编号：0613-</w:t>
      </w:r>
      <w:r>
        <w:rPr>
          <w:rFonts w:hint="eastAsia" w:ascii="宋体" w:hAnsi="宋体" w:cs="宋体"/>
          <w:color w:val="auto"/>
          <w:szCs w:val="21"/>
          <w:highlight w:val="none"/>
          <w:lang w:eastAsia="zh-CN"/>
        </w:rPr>
        <w:t>247123066049</w:t>
      </w:r>
      <w:r>
        <w:rPr>
          <w:rFonts w:hint="eastAsia" w:ascii="宋体" w:hAnsi="宋体" w:cs="宋体"/>
          <w:color w:val="auto"/>
          <w:szCs w:val="21"/>
          <w:highlight w:val="none"/>
        </w:rPr>
        <w:t xml:space="preserve">                     单位：人民币元</w:t>
      </w:r>
    </w:p>
    <w:tbl>
      <w:tblPr>
        <w:tblStyle w:val="32"/>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18"/>
        <w:gridCol w:w="1777"/>
        <w:gridCol w:w="1955"/>
        <w:gridCol w:w="908"/>
        <w:gridCol w:w="1403"/>
        <w:gridCol w:w="15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777" w:type="dxa"/>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名称与规格</w:t>
            </w:r>
          </w:p>
        </w:tc>
        <w:tc>
          <w:tcPr>
            <w:tcW w:w="1955" w:type="dxa"/>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原产地与制造商</w:t>
            </w:r>
          </w:p>
        </w:tc>
        <w:tc>
          <w:tcPr>
            <w:tcW w:w="908" w:type="dxa"/>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数量</w:t>
            </w:r>
          </w:p>
        </w:tc>
        <w:tc>
          <w:tcPr>
            <w:tcW w:w="1403" w:type="dxa"/>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单价</w:t>
            </w:r>
          </w:p>
        </w:tc>
        <w:tc>
          <w:tcPr>
            <w:tcW w:w="1599" w:type="dxa"/>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818" w:type="dxa"/>
          </w:tcPr>
          <w:p>
            <w:pPr>
              <w:spacing w:line="400" w:lineRule="exact"/>
              <w:jc w:val="center"/>
              <w:rPr>
                <w:rFonts w:hint="eastAsia" w:ascii="宋体" w:hAnsi="宋体" w:cs="宋体"/>
                <w:b/>
                <w:color w:val="auto"/>
                <w:szCs w:val="21"/>
                <w:highlight w:val="none"/>
              </w:rPr>
            </w:pPr>
          </w:p>
        </w:tc>
        <w:tc>
          <w:tcPr>
            <w:tcW w:w="1777" w:type="dxa"/>
          </w:tcPr>
          <w:p>
            <w:pPr>
              <w:spacing w:line="400" w:lineRule="exact"/>
              <w:jc w:val="center"/>
              <w:rPr>
                <w:rFonts w:hint="eastAsia" w:ascii="宋体" w:hAnsi="宋体" w:cs="宋体"/>
                <w:b/>
                <w:color w:val="auto"/>
                <w:szCs w:val="21"/>
                <w:highlight w:val="none"/>
              </w:rPr>
            </w:pPr>
          </w:p>
        </w:tc>
        <w:tc>
          <w:tcPr>
            <w:tcW w:w="1955" w:type="dxa"/>
          </w:tcPr>
          <w:p>
            <w:pPr>
              <w:spacing w:line="400" w:lineRule="exact"/>
              <w:jc w:val="center"/>
              <w:rPr>
                <w:rFonts w:hint="eastAsia" w:ascii="宋体" w:hAnsi="宋体" w:cs="宋体"/>
                <w:b/>
                <w:color w:val="auto"/>
                <w:szCs w:val="21"/>
                <w:highlight w:val="none"/>
              </w:rPr>
            </w:pPr>
          </w:p>
        </w:tc>
        <w:tc>
          <w:tcPr>
            <w:tcW w:w="908" w:type="dxa"/>
          </w:tcPr>
          <w:p>
            <w:pPr>
              <w:spacing w:line="400" w:lineRule="exact"/>
              <w:jc w:val="center"/>
              <w:rPr>
                <w:rFonts w:hint="eastAsia" w:ascii="宋体" w:hAnsi="宋体" w:cs="宋体"/>
                <w:b/>
                <w:color w:val="auto"/>
                <w:szCs w:val="21"/>
                <w:highlight w:val="none"/>
              </w:rPr>
            </w:pPr>
          </w:p>
        </w:tc>
        <w:tc>
          <w:tcPr>
            <w:tcW w:w="1403" w:type="dxa"/>
          </w:tcPr>
          <w:p>
            <w:pPr>
              <w:spacing w:line="400" w:lineRule="exact"/>
              <w:jc w:val="center"/>
              <w:rPr>
                <w:rFonts w:hint="eastAsia" w:ascii="宋体" w:hAnsi="宋体" w:cs="宋体"/>
                <w:b/>
                <w:color w:val="auto"/>
                <w:szCs w:val="21"/>
                <w:highlight w:val="none"/>
              </w:rPr>
            </w:pPr>
          </w:p>
        </w:tc>
        <w:tc>
          <w:tcPr>
            <w:tcW w:w="1599" w:type="dxa"/>
          </w:tcPr>
          <w:p>
            <w:pPr>
              <w:spacing w:line="400" w:lineRule="exact"/>
              <w:jc w:val="center"/>
              <w:rPr>
                <w:rFonts w:hint="eastAsia" w:ascii="宋体" w:hAnsi="宋体" w:cs="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c>
          <w:tcPr>
            <w:tcW w:w="6861" w:type="dxa"/>
            <w:gridSpan w:val="5"/>
          </w:tcPr>
          <w:p>
            <w:pPr>
              <w:spacing w:line="400" w:lineRule="exact"/>
              <w:jc w:val="center"/>
              <w:rPr>
                <w:rFonts w:hint="eastAsia" w:ascii="宋体" w:hAnsi="宋体" w:cs="宋体"/>
                <w:b/>
                <w:color w:val="auto"/>
                <w:szCs w:val="21"/>
                <w:highlight w:val="none"/>
              </w:rPr>
            </w:pPr>
            <w:r>
              <w:rPr>
                <w:rFonts w:hint="eastAsia" w:ascii="宋体" w:hAnsi="宋体" w:cs="宋体"/>
                <w:b/>
                <w:color w:val="auto"/>
                <w:szCs w:val="21"/>
                <w:highlight w:val="none"/>
              </w:rPr>
              <w:t>合计</w:t>
            </w:r>
          </w:p>
        </w:tc>
        <w:tc>
          <w:tcPr>
            <w:tcW w:w="1599" w:type="dxa"/>
          </w:tcPr>
          <w:p>
            <w:pPr>
              <w:spacing w:line="400" w:lineRule="exact"/>
              <w:jc w:val="center"/>
              <w:rPr>
                <w:rFonts w:hint="eastAsia" w:ascii="宋体" w:hAnsi="宋体" w:cs="宋体"/>
                <w:b/>
                <w:color w:val="auto"/>
                <w:szCs w:val="21"/>
                <w:highlight w:val="none"/>
              </w:rPr>
            </w:pPr>
          </w:p>
        </w:tc>
      </w:tr>
    </w:tbl>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注：投标人需按本表格式提供质保期后运行2年所需的备品备件的清单和价格，并承诺在</w:t>
      </w:r>
      <w:r>
        <w:rPr>
          <w:rFonts w:hint="eastAsia" w:ascii="宋体" w:hAnsi="宋体" w:cs="宋体"/>
          <w:snapToGrid w:val="0"/>
          <w:color w:val="auto"/>
          <w:szCs w:val="21"/>
          <w:highlight w:val="none"/>
        </w:rPr>
        <w:t>质保期满后</w:t>
      </w:r>
      <w:r>
        <w:rPr>
          <w:rFonts w:hint="eastAsia" w:ascii="宋体" w:hAnsi="宋体" w:cs="宋体"/>
          <w:color w:val="auto"/>
          <w:szCs w:val="21"/>
          <w:highlight w:val="none"/>
        </w:rPr>
        <w:t>5年内不高于上述清单的价格，此报价不计入投标总价。</w:t>
      </w:r>
    </w:p>
    <w:p>
      <w:pPr>
        <w:spacing w:line="360" w:lineRule="auto"/>
        <w:ind w:firstLine="480"/>
        <w:jc w:val="center"/>
        <w:rPr>
          <w:rFonts w:hint="eastAsia" w:ascii="宋体" w:hAnsi="宋体" w:cs="宋体"/>
          <w:b/>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jc w:val="center"/>
        <w:rPr>
          <w:rFonts w:hint="eastAsia" w:ascii="宋体" w:hAnsi="宋体" w:cs="宋体"/>
          <w:b/>
          <w:color w:val="auto"/>
          <w:sz w:val="30"/>
          <w:szCs w:val="30"/>
          <w:highlight w:val="none"/>
        </w:rPr>
        <w:sectPr>
          <w:pgSz w:w="11850" w:h="16783"/>
          <w:pgMar w:top="1440" w:right="1803" w:bottom="1440" w:left="1803" w:header="720" w:footer="720" w:gutter="0"/>
          <w:cols w:space="720" w:num="1"/>
          <w:docGrid w:linePitch="286" w:charSpace="0"/>
        </w:sect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315" w:name="_Toc1690"/>
      <w:bookmarkStart w:id="316" w:name="_Toc457748057"/>
      <w:bookmarkStart w:id="317" w:name="_Toc32605"/>
      <w:bookmarkStart w:id="318" w:name="_Toc392227913"/>
      <w:r>
        <w:rPr>
          <w:rFonts w:hint="eastAsia" w:ascii="宋体" w:hAnsi="宋体" w:eastAsia="宋体" w:cs="宋体"/>
          <w:color w:val="auto"/>
          <w:sz w:val="30"/>
          <w:szCs w:val="30"/>
          <w:highlight w:val="none"/>
        </w:rPr>
        <w:t>商务偏差表</w:t>
      </w:r>
      <w:bookmarkEnd w:id="315"/>
      <w:bookmarkEnd w:id="316"/>
      <w:bookmarkEnd w:id="317"/>
      <w:bookmarkEnd w:id="318"/>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消毒灭菌装置</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项目编号：0613-</w:t>
      </w:r>
      <w:r>
        <w:rPr>
          <w:rFonts w:hint="eastAsia" w:ascii="宋体" w:hAnsi="宋体" w:cs="宋体"/>
          <w:color w:val="auto"/>
          <w:szCs w:val="21"/>
          <w:highlight w:val="none"/>
          <w:lang w:eastAsia="zh-CN"/>
        </w:rPr>
        <w:t>247123066049</w:t>
      </w:r>
    </w:p>
    <w:p>
      <w:pPr>
        <w:spacing w:line="360" w:lineRule="auto"/>
        <w:rPr>
          <w:rFonts w:hint="eastAsia" w:ascii="宋体" w:hAnsi="宋体" w:cs="宋体"/>
          <w:b/>
          <w:bCs/>
          <w:color w:val="auto"/>
          <w:szCs w:val="21"/>
          <w:highlight w:val="none"/>
        </w:rPr>
      </w:pPr>
    </w:p>
    <w:p>
      <w:pPr>
        <w:pStyle w:val="1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以下二选一</w:t>
      </w:r>
    </w:p>
    <w:p>
      <w:pPr>
        <w:pStyle w:val="1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sym w:font="Wingdings 2" w:char="00A3"/>
      </w:r>
      <w:r>
        <w:rPr>
          <w:rFonts w:hint="eastAsia" w:ascii="宋体" w:hAnsi="宋体" w:cs="宋体"/>
          <w:color w:val="auto"/>
          <w:szCs w:val="21"/>
          <w:highlight w:val="none"/>
        </w:rPr>
        <w:t>均无偏差</w:t>
      </w:r>
    </w:p>
    <w:p>
      <w:pPr>
        <w:pStyle w:val="14"/>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□有偏差：（详细列明偏差项）</w:t>
      </w:r>
    </w:p>
    <w:tbl>
      <w:tblPr>
        <w:tblStyle w:val="32"/>
        <w:tblW w:w="499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85" w:type="dxa"/>
          <w:left w:w="28" w:type="dxa"/>
          <w:bottom w:w="85" w:type="dxa"/>
          <w:right w:w="28" w:type="dxa"/>
        </w:tblCellMar>
      </w:tblPr>
      <w:tblGrid>
        <w:gridCol w:w="2772"/>
        <w:gridCol w:w="3416"/>
        <w:gridCol w:w="210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招标要求</w:t>
            </w:r>
          </w:p>
        </w:tc>
        <w:tc>
          <w:tcPr>
            <w:tcW w:w="2058" w:type="pct"/>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投标响应</w:t>
            </w:r>
          </w:p>
        </w:tc>
        <w:tc>
          <w:tcPr>
            <w:tcW w:w="1270" w:type="pct"/>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偏差说明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spacing w:line="400" w:lineRule="exact"/>
              <w:jc w:val="center"/>
              <w:rPr>
                <w:rFonts w:hint="eastAsia" w:ascii="宋体" w:hAnsi="宋体" w:cs="宋体"/>
                <w:color w:val="auto"/>
                <w:szCs w:val="21"/>
                <w:highlight w:val="none"/>
              </w:rPr>
            </w:pPr>
          </w:p>
        </w:tc>
        <w:tc>
          <w:tcPr>
            <w:tcW w:w="2058" w:type="pct"/>
            <w:vAlign w:val="center"/>
          </w:tcPr>
          <w:p>
            <w:pPr>
              <w:spacing w:line="400" w:lineRule="exact"/>
              <w:jc w:val="center"/>
              <w:rPr>
                <w:rFonts w:hint="eastAsia" w:ascii="宋体" w:hAnsi="宋体" w:cs="宋体"/>
                <w:color w:val="auto"/>
                <w:szCs w:val="21"/>
                <w:highlight w:val="none"/>
              </w:rPr>
            </w:pPr>
          </w:p>
        </w:tc>
        <w:tc>
          <w:tcPr>
            <w:tcW w:w="1270" w:type="pct"/>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spacing w:line="400" w:lineRule="exact"/>
              <w:jc w:val="center"/>
              <w:rPr>
                <w:rFonts w:hint="eastAsia" w:ascii="宋体" w:hAnsi="宋体" w:cs="宋体"/>
                <w:color w:val="auto"/>
                <w:szCs w:val="21"/>
                <w:highlight w:val="none"/>
              </w:rPr>
            </w:pPr>
          </w:p>
        </w:tc>
        <w:tc>
          <w:tcPr>
            <w:tcW w:w="2058" w:type="pct"/>
            <w:vAlign w:val="center"/>
          </w:tcPr>
          <w:p>
            <w:pPr>
              <w:spacing w:line="400" w:lineRule="exact"/>
              <w:jc w:val="center"/>
              <w:rPr>
                <w:rFonts w:hint="eastAsia" w:ascii="宋体" w:hAnsi="宋体" w:cs="宋体"/>
                <w:color w:val="auto"/>
                <w:szCs w:val="21"/>
                <w:highlight w:val="none"/>
              </w:rPr>
            </w:pPr>
          </w:p>
        </w:tc>
        <w:tc>
          <w:tcPr>
            <w:tcW w:w="1270" w:type="pct"/>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1670" w:type="pct"/>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可增加行</w:t>
            </w:r>
          </w:p>
        </w:tc>
        <w:tc>
          <w:tcPr>
            <w:tcW w:w="2058" w:type="pct"/>
            <w:vAlign w:val="center"/>
          </w:tcPr>
          <w:p>
            <w:pPr>
              <w:spacing w:line="400" w:lineRule="exact"/>
              <w:jc w:val="center"/>
              <w:rPr>
                <w:rFonts w:hint="eastAsia" w:ascii="宋体" w:hAnsi="宋体" w:cs="宋体"/>
                <w:color w:val="auto"/>
                <w:szCs w:val="21"/>
                <w:highlight w:val="none"/>
              </w:rPr>
            </w:pPr>
          </w:p>
        </w:tc>
        <w:tc>
          <w:tcPr>
            <w:tcW w:w="1270" w:type="pct"/>
            <w:vAlign w:val="center"/>
          </w:tcPr>
          <w:p>
            <w:pPr>
              <w:spacing w:line="400" w:lineRule="exact"/>
              <w:jc w:val="center"/>
              <w:rPr>
                <w:rFonts w:hint="eastAsia" w:ascii="宋体" w:hAnsi="宋体" w:cs="宋体"/>
                <w:color w:val="auto"/>
                <w:szCs w:val="21"/>
                <w:highlight w:val="none"/>
              </w:rPr>
            </w:pPr>
          </w:p>
        </w:tc>
      </w:tr>
    </w:tbl>
    <w:p>
      <w:pPr>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rPr>
        <w:t>说明：商务要求详见招标文件第五章。投标人须对招标文件的商务要求列出偏差内容，</w:t>
      </w:r>
      <w:r>
        <w:rPr>
          <w:rFonts w:hint="eastAsia" w:ascii="宋体" w:hAnsi="宋体" w:cs="宋体"/>
          <w:b/>
          <w:color w:val="auto"/>
          <w:szCs w:val="21"/>
          <w:highlight w:val="none"/>
        </w:rPr>
        <w:t>如全部内容均无偏差，则注明“</w:t>
      </w:r>
      <w:r>
        <w:rPr>
          <w:rFonts w:hint="eastAsia" w:ascii="宋体" w:hAnsi="宋体" w:cs="宋体"/>
          <w:b/>
          <w:bCs/>
          <w:color w:val="auto"/>
          <w:szCs w:val="21"/>
          <w:highlight w:val="none"/>
        </w:rPr>
        <w:t>均无偏差</w:t>
      </w:r>
      <w:r>
        <w:rPr>
          <w:rFonts w:hint="eastAsia" w:ascii="宋体" w:hAnsi="宋体" w:cs="宋体"/>
          <w:b/>
          <w:color w:val="auto"/>
          <w:szCs w:val="21"/>
          <w:highlight w:val="none"/>
        </w:rPr>
        <w:t>”。投标人未填写本偏差表的，视作均无偏差，但在评审时将作不利于投标人的评判。</w:t>
      </w:r>
    </w:p>
    <w:p>
      <w:pPr>
        <w:spacing w:line="360" w:lineRule="auto"/>
        <w:rPr>
          <w:rFonts w:hint="eastAsia" w:ascii="宋体" w:hAnsi="宋体" w:cs="宋体"/>
          <w:b/>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rPr>
          <w:rFonts w:hint="eastAsia" w:ascii="宋体" w:hAnsi="宋体" w:cs="宋体"/>
          <w:color w:val="auto"/>
          <w:sz w:val="30"/>
          <w:szCs w:val="30"/>
          <w:highlight w:val="none"/>
        </w:rPr>
      </w:pPr>
      <w:r>
        <w:rPr>
          <w:rFonts w:hint="eastAsia" w:ascii="宋体" w:hAnsi="宋体" w:cs="宋体"/>
          <w:color w:val="auto"/>
          <w:sz w:val="24"/>
          <w:szCs w:val="24"/>
          <w:highlight w:val="none"/>
        </w:rPr>
        <w:br w:type="page"/>
      </w:r>
      <w:bookmarkStart w:id="319" w:name="_Toc392227915"/>
      <w:bookmarkStart w:id="320" w:name="_Toc457748058"/>
      <w:bookmarkStart w:id="321" w:name="_Toc26402"/>
      <w:bookmarkStart w:id="322" w:name="_Toc5720"/>
      <w:bookmarkStart w:id="323" w:name="_Toc361508760"/>
    </w:p>
    <w:p>
      <w:pPr>
        <w:pStyle w:val="5"/>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30"/>
          <w:szCs w:val="30"/>
          <w:highlight w:val="none"/>
        </w:rPr>
        <w:t>履约能力证明资料</w:t>
      </w:r>
      <w:bookmarkEnd w:id="319"/>
      <w:bookmarkEnd w:id="320"/>
      <w:bookmarkEnd w:id="321"/>
      <w:bookmarkEnd w:id="322"/>
    </w:p>
    <w:p>
      <w:pPr>
        <w:tabs>
          <w:tab w:val="left" w:pos="425"/>
        </w:tabs>
        <w:spacing w:line="360" w:lineRule="auto"/>
        <w:ind w:firstLine="316" w:firstLineChars="150"/>
        <w:rPr>
          <w:rFonts w:hint="eastAsia" w:ascii="宋体" w:hAnsi="宋体" w:cs="宋体"/>
          <w:color w:val="auto"/>
          <w:szCs w:val="21"/>
          <w:highlight w:val="none"/>
        </w:rPr>
      </w:pPr>
      <w:r>
        <w:rPr>
          <w:rFonts w:hint="eastAsia" w:ascii="宋体" w:hAnsi="宋体" w:cs="宋体"/>
          <w:b/>
          <w:color w:val="auto"/>
          <w:szCs w:val="21"/>
          <w:highlight w:val="none"/>
        </w:rPr>
        <w:t>投标人应如实填写并提供证明材料。若填写内容和提供的材料与事实不符的，将依照《中华人民共和国政府采购法》第七十七条第一款的规定追究法律责任。</w:t>
      </w:r>
    </w:p>
    <w:p>
      <w:pPr>
        <w:pStyle w:val="6"/>
        <w:keepNext w:val="0"/>
        <w:keepLines w:val="0"/>
        <w:spacing w:before="0" w:after="0" w:line="360" w:lineRule="auto"/>
        <w:ind w:firstLine="103"/>
        <w:rPr>
          <w:rFonts w:hint="eastAsia" w:ascii="宋体" w:hAnsi="宋体" w:eastAsia="宋体" w:cs="宋体"/>
          <w:b/>
          <w:color w:val="auto"/>
          <w:sz w:val="21"/>
          <w:szCs w:val="21"/>
          <w:highlight w:val="none"/>
        </w:rPr>
      </w:pPr>
      <w:bookmarkStart w:id="324" w:name="_Toc457748059"/>
      <w:bookmarkStart w:id="325" w:name="_Toc392227916"/>
      <w:r>
        <w:rPr>
          <w:rFonts w:hint="eastAsia" w:ascii="宋体" w:hAnsi="宋体" w:eastAsia="宋体" w:cs="宋体"/>
          <w:b/>
          <w:color w:val="auto"/>
          <w:sz w:val="21"/>
          <w:szCs w:val="21"/>
          <w:highlight w:val="none"/>
        </w:rPr>
        <w:t>（一）投标人基本情况</w:t>
      </w:r>
      <w:bookmarkEnd w:id="324"/>
      <w:bookmarkEnd w:id="325"/>
    </w:p>
    <w:p>
      <w:pPr>
        <w:pStyle w:val="6"/>
        <w:keepNext w:val="0"/>
        <w:keepLines w:val="0"/>
        <w:spacing w:before="0" w:after="0" w:line="360" w:lineRule="auto"/>
        <w:ind w:firstLine="732" w:firstLineChars="34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营业执照</w:t>
      </w:r>
    </w:p>
    <w:p>
      <w:pPr>
        <w:pStyle w:val="6"/>
        <w:keepNext w:val="0"/>
        <w:keepLines w:val="0"/>
        <w:spacing w:before="0" w:after="0" w:line="360" w:lineRule="auto"/>
        <w:ind w:firstLine="732" w:firstLineChars="34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医疗器械经营许可证（备案证）或医疗器械生产许可证（备案证）</w:t>
      </w:r>
    </w:p>
    <w:p>
      <w:pPr>
        <w:pStyle w:val="6"/>
        <w:keepNext w:val="0"/>
        <w:keepLines w:val="0"/>
        <w:spacing w:before="0" w:after="0" w:line="360" w:lineRule="auto"/>
        <w:ind w:firstLine="732" w:firstLineChars="34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医疗器械注册证（备案证）</w:t>
      </w:r>
    </w:p>
    <w:p>
      <w:pPr>
        <w:pStyle w:val="6"/>
        <w:keepNext w:val="0"/>
        <w:keepLines w:val="0"/>
        <w:spacing w:before="0" w:after="0" w:line="360" w:lineRule="auto"/>
        <w:ind w:firstLine="732" w:firstLineChars="349"/>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投标人认为需要提供的资料</w:t>
      </w:r>
    </w:p>
    <w:p>
      <w:pPr>
        <w:pStyle w:val="6"/>
        <w:keepNext w:val="0"/>
        <w:keepLines w:val="0"/>
        <w:spacing w:before="0" w:after="0" w:line="360" w:lineRule="auto"/>
        <w:ind w:firstLine="977" w:firstLineChars="349"/>
        <w:rPr>
          <w:color w:val="auto"/>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 w:val="24"/>
          <w:highlight w:val="none"/>
        </w:rPr>
      </w:pPr>
    </w:p>
    <w:p>
      <w:pPr>
        <w:spacing w:line="360" w:lineRule="auto"/>
        <w:jc w:val="center"/>
        <w:rPr>
          <w:rFonts w:hint="eastAsia" w:ascii="宋体" w:hAnsi="宋体" w:cs="宋体"/>
          <w:b/>
          <w:color w:val="auto"/>
          <w:sz w:val="30"/>
          <w:szCs w:val="30"/>
          <w:highlight w:val="none"/>
        </w:rPr>
      </w:pPr>
      <w:r>
        <w:rPr>
          <w:rFonts w:hint="eastAsia" w:ascii="宋体" w:hAnsi="宋体" w:cs="宋体"/>
          <w:b/>
          <w:color w:val="auto"/>
          <w:sz w:val="30"/>
          <w:szCs w:val="30"/>
          <w:highlight w:val="none"/>
        </w:rPr>
        <w:br w:type="page"/>
      </w:r>
      <w:r>
        <w:rPr>
          <w:rFonts w:hint="eastAsia" w:ascii="宋体" w:hAnsi="宋体" w:cs="宋体"/>
          <w:b/>
          <w:color w:val="auto"/>
          <w:sz w:val="30"/>
          <w:szCs w:val="30"/>
          <w:highlight w:val="none"/>
        </w:rPr>
        <w:t>制造商出具的授权函</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pStyle w:val="6"/>
        <w:keepNext w:val="0"/>
        <w:keepLines w:val="0"/>
        <w:spacing w:before="0" w:after="0" w:line="360" w:lineRule="auto"/>
        <w:ind w:firstLine="118"/>
        <w:jc w:val="left"/>
        <w:rPr>
          <w:rFonts w:hint="eastAsia" w:ascii="宋体" w:hAnsi="宋体" w:eastAsia="宋体" w:cs="宋体"/>
          <w:b/>
          <w:color w:val="auto"/>
          <w:sz w:val="24"/>
          <w:szCs w:val="24"/>
          <w:highlight w:val="none"/>
        </w:rPr>
        <w:sectPr>
          <w:pgSz w:w="11850" w:h="16783"/>
          <w:pgMar w:top="1440" w:right="1803" w:bottom="1440" w:left="1803" w:header="720" w:footer="720" w:gutter="0"/>
          <w:cols w:space="720" w:num="1"/>
          <w:docGrid w:linePitch="286" w:charSpace="0"/>
        </w:sectPr>
      </w:pPr>
      <w:bookmarkStart w:id="326" w:name="_Toc457748060"/>
      <w:bookmarkStart w:id="327" w:name="_Toc392227918"/>
    </w:p>
    <w:p>
      <w:pPr>
        <w:spacing w:line="276" w:lineRule="auto"/>
        <w:jc w:val="center"/>
        <w:rPr>
          <w:rFonts w:hint="eastAsia" w:ascii="宋体" w:hAnsi="宋体"/>
          <w:b/>
          <w:color w:val="auto"/>
          <w:highlight w:val="none"/>
        </w:rPr>
      </w:pPr>
      <w:r>
        <w:rPr>
          <w:rFonts w:hint="eastAsia" w:ascii="宋体" w:hAnsi="宋体"/>
          <w:b/>
          <w:bCs/>
          <w:color w:val="auto"/>
          <w:sz w:val="28"/>
          <w:szCs w:val="28"/>
          <w:highlight w:val="none"/>
        </w:rPr>
        <w:t>投标人控股及管理关系情况申报表</w:t>
      </w:r>
    </w:p>
    <w:p>
      <w:pPr>
        <w:spacing w:line="360" w:lineRule="auto"/>
        <w:rPr>
          <w:b/>
          <w:bCs/>
          <w:color w:val="auto"/>
          <w:szCs w:val="28"/>
          <w:highlight w:val="none"/>
        </w:rPr>
      </w:pPr>
    </w:p>
    <w:p>
      <w:pPr>
        <w:spacing w:line="360" w:lineRule="auto"/>
        <w:rPr>
          <w:b/>
          <w:bCs/>
          <w:color w:val="auto"/>
          <w:szCs w:val="28"/>
          <w:highlight w:val="none"/>
          <w:u w:val="single"/>
        </w:rPr>
      </w:pPr>
      <w:r>
        <w:rPr>
          <w:rFonts w:hint="eastAsia"/>
          <w:b/>
          <w:bCs/>
          <w:color w:val="auto"/>
          <w:szCs w:val="28"/>
          <w:highlight w:val="none"/>
        </w:rPr>
        <w:t>复旦大学附属妇产科医院：</w:t>
      </w:r>
    </w:p>
    <w:p>
      <w:pPr>
        <w:adjustRightInd w:val="0"/>
        <w:snapToGrid w:val="0"/>
        <w:spacing w:line="440" w:lineRule="exact"/>
        <w:ind w:firstLine="420" w:firstLineChars="200"/>
        <w:rPr>
          <w:color w:val="auto"/>
          <w:szCs w:val="21"/>
          <w:highlight w:val="none"/>
        </w:rPr>
      </w:pPr>
      <w:r>
        <w:rPr>
          <w:rFonts w:hint="eastAsia"/>
          <w:color w:val="auto"/>
          <w:szCs w:val="21"/>
          <w:highlight w:val="none"/>
        </w:rPr>
        <w:t>我方参加</w:t>
      </w:r>
      <w:r>
        <w:rPr>
          <w:rFonts w:hint="eastAsia"/>
          <w:color w:val="auto"/>
          <w:szCs w:val="21"/>
          <w:highlight w:val="none"/>
          <w:u w:val="single"/>
          <w:lang w:eastAsia="zh-CN"/>
        </w:rPr>
        <w:t>消毒灭菌装置</w:t>
      </w:r>
      <w:r>
        <w:rPr>
          <w:rFonts w:hint="eastAsia"/>
          <w:color w:val="auto"/>
          <w:szCs w:val="21"/>
          <w:highlight w:val="none"/>
        </w:rPr>
        <w:t>的投标，根据法律法规维护投标公正性的相关规定，特就本单位控股及管理关系情况申报如下，并承担申报不实的责任。</w:t>
      </w:r>
    </w:p>
    <w:tbl>
      <w:tblPr>
        <w:tblStyle w:val="32"/>
        <w:tblW w:w="0" w:type="auto"/>
        <w:tblInd w:w="0" w:type="dxa"/>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Layout w:type="fixed"/>
        <w:tblCellMar>
          <w:top w:w="0" w:type="dxa"/>
          <w:left w:w="108" w:type="dxa"/>
          <w:bottom w:w="0" w:type="dxa"/>
          <w:right w:w="108" w:type="dxa"/>
        </w:tblCellMar>
      </w:tblPr>
      <w:tblGrid>
        <w:gridCol w:w="2479"/>
        <w:gridCol w:w="2285"/>
        <w:gridCol w:w="3702"/>
      </w:tblGrid>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adjustRightInd w:val="0"/>
              <w:snapToGrid w:val="0"/>
              <w:spacing w:before="96" w:beforeLines="40" w:after="96" w:afterLines="40"/>
              <w:rPr>
                <w:color w:val="auto"/>
                <w:szCs w:val="21"/>
                <w:highlight w:val="none"/>
              </w:rPr>
            </w:pPr>
            <w:r>
              <w:rPr>
                <w:rFonts w:hint="eastAsia"/>
                <w:color w:val="auto"/>
                <w:szCs w:val="21"/>
                <w:highlight w:val="none"/>
              </w:rPr>
              <w:t>申报人名称</w:t>
            </w:r>
          </w:p>
        </w:tc>
        <w:tc>
          <w:tcPr>
            <w:tcW w:w="5987" w:type="dxa"/>
            <w:gridSpan w:val="2"/>
            <w:vAlign w:val="center"/>
          </w:tcPr>
          <w:p>
            <w:pPr>
              <w:adjustRightInd w:val="0"/>
              <w:snapToGrid w:val="0"/>
              <w:spacing w:before="96" w:beforeLines="40" w:after="96" w:afterLines="40"/>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restart"/>
            <w:vAlign w:val="center"/>
          </w:tcPr>
          <w:p>
            <w:pPr>
              <w:adjustRightInd w:val="0"/>
              <w:snapToGrid w:val="0"/>
              <w:spacing w:before="96" w:beforeLines="40" w:after="96" w:afterLines="40"/>
              <w:rPr>
                <w:color w:val="auto"/>
                <w:szCs w:val="21"/>
                <w:highlight w:val="none"/>
              </w:rPr>
            </w:pPr>
            <w:r>
              <w:rPr>
                <w:rFonts w:hint="eastAsia"/>
                <w:color w:val="auto"/>
                <w:szCs w:val="21"/>
                <w:highlight w:val="none"/>
              </w:rPr>
              <w:t>法定代表人</w:t>
            </w:r>
            <w:r>
              <w:rPr>
                <w:color w:val="auto"/>
                <w:szCs w:val="21"/>
                <w:highlight w:val="none"/>
              </w:rPr>
              <w:t>/单位负责人</w:t>
            </w:r>
          </w:p>
        </w:tc>
        <w:tc>
          <w:tcPr>
            <w:tcW w:w="2285" w:type="dxa"/>
            <w:vAlign w:val="center"/>
          </w:tcPr>
          <w:p>
            <w:pPr>
              <w:adjustRightInd w:val="0"/>
              <w:snapToGrid w:val="0"/>
              <w:spacing w:before="96" w:beforeLines="40" w:after="96" w:afterLines="40"/>
              <w:jc w:val="center"/>
              <w:rPr>
                <w:color w:val="auto"/>
                <w:szCs w:val="21"/>
                <w:highlight w:val="none"/>
              </w:rPr>
            </w:pPr>
            <w:r>
              <w:rPr>
                <w:rFonts w:hint="eastAsia"/>
                <w:color w:val="auto"/>
                <w:szCs w:val="21"/>
                <w:highlight w:val="none"/>
              </w:rPr>
              <w:t>姓    名</w:t>
            </w:r>
          </w:p>
        </w:tc>
        <w:tc>
          <w:tcPr>
            <w:tcW w:w="3702" w:type="dxa"/>
            <w:vAlign w:val="center"/>
          </w:tcPr>
          <w:p>
            <w:pPr>
              <w:adjustRightInd w:val="0"/>
              <w:snapToGrid w:val="0"/>
              <w:spacing w:before="96" w:beforeLines="40" w:after="96" w:afterLines="40"/>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continue"/>
            <w:vAlign w:val="center"/>
          </w:tcPr>
          <w:p>
            <w:pPr>
              <w:adjustRightInd w:val="0"/>
              <w:snapToGrid w:val="0"/>
              <w:spacing w:before="96" w:beforeLines="40" w:after="96" w:afterLines="40"/>
              <w:rPr>
                <w:color w:val="auto"/>
                <w:szCs w:val="21"/>
                <w:highlight w:val="none"/>
              </w:rPr>
            </w:pPr>
          </w:p>
        </w:tc>
        <w:tc>
          <w:tcPr>
            <w:tcW w:w="2285" w:type="dxa"/>
            <w:vAlign w:val="center"/>
          </w:tcPr>
          <w:p>
            <w:pPr>
              <w:adjustRightInd w:val="0"/>
              <w:snapToGrid w:val="0"/>
              <w:spacing w:before="96" w:beforeLines="40" w:after="96" w:afterLines="40"/>
              <w:jc w:val="center"/>
              <w:rPr>
                <w:color w:val="auto"/>
                <w:szCs w:val="21"/>
                <w:highlight w:val="none"/>
              </w:rPr>
            </w:pPr>
            <w:r>
              <w:rPr>
                <w:rFonts w:hint="eastAsia"/>
                <w:color w:val="auto"/>
                <w:szCs w:val="21"/>
                <w:highlight w:val="none"/>
              </w:rPr>
              <w:t>身份证号</w:t>
            </w:r>
          </w:p>
        </w:tc>
        <w:tc>
          <w:tcPr>
            <w:tcW w:w="3702" w:type="dxa"/>
            <w:vAlign w:val="center"/>
          </w:tcPr>
          <w:p>
            <w:pPr>
              <w:adjustRightInd w:val="0"/>
              <w:snapToGrid w:val="0"/>
              <w:spacing w:before="96" w:beforeLines="40" w:after="96" w:afterLines="40"/>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adjustRightInd w:val="0"/>
              <w:snapToGrid w:val="0"/>
              <w:spacing w:before="96" w:beforeLines="40" w:after="96" w:afterLines="40"/>
              <w:rPr>
                <w:color w:val="auto"/>
                <w:szCs w:val="21"/>
                <w:highlight w:val="none"/>
              </w:rPr>
            </w:pPr>
            <w:r>
              <w:rPr>
                <w:rFonts w:hint="eastAsia"/>
                <w:color w:val="auto"/>
                <w:szCs w:val="21"/>
                <w:highlight w:val="none"/>
              </w:rPr>
              <w:t>控股股东/投资人名称</w:t>
            </w:r>
          </w:p>
          <w:p>
            <w:pPr>
              <w:adjustRightInd w:val="0"/>
              <w:snapToGrid w:val="0"/>
              <w:spacing w:before="96" w:beforeLines="40" w:after="96" w:afterLines="40"/>
              <w:rPr>
                <w:color w:val="auto"/>
                <w:szCs w:val="21"/>
                <w:highlight w:val="none"/>
              </w:rPr>
            </w:pPr>
            <w:r>
              <w:rPr>
                <w:rFonts w:hint="eastAsia"/>
                <w:color w:val="auto"/>
                <w:szCs w:val="21"/>
                <w:highlight w:val="none"/>
              </w:rPr>
              <w:t>及出资比例</w:t>
            </w:r>
          </w:p>
        </w:tc>
        <w:tc>
          <w:tcPr>
            <w:tcW w:w="5987" w:type="dxa"/>
            <w:gridSpan w:val="2"/>
            <w:vAlign w:val="center"/>
          </w:tcPr>
          <w:p>
            <w:pPr>
              <w:adjustRightInd w:val="0"/>
              <w:snapToGrid w:val="0"/>
              <w:spacing w:before="96" w:beforeLines="40" w:after="96" w:afterLines="40"/>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2479" w:type="dxa"/>
            <w:vAlign w:val="center"/>
          </w:tcPr>
          <w:p>
            <w:pPr>
              <w:adjustRightInd w:val="0"/>
              <w:snapToGrid w:val="0"/>
              <w:spacing w:before="96" w:beforeLines="40" w:after="96" w:afterLines="40"/>
              <w:rPr>
                <w:color w:val="auto"/>
                <w:szCs w:val="21"/>
                <w:highlight w:val="none"/>
              </w:rPr>
            </w:pPr>
            <w:r>
              <w:rPr>
                <w:rFonts w:hint="eastAsia"/>
                <w:color w:val="auto"/>
                <w:szCs w:val="21"/>
                <w:highlight w:val="none"/>
              </w:rPr>
              <w:t>非控股股东/投资人名称</w:t>
            </w:r>
          </w:p>
          <w:p>
            <w:pPr>
              <w:adjustRightInd w:val="0"/>
              <w:snapToGrid w:val="0"/>
              <w:spacing w:before="96" w:beforeLines="40" w:after="96" w:afterLines="40"/>
              <w:rPr>
                <w:color w:val="auto"/>
                <w:szCs w:val="21"/>
                <w:highlight w:val="none"/>
              </w:rPr>
            </w:pPr>
            <w:r>
              <w:rPr>
                <w:rFonts w:hint="eastAsia"/>
                <w:color w:val="auto"/>
                <w:szCs w:val="21"/>
                <w:highlight w:val="none"/>
              </w:rPr>
              <w:t>及出资比例</w:t>
            </w:r>
          </w:p>
        </w:tc>
        <w:tc>
          <w:tcPr>
            <w:tcW w:w="5987" w:type="dxa"/>
            <w:gridSpan w:val="2"/>
            <w:vAlign w:val="center"/>
          </w:tcPr>
          <w:p>
            <w:pPr>
              <w:adjustRightInd w:val="0"/>
              <w:snapToGrid w:val="0"/>
              <w:spacing w:before="96" w:beforeLines="40" w:after="96" w:afterLines="40"/>
              <w:jc w:val="center"/>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restart"/>
            <w:vAlign w:val="center"/>
          </w:tcPr>
          <w:p>
            <w:pPr>
              <w:adjustRightInd w:val="0"/>
              <w:snapToGrid w:val="0"/>
              <w:spacing w:before="96" w:beforeLines="40" w:after="96" w:afterLines="40"/>
              <w:rPr>
                <w:color w:val="auto"/>
                <w:szCs w:val="21"/>
                <w:highlight w:val="none"/>
              </w:rPr>
            </w:pPr>
            <w:r>
              <w:rPr>
                <w:rFonts w:hint="eastAsia"/>
                <w:color w:val="auto"/>
                <w:szCs w:val="21"/>
                <w:highlight w:val="none"/>
              </w:rPr>
              <w:t>管理关系单位名称</w:t>
            </w:r>
          </w:p>
        </w:tc>
        <w:tc>
          <w:tcPr>
            <w:tcW w:w="2285" w:type="dxa"/>
            <w:vAlign w:val="center"/>
          </w:tcPr>
          <w:p>
            <w:pPr>
              <w:adjustRightInd w:val="0"/>
              <w:snapToGrid w:val="0"/>
              <w:spacing w:before="96" w:beforeLines="40" w:after="96" w:afterLines="40"/>
              <w:jc w:val="center"/>
              <w:rPr>
                <w:color w:val="auto"/>
                <w:szCs w:val="21"/>
                <w:highlight w:val="none"/>
              </w:rPr>
            </w:pPr>
            <w:r>
              <w:rPr>
                <w:rFonts w:hint="eastAsia"/>
                <w:color w:val="auto"/>
                <w:szCs w:val="21"/>
                <w:highlight w:val="none"/>
              </w:rPr>
              <w:t>管理关系单位名称</w:t>
            </w:r>
          </w:p>
        </w:tc>
        <w:tc>
          <w:tcPr>
            <w:tcW w:w="3702" w:type="dxa"/>
            <w:vAlign w:val="center"/>
          </w:tcPr>
          <w:p>
            <w:pPr>
              <w:adjustRightInd w:val="0"/>
              <w:snapToGrid w:val="0"/>
              <w:spacing w:before="96" w:beforeLines="40" w:after="96" w:afterLines="40"/>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rPr>
          <w:cantSplit/>
        </w:trPr>
        <w:tc>
          <w:tcPr>
            <w:tcW w:w="2479" w:type="dxa"/>
            <w:vMerge w:val="continue"/>
            <w:vAlign w:val="center"/>
          </w:tcPr>
          <w:p>
            <w:pPr>
              <w:adjustRightInd w:val="0"/>
              <w:snapToGrid w:val="0"/>
              <w:spacing w:before="96" w:beforeLines="40" w:after="96" w:afterLines="40"/>
              <w:rPr>
                <w:color w:val="auto"/>
                <w:szCs w:val="21"/>
                <w:highlight w:val="none"/>
              </w:rPr>
            </w:pPr>
          </w:p>
        </w:tc>
        <w:tc>
          <w:tcPr>
            <w:tcW w:w="2285" w:type="dxa"/>
            <w:vAlign w:val="center"/>
          </w:tcPr>
          <w:p>
            <w:pPr>
              <w:adjustRightInd w:val="0"/>
              <w:snapToGrid w:val="0"/>
              <w:spacing w:before="96" w:beforeLines="40" w:after="96" w:afterLines="40"/>
              <w:jc w:val="center"/>
              <w:rPr>
                <w:color w:val="auto"/>
                <w:szCs w:val="21"/>
                <w:highlight w:val="none"/>
              </w:rPr>
            </w:pPr>
            <w:r>
              <w:rPr>
                <w:rFonts w:hint="eastAsia"/>
                <w:color w:val="auto"/>
                <w:szCs w:val="21"/>
                <w:highlight w:val="none"/>
              </w:rPr>
              <w:t>被管理关系单位名称</w:t>
            </w:r>
          </w:p>
        </w:tc>
        <w:tc>
          <w:tcPr>
            <w:tcW w:w="3702" w:type="dxa"/>
            <w:vAlign w:val="center"/>
          </w:tcPr>
          <w:p>
            <w:pPr>
              <w:adjustRightInd w:val="0"/>
              <w:snapToGrid w:val="0"/>
              <w:spacing w:before="96" w:beforeLines="40" w:after="96" w:afterLines="40"/>
              <w:rPr>
                <w:color w:val="auto"/>
                <w:szCs w:val="21"/>
                <w:highlight w:val="none"/>
              </w:rPr>
            </w:pPr>
          </w:p>
        </w:tc>
      </w:tr>
      <w:tr>
        <w:tblPrEx>
          <w:tblBorders>
            <w:top w:val="single" w:color="auto" w:sz="6" w:space="0"/>
            <w:left w:val="single" w:color="auto" w:sz="6" w:space="0"/>
            <w:bottom w:val="single" w:color="auto" w:sz="6" w:space="0"/>
            <w:right w:val="single" w:color="auto" w:sz="6" w:space="0"/>
            <w:insideH w:val="single" w:color="auto" w:sz="4" w:space="0"/>
            <w:insideV w:val="single" w:color="auto" w:sz="4" w:space="0"/>
          </w:tblBorders>
          <w:tblCellMar>
            <w:top w:w="0" w:type="dxa"/>
            <w:left w:w="108" w:type="dxa"/>
            <w:bottom w:w="0" w:type="dxa"/>
            <w:right w:w="108" w:type="dxa"/>
          </w:tblCellMar>
        </w:tblPrEx>
        <w:tc>
          <w:tcPr>
            <w:tcW w:w="8466" w:type="dxa"/>
            <w:gridSpan w:val="3"/>
            <w:vAlign w:val="center"/>
          </w:tcPr>
          <w:p>
            <w:pPr>
              <w:adjustRightInd w:val="0"/>
              <w:snapToGrid w:val="0"/>
              <w:spacing w:before="96" w:beforeLines="40" w:after="96" w:afterLines="40"/>
              <w:rPr>
                <w:color w:val="auto"/>
                <w:szCs w:val="21"/>
                <w:highlight w:val="none"/>
              </w:rPr>
            </w:pPr>
            <w:r>
              <w:rPr>
                <w:rFonts w:hint="eastAsia"/>
                <w:color w:val="auto"/>
                <w:szCs w:val="21"/>
                <w:highlight w:val="none"/>
              </w:rPr>
              <w:t>备注：</w:t>
            </w:r>
          </w:p>
        </w:tc>
      </w:tr>
    </w:tbl>
    <w:p>
      <w:pPr>
        <w:adjustRightInd w:val="0"/>
        <w:snapToGrid w:val="0"/>
        <w:spacing w:line="440" w:lineRule="exact"/>
        <w:rPr>
          <w:color w:val="auto"/>
          <w:szCs w:val="21"/>
          <w:highlight w:val="none"/>
        </w:rPr>
      </w:pPr>
      <w:r>
        <w:rPr>
          <w:rFonts w:hint="eastAsia"/>
          <w:color w:val="auto"/>
          <w:szCs w:val="21"/>
          <w:highlight w:val="none"/>
        </w:rPr>
        <w:t>注：</w:t>
      </w:r>
    </w:p>
    <w:p>
      <w:pPr>
        <w:numPr>
          <w:ilvl w:val="3"/>
          <w:numId w:val="21"/>
        </w:numPr>
        <w:adjustRightInd w:val="0"/>
        <w:snapToGrid w:val="0"/>
        <w:spacing w:line="440" w:lineRule="exact"/>
        <w:ind w:left="0" w:firstLine="0"/>
        <w:rPr>
          <w:rFonts w:hint="eastAsia" w:ascii="宋体" w:hAnsi="宋体"/>
          <w:color w:val="auto"/>
          <w:highlight w:val="none"/>
        </w:rPr>
      </w:pPr>
      <w:r>
        <w:rPr>
          <w:rFonts w:hint="eastAsia" w:ascii="宋体" w:hAnsi="宋体"/>
          <w:color w:val="auto"/>
          <w:highlight w:val="none"/>
        </w:rPr>
        <w:t>控股股东/投资人是指出资比例在50%以上，或者出资比例不足50%，但享有公司股东会/董事会控制权的投资方（含单位或者个人）；</w:t>
      </w:r>
    </w:p>
    <w:p>
      <w:pPr>
        <w:numPr>
          <w:ilvl w:val="3"/>
          <w:numId w:val="21"/>
        </w:numPr>
        <w:adjustRightInd w:val="0"/>
        <w:snapToGrid w:val="0"/>
        <w:spacing w:line="440" w:lineRule="exact"/>
        <w:ind w:left="0" w:firstLine="0"/>
        <w:rPr>
          <w:rFonts w:hint="eastAsia" w:ascii="宋体" w:hAnsi="宋体"/>
          <w:color w:val="auto"/>
          <w:highlight w:val="none"/>
        </w:rPr>
      </w:pPr>
      <w:r>
        <w:rPr>
          <w:rFonts w:hint="eastAsia" w:ascii="宋体" w:hAnsi="宋体"/>
          <w:color w:val="auto"/>
          <w:highlight w:val="none"/>
        </w:rPr>
        <w:t>管理关系单位是指与不具有出资持股关系的其他单位之间存在管理与被管理关系的单位；</w:t>
      </w:r>
    </w:p>
    <w:p>
      <w:pPr>
        <w:numPr>
          <w:ilvl w:val="3"/>
          <w:numId w:val="21"/>
        </w:numPr>
        <w:adjustRightInd w:val="0"/>
        <w:snapToGrid w:val="0"/>
        <w:spacing w:line="440" w:lineRule="exact"/>
        <w:ind w:left="0" w:firstLine="0"/>
        <w:rPr>
          <w:rFonts w:hint="eastAsia" w:ascii="宋体" w:hAnsi="宋体"/>
          <w:b/>
          <w:color w:val="auto"/>
          <w:highlight w:val="none"/>
        </w:rPr>
      </w:pPr>
      <w:r>
        <w:rPr>
          <w:rFonts w:hint="eastAsia" w:ascii="宋体" w:hAnsi="宋体"/>
          <w:color w:val="auto"/>
          <w:highlight w:val="none"/>
        </w:rPr>
        <w:t>提供天眼查https://www.tianyancha.com/或企查查网站https://www.qcc.com/或国家企业信用信息公示系统http://www.gsxt.gov.cn/index.html的相关截图，</w:t>
      </w:r>
      <w:r>
        <w:rPr>
          <w:rFonts w:hint="eastAsia" w:ascii="宋体" w:hAnsi="宋体"/>
          <w:b/>
          <w:bCs/>
          <w:color w:val="auto"/>
          <w:highlight w:val="none"/>
        </w:rPr>
        <w:t>截图需涵盖公司股东及出资信息，</w:t>
      </w:r>
      <w:r>
        <w:rPr>
          <w:rFonts w:hint="eastAsia" w:ascii="宋体" w:hAnsi="宋体"/>
          <w:b/>
          <w:color w:val="auto"/>
          <w:szCs w:val="21"/>
          <w:highlight w:val="none"/>
        </w:rPr>
        <w:t>若截图与上表所填信息不一致，请提供情况说明</w:t>
      </w:r>
    </w:p>
    <w:p>
      <w:pPr>
        <w:numPr>
          <w:ilvl w:val="3"/>
          <w:numId w:val="21"/>
        </w:numPr>
        <w:adjustRightInd w:val="0"/>
        <w:snapToGrid w:val="0"/>
        <w:spacing w:line="440" w:lineRule="exact"/>
        <w:ind w:left="0" w:firstLine="0"/>
        <w:rPr>
          <w:rFonts w:hint="eastAsia" w:ascii="宋体" w:hAnsi="宋体"/>
          <w:color w:val="auto"/>
          <w:highlight w:val="none"/>
        </w:rPr>
      </w:pPr>
      <w:r>
        <w:rPr>
          <w:rFonts w:hint="eastAsia" w:ascii="宋体" w:hAnsi="宋体"/>
          <w:color w:val="auto"/>
          <w:highlight w:val="none"/>
        </w:rPr>
        <w:t>如未有相关情况，请在相应当栏填写“无”。</w:t>
      </w:r>
    </w:p>
    <w:p>
      <w:pPr>
        <w:rPr>
          <w:color w:val="auto"/>
          <w:szCs w:val="21"/>
          <w:highlight w:val="none"/>
        </w:rPr>
      </w:pPr>
    </w:p>
    <w:p>
      <w:pPr>
        <w:rPr>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spacing w:line="360" w:lineRule="auto"/>
        <w:jc w:val="center"/>
        <w:rPr>
          <w:rFonts w:hint="eastAsia" w:ascii="宋体" w:hAnsi="宋体" w:cs="宋体"/>
          <w:b/>
          <w:color w:val="auto"/>
          <w:sz w:val="30"/>
          <w:szCs w:val="30"/>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pStyle w:val="6"/>
        <w:keepNext w:val="0"/>
        <w:keepLines w:val="0"/>
        <w:spacing w:before="0" w:after="0" w:line="360" w:lineRule="auto"/>
        <w:ind w:firstLine="118"/>
        <w:jc w:val="left"/>
        <w:rPr>
          <w:rFonts w:hint="eastAsia" w:ascii="宋体" w:hAnsi="宋体" w:eastAsia="宋体" w:cs="宋体"/>
          <w:b/>
          <w:color w:val="auto"/>
          <w:sz w:val="24"/>
          <w:szCs w:val="24"/>
          <w:highlight w:val="none"/>
        </w:rPr>
        <w:sectPr>
          <w:pgSz w:w="11850" w:h="16783"/>
          <w:pgMar w:top="1440" w:right="1803" w:bottom="1440" w:left="1803" w:header="720" w:footer="720" w:gutter="0"/>
          <w:cols w:space="720" w:num="1"/>
          <w:docGrid w:linePitch="286" w:charSpace="0"/>
        </w:sectPr>
      </w:pPr>
    </w:p>
    <w:p>
      <w:pPr>
        <w:pStyle w:val="6"/>
        <w:keepNext w:val="0"/>
        <w:keepLines w:val="0"/>
        <w:spacing w:before="0" w:after="0" w:line="360" w:lineRule="auto"/>
        <w:ind w:firstLine="118"/>
        <w:jc w:val="lef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（二）业绩情况表</w:t>
      </w:r>
      <w:bookmarkEnd w:id="326"/>
      <w:bookmarkEnd w:id="327"/>
    </w:p>
    <w:p>
      <w:pPr>
        <w:spacing w:line="360" w:lineRule="auto"/>
        <w:jc w:val="left"/>
        <w:rPr>
          <w:rFonts w:hint="eastAsia" w:ascii="宋体" w:hAnsi="宋体" w:cs="宋体"/>
          <w:b/>
          <w:color w:val="auto"/>
          <w:szCs w:val="21"/>
          <w:highlight w:val="none"/>
        </w:rPr>
      </w:pPr>
      <w:r>
        <w:rPr>
          <w:rFonts w:hint="eastAsia" w:ascii="宋体" w:hAnsi="宋体" w:cs="宋体"/>
          <w:b/>
          <w:color w:val="auto"/>
          <w:szCs w:val="21"/>
          <w:highlight w:val="none"/>
        </w:rPr>
        <w:t>1、投标人业绩情况</w:t>
      </w:r>
    </w:p>
    <w:bookmarkEnd w:id="323"/>
    <w:tbl>
      <w:tblPr>
        <w:tblStyle w:val="32"/>
        <w:tblW w:w="145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6"/>
        <w:gridCol w:w="2480"/>
        <w:gridCol w:w="1910"/>
        <w:gridCol w:w="1912"/>
        <w:gridCol w:w="1900"/>
        <w:gridCol w:w="1900"/>
        <w:gridCol w:w="18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bookmarkStart w:id="328" w:name="_Toc300835217"/>
            <w:bookmarkStart w:id="329" w:name="_Toc369531705"/>
            <w:bookmarkStart w:id="330" w:name="_Toc28644"/>
            <w:bookmarkStart w:id="331" w:name="_Toc352691669"/>
            <w:r>
              <w:rPr>
                <w:rFonts w:hint="eastAsia" w:ascii="宋体" w:hAnsi="宋体" w:cs="宋体"/>
                <w:color w:val="auto"/>
                <w:szCs w:val="21"/>
                <w:highlight w:val="none"/>
              </w:rPr>
              <w:t>产品名称</w:t>
            </w:r>
          </w:p>
        </w:tc>
        <w:tc>
          <w:tcPr>
            <w:tcW w:w="2480" w:type="dxa"/>
            <w:vAlign w:val="center"/>
          </w:tcPr>
          <w:p>
            <w:pPr>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规格和型号</w:t>
            </w:r>
          </w:p>
        </w:tc>
        <w:tc>
          <w:tcPr>
            <w:tcW w:w="1910" w:type="dxa"/>
            <w:vAlign w:val="center"/>
          </w:tcPr>
          <w:p>
            <w:pPr>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买方名称</w:t>
            </w:r>
          </w:p>
        </w:tc>
        <w:tc>
          <w:tcPr>
            <w:tcW w:w="1912" w:type="dxa"/>
            <w:vAlign w:val="center"/>
          </w:tcPr>
          <w:p>
            <w:pPr>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买方联系人及电话</w:t>
            </w:r>
          </w:p>
        </w:tc>
        <w:tc>
          <w:tcPr>
            <w:tcW w:w="1900" w:type="dxa"/>
            <w:vAlign w:val="center"/>
          </w:tcPr>
          <w:p>
            <w:pPr>
              <w:topLinePunct/>
              <w:spacing w:line="400" w:lineRule="exact"/>
              <w:jc w:val="center"/>
              <w:rPr>
                <w:rFonts w:hint="eastAsia" w:ascii="宋体" w:hAnsi="宋体" w:cs="宋体"/>
                <w:color w:val="auto"/>
                <w:szCs w:val="21"/>
                <w:highlight w:val="none"/>
              </w:rPr>
            </w:pPr>
            <w:r>
              <w:rPr>
                <w:rFonts w:ascii="宋体" w:hAnsi="宋体"/>
                <w:color w:val="auto"/>
                <w:szCs w:val="21"/>
                <w:highlight w:val="none"/>
              </w:rPr>
              <w:t>合同价格</w:t>
            </w:r>
            <w:r>
              <w:rPr>
                <w:rFonts w:hint="eastAsia" w:ascii="宋体" w:hAnsi="宋体"/>
                <w:color w:val="auto"/>
                <w:szCs w:val="21"/>
                <w:highlight w:val="none"/>
              </w:rPr>
              <w:t>（可以隐藏价格）</w:t>
            </w:r>
          </w:p>
        </w:tc>
        <w:tc>
          <w:tcPr>
            <w:tcW w:w="1900" w:type="dxa"/>
            <w:vAlign w:val="center"/>
          </w:tcPr>
          <w:p>
            <w:pPr>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合同签订日期</w:t>
            </w:r>
          </w:p>
        </w:tc>
        <w:tc>
          <w:tcPr>
            <w:tcW w:w="1897" w:type="dxa"/>
            <w:vAlign w:val="center"/>
          </w:tcPr>
          <w:p>
            <w:pPr>
              <w:topLinePunct/>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left"/>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6" w:type="dxa"/>
            <w:vAlign w:val="center"/>
          </w:tcPr>
          <w:p>
            <w:pPr>
              <w:topLinePunct/>
              <w:spacing w:line="400" w:lineRule="exact"/>
              <w:jc w:val="center"/>
              <w:rPr>
                <w:rFonts w:hint="eastAsia" w:ascii="宋体" w:hAnsi="宋体" w:cs="宋体"/>
                <w:color w:val="auto"/>
                <w:szCs w:val="21"/>
                <w:highlight w:val="none"/>
              </w:rPr>
            </w:pPr>
          </w:p>
        </w:tc>
        <w:tc>
          <w:tcPr>
            <w:tcW w:w="2480" w:type="dxa"/>
            <w:vAlign w:val="center"/>
          </w:tcPr>
          <w:p>
            <w:pPr>
              <w:topLinePunct/>
              <w:spacing w:line="400" w:lineRule="exact"/>
              <w:jc w:val="center"/>
              <w:rPr>
                <w:rFonts w:hint="eastAsia" w:ascii="宋体" w:hAnsi="宋体" w:cs="宋体"/>
                <w:color w:val="auto"/>
                <w:szCs w:val="21"/>
                <w:highlight w:val="none"/>
              </w:rPr>
            </w:pPr>
          </w:p>
        </w:tc>
        <w:tc>
          <w:tcPr>
            <w:tcW w:w="1910" w:type="dxa"/>
            <w:vAlign w:val="center"/>
          </w:tcPr>
          <w:p>
            <w:pPr>
              <w:topLinePunct/>
              <w:spacing w:line="400" w:lineRule="exact"/>
              <w:jc w:val="center"/>
              <w:rPr>
                <w:rFonts w:hint="eastAsia" w:ascii="宋体" w:hAnsi="宋体" w:cs="宋体"/>
                <w:color w:val="auto"/>
                <w:szCs w:val="21"/>
                <w:highlight w:val="none"/>
              </w:rPr>
            </w:pPr>
          </w:p>
        </w:tc>
        <w:tc>
          <w:tcPr>
            <w:tcW w:w="1912"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900" w:type="dxa"/>
            <w:vAlign w:val="center"/>
          </w:tcPr>
          <w:p>
            <w:pPr>
              <w:topLinePunct/>
              <w:spacing w:line="400" w:lineRule="exact"/>
              <w:jc w:val="center"/>
              <w:rPr>
                <w:rFonts w:hint="eastAsia" w:ascii="宋体" w:hAnsi="宋体" w:cs="宋体"/>
                <w:color w:val="auto"/>
                <w:szCs w:val="21"/>
                <w:highlight w:val="none"/>
              </w:rPr>
            </w:pPr>
          </w:p>
        </w:tc>
        <w:tc>
          <w:tcPr>
            <w:tcW w:w="1897" w:type="dxa"/>
            <w:vAlign w:val="center"/>
          </w:tcPr>
          <w:p>
            <w:pPr>
              <w:topLinePunct/>
              <w:spacing w:line="400" w:lineRule="exact"/>
              <w:jc w:val="center"/>
              <w:rPr>
                <w:rFonts w:hint="eastAsia" w:ascii="宋体" w:hAnsi="宋体" w:cs="宋体"/>
                <w:color w:val="auto"/>
                <w:szCs w:val="21"/>
                <w:highlight w:val="none"/>
              </w:rPr>
            </w:pPr>
          </w:p>
        </w:tc>
      </w:tr>
    </w:tbl>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注：</w:t>
      </w:r>
      <w:bookmarkEnd w:id="328"/>
      <w:r>
        <w:rPr>
          <w:rFonts w:hint="eastAsia" w:ascii="宋体" w:hAnsi="宋体" w:cs="宋体"/>
          <w:color w:val="auto"/>
          <w:szCs w:val="21"/>
          <w:highlight w:val="none"/>
        </w:rPr>
        <w:t>如投标人须知对投标人业绩有要求的，投标</w:t>
      </w:r>
      <w:bookmarkEnd w:id="329"/>
      <w:bookmarkEnd w:id="330"/>
      <w:bookmarkEnd w:id="331"/>
      <w:r>
        <w:rPr>
          <w:rFonts w:hint="eastAsia" w:ascii="宋体" w:hAnsi="宋体" w:cs="宋体"/>
          <w:color w:val="auto"/>
          <w:szCs w:val="21"/>
          <w:highlight w:val="none"/>
        </w:rPr>
        <w:t>人应填写本表并根据投标人须知的要求在本表后附合同复印件。</w:t>
      </w:r>
    </w:p>
    <w:p>
      <w:pPr>
        <w:spacing w:line="360" w:lineRule="auto"/>
        <w:rPr>
          <w:rFonts w:hint="eastAsia" w:ascii="宋体" w:hAnsi="宋体" w:cs="宋体"/>
          <w:color w:val="auto"/>
          <w:szCs w:val="21"/>
          <w:highlight w:val="none"/>
        </w:rPr>
      </w:pPr>
    </w:p>
    <w:p>
      <w:pPr>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t>2、投标设备的业绩情况</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如投标人须知要求投标人提供投标设备的业绩的，投标人应按照上表的格式和要求提供投标设备的业绩情况及相关证明材料。</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pStyle w:val="6"/>
        <w:keepNext w:val="0"/>
        <w:keepLines w:val="0"/>
        <w:spacing w:before="0" w:after="0" w:line="360" w:lineRule="auto"/>
        <w:ind w:firstLine="103"/>
        <w:rPr>
          <w:rFonts w:hint="eastAsia" w:ascii="宋体" w:hAnsi="宋体" w:eastAsia="宋体" w:cs="宋体"/>
          <w:b/>
          <w:color w:val="auto"/>
          <w:sz w:val="21"/>
          <w:szCs w:val="21"/>
          <w:highlight w:val="none"/>
        </w:rPr>
        <w:sectPr>
          <w:pgSz w:w="16783" w:h="11850" w:orient="landscape"/>
          <w:pgMar w:top="1803" w:right="1440" w:bottom="1803" w:left="1440" w:header="720" w:footer="720" w:gutter="0"/>
          <w:cols w:space="720" w:num="1"/>
          <w:docGrid w:linePitch="286" w:charSpace="0"/>
        </w:sectPr>
      </w:pPr>
      <w:bookmarkStart w:id="332" w:name="_Toc457748061"/>
    </w:p>
    <w:p>
      <w:pPr>
        <w:pStyle w:val="6"/>
        <w:keepNext w:val="0"/>
        <w:keepLines w:val="0"/>
        <w:spacing w:before="0" w:after="0" w:line="360" w:lineRule="auto"/>
        <w:ind w:firstLine="10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（三）财务报告或银行资信证明</w:t>
      </w:r>
      <w:bookmarkEnd w:id="332"/>
    </w:p>
    <w:p>
      <w:pPr>
        <w:spacing w:line="360" w:lineRule="auto"/>
        <w:ind w:firstLine="630" w:firstLineChars="300"/>
        <w:rPr>
          <w:rFonts w:hint="eastAsia" w:ascii="宋体" w:hAnsi="宋体" w:cs="宋体"/>
          <w:color w:val="auto"/>
          <w:szCs w:val="21"/>
          <w:highlight w:val="none"/>
        </w:rPr>
      </w:pPr>
    </w:p>
    <w:p>
      <w:pPr>
        <w:pStyle w:val="6"/>
        <w:keepNext w:val="0"/>
        <w:keepLines w:val="0"/>
        <w:spacing w:before="0" w:after="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近年财务报告</w:t>
      </w:r>
    </w:p>
    <w:p>
      <w:pPr>
        <w:tabs>
          <w:tab w:val="left" w:pos="42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投标人须根据投标人须知的规定，提供一定期限内的财务报告。</w:t>
      </w:r>
    </w:p>
    <w:p>
      <w:pPr>
        <w:tabs>
          <w:tab w:val="left" w:pos="42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提供的具体年份要求见投标人须知前附表。投标人的成立时间少于投标人须知前附表规定年份的，应提供成立以来的财务状况表。</w:t>
      </w:r>
    </w:p>
    <w:p>
      <w:pPr>
        <w:spacing w:line="360" w:lineRule="auto"/>
        <w:ind w:firstLine="630" w:firstLineChars="300"/>
        <w:rPr>
          <w:rFonts w:hint="eastAsia" w:ascii="宋体" w:hAnsi="宋体" w:cs="宋体"/>
          <w:color w:val="auto"/>
          <w:szCs w:val="21"/>
          <w:highlight w:val="none"/>
        </w:rPr>
      </w:pPr>
    </w:p>
    <w:p>
      <w:pPr>
        <w:spacing w:line="360" w:lineRule="auto"/>
        <w:ind w:firstLine="630" w:firstLineChars="300"/>
        <w:rPr>
          <w:rFonts w:hint="eastAsia" w:ascii="宋体" w:hAnsi="宋体" w:cs="宋体"/>
          <w:color w:val="auto"/>
          <w:szCs w:val="21"/>
          <w:highlight w:val="none"/>
        </w:rPr>
      </w:pPr>
      <w:r>
        <w:rPr>
          <w:rFonts w:hint="eastAsia" w:ascii="宋体" w:hAnsi="宋体" w:cs="宋体"/>
          <w:color w:val="auto"/>
          <w:szCs w:val="21"/>
          <w:highlight w:val="none"/>
        </w:rPr>
        <w:t>或者</w:t>
      </w:r>
    </w:p>
    <w:p>
      <w:pPr>
        <w:pStyle w:val="6"/>
        <w:keepNext w:val="0"/>
        <w:keepLines w:val="0"/>
        <w:spacing w:before="0" w:after="0" w:line="360" w:lineRule="auto"/>
        <w:ind w:firstLine="422" w:firstLineChars="200"/>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银行资信证明</w:t>
      </w:r>
    </w:p>
    <w:p>
      <w:pPr>
        <w:tabs>
          <w:tab w:val="left" w:pos="425"/>
        </w:tabs>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投标人须提供其基本开户银行在开标前六个月内开具的资信证明的原件的复印件</w:t>
      </w:r>
      <w:r>
        <w:rPr>
          <w:rFonts w:hint="eastAsia" w:ascii="宋体" w:hAnsi="宋体" w:cs="宋体"/>
          <w:b/>
          <w:color w:val="auto"/>
          <w:szCs w:val="21"/>
          <w:highlight w:val="none"/>
        </w:rPr>
        <w:t>（无需针对本招标项目、本项目招标人）</w:t>
      </w:r>
      <w:r>
        <w:rPr>
          <w:rFonts w:hint="eastAsia" w:ascii="宋体" w:hAnsi="宋体" w:cs="宋体"/>
          <w:color w:val="auto"/>
          <w:szCs w:val="21"/>
          <w:highlight w:val="none"/>
        </w:rPr>
        <w:t>。</w:t>
      </w:r>
    </w:p>
    <w:p>
      <w:pPr>
        <w:pStyle w:val="14"/>
        <w:rPr>
          <w:rFonts w:hint="eastAsia" w:ascii="宋体" w:hAnsi="宋体" w:cs="宋体"/>
          <w:color w:val="auto"/>
          <w:szCs w:val="21"/>
          <w:highlight w:val="none"/>
        </w:rPr>
      </w:pPr>
    </w:p>
    <w:p>
      <w:pPr>
        <w:pStyle w:val="14"/>
        <w:rPr>
          <w:rFonts w:hint="eastAsia" w:ascii="宋体" w:hAnsi="宋体" w:cs="宋体"/>
          <w:color w:val="auto"/>
          <w:szCs w:val="21"/>
          <w:highlight w:val="none"/>
        </w:rPr>
      </w:pPr>
    </w:p>
    <w:p>
      <w:pPr>
        <w:pStyle w:val="14"/>
        <w:rPr>
          <w:rFonts w:hint="eastAsia" w:ascii="宋体" w:hAnsi="宋体" w:cs="宋体"/>
          <w:color w:val="auto"/>
          <w:szCs w:val="21"/>
          <w:highlight w:val="none"/>
        </w:rPr>
      </w:pPr>
    </w:p>
    <w:p>
      <w:pPr>
        <w:tabs>
          <w:tab w:val="left" w:pos="425"/>
        </w:tabs>
        <w:spacing w:line="360" w:lineRule="auto"/>
        <w:ind w:firstLine="422" w:firstLineChars="200"/>
        <w:rPr>
          <w:rFonts w:hint="eastAsia" w:ascii="宋体" w:hAnsi="宋体" w:cs="宋体"/>
          <w:b/>
          <w:color w:val="auto"/>
          <w:szCs w:val="21"/>
          <w:highlight w:val="none"/>
        </w:rPr>
      </w:pPr>
      <w:bookmarkStart w:id="333" w:name="_Toc392227917"/>
      <w:bookmarkStart w:id="334" w:name="_Toc457748062"/>
      <w:r>
        <w:rPr>
          <w:rFonts w:hint="eastAsia" w:ascii="宋体" w:hAnsi="宋体" w:cs="宋体"/>
          <w:b/>
          <w:color w:val="auto"/>
          <w:szCs w:val="21"/>
          <w:highlight w:val="none"/>
        </w:rPr>
        <w:br w:type="page"/>
      </w:r>
      <w:r>
        <w:rPr>
          <w:rFonts w:hint="eastAsia" w:ascii="宋体" w:hAnsi="宋体" w:cs="宋体"/>
          <w:b/>
          <w:color w:val="auto"/>
          <w:szCs w:val="21"/>
          <w:highlight w:val="none"/>
        </w:rPr>
        <w:t>（四）</w:t>
      </w:r>
      <w:bookmarkEnd w:id="333"/>
      <w:bookmarkEnd w:id="334"/>
      <w:bookmarkStart w:id="335" w:name="_Toc457748063"/>
      <w:r>
        <w:rPr>
          <w:rFonts w:hint="eastAsia" w:ascii="宋体" w:hAnsi="宋体" w:cs="宋体"/>
          <w:b/>
          <w:color w:val="auto"/>
          <w:szCs w:val="21"/>
          <w:highlight w:val="none"/>
        </w:rPr>
        <w:t>依法缴纳税收</w:t>
      </w: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投标人须根据投标人须知的规定，提供一定期限内的纳税证明文件。</w:t>
      </w:r>
    </w:p>
    <w:p>
      <w:pPr>
        <w:pStyle w:val="14"/>
        <w:rPr>
          <w:color w:val="auto"/>
          <w:highlight w:val="none"/>
        </w:rPr>
      </w:pP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提供的期限要求见投标人须知前附表。投标人的成立时间少于投标人须知前附表规定期限的，应提供成立以来的上述缴款证明。</w:t>
      </w:r>
    </w:p>
    <w:p>
      <w:pPr>
        <w:pStyle w:val="14"/>
        <w:rPr>
          <w:color w:val="auto"/>
          <w:highlight w:val="none"/>
        </w:rPr>
      </w:pPr>
    </w:p>
    <w:p>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依法免税的投标人，应提供依法免税的证明。</w:t>
      </w:r>
    </w:p>
    <w:p>
      <w:pPr>
        <w:rPr>
          <w:rFonts w:hint="eastAsia" w:ascii="宋体" w:hAnsi="宋体" w:cs="宋体"/>
          <w:b/>
          <w:color w:val="auto"/>
          <w:szCs w:val="21"/>
          <w:highlight w:val="none"/>
        </w:rPr>
      </w:pPr>
    </w:p>
    <w:p>
      <w:pPr>
        <w:rPr>
          <w:rFonts w:hint="eastAsia" w:ascii="宋体" w:hAnsi="宋体" w:cs="宋体"/>
          <w:b/>
          <w:color w:val="auto"/>
          <w:szCs w:val="21"/>
          <w:highlight w:val="none"/>
        </w:rPr>
      </w:pPr>
      <w:r>
        <w:rPr>
          <w:rFonts w:hint="eastAsia" w:ascii="宋体" w:hAnsi="宋体" w:cs="宋体"/>
          <w:b/>
          <w:color w:val="auto"/>
          <w:szCs w:val="21"/>
          <w:highlight w:val="none"/>
        </w:rPr>
        <w:br w:type="page"/>
      </w:r>
    </w:p>
    <w:p>
      <w:pPr>
        <w:rPr>
          <w:rFonts w:hint="eastAsia" w:ascii="宋体" w:hAnsi="宋体" w:cs="宋体"/>
          <w:color w:val="auto"/>
          <w:szCs w:val="21"/>
          <w:highlight w:val="none"/>
        </w:rPr>
      </w:pPr>
      <w:r>
        <w:rPr>
          <w:rFonts w:hint="eastAsia" w:ascii="宋体" w:hAnsi="宋体" w:cs="宋体"/>
          <w:b/>
          <w:color w:val="auto"/>
          <w:szCs w:val="21"/>
          <w:highlight w:val="none"/>
        </w:rPr>
        <w:t>（五） 社会保障金的证明</w:t>
      </w:r>
    </w:p>
    <w:p>
      <w:pPr>
        <w:spacing w:line="360" w:lineRule="auto"/>
        <w:ind w:firstLine="525" w:firstLineChars="250"/>
        <w:rPr>
          <w:rFonts w:hint="eastAsia" w:ascii="宋体" w:hAnsi="宋体" w:cs="宋体"/>
          <w:color w:val="auto"/>
          <w:szCs w:val="21"/>
          <w:highlight w:val="none"/>
        </w:rPr>
      </w:pP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投标人须根据投标人须知的规定，提供一定期限内的缴纳社会保险的证明文件。</w:t>
      </w:r>
    </w:p>
    <w:p>
      <w:pPr>
        <w:pStyle w:val="14"/>
        <w:rPr>
          <w:color w:val="auto"/>
          <w:highlight w:val="none"/>
        </w:rPr>
      </w:pPr>
    </w:p>
    <w:p>
      <w:pPr>
        <w:spacing w:line="360" w:lineRule="auto"/>
        <w:ind w:firstLine="525" w:firstLineChars="250"/>
        <w:rPr>
          <w:rFonts w:hint="eastAsia" w:ascii="宋体" w:hAnsi="宋体" w:cs="宋体"/>
          <w:color w:val="auto"/>
          <w:szCs w:val="21"/>
          <w:highlight w:val="none"/>
        </w:rPr>
      </w:pPr>
      <w:r>
        <w:rPr>
          <w:rFonts w:hint="eastAsia" w:ascii="宋体" w:hAnsi="宋体" w:cs="宋体"/>
          <w:color w:val="auto"/>
          <w:szCs w:val="21"/>
          <w:highlight w:val="none"/>
        </w:rPr>
        <w:t>提供的期限要求见投标人须知前附表。投标人的成立时间少于投标人须知前附表规定期限的，应提供成立以来的上述缴款证明。</w:t>
      </w:r>
    </w:p>
    <w:p>
      <w:pPr>
        <w:pStyle w:val="14"/>
        <w:rPr>
          <w:color w:val="auto"/>
          <w:highlight w:val="none"/>
        </w:rPr>
      </w:pPr>
    </w:p>
    <w:p>
      <w:pPr>
        <w:spacing w:line="360" w:lineRule="auto"/>
        <w:ind w:firstLine="527" w:firstLineChars="250"/>
        <w:rPr>
          <w:rFonts w:hint="eastAsia" w:ascii="宋体" w:hAnsi="宋体" w:cs="宋体"/>
          <w:b/>
          <w:color w:val="auto"/>
          <w:szCs w:val="21"/>
          <w:highlight w:val="none"/>
        </w:rPr>
      </w:pPr>
      <w:r>
        <w:rPr>
          <w:rFonts w:hint="eastAsia" w:ascii="宋体" w:hAnsi="宋体" w:cs="宋体"/>
          <w:b/>
          <w:color w:val="auto"/>
          <w:szCs w:val="21"/>
          <w:highlight w:val="none"/>
        </w:rPr>
        <w:t>依法不需要缴纳社会保障资金的投标人，应提供依法不需要缴纳社会保障资金的证明。</w:t>
      </w:r>
    </w:p>
    <w:p>
      <w:pPr>
        <w:spacing w:line="360" w:lineRule="auto"/>
        <w:ind w:firstLine="527" w:firstLineChars="250"/>
        <w:rPr>
          <w:rFonts w:hint="eastAsia" w:ascii="宋体" w:hAnsi="宋体" w:cs="宋体"/>
          <w:b/>
          <w:color w:val="auto"/>
          <w:szCs w:val="21"/>
          <w:highlight w:val="none"/>
        </w:rPr>
      </w:pPr>
    </w:p>
    <w:p>
      <w:pPr>
        <w:rPr>
          <w:rFonts w:hint="eastAsia" w:ascii="宋体" w:hAnsi="宋体" w:cs="宋体"/>
          <w:color w:val="auto"/>
          <w:szCs w:val="21"/>
          <w:highlight w:val="none"/>
        </w:rPr>
      </w:pPr>
    </w:p>
    <w:p>
      <w:pPr>
        <w:rPr>
          <w:rFonts w:hint="eastAsia" w:ascii="宋体" w:hAnsi="宋体" w:cs="宋体"/>
          <w:color w:val="auto"/>
          <w:szCs w:val="21"/>
          <w:highlight w:val="none"/>
        </w:rPr>
      </w:pPr>
    </w:p>
    <w:p>
      <w:pPr>
        <w:pStyle w:val="6"/>
        <w:keepNext w:val="0"/>
        <w:keepLines w:val="0"/>
        <w:spacing w:before="0" w:after="0" w:line="360" w:lineRule="auto"/>
        <w:ind w:firstLine="10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bookmarkEnd w:id="335"/>
      <w:r>
        <w:rPr>
          <w:rFonts w:hint="eastAsia" w:ascii="宋体" w:hAnsi="宋体" w:eastAsia="宋体" w:cs="宋体"/>
          <w:b/>
          <w:color w:val="auto"/>
          <w:sz w:val="21"/>
          <w:szCs w:val="21"/>
          <w:highlight w:val="none"/>
        </w:rPr>
        <w:t>（六）参加本次政府采购活动前3年内在经营活动中没有重大违法记录的承诺书，截止至开标日成立不足3年的投标人可提供自成立以来无重大违法记录的承诺书</w:t>
      </w:r>
    </w:p>
    <w:p>
      <w:pPr>
        <w:spacing w:line="276"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近3年投标人无重大违法的书面声明</w:t>
      </w:r>
    </w:p>
    <w:p>
      <w:pPr>
        <w:rPr>
          <w:rFonts w:hint="eastAsia" w:ascii="宋体" w:hAnsi="宋体" w:cs="宋体"/>
          <w:color w:val="auto"/>
          <w:highlight w:val="none"/>
        </w:rPr>
      </w:pPr>
    </w:p>
    <w:p>
      <w:pPr>
        <w:rPr>
          <w:rFonts w:hint="eastAsia" w:ascii="宋体" w:hAnsi="宋体" w:cs="宋体"/>
          <w:color w:val="auto"/>
          <w:highlight w:val="none"/>
        </w:rPr>
      </w:pPr>
      <w:r>
        <w:rPr>
          <w:rFonts w:hint="eastAsia" w:ascii="宋体" w:hAnsi="宋体" w:cs="宋体"/>
          <w:color w:val="auto"/>
          <w:highlight w:val="none"/>
        </w:rPr>
        <w:t>复旦大学附属妇产科医院：</w:t>
      </w:r>
    </w:p>
    <w:p>
      <w:pPr>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w:t>
      </w:r>
      <w:r>
        <w:rPr>
          <w:rFonts w:hint="eastAsia" w:ascii="宋体" w:hAnsi="宋体" w:cs="宋体"/>
          <w:color w:val="auto"/>
          <w:highlight w:val="none"/>
        </w:rPr>
        <w:t>近三年无重大违法记录，现声明如下：</w:t>
      </w:r>
    </w:p>
    <w:p>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未被责令停产停业、暂扣或者吊销许可证、暂扣或者吊销执照的；</w:t>
      </w:r>
    </w:p>
    <w:p>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无因违法经营受到刑事处罚或者较大数额罚款等行政处罚；</w:t>
      </w:r>
    </w:p>
    <w:p>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未处于投标资格被暂停或取消、财产被接管、冻结、破产等状态；</w:t>
      </w:r>
    </w:p>
    <w:p>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未被人民法院公布为失信被执行人；</w:t>
      </w:r>
    </w:p>
    <w:p>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未列入“国家企业信用信息公示系统”（www.gsxt.gov.cn）“列入严重违法失信企业名单（黑名单）；</w:t>
      </w:r>
    </w:p>
    <w:p>
      <w:pPr>
        <w:numPr>
          <w:ilvl w:val="0"/>
          <w:numId w:val="22"/>
        </w:num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未列入“信用中国网站”（www.creditchina.gov.cn）“黑名单”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我方承诺以上信息是真实的，如有虚假或被发现与事实不符，我方同意并接受以下条款：</w:t>
      </w:r>
    </w:p>
    <w:p>
      <w:pPr>
        <w:numPr>
          <w:ilvl w:val="0"/>
          <w:numId w:val="23"/>
        </w:numPr>
        <w:spacing w:line="360" w:lineRule="auto"/>
        <w:ind w:left="985" w:leftChars="269" w:hangingChars="200"/>
        <w:rPr>
          <w:rFonts w:hint="eastAsia" w:ascii="宋体" w:hAnsi="宋体" w:cs="宋体"/>
          <w:color w:val="auto"/>
          <w:highlight w:val="none"/>
        </w:rPr>
      </w:pPr>
      <w:r>
        <w:rPr>
          <w:rFonts w:hint="eastAsia" w:ascii="宋体" w:hAnsi="宋体" w:cs="宋体"/>
          <w:color w:val="auto"/>
          <w:highlight w:val="none"/>
        </w:rPr>
        <w:t>招标人或评标委员会可以按弄虚作假行为进行认定；</w:t>
      </w:r>
    </w:p>
    <w:p>
      <w:pPr>
        <w:numPr>
          <w:ilvl w:val="0"/>
          <w:numId w:val="23"/>
        </w:numPr>
        <w:spacing w:line="360" w:lineRule="auto"/>
        <w:ind w:left="985" w:leftChars="269" w:hangingChars="200"/>
        <w:rPr>
          <w:rFonts w:hint="eastAsia" w:ascii="宋体" w:hAnsi="宋体" w:cs="宋体"/>
          <w:color w:val="auto"/>
          <w:highlight w:val="none"/>
        </w:rPr>
      </w:pPr>
      <w:r>
        <w:rPr>
          <w:rFonts w:hint="eastAsia" w:ascii="宋体" w:hAnsi="宋体" w:cs="宋体"/>
          <w:color w:val="auto"/>
          <w:highlight w:val="none"/>
        </w:rPr>
        <w:t>如我方已中标，招标人可以取消我方中标资格；</w:t>
      </w:r>
    </w:p>
    <w:p>
      <w:pPr>
        <w:numPr>
          <w:ilvl w:val="0"/>
          <w:numId w:val="23"/>
        </w:numPr>
        <w:spacing w:line="360" w:lineRule="auto"/>
        <w:ind w:left="985" w:leftChars="269" w:hangingChars="200"/>
        <w:rPr>
          <w:rFonts w:hint="eastAsia" w:ascii="宋体" w:hAnsi="宋体" w:cs="宋体"/>
          <w:color w:val="auto"/>
          <w:highlight w:val="none"/>
        </w:rPr>
      </w:pPr>
      <w:r>
        <w:rPr>
          <w:rFonts w:hint="eastAsia" w:ascii="宋体" w:hAnsi="宋体" w:cs="宋体"/>
          <w:color w:val="auto"/>
          <w:highlight w:val="none"/>
        </w:rPr>
        <w:t>如已与招标人签订合同，招标人可以无条件终止合同并不承担任何违约责任；</w:t>
      </w:r>
    </w:p>
    <w:p>
      <w:pPr>
        <w:numPr>
          <w:ilvl w:val="0"/>
          <w:numId w:val="23"/>
        </w:numPr>
        <w:spacing w:line="360" w:lineRule="auto"/>
        <w:ind w:left="985" w:leftChars="269" w:hangingChars="200"/>
        <w:rPr>
          <w:rFonts w:hint="eastAsia" w:ascii="宋体" w:hAnsi="宋体" w:cs="宋体"/>
          <w:color w:val="auto"/>
          <w:highlight w:val="none"/>
        </w:rPr>
      </w:pPr>
      <w:r>
        <w:rPr>
          <w:rFonts w:hint="eastAsia" w:ascii="宋体" w:hAnsi="宋体" w:cs="宋体"/>
          <w:color w:val="auto"/>
          <w:highlight w:val="none"/>
        </w:rPr>
        <w:t>我方愿意承担由此给招标人造成的直接或间接损失以及相应的法律责任。</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特此声明！</w:t>
      </w: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pStyle w:val="48"/>
        <w:spacing w:line="360" w:lineRule="auto"/>
        <w:rPr>
          <w:rFonts w:hint="eastAsia" w:hAnsi="宋体" w:cs="宋体"/>
          <w:color w:val="auto"/>
          <w:szCs w:val="21"/>
          <w:highlight w:val="none"/>
        </w:rPr>
      </w:pPr>
      <w:r>
        <w:rPr>
          <w:rFonts w:hint="eastAsia" w:hAnsi="宋体" w:cs="宋体"/>
          <w:color w:val="auto"/>
          <w:szCs w:val="21"/>
          <w:highlight w:val="none"/>
        </w:rPr>
        <w:t>日期：</w:t>
      </w:r>
    </w:p>
    <w:p>
      <w:pPr>
        <w:pStyle w:val="17"/>
        <w:rPr>
          <w:rFonts w:hint="eastAsia" w:hAnsi="宋体" w:cs="宋体"/>
          <w:color w:val="auto"/>
          <w:highlight w:val="none"/>
        </w:rPr>
      </w:pPr>
    </w:p>
    <w:p>
      <w:pPr>
        <w:tabs>
          <w:tab w:val="left" w:pos="425"/>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备注1：重大违法记录指投标人因违法经营受到刑事处罚或者责令停产停业、吊销许可证或者执照、较大数额罚款等行政处罚。</w:t>
      </w:r>
    </w:p>
    <w:p>
      <w:pPr>
        <w:tabs>
          <w:tab w:val="left" w:pos="425"/>
        </w:tabs>
        <w:spacing w:line="360" w:lineRule="auto"/>
        <w:rPr>
          <w:rFonts w:hint="eastAsia" w:ascii="宋体" w:hAnsi="宋体" w:cs="宋体"/>
          <w:bCs/>
          <w:color w:val="auto"/>
          <w:szCs w:val="21"/>
          <w:highlight w:val="none"/>
        </w:rPr>
      </w:pPr>
      <w:r>
        <w:rPr>
          <w:rFonts w:hint="eastAsia" w:ascii="宋体" w:hAnsi="宋体" w:cs="宋体"/>
          <w:bCs/>
          <w:color w:val="auto"/>
          <w:szCs w:val="21"/>
          <w:highlight w:val="none"/>
        </w:rPr>
        <w:t>备注2：近三年是指扣除投标截止日当日往前顺推三年，如投标人截止至投标日成立不足3年的自提供自成立以来</w:t>
      </w:r>
    </w:p>
    <w:p>
      <w:pPr>
        <w:tabs>
          <w:tab w:val="left" w:pos="425"/>
        </w:tabs>
        <w:spacing w:line="360" w:lineRule="auto"/>
        <w:rPr>
          <w:rFonts w:hint="eastAsia" w:ascii="宋体" w:hAnsi="宋体" w:cs="宋体"/>
          <w:b/>
          <w:color w:val="auto"/>
          <w:szCs w:val="21"/>
          <w:highlight w:val="none"/>
        </w:rPr>
      </w:pPr>
      <w:r>
        <w:rPr>
          <w:rFonts w:hint="eastAsia" w:ascii="宋体" w:hAnsi="宋体" w:cs="宋体"/>
          <w:b/>
          <w:color w:val="auto"/>
          <w:szCs w:val="21"/>
          <w:highlight w:val="none"/>
        </w:rPr>
        <w:br w:type="page"/>
      </w:r>
      <w:r>
        <w:rPr>
          <w:rFonts w:hint="eastAsia" w:ascii="宋体" w:hAnsi="宋体" w:cs="宋体"/>
          <w:b/>
          <w:color w:val="auto"/>
          <w:szCs w:val="21"/>
          <w:highlight w:val="none"/>
        </w:rPr>
        <w:t>（七）参加本次政府采购活动前3年内在经营活动中没有行贿犯罪记录的承诺书，截止至开标日成立不足3年的投标人可提供自成立以来无行贿犯罪记录的承诺书</w:t>
      </w:r>
    </w:p>
    <w:p>
      <w:pPr>
        <w:spacing w:line="276" w:lineRule="auto"/>
        <w:jc w:val="cente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t>近3年投标人无行贿犯罪情况的书面声明</w:t>
      </w:r>
    </w:p>
    <w:p>
      <w:pPr>
        <w:spacing w:line="276" w:lineRule="auto"/>
        <w:jc w:val="center"/>
        <w:rPr>
          <w:rFonts w:hint="eastAsia" w:ascii="宋体" w:hAnsi="宋体" w:cs="宋体"/>
          <w:b/>
          <w:bCs/>
          <w:color w:val="auto"/>
          <w:sz w:val="28"/>
          <w:szCs w:val="28"/>
          <w:highlight w:val="none"/>
        </w:rPr>
      </w:pPr>
    </w:p>
    <w:p>
      <w:pPr>
        <w:rPr>
          <w:rFonts w:hint="eastAsia" w:ascii="宋体" w:hAnsi="宋体" w:cs="宋体"/>
          <w:color w:val="auto"/>
          <w:highlight w:val="none"/>
        </w:rPr>
      </w:pPr>
      <w:r>
        <w:rPr>
          <w:rFonts w:hint="eastAsia" w:ascii="宋体" w:hAnsi="宋体" w:cs="宋体"/>
          <w:color w:val="auto"/>
          <w:highlight w:val="none"/>
        </w:rPr>
        <w:t>复旦大学附属妇产科医院：</w:t>
      </w:r>
    </w:p>
    <w:p>
      <w:pPr>
        <w:rPr>
          <w:rFonts w:hint="eastAsia" w:ascii="宋体" w:hAnsi="宋体" w:cs="宋体"/>
          <w:color w:val="auto"/>
          <w:highlight w:val="none"/>
        </w:rPr>
      </w:pPr>
    </w:p>
    <w:p>
      <w:pPr>
        <w:spacing w:line="360" w:lineRule="auto"/>
        <w:ind w:firstLine="420" w:firstLineChars="200"/>
        <w:rPr>
          <w:rFonts w:hint="eastAsia" w:ascii="宋体" w:hAnsi="宋体" w:cs="宋体"/>
          <w:color w:val="auto"/>
          <w:highlight w:val="non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（投标人名称）</w:t>
      </w:r>
      <w:r>
        <w:rPr>
          <w:rFonts w:hint="eastAsia" w:ascii="宋体" w:hAnsi="宋体" w:cs="宋体"/>
          <w:color w:val="auto"/>
          <w:highlight w:val="none"/>
        </w:rPr>
        <w:t>，法定代表人：_______________，身份证号：____________________，本项目负责人：________________，身份证号：______________________，近三年没有行贿犯罪记录。</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我方承诺以上信息是真实的，如有虚假或被发现与事实不符，我方同意并接受以下条款：</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（1）招标人或评标委员会可以按弄虚作假行为进行认定；</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（2）如我方已中标，招标人可以取消我方中标资格；</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（3）如已与招标人签订合同，招标人可以无条件终止合同并不承担任何违约责任；</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（4）我方愿意承担由此给招标人造成的直接或间接损失以及相应的法律责任。</w:t>
      </w:r>
    </w:p>
    <w:p>
      <w:pPr>
        <w:spacing w:line="360" w:lineRule="auto"/>
        <w:ind w:firstLine="420" w:firstLineChars="200"/>
        <w:rPr>
          <w:rFonts w:hint="eastAsia" w:ascii="宋体" w:hAnsi="宋体" w:cs="宋体"/>
          <w:color w:val="auto"/>
          <w:highlight w:val="none"/>
        </w:rPr>
      </w:pPr>
      <w:r>
        <w:rPr>
          <w:rFonts w:hint="eastAsia" w:ascii="宋体" w:hAnsi="宋体" w:cs="宋体"/>
          <w:color w:val="auto"/>
          <w:highlight w:val="none"/>
        </w:rPr>
        <w:t>特此声明！</w:t>
      </w:r>
    </w:p>
    <w:p>
      <w:pPr>
        <w:ind w:firstLine="420" w:firstLineChars="200"/>
        <w:rPr>
          <w:rFonts w:hint="eastAsia" w:ascii="宋体" w:hAnsi="宋体" w:cs="宋体"/>
          <w:color w:val="auto"/>
          <w:highlight w:val="none"/>
        </w:rPr>
      </w:pPr>
    </w:p>
    <w:p>
      <w:pPr>
        <w:rPr>
          <w:rFonts w:hint="eastAsia" w:ascii="宋体" w:hAnsi="宋体" w:cs="宋体"/>
          <w:color w:val="auto"/>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pStyle w:val="48"/>
        <w:spacing w:line="360" w:lineRule="auto"/>
        <w:rPr>
          <w:rFonts w:hint="eastAsia" w:hAnsi="宋体" w:cs="宋体"/>
          <w:color w:val="auto"/>
          <w:szCs w:val="21"/>
          <w:highlight w:val="none"/>
        </w:rPr>
      </w:pPr>
      <w:r>
        <w:rPr>
          <w:rFonts w:hint="eastAsia" w:hAnsi="宋体" w:cs="宋体"/>
          <w:color w:val="auto"/>
          <w:szCs w:val="21"/>
          <w:highlight w:val="none"/>
        </w:rPr>
        <w:t>日期：</w:t>
      </w:r>
    </w:p>
    <w:p>
      <w:pPr>
        <w:tabs>
          <w:tab w:val="left" w:pos="425"/>
        </w:tabs>
        <w:spacing w:line="360" w:lineRule="auto"/>
        <w:rPr>
          <w:rFonts w:hint="eastAsia" w:ascii="宋体" w:hAnsi="宋体" w:cs="宋体"/>
          <w:color w:val="auto"/>
          <w:szCs w:val="21"/>
          <w:highlight w:val="none"/>
        </w:rPr>
      </w:pPr>
      <w:r>
        <w:rPr>
          <w:rFonts w:hint="eastAsia" w:ascii="宋体" w:hAnsi="宋体" w:cs="宋体"/>
          <w:color w:val="auto"/>
          <w:szCs w:val="21"/>
          <w:highlight w:val="none"/>
        </w:rPr>
        <w:t>备注：近三年是指扣除投标截止日当日往前顺推三年，如投标人截止至投标日成立不足3年的自提供自成立以来</w:t>
      </w:r>
    </w:p>
    <w:p>
      <w:pPr>
        <w:pStyle w:val="6"/>
        <w:keepNext w:val="0"/>
        <w:keepLines w:val="0"/>
        <w:spacing w:before="0" w:after="0" w:line="360" w:lineRule="auto"/>
        <w:ind w:firstLine="11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br w:type="page"/>
      </w:r>
      <w:r>
        <w:rPr>
          <w:rFonts w:hint="eastAsia" w:ascii="宋体" w:hAnsi="宋体" w:eastAsia="宋体" w:cs="宋体"/>
          <w:b/>
          <w:color w:val="auto"/>
          <w:sz w:val="21"/>
          <w:szCs w:val="21"/>
          <w:highlight w:val="none"/>
        </w:rPr>
        <w:t>（八）廉洁诚信承诺书</w:t>
      </w:r>
    </w:p>
    <w:p>
      <w:pPr>
        <w:pStyle w:val="6"/>
        <w:keepNext w:val="0"/>
        <w:keepLines w:val="0"/>
        <w:spacing w:before="0" w:after="0" w:line="360" w:lineRule="auto"/>
        <w:ind w:firstLine="0" w:firstLineChars="0"/>
        <w:rPr>
          <w:rFonts w:hint="eastAsia" w:ascii="宋体" w:hAnsi="宋体" w:eastAsia="宋体" w:cs="宋体"/>
          <w:b/>
          <w:color w:val="auto"/>
          <w:sz w:val="21"/>
          <w:szCs w:val="21"/>
          <w:highlight w:val="none"/>
        </w:rPr>
      </w:pPr>
    </w:p>
    <w:p>
      <w:pPr>
        <w:spacing w:line="360" w:lineRule="auto"/>
        <w:jc w:val="center"/>
        <w:rPr>
          <w:rFonts w:hint="eastAsia" w:ascii="宋体" w:hAnsi="宋体" w:cs="宋体"/>
          <w:b/>
          <w:color w:val="auto"/>
          <w:sz w:val="36"/>
          <w:highlight w:val="none"/>
        </w:rPr>
      </w:pPr>
      <w:r>
        <w:rPr>
          <w:rFonts w:hint="eastAsia" w:ascii="宋体" w:hAnsi="宋体" w:cs="宋体"/>
          <w:b/>
          <w:color w:val="auto"/>
          <w:sz w:val="30"/>
          <w:szCs w:val="30"/>
          <w:highlight w:val="none"/>
        </w:rPr>
        <w:t>廉洁诚信承诺书</w:t>
      </w:r>
    </w:p>
    <w:p>
      <w:pPr>
        <w:rPr>
          <w:rFonts w:hint="eastAsia" w:ascii="宋体" w:hAnsi="宋体" w:cs="宋体"/>
          <w:color w:val="auto"/>
          <w:szCs w:val="21"/>
          <w:highlight w:val="none"/>
        </w:rPr>
      </w:pPr>
    </w:p>
    <w:p>
      <w:pPr>
        <w:rPr>
          <w:rFonts w:hint="eastAsia" w:ascii="宋体" w:hAnsi="宋体" w:cs="宋体"/>
          <w:color w:val="auto"/>
          <w:szCs w:val="21"/>
          <w:highlight w:val="none"/>
        </w:rPr>
      </w:pPr>
      <w:r>
        <w:rPr>
          <w:rFonts w:hint="eastAsia" w:ascii="宋体" w:hAnsi="宋体" w:cs="宋体"/>
          <w:color w:val="auto"/>
          <w:szCs w:val="21"/>
          <w:highlight w:val="none"/>
        </w:rPr>
        <w:t>致复旦大学附属妇产科医院</w:t>
      </w:r>
    </w:p>
    <w:p>
      <w:pPr>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xml:space="preserve">为确保采购、招标活动公平、公开、公正开展，推进廉洁诚信建设，预防商业贿赂和不正当竞争，保障采购、招标活动中各方的合法权益，我公司在参与采购人的采购、招标工作时自愿作出如下承诺： </w:t>
      </w:r>
    </w:p>
    <w:p>
      <w:pPr>
        <w:ind w:left="-2" w:leftChars="-1"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一、严格遵守国家法律法规。坚持廉洁、诚信的原则，恪守商业道德和职业道德规范，不从事并抵制不廉洁、不诚信行为。</w:t>
      </w:r>
    </w:p>
    <w:p>
      <w:pPr>
        <w:ind w:left="-2" w:leftChars="-1"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二、严格杜绝以下行为：</w:t>
      </w:r>
    </w:p>
    <w:p>
      <w:pPr>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（一）给予或以借用等名义向采购人有关工作人员、采购招标代理机构有关工作人员、评标委员会成员等提供财物；</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（二）向采购人有关工作人员、采购招标代理机构有关工作人员、评标委员会成员等提供礼品、宴请以及旅游、健身、娱乐等活动安排；</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（三）向采购人有关工作人员、采购招标代理机构有关工作人员、评标委员会成员等赠送礼金、各种有价证券、支付凭证；</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（四）支付、报销应由采购人有关工作人员本人、配偶及子女，采购招标代理机构有关工作人员，评标委员会成员等负担的费用、票据； </w:t>
      </w:r>
    </w:p>
    <w:p>
      <w:pPr>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rPr>
        <w:t xml:space="preserve">（五）隐瞒真实情况，提交虚假资质证明、资信证明、财务证明等材料；进行虚假承诺、夸大产品或服务性能和质量等指标；泄露采购人商业秘密；与其他单位等相互勾结、串通，用不正当手段排挤其他竞争者，干扰公平竞争的情形； </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（六）其他影响采购招标活动公平、公开、公正开展及损害采购人经济利益、形象和声誉的不廉洁、不诚信行为。</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三、如采购人有关工作人员、采购招标代理机构有关工作人员、评标委员会成员等发生不廉洁、不诚信行为，我公司有义务及时向采购人监督检查部门举报或投诉。</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四、我公司相关部门和工作人员支持、配合采购人有关部门对有关不廉洁、不诚信行为的调查。</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五、如违反以上承诺，我公司自愿接受采购人依据相关规定对我公司进行严肃处理。采购人可按我公司不廉洁、不诚信行为的严重程度，对我公司实行1至3年或永久期限的市场禁入。</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六、我公司不廉洁、不诚信行为造成采购人经济损失的，由我公司予以赔偿。</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七、本廉洁诚信承诺书经我公司法定代表人（或法定代表人授权委托人）签字并加盖公司印章后生效。</w:t>
      </w:r>
    </w:p>
    <w:p>
      <w:pPr>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八、本廉洁诚信承诺书的效力范围既包括采购与招标阶段的行为，也包括合同签订及履行阶段的行为。</w:t>
      </w:r>
    </w:p>
    <w:p>
      <w:pPr>
        <w:ind w:left="4933" w:leftChars="2199" w:hanging="315" w:hangingChars="150"/>
        <w:rPr>
          <w:rFonts w:hint="eastAsia" w:ascii="宋体" w:hAnsi="宋体" w:cs="宋体"/>
          <w:color w:val="auto"/>
          <w:szCs w:val="21"/>
          <w:highlight w:val="none"/>
        </w:rPr>
      </w:pPr>
    </w:p>
    <w:p>
      <w:pPr>
        <w:rPr>
          <w:rFonts w:hint="eastAsia" w:ascii="宋体" w:hAnsi="宋体" w:cs="宋体"/>
          <w:color w:val="auto"/>
          <w:szCs w:val="21"/>
          <w:highlight w:val="none"/>
        </w:rPr>
      </w:pPr>
    </w:p>
    <w:p>
      <w:pPr>
        <w:ind w:left="4933" w:leftChars="2199" w:hanging="315" w:hangingChars="150"/>
        <w:rPr>
          <w:rFonts w:hint="eastAsia" w:ascii="宋体" w:hAnsi="宋体" w:cs="宋体"/>
          <w:color w:val="auto"/>
          <w:szCs w:val="21"/>
          <w:highlight w:val="none"/>
        </w:rPr>
      </w:pPr>
    </w:p>
    <w:p>
      <w:pPr>
        <w:ind w:firstLine="1680" w:firstLineChars="800"/>
        <w:rPr>
          <w:rFonts w:hint="eastAsia" w:ascii="宋体" w:hAnsi="宋体" w:cs="宋体"/>
          <w:color w:val="auto"/>
          <w:szCs w:val="21"/>
          <w:highlight w:val="none"/>
        </w:rPr>
      </w:pPr>
      <w:r>
        <w:rPr>
          <w:rFonts w:hint="eastAsia" w:ascii="宋体" w:hAnsi="宋体" w:cs="宋体"/>
          <w:color w:val="auto"/>
          <w:szCs w:val="21"/>
          <w:highlight w:val="none"/>
        </w:rPr>
        <w:t xml:space="preserve">单位名称（盖章）： </w:t>
      </w:r>
    </w:p>
    <w:p>
      <w:pPr>
        <w:ind w:left="4933" w:leftChars="2199" w:hanging="315" w:hangingChars="150"/>
        <w:rPr>
          <w:rFonts w:hint="eastAsia" w:ascii="宋体" w:hAnsi="宋体" w:cs="宋体"/>
          <w:color w:val="auto"/>
          <w:szCs w:val="21"/>
          <w:highlight w:val="none"/>
        </w:rPr>
      </w:pPr>
    </w:p>
    <w:p>
      <w:pPr>
        <w:ind w:right="1200" w:firstLine="1680" w:firstLineChars="800"/>
        <w:rPr>
          <w:rFonts w:hint="eastAsia" w:ascii="宋体" w:hAnsi="宋体" w:cs="宋体"/>
          <w:color w:val="auto"/>
          <w:szCs w:val="21"/>
          <w:highlight w:val="none"/>
        </w:rPr>
      </w:pPr>
      <w:r>
        <w:rPr>
          <w:rFonts w:hint="eastAsia" w:ascii="宋体" w:hAnsi="宋体" w:cs="宋体"/>
          <w:color w:val="auto"/>
          <w:szCs w:val="21"/>
          <w:highlight w:val="none"/>
        </w:rPr>
        <w:t xml:space="preserve">法定代表人（授权委托人）签字： </w:t>
      </w:r>
    </w:p>
    <w:p>
      <w:pPr>
        <w:ind w:right="1200" w:firstLine="1365" w:firstLineChars="650"/>
        <w:rPr>
          <w:rFonts w:hint="eastAsia" w:ascii="宋体" w:hAnsi="宋体" w:cs="宋体"/>
          <w:color w:val="auto"/>
          <w:szCs w:val="21"/>
          <w:highlight w:val="none"/>
        </w:rPr>
      </w:pPr>
    </w:p>
    <w:p>
      <w:pPr>
        <w:ind w:right="1200" w:firstLine="1680" w:firstLineChars="800"/>
        <w:rPr>
          <w:rFonts w:hint="eastAsia" w:ascii="宋体" w:hAnsi="宋体" w:cs="宋体"/>
          <w:b/>
          <w:color w:val="auto"/>
          <w:szCs w:val="21"/>
          <w:highlight w:val="none"/>
          <w:u w:val="single"/>
        </w:rPr>
      </w:pPr>
      <w:r>
        <w:rPr>
          <w:rFonts w:hint="eastAsia" w:ascii="宋体" w:hAnsi="宋体" w:cs="宋体"/>
          <w:color w:val="auto"/>
          <w:szCs w:val="21"/>
          <w:highlight w:val="none"/>
        </w:rPr>
        <w:t>日期：     年    月     日</w:t>
      </w:r>
    </w:p>
    <w:p>
      <w:pPr>
        <w:pStyle w:val="6"/>
        <w:keepNext w:val="0"/>
        <w:keepLines w:val="0"/>
        <w:spacing w:before="0" w:after="0" w:line="360" w:lineRule="auto"/>
        <w:ind w:firstLine="118"/>
        <w:rPr>
          <w:rFonts w:hint="eastAsia" w:ascii="宋体" w:hAnsi="宋体" w:eastAsia="宋体" w:cs="宋体"/>
          <w:b/>
          <w:color w:val="auto"/>
          <w:sz w:val="24"/>
          <w:szCs w:val="24"/>
          <w:highlight w:val="none"/>
        </w:rPr>
      </w:pPr>
    </w:p>
    <w:p>
      <w:pPr>
        <w:pStyle w:val="6"/>
        <w:keepNext w:val="0"/>
        <w:keepLines w:val="0"/>
        <w:spacing w:before="0" w:after="0" w:line="360" w:lineRule="auto"/>
        <w:ind w:firstLine="118"/>
        <w:rPr>
          <w:rFonts w:hint="eastAsia" w:ascii="宋体" w:hAnsi="宋体" w:eastAsia="宋体" w:cs="宋体"/>
          <w:b/>
          <w:color w:val="auto"/>
          <w:sz w:val="24"/>
          <w:szCs w:val="24"/>
          <w:highlight w:val="none"/>
        </w:rPr>
      </w:pPr>
    </w:p>
    <w:p>
      <w:pPr>
        <w:pStyle w:val="6"/>
        <w:keepNext w:val="0"/>
        <w:keepLines w:val="0"/>
        <w:spacing w:before="0" w:after="0" w:line="360" w:lineRule="auto"/>
        <w:ind w:firstLine="118"/>
        <w:rPr>
          <w:rFonts w:hint="eastAsia" w:ascii="宋体" w:hAnsi="宋体" w:eastAsia="宋体" w:cs="宋体"/>
          <w:b/>
          <w:color w:val="auto"/>
          <w:sz w:val="24"/>
          <w:szCs w:val="24"/>
          <w:highlight w:val="none"/>
        </w:rPr>
      </w:pPr>
    </w:p>
    <w:p>
      <w:pPr>
        <w:pStyle w:val="6"/>
        <w:keepNext w:val="0"/>
        <w:keepLines w:val="0"/>
        <w:spacing w:before="0" w:after="0" w:line="360" w:lineRule="auto"/>
        <w:ind w:firstLine="11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（九）中小企业声明函（投标产品为进口产品的不适用）</w:t>
      </w:r>
    </w:p>
    <w:p>
      <w:pPr>
        <w:spacing w:line="360" w:lineRule="auto"/>
        <w:jc w:val="center"/>
        <w:rPr>
          <w:rFonts w:hint="eastAsia" w:ascii="宋体" w:hAnsi="宋体" w:cs="宋体"/>
          <w:color w:val="auto"/>
          <w:sz w:val="24"/>
          <w:szCs w:val="24"/>
          <w:highlight w:val="none"/>
        </w:rPr>
      </w:pPr>
      <w:r>
        <w:rPr>
          <w:rFonts w:hint="eastAsia" w:ascii="宋体" w:hAnsi="宋体" w:cs="宋体"/>
          <w:b/>
          <w:color w:val="auto"/>
          <w:sz w:val="24"/>
          <w:szCs w:val="24"/>
          <w:highlight w:val="none"/>
        </w:rPr>
        <w:t>中小企业声明函（货物）</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本公司（联合体）郑重声明，根据《政府采购促进中小企业发展管理办法》（财库﹝2020﹞46 号）的规定，本公司（联合体）参加</w:t>
      </w:r>
      <w:r>
        <w:rPr>
          <w:rFonts w:hint="eastAsia" w:ascii="宋体" w:hAnsi="宋体" w:cs="宋体"/>
          <w:color w:val="auto"/>
          <w:szCs w:val="21"/>
          <w:highlight w:val="none"/>
          <w:u w:val="single"/>
        </w:rPr>
        <w:t>复旦大学附属妇产科医院</w:t>
      </w:r>
      <w:r>
        <w:rPr>
          <w:rFonts w:hint="eastAsia" w:ascii="宋体" w:hAnsi="宋体" w:cs="宋体"/>
          <w:color w:val="auto"/>
          <w:szCs w:val="21"/>
          <w:highlight w:val="none"/>
        </w:rPr>
        <w:t xml:space="preserve"> 的 </w:t>
      </w:r>
      <w:r>
        <w:rPr>
          <w:rFonts w:hint="eastAsia" w:ascii="宋体" w:hAnsi="宋体" w:cs="宋体"/>
          <w:color w:val="auto"/>
          <w:szCs w:val="21"/>
          <w:highlight w:val="none"/>
          <w:u w:val="single"/>
          <w:lang w:eastAsia="zh-CN"/>
        </w:rPr>
        <w:t>消毒灭菌装置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采购活动 ，提供的货物全部由符合政策要求的中小企业制造。相关企业（含联合体中的中小企业、签订分包意向协议的中小企业）的具体情况如下 ：</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eastAsia="zh-CN"/>
        </w:rPr>
        <w:t>消毒灭菌装置</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，属于 </w:t>
      </w:r>
      <w:r>
        <w:rPr>
          <w:rFonts w:hint="eastAsia" w:ascii="宋体" w:hAnsi="宋体" w:cs="宋体"/>
          <w:color w:val="auto"/>
          <w:szCs w:val="21"/>
          <w:highlight w:val="none"/>
          <w:u w:val="single"/>
        </w:rPr>
        <w:t xml:space="preserve">工业 </w:t>
      </w:r>
      <w:r>
        <w:rPr>
          <w:rFonts w:hint="eastAsia" w:ascii="宋体" w:hAnsi="宋体" w:cs="宋体"/>
          <w:color w:val="auto"/>
          <w:szCs w:val="21"/>
          <w:highlight w:val="none"/>
        </w:rPr>
        <w:t xml:space="preserve">行业；制造商为 </w:t>
      </w:r>
      <w:r>
        <w:rPr>
          <w:rFonts w:hint="eastAsia" w:ascii="宋体" w:hAnsi="宋体" w:cs="宋体"/>
          <w:color w:val="auto"/>
          <w:szCs w:val="21"/>
          <w:highlight w:val="none"/>
          <w:u w:val="single"/>
        </w:rPr>
        <w:t>（企业名称）</w:t>
      </w:r>
      <w:r>
        <w:rPr>
          <w:rFonts w:hint="eastAsia" w:ascii="宋体" w:hAnsi="宋体" w:cs="宋体"/>
          <w:color w:val="auto"/>
          <w:szCs w:val="21"/>
          <w:highlight w:val="none"/>
        </w:rPr>
        <w:t>，从业人员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人， 营业收入为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万元，资产总额为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万元，属于 </w:t>
      </w:r>
      <w:r>
        <w:rPr>
          <w:rFonts w:hint="eastAsia" w:ascii="宋体" w:hAnsi="宋体" w:cs="宋体"/>
          <w:color w:val="auto"/>
          <w:szCs w:val="21"/>
          <w:highlight w:val="none"/>
          <w:u w:val="single"/>
        </w:rPr>
        <w:t xml:space="preserve">          （此处填写 大型企业、中型企业、小型企业、微型企业  其中一个）</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以上企业，不属于大企业的分支机构，不存在控股股东为大企业的情形，也不存在与大企业的负责人为同一人的情形。</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本企业对上述声明内容的真实性负责。如有虚假，将依法承担相应责任 。</w:t>
      </w:r>
    </w:p>
    <w:p>
      <w:pPr>
        <w:spacing w:line="360" w:lineRule="auto"/>
        <w:ind w:left="5460"/>
        <w:rPr>
          <w:rFonts w:hint="eastAsia" w:ascii="宋体" w:hAnsi="宋体" w:cs="宋体"/>
          <w:color w:val="auto"/>
          <w:szCs w:val="21"/>
          <w:highlight w:val="none"/>
        </w:rPr>
      </w:pPr>
    </w:p>
    <w:p>
      <w:pPr>
        <w:spacing w:line="360" w:lineRule="auto"/>
        <w:ind w:left="5460"/>
        <w:rPr>
          <w:rFonts w:hint="eastAsia" w:ascii="宋体" w:hAnsi="宋体" w:cs="宋体"/>
          <w:color w:val="auto"/>
          <w:szCs w:val="21"/>
          <w:highlight w:val="none"/>
        </w:rPr>
      </w:pPr>
    </w:p>
    <w:p>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企业名称（盖章）：</w:t>
      </w:r>
    </w:p>
    <w:p>
      <w:pPr>
        <w:spacing w:line="360" w:lineRule="auto"/>
        <w:ind w:firstLine="3150" w:firstLineChars="1500"/>
        <w:rPr>
          <w:rFonts w:hint="eastAsia" w:ascii="宋体" w:hAnsi="宋体" w:cs="宋体"/>
          <w:color w:val="auto"/>
          <w:szCs w:val="21"/>
          <w:highlight w:val="none"/>
        </w:rPr>
      </w:pPr>
      <w:r>
        <w:rPr>
          <w:rFonts w:hint="eastAsia" w:ascii="宋体" w:hAnsi="宋体" w:cs="宋体"/>
          <w:color w:val="auto"/>
          <w:szCs w:val="21"/>
          <w:highlight w:val="none"/>
        </w:rPr>
        <w:t>日    期：</w:t>
      </w:r>
    </w:p>
    <w:p>
      <w:pPr>
        <w:spacing w:line="360" w:lineRule="auto"/>
        <w:jc w:val="center"/>
        <w:rPr>
          <w:rFonts w:hint="eastAsia" w:ascii="宋体" w:hAnsi="宋体" w:cs="宋体"/>
          <w:b/>
          <w:color w:val="auto"/>
          <w:sz w:val="30"/>
          <w:szCs w:val="30"/>
          <w:highlight w:val="none"/>
        </w:rPr>
      </w:pPr>
    </w:p>
    <w:p>
      <w:pPr>
        <w:widowControl/>
        <w:spacing w:line="360" w:lineRule="auto"/>
        <w:ind w:firstLine="482"/>
        <w:jc w:val="left"/>
        <w:rPr>
          <w:rFonts w:hint="eastAsia" w:ascii="宋体" w:hAnsi="宋体" w:cs="宋体"/>
          <w:snapToGrid w:val="0"/>
          <w:color w:val="auto"/>
          <w:kern w:val="0"/>
          <w:szCs w:val="21"/>
          <w:highlight w:val="none"/>
        </w:rPr>
      </w:pPr>
    </w:p>
    <w:p>
      <w:pPr>
        <w:widowControl/>
        <w:spacing w:line="360" w:lineRule="auto"/>
        <w:ind w:firstLine="482"/>
        <w:jc w:val="left"/>
        <w:rPr>
          <w:rFonts w:hint="eastAsia" w:ascii="宋体" w:hAnsi="宋体" w:cs="宋体"/>
          <w:snapToGrid w:val="0"/>
          <w:color w:val="auto"/>
          <w:kern w:val="0"/>
          <w:szCs w:val="21"/>
          <w:highlight w:val="none"/>
        </w:rPr>
      </w:pPr>
    </w:p>
    <w:p>
      <w:pPr>
        <w:widowControl/>
        <w:spacing w:line="360" w:lineRule="auto"/>
        <w:ind w:firstLine="482"/>
        <w:jc w:val="left"/>
        <w:rPr>
          <w:rFonts w:hint="eastAsia" w:ascii="宋体" w:hAnsi="宋体" w:cs="宋体"/>
          <w:snapToGrid w:val="0"/>
          <w:color w:val="auto"/>
          <w:kern w:val="0"/>
          <w:szCs w:val="21"/>
          <w:highlight w:val="none"/>
        </w:rPr>
      </w:pPr>
    </w:p>
    <w:p>
      <w:pPr>
        <w:widowControl/>
        <w:spacing w:line="360" w:lineRule="auto"/>
        <w:ind w:firstLine="482"/>
        <w:jc w:val="left"/>
        <w:rPr>
          <w:rFonts w:hint="eastAsia" w:ascii="宋体" w:hAnsi="宋体" w:cs="宋体"/>
          <w:snapToGrid w:val="0"/>
          <w:color w:val="auto"/>
          <w:kern w:val="0"/>
          <w:szCs w:val="21"/>
          <w:highlight w:val="none"/>
        </w:rPr>
      </w:pPr>
    </w:p>
    <w:p>
      <w:pPr>
        <w:widowControl/>
        <w:spacing w:line="360" w:lineRule="auto"/>
        <w:ind w:firstLine="482"/>
        <w:jc w:val="left"/>
        <w:rPr>
          <w:rFonts w:hint="eastAsia" w:ascii="宋体" w:hAnsi="宋体" w:cs="宋体"/>
          <w:snapToGrid w:val="0"/>
          <w:color w:val="auto"/>
          <w:kern w:val="0"/>
          <w:szCs w:val="21"/>
          <w:highlight w:val="none"/>
        </w:rPr>
      </w:pPr>
    </w:p>
    <w:p>
      <w:pPr>
        <w:widowControl/>
        <w:spacing w:line="360" w:lineRule="auto"/>
        <w:ind w:firstLine="482"/>
        <w:jc w:val="left"/>
        <w:rPr>
          <w:rFonts w:hint="eastAsia" w:ascii="宋体" w:hAnsi="宋体" w:cs="宋体"/>
          <w:snapToGrid w:val="0"/>
          <w:color w:val="auto"/>
          <w:kern w:val="0"/>
          <w:szCs w:val="21"/>
          <w:highlight w:val="none"/>
        </w:rPr>
      </w:pPr>
      <w:r>
        <w:rPr>
          <w:rFonts w:hint="eastAsia" w:ascii="宋体" w:hAnsi="宋体" w:cs="宋体"/>
          <w:snapToGrid w:val="0"/>
          <w:color w:val="auto"/>
          <w:kern w:val="0"/>
          <w:szCs w:val="21"/>
          <w:highlight w:val="none"/>
        </w:rPr>
        <w:t>注：从业人员、营业收入、资产总额填报上一年度数据，无上一年度数据的新成立企业可不填报。</w:t>
      </w:r>
    </w:p>
    <w:p>
      <w:pPr>
        <w:rPr>
          <w:color w:val="auto"/>
          <w:highlight w:val="none"/>
        </w:rPr>
      </w:pPr>
      <w:r>
        <w:rPr>
          <w:rFonts w:hint="eastAsia"/>
          <w:color w:val="auto"/>
          <w:highlight w:val="none"/>
        </w:rPr>
        <w:br w:type="page"/>
      </w:r>
    </w:p>
    <w:p>
      <w:pPr>
        <w:pStyle w:val="29"/>
        <w:spacing w:before="120" w:beforeAutospacing="0" w:after="0" w:afterAutospacing="0" w:line="480" w:lineRule="atLeast"/>
        <w:jc w:val="center"/>
        <w:textAlignment w:val="baseline"/>
        <w:rPr>
          <w:rFonts w:hint="eastAsia" w:ascii="宋体" w:hAnsi="宋体" w:cs="宋体"/>
          <w:b/>
          <w:color w:val="auto"/>
          <w:szCs w:val="24"/>
          <w:highlight w:val="none"/>
        </w:rPr>
      </w:pPr>
      <w:r>
        <w:rPr>
          <w:rFonts w:hint="eastAsia" w:ascii="宋体" w:hAnsi="宋体" w:cs="宋体"/>
          <w:b/>
          <w:color w:val="auto"/>
          <w:szCs w:val="24"/>
          <w:highlight w:val="none"/>
          <w:shd w:val="clear" w:color="auto" w:fill="FFFFFF"/>
        </w:rPr>
        <w:t>国家统计局关于印发《统计上大中小微型企业划分办法（2017）》的通知</w:t>
      </w:r>
    </w:p>
    <w:p>
      <w:pPr>
        <w:pStyle w:val="29"/>
        <w:spacing w:before="120" w:beforeAutospacing="0" w:after="0" w:afterAutospacing="0" w:line="336" w:lineRule="atLeast"/>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各省、自治区、直辖市统计局，新疆生产建设兵团统计局，国务院各有关部门，国家统计局各调查总队：</w:t>
      </w:r>
    </w:p>
    <w:p>
      <w:pPr>
        <w:pStyle w:val="29"/>
        <w:spacing w:before="120" w:beforeAutospacing="0" w:after="0" w:afterAutospacing="0" w:line="336" w:lineRule="atLeast"/>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pPr>
        <w:widowControl/>
        <w:jc w:val="left"/>
        <w:rPr>
          <w:color w:val="auto"/>
          <w:highlight w:val="none"/>
        </w:rPr>
      </w:pPr>
    </w:p>
    <w:p>
      <w:pPr>
        <w:pStyle w:val="29"/>
        <w:spacing w:before="120" w:beforeAutospacing="0" w:after="0" w:afterAutospacing="0" w:line="336" w:lineRule="atLeast"/>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附件：《统计上大中小微型企业划分办法（2017）》修订说明</w:t>
      </w:r>
    </w:p>
    <w:p>
      <w:pPr>
        <w:pStyle w:val="29"/>
        <w:spacing w:before="120" w:beforeAutospacing="0" w:after="0" w:afterAutospacing="0" w:line="336" w:lineRule="atLeast"/>
        <w:ind w:right="660"/>
        <w:jc w:val="right"/>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国家统计局  </w:t>
      </w:r>
    </w:p>
    <w:p>
      <w:pPr>
        <w:pStyle w:val="29"/>
        <w:spacing w:before="120" w:beforeAutospacing="0" w:after="0" w:afterAutospacing="0" w:line="336" w:lineRule="atLeast"/>
        <w:ind w:right="660"/>
        <w:jc w:val="right"/>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2017年12月28日</w:t>
      </w:r>
    </w:p>
    <w:p>
      <w:pPr>
        <w:pStyle w:val="29"/>
        <w:spacing w:before="120" w:beforeAutospacing="0" w:after="0" w:afterAutospacing="0" w:line="336" w:lineRule="atLeast"/>
        <w:textAlignment w:val="baseline"/>
        <w:rPr>
          <w:rFonts w:hint="eastAsia" w:ascii="宋体" w:hAnsi="宋体" w:cs="宋体"/>
          <w:color w:val="auto"/>
          <w:sz w:val="16"/>
          <w:szCs w:val="16"/>
          <w:highlight w:val="none"/>
        </w:rPr>
      </w:pPr>
    </w:p>
    <w:p>
      <w:pPr>
        <w:pStyle w:val="29"/>
        <w:spacing w:before="120" w:beforeAutospacing="0" w:after="0" w:afterAutospacing="0" w:line="480" w:lineRule="atLeast"/>
        <w:jc w:val="center"/>
        <w:textAlignment w:val="baseline"/>
        <w:rPr>
          <w:rFonts w:hint="eastAsia" w:ascii="宋体" w:hAnsi="宋体" w:cs="宋体"/>
          <w:b/>
          <w:color w:val="auto"/>
          <w:sz w:val="28"/>
          <w:szCs w:val="28"/>
          <w:highlight w:val="none"/>
        </w:rPr>
      </w:pPr>
      <w:r>
        <w:rPr>
          <w:rFonts w:hint="eastAsia" w:ascii="宋体" w:hAnsi="宋体" w:cs="宋体"/>
          <w:b/>
          <w:color w:val="auto"/>
          <w:sz w:val="28"/>
          <w:szCs w:val="28"/>
          <w:highlight w:val="none"/>
          <w:shd w:val="clear" w:color="auto" w:fill="FFFFFF"/>
        </w:rPr>
        <w:t>统计上大中小微型企业划分办法（2017）</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一、根据工业和信息化部、国家统计局、国家发展改革委、财政部《关于印发中小企业划型标准规定的通知》（工信部联企业〔2011〕300号），以《国民经济行业分类》（GB/T4754-2017）为基础，结合统计工作的实际情况，制定本办法。</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二、本办法适用对象为在中华人民共和国境内依法设立的各种组织形式的法人企业或单位。个体工商户参照本办法进行划分。</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四、本办法按照行业门类、大类、中类和组合类别，依据从业人员、营业收入、资产总额等指标或替代指标，将我国的企业划分为大型、中型、小型、微型等四种类型。具体划分标准见附表。</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五、企业划分由政府综合统计部门根据统计年报每年确定一次，定报统计原则上不进行调整。</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六、本办法自印发之日起执行，国家统计局2011年印发的《统计上大中小微型企业划分办法》（国统字〔2011〕75号）同时废止。</w:t>
      </w:r>
    </w:p>
    <w:p>
      <w:pPr>
        <w:pStyle w:val="29"/>
        <w:spacing w:before="120" w:beforeAutospacing="0" w:after="0" w:afterAutospacing="0"/>
        <w:textAlignment w:val="baseline"/>
        <w:rPr>
          <w:rFonts w:hint="eastAsia" w:ascii="宋体" w:hAnsi="宋体" w:cs="宋体"/>
          <w:color w:val="auto"/>
          <w:sz w:val="16"/>
          <w:szCs w:val="16"/>
          <w:highlight w:val="none"/>
        </w:rPr>
      </w:pPr>
      <w:r>
        <w:rPr>
          <w:rFonts w:hint="eastAsia" w:ascii="宋体" w:hAnsi="宋体" w:cs="宋体"/>
          <w:color w:val="auto"/>
          <w:sz w:val="16"/>
          <w:szCs w:val="16"/>
          <w:highlight w:val="none"/>
          <w:shd w:val="clear" w:color="auto" w:fill="FFFFFF"/>
        </w:rPr>
        <w:t>附表：统计上大中小微型企业划分标准</w:t>
      </w:r>
    </w:p>
    <w:p>
      <w:pPr>
        <w:pStyle w:val="29"/>
        <w:spacing w:before="120" w:beforeAutospacing="0" w:after="0" w:afterAutospacing="0" w:line="480" w:lineRule="atLeast"/>
        <w:jc w:val="center"/>
        <w:textAlignment w:val="baseline"/>
        <w:rPr>
          <w:rFonts w:hint="eastAsia" w:ascii="宋体" w:hAnsi="宋体" w:cs="宋体"/>
          <w:b/>
          <w:color w:val="auto"/>
          <w:sz w:val="21"/>
          <w:szCs w:val="21"/>
          <w:highlight w:val="none"/>
        </w:rPr>
      </w:pPr>
      <w:r>
        <w:rPr>
          <w:rFonts w:hint="eastAsia" w:ascii="宋体" w:hAnsi="宋体" w:cs="宋体"/>
          <w:b/>
          <w:color w:val="auto"/>
          <w:sz w:val="21"/>
          <w:szCs w:val="21"/>
          <w:highlight w:val="none"/>
          <w:shd w:val="clear" w:color="auto" w:fill="FFFFFF"/>
        </w:rPr>
        <w:br w:type="page"/>
      </w:r>
      <w:r>
        <w:rPr>
          <w:rFonts w:hint="eastAsia" w:ascii="宋体" w:hAnsi="宋体" w:cs="宋体"/>
          <w:b/>
          <w:color w:val="auto"/>
          <w:sz w:val="21"/>
          <w:szCs w:val="21"/>
          <w:highlight w:val="none"/>
          <w:shd w:val="clear" w:color="auto" w:fill="FFFFFF"/>
        </w:rPr>
        <w:t>统计上大中小微型企业划分标准</w:t>
      </w:r>
    </w:p>
    <w:tbl>
      <w:tblPr>
        <w:tblStyle w:val="32"/>
        <w:tblW w:w="8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17"/>
        <w:gridCol w:w="1279"/>
        <w:gridCol w:w="809"/>
        <w:gridCol w:w="1278"/>
        <w:gridCol w:w="1279"/>
        <w:gridCol w:w="1279"/>
        <w:gridCol w:w="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行业名称</w:t>
            </w:r>
          </w:p>
        </w:tc>
        <w:tc>
          <w:tcPr>
            <w:tcW w:w="1279"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指标名称</w:t>
            </w:r>
          </w:p>
        </w:tc>
        <w:tc>
          <w:tcPr>
            <w:tcW w:w="809"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计量单位</w:t>
            </w:r>
          </w:p>
        </w:tc>
        <w:tc>
          <w:tcPr>
            <w:tcW w:w="1278"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大型</w:t>
            </w:r>
          </w:p>
        </w:tc>
        <w:tc>
          <w:tcPr>
            <w:tcW w:w="1279"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中型</w:t>
            </w:r>
          </w:p>
        </w:tc>
        <w:tc>
          <w:tcPr>
            <w:tcW w:w="1279"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小型</w:t>
            </w:r>
          </w:p>
        </w:tc>
        <w:tc>
          <w:tcPr>
            <w:tcW w:w="823" w:type="dxa"/>
            <w:tcBorders>
              <w:tl2br w:val="nil"/>
              <w:tr2bl w:val="nil"/>
            </w:tcBorders>
            <w:tcMar>
              <w:top w:w="60" w:type="dxa"/>
              <w:left w:w="60" w:type="dxa"/>
              <w:bottom w:w="60" w:type="dxa"/>
              <w:right w:w="60" w:type="dxa"/>
            </w:tcMar>
          </w:tcPr>
          <w:p>
            <w:pPr>
              <w:widowControl/>
              <w:jc w:val="center"/>
              <w:textAlignment w:val="baseline"/>
              <w:rPr>
                <w:rFonts w:hint="eastAsia" w:ascii="宋体" w:hAnsi="宋体" w:cs="宋体"/>
                <w:b/>
                <w:color w:val="auto"/>
                <w:sz w:val="18"/>
                <w:szCs w:val="18"/>
                <w:highlight w:val="none"/>
              </w:rPr>
            </w:pPr>
            <w:r>
              <w:rPr>
                <w:rFonts w:hint="eastAsia" w:ascii="宋体" w:hAnsi="宋体" w:cs="宋体"/>
                <w:b/>
                <w:color w:val="auto"/>
                <w:kern w:val="0"/>
                <w:sz w:val="18"/>
                <w:szCs w:val="18"/>
                <w:highlight w:val="none"/>
              </w:rPr>
              <w:t>微型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农、林、牧、渔业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Y≥20000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500≤Y＜20000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50≤Y＜500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工业 *</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20≤X＜300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Y≥40000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2000≤Y＜40000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300≤Y＜2000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建筑业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Y≥80000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6000≤Y＜80000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300≤Y＜6000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资产总额(Z)</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Z≥80000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5000≤Z＜80000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300≤Z＜5000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Z＜300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批发业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20≤X＜200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5≤X＜20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Y≥40000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5000≤Y＜40000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1000≤Y＜5000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零售业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10≤X＜50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Y≥20000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500≤Y＜20000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100≤Y＜500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交通运输业 *</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20≤X＜300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Y≥30000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3000≤Y＜30000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200≤Y＜3000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仓储业*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100≤X＜200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Y≥30000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1000≤Y＜30000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100≤Y＜1000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邮政业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20≤X＜300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Y≥30000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2000≤Y＜30000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100≤Y＜2000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住宿业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2000≤Y＜10000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100≤Y＜2000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餐饮业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2000≤Y＜10000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100≤Y＜2000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信息传输业 *</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X≥2000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100≤X＜2000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1000≤Y＜100000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100≤Y＜1000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软件和信息技术服务业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1000≤Y＜10000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50≤Y＜1000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房地产开发经营</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Y≥200000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1000≤Y＜200000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100≤Y＜1000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资产总额(Z)</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Z≥10000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5000≤Z＜10000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2000≤Z＜5000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Z＜2000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物业管理</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300≤X＜1000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100≤X＜300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营业收入(Y)</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Y≥5000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1000≤Y＜5000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500≤Y＜1000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Y＜500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restart"/>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租赁和商务服务业</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vMerge w:val="continue"/>
            <w:tcBorders>
              <w:tl2br w:val="nil"/>
              <w:tr2bl w:val="nil"/>
            </w:tcBorders>
            <w:vAlign w:val="center"/>
          </w:tcPr>
          <w:p>
            <w:pPr>
              <w:rPr>
                <w:rFonts w:ascii="宋体"/>
                <w:color w:val="auto"/>
                <w:sz w:val="18"/>
                <w:szCs w:val="18"/>
                <w:highlight w:val="none"/>
              </w:rPr>
            </w:pP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资产总额(Z)</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万元</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Z≥120000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8000≤Z＜120000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100≤Z＜8000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Z＜100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1617"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其他未列明行业 *</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从业人员(X)</w:t>
            </w:r>
          </w:p>
        </w:tc>
        <w:tc>
          <w:tcPr>
            <w:tcW w:w="80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人</w:t>
            </w:r>
          </w:p>
        </w:tc>
        <w:tc>
          <w:tcPr>
            <w:tcW w:w="1278"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100≤X＜300</w:t>
            </w:r>
          </w:p>
        </w:tc>
        <w:tc>
          <w:tcPr>
            <w:tcW w:w="1279"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10≤X＜100</w:t>
            </w:r>
          </w:p>
        </w:tc>
        <w:tc>
          <w:tcPr>
            <w:tcW w:w="823" w:type="dxa"/>
            <w:tcBorders>
              <w:tl2br w:val="nil"/>
              <w:tr2bl w:val="nil"/>
            </w:tcBorders>
            <w:vAlign w:val="center"/>
          </w:tcPr>
          <w:p>
            <w:pPr>
              <w:widowControl/>
              <w:jc w:val="left"/>
              <w:textAlignment w:val="center"/>
              <w:rPr>
                <w:color w:val="auto"/>
                <w:sz w:val="18"/>
                <w:szCs w:val="18"/>
                <w:highlight w:val="none"/>
              </w:rPr>
            </w:pPr>
            <w:r>
              <w:rPr>
                <w:rFonts w:ascii="宋体" w:hAnsi="宋体" w:cs="宋体"/>
                <w:color w:val="auto"/>
                <w:kern w:val="0"/>
                <w:sz w:val="18"/>
                <w:szCs w:val="18"/>
                <w:highlight w:val="none"/>
              </w:rPr>
              <w:t>X＜10</w:t>
            </w:r>
          </w:p>
        </w:tc>
      </w:tr>
    </w:tbl>
    <w:p>
      <w:pPr>
        <w:pStyle w:val="6"/>
        <w:keepNext w:val="0"/>
        <w:keepLines w:val="0"/>
        <w:spacing w:before="0" w:after="0" w:line="240" w:lineRule="auto"/>
        <w:ind w:firstLine="88"/>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说明：</w:t>
      </w:r>
    </w:p>
    <w:p>
      <w:pPr>
        <w:pStyle w:val="6"/>
        <w:keepNext w:val="0"/>
        <w:keepLines w:val="0"/>
        <w:spacing w:before="0" w:after="0" w:line="240" w:lineRule="auto"/>
        <w:ind w:left="268" w:leftChars="42" w:hanging="180" w:hangingChars="1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1.大型、中型和小型企业须同时满足所列指标的下限，否则下划一档；微型企业只须满足所列指标中的一项即可。</w:t>
      </w:r>
    </w:p>
    <w:p>
      <w:pPr>
        <w:pStyle w:val="6"/>
        <w:keepNext w:val="0"/>
        <w:keepLines w:val="0"/>
        <w:spacing w:before="0" w:after="0" w:line="240" w:lineRule="auto"/>
        <w:ind w:left="268" w:leftChars="42" w:hanging="180" w:hangingChars="1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pStyle w:val="6"/>
        <w:keepNext w:val="0"/>
        <w:keepLines w:val="0"/>
        <w:spacing w:before="0" w:after="0" w:line="240" w:lineRule="auto"/>
        <w:ind w:left="268" w:leftChars="42" w:hanging="180" w:hangingChars="10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3.企业划分指标以现行统计制度为准。</w:t>
      </w:r>
    </w:p>
    <w:p>
      <w:pPr>
        <w:pStyle w:val="6"/>
        <w:keepNext w:val="0"/>
        <w:keepLines w:val="0"/>
        <w:spacing w:before="0" w:after="0" w:line="240" w:lineRule="auto"/>
        <w:ind w:firstLine="268" w:firstLineChars="149"/>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（1）从业人员，是指期末从业人员数，没有期末从业人员数的，采用全年平均人员数代替。</w:t>
      </w:r>
    </w:p>
    <w:p>
      <w:pPr>
        <w:pStyle w:val="6"/>
        <w:keepNext w:val="0"/>
        <w:keepLines w:val="0"/>
        <w:spacing w:before="0" w:after="0" w:line="240" w:lineRule="auto"/>
        <w:ind w:left="701" w:leftChars="128" w:hanging="432" w:hangingChars="24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pPr>
        <w:pStyle w:val="6"/>
        <w:keepNext w:val="0"/>
        <w:keepLines w:val="0"/>
        <w:spacing w:before="0" w:after="0" w:line="240" w:lineRule="auto"/>
        <w:ind w:left="701" w:leftChars="128" w:hanging="432" w:hangingChars="240"/>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（3）资产总额，采用资产总计代替。</w:t>
      </w:r>
    </w:p>
    <w:p>
      <w:pPr>
        <w:pStyle w:val="14"/>
        <w:rPr>
          <w:color w:val="auto"/>
          <w:highlight w:val="none"/>
        </w:rPr>
      </w:pPr>
    </w:p>
    <w:p>
      <w:pPr>
        <w:pStyle w:val="14"/>
        <w:rPr>
          <w:color w:val="auto"/>
          <w:highlight w:val="none"/>
        </w:rPr>
      </w:pPr>
    </w:p>
    <w:p>
      <w:pPr>
        <w:pStyle w:val="6"/>
        <w:keepNext w:val="0"/>
        <w:keepLines w:val="0"/>
        <w:spacing w:before="0" w:after="0" w:line="360" w:lineRule="auto"/>
        <w:ind w:firstLine="118"/>
        <w:rPr>
          <w:rFonts w:hint="eastAsia" w:ascii="宋体" w:hAnsi="宋体" w:eastAsia="宋体" w:cs="宋体"/>
          <w:b/>
          <w:color w:val="auto"/>
          <w:sz w:val="24"/>
          <w:szCs w:val="24"/>
          <w:highlight w:val="none"/>
        </w:rPr>
        <w:sectPr>
          <w:pgSz w:w="11850" w:h="16783"/>
          <w:pgMar w:top="1440" w:right="1803" w:bottom="1440" w:left="1803" w:header="720" w:footer="720" w:gutter="0"/>
          <w:cols w:space="720" w:num="1"/>
          <w:docGrid w:linePitch="286" w:charSpace="0"/>
        </w:sectPr>
      </w:pPr>
    </w:p>
    <w:p>
      <w:pPr>
        <w:pStyle w:val="6"/>
        <w:keepNext w:val="0"/>
        <w:keepLines w:val="0"/>
        <w:spacing w:before="0" w:after="0" w:line="360" w:lineRule="auto"/>
        <w:ind w:firstLine="118"/>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（十）残疾人福利性单位声明函（如适用请提供）</w:t>
      </w:r>
    </w:p>
    <w:p>
      <w:pPr>
        <w:rPr>
          <w:rFonts w:hint="eastAsia" w:ascii="宋体" w:hAnsi="宋体" w:cs="宋体"/>
          <w:color w:val="auto"/>
          <w:highlight w:val="none"/>
        </w:rPr>
      </w:pPr>
    </w:p>
    <w:p>
      <w:pPr>
        <w:spacing w:line="588" w:lineRule="exact"/>
        <w:jc w:val="center"/>
        <w:rPr>
          <w:rFonts w:hint="eastAsia" w:ascii="宋体" w:hAnsi="宋体" w:cs="宋体"/>
          <w:color w:val="auto"/>
          <w:szCs w:val="21"/>
          <w:highlight w:val="none"/>
        </w:rPr>
      </w:pPr>
      <w:r>
        <w:rPr>
          <w:rFonts w:hint="eastAsia" w:ascii="宋体" w:hAnsi="宋体" w:cs="宋体"/>
          <w:b/>
          <w:color w:val="auto"/>
          <w:szCs w:val="21"/>
          <w:highlight w:val="none"/>
        </w:rPr>
        <w:t>残疾人福利性单位声明函</w:t>
      </w:r>
    </w:p>
    <w:p>
      <w:pPr>
        <w:spacing w:line="588" w:lineRule="exact"/>
        <w:ind w:firstLine="420" w:firstLineChars="200"/>
        <w:rPr>
          <w:rFonts w:hint="eastAsia" w:ascii="宋体" w:hAnsi="宋体" w:cs="宋体"/>
          <w:color w:val="auto"/>
          <w:szCs w:val="21"/>
          <w:highlight w:val="none"/>
        </w:rPr>
      </w:pPr>
    </w:p>
    <w:p>
      <w:pPr>
        <w:spacing w:line="588"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pPr>
        <w:spacing w:line="588" w:lineRule="exact"/>
        <w:ind w:firstLine="420" w:firstLineChars="200"/>
        <w:rPr>
          <w:rFonts w:hint="eastAsia" w:ascii="宋体" w:hAnsi="宋体" w:cs="宋体"/>
          <w:color w:val="auto"/>
          <w:szCs w:val="21"/>
          <w:highlight w:val="none"/>
        </w:rPr>
      </w:pPr>
    </w:p>
    <w:p>
      <w:pPr>
        <w:tabs>
          <w:tab w:val="left" w:pos="4860"/>
        </w:tabs>
        <w:spacing w:line="588" w:lineRule="exact"/>
        <w:ind w:right="156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单位名称（盖章）：</w:t>
      </w:r>
    </w:p>
    <w:p>
      <w:pPr>
        <w:tabs>
          <w:tab w:val="left" w:pos="4860"/>
        </w:tabs>
        <w:spacing w:line="588" w:lineRule="exact"/>
        <w:ind w:right="1560" w:firstLine="420" w:firstLineChars="200"/>
        <w:jc w:val="center"/>
        <w:rPr>
          <w:rFonts w:hint="eastAsia" w:ascii="宋体" w:hAnsi="宋体" w:cs="宋体"/>
          <w:color w:val="auto"/>
          <w:szCs w:val="21"/>
          <w:highlight w:val="none"/>
        </w:rPr>
      </w:pPr>
      <w:r>
        <w:rPr>
          <w:rFonts w:hint="eastAsia" w:ascii="宋体" w:hAnsi="宋体" w:cs="宋体"/>
          <w:color w:val="auto"/>
          <w:szCs w:val="21"/>
          <w:highlight w:val="none"/>
        </w:rPr>
        <w:t xml:space="preserve">       日  期：</w:t>
      </w: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spacing w:line="360" w:lineRule="auto"/>
        <w:rPr>
          <w:rFonts w:hint="eastAsia" w:ascii="宋体" w:hAnsi="宋体" w:cs="宋体"/>
          <w:color w:val="auto"/>
          <w:szCs w:val="21"/>
          <w:highlight w:val="none"/>
        </w:rPr>
      </w:pPr>
    </w:p>
    <w:p>
      <w:pPr>
        <w:pStyle w:val="6"/>
        <w:keepNext w:val="0"/>
        <w:keepLines w:val="0"/>
        <w:spacing w:before="0" w:after="0" w:line="360" w:lineRule="auto"/>
        <w:ind w:firstLine="10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w:t>
      </w:r>
      <w:r>
        <w:rPr>
          <w:rFonts w:hint="eastAsia" w:ascii="宋体" w:hAnsi="宋体" w:eastAsia="宋体" w:cs="宋体"/>
          <w:b/>
          <w:color w:val="auto"/>
          <w:sz w:val="24"/>
          <w:szCs w:val="24"/>
          <w:highlight w:val="none"/>
        </w:rPr>
        <w:t>十一</w:t>
      </w:r>
      <w:r>
        <w:rPr>
          <w:rFonts w:hint="eastAsia" w:ascii="宋体" w:hAnsi="宋体" w:eastAsia="宋体" w:cs="宋体"/>
          <w:b/>
          <w:color w:val="auto"/>
          <w:sz w:val="21"/>
          <w:szCs w:val="21"/>
          <w:highlight w:val="none"/>
        </w:rPr>
        <w:t>）省级以上监狱管理局、戒毒管理局（含新疆生产建设兵团）出具的属于监狱企业的证明文件</w:t>
      </w:r>
    </w:p>
    <w:p>
      <w:pPr>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 xml:space="preserve">    （如适用的话）</w:t>
      </w:r>
    </w:p>
    <w:p>
      <w:pPr>
        <w:spacing w:line="360" w:lineRule="auto"/>
        <w:rPr>
          <w:rFonts w:hint="eastAsia" w:ascii="宋体" w:hAnsi="宋体" w:cs="宋体"/>
          <w:b/>
          <w:color w:val="auto"/>
          <w:kern w:val="0"/>
          <w:szCs w:val="21"/>
          <w:highlight w:val="none"/>
        </w:rPr>
      </w:pPr>
    </w:p>
    <w:p>
      <w:pPr>
        <w:pStyle w:val="6"/>
        <w:keepNext w:val="0"/>
        <w:keepLines w:val="0"/>
        <w:spacing w:before="0" w:after="0" w:line="360" w:lineRule="auto"/>
        <w:ind w:firstLine="10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br w:type="page"/>
      </w:r>
      <w:r>
        <w:rPr>
          <w:rFonts w:hint="eastAsia" w:ascii="宋体" w:hAnsi="宋体" w:eastAsia="宋体" w:cs="宋体"/>
          <w:b/>
          <w:color w:val="auto"/>
          <w:sz w:val="21"/>
          <w:szCs w:val="21"/>
          <w:highlight w:val="none"/>
        </w:rPr>
        <w:t>（十二）国家确定的认证机构出具的处于有效期之内的节能产品或环境标志产品认证证书的复印件、全国认证认可信息公共服务平台（http://cx.cnca.cn/ CertECloud/index/index/page）中获证产品信息查询页截屏打印件并加盖公章（当招标文件要求提供时）</w:t>
      </w:r>
    </w:p>
    <w:p>
      <w:pPr>
        <w:pStyle w:val="6"/>
        <w:keepNext w:val="0"/>
        <w:keepLines w:val="0"/>
        <w:spacing w:before="0" w:after="0" w:line="360" w:lineRule="auto"/>
        <w:ind w:firstLine="103"/>
        <w:rPr>
          <w:rFonts w:hint="eastAsia" w:ascii="宋体" w:hAnsi="宋体" w:eastAsia="宋体" w:cs="宋体"/>
          <w:b/>
          <w:color w:val="auto"/>
          <w:sz w:val="21"/>
          <w:szCs w:val="21"/>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br w:type="page"/>
      </w:r>
      <w:bookmarkStart w:id="336" w:name="_Toc28633"/>
      <w:bookmarkStart w:id="337" w:name="_Toc457748064"/>
      <w:bookmarkStart w:id="338" w:name="_Toc31984"/>
      <w:r>
        <w:rPr>
          <w:rFonts w:hint="eastAsia" w:ascii="宋体" w:hAnsi="宋体" w:eastAsia="宋体" w:cs="宋体"/>
          <w:color w:val="auto"/>
          <w:sz w:val="30"/>
          <w:szCs w:val="30"/>
          <w:highlight w:val="none"/>
        </w:rPr>
        <w:t>其他商务资料</w:t>
      </w:r>
      <w:bookmarkEnd w:id="336"/>
      <w:bookmarkEnd w:id="337"/>
      <w:bookmarkEnd w:id="338"/>
    </w:p>
    <w:p>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招标文件要求提供的或投标人认为需要补充的其他资料</w:t>
      </w:r>
      <w:r>
        <w:rPr>
          <w:rFonts w:hint="eastAsia" w:ascii="宋体" w:hAnsi="宋体" w:cs="宋体"/>
          <w:color w:val="auto"/>
          <w:szCs w:val="21"/>
          <w:highlight w:val="none"/>
        </w:rPr>
        <w:t>）</w:t>
      </w:r>
    </w:p>
    <w:p>
      <w:pPr>
        <w:autoSpaceDE w:val="0"/>
        <w:autoSpaceDN w:val="0"/>
        <w:spacing w:line="360" w:lineRule="auto"/>
        <w:ind w:right="74"/>
        <w:jc w:val="center"/>
        <w:outlineLvl w:val="0"/>
        <w:rPr>
          <w:rFonts w:hint="eastAsia" w:ascii="宋体" w:hAnsi="宋体" w:cs="宋体"/>
          <w:b/>
          <w:snapToGrid w:val="0"/>
          <w:color w:val="auto"/>
          <w:sz w:val="32"/>
          <w:szCs w:val="32"/>
          <w:highlight w:val="none"/>
        </w:rPr>
      </w:pPr>
      <w:r>
        <w:rPr>
          <w:rFonts w:hint="eastAsia" w:ascii="宋体" w:hAnsi="宋体" w:cs="宋体"/>
          <w:color w:val="auto"/>
          <w:sz w:val="24"/>
          <w:szCs w:val="24"/>
          <w:highlight w:val="none"/>
        </w:rPr>
        <w:br w:type="page"/>
      </w:r>
      <w:bookmarkStart w:id="339" w:name="_Toc10324"/>
      <w:r>
        <w:rPr>
          <w:rFonts w:hint="eastAsia" w:ascii="宋体" w:hAnsi="宋体" w:cs="宋体"/>
          <w:b/>
          <w:snapToGrid w:val="0"/>
          <w:color w:val="auto"/>
          <w:sz w:val="32"/>
          <w:szCs w:val="32"/>
          <w:highlight w:val="none"/>
        </w:rPr>
        <w:t>资格审查表（格式）</w:t>
      </w:r>
      <w:bookmarkEnd w:id="339"/>
    </w:p>
    <w:p>
      <w:pPr>
        <w:spacing w:before="120" w:beforeLines="50"/>
        <w:rPr>
          <w:rFonts w:hint="eastAsia" w:ascii="宋体" w:hAnsi="宋体" w:eastAsia="宋体" w:cs="宋体"/>
          <w:snapToGrid w:val="0"/>
          <w:color w:val="auto"/>
          <w:sz w:val="24"/>
          <w:highlight w:val="none"/>
          <w:u w:val="single"/>
          <w:lang w:eastAsia="zh-CN"/>
        </w:rPr>
      </w:pPr>
      <w:r>
        <w:rPr>
          <w:rFonts w:hint="eastAsia" w:ascii="宋体" w:hAnsi="宋体" w:cs="宋体"/>
          <w:snapToGrid w:val="0"/>
          <w:color w:val="auto"/>
          <w:sz w:val="24"/>
          <w:highlight w:val="none"/>
        </w:rPr>
        <w:t>项目名称：</w:t>
      </w:r>
      <w:r>
        <w:rPr>
          <w:rFonts w:hint="eastAsia" w:ascii="宋体" w:hAnsi="宋体" w:cs="宋体"/>
          <w:snapToGrid w:val="0"/>
          <w:color w:val="auto"/>
          <w:sz w:val="24"/>
          <w:highlight w:val="none"/>
          <w:lang w:eastAsia="zh-CN"/>
        </w:rPr>
        <w:t>消毒灭菌装置</w:t>
      </w:r>
    </w:p>
    <w:p>
      <w:pPr>
        <w:rPr>
          <w:rFonts w:hint="eastAsia" w:ascii="宋体" w:hAnsi="宋体" w:eastAsia="宋体" w:cs="宋体"/>
          <w:snapToGrid w:val="0"/>
          <w:color w:val="auto"/>
          <w:sz w:val="24"/>
          <w:highlight w:val="none"/>
          <w:lang w:eastAsia="zh-CN"/>
        </w:rPr>
      </w:pPr>
      <w:r>
        <w:rPr>
          <w:rFonts w:hint="eastAsia" w:ascii="宋体" w:hAnsi="宋体" w:cs="宋体"/>
          <w:snapToGrid w:val="0"/>
          <w:color w:val="auto"/>
          <w:sz w:val="24"/>
          <w:highlight w:val="none"/>
        </w:rPr>
        <w:t>项目编号：0613-</w:t>
      </w:r>
      <w:r>
        <w:rPr>
          <w:rFonts w:hint="eastAsia" w:ascii="宋体" w:hAnsi="宋体" w:cs="宋体"/>
          <w:snapToGrid w:val="0"/>
          <w:color w:val="auto"/>
          <w:sz w:val="24"/>
          <w:highlight w:val="none"/>
          <w:lang w:eastAsia="zh-CN"/>
        </w:rPr>
        <w:t>247123066049</w:t>
      </w:r>
    </w:p>
    <w:tbl>
      <w:tblPr>
        <w:tblStyle w:val="32"/>
        <w:tblW w:w="84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805"/>
        <w:gridCol w:w="2503"/>
        <w:gridCol w:w="3621"/>
        <w:gridCol w:w="15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3" w:hRule="atLeast"/>
        </w:trPr>
        <w:tc>
          <w:tcPr>
            <w:tcW w:w="805" w:type="dxa"/>
            <w:vAlign w:val="center"/>
          </w:tcPr>
          <w:p>
            <w:pPr>
              <w:autoSpaceDE w:val="0"/>
              <w:autoSpaceDN w:val="0"/>
              <w:jc w:val="center"/>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序号</w:t>
            </w:r>
          </w:p>
        </w:tc>
        <w:tc>
          <w:tcPr>
            <w:tcW w:w="2503" w:type="dxa"/>
            <w:vAlign w:val="center"/>
          </w:tcPr>
          <w:p>
            <w:pPr>
              <w:autoSpaceDE w:val="0"/>
              <w:autoSpaceDN w:val="0"/>
              <w:snapToGrid w:val="0"/>
              <w:jc w:val="center"/>
              <w:rPr>
                <w:rFonts w:hint="eastAsia" w:ascii="宋体" w:hAnsi="宋体" w:cs="宋体"/>
                <w:b/>
                <w:bCs/>
                <w:snapToGrid w:val="0"/>
                <w:color w:val="auto"/>
                <w:szCs w:val="21"/>
                <w:highlight w:val="none"/>
              </w:rPr>
            </w:pPr>
            <w:r>
              <w:rPr>
                <w:rFonts w:hint="eastAsia" w:ascii="宋体" w:hAnsi="宋体" w:cs="宋体"/>
                <w:b/>
                <w:bCs/>
                <w:snapToGrid w:val="0"/>
                <w:color w:val="auto"/>
                <w:szCs w:val="21"/>
                <w:highlight w:val="none"/>
              </w:rPr>
              <w:t>资格要求</w:t>
            </w:r>
          </w:p>
        </w:tc>
        <w:tc>
          <w:tcPr>
            <w:tcW w:w="3621" w:type="dxa"/>
            <w:tcBorders>
              <w:bottom w:val="single" w:color="auto" w:sz="4" w:space="0"/>
            </w:tcBorders>
          </w:tcPr>
          <w:p>
            <w:pPr>
              <w:autoSpaceDE w:val="0"/>
              <w:autoSpaceDN w:val="0"/>
              <w:snapToGrid w:val="0"/>
              <w:jc w:val="center"/>
              <w:rPr>
                <w:rFonts w:hint="eastAsia" w:ascii="宋体" w:hAnsi="宋体" w:cs="宋体"/>
                <w:color w:val="auto"/>
                <w:szCs w:val="21"/>
                <w:highlight w:val="none"/>
              </w:rPr>
            </w:pPr>
            <w:r>
              <w:rPr>
                <w:rFonts w:hint="eastAsia" w:ascii="宋体" w:hAnsi="宋体" w:cs="宋体"/>
                <w:b/>
                <w:bCs/>
                <w:snapToGrid w:val="0"/>
                <w:color w:val="auto"/>
                <w:szCs w:val="21"/>
                <w:highlight w:val="none"/>
              </w:rPr>
              <w:t>要求提供的证明材料</w:t>
            </w:r>
          </w:p>
        </w:tc>
        <w:tc>
          <w:tcPr>
            <w:tcW w:w="1531" w:type="dxa"/>
            <w:tcBorders>
              <w:bottom w:val="single" w:color="auto" w:sz="4" w:space="0"/>
            </w:tcBorders>
            <w:vAlign w:val="center"/>
          </w:tcPr>
          <w:p>
            <w:pPr>
              <w:autoSpaceDE w:val="0"/>
              <w:autoSpaceDN w:val="0"/>
              <w:snapToGrid w:val="0"/>
              <w:jc w:val="center"/>
              <w:rPr>
                <w:rFonts w:hint="eastAsia" w:ascii="宋体" w:hAnsi="宋体" w:cs="宋体"/>
                <w:b/>
                <w:color w:val="auto"/>
                <w:szCs w:val="21"/>
                <w:highlight w:val="none"/>
              </w:rPr>
            </w:pPr>
            <w:r>
              <w:rPr>
                <w:rFonts w:hint="eastAsia" w:ascii="宋体" w:hAnsi="宋体" w:cs="宋体"/>
                <w:b/>
                <w:color w:val="auto"/>
                <w:szCs w:val="21"/>
                <w:highlight w:val="none"/>
              </w:rPr>
              <w:t>响应内容所在投标文件页数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符合《中华人民共和国政府采购法》第二十二条规定的供应商。</w:t>
            </w:r>
          </w:p>
        </w:tc>
        <w:tc>
          <w:tcPr>
            <w:tcW w:w="3621" w:type="dxa"/>
            <w:tcBorders>
              <w:tl2br w:val="single" w:color="auto" w:sz="4" w:space="0"/>
            </w:tcBorders>
            <w:vAlign w:val="center"/>
          </w:tcPr>
          <w:p>
            <w:pPr>
              <w:autoSpaceDE w:val="0"/>
              <w:autoSpaceDN w:val="0"/>
              <w:rPr>
                <w:rFonts w:hint="eastAsia" w:ascii="宋体" w:hAnsi="宋体" w:cs="宋体"/>
                <w:bCs/>
                <w:snapToGrid w:val="0"/>
                <w:color w:val="auto"/>
                <w:szCs w:val="21"/>
                <w:highlight w:val="none"/>
              </w:rPr>
            </w:pP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5"/>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color w:val="auto"/>
                <w:szCs w:val="21"/>
                <w:highlight w:val="none"/>
              </w:rPr>
              <w:t>具有独立承担民事责任的能力</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营业执照</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5"/>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color w:val="auto"/>
                <w:szCs w:val="21"/>
                <w:highlight w:val="none"/>
              </w:rPr>
              <w:t>具有良好的商业信誉和健全的财务会计制度</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近2年（2022年和2023年）财务报告或银行资信证明或财政部门认可的政府采购专业担保机构出具的投标担保函</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5"/>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color w:val="auto"/>
                <w:szCs w:val="21"/>
                <w:highlight w:val="none"/>
              </w:rPr>
              <w:t>具有履行合同所必需的设备和专业技术能力</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投标人基本情况</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5"/>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color w:val="auto"/>
                <w:szCs w:val="21"/>
                <w:highlight w:val="none"/>
              </w:rPr>
              <w:t>有依法缴纳税收和社会保障资金的良好记录</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近6个月内任意一个月的缴税证明；近6个月内任意一个月的缴纳社会保险的证明文件；依法免税或不需要缴纳社会保障资金的证明</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5"/>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color w:val="auto"/>
                <w:szCs w:val="21"/>
                <w:highlight w:val="none"/>
              </w:rPr>
              <w:t>参加本次政府采购活动前三年内，在经营活动中没有重大违法记录</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color w:val="auto"/>
                <w:szCs w:val="21"/>
                <w:highlight w:val="none"/>
              </w:rPr>
            </w:pPr>
            <w:r>
              <w:rPr>
                <w:rFonts w:hint="eastAsia" w:ascii="宋体" w:hAnsi="宋体" w:cs="宋体"/>
                <w:color w:val="auto"/>
                <w:szCs w:val="21"/>
                <w:highlight w:val="none"/>
              </w:rPr>
              <w:t>没有重大违法记录的书面声明</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未被“信用中国”网站（www.creditchina.gov.cn）、中国政府采购网（www.ccgp.gov.cn）列入失信被执行人、重大税收违法案件当事人名单、政府采购严重违法失信名单</w:t>
            </w:r>
          </w:p>
        </w:tc>
        <w:tc>
          <w:tcPr>
            <w:tcW w:w="3621" w:type="dxa"/>
            <w:vAlign w:val="center"/>
          </w:tcPr>
          <w:p>
            <w:pPr>
              <w:autoSpaceDE w:val="0"/>
              <w:autoSpaceDN w:val="0"/>
              <w:jc w:val="center"/>
              <w:rPr>
                <w:rFonts w:hint="eastAsia" w:ascii="宋体" w:hAnsi="宋体" w:cs="宋体"/>
                <w:bCs/>
                <w:snapToGrid w:val="0"/>
                <w:color w:val="auto"/>
                <w:szCs w:val="21"/>
                <w:highlight w:val="none"/>
              </w:rPr>
            </w:pPr>
            <w:r>
              <w:rPr>
                <w:rFonts w:hint="eastAsia" w:ascii="宋体" w:hAnsi="宋体" w:cs="宋体"/>
                <w:color w:val="auto"/>
                <w:szCs w:val="21"/>
                <w:highlight w:val="none"/>
              </w:rPr>
              <w:t>（无需提供，由招标人或招标代理机构在资格审查时从 “信用中国”、中国政府采购网网站查询并打印）</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color w:val="auto"/>
                <w:szCs w:val="21"/>
                <w:highlight w:val="none"/>
              </w:rPr>
            </w:pPr>
            <w:r>
              <w:rPr>
                <w:rFonts w:hint="eastAsia" w:ascii="宋体" w:hAnsi="宋体" w:cs="宋体"/>
                <w:bCs/>
                <w:color w:val="auto"/>
                <w:szCs w:val="21"/>
                <w:highlight w:val="none"/>
              </w:rPr>
              <w:t>在投标截止时间前三年内投标人或其单位负责人、拟委任的项目负责人无行贿犯罪行为</w:t>
            </w:r>
          </w:p>
        </w:tc>
        <w:tc>
          <w:tcPr>
            <w:tcW w:w="3621" w:type="dxa"/>
            <w:vAlign w:val="center"/>
          </w:tcPr>
          <w:p>
            <w:pPr>
              <w:autoSpaceDE w:val="0"/>
              <w:autoSpaceDN w:val="0"/>
              <w:rPr>
                <w:rFonts w:hint="eastAsia" w:ascii="宋体" w:hAnsi="宋体" w:cs="宋体"/>
                <w:bCs/>
                <w:snapToGrid w:val="0"/>
                <w:color w:val="auto"/>
                <w:szCs w:val="21"/>
                <w:highlight w:val="none"/>
              </w:rPr>
            </w:pPr>
            <w:r>
              <w:rPr>
                <w:rFonts w:hint="eastAsia" w:ascii="宋体" w:hAnsi="宋体" w:cs="宋体"/>
                <w:color w:val="auto"/>
                <w:szCs w:val="21"/>
                <w:highlight w:val="none"/>
              </w:rPr>
              <w:t>没有行贿犯罪记录的书面声明</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与本项目招标代理机构的负责人为同一人或者存在直接控股和管理关系的供应商不得参加本次政府采购活动</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bCs/>
                <w:snapToGrid w:val="0"/>
                <w:color w:val="auto"/>
                <w:szCs w:val="21"/>
                <w:highlight w:val="none"/>
              </w:rPr>
            </w:pPr>
            <w:r>
              <w:rPr>
                <w:rFonts w:hint="eastAsia" w:ascii="宋体" w:hAnsi="宋体" w:cs="宋体"/>
                <w:color w:val="auto"/>
                <w:szCs w:val="21"/>
                <w:highlight w:val="none"/>
              </w:rPr>
              <w:t>投标函</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color w:val="auto"/>
                <w:szCs w:val="21"/>
                <w:highlight w:val="none"/>
              </w:rPr>
            </w:pPr>
            <w:r>
              <w:rPr>
                <w:rFonts w:hint="eastAsia" w:ascii="宋体" w:hAnsi="宋体" w:cs="宋体"/>
                <w:color w:val="auto"/>
                <w:szCs w:val="21"/>
                <w:highlight w:val="none"/>
              </w:rPr>
              <w:t>单位负责人为同一人或者存在直接控股、管理关系的不同投标人，不得同时参加同一包件的投标或者未划分包件的同一招标项目的投标</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bCs/>
                <w:snapToGrid w:val="0"/>
                <w:color w:val="auto"/>
                <w:szCs w:val="21"/>
                <w:highlight w:val="none"/>
              </w:rPr>
            </w:pPr>
            <w:r>
              <w:rPr>
                <w:rFonts w:hint="eastAsia" w:ascii="宋体" w:hAnsi="宋体" w:cs="宋体"/>
                <w:color w:val="auto"/>
                <w:szCs w:val="21"/>
                <w:highlight w:val="none"/>
              </w:rPr>
              <w:t>投标人基本情况</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rPr>
            </w:pPr>
            <w:r>
              <w:rPr>
                <w:rFonts w:hint="eastAsia" w:ascii="宋体" w:hAnsi="宋体" w:cs="宋体"/>
                <w:color w:val="auto"/>
                <w:szCs w:val="21"/>
                <w:highlight w:val="none"/>
              </w:rPr>
              <w:t>为本项目提供整体设计、规范编制或者项目管理、监理、检测等服务的供应商不得参加本次政府采购活动</w:t>
            </w:r>
            <w:r>
              <w:rPr>
                <w:rFonts w:hint="eastAsia" w:ascii="宋体" w:hAnsi="宋体" w:cs="宋体"/>
                <w:bCs/>
                <w:snapToGrid w:val="0"/>
                <w:color w:val="auto"/>
                <w:szCs w:val="21"/>
                <w:highlight w:val="none"/>
              </w:rPr>
              <w:t>。</w:t>
            </w:r>
          </w:p>
        </w:tc>
        <w:tc>
          <w:tcPr>
            <w:tcW w:w="3621" w:type="dxa"/>
            <w:vAlign w:val="center"/>
          </w:tcPr>
          <w:p>
            <w:pPr>
              <w:autoSpaceDE w:val="0"/>
              <w:autoSpaceDN w:val="0"/>
              <w:jc w:val="center"/>
              <w:rPr>
                <w:rFonts w:hint="eastAsia" w:ascii="宋体" w:hAnsi="宋体" w:cs="宋体"/>
                <w:bCs/>
                <w:snapToGrid w:val="0"/>
                <w:color w:val="auto"/>
                <w:szCs w:val="21"/>
                <w:highlight w:val="none"/>
              </w:rPr>
            </w:pPr>
            <w:r>
              <w:rPr>
                <w:rFonts w:hint="eastAsia" w:ascii="宋体" w:hAnsi="宋体" w:cs="宋体"/>
                <w:color w:val="auto"/>
                <w:szCs w:val="21"/>
                <w:highlight w:val="none"/>
              </w:rPr>
              <w:t>投标函</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6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jc w:val="left"/>
              <w:rPr>
                <w:rFonts w:hint="eastAsia" w:ascii="宋体" w:hAnsi="宋体" w:cs="宋体"/>
                <w:bCs/>
                <w:snapToGrid w:val="0"/>
                <w:color w:val="auto"/>
                <w:szCs w:val="21"/>
                <w:highlight w:val="none"/>
                <w:u w:val="single"/>
              </w:rPr>
            </w:pPr>
            <w:r>
              <w:rPr>
                <w:rFonts w:hint="eastAsia" w:ascii="宋体" w:hAnsi="宋体" w:cs="宋体"/>
                <w:iCs/>
                <w:color w:val="auto"/>
                <w:szCs w:val="21"/>
                <w:highlight w:val="none"/>
              </w:rPr>
              <w:t>资质要求：（1）投标产品具备国家相关行业主管部门颁发的有效期内的医疗器械注册证（备案证）。（2）如投标人不是所投产品的制造商，应具备与本次招标内容相适应的有效期内的医疗器械经营许可证（备案证）；如投标人是所投产品的制造商，应具备与本次招标内容相适应的有效期内的医疗器械生产许可证（备案证）</w:t>
            </w:r>
          </w:p>
        </w:tc>
        <w:tc>
          <w:tcPr>
            <w:tcW w:w="3621" w:type="dxa"/>
            <w:vAlign w:val="center"/>
          </w:tcPr>
          <w:p>
            <w:pPr>
              <w:autoSpaceDE w:val="0"/>
              <w:autoSpaceDN w:val="0"/>
              <w:jc w:val="center"/>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资质证书复印件</w:t>
            </w:r>
          </w:p>
        </w:tc>
        <w:tc>
          <w:tcPr>
            <w:tcW w:w="1531" w:type="dxa"/>
            <w:vAlign w:val="center"/>
          </w:tcPr>
          <w:p>
            <w:pPr>
              <w:autoSpaceDE w:val="0"/>
              <w:autoSpaceDN w:val="0"/>
              <w:jc w:val="center"/>
              <w:rPr>
                <w:rFonts w:hint="eastAsia" w:ascii="宋体" w:hAnsi="宋体" w:cs="宋体"/>
                <w:bCs/>
                <w:snapToGrid w:val="0"/>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227" w:hRule="atLeast"/>
        </w:trPr>
        <w:tc>
          <w:tcPr>
            <w:tcW w:w="805" w:type="dxa"/>
            <w:vAlign w:val="center"/>
          </w:tcPr>
          <w:p>
            <w:pPr>
              <w:numPr>
                <w:ilvl w:val="0"/>
                <w:numId w:val="24"/>
              </w:numPr>
              <w:jc w:val="center"/>
              <w:rPr>
                <w:rFonts w:hint="eastAsia" w:ascii="宋体" w:hAnsi="宋体" w:cs="宋体"/>
                <w:bCs/>
                <w:snapToGrid w:val="0"/>
                <w:color w:val="auto"/>
                <w:szCs w:val="21"/>
                <w:highlight w:val="none"/>
              </w:rPr>
            </w:pPr>
          </w:p>
        </w:tc>
        <w:tc>
          <w:tcPr>
            <w:tcW w:w="2503" w:type="dxa"/>
            <w:vAlign w:val="center"/>
          </w:tcPr>
          <w:p>
            <w:pPr>
              <w:autoSpaceDE w:val="0"/>
              <w:autoSpaceDN w:val="0"/>
              <w:jc w:val="left"/>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本次招标不接受联合体投标。</w:t>
            </w:r>
          </w:p>
        </w:tc>
        <w:tc>
          <w:tcPr>
            <w:tcW w:w="3621" w:type="dxa"/>
            <w:vAlign w:val="center"/>
          </w:tcPr>
          <w:p>
            <w:pPr>
              <w:autoSpaceDE w:val="0"/>
              <w:autoSpaceDN w:val="0"/>
              <w:jc w:val="center"/>
              <w:rPr>
                <w:rFonts w:hint="eastAsia" w:ascii="宋体" w:hAnsi="宋体" w:cs="宋体"/>
                <w:bCs/>
                <w:i/>
                <w:snapToGrid w:val="0"/>
                <w:color w:val="auto"/>
                <w:szCs w:val="21"/>
                <w:highlight w:val="none"/>
              </w:rPr>
            </w:pPr>
            <w:r>
              <w:rPr>
                <w:rFonts w:hint="eastAsia" w:ascii="宋体" w:hAnsi="宋体" w:cs="宋体"/>
                <w:bCs/>
                <w:iCs/>
                <w:snapToGrid w:val="0"/>
                <w:color w:val="auto"/>
                <w:szCs w:val="21"/>
                <w:highlight w:val="none"/>
              </w:rPr>
              <w:t>独立投标</w:t>
            </w:r>
          </w:p>
        </w:tc>
        <w:tc>
          <w:tcPr>
            <w:tcW w:w="1531" w:type="dxa"/>
            <w:vAlign w:val="center"/>
          </w:tcPr>
          <w:p>
            <w:pPr>
              <w:autoSpaceDE w:val="0"/>
              <w:autoSpaceDN w:val="0"/>
              <w:jc w:val="center"/>
              <w:rPr>
                <w:rFonts w:hint="eastAsia" w:ascii="宋体" w:hAnsi="宋体" w:cs="宋体"/>
                <w:bCs/>
                <w:snapToGrid w:val="0"/>
                <w:color w:val="auto"/>
                <w:szCs w:val="21"/>
                <w:highlight w:val="none"/>
              </w:rPr>
            </w:pPr>
            <w:r>
              <w:rPr>
                <w:rFonts w:hint="eastAsia" w:ascii="宋体" w:hAnsi="宋体" w:cs="宋体"/>
                <w:bCs/>
                <w:snapToGrid w:val="0"/>
                <w:color w:val="auto"/>
                <w:szCs w:val="21"/>
                <w:highlight w:val="none"/>
              </w:rPr>
              <w:t>/</w:t>
            </w:r>
          </w:p>
        </w:tc>
      </w:tr>
    </w:tbl>
    <w:p>
      <w:pPr>
        <w:pStyle w:val="5"/>
        <w:keepNext w:val="0"/>
        <w:keepLines w:val="0"/>
        <w:spacing w:before="0" w:after="0" w:line="360" w:lineRule="auto"/>
        <w:jc w:val="center"/>
        <w:rPr>
          <w:rFonts w:hint="eastAsia" w:ascii="宋体" w:hAnsi="宋体" w:eastAsia="宋体" w:cs="宋体"/>
          <w:color w:val="auto"/>
          <w:sz w:val="24"/>
          <w:szCs w:val="24"/>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br w:type="page"/>
      </w:r>
      <w:bookmarkStart w:id="340" w:name="_Toc29791"/>
      <w:bookmarkStart w:id="341" w:name="_Toc457748065"/>
      <w:bookmarkStart w:id="342" w:name="_Toc3823"/>
      <w:r>
        <w:rPr>
          <w:rFonts w:hint="eastAsia" w:ascii="宋体" w:hAnsi="宋体" w:eastAsia="宋体" w:cs="宋体"/>
          <w:color w:val="auto"/>
          <w:sz w:val="30"/>
          <w:szCs w:val="30"/>
          <w:highlight w:val="none"/>
        </w:rPr>
        <w:t>技术偏差表</w:t>
      </w:r>
      <w:bookmarkEnd w:id="340"/>
      <w:bookmarkEnd w:id="341"/>
      <w:bookmarkEnd w:id="342"/>
    </w:p>
    <w:tbl>
      <w:tblPr>
        <w:tblStyle w:val="32"/>
        <w:tblW w:w="830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85" w:type="dxa"/>
          <w:left w:w="28" w:type="dxa"/>
          <w:bottom w:w="85" w:type="dxa"/>
          <w:right w:w="28" w:type="dxa"/>
        </w:tblCellMar>
      </w:tblPr>
      <w:tblGrid>
        <w:gridCol w:w="679"/>
        <w:gridCol w:w="1527"/>
        <w:gridCol w:w="1817"/>
        <w:gridCol w:w="1557"/>
        <w:gridCol w:w="1682"/>
        <w:gridCol w:w="10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序号</w:t>
            </w:r>
          </w:p>
        </w:tc>
        <w:tc>
          <w:tcPr>
            <w:tcW w:w="1527"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招标文件章节及条款号</w:t>
            </w:r>
          </w:p>
        </w:tc>
        <w:tc>
          <w:tcPr>
            <w:tcW w:w="1817"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招标要求</w:t>
            </w:r>
          </w:p>
        </w:tc>
        <w:tc>
          <w:tcPr>
            <w:tcW w:w="1557"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kern w:val="0"/>
                <w:szCs w:val="21"/>
                <w:highlight w:val="none"/>
              </w:rPr>
              <w:t>投标文件章节及条款号</w:t>
            </w:r>
          </w:p>
        </w:tc>
        <w:tc>
          <w:tcPr>
            <w:tcW w:w="1682"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投标响应</w:t>
            </w:r>
          </w:p>
        </w:tc>
        <w:tc>
          <w:tcPr>
            <w:tcW w:w="1038" w:type="dxa"/>
            <w:vAlign w:val="center"/>
          </w:tcPr>
          <w:p>
            <w:pPr>
              <w:spacing w:line="400" w:lineRule="exact"/>
              <w:jc w:val="center"/>
              <w:rPr>
                <w:rFonts w:hint="eastAsia" w:ascii="宋体" w:hAnsi="宋体" w:cs="宋体"/>
                <w:color w:val="auto"/>
                <w:szCs w:val="21"/>
                <w:highlight w:val="none"/>
              </w:rPr>
            </w:pPr>
            <w:r>
              <w:rPr>
                <w:rFonts w:hint="eastAsia" w:ascii="宋体" w:hAnsi="宋体" w:cs="宋体"/>
                <w:color w:val="auto"/>
                <w:szCs w:val="21"/>
                <w:highlight w:val="none"/>
              </w:rPr>
              <w:t>偏差说明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85" w:type="dxa"/>
            <w:left w:w="28" w:type="dxa"/>
            <w:bottom w:w="85" w:type="dxa"/>
            <w:right w:w="28" w:type="dxa"/>
          </w:tblCellMar>
        </w:tblPrEx>
        <w:tc>
          <w:tcPr>
            <w:tcW w:w="679" w:type="dxa"/>
            <w:vAlign w:val="center"/>
          </w:tcPr>
          <w:p>
            <w:pPr>
              <w:spacing w:line="400" w:lineRule="exact"/>
              <w:jc w:val="center"/>
              <w:rPr>
                <w:rFonts w:hint="eastAsia" w:ascii="宋体" w:hAnsi="宋体" w:cs="宋体"/>
                <w:color w:val="auto"/>
                <w:szCs w:val="21"/>
                <w:highlight w:val="none"/>
              </w:rPr>
            </w:pPr>
          </w:p>
        </w:tc>
        <w:tc>
          <w:tcPr>
            <w:tcW w:w="1527" w:type="dxa"/>
            <w:vAlign w:val="center"/>
          </w:tcPr>
          <w:p>
            <w:pPr>
              <w:spacing w:line="400" w:lineRule="exact"/>
              <w:jc w:val="center"/>
              <w:rPr>
                <w:rFonts w:hint="eastAsia" w:ascii="宋体" w:hAnsi="宋体" w:cs="宋体"/>
                <w:color w:val="auto"/>
                <w:szCs w:val="21"/>
                <w:highlight w:val="none"/>
              </w:rPr>
            </w:pPr>
          </w:p>
        </w:tc>
        <w:tc>
          <w:tcPr>
            <w:tcW w:w="1817" w:type="dxa"/>
            <w:vAlign w:val="center"/>
          </w:tcPr>
          <w:p>
            <w:pPr>
              <w:spacing w:line="400" w:lineRule="exact"/>
              <w:jc w:val="center"/>
              <w:rPr>
                <w:rFonts w:hint="eastAsia" w:ascii="宋体" w:hAnsi="宋体" w:cs="宋体"/>
                <w:color w:val="auto"/>
                <w:szCs w:val="21"/>
                <w:highlight w:val="none"/>
              </w:rPr>
            </w:pPr>
          </w:p>
        </w:tc>
        <w:tc>
          <w:tcPr>
            <w:tcW w:w="1557" w:type="dxa"/>
            <w:vAlign w:val="center"/>
          </w:tcPr>
          <w:p>
            <w:pPr>
              <w:spacing w:line="400" w:lineRule="exact"/>
              <w:jc w:val="center"/>
              <w:rPr>
                <w:rFonts w:hint="eastAsia" w:ascii="宋体" w:hAnsi="宋体" w:cs="宋体"/>
                <w:color w:val="auto"/>
                <w:szCs w:val="21"/>
                <w:highlight w:val="none"/>
              </w:rPr>
            </w:pPr>
          </w:p>
        </w:tc>
        <w:tc>
          <w:tcPr>
            <w:tcW w:w="1682" w:type="dxa"/>
            <w:vAlign w:val="center"/>
          </w:tcPr>
          <w:p>
            <w:pPr>
              <w:spacing w:line="400" w:lineRule="exact"/>
              <w:jc w:val="center"/>
              <w:rPr>
                <w:rFonts w:hint="eastAsia" w:ascii="宋体" w:hAnsi="宋体" w:cs="宋体"/>
                <w:color w:val="auto"/>
                <w:szCs w:val="21"/>
                <w:highlight w:val="none"/>
              </w:rPr>
            </w:pPr>
          </w:p>
        </w:tc>
        <w:tc>
          <w:tcPr>
            <w:tcW w:w="1038" w:type="dxa"/>
            <w:vAlign w:val="center"/>
          </w:tcPr>
          <w:p>
            <w:pPr>
              <w:spacing w:line="400" w:lineRule="exact"/>
              <w:jc w:val="center"/>
              <w:rPr>
                <w:rFonts w:hint="eastAsia" w:ascii="宋体" w:hAnsi="宋体" w:cs="宋体"/>
                <w:color w:val="auto"/>
                <w:szCs w:val="21"/>
                <w:highlight w:val="none"/>
              </w:rPr>
            </w:pPr>
          </w:p>
        </w:tc>
      </w:tr>
    </w:tbl>
    <w:p>
      <w:pPr>
        <w:spacing w:after="120"/>
        <w:jc w:val="left"/>
        <w:rPr>
          <w:rFonts w:hint="eastAsia" w:ascii="宋体" w:hAnsi="宋体" w:cs="宋体"/>
          <w:color w:val="auto"/>
          <w:szCs w:val="21"/>
          <w:highlight w:val="none"/>
        </w:rPr>
      </w:pPr>
      <w:r>
        <w:rPr>
          <w:rFonts w:hint="eastAsia" w:ascii="宋体" w:hAnsi="宋体" w:cs="宋体"/>
          <w:color w:val="auto"/>
          <w:szCs w:val="21"/>
          <w:highlight w:val="none"/>
        </w:rPr>
        <w:t>说明：本表是对招标文件第五章《采购需求》技术要求的</w:t>
      </w:r>
      <w:r>
        <w:rPr>
          <w:rFonts w:hint="eastAsia" w:ascii="宋体" w:hAnsi="宋体" w:cs="宋体"/>
          <w:b/>
          <w:bCs/>
          <w:color w:val="auto"/>
          <w:sz w:val="28"/>
          <w:szCs w:val="28"/>
          <w:highlight w:val="none"/>
        </w:rPr>
        <w:t>所有条款</w:t>
      </w:r>
      <w:r>
        <w:rPr>
          <w:rFonts w:hint="eastAsia" w:ascii="宋体" w:hAnsi="宋体" w:cs="宋体"/>
          <w:color w:val="auto"/>
          <w:szCs w:val="21"/>
          <w:highlight w:val="none"/>
        </w:rPr>
        <w:t>逐条应答，投标人可自行设定格式。如未逐条应答，是投标人的风险，则按不利于投标人的原则评审，并可能导致投标无效。</w:t>
      </w:r>
    </w:p>
    <w:p>
      <w:pPr>
        <w:spacing w:after="120"/>
        <w:jc w:val="left"/>
        <w:rPr>
          <w:rFonts w:hint="eastAsia" w:ascii="宋体" w:hAnsi="宋体" w:cs="宋体"/>
          <w:color w:val="auto"/>
          <w:szCs w:val="21"/>
          <w:highlight w:val="none"/>
        </w:rPr>
      </w:pPr>
      <w:r>
        <w:rPr>
          <w:rFonts w:hint="eastAsia" w:ascii="宋体" w:hAnsi="宋体" w:cs="宋体"/>
          <w:color w:val="auto"/>
          <w:szCs w:val="21"/>
          <w:highlight w:val="none"/>
        </w:rPr>
        <w:t>首先对实现或满足程度明确作出“满足”、“不满足”，或 “部分满足”的应答，然后作出具体、详细的说明。</w:t>
      </w:r>
    </w:p>
    <w:p>
      <w:pPr>
        <w:spacing w:line="360" w:lineRule="auto"/>
        <w:rPr>
          <w:rFonts w:hint="eastAsia" w:ascii="宋体" w:hAnsi="宋体" w:cs="宋体"/>
          <w:b/>
          <w:bCs/>
          <w:color w:val="auto"/>
          <w:szCs w:val="21"/>
          <w:highlight w:val="none"/>
        </w:rPr>
      </w:pPr>
      <w:r>
        <w:rPr>
          <w:rFonts w:hint="eastAsia" w:ascii="宋体" w:hAnsi="宋体" w:cs="宋体"/>
          <w:color w:val="auto"/>
          <w:szCs w:val="21"/>
          <w:highlight w:val="none"/>
        </w:rPr>
        <w:t>凡采用“详见”，“参见”方式说明的，应添加指向性的章节及页码。</w:t>
      </w:r>
    </w:p>
    <w:p>
      <w:pPr>
        <w:spacing w:line="360" w:lineRule="auto"/>
        <w:rPr>
          <w:rFonts w:hint="eastAsia" w:ascii="宋体" w:hAnsi="宋体" w:cs="宋体"/>
          <w:b/>
          <w:color w:val="auto"/>
          <w:szCs w:val="21"/>
          <w:highlight w:val="none"/>
        </w:rPr>
      </w:pPr>
    </w:p>
    <w:p>
      <w:pPr>
        <w:spacing w:line="360" w:lineRule="auto"/>
        <w:rPr>
          <w:rFonts w:hint="eastAsia" w:ascii="宋体" w:hAnsi="宋体" w:cs="宋体"/>
          <w:b/>
          <w:color w:val="auto"/>
          <w:szCs w:val="21"/>
          <w:highlight w:val="none"/>
        </w:rPr>
      </w:pPr>
    </w:p>
    <w:p>
      <w:pPr>
        <w:tabs>
          <w:tab w:val="left" w:pos="794"/>
          <w:tab w:val="left" w:pos="2129"/>
          <w:tab w:val="left" w:pos="3209"/>
          <w:tab w:val="left" w:pos="4289"/>
          <w:tab w:val="left" w:pos="5369"/>
          <w:tab w:val="left" w:pos="6449"/>
          <w:tab w:val="left" w:pos="7529"/>
          <w:tab w:val="left" w:pos="9074"/>
        </w:tabs>
        <w:autoSpaceDE w:val="0"/>
        <w:autoSpaceDN w:val="0"/>
        <w:adjustRightIn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投标人名称：</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（盖单位公章）</w:t>
      </w:r>
    </w:p>
    <w:p>
      <w:pPr>
        <w:topLinePunct/>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法定代表人（单位负责人）或其委托代理人：</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（签字或盖章）</w:t>
      </w: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p>
    <w:p>
      <w:pPr>
        <w:pStyle w:val="5"/>
        <w:keepNext w:val="0"/>
        <w:keepLines w:val="0"/>
        <w:spacing w:before="0" w:after="0" w:line="360" w:lineRule="auto"/>
        <w:jc w:val="center"/>
        <w:rPr>
          <w:rFonts w:hint="eastAsia" w:ascii="宋体" w:hAnsi="宋体" w:eastAsia="宋体" w:cs="宋体"/>
          <w:color w:val="auto"/>
          <w:sz w:val="30"/>
          <w:szCs w:val="30"/>
          <w:highlight w:val="none"/>
        </w:rPr>
      </w:pPr>
      <w:r>
        <w:rPr>
          <w:rFonts w:hint="eastAsia" w:ascii="宋体" w:hAnsi="宋体" w:eastAsia="宋体" w:cs="宋体"/>
          <w:color w:val="auto"/>
          <w:sz w:val="24"/>
          <w:szCs w:val="24"/>
          <w:highlight w:val="none"/>
        </w:rPr>
        <w:br w:type="page"/>
      </w:r>
      <w:bookmarkStart w:id="343" w:name="_Toc21289"/>
      <w:bookmarkStart w:id="344" w:name="_Toc1632"/>
      <w:r>
        <w:rPr>
          <w:rFonts w:hint="eastAsia" w:ascii="宋体" w:hAnsi="宋体" w:eastAsia="宋体" w:cs="宋体"/>
          <w:color w:val="auto"/>
          <w:sz w:val="30"/>
          <w:szCs w:val="30"/>
          <w:highlight w:val="none"/>
        </w:rPr>
        <w:t>投标技术性能指标详细描述</w:t>
      </w:r>
      <w:bookmarkEnd w:id="343"/>
      <w:bookmarkEnd w:id="344"/>
    </w:p>
    <w:p>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格式自拟</w:t>
      </w:r>
      <w:r>
        <w:rPr>
          <w:rFonts w:hint="eastAsia" w:ascii="宋体" w:hAnsi="宋体" w:cs="宋体"/>
          <w:color w:val="auto"/>
          <w:szCs w:val="21"/>
          <w:highlight w:val="none"/>
        </w:rPr>
        <w:t>）</w:t>
      </w:r>
    </w:p>
    <w:p>
      <w:pPr>
        <w:spacing w:line="360" w:lineRule="auto"/>
        <w:rPr>
          <w:rFonts w:hint="eastAsia" w:ascii="宋体" w:hAnsi="宋体" w:cs="宋体"/>
          <w:color w:val="auto"/>
          <w:sz w:val="30"/>
          <w:szCs w:val="30"/>
          <w:highlight w:val="none"/>
        </w:rPr>
      </w:pPr>
    </w:p>
    <w:p>
      <w:pPr>
        <w:spacing w:line="360" w:lineRule="auto"/>
        <w:rPr>
          <w:rFonts w:hint="eastAsia" w:ascii="宋体" w:hAnsi="宋体" w:cs="宋体"/>
          <w:color w:val="auto"/>
          <w:sz w:val="30"/>
          <w:szCs w:val="30"/>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345" w:name="_Toc457748067"/>
      <w:bookmarkStart w:id="346" w:name="_Toc14753"/>
      <w:bookmarkStart w:id="347" w:name="_Toc392227921"/>
      <w:r>
        <w:rPr>
          <w:rFonts w:hint="eastAsia" w:ascii="宋体" w:hAnsi="宋体" w:eastAsia="宋体" w:cs="宋体"/>
          <w:color w:val="auto"/>
          <w:sz w:val="30"/>
          <w:szCs w:val="30"/>
          <w:highlight w:val="none"/>
        </w:rPr>
        <w:br w:type="page"/>
      </w:r>
      <w:bookmarkStart w:id="348" w:name="_Toc26057"/>
      <w:r>
        <w:rPr>
          <w:rFonts w:hint="eastAsia" w:ascii="宋体" w:hAnsi="宋体" w:eastAsia="宋体" w:cs="宋体"/>
          <w:color w:val="auto"/>
          <w:sz w:val="30"/>
          <w:szCs w:val="30"/>
          <w:highlight w:val="none"/>
        </w:rPr>
        <w:t>技术支持资料</w:t>
      </w:r>
      <w:bookmarkEnd w:id="345"/>
      <w:bookmarkEnd w:id="346"/>
      <w:bookmarkEnd w:id="347"/>
      <w:bookmarkEnd w:id="348"/>
    </w:p>
    <w:p>
      <w:pPr>
        <w:jc w:val="center"/>
        <w:rPr>
          <w:rFonts w:hint="eastAsia"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格式自拟</w:t>
      </w:r>
      <w:r>
        <w:rPr>
          <w:rFonts w:hint="eastAsia" w:ascii="宋体" w:hAnsi="宋体" w:cs="宋体"/>
          <w:color w:val="auto"/>
          <w:szCs w:val="21"/>
          <w:highlight w:val="none"/>
        </w:rPr>
        <w:t>）</w:t>
      </w:r>
    </w:p>
    <w:p>
      <w:pPr>
        <w:spacing w:line="360" w:lineRule="auto"/>
        <w:rPr>
          <w:rFonts w:hint="eastAsia" w:ascii="宋体" w:hAnsi="宋体" w:cs="宋体"/>
          <w:color w:val="auto"/>
          <w:sz w:val="30"/>
          <w:szCs w:val="30"/>
          <w:highlight w:val="none"/>
        </w:rPr>
      </w:pPr>
    </w:p>
    <w:p>
      <w:pPr>
        <w:spacing w:line="360" w:lineRule="auto"/>
        <w:rPr>
          <w:rFonts w:hint="eastAsia" w:ascii="宋体" w:hAnsi="宋体" w:cs="宋体"/>
          <w:color w:val="auto"/>
          <w:sz w:val="30"/>
          <w:szCs w:val="30"/>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349" w:name="_Toc457748068"/>
      <w:bookmarkStart w:id="350" w:name="_Toc392227922"/>
      <w:bookmarkStart w:id="351" w:name="_Toc11651"/>
      <w:r>
        <w:rPr>
          <w:rFonts w:hint="eastAsia" w:ascii="宋体" w:hAnsi="宋体" w:eastAsia="宋体" w:cs="宋体"/>
          <w:color w:val="auto"/>
          <w:sz w:val="30"/>
          <w:szCs w:val="30"/>
          <w:highlight w:val="none"/>
        </w:rPr>
        <w:br w:type="page"/>
      </w:r>
      <w:bookmarkStart w:id="352" w:name="_Toc31150"/>
      <w:r>
        <w:rPr>
          <w:rFonts w:hint="eastAsia" w:ascii="宋体" w:hAnsi="宋体" w:eastAsia="宋体" w:cs="宋体"/>
          <w:color w:val="auto"/>
          <w:sz w:val="30"/>
          <w:szCs w:val="30"/>
          <w:highlight w:val="none"/>
        </w:rPr>
        <w:t>技术服务和售后服务计划</w:t>
      </w:r>
      <w:bookmarkEnd w:id="349"/>
      <w:bookmarkEnd w:id="350"/>
      <w:bookmarkEnd w:id="351"/>
      <w:bookmarkEnd w:id="352"/>
    </w:p>
    <w:p>
      <w:pPr>
        <w:jc w:val="center"/>
        <w:rPr>
          <w:rFonts w:hint="eastAsia" w:ascii="宋体" w:hAnsi="宋体" w:cs="宋体"/>
          <w:color w:val="auto"/>
          <w:szCs w:val="21"/>
          <w:highlight w:val="none"/>
        </w:rPr>
      </w:pPr>
      <w:bookmarkStart w:id="353" w:name="_Toc392227923"/>
      <w:r>
        <w:rPr>
          <w:rFonts w:hint="eastAsia" w:ascii="宋体" w:hAnsi="宋体" w:cs="宋体"/>
          <w:color w:val="auto"/>
          <w:szCs w:val="21"/>
          <w:highlight w:val="none"/>
        </w:rPr>
        <w:t>（</w:t>
      </w:r>
      <w:r>
        <w:rPr>
          <w:rFonts w:hint="eastAsia" w:ascii="宋体" w:hAnsi="宋体" w:cs="宋体"/>
          <w:snapToGrid w:val="0"/>
          <w:color w:val="auto"/>
          <w:kern w:val="0"/>
          <w:szCs w:val="21"/>
          <w:highlight w:val="none"/>
        </w:rPr>
        <w:t>格式自拟</w:t>
      </w:r>
      <w:r>
        <w:rPr>
          <w:rFonts w:hint="eastAsia" w:ascii="宋体" w:hAnsi="宋体" w:cs="宋体"/>
          <w:color w:val="auto"/>
          <w:szCs w:val="21"/>
          <w:highlight w:val="none"/>
        </w:rPr>
        <w:t>）</w:t>
      </w:r>
    </w:p>
    <w:p>
      <w:pPr>
        <w:spacing w:line="360" w:lineRule="auto"/>
        <w:rPr>
          <w:rFonts w:hint="eastAsia" w:ascii="宋体" w:hAnsi="宋体" w:cs="宋体"/>
          <w:color w:val="auto"/>
          <w:sz w:val="30"/>
          <w:szCs w:val="30"/>
          <w:highlight w:val="none"/>
        </w:rPr>
      </w:pPr>
    </w:p>
    <w:p>
      <w:pPr>
        <w:spacing w:line="360" w:lineRule="auto"/>
        <w:rPr>
          <w:rFonts w:hint="eastAsia" w:ascii="宋体" w:hAnsi="宋体" w:cs="宋体"/>
          <w:color w:val="auto"/>
          <w:sz w:val="30"/>
          <w:szCs w:val="30"/>
          <w:highlight w:val="none"/>
        </w:rPr>
      </w:pPr>
    </w:p>
    <w:p>
      <w:pPr>
        <w:pStyle w:val="5"/>
        <w:keepNext w:val="0"/>
        <w:keepLines w:val="0"/>
        <w:spacing w:before="0" w:after="0" w:line="360" w:lineRule="auto"/>
        <w:jc w:val="center"/>
        <w:rPr>
          <w:rFonts w:hint="eastAsia" w:ascii="宋体" w:hAnsi="宋体" w:eastAsia="宋体" w:cs="宋体"/>
          <w:color w:val="auto"/>
          <w:sz w:val="30"/>
          <w:szCs w:val="30"/>
          <w:highlight w:val="none"/>
        </w:rPr>
      </w:pPr>
      <w:bookmarkStart w:id="354" w:name="_Toc457748069"/>
      <w:bookmarkStart w:id="355" w:name="_Toc3229"/>
      <w:r>
        <w:rPr>
          <w:rFonts w:hint="eastAsia" w:ascii="宋体" w:hAnsi="宋体" w:eastAsia="宋体" w:cs="宋体"/>
          <w:color w:val="auto"/>
          <w:sz w:val="30"/>
          <w:szCs w:val="30"/>
          <w:highlight w:val="none"/>
        </w:rPr>
        <w:br w:type="page"/>
      </w:r>
      <w:bookmarkStart w:id="356" w:name="_Toc23972"/>
      <w:r>
        <w:rPr>
          <w:rFonts w:hint="eastAsia" w:ascii="宋体" w:hAnsi="宋体" w:eastAsia="宋体" w:cs="宋体"/>
          <w:color w:val="auto"/>
          <w:sz w:val="30"/>
          <w:szCs w:val="30"/>
          <w:highlight w:val="none"/>
        </w:rPr>
        <w:t>其他技术资料</w:t>
      </w:r>
      <w:bookmarkEnd w:id="353"/>
      <w:bookmarkEnd w:id="354"/>
      <w:bookmarkEnd w:id="355"/>
      <w:bookmarkEnd w:id="356"/>
    </w:p>
    <w:p>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snapToGrid w:val="0"/>
          <w:color w:val="auto"/>
          <w:kern w:val="0"/>
          <w:sz w:val="24"/>
          <w:szCs w:val="24"/>
          <w:highlight w:val="none"/>
        </w:rPr>
        <w:t>招标文件要求提供的或投标人认为需要补充的其他资料</w:t>
      </w:r>
      <w:r>
        <w:rPr>
          <w:rFonts w:hint="eastAsia" w:ascii="宋体" w:hAnsi="宋体" w:cs="宋体"/>
          <w:color w:val="auto"/>
          <w:sz w:val="24"/>
          <w:szCs w:val="24"/>
          <w:highlight w:val="none"/>
        </w:rPr>
        <w:t>）</w:t>
      </w:r>
    </w:p>
    <w:p>
      <w:pPr>
        <w:spacing w:line="360" w:lineRule="auto"/>
        <w:rPr>
          <w:rFonts w:hint="eastAsia" w:ascii="宋体" w:hAnsi="宋体" w:cs="宋体"/>
          <w:color w:val="auto"/>
          <w:sz w:val="30"/>
          <w:szCs w:val="30"/>
          <w:highlight w:val="none"/>
        </w:rPr>
      </w:pPr>
    </w:p>
    <w:p>
      <w:pPr>
        <w:spacing w:line="360" w:lineRule="auto"/>
        <w:rPr>
          <w:rFonts w:hint="eastAsia" w:ascii="宋体" w:hAnsi="宋体" w:cs="宋体"/>
          <w:color w:val="auto"/>
          <w:sz w:val="30"/>
          <w:szCs w:val="30"/>
          <w:highlight w:val="none"/>
        </w:rPr>
      </w:pPr>
    </w:p>
    <w:p>
      <w:pPr>
        <w:spacing w:line="360" w:lineRule="auto"/>
        <w:rPr>
          <w:rFonts w:hint="eastAsia" w:ascii="宋体" w:hAnsi="宋体" w:cs="宋体"/>
          <w:color w:val="auto"/>
          <w:sz w:val="24"/>
          <w:szCs w:val="24"/>
          <w:highlight w:val="none"/>
        </w:rPr>
      </w:pPr>
    </w:p>
    <w:sectPr>
      <w:pgSz w:w="11850" w:h="16783"/>
      <w:pgMar w:top="1440" w:right="1803" w:bottom="1440" w:left="1803" w:header="720" w:footer="7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兰米仿宋体">
    <w:altName w:val="仿宋"/>
    <w:panose1 w:val="00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auto"/>
    <w:pitch w:val="default"/>
    <w:sig w:usb0="00000001" w:usb1="080E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4</w:t>
    </w:r>
    <w:r>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lang w:val="zh-CN"/>
      </w:rPr>
      <w:t>71</w:t>
    </w:r>
    <w:r>
      <w:rPr>
        <w:rFonts w:ascii="Times New Roman" w:hAnsi="Times New Roma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02"/>
    <w:multiLevelType w:val="multilevel"/>
    <w:tmpl w:val="0000000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singleLevel"/>
    <w:tmpl w:val="00000003"/>
    <w:lvl w:ilvl="0" w:tentative="0">
      <w:start w:val="1"/>
      <w:numFmt w:val="decimal"/>
      <w:lvlText w:val="%1)"/>
      <w:lvlJc w:val="left"/>
      <w:pPr>
        <w:ind w:left="425" w:hanging="425"/>
      </w:pPr>
      <w:rPr>
        <w:rFonts w:hint="default"/>
      </w:rPr>
    </w:lvl>
  </w:abstractNum>
  <w:abstractNum w:abstractNumId="3">
    <w:nsid w:val="00000004"/>
    <w:multiLevelType w:val="singleLevel"/>
    <w:tmpl w:val="00000004"/>
    <w:lvl w:ilvl="0" w:tentative="0">
      <w:start w:val="1"/>
      <w:numFmt w:val="decimal"/>
      <w:lvlText w:val="%1)"/>
      <w:lvlJc w:val="left"/>
      <w:pPr>
        <w:ind w:left="425" w:hanging="425"/>
      </w:pPr>
      <w:rPr>
        <w:rFonts w:hint="default"/>
      </w:rPr>
    </w:lvl>
  </w:abstractNum>
  <w:abstractNum w:abstractNumId="4">
    <w:nsid w:val="00000005"/>
    <w:multiLevelType w:val="singleLevel"/>
    <w:tmpl w:val="00000005"/>
    <w:lvl w:ilvl="0" w:tentative="0">
      <w:start w:val="1"/>
      <w:numFmt w:val="decimal"/>
      <w:lvlText w:val="3.%1"/>
      <w:lvlJc w:val="left"/>
      <w:pPr>
        <w:tabs>
          <w:tab w:val="left" w:pos="822"/>
        </w:tabs>
        <w:ind w:left="879" w:hanging="454"/>
      </w:pPr>
      <w:rPr>
        <w:rFonts w:hint="default"/>
      </w:rPr>
    </w:lvl>
  </w:abstractNum>
  <w:abstractNum w:abstractNumId="5">
    <w:nsid w:val="00000006"/>
    <w:multiLevelType w:val="singleLevel"/>
    <w:tmpl w:val="00000006"/>
    <w:lvl w:ilvl="0" w:tentative="0">
      <w:start w:val="1"/>
      <w:numFmt w:val="decimal"/>
      <w:suff w:val="nothing"/>
      <w:lvlText w:val="（%1）"/>
      <w:lvlJc w:val="left"/>
    </w:lvl>
  </w:abstractNum>
  <w:abstractNum w:abstractNumId="6">
    <w:nsid w:val="00000007"/>
    <w:multiLevelType w:val="multilevel"/>
    <w:tmpl w:val="00000007"/>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0000000A"/>
    <w:multiLevelType w:val="singleLevel"/>
    <w:tmpl w:val="0000000A"/>
    <w:lvl w:ilvl="0" w:tentative="0">
      <w:start w:val="1"/>
      <w:numFmt w:val="decimal"/>
      <w:lvlText w:val="%1)"/>
      <w:lvlJc w:val="left"/>
      <w:pPr>
        <w:ind w:left="425" w:hanging="425"/>
      </w:pPr>
      <w:rPr>
        <w:rFonts w:hint="default"/>
      </w:rPr>
    </w:lvl>
  </w:abstractNum>
  <w:abstractNum w:abstractNumId="8">
    <w:nsid w:val="0000000B"/>
    <w:multiLevelType w:val="singleLevel"/>
    <w:tmpl w:val="0000000B"/>
    <w:lvl w:ilvl="0" w:tentative="0">
      <w:start w:val="1"/>
      <w:numFmt w:val="decimal"/>
      <w:suff w:val="nothing"/>
      <w:lvlText w:val="（%1）"/>
      <w:lvlJc w:val="left"/>
    </w:lvl>
  </w:abstractNum>
  <w:abstractNum w:abstractNumId="9">
    <w:nsid w:val="0000000C"/>
    <w:multiLevelType w:val="singleLevel"/>
    <w:tmpl w:val="0000000C"/>
    <w:lvl w:ilvl="0" w:tentative="0">
      <w:start w:val="1"/>
      <w:numFmt w:val="decimal"/>
      <w:suff w:val="nothing"/>
      <w:lvlText w:val="（%1）"/>
      <w:lvlJc w:val="left"/>
    </w:lvl>
  </w:abstractNum>
  <w:abstractNum w:abstractNumId="10">
    <w:nsid w:val="0000000D"/>
    <w:multiLevelType w:val="singleLevel"/>
    <w:tmpl w:val="0000000D"/>
    <w:lvl w:ilvl="0" w:tentative="0">
      <w:start w:val="1"/>
      <w:numFmt w:val="decimal"/>
      <w:suff w:val="nothing"/>
      <w:lvlText w:val="（%1）"/>
      <w:lvlJc w:val="left"/>
    </w:lvl>
  </w:abstractNum>
  <w:abstractNum w:abstractNumId="11">
    <w:nsid w:val="0000000E"/>
    <w:multiLevelType w:val="multilevel"/>
    <w:tmpl w:val="0000000E"/>
    <w:lvl w:ilvl="0" w:tentative="0">
      <w:start w:val="1"/>
      <w:numFmt w:val="decimal"/>
      <w:suff w:val="space"/>
      <w:lvlText w:val="%1."/>
      <w:lvlJc w:val="left"/>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2">
    <w:nsid w:val="0000000F"/>
    <w:multiLevelType w:val="singleLevel"/>
    <w:tmpl w:val="0000000F"/>
    <w:lvl w:ilvl="0" w:tentative="0">
      <w:start w:val="1"/>
      <w:numFmt w:val="decimal"/>
      <w:suff w:val="space"/>
      <w:lvlText w:val="%1."/>
      <w:lvlJc w:val="left"/>
    </w:lvl>
  </w:abstractNum>
  <w:abstractNum w:abstractNumId="13">
    <w:nsid w:val="00000010"/>
    <w:multiLevelType w:val="singleLevel"/>
    <w:tmpl w:val="00000010"/>
    <w:lvl w:ilvl="0" w:tentative="0">
      <w:start w:val="1"/>
      <w:numFmt w:val="decimal"/>
      <w:lvlText w:val="%1"/>
      <w:lvlJc w:val="left"/>
      <w:pPr>
        <w:tabs>
          <w:tab w:val="left" w:pos="420"/>
        </w:tabs>
        <w:ind w:left="425" w:hanging="425"/>
      </w:pPr>
      <w:rPr>
        <w:rFonts w:hint="default"/>
      </w:rPr>
    </w:lvl>
  </w:abstractNum>
  <w:abstractNum w:abstractNumId="14">
    <w:nsid w:val="00000011"/>
    <w:multiLevelType w:val="singleLevel"/>
    <w:tmpl w:val="00000011"/>
    <w:lvl w:ilvl="0" w:tentative="0">
      <w:start w:val="1"/>
      <w:numFmt w:val="decimal"/>
      <w:lvlText w:val="1.%1"/>
      <w:lvlJc w:val="left"/>
      <w:pPr>
        <w:tabs>
          <w:tab w:val="left" w:pos="420"/>
        </w:tabs>
        <w:ind w:left="425" w:hanging="425"/>
      </w:pPr>
      <w:rPr>
        <w:rFonts w:hint="default"/>
      </w:rPr>
    </w:lvl>
  </w:abstractNum>
  <w:abstractNum w:abstractNumId="15">
    <w:nsid w:val="00000012"/>
    <w:multiLevelType w:val="singleLevel"/>
    <w:tmpl w:val="00000012"/>
    <w:lvl w:ilvl="0" w:tentative="0">
      <w:start w:val="1"/>
      <w:numFmt w:val="chineseCounting"/>
      <w:suff w:val="nothing"/>
      <w:lvlText w:val="%1、"/>
      <w:lvlJc w:val="left"/>
    </w:lvl>
  </w:abstractNum>
  <w:abstractNum w:abstractNumId="16">
    <w:nsid w:val="00000014"/>
    <w:multiLevelType w:val="multilevel"/>
    <w:tmpl w:val="00000014"/>
    <w:lvl w:ilvl="0" w:tentative="0">
      <w:start w:val="1"/>
      <w:numFmt w:val="japaneseCounting"/>
      <w:lvlText w:val="第%1章"/>
      <w:lvlJc w:val="left"/>
      <w:pPr>
        <w:ind w:left="1548" w:hanging="840"/>
      </w:pPr>
      <w:rPr>
        <w:rFonts w:hint="default"/>
      </w:rPr>
    </w:lvl>
    <w:lvl w:ilvl="1" w:tentative="0">
      <w:start w:val="1"/>
      <w:numFmt w:val="lowerLetter"/>
      <w:lvlText w:val="%2)"/>
      <w:lvlJc w:val="left"/>
      <w:pPr>
        <w:ind w:left="1548" w:hanging="420"/>
      </w:pPr>
    </w:lvl>
    <w:lvl w:ilvl="2" w:tentative="0">
      <w:start w:val="1"/>
      <w:numFmt w:val="lowerRoman"/>
      <w:lvlText w:val="%3."/>
      <w:lvlJc w:val="right"/>
      <w:pPr>
        <w:ind w:left="1968" w:hanging="420"/>
      </w:pPr>
    </w:lvl>
    <w:lvl w:ilvl="3" w:tentative="0">
      <w:start w:val="1"/>
      <w:numFmt w:val="decimal"/>
      <w:lvlText w:val="%4."/>
      <w:lvlJc w:val="left"/>
      <w:pPr>
        <w:ind w:left="2388" w:hanging="420"/>
      </w:pPr>
    </w:lvl>
    <w:lvl w:ilvl="4" w:tentative="0">
      <w:start w:val="1"/>
      <w:numFmt w:val="lowerLetter"/>
      <w:lvlText w:val="%5)"/>
      <w:lvlJc w:val="left"/>
      <w:pPr>
        <w:ind w:left="2808" w:hanging="420"/>
      </w:pPr>
    </w:lvl>
    <w:lvl w:ilvl="5" w:tentative="0">
      <w:start w:val="1"/>
      <w:numFmt w:val="lowerRoman"/>
      <w:lvlText w:val="%6."/>
      <w:lvlJc w:val="right"/>
      <w:pPr>
        <w:ind w:left="3228" w:hanging="420"/>
      </w:pPr>
    </w:lvl>
    <w:lvl w:ilvl="6" w:tentative="0">
      <w:start w:val="1"/>
      <w:numFmt w:val="decimal"/>
      <w:lvlText w:val="%7."/>
      <w:lvlJc w:val="left"/>
      <w:pPr>
        <w:ind w:left="3648" w:hanging="420"/>
      </w:pPr>
    </w:lvl>
    <w:lvl w:ilvl="7" w:tentative="0">
      <w:start w:val="1"/>
      <w:numFmt w:val="lowerLetter"/>
      <w:lvlText w:val="%8)"/>
      <w:lvlJc w:val="left"/>
      <w:pPr>
        <w:ind w:left="4068" w:hanging="420"/>
      </w:pPr>
    </w:lvl>
    <w:lvl w:ilvl="8" w:tentative="0">
      <w:start w:val="1"/>
      <w:numFmt w:val="lowerRoman"/>
      <w:lvlText w:val="%9."/>
      <w:lvlJc w:val="right"/>
      <w:pPr>
        <w:ind w:left="4488" w:hanging="420"/>
      </w:pPr>
    </w:lvl>
  </w:abstractNum>
  <w:abstractNum w:abstractNumId="17">
    <w:nsid w:val="00000015"/>
    <w:multiLevelType w:val="multilevel"/>
    <w:tmpl w:val="0000001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01F7040E"/>
    <w:multiLevelType w:val="singleLevel"/>
    <w:tmpl w:val="01F7040E"/>
    <w:lvl w:ilvl="0" w:tentative="0">
      <w:start w:val="5"/>
      <w:numFmt w:val="chineseCounting"/>
      <w:suff w:val="space"/>
      <w:lvlText w:val="第%1章"/>
      <w:lvlJc w:val="left"/>
      <w:rPr>
        <w:rFonts w:hint="eastAsia"/>
      </w:rPr>
    </w:lvl>
  </w:abstractNum>
  <w:abstractNum w:abstractNumId="19">
    <w:nsid w:val="26C917CD"/>
    <w:multiLevelType w:val="singleLevel"/>
    <w:tmpl w:val="26C917CD"/>
    <w:lvl w:ilvl="0" w:tentative="0">
      <w:start w:val="1"/>
      <w:numFmt w:val="bullet"/>
      <w:lvlText w:val=""/>
      <w:lvlJc w:val="left"/>
      <w:pPr>
        <w:ind w:left="420" w:hanging="420"/>
      </w:pPr>
      <w:rPr>
        <w:rFonts w:hint="default" w:ascii="Wingdings" w:hAnsi="Wingdings"/>
      </w:rPr>
    </w:lvl>
  </w:abstractNum>
  <w:abstractNum w:abstractNumId="20">
    <w:nsid w:val="4CBF751F"/>
    <w:multiLevelType w:val="multilevel"/>
    <w:tmpl w:val="4CBF751F"/>
    <w:lvl w:ilvl="0" w:tentative="0">
      <w:start w:val="1"/>
      <w:numFmt w:val="decimal"/>
      <w:lvlText w:val="%1."/>
      <w:lvlJc w:val="left"/>
      <w:pPr>
        <w:ind w:left="420" w:hanging="420"/>
      </w:pPr>
      <w:rPr>
        <w:rFonts w:hint="eastAsia" w:eastAsia="仿宋_GB2312"/>
        <w:color w:val="auto"/>
        <w:sz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1">
    <w:nsid w:val="578DBC02"/>
    <w:multiLevelType w:val="singleLevel"/>
    <w:tmpl w:val="578DBC02"/>
    <w:lvl w:ilvl="0" w:tentative="0">
      <w:start w:val="1"/>
      <w:numFmt w:val="decimal"/>
      <w:suff w:val="nothing"/>
      <w:lvlText w:val="%1、"/>
      <w:lvlJc w:val="left"/>
    </w:lvl>
  </w:abstractNum>
  <w:abstractNum w:abstractNumId="22">
    <w:nsid w:val="5791BBFF"/>
    <w:multiLevelType w:val="singleLevel"/>
    <w:tmpl w:val="5791BBFF"/>
    <w:lvl w:ilvl="0" w:tentative="0">
      <w:start w:val="1"/>
      <w:numFmt w:val="decimal"/>
      <w:suff w:val="nothing"/>
      <w:lvlText w:val="%1、"/>
      <w:lvlJc w:val="left"/>
    </w:lvl>
  </w:abstractNum>
  <w:abstractNum w:abstractNumId="23">
    <w:nsid w:val="68636BC0"/>
    <w:multiLevelType w:val="multilevel"/>
    <w:tmpl w:val="68636BC0"/>
    <w:lvl w:ilvl="0" w:tentative="0">
      <w:start w:val="1"/>
      <w:numFmt w:val="decimal"/>
      <w:lvlText w:val="（%1）"/>
      <w:lvlJc w:val="left"/>
      <w:pPr>
        <w:tabs>
          <w:tab w:val="left" w:pos="1137"/>
        </w:tabs>
        <w:ind w:left="1137" w:hanging="720"/>
      </w:pPr>
      <w:rPr>
        <w:rFonts w:hint="eastAsia"/>
      </w:rPr>
    </w:lvl>
    <w:lvl w:ilvl="1" w:tentative="0">
      <w:start w:val="1"/>
      <w:numFmt w:val="lowerLetter"/>
      <w:lvlText w:val="%2)"/>
      <w:lvlJc w:val="left"/>
      <w:pPr>
        <w:tabs>
          <w:tab w:val="left" w:pos="1257"/>
        </w:tabs>
        <w:ind w:left="1257" w:hanging="420"/>
      </w:pPr>
    </w:lvl>
    <w:lvl w:ilvl="2" w:tentative="0">
      <w:start w:val="1"/>
      <w:numFmt w:val="lowerRoman"/>
      <w:lvlText w:val="%3."/>
      <w:lvlJc w:val="right"/>
      <w:pPr>
        <w:tabs>
          <w:tab w:val="left" w:pos="1677"/>
        </w:tabs>
        <w:ind w:left="1677" w:hanging="420"/>
      </w:pPr>
    </w:lvl>
    <w:lvl w:ilvl="3" w:tentative="0">
      <w:start w:val="1"/>
      <w:numFmt w:val="decimal"/>
      <w:lvlText w:val="%4."/>
      <w:lvlJc w:val="left"/>
      <w:pPr>
        <w:tabs>
          <w:tab w:val="left" w:pos="2097"/>
        </w:tabs>
        <w:ind w:left="2097" w:hanging="420"/>
      </w:pPr>
    </w:lvl>
    <w:lvl w:ilvl="4" w:tentative="0">
      <w:start w:val="1"/>
      <w:numFmt w:val="lowerLetter"/>
      <w:lvlText w:val="%5)"/>
      <w:lvlJc w:val="left"/>
      <w:pPr>
        <w:tabs>
          <w:tab w:val="left" w:pos="2517"/>
        </w:tabs>
        <w:ind w:left="2517" w:hanging="420"/>
      </w:pPr>
    </w:lvl>
    <w:lvl w:ilvl="5" w:tentative="0">
      <w:start w:val="1"/>
      <w:numFmt w:val="lowerRoman"/>
      <w:lvlText w:val="%6."/>
      <w:lvlJc w:val="right"/>
      <w:pPr>
        <w:tabs>
          <w:tab w:val="left" w:pos="2937"/>
        </w:tabs>
        <w:ind w:left="2937" w:hanging="420"/>
      </w:pPr>
    </w:lvl>
    <w:lvl w:ilvl="6" w:tentative="0">
      <w:start w:val="1"/>
      <w:numFmt w:val="decimal"/>
      <w:lvlText w:val="%7."/>
      <w:lvlJc w:val="left"/>
      <w:pPr>
        <w:tabs>
          <w:tab w:val="left" w:pos="3357"/>
        </w:tabs>
        <w:ind w:left="3357" w:hanging="420"/>
      </w:pPr>
    </w:lvl>
    <w:lvl w:ilvl="7" w:tentative="0">
      <w:start w:val="1"/>
      <w:numFmt w:val="lowerLetter"/>
      <w:lvlText w:val="%8)"/>
      <w:lvlJc w:val="left"/>
      <w:pPr>
        <w:tabs>
          <w:tab w:val="left" w:pos="3777"/>
        </w:tabs>
        <w:ind w:left="3777" w:hanging="420"/>
      </w:pPr>
    </w:lvl>
    <w:lvl w:ilvl="8" w:tentative="0">
      <w:start w:val="1"/>
      <w:numFmt w:val="lowerRoman"/>
      <w:lvlText w:val="%9."/>
      <w:lvlJc w:val="right"/>
      <w:pPr>
        <w:tabs>
          <w:tab w:val="left" w:pos="4197"/>
        </w:tabs>
        <w:ind w:left="4197" w:hanging="420"/>
      </w:pPr>
    </w:lvl>
  </w:abstractNum>
  <w:num w:numId="1">
    <w:abstractNumId w:val="15"/>
  </w:num>
  <w:num w:numId="2">
    <w:abstractNumId w:val="4"/>
  </w:num>
  <w:num w:numId="3">
    <w:abstractNumId w:val="7"/>
  </w:num>
  <w:num w:numId="4">
    <w:abstractNumId w:val="2"/>
  </w:num>
  <w:num w:numId="5">
    <w:abstractNumId w:val="3"/>
  </w:num>
  <w:num w:numId="6">
    <w:abstractNumId w:val="16"/>
  </w:num>
  <w:num w:numId="7">
    <w:abstractNumId w:val="8"/>
  </w:num>
  <w:num w:numId="8">
    <w:abstractNumId w:val="9"/>
  </w:num>
  <w:num w:numId="9">
    <w:abstractNumId w:val="10"/>
  </w:num>
  <w:num w:numId="10">
    <w:abstractNumId w:val="21"/>
  </w:num>
  <w:num w:numId="11">
    <w:abstractNumId w:val="22"/>
  </w:num>
  <w:num w:numId="12">
    <w:abstractNumId w:val="17"/>
  </w:num>
  <w:num w:numId="13">
    <w:abstractNumId w:val="11"/>
  </w:num>
  <w:num w:numId="14">
    <w:abstractNumId w:val="12"/>
  </w:num>
  <w:num w:numId="15">
    <w:abstractNumId w:val="23"/>
  </w:num>
  <w:num w:numId="16">
    <w:abstractNumId w:val="18"/>
  </w:num>
  <w:num w:numId="17">
    <w:abstractNumId w:val="6"/>
  </w:num>
  <w:num w:numId="18">
    <w:abstractNumId w:val="1"/>
  </w:num>
  <w:num w:numId="19">
    <w:abstractNumId w:val="1"/>
    <w:lvlOverride w:ilvl="0">
      <w:lvl w:ilvl="0" w:tentative="1">
        <w:start w:val="1"/>
        <w:numFmt w:val="decimal"/>
        <w:lvlText w:val="%1."/>
        <w:lvlJc w:val="left"/>
        <w:pPr>
          <w:ind w:left="113" w:hanging="113"/>
        </w:pPr>
        <w:rPr>
          <w:rFonts w:hint="eastAsia"/>
        </w:rPr>
      </w:lvl>
    </w:lvlOverride>
    <w:lvlOverride w:ilvl="1">
      <w:lvl w:ilvl="1" w:tentative="1">
        <w:start w:val="1"/>
        <w:numFmt w:val="lowerLetter"/>
        <w:lvlText w:val="%2)"/>
        <w:lvlJc w:val="left"/>
        <w:pPr>
          <w:ind w:left="840" w:hanging="420"/>
        </w:pPr>
      </w:lvl>
    </w:lvlOverride>
    <w:lvlOverride w:ilvl="2">
      <w:lvl w:ilvl="2" w:tentative="1">
        <w:start w:val="1"/>
        <w:numFmt w:val="lowerRoman"/>
        <w:lvlText w:val="%3."/>
        <w:lvlJc w:val="right"/>
        <w:pPr>
          <w:ind w:left="1260" w:hanging="420"/>
        </w:pPr>
      </w:lvl>
    </w:lvlOverride>
    <w:lvlOverride w:ilvl="3">
      <w:lvl w:ilvl="3" w:tentative="1">
        <w:start w:val="1"/>
        <w:numFmt w:val="decimal"/>
        <w:lvlText w:val="%4."/>
        <w:lvlJc w:val="left"/>
        <w:pPr>
          <w:ind w:left="1680" w:hanging="420"/>
        </w:pPr>
      </w:lvl>
    </w:lvlOverride>
    <w:lvlOverride w:ilvl="4">
      <w:lvl w:ilvl="4" w:tentative="1">
        <w:start w:val="1"/>
        <w:numFmt w:val="lowerLetter"/>
        <w:lvlText w:val="%5)"/>
        <w:lvlJc w:val="left"/>
        <w:pPr>
          <w:ind w:left="2100" w:hanging="420"/>
        </w:pPr>
      </w:lvl>
    </w:lvlOverride>
    <w:lvlOverride w:ilvl="5">
      <w:lvl w:ilvl="5" w:tentative="1">
        <w:start w:val="1"/>
        <w:numFmt w:val="lowerRoman"/>
        <w:lvlText w:val="%6."/>
        <w:lvlJc w:val="right"/>
        <w:pPr>
          <w:ind w:left="2520" w:hanging="420"/>
        </w:pPr>
      </w:lvl>
    </w:lvlOverride>
    <w:lvlOverride w:ilvl="6">
      <w:lvl w:ilvl="6" w:tentative="1">
        <w:start w:val="1"/>
        <w:numFmt w:val="decimal"/>
        <w:lvlText w:val="%7."/>
        <w:lvlJc w:val="left"/>
        <w:pPr>
          <w:ind w:left="2940" w:hanging="420"/>
        </w:pPr>
      </w:lvl>
    </w:lvlOverride>
    <w:lvlOverride w:ilvl="7">
      <w:lvl w:ilvl="7" w:tentative="1">
        <w:start w:val="1"/>
        <w:numFmt w:val="lowerLetter"/>
        <w:lvlText w:val="%8)"/>
        <w:lvlJc w:val="left"/>
        <w:pPr>
          <w:ind w:left="3360" w:hanging="420"/>
        </w:pPr>
      </w:lvl>
    </w:lvlOverride>
    <w:lvlOverride w:ilvl="8">
      <w:lvl w:ilvl="8" w:tentative="1">
        <w:start w:val="1"/>
        <w:numFmt w:val="lowerRoman"/>
        <w:lvlText w:val="%9."/>
        <w:lvlJc w:val="right"/>
        <w:pPr>
          <w:ind w:left="3780" w:hanging="420"/>
        </w:pPr>
      </w:lvl>
    </w:lvlOverride>
  </w:num>
  <w:num w:numId="20">
    <w:abstractNumId w:val="0"/>
  </w:num>
  <w:num w:numId="21">
    <w:abstractNumId w:val="20"/>
  </w:num>
  <w:num w:numId="22">
    <w:abstractNumId w:val="5"/>
  </w:num>
  <w:num w:numId="23">
    <w:abstractNumId w:val="19"/>
  </w:num>
  <w:num w:numId="24">
    <w:abstractNumId w:val="13"/>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jllNTA0NjM5NTEyOTVkYjU0Njg0MGEyYmJiMjQzMjIifQ=="/>
  </w:docVars>
  <w:rsids>
    <w:rsidRoot w:val="002E4860"/>
    <w:rsid w:val="00065564"/>
    <w:rsid w:val="00197FB9"/>
    <w:rsid w:val="001C301A"/>
    <w:rsid w:val="00205763"/>
    <w:rsid w:val="00294B41"/>
    <w:rsid w:val="002C5E6E"/>
    <w:rsid w:val="002E4860"/>
    <w:rsid w:val="002F4BA4"/>
    <w:rsid w:val="00376B4D"/>
    <w:rsid w:val="00383BB2"/>
    <w:rsid w:val="00464EF5"/>
    <w:rsid w:val="00565BDC"/>
    <w:rsid w:val="005F512F"/>
    <w:rsid w:val="006266A7"/>
    <w:rsid w:val="007469B2"/>
    <w:rsid w:val="00803008"/>
    <w:rsid w:val="00827F40"/>
    <w:rsid w:val="008D3F42"/>
    <w:rsid w:val="008E45E9"/>
    <w:rsid w:val="008F4825"/>
    <w:rsid w:val="00915F56"/>
    <w:rsid w:val="009975A3"/>
    <w:rsid w:val="009E3FB7"/>
    <w:rsid w:val="00A406C0"/>
    <w:rsid w:val="00A65E0A"/>
    <w:rsid w:val="00AE34F7"/>
    <w:rsid w:val="00B6256B"/>
    <w:rsid w:val="00B67AD2"/>
    <w:rsid w:val="00E35BEC"/>
    <w:rsid w:val="00E573BD"/>
    <w:rsid w:val="00E6519A"/>
    <w:rsid w:val="00EC427B"/>
    <w:rsid w:val="00FA5958"/>
    <w:rsid w:val="00FA68F3"/>
    <w:rsid w:val="05137011"/>
    <w:rsid w:val="05246F2E"/>
    <w:rsid w:val="057B16BF"/>
    <w:rsid w:val="05C93CE8"/>
    <w:rsid w:val="06924021"/>
    <w:rsid w:val="06C20B00"/>
    <w:rsid w:val="07A3163B"/>
    <w:rsid w:val="089C1E81"/>
    <w:rsid w:val="096D4913"/>
    <w:rsid w:val="09A57215"/>
    <w:rsid w:val="0AD23F91"/>
    <w:rsid w:val="0C191E07"/>
    <w:rsid w:val="0D5435A9"/>
    <w:rsid w:val="0DF122A2"/>
    <w:rsid w:val="0EDD3AB1"/>
    <w:rsid w:val="11B16252"/>
    <w:rsid w:val="11BF5FFD"/>
    <w:rsid w:val="11FA498C"/>
    <w:rsid w:val="12047E56"/>
    <w:rsid w:val="120B5B2B"/>
    <w:rsid w:val="137425D6"/>
    <w:rsid w:val="1425754A"/>
    <w:rsid w:val="15271D4A"/>
    <w:rsid w:val="156F3320"/>
    <w:rsid w:val="15AF315E"/>
    <w:rsid w:val="16272A91"/>
    <w:rsid w:val="16F2500C"/>
    <w:rsid w:val="175844E1"/>
    <w:rsid w:val="178A3267"/>
    <w:rsid w:val="19514730"/>
    <w:rsid w:val="1A2A1AF6"/>
    <w:rsid w:val="1A960AD6"/>
    <w:rsid w:val="1A9F1A90"/>
    <w:rsid w:val="1B93589A"/>
    <w:rsid w:val="1BFB5FB7"/>
    <w:rsid w:val="1C9501C2"/>
    <w:rsid w:val="1D5205AF"/>
    <w:rsid w:val="1EDA5EA7"/>
    <w:rsid w:val="1FF84927"/>
    <w:rsid w:val="216F70DD"/>
    <w:rsid w:val="220824EB"/>
    <w:rsid w:val="23C64621"/>
    <w:rsid w:val="24173F05"/>
    <w:rsid w:val="24BE2FF7"/>
    <w:rsid w:val="257911FC"/>
    <w:rsid w:val="268B6EB2"/>
    <w:rsid w:val="29A93F7E"/>
    <w:rsid w:val="2A1856B3"/>
    <w:rsid w:val="2A9A43ED"/>
    <w:rsid w:val="2C467AB2"/>
    <w:rsid w:val="2F4F0374"/>
    <w:rsid w:val="2FD72BCF"/>
    <w:rsid w:val="30A87B2C"/>
    <w:rsid w:val="327B4B10"/>
    <w:rsid w:val="3284023B"/>
    <w:rsid w:val="32C1755A"/>
    <w:rsid w:val="337227CD"/>
    <w:rsid w:val="34A63555"/>
    <w:rsid w:val="34AE300A"/>
    <w:rsid w:val="359B58DF"/>
    <w:rsid w:val="36342CE2"/>
    <w:rsid w:val="368D7921"/>
    <w:rsid w:val="36E47A6D"/>
    <w:rsid w:val="38597F8C"/>
    <w:rsid w:val="3A350C31"/>
    <w:rsid w:val="3D3C2846"/>
    <w:rsid w:val="418C17EF"/>
    <w:rsid w:val="43E64F5E"/>
    <w:rsid w:val="4563037C"/>
    <w:rsid w:val="45D42B28"/>
    <w:rsid w:val="49C07215"/>
    <w:rsid w:val="4ADD18FC"/>
    <w:rsid w:val="4B4A069F"/>
    <w:rsid w:val="4BA07CB9"/>
    <w:rsid w:val="4BDA7C17"/>
    <w:rsid w:val="4C915FBE"/>
    <w:rsid w:val="4F401DA2"/>
    <w:rsid w:val="516D560C"/>
    <w:rsid w:val="51FA782D"/>
    <w:rsid w:val="532D136B"/>
    <w:rsid w:val="53DF64F1"/>
    <w:rsid w:val="55546B4F"/>
    <w:rsid w:val="557B3AED"/>
    <w:rsid w:val="565E0EF5"/>
    <w:rsid w:val="596A7AD2"/>
    <w:rsid w:val="5ACF0717"/>
    <w:rsid w:val="5B4271C2"/>
    <w:rsid w:val="5BEF0830"/>
    <w:rsid w:val="5CDB2D9B"/>
    <w:rsid w:val="5D164054"/>
    <w:rsid w:val="5DB96EF9"/>
    <w:rsid w:val="5EED6A70"/>
    <w:rsid w:val="5F0B0DD8"/>
    <w:rsid w:val="609500EF"/>
    <w:rsid w:val="60D541D8"/>
    <w:rsid w:val="61654844"/>
    <w:rsid w:val="63103BE2"/>
    <w:rsid w:val="63A34DC8"/>
    <w:rsid w:val="651264D1"/>
    <w:rsid w:val="651C6AAF"/>
    <w:rsid w:val="68EA6F29"/>
    <w:rsid w:val="69733B28"/>
    <w:rsid w:val="6C3B465D"/>
    <w:rsid w:val="6E242571"/>
    <w:rsid w:val="70512744"/>
    <w:rsid w:val="72581FDA"/>
    <w:rsid w:val="725E49C0"/>
    <w:rsid w:val="73887681"/>
    <w:rsid w:val="75AB4D25"/>
    <w:rsid w:val="76872303"/>
    <w:rsid w:val="76CF3246"/>
    <w:rsid w:val="76EB4B14"/>
    <w:rsid w:val="77557170"/>
    <w:rsid w:val="78C003B4"/>
    <w:rsid w:val="79C246C7"/>
    <w:rsid w:val="7A41750E"/>
    <w:rsid w:val="7B423955"/>
    <w:rsid w:val="7B590472"/>
    <w:rsid w:val="7BF62E60"/>
    <w:rsid w:val="7DD8593B"/>
    <w:rsid w:val="7E5C79D5"/>
    <w:rsid w:val="7E8615D9"/>
    <w:rsid w:val="7EE968E0"/>
    <w:rsid w:val="7F2214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nhideWhenUsed="0" w:uiPriority="0" w:semiHidden="0" w:name="heading 7"/>
    <w:lsdException w:qFormat="1" w:unhideWhenUsed="0" w:uiPriority="0" w:semiHidden="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58"/>
    <w:qFormat/>
    <w:uiPriority w:val="0"/>
    <w:pPr>
      <w:keepNext/>
      <w:keepLines/>
      <w:spacing w:before="340" w:after="330" w:line="576" w:lineRule="auto"/>
      <w:outlineLvl w:val="0"/>
    </w:pPr>
    <w:rPr>
      <w:rFonts w:ascii="Times New Roman" w:hAnsi="Times New Roman"/>
      <w:b/>
      <w:kern w:val="44"/>
      <w:sz w:val="44"/>
      <w:szCs w:val="20"/>
    </w:rPr>
  </w:style>
  <w:style w:type="paragraph" w:styleId="5">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paragraph" w:styleId="6">
    <w:name w:val="heading 3"/>
    <w:basedOn w:val="1"/>
    <w:next w:val="1"/>
    <w:qFormat/>
    <w:uiPriority w:val="0"/>
    <w:pPr>
      <w:keepNext/>
      <w:keepLines/>
      <w:spacing w:before="260" w:after="260" w:line="412" w:lineRule="auto"/>
      <w:ind w:firstLine="49" w:firstLineChars="49"/>
      <w:outlineLvl w:val="2"/>
    </w:pPr>
    <w:rPr>
      <w:rFonts w:ascii="黑体" w:eastAsia="黑体"/>
      <w:sz w:val="28"/>
      <w:szCs w:val="20"/>
    </w:rPr>
  </w:style>
  <w:style w:type="paragraph" w:styleId="7">
    <w:name w:val="heading 7"/>
    <w:basedOn w:val="1"/>
    <w:next w:val="1"/>
    <w:link w:val="57"/>
    <w:qFormat/>
    <w:uiPriority w:val="0"/>
    <w:pPr>
      <w:keepNext/>
      <w:keepLines/>
      <w:spacing w:before="240" w:after="64" w:line="320" w:lineRule="auto"/>
      <w:outlineLvl w:val="6"/>
    </w:pPr>
    <w:rPr>
      <w:b/>
      <w:bCs/>
      <w:sz w:val="24"/>
      <w:szCs w:val="24"/>
    </w:rPr>
  </w:style>
  <w:style w:type="paragraph" w:styleId="8">
    <w:name w:val="heading 8"/>
    <w:basedOn w:val="1"/>
    <w:next w:val="1"/>
    <w:link w:val="52"/>
    <w:qFormat/>
    <w:uiPriority w:val="0"/>
    <w:pPr>
      <w:keepNext/>
      <w:keepLines/>
      <w:spacing w:before="240" w:after="64" w:line="320" w:lineRule="auto"/>
      <w:outlineLvl w:val="7"/>
    </w:pPr>
    <w:rPr>
      <w:rFonts w:ascii="Calibri Light" w:hAnsi="Calibri Light"/>
      <w:sz w:val="24"/>
      <w:szCs w:val="24"/>
    </w:rPr>
  </w:style>
  <w:style w:type="character" w:default="1" w:styleId="34">
    <w:name w:val="Default Paragraph Font"/>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99"/>
  </w:style>
  <w:style w:type="paragraph" w:styleId="3">
    <w:name w:val="Body Text Indent"/>
    <w:basedOn w:val="1"/>
    <w:qFormat/>
    <w:uiPriority w:val="0"/>
    <w:pPr>
      <w:ind w:firstLine="420" w:firstLineChars="200"/>
    </w:pPr>
  </w:style>
  <w:style w:type="paragraph" w:styleId="9">
    <w:name w:val="toc 7"/>
    <w:basedOn w:val="1"/>
    <w:next w:val="1"/>
    <w:qFormat/>
    <w:uiPriority w:val="39"/>
    <w:pPr>
      <w:ind w:left="1200" w:leftChars="1200"/>
    </w:pPr>
  </w:style>
  <w:style w:type="paragraph" w:styleId="10">
    <w:name w:val="Normal Indent"/>
    <w:basedOn w:val="1"/>
    <w:qFormat/>
    <w:uiPriority w:val="0"/>
    <w:pPr>
      <w:ind w:firstLine="420"/>
    </w:pPr>
  </w:style>
  <w:style w:type="paragraph" w:styleId="11">
    <w:name w:val="Document Map"/>
    <w:basedOn w:val="1"/>
    <w:qFormat/>
    <w:uiPriority w:val="0"/>
    <w:rPr>
      <w:rFonts w:ascii="宋体" w:cs="宋体"/>
      <w:sz w:val="18"/>
      <w:szCs w:val="18"/>
    </w:rPr>
  </w:style>
  <w:style w:type="paragraph" w:styleId="12">
    <w:name w:val="annotation text"/>
    <w:basedOn w:val="1"/>
    <w:link w:val="60"/>
    <w:qFormat/>
    <w:uiPriority w:val="99"/>
    <w:pPr>
      <w:jc w:val="left"/>
    </w:pPr>
    <w:rPr>
      <w:rFonts w:ascii="Times New Roman" w:hAnsi="Times New Roman"/>
      <w:szCs w:val="20"/>
    </w:rPr>
  </w:style>
  <w:style w:type="paragraph" w:styleId="13">
    <w:name w:val="Body Text 3"/>
    <w:basedOn w:val="1"/>
    <w:qFormat/>
    <w:uiPriority w:val="0"/>
    <w:rPr>
      <w:rFonts w:ascii="宋体"/>
      <w:sz w:val="24"/>
      <w:szCs w:val="20"/>
    </w:rPr>
  </w:style>
  <w:style w:type="paragraph" w:styleId="14">
    <w:name w:val="Body Text"/>
    <w:basedOn w:val="1"/>
    <w:link w:val="59"/>
    <w:qFormat/>
    <w:uiPriority w:val="0"/>
    <w:pPr>
      <w:spacing w:after="120"/>
    </w:pPr>
  </w:style>
  <w:style w:type="paragraph" w:styleId="15">
    <w:name w:val="toc 5"/>
    <w:basedOn w:val="1"/>
    <w:next w:val="1"/>
    <w:qFormat/>
    <w:uiPriority w:val="39"/>
    <w:pPr>
      <w:ind w:left="800" w:leftChars="800"/>
    </w:pPr>
  </w:style>
  <w:style w:type="paragraph" w:styleId="16">
    <w:name w:val="toc 3"/>
    <w:basedOn w:val="1"/>
    <w:next w:val="1"/>
    <w:qFormat/>
    <w:uiPriority w:val="39"/>
    <w:pPr>
      <w:ind w:left="400" w:leftChars="400"/>
    </w:pPr>
  </w:style>
  <w:style w:type="paragraph" w:styleId="17">
    <w:name w:val="Plain Text"/>
    <w:basedOn w:val="1"/>
    <w:link w:val="50"/>
    <w:qFormat/>
    <w:uiPriority w:val="0"/>
    <w:rPr>
      <w:rFonts w:ascii="宋体"/>
    </w:rPr>
  </w:style>
  <w:style w:type="paragraph" w:styleId="18">
    <w:name w:val="toc 8"/>
    <w:basedOn w:val="1"/>
    <w:next w:val="1"/>
    <w:qFormat/>
    <w:uiPriority w:val="39"/>
    <w:pPr>
      <w:ind w:left="1400" w:leftChars="1400"/>
    </w:pPr>
  </w:style>
  <w:style w:type="paragraph" w:styleId="19">
    <w:name w:val="Date"/>
    <w:basedOn w:val="1"/>
    <w:next w:val="1"/>
    <w:qFormat/>
    <w:uiPriority w:val="0"/>
    <w:pPr>
      <w:ind w:left="2500" w:leftChars="2500"/>
    </w:pPr>
    <w:rPr>
      <w:rFonts w:ascii="Times New Roman" w:hAnsi="Times New Roman"/>
      <w:szCs w:val="20"/>
    </w:rPr>
  </w:style>
  <w:style w:type="paragraph" w:styleId="20">
    <w:name w:val="Balloon Text"/>
    <w:basedOn w:val="1"/>
    <w:qFormat/>
    <w:uiPriority w:val="0"/>
    <w:rPr>
      <w:rFonts w:ascii="Times New Roman" w:hAnsi="Times New Roman"/>
      <w:sz w:val="18"/>
      <w:szCs w:val="20"/>
    </w:rPr>
  </w:style>
  <w:style w:type="paragraph" w:styleId="21">
    <w:name w:val="footer"/>
    <w:basedOn w:val="1"/>
    <w:link w:val="51"/>
    <w:qFormat/>
    <w:uiPriority w:val="99"/>
    <w:pPr>
      <w:tabs>
        <w:tab w:val="center" w:pos="4153"/>
        <w:tab w:val="right" w:pos="8306"/>
      </w:tabs>
      <w:snapToGrid w:val="0"/>
      <w:jc w:val="left"/>
    </w:pPr>
    <w:rPr>
      <w:sz w:val="18"/>
    </w:rPr>
  </w:style>
  <w:style w:type="paragraph" w:styleId="22">
    <w:name w:val="header"/>
    <w:basedOn w:val="1"/>
    <w:qFormat/>
    <w:uiPriority w:val="0"/>
    <w:pPr>
      <w:tabs>
        <w:tab w:val="center" w:pos="4153"/>
        <w:tab w:val="right" w:pos="8306"/>
      </w:tabs>
      <w:snapToGrid w:val="0"/>
    </w:pPr>
    <w:rPr>
      <w:rFonts w:ascii="Times New Roman" w:hAnsi="Times New Roman"/>
      <w:sz w:val="18"/>
      <w:szCs w:val="20"/>
    </w:rPr>
  </w:style>
  <w:style w:type="paragraph" w:styleId="23">
    <w:name w:val="toc 1"/>
    <w:basedOn w:val="1"/>
    <w:next w:val="1"/>
    <w:qFormat/>
    <w:uiPriority w:val="39"/>
  </w:style>
  <w:style w:type="paragraph" w:styleId="24">
    <w:name w:val="toc 4"/>
    <w:basedOn w:val="1"/>
    <w:next w:val="1"/>
    <w:qFormat/>
    <w:uiPriority w:val="39"/>
    <w:pPr>
      <w:ind w:left="600" w:leftChars="600"/>
    </w:pPr>
  </w:style>
  <w:style w:type="paragraph" w:styleId="25">
    <w:name w:val="toc 6"/>
    <w:basedOn w:val="1"/>
    <w:next w:val="1"/>
    <w:qFormat/>
    <w:uiPriority w:val="39"/>
    <w:pPr>
      <w:ind w:left="1000" w:leftChars="1000"/>
    </w:pPr>
  </w:style>
  <w:style w:type="paragraph" w:styleId="26">
    <w:name w:val="Body Text Indent 3"/>
    <w:basedOn w:val="1"/>
    <w:qFormat/>
    <w:uiPriority w:val="0"/>
    <w:pPr>
      <w:spacing w:after="120"/>
      <w:ind w:left="200" w:leftChars="200"/>
    </w:pPr>
    <w:rPr>
      <w:sz w:val="16"/>
      <w:szCs w:val="16"/>
    </w:rPr>
  </w:style>
  <w:style w:type="paragraph" w:styleId="27">
    <w:name w:val="toc 2"/>
    <w:basedOn w:val="1"/>
    <w:next w:val="1"/>
    <w:qFormat/>
    <w:uiPriority w:val="39"/>
    <w:pPr>
      <w:ind w:left="200" w:leftChars="200"/>
    </w:pPr>
  </w:style>
  <w:style w:type="paragraph" w:styleId="28">
    <w:name w:val="toc 9"/>
    <w:basedOn w:val="1"/>
    <w:next w:val="1"/>
    <w:qFormat/>
    <w:uiPriority w:val="39"/>
    <w:pPr>
      <w:ind w:left="1600" w:leftChars="1600"/>
    </w:pPr>
  </w:style>
  <w:style w:type="paragraph" w:styleId="29">
    <w:name w:val="Normal (Web)"/>
    <w:basedOn w:val="1"/>
    <w:qFormat/>
    <w:uiPriority w:val="0"/>
    <w:pPr>
      <w:widowControl/>
      <w:spacing w:before="100" w:beforeAutospacing="1" w:after="100" w:afterAutospacing="1"/>
      <w:jc w:val="left"/>
    </w:pPr>
    <w:rPr>
      <w:rFonts w:ascii="Calibri Light" w:hAnsi="Calibri Light" w:cs="Calibri Light"/>
      <w:kern w:val="0"/>
      <w:sz w:val="24"/>
    </w:rPr>
  </w:style>
  <w:style w:type="paragraph" w:styleId="30">
    <w:name w:val="Title"/>
    <w:basedOn w:val="1"/>
    <w:next w:val="1"/>
    <w:qFormat/>
    <w:uiPriority w:val="10"/>
    <w:pPr>
      <w:spacing w:before="240" w:after="60"/>
      <w:jc w:val="center"/>
      <w:outlineLvl w:val="0"/>
    </w:pPr>
    <w:rPr>
      <w:rFonts w:ascii="Cambria" w:hAnsi="Cambria" w:cs="宋体"/>
      <w:b/>
      <w:bCs/>
      <w:sz w:val="32"/>
      <w:szCs w:val="32"/>
    </w:rPr>
  </w:style>
  <w:style w:type="paragraph" w:styleId="31">
    <w:name w:val="annotation subject"/>
    <w:basedOn w:val="12"/>
    <w:next w:val="12"/>
    <w:qFormat/>
    <w:uiPriority w:val="0"/>
  </w:style>
  <w:style w:type="table" w:styleId="33">
    <w:name w:val="Table Grid"/>
    <w:basedOn w:val="3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Hyperlink"/>
    <w:qFormat/>
    <w:uiPriority w:val="99"/>
    <w:rPr>
      <w:color w:val="0000FF"/>
      <w:u w:val="single"/>
    </w:rPr>
  </w:style>
  <w:style w:type="character" w:styleId="38">
    <w:name w:val="annotation reference"/>
    <w:qFormat/>
    <w:uiPriority w:val="99"/>
    <w:rPr>
      <w:sz w:val="21"/>
    </w:rPr>
  </w:style>
  <w:style w:type="paragraph" w:customStyle="1" w:styleId="39">
    <w:name w:val="样式1"/>
    <w:basedOn w:val="1"/>
    <w:link w:val="62"/>
    <w:qFormat/>
    <w:uiPriority w:val="0"/>
    <w:pPr>
      <w:tabs>
        <w:tab w:val="left" w:pos="1560"/>
      </w:tabs>
      <w:adjustRightInd w:val="0"/>
      <w:spacing w:line="440" w:lineRule="exact"/>
      <w:jc w:val="left"/>
      <w:textAlignment w:val="baseline"/>
    </w:pPr>
    <w:rPr>
      <w:rFonts w:ascii="Times New Roman" w:hAnsi="Times New Roman" w:eastAsia="兰米仿宋体"/>
      <w:spacing w:val="-16"/>
      <w:kern w:val="0"/>
      <w:sz w:val="28"/>
      <w:szCs w:val="20"/>
    </w:rPr>
  </w:style>
  <w:style w:type="paragraph" w:customStyle="1" w:styleId="40">
    <w:name w:val="p0"/>
    <w:basedOn w:val="1"/>
    <w:qFormat/>
    <w:uiPriority w:val="0"/>
    <w:pPr>
      <w:widowControl/>
    </w:pPr>
    <w:rPr>
      <w:rFonts w:hint="eastAsia" w:ascii="Times New Roman" w:hAnsi="Times New Roman"/>
      <w:szCs w:val="24"/>
    </w:rPr>
  </w:style>
  <w:style w:type="paragraph" w:customStyle="1" w:styleId="41">
    <w:name w:val="标题 21"/>
    <w:basedOn w:val="1"/>
    <w:next w:val="1"/>
    <w:qFormat/>
    <w:uiPriority w:val="0"/>
    <w:pPr>
      <w:keepNext/>
      <w:keepLines/>
      <w:outlineLvl w:val="1"/>
    </w:pPr>
    <w:rPr>
      <w:rFonts w:hint="eastAsia" w:ascii="Times New Roman" w:hAnsi="Times New Roman"/>
      <w:szCs w:val="20"/>
    </w:rPr>
  </w:style>
  <w:style w:type="paragraph" w:customStyle="1" w:styleId="42">
    <w:name w:val="Table Paragraph"/>
    <w:basedOn w:val="1"/>
    <w:qFormat/>
    <w:uiPriority w:val="1"/>
    <w:pPr>
      <w:jc w:val="left"/>
    </w:pPr>
    <w:rPr>
      <w:rFonts w:eastAsia="Calibri"/>
      <w:kern w:val="0"/>
      <w:sz w:val="22"/>
      <w:lang w:eastAsia="en-US"/>
    </w:rPr>
  </w:style>
  <w:style w:type="paragraph" w:customStyle="1" w:styleId="43">
    <w:name w:val="_Style 23"/>
    <w:basedOn w:val="1"/>
    <w:qFormat/>
    <w:uiPriority w:val="0"/>
    <w:pPr>
      <w:widowControl/>
      <w:spacing w:after="160" w:line="240" w:lineRule="exact"/>
      <w:jc w:val="left"/>
    </w:pPr>
  </w:style>
  <w:style w:type="paragraph" w:customStyle="1" w:styleId="44">
    <w:name w:val="_Style 39"/>
    <w:basedOn w:val="4"/>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45">
    <w:name w:val="_Style 40"/>
    <w:qFormat/>
    <w:uiPriority w:val="0"/>
    <w:rPr>
      <w:rFonts w:ascii="Times New Roman" w:hAnsi="Times New Roman" w:eastAsia="宋体" w:cs="Times New Roman"/>
      <w:kern w:val="2"/>
      <w:sz w:val="21"/>
      <w:lang w:val="en-US" w:eastAsia="zh-CN" w:bidi="ar-SA"/>
    </w:rPr>
  </w:style>
  <w:style w:type="paragraph" w:customStyle="1" w:styleId="46">
    <w:name w:val="Char"/>
    <w:basedOn w:val="1"/>
    <w:qFormat/>
    <w:uiPriority w:val="0"/>
    <w:rPr>
      <w:rFonts w:ascii="Tahoma" w:hAnsi="Tahoma"/>
      <w:sz w:val="24"/>
      <w:szCs w:val="20"/>
    </w:rPr>
  </w:style>
  <w:style w:type="paragraph" w:customStyle="1" w:styleId="47">
    <w:name w:val="日期1"/>
    <w:basedOn w:val="1"/>
    <w:next w:val="1"/>
    <w:qFormat/>
    <w:uiPriority w:val="0"/>
    <w:pPr>
      <w:adjustRightInd w:val="0"/>
      <w:textAlignment w:val="baseline"/>
    </w:pPr>
    <w:rPr>
      <w:rFonts w:ascii="Times New Roman" w:hAnsi="Times New Roman" w:eastAsia="仿宋_GB2312"/>
      <w:sz w:val="28"/>
      <w:szCs w:val="20"/>
    </w:rPr>
  </w:style>
  <w:style w:type="paragraph" w:customStyle="1" w:styleId="48">
    <w:name w:val="1"/>
    <w:basedOn w:val="1"/>
    <w:next w:val="17"/>
    <w:qFormat/>
    <w:uiPriority w:val="0"/>
    <w:rPr>
      <w:rFonts w:ascii="宋体" w:hAnsi="Courier New"/>
      <w:szCs w:val="20"/>
    </w:rPr>
  </w:style>
  <w:style w:type="character" w:customStyle="1" w:styleId="49">
    <w:name w:val="未处理的提及1"/>
    <w:qFormat/>
    <w:uiPriority w:val="99"/>
    <w:rPr>
      <w:color w:val="808080"/>
      <w:shd w:val="clear" w:color="auto" w:fill="E6E6E6"/>
    </w:rPr>
  </w:style>
  <w:style w:type="character" w:customStyle="1" w:styleId="50">
    <w:name w:val="纯文本 字符"/>
    <w:link w:val="17"/>
    <w:qFormat/>
    <w:uiPriority w:val="0"/>
    <w:rPr>
      <w:rFonts w:ascii="宋体" w:hAnsi="Calibri" w:eastAsia="宋体"/>
      <w:kern w:val="2"/>
      <w:sz w:val="21"/>
      <w:szCs w:val="22"/>
    </w:rPr>
  </w:style>
  <w:style w:type="character" w:customStyle="1" w:styleId="51">
    <w:name w:val="页脚 字符"/>
    <w:link w:val="21"/>
    <w:qFormat/>
    <w:uiPriority w:val="99"/>
    <w:rPr>
      <w:rFonts w:ascii="Calibri" w:hAnsi="Calibri" w:eastAsia="宋体"/>
      <w:kern w:val="2"/>
      <w:sz w:val="18"/>
      <w:szCs w:val="22"/>
    </w:rPr>
  </w:style>
  <w:style w:type="character" w:customStyle="1" w:styleId="52">
    <w:name w:val="标题 8 字符"/>
    <w:link w:val="8"/>
    <w:qFormat/>
    <w:uiPriority w:val="0"/>
    <w:rPr>
      <w:rFonts w:ascii="Calibri Light" w:hAnsi="Calibri Light" w:eastAsia="宋体" w:cs="Times New Roman"/>
      <w:kern w:val="2"/>
      <w:sz w:val="24"/>
      <w:szCs w:val="24"/>
    </w:rPr>
  </w:style>
  <w:style w:type="character" w:customStyle="1" w:styleId="53">
    <w:name w:val="Comment Text Char"/>
    <w:qFormat/>
    <w:uiPriority w:val="0"/>
  </w:style>
  <w:style w:type="character" w:customStyle="1" w:styleId="54">
    <w:name w:val="font41"/>
    <w:qFormat/>
    <w:uiPriority w:val="0"/>
    <w:rPr>
      <w:rFonts w:hint="eastAsia" w:ascii="宋体" w:hAnsi="宋体" w:eastAsia="宋体" w:cs="宋体"/>
      <w:color w:val="000000"/>
      <w:sz w:val="24"/>
      <w:szCs w:val="24"/>
      <w:u w:val="none"/>
    </w:rPr>
  </w:style>
  <w:style w:type="character" w:customStyle="1" w:styleId="55">
    <w:name w:val="批注文字 Char1"/>
    <w:qFormat/>
    <w:uiPriority w:val="0"/>
    <w:rPr>
      <w:rFonts w:ascii="Times New Roman" w:hAnsi="Times New Roman" w:eastAsia="宋体" w:cs="Times New Roman"/>
      <w:sz w:val="20"/>
      <w:szCs w:val="20"/>
      <w:lang w:bidi="ar-SA"/>
    </w:rPr>
  </w:style>
  <w:style w:type="character" w:customStyle="1" w:styleId="56">
    <w:name w:val="样式 新宋体 小四"/>
    <w:qFormat/>
    <w:uiPriority w:val="0"/>
    <w:rPr>
      <w:rFonts w:ascii="新宋体" w:hAnsi="新宋体" w:eastAsia="宋体"/>
      <w:sz w:val="21"/>
    </w:rPr>
  </w:style>
  <w:style w:type="character" w:customStyle="1" w:styleId="57">
    <w:name w:val="标题 7 字符"/>
    <w:link w:val="7"/>
    <w:qFormat/>
    <w:uiPriority w:val="0"/>
    <w:rPr>
      <w:rFonts w:ascii="Calibri" w:hAnsi="Calibri" w:eastAsia="宋体"/>
      <w:b/>
      <w:bCs/>
      <w:kern w:val="2"/>
      <w:sz w:val="24"/>
      <w:szCs w:val="24"/>
    </w:rPr>
  </w:style>
  <w:style w:type="character" w:customStyle="1" w:styleId="58">
    <w:name w:val="标题 1 字符"/>
    <w:link w:val="4"/>
    <w:qFormat/>
    <w:uiPriority w:val="0"/>
    <w:rPr>
      <w:rFonts w:eastAsia="宋体"/>
      <w:b/>
      <w:kern w:val="44"/>
      <w:sz w:val="44"/>
    </w:rPr>
  </w:style>
  <w:style w:type="character" w:customStyle="1" w:styleId="59">
    <w:name w:val="正文文本 字符"/>
    <w:link w:val="14"/>
    <w:qFormat/>
    <w:uiPriority w:val="0"/>
    <w:rPr>
      <w:rFonts w:ascii="Calibri" w:hAnsi="Calibri" w:eastAsia="宋体"/>
      <w:kern w:val="2"/>
      <w:sz w:val="21"/>
      <w:szCs w:val="22"/>
    </w:rPr>
  </w:style>
  <w:style w:type="character" w:customStyle="1" w:styleId="60">
    <w:name w:val="批注文字 字符"/>
    <w:link w:val="12"/>
    <w:qFormat/>
    <w:uiPriority w:val="99"/>
    <w:rPr>
      <w:rFonts w:eastAsia="宋体"/>
      <w:kern w:val="2"/>
      <w:sz w:val="21"/>
    </w:rPr>
  </w:style>
  <w:style w:type="character" w:customStyle="1" w:styleId="61">
    <w:name w:val="style_kwd"/>
    <w:basedOn w:val="34"/>
    <w:qFormat/>
    <w:uiPriority w:val="0"/>
  </w:style>
  <w:style w:type="character" w:customStyle="1" w:styleId="62">
    <w:name w:val="样式1 Char"/>
    <w:link w:val="39"/>
    <w:qFormat/>
    <w:uiPriority w:val="0"/>
    <w:rPr>
      <w:rFonts w:eastAsia="兰米仿宋体"/>
      <w:spacing w:val="-16"/>
      <w:kern w:val="0"/>
      <w:sz w:val="28"/>
      <w:szCs w:val="20"/>
    </w:rPr>
  </w:style>
  <w:style w:type="paragraph" w:customStyle="1" w:styleId="63">
    <w:name w:val="正文文本缩进1"/>
    <w:basedOn w:val="1"/>
    <w:qFormat/>
    <w:uiPriority w:val="0"/>
    <w:pPr>
      <w:ind w:firstLine="420" w:firstLineChars="200"/>
    </w:pPr>
  </w:style>
  <w:style w:type="paragraph" w:customStyle="1" w:styleId="64">
    <w:name w:val="列表段落1"/>
    <w:basedOn w:val="1"/>
    <w:qFormat/>
    <w:uiPriority w:val="34"/>
    <w:pPr>
      <w:ind w:firstLine="420" w:firstLineChars="200"/>
    </w:pPr>
  </w:style>
  <w:style w:type="paragraph" w:customStyle="1" w:styleId="65">
    <w:name w:val="Default"/>
    <w:qFormat/>
    <w:uiPriority w:val="0"/>
    <w:pPr>
      <w:widowControl w:val="0"/>
      <w:autoSpaceDE w:val="0"/>
      <w:autoSpaceDN w:val="0"/>
      <w:adjustRightInd w:val="0"/>
    </w:pPr>
    <w:rPr>
      <w:rFonts w:ascii="楷体" w:hAnsi="Times New Roman" w:eastAsia="楷体" w:cs="楷体"/>
      <w:color w:val="000000"/>
      <w:sz w:val="24"/>
      <w:szCs w:val="24"/>
      <w:lang w:val="en-US" w:eastAsia="zh-CN" w:bidi="ar-SA"/>
    </w:rPr>
  </w:style>
  <w:style w:type="paragraph" w:customStyle="1" w:styleId="66">
    <w:name w:val="修订1"/>
    <w:qFormat/>
    <w:uiPriority w:val="99"/>
    <w:rPr>
      <w:rFonts w:ascii="Calibri" w:hAnsi="Calibri" w:eastAsia="宋体" w:cs="Times New Roman"/>
      <w:kern w:val="2"/>
      <w:sz w:val="21"/>
      <w:szCs w:val="22"/>
      <w:lang w:val="en-US" w:eastAsia="zh-CN" w:bidi="ar-SA"/>
    </w:rPr>
  </w:style>
  <w:style w:type="paragraph" w:customStyle="1" w:styleId="67">
    <w:name w:val="修订2"/>
    <w:qFormat/>
    <w:uiPriority w:val="99"/>
    <w:rPr>
      <w:rFonts w:ascii="Calibri" w:hAnsi="Calibri" w:eastAsia="宋体" w:cs="Times New Roman"/>
      <w:kern w:val="2"/>
      <w:sz w:val="21"/>
      <w:szCs w:val="22"/>
      <w:lang w:val="en-US" w:eastAsia="zh-CN" w:bidi="ar-SA"/>
    </w:rPr>
  </w:style>
  <w:style w:type="paragraph" w:customStyle="1" w:styleId="68">
    <w:name w:val="修订3"/>
    <w:hidden/>
    <w:semiHidden/>
    <w:qFormat/>
    <w:uiPriority w:val="99"/>
    <w:rPr>
      <w:rFonts w:ascii="Calibri" w:hAnsi="Calibri" w:eastAsia="宋体" w:cs="Times New Roman"/>
      <w:kern w:val="2"/>
      <w:sz w:val="21"/>
      <w:szCs w:val="22"/>
      <w:lang w:val="en-US" w:eastAsia="zh-CN" w:bidi="ar-SA"/>
    </w:rPr>
  </w:style>
  <w:style w:type="paragraph" w:styleId="69">
    <w:name w:val="List Paragraph"/>
    <w:basedOn w:val="1"/>
    <w:qFormat/>
    <w:uiPriority w:val="34"/>
    <w:pPr>
      <w:ind w:firstLine="420" w:firstLineChars="200"/>
    </w:pPr>
  </w:style>
  <w:style w:type="paragraph" w:customStyle="1" w:styleId="70">
    <w:name w:val="修订4"/>
    <w:hidden/>
    <w:unhideWhenUsed/>
    <w:qFormat/>
    <w:uiPriority w:val="99"/>
    <w:rPr>
      <w:rFonts w:ascii="Calibri" w:hAnsi="Calibri" w:eastAsia="宋体" w:cs="Times New Roman"/>
      <w:kern w:val="2"/>
      <w:sz w:val="21"/>
      <w:szCs w:val="22"/>
      <w:lang w:val="en-US" w:eastAsia="zh-CN" w:bidi="ar-SA"/>
    </w:rPr>
  </w:style>
  <w:style w:type="paragraph" w:customStyle="1" w:styleId="71">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FC491B9D-BA74-4DB6-A2E1-DE7AD1261923}">
  <ds:schemaRefs/>
</ds:datastoreItem>
</file>

<file path=customXml/itemProps2.xml><?xml version="1.0" encoding="utf-8"?>
<ds:datastoreItem xmlns:ds="http://schemas.openxmlformats.org/officeDocument/2006/customXml" ds:itemID="{FA988844-CEA3-4ECE-AECB-0DD2CBB7CE32}">
  <ds:schemaRefs/>
</ds:datastoreItem>
</file>

<file path=customXml/itemProps3.xml><?xml version="1.0" encoding="utf-8"?>
<ds:datastoreItem xmlns:ds="http://schemas.openxmlformats.org/officeDocument/2006/customXml" ds:itemID="{F458E1DA-EF87-462C-8AA0-C0EF437C838B}">
  <ds:schemaRefs/>
</ds:datastoreItem>
</file>

<file path=customXml/itemProps4.xml><?xml version="1.0" encoding="utf-8"?>
<ds:datastoreItem xmlns:ds="http://schemas.openxmlformats.org/officeDocument/2006/customXml" ds:itemID="{E4DC5381-FBF3-404F-9853-628839A09335}">
  <ds:schemaRefs/>
</ds:datastoreItem>
</file>

<file path=customXml/itemProps5.xml><?xml version="1.0" encoding="utf-8"?>
<ds:datastoreItem xmlns:ds="http://schemas.openxmlformats.org/officeDocument/2006/customXml" ds:itemID="{DD19B715-894F-4ABE-9211-1386BE083D2B}">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71</Pages>
  <Words>16304</Words>
  <Characters>17486</Characters>
  <Lines>302</Lines>
  <Paragraphs>85</Paragraphs>
  <TotalTime>13</TotalTime>
  <ScaleCrop>false</ScaleCrop>
  <LinksUpToDate>false</LinksUpToDate>
  <CharactersWithSpaces>17576</CharactersWithSpaces>
  <Application>WPS Office_11.8.2.10972_F1E327BC-269C-435d-A152-05C5408002CA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2023-10-25T01:09:00Z</dcterms:created>
  <dc:creator>蔡南琪</dc:creator>
  <cp:lastModifiedBy>张子豪</cp:lastModifiedBy>
  <cp:lastPrinted>2017-10-15T05:12:00Z</cp:lastPrinted>
  <dcterms:modified xsi:type="dcterms:W3CDTF">2024-12-02T04:21:52Z</dcterms:modified>
  <dc:title>中华人民共和国</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2052-11.8.2.10972</vt:lpwstr>
  </property>
  <property fmtid="{D5CDD505-2E9C-101B-9397-08002B2CF9AE}" pid="3" name="ICV">
    <vt:lpwstr>AA34171774D4445EA30E218A65D7C032</vt:lpwstr>
  </property>
</Properties>
</file>