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B97CD">
      <w:pPr>
        <w:jc w:val="right"/>
        <w:rPr>
          <w:rFonts w:hint="eastAsia" w:ascii="宋体" w:eastAsia="宋体"/>
          <w:color w:val="auto"/>
          <w:sz w:val="18"/>
          <w:szCs w:val="18"/>
          <w:highlight w:val="none"/>
          <w:lang w:eastAsia="zh-CN"/>
        </w:rPr>
      </w:pPr>
      <w:r>
        <w:rPr>
          <w:rFonts w:hint="eastAsia" w:ascii="宋体"/>
          <w:color w:val="auto"/>
          <w:sz w:val="18"/>
          <w:szCs w:val="18"/>
          <w:highlight w:val="none"/>
        </w:rPr>
        <w:t>中山市房屋建筑和市政基础设施工程</w:t>
      </w:r>
      <w:r>
        <w:rPr>
          <w:rFonts w:hint="eastAsia" w:ascii="宋体"/>
          <w:color w:val="auto"/>
          <w:sz w:val="18"/>
          <w:szCs w:val="18"/>
          <w:highlight w:val="none"/>
          <w:lang w:eastAsia="zh-CN"/>
        </w:rPr>
        <w:t>勘察、设计</w:t>
      </w:r>
      <w:r>
        <w:rPr>
          <w:rFonts w:hint="eastAsia" w:ascii="宋体"/>
          <w:color w:val="auto"/>
          <w:sz w:val="18"/>
          <w:szCs w:val="18"/>
          <w:highlight w:val="none"/>
        </w:rPr>
        <w:t>招标文件示范文本</w:t>
      </w:r>
      <w:r>
        <w:rPr>
          <w:rFonts w:hint="eastAsia" w:ascii="宋体"/>
          <w:color w:val="auto"/>
          <w:sz w:val="18"/>
          <w:szCs w:val="18"/>
          <w:highlight w:val="none"/>
          <w:lang w:eastAsia="zh-CN"/>
        </w:rPr>
        <w:t>（</w:t>
      </w:r>
      <w:r>
        <w:rPr>
          <w:rFonts w:hint="eastAsia" w:ascii="宋体"/>
          <w:color w:val="auto"/>
          <w:sz w:val="18"/>
          <w:szCs w:val="18"/>
          <w:highlight w:val="none"/>
        </w:rPr>
        <w:t>适用于评定分离</w:t>
      </w:r>
      <w:r>
        <w:rPr>
          <w:rFonts w:hint="eastAsia" w:ascii="宋体"/>
          <w:color w:val="auto"/>
          <w:sz w:val="18"/>
          <w:szCs w:val="18"/>
          <w:highlight w:val="none"/>
          <w:lang w:eastAsia="zh-CN"/>
        </w:rPr>
        <w:t>）</w:t>
      </w:r>
    </w:p>
    <w:p w14:paraId="4A55AABD">
      <w:pPr>
        <w:spacing w:line="360" w:lineRule="auto"/>
        <w:ind w:firstLine="360" w:firstLineChars="200"/>
        <w:jc w:val="right"/>
        <w:rPr>
          <w:rFonts w:hint="eastAsia" w:ascii="宋体" w:hAnsi="宋体"/>
          <w:color w:val="auto"/>
          <w:sz w:val="44"/>
          <w:szCs w:val="44"/>
          <w:highlight w:val="none"/>
        </w:rPr>
      </w:pPr>
      <w:r>
        <w:rPr>
          <w:rFonts w:hint="eastAsia" w:ascii="宋体"/>
          <w:color w:val="auto"/>
          <w:sz w:val="18"/>
          <w:szCs w:val="18"/>
          <w:highlight w:val="none"/>
          <w:lang w:eastAsia="zh-CN"/>
        </w:rPr>
        <w:t>（</w:t>
      </w:r>
      <w:r>
        <w:rPr>
          <w:rFonts w:hint="eastAsia" w:ascii="宋体"/>
          <w:color w:val="auto"/>
          <w:sz w:val="18"/>
          <w:szCs w:val="18"/>
          <w:highlight w:val="none"/>
        </w:rPr>
        <w:t>202</w:t>
      </w:r>
      <w:r>
        <w:rPr>
          <w:rFonts w:hint="eastAsia" w:ascii="宋体"/>
          <w:color w:val="auto"/>
          <w:sz w:val="18"/>
          <w:szCs w:val="18"/>
          <w:highlight w:val="none"/>
          <w:lang w:val="en-US" w:eastAsia="zh-CN"/>
        </w:rPr>
        <w:t>4-03</w:t>
      </w:r>
      <w:r>
        <w:rPr>
          <w:rFonts w:hint="eastAsia" w:ascii="宋体"/>
          <w:color w:val="auto"/>
          <w:sz w:val="18"/>
          <w:szCs w:val="18"/>
          <w:highlight w:val="none"/>
        </w:rPr>
        <w:t>版本</w:t>
      </w:r>
      <w:r>
        <w:rPr>
          <w:rFonts w:hint="eastAsia" w:ascii="宋体"/>
          <w:color w:val="auto"/>
          <w:sz w:val="18"/>
          <w:szCs w:val="18"/>
          <w:highlight w:val="none"/>
          <w:lang w:eastAsia="zh-CN"/>
        </w:rPr>
        <w:t>）</w:t>
      </w:r>
    </w:p>
    <w:p w14:paraId="163CCC29">
      <w:pPr>
        <w:jc w:val="right"/>
        <w:rPr>
          <w:rFonts w:ascii="宋体"/>
          <w:color w:val="auto"/>
          <w:sz w:val="18"/>
          <w:szCs w:val="18"/>
          <w:highlight w:val="none"/>
        </w:rPr>
      </w:pPr>
    </w:p>
    <w:p w14:paraId="05954FD9">
      <w:pPr>
        <w:spacing w:line="360" w:lineRule="auto"/>
        <w:jc w:val="right"/>
        <w:rPr>
          <w:rFonts w:hint="eastAsia" w:ascii="宋体"/>
          <w:color w:val="auto"/>
          <w:sz w:val="18"/>
          <w:szCs w:val="18"/>
          <w:highlight w:val="none"/>
        </w:rPr>
      </w:pPr>
    </w:p>
    <w:p w14:paraId="7A92E2BF">
      <w:pPr>
        <w:spacing w:line="360" w:lineRule="auto"/>
        <w:jc w:val="center"/>
        <w:rPr>
          <w:rFonts w:hint="eastAsia" w:ascii="宋体" w:hAnsi="宋体" w:eastAsia="宋体"/>
          <w:b/>
          <w:color w:val="auto"/>
          <w:sz w:val="52"/>
          <w:szCs w:val="52"/>
          <w:highlight w:val="none"/>
          <w:lang w:val="en-US" w:eastAsia="zh-CN"/>
        </w:rPr>
      </w:pPr>
      <w:permStart w:id="0" w:edGrp="everyone"/>
      <w:r>
        <w:rPr>
          <w:rFonts w:hint="eastAsia" w:ascii="宋体" w:hAnsi="宋体"/>
          <w:b/>
          <w:color w:val="auto"/>
          <w:sz w:val="52"/>
          <w:szCs w:val="52"/>
          <w:highlight w:val="none"/>
          <w:lang w:val="en-US" w:eastAsia="zh-CN"/>
        </w:rPr>
        <w:t>三角镇新华北路道路工程勘察设计</w:t>
      </w:r>
      <w:permEnd w:id="0"/>
      <w:r>
        <w:rPr>
          <w:rFonts w:hint="eastAsia" w:ascii="宋体" w:hAnsi="宋体"/>
          <w:b/>
          <w:color w:val="auto"/>
          <w:sz w:val="52"/>
          <w:szCs w:val="52"/>
          <w:highlight w:val="none"/>
        </w:rPr>
        <w:t>招标文件</w:t>
      </w:r>
    </w:p>
    <w:p w14:paraId="551C5F7D">
      <w:pPr>
        <w:spacing w:line="480" w:lineRule="auto"/>
        <w:jc w:val="center"/>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lang w:eastAsia="zh-CN"/>
        </w:rPr>
        <w:t>（</w:t>
      </w:r>
      <w:r>
        <w:rPr>
          <w:rFonts w:hint="default" w:ascii="宋体" w:hAnsi="宋体"/>
          <w:b/>
          <w:color w:val="auto"/>
          <w:sz w:val="36"/>
          <w:szCs w:val="36"/>
          <w:highlight w:val="none"/>
        </w:rPr>
        <w:t>适用于评定分离</w:t>
      </w:r>
      <w:r>
        <w:rPr>
          <w:rFonts w:hint="eastAsia" w:ascii="宋体" w:hAnsi="宋体"/>
          <w:b/>
          <w:color w:val="auto"/>
          <w:sz w:val="36"/>
          <w:szCs w:val="36"/>
          <w:highlight w:val="none"/>
          <w:lang w:eastAsia="zh-CN"/>
        </w:rPr>
        <w:t>、</w:t>
      </w:r>
      <w:r>
        <w:rPr>
          <w:rFonts w:hint="eastAsia" w:ascii="宋体" w:hAnsi="宋体"/>
          <w:b/>
          <w:sz w:val="36"/>
          <w:szCs w:val="36"/>
        </w:rPr>
        <w:t>网上开标电子评标</w:t>
      </w:r>
      <w:r>
        <w:rPr>
          <w:rFonts w:hint="eastAsia" w:ascii="宋体" w:hAnsi="宋体"/>
          <w:b/>
          <w:color w:val="auto"/>
          <w:sz w:val="36"/>
          <w:szCs w:val="36"/>
          <w:highlight w:val="none"/>
          <w:lang w:eastAsia="zh-CN"/>
        </w:rPr>
        <w:t>）</w:t>
      </w:r>
    </w:p>
    <w:p w14:paraId="54846E78">
      <w:pPr>
        <w:pStyle w:val="8"/>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14:paraId="4C8FE78A">
      <w:pPr>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14:paraId="0610E39B">
      <w:pPr>
        <w:pStyle w:val="8"/>
        <w:keepNext w:val="0"/>
        <w:keepLines w:val="0"/>
        <w:pageBreakBefore w:val="0"/>
        <w:widowControl w:val="0"/>
        <w:kinsoku/>
        <w:wordWrap/>
        <w:overflowPunct/>
        <w:topLinePunct w:val="0"/>
        <w:bidi w:val="0"/>
        <w:spacing w:line="360" w:lineRule="auto"/>
        <w:textAlignment w:val="auto"/>
        <w:rPr>
          <w:rFonts w:ascii="宋体"/>
          <w:b/>
          <w:color w:val="auto"/>
          <w:sz w:val="32"/>
          <w:szCs w:val="32"/>
          <w:highlight w:val="none"/>
        </w:rPr>
      </w:pPr>
    </w:p>
    <w:p w14:paraId="390A8A63">
      <w:pPr>
        <w:keepNext w:val="0"/>
        <w:keepLines w:val="0"/>
        <w:pageBreakBefore w:val="0"/>
        <w:widowControl w:val="0"/>
        <w:kinsoku/>
        <w:wordWrap/>
        <w:overflowPunct/>
        <w:topLinePunct w:val="0"/>
        <w:bidi w:val="0"/>
        <w:spacing w:line="360" w:lineRule="auto"/>
        <w:textAlignment w:val="auto"/>
        <w:rPr>
          <w:rFonts w:ascii="宋体"/>
          <w:b w:val="0"/>
          <w:bCs/>
          <w:color w:val="auto"/>
          <w:sz w:val="32"/>
          <w:szCs w:val="32"/>
          <w:highlight w:val="none"/>
        </w:rPr>
      </w:pPr>
    </w:p>
    <w:p w14:paraId="47CE5286">
      <w:pPr>
        <w:pStyle w:val="8"/>
        <w:keepNext w:val="0"/>
        <w:keepLines w:val="0"/>
        <w:pageBreakBefore w:val="0"/>
        <w:widowControl w:val="0"/>
        <w:kinsoku/>
        <w:wordWrap/>
        <w:overflowPunct/>
        <w:topLinePunct w:val="0"/>
        <w:bidi w:val="0"/>
        <w:spacing w:line="360" w:lineRule="auto"/>
        <w:textAlignment w:val="auto"/>
        <w:rPr>
          <w:rFonts w:ascii="宋体"/>
          <w:b w:val="0"/>
          <w:bCs/>
          <w:color w:val="auto"/>
          <w:sz w:val="32"/>
          <w:szCs w:val="32"/>
          <w:highlight w:val="none"/>
        </w:rPr>
      </w:pPr>
    </w:p>
    <w:p w14:paraId="563CC25B">
      <w:pPr>
        <w:pStyle w:val="8"/>
        <w:keepNext w:val="0"/>
        <w:keepLines w:val="0"/>
        <w:pageBreakBefore w:val="0"/>
        <w:widowControl w:val="0"/>
        <w:kinsoku/>
        <w:wordWrap/>
        <w:overflowPunct/>
        <w:topLinePunct w:val="0"/>
        <w:bidi w:val="0"/>
        <w:spacing w:line="360" w:lineRule="auto"/>
        <w:textAlignment w:val="auto"/>
        <w:rPr>
          <w:b w:val="0"/>
          <w:bCs/>
          <w:color w:val="auto"/>
          <w:highlight w:val="none"/>
        </w:rPr>
      </w:pPr>
    </w:p>
    <w:p w14:paraId="34024801">
      <w:pPr>
        <w:pStyle w:val="8"/>
        <w:keepNext w:val="0"/>
        <w:keepLines w:val="0"/>
        <w:pageBreakBefore w:val="0"/>
        <w:widowControl w:val="0"/>
        <w:kinsoku/>
        <w:wordWrap/>
        <w:overflowPunct/>
        <w:topLinePunct w:val="0"/>
        <w:bidi w:val="0"/>
        <w:spacing w:line="360" w:lineRule="auto"/>
        <w:textAlignment w:val="auto"/>
        <w:rPr>
          <w:b w:val="0"/>
          <w:bCs/>
          <w:color w:val="auto"/>
          <w:highlight w:val="none"/>
        </w:rPr>
      </w:pPr>
    </w:p>
    <w:p w14:paraId="54FE3A15">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u w:val="single"/>
        </w:rPr>
      </w:pPr>
      <w:r>
        <w:rPr>
          <w:rFonts w:hint="eastAsia" w:ascii="宋体"/>
          <w:b/>
          <w:color w:val="auto"/>
          <w:sz w:val="32"/>
          <w:szCs w:val="32"/>
          <w:highlight w:val="none"/>
        </w:rPr>
        <w:t xml:space="preserve">招 标 </w:t>
      </w:r>
      <w:r>
        <w:rPr>
          <w:rFonts w:hint="eastAsia" w:ascii="宋体"/>
          <w:b/>
          <w:color w:val="auto"/>
          <w:sz w:val="32"/>
          <w:szCs w:val="32"/>
          <w:highlight w:val="none"/>
          <w:lang w:val="en-US" w:eastAsia="zh-CN"/>
        </w:rPr>
        <w:t>人</w:t>
      </w:r>
      <w:r>
        <w:rPr>
          <w:rFonts w:hint="eastAsia" w:ascii="宋体"/>
          <w:b/>
          <w:color w:val="auto"/>
          <w:sz w:val="32"/>
          <w:szCs w:val="32"/>
          <w:highlight w:val="none"/>
        </w:rPr>
        <w:t xml:space="preserve"> ：</w:t>
      </w:r>
      <w:permStart w:id="1" w:edGrp="everyone"/>
      <w:r>
        <w:rPr>
          <w:rFonts w:hint="eastAsia" w:ascii="宋体"/>
          <w:b/>
          <w:color w:val="auto"/>
          <w:sz w:val="32"/>
          <w:szCs w:val="32"/>
          <w:highlight w:val="none"/>
          <w:u w:val="single"/>
        </w:rPr>
        <w:t xml:space="preserve">  </w:t>
      </w:r>
      <w:r>
        <w:rPr>
          <w:rFonts w:hint="eastAsia" w:ascii="宋体" w:cs="Times New Roman"/>
          <w:b/>
          <w:color w:val="auto"/>
          <w:sz w:val="32"/>
          <w:szCs w:val="32"/>
          <w:highlight w:val="none"/>
          <w:u w:val="single"/>
          <w:lang w:eastAsia="zh-CN"/>
        </w:rPr>
        <w:t>中山市产业平台（三角园）管理中心</w:t>
      </w:r>
      <w:r>
        <w:rPr>
          <w:rFonts w:hint="eastAsia" w:ascii="宋体"/>
          <w:b/>
          <w:color w:val="auto"/>
          <w:sz w:val="32"/>
          <w:szCs w:val="32"/>
          <w:highlight w:val="none"/>
          <w:u w:val="single"/>
        </w:rPr>
        <w:t xml:space="preserve"> </w:t>
      </w:r>
      <w:permEnd w:id="1"/>
      <w:r>
        <w:rPr>
          <w:rFonts w:hint="eastAsia" w:ascii="宋体"/>
          <w:b/>
          <w:color w:val="auto"/>
          <w:sz w:val="32"/>
          <w:szCs w:val="32"/>
          <w:highlight w:val="none"/>
        </w:rPr>
        <w:t>（盖章）</w:t>
      </w:r>
    </w:p>
    <w:p w14:paraId="0FBA8123">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招标代理机构：</w:t>
      </w:r>
      <w:permStart w:id="2" w:edGrp="everyone"/>
      <w:r>
        <w:rPr>
          <w:rFonts w:hint="eastAsia" w:ascii="宋体"/>
          <w:b/>
          <w:color w:val="auto"/>
          <w:sz w:val="32"/>
          <w:szCs w:val="32"/>
          <w:highlight w:val="none"/>
          <w:u w:val="single"/>
        </w:rPr>
        <w:t xml:space="preserve"> </w:t>
      </w:r>
      <w:r>
        <w:rPr>
          <w:rFonts w:hint="eastAsia" w:ascii="宋体" w:cs="Times New Roman"/>
          <w:b/>
          <w:color w:val="auto"/>
          <w:sz w:val="32"/>
          <w:szCs w:val="32"/>
          <w:highlight w:val="none"/>
          <w:u w:val="single"/>
        </w:rPr>
        <w:t>广东宏实建设项目管理有限公司</w:t>
      </w:r>
      <w:r>
        <w:rPr>
          <w:rFonts w:hint="eastAsia" w:ascii="宋体"/>
          <w:b/>
          <w:color w:val="auto"/>
          <w:sz w:val="32"/>
          <w:szCs w:val="32"/>
          <w:highlight w:val="none"/>
          <w:u w:val="single"/>
        </w:rPr>
        <w:t xml:space="preserve"> </w:t>
      </w:r>
      <w:permEnd w:id="2"/>
      <w:r>
        <w:rPr>
          <w:rFonts w:hint="eastAsia" w:ascii="宋体"/>
          <w:b/>
          <w:color w:val="auto"/>
          <w:sz w:val="32"/>
          <w:szCs w:val="32"/>
          <w:highlight w:val="none"/>
        </w:rPr>
        <w:t>（盖章）</w:t>
      </w:r>
    </w:p>
    <w:p w14:paraId="56385732">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招标代理项目负责人：</w:t>
      </w:r>
      <w:permStart w:id="3" w:edGrp="everyone"/>
      <w:r>
        <w:rPr>
          <w:rFonts w:hint="eastAsia" w:ascii="宋体"/>
          <w:b/>
          <w:color w:val="auto"/>
          <w:sz w:val="32"/>
          <w:szCs w:val="32"/>
          <w:highlight w:val="none"/>
          <w:u w:val="single"/>
        </w:rPr>
        <w:t xml:space="preserve"> </w:t>
      </w:r>
      <w:r>
        <w:rPr>
          <w:rFonts w:hint="eastAsia" w:ascii="宋体" w:cs="Times New Roman"/>
          <w:b/>
          <w:color w:val="auto"/>
          <w:sz w:val="32"/>
          <w:szCs w:val="32"/>
          <w:highlight w:val="none"/>
          <w:u w:val="single"/>
        </w:rPr>
        <w:t xml:space="preserve">  覃志明</w:t>
      </w:r>
      <w:r>
        <w:rPr>
          <w:rFonts w:hint="eastAsia" w:ascii="宋体"/>
          <w:b/>
          <w:color w:val="auto"/>
          <w:sz w:val="32"/>
          <w:szCs w:val="32"/>
          <w:highlight w:val="none"/>
          <w:u w:val="single"/>
        </w:rPr>
        <w:t xml:space="preserve">  </w:t>
      </w:r>
      <w:permEnd w:id="3"/>
      <w:r>
        <w:rPr>
          <w:rFonts w:hint="eastAsia" w:ascii="宋体"/>
          <w:b/>
          <w:color w:val="auto"/>
          <w:sz w:val="32"/>
          <w:szCs w:val="32"/>
          <w:highlight w:val="none"/>
        </w:rPr>
        <w:t>（签名）</w:t>
      </w:r>
    </w:p>
    <w:p w14:paraId="3B4D41E6">
      <w:pPr>
        <w:keepNext w:val="0"/>
        <w:keepLines w:val="0"/>
        <w:pageBreakBefore w:val="0"/>
        <w:widowControl w:val="0"/>
        <w:kinsoku/>
        <w:wordWrap/>
        <w:overflowPunct/>
        <w:topLinePunct w:val="0"/>
        <w:autoSpaceDE/>
        <w:autoSpaceDN/>
        <w:bidi w:val="0"/>
        <w:adjustRightInd/>
        <w:snapToGrid/>
        <w:spacing w:line="360" w:lineRule="auto"/>
        <w:ind w:firstLine="948" w:firstLineChars="295"/>
        <w:textAlignment w:val="auto"/>
        <w:rPr>
          <w:rFonts w:hint="eastAsia" w:ascii="宋体"/>
          <w:b/>
          <w:color w:val="auto"/>
          <w:sz w:val="32"/>
          <w:szCs w:val="32"/>
          <w:highlight w:val="none"/>
        </w:rPr>
      </w:pPr>
      <w:r>
        <w:rPr>
          <w:rFonts w:hint="eastAsia" w:ascii="宋体"/>
          <w:b/>
          <w:color w:val="auto"/>
          <w:sz w:val="32"/>
          <w:szCs w:val="32"/>
          <w:highlight w:val="none"/>
        </w:rPr>
        <w:t>招标文件编制人员：</w:t>
      </w:r>
      <w:permStart w:id="4" w:edGrp="everyone"/>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梁敏思、苏炜明</w:t>
      </w:r>
      <w:r>
        <w:rPr>
          <w:rFonts w:ascii="宋体"/>
          <w:b/>
          <w:color w:val="auto"/>
          <w:sz w:val="32"/>
          <w:szCs w:val="32"/>
          <w:highlight w:val="none"/>
          <w:u w:val="single"/>
        </w:rPr>
        <w:t xml:space="preserve">  </w:t>
      </w:r>
      <w:permEnd w:id="4"/>
      <w:r>
        <w:rPr>
          <w:rFonts w:hint="eastAsia" w:ascii="宋体"/>
          <w:b/>
          <w:color w:val="auto"/>
          <w:sz w:val="32"/>
          <w:szCs w:val="32"/>
          <w:highlight w:val="none"/>
        </w:rPr>
        <w:t>（签名）</w:t>
      </w:r>
    </w:p>
    <w:p w14:paraId="543F55EE">
      <w:pPr>
        <w:spacing w:line="360" w:lineRule="auto"/>
        <w:ind w:firstLine="0" w:firstLineChars="0"/>
        <w:rPr>
          <w:rFonts w:hint="eastAsia" w:ascii="宋体"/>
          <w:b/>
          <w:color w:val="auto"/>
          <w:sz w:val="32"/>
          <w:szCs w:val="32"/>
          <w:highlight w:val="none"/>
        </w:rPr>
      </w:pPr>
    </w:p>
    <w:p w14:paraId="2D4A6755">
      <w:pPr>
        <w:spacing w:line="360" w:lineRule="auto"/>
        <w:ind w:firstLine="0" w:firstLineChars="0"/>
        <w:rPr>
          <w:rFonts w:ascii="宋体"/>
          <w:b/>
          <w:color w:val="auto"/>
          <w:sz w:val="32"/>
          <w:szCs w:val="32"/>
          <w:highlight w:val="none"/>
        </w:rPr>
      </w:pPr>
    </w:p>
    <w:p w14:paraId="03A34A51">
      <w:pPr>
        <w:spacing w:line="360" w:lineRule="auto"/>
        <w:ind w:firstLine="0" w:firstLineChars="0"/>
        <w:rPr>
          <w:rFonts w:ascii="宋体"/>
          <w:b/>
          <w:color w:val="auto"/>
          <w:sz w:val="32"/>
          <w:szCs w:val="32"/>
          <w:highlight w:val="none"/>
        </w:rPr>
      </w:pPr>
    </w:p>
    <w:p w14:paraId="58EB6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auto"/>
          <w:sz w:val="32"/>
          <w:szCs w:val="32"/>
          <w:highlight w:val="none"/>
        </w:rPr>
      </w:pPr>
      <w:permStart w:id="5" w:edGrp="everyone"/>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2024</w:t>
      </w:r>
      <w:r>
        <w:rPr>
          <w:rFonts w:hint="eastAsia" w:ascii="宋体" w:hAnsi="宋体"/>
          <w:b/>
          <w:color w:val="auto"/>
          <w:sz w:val="32"/>
          <w:szCs w:val="32"/>
          <w:highlight w:val="none"/>
          <w:u w:val="single"/>
        </w:rPr>
        <w:t xml:space="preserve"> </w:t>
      </w:r>
      <w:permEnd w:id="5"/>
      <w:r>
        <w:rPr>
          <w:rFonts w:hint="eastAsia" w:ascii="宋体" w:hAnsi="宋体"/>
          <w:b/>
          <w:color w:val="auto"/>
          <w:sz w:val="32"/>
          <w:szCs w:val="32"/>
          <w:highlight w:val="none"/>
        </w:rPr>
        <w:t>年</w:t>
      </w:r>
      <w:permStart w:id="6" w:edGrp="everyone"/>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10</w:t>
      </w:r>
      <w:r>
        <w:rPr>
          <w:rFonts w:hint="eastAsia" w:ascii="宋体" w:hAnsi="宋体"/>
          <w:b/>
          <w:color w:val="auto"/>
          <w:sz w:val="32"/>
          <w:szCs w:val="32"/>
          <w:highlight w:val="none"/>
          <w:u w:val="single"/>
        </w:rPr>
        <w:t xml:space="preserve"> </w:t>
      </w:r>
      <w:permEnd w:id="6"/>
      <w:r>
        <w:rPr>
          <w:rFonts w:hint="eastAsia" w:ascii="宋体" w:hAnsi="宋体"/>
          <w:b/>
          <w:color w:val="auto"/>
          <w:sz w:val="32"/>
          <w:szCs w:val="32"/>
          <w:highlight w:val="none"/>
        </w:rPr>
        <w:t>月</w:t>
      </w:r>
    </w:p>
    <w:p w14:paraId="19C07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使用说明</w:t>
      </w:r>
    </w:p>
    <w:p w14:paraId="43613B63">
      <w:pPr>
        <w:numPr>
          <w:ilvl w:val="0"/>
          <w:numId w:val="2"/>
        </w:numPr>
        <w:spacing w:line="360" w:lineRule="auto"/>
        <w:ind w:left="0" w:leftChars="0" w:firstLine="420" w:firstLineChars="0"/>
        <w:rPr>
          <w:rFonts w:hint="eastAsia" w:ascii="宋体" w:hAnsi="宋体"/>
          <w:color w:val="auto"/>
          <w:szCs w:val="21"/>
          <w:highlight w:val="none"/>
        </w:rPr>
      </w:pPr>
      <w:r>
        <w:rPr>
          <w:rFonts w:hint="eastAsia" w:ascii="宋体" w:hAnsi="宋体"/>
          <w:color w:val="auto"/>
          <w:szCs w:val="21"/>
          <w:highlight w:val="none"/>
          <w:lang w:val="en-US" w:eastAsia="zh-CN"/>
        </w:rPr>
        <w:t>本招标文件范本以《中华人民共和国标准设计招标文件（2017版）》为基础，结合《</w:t>
      </w:r>
      <w:r>
        <w:rPr>
          <w:rFonts w:hint="eastAsia" w:ascii="宋体" w:hAnsi="宋体"/>
          <w:color w:val="auto"/>
          <w:szCs w:val="21"/>
          <w:highlight w:val="none"/>
        </w:rPr>
        <w:t>中山市房屋市政工程服务类招标评定分离工作指导规则（试行）</w:t>
      </w:r>
      <w:r>
        <w:rPr>
          <w:rFonts w:hint="eastAsia" w:ascii="宋体" w:hAnsi="宋体"/>
          <w:color w:val="auto"/>
          <w:szCs w:val="21"/>
          <w:highlight w:val="none"/>
          <w:lang w:val="en-US" w:eastAsia="zh-CN"/>
        </w:rPr>
        <w:t>》（</w:t>
      </w:r>
      <w:r>
        <w:rPr>
          <w:rFonts w:hint="eastAsia" w:eastAsia="宋体"/>
          <w:color w:val="auto"/>
          <w:highlight w:val="none"/>
          <w:lang w:val="en-US" w:eastAsia="zh-CN"/>
        </w:rPr>
        <w:t>中建通</w:t>
      </w:r>
      <w:r>
        <w:rPr>
          <w:rFonts w:hint="eastAsia" w:ascii="宋体" w:hAnsi="宋体" w:eastAsia="宋体" w:cs="Times New Roman"/>
          <w:color w:val="auto"/>
          <w:szCs w:val="21"/>
          <w:highlight w:val="none"/>
          <w:lang w:val="en-US" w:eastAsia="zh-CN"/>
        </w:rPr>
        <w:t>〔2021〕104</w:t>
      </w:r>
      <w:r>
        <w:rPr>
          <w:rFonts w:hint="eastAsia" w:eastAsia="宋体"/>
          <w:color w:val="auto"/>
          <w:highlight w:val="none"/>
          <w:lang w:val="en-US" w:eastAsia="zh-CN"/>
        </w:rPr>
        <w:t>号）</w:t>
      </w:r>
      <w:r>
        <w:rPr>
          <w:rFonts w:hint="eastAsia" w:ascii="宋体" w:hAnsi="宋体"/>
          <w:color w:val="auto"/>
          <w:szCs w:val="21"/>
          <w:highlight w:val="none"/>
          <w:lang w:val="en-US" w:eastAsia="zh-CN"/>
        </w:rPr>
        <w:t>以及本市有关工程招标投标的管理规定进行编制，适用于</w:t>
      </w:r>
      <w:r>
        <w:rPr>
          <w:rFonts w:hint="eastAsia" w:ascii="宋体" w:hAnsi="宋体"/>
          <w:color w:val="auto"/>
          <w:szCs w:val="21"/>
          <w:highlight w:val="none"/>
        </w:rPr>
        <w:t>本市</w:t>
      </w:r>
      <w:r>
        <w:rPr>
          <w:rFonts w:hint="eastAsia" w:ascii="宋体" w:hAnsi="宋体"/>
          <w:color w:val="auto"/>
          <w:szCs w:val="21"/>
          <w:highlight w:val="none"/>
          <w:lang w:val="en-US" w:eastAsia="zh-CN"/>
        </w:rPr>
        <w:t>采用评定分离且电子招标投标</w:t>
      </w:r>
      <w:r>
        <w:rPr>
          <w:rFonts w:hint="eastAsia" w:ascii="宋体" w:hAnsi="宋体"/>
          <w:color w:val="auto"/>
          <w:szCs w:val="21"/>
          <w:highlight w:val="none"/>
        </w:rPr>
        <w:t>的房屋建筑和市政基础设施工程勘察设计招标。</w:t>
      </w:r>
    </w:p>
    <w:p w14:paraId="1405D409">
      <w:pPr>
        <w:numPr>
          <w:ilvl w:val="0"/>
          <w:numId w:val="2"/>
        </w:numPr>
        <w:spacing w:line="420" w:lineRule="exact"/>
        <w:ind w:left="0" w:leftChars="0" w:firstLine="420" w:firstLineChars="0"/>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用相同序号标示的章、节、条、款、项、目，供招标人和投标人选择使用；以空格标示的由招标人填写的内容，招标人应根据招标项目具体特点和实际需要具体化，确实没有需要填写的，在空格中用“/”标示</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kern w:val="2"/>
          <w:sz w:val="21"/>
          <w:szCs w:val="21"/>
          <w:highlight w:val="none"/>
          <w:lang w:val="en-US"/>
        </w:rPr>
        <w:t>招标文件中注有</w:t>
      </w:r>
      <w:r>
        <w:rPr>
          <w:rFonts w:hint="eastAsia" w:ascii="宋体" w:hAnsi="宋体" w:eastAsia="宋体" w:cs="Times New Roman"/>
          <w:color w:val="auto"/>
          <w:sz w:val="21"/>
          <w:szCs w:val="21"/>
          <w:highlight w:val="none"/>
        </w:rPr>
        <w:t>“■”</w:t>
      </w:r>
      <w:r>
        <w:rPr>
          <w:rFonts w:hint="eastAsia" w:ascii="宋体" w:hAnsi="宋体" w:eastAsia="宋体" w:cs="宋体"/>
          <w:color w:val="auto"/>
          <w:sz w:val="24"/>
          <w:highlight w:val="none"/>
        </w:rPr>
        <w:t>或“</w:t>
      </w:r>
      <w:r>
        <w:rPr>
          <w:rFonts w:hint="eastAsia" w:ascii="宋体" w:hAnsi="宋体" w:eastAsia="宋体" w:cs="宋体"/>
          <w:color w:val="auto"/>
          <w:szCs w:val="21"/>
          <w:highlight w:val="none"/>
          <w:lang w:eastAsia="zh-CN"/>
        </w:rPr>
        <w:t>☑</w:t>
      </w:r>
      <w:r>
        <w:rPr>
          <w:rFonts w:hint="eastAsia" w:ascii="宋体" w:hAnsi="宋体" w:eastAsia="宋体" w:cs="宋体"/>
          <w:color w:val="auto"/>
          <w:sz w:val="24"/>
          <w:highlight w:val="none"/>
        </w:rPr>
        <w:t>”</w:t>
      </w:r>
      <w:r>
        <w:rPr>
          <w:rFonts w:hint="eastAsia" w:ascii="宋体" w:hAnsi="宋体" w:eastAsia="宋体" w:cs="Times New Roman"/>
          <w:color w:val="auto"/>
          <w:kern w:val="2"/>
          <w:sz w:val="21"/>
          <w:szCs w:val="21"/>
          <w:highlight w:val="none"/>
          <w:lang w:val="zh-CN"/>
        </w:rPr>
        <w:t>符号的条款为采用的条款，注有“</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2"/>
          <w:sz w:val="21"/>
          <w:szCs w:val="21"/>
          <w:highlight w:val="none"/>
          <w:lang w:val="zh-CN"/>
        </w:rPr>
        <w:t>”符号的条款为不采用的条款</w:t>
      </w:r>
      <w:r>
        <w:rPr>
          <w:rFonts w:hint="eastAsia" w:ascii="宋体" w:hAnsi="宋体" w:eastAsia="宋体" w:cs="Times New Roman"/>
          <w:color w:val="auto"/>
          <w:szCs w:val="21"/>
          <w:highlight w:val="none"/>
        </w:rPr>
        <w:t>。</w:t>
      </w:r>
    </w:p>
    <w:p w14:paraId="204E562E">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olor w:val="auto"/>
          <w:szCs w:val="21"/>
          <w:highlight w:val="none"/>
        </w:rPr>
        <w:t>招标人按照</w:t>
      </w: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第一章的格式发布招标公告后，将实际发布的招标公告编入招标文件中，作为投标邀请。其中，招标公告应同时注明发布所在的所有媒介名称。</w:t>
      </w:r>
    </w:p>
    <w:p w14:paraId="1E498183">
      <w:pPr>
        <w:numPr>
          <w:ilvl w:val="0"/>
          <w:numId w:val="2"/>
        </w:numPr>
        <w:spacing w:line="360" w:lineRule="auto"/>
        <w:ind w:left="0" w:leftChars="0" w:firstLine="42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w:t>
      </w:r>
      <w:r>
        <w:rPr>
          <w:rFonts w:hint="eastAsia" w:ascii="宋体" w:hAnsi="宋体" w:eastAsia="宋体" w:cs="Times New Roman"/>
          <w:color w:val="auto"/>
          <w:szCs w:val="21"/>
          <w:highlight w:val="none"/>
          <w:lang w:val="en-US" w:eastAsia="zh-CN"/>
        </w:rPr>
        <w:t>招标文件</w:t>
      </w:r>
      <w:r>
        <w:rPr>
          <w:rFonts w:hint="eastAsia" w:ascii="宋体" w:hAnsi="宋体" w:eastAsia="宋体" w:cs="Times New Roman"/>
          <w:color w:val="auto"/>
          <w:szCs w:val="21"/>
          <w:highlight w:val="none"/>
        </w:rPr>
        <w:t>范本</w:t>
      </w:r>
      <w:r>
        <w:rPr>
          <w:rFonts w:hint="eastAsia" w:ascii="宋体" w:hAnsi="宋体" w:eastAsia="宋体" w:cs="Times New Roman"/>
          <w:color w:val="auto"/>
          <w:szCs w:val="21"/>
          <w:highlight w:val="none"/>
          <w:lang w:val="en-US" w:eastAsia="zh-CN"/>
        </w:rPr>
        <w:t>第三章规定的各评审因素的评审标准、分值和权重、定标规则等由招标人在不违反有关工程招标投标的管理规定及相关法律法规的情况下自主确定。</w:t>
      </w:r>
      <w:r>
        <w:rPr>
          <w:rFonts w:hint="eastAsia" w:ascii="宋体" w:hAnsi="宋体" w:eastAsia="宋体" w:cs="Times New Roman"/>
          <w:color w:val="auto"/>
          <w:szCs w:val="21"/>
          <w:highlight w:val="none"/>
        </w:rPr>
        <w:t>招标人有以下情形之一的，属于以不合理条件限制、排斥潜在投标人或投标人：</w:t>
      </w:r>
    </w:p>
    <w:p w14:paraId="6F7C7987">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提出注册地址、所有制性质、市场占有率、特定行政区域或者特定行业的业绩或奖项、政府部门、行业协会商会或者其他机构作出的与工程建设无关的荣誉奖励和慈善公益证明、取得非强制资质认证、设立本地分支机构、本地缴纳税收社保等要求。</w:t>
      </w:r>
    </w:p>
    <w:p w14:paraId="4D3230F0">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设定企业股东背景、年平均承接项目数量或者金额、从业人员、纳税额、营业场所面积等规模条件；设置超过项目实际需要的企业注册资本、资产总额、净资产规模、营业收入、利润、授信额度等财务指标。</w:t>
      </w:r>
    </w:p>
    <w:p w14:paraId="618AAE9A">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（三）将国家已经明令取消的资质资格作为加分条件、中标条件；在国家已经明令取消资质资格的领域，将其他资质资格作为加分条件、中标条件。</w:t>
      </w:r>
    </w:p>
    <w:p w14:paraId="46AAC754">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（四）评标、定标规则向国有企业、本地企业、大型企业倾斜，排斥民营企业、外资企业、外地企业、中小企业。</w:t>
      </w:r>
    </w:p>
    <w:p w14:paraId="3B130CB6">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（五）限定或者指定特定的专利、商标、品牌、原产地、供应商或者检验检测认证机构（法律法规有明确要求的除外），套用特定生产供应者的条件设定投标人的技术、商务（资信）条件。</w:t>
      </w:r>
    </w:p>
    <w:p w14:paraId="2B096CC6">
      <w:pPr>
        <w:numPr>
          <w:ilvl w:val="0"/>
          <w:numId w:val="0"/>
        </w:numPr>
        <w:spacing w:line="360" w:lineRule="auto"/>
        <w:ind w:left="0" w:leftChars="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（六）设定的技术、商务（资信）条件与招标项目的具体特点和实际需要不相适应或者与合同履行无关。</w:t>
      </w:r>
    </w:p>
    <w:p w14:paraId="7A615445">
      <w:pPr>
        <w:numPr>
          <w:ilvl w:val="0"/>
          <w:numId w:val="0"/>
        </w:numPr>
        <w:spacing w:line="360" w:lineRule="auto"/>
        <w:ind w:left="420" w:lef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（七）</w:t>
      </w:r>
      <w:r>
        <w:rPr>
          <w:rFonts w:hint="eastAsia" w:ascii="宋体" w:hAnsi="宋体" w:eastAsia="宋体" w:cs="Times New Roman"/>
          <w:color w:val="auto"/>
          <w:szCs w:val="21"/>
          <w:highlight w:val="none"/>
          <w:lang w:eastAsia="zh-CN"/>
        </w:rPr>
        <w:t>国家、省、市等文件规定的</w:t>
      </w:r>
      <w:r>
        <w:rPr>
          <w:rFonts w:hint="eastAsia" w:ascii="宋体" w:hAnsi="宋体" w:eastAsia="宋体" w:cs="Times New Roman"/>
          <w:color w:val="auto"/>
          <w:szCs w:val="21"/>
          <w:highlight w:val="none"/>
        </w:rPr>
        <w:t>以其他不合理条件限制、排斥潜在投标人</w:t>
      </w:r>
      <w:r>
        <w:rPr>
          <w:rFonts w:hint="eastAsia" w:ascii="宋体" w:hAnsi="宋体" w:eastAsia="宋体" w:cs="Times New Roman"/>
          <w:color w:val="auto"/>
          <w:szCs w:val="21"/>
          <w:highlight w:val="none"/>
          <w:lang w:eastAsia="zh-CN"/>
        </w:rPr>
        <w:t>的情形</w:t>
      </w:r>
      <w:r>
        <w:rPr>
          <w:rFonts w:hint="eastAsia" w:ascii="宋体" w:hAnsi="宋体" w:eastAsia="宋体" w:cs="Times New Roman"/>
          <w:color w:val="auto"/>
          <w:szCs w:val="21"/>
          <w:highlight w:val="none"/>
        </w:rPr>
        <w:t>。</w:t>
      </w:r>
    </w:p>
    <w:p w14:paraId="3E0C8450">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olor w:val="auto"/>
          <w:szCs w:val="21"/>
          <w:highlight w:val="none"/>
        </w:rPr>
        <w:t>投标人资格条件的设置说明</w:t>
      </w:r>
    </w:p>
    <w:p w14:paraId="25FA835A">
      <w:pPr>
        <w:numPr>
          <w:ilvl w:val="0"/>
          <w:numId w:val="0"/>
        </w:numPr>
        <w:spacing w:line="420" w:lineRule="exact"/>
        <w:ind w:left="420" w:leftChars="0"/>
        <w:rPr>
          <w:rFonts w:hint="eastAsia" w:ascii="宋体" w:hAnsi="宋体"/>
          <w:color w:val="auto"/>
          <w:szCs w:val="21"/>
          <w:highlight w:val="none"/>
        </w:rPr>
      </w:pPr>
      <w:r>
        <w:rPr>
          <w:rFonts w:hint="eastAsia" w:ascii="宋体" w:hAnsi="宋体"/>
          <w:color w:val="auto"/>
          <w:szCs w:val="21"/>
          <w:highlight w:val="none"/>
        </w:rPr>
        <w:t>（一）资质条件：按与招标工程规模相符的最低资质设定，</w:t>
      </w:r>
      <w:r>
        <w:rPr>
          <w:rFonts w:hint="eastAsia"/>
          <w:color w:val="auto"/>
          <w:highlight w:val="none"/>
        </w:rPr>
        <w:t>不得抬高标准</w:t>
      </w:r>
      <w:r>
        <w:rPr>
          <w:rFonts w:hint="eastAsia" w:ascii="宋体" w:hAnsi="宋体"/>
          <w:color w:val="auto"/>
          <w:szCs w:val="21"/>
          <w:highlight w:val="none"/>
        </w:rPr>
        <w:t>。</w:t>
      </w:r>
    </w:p>
    <w:p w14:paraId="64053CE4">
      <w:pPr>
        <w:numPr>
          <w:ilvl w:val="0"/>
          <w:numId w:val="0"/>
        </w:numPr>
        <w:spacing w:line="420" w:lineRule="exact"/>
        <w:ind w:left="420" w:leftChars="0"/>
        <w:rPr>
          <w:rFonts w:hint="eastAsia" w:ascii="宋体" w:hAnsi="宋体"/>
          <w:color w:val="auto"/>
          <w:szCs w:val="21"/>
          <w:highlight w:val="none"/>
        </w:rPr>
      </w:pPr>
      <w:r>
        <w:rPr>
          <w:rFonts w:hint="eastAsia" w:ascii="宋体" w:hAnsi="宋体"/>
          <w:color w:val="auto"/>
          <w:szCs w:val="21"/>
          <w:highlight w:val="none"/>
        </w:rPr>
        <w:t>（二）诚信要求：在中山市建设工程企业诚信评价C级或以上且显示资料未过期。</w:t>
      </w:r>
    </w:p>
    <w:p w14:paraId="587C53AB">
      <w:pPr>
        <w:numPr>
          <w:ilvl w:val="0"/>
          <w:numId w:val="0"/>
        </w:numPr>
        <w:spacing w:line="360" w:lineRule="auto"/>
        <w:ind w:left="0" w:leftChars="0"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根据2020年5月20日印发的《关于自觉维护更新中山市建设工程企业管理和诚信平台信息的通知》的要求，各投标单位应自觉更新中山市建设工程企业管理和诚信平台的登记资料，如因不及时更新资料导致公共资源交易系统中的诚信等级显示“暂无数据”的，视为投标单位不满足诚信要求。）</w:t>
      </w:r>
    </w:p>
    <w:p w14:paraId="7CDDA3D7">
      <w:pPr>
        <w:numPr>
          <w:ilvl w:val="0"/>
          <w:numId w:val="2"/>
        </w:numPr>
        <w:spacing w:line="420" w:lineRule="exact"/>
        <w:ind w:left="0" w:leftChars="0" w:firstLine="420" w:firstLineChars="0"/>
        <w:rPr>
          <w:rFonts w:hint="eastAsia" w:ascii="宋体" w:hAnsi="宋体"/>
          <w:color w:val="auto"/>
          <w:szCs w:val="21"/>
          <w:highlight w:val="none"/>
        </w:rPr>
      </w:pPr>
      <w:r>
        <w:rPr>
          <w:rFonts w:hint="eastAsia" w:ascii="宋体" w:hAnsi="宋体" w:cs="Arial"/>
          <w:color w:val="auto"/>
          <w:kern w:val="0"/>
          <w:szCs w:val="21"/>
          <w:highlight w:val="none"/>
        </w:rPr>
        <w:t>否决性条款</w:t>
      </w:r>
      <w:r>
        <w:rPr>
          <w:rFonts w:hint="eastAsia" w:ascii="宋体" w:hAnsi="宋体"/>
          <w:color w:val="auto"/>
          <w:szCs w:val="21"/>
          <w:highlight w:val="none"/>
        </w:rPr>
        <w:t>的设置要求</w:t>
      </w:r>
    </w:p>
    <w:p w14:paraId="021E7DB1">
      <w:pPr>
        <w:numPr>
          <w:ilvl w:val="0"/>
          <w:numId w:val="0"/>
        </w:numPr>
        <w:spacing w:line="420" w:lineRule="exact"/>
        <w:ind w:left="0" w:leftChars="0" w:firstLine="420" w:firstLineChars="200"/>
        <w:rPr>
          <w:rFonts w:hint="eastAsia" w:ascii="宋体" w:hAnsi="宋体"/>
          <w:b/>
          <w:color w:val="auto"/>
          <w:szCs w:val="21"/>
          <w:highlight w:val="none"/>
        </w:rPr>
      </w:pPr>
      <w:r>
        <w:rPr>
          <w:rFonts w:hint="eastAsia" w:ascii="宋体" w:hAnsi="宋体" w:cs="Arial"/>
          <w:color w:val="auto"/>
          <w:kern w:val="0"/>
          <w:szCs w:val="21"/>
          <w:highlight w:val="none"/>
        </w:rPr>
        <w:t>否决性条款</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包括</w:t>
      </w:r>
      <w:r>
        <w:rPr>
          <w:rFonts w:hint="eastAsia" w:ascii="宋体" w:hAnsi="宋体"/>
          <w:color w:val="auto"/>
          <w:szCs w:val="21"/>
          <w:highlight w:val="none"/>
        </w:rPr>
        <w:t>不予受理、</w:t>
      </w:r>
      <w:r>
        <w:rPr>
          <w:rFonts w:hint="eastAsia" w:ascii="宋体" w:hAnsi="宋体"/>
          <w:color w:val="auto"/>
          <w:szCs w:val="21"/>
          <w:highlight w:val="none"/>
          <w:lang w:eastAsia="zh-CN"/>
        </w:rPr>
        <w:t>否决投标）</w:t>
      </w:r>
      <w:r>
        <w:rPr>
          <w:rFonts w:hint="eastAsia" w:ascii="宋体" w:hAnsi="宋体"/>
          <w:color w:val="auto"/>
          <w:szCs w:val="21"/>
          <w:highlight w:val="none"/>
        </w:rPr>
        <w:t>必须单列，</w:t>
      </w:r>
      <w:r>
        <w:rPr>
          <w:rFonts w:hint="eastAsia" w:ascii="宋体" w:hAnsi="宋体" w:cs="Arial"/>
          <w:color w:val="auto"/>
          <w:kern w:val="0"/>
          <w:szCs w:val="21"/>
          <w:highlight w:val="none"/>
        </w:rPr>
        <w:t>招标文件的其他条款与该单列的否决性条款不一致或者未单列的，</w:t>
      </w:r>
      <w:r>
        <w:rPr>
          <w:rFonts w:hint="eastAsia" w:ascii="宋体" w:hAnsi="宋体" w:cs="Arial"/>
          <w:b/>
          <w:color w:val="auto"/>
          <w:kern w:val="0"/>
          <w:szCs w:val="21"/>
          <w:highlight w:val="none"/>
        </w:rPr>
        <w:t>以单列的否决性条款为准</w:t>
      </w:r>
      <w:r>
        <w:rPr>
          <w:rFonts w:hint="eastAsia" w:ascii="宋体" w:hAnsi="宋体" w:cs="Arial"/>
          <w:color w:val="auto"/>
          <w:kern w:val="0"/>
          <w:szCs w:val="21"/>
          <w:highlight w:val="none"/>
        </w:rPr>
        <w:t>。否决性条款应当明确，易于判断，不可含有“实质性不响应招标文件要求”“投标文件中附有招标人不可接受的条件”等评标委员会难以界定的条款</w:t>
      </w:r>
      <w:r>
        <w:rPr>
          <w:rFonts w:hint="eastAsia" w:ascii="宋体" w:hAnsi="宋体" w:cs="Arial"/>
          <w:b/>
          <w:color w:val="auto"/>
          <w:kern w:val="0"/>
          <w:szCs w:val="21"/>
          <w:highlight w:val="none"/>
        </w:rPr>
        <w:t>。除法律法规规定外，</w:t>
      </w:r>
      <w:r>
        <w:rPr>
          <w:rFonts w:hint="eastAsia" w:ascii="宋体" w:hAnsi="宋体"/>
          <w:b/>
          <w:color w:val="auto"/>
          <w:szCs w:val="21"/>
          <w:highlight w:val="none"/>
        </w:rPr>
        <w:t>否决性条款中没有列出的不予受理或</w:t>
      </w:r>
      <w:r>
        <w:rPr>
          <w:rFonts w:hint="eastAsia" w:ascii="宋体" w:hAnsi="宋体"/>
          <w:b/>
          <w:color w:val="auto"/>
          <w:szCs w:val="21"/>
          <w:highlight w:val="none"/>
          <w:lang w:eastAsia="zh-CN"/>
        </w:rPr>
        <w:t>否决投标</w:t>
      </w:r>
      <w:r>
        <w:rPr>
          <w:rFonts w:hint="eastAsia" w:ascii="宋体" w:hAnsi="宋体"/>
          <w:b/>
          <w:color w:val="auto"/>
          <w:szCs w:val="21"/>
          <w:highlight w:val="none"/>
        </w:rPr>
        <w:t>的条款，不得作为不予受理或</w:t>
      </w:r>
      <w:r>
        <w:rPr>
          <w:rFonts w:hint="eastAsia" w:ascii="宋体" w:hAnsi="宋体"/>
          <w:b/>
          <w:color w:val="auto"/>
          <w:szCs w:val="21"/>
          <w:highlight w:val="none"/>
          <w:lang w:eastAsia="zh-CN"/>
        </w:rPr>
        <w:t>否决投标</w:t>
      </w:r>
      <w:r>
        <w:rPr>
          <w:rFonts w:hint="eastAsia" w:ascii="宋体" w:hAnsi="宋体"/>
          <w:b/>
          <w:color w:val="auto"/>
          <w:szCs w:val="21"/>
          <w:highlight w:val="none"/>
        </w:rPr>
        <w:t>的依据。</w:t>
      </w:r>
    </w:p>
    <w:p w14:paraId="78AC1158">
      <w:pPr>
        <w:numPr>
          <w:ilvl w:val="0"/>
          <w:numId w:val="2"/>
        </w:numPr>
        <w:spacing w:line="420" w:lineRule="exact"/>
        <w:ind w:left="0" w:leftChars="0" w:firstLine="42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评标委员会对投标文件中不明确之处，可通过招标人</w:t>
      </w:r>
      <w:r>
        <w:rPr>
          <w:rFonts w:hint="eastAsia" w:ascii="宋体" w:hAnsi="宋体" w:cs="宋体"/>
          <w:color w:val="auto"/>
          <w:kern w:val="0"/>
          <w:szCs w:val="21"/>
          <w:highlight w:val="none"/>
          <w:lang w:eastAsia="zh-CN"/>
        </w:rPr>
        <w:t>书面</w:t>
      </w:r>
      <w:r>
        <w:rPr>
          <w:rFonts w:hint="eastAsia" w:ascii="宋体" w:hAnsi="宋体" w:cs="宋体"/>
          <w:color w:val="auto"/>
          <w:kern w:val="0"/>
          <w:szCs w:val="21"/>
          <w:highlight w:val="none"/>
        </w:rPr>
        <w:t>要求投标人进行书面澄清，但不应作为评审不通过的理由。如投标人不按照要求进行澄清，其评审可不予通过。</w:t>
      </w:r>
    </w:p>
    <w:p w14:paraId="78E88D06">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宋体"/>
          <w:color w:val="auto"/>
          <w:kern w:val="0"/>
          <w:szCs w:val="21"/>
          <w:highlight w:val="none"/>
          <w:lang w:val="en-US" w:eastAsia="zh-CN"/>
        </w:rPr>
        <w:t>招标人或</w:t>
      </w:r>
      <w:r>
        <w:rPr>
          <w:rFonts w:hint="eastAsia" w:ascii="宋体" w:hAnsi="宋体" w:cs="宋体"/>
          <w:color w:val="auto"/>
          <w:szCs w:val="21"/>
          <w:highlight w:val="none"/>
          <w:lang w:val="en-US" w:eastAsia="zh-CN"/>
        </w:rPr>
        <w:t>资格审查工作小组或</w:t>
      </w:r>
      <w:r>
        <w:rPr>
          <w:rFonts w:hint="eastAsia" w:ascii="宋体" w:hAnsi="宋体" w:cs="宋体"/>
          <w:color w:val="auto"/>
          <w:kern w:val="0"/>
          <w:szCs w:val="21"/>
          <w:highlight w:val="none"/>
        </w:rPr>
        <w:t>评标委员会对投标人的营业执照、资质证书等申报材料的真实性有所怀疑时，可通过</w:t>
      </w:r>
      <w:r>
        <w:rPr>
          <w:rFonts w:hint="eastAsia"/>
          <w:color w:val="auto"/>
          <w:highlight w:val="none"/>
        </w:rPr>
        <w:t>各级行政</w:t>
      </w:r>
      <w:r>
        <w:rPr>
          <w:rFonts w:hint="eastAsia"/>
          <w:color w:val="auto"/>
          <w:highlight w:val="none"/>
          <w:lang w:val="en-US" w:eastAsia="zh-CN"/>
        </w:rPr>
        <w:t>监</w:t>
      </w:r>
      <w:r>
        <w:rPr>
          <w:rFonts w:hint="eastAsia"/>
          <w:color w:val="auto"/>
          <w:highlight w:val="none"/>
        </w:rPr>
        <w:t>管部门政务信息平台</w:t>
      </w:r>
      <w:r>
        <w:rPr>
          <w:rFonts w:hint="eastAsia" w:ascii="宋体" w:hAnsi="宋体" w:cs="宋体"/>
          <w:color w:val="auto"/>
          <w:kern w:val="0"/>
          <w:szCs w:val="21"/>
          <w:highlight w:val="none"/>
        </w:rPr>
        <w:t>进行查询。若投标人所提供信息与政务信息平台上的相关内容不符，经核实存在虚假、夸大的内容，不予通过评审。</w:t>
      </w:r>
    </w:p>
    <w:p w14:paraId="794A8DFC">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Arial"/>
          <w:color w:val="auto"/>
          <w:kern w:val="0"/>
          <w:szCs w:val="21"/>
          <w:highlight w:val="none"/>
        </w:rPr>
        <w:t>电子评标注意事项</w:t>
      </w:r>
    </w:p>
    <w:p w14:paraId="15FE7DE0">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（一）发生下列情况的，开标（评标）无效、中止或终止，恢复开标（评标）的时间视情况而定。</w:t>
      </w:r>
    </w:p>
    <w:p w14:paraId="1E598957">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停电或服务器发生故障而无法访问网页或</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w:t>
      </w:r>
    </w:p>
    <w:p w14:paraId="148A2417">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软件或网络数据库出现错误，不能进行正常的操作；</w:t>
      </w:r>
    </w:p>
    <w:p w14:paraId="3C87F20B">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发现有安全漏洞，有潜在的泄密危险；</w:t>
      </w:r>
    </w:p>
    <w:p w14:paraId="39FDEEF0">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4</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计算机病毒造成影响；</w:t>
      </w:r>
    </w:p>
    <w:p w14:paraId="7BD59730">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5</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其他无法保证电子招标投标过程的公平、公正和信息安全的意外情况；</w:t>
      </w:r>
    </w:p>
    <w:p w14:paraId="011CB290">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6</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司法机关、纪检监察等部门依法要求中止或者终止电子招标投标活动的；</w:t>
      </w:r>
    </w:p>
    <w:p w14:paraId="7A190201">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7</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市政府依法作出该项目中止或者终止的；</w:t>
      </w:r>
    </w:p>
    <w:p w14:paraId="2E6E4239">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8</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招标人有正当理由要求中止的；</w:t>
      </w:r>
    </w:p>
    <w:p w14:paraId="202B11EB">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9</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依法应当中止或终止网上招标投标活动的其他情形。</w:t>
      </w:r>
    </w:p>
    <w:p w14:paraId="2DDC3AD9">
      <w:pPr>
        <w:numPr>
          <w:ilvl w:val="0"/>
          <w:numId w:val="0"/>
        </w:numPr>
        <w:tabs>
          <w:tab w:val="left" w:pos="420"/>
        </w:tabs>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对于另行安排时间开标评标的项目，有关</w:t>
      </w:r>
      <w:r>
        <w:rPr>
          <w:rFonts w:hint="eastAsia" w:ascii="宋体" w:hAnsi="宋体" w:cs="宋体"/>
          <w:color w:val="auto"/>
          <w:kern w:val="0"/>
          <w:szCs w:val="21"/>
          <w:highlight w:val="none"/>
        </w:rPr>
        <w:t>诚信分值</w:t>
      </w:r>
      <w:r>
        <w:rPr>
          <w:rFonts w:hint="eastAsia" w:ascii="宋体" w:hAnsi="宋体" w:cs="Arial"/>
          <w:color w:val="auto"/>
          <w:kern w:val="0"/>
          <w:szCs w:val="21"/>
          <w:highlight w:val="none"/>
        </w:rPr>
        <w:t>仍以原电子投标文件截止上传时间为准，开标时，招标人（招标代理）须出具书面说明，提请</w:t>
      </w:r>
      <w:r>
        <w:rPr>
          <w:rFonts w:hint="eastAsia" w:ascii="宋体" w:hAnsi="宋体" w:cs="Arial"/>
          <w:color w:val="auto"/>
          <w:kern w:val="0"/>
          <w:szCs w:val="21"/>
          <w:highlight w:val="none"/>
          <w:lang w:eastAsia="zh-CN"/>
        </w:rPr>
        <w:t>资格审查工作小组、</w:t>
      </w:r>
      <w:r>
        <w:rPr>
          <w:rFonts w:hint="eastAsia" w:ascii="宋体" w:hAnsi="宋体" w:cs="Arial"/>
          <w:color w:val="auto"/>
          <w:kern w:val="0"/>
          <w:szCs w:val="21"/>
          <w:highlight w:val="none"/>
        </w:rPr>
        <w:t>评委注意有关</w:t>
      </w:r>
      <w:r>
        <w:rPr>
          <w:rFonts w:hint="eastAsia" w:ascii="宋体" w:hAnsi="宋体" w:cs="宋体"/>
          <w:color w:val="auto"/>
          <w:kern w:val="0"/>
          <w:szCs w:val="21"/>
          <w:highlight w:val="none"/>
        </w:rPr>
        <w:t>诚信分值</w:t>
      </w:r>
      <w:r>
        <w:rPr>
          <w:rFonts w:hint="eastAsia" w:ascii="宋体" w:hAnsi="宋体" w:cs="Arial"/>
          <w:color w:val="auto"/>
          <w:kern w:val="0"/>
          <w:szCs w:val="21"/>
          <w:highlight w:val="none"/>
        </w:rPr>
        <w:t>仍以原截标时间为准。</w:t>
      </w:r>
    </w:p>
    <w:p w14:paraId="7E7D7D96">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（二）对电子招标投标过程中出现的意外情况，市公共资源交易中心有解释权和处理权，招标人同步告知招投标监管部门。</w:t>
      </w:r>
    </w:p>
    <w:p w14:paraId="4B7766F1">
      <w:pPr>
        <w:numPr>
          <w:ilvl w:val="0"/>
          <w:numId w:val="0"/>
        </w:numPr>
        <w:tabs>
          <w:tab w:val="left" w:pos="0"/>
        </w:tabs>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（三）电子招标投标中止、终止或者结束后，招标人（招标代理）应将电子招标投标活动的记录下载打印成纸质文档存档。</w:t>
      </w:r>
    </w:p>
    <w:p w14:paraId="398419FD">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（四）投标人在电子招标投标活动中实施的行为所产生的后果，由投标人承担。</w:t>
      </w:r>
    </w:p>
    <w:p w14:paraId="6486D65A">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投标人的数字证书和密码丢失或被他人冒用、盗用的后果，由投标人承担。</w:t>
      </w:r>
    </w:p>
    <w:p w14:paraId="05465258">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.不得</w:t>
      </w:r>
      <w:r>
        <w:rPr>
          <w:rFonts w:hint="eastAsia" w:ascii="宋体" w:hAnsi="宋体" w:cs="Arial"/>
          <w:color w:val="auto"/>
          <w:kern w:val="0"/>
          <w:szCs w:val="21"/>
          <w:highlight w:val="none"/>
        </w:rPr>
        <w:t>使用他人数字证书或把数字证书借给他人使用。</w:t>
      </w:r>
    </w:p>
    <w:p w14:paraId="4CCBD20A">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因投标人计算机系统遭遇网络堵塞、病毒入侵、硬件故障等不能正常登录网上招标投标系统投标的，后果由投标人承担，电子招标投标活动继续进行。</w:t>
      </w:r>
    </w:p>
    <w:p w14:paraId="3C47334F">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经计算机评标系统检测到投标人所编制的电子投标文件与其他投标人的电子投标文件</w:t>
      </w:r>
      <w:r>
        <w:rPr>
          <w:rFonts w:hint="eastAsia" w:ascii="宋体" w:hAnsi="宋体" w:eastAsia="宋体" w:cs="宋体"/>
          <w:color w:val="auto"/>
          <w:kern w:val="0"/>
          <w:szCs w:val="21"/>
          <w:highlight w:val="none"/>
          <w:lang w:eastAsia="zh-CN"/>
        </w:rPr>
        <w:t>特征码一致的</w:t>
      </w:r>
      <w:r>
        <w:rPr>
          <w:rFonts w:hint="eastAsia" w:ascii="宋体" w:hAnsi="宋体" w:eastAsia="宋体" w:cs="宋体"/>
          <w:color w:val="auto"/>
          <w:kern w:val="0"/>
          <w:szCs w:val="21"/>
          <w:highlight w:val="none"/>
        </w:rPr>
        <w:t>，其投标文件将被否决。</w:t>
      </w:r>
    </w:p>
    <w:p w14:paraId="6D844E0A">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lang w:val="en-US" w:eastAsia="zh-CN"/>
        </w:rPr>
        <w:t>5.</w:t>
      </w:r>
      <w:r>
        <w:rPr>
          <w:rFonts w:hint="eastAsia" w:ascii="宋体" w:hAnsi="宋体" w:cs="Arial"/>
          <w:color w:val="auto"/>
          <w:kern w:val="0"/>
          <w:szCs w:val="21"/>
          <w:highlight w:val="none"/>
        </w:rPr>
        <w:t>电子招标投标活动过程中有不良行为的依照《中山市建设工程企业诚信管理办法》进行处理。</w:t>
      </w:r>
    </w:p>
    <w:p w14:paraId="3C39E29A">
      <w:pPr>
        <w:numPr>
          <w:ilvl w:val="0"/>
          <w:numId w:val="0"/>
        </w:numPr>
        <w:tabs>
          <w:tab w:val="left" w:pos="0"/>
        </w:tabs>
        <w:spacing w:line="420" w:lineRule="exact"/>
        <w:ind w:firstLine="420" w:firstLineChars="200"/>
        <w:rPr>
          <w:rFonts w:hint="eastAsia" w:ascii="宋体" w:hAnsi="宋体" w:cs="Arial"/>
          <w:color w:val="auto"/>
          <w:kern w:val="0"/>
          <w:szCs w:val="21"/>
          <w:highlight w:val="none"/>
        </w:rPr>
      </w:pP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的诚信评价依据中山市建设工程企业管理与诚信平台的诚信评价记录为准。请投标人及时维护、更新中山市建设工程企业管理与诚信平台</w:t>
      </w:r>
      <w:r>
        <w:rPr>
          <w:rFonts w:hint="eastAsia" w:ascii="宋体" w:hAnsi="宋体" w:cs="Arial"/>
          <w:color w:val="auto"/>
          <w:kern w:val="0"/>
          <w:szCs w:val="21"/>
          <w:highlight w:val="none"/>
          <w:lang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的信息，确保其有效性。</w:t>
      </w:r>
    </w:p>
    <w:p w14:paraId="34D1B2F8">
      <w:pPr>
        <w:numPr>
          <w:ilvl w:val="0"/>
          <w:numId w:val="0"/>
        </w:numPr>
        <w:spacing w:line="420" w:lineRule="exact"/>
        <w:ind w:left="0" w:leftChars="0" w:firstLine="420" w:firstLineChars="200"/>
        <w:rPr>
          <w:rFonts w:hint="eastAsia" w:ascii="宋体" w:hAnsi="宋体" w:cs="Arial"/>
          <w:color w:val="auto"/>
          <w:kern w:val="0"/>
          <w:szCs w:val="21"/>
          <w:highlight w:val="none"/>
        </w:rPr>
      </w:pPr>
      <w:r>
        <w:rPr>
          <w:rFonts w:hint="eastAsia" w:ascii="宋体" w:hAnsi="宋体" w:cs="Arial"/>
          <w:color w:val="auto"/>
          <w:kern w:val="0"/>
          <w:szCs w:val="21"/>
          <w:highlight w:val="none"/>
        </w:rPr>
        <w:t>（五）电子评标的项目，投标人须递交具备法律效力的电子投标文件，不再提供纸质投标文件。</w:t>
      </w:r>
    </w:p>
    <w:p w14:paraId="651D9C58">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（六）</w:t>
      </w:r>
      <w:r>
        <w:rPr>
          <w:rFonts w:hint="eastAsia" w:ascii="宋体" w:hAnsi="宋体" w:cs="Arial"/>
          <w:color w:val="auto"/>
          <w:kern w:val="0"/>
          <w:szCs w:val="21"/>
          <w:highlight w:val="none"/>
          <w:lang w:val="en-US" w:eastAsia="zh-CN"/>
        </w:rPr>
        <w:t>电子投标文件应根据招标文件及</w:t>
      </w:r>
      <w:r>
        <w:rPr>
          <w:rFonts w:hint="eastAsia" w:ascii="宋体" w:hAnsi="宋体"/>
          <w:color w:val="auto"/>
          <w:szCs w:val="21"/>
          <w:highlight w:val="none"/>
          <w:lang w:eastAsia="zh-CN"/>
        </w:rPr>
        <w:t>工程建设交易系统</w:t>
      </w:r>
      <w:r>
        <w:rPr>
          <w:rFonts w:hint="eastAsia" w:ascii="宋体" w:hAnsi="宋体"/>
          <w:color w:val="auto"/>
          <w:szCs w:val="21"/>
          <w:highlight w:val="none"/>
          <w:lang w:val="en-US" w:eastAsia="zh-CN"/>
        </w:rPr>
        <w:t>的要求编制</w:t>
      </w:r>
      <w:r>
        <w:rPr>
          <w:rFonts w:hint="eastAsia" w:ascii="宋体" w:hAnsi="宋体" w:cs="Arial"/>
          <w:color w:val="auto"/>
          <w:kern w:val="0"/>
          <w:szCs w:val="21"/>
          <w:highlight w:val="none"/>
        </w:rPr>
        <w:t>，</w:t>
      </w:r>
      <w:r>
        <w:rPr>
          <w:rFonts w:hint="eastAsia" w:ascii="宋体" w:hAnsi="宋体" w:cs="Arial"/>
          <w:color w:val="auto"/>
          <w:kern w:val="0"/>
          <w:szCs w:val="21"/>
          <w:highlight w:val="none"/>
          <w:lang w:val="en-US" w:eastAsia="zh-CN"/>
        </w:rPr>
        <w:t>不按要求编制导致电子投标文件无法读取或无法打开的，按否决投标处理</w:t>
      </w:r>
      <w:r>
        <w:rPr>
          <w:rFonts w:hint="eastAsia" w:ascii="宋体" w:hAnsi="宋体" w:cs="Arial"/>
          <w:color w:val="auto"/>
          <w:kern w:val="0"/>
          <w:szCs w:val="21"/>
          <w:highlight w:val="none"/>
        </w:rPr>
        <w:t>。</w:t>
      </w:r>
    </w:p>
    <w:p w14:paraId="2A190CCE">
      <w:pPr>
        <w:numPr>
          <w:ilvl w:val="0"/>
          <w:numId w:val="0"/>
        </w:numPr>
        <w:spacing w:line="420" w:lineRule="exact"/>
        <w:ind w:left="420" w:leftChars="0"/>
        <w:rPr>
          <w:rFonts w:hint="eastAsia" w:ascii="宋体" w:hAnsi="宋体" w:eastAsia="宋体" w:cs="Arial"/>
          <w:color w:val="auto"/>
          <w:kern w:val="0"/>
          <w:szCs w:val="21"/>
          <w:highlight w:val="none"/>
          <w:lang w:val="en-US" w:eastAsia="zh-CN"/>
        </w:rPr>
      </w:pPr>
      <w:r>
        <w:rPr>
          <w:rFonts w:hint="eastAsia" w:ascii="宋体" w:hAnsi="宋体" w:cs="Arial"/>
          <w:color w:val="auto"/>
          <w:kern w:val="0"/>
          <w:szCs w:val="21"/>
          <w:highlight w:val="none"/>
        </w:rPr>
        <w:t>（七）</w:t>
      </w:r>
      <w:r>
        <w:rPr>
          <w:rFonts w:hint="eastAsia" w:ascii="宋体" w:hAnsi="宋体" w:cs="Arial"/>
          <w:color w:val="auto"/>
          <w:kern w:val="0"/>
          <w:szCs w:val="21"/>
          <w:highlight w:val="none"/>
          <w:lang w:eastAsia="zh-CN"/>
        </w:rPr>
        <w:t>招标文件范本</w:t>
      </w:r>
      <w:r>
        <w:rPr>
          <w:rFonts w:hint="eastAsia" w:ascii="宋体" w:hAnsi="宋体" w:cs="Arial"/>
          <w:color w:val="auto"/>
          <w:kern w:val="0"/>
          <w:szCs w:val="21"/>
          <w:highlight w:val="none"/>
        </w:rPr>
        <w:t>中</w:t>
      </w:r>
      <w:r>
        <w:rPr>
          <w:rFonts w:hint="eastAsia" w:ascii="宋体" w:hAnsi="宋体" w:cs="Arial"/>
          <w:color w:val="auto"/>
          <w:kern w:val="0"/>
          <w:szCs w:val="21"/>
          <w:highlight w:val="none"/>
          <w:lang w:val="en-US" w:eastAsia="zh-CN"/>
        </w:rPr>
        <w:t>提到的复印件、扫描件，彩色或黑白均可，但必须清晰、明辨，否则投标人自行承担后果。</w:t>
      </w:r>
    </w:p>
    <w:p w14:paraId="2B54CB41">
      <w:pPr>
        <w:numPr>
          <w:ilvl w:val="0"/>
          <w:numId w:val="0"/>
        </w:numPr>
        <w:spacing w:line="420" w:lineRule="exact"/>
        <w:ind w:left="420" w:leftChars="0"/>
        <w:rPr>
          <w:rFonts w:hint="eastAsia" w:ascii="宋体" w:hAnsi="宋体" w:cs="Arial"/>
          <w:color w:val="auto"/>
          <w:kern w:val="0"/>
          <w:szCs w:val="21"/>
          <w:highlight w:val="none"/>
        </w:rPr>
      </w:pPr>
      <w:r>
        <w:rPr>
          <w:rFonts w:hint="eastAsia" w:ascii="宋体" w:hAnsi="宋体" w:cs="Arial"/>
          <w:color w:val="auto"/>
          <w:kern w:val="0"/>
          <w:szCs w:val="21"/>
          <w:highlight w:val="none"/>
        </w:rPr>
        <w:t>（八）电子招标投标其他有关注意事项详见电子招投标相关法律法规。</w:t>
      </w:r>
    </w:p>
    <w:p w14:paraId="323C0EDF">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olor w:val="auto"/>
          <w:szCs w:val="21"/>
          <w:highlight w:val="none"/>
        </w:rPr>
        <w:t>目前电子招标投标项目须投标人递交电子投标文件一份（在投标截止前上传），若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出现故障、停电等原因导致招标失败的，可另行安排时间进行开标评标。</w:t>
      </w:r>
    </w:p>
    <w:p w14:paraId="1E84D240">
      <w:pPr>
        <w:numPr>
          <w:ilvl w:val="0"/>
          <w:numId w:val="2"/>
        </w:numPr>
        <w:spacing w:line="420" w:lineRule="exact"/>
        <w:ind w:left="0" w:leftChars="0" w:firstLine="420" w:firstLineChars="0"/>
        <w:rPr>
          <w:rFonts w:hint="eastAsia" w:ascii="宋体" w:hAnsi="宋体" w:cs="Arial"/>
          <w:color w:val="auto"/>
          <w:kern w:val="0"/>
          <w:szCs w:val="21"/>
          <w:highlight w:val="none"/>
        </w:rPr>
      </w:pPr>
      <w:r>
        <w:rPr>
          <w:rFonts w:hint="eastAsia" w:ascii="宋体" w:hAnsi="宋体" w:cs="Arial"/>
          <w:color w:val="auto"/>
          <w:kern w:val="0"/>
          <w:szCs w:val="21"/>
          <w:highlight w:val="none"/>
        </w:rPr>
        <w:t>招标人原则上按照本范本要求编制</w:t>
      </w:r>
      <w:r>
        <w:rPr>
          <w:rFonts w:hint="eastAsia" w:ascii="宋体" w:hAnsi="宋体" w:cs="Arial"/>
          <w:color w:val="auto"/>
          <w:kern w:val="0"/>
          <w:szCs w:val="21"/>
          <w:highlight w:val="none"/>
          <w:lang w:val="en-US" w:eastAsia="zh-CN"/>
        </w:rPr>
        <w:t>招标文件</w:t>
      </w:r>
      <w:r>
        <w:rPr>
          <w:rFonts w:hint="eastAsia" w:ascii="宋体" w:hAnsi="宋体" w:cs="Arial"/>
          <w:color w:val="auto"/>
          <w:kern w:val="0"/>
          <w:szCs w:val="21"/>
          <w:highlight w:val="none"/>
        </w:rPr>
        <w:t>，在实际执行过程中确需增加范本以外的内容或修改范本内容的，应符合法律法规的规定并在《招标人对招标文件范本条款的修改》中列明。</w:t>
      </w:r>
    </w:p>
    <w:p w14:paraId="643501E6">
      <w:pPr>
        <w:numPr>
          <w:ilvl w:val="0"/>
          <w:numId w:val="2"/>
        </w:numPr>
        <w:spacing w:line="360" w:lineRule="auto"/>
        <w:ind w:left="0" w:leftChars="0" w:firstLine="420" w:firstLineChars="0"/>
        <w:rPr>
          <w:rFonts w:hint="eastAsia" w:ascii="宋体" w:hAnsi="宋体"/>
          <w:color w:val="auto"/>
          <w:szCs w:val="21"/>
          <w:highlight w:val="none"/>
        </w:rPr>
      </w:pP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将根据实际执行过程中出现的问题及时进行修改。各使用单位或个人对</w:t>
      </w:r>
      <w:r>
        <w:rPr>
          <w:rFonts w:hint="eastAsia" w:ascii="宋体" w:hAnsi="宋体"/>
          <w:color w:val="auto"/>
          <w:szCs w:val="21"/>
          <w:highlight w:val="none"/>
          <w:lang w:val="en-US" w:eastAsia="zh-CN"/>
        </w:rPr>
        <w:t>本招标文件范本</w:t>
      </w:r>
      <w:r>
        <w:rPr>
          <w:rFonts w:hint="eastAsia" w:ascii="宋体" w:hAnsi="宋体"/>
          <w:color w:val="auto"/>
          <w:szCs w:val="21"/>
          <w:highlight w:val="none"/>
        </w:rPr>
        <w:t>有修改意见和建议</w:t>
      </w:r>
      <w:r>
        <w:rPr>
          <w:rFonts w:hint="eastAsia" w:ascii="宋体" w:hAnsi="宋体"/>
          <w:color w:val="auto"/>
          <w:szCs w:val="21"/>
          <w:highlight w:val="none"/>
          <w:lang w:eastAsia="zh-CN"/>
        </w:rPr>
        <w:t>的</w:t>
      </w:r>
      <w:r>
        <w:rPr>
          <w:rFonts w:hint="eastAsia" w:ascii="宋体" w:hAnsi="宋体"/>
          <w:color w:val="auto"/>
          <w:szCs w:val="21"/>
          <w:highlight w:val="none"/>
        </w:rPr>
        <w:t>，可向市招投标监管部门反映</w:t>
      </w:r>
      <w:r>
        <w:rPr>
          <w:rFonts w:hint="eastAsia" w:ascii="宋体" w:hAnsi="宋体"/>
          <w:color w:val="auto"/>
          <w:szCs w:val="21"/>
          <w:highlight w:val="none"/>
          <w:lang w:eastAsia="zh-CN"/>
        </w:rPr>
        <w:t>，</w:t>
      </w:r>
      <w:r>
        <w:rPr>
          <w:rFonts w:hint="eastAsia" w:ascii="宋体" w:hAnsi="宋体"/>
          <w:color w:val="auto"/>
          <w:szCs w:val="21"/>
          <w:highlight w:val="none"/>
        </w:rPr>
        <w:t>联系电话：0760-88333919。</w:t>
      </w:r>
    </w:p>
    <w:p w14:paraId="5E9D2829">
      <w:pPr>
        <w:numPr>
          <w:ilvl w:val="0"/>
          <w:numId w:val="2"/>
        </w:numPr>
        <w:spacing w:line="360" w:lineRule="auto"/>
        <w:ind w:left="0" w:leftChars="0" w:firstLine="420" w:firstLineChars="0"/>
        <w:rPr>
          <w:rFonts w:hint="eastAsia" w:ascii="宋体" w:hAnsi="宋体"/>
          <w:color w:val="auto"/>
          <w:szCs w:val="21"/>
          <w:highlight w:val="none"/>
        </w:rPr>
      </w:pPr>
      <w:r>
        <w:rPr>
          <w:rFonts w:hint="eastAsia"/>
          <w:color w:val="auto"/>
          <w:highlight w:val="none"/>
        </w:rPr>
        <w:t>未被列为“失信被执行人”以</w:t>
      </w:r>
      <w:r>
        <w:rPr>
          <w:rFonts w:hint="eastAsia" w:ascii="宋体" w:hAnsi="宋体"/>
          <w:color w:val="auto"/>
          <w:szCs w:val="21"/>
          <w:highlight w:val="none"/>
        </w:rPr>
        <w:t>《信用中国》网站下载的信用报告和国家企业信用信息公示系统下载的企业信用信息公示报告为依据，信用报告的具体版式以《信用中国》网站、国家企业信用信息公示系统的版式为准。</w:t>
      </w:r>
    </w:p>
    <w:p w14:paraId="241FB6F9">
      <w:pPr>
        <w:spacing w:line="360" w:lineRule="auto"/>
        <w:ind w:firstLine="562" w:firstLineChars="200"/>
        <w:jc w:val="center"/>
        <w:rPr>
          <w:rFonts w:asci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目</w:t>
      </w:r>
      <w:r>
        <w:rPr>
          <w:rFonts w:ascii="宋体" w:hAnsi="宋体"/>
          <w:b/>
          <w:color w:val="auto"/>
          <w:sz w:val="28"/>
          <w:szCs w:val="28"/>
          <w:highlight w:val="none"/>
        </w:rPr>
        <w:t xml:space="preserve">    </w:t>
      </w:r>
      <w:r>
        <w:rPr>
          <w:rFonts w:hint="eastAsia" w:ascii="宋体" w:hAnsi="宋体"/>
          <w:b/>
          <w:color w:val="auto"/>
          <w:sz w:val="28"/>
          <w:szCs w:val="28"/>
          <w:highlight w:val="none"/>
        </w:rPr>
        <w:t>录</w:t>
      </w:r>
    </w:p>
    <w:p w14:paraId="042E2844">
      <w:pPr>
        <w:pStyle w:val="20"/>
        <w:tabs>
          <w:tab w:val="right" w:leader="dot" w:pos="9638"/>
        </w:tabs>
      </w:pPr>
      <w:permStart w:id="7" w:edGrp="everyone"/>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color w:val="auto"/>
          <w:highlight w:val="none"/>
        </w:rPr>
        <w:fldChar w:fldCharType="begin"/>
      </w:r>
      <w:r>
        <w:rPr>
          <w:rFonts w:hint="eastAsia"/>
          <w:highlight w:val="none"/>
        </w:rPr>
        <w:instrText xml:space="preserve"> HYPERLINK \l _Toc1031665910 </w:instrText>
      </w:r>
      <w:r>
        <w:rPr>
          <w:rFonts w:hint="eastAsia"/>
          <w:highlight w:val="none"/>
        </w:rPr>
        <w:fldChar w:fldCharType="separate"/>
      </w:r>
      <w:r>
        <w:rPr>
          <w:rFonts w:hint="eastAsia"/>
          <w:szCs w:val="32"/>
          <w:highlight w:val="none"/>
        </w:rPr>
        <w:t>第一章</w:t>
      </w:r>
      <w:r>
        <w:rPr>
          <w:szCs w:val="32"/>
          <w:highlight w:val="none"/>
        </w:rPr>
        <w:t xml:space="preserve"> </w:t>
      </w:r>
      <w:r>
        <w:rPr>
          <w:rFonts w:hint="eastAsia"/>
          <w:szCs w:val="32"/>
          <w:highlight w:val="none"/>
        </w:rPr>
        <w:t>招标公告</w:t>
      </w:r>
      <w:r>
        <w:tab/>
      </w:r>
      <w:r>
        <w:fldChar w:fldCharType="begin"/>
      </w:r>
      <w:r>
        <w:instrText xml:space="preserve"> PAGEREF _Toc1031665910 </w:instrText>
      </w:r>
      <w:r>
        <w:fldChar w:fldCharType="separate"/>
      </w:r>
      <w:r>
        <w:t>7</w:t>
      </w:r>
      <w:r>
        <w:fldChar w:fldCharType="end"/>
      </w:r>
      <w:r>
        <w:rPr>
          <w:rFonts w:hint="eastAsia"/>
          <w:color w:val="auto"/>
          <w:highlight w:val="none"/>
        </w:rPr>
        <w:fldChar w:fldCharType="end"/>
      </w:r>
    </w:p>
    <w:p w14:paraId="6E40861C">
      <w:pPr>
        <w:pStyle w:val="20"/>
        <w:tabs>
          <w:tab w:val="right" w:leader="dot" w:pos="9638"/>
        </w:tabs>
      </w:pPr>
      <w:r>
        <w:rPr>
          <w:rFonts w:hint="eastAsia"/>
          <w:color w:val="auto"/>
          <w:highlight w:val="none"/>
        </w:rPr>
        <w:fldChar w:fldCharType="begin"/>
      </w:r>
      <w:r>
        <w:rPr>
          <w:rFonts w:hint="eastAsia"/>
          <w:highlight w:val="none"/>
        </w:rPr>
        <w:instrText xml:space="preserve"> HYPERLINK \l _Toc724699815 </w:instrText>
      </w:r>
      <w:r>
        <w:rPr>
          <w:rFonts w:hint="eastAsia"/>
          <w:highlight w:val="none"/>
        </w:rPr>
        <w:fldChar w:fldCharType="separate"/>
      </w:r>
      <w:r>
        <w:rPr>
          <w:rFonts w:hint="eastAsia"/>
          <w:highlight w:val="none"/>
          <w:lang w:val="en-US" w:eastAsia="zh-CN"/>
        </w:rPr>
        <w:t>第二章 投标人须知</w:t>
      </w:r>
      <w:r>
        <w:tab/>
      </w:r>
      <w:r>
        <w:fldChar w:fldCharType="begin"/>
      </w:r>
      <w:r>
        <w:instrText xml:space="preserve"> PAGEREF _Toc724699815 </w:instrText>
      </w:r>
      <w:r>
        <w:fldChar w:fldCharType="separate"/>
      </w:r>
      <w:r>
        <w:t>10</w:t>
      </w:r>
      <w:r>
        <w:fldChar w:fldCharType="end"/>
      </w:r>
      <w:r>
        <w:rPr>
          <w:rFonts w:hint="eastAsia"/>
          <w:color w:val="auto"/>
          <w:highlight w:val="none"/>
        </w:rPr>
        <w:fldChar w:fldCharType="end"/>
      </w:r>
    </w:p>
    <w:p w14:paraId="0EF76995">
      <w:pPr>
        <w:pStyle w:val="21"/>
        <w:tabs>
          <w:tab w:val="right" w:leader="dot" w:pos="9638"/>
        </w:tabs>
      </w:pPr>
      <w:r>
        <w:rPr>
          <w:rFonts w:hint="eastAsia"/>
          <w:color w:val="auto"/>
          <w:highlight w:val="none"/>
        </w:rPr>
        <w:fldChar w:fldCharType="begin"/>
      </w:r>
      <w:r>
        <w:rPr>
          <w:rFonts w:hint="eastAsia"/>
          <w:highlight w:val="none"/>
        </w:rPr>
        <w:instrText xml:space="preserve"> HYPERLINK \l _Toc1077602002 </w:instrText>
      </w:r>
      <w:r>
        <w:rPr>
          <w:rFonts w:hint="eastAsia"/>
          <w:highlight w:val="none"/>
        </w:rPr>
        <w:fldChar w:fldCharType="separate"/>
      </w: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投标人须知前附表</w:t>
      </w:r>
      <w:r>
        <w:tab/>
      </w:r>
      <w:r>
        <w:fldChar w:fldCharType="begin"/>
      </w:r>
      <w:r>
        <w:instrText xml:space="preserve"> PAGEREF _Toc1077602002 </w:instrText>
      </w:r>
      <w:r>
        <w:fldChar w:fldCharType="separate"/>
      </w:r>
      <w:r>
        <w:t>10</w:t>
      </w:r>
      <w:r>
        <w:fldChar w:fldCharType="end"/>
      </w:r>
      <w:r>
        <w:rPr>
          <w:rFonts w:hint="eastAsia"/>
          <w:color w:val="auto"/>
          <w:highlight w:val="none"/>
        </w:rPr>
        <w:fldChar w:fldCharType="end"/>
      </w:r>
    </w:p>
    <w:p w14:paraId="2C3953FB">
      <w:pPr>
        <w:pStyle w:val="21"/>
        <w:tabs>
          <w:tab w:val="right" w:leader="dot" w:pos="9638"/>
        </w:tabs>
      </w:pPr>
      <w:r>
        <w:rPr>
          <w:rFonts w:hint="eastAsia"/>
          <w:color w:val="auto"/>
          <w:highlight w:val="none"/>
        </w:rPr>
        <w:fldChar w:fldCharType="begin"/>
      </w:r>
      <w:r>
        <w:rPr>
          <w:rFonts w:hint="eastAsia"/>
          <w:highlight w:val="none"/>
        </w:rPr>
        <w:instrText xml:space="preserve"> HYPERLINK \l _Toc381226882 </w:instrText>
      </w:r>
      <w:r>
        <w:rPr>
          <w:rFonts w:hint="eastAsia"/>
          <w:highlight w:val="none"/>
        </w:rPr>
        <w:fldChar w:fldCharType="separate"/>
      </w:r>
      <w:r>
        <w:rPr>
          <w:rFonts w:hint="eastAsia"/>
          <w:highlight w:val="none"/>
          <w:lang w:eastAsia="zh-CN"/>
        </w:rPr>
        <w:t>（</w:t>
      </w:r>
      <w:r>
        <w:rPr>
          <w:rFonts w:hint="eastAsia"/>
          <w:highlight w:val="none"/>
          <w:lang w:val="en-US" w:eastAsia="zh-CN"/>
        </w:rPr>
        <w:t>二</w:t>
      </w:r>
      <w:r>
        <w:rPr>
          <w:rFonts w:hint="eastAsia"/>
          <w:highlight w:val="none"/>
          <w:lang w:eastAsia="zh-CN"/>
        </w:rPr>
        <w:t>）资格审查要素表</w:t>
      </w:r>
      <w:r>
        <w:tab/>
      </w:r>
      <w:r>
        <w:fldChar w:fldCharType="begin"/>
      </w:r>
      <w:r>
        <w:instrText xml:space="preserve"> PAGEREF _Toc381226882 </w:instrText>
      </w:r>
      <w:r>
        <w:fldChar w:fldCharType="separate"/>
      </w:r>
      <w:r>
        <w:t>19</w:t>
      </w:r>
      <w:r>
        <w:fldChar w:fldCharType="end"/>
      </w:r>
      <w:r>
        <w:rPr>
          <w:rFonts w:hint="eastAsia"/>
          <w:color w:val="auto"/>
          <w:highlight w:val="none"/>
        </w:rPr>
        <w:fldChar w:fldCharType="end"/>
      </w:r>
    </w:p>
    <w:p w14:paraId="06DF7F75">
      <w:pPr>
        <w:pStyle w:val="21"/>
        <w:tabs>
          <w:tab w:val="right" w:leader="dot" w:pos="9638"/>
        </w:tabs>
      </w:pPr>
      <w:r>
        <w:rPr>
          <w:rFonts w:hint="eastAsia"/>
          <w:color w:val="auto"/>
          <w:highlight w:val="none"/>
        </w:rPr>
        <w:fldChar w:fldCharType="begin"/>
      </w:r>
      <w:r>
        <w:rPr>
          <w:rFonts w:hint="eastAsia"/>
          <w:highlight w:val="none"/>
        </w:rPr>
        <w:instrText xml:space="preserve"> HYPERLINK \l _Toc1910288424 </w:instrText>
      </w:r>
      <w:r>
        <w:rPr>
          <w:rFonts w:hint="eastAsia"/>
          <w:highlight w:val="none"/>
        </w:rPr>
        <w:fldChar w:fldCharType="separate"/>
      </w:r>
      <w:r>
        <w:rPr>
          <w:rFonts w:hint="eastAsia" w:ascii="宋体" w:hAnsi="宋体" w:cs="宋体"/>
          <w:bCs/>
          <w:kern w:val="2"/>
          <w:szCs w:val="32"/>
          <w:highlight w:val="none"/>
          <w:lang w:val="en-US" w:eastAsia="zh-CN" w:bidi="ar-SA"/>
        </w:rPr>
        <w:t>1. 总</w:t>
      </w:r>
      <w:r>
        <w:rPr>
          <w:rFonts w:hint="eastAsia"/>
          <w:highlight w:val="none"/>
        </w:rPr>
        <w:t>则</w:t>
      </w:r>
      <w:r>
        <w:tab/>
      </w:r>
      <w:r>
        <w:fldChar w:fldCharType="begin"/>
      </w:r>
      <w:r>
        <w:instrText xml:space="preserve"> PAGEREF _Toc1910288424 </w:instrText>
      </w:r>
      <w:r>
        <w:fldChar w:fldCharType="separate"/>
      </w:r>
      <w:r>
        <w:t>21</w:t>
      </w:r>
      <w:r>
        <w:fldChar w:fldCharType="end"/>
      </w:r>
      <w:r>
        <w:rPr>
          <w:rFonts w:hint="eastAsia"/>
          <w:color w:val="auto"/>
          <w:highlight w:val="none"/>
        </w:rPr>
        <w:fldChar w:fldCharType="end"/>
      </w:r>
    </w:p>
    <w:p w14:paraId="06E3B503">
      <w:pPr>
        <w:pStyle w:val="21"/>
        <w:tabs>
          <w:tab w:val="right" w:leader="dot" w:pos="9638"/>
        </w:tabs>
      </w:pPr>
      <w:r>
        <w:rPr>
          <w:rFonts w:hint="eastAsia"/>
          <w:color w:val="auto"/>
          <w:highlight w:val="none"/>
        </w:rPr>
        <w:fldChar w:fldCharType="begin"/>
      </w:r>
      <w:r>
        <w:rPr>
          <w:rFonts w:hint="eastAsia"/>
          <w:highlight w:val="none"/>
        </w:rPr>
        <w:instrText xml:space="preserve"> HYPERLINK \l _Toc567580031 </w:instrText>
      </w:r>
      <w:r>
        <w:rPr>
          <w:rFonts w:hint="eastAsia"/>
          <w:highlight w:val="none"/>
        </w:rPr>
        <w:fldChar w:fldCharType="separate"/>
      </w:r>
      <w:r>
        <w:rPr>
          <w:rFonts w:hint="eastAsia" w:ascii="宋体" w:hAnsi="宋体" w:eastAsia="宋体" w:cs="宋体"/>
          <w:highlight w:val="none"/>
        </w:rPr>
        <w:t>2</w:t>
      </w:r>
      <w:r>
        <w:rPr>
          <w:rFonts w:hint="eastAsia" w:ascii="宋体" w:hAnsi="宋体" w:cs="宋体"/>
          <w:highlight w:val="none"/>
          <w:lang w:val="en-US" w:eastAsia="zh-CN"/>
        </w:rPr>
        <w:t xml:space="preserve">. </w:t>
      </w:r>
      <w:r>
        <w:rPr>
          <w:rFonts w:hint="eastAsia"/>
          <w:highlight w:val="none"/>
        </w:rPr>
        <w:t>招标文件</w:t>
      </w:r>
      <w:r>
        <w:tab/>
      </w:r>
      <w:r>
        <w:fldChar w:fldCharType="begin"/>
      </w:r>
      <w:r>
        <w:instrText xml:space="preserve"> PAGEREF _Toc567580031 </w:instrText>
      </w:r>
      <w:r>
        <w:fldChar w:fldCharType="separate"/>
      </w:r>
      <w:r>
        <w:t>23</w:t>
      </w:r>
      <w:r>
        <w:fldChar w:fldCharType="end"/>
      </w:r>
      <w:r>
        <w:rPr>
          <w:rFonts w:hint="eastAsia"/>
          <w:color w:val="auto"/>
          <w:highlight w:val="none"/>
        </w:rPr>
        <w:fldChar w:fldCharType="end"/>
      </w:r>
    </w:p>
    <w:p w14:paraId="259F6A68">
      <w:pPr>
        <w:pStyle w:val="21"/>
        <w:tabs>
          <w:tab w:val="right" w:leader="dot" w:pos="9638"/>
        </w:tabs>
      </w:pPr>
      <w:r>
        <w:rPr>
          <w:rFonts w:hint="eastAsia"/>
          <w:color w:val="auto"/>
          <w:highlight w:val="none"/>
        </w:rPr>
        <w:fldChar w:fldCharType="begin"/>
      </w:r>
      <w:r>
        <w:rPr>
          <w:rFonts w:hint="eastAsia"/>
          <w:highlight w:val="none"/>
        </w:rPr>
        <w:instrText xml:space="preserve"> HYPERLINK \l _Toc524488729 </w:instrText>
      </w:r>
      <w:r>
        <w:rPr>
          <w:rFonts w:hint="eastAsia"/>
          <w:highlight w:val="none"/>
        </w:rPr>
        <w:fldChar w:fldCharType="separate"/>
      </w:r>
      <w:r>
        <w:rPr>
          <w:rFonts w:hint="eastAsia" w:ascii="宋体" w:hAnsi="宋体" w:eastAsia="宋体" w:cs="宋体"/>
          <w:bCs/>
          <w:highlight w:val="none"/>
        </w:rPr>
        <w:t>3</w:t>
      </w:r>
      <w:r>
        <w:rPr>
          <w:rFonts w:hint="eastAsia" w:ascii="宋体" w:hAnsi="宋体" w:cs="宋体"/>
          <w:bCs/>
          <w:highlight w:val="none"/>
          <w:lang w:val="en-US" w:eastAsia="zh-CN"/>
        </w:rPr>
        <w:t xml:space="preserve">. </w:t>
      </w:r>
      <w:r>
        <w:rPr>
          <w:rFonts w:hint="eastAsia" w:ascii="宋体" w:hAnsi="宋体" w:eastAsia="宋体" w:cs="宋体"/>
          <w:bCs/>
          <w:highlight w:val="none"/>
        </w:rPr>
        <w:t>投标文件</w:t>
      </w:r>
      <w:r>
        <w:tab/>
      </w:r>
      <w:r>
        <w:fldChar w:fldCharType="begin"/>
      </w:r>
      <w:r>
        <w:instrText xml:space="preserve"> PAGEREF _Toc524488729 </w:instrText>
      </w:r>
      <w:r>
        <w:fldChar w:fldCharType="separate"/>
      </w:r>
      <w:r>
        <w:t>24</w:t>
      </w:r>
      <w:r>
        <w:fldChar w:fldCharType="end"/>
      </w:r>
      <w:r>
        <w:rPr>
          <w:rFonts w:hint="eastAsia"/>
          <w:color w:val="auto"/>
          <w:highlight w:val="none"/>
        </w:rPr>
        <w:fldChar w:fldCharType="end"/>
      </w:r>
    </w:p>
    <w:p w14:paraId="45B72E3A">
      <w:pPr>
        <w:pStyle w:val="21"/>
        <w:tabs>
          <w:tab w:val="right" w:leader="dot" w:pos="9638"/>
        </w:tabs>
      </w:pPr>
      <w:r>
        <w:rPr>
          <w:rFonts w:hint="eastAsia"/>
          <w:color w:val="auto"/>
          <w:highlight w:val="none"/>
        </w:rPr>
        <w:fldChar w:fldCharType="begin"/>
      </w:r>
      <w:r>
        <w:rPr>
          <w:rFonts w:hint="eastAsia"/>
          <w:highlight w:val="none"/>
        </w:rPr>
        <w:instrText xml:space="preserve"> HYPERLINK \l _Toc1977409122 </w:instrText>
      </w:r>
      <w:r>
        <w:rPr>
          <w:rFonts w:hint="eastAsia"/>
          <w:highlight w:val="none"/>
        </w:rPr>
        <w:fldChar w:fldCharType="separate"/>
      </w:r>
      <w:r>
        <w:rPr>
          <w:rFonts w:hint="eastAsia" w:ascii="宋体" w:hAnsi="宋体" w:cs="宋体"/>
          <w:highlight w:val="none"/>
        </w:rPr>
        <w:t>4</w:t>
      </w:r>
      <w:r>
        <w:rPr>
          <w:rFonts w:hint="eastAsia" w:ascii="宋体" w:hAnsi="宋体" w:cs="宋体"/>
          <w:highlight w:val="none"/>
          <w:lang w:val="en-US" w:eastAsia="zh-CN"/>
        </w:rPr>
        <w:t xml:space="preserve">. </w:t>
      </w:r>
      <w:r>
        <w:rPr>
          <w:rFonts w:hint="eastAsia" w:ascii="宋体" w:hAnsi="宋体" w:cs="宋体"/>
          <w:highlight w:val="none"/>
        </w:rPr>
        <w:t>投标</w:t>
      </w:r>
      <w:r>
        <w:tab/>
      </w:r>
      <w:r>
        <w:fldChar w:fldCharType="begin"/>
      </w:r>
      <w:r>
        <w:instrText xml:space="preserve"> PAGEREF _Toc1977409122 </w:instrText>
      </w:r>
      <w:r>
        <w:fldChar w:fldCharType="separate"/>
      </w:r>
      <w:r>
        <w:t>28</w:t>
      </w:r>
      <w:r>
        <w:fldChar w:fldCharType="end"/>
      </w:r>
      <w:r>
        <w:rPr>
          <w:rFonts w:hint="eastAsia"/>
          <w:color w:val="auto"/>
          <w:highlight w:val="none"/>
        </w:rPr>
        <w:fldChar w:fldCharType="end"/>
      </w:r>
    </w:p>
    <w:p w14:paraId="52E5CDDA">
      <w:pPr>
        <w:pStyle w:val="21"/>
        <w:tabs>
          <w:tab w:val="right" w:leader="dot" w:pos="9638"/>
        </w:tabs>
      </w:pPr>
      <w:r>
        <w:rPr>
          <w:rFonts w:hint="eastAsia"/>
          <w:color w:val="auto"/>
          <w:highlight w:val="none"/>
        </w:rPr>
        <w:fldChar w:fldCharType="begin"/>
      </w:r>
      <w:r>
        <w:rPr>
          <w:rFonts w:hint="eastAsia"/>
          <w:highlight w:val="none"/>
        </w:rPr>
        <w:instrText xml:space="preserve"> HYPERLINK \l _Toc1305805167 </w:instrText>
      </w:r>
      <w:r>
        <w:rPr>
          <w:rFonts w:hint="eastAsia"/>
          <w:highlight w:val="none"/>
        </w:rPr>
        <w:fldChar w:fldCharType="separate"/>
      </w:r>
      <w:r>
        <w:rPr>
          <w:rFonts w:hint="eastAsia" w:ascii="宋体" w:hAnsi="宋体" w:cs="宋体"/>
          <w:highlight w:val="none"/>
          <w:lang w:val="en-US"/>
        </w:rPr>
        <w:t>5</w:t>
      </w:r>
      <w:r>
        <w:rPr>
          <w:rFonts w:hint="eastAsia" w:ascii="宋体" w:hAnsi="宋体" w:cs="宋体"/>
          <w:highlight w:val="none"/>
          <w:lang w:val="en-US" w:eastAsia="zh-CN"/>
        </w:rPr>
        <w:t xml:space="preserve">. </w:t>
      </w:r>
      <w:r>
        <w:rPr>
          <w:rFonts w:hint="eastAsia" w:ascii="宋体" w:hAnsi="宋体" w:cs="宋体"/>
          <w:highlight w:val="none"/>
        </w:rPr>
        <w:t>开标</w:t>
      </w:r>
      <w:r>
        <w:tab/>
      </w:r>
      <w:r>
        <w:fldChar w:fldCharType="begin"/>
      </w:r>
      <w:r>
        <w:instrText xml:space="preserve"> PAGEREF _Toc1305805167 </w:instrText>
      </w:r>
      <w:r>
        <w:fldChar w:fldCharType="separate"/>
      </w:r>
      <w:r>
        <w:t>29</w:t>
      </w:r>
      <w:r>
        <w:fldChar w:fldCharType="end"/>
      </w:r>
      <w:r>
        <w:rPr>
          <w:rFonts w:hint="eastAsia"/>
          <w:color w:val="auto"/>
          <w:highlight w:val="none"/>
        </w:rPr>
        <w:fldChar w:fldCharType="end"/>
      </w:r>
    </w:p>
    <w:p w14:paraId="204657C2">
      <w:pPr>
        <w:pStyle w:val="21"/>
        <w:tabs>
          <w:tab w:val="right" w:leader="dot" w:pos="9638"/>
        </w:tabs>
      </w:pPr>
      <w:r>
        <w:rPr>
          <w:rFonts w:hint="eastAsia"/>
          <w:color w:val="auto"/>
          <w:highlight w:val="none"/>
        </w:rPr>
        <w:fldChar w:fldCharType="begin"/>
      </w:r>
      <w:r>
        <w:rPr>
          <w:rFonts w:hint="eastAsia"/>
          <w:highlight w:val="none"/>
        </w:rPr>
        <w:instrText xml:space="preserve"> HYPERLINK \l _Toc1869529883 </w:instrText>
      </w:r>
      <w:r>
        <w:rPr>
          <w:rFonts w:hint="eastAsia"/>
          <w:highlight w:val="none"/>
        </w:rPr>
        <w:fldChar w:fldCharType="separate"/>
      </w:r>
      <w:r>
        <w:rPr>
          <w:rFonts w:hint="eastAsia" w:ascii="宋体" w:hAnsi="宋体" w:eastAsia="宋体" w:cs="宋体"/>
          <w:bCs/>
          <w:highlight w:val="none"/>
          <w:lang w:val="en-US" w:eastAsia="zh-CN"/>
        </w:rPr>
        <w:t>6</w:t>
      </w:r>
      <w:r>
        <w:rPr>
          <w:rFonts w:hint="eastAsia" w:ascii="宋体" w:hAnsi="宋体" w:cs="宋体"/>
          <w:bCs/>
          <w:highlight w:val="none"/>
          <w:lang w:val="en-US" w:eastAsia="zh-CN"/>
        </w:rPr>
        <w:t>. 资格审查及入围筛选</w:t>
      </w:r>
      <w:r>
        <w:tab/>
      </w:r>
      <w:r>
        <w:fldChar w:fldCharType="begin"/>
      </w:r>
      <w:r>
        <w:instrText xml:space="preserve"> PAGEREF _Toc1869529883 </w:instrText>
      </w:r>
      <w:r>
        <w:fldChar w:fldCharType="separate"/>
      </w:r>
      <w:r>
        <w:t>30</w:t>
      </w:r>
      <w:r>
        <w:fldChar w:fldCharType="end"/>
      </w:r>
      <w:r>
        <w:rPr>
          <w:rFonts w:hint="eastAsia"/>
          <w:color w:val="auto"/>
          <w:highlight w:val="none"/>
        </w:rPr>
        <w:fldChar w:fldCharType="end"/>
      </w:r>
    </w:p>
    <w:p w14:paraId="1A0CE635">
      <w:pPr>
        <w:pStyle w:val="21"/>
        <w:tabs>
          <w:tab w:val="right" w:leader="dot" w:pos="9638"/>
        </w:tabs>
      </w:pPr>
      <w:r>
        <w:rPr>
          <w:rFonts w:hint="eastAsia"/>
          <w:color w:val="auto"/>
          <w:highlight w:val="none"/>
        </w:rPr>
        <w:fldChar w:fldCharType="begin"/>
      </w:r>
      <w:r>
        <w:rPr>
          <w:rFonts w:hint="eastAsia"/>
          <w:highlight w:val="none"/>
        </w:rPr>
        <w:instrText xml:space="preserve"> HYPERLINK \l _Toc1100781530 </w:instrText>
      </w:r>
      <w:r>
        <w:rPr>
          <w:rFonts w:hint="eastAsia"/>
          <w:highlight w:val="none"/>
        </w:rPr>
        <w:fldChar w:fldCharType="separate"/>
      </w:r>
      <w:r>
        <w:rPr>
          <w:rFonts w:hint="eastAsia" w:ascii="宋体" w:hAnsi="宋体" w:eastAsia="宋体" w:cs="宋体"/>
          <w:bCs/>
          <w:highlight w:val="none"/>
          <w:lang w:val="en-US" w:eastAsia="zh-CN"/>
        </w:rPr>
        <w:t>7. 评标</w:t>
      </w:r>
      <w:r>
        <w:tab/>
      </w:r>
      <w:r>
        <w:fldChar w:fldCharType="begin"/>
      </w:r>
      <w:r>
        <w:instrText xml:space="preserve"> PAGEREF _Toc1100781530 </w:instrText>
      </w:r>
      <w:r>
        <w:fldChar w:fldCharType="separate"/>
      </w:r>
      <w:r>
        <w:t>30</w:t>
      </w:r>
      <w:r>
        <w:fldChar w:fldCharType="end"/>
      </w:r>
      <w:r>
        <w:rPr>
          <w:rFonts w:hint="eastAsia"/>
          <w:color w:val="auto"/>
          <w:highlight w:val="none"/>
        </w:rPr>
        <w:fldChar w:fldCharType="end"/>
      </w:r>
    </w:p>
    <w:p w14:paraId="46E249E9">
      <w:pPr>
        <w:pStyle w:val="21"/>
        <w:tabs>
          <w:tab w:val="right" w:leader="dot" w:pos="9638"/>
        </w:tabs>
      </w:pPr>
      <w:r>
        <w:rPr>
          <w:rFonts w:hint="eastAsia"/>
          <w:color w:val="auto"/>
          <w:highlight w:val="none"/>
        </w:rPr>
        <w:fldChar w:fldCharType="begin"/>
      </w:r>
      <w:r>
        <w:rPr>
          <w:rFonts w:hint="eastAsia"/>
          <w:highlight w:val="none"/>
        </w:rPr>
        <w:instrText xml:space="preserve"> HYPERLINK \l _Toc1349942681 </w:instrText>
      </w:r>
      <w:r>
        <w:rPr>
          <w:rFonts w:hint="eastAsia"/>
          <w:highlight w:val="none"/>
        </w:rPr>
        <w:fldChar w:fldCharType="separate"/>
      </w:r>
      <w:r>
        <w:rPr>
          <w:rFonts w:hint="eastAsia" w:ascii="宋体" w:hAnsi="宋体" w:eastAsia="宋体" w:cs="宋体"/>
          <w:bCs/>
          <w:highlight w:val="none"/>
          <w:lang w:val="en-US" w:eastAsia="zh-CN"/>
        </w:rPr>
        <w:t>8. 定标</w:t>
      </w:r>
      <w:r>
        <w:tab/>
      </w:r>
      <w:r>
        <w:fldChar w:fldCharType="begin"/>
      </w:r>
      <w:r>
        <w:instrText xml:space="preserve"> PAGEREF _Toc1349942681 </w:instrText>
      </w:r>
      <w:r>
        <w:fldChar w:fldCharType="separate"/>
      </w:r>
      <w:r>
        <w:t>31</w:t>
      </w:r>
      <w:r>
        <w:fldChar w:fldCharType="end"/>
      </w:r>
      <w:r>
        <w:rPr>
          <w:rFonts w:hint="eastAsia"/>
          <w:color w:val="auto"/>
          <w:highlight w:val="none"/>
        </w:rPr>
        <w:fldChar w:fldCharType="end"/>
      </w:r>
    </w:p>
    <w:p w14:paraId="10E77BA5">
      <w:pPr>
        <w:pStyle w:val="21"/>
        <w:tabs>
          <w:tab w:val="right" w:leader="dot" w:pos="9638"/>
        </w:tabs>
      </w:pPr>
      <w:r>
        <w:rPr>
          <w:rFonts w:hint="eastAsia"/>
          <w:color w:val="auto"/>
          <w:highlight w:val="none"/>
        </w:rPr>
        <w:fldChar w:fldCharType="begin"/>
      </w:r>
      <w:r>
        <w:rPr>
          <w:rFonts w:hint="eastAsia"/>
          <w:highlight w:val="none"/>
        </w:rPr>
        <w:instrText xml:space="preserve"> HYPERLINK \l _Toc963319036 </w:instrText>
      </w:r>
      <w:r>
        <w:rPr>
          <w:rFonts w:hint="eastAsia"/>
          <w:highlight w:val="none"/>
        </w:rPr>
        <w:fldChar w:fldCharType="separate"/>
      </w:r>
      <w:r>
        <w:rPr>
          <w:rFonts w:hint="eastAsia" w:ascii="宋体" w:hAnsi="宋体" w:eastAsia="宋体" w:cs="宋体"/>
          <w:bCs/>
          <w:highlight w:val="none"/>
          <w:lang w:val="en-US" w:eastAsia="zh-CN"/>
        </w:rPr>
        <w:t>9. 合同授予</w:t>
      </w:r>
      <w:r>
        <w:tab/>
      </w:r>
      <w:r>
        <w:fldChar w:fldCharType="begin"/>
      </w:r>
      <w:r>
        <w:instrText xml:space="preserve"> PAGEREF _Toc963319036 </w:instrText>
      </w:r>
      <w:r>
        <w:fldChar w:fldCharType="separate"/>
      </w:r>
      <w:r>
        <w:t>33</w:t>
      </w:r>
      <w:r>
        <w:fldChar w:fldCharType="end"/>
      </w:r>
      <w:r>
        <w:rPr>
          <w:rFonts w:hint="eastAsia"/>
          <w:color w:val="auto"/>
          <w:highlight w:val="none"/>
        </w:rPr>
        <w:fldChar w:fldCharType="end"/>
      </w:r>
    </w:p>
    <w:p w14:paraId="5FC31538">
      <w:pPr>
        <w:pStyle w:val="21"/>
        <w:tabs>
          <w:tab w:val="right" w:leader="dot" w:pos="9638"/>
        </w:tabs>
      </w:pPr>
      <w:r>
        <w:rPr>
          <w:rFonts w:hint="eastAsia"/>
          <w:color w:val="auto"/>
          <w:highlight w:val="none"/>
        </w:rPr>
        <w:fldChar w:fldCharType="begin"/>
      </w:r>
      <w:r>
        <w:rPr>
          <w:rFonts w:hint="eastAsia"/>
          <w:highlight w:val="none"/>
        </w:rPr>
        <w:instrText xml:space="preserve"> HYPERLINK \l _Toc1847037553 </w:instrText>
      </w:r>
      <w:r>
        <w:rPr>
          <w:rFonts w:hint="eastAsia"/>
          <w:highlight w:val="none"/>
        </w:rPr>
        <w:fldChar w:fldCharType="separate"/>
      </w:r>
      <w:r>
        <w:rPr>
          <w:rFonts w:hint="eastAsia" w:ascii="宋体" w:hAnsi="宋体" w:eastAsia="宋体" w:cs="宋体"/>
          <w:bCs/>
          <w:szCs w:val="24"/>
          <w:highlight w:val="none"/>
          <w:lang w:val="en-US" w:eastAsia="zh-CN"/>
        </w:rPr>
        <w:t>10. 重新招标和不再招标</w:t>
      </w:r>
      <w:r>
        <w:tab/>
      </w:r>
      <w:r>
        <w:fldChar w:fldCharType="begin"/>
      </w:r>
      <w:r>
        <w:instrText xml:space="preserve"> PAGEREF _Toc1847037553 </w:instrText>
      </w:r>
      <w:r>
        <w:fldChar w:fldCharType="separate"/>
      </w:r>
      <w:r>
        <w:t>34</w:t>
      </w:r>
      <w:r>
        <w:fldChar w:fldCharType="end"/>
      </w:r>
      <w:r>
        <w:rPr>
          <w:rFonts w:hint="eastAsia"/>
          <w:color w:val="auto"/>
          <w:highlight w:val="none"/>
        </w:rPr>
        <w:fldChar w:fldCharType="end"/>
      </w:r>
    </w:p>
    <w:p w14:paraId="32212D5B">
      <w:pPr>
        <w:pStyle w:val="21"/>
        <w:tabs>
          <w:tab w:val="right" w:leader="dot" w:pos="9638"/>
        </w:tabs>
      </w:pPr>
      <w:r>
        <w:rPr>
          <w:rFonts w:hint="eastAsia"/>
          <w:color w:val="auto"/>
          <w:highlight w:val="none"/>
        </w:rPr>
        <w:fldChar w:fldCharType="begin"/>
      </w:r>
      <w:r>
        <w:rPr>
          <w:rFonts w:hint="eastAsia"/>
          <w:highlight w:val="none"/>
        </w:rPr>
        <w:instrText xml:space="preserve"> HYPERLINK \l _Toc224497123 </w:instrText>
      </w:r>
      <w:r>
        <w:rPr>
          <w:rFonts w:hint="eastAsia"/>
          <w:highlight w:val="none"/>
        </w:rPr>
        <w:fldChar w:fldCharType="separate"/>
      </w:r>
      <w:r>
        <w:rPr>
          <w:rFonts w:hint="eastAsia" w:ascii="宋体" w:hAnsi="宋体" w:eastAsia="宋体" w:cs="宋体"/>
          <w:bCs/>
          <w:szCs w:val="24"/>
          <w:highlight w:val="none"/>
          <w:lang w:val="en-US" w:eastAsia="zh-CN"/>
        </w:rPr>
        <w:t>11. 纪律和监督</w:t>
      </w:r>
      <w:r>
        <w:tab/>
      </w:r>
      <w:r>
        <w:fldChar w:fldCharType="begin"/>
      </w:r>
      <w:r>
        <w:instrText xml:space="preserve"> PAGEREF _Toc224497123 </w:instrText>
      </w:r>
      <w:r>
        <w:fldChar w:fldCharType="separate"/>
      </w:r>
      <w:r>
        <w:t>34</w:t>
      </w:r>
      <w:r>
        <w:fldChar w:fldCharType="end"/>
      </w:r>
      <w:r>
        <w:rPr>
          <w:rFonts w:hint="eastAsia"/>
          <w:color w:val="auto"/>
          <w:highlight w:val="none"/>
        </w:rPr>
        <w:fldChar w:fldCharType="end"/>
      </w:r>
    </w:p>
    <w:p w14:paraId="23AA3D55">
      <w:pPr>
        <w:pStyle w:val="21"/>
        <w:tabs>
          <w:tab w:val="right" w:leader="dot" w:pos="9638"/>
        </w:tabs>
      </w:pPr>
      <w:r>
        <w:rPr>
          <w:rFonts w:hint="eastAsia"/>
          <w:color w:val="auto"/>
          <w:highlight w:val="none"/>
        </w:rPr>
        <w:fldChar w:fldCharType="begin"/>
      </w:r>
      <w:r>
        <w:rPr>
          <w:rFonts w:hint="eastAsia"/>
          <w:highlight w:val="none"/>
        </w:rPr>
        <w:instrText xml:space="preserve"> HYPERLINK \l _Toc1192854403 </w:instrText>
      </w:r>
      <w:r>
        <w:rPr>
          <w:rFonts w:hint="eastAsia"/>
          <w:highlight w:val="none"/>
        </w:rPr>
        <w:fldChar w:fldCharType="separate"/>
      </w:r>
      <w:r>
        <w:rPr>
          <w:rFonts w:hint="eastAsia" w:ascii="宋体" w:hAnsi="宋体" w:cs="宋体"/>
          <w:highlight w:val="none"/>
          <w:lang w:val="en-US" w:eastAsia="zh-CN"/>
        </w:rPr>
        <w:t>12. 项目管理机构基本要求</w:t>
      </w:r>
      <w:r>
        <w:tab/>
      </w:r>
      <w:r>
        <w:fldChar w:fldCharType="begin"/>
      </w:r>
      <w:r>
        <w:instrText xml:space="preserve"> PAGEREF _Toc1192854403 </w:instrText>
      </w:r>
      <w:r>
        <w:fldChar w:fldCharType="separate"/>
      </w:r>
      <w:r>
        <w:t>36</w:t>
      </w:r>
      <w:r>
        <w:fldChar w:fldCharType="end"/>
      </w:r>
      <w:r>
        <w:rPr>
          <w:rFonts w:hint="eastAsia"/>
          <w:color w:val="auto"/>
          <w:highlight w:val="none"/>
        </w:rPr>
        <w:fldChar w:fldCharType="end"/>
      </w:r>
    </w:p>
    <w:p w14:paraId="54193C6F">
      <w:pPr>
        <w:pStyle w:val="21"/>
        <w:tabs>
          <w:tab w:val="right" w:leader="dot" w:pos="9638"/>
        </w:tabs>
      </w:pPr>
      <w:r>
        <w:rPr>
          <w:rFonts w:hint="eastAsia"/>
          <w:color w:val="auto"/>
          <w:highlight w:val="none"/>
        </w:rPr>
        <w:fldChar w:fldCharType="begin"/>
      </w:r>
      <w:r>
        <w:rPr>
          <w:rFonts w:hint="eastAsia"/>
          <w:highlight w:val="none"/>
        </w:rPr>
        <w:instrText xml:space="preserve"> HYPERLINK \l _Toc871607637 </w:instrText>
      </w:r>
      <w:r>
        <w:rPr>
          <w:rFonts w:hint="eastAsia"/>
          <w:highlight w:val="none"/>
        </w:rPr>
        <w:fldChar w:fldCharType="separate"/>
      </w:r>
      <w:r>
        <w:rPr>
          <w:rFonts w:hint="eastAsia" w:ascii="宋体" w:hAnsi="宋体" w:cs="宋体"/>
          <w:highlight w:val="none"/>
          <w:lang w:val="en-US" w:eastAsia="zh-CN"/>
        </w:rPr>
        <w:t>13. 否决性条款</w:t>
      </w:r>
      <w:r>
        <w:tab/>
      </w:r>
      <w:r>
        <w:fldChar w:fldCharType="begin"/>
      </w:r>
      <w:r>
        <w:instrText xml:space="preserve"> PAGEREF _Toc871607637 </w:instrText>
      </w:r>
      <w:r>
        <w:fldChar w:fldCharType="separate"/>
      </w:r>
      <w:r>
        <w:t>37</w:t>
      </w:r>
      <w:r>
        <w:fldChar w:fldCharType="end"/>
      </w:r>
      <w:r>
        <w:rPr>
          <w:rFonts w:hint="eastAsia"/>
          <w:color w:val="auto"/>
          <w:highlight w:val="none"/>
        </w:rPr>
        <w:fldChar w:fldCharType="end"/>
      </w:r>
    </w:p>
    <w:p w14:paraId="045A1309">
      <w:pPr>
        <w:pStyle w:val="21"/>
        <w:tabs>
          <w:tab w:val="right" w:leader="dot" w:pos="9638"/>
        </w:tabs>
      </w:pPr>
      <w:r>
        <w:rPr>
          <w:rFonts w:hint="eastAsia"/>
          <w:color w:val="auto"/>
          <w:highlight w:val="none"/>
        </w:rPr>
        <w:fldChar w:fldCharType="begin"/>
      </w:r>
      <w:r>
        <w:rPr>
          <w:rFonts w:hint="eastAsia"/>
          <w:highlight w:val="none"/>
        </w:rPr>
        <w:instrText xml:space="preserve"> HYPERLINK \l _Toc681100375 </w:instrText>
      </w:r>
      <w:r>
        <w:rPr>
          <w:rFonts w:hint="eastAsia"/>
          <w:highlight w:val="none"/>
        </w:rPr>
        <w:fldChar w:fldCharType="separate"/>
      </w:r>
      <w:r>
        <w:rPr>
          <w:rFonts w:hint="eastAsia" w:ascii="宋体" w:hAnsi="宋体" w:eastAsia="宋体" w:cs="宋体"/>
          <w:highlight w:val="none"/>
          <w:lang w:val="en-US" w:eastAsia="zh-CN"/>
        </w:rPr>
        <w:t>14. 需要补充的其他内容</w:t>
      </w:r>
      <w:r>
        <w:tab/>
      </w:r>
      <w:r>
        <w:fldChar w:fldCharType="begin"/>
      </w:r>
      <w:r>
        <w:instrText xml:space="preserve"> PAGEREF _Toc681100375 </w:instrText>
      </w:r>
      <w:r>
        <w:fldChar w:fldCharType="separate"/>
      </w:r>
      <w:r>
        <w:t>39</w:t>
      </w:r>
      <w:r>
        <w:fldChar w:fldCharType="end"/>
      </w:r>
      <w:r>
        <w:rPr>
          <w:rFonts w:hint="eastAsia"/>
          <w:color w:val="auto"/>
          <w:highlight w:val="none"/>
        </w:rPr>
        <w:fldChar w:fldCharType="end"/>
      </w:r>
    </w:p>
    <w:p w14:paraId="39800361">
      <w:pPr>
        <w:pStyle w:val="21"/>
        <w:tabs>
          <w:tab w:val="right" w:leader="dot" w:pos="9638"/>
        </w:tabs>
      </w:pPr>
      <w:r>
        <w:rPr>
          <w:rFonts w:hint="eastAsia"/>
          <w:color w:val="auto"/>
          <w:highlight w:val="none"/>
        </w:rPr>
        <w:fldChar w:fldCharType="begin"/>
      </w:r>
      <w:r>
        <w:rPr>
          <w:rFonts w:hint="eastAsia"/>
          <w:highlight w:val="none"/>
        </w:rPr>
        <w:instrText xml:space="preserve"> HYPERLINK \l _Toc2041157724 </w:instrText>
      </w:r>
      <w:r>
        <w:rPr>
          <w:rFonts w:hint="eastAsia"/>
          <w:highlight w:val="none"/>
        </w:rPr>
        <w:fldChar w:fldCharType="separate"/>
      </w:r>
      <w:r>
        <w:rPr>
          <w:rFonts w:hint="eastAsia" w:ascii="宋体" w:hAnsi="宋体" w:eastAsia="宋体" w:cs="宋体"/>
          <w:bCs w:val="0"/>
          <w:szCs w:val="21"/>
          <w:highlight w:val="none"/>
          <w:lang w:val="en-US" w:eastAsia="zh-CN"/>
        </w:rPr>
        <w:t>附件一：</w:t>
      </w:r>
      <w:r>
        <w:rPr>
          <w:rFonts w:hint="eastAsia" w:ascii="宋体" w:hAnsi="宋体" w:eastAsia="宋体" w:cs="宋体"/>
          <w:bCs w:val="0"/>
          <w:szCs w:val="21"/>
          <w:highlight w:val="none"/>
          <w:lang w:val="en-US"/>
        </w:rPr>
        <w:t>问题澄清通知</w:t>
      </w:r>
      <w:r>
        <w:tab/>
      </w:r>
      <w:r>
        <w:fldChar w:fldCharType="begin"/>
      </w:r>
      <w:r>
        <w:instrText xml:space="preserve"> PAGEREF _Toc2041157724 </w:instrText>
      </w:r>
      <w:r>
        <w:fldChar w:fldCharType="separate"/>
      </w:r>
      <w:r>
        <w:t>40</w:t>
      </w:r>
      <w:r>
        <w:fldChar w:fldCharType="end"/>
      </w:r>
      <w:r>
        <w:rPr>
          <w:rFonts w:hint="eastAsia"/>
          <w:color w:val="auto"/>
          <w:highlight w:val="none"/>
        </w:rPr>
        <w:fldChar w:fldCharType="end"/>
      </w:r>
    </w:p>
    <w:p w14:paraId="41507F7A">
      <w:pPr>
        <w:pStyle w:val="21"/>
        <w:tabs>
          <w:tab w:val="right" w:leader="dot" w:pos="9638"/>
        </w:tabs>
      </w:pPr>
      <w:r>
        <w:rPr>
          <w:rFonts w:hint="eastAsia"/>
          <w:color w:val="auto"/>
          <w:highlight w:val="none"/>
        </w:rPr>
        <w:fldChar w:fldCharType="begin"/>
      </w:r>
      <w:r>
        <w:rPr>
          <w:rFonts w:hint="eastAsia"/>
          <w:highlight w:val="none"/>
        </w:rPr>
        <w:instrText xml:space="preserve"> HYPERLINK \l _Toc515414628 </w:instrText>
      </w:r>
      <w:r>
        <w:rPr>
          <w:rFonts w:hint="eastAsia"/>
          <w:highlight w:val="none"/>
        </w:rPr>
        <w:fldChar w:fldCharType="separate"/>
      </w:r>
      <w:r>
        <w:rPr>
          <w:rFonts w:hint="eastAsia" w:ascii="宋体" w:hAnsi="宋体" w:eastAsia="宋体" w:cs="宋体"/>
          <w:bCs w:val="0"/>
          <w:szCs w:val="21"/>
          <w:highlight w:val="none"/>
          <w:lang w:val="en-US" w:eastAsia="zh-CN"/>
        </w:rPr>
        <w:t>附件二：</w:t>
      </w:r>
      <w:r>
        <w:rPr>
          <w:rFonts w:hint="eastAsia" w:ascii="宋体" w:hAnsi="宋体" w:eastAsia="宋体" w:cs="宋体"/>
          <w:bCs w:val="0"/>
          <w:szCs w:val="21"/>
          <w:highlight w:val="none"/>
        </w:rPr>
        <w:t>问题的澄清</w:t>
      </w:r>
      <w:r>
        <w:tab/>
      </w:r>
      <w:r>
        <w:fldChar w:fldCharType="begin"/>
      </w:r>
      <w:r>
        <w:instrText xml:space="preserve"> PAGEREF _Toc515414628 </w:instrText>
      </w:r>
      <w:r>
        <w:fldChar w:fldCharType="separate"/>
      </w:r>
      <w:r>
        <w:t>41</w:t>
      </w:r>
      <w:r>
        <w:fldChar w:fldCharType="end"/>
      </w:r>
      <w:r>
        <w:rPr>
          <w:rFonts w:hint="eastAsia"/>
          <w:color w:val="auto"/>
          <w:highlight w:val="none"/>
        </w:rPr>
        <w:fldChar w:fldCharType="end"/>
      </w:r>
    </w:p>
    <w:p w14:paraId="0FECAEE5">
      <w:pPr>
        <w:pStyle w:val="20"/>
        <w:tabs>
          <w:tab w:val="right" w:leader="dot" w:pos="9638"/>
        </w:tabs>
      </w:pPr>
      <w:r>
        <w:rPr>
          <w:rFonts w:hint="eastAsia"/>
          <w:color w:val="auto"/>
          <w:highlight w:val="none"/>
        </w:rPr>
        <w:fldChar w:fldCharType="begin"/>
      </w:r>
      <w:r>
        <w:rPr>
          <w:rFonts w:hint="eastAsia"/>
          <w:highlight w:val="none"/>
        </w:rPr>
        <w:instrText xml:space="preserve"> HYPERLINK \l _Toc621706957 </w:instrText>
      </w:r>
      <w:r>
        <w:rPr>
          <w:rFonts w:hint="eastAsia"/>
          <w:highlight w:val="none"/>
        </w:rPr>
        <w:fldChar w:fldCharType="separate"/>
      </w:r>
      <w:r>
        <w:rPr>
          <w:rFonts w:hint="eastAsia"/>
          <w:highlight w:val="none"/>
          <w:lang w:val="en-US" w:eastAsia="zh-CN"/>
        </w:rPr>
        <w:t>第三章 评标办法、定标规则</w:t>
      </w:r>
      <w:r>
        <w:tab/>
      </w:r>
      <w:r>
        <w:fldChar w:fldCharType="begin"/>
      </w:r>
      <w:r>
        <w:instrText xml:space="preserve"> PAGEREF _Toc621706957 </w:instrText>
      </w:r>
      <w:r>
        <w:fldChar w:fldCharType="separate"/>
      </w:r>
      <w:r>
        <w:t>42</w:t>
      </w:r>
      <w:r>
        <w:fldChar w:fldCharType="end"/>
      </w:r>
      <w:r>
        <w:rPr>
          <w:rFonts w:hint="eastAsia"/>
          <w:color w:val="auto"/>
          <w:highlight w:val="none"/>
        </w:rPr>
        <w:fldChar w:fldCharType="end"/>
      </w:r>
    </w:p>
    <w:p w14:paraId="20391B1E">
      <w:pPr>
        <w:pStyle w:val="21"/>
        <w:tabs>
          <w:tab w:val="right" w:leader="dot" w:pos="9638"/>
        </w:tabs>
      </w:pPr>
      <w:r>
        <w:rPr>
          <w:rFonts w:hint="eastAsia"/>
          <w:color w:val="auto"/>
          <w:highlight w:val="none"/>
        </w:rPr>
        <w:fldChar w:fldCharType="begin"/>
      </w:r>
      <w:r>
        <w:rPr>
          <w:rFonts w:hint="eastAsia"/>
          <w:highlight w:val="none"/>
        </w:rPr>
        <w:instrText xml:space="preserve"> HYPERLINK \l _Toc1137785721 </w:instrText>
      </w:r>
      <w:r>
        <w:rPr>
          <w:rFonts w:hint="eastAsia"/>
          <w:highlight w:val="none"/>
        </w:rPr>
        <w:fldChar w:fldCharType="separate"/>
      </w:r>
      <w:r>
        <w:rPr>
          <w:rFonts w:hint="eastAsia"/>
          <w:highlight w:val="none"/>
          <w:lang w:val="en-US" w:eastAsia="zh-CN"/>
        </w:rPr>
        <w:t>第一部分 评标办法</w:t>
      </w:r>
      <w:r>
        <w:tab/>
      </w:r>
      <w:r>
        <w:fldChar w:fldCharType="begin"/>
      </w:r>
      <w:r>
        <w:instrText xml:space="preserve"> PAGEREF _Toc1137785721 </w:instrText>
      </w:r>
      <w:r>
        <w:fldChar w:fldCharType="separate"/>
      </w:r>
      <w:r>
        <w:t>42</w:t>
      </w:r>
      <w:r>
        <w:fldChar w:fldCharType="end"/>
      </w:r>
      <w:r>
        <w:rPr>
          <w:rFonts w:hint="eastAsia"/>
          <w:color w:val="auto"/>
          <w:highlight w:val="none"/>
        </w:rPr>
        <w:fldChar w:fldCharType="end"/>
      </w:r>
    </w:p>
    <w:p w14:paraId="4A62C582">
      <w:pPr>
        <w:pStyle w:val="21"/>
        <w:tabs>
          <w:tab w:val="right" w:leader="dot" w:pos="9638"/>
        </w:tabs>
      </w:pPr>
      <w:r>
        <w:rPr>
          <w:rFonts w:hint="eastAsia"/>
          <w:color w:val="auto"/>
          <w:highlight w:val="none"/>
        </w:rPr>
        <w:fldChar w:fldCharType="begin"/>
      </w:r>
      <w:r>
        <w:rPr>
          <w:rFonts w:hint="eastAsia"/>
          <w:highlight w:val="none"/>
        </w:rPr>
        <w:instrText xml:space="preserve"> HYPERLINK \l _Toc2145685048 </w:instrText>
      </w:r>
      <w:r>
        <w:rPr>
          <w:rFonts w:hint="eastAsia"/>
          <w:highlight w:val="none"/>
        </w:rPr>
        <w:fldChar w:fldCharType="separate"/>
      </w:r>
      <w:r>
        <w:rPr>
          <w:rFonts w:hint="default" w:ascii="宋体" w:hAnsi="宋体" w:cs="宋体"/>
          <w:szCs w:val="21"/>
          <w:highlight w:val="none"/>
          <w:lang w:val="en-US" w:eastAsia="zh-CN"/>
        </w:rPr>
        <w:t>评标办法前附表</w:t>
      </w:r>
      <w:r>
        <w:tab/>
      </w:r>
      <w:r>
        <w:fldChar w:fldCharType="begin"/>
      </w:r>
      <w:r>
        <w:instrText xml:space="preserve"> PAGEREF _Toc2145685048 </w:instrText>
      </w:r>
      <w:r>
        <w:fldChar w:fldCharType="separate"/>
      </w:r>
      <w:r>
        <w:t>42</w:t>
      </w:r>
      <w:r>
        <w:fldChar w:fldCharType="end"/>
      </w:r>
      <w:r>
        <w:rPr>
          <w:rFonts w:hint="eastAsia"/>
          <w:color w:val="auto"/>
          <w:highlight w:val="none"/>
        </w:rPr>
        <w:fldChar w:fldCharType="end"/>
      </w:r>
    </w:p>
    <w:p w14:paraId="219A5B2A">
      <w:pPr>
        <w:pStyle w:val="21"/>
        <w:tabs>
          <w:tab w:val="right" w:leader="dot" w:pos="9638"/>
        </w:tabs>
      </w:pPr>
      <w:r>
        <w:rPr>
          <w:rFonts w:hint="eastAsia"/>
          <w:color w:val="auto"/>
          <w:highlight w:val="none"/>
        </w:rPr>
        <w:fldChar w:fldCharType="begin"/>
      </w:r>
      <w:r>
        <w:rPr>
          <w:rFonts w:hint="eastAsia"/>
          <w:highlight w:val="none"/>
        </w:rPr>
        <w:instrText xml:space="preserve"> HYPERLINK \l _Toc924747936 </w:instrText>
      </w:r>
      <w:r>
        <w:rPr>
          <w:rFonts w:hint="eastAsia"/>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 评标办法</w:t>
      </w:r>
      <w:r>
        <w:tab/>
      </w:r>
      <w:r>
        <w:fldChar w:fldCharType="begin"/>
      </w:r>
      <w:r>
        <w:instrText xml:space="preserve"> PAGEREF _Toc924747936 </w:instrText>
      </w:r>
      <w:r>
        <w:fldChar w:fldCharType="separate"/>
      </w:r>
      <w:r>
        <w:t>44</w:t>
      </w:r>
      <w:r>
        <w:fldChar w:fldCharType="end"/>
      </w:r>
      <w:r>
        <w:rPr>
          <w:rFonts w:hint="eastAsia"/>
          <w:color w:val="auto"/>
          <w:highlight w:val="none"/>
        </w:rPr>
        <w:fldChar w:fldCharType="end"/>
      </w:r>
    </w:p>
    <w:p w14:paraId="09D33CB4">
      <w:pPr>
        <w:pStyle w:val="21"/>
        <w:tabs>
          <w:tab w:val="right" w:leader="dot" w:pos="9638"/>
        </w:tabs>
      </w:pPr>
      <w:r>
        <w:rPr>
          <w:rFonts w:hint="eastAsia"/>
          <w:color w:val="auto"/>
          <w:highlight w:val="none"/>
        </w:rPr>
        <w:fldChar w:fldCharType="begin"/>
      </w:r>
      <w:r>
        <w:rPr>
          <w:rFonts w:hint="eastAsia"/>
          <w:highlight w:val="none"/>
        </w:rPr>
        <w:instrText xml:space="preserve"> HYPERLINK \l _Toc400419735 </w:instrText>
      </w:r>
      <w:r>
        <w:rPr>
          <w:rFonts w:hint="eastAsia"/>
          <w:highlight w:val="none"/>
        </w:rPr>
        <w:fldChar w:fldCharType="separate"/>
      </w:r>
      <w:r>
        <w:rPr>
          <w:rFonts w:hint="eastAsia" w:ascii="宋体" w:hAnsi="宋体" w:cs="宋体"/>
          <w:highlight w:val="none"/>
          <w:lang w:val="en-US" w:eastAsia="zh-CN"/>
        </w:rPr>
        <w:t>2. 评审标准</w:t>
      </w:r>
      <w:r>
        <w:tab/>
      </w:r>
      <w:r>
        <w:fldChar w:fldCharType="begin"/>
      </w:r>
      <w:r>
        <w:instrText xml:space="preserve"> PAGEREF _Toc400419735 </w:instrText>
      </w:r>
      <w:r>
        <w:fldChar w:fldCharType="separate"/>
      </w:r>
      <w:r>
        <w:t>44</w:t>
      </w:r>
      <w:r>
        <w:fldChar w:fldCharType="end"/>
      </w:r>
      <w:r>
        <w:rPr>
          <w:rFonts w:hint="eastAsia"/>
          <w:color w:val="auto"/>
          <w:highlight w:val="none"/>
        </w:rPr>
        <w:fldChar w:fldCharType="end"/>
      </w:r>
    </w:p>
    <w:p w14:paraId="18FCAC7C">
      <w:pPr>
        <w:pStyle w:val="21"/>
        <w:tabs>
          <w:tab w:val="right" w:leader="dot" w:pos="9638"/>
        </w:tabs>
      </w:pPr>
      <w:r>
        <w:rPr>
          <w:rFonts w:hint="eastAsia"/>
          <w:color w:val="auto"/>
          <w:highlight w:val="none"/>
        </w:rPr>
        <w:fldChar w:fldCharType="begin"/>
      </w:r>
      <w:r>
        <w:rPr>
          <w:rFonts w:hint="eastAsia"/>
          <w:highlight w:val="none"/>
        </w:rPr>
        <w:instrText xml:space="preserve"> HYPERLINK \l _Toc215129057 </w:instrText>
      </w:r>
      <w:r>
        <w:rPr>
          <w:rFonts w:hint="eastAsia"/>
          <w:highlight w:val="none"/>
        </w:rPr>
        <w:fldChar w:fldCharType="separate"/>
      </w:r>
      <w:r>
        <w:rPr>
          <w:rFonts w:hint="eastAsia" w:ascii="宋体" w:hAnsi="宋体" w:eastAsia="宋体" w:cs="宋体"/>
          <w:bCs/>
          <w:highlight w:val="none"/>
          <w:lang w:val="en-US" w:eastAsia="zh-CN"/>
        </w:rPr>
        <w:t>3. 评标准备</w:t>
      </w:r>
      <w:r>
        <w:tab/>
      </w:r>
      <w:r>
        <w:fldChar w:fldCharType="begin"/>
      </w:r>
      <w:r>
        <w:instrText xml:space="preserve"> PAGEREF _Toc215129057 </w:instrText>
      </w:r>
      <w:r>
        <w:fldChar w:fldCharType="separate"/>
      </w:r>
      <w:r>
        <w:t>44</w:t>
      </w:r>
      <w:r>
        <w:fldChar w:fldCharType="end"/>
      </w:r>
      <w:r>
        <w:rPr>
          <w:rFonts w:hint="eastAsia"/>
          <w:color w:val="auto"/>
          <w:highlight w:val="none"/>
        </w:rPr>
        <w:fldChar w:fldCharType="end"/>
      </w:r>
    </w:p>
    <w:p w14:paraId="414834CC">
      <w:pPr>
        <w:pStyle w:val="21"/>
        <w:tabs>
          <w:tab w:val="right" w:leader="dot" w:pos="9638"/>
        </w:tabs>
      </w:pPr>
      <w:r>
        <w:rPr>
          <w:rFonts w:hint="eastAsia"/>
          <w:color w:val="auto"/>
          <w:highlight w:val="none"/>
        </w:rPr>
        <w:fldChar w:fldCharType="begin"/>
      </w:r>
      <w:r>
        <w:rPr>
          <w:rFonts w:hint="eastAsia"/>
          <w:highlight w:val="none"/>
        </w:rPr>
        <w:instrText xml:space="preserve"> HYPERLINK \l _Toc1091871875 </w:instrText>
      </w:r>
      <w:r>
        <w:rPr>
          <w:rFonts w:hint="eastAsia"/>
          <w:highlight w:val="none"/>
        </w:rPr>
        <w:fldChar w:fldCharType="separate"/>
      </w:r>
      <w:r>
        <w:rPr>
          <w:rFonts w:hint="eastAsia" w:ascii="宋体" w:hAnsi="宋体" w:eastAsia="宋体" w:cs="宋体"/>
          <w:bCs/>
          <w:highlight w:val="none"/>
          <w:lang w:val="en-US" w:eastAsia="zh-CN"/>
        </w:rPr>
        <w:t>4. 评标程序（定性评审）</w:t>
      </w:r>
      <w:r>
        <w:tab/>
      </w:r>
      <w:r>
        <w:fldChar w:fldCharType="begin"/>
      </w:r>
      <w:r>
        <w:instrText xml:space="preserve"> PAGEREF _Toc1091871875 </w:instrText>
      </w:r>
      <w:r>
        <w:fldChar w:fldCharType="separate"/>
      </w:r>
      <w:r>
        <w:t>45</w:t>
      </w:r>
      <w:r>
        <w:fldChar w:fldCharType="end"/>
      </w:r>
      <w:r>
        <w:rPr>
          <w:rFonts w:hint="eastAsia"/>
          <w:color w:val="auto"/>
          <w:highlight w:val="none"/>
        </w:rPr>
        <w:fldChar w:fldCharType="end"/>
      </w:r>
    </w:p>
    <w:p w14:paraId="2B6B36E8">
      <w:pPr>
        <w:pStyle w:val="21"/>
        <w:tabs>
          <w:tab w:val="right" w:leader="dot" w:pos="9638"/>
        </w:tabs>
      </w:pPr>
      <w:r>
        <w:rPr>
          <w:rFonts w:hint="eastAsia"/>
          <w:color w:val="auto"/>
          <w:highlight w:val="none"/>
        </w:rPr>
        <w:fldChar w:fldCharType="begin"/>
      </w:r>
      <w:r>
        <w:rPr>
          <w:rFonts w:hint="eastAsia"/>
          <w:highlight w:val="none"/>
        </w:rPr>
        <w:instrText xml:space="preserve"> HYPERLINK \l _Toc340080924 </w:instrText>
      </w:r>
      <w:r>
        <w:rPr>
          <w:rFonts w:hint="eastAsia"/>
          <w:highlight w:val="none"/>
        </w:rPr>
        <w:fldChar w:fldCharType="separate"/>
      </w:r>
      <w:r>
        <w:rPr>
          <w:rFonts w:hint="eastAsia" w:ascii="宋体" w:hAnsi="宋体" w:eastAsia="宋体" w:cs="宋体"/>
          <w:szCs w:val="21"/>
          <w:highlight w:val="none"/>
          <w:lang w:val="en-US" w:eastAsia="zh-CN"/>
        </w:rPr>
        <w:t>5. 评标程序（定量评审）</w:t>
      </w:r>
      <w:r>
        <w:tab/>
      </w:r>
      <w:r>
        <w:fldChar w:fldCharType="begin"/>
      </w:r>
      <w:r>
        <w:instrText xml:space="preserve"> PAGEREF _Toc340080924 </w:instrText>
      </w:r>
      <w:r>
        <w:fldChar w:fldCharType="separate"/>
      </w:r>
      <w:r>
        <w:t>47</w:t>
      </w:r>
      <w:r>
        <w:fldChar w:fldCharType="end"/>
      </w:r>
      <w:r>
        <w:rPr>
          <w:rFonts w:hint="eastAsia"/>
          <w:color w:val="auto"/>
          <w:highlight w:val="none"/>
        </w:rPr>
        <w:fldChar w:fldCharType="end"/>
      </w:r>
    </w:p>
    <w:p w14:paraId="2D52502E">
      <w:pPr>
        <w:pStyle w:val="21"/>
        <w:tabs>
          <w:tab w:val="right" w:leader="dot" w:pos="9638"/>
        </w:tabs>
      </w:pPr>
      <w:r>
        <w:rPr>
          <w:rFonts w:hint="eastAsia"/>
          <w:color w:val="auto"/>
          <w:highlight w:val="none"/>
        </w:rPr>
        <w:fldChar w:fldCharType="begin"/>
      </w:r>
      <w:r>
        <w:rPr>
          <w:rFonts w:hint="eastAsia"/>
          <w:highlight w:val="none"/>
        </w:rPr>
        <w:instrText xml:space="preserve"> HYPERLINK \l _Toc1355413450 </w:instrText>
      </w:r>
      <w:r>
        <w:rPr>
          <w:rFonts w:hint="eastAsia"/>
          <w:highlight w:val="none"/>
        </w:rPr>
        <w:fldChar w:fldCharType="separate"/>
      </w:r>
      <w:r>
        <w:rPr>
          <w:rFonts w:hint="eastAsia" w:ascii="宋体" w:hAnsi="宋体" w:eastAsia="宋体" w:cs="宋体"/>
          <w:bCs/>
          <w:highlight w:val="none"/>
          <w:lang w:val="en-US" w:eastAsia="zh-CN"/>
        </w:rPr>
        <w:t>6. 投标文件的评审</w:t>
      </w:r>
      <w:r>
        <w:tab/>
      </w:r>
      <w:r>
        <w:fldChar w:fldCharType="begin"/>
      </w:r>
      <w:r>
        <w:instrText xml:space="preserve"> PAGEREF _Toc1355413450 </w:instrText>
      </w:r>
      <w:r>
        <w:fldChar w:fldCharType="separate"/>
      </w:r>
      <w:r>
        <w:t>49</w:t>
      </w:r>
      <w:r>
        <w:fldChar w:fldCharType="end"/>
      </w:r>
      <w:r>
        <w:rPr>
          <w:rFonts w:hint="eastAsia"/>
          <w:color w:val="auto"/>
          <w:highlight w:val="none"/>
        </w:rPr>
        <w:fldChar w:fldCharType="end"/>
      </w:r>
    </w:p>
    <w:p w14:paraId="561B14E1">
      <w:pPr>
        <w:pStyle w:val="21"/>
        <w:tabs>
          <w:tab w:val="right" w:leader="dot" w:pos="9638"/>
        </w:tabs>
      </w:pPr>
      <w:r>
        <w:rPr>
          <w:rFonts w:hint="eastAsia"/>
          <w:color w:val="auto"/>
          <w:highlight w:val="none"/>
        </w:rPr>
        <w:fldChar w:fldCharType="begin"/>
      </w:r>
      <w:r>
        <w:rPr>
          <w:rFonts w:hint="eastAsia"/>
          <w:highlight w:val="none"/>
        </w:rPr>
        <w:instrText xml:space="preserve"> HYPERLINK \l _Toc1546823421 </w:instrText>
      </w:r>
      <w:r>
        <w:rPr>
          <w:rFonts w:hint="eastAsia"/>
          <w:highlight w:val="none"/>
        </w:rPr>
        <w:fldChar w:fldCharType="separate"/>
      </w:r>
      <w:r>
        <w:rPr>
          <w:rFonts w:hint="eastAsia" w:ascii="宋体" w:hAnsi="宋体" w:eastAsia="宋体" w:cs="宋体"/>
          <w:bCs/>
          <w:highlight w:val="none"/>
          <w:lang w:val="en-US" w:eastAsia="zh-CN"/>
        </w:rPr>
        <w:t>7.</w:t>
      </w:r>
      <w:r>
        <w:rPr>
          <w:rFonts w:hint="eastAsia" w:ascii="宋体" w:hAnsi="宋体" w:cs="宋体"/>
          <w:bCs/>
          <w:highlight w:val="none"/>
          <w:lang w:val="en-US" w:eastAsia="zh-CN"/>
        </w:rPr>
        <w:t xml:space="preserve"> </w:t>
      </w:r>
      <w:r>
        <w:rPr>
          <w:rFonts w:hint="eastAsia" w:ascii="宋体" w:hAnsi="宋体" w:eastAsia="宋体" w:cs="宋体"/>
          <w:bCs/>
          <w:highlight w:val="none"/>
          <w:lang w:val="en-US" w:eastAsia="zh-CN"/>
        </w:rPr>
        <w:t>投标文件的澄清</w:t>
      </w:r>
      <w:r>
        <w:tab/>
      </w:r>
      <w:r>
        <w:fldChar w:fldCharType="begin"/>
      </w:r>
      <w:r>
        <w:instrText xml:space="preserve"> PAGEREF _Toc1546823421 </w:instrText>
      </w:r>
      <w:r>
        <w:fldChar w:fldCharType="separate"/>
      </w:r>
      <w:r>
        <w:t>49</w:t>
      </w:r>
      <w:r>
        <w:fldChar w:fldCharType="end"/>
      </w:r>
      <w:r>
        <w:rPr>
          <w:rFonts w:hint="eastAsia"/>
          <w:color w:val="auto"/>
          <w:highlight w:val="none"/>
        </w:rPr>
        <w:fldChar w:fldCharType="end"/>
      </w:r>
    </w:p>
    <w:p w14:paraId="6BDEA529">
      <w:pPr>
        <w:pStyle w:val="21"/>
        <w:tabs>
          <w:tab w:val="right" w:leader="dot" w:pos="9638"/>
        </w:tabs>
      </w:pPr>
      <w:r>
        <w:rPr>
          <w:rFonts w:hint="eastAsia"/>
          <w:color w:val="auto"/>
          <w:highlight w:val="none"/>
        </w:rPr>
        <w:fldChar w:fldCharType="begin"/>
      </w:r>
      <w:r>
        <w:rPr>
          <w:rFonts w:hint="eastAsia"/>
          <w:highlight w:val="none"/>
        </w:rPr>
        <w:instrText xml:space="preserve"> HYPERLINK \l _Toc10658850 </w:instrText>
      </w:r>
      <w:r>
        <w:rPr>
          <w:rFonts w:hint="eastAsia"/>
          <w:highlight w:val="none"/>
        </w:rPr>
        <w:fldChar w:fldCharType="separate"/>
      </w:r>
      <w:r>
        <w:rPr>
          <w:rFonts w:hint="eastAsia" w:ascii="宋体" w:hAnsi="宋体" w:cs="宋体"/>
          <w:bCs/>
          <w:highlight w:val="none"/>
          <w:lang w:val="en-US" w:eastAsia="zh-CN"/>
        </w:rPr>
        <w:t>8</w:t>
      </w:r>
      <w:r>
        <w:rPr>
          <w:rFonts w:hint="eastAsia" w:ascii="宋体" w:hAnsi="宋体" w:eastAsia="宋体" w:cs="宋体"/>
          <w:bCs/>
          <w:highlight w:val="none"/>
          <w:lang w:val="en-US" w:eastAsia="zh-CN"/>
        </w:rPr>
        <w:t>. 特殊情况的处置程序</w:t>
      </w:r>
      <w:r>
        <w:tab/>
      </w:r>
      <w:r>
        <w:fldChar w:fldCharType="begin"/>
      </w:r>
      <w:r>
        <w:instrText xml:space="preserve"> PAGEREF _Toc10658850 </w:instrText>
      </w:r>
      <w:r>
        <w:fldChar w:fldCharType="separate"/>
      </w:r>
      <w:r>
        <w:t>50</w:t>
      </w:r>
      <w:r>
        <w:fldChar w:fldCharType="end"/>
      </w:r>
      <w:r>
        <w:rPr>
          <w:rFonts w:hint="eastAsia"/>
          <w:color w:val="auto"/>
          <w:highlight w:val="none"/>
        </w:rPr>
        <w:fldChar w:fldCharType="end"/>
      </w:r>
    </w:p>
    <w:p w14:paraId="5C838EBA">
      <w:pPr>
        <w:pStyle w:val="21"/>
        <w:tabs>
          <w:tab w:val="right" w:leader="dot" w:pos="9638"/>
        </w:tabs>
      </w:pPr>
      <w:r>
        <w:rPr>
          <w:rFonts w:hint="eastAsia"/>
          <w:color w:val="auto"/>
          <w:highlight w:val="none"/>
        </w:rPr>
        <w:fldChar w:fldCharType="begin"/>
      </w:r>
      <w:r>
        <w:rPr>
          <w:rFonts w:hint="eastAsia"/>
          <w:highlight w:val="none"/>
        </w:rPr>
        <w:instrText xml:space="preserve"> HYPERLINK \l _Toc239595712 </w:instrText>
      </w:r>
      <w:r>
        <w:rPr>
          <w:rFonts w:hint="eastAsia"/>
          <w:highlight w:val="none"/>
        </w:rPr>
        <w:fldChar w:fldCharType="separate"/>
      </w:r>
      <w:r>
        <w:rPr>
          <w:rFonts w:hint="eastAsia"/>
          <w:highlight w:val="none"/>
          <w:lang w:val="en-US" w:eastAsia="zh-CN"/>
        </w:rPr>
        <w:t>第二部分 定标规则</w:t>
      </w:r>
      <w:r>
        <w:tab/>
      </w:r>
      <w:r>
        <w:fldChar w:fldCharType="begin"/>
      </w:r>
      <w:r>
        <w:instrText xml:space="preserve"> PAGEREF _Toc239595712 </w:instrText>
      </w:r>
      <w:r>
        <w:fldChar w:fldCharType="separate"/>
      </w:r>
      <w:r>
        <w:t>50</w:t>
      </w:r>
      <w:r>
        <w:fldChar w:fldCharType="end"/>
      </w:r>
      <w:r>
        <w:rPr>
          <w:rFonts w:hint="eastAsia"/>
          <w:color w:val="auto"/>
          <w:highlight w:val="none"/>
        </w:rPr>
        <w:fldChar w:fldCharType="end"/>
      </w:r>
    </w:p>
    <w:p w14:paraId="074DA30E">
      <w:pPr>
        <w:pStyle w:val="21"/>
        <w:tabs>
          <w:tab w:val="right" w:leader="dot" w:pos="9638"/>
        </w:tabs>
      </w:pPr>
      <w:r>
        <w:rPr>
          <w:rFonts w:hint="eastAsia"/>
          <w:color w:val="auto"/>
          <w:highlight w:val="none"/>
        </w:rPr>
        <w:fldChar w:fldCharType="begin"/>
      </w:r>
      <w:r>
        <w:rPr>
          <w:rFonts w:hint="eastAsia"/>
          <w:highlight w:val="none"/>
        </w:rPr>
        <w:instrText xml:space="preserve"> HYPERLINK \l _Toc124039588 </w:instrText>
      </w:r>
      <w:r>
        <w:rPr>
          <w:rFonts w:hint="eastAsia"/>
          <w:highlight w:val="none"/>
        </w:rPr>
        <w:fldChar w:fldCharType="separate"/>
      </w:r>
      <w:r>
        <w:rPr>
          <w:rFonts w:hint="eastAsia" w:ascii="宋体" w:hAnsi="宋体" w:cs="宋体"/>
          <w:highlight w:val="none"/>
          <w:lang w:val="en-US" w:eastAsia="zh-CN"/>
        </w:rPr>
        <w:t>1. 定标办法</w:t>
      </w:r>
      <w:r>
        <w:tab/>
      </w:r>
      <w:r>
        <w:fldChar w:fldCharType="begin"/>
      </w:r>
      <w:r>
        <w:instrText xml:space="preserve"> PAGEREF _Toc124039588 </w:instrText>
      </w:r>
      <w:r>
        <w:fldChar w:fldCharType="separate"/>
      </w:r>
      <w:r>
        <w:t>50</w:t>
      </w:r>
      <w:r>
        <w:fldChar w:fldCharType="end"/>
      </w:r>
      <w:r>
        <w:rPr>
          <w:rFonts w:hint="eastAsia"/>
          <w:color w:val="auto"/>
          <w:highlight w:val="none"/>
        </w:rPr>
        <w:fldChar w:fldCharType="end"/>
      </w:r>
    </w:p>
    <w:p w14:paraId="00A45E9F">
      <w:pPr>
        <w:pStyle w:val="21"/>
        <w:tabs>
          <w:tab w:val="right" w:leader="dot" w:pos="9638"/>
        </w:tabs>
      </w:pPr>
      <w:r>
        <w:rPr>
          <w:rFonts w:hint="eastAsia"/>
          <w:color w:val="auto"/>
          <w:highlight w:val="none"/>
        </w:rPr>
        <w:fldChar w:fldCharType="begin"/>
      </w:r>
      <w:r>
        <w:rPr>
          <w:rFonts w:hint="eastAsia"/>
          <w:highlight w:val="none"/>
        </w:rPr>
        <w:instrText xml:space="preserve"> HYPERLINK \l _Toc1088260853 </w:instrText>
      </w:r>
      <w:r>
        <w:rPr>
          <w:rFonts w:hint="eastAsia"/>
          <w:highlight w:val="none"/>
        </w:rPr>
        <w:fldChar w:fldCharType="separate"/>
      </w:r>
      <w:r>
        <w:rPr>
          <w:rFonts w:hint="eastAsia" w:ascii="宋体" w:hAnsi="宋体" w:eastAsia="宋体" w:cs="宋体"/>
          <w:bCs/>
          <w:highlight w:val="none"/>
          <w:lang w:val="en-US" w:eastAsia="zh-CN"/>
        </w:rPr>
        <w:t>2. 定标因素</w:t>
      </w:r>
      <w:r>
        <w:tab/>
      </w:r>
      <w:r>
        <w:fldChar w:fldCharType="begin"/>
      </w:r>
      <w:r>
        <w:instrText xml:space="preserve"> PAGEREF _Toc1088260853 </w:instrText>
      </w:r>
      <w:r>
        <w:fldChar w:fldCharType="separate"/>
      </w:r>
      <w:r>
        <w:t>51</w:t>
      </w:r>
      <w:r>
        <w:fldChar w:fldCharType="end"/>
      </w:r>
      <w:r>
        <w:rPr>
          <w:rFonts w:hint="eastAsia"/>
          <w:color w:val="auto"/>
          <w:highlight w:val="none"/>
        </w:rPr>
        <w:fldChar w:fldCharType="end"/>
      </w:r>
    </w:p>
    <w:p w14:paraId="3D192861">
      <w:pPr>
        <w:pStyle w:val="21"/>
        <w:tabs>
          <w:tab w:val="right" w:leader="dot" w:pos="9638"/>
        </w:tabs>
      </w:pPr>
      <w:r>
        <w:rPr>
          <w:rFonts w:hint="eastAsia"/>
          <w:color w:val="auto"/>
          <w:highlight w:val="none"/>
        </w:rPr>
        <w:fldChar w:fldCharType="begin"/>
      </w:r>
      <w:r>
        <w:rPr>
          <w:rFonts w:hint="eastAsia"/>
          <w:highlight w:val="none"/>
        </w:rPr>
        <w:instrText xml:space="preserve"> HYPERLINK \l _Toc620822594 </w:instrText>
      </w:r>
      <w:r>
        <w:rPr>
          <w:rFonts w:hint="eastAsia"/>
          <w:highlight w:val="none"/>
        </w:rPr>
        <w:fldChar w:fldCharType="separate"/>
      </w:r>
      <w:r>
        <w:rPr>
          <w:rFonts w:hint="eastAsia" w:ascii="宋体" w:hAnsi="宋体" w:cs="宋体"/>
          <w:bCs/>
          <w:highlight w:val="none"/>
          <w:lang w:val="en-US" w:eastAsia="zh-CN"/>
        </w:rPr>
        <w:t>3. 定标程序</w:t>
      </w:r>
      <w:r>
        <w:tab/>
      </w:r>
      <w:r>
        <w:fldChar w:fldCharType="begin"/>
      </w:r>
      <w:r>
        <w:instrText xml:space="preserve"> PAGEREF _Toc620822594 </w:instrText>
      </w:r>
      <w:r>
        <w:fldChar w:fldCharType="separate"/>
      </w:r>
      <w:r>
        <w:t>52</w:t>
      </w:r>
      <w:r>
        <w:fldChar w:fldCharType="end"/>
      </w:r>
      <w:r>
        <w:rPr>
          <w:rFonts w:hint="eastAsia"/>
          <w:color w:val="auto"/>
          <w:highlight w:val="none"/>
        </w:rPr>
        <w:fldChar w:fldCharType="end"/>
      </w:r>
    </w:p>
    <w:p w14:paraId="038257CF">
      <w:pPr>
        <w:pStyle w:val="21"/>
        <w:tabs>
          <w:tab w:val="right" w:leader="dot" w:pos="9638"/>
        </w:tabs>
      </w:pPr>
      <w:r>
        <w:rPr>
          <w:rFonts w:hint="eastAsia"/>
          <w:color w:val="auto"/>
          <w:highlight w:val="none"/>
        </w:rPr>
        <w:fldChar w:fldCharType="begin"/>
      </w:r>
      <w:r>
        <w:rPr>
          <w:rFonts w:hint="eastAsia"/>
          <w:highlight w:val="none"/>
        </w:rPr>
        <w:instrText xml:space="preserve"> HYPERLINK \l _Toc2034328012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一</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技术标详细评审标准</w:t>
      </w:r>
      <w:r>
        <w:rPr>
          <w:rFonts w:hint="eastAsia" w:ascii="宋体" w:hAnsi="宋体" w:eastAsia="宋体" w:cs="宋体"/>
          <w:bCs w:val="0"/>
          <w:szCs w:val="21"/>
          <w:highlight w:val="none"/>
          <w:lang w:val="en-US" w:eastAsia="zh-CN"/>
        </w:rPr>
        <w:t>（适用于采用定性评审的项目）</w:t>
      </w:r>
      <w:r>
        <w:tab/>
      </w:r>
      <w:r>
        <w:fldChar w:fldCharType="begin"/>
      </w:r>
      <w:r>
        <w:instrText xml:space="preserve"> PAGEREF _Toc2034328012 </w:instrText>
      </w:r>
      <w:r>
        <w:fldChar w:fldCharType="separate"/>
      </w:r>
      <w:r>
        <w:t>53</w:t>
      </w:r>
      <w:r>
        <w:fldChar w:fldCharType="end"/>
      </w:r>
      <w:r>
        <w:rPr>
          <w:rFonts w:hint="eastAsia"/>
          <w:color w:val="auto"/>
          <w:highlight w:val="none"/>
        </w:rPr>
        <w:fldChar w:fldCharType="end"/>
      </w:r>
    </w:p>
    <w:p w14:paraId="427F68FC">
      <w:pPr>
        <w:pStyle w:val="21"/>
        <w:tabs>
          <w:tab w:val="right" w:leader="dot" w:pos="9638"/>
        </w:tabs>
      </w:pPr>
      <w:r>
        <w:rPr>
          <w:rFonts w:hint="eastAsia"/>
          <w:color w:val="auto"/>
          <w:highlight w:val="none"/>
        </w:rPr>
        <w:fldChar w:fldCharType="begin"/>
      </w:r>
      <w:r>
        <w:rPr>
          <w:rFonts w:hint="eastAsia"/>
          <w:highlight w:val="none"/>
        </w:rPr>
        <w:instrText xml:space="preserve"> HYPERLINK \l _Toc1655840884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二</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技术标评分标准</w:t>
      </w:r>
      <w:r>
        <w:rPr>
          <w:rFonts w:hint="eastAsia" w:ascii="宋体" w:hAnsi="宋体" w:eastAsia="宋体" w:cs="宋体"/>
          <w:bCs w:val="0"/>
          <w:szCs w:val="21"/>
          <w:highlight w:val="none"/>
          <w:lang w:val="en-US" w:eastAsia="zh-CN"/>
        </w:rPr>
        <w:t>（适用于采用定量评审的项目）</w:t>
      </w:r>
      <w:r>
        <w:tab/>
      </w:r>
      <w:r>
        <w:fldChar w:fldCharType="begin"/>
      </w:r>
      <w:r>
        <w:instrText xml:space="preserve"> PAGEREF _Toc1655840884 </w:instrText>
      </w:r>
      <w:r>
        <w:fldChar w:fldCharType="separate"/>
      </w:r>
      <w:r>
        <w:t>54</w:t>
      </w:r>
      <w:r>
        <w:fldChar w:fldCharType="end"/>
      </w:r>
      <w:r>
        <w:rPr>
          <w:rFonts w:hint="eastAsia"/>
          <w:color w:val="auto"/>
          <w:highlight w:val="none"/>
        </w:rPr>
        <w:fldChar w:fldCharType="end"/>
      </w:r>
    </w:p>
    <w:p w14:paraId="66DCD5D1">
      <w:pPr>
        <w:pStyle w:val="21"/>
        <w:tabs>
          <w:tab w:val="right" w:leader="dot" w:pos="9638"/>
        </w:tabs>
      </w:pPr>
      <w:r>
        <w:rPr>
          <w:rFonts w:hint="eastAsia"/>
          <w:color w:val="auto"/>
          <w:highlight w:val="none"/>
        </w:rPr>
        <w:fldChar w:fldCharType="begin"/>
      </w:r>
      <w:r>
        <w:rPr>
          <w:rFonts w:hint="eastAsia"/>
          <w:highlight w:val="none"/>
        </w:rPr>
        <w:instrText xml:space="preserve"> HYPERLINK \l _Toc1145311324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三</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资信标评分标准</w:t>
      </w:r>
      <w:r>
        <w:rPr>
          <w:rFonts w:hint="eastAsia" w:ascii="宋体" w:hAnsi="宋体" w:cs="宋体"/>
          <w:bCs w:val="0"/>
          <w:szCs w:val="21"/>
          <w:highlight w:val="none"/>
          <w:lang w:eastAsia="zh-CN"/>
        </w:rPr>
        <w:t>（适用于采用定量评审的项目）</w:t>
      </w:r>
      <w:r>
        <w:tab/>
      </w:r>
      <w:r>
        <w:fldChar w:fldCharType="begin"/>
      </w:r>
      <w:r>
        <w:instrText xml:space="preserve"> PAGEREF _Toc1145311324 </w:instrText>
      </w:r>
      <w:r>
        <w:fldChar w:fldCharType="separate"/>
      </w:r>
      <w:r>
        <w:t>55</w:t>
      </w:r>
      <w:r>
        <w:fldChar w:fldCharType="end"/>
      </w:r>
      <w:r>
        <w:rPr>
          <w:rFonts w:hint="eastAsia"/>
          <w:color w:val="auto"/>
          <w:highlight w:val="none"/>
        </w:rPr>
        <w:fldChar w:fldCharType="end"/>
      </w:r>
    </w:p>
    <w:p w14:paraId="43810D9A">
      <w:pPr>
        <w:pStyle w:val="21"/>
        <w:tabs>
          <w:tab w:val="right" w:leader="dot" w:pos="9638"/>
        </w:tabs>
      </w:pPr>
      <w:r>
        <w:rPr>
          <w:rFonts w:hint="eastAsia"/>
          <w:color w:val="auto"/>
          <w:highlight w:val="none"/>
        </w:rPr>
        <w:fldChar w:fldCharType="begin"/>
      </w:r>
      <w:r>
        <w:rPr>
          <w:rFonts w:hint="eastAsia"/>
          <w:highlight w:val="none"/>
        </w:rPr>
        <w:instrText xml:space="preserve"> HYPERLINK \l _Toc1864253486 </w:instrText>
      </w:r>
      <w:r>
        <w:rPr>
          <w:rFonts w:hint="eastAsia"/>
          <w:highlight w:val="none"/>
        </w:rPr>
        <w:fldChar w:fldCharType="separate"/>
      </w:r>
      <w:r>
        <w:rPr>
          <w:rFonts w:hint="eastAsia" w:ascii="宋体" w:hAnsi="宋体" w:cs="宋体"/>
          <w:bCs w:val="0"/>
          <w:szCs w:val="21"/>
          <w:highlight w:val="none"/>
        </w:rPr>
        <w:t>附件</w:t>
      </w:r>
      <w:r>
        <w:rPr>
          <w:rFonts w:hint="eastAsia" w:ascii="宋体" w:hAnsi="宋体" w:eastAsia="宋体" w:cs="宋体"/>
          <w:bCs w:val="0"/>
          <w:szCs w:val="21"/>
          <w:highlight w:val="none"/>
          <w:lang w:eastAsia="zh-CN"/>
        </w:rPr>
        <w:t>四</w:t>
      </w:r>
      <w:r>
        <w:rPr>
          <w:rFonts w:hint="eastAsia" w:ascii="宋体" w:hAnsi="宋体" w:cs="宋体"/>
          <w:bCs w:val="0"/>
          <w:szCs w:val="21"/>
          <w:highlight w:val="none"/>
        </w:rPr>
        <w:t>：</w:t>
      </w:r>
      <w:r>
        <w:rPr>
          <w:rFonts w:hint="eastAsia" w:ascii="宋体" w:hAnsi="宋体" w:eastAsia="宋体" w:cs="宋体"/>
          <w:bCs w:val="0"/>
          <w:szCs w:val="21"/>
          <w:highlight w:val="none"/>
          <w:lang w:eastAsia="zh-CN"/>
        </w:rPr>
        <w:t>经济标评分标准（适用于采用定量评审的项目）</w:t>
      </w:r>
      <w:r>
        <w:tab/>
      </w:r>
      <w:r>
        <w:fldChar w:fldCharType="begin"/>
      </w:r>
      <w:r>
        <w:instrText xml:space="preserve"> PAGEREF _Toc1864253486 </w:instrText>
      </w:r>
      <w:r>
        <w:fldChar w:fldCharType="separate"/>
      </w:r>
      <w:r>
        <w:t>57</w:t>
      </w:r>
      <w:r>
        <w:fldChar w:fldCharType="end"/>
      </w:r>
      <w:r>
        <w:rPr>
          <w:rFonts w:hint="eastAsia"/>
          <w:color w:val="auto"/>
          <w:highlight w:val="none"/>
        </w:rPr>
        <w:fldChar w:fldCharType="end"/>
      </w:r>
    </w:p>
    <w:p w14:paraId="285E6D57">
      <w:pPr>
        <w:pStyle w:val="20"/>
        <w:tabs>
          <w:tab w:val="right" w:leader="dot" w:pos="9638"/>
        </w:tabs>
      </w:pPr>
      <w:r>
        <w:rPr>
          <w:rFonts w:hint="eastAsia"/>
          <w:color w:val="auto"/>
          <w:highlight w:val="none"/>
        </w:rPr>
        <w:fldChar w:fldCharType="begin"/>
      </w:r>
      <w:r>
        <w:rPr>
          <w:rFonts w:hint="eastAsia"/>
          <w:highlight w:val="none"/>
        </w:rPr>
        <w:instrText xml:space="preserve"> HYPERLINK \l _Toc814162403 </w:instrText>
      </w:r>
      <w:r>
        <w:rPr>
          <w:rFonts w:hint="eastAsia"/>
          <w:highlight w:val="none"/>
        </w:rPr>
        <w:fldChar w:fldCharType="separate"/>
      </w:r>
      <w:r>
        <w:rPr>
          <w:rFonts w:hint="eastAsia"/>
          <w:highlight w:val="none"/>
          <w:lang w:val="en-US" w:eastAsia="zh-CN"/>
        </w:rPr>
        <w:t>第四章 合同条款及格式</w:t>
      </w:r>
      <w:r>
        <w:tab/>
      </w:r>
      <w:r>
        <w:fldChar w:fldCharType="begin"/>
      </w:r>
      <w:r>
        <w:instrText xml:space="preserve"> PAGEREF _Toc814162403 </w:instrText>
      </w:r>
      <w:r>
        <w:fldChar w:fldCharType="separate"/>
      </w:r>
      <w:r>
        <w:t>58</w:t>
      </w:r>
      <w:r>
        <w:fldChar w:fldCharType="end"/>
      </w:r>
      <w:r>
        <w:rPr>
          <w:rFonts w:hint="eastAsia"/>
          <w:color w:val="auto"/>
          <w:highlight w:val="none"/>
        </w:rPr>
        <w:fldChar w:fldCharType="end"/>
      </w:r>
    </w:p>
    <w:p w14:paraId="3DB77B6C">
      <w:pPr>
        <w:pStyle w:val="20"/>
        <w:tabs>
          <w:tab w:val="right" w:leader="dot" w:pos="9638"/>
        </w:tabs>
      </w:pPr>
      <w:r>
        <w:rPr>
          <w:rFonts w:hint="eastAsia"/>
          <w:color w:val="auto"/>
          <w:highlight w:val="none"/>
        </w:rPr>
        <w:fldChar w:fldCharType="begin"/>
      </w:r>
      <w:r>
        <w:rPr>
          <w:rFonts w:hint="eastAsia"/>
          <w:highlight w:val="none"/>
        </w:rPr>
        <w:instrText xml:space="preserve"> HYPERLINK \l _Toc867357559 </w:instrText>
      </w:r>
      <w:r>
        <w:rPr>
          <w:rFonts w:hint="eastAsia"/>
          <w:highlight w:val="none"/>
        </w:rPr>
        <w:fldChar w:fldCharType="separate"/>
      </w:r>
      <w:r>
        <w:rPr>
          <w:rFonts w:hint="eastAsia"/>
          <w:highlight w:val="none"/>
        </w:rPr>
        <w:t>第五章</w:t>
      </w:r>
      <w:r>
        <w:rPr>
          <w:highlight w:val="none"/>
        </w:rPr>
        <w:t xml:space="preserve"> </w:t>
      </w:r>
      <w:r>
        <w:rPr>
          <w:rFonts w:hint="eastAsia"/>
          <w:highlight w:val="none"/>
        </w:rPr>
        <w:t>勘察设计任务书</w:t>
      </w:r>
      <w:r>
        <w:tab/>
      </w:r>
      <w:r>
        <w:fldChar w:fldCharType="begin"/>
      </w:r>
      <w:r>
        <w:instrText xml:space="preserve"> PAGEREF _Toc867357559 </w:instrText>
      </w:r>
      <w:r>
        <w:fldChar w:fldCharType="separate"/>
      </w:r>
      <w:r>
        <w:t>59</w:t>
      </w:r>
      <w:r>
        <w:fldChar w:fldCharType="end"/>
      </w:r>
      <w:r>
        <w:rPr>
          <w:rFonts w:hint="eastAsia"/>
          <w:color w:val="auto"/>
          <w:highlight w:val="none"/>
        </w:rPr>
        <w:fldChar w:fldCharType="end"/>
      </w:r>
    </w:p>
    <w:p w14:paraId="26C98BC3">
      <w:pPr>
        <w:pStyle w:val="20"/>
        <w:tabs>
          <w:tab w:val="right" w:leader="dot" w:pos="9638"/>
        </w:tabs>
      </w:pPr>
      <w:r>
        <w:rPr>
          <w:rFonts w:hint="eastAsia"/>
          <w:color w:val="auto"/>
          <w:highlight w:val="none"/>
        </w:rPr>
        <w:fldChar w:fldCharType="begin"/>
      </w:r>
      <w:r>
        <w:rPr>
          <w:rFonts w:hint="eastAsia"/>
          <w:highlight w:val="none"/>
        </w:rPr>
        <w:instrText xml:space="preserve"> HYPERLINK \l _Toc817551369 </w:instrText>
      </w:r>
      <w:r>
        <w:rPr>
          <w:rFonts w:hint="eastAsia"/>
          <w:highlight w:val="none"/>
        </w:rPr>
        <w:fldChar w:fldCharType="separate"/>
      </w:r>
      <w:r>
        <w:rPr>
          <w:rFonts w:hint="eastAsia"/>
          <w:highlight w:val="none"/>
        </w:rPr>
        <w:t>第</w:t>
      </w:r>
      <w:r>
        <w:rPr>
          <w:rFonts w:hint="eastAsia"/>
          <w:highlight w:val="none"/>
          <w:lang w:eastAsia="zh-CN"/>
        </w:rPr>
        <w:t>六</w:t>
      </w:r>
      <w:r>
        <w:rPr>
          <w:rFonts w:hint="eastAsia"/>
          <w:highlight w:val="none"/>
        </w:rPr>
        <w:t>章</w:t>
      </w:r>
      <w:r>
        <w:rPr>
          <w:highlight w:val="none"/>
        </w:rPr>
        <w:t xml:space="preserve"> </w:t>
      </w:r>
      <w:r>
        <w:rPr>
          <w:rFonts w:hint="eastAsia"/>
          <w:highlight w:val="none"/>
          <w:lang w:eastAsia="zh-CN"/>
        </w:rPr>
        <w:t>投标文件格式</w:t>
      </w:r>
      <w:r>
        <w:tab/>
      </w:r>
      <w:r>
        <w:fldChar w:fldCharType="begin"/>
      </w:r>
      <w:r>
        <w:instrText xml:space="preserve"> PAGEREF _Toc817551369 </w:instrText>
      </w:r>
      <w:r>
        <w:fldChar w:fldCharType="separate"/>
      </w:r>
      <w:r>
        <w:t>60</w:t>
      </w:r>
      <w:r>
        <w:fldChar w:fldCharType="end"/>
      </w:r>
      <w:r>
        <w:rPr>
          <w:rFonts w:hint="eastAsia"/>
          <w:color w:val="auto"/>
          <w:highlight w:val="none"/>
        </w:rPr>
        <w:fldChar w:fldCharType="end"/>
      </w:r>
    </w:p>
    <w:p w14:paraId="3476EB48">
      <w:pPr>
        <w:pStyle w:val="20"/>
        <w:tabs>
          <w:tab w:val="right" w:leader="dot" w:pos="9638"/>
        </w:tabs>
      </w:pPr>
      <w:r>
        <w:rPr>
          <w:rFonts w:hint="eastAsia"/>
          <w:color w:val="auto"/>
          <w:highlight w:val="none"/>
        </w:rPr>
        <w:fldChar w:fldCharType="begin"/>
      </w:r>
      <w:r>
        <w:rPr>
          <w:rFonts w:hint="eastAsia"/>
          <w:highlight w:val="none"/>
        </w:rPr>
        <w:instrText xml:space="preserve"> HYPERLINK \l _Toc16621436 </w:instrText>
      </w:r>
      <w:r>
        <w:rPr>
          <w:rFonts w:hint="eastAsia"/>
          <w:highlight w:val="none"/>
        </w:rPr>
        <w:fldChar w:fldCharType="separate"/>
      </w:r>
      <w:r>
        <w:rPr>
          <w:rFonts w:hint="eastAsia"/>
          <w:highlight w:val="none"/>
        </w:rPr>
        <w:t>第七章 招标人对招标文件范本条款的修改</w:t>
      </w:r>
      <w:r>
        <w:tab/>
      </w:r>
      <w:r>
        <w:fldChar w:fldCharType="begin"/>
      </w:r>
      <w:r>
        <w:instrText xml:space="preserve"> PAGEREF _Toc16621436 </w:instrText>
      </w:r>
      <w:r>
        <w:fldChar w:fldCharType="separate"/>
      </w:r>
      <w:r>
        <w:t>81</w:t>
      </w:r>
      <w:r>
        <w:fldChar w:fldCharType="end"/>
      </w:r>
      <w:r>
        <w:rPr>
          <w:rFonts w:hint="eastAsia"/>
          <w:color w:val="auto"/>
          <w:highlight w:val="none"/>
        </w:rPr>
        <w:fldChar w:fldCharType="end"/>
      </w:r>
    </w:p>
    <w:p w14:paraId="3E6C3F39">
      <w:pPr>
        <w:rPr>
          <w:rFonts w:hint="eastAsia"/>
          <w:color w:val="auto"/>
          <w:highlight w:val="none"/>
        </w:rPr>
        <w:sectPr>
          <w:headerReference r:id="rId5" w:type="default"/>
          <w:pgSz w:w="11906" w:h="16838"/>
          <w:pgMar w:top="1418" w:right="1134" w:bottom="1140"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olor w:val="auto"/>
          <w:highlight w:val="none"/>
        </w:rPr>
        <w:fldChar w:fldCharType="end"/>
      </w:r>
      <w:permEnd w:id="7"/>
    </w:p>
    <w:p w14:paraId="2CA3D042">
      <w:pPr>
        <w:pStyle w:val="3"/>
        <w:keepNext/>
        <w:keepLines/>
        <w:pageBreakBefore w:val="0"/>
        <w:widowControl w:val="0"/>
        <w:kinsoku/>
        <w:wordWrap/>
        <w:overflowPunct/>
        <w:topLinePunct w:val="0"/>
        <w:autoSpaceDE/>
        <w:autoSpaceDN/>
        <w:bidi w:val="0"/>
        <w:adjustRightInd/>
        <w:snapToGrid/>
        <w:spacing w:after="200" w:line="360" w:lineRule="auto"/>
        <w:jc w:val="center"/>
        <w:textAlignment w:val="auto"/>
        <w:rPr>
          <w:color w:val="auto"/>
          <w:szCs w:val="32"/>
          <w:highlight w:val="none"/>
        </w:rPr>
      </w:pPr>
      <w:bookmarkStart w:id="0" w:name="_Toc14949"/>
      <w:bookmarkStart w:id="1" w:name="_Toc21575"/>
      <w:bookmarkStart w:id="2" w:name="_Toc2591721"/>
      <w:bookmarkStart w:id="3" w:name="_Toc9995"/>
      <w:bookmarkStart w:id="4" w:name="_Toc987660024"/>
      <w:bookmarkStart w:id="5" w:name="_Toc6187"/>
      <w:bookmarkStart w:id="6" w:name="_Toc26765"/>
      <w:bookmarkStart w:id="7" w:name="_Toc1031665910"/>
      <w:r>
        <w:rPr>
          <w:rFonts w:hint="eastAsia"/>
          <w:color w:val="auto"/>
          <w:szCs w:val="32"/>
          <w:highlight w:val="none"/>
        </w:rPr>
        <w:t>第一章</w:t>
      </w:r>
      <w:r>
        <w:rPr>
          <w:color w:val="auto"/>
          <w:szCs w:val="32"/>
          <w:highlight w:val="none"/>
        </w:rPr>
        <w:t xml:space="preserve"> </w:t>
      </w:r>
      <w:r>
        <w:rPr>
          <w:rFonts w:hint="eastAsia"/>
          <w:color w:val="auto"/>
          <w:szCs w:val="32"/>
          <w:highlight w:val="none"/>
        </w:rPr>
        <w:t>招标公告</w:t>
      </w:r>
      <w:bookmarkEnd w:id="0"/>
      <w:bookmarkEnd w:id="1"/>
      <w:bookmarkEnd w:id="2"/>
      <w:bookmarkEnd w:id="3"/>
      <w:bookmarkEnd w:id="4"/>
      <w:bookmarkEnd w:id="5"/>
      <w:bookmarkEnd w:id="6"/>
      <w:bookmarkEnd w:id="7"/>
    </w:p>
    <w:tbl>
      <w:tblPr>
        <w:tblStyle w:val="26"/>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1850"/>
        <w:gridCol w:w="1436"/>
        <w:gridCol w:w="4378"/>
      </w:tblGrid>
      <w:tr w14:paraId="594B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552CF84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bookmarkStart w:id="8" w:name="_Toc1471911231"/>
            <w:bookmarkStart w:id="9" w:name="_Toc534165988"/>
            <w:bookmarkStart w:id="10" w:name="_Toc557594262"/>
            <w:bookmarkStart w:id="11" w:name="_Toc1370445731"/>
            <w:bookmarkStart w:id="12" w:name="_Toc1795356044"/>
            <w:bookmarkStart w:id="13" w:name="_Toc1141361580"/>
            <w:bookmarkStart w:id="14" w:name="_Toc892620777"/>
            <w:bookmarkStart w:id="15" w:name="_Toc1113587676"/>
            <w:bookmarkStart w:id="16" w:name="_Toc2012730053"/>
            <w:bookmarkStart w:id="17" w:name="_Toc208992861"/>
            <w:r>
              <w:rPr>
                <w:rFonts w:hint="eastAsia" w:ascii="宋体" w:hAnsi="宋体" w:eastAsia="宋体" w:cs="宋体"/>
                <w:b/>
                <w:bCs/>
                <w:i w:val="0"/>
                <w:color w:val="auto"/>
                <w:kern w:val="0"/>
                <w:sz w:val="20"/>
                <w:szCs w:val="20"/>
                <w:highlight w:val="none"/>
                <w:u w:val="none"/>
                <w:lang w:val="en-US" w:eastAsia="zh-CN" w:bidi="ar"/>
              </w:rPr>
              <w:t>投资项目代码</w:t>
            </w:r>
          </w:p>
        </w:tc>
        <w:tc>
          <w:tcPr>
            <w:tcW w:w="7664" w:type="dxa"/>
            <w:gridSpan w:val="3"/>
            <w:tcBorders>
              <w:tl2br w:val="nil"/>
              <w:tr2bl w:val="nil"/>
            </w:tcBorders>
            <w:noWrap w:val="0"/>
            <w:vAlign w:val="center"/>
          </w:tcPr>
          <w:p w14:paraId="3874A8D7">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lang w:eastAsia="zh-CN"/>
              </w:rPr>
            </w:pPr>
            <w:permStart w:id="8" w:edGrp="everyone"/>
            <w:r>
              <w:rPr>
                <w:rFonts w:hint="default" w:ascii="宋体" w:hAnsi="宋体" w:eastAsia="宋体" w:cs="宋体"/>
                <w:i w:val="0"/>
                <w:color w:val="auto"/>
                <w:sz w:val="20"/>
                <w:szCs w:val="20"/>
                <w:highlight w:val="none"/>
                <w:u w:val="none"/>
                <w:lang w:val="en-US" w:eastAsia="zh-CN"/>
              </w:rPr>
              <w:t>2212-442000-04-01-246278</w:t>
            </w:r>
            <w:permEnd w:id="8"/>
          </w:p>
        </w:tc>
      </w:tr>
      <w:tr w14:paraId="6586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2DB595C6">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投资项目名称</w:t>
            </w:r>
          </w:p>
        </w:tc>
        <w:tc>
          <w:tcPr>
            <w:tcW w:w="7664" w:type="dxa"/>
            <w:gridSpan w:val="3"/>
            <w:tcBorders>
              <w:tl2br w:val="nil"/>
              <w:tr2bl w:val="nil"/>
            </w:tcBorders>
            <w:noWrap w:val="0"/>
            <w:vAlign w:val="center"/>
          </w:tcPr>
          <w:p w14:paraId="769AEAB8">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9" w:edGrp="everyone"/>
            <w:r>
              <w:rPr>
                <w:rFonts w:hint="eastAsia" w:ascii="宋体" w:hAnsi="宋体" w:cs="宋体"/>
                <w:i w:val="0"/>
                <w:color w:val="auto"/>
                <w:sz w:val="20"/>
                <w:szCs w:val="20"/>
                <w:highlight w:val="none"/>
                <w:u w:val="none"/>
                <w:lang w:val="en-US" w:eastAsia="zh-CN"/>
              </w:rPr>
              <w:t>三角镇新华北路道路工程</w:t>
            </w:r>
            <w:permEnd w:id="9"/>
          </w:p>
        </w:tc>
      </w:tr>
      <w:tr w14:paraId="4CB8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6D7B370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招标项目名称</w:t>
            </w:r>
          </w:p>
        </w:tc>
        <w:tc>
          <w:tcPr>
            <w:tcW w:w="7664" w:type="dxa"/>
            <w:gridSpan w:val="3"/>
            <w:tcBorders>
              <w:tl2br w:val="nil"/>
              <w:tr2bl w:val="nil"/>
            </w:tcBorders>
            <w:noWrap w:val="0"/>
            <w:vAlign w:val="center"/>
          </w:tcPr>
          <w:p w14:paraId="094D2BEF">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0" w:edGrp="everyone"/>
            <w:r>
              <w:rPr>
                <w:rFonts w:hint="eastAsia" w:ascii="宋体" w:hAnsi="宋体" w:cs="宋体"/>
                <w:i w:val="0"/>
                <w:color w:val="auto"/>
                <w:sz w:val="20"/>
                <w:szCs w:val="20"/>
                <w:highlight w:val="none"/>
                <w:u w:val="none"/>
                <w:lang w:val="en-US" w:eastAsia="zh-CN"/>
              </w:rPr>
              <w:t>三角镇新华北路道路工程勘察设计</w:t>
            </w:r>
            <w:permEnd w:id="10"/>
          </w:p>
        </w:tc>
      </w:tr>
      <w:tr w14:paraId="4F2F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19CBFD7A">
            <w:pPr>
              <w:keepNext w:val="0"/>
              <w:keepLines w:val="0"/>
              <w:widowControl/>
              <w:suppressLineNumbers w:val="0"/>
              <w:spacing w:line="360" w:lineRule="auto"/>
              <w:jc w:val="center"/>
              <w:textAlignment w:val="center"/>
              <w:rPr>
                <w:rFonts w:hint="eastAsia" w:ascii="宋体" w:hAnsi="宋体" w:eastAsia="宋体" w:cs="宋体"/>
                <w:b/>
                <w:bCs/>
                <w:i w:val="0"/>
                <w:color w:val="auto"/>
                <w:kern w:val="2"/>
                <w:sz w:val="20"/>
                <w:szCs w:val="20"/>
                <w:highlight w:val="none"/>
                <w:u w:val="none"/>
                <w:lang w:val="en-US" w:eastAsia="zh-CN" w:bidi="ar-SA"/>
              </w:rPr>
            </w:pPr>
            <w:r>
              <w:rPr>
                <w:rFonts w:hint="eastAsia" w:ascii="宋体" w:hAnsi="宋体" w:eastAsia="宋体" w:cs="宋体"/>
                <w:b/>
                <w:bCs/>
                <w:i w:val="0"/>
                <w:color w:val="auto"/>
                <w:kern w:val="0"/>
                <w:sz w:val="20"/>
                <w:szCs w:val="20"/>
                <w:highlight w:val="none"/>
                <w:u w:val="none"/>
                <w:lang w:val="en-US" w:eastAsia="zh-CN" w:bidi="ar"/>
              </w:rPr>
              <w:t>标段（包）名称</w:t>
            </w:r>
          </w:p>
        </w:tc>
        <w:tc>
          <w:tcPr>
            <w:tcW w:w="1850" w:type="dxa"/>
            <w:tcBorders>
              <w:tl2br w:val="nil"/>
              <w:tr2bl w:val="nil"/>
            </w:tcBorders>
            <w:noWrap w:val="0"/>
            <w:vAlign w:val="center"/>
          </w:tcPr>
          <w:p w14:paraId="4055F5FB">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permStart w:id="11" w:edGrp="everyone"/>
            <w:r>
              <w:rPr>
                <w:rFonts w:hint="eastAsia" w:ascii="宋体" w:hAnsi="宋体" w:cs="宋体"/>
                <w:i w:val="0"/>
                <w:color w:val="auto"/>
                <w:kern w:val="0"/>
                <w:sz w:val="20"/>
                <w:szCs w:val="20"/>
                <w:highlight w:val="none"/>
                <w:u w:val="none"/>
                <w:lang w:val="en-US" w:eastAsia="zh-CN" w:bidi="ar"/>
              </w:rPr>
              <w:t>/</w:t>
            </w:r>
            <w:permEnd w:id="11"/>
          </w:p>
        </w:tc>
        <w:tc>
          <w:tcPr>
            <w:tcW w:w="1436" w:type="dxa"/>
            <w:tcBorders>
              <w:tl2br w:val="nil"/>
              <w:tr2bl w:val="nil"/>
            </w:tcBorders>
            <w:noWrap w:val="0"/>
            <w:vAlign w:val="center"/>
          </w:tcPr>
          <w:p w14:paraId="460085C4">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公告性质</w:t>
            </w:r>
          </w:p>
        </w:tc>
        <w:tc>
          <w:tcPr>
            <w:tcW w:w="4378" w:type="dxa"/>
            <w:tcBorders>
              <w:tl2br w:val="nil"/>
              <w:tr2bl w:val="nil"/>
            </w:tcBorders>
            <w:noWrap w:val="0"/>
            <w:vAlign w:val="center"/>
          </w:tcPr>
          <w:p w14:paraId="5E6E4FCB">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permStart w:id="12" w:edGrp="everyone"/>
            <w:r>
              <w:rPr>
                <w:rFonts w:hint="eastAsia" w:ascii="宋体" w:hAnsi="宋体" w:eastAsia="宋体" w:cs="宋体"/>
                <w:i w:val="0"/>
                <w:color w:val="auto"/>
                <w:kern w:val="0"/>
                <w:sz w:val="20"/>
                <w:szCs w:val="20"/>
                <w:highlight w:val="none"/>
                <w:u w:val="none"/>
                <w:lang w:val="en-US" w:eastAsia="zh-CN" w:bidi="ar"/>
              </w:rPr>
              <w:t>正常</w:t>
            </w:r>
            <w:permEnd w:id="12"/>
          </w:p>
        </w:tc>
      </w:tr>
      <w:tr w14:paraId="4082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35080C22">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资格审查方式</w:t>
            </w:r>
          </w:p>
        </w:tc>
        <w:tc>
          <w:tcPr>
            <w:tcW w:w="7664" w:type="dxa"/>
            <w:gridSpan w:val="3"/>
            <w:tcBorders>
              <w:tl2br w:val="nil"/>
              <w:tr2bl w:val="nil"/>
            </w:tcBorders>
            <w:noWrap w:val="0"/>
            <w:vAlign w:val="center"/>
          </w:tcPr>
          <w:p w14:paraId="602D6642">
            <w:pPr>
              <w:keepNext w:val="0"/>
              <w:keepLines w:val="0"/>
              <w:widowControl/>
              <w:suppressLineNumbers w:val="0"/>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permStart w:id="13" w:edGrp="everyone"/>
            <w:r>
              <w:rPr>
                <w:rFonts w:hint="eastAsia" w:ascii="宋体" w:hAnsi="宋体" w:cs="宋体"/>
                <w:i w:val="0"/>
                <w:color w:val="auto"/>
                <w:kern w:val="0"/>
                <w:sz w:val="20"/>
                <w:szCs w:val="20"/>
                <w:highlight w:val="none"/>
                <w:u w:val="none"/>
                <w:lang w:val="en-US" w:eastAsia="zh-CN" w:bidi="ar"/>
              </w:rPr>
              <w:t>资格后审</w:t>
            </w:r>
            <w:permEnd w:id="13"/>
          </w:p>
        </w:tc>
      </w:tr>
      <w:tr w14:paraId="5504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16BFDCAC">
            <w:pPr>
              <w:keepNext w:val="0"/>
              <w:keepLines w:val="0"/>
              <w:widowControl/>
              <w:suppressLineNumbers w:val="0"/>
              <w:spacing w:line="360" w:lineRule="auto"/>
              <w:jc w:val="center"/>
              <w:textAlignment w:val="center"/>
              <w:rPr>
                <w:rFonts w:hint="eastAsia" w:ascii="宋体" w:hAnsi="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招标项目</w:t>
            </w:r>
            <w:r>
              <w:rPr>
                <w:rFonts w:hint="eastAsia" w:ascii="宋体" w:hAnsi="宋体" w:cs="宋体"/>
                <w:b/>
                <w:bCs/>
                <w:i w:val="0"/>
                <w:color w:val="auto"/>
                <w:kern w:val="0"/>
                <w:sz w:val="20"/>
                <w:szCs w:val="20"/>
                <w:highlight w:val="none"/>
                <w:u w:val="none"/>
                <w:lang w:val="en-US" w:eastAsia="zh-CN" w:bidi="ar"/>
              </w:rPr>
              <w:t>实施</w:t>
            </w:r>
          </w:p>
          <w:p w14:paraId="1D3EB985">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cs="宋体"/>
                <w:b/>
                <w:bCs/>
                <w:i w:val="0"/>
                <w:color w:val="auto"/>
                <w:kern w:val="0"/>
                <w:sz w:val="20"/>
                <w:szCs w:val="20"/>
                <w:highlight w:val="none"/>
                <w:u w:val="none"/>
                <w:lang w:val="en-US" w:eastAsia="zh-CN" w:bidi="ar"/>
              </w:rPr>
              <w:t>（交货）</w:t>
            </w:r>
            <w:r>
              <w:rPr>
                <w:rFonts w:hint="eastAsia" w:ascii="宋体" w:hAnsi="宋体" w:eastAsia="宋体" w:cs="宋体"/>
                <w:b/>
                <w:bCs/>
                <w:i w:val="0"/>
                <w:color w:val="auto"/>
                <w:kern w:val="0"/>
                <w:sz w:val="20"/>
                <w:szCs w:val="20"/>
                <w:highlight w:val="none"/>
                <w:u w:val="none"/>
                <w:lang w:val="en-US" w:eastAsia="zh-CN" w:bidi="ar"/>
              </w:rPr>
              <w:t>地点</w:t>
            </w:r>
          </w:p>
        </w:tc>
        <w:tc>
          <w:tcPr>
            <w:tcW w:w="7664" w:type="dxa"/>
            <w:gridSpan w:val="3"/>
            <w:tcBorders>
              <w:tl2br w:val="nil"/>
              <w:tr2bl w:val="nil"/>
            </w:tcBorders>
            <w:noWrap w:val="0"/>
            <w:vAlign w:val="center"/>
          </w:tcPr>
          <w:p w14:paraId="7ADFC9E4">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4" w:edGrp="everyone"/>
            <w:r>
              <w:rPr>
                <w:rFonts w:hint="eastAsia" w:ascii="宋体" w:hAnsi="宋体" w:eastAsia="宋体" w:cs="宋体"/>
                <w:i w:val="0"/>
                <w:color w:val="auto"/>
                <w:kern w:val="0"/>
                <w:sz w:val="20"/>
                <w:szCs w:val="20"/>
                <w:highlight w:val="none"/>
                <w:u w:val="none"/>
                <w:lang w:val="en-US" w:eastAsia="zh-CN" w:bidi="ar"/>
              </w:rPr>
              <w:t>中山市三角镇新华北路</w:t>
            </w:r>
            <w:permEnd w:id="14"/>
          </w:p>
        </w:tc>
      </w:tr>
      <w:tr w14:paraId="4553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7084359E">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资金来源</w:t>
            </w:r>
          </w:p>
        </w:tc>
        <w:tc>
          <w:tcPr>
            <w:tcW w:w="1850" w:type="dxa"/>
            <w:tcBorders>
              <w:tl2br w:val="nil"/>
              <w:tr2bl w:val="nil"/>
            </w:tcBorders>
            <w:noWrap w:val="0"/>
            <w:vAlign w:val="center"/>
          </w:tcPr>
          <w:p w14:paraId="46562C8D">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5" w:edGrp="everyone"/>
            <w:r>
              <w:rPr>
                <w:rFonts w:hint="eastAsia" w:ascii="宋体" w:hAnsi="宋体" w:eastAsia="宋体" w:cs="Times New Roman"/>
                <w:szCs w:val="21"/>
                <w:highlight w:val="none"/>
                <w:lang w:val="en-US" w:eastAsia="zh-CN"/>
              </w:rPr>
              <w:t>镇财政资金</w:t>
            </w:r>
            <w:permEnd w:id="15"/>
          </w:p>
        </w:tc>
        <w:tc>
          <w:tcPr>
            <w:tcW w:w="1436" w:type="dxa"/>
            <w:tcBorders>
              <w:tl2br w:val="nil"/>
              <w:tr2bl w:val="nil"/>
            </w:tcBorders>
            <w:noWrap w:val="0"/>
            <w:vAlign w:val="center"/>
          </w:tcPr>
          <w:p w14:paraId="26C7EC00">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资金来源构成</w:t>
            </w:r>
          </w:p>
        </w:tc>
        <w:tc>
          <w:tcPr>
            <w:tcW w:w="4378" w:type="dxa"/>
            <w:tcBorders>
              <w:tl2br w:val="nil"/>
              <w:tr2bl w:val="nil"/>
            </w:tcBorders>
            <w:noWrap w:val="0"/>
            <w:vAlign w:val="center"/>
          </w:tcPr>
          <w:p w14:paraId="6F53FCD2">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6" w:edGrp="everyone"/>
            <w:r>
              <w:rPr>
                <w:rFonts w:hint="eastAsia" w:ascii="宋体" w:hAnsi="宋体" w:cs="宋体"/>
                <w:i w:val="0"/>
                <w:color w:val="auto"/>
                <w:kern w:val="0"/>
                <w:sz w:val="20"/>
                <w:szCs w:val="20"/>
                <w:highlight w:val="none"/>
                <w:u w:val="none"/>
                <w:lang w:val="en-US" w:eastAsia="zh-CN" w:bidi="ar"/>
              </w:rPr>
              <w:t>100%</w:t>
            </w:r>
            <w:r>
              <w:rPr>
                <w:rFonts w:hint="eastAsia" w:ascii="宋体" w:hAnsi="宋体" w:eastAsia="宋体" w:cs="Times New Roman"/>
                <w:szCs w:val="21"/>
                <w:highlight w:val="none"/>
                <w:lang w:val="en-US" w:eastAsia="zh-CN"/>
              </w:rPr>
              <w:t>镇财政资金</w:t>
            </w:r>
            <w:permEnd w:id="16"/>
          </w:p>
        </w:tc>
      </w:tr>
      <w:tr w14:paraId="7576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16CE186B">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招标范围及规模</w:t>
            </w:r>
          </w:p>
        </w:tc>
        <w:tc>
          <w:tcPr>
            <w:tcW w:w="7664" w:type="dxa"/>
            <w:gridSpan w:val="3"/>
            <w:tcBorders>
              <w:tl2br w:val="nil"/>
              <w:tr2bl w:val="nil"/>
            </w:tcBorders>
            <w:noWrap w:val="0"/>
            <w:vAlign w:val="center"/>
          </w:tcPr>
          <w:p w14:paraId="06481D6A">
            <w:pPr>
              <w:keepNext w:val="0"/>
              <w:keepLines w:val="0"/>
              <w:widowControl/>
              <w:suppressLineNumbers w:val="0"/>
              <w:jc w:val="left"/>
              <w:rPr>
                <w:rFonts w:hint="eastAsia" w:ascii="宋体" w:hAnsi="宋体" w:eastAsia="宋体" w:cs="宋体"/>
                <w:i w:val="0"/>
                <w:color w:val="auto"/>
                <w:kern w:val="0"/>
                <w:sz w:val="20"/>
                <w:szCs w:val="20"/>
                <w:highlight w:val="none"/>
                <w:u w:val="none"/>
                <w:lang w:val="en-US" w:eastAsia="zh-CN" w:bidi="ar"/>
              </w:rPr>
            </w:pPr>
            <w:permStart w:id="17" w:edGrp="everyone"/>
            <w:r>
              <w:rPr>
                <w:rFonts w:hint="eastAsia" w:ascii="宋体" w:hAnsi="宋体" w:cs="宋体"/>
                <w:i w:val="0"/>
                <w:color w:val="auto"/>
                <w:kern w:val="0"/>
                <w:sz w:val="20"/>
                <w:szCs w:val="20"/>
                <w:highlight w:val="none"/>
                <w:u w:val="none"/>
                <w:lang w:val="en-US" w:eastAsia="zh-CN" w:bidi="ar"/>
              </w:rPr>
              <w:t xml:space="preserve"> </w:t>
            </w:r>
            <w:r>
              <w:rPr>
                <w:rFonts w:hint="eastAsia" w:ascii="宋体" w:hAnsi="宋体" w:eastAsia="宋体" w:cs="宋体"/>
                <w:i w:val="0"/>
                <w:color w:val="auto"/>
                <w:kern w:val="0"/>
                <w:sz w:val="20"/>
                <w:szCs w:val="20"/>
                <w:highlight w:val="none"/>
                <w:u w:val="none"/>
                <w:lang w:val="en-US" w:eastAsia="zh-CN" w:bidi="ar"/>
              </w:rPr>
              <w:t>本工程共涉及1条道路建设，位于三角镇高平化工园区，为三角镇的重要干道网络。新华北路起点位于上九屈涌北岸福泽三街，南北走向，与规划环镇路平交，向南延伸至规划道路作为设计终点，线位总长1.625km。本条道路建设标准为城市次干路，设计时速为40km/h，设计道路宽度为24m，沿线新建箱涵两座，配套实施交通工程、智能交通工程、给排水工程、工业污水、事故废水、电力工程、通讯工程、照明工程、绿化工程、蒸汽管道工程等。在与民古路交叉节点，同步实施上跨民古路桥梁60m，最大跨度为30m，为新华北路预留远期实施条件。</w:t>
            </w:r>
          </w:p>
          <w:p w14:paraId="72507674">
            <w:pPr>
              <w:keepNext w:val="0"/>
              <w:keepLines w:val="0"/>
              <w:widowControl/>
              <w:suppressLineNumbers w:val="0"/>
              <w:spacing w:line="360" w:lineRule="auto"/>
              <w:jc w:val="lef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本项目工程总投资为39027.41万元。其中：第一部分工程费28536.05万元，第二部分工程建设其他费用8860.59万元，预备费1630.77万元。</w:t>
            </w:r>
            <w:permEnd w:id="17"/>
          </w:p>
        </w:tc>
      </w:tr>
      <w:tr w14:paraId="220D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06A0EB8A">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招标内容</w:t>
            </w:r>
          </w:p>
        </w:tc>
        <w:tc>
          <w:tcPr>
            <w:tcW w:w="7664" w:type="dxa"/>
            <w:gridSpan w:val="3"/>
            <w:tcBorders>
              <w:tl2br w:val="nil"/>
              <w:tr2bl w:val="nil"/>
            </w:tcBorders>
            <w:noWrap w:val="0"/>
            <w:vAlign w:val="center"/>
          </w:tcPr>
          <w:p w14:paraId="2F1610C7">
            <w:pPr>
              <w:spacing w:line="360" w:lineRule="auto"/>
              <w:ind w:firstLine="420" w:firstLineChars="200"/>
              <w:rPr>
                <w:rFonts w:hint="eastAsia" w:ascii="宋体" w:hAnsi="宋体" w:eastAsia="宋体" w:cs="宋体"/>
                <w:szCs w:val="21"/>
                <w:u w:val="single"/>
              </w:rPr>
            </w:pPr>
            <w:permStart w:id="18" w:edGrp="everyone"/>
            <w:r>
              <w:rPr>
                <w:rFonts w:hint="eastAsia" w:ascii="宋体" w:hAnsi="宋体" w:eastAsia="宋体" w:cs="宋体"/>
                <w:szCs w:val="21"/>
                <w:u w:val="single"/>
              </w:rPr>
              <w:t>（1）本项目勘察内容包括但不限于：</w:t>
            </w:r>
            <w:r>
              <w:rPr>
                <w:rFonts w:hint="eastAsia" w:ascii="宋体" w:hAnsi="宋体" w:cs="宋体"/>
                <w:szCs w:val="21"/>
                <w:u w:val="single"/>
                <w:lang w:eastAsia="zh-CN"/>
              </w:rPr>
              <w:t>初测（</w:t>
            </w:r>
            <w:r>
              <w:rPr>
                <w:rFonts w:hint="eastAsia" w:ascii="宋体" w:hAnsi="宋体" w:cs="宋体"/>
                <w:szCs w:val="21"/>
                <w:u w:val="single"/>
                <w:lang w:val="en-US" w:eastAsia="zh-CN"/>
              </w:rPr>
              <w:t>测量放点、管线物探及地</w:t>
            </w:r>
            <w:r>
              <w:rPr>
                <w:rFonts w:hint="eastAsia" w:ascii="宋体" w:hAnsi="宋体" w:eastAsia="宋体" w:cs="宋体"/>
                <w:szCs w:val="21"/>
                <w:u w:val="single"/>
              </w:rPr>
              <w:t>形图</w:t>
            </w:r>
            <w:r>
              <w:rPr>
                <w:rFonts w:hint="eastAsia" w:ascii="宋体" w:hAnsi="宋体" w:cs="宋体"/>
                <w:szCs w:val="21"/>
                <w:u w:val="single"/>
                <w:lang w:val="en-US" w:eastAsia="zh-CN"/>
              </w:rPr>
              <w:t>等</w:t>
            </w:r>
            <w:r>
              <w:rPr>
                <w:rFonts w:hint="eastAsia" w:ascii="宋体" w:hAnsi="宋体" w:eastAsia="宋体" w:cs="宋体"/>
                <w:szCs w:val="21"/>
                <w:u w:val="single"/>
              </w:rPr>
              <w:t>测量</w:t>
            </w:r>
            <w:r>
              <w:rPr>
                <w:rFonts w:hint="eastAsia" w:ascii="宋体" w:hAnsi="宋体" w:cs="宋体"/>
                <w:szCs w:val="21"/>
                <w:u w:val="single"/>
                <w:lang w:val="en-US" w:eastAsia="zh-CN"/>
              </w:rPr>
              <w:t>相关工作，报告须满足勘察设计深度需要）</w:t>
            </w:r>
            <w:r>
              <w:rPr>
                <w:rFonts w:hint="eastAsia" w:ascii="宋体" w:hAnsi="宋体" w:eastAsia="宋体" w:cs="宋体"/>
                <w:szCs w:val="21"/>
                <w:u w:val="single"/>
              </w:rPr>
              <w:t>和勘探，查明用地范围内地基岩土的类型、分布、岩土性质、不良地质等工程地质条件和水文地质条件，出具工程设计和施工所需要的勘察报告。为本工程所有设计和施工提供所需的工程地质依据。勘察布孔及进尺，由中标人按现行规范设计布置（按用地现状及设计单位有关需求进行勘察</w:t>
            </w:r>
            <w:r>
              <w:rPr>
                <w:rFonts w:hint="eastAsia" w:ascii="宋体" w:hAnsi="宋体" w:eastAsia="宋体" w:cs="宋体"/>
                <w:b/>
                <w:bCs/>
                <w:szCs w:val="21"/>
                <w:u w:val="single"/>
              </w:rPr>
              <w:t>，</w:t>
            </w:r>
            <w:r>
              <w:rPr>
                <w:rFonts w:hint="eastAsia" w:ascii="宋体" w:hAnsi="宋体" w:eastAsia="宋体" w:cs="宋体"/>
                <w:szCs w:val="21"/>
                <w:u w:val="single"/>
              </w:rPr>
              <w:t>并经建设单位认可），并负责配合勘察文件审查工作。如果在设计期间地形发生明显变化影响到图纸编制时，需及时更新地形图测量成果。</w:t>
            </w:r>
          </w:p>
          <w:p w14:paraId="409D6084">
            <w:pPr>
              <w:keepNext w:val="0"/>
              <w:keepLines w:val="0"/>
              <w:widowControl/>
              <w:suppressLineNumbers w:val="0"/>
              <w:spacing w:line="360" w:lineRule="auto"/>
              <w:jc w:val="left"/>
              <w:textAlignment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szCs w:val="21"/>
                <w:u w:val="single"/>
              </w:rPr>
              <w:t>（2）设计内容包括但不限于：方案设计、初步设计(含编制概算书)、施工图设计、配合招标人施工图审查（包含各专业图纸审查）、施工现场指导与监督、工程调整和竣工验收设计服务等。初步设计要求取得住建部门的审批合格意见书，</w:t>
            </w:r>
            <w:r>
              <w:rPr>
                <w:rFonts w:hint="eastAsia" w:ascii="宋体" w:hAnsi="宋体" w:cs="宋体"/>
                <w:szCs w:val="21"/>
                <w:highlight w:val="yellow"/>
                <w:u w:val="single"/>
                <w:lang w:val="en-US" w:eastAsia="zh-CN"/>
              </w:rPr>
              <w:t>并取得施工图审查合格证，</w:t>
            </w:r>
            <w:r>
              <w:rPr>
                <w:rFonts w:hint="eastAsia" w:ascii="宋体" w:hAnsi="宋体" w:eastAsia="宋体" w:cs="宋体"/>
                <w:b/>
                <w:bCs/>
                <w:szCs w:val="21"/>
                <w:u w:val="single"/>
              </w:rPr>
              <w:t>同时要求按限额设计</w:t>
            </w:r>
            <w:r>
              <w:rPr>
                <w:rFonts w:hint="eastAsia" w:ascii="宋体" w:hAnsi="宋体" w:eastAsia="宋体" w:cs="宋体"/>
                <w:szCs w:val="21"/>
                <w:u w:val="single"/>
              </w:rPr>
              <w:t>。中标人提供建设工程报建所需的工程图纸及资料、建设全过程设计服务及协调工作、负责规划报建代办理。包括但不限于道路工程、桥梁工程、照明工程、绿化工程等。</w:t>
            </w:r>
            <w:permEnd w:id="18"/>
          </w:p>
        </w:tc>
      </w:tr>
      <w:tr w14:paraId="5311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13CDB7BB">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工期（交货期）</w:t>
            </w:r>
          </w:p>
        </w:tc>
        <w:tc>
          <w:tcPr>
            <w:tcW w:w="7664" w:type="dxa"/>
            <w:gridSpan w:val="3"/>
            <w:tcBorders>
              <w:tl2br w:val="nil"/>
              <w:tr2bl w:val="nil"/>
            </w:tcBorders>
            <w:noWrap w:val="0"/>
            <w:vAlign w:val="center"/>
          </w:tcPr>
          <w:p w14:paraId="34FB04DE">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permStart w:id="19" w:edGrp="everyone"/>
            <w:r>
              <w:rPr>
                <w:rFonts w:hint="eastAsia" w:ascii="宋体" w:hAnsi="宋体" w:eastAsia="宋体" w:cs="宋体"/>
                <w:i w:val="0"/>
                <w:color w:val="000000"/>
                <w:kern w:val="0"/>
                <w:sz w:val="21"/>
                <w:szCs w:val="21"/>
                <w:highlight w:val="none"/>
                <w:u w:val="none"/>
                <w:lang w:val="en-US" w:eastAsia="zh-CN" w:bidi="ar"/>
              </w:rPr>
              <w:t>勘察设计周期（</w:t>
            </w:r>
            <w:r>
              <w:rPr>
                <w:rFonts w:hint="eastAsia" w:ascii="宋体" w:hAnsi="宋体" w:cs="宋体"/>
                <w:i w:val="0"/>
                <w:color w:val="000000"/>
                <w:kern w:val="0"/>
                <w:sz w:val="21"/>
                <w:szCs w:val="21"/>
                <w:highlight w:val="none"/>
                <w:u w:val="none"/>
                <w:lang w:val="en-US" w:eastAsia="zh-CN" w:bidi="ar"/>
              </w:rPr>
              <w:t>勘察、设计同步开展，即</w:t>
            </w:r>
            <w:r>
              <w:rPr>
                <w:rFonts w:hint="eastAsia" w:ascii="宋体" w:hAnsi="宋体" w:eastAsia="宋体" w:cs="宋体"/>
                <w:i w:val="0"/>
                <w:color w:val="000000"/>
                <w:kern w:val="0"/>
                <w:sz w:val="21"/>
                <w:szCs w:val="21"/>
                <w:highlight w:val="none"/>
                <w:u w:val="none"/>
                <w:lang w:val="en-US" w:eastAsia="zh-CN" w:bidi="ar"/>
              </w:rPr>
              <w:t>总工期</w:t>
            </w:r>
            <w:r>
              <w:rPr>
                <w:rFonts w:hint="eastAsia" w:ascii="宋体" w:hAnsi="宋体" w:cs="宋体"/>
                <w:i w:val="0"/>
                <w:color w:val="000000"/>
                <w:kern w:val="0"/>
                <w:sz w:val="21"/>
                <w:szCs w:val="21"/>
                <w:highlight w:val="none"/>
                <w:u w:val="none"/>
                <w:lang w:val="en-US" w:eastAsia="zh-CN" w:bidi="ar"/>
              </w:rPr>
              <w:t>共计</w:t>
            </w:r>
            <w:r>
              <w:rPr>
                <w:rFonts w:hint="eastAsia" w:ascii="宋体" w:hAnsi="宋体" w:cs="宋体"/>
                <w:i w:val="0"/>
                <w:color w:val="000000"/>
                <w:kern w:val="0"/>
                <w:sz w:val="21"/>
                <w:szCs w:val="21"/>
                <w:highlight w:val="none"/>
                <w:u w:val="single"/>
                <w:lang w:val="en-US" w:eastAsia="zh-CN" w:bidi="ar"/>
              </w:rPr>
              <w:t xml:space="preserve"> 90</w:t>
            </w:r>
            <w:r>
              <w:rPr>
                <w:rFonts w:hint="eastAsia" w:ascii="宋体" w:hAnsi="宋体" w:eastAsia="宋体" w:cs="宋体"/>
                <w:i w:val="0"/>
                <w:color w:val="000000"/>
                <w:kern w:val="0"/>
                <w:sz w:val="21"/>
                <w:szCs w:val="21"/>
                <w:highlight w:val="none"/>
                <w:u w:val="none"/>
                <w:lang w:val="en-US" w:eastAsia="zh-CN" w:bidi="ar"/>
              </w:rPr>
              <w:t>个日历天）</w:t>
            </w:r>
          </w:p>
          <w:p w14:paraId="112A76BA">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勘察周期：</w:t>
            </w:r>
            <w:r>
              <w:rPr>
                <w:rFonts w:hint="eastAsia" w:ascii="宋体" w:hAnsi="宋体" w:cs="宋体"/>
                <w:i w:val="0"/>
                <w:color w:val="000000"/>
                <w:kern w:val="0"/>
                <w:sz w:val="21"/>
                <w:szCs w:val="21"/>
                <w:highlight w:val="none"/>
                <w:u w:val="single"/>
                <w:lang w:val="en-US" w:eastAsia="zh-CN" w:bidi="ar"/>
              </w:rPr>
              <w:t xml:space="preserve"> 30 </w:t>
            </w:r>
            <w:r>
              <w:rPr>
                <w:rFonts w:hint="eastAsia" w:ascii="宋体" w:hAnsi="宋体" w:eastAsia="宋体" w:cs="宋体"/>
                <w:i w:val="0"/>
                <w:color w:val="000000"/>
                <w:kern w:val="0"/>
                <w:sz w:val="21"/>
                <w:szCs w:val="21"/>
                <w:highlight w:val="none"/>
                <w:u w:val="none"/>
                <w:lang w:val="en-US" w:eastAsia="zh-CN" w:bidi="ar"/>
              </w:rPr>
              <w:t>个日历天</w:t>
            </w:r>
          </w:p>
          <w:p w14:paraId="3D280B26">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r>
              <w:rPr>
                <w:rFonts w:hint="eastAsia" w:ascii="宋体" w:hAnsi="宋体" w:eastAsia="宋体" w:cs="宋体"/>
                <w:szCs w:val="21"/>
              </w:rPr>
              <w:t>在</w:t>
            </w:r>
            <w:r>
              <w:rPr>
                <w:rFonts w:hint="eastAsia" w:ascii="宋体" w:hAnsi="宋体" w:eastAsia="宋体" w:cs="宋体"/>
                <w:kern w:val="0"/>
                <w:szCs w:val="21"/>
                <w:shd w:val="clear" w:color="auto" w:fill="FFFFFF"/>
              </w:rPr>
              <w:t>合同签订</w:t>
            </w:r>
            <w:r>
              <w:rPr>
                <w:rFonts w:hint="eastAsia" w:ascii="宋体" w:hAnsi="宋体" w:eastAsia="宋体" w:cs="宋体"/>
                <w:szCs w:val="21"/>
              </w:rPr>
              <w:t>后</w:t>
            </w:r>
            <w:r>
              <w:rPr>
                <w:rFonts w:hint="eastAsia" w:ascii="宋体" w:hAnsi="宋体" w:cs="宋体"/>
                <w:szCs w:val="21"/>
                <w:lang w:val="en-US" w:eastAsia="zh-CN"/>
              </w:rPr>
              <w:t>25</w:t>
            </w:r>
            <w:r>
              <w:rPr>
                <w:rFonts w:hint="eastAsia" w:ascii="宋体" w:hAnsi="宋体" w:eastAsia="宋体" w:cs="宋体"/>
                <w:szCs w:val="21"/>
              </w:rPr>
              <w:t>个内完成现场勘查并提交测量成果/钻探方案/勘察报告（送审稿）。</w:t>
            </w:r>
          </w:p>
          <w:p w14:paraId="67BD35A4">
            <w:pPr>
              <w:keepNext w:val="0"/>
              <w:keepLines w:val="0"/>
              <w:widowControl/>
              <w:suppressLineNumbers w:val="0"/>
              <w:spacing w:line="360" w:lineRule="auto"/>
              <w:jc w:val="left"/>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r>
              <w:rPr>
                <w:rFonts w:hint="eastAsia" w:ascii="宋体" w:hAnsi="宋体" w:cs="宋体"/>
                <w:i w:val="0"/>
                <w:color w:val="000000"/>
                <w:kern w:val="0"/>
                <w:sz w:val="21"/>
                <w:szCs w:val="21"/>
                <w:highlight w:val="none"/>
                <w:u w:val="none"/>
                <w:lang w:val="en-US" w:eastAsia="zh-CN" w:bidi="ar"/>
              </w:rPr>
              <w:t>2）</w:t>
            </w:r>
            <w:r>
              <w:rPr>
                <w:rFonts w:hint="eastAsia" w:ascii="宋体" w:hAnsi="宋体" w:eastAsia="宋体" w:cs="宋体"/>
                <w:szCs w:val="21"/>
              </w:rPr>
              <w:t>审查机构出具勘察报告审查意见后 5 个日历天内完成补充、修改。</w:t>
            </w:r>
          </w:p>
          <w:p w14:paraId="675B9DC9">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设计周期：</w:t>
            </w:r>
            <w:r>
              <w:rPr>
                <w:rFonts w:hint="eastAsia" w:ascii="宋体" w:hAnsi="宋体" w:cs="宋体"/>
                <w:i w:val="0"/>
                <w:color w:val="000000"/>
                <w:kern w:val="0"/>
                <w:sz w:val="21"/>
                <w:szCs w:val="21"/>
                <w:highlight w:val="none"/>
                <w:u w:val="single"/>
                <w:lang w:val="en-US" w:eastAsia="zh-CN" w:bidi="ar"/>
              </w:rPr>
              <w:t>90</w:t>
            </w:r>
            <w:r>
              <w:rPr>
                <w:rFonts w:hint="eastAsia" w:ascii="宋体" w:hAnsi="宋体" w:eastAsia="宋体" w:cs="宋体"/>
                <w:i w:val="0"/>
                <w:color w:val="000000"/>
                <w:kern w:val="0"/>
                <w:sz w:val="21"/>
                <w:szCs w:val="21"/>
                <w:highlight w:val="none"/>
                <w:u w:val="none"/>
                <w:lang w:val="en-US" w:eastAsia="zh-CN" w:bidi="ar"/>
              </w:rPr>
              <w:t>个日历天</w:t>
            </w:r>
          </w:p>
          <w:p w14:paraId="6C00024C">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r>
              <w:rPr>
                <w:rFonts w:hint="eastAsia" w:ascii="宋体" w:hAnsi="宋体" w:eastAsia="宋体" w:cs="宋体"/>
                <w:sz w:val="20"/>
                <w:szCs w:val="20"/>
              </w:rPr>
              <w:t>合同签订后</w:t>
            </w:r>
            <w:r>
              <w:rPr>
                <w:rFonts w:hint="eastAsia" w:ascii="宋体" w:hAnsi="宋体" w:cs="宋体"/>
                <w:szCs w:val="21"/>
                <w:lang w:val="en-US" w:eastAsia="zh-CN"/>
              </w:rPr>
              <w:t>25</w:t>
            </w:r>
            <w:r>
              <w:rPr>
                <w:rFonts w:hint="eastAsia" w:ascii="宋体" w:hAnsi="宋体" w:eastAsia="宋体" w:cs="宋体"/>
                <w:szCs w:val="21"/>
              </w:rPr>
              <w:t>个日历天内提供初步设计文件（含概算送审稿）</w:t>
            </w:r>
            <w:r>
              <w:rPr>
                <w:rFonts w:hint="eastAsia" w:ascii="宋体" w:hAnsi="宋体" w:eastAsia="宋体" w:cs="宋体"/>
                <w:i w:val="0"/>
                <w:color w:val="000000"/>
                <w:kern w:val="0"/>
                <w:sz w:val="21"/>
                <w:szCs w:val="21"/>
                <w:highlight w:val="none"/>
                <w:u w:val="none"/>
                <w:lang w:val="en-US" w:eastAsia="zh-CN" w:bidi="ar"/>
              </w:rPr>
              <w:t>；</w:t>
            </w:r>
          </w:p>
          <w:p w14:paraId="2A8DC655">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szCs w:val="21"/>
              </w:rPr>
              <w:t>初步设计评审后1</w:t>
            </w:r>
            <w:r>
              <w:rPr>
                <w:rFonts w:hint="eastAsia" w:ascii="宋体" w:hAnsi="宋体" w:cs="宋体"/>
                <w:szCs w:val="21"/>
                <w:lang w:val="en-US" w:eastAsia="zh-CN"/>
              </w:rPr>
              <w:t>5</w:t>
            </w:r>
            <w:r>
              <w:rPr>
                <w:rFonts w:hint="eastAsia" w:ascii="宋体" w:hAnsi="宋体" w:eastAsia="宋体" w:cs="宋体"/>
                <w:szCs w:val="21"/>
              </w:rPr>
              <w:t>个日历天内完成初步设计修编稿及配合报批</w:t>
            </w:r>
            <w:r>
              <w:rPr>
                <w:rFonts w:hint="eastAsia" w:ascii="宋体" w:hAnsi="宋体" w:eastAsia="宋体" w:cs="宋体"/>
                <w:i w:val="0"/>
                <w:color w:val="000000"/>
                <w:kern w:val="0"/>
                <w:sz w:val="21"/>
                <w:szCs w:val="21"/>
                <w:highlight w:val="none"/>
                <w:u w:val="none"/>
                <w:lang w:val="en-US" w:eastAsia="zh-CN" w:bidi="ar"/>
              </w:rPr>
              <w:t>；</w:t>
            </w:r>
          </w:p>
          <w:p w14:paraId="562E73DE">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r>
              <w:rPr>
                <w:rFonts w:hint="eastAsia" w:ascii="宋体" w:hAnsi="宋体" w:eastAsia="宋体" w:cs="宋体"/>
                <w:szCs w:val="21"/>
              </w:rPr>
              <w:t>初步设计审查批复后</w:t>
            </w:r>
            <w:r>
              <w:rPr>
                <w:rFonts w:hint="eastAsia" w:ascii="宋体" w:hAnsi="宋体" w:cs="宋体"/>
                <w:szCs w:val="21"/>
                <w:lang w:val="en-US" w:eastAsia="zh-CN"/>
              </w:rPr>
              <w:t>35</w:t>
            </w:r>
            <w:r>
              <w:rPr>
                <w:rFonts w:hint="eastAsia" w:ascii="宋体" w:hAnsi="宋体" w:eastAsia="宋体" w:cs="宋体"/>
                <w:szCs w:val="21"/>
              </w:rPr>
              <w:t>个日历天内完成施工图设计并送审</w:t>
            </w:r>
            <w:r>
              <w:rPr>
                <w:rFonts w:hint="eastAsia" w:ascii="宋体" w:hAnsi="宋体" w:eastAsia="宋体" w:cs="宋体"/>
                <w:i w:val="0"/>
                <w:color w:val="000000"/>
                <w:kern w:val="0"/>
                <w:sz w:val="21"/>
                <w:szCs w:val="21"/>
                <w:highlight w:val="none"/>
                <w:u w:val="none"/>
                <w:lang w:val="en-US" w:eastAsia="zh-CN" w:bidi="ar"/>
              </w:rPr>
              <w:t>；</w:t>
            </w:r>
          </w:p>
          <w:p w14:paraId="48A68A34">
            <w:pPr>
              <w:keepNext w:val="0"/>
              <w:keepLines w:val="0"/>
              <w:widowControl/>
              <w:suppressLineNumbers w:val="0"/>
              <w:spacing w:line="360" w:lineRule="auto"/>
              <w:jc w:val="both"/>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r>
              <w:rPr>
                <w:rFonts w:hint="eastAsia" w:ascii="宋体" w:hAnsi="宋体" w:eastAsia="宋体" w:cs="宋体"/>
                <w:szCs w:val="21"/>
              </w:rPr>
              <w:t>施工图审查完成后 1</w:t>
            </w:r>
            <w:r>
              <w:rPr>
                <w:rFonts w:hint="eastAsia" w:ascii="宋体" w:hAnsi="宋体" w:cs="宋体"/>
                <w:szCs w:val="21"/>
                <w:lang w:val="en-US" w:eastAsia="zh-CN"/>
              </w:rPr>
              <w:t>5</w:t>
            </w:r>
            <w:r>
              <w:rPr>
                <w:rFonts w:hint="eastAsia" w:ascii="宋体" w:hAnsi="宋体" w:eastAsia="宋体" w:cs="宋体"/>
                <w:szCs w:val="21"/>
              </w:rPr>
              <w:t xml:space="preserve"> 个日历天内提交正式版施工图</w:t>
            </w:r>
            <w:r>
              <w:rPr>
                <w:rFonts w:hint="eastAsia" w:ascii="宋体" w:hAnsi="宋体" w:cs="宋体"/>
                <w:szCs w:val="21"/>
                <w:lang w:eastAsia="zh-CN"/>
              </w:rPr>
              <w:t>。</w:t>
            </w:r>
            <w:permEnd w:id="19"/>
          </w:p>
        </w:tc>
      </w:tr>
      <w:tr w14:paraId="4411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7083A09A">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最高投标限价</w:t>
            </w:r>
          </w:p>
        </w:tc>
        <w:tc>
          <w:tcPr>
            <w:tcW w:w="7664" w:type="dxa"/>
            <w:gridSpan w:val="3"/>
            <w:tcBorders>
              <w:tl2br w:val="nil"/>
              <w:tr2bl w:val="nil"/>
            </w:tcBorders>
            <w:noWrap w:val="0"/>
            <w:vAlign w:val="center"/>
          </w:tcPr>
          <w:p w14:paraId="5C9C5333">
            <w:pPr>
              <w:keepNext w:val="0"/>
              <w:keepLines w:val="0"/>
              <w:widowControl/>
              <w:suppressLineNumbers w:val="0"/>
              <w:spacing w:line="360" w:lineRule="auto"/>
              <w:jc w:val="both"/>
              <w:textAlignment w:val="center"/>
              <w:rPr>
                <w:rFonts w:hint="default" w:ascii="宋体" w:hAnsi="宋体" w:eastAsia="宋体" w:cs="宋体"/>
                <w:i w:val="0"/>
                <w:color w:val="auto"/>
                <w:sz w:val="20"/>
                <w:szCs w:val="20"/>
                <w:highlight w:val="none"/>
                <w:u w:val="none"/>
                <w:lang w:val="en-US" w:eastAsia="zh-CN"/>
              </w:rPr>
            </w:pPr>
            <w:permStart w:id="20" w:edGrp="everyone"/>
            <w:r>
              <w:rPr>
                <w:rFonts w:hint="eastAsia" w:ascii="宋体" w:hAnsi="宋体" w:cs="宋体"/>
                <w:i w:val="0"/>
                <w:color w:val="auto"/>
                <w:kern w:val="0"/>
                <w:sz w:val="20"/>
                <w:szCs w:val="20"/>
                <w:highlight w:val="none"/>
                <w:u w:val="none"/>
                <w:lang w:val="en-US" w:eastAsia="zh-CN" w:bidi="ar"/>
              </w:rPr>
              <w:t xml:space="preserve"> 勘察设计费</w:t>
            </w:r>
            <w:r>
              <w:rPr>
                <w:rFonts w:hint="default" w:ascii="Times New Roman" w:hAnsi="Times New Roman" w:cs="Times New Roman"/>
                <w:color w:val="auto"/>
                <w:szCs w:val="24"/>
                <w:highlight w:val="none"/>
                <w:u w:val="none"/>
                <w:lang w:val="en-US" w:eastAsia="zh-CN"/>
              </w:rPr>
              <w:t>最高投标限价为</w:t>
            </w:r>
            <w:r>
              <w:rPr>
                <w:rFonts w:hint="eastAsia" w:ascii="宋体" w:hAnsi="宋体" w:cs="宋体"/>
                <w:i w:val="0"/>
                <w:color w:val="auto"/>
                <w:kern w:val="0"/>
                <w:sz w:val="20"/>
                <w:szCs w:val="20"/>
                <w:highlight w:val="none"/>
                <w:u w:val="none"/>
                <w:lang w:val="en-US" w:eastAsia="zh-CN" w:bidi="ar"/>
              </w:rPr>
              <w:t>5553360.00元，其中勘察费</w:t>
            </w:r>
            <w:r>
              <w:rPr>
                <w:rFonts w:hint="default" w:ascii="Times New Roman" w:hAnsi="Times New Roman" w:cs="Times New Roman"/>
                <w:color w:val="auto"/>
                <w:szCs w:val="24"/>
                <w:highlight w:val="none"/>
                <w:u w:val="none"/>
                <w:lang w:val="en-US" w:eastAsia="zh-CN"/>
              </w:rPr>
              <w:t>最高投标限价为</w:t>
            </w:r>
            <w:r>
              <w:rPr>
                <w:rFonts w:hint="eastAsia" w:ascii="宋体" w:hAnsi="宋体" w:eastAsia="宋体" w:cs="宋体"/>
                <w:color w:val="000000"/>
                <w:kern w:val="0"/>
                <w:sz w:val="19"/>
                <w:szCs w:val="19"/>
                <w:lang w:val="en-US" w:eastAsia="zh-CN" w:bidi="ar"/>
              </w:rPr>
              <w:t>2282</w:t>
            </w:r>
            <w:r>
              <w:rPr>
                <w:rFonts w:hint="eastAsia" w:ascii="宋体" w:hAnsi="宋体" w:cs="宋体"/>
                <w:color w:val="000000"/>
                <w:kern w:val="0"/>
                <w:sz w:val="19"/>
                <w:szCs w:val="19"/>
                <w:lang w:val="en-US" w:eastAsia="zh-CN" w:bidi="ar"/>
              </w:rPr>
              <w:t>900.00*（1-40%）=1369740.00</w:t>
            </w:r>
            <w:r>
              <w:rPr>
                <w:rFonts w:hint="eastAsia" w:ascii="宋体" w:hAnsi="宋体" w:cs="宋体"/>
                <w:i w:val="0"/>
                <w:color w:val="auto"/>
                <w:kern w:val="0"/>
                <w:sz w:val="20"/>
                <w:szCs w:val="20"/>
                <w:highlight w:val="none"/>
                <w:u w:val="none"/>
                <w:lang w:val="en-US" w:eastAsia="zh-CN" w:bidi="ar"/>
              </w:rPr>
              <w:t>元设计费</w:t>
            </w:r>
            <w:r>
              <w:rPr>
                <w:rFonts w:hint="default" w:ascii="Times New Roman" w:hAnsi="Times New Roman" w:cs="Times New Roman"/>
                <w:color w:val="auto"/>
                <w:szCs w:val="24"/>
                <w:highlight w:val="none"/>
                <w:u w:val="none"/>
                <w:lang w:val="en-US" w:eastAsia="zh-CN"/>
              </w:rPr>
              <w:t>最高投标限价为</w:t>
            </w:r>
            <w:r>
              <w:rPr>
                <w:rFonts w:hint="eastAsia" w:ascii="宋体" w:hAnsi="宋体" w:cs="宋体"/>
                <w:i w:val="0"/>
                <w:color w:val="auto"/>
                <w:kern w:val="0"/>
                <w:sz w:val="20"/>
                <w:szCs w:val="20"/>
                <w:highlight w:val="none"/>
                <w:u w:val="none"/>
                <w:lang w:val="en-US" w:eastAsia="zh-CN" w:bidi="ar"/>
              </w:rPr>
              <w:t xml:space="preserve">6972700.00*（1-40%）=4183620.00元。 </w:t>
            </w:r>
            <w:permEnd w:id="20"/>
          </w:p>
        </w:tc>
      </w:tr>
      <w:tr w14:paraId="463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6E88CFB4">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是否接受联合体投标</w:t>
            </w:r>
          </w:p>
        </w:tc>
        <w:tc>
          <w:tcPr>
            <w:tcW w:w="7664" w:type="dxa"/>
            <w:gridSpan w:val="3"/>
            <w:tcBorders>
              <w:tl2br w:val="nil"/>
              <w:tr2bl w:val="nil"/>
            </w:tcBorders>
            <w:noWrap w:val="0"/>
            <w:vAlign w:val="center"/>
          </w:tcPr>
          <w:p w14:paraId="00504DA0">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21" w:edGrp="everyone"/>
            <w:r>
              <w:rPr>
                <w:rFonts w:hint="eastAsia" w:ascii="宋体" w:hAnsi="宋体" w:cs="宋体"/>
                <w:i w:val="0"/>
                <w:color w:val="auto"/>
                <w:kern w:val="0"/>
                <w:sz w:val="20"/>
                <w:szCs w:val="20"/>
                <w:highlight w:val="none"/>
                <w:u w:val="none"/>
                <w:lang w:val="en-US" w:eastAsia="zh-CN" w:bidi="ar"/>
              </w:rPr>
              <w:t>是</w:t>
            </w:r>
            <w:permEnd w:id="21"/>
          </w:p>
        </w:tc>
      </w:tr>
      <w:tr w14:paraId="62F6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028" w:type="dxa"/>
            <w:tcBorders>
              <w:tl2br w:val="nil"/>
              <w:tr2bl w:val="nil"/>
            </w:tcBorders>
            <w:noWrap w:val="0"/>
            <w:vAlign w:val="center"/>
          </w:tcPr>
          <w:p w14:paraId="61558078">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投标资格能力要求</w:t>
            </w:r>
          </w:p>
        </w:tc>
        <w:tc>
          <w:tcPr>
            <w:tcW w:w="7664" w:type="dxa"/>
            <w:gridSpan w:val="3"/>
            <w:tcBorders>
              <w:tl2br w:val="nil"/>
              <w:tr2bl w:val="nil"/>
            </w:tcBorders>
            <w:noWrap w:val="0"/>
            <w:vAlign w:val="center"/>
          </w:tcPr>
          <w:p w14:paraId="2D66917A">
            <w:pPr>
              <w:widowControl/>
              <w:spacing w:line="360" w:lineRule="auto"/>
              <w:ind w:firstLine="420" w:firstLineChars="200"/>
              <w:rPr>
                <w:rFonts w:hint="eastAsia" w:ascii="宋体" w:hAnsi="宋体" w:cs="Arial"/>
                <w:szCs w:val="21"/>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 xml:space="preserve">. </w:t>
            </w:r>
            <w:r>
              <w:rPr>
                <w:rFonts w:ascii="宋体" w:hAnsi="宋体" w:cs="Arial"/>
                <w:color w:val="auto"/>
                <w:szCs w:val="21"/>
                <w:highlight w:val="none"/>
              </w:rPr>
              <w:t>要求投标人具备</w:t>
            </w:r>
            <w:r>
              <w:rPr>
                <w:rFonts w:hint="eastAsia" w:ascii="宋体" w:hAnsi="宋体" w:cs="Arial"/>
                <w:color w:val="auto"/>
                <w:szCs w:val="21"/>
                <w:highlight w:val="none"/>
              </w:rPr>
              <w:t>有效的</w:t>
            </w:r>
            <w:permStart w:id="22" w:edGrp="everyone"/>
            <w:r>
              <w:rPr>
                <w:rFonts w:hint="eastAsia" w:ascii="宋体" w:hAnsi="宋体" w:cs="Arial"/>
                <w:szCs w:val="21"/>
              </w:rPr>
              <w:t>同时具备主管部门颁发的勘察、设计资质：</w:t>
            </w:r>
          </w:p>
          <w:p w14:paraId="06914573">
            <w:pPr>
              <w:widowControl/>
              <w:spacing w:line="360" w:lineRule="auto"/>
              <w:ind w:firstLine="420" w:firstLineChars="200"/>
              <w:rPr>
                <w:rFonts w:hint="eastAsia" w:ascii="宋体" w:hAnsi="宋体" w:cs="Arial"/>
                <w:szCs w:val="21"/>
              </w:rPr>
            </w:pPr>
            <w:r>
              <w:rPr>
                <w:rFonts w:hint="eastAsia" w:ascii="宋体" w:hAnsi="宋体" w:cs="Arial"/>
                <w:szCs w:val="21"/>
                <w:lang w:eastAsia="zh-CN"/>
              </w:rPr>
              <w:t>（</w:t>
            </w:r>
            <w:r>
              <w:rPr>
                <w:rFonts w:hint="eastAsia" w:ascii="宋体" w:hAnsi="宋体" w:cs="Arial"/>
                <w:szCs w:val="21"/>
                <w:lang w:val="en-US" w:eastAsia="zh-CN"/>
              </w:rPr>
              <w:t>1</w:t>
            </w:r>
            <w:r>
              <w:rPr>
                <w:rFonts w:hint="eastAsia" w:ascii="宋体" w:hAnsi="宋体" w:cs="Arial"/>
                <w:szCs w:val="21"/>
                <w:lang w:eastAsia="zh-CN"/>
              </w:rPr>
              <w:t>）</w:t>
            </w:r>
            <w:r>
              <w:rPr>
                <w:rFonts w:hint="eastAsia" w:ascii="宋体" w:hAnsi="宋体" w:cs="Arial"/>
                <w:szCs w:val="21"/>
              </w:rPr>
              <w:t>勘察资质：</w:t>
            </w:r>
            <w:r>
              <w:rPr>
                <w:rFonts w:ascii="宋体" w:hAnsi="宋体" w:eastAsia="宋体" w:cs="宋体"/>
                <w:i w:val="0"/>
                <w:iCs w:val="0"/>
                <w:caps w:val="0"/>
                <w:color w:val="333333"/>
                <w:spacing w:val="0"/>
                <w:kern w:val="0"/>
                <w:sz w:val="21"/>
                <w:szCs w:val="21"/>
                <w:shd w:val="clear" w:color="auto" w:fill="FFFFFF"/>
                <w:vertAlign w:val="baseline"/>
                <w:lang w:val="en-US" w:eastAsia="zh-CN" w:bidi="ar"/>
              </w:rPr>
              <w:t>须具备以下①②</w:t>
            </w:r>
            <w:r>
              <w:rPr>
                <w:rFonts w:ascii="宋体" w:hAnsi="宋体" w:eastAsia="宋体" w:cs="宋体"/>
                <w:i w:val="0"/>
                <w:iCs w:val="0"/>
                <w:caps w:val="0"/>
                <w:color w:val="333333"/>
                <w:spacing w:val="0"/>
                <w:kern w:val="0"/>
                <w:sz w:val="21"/>
                <w:szCs w:val="21"/>
                <w:shd w:val="clear" w:color="auto" w:fill="FFFFFF"/>
                <w:lang w:val="en-US" w:eastAsia="zh-CN" w:bidi="ar"/>
              </w:rPr>
              <w:t>③</w:t>
            </w:r>
            <w:r>
              <w:rPr>
                <w:rFonts w:ascii="宋体" w:hAnsi="宋体" w:eastAsia="宋体" w:cs="宋体"/>
                <w:i w:val="0"/>
                <w:iCs w:val="0"/>
                <w:caps w:val="0"/>
                <w:color w:val="333333"/>
                <w:spacing w:val="0"/>
                <w:kern w:val="0"/>
                <w:sz w:val="21"/>
                <w:szCs w:val="21"/>
                <w:shd w:val="clear" w:color="auto" w:fill="FFFFFF"/>
                <w:vertAlign w:val="baseline"/>
                <w:lang w:val="en-US" w:eastAsia="zh-CN" w:bidi="ar"/>
              </w:rPr>
              <w:t>资质要求之一</w:t>
            </w:r>
          </w:p>
          <w:p w14:paraId="40E25670">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vertAlign w:val="baseline"/>
                <w:lang w:val="en-US" w:eastAsia="zh-CN" w:bidi="ar"/>
              </w:rPr>
              <w:t>①</w:t>
            </w:r>
            <w:r>
              <w:rPr>
                <w:rFonts w:hint="eastAsia" w:ascii="宋体" w:hAnsi="宋体" w:cs="Arial"/>
                <w:szCs w:val="21"/>
              </w:rPr>
              <w:t>工程勘察综合甲级资质；</w:t>
            </w:r>
          </w:p>
          <w:p w14:paraId="630F6F44">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vertAlign w:val="baseline"/>
                <w:lang w:val="en-US" w:eastAsia="zh-CN" w:bidi="ar"/>
              </w:rPr>
              <w:t>②</w:t>
            </w:r>
            <w:r>
              <w:rPr>
                <w:rFonts w:hint="eastAsia" w:ascii="宋体" w:hAnsi="宋体" w:cs="Arial"/>
                <w:szCs w:val="21"/>
              </w:rPr>
              <w:t>工程勘察岩土工程专业乙级或以上资质；</w:t>
            </w:r>
          </w:p>
          <w:p w14:paraId="570503F4">
            <w:pPr>
              <w:pStyle w:val="8"/>
              <w:ind w:firstLine="420" w:firstLineChars="200"/>
              <w:rPr>
                <w:rFonts w:hint="eastAsia"/>
              </w:rPr>
            </w:pPr>
            <w:r>
              <w:rPr>
                <w:rFonts w:ascii="宋体" w:hAnsi="宋体" w:eastAsia="宋体" w:cs="宋体"/>
                <w:i w:val="0"/>
                <w:iCs w:val="0"/>
                <w:caps w:val="0"/>
                <w:color w:val="333333"/>
                <w:spacing w:val="0"/>
                <w:kern w:val="0"/>
                <w:sz w:val="21"/>
                <w:szCs w:val="21"/>
                <w:shd w:val="clear" w:color="auto" w:fill="FFFFFF"/>
                <w:lang w:val="en-US" w:eastAsia="zh-CN" w:bidi="ar"/>
              </w:rPr>
              <w:t>③</w:t>
            </w:r>
            <w:r>
              <w:rPr>
                <w:rFonts w:hint="eastAsia" w:ascii="宋体" w:hAnsi="宋体" w:cs="Arial"/>
                <w:szCs w:val="21"/>
              </w:rPr>
              <w:t>工程勘察岩土工程专业（岩土工程勘察）</w:t>
            </w:r>
            <w:r>
              <w:rPr>
                <w:rFonts w:hint="eastAsia" w:ascii="宋体" w:hAnsi="宋体" w:cs="Arial"/>
                <w:szCs w:val="21"/>
                <w:lang w:val="en-US" w:eastAsia="zh-CN"/>
              </w:rPr>
              <w:t>乙</w:t>
            </w:r>
            <w:r>
              <w:rPr>
                <w:rFonts w:hint="eastAsia" w:ascii="宋体" w:hAnsi="宋体" w:cs="Arial"/>
                <w:szCs w:val="21"/>
              </w:rPr>
              <w:t>级或以上资质。</w:t>
            </w:r>
          </w:p>
          <w:p w14:paraId="5601FA4F">
            <w:pPr>
              <w:widowControl/>
              <w:spacing w:line="360" w:lineRule="auto"/>
              <w:ind w:firstLine="420" w:firstLineChars="200"/>
              <w:rPr>
                <w:rFonts w:hint="eastAsia" w:ascii="宋体" w:hAnsi="宋体" w:cs="Arial"/>
                <w:szCs w:val="21"/>
              </w:rPr>
            </w:pPr>
            <w:r>
              <w:rPr>
                <w:rFonts w:hint="eastAsia" w:ascii="宋体" w:hAnsi="宋体" w:cs="Arial"/>
                <w:szCs w:val="21"/>
                <w:lang w:eastAsia="zh-CN"/>
              </w:rPr>
              <w:t>（</w:t>
            </w:r>
            <w:r>
              <w:rPr>
                <w:rFonts w:hint="eastAsia" w:ascii="宋体" w:hAnsi="宋体" w:cs="Arial"/>
                <w:szCs w:val="21"/>
                <w:lang w:val="en-US" w:eastAsia="zh-CN"/>
              </w:rPr>
              <w:t>2</w:t>
            </w:r>
            <w:r>
              <w:rPr>
                <w:rFonts w:hint="eastAsia" w:ascii="宋体" w:hAnsi="宋体" w:cs="Arial"/>
                <w:szCs w:val="21"/>
                <w:lang w:eastAsia="zh-CN"/>
              </w:rPr>
              <w:t>）</w:t>
            </w:r>
            <w:r>
              <w:rPr>
                <w:rFonts w:hint="eastAsia" w:ascii="宋体" w:hAnsi="宋体" w:cs="Arial"/>
                <w:szCs w:val="21"/>
              </w:rPr>
              <w:t>设计资质：</w:t>
            </w:r>
            <w:r>
              <w:rPr>
                <w:rFonts w:ascii="宋体" w:hAnsi="宋体" w:eastAsia="宋体" w:cs="宋体"/>
                <w:i w:val="0"/>
                <w:iCs w:val="0"/>
                <w:caps w:val="0"/>
                <w:color w:val="333333"/>
                <w:spacing w:val="0"/>
                <w:kern w:val="0"/>
                <w:sz w:val="21"/>
                <w:szCs w:val="21"/>
                <w:shd w:val="clear" w:color="auto" w:fill="FFFFFF"/>
                <w:vertAlign w:val="baseline"/>
                <w:lang w:val="en-US" w:eastAsia="zh-CN" w:bidi="ar"/>
              </w:rPr>
              <w:t>须具备以下①②</w:t>
            </w:r>
            <w:r>
              <w:rPr>
                <w:rFonts w:ascii="宋体" w:hAnsi="宋体" w:eastAsia="宋体" w:cs="宋体"/>
                <w:i w:val="0"/>
                <w:iCs w:val="0"/>
                <w:caps w:val="0"/>
                <w:color w:val="333333"/>
                <w:spacing w:val="0"/>
                <w:kern w:val="0"/>
                <w:sz w:val="21"/>
                <w:szCs w:val="21"/>
                <w:shd w:val="clear" w:color="auto" w:fill="FFFFFF"/>
                <w:lang w:val="en-US" w:eastAsia="zh-CN" w:bidi="ar"/>
              </w:rPr>
              <w:t>③</w:t>
            </w:r>
            <w:r>
              <w:rPr>
                <w:rFonts w:hint="eastAsia" w:ascii="宋体" w:hAnsi="宋体" w:eastAsia="宋体" w:cs="宋体"/>
                <w:szCs w:val="21"/>
              </w:rPr>
              <w:t>④</w:t>
            </w:r>
            <w:r>
              <w:rPr>
                <w:rFonts w:ascii="宋体" w:hAnsi="宋体" w:eastAsia="宋体" w:cs="宋体"/>
                <w:i w:val="0"/>
                <w:iCs w:val="0"/>
                <w:caps w:val="0"/>
                <w:color w:val="333333"/>
                <w:spacing w:val="0"/>
                <w:kern w:val="0"/>
                <w:sz w:val="21"/>
                <w:szCs w:val="21"/>
                <w:shd w:val="clear" w:color="auto" w:fill="FFFFFF"/>
                <w:vertAlign w:val="baseline"/>
                <w:lang w:val="en-US" w:eastAsia="zh-CN" w:bidi="ar"/>
              </w:rPr>
              <w:t>资质要求之一</w:t>
            </w:r>
          </w:p>
          <w:p w14:paraId="7FC8BBE7">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vertAlign w:val="baseline"/>
                <w:lang w:val="en-US" w:eastAsia="zh-CN" w:bidi="ar"/>
              </w:rPr>
              <w:t>①</w:t>
            </w:r>
            <w:r>
              <w:rPr>
                <w:rFonts w:hint="eastAsia" w:ascii="宋体" w:hAnsi="宋体" w:cs="Arial"/>
                <w:szCs w:val="21"/>
              </w:rPr>
              <w:t>工程设计综合甲级资质；</w:t>
            </w:r>
          </w:p>
          <w:p w14:paraId="0E02DD00">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vertAlign w:val="baseline"/>
                <w:lang w:val="en-US" w:eastAsia="zh-CN" w:bidi="ar"/>
              </w:rPr>
              <w:t>②</w:t>
            </w:r>
            <w:r>
              <w:rPr>
                <w:rFonts w:hint="eastAsia" w:ascii="宋体" w:hAnsi="宋体" w:cs="Arial"/>
                <w:szCs w:val="21"/>
              </w:rPr>
              <w:t>工程设计市政行业乙级或以上资质；</w:t>
            </w:r>
          </w:p>
          <w:p w14:paraId="20C26F08">
            <w:pPr>
              <w:widowControl/>
              <w:spacing w:line="360" w:lineRule="auto"/>
              <w:ind w:firstLine="420" w:firstLineChars="200"/>
              <w:rPr>
                <w:rFonts w:hint="eastAsia" w:ascii="宋体" w:hAnsi="宋体" w:cs="Arial"/>
                <w:szCs w:val="21"/>
              </w:rPr>
            </w:pPr>
            <w:r>
              <w:rPr>
                <w:rFonts w:ascii="宋体" w:hAnsi="宋体" w:eastAsia="宋体" w:cs="宋体"/>
                <w:i w:val="0"/>
                <w:iCs w:val="0"/>
                <w:caps w:val="0"/>
                <w:color w:val="333333"/>
                <w:spacing w:val="0"/>
                <w:kern w:val="0"/>
                <w:sz w:val="21"/>
                <w:szCs w:val="21"/>
                <w:shd w:val="clear" w:color="auto" w:fill="FFFFFF"/>
                <w:lang w:val="en-US" w:eastAsia="zh-CN" w:bidi="ar"/>
              </w:rPr>
              <w:t>③</w:t>
            </w:r>
            <w:r>
              <w:rPr>
                <w:rFonts w:hint="eastAsia" w:ascii="宋体" w:hAnsi="宋体" w:cs="Arial"/>
                <w:strike w:val="0"/>
                <w:dstrike w:val="0"/>
                <w:color w:val="auto"/>
                <w:szCs w:val="21"/>
              </w:rPr>
              <w:t>工程设计市政行业（燃气工程、轨道交通工程除外）乙级或以上资质</w:t>
            </w:r>
            <w:r>
              <w:rPr>
                <w:rFonts w:hint="eastAsia" w:ascii="宋体" w:hAnsi="宋体" w:cs="Arial"/>
                <w:strike w:val="0"/>
                <w:dstrike w:val="0"/>
                <w:szCs w:val="21"/>
              </w:rPr>
              <w:t>；</w:t>
            </w:r>
          </w:p>
          <w:p w14:paraId="4091FFDA">
            <w:pPr>
              <w:widowControl/>
              <w:spacing w:line="360" w:lineRule="auto"/>
              <w:ind w:firstLine="420" w:firstLineChars="200"/>
              <w:rPr>
                <w:rFonts w:hint="eastAsia" w:ascii="宋体" w:hAnsi="宋体" w:cs="Arial"/>
                <w:color w:val="auto"/>
                <w:szCs w:val="21"/>
                <w:highlight w:val="none"/>
              </w:rPr>
            </w:pPr>
            <w:r>
              <w:rPr>
                <w:rFonts w:hint="eastAsia" w:ascii="宋体" w:hAnsi="宋体" w:eastAsia="宋体" w:cs="宋体"/>
                <w:szCs w:val="21"/>
              </w:rPr>
              <w:t>④</w:t>
            </w:r>
            <w:r>
              <w:rPr>
                <w:rFonts w:hint="eastAsia" w:ascii="宋体" w:hAnsi="宋体" w:cs="Arial"/>
                <w:color w:val="000000"/>
                <w:szCs w:val="21"/>
              </w:rPr>
              <w:t>工程设计市政行业（道路工程）专业</w:t>
            </w:r>
            <w:r>
              <w:rPr>
                <w:rFonts w:hint="eastAsia" w:ascii="宋体" w:hAnsi="宋体" w:cs="Arial"/>
                <w:color w:val="000000"/>
                <w:szCs w:val="21"/>
                <w:lang w:val="en-US" w:eastAsia="zh-CN"/>
              </w:rPr>
              <w:t>乙</w:t>
            </w:r>
            <w:r>
              <w:rPr>
                <w:rFonts w:hint="eastAsia" w:ascii="宋体" w:hAnsi="宋体" w:cs="Arial"/>
                <w:color w:val="000000"/>
                <w:szCs w:val="21"/>
              </w:rPr>
              <w:t>级或以上资质</w:t>
            </w:r>
            <w:r>
              <w:rPr>
                <w:rFonts w:hint="eastAsia" w:ascii="宋体" w:hAnsi="宋体" w:cs="Arial"/>
                <w:color w:val="000000"/>
                <w:szCs w:val="21"/>
                <w:lang w:eastAsia="zh-CN"/>
              </w:rPr>
              <w:t>，</w:t>
            </w:r>
            <w:r>
              <w:rPr>
                <w:rFonts w:hint="eastAsia" w:ascii="宋体" w:hAnsi="宋体" w:cs="Arial"/>
                <w:color w:val="000000"/>
                <w:szCs w:val="21"/>
                <w:lang w:val="en-US" w:eastAsia="zh-CN"/>
              </w:rPr>
              <w:t>及</w:t>
            </w:r>
            <w:r>
              <w:rPr>
                <w:rFonts w:hint="eastAsia" w:ascii="宋体" w:hAnsi="宋体" w:cs="Arial"/>
                <w:color w:val="000000"/>
                <w:szCs w:val="21"/>
              </w:rPr>
              <w:t>工程设计市政行业（</w:t>
            </w:r>
            <w:r>
              <w:rPr>
                <w:rFonts w:hint="eastAsia" w:ascii="宋体" w:hAnsi="宋体" w:cs="Arial"/>
                <w:color w:val="000000"/>
                <w:szCs w:val="21"/>
                <w:lang w:val="en-US" w:eastAsia="zh-CN"/>
              </w:rPr>
              <w:t>桥梁</w:t>
            </w:r>
            <w:r>
              <w:rPr>
                <w:rFonts w:hint="eastAsia" w:ascii="宋体" w:hAnsi="宋体" w:cs="Arial"/>
                <w:color w:val="000000"/>
                <w:szCs w:val="21"/>
              </w:rPr>
              <w:t>工程）专业</w:t>
            </w:r>
            <w:r>
              <w:rPr>
                <w:rFonts w:hint="eastAsia" w:ascii="宋体" w:hAnsi="宋体" w:cs="Arial"/>
                <w:color w:val="000000"/>
                <w:szCs w:val="21"/>
                <w:lang w:val="en-US" w:eastAsia="zh-CN"/>
              </w:rPr>
              <w:t>乙</w:t>
            </w:r>
            <w:r>
              <w:rPr>
                <w:rFonts w:hint="eastAsia" w:ascii="宋体" w:hAnsi="宋体" w:cs="Arial"/>
                <w:color w:val="000000"/>
                <w:szCs w:val="21"/>
              </w:rPr>
              <w:t>级或以上资质</w:t>
            </w:r>
            <w:r>
              <w:rPr>
                <w:rFonts w:hint="eastAsia" w:ascii="宋体" w:hAnsi="宋体" w:cs="Arial"/>
                <w:color w:val="auto"/>
                <w:szCs w:val="21"/>
                <w:highlight w:val="none"/>
                <w:u w:val="none"/>
              </w:rPr>
              <w:t>。</w:t>
            </w:r>
            <w:permEnd w:id="22"/>
          </w:p>
          <w:p w14:paraId="19F6657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Courier New"/>
                <w:color w:val="auto"/>
                <w:kern w:val="1"/>
                <w:szCs w:val="21"/>
                <w:highlight w:val="none"/>
              </w:rPr>
            </w:pPr>
            <w:r>
              <w:rPr>
                <w:rFonts w:hint="eastAsia" w:ascii="宋体" w:hAnsi="宋体" w:cs="Courier New"/>
                <w:color w:val="auto"/>
                <w:kern w:val="1"/>
                <w:szCs w:val="21"/>
                <w:highlight w:val="none"/>
                <w:lang w:val="en-US" w:eastAsia="zh-CN"/>
              </w:rPr>
              <w:t xml:space="preserve">2. </w:t>
            </w:r>
            <w:r>
              <w:rPr>
                <w:rFonts w:ascii="宋体" w:hAnsi="宋体" w:cs="Courier New"/>
                <w:color w:val="auto"/>
                <w:kern w:val="1"/>
                <w:szCs w:val="21"/>
                <w:highlight w:val="none"/>
              </w:rPr>
              <w:t>经</w:t>
            </w:r>
            <w:r>
              <w:rPr>
                <w:rFonts w:hint="eastAsia" w:ascii="宋体" w:hAnsi="宋体" w:cs="Courier New"/>
                <w:color w:val="auto"/>
                <w:kern w:val="1"/>
                <w:szCs w:val="21"/>
                <w:highlight w:val="none"/>
              </w:rPr>
              <w:t>市场监督管理部门</w:t>
            </w:r>
            <w:r>
              <w:rPr>
                <w:rFonts w:ascii="宋体" w:hAnsi="宋体" w:cs="Courier New"/>
                <w:color w:val="auto"/>
                <w:kern w:val="1"/>
                <w:szCs w:val="21"/>
                <w:highlight w:val="none"/>
              </w:rPr>
              <w:t>确定的具有效独立法人资格的企业</w:t>
            </w:r>
            <w:r>
              <w:rPr>
                <w:rFonts w:hint="eastAsia" w:ascii="宋体" w:hAnsi="宋体" w:cs="Courier New"/>
                <w:color w:val="auto"/>
                <w:kern w:val="1"/>
                <w:szCs w:val="21"/>
                <w:highlight w:val="none"/>
              </w:rPr>
              <w:t>。</w:t>
            </w:r>
          </w:p>
          <w:p w14:paraId="3EFD52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 xml:space="preserve">3. </w:t>
            </w:r>
            <w:r>
              <w:rPr>
                <w:rFonts w:hint="eastAsia"/>
                <w:color w:val="auto"/>
                <w:highlight w:val="none"/>
              </w:rPr>
              <w:t>在中山市建设工程企业管理和诚信平台</w:t>
            </w:r>
            <w:r>
              <w:rPr>
                <w:rFonts w:hint="eastAsia"/>
                <w:color w:val="auto"/>
                <w:highlight w:val="none"/>
                <w:lang w:eastAsia="zh-CN"/>
              </w:rPr>
              <w:t>上与本项目资质要求对应的企业类型的</w:t>
            </w:r>
            <w:r>
              <w:rPr>
                <w:rFonts w:hint="eastAsia"/>
                <w:color w:val="auto"/>
                <w:highlight w:val="none"/>
              </w:rPr>
              <w:t>信用等级</w:t>
            </w:r>
            <w:r>
              <w:rPr>
                <w:rFonts w:hint="eastAsia"/>
                <w:color w:val="auto"/>
                <w:highlight w:val="none"/>
                <w:lang w:eastAsia="zh-CN"/>
              </w:rPr>
              <w:t>为</w:t>
            </w:r>
            <w:permStart w:id="23" w:edGrp="everyone"/>
            <w:r>
              <w:rPr>
                <w:rFonts w:hint="eastAsia" w:ascii="宋体" w:hAnsi="宋体"/>
                <w:color w:val="auto"/>
                <w:szCs w:val="21"/>
                <w:highlight w:val="none"/>
                <w:u w:val="single"/>
                <w:lang w:eastAsia="zh-CN"/>
              </w:rPr>
              <w:t>☑</w:t>
            </w:r>
            <w:permEnd w:id="23"/>
            <w:r>
              <w:rPr>
                <w:rFonts w:hint="eastAsia" w:ascii="宋体" w:hAnsi="宋体"/>
                <w:color w:val="auto"/>
                <w:szCs w:val="21"/>
                <w:highlight w:val="none"/>
                <w:u w:val="single"/>
              </w:rPr>
              <w:t>B/</w:t>
            </w:r>
            <w:permStart w:id="24" w:edGrp="everyone"/>
            <w:r>
              <w:rPr>
                <w:rFonts w:hint="eastAsia" w:ascii="宋体" w:hAnsi="宋体"/>
                <w:color w:val="auto"/>
                <w:szCs w:val="21"/>
                <w:highlight w:val="none"/>
                <w:u w:val="single"/>
              </w:rPr>
              <w:t>□</w:t>
            </w:r>
            <w:permEnd w:id="24"/>
            <w:r>
              <w:rPr>
                <w:rFonts w:hint="eastAsia" w:ascii="宋体" w:hAnsi="宋体"/>
                <w:color w:val="auto"/>
                <w:szCs w:val="21"/>
                <w:highlight w:val="none"/>
                <w:u w:val="single"/>
              </w:rPr>
              <w:t>C</w:t>
            </w:r>
            <w:r>
              <w:rPr>
                <w:rFonts w:hint="eastAsia" w:ascii="宋体" w:hAnsi="宋体"/>
                <w:color w:val="auto"/>
                <w:szCs w:val="21"/>
                <w:highlight w:val="none"/>
              </w:rPr>
              <w:t>级或以上且显示资料未过期。（根据2020年5月20日印发的《关于自觉维护更新中山市建设工程企业管理和诚信平台信息的通知》的要求，各投标单位应自觉更新中山市建设工程企业管理和诚信平台的登记资料，如因不及时更新资料导致公共资源交易系统中的诚信等级显示</w:t>
            </w:r>
            <w:r>
              <w:rPr>
                <w:rFonts w:ascii="宋体" w:hAnsi="宋体"/>
                <w:color w:val="auto"/>
                <w:szCs w:val="21"/>
                <w:highlight w:val="none"/>
              </w:rPr>
              <w:t>“</w:t>
            </w:r>
            <w:r>
              <w:rPr>
                <w:rFonts w:hint="eastAsia" w:ascii="宋体" w:hAnsi="宋体"/>
                <w:color w:val="auto"/>
                <w:szCs w:val="21"/>
                <w:highlight w:val="none"/>
              </w:rPr>
              <w:t>暂无数据</w:t>
            </w:r>
            <w:r>
              <w:rPr>
                <w:rFonts w:ascii="宋体" w:hAnsi="宋体"/>
                <w:color w:val="auto"/>
                <w:szCs w:val="21"/>
                <w:highlight w:val="none"/>
              </w:rPr>
              <w:t>”</w:t>
            </w:r>
            <w:r>
              <w:rPr>
                <w:rFonts w:hint="eastAsia" w:ascii="宋体" w:hAnsi="宋体"/>
                <w:color w:val="auto"/>
                <w:szCs w:val="21"/>
                <w:highlight w:val="none"/>
              </w:rPr>
              <w:t>的，视为投标单位不满足诚信要求。）</w:t>
            </w:r>
          </w:p>
          <w:p w14:paraId="71DC9FB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4. </w:t>
            </w:r>
            <w:r>
              <w:rPr>
                <w:rFonts w:hint="eastAsia" w:ascii="宋体" w:hAnsi="宋体" w:eastAsia="宋体" w:cs="宋体"/>
                <w:color w:val="auto"/>
                <w:szCs w:val="21"/>
                <w:highlight w:val="none"/>
                <w:lang w:val="en-US" w:eastAsia="zh-CN"/>
              </w:rPr>
              <w:t>未在《信用中国》网站（www.creditchina.gov.cn）被列为“失信被执行人”以及未在全国企业信用信息公示系统被列入“严重违法失信企业名单”。</w:t>
            </w:r>
            <w:r>
              <w:rPr>
                <w:rFonts w:hint="eastAsia" w:ascii="宋体" w:hAnsi="宋体"/>
                <w:color w:val="auto"/>
                <w:szCs w:val="21"/>
                <w:highlight w:val="none"/>
                <w:lang w:val="en-US" w:eastAsia="zh-CN"/>
              </w:rPr>
              <w:t>（联合体投标的，联合体各方均需满足。）</w:t>
            </w:r>
          </w:p>
          <w:p w14:paraId="7B10DFB7">
            <w:pPr>
              <w:keepNext w:val="0"/>
              <w:keepLines w:val="0"/>
              <w:pageBreakBefore w:val="0"/>
              <w:widowControl/>
              <w:kinsoku/>
              <w:wordWrap/>
              <w:overflowPunct/>
              <w:topLinePunct w:val="0"/>
              <w:autoSpaceDE/>
              <w:autoSpaceDN/>
              <w:bidi w:val="0"/>
              <w:adjustRightInd/>
              <w:snapToGrid/>
              <w:spacing w:line="360" w:lineRule="auto"/>
              <w:ind w:left="42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lang w:val="en-US" w:eastAsia="zh-CN"/>
              </w:rPr>
              <w:t xml:space="preserve">5. </w:t>
            </w:r>
            <w:r>
              <w:rPr>
                <w:rFonts w:hint="eastAsia" w:ascii="宋体" w:hAnsi="宋体"/>
                <w:color w:val="auto"/>
                <w:szCs w:val="21"/>
                <w:highlight w:val="none"/>
              </w:rPr>
              <w:t>本次招标</w:t>
            </w:r>
            <w:permStart w:id="25" w:edGrp="everyone"/>
            <w:r>
              <w:rPr>
                <w:rFonts w:hint="eastAsia" w:ascii="宋体" w:hAnsi="宋体"/>
                <w:color w:val="auto"/>
                <w:szCs w:val="21"/>
                <w:highlight w:val="none"/>
                <w:u w:val="single"/>
              </w:rPr>
              <w:t xml:space="preserve">接受 </w:t>
            </w:r>
            <w:permEnd w:id="25"/>
            <w:r>
              <w:rPr>
                <w:rFonts w:hint="eastAsia" w:ascii="宋体" w:hAnsi="宋体"/>
                <w:color w:val="auto"/>
                <w:szCs w:val="21"/>
                <w:highlight w:val="none"/>
              </w:rPr>
              <w:t>联合体投标。联合体投标的，应满足下列要求：</w:t>
            </w:r>
            <w:permStart w:id="26" w:edGrp="everyone"/>
            <w:r>
              <w:rPr>
                <w:rFonts w:hint="eastAsia" w:ascii="宋体" w:hAnsi="宋体" w:eastAsia="宋体" w:cs="Times New Roman"/>
                <w:szCs w:val="21"/>
              </w:rPr>
              <w:t>联合体必须以具有设计资质的企业为牵头单位，提供联合体协议书，联合体各方签订联合体协议后，不得再以自己名义单独或以其他联合体成员的名义参加本项目的投标，组成联合体投标的成员不得超过</w:t>
            </w:r>
            <w:r>
              <w:rPr>
                <w:rFonts w:hint="eastAsia" w:ascii="宋体" w:hAnsi="宋体" w:eastAsia="宋体" w:cs="Times New Roman"/>
                <w:szCs w:val="21"/>
                <w:u w:val="single"/>
              </w:rPr>
              <w:t xml:space="preserve"> 2 </w:t>
            </w:r>
            <w:r>
              <w:rPr>
                <w:rFonts w:hint="eastAsia" w:ascii="宋体" w:hAnsi="宋体" w:eastAsia="宋体" w:cs="Times New Roman"/>
                <w:szCs w:val="21"/>
              </w:rPr>
              <w:t>个，且设计任务必须由牵头单位独立完成，勘察任务必须由联合体投标成员的勘察单位独立完成。其中牵头单位（设计单位）设计资质及联合体单位（勘察单位）勘察资质均须在中山市建设工程企业诚信评价</w:t>
            </w:r>
            <w:r>
              <w:rPr>
                <w:rFonts w:hint="eastAsia" w:ascii="宋体" w:hAnsi="宋体" w:eastAsia="宋体" w:cs="Times New Roman"/>
                <w:szCs w:val="21"/>
                <w:u w:val="single"/>
              </w:rPr>
              <w:t xml:space="preserve"> B级 </w:t>
            </w:r>
            <w:r>
              <w:rPr>
                <w:rFonts w:hint="eastAsia" w:ascii="宋体" w:hAnsi="宋体" w:eastAsia="宋体" w:cs="Times New Roman"/>
                <w:szCs w:val="21"/>
              </w:rPr>
              <w:t>或以上且显示资料未过期。</w:t>
            </w:r>
            <w:permEnd w:id="26"/>
          </w:p>
          <w:p w14:paraId="0592A15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i w:val="0"/>
                <w:color w:val="auto"/>
                <w:kern w:val="0"/>
                <w:sz w:val="20"/>
                <w:szCs w:val="20"/>
                <w:highlight w:val="none"/>
                <w:u w:val="none"/>
                <w:lang w:val="en-US" w:eastAsia="zh-CN" w:bidi="ar"/>
              </w:rPr>
            </w:pPr>
            <w:r>
              <w:rPr>
                <w:rFonts w:hint="eastAsia" w:ascii="宋体" w:hAnsi="宋体"/>
                <w:bCs/>
                <w:color w:val="auto"/>
                <w:szCs w:val="21"/>
                <w:highlight w:val="none"/>
                <w:lang w:val="en-US" w:eastAsia="zh-CN"/>
              </w:rPr>
              <w:t xml:space="preserve">6. </w:t>
            </w:r>
            <w:r>
              <w:rPr>
                <w:rFonts w:hint="eastAsia" w:ascii="宋体" w:hAnsi="宋体"/>
                <w:color w:val="auto"/>
                <w:kern w:val="1"/>
                <w:szCs w:val="21"/>
                <w:highlight w:val="none"/>
              </w:rPr>
              <w:t>投标人参与投标前应当在广东省公共资源交易平台完成用户注册和绑定电子招投标数字证书，并凭电子招投标数字证书参与项目投标。用户注册和绑定数字证书的办理流程参见广东省公共资源交易平台（中山市）-“服务指南”栏目。</w:t>
            </w:r>
          </w:p>
        </w:tc>
      </w:tr>
      <w:tr w14:paraId="6468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2028" w:type="dxa"/>
            <w:tcBorders>
              <w:tl2br w:val="nil"/>
              <w:tr2bl w:val="nil"/>
            </w:tcBorders>
            <w:noWrap w:val="0"/>
            <w:vAlign w:val="center"/>
          </w:tcPr>
          <w:p w14:paraId="4AEF4A82">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是否采用电子</w:t>
            </w:r>
          </w:p>
          <w:p w14:paraId="0D819969">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招标投标方式</w:t>
            </w:r>
          </w:p>
        </w:tc>
        <w:tc>
          <w:tcPr>
            <w:tcW w:w="1850" w:type="dxa"/>
            <w:tcBorders>
              <w:tl2br w:val="nil"/>
              <w:tr2bl w:val="nil"/>
            </w:tcBorders>
            <w:noWrap w:val="0"/>
            <w:vAlign w:val="center"/>
          </w:tcPr>
          <w:p w14:paraId="6519ECCD">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是</w:t>
            </w:r>
          </w:p>
        </w:tc>
        <w:tc>
          <w:tcPr>
            <w:tcW w:w="1436" w:type="dxa"/>
            <w:tcBorders>
              <w:tl2br w:val="nil"/>
              <w:tr2bl w:val="nil"/>
            </w:tcBorders>
            <w:noWrap w:val="0"/>
            <w:vAlign w:val="center"/>
          </w:tcPr>
          <w:p w14:paraId="49F695CB">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获取资格预审/招标文件的方式</w:t>
            </w:r>
          </w:p>
        </w:tc>
        <w:tc>
          <w:tcPr>
            <w:tcW w:w="4378" w:type="dxa"/>
            <w:tcBorders>
              <w:tl2br w:val="nil"/>
              <w:tr2bl w:val="nil"/>
            </w:tcBorders>
            <w:noWrap w:val="0"/>
            <w:vAlign w:val="center"/>
          </w:tcPr>
          <w:p w14:paraId="099FA646">
            <w:pPr>
              <w:pageBreakBefore w:val="0"/>
              <w:kinsoku/>
              <w:wordWrap/>
              <w:overflowPunct/>
              <w:topLinePunct w:val="0"/>
              <w:bidi w:val="0"/>
              <w:spacing w:line="360" w:lineRule="auto"/>
              <w:ind w:firstLine="420" w:firstLineChars="200"/>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color w:val="auto"/>
                <w:szCs w:val="21"/>
                <w:highlight w:val="none"/>
              </w:rPr>
              <w:t>招标公告网上发布时，同时在广东省公共资源交易平台（交易系统）</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（下文中的“工程建设交易系统”均指广东省公共资源交易平台（交易系统）的工程建设交易系统）发售</w:t>
            </w:r>
            <w:r>
              <w:rPr>
                <w:rFonts w:hint="eastAsia" w:ascii="宋体" w:hAnsi="宋体"/>
                <w:color w:val="auto"/>
                <w:szCs w:val="21"/>
                <w:highlight w:val="none"/>
                <w:lang w:eastAsia="zh-CN"/>
              </w:rPr>
              <w:t>（免费）</w:t>
            </w:r>
            <w:r>
              <w:rPr>
                <w:rFonts w:hint="eastAsia" w:ascii="宋体" w:hAnsi="宋体"/>
                <w:color w:val="auto"/>
                <w:szCs w:val="21"/>
                <w:highlight w:val="none"/>
              </w:rPr>
              <w:t>招标文件等相关资料。凡符合条件且有意参加投标者，请于招标文件发售期间，在广东省公共资源交易平台（交易系统）通过电子招投标数字证书登录</w:t>
            </w:r>
            <w:r>
              <w:rPr>
                <w:rFonts w:hint="eastAsia" w:ascii="宋体" w:hAnsi="宋体"/>
                <w:color w:val="auto"/>
                <w:szCs w:val="21"/>
                <w:highlight w:val="none"/>
                <w:lang w:val="en-US" w:eastAsia="zh-CN"/>
              </w:rPr>
              <w:t>工程建设交易系统</w:t>
            </w:r>
            <w:r>
              <w:rPr>
                <w:rFonts w:hint="eastAsia" w:ascii="宋体" w:hAnsi="宋体"/>
                <w:color w:val="auto"/>
                <w:szCs w:val="21"/>
                <w:highlight w:val="none"/>
              </w:rPr>
              <w:t>下载完整的招标文件等相关资料。</w:t>
            </w:r>
          </w:p>
        </w:tc>
      </w:tr>
      <w:tr w14:paraId="03FE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28" w:type="dxa"/>
            <w:tcBorders>
              <w:tl2br w:val="nil"/>
              <w:tr2bl w:val="nil"/>
            </w:tcBorders>
            <w:noWrap w:val="0"/>
            <w:vAlign w:val="center"/>
          </w:tcPr>
          <w:p w14:paraId="75FCB9A3">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获取资格预审/招标文件开始时间</w:t>
            </w:r>
          </w:p>
        </w:tc>
        <w:tc>
          <w:tcPr>
            <w:tcW w:w="1850" w:type="dxa"/>
            <w:tcBorders>
              <w:tl2br w:val="nil"/>
              <w:tr2bl w:val="nil"/>
            </w:tcBorders>
            <w:noWrap w:val="0"/>
            <w:vAlign w:val="center"/>
          </w:tcPr>
          <w:p w14:paraId="1FB7C71F">
            <w:pPr>
              <w:spacing w:line="360" w:lineRule="auto"/>
              <w:jc w:val="lef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017E0411">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获取资格预审/招标文件截止时间</w:t>
            </w:r>
          </w:p>
        </w:tc>
        <w:tc>
          <w:tcPr>
            <w:tcW w:w="4378" w:type="dxa"/>
            <w:tcBorders>
              <w:tl2br w:val="nil"/>
              <w:tr2bl w:val="nil"/>
            </w:tcBorders>
            <w:noWrap w:val="0"/>
            <w:vAlign w:val="center"/>
          </w:tcPr>
          <w:p w14:paraId="4AFEAC88">
            <w:pPr>
              <w:spacing w:line="360" w:lineRule="auto"/>
              <w:jc w:val="lef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r>
      <w:tr w14:paraId="3749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028" w:type="dxa"/>
            <w:tcBorders>
              <w:tl2br w:val="nil"/>
              <w:tr2bl w:val="nil"/>
            </w:tcBorders>
            <w:noWrap w:val="0"/>
            <w:vAlign w:val="center"/>
          </w:tcPr>
          <w:p w14:paraId="7672E3D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递交资格预审/投标文件截止时间</w:t>
            </w:r>
          </w:p>
        </w:tc>
        <w:tc>
          <w:tcPr>
            <w:tcW w:w="1850" w:type="dxa"/>
            <w:tcBorders>
              <w:tl2br w:val="nil"/>
              <w:tr2bl w:val="nil"/>
            </w:tcBorders>
            <w:noWrap w:val="0"/>
            <w:vAlign w:val="center"/>
          </w:tcPr>
          <w:p w14:paraId="406552B3">
            <w:pPr>
              <w:spacing w:line="360" w:lineRule="auto"/>
              <w:jc w:val="left"/>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14F4C467">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资格预审/投标文件递交方式</w:t>
            </w:r>
          </w:p>
        </w:tc>
        <w:tc>
          <w:tcPr>
            <w:tcW w:w="4378" w:type="dxa"/>
            <w:tcBorders>
              <w:tl2br w:val="nil"/>
              <w:tr2bl w:val="nil"/>
            </w:tcBorders>
            <w:noWrap w:val="0"/>
            <w:vAlign w:val="center"/>
          </w:tcPr>
          <w:p w14:paraId="1E368F69">
            <w:pPr>
              <w:keepNext w:val="0"/>
              <w:keepLines w:val="0"/>
              <w:widowControl/>
              <w:suppressLineNumbers w:val="0"/>
              <w:spacing w:line="360" w:lineRule="auto"/>
              <w:jc w:val="both"/>
              <w:textAlignment w:val="center"/>
              <w:rPr>
                <w:rFonts w:hint="eastAsia" w:ascii="宋体" w:hAnsi="宋体" w:eastAsia="宋体" w:cs="宋体"/>
                <w:i w:val="0"/>
                <w:color w:val="auto"/>
                <w:sz w:val="20"/>
                <w:szCs w:val="20"/>
                <w:highlight w:val="none"/>
                <w:u w:val="none"/>
              </w:rPr>
            </w:pPr>
            <w:r>
              <w:rPr>
                <w:rFonts w:hint="eastAsia" w:ascii="宋体" w:hAnsi="宋体"/>
                <w:color w:val="auto"/>
                <w:szCs w:val="21"/>
                <w:highlight w:val="none"/>
                <w:lang w:eastAsia="zh-CN"/>
              </w:rPr>
              <w:t>递交</w:t>
            </w:r>
            <w:r>
              <w:rPr>
                <w:rFonts w:hint="eastAsia" w:ascii="宋体" w:hAnsi="宋体"/>
                <w:color w:val="auto"/>
                <w:szCs w:val="21"/>
                <w:highlight w:val="none"/>
              </w:rPr>
              <w:t>投标文件截止时间（投标截止时间）</w:t>
            </w:r>
            <w:r>
              <w:rPr>
                <w:rFonts w:hint="eastAsia" w:ascii="宋体" w:hAnsi="宋体"/>
                <w:color w:val="auto"/>
                <w:szCs w:val="21"/>
                <w:highlight w:val="none"/>
                <w:lang w:eastAsia="zh-CN"/>
              </w:rPr>
              <w:t>前，通过数字证书将</w:t>
            </w:r>
            <w:r>
              <w:rPr>
                <w:rFonts w:hint="eastAsia" w:ascii="宋体" w:hAnsi="宋体"/>
                <w:color w:val="auto"/>
                <w:szCs w:val="21"/>
                <w:highlight w:val="none"/>
              </w:rPr>
              <w:t>电子投标文件上传</w:t>
            </w:r>
            <w:r>
              <w:rPr>
                <w:rFonts w:hint="eastAsia" w:ascii="宋体" w:hAnsi="宋体"/>
                <w:color w:val="auto"/>
                <w:szCs w:val="21"/>
                <w:highlight w:val="none"/>
                <w:lang w:eastAsia="zh-CN"/>
              </w:rPr>
              <w:t>到工程建设交易系统</w:t>
            </w:r>
            <w:r>
              <w:rPr>
                <w:rFonts w:hint="eastAsia" w:ascii="宋体" w:hAnsi="宋体"/>
                <w:color w:val="auto"/>
                <w:szCs w:val="21"/>
                <w:highlight w:val="none"/>
              </w:rPr>
              <w:t>。</w:t>
            </w:r>
          </w:p>
        </w:tc>
      </w:tr>
      <w:tr w14:paraId="18ED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028" w:type="dxa"/>
            <w:tcBorders>
              <w:tl2br w:val="nil"/>
              <w:tr2bl w:val="nil"/>
            </w:tcBorders>
            <w:noWrap w:val="0"/>
            <w:vAlign w:val="center"/>
          </w:tcPr>
          <w:p w14:paraId="288F6028">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开标时间</w:t>
            </w:r>
          </w:p>
        </w:tc>
        <w:tc>
          <w:tcPr>
            <w:tcW w:w="1850" w:type="dxa"/>
            <w:tcBorders>
              <w:tl2br w:val="nil"/>
              <w:tr2bl w:val="nil"/>
            </w:tcBorders>
            <w:noWrap w:val="0"/>
            <w:vAlign w:val="center"/>
          </w:tcPr>
          <w:p w14:paraId="7F4D7031">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07135FCB">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开标地点</w:t>
            </w:r>
          </w:p>
        </w:tc>
        <w:tc>
          <w:tcPr>
            <w:tcW w:w="4378" w:type="dxa"/>
            <w:tcBorders>
              <w:tl2br w:val="nil"/>
              <w:tr2bl w:val="nil"/>
            </w:tcBorders>
            <w:noWrap w:val="0"/>
            <w:vAlign w:val="center"/>
          </w:tcPr>
          <w:p w14:paraId="553AFC00">
            <w:pPr>
              <w:keepNext w:val="0"/>
              <w:keepLines w:val="0"/>
              <w:widowControl/>
              <w:suppressLineNumbers w:val="0"/>
              <w:spacing w:line="360" w:lineRule="auto"/>
              <w:jc w:val="both"/>
              <w:textAlignment w:val="center"/>
              <w:rPr>
                <w:rFonts w:hint="eastAsia"/>
                <w:color w:val="auto"/>
                <w:highlight w:val="none"/>
              </w:rPr>
            </w:pPr>
            <w:r>
              <w:rPr>
                <w:rFonts w:hint="eastAsia"/>
                <w:color w:val="auto"/>
                <w:highlight w:val="none"/>
              </w:rPr>
              <w:t>中山市公共资源交易中心（博爱六</w:t>
            </w:r>
            <w:r>
              <w:rPr>
                <w:rFonts w:hint="eastAsia" w:ascii="宋体" w:hAnsi="宋体" w:eastAsia="宋体" w:cs="Times New Roman"/>
                <w:color w:val="auto"/>
                <w:szCs w:val="21"/>
                <w:highlight w:val="none"/>
              </w:rPr>
              <w:t>路22</w:t>
            </w:r>
            <w:r>
              <w:rPr>
                <w:rFonts w:hint="eastAsia"/>
                <w:color w:val="auto"/>
                <w:highlight w:val="none"/>
              </w:rPr>
              <w:t>号）</w:t>
            </w:r>
          </w:p>
          <w:p w14:paraId="21340EFA">
            <w:pPr>
              <w:pStyle w:val="6"/>
              <w:rPr>
                <w:rFonts w:hint="eastAsia"/>
                <w:color w:val="auto"/>
                <w:highlight w:val="none"/>
              </w:rPr>
            </w:pP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在中山市公共资源交易中心现场组织网上开标，投标人无需抵达开标现场。投标人可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工程建设交易系统→“参与项目”→“网上开标”栏目查看项目开标过程，依法提出开标异议。</w:t>
            </w:r>
          </w:p>
        </w:tc>
      </w:tr>
      <w:tr w14:paraId="7500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28" w:type="dxa"/>
            <w:tcBorders>
              <w:tl2br w:val="nil"/>
              <w:tr2bl w:val="nil"/>
            </w:tcBorders>
            <w:noWrap w:val="0"/>
            <w:vAlign w:val="center"/>
          </w:tcPr>
          <w:p w14:paraId="498EB183">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发布公告媒介</w:t>
            </w:r>
          </w:p>
        </w:tc>
        <w:tc>
          <w:tcPr>
            <w:tcW w:w="7664" w:type="dxa"/>
            <w:gridSpan w:val="3"/>
            <w:tcBorders>
              <w:tl2br w:val="nil"/>
              <w:tr2bl w:val="nil"/>
            </w:tcBorders>
            <w:noWrap w:val="0"/>
            <w:vAlign w:val="center"/>
          </w:tcPr>
          <w:p w14:paraId="43D555D6">
            <w:pPr>
              <w:keepNext w:val="0"/>
              <w:keepLines w:val="0"/>
              <w:widowControl/>
              <w:suppressLineNumbers w:val="0"/>
              <w:spacing w:line="360" w:lineRule="auto"/>
              <w:jc w:val="both"/>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广东省公共资源交易平台（中山市）、中山市公共资源交易平台（公共服务系统）、广东省招标投标监管网</w:t>
            </w:r>
          </w:p>
        </w:tc>
      </w:tr>
      <w:tr w14:paraId="4ED6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7786E6D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招标人</w:t>
            </w:r>
          </w:p>
        </w:tc>
        <w:tc>
          <w:tcPr>
            <w:tcW w:w="1850" w:type="dxa"/>
            <w:tcBorders>
              <w:tl2br w:val="nil"/>
              <w:tr2bl w:val="nil"/>
            </w:tcBorders>
            <w:noWrap w:val="0"/>
            <w:vAlign w:val="center"/>
          </w:tcPr>
          <w:p w14:paraId="298A28EC">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27"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highlight w:val="none"/>
                <w:lang w:eastAsia="zh-CN"/>
              </w:rPr>
              <w:t>中山市产业平台（三角园）管理中心</w:t>
            </w:r>
            <w:r>
              <w:rPr>
                <w:rFonts w:hint="eastAsia" w:ascii="宋体" w:hAnsi="宋体" w:eastAsia="宋体" w:cs="宋体"/>
                <w:i w:val="0"/>
                <w:color w:val="auto"/>
                <w:sz w:val="20"/>
                <w:szCs w:val="20"/>
                <w:highlight w:val="none"/>
                <w:u w:val="none"/>
                <w:lang w:val="en-US" w:eastAsia="zh-CN"/>
              </w:rPr>
              <w:t xml:space="preserve"> </w:t>
            </w:r>
            <w:permEnd w:id="27"/>
          </w:p>
        </w:tc>
        <w:tc>
          <w:tcPr>
            <w:tcW w:w="1436" w:type="dxa"/>
            <w:tcBorders>
              <w:tl2br w:val="nil"/>
              <w:tr2bl w:val="nil"/>
            </w:tcBorders>
            <w:noWrap w:val="0"/>
            <w:vAlign w:val="center"/>
          </w:tcPr>
          <w:p w14:paraId="6619F629">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联系地址</w:t>
            </w:r>
          </w:p>
        </w:tc>
        <w:tc>
          <w:tcPr>
            <w:tcW w:w="4378" w:type="dxa"/>
            <w:tcBorders>
              <w:tl2br w:val="nil"/>
              <w:tr2bl w:val="nil"/>
            </w:tcBorders>
            <w:noWrap w:val="0"/>
            <w:vAlign w:val="center"/>
          </w:tcPr>
          <w:p w14:paraId="0428BCA8">
            <w:pPr>
              <w:spacing w:line="360" w:lineRule="auto"/>
              <w:jc w:val="left"/>
              <w:rPr>
                <w:rFonts w:hint="eastAsia" w:ascii="宋体" w:hAnsi="宋体" w:eastAsia="宋体" w:cs="宋体"/>
                <w:i w:val="0"/>
                <w:color w:val="auto"/>
                <w:sz w:val="20"/>
                <w:szCs w:val="20"/>
                <w:highlight w:val="none"/>
                <w:u w:val="none"/>
              </w:rPr>
            </w:pPr>
            <w:permStart w:id="28"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highlight w:val="none"/>
              </w:rPr>
              <w:t>中山市三角镇旭日路3号</w:t>
            </w:r>
            <w:r>
              <w:rPr>
                <w:rFonts w:hint="eastAsia" w:ascii="宋体" w:hAnsi="宋体" w:eastAsia="宋体" w:cs="宋体"/>
                <w:i w:val="0"/>
                <w:color w:val="auto"/>
                <w:sz w:val="20"/>
                <w:szCs w:val="20"/>
                <w:highlight w:val="none"/>
                <w:u w:val="none"/>
                <w:lang w:val="en-US" w:eastAsia="zh-CN"/>
              </w:rPr>
              <w:t xml:space="preserve"> </w:t>
            </w:r>
            <w:permEnd w:id="28"/>
          </w:p>
        </w:tc>
      </w:tr>
      <w:tr w14:paraId="21DE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72A62957">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招标人联系人</w:t>
            </w:r>
          </w:p>
        </w:tc>
        <w:tc>
          <w:tcPr>
            <w:tcW w:w="1850" w:type="dxa"/>
            <w:tcBorders>
              <w:tl2br w:val="nil"/>
              <w:tr2bl w:val="nil"/>
            </w:tcBorders>
            <w:noWrap w:val="0"/>
            <w:vAlign w:val="center"/>
          </w:tcPr>
          <w:p w14:paraId="5B1C4EC3">
            <w:pPr>
              <w:spacing w:line="360" w:lineRule="auto"/>
              <w:jc w:val="left"/>
              <w:rPr>
                <w:rFonts w:hint="eastAsia" w:ascii="宋体" w:hAnsi="宋体" w:eastAsia="宋体" w:cs="宋体"/>
                <w:i w:val="0"/>
                <w:color w:val="auto"/>
                <w:sz w:val="20"/>
                <w:szCs w:val="20"/>
                <w:highlight w:val="none"/>
                <w:u w:val="none"/>
              </w:rPr>
            </w:pPr>
            <w:permStart w:id="29" w:edGrp="everyone"/>
            <w:r>
              <w:rPr>
                <w:rFonts w:hint="eastAsia" w:ascii="宋体" w:hAnsi="宋体" w:cs="宋体"/>
                <w:i w:val="0"/>
                <w:color w:val="auto"/>
                <w:sz w:val="20"/>
                <w:szCs w:val="20"/>
                <w:highlight w:val="none"/>
                <w:u w:val="none"/>
                <w:lang w:val="en-US" w:eastAsia="zh-CN"/>
              </w:rPr>
              <w:t xml:space="preserve">    梁樟      </w:t>
            </w:r>
            <w:permEnd w:id="29"/>
          </w:p>
        </w:tc>
        <w:tc>
          <w:tcPr>
            <w:tcW w:w="1436" w:type="dxa"/>
            <w:tcBorders>
              <w:tl2br w:val="nil"/>
              <w:tr2bl w:val="nil"/>
            </w:tcBorders>
            <w:noWrap w:val="0"/>
            <w:vAlign w:val="center"/>
          </w:tcPr>
          <w:p w14:paraId="35B9FDAF">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609E7601">
            <w:pPr>
              <w:spacing w:line="360" w:lineRule="auto"/>
              <w:jc w:val="left"/>
              <w:rPr>
                <w:rFonts w:hint="eastAsia" w:ascii="宋体" w:hAnsi="宋体" w:eastAsia="宋体" w:cs="宋体"/>
                <w:i w:val="0"/>
                <w:color w:val="auto"/>
                <w:sz w:val="20"/>
                <w:szCs w:val="20"/>
                <w:highlight w:val="none"/>
                <w:u w:val="none"/>
              </w:rPr>
            </w:pPr>
            <w:permStart w:id="30"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eastAsia="宋体" w:cs="宋体"/>
                <w:sz w:val="24"/>
                <w:szCs w:val="24"/>
              </w:rPr>
              <w:t>0760-85542293</w:t>
            </w:r>
            <w:r>
              <w:rPr>
                <w:rFonts w:hint="eastAsia" w:ascii="宋体" w:hAnsi="宋体" w:eastAsia="宋体" w:cs="宋体"/>
                <w:i w:val="0"/>
                <w:color w:val="auto"/>
                <w:sz w:val="20"/>
                <w:szCs w:val="20"/>
                <w:highlight w:val="none"/>
                <w:u w:val="none"/>
                <w:lang w:val="en-US" w:eastAsia="zh-CN"/>
              </w:rPr>
              <w:t xml:space="preserve">   </w:t>
            </w:r>
            <w:permEnd w:id="30"/>
          </w:p>
        </w:tc>
      </w:tr>
      <w:tr w14:paraId="353B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02C2B01B">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招标代理机构</w:t>
            </w:r>
          </w:p>
        </w:tc>
        <w:tc>
          <w:tcPr>
            <w:tcW w:w="1850" w:type="dxa"/>
            <w:tcBorders>
              <w:tl2br w:val="nil"/>
              <w:tr2bl w:val="nil"/>
            </w:tcBorders>
            <w:noWrap w:val="0"/>
            <w:vAlign w:val="center"/>
          </w:tcPr>
          <w:p w14:paraId="37B4FC52">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31"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szCs w:val="21"/>
                <w:highlight w:val="none"/>
              </w:rPr>
              <w:t>广东宏实建设项目管理有限公司</w:t>
            </w:r>
            <w:r>
              <w:rPr>
                <w:rFonts w:hint="eastAsia" w:ascii="宋体" w:hAnsi="宋体" w:eastAsia="宋体" w:cs="宋体"/>
                <w:i w:val="0"/>
                <w:color w:val="auto"/>
                <w:sz w:val="20"/>
                <w:szCs w:val="20"/>
                <w:highlight w:val="none"/>
                <w:u w:val="none"/>
                <w:lang w:val="en-US" w:eastAsia="zh-CN"/>
              </w:rPr>
              <w:t xml:space="preserve"> </w:t>
            </w:r>
            <w:permEnd w:id="31"/>
          </w:p>
        </w:tc>
        <w:tc>
          <w:tcPr>
            <w:tcW w:w="1436" w:type="dxa"/>
            <w:tcBorders>
              <w:tl2br w:val="nil"/>
              <w:tr2bl w:val="nil"/>
            </w:tcBorders>
            <w:noWrap w:val="0"/>
            <w:vAlign w:val="center"/>
          </w:tcPr>
          <w:p w14:paraId="7720677A">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联系地址</w:t>
            </w:r>
          </w:p>
        </w:tc>
        <w:tc>
          <w:tcPr>
            <w:tcW w:w="4378" w:type="dxa"/>
            <w:tcBorders>
              <w:tl2br w:val="nil"/>
              <w:tr2bl w:val="nil"/>
            </w:tcBorders>
            <w:noWrap w:val="0"/>
            <w:vAlign w:val="center"/>
          </w:tcPr>
          <w:p w14:paraId="3157CF88">
            <w:pPr>
              <w:spacing w:line="360" w:lineRule="auto"/>
              <w:jc w:val="left"/>
              <w:rPr>
                <w:rFonts w:hint="eastAsia" w:ascii="宋体" w:hAnsi="宋体" w:eastAsia="宋体" w:cs="宋体"/>
                <w:i w:val="0"/>
                <w:color w:val="auto"/>
                <w:sz w:val="20"/>
                <w:szCs w:val="20"/>
                <w:highlight w:val="none"/>
                <w:u w:val="none"/>
              </w:rPr>
            </w:pPr>
            <w:permStart w:id="32"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szCs w:val="21"/>
                <w:highlight w:val="none"/>
              </w:rPr>
              <w:t>中山市南区永安三路31号上苑花园4幢25卡、201房、202房</w:t>
            </w:r>
            <w:r>
              <w:rPr>
                <w:rFonts w:hint="eastAsia" w:ascii="宋体" w:hAnsi="宋体" w:eastAsia="宋体" w:cs="宋体"/>
                <w:i w:val="0"/>
                <w:color w:val="auto"/>
                <w:sz w:val="20"/>
                <w:szCs w:val="20"/>
                <w:highlight w:val="none"/>
                <w:u w:val="none"/>
                <w:lang w:val="en-US" w:eastAsia="zh-CN"/>
              </w:rPr>
              <w:t xml:space="preserve"> </w:t>
            </w:r>
            <w:permEnd w:id="32"/>
          </w:p>
        </w:tc>
      </w:tr>
      <w:tr w14:paraId="5F69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60CFBCAE">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招标代理联系人</w:t>
            </w:r>
          </w:p>
        </w:tc>
        <w:tc>
          <w:tcPr>
            <w:tcW w:w="1850" w:type="dxa"/>
            <w:tcBorders>
              <w:tl2br w:val="nil"/>
              <w:tr2bl w:val="nil"/>
            </w:tcBorders>
            <w:noWrap w:val="0"/>
            <w:vAlign w:val="center"/>
          </w:tcPr>
          <w:p w14:paraId="66CDF571">
            <w:pPr>
              <w:spacing w:line="360" w:lineRule="auto"/>
              <w:jc w:val="left"/>
              <w:rPr>
                <w:rFonts w:hint="eastAsia" w:ascii="宋体" w:hAnsi="宋体" w:eastAsia="宋体" w:cs="宋体"/>
                <w:i w:val="0"/>
                <w:color w:val="auto"/>
                <w:sz w:val="20"/>
                <w:szCs w:val="20"/>
                <w:highlight w:val="none"/>
                <w:u w:val="none"/>
              </w:rPr>
            </w:pPr>
            <w:permStart w:id="33"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highlight w:val="none"/>
              </w:rPr>
              <w:t>梁敏思、覃志明</w:t>
            </w:r>
            <w:r>
              <w:rPr>
                <w:rFonts w:hint="eastAsia" w:ascii="宋体" w:hAnsi="宋体"/>
                <w:highlight w:val="none"/>
                <w:lang w:eastAsia="zh-CN"/>
              </w:rPr>
              <w:t>、</w:t>
            </w:r>
            <w:r>
              <w:rPr>
                <w:rFonts w:hint="eastAsia" w:ascii="宋体" w:hAnsi="宋体"/>
                <w:highlight w:val="none"/>
                <w:lang w:val="en-US" w:eastAsia="zh-CN"/>
              </w:rPr>
              <w:t>苏炜明</w:t>
            </w:r>
            <w:r>
              <w:rPr>
                <w:rFonts w:hint="eastAsia" w:ascii="宋体" w:hAnsi="宋体" w:eastAsia="宋体" w:cs="宋体"/>
                <w:i w:val="0"/>
                <w:color w:val="auto"/>
                <w:sz w:val="20"/>
                <w:szCs w:val="20"/>
                <w:highlight w:val="none"/>
                <w:u w:val="none"/>
                <w:lang w:val="en-US" w:eastAsia="zh-CN"/>
              </w:rPr>
              <w:t xml:space="preserve"> </w:t>
            </w:r>
            <w:permEnd w:id="33"/>
          </w:p>
        </w:tc>
        <w:tc>
          <w:tcPr>
            <w:tcW w:w="1436" w:type="dxa"/>
            <w:tcBorders>
              <w:tl2br w:val="nil"/>
              <w:tr2bl w:val="nil"/>
            </w:tcBorders>
            <w:noWrap w:val="0"/>
            <w:vAlign w:val="center"/>
          </w:tcPr>
          <w:p w14:paraId="20094AFF">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1FB4AB06">
            <w:pPr>
              <w:spacing w:line="360" w:lineRule="auto"/>
              <w:jc w:val="left"/>
              <w:rPr>
                <w:rFonts w:hint="eastAsia" w:ascii="宋体" w:hAnsi="宋体" w:eastAsia="宋体" w:cs="宋体"/>
                <w:i w:val="0"/>
                <w:color w:val="auto"/>
                <w:sz w:val="20"/>
                <w:szCs w:val="20"/>
                <w:highlight w:val="none"/>
                <w:u w:val="none"/>
              </w:rPr>
            </w:pPr>
            <w:permStart w:id="34" w:edGrp="everyone"/>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highlight w:val="none"/>
              </w:rPr>
              <w:t>0760-88321998</w:t>
            </w:r>
            <w:r>
              <w:rPr>
                <w:rFonts w:hint="eastAsia" w:ascii="宋体" w:hAnsi="宋体" w:eastAsia="宋体" w:cs="宋体"/>
                <w:i w:val="0"/>
                <w:color w:val="auto"/>
                <w:sz w:val="20"/>
                <w:szCs w:val="20"/>
                <w:highlight w:val="none"/>
                <w:u w:val="none"/>
                <w:lang w:val="en-US" w:eastAsia="zh-CN"/>
              </w:rPr>
              <w:t xml:space="preserve"> </w:t>
            </w:r>
            <w:permEnd w:id="34"/>
          </w:p>
        </w:tc>
      </w:tr>
      <w:tr w14:paraId="5B8C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5C29F8A4">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strike w:val="0"/>
                <w:dstrike w:val="0"/>
                <w:color w:val="auto"/>
                <w:kern w:val="0"/>
                <w:sz w:val="20"/>
                <w:szCs w:val="20"/>
                <w:highlight w:val="none"/>
                <w:u w:val="none"/>
                <w:lang w:val="en-US" w:eastAsia="zh-CN" w:bidi="ar"/>
              </w:rPr>
              <w:t>招标监督机构</w:t>
            </w:r>
          </w:p>
        </w:tc>
        <w:tc>
          <w:tcPr>
            <w:tcW w:w="1850" w:type="dxa"/>
            <w:tcBorders>
              <w:tl2br w:val="nil"/>
              <w:tr2bl w:val="nil"/>
            </w:tcBorders>
            <w:noWrap w:val="0"/>
            <w:vAlign w:val="center"/>
          </w:tcPr>
          <w:p w14:paraId="4272E83D">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cs="宋体"/>
                <w:i w:val="0"/>
                <w:color w:val="auto"/>
                <w:sz w:val="20"/>
                <w:szCs w:val="20"/>
                <w:highlight w:val="none"/>
                <w:u w:val="none"/>
                <w:lang w:eastAsia="zh-CN"/>
              </w:rPr>
              <w:t>详见招标公告发布网页所附的招标监督部门信息</w:t>
            </w:r>
          </w:p>
        </w:tc>
        <w:tc>
          <w:tcPr>
            <w:tcW w:w="1436" w:type="dxa"/>
            <w:tcBorders>
              <w:tl2br w:val="nil"/>
              <w:tr2bl w:val="nil"/>
            </w:tcBorders>
            <w:noWrap w:val="0"/>
            <w:vAlign w:val="center"/>
          </w:tcPr>
          <w:p w14:paraId="582DA851">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strike w:val="0"/>
                <w:dstrike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45303172">
            <w:pPr>
              <w:spacing w:line="360" w:lineRule="auto"/>
              <w:jc w:val="left"/>
              <w:rPr>
                <w:rFonts w:hint="eastAsia" w:ascii="宋体" w:hAnsi="宋体" w:eastAsia="宋体" w:cs="宋体"/>
                <w:i w:val="0"/>
                <w:color w:val="auto"/>
                <w:sz w:val="20"/>
                <w:szCs w:val="20"/>
                <w:highlight w:val="none"/>
                <w:u w:val="none"/>
              </w:rPr>
            </w:pPr>
            <w:r>
              <w:rPr>
                <w:rFonts w:hint="eastAsia" w:ascii="宋体" w:hAnsi="宋体" w:cs="宋体"/>
                <w:i w:val="0"/>
                <w:color w:val="auto"/>
                <w:sz w:val="20"/>
                <w:szCs w:val="20"/>
                <w:highlight w:val="none"/>
                <w:u w:val="none"/>
                <w:lang w:eastAsia="zh-CN"/>
              </w:rPr>
              <w:t>详见招标公告发布网页所附的招标监督部门信息</w:t>
            </w:r>
          </w:p>
        </w:tc>
      </w:tr>
      <w:tr w14:paraId="32B8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8" w:type="dxa"/>
            <w:tcBorders>
              <w:tl2br w:val="nil"/>
              <w:tr2bl w:val="nil"/>
            </w:tcBorders>
            <w:noWrap w:val="0"/>
            <w:vAlign w:val="center"/>
          </w:tcPr>
          <w:p w14:paraId="31AD4785">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其他依法应当载明的内容</w:t>
            </w:r>
          </w:p>
        </w:tc>
        <w:tc>
          <w:tcPr>
            <w:tcW w:w="7664" w:type="dxa"/>
            <w:gridSpan w:val="3"/>
            <w:tcBorders>
              <w:tl2br w:val="nil"/>
              <w:tr2bl w:val="nil"/>
            </w:tcBorders>
            <w:noWrap w:val="0"/>
            <w:vAlign w:val="center"/>
          </w:tcPr>
          <w:p w14:paraId="6CA3A188">
            <w:pPr>
              <w:spacing w:line="360" w:lineRule="auto"/>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相关网址：</w:t>
            </w:r>
          </w:p>
          <w:p w14:paraId="068525DC">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广东省公共资源交易平台：https://ygp.gdzwfw.gov.cn/#/44/index</w:t>
            </w:r>
          </w:p>
          <w:p w14:paraId="038ACEDD">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广东省公共资源交易平台（中山市）：https://ygp.gdzwfw.gov.cn/#/442000/index</w:t>
            </w:r>
          </w:p>
          <w:p w14:paraId="53B5154B">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广东省公共资源交易平台（交易系统）：https://ygp.gdzwfw.gov.cn/#/442000/jyxt</w:t>
            </w:r>
          </w:p>
          <w:p w14:paraId="265E256B">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广东省招标投标监管网：http://zbtb.gd.gov.cn</w:t>
            </w:r>
          </w:p>
          <w:p w14:paraId="6908F1C2">
            <w:pPr>
              <w:spacing w:line="360" w:lineRule="auto"/>
              <w:ind w:firstLine="420" w:firstLineChars="200"/>
              <w:jc w:val="left"/>
              <w:rPr>
                <w:rFonts w:hint="eastAsia" w:ascii="宋体" w:hAnsi="宋体" w:eastAsia="宋体" w:cs="宋体"/>
                <w:i w:val="0"/>
                <w:color w:val="auto"/>
                <w:sz w:val="20"/>
                <w:szCs w:val="20"/>
                <w:highlight w:val="none"/>
                <w:u w:val="none"/>
              </w:rPr>
            </w:pPr>
            <w:r>
              <w:rPr>
                <w:rFonts w:hint="eastAsia" w:ascii="宋体" w:hAnsi="宋体" w:eastAsia="宋体" w:cs="Times New Roman"/>
                <w:color w:val="auto"/>
                <w:szCs w:val="21"/>
                <w:highlight w:val="none"/>
                <w:lang w:eastAsia="zh-CN"/>
              </w:rPr>
              <w:t>5</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中山市公共资源交易平台（公共服务系统）：https://www.zsjypt.cn/</w:t>
            </w:r>
          </w:p>
        </w:tc>
      </w:tr>
      <w:bookmarkEnd w:id="8"/>
      <w:bookmarkEnd w:id="9"/>
      <w:bookmarkEnd w:id="10"/>
      <w:bookmarkEnd w:id="11"/>
      <w:bookmarkEnd w:id="12"/>
      <w:bookmarkEnd w:id="13"/>
      <w:bookmarkEnd w:id="14"/>
      <w:bookmarkEnd w:id="15"/>
      <w:bookmarkEnd w:id="16"/>
      <w:bookmarkEnd w:id="17"/>
    </w:tbl>
    <w:p w14:paraId="0AE2AD3C">
      <w:pPr>
        <w:pStyle w:val="10"/>
        <w:rPr>
          <w:color w:val="auto"/>
          <w:highlight w:val="none"/>
        </w:rPr>
      </w:pPr>
    </w:p>
    <w:p w14:paraId="29C60E5F">
      <w:pPr>
        <w:pStyle w:val="6"/>
        <w:rPr>
          <w:color w:val="auto"/>
          <w:highlight w:val="none"/>
        </w:rPr>
      </w:pPr>
      <w:bookmarkStart w:id="18" w:name="_Toc31847"/>
      <w:bookmarkStart w:id="19" w:name="_Toc20976"/>
      <w:bookmarkStart w:id="20" w:name="_Toc32504"/>
      <w:bookmarkStart w:id="21" w:name="_Toc2591730"/>
    </w:p>
    <w:p w14:paraId="660D3696">
      <w:pPr>
        <w:bidi w:val="0"/>
        <w:jc w:val="center"/>
        <w:rPr>
          <w:color w:val="auto"/>
          <w:szCs w:val="32"/>
          <w:highlight w:val="none"/>
        </w:rPr>
      </w:pPr>
      <w:r>
        <w:rPr>
          <w:color w:val="auto"/>
          <w:szCs w:val="32"/>
          <w:highlight w:val="none"/>
        </w:rPr>
        <w:br w:type="page"/>
      </w:r>
      <w:bookmarkStart w:id="22" w:name="_Toc23333"/>
      <w:bookmarkStart w:id="23" w:name="_Toc724699815"/>
      <w:bookmarkStart w:id="24" w:name="_Toc973"/>
      <w:bookmarkStart w:id="25" w:name="_Toc753749199"/>
      <w:r>
        <w:rPr>
          <w:rStyle w:val="36"/>
          <w:rFonts w:hint="eastAsia"/>
          <w:color w:val="auto"/>
          <w:highlight w:val="none"/>
          <w:lang w:val="en-US" w:eastAsia="zh-CN"/>
        </w:rPr>
        <w:t>第二章 投标人须知</w:t>
      </w:r>
      <w:bookmarkEnd w:id="18"/>
      <w:bookmarkEnd w:id="19"/>
      <w:bookmarkEnd w:id="20"/>
      <w:bookmarkEnd w:id="21"/>
      <w:bookmarkEnd w:id="22"/>
      <w:bookmarkEnd w:id="23"/>
      <w:bookmarkEnd w:id="24"/>
      <w:bookmarkEnd w:id="25"/>
    </w:p>
    <w:p w14:paraId="2A54C350">
      <w:pPr>
        <w:pStyle w:val="4"/>
        <w:bidi w:val="0"/>
        <w:jc w:val="center"/>
        <w:rPr>
          <w:color w:val="auto"/>
          <w:highlight w:val="none"/>
        </w:rPr>
      </w:pPr>
      <w:bookmarkStart w:id="26" w:name="_Toc8547"/>
      <w:bookmarkStart w:id="27" w:name="_Toc2591731"/>
      <w:bookmarkStart w:id="28" w:name="_Toc32208"/>
      <w:bookmarkStart w:id="29" w:name="_Toc1988505858"/>
      <w:bookmarkStart w:id="30" w:name="_Toc25980"/>
      <w:bookmarkStart w:id="31" w:name="_Toc30764"/>
      <w:bookmarkStart w:id="32" w:name="_Toc15372"/>
      <w:bookmarkStart w:id="33" w:name="_Toc1077602002"/>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投标人须知前附表</w:t>
      </w:r>
      <w:bookmarkEnd w:id="26"/>
      <w:bookmarkEnd w:id="27"/>
      <w:bookmarkEnd w:id="28"/>
      <w:bookmarkEnd w:id="29"/>
      <w:bookmarkEnd w:id="30"/>
      <w:bookmarkEnd w:id="31"/>
      <w:bookmarkEnd w:id="32"/>
      <w:bookmarkEnd w:id="33"/>
    </w:p>
    <w:tbl>
      <w:tblPr>
        <w:tblStyle w:val="26"/>
        <w:tblW w:w="94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181"/>
        <w:gridCol w:w="6237"/>
      </w:tblGrid>
      <w:tr w14:paraId="78D35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tcBorders>
              <w:top w:val="single" w:color="auto" w:sz="12" w:space="0"/>
            </w:tcBorders>
            <w:noWrap w:val="0"/>
            <w:vAlign w:val="center"/>
          </w:tcPr>
          <w:p w14:paraId="4ACA15D7">
            <w:pPr>
              <w:spacing w:line="360" w:lineRule="auto"/>
              <w:jc w:val="center"/>
              <w:rPr>
                <w:rFonts w:ascii="宋体"/>
                <w:b/>
                <w:color w:val="auto"/>
                <w:szCs w:val="21"/>
                <w:highlight w:val="none"/>
              </w:rPr>
            </w:pPr>
            <w:r>
              <w:rPr>
                <w:rFonts w:hint="eastAsia" w:ascii="宋体" w:hAnsi="宋体"/>
                <w:b/>
                <w:color w:val="auto"/>
                <w:szCs w:val="21"/>
                <w:highlight w:val="none"/>
              </w:rPr>
              <w:t>条款号</w:t>
            </w:r>
          </w:p>
        </w:tc>
        <w:tc>
          <w:tcPr>
            <w:tcW w:w="2181" w:type="dxa"/>
            <w:tcBorders>
              <w:top w:val="single" w:color="auto" w:sz="12" w:space="0"/>
            </w:tcBorders>
            <w:noWrap w:val="0"/>
            <w:vAlign w:val="center"/>
          </w:tcPr>
          <w:p w14:paraId="1D52BD56">
            <w:pPr>
              <w:spacing w:line="360" w:lineRule="auto"/>
              <w:jc w:val="center"/>
              <w:rPr>
                <w:rFonts w:ascii="宋体"/>
                <w:b/>
                <w:color w:val="auto"/>
                <w:szCs w:val="21"/>
                <w:highlight w:val="none"/>
              </w:rPr>
            </w:pPr>
            <w:r>
              <w:rPr>
                <w:rFonts w:hint="eastAsia" w:ascii="宋体" w:hAnsi="宋体"/>
                <w:b/>
                <w:color w:val="auto"/>
                <w:szCs w:val="21"/>
                <w:highlight w:val="none"/>
              </w:rPr>
              <w:t>条</w:t>
            </w:r>
            <w:r>
              <w:rPr>
                <w:rFonts w:ascii="宋体" w:hAnsi="宋体"/>
                <w:b/>
                <w:color w:val="auto"/>
                <w:szCs w:val="21"/>
                <w:highlight w:val="none"/>
              </w:rPr>
              <w:t xml:space="preserve"> </w:t>
            </w:r>
            <w:r>
              <w:rPr>
                <w:rFonts w:hint="eastAsia" w:ascii="宋体" w:hAnsi="宋体"/>
                <w:b/>
                <w:color w:val="auto"/>
                <w:szCs w:val="21"/>
                <w:highlight w:val="none"/>
              </w:rPr>
              <w:t>款</w:t>
            </w:r>
            <w:r>
              <w:rPr>
                <w:rFonts w:ascii="宋体" w:hAnsi="宋体"/>
                <w:b/>
                <w:color w:val="auto"/>
                <w:szCs w:val="21"/>
                <w:highlight w:val="none"/>
              </w:rPr>
              <w:t xml:space="preserve"> </w:t>
            </w:r>
            <w:r>
              <w:rPr>
                <w:rFonts w:hint="eastAsia" w:ascii="宋体" w:hAnsi="宋体"/>
                <w:b/>
                <w:color w:val="auto"/>
                <w:szCs w:val="21"/>
                <w:highlight w:val="none"/>
              </w:rPr>
              <w:t>名</w:t>
            </w:r>
            <w:r>
              <w:rPr>
                <w:rFonts w:ascii="宋体" w:hAnsi="宋体"/>
                <w:b/>
                <w:color w:val="auto"/>
                <w:szCs w:val="21"/>
                <w:highlight w:val="none"/>
              </w:rPr>
              <w:t xml:space="preserve"> </w:t>
            </w:r>
            <w:r>
              <w:rPr>
                <w:rFonts w:hint="eastAsia" w:ascii="宋体" w:hAnsi="宋体"/>
                <w:b/>
                <w:color w:val="auto"/>
                <w:szCs w:val="21"/>
                <w:highlight w:val="none"/>
              </w:rPr>
              <w:t>称</w:t>
            </w:r>
          </w:p>
        </w:tc>
        <w:tc>
          <w:tcPr>
            <w:tcW w:w="6237" w:type="dxa"/>
            <w:tcBorders>
              <w:top w:val="single" w:color="auto" w:sz="12" w:space="0"/>
            </w:tcBorders>
            <w:noWrap w:val="0"/>
            <w:vAlign w:val="center"/>
          </w:tcPr>
          <w:p w14:paraId="0E9FBEF5">
            <w:pPr>
              <w:spacing w:line="360" w:lineRule="auto"/>
              <w:jc w:val="center"/>
              <w:rPr>
                <w:rFonts w:ascii="宋体"/>
                <w:b/>
                <w:color w:val="auto"/>
                <w:szCs w:val="21"/>
                <w:highlight w:val="none"/>
              </w:rPr>
            </w:pPr>
            <w:r>
              <w:rPr>
                <w:rFonts w:hint="eastAsia" w:ascii="宋体" w:hAnsi="宋体"/>
                <w:b/>
                <w:color w:val="auto"/>
                <w:szCs w:val="21"/>
                <w:highlight w:val="none"/>
              </w:rPr>
              <w:t>编</w:t>
            </w:r>
            <w:r>
              <w:rPr>
                <w:rFonts w:ascii="宋体" w:hAnsi="宋体"/>
                <w:b/>
                <w:color w:val="auto"/>
                <w:szCs w:val="21"/>
                <w:highlight w:val="none"/>
              </w:rPr>
              <w:t xml:space="preserve"> </w:t>
            </w:r>
            <w:r>
              <w:rPr>
                <w:rFonts w:hint="eastAsia" w:ascii="宋体" w:hAnsi="宋体"/>
                <w:b/>
                <w:color w:val="auto"/>
                <w:szCs w:val="21"/>
                <w:highlight w:val="none"/>
              </w:rPr>
              <w:t>列</w:t>
            </w:r>
            <w:r>
              <w:rPr>
                <w:rFonts w:ascii="宋体" w:hAnsi="宋体"/>
                <w:b/>
                <w:color w:val="auto"/>
                <w:szCs w:val="21"/>
                <w:highlight w:val="none"/>
              </w:rPr>
              <w:t xml:space="preserve"> </w:t>
            </w: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r>
      <w:tr w14:paraId="2E619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7" w:hRule="atLeast"/>
        </w:trPr>
        <w:tc>
          <w:tcPr>
            <w:tcW w:w="1080" w:type="dxa"/>
            <w:noWrap w:val="0"/>
            <w:vAlign w:val="center"/>
          </w:tcPr>
          <w:p w14:paraId="7BA60E6E">
            <w:pPr>
              <w:spacing w:line="360"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.1.2</w:t>
            </w:r>
          </w:p>
        </w:tc>
        <w:tc>
          <w:tcPr>
            <w:tcW w:w="2181" w:type="dxa"/>
            <w:noWrap w:val="0"/>
            <w:vAlign w:val="center"/>
          </w:tcPr>
          <w:p w14:paraId="5C1FB8B8">
            <w:pPr>
              <w:spacing w:line="360" w:lineRule="auto"/>
              <w:jc w:val="center"/>
              <w:rPr>
                <w:rFonts w:ascii="宋体"/>
                <w:color w:val="auto"/>
                <w:szCs w:val="21"/>
                <w:highlight w:val="none"/>
              </w:rPr>
            </w:pPr>
            <w:r>
              <w:rPr>
                <w:rFonts w:hint="eastAsia" w:ascii="宋体" w:hAnsi="宋体"/>
                <w:color w:val="auto"/>
                <w:szCs w:val="21"/>
                <w:highlight w:val="none"/>
              </w:rPr>
              <w:t>招标人（</w:t>
            </w:r>
            <w:permStart w:id="35" w:edGrp="everyone"/>
            <w:r>
              <w:rPr>
                <w:rFonts w:hint="eastAsia" w:ascii="宋体" w:hAnsi="宋体"/>
                <w:color w:val="auto"/>
                <w:szCs w:val="21"/>
                <w:highlight w:val="none"/>
                <w:u w:val="single"/>
              </w:rPr>
              <w:t>建设单位</w:t>
            </w:r>
            <w:permEnd w:id="35"/>
            <w:r>
              <w:rPr>
                <w:rFonts w:hint="eastAsia" w:ascii="宋体" w:hAnsi="宋体"/>
                <w:color w:val="auto"/>
                <w:szCs w:val="21"/>
                <w:highlight w:val="none"/>
              </w:rPr>
              <w:t>）</w:t>
            </w:r>
          </w:p>
        </w:tc>
        <w:tc>
          <w:tcPr>
            <w:tcW w:w="6237" w:type="dxa"/>
            <w:noWrap w:val="0"/>
            <w:vAlign w:val="center"/>
          </w:tcPr>
          <w:p w14:paraId="2239268E">
            <w:pPr>
              <w:pStyle w:val="2"/>
              <w:snapToGrid w:val="0"/>
              <w:spacing w:line="360" w:lineRule="auto"/>
              <w:ind w:firstLine="0" w:firstLineChars="0"/>
              <w:jc w:val="left"/>
              <w:rPr>
                <w:rFonts w:ascii="宋体"/>
                <w:color w:val="auto"/>
                <w:highlight w:val="none"/>
                <w:u w:val="single"/>
              </w:rPr>
            </w:pPr>
            <w:r>
              <w:rPr>
                <w:rFonts w:hint="eastAsia" w:ascii="宋体" w:hAnsi="宋体"/>
                <w:color w:val="auto"/>
                <w:highlight w:val="none"/>
              </w:rPr>
              <w:t>招标人：</w:t>
            </w:r>
            <w:permStart w:id="36" w:edGrp="everyone"/>
            <w:r>
              <w:rPr>
                <w:rFonts w:hint="eastAsia" w:ascii="宋体" w:hAnsi="宋体"/>
                <w:color w:val="auto"/>
                <w:szCs w:val="21"/>
                <w:highlight w:val="none"/>
                <w:u w:val="none"/>
              </w:rPr>
              <w:t xml:space="preserve"> </w:t>
            </w:r>
            <w:r>
              <w:rPr>
                <w:rFonts w:hint="eastAsia" w:ascii="宋体" w:hAnsi="宋体"/>
                <w:highlight w:val="none"/>
                <w:lang w:eastAsia="zh-CN"/>
              </w:rPr>
              <w:t>中山市产业平台（三角园）管理中心</w:t>
            </w:r>
            <w:r>
              <w:rPr>
                <w:rFonts w:hint="eastAsia" w:ascii="宋体" w:hAnsi="宋体"/>
                <w:color w:val="auto"/>
                <w:szCs w:val="21"/>
                <w:highlight w:val="none"/>
                <w:u w:val="none"/>
              </w:rPr>
              <w:t xml:space="preserve">  </w:t>
            </w:r>
            <w:permEnd w:id="36"/>
          </w:p>
          <w:p w14:paraId="053DFA43">
            <w:pPr>
              <w:spacing w:line="360" w:lineRule="auto"/>
              <w:rPr>
                <w:rFonts w:hint="eastAsia" w:ascii="宋体" w:hAnsi="宋体"/>
                <w:color w:val="auto"/>
                <w:highlight w:val="none"/>
                <w:u w:val="single"/>
              </w:rPr>
            </w:pPr>
            <w:r>
              <w:rPr>
                <w:rFonts w:hint="eastAsia" w:ascii="宋体" w:hAnsi="宋体"/>
                <w:color w:val="auto"/>
                <w:highlight w:val="none"/>
              </w:rPr>
              <w:t>地址：</w:t>
            </w:r>
            <w:permStart w:id="37" w:edGrp="everyone"/>
            <w:r>
              <w:rPr>
                <w:rFonts w:hint="eastAsia" w:ascii="宋体" w:hAnsi="宋体"/>
                <w:color w:val="auto"/>
                <w:szCs w:val="21"/>
                <w:highlight w:val="none"/>
                <w:u w:val="none"/>
              </w:rPr>
              <w:t xml:space="preserve"> </w:t>
            </w:r>
            <w:r>
              <w:rPr>
                <w:rFonts w:hint="eastAsia" w:ascii="宋体" w:hAnsi="宋体"/>
                <w:highlight w:val="none"/>
              </w:rPr>
              <w:t>中山市三角镇旭日路3号</w:t>
            </w:r>
            <w:r>
              <w:rPr>
                <w:rFonts w:hint="eastAsia" w:ascii="宋体" w:hAnsi="宋体"/>
                <w:color w:val="auto"/>
                <w:szCs w:val="21"/>
                <w:highlight w:val="none"/>
                <w:u w:val="none"/>
              </w:rPr>
              <w:t xml:space="preserve"> </w:t>
            </w:r>
            <w:permEnd w:id="37"/>
          </w:p>
          <w:p w14:paraId="757738E7">
            <w:pPr>
              <w:spacing w:line="360" w:lineRule="auto"/>
              <w:rPr>
                <w:rFonts w:ascii="宋体" w:hAnsi="宋体"/>
                <w:color w:val="auto"/>
                <w:highlight w:val="none"/>
              </w:rPr>
            </w:pPr>
            <w:r>
              <w:rPr>
                <w:rFonts w:hint="eastAsia" w:ascii="宋体" w:hAnsi="宋体"/>
                <w:color w:val="auto"/>
                <w:highlight w:val="none"/>
              </w:rPr>
              <w:t>联系人：</w:t>
            </w:r>
            <w:permStart w:id="38" w:edGrp="everyone"/>
            <w:r>
              <w:rPr>
                <w:rFonts w:hint="eastAsia" w:ascii="宋体" w:hAnsi="宋体"/>
                <w:color w:val="auto"/>
                <w:szCs w:val="21"/>
                <w:highlight w:val="none"/>
                <w:u w:val="none"/>
              </w:rPr>
              <w:t xml:space="preserve">     </w:t>
            </w:r>
            <w:r>
              <w:rPr>
                <w:rFonts w:hint="eastAsia" w:ascii="宋体" w:hAnsi="宋体" w:cs="宋体"/>
                <w:i w:val="0"/>
                <w:color w:val="auto"/>
                <w:sz w:val="20"/>
                <w:szCs w:val="20"/>
                <w:highlight w:val="none"/>
                <w:u w:val="none"/>
                <w:lang w:val="en-US" w:eastAsia="zh-CN"/>
              </w:rPr>
              <w:t>梁樟</w:t>
            </w:r>
            <w:r>
              <w:rPr>
                <w:rFonts w:hint="eastAsia" w:ascii="宋体" w:hAnsi="宋体"/>
                <w:color w:val="auto"/>
                <w:szCs w:val="21"/>
                <w:highlight w:val="none"/>
                <w:u w:val="none"/>
              </w:rPr>
              <w:t xml:space="preserve">     </w:t>
            </w:r>
            <w:permEnd w:id="38"/>
          </w:p>
          <w:p w14:paraId="769B1D15">
            <w:pPr>
              <w:spacing w:line="360" w:lineRule="auto"/>
              <w:rPr>
                <w:rFonts w:hint="eastAsia" w:ascii="宋体"/>
                <w:color w:val="auto"/>
                <w:szCs w:val="21"/>
                <w:highlight w:val="none"/>
              </w:rPr>
            </w:pPr>
            <w:r>
              <w:rPr>
                <w:rFonts w:hint="eastAsia" w:ascii="宋体" w:hAnsi="宋体"/>
                <w:color w:val="auto"/>
                <w:highlight w:val="none"/>
              </w:rPr>
              <w:t>电话：</w:t>
            </w:r>
            <w:permStart w:id="39" w:edGrp="everyone"/>
            <w:r>
              <w:rPr>
                <w:rFonts w:hint="eastAsia" w:ascii="宋体" w:hAnsi="宋体"/>
                <w:color w:val="auto"/>
                <w:szCs w:val="21"/>
                <w:highlight w:val="none"/>
                <w:u w:val="none"/>
              </w:rPr>
              <w:t xml:space="preserve"> </w:t>
            </w:r>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eastAsia="宋体" w:cs="宋体"/>
                <w:sz w:val="24"/>
                <w:szCs w:val="24"/>
              </w:rPr>
              <w:t>0760-85542293</w:t>
            </w:r>
            <w:r>
              <w:rPr>
                <w:rFonts w:hint="eastAsia" w:ascii="宋体" w:hAnsi="宋体" w:eastAsia="宋体" w:cs="宋体"/>
                <w:i w:val="0"/>
                <w:color w:val="auto"/>
                <w:sz w:val="20"/>
                <w:szCs w:val="20"/>
                <w:highlight w:val="none"/>
                <w:u w:val="none"/>
                <w:lang w:val="en-US" w:eastAsia="zh-CN"/>
              </w:rPr>
              <w:t xml:space="preserve"> </w:t>
            </w:r>
            <w:r>
              <w:rPr>
                <w:rFonts w:hint="eastAsia" w:ascii="宋体" w:hAnsi="宋体"/>
                <w:color w:val="auto"/>
                <w:szCs w:val="21"/>
                <w:highlight w:val="none"/>
                <w:u w:val="none"/>
              </w:rPr>
              <w:t xml:space="preserve">  </w:t>
            </w:r>
            <w:permEnd w:id="39"/>
          </w:p>
        </w:tc>
      </w:tr>
      <w:tr w14:paraId="5C88A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80" w:type="dxa"/>
            <w:noWrap w:val="0"/>
            <w:vAlign w:val="center"/>
          </w:tcPr>
          <w:p w14:paraId="695BAE03">
            <w:pPr>
              <w:spacing w:line="360" w:lineRule="auto"/>
              <w:jc w:val="center"/>
              <w:rPr>
                <w:rFonts w:ascii="宋体"/>
                <w:color w:val="auto"/>
                <w:szCs w:val="21"/>
                <w:highlight w:val="none"/>
              </w:rPr>
            </w:pPr>
            <w:r>
              <w:rPr>
                <w:rFonts w:hint="eastAsia" w:ascii="宋体" w:hAnsi="宋体"/>
                <w:color w:val="auto"/>
                <w:szCs w:val="21"/>
                <w:highlight w:val="none"/>
              </w:rPr>
              <w:t>1.1.3</w:t>
            </w:r>
          </w:p>
        </w:tc>
        <w:tc>
          <w:tcPr>
            <w:tcW w:w="2181" w:type="dxa"/>
            <w:noWrap w:val="0"/>
            <w:vAlign w:val="center"/>
          </w:tcPr>
          <w:p w14:paraId="119E3959">
            <w:pPr>
              <w:spacing w:line="360" w:lineRule="auto"/>
              <w:jc w:val="center"/>
              <w:rPr>
                <w:rFonts w:ascii="宋体"/>
                <w:color w:val="auto"/>
                <w:szCs w:val="21"/>
                <w:highlight w:val="none"/>
              </w:rPr>
            </w:pPr>
            <w:r>
              <w:rPr>
                <w:rFonts w:hint="eastAsia" w:ascii="宋体" w:hAnsi="宋体"/>
                <w:color w:val="auto"/>
                <w:szCs w:val="21"/>
                <w:highlight w:val="none"/>
              </w:rPr>
              <w:t>招标代理机构</w:t>
            </w:r>
          </w:p>
        </w:tc>
        <w:tc>
          <w:tcPr>
            <w:tcW w:w="6237" w:type="dxa"/>
            <w:noWrap w:val="0"/>
            <w:vAlign w:val="center"/>
          </w:tcPr>
          <w:p w14:paraId="5627772E">
            <w:pPr>
              <w:spacing w:line="360" w:lineRule="auto"/>
              <w:rPr>
                <w:rFonts w:ascii="宋体"/>
                <w:color w:val="auto"/>
                <w:szCs w:val="21"/>
                <w:highlight w:val="none"/>
              </w:rPr>
            </w:pPr>
            <w:r>
              <w:rPr>
                <w:rFonts w:hint="eastAsia" w:ascii="宋体" w:hAnsi="宋体"/>
                <w:color w:val="auto"/>
                <w:szCs w:val="21"/>
                <w:highlight w:val="none"/>
              </w:rPr>
              <w:t>名称：</w:t>
            </w:r>
            <w:permStart w:id="40" w:edGrp="everyone"/>
            <w:r>
              <w:rPr>
                <w:rFonts w:hint="eastAsia" w:ascii="宋体" w:hAnsi="宋体"/>
                <w:color w:val="auto"/>
                <w:szCs w:val="21"/>
                <w:highlight w:val="none"/>
                <w:u w:val="none"/>
              </w:rPr>
              <w:t xml:space="preserve"> </w:t>
            </w:r>
            <w:r>
              <w:rPr>
                <w:rFonts w:hint="eastAsia" w:ascii="宋体" w:hAnsi="宋体"/>
                <w:szCs w:val="21"/>
                <w:highlight w:val="none"/>
              </w:rPr>
              <w:t>广东宏实建设项目管理有限公司</w:t>
            </w:r>
            <w:r>
              <w:rPr>
                <w:rFonts w:hint="eastAsia" w:ascii="宋体" w:hAnsi="宋体"/>
                <w:color w:val="auto"/>
                <w:szCs w:val="21"/>
                <w:highlight w:val="none"/>
                <w:u w:val="none"/>
              </w:rPr>
              <w:t xml:space="preserve"> </w:t>
            </w:r>
            <w:permEnd w:id="40"/>
          </w:p>
          <w:p w14:paraId="3282AEE8">
            <w:pPr>
              <w:spacing w:line="360" w:lineRule="auto"/>
              <w:rPr>
                <w:rFonts w:ascii="宋体"/>
                <w:color w:val="auto"/>
                <w:szCs w:val="21"/>
                <w:highlight w:val="none"/>
              </w:rPr>
            </w:pPr>
            <w:r>
              <w:rPr>
                <w:rFonts w:hint="eastAsia" w:ascii="宋体" w:hAnsi="宋体"/>
                <w:color w:val="auto"/>
                <w:szCs w:val="21"/>
                <w:highlight w:val="none"/>
              </w:rPr>
              <w:t>地址：</w:t>
            </w:r>
            <w:permStart w:id="41" w:edGrp="everyone"/>
            <w:r>
              <w:rPr>
                <w:rFonts w:hint="eastAsia" w:ascii="宋体" w:hAnsi="宋体"/>
                <w:color w:val="auto"/>
                <w:szCs w:val="21"/>
                <w:highlight w:val="none"/>
                <w:u w:val="none"/>
              </w:rPr>
              <w:t xml:space="preserve"> </w:t>
            </w:r>
            <w:r>
              <w:rPr>
                <w:rFonts w:hint="eastAsia" w:ascii="宋体" w:hAnsi="宋体"/>
                <w:szCs w:val="21"/>
                <w:highlight w:val="none"/>
              </w:rPr>
              <w:t>中山市南区永安三路31号上苑花园4幢25卡、201房、202房</w:t>
            </w:r>
            <w:r>
              <w:rPr>
                <w:rFonts w:hint="eastAsia" w:ascii="宋体" w:hAnsi="宋体"/>
                <w:color w:val="auto"/>
                <w:szCs w:val="21"/>
                <w:highlight w:val="none"/>
                <w:u w:val="none"/>
              </w:rPr>
              <w:t xml:space="preserve"> </w:t>
            </w:r>
            <w:permEnd w:id="41"/>
          </w:p>
          <w:p w14:paraId="661E2061">
            <w:pPr>
              <w:spacing w:line="360" w:lineRule="auto"/>
              <w:rPr>
                <w:rFonts w:ascii="宋体"/>
                <w:color w:val="auto"/>
                <w:szCs w:val="21"/>
                <w:highlight w:val="none"/>
              </w:rPr>
            </w:pPr>
            <w:r>
              <w:rPr>
                <w:rFonts w:hint="eastAsia" w:ascii="宋体" w:hAnsi="宋体"/>
                <w:color w:val="auto"/>
                <w:szCs w:val="21"/>
                <w:highlight w:val="none"/>
              </w:rPr>
              <w:t>联系人：</w:t>
            </w:r>
            <w:permStart w:id="42" w:edGrp="everyone"/>
            <w:r>
              <w:rPr>
                <w:rFonts w:hint="eastAsia" w:ascii="宋体" w:hAnsi="宋体"/>
                <w:color w:val="auto"/>
                <w:szCs w:val="21"/>
                <w:highlight w:val="none"/>
                <w:u w:val="none"/>
              </w:rPr>
              <w:t xml:space="preserve"> </w:t>
            </w:r>
            <w:r>
              <w:rPr>
                <w:rFonts w:hint="eastAsia" w:ascii="宋体" w:hAnsi="宋体"/>
                <w:highlight w:val="none"/>
              </w:rPr>
              <w:t>梁敏思、覃志明</w:t>
            </w:r>
            <w:r>
              <w:rPr>
                <w:rFonts w:hint="eastAsia" w:ascii="宋体" w:hAnsi="宋体"/>
                <w:highlight w:val="none"/>
                <w:lang w:eastAsia="zh-CN"/>
              </w:rPr>
              <w:t>、</w:t>
            </w:r>
            <w:r>
              <w:rPr>
                <w:rFonts w:hint="eastAsia" w:ascii="宋体" w:hAnsi="宋体"/>
                <w:highlight w:val="none"/>
                <w:lang w:val="en-US" w:eastAsia="zh-CN"/>
              </w:rPr>
              <w:t>苏炜明</w:t>
            </w:r>
            <w:r>
              <w:rPr>
                <w:rFonts w:hint="eastAsia" w:ascii="宋体" w:hAnsi="宋体"/>
                <w:color w:val="auto"/>
                <w:szCs w:val="21"/>
                <w:highlight w:val="none"/>
                <w:u w:val="none"/>
              </w:rPr>
              <w:t xml:space="preserve"> </w:t>
            </w:r>
            <w:permEnd w:id="42"/>
          </w:p>
          <w:p w14:paraId="739FD8BF">
            <w:pPr>
              <w:spacing w:line="360" w:lineRule="auto"/>
              <w:rPr>
                <w:rFonts w:ascii="宋体"/>
                <w:color w:val="auto"/>
                <w:szCs w:val="21"/>
                <w:highlight w:val="none"/>
              </w:rPr>
            </w:pPr>
            <w:r>
              <w:rPr>
                <w:rFonts w:hint="eastAsia" w:ascii="宋体" w:hAnsi="宋体"/>
                <w:color w:val="auto"/>
                <w:szCs w:val="21"/>
                <w:highlight w:val="none"/>
              </w:rPr>
              <w:t>电话：</w:t>
            </w:r>
            <w:permStart w:id="43" w:edGrp="everyone"/>
            <w:r>
              <w:rPr>
                <w:rFonts w:hint="eastAsia" w:ascii="宋体" w:hAnsi="宋体"/>
                <w:color w:val="auto"/>
                <w:szCs w:val="21"/>
                <w:highlight w:val="none"/>
                <w:u w:val="none"/>
              </w:rPr>
              <w:t xml:space="preserve"> </w:t>
            </w:r>
            <w:r>
              <w:rPr>
                <w:rFonts w:hint="eastAsia" w:ascii="宋体" w:hAnsi="宋体"/>
                <w:highlight w:val="none"/>
              </w:rPr>
              <w:t>0760-88321998</w:t>
            </w:r>
            <w:r>
              <w:rPr>
                <w:rFonts w:hint="eastAsia" w:ascii="宋体" w:hAnsi="宋体"/>
                <w:color w:val="auto"/>
                <w:szCs w:val="21"/>
                <w:highlight w:val="none"/>
                <w:u w:val="none"/>
              </w:rPr>
              <w:t xml:space="preserve"> </w:t>
            </w:r>
            <w:permEnd w:id="43"/>
          </w:p>
        </w:tc>
      </w:tr>
      <w:tr w14:paraId="57011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080" w:type="dxa"/>
            <w:noWrap w:val="0"/>
            <w:vAlign w:val="center"/>
          </w:tcPr>
          <w:p w14:paraId="3B82C246">
            <w:pPr>
              <w:spacing w:line="360" w:lineRule="auto"/>
              <w:jc w:val="center"/>
              <w:rPr>
                <w:rFonts w:ascii="宋体"/>
                <w:color w:val="auto"/>
                <w:szCs w:val="21"/>
                <w:highlight w:val="none"/>
              </w:rPr>
            </w:pPr>
            <w:r>
              <w:rPr>
                <w:rFonts w:hint="eastAsia" w:ascii="宋体" w:hAnsi="宋体"/>
                <w:color w:val="auto"/>
                <w:szCs w:val="21"/>
                <w:highlight w:val="none"/>
              </w:rPr>
              <w:t>1.1.4</w:t>
            </w:r>
          </w:p>
        </w:tc>
        <w:tc>
          <w:tcPr>
            <w:tcW w:w="2181" w:type="dxa"/>
            <w:noWrap w:val="0"/>
            <w:vAlign w:val="center"/>
          </w:tcPr>
          <w:p w14:paraId="5BC3752F">
            <w:pPr>
              <w:spacing w:line="360" w:lineRule="auto"/>
              <w:jc w:val="center"/>
              <w:rPr>
                <w:rFonts w:ascii="宋体"/>
                <w:color w:val="auto"/>
                <w:szCs w:val="21"/>
                <w:highlight w:val="none"/>
              </w:rPr>
            </w:pPr>
            <w:r>
              <w:rPr>
                <w:rFonts w:hint="eastAsia" w:ascii="宋体" w:hAnsi="宋体"/>
                <w:color w:val="auto"/>
                <w:szCs w:val="21"/>
                <w:highlight w:val="none"/>
              </w:rPr>
              <w:t>项目名称</w:t>
            </w:r>
          </w:p>
        </w:tc>
        <w:tc>
          <w:tcPr>
            <w:tcW w:w="6237" w:type="dxa"/>
            <w:noWrap w:val="0"/>
            <w:vAlign w:val="center"/>
          </w:tcPr>
          <w:p w14:paraId="145EAAB6">
            <w:pPr>
              <w:spacing w:line="360" w:lineRule="auto"/>
              <w:rPr>
                <w:rFonts w:ascii="宋体"/>
                <w:color w:val="auto"/>
                <w:szCs w:val="21"/>
                <w:highlight w:val="none"/>
              </w:rPr>
            </w:pPr>
            <w:permStart w:id="44" w:edGrp="everyone"/>
            <w:r>
              <w:rPr>
                <w:rFonts w:hint="eastAsia" w:ascii="宋体" w:hAnsi="宋体"/>
                <w:color w:val="auto"/>
                <w:szCs w:val="21"/>
                <w:highlight w:val="none"/>
                <w:u w:val="none"/>
              </w:rPr>
              <w:t xml:space="preserve"> </w:t>
            </w:r>
            <w:r>
              <w:rPr>
                <w:rFonts w:hint="eastAsia" w:ascii="宋体" w:hAnsi="宋体" w:cs="宋体"/>
                <w:i w:val="0"/>
                <w:color w:val="auto"/>
                <w:sz w:val="20"/>
                <w:szCs w:val="20"/>
                <w:highlight w:val="none"/>
                <w:u w:val="none"/>
                <w:lang w:val="en-US" w:eastAsia="zh-CN"/>
              </w:rPr>
              <w:t>三角镇新华北路道路工程勘察设计</w:t>
            </w:r>
            <w:r>
              <w:rPr>
                <w:rFonts w:hint="eastAsia" w:ascii="宋体" w:hAnsi="宋体"/>
                <w:color w:val="auto"/>
                <w:szCs w:val="21"/>
                <w:highlight w:val="none"/>
                <w:u w:val="none"/>
              </w:rPr>
              <w:t xml:space="preserve"> </w:t>
            </w:r>
            <w:permEnd w:id="44"/>
          </w:p>
        </w:tc>
      </w:tr>
      <w:tr w14:paraId="2F375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14:paraId="26819D3D">
            <w:pPr>
              <w:spacing w:line="360" w:lineRule="auto"/>
              <w:jc w:val="center"/>
              <w:rPr>
                <w:rFonts w:hint="eastAsia" w:ascii="宋体" w:eastAsia="宋体"/>
                <w:color w:val="auto"/>
                <w:szCs w:val="21"/>
                <w:highlight w:val="none"/>
                <w:lang w:eastAsia="zh-CN"/>
              </w:rPr>
            </w:pPr>
            <w:r>
              <w:rPr>
                <w:rFonts w:hint="eastAsia" w:ascii="宋体" w:hAnsi="宋体"/>
                <w:color w:val="auto"/>
                <w:szCs w:val="21"/>
                <w:highlight w:val="none"/>
              </w:rPr>
              <w:t>1.1.</w:t>
            </w:r>
            <w:r>
              <w:rPr>
                <w:rFonts w:hint="eastAsia" w:ascii="宋体" w:hAnsi="宋体"/>
                <w:color w:val="auto"/>
                <w:szCs w:val="21"/>
                <w:highlight w:val="none"/>
                <w:lang w:val="en-US" w:eastAsia="zh-CN"/>
              </w:rPr>
              <w:t>5</w:t>
            </w:r>
          </w:p>
        </w:tc>
        <w:tc>
          <w:tcPr>
            <w:tcW w:w="2181" w:type="dxa"/>
            <w:noWrap w:val="0"/>
            <w:vAlign w:val="center"/>
          </w:tcPr>
          <w:p w14:paraId="7E349EAF">
            <w:pPr>
              <w:spacing w:line="360" w:lineRule="auto"/>
              <w:jc w:val="center"/>
              <w:rPr>
                <w:rFonts w:ascii="宋体"/>
                <w:color w:val="auto"/>
                <w:szCs w:val="21"/>
                <w:highlight w:val="none"/>
              </w:rPr>
            </w:pPr>
            <w:r>
              <w:rPr>
                <w:rFonts w:hint="eastAsia" w:ascii="宋体" w:hAnsi="宋体"/>
                <w:color w:val="auto"/>
                <w:szCs w:val="21"/>
                <w:highlight w:val="none"/>
                <w:lang w:eastAsia="zh-CN"/>
              </w:rPr>
              <w:t>项目建设</w:t>
            </w:r>
            <w:r>
              <w:rPr>
                <w:rFonts w:hint="eastAsia" w:ascii="宋体" w:hAnsi="宋体"/>
                <w:color w:val="auto"/>
                <w:szCs w:val="21"/>
                <w:highlight w:val="none"/>
              </w:rPr>
              <w:t>地点</w:t>
            </w:r>
          </w:p>
        </w:tc>
        <w:tc>
          <w:tcPr>
            <w:tcW w:w="6237" w:type="dxa"/>
            <w:noWrap w:val="0"/>
            <w:vAlign w:val="center"/>
          </w:tcPr>
          <w:p w14:paraId="0AE19C98">
            <w:pPr>
              <w:spacing w:line="360" w:lineRule="auto"/>
              <w:rPr>
                <w:rFonts w:ascii="宋体"/>
                <w:color w:val="auto"/>
                <w:szCs w:val="21"/>
                <w:highlight w:val="none"/>
              </w:rPr>
            </w:pPr>
            <w:permStart w:id="45" w:edGrp="everyone"/>
            <w:r>
              <w:rPr>
                <w:rFonts w:hint="eastAsia" w:ascii="宋体" w:hAnsi="宋体"/>
                <w:color w:val="auto"/>
                <w:szCs w:val="21"/>
                <w:highlight w:val="none"/>
                <w:u w:val="none"/>
              </w:rPr>
              <w:t xml:space="preserve"> </w:t>
            </w:r>
            <w:r>
              <w:rPr>
                <w:rFonts w:hint="eastAsia" w:ascii="宋体" w:hAnsi="宋体" w:eastAsia="宋体" w:cs="宋体"/>
                <w:i w:val="0"/>
                <w:color w:val="auto"/>
                <w:kern w:val="0"/>
                <w:sz w:val="20"/>
                <w:szCs w:val="20"/>
                <w:highlight w:val="none"/>
                <w:u w:val="none"/>
                <w:lang w:val="en-US" w:eastAsia="zh-CN" w:bidi="ar"/>
              </w:rPr>
              <w:t>中山市三角镇新华北路</w:t>
            </w:r>
            <w:r>
              <w:rPr>
                <w:rFonts w:hint="eastAsia" w:ascii="宋体" w:hAnsi="宋体"/>
                <w:color w:val="auto"/>
                <w:szCs w:val="21"/>
                <w:highlight w:val="none"/>
                <w:u w:val="none"/>
              </w:rPr>
              <w:t xml:space="preserve"> </w:t>
            </w:r>
            <w:permEnd w:id="45"/>
          </w:p>
        </w:tc>
      </w:tr>
      <w:tr w14:paraId="1455B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14:paraId="52C40CCB">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1.1.6</w:t>
            </w:r>
          </w:p>
        </w:tc>
        <w:tc>
          <w:tcPr>
            <w:tcW w:w="2181" w:type="dxa"/>
            <w:noWrap w:val="0"/>
            <w:vAlign w:val="center"/>
          </w:tcPr>
          <w:p w14:paraId="753A7DBC">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项目建设规模</w:t>
            </w:r>
          </w:p>
        </w:tc>
        <w:tc>
          <w:tcPr>
            <w:tcW w:w="6237" w:type="dxa"/>
            <w:noWrap w:val="0"/>
            <w:vAlign w:val="center"/>
          </w:tcPr>
          <w:p w14:paraId="5C1DB0BE">
            <w:pPr>
              <w:spacing w:line="360" w:lineRule="auto"/>
              <w:rPr>
                <w:rFonts w:hint="eastAsia" w:ascii="宋体" w:hAnsi="宋体"/>
                <w:color w:val="auto"/>
                <w:szCs w:val="21"/>
                <w:highlight w:val="none"/>
                <w:u w:val="none"/>
              </w:rPr>
            </w:pPr>
            <w:permStart w:id="46" w:edGrp="everyone"/>
            <w:r>
              <w:rPr>
                <w:rFonts w:hint="eastAsia" w:ascii="宋体" w:hAnsi="宋体"/>
                <w:color w:val="auto"/>
                <w:szCs w:val="21"/>
                <w:highlight w:val="none"/>
                <w:u w:val="none"/>
              </w:rPr>
              <w:t xml:space="preserve"> </w:t>
            </w:r>
            <w:r>
              <w:rPr>
                <w:rFonts w:hint="eastAsia" w:ascii="宋体" w:hAnsi="宋体" w:eastAsia="宋体" w:cs="宋体"/>
                <w:i w:val="0"/>
                <w:color w:val="auto"/>
                <w:kern w:val="0"/>
                <w:sz w:val="20"/>
                <w:szCs w:val="20"/>
                <w:highlight w:val="none"/>
                <w:u w:val="none"/>
                <w:lang w:val="en-US" w:eastAsia="zh-CN" w:bidi="ar"/>
              </w:rPr>
              <w:t>本工程共涉及1条道路建设，位于三角镇高平化工园区，为三角镇的重要干道网络。新华北路起点位于上九屈涌北岸福泽三街，南北走向，与规划环镇路平交，向南延伸至规划道路作为设计终点，线位总长1.625km。本条道路建设标准为城市次干路，设计时速为40km/h，设计道路宽度为24m，沿线新建箱涵两座，配套实施交通工程、智能交通工程、给排水工程、工业污水、事故废水、电力工程、通讯工程、照明工程、绿化工程、蒸汽管道工程等。在与民古路交叉节点，同步实施上跨民古路桥梁60m，最大跨度为30m，为新华北路预留远期实施条件。</w:t>
            </w:r>
            <w:r>
              <w:rPr>
                <w:rFonts w:hint="eastAsia" w:ascii="宋体" w:hAnsi="宋体"/>
                <w:color w:val="auto"/>
                <w:szCs w:val="21"/>
                <w:highlight w:val="none"/>
                <w:u w:val="none"/>
              </w:rPr>
              <w:t xml:space="preserve"> </w:t>
            </w:r>
            <w:permEnd w:id="46"/>
          </w:p>
        </w:tc>
      </w:tr>
      <w:tr w14:paraId="61CCD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14:paraId="5BBBB22F">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1.1.7</w:t>
            </w:r>
          </w:p>
        </w:tc>
        <w:tc>
          <w:tcPr>
            <w:tcW w:w="2181" w:type="dxa"/>
            <w:noWrap w:val="0"/>
            <w:vAlign w:val="center"/>
          </w:tcPr>
          <w:p w14:paraId="0E3D2732">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项目投资估算</w:t>
            </w:r>
          </w:p>
        </w:tc>
        <w:tc>
          <w:tcPr>
            <w:tcW w:w="6237" w:type="dxa"/>
            <w:noWrap w:val="0"/>
            <w:vAlign w:val="center"/>
          </w:tcPr>
          <w:p w14:paraId="029D97A1">
            <w:pPr>
              <w:spacing w:line="360" w:lineRule="auto"/>
              <w:rPr>
                <w:rFonts w:hint="eastAsia" w:ascii="宋体" w:hAnsi="宋体"/>
                <w:color w:val="auto"/>
                <w:szCs w:val="21"/>
                <w:highlight w:val="none"/>
                <w:u w:val="none"/>
              </w:rPr>
            </w:pPr>
            <w:permStart w:id="47" w:edGrp="everyone"/>
            <w:r>
              <w:rPr>
                <w:rFonts w:hint="eastAsia" w:ascii="宋体" w:hAnsi="宋体" w:eastAsia="宋体" w:cs="宋体"/>
                <w:i w:val="0"/>
                <w:color w:val="auto"/>
                <w:kern w:val="0"/>
                <w:sz w:val="20"/>
                <w:szCs w:val="20"/>
                <w:highlight w:val="none"/>
                <w:u w:val="none"/>
                <w:lang w:val="en-US" w:eastAsia="zh-CN" w:bidi="ar"/>
              </w:rPr>
              <w:t>39027.41万元</w:t>
            </w:r>
            <w:r>
              <w:rPr>
                <w:rFonts w:hint="eastAsia" w:ascii="宋体" w:hAnsi="宋体"/>
                <w:color w:val="auto"/>
                <w:szCs w:val="21"/>
                <w:highlight w:val="none"/>
                <w:u w:val="none"/>
              </w:rPr>
              <w:t xml:space="preserve"> </w:t>
            </w:r>
            <w:permEnd w:id="47"/>
          </w:p>
        </w:tc>
      </w:tr>
      <w:tr w14:paraId="7BEB2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080" w:type="dxa"/>
            <w:noWrap w:val="0"/>
            <w:vAlign w:val="center"/>
          </w:tcPr>
          <w:p w14:paraId="1477987D">
            <w:pPr>
              <w:spacing w:line="360" w:lineRule="auto"/>
              <w:jc w:val="center"/>
              <w:rPr>
                <w:rFonts w:hint="eastAsia" w:ascii="宋体" w:hAnsi="宋体"/>
                <w:color w:val="auto"/>
                <w:szCs w:val="21"/>
                <w:highlight w:val="none"/>
              </w:rPr>
            </w:pPr>
            <w:r>
              <w:rPr>
                <w:rFonts w:ascii="宋体" w:hAnsi="宋体"/>
                <w:color w:val="auto"/>
                <w:szCs w:val="21"/>
                <w:highlight w:val="none"/>
              </w:rPr>
              <w:t>1.2.1</w:t>
            </w:r>
          </w:p>
        </w:tc>
        <w:tc>
          <w:tcPr>
            <w:tcW w:w="2181" w:type="dxa"/>
            <w:noWrap w:val="0"/>
            <w:vAlign w:val="center"/>
          </w:tcPr>
          <w:p w14:paraId="6AF057FA">
            <w:pPr>
              <w:spacing w:line="360" w:lineRule="auto"/>
              <w:jc w:val="center"/>
              <w:rPr>
                <w:rFonts w:hint="eastAsia" w:ascii="宋体" w:hAnsi="宋体"/>
                <w:color w:val="auto"/>
                <w:szCs w:val="21"/>
                <w:highlight w:val="none"/>
              </w:rPr>
            </w:pPr>
            <w:r>
              <w:rPr>
                <w:rFonts w:hint="eastAsia" w:ascii="宋体" w:hAnsi="宋体"/>
                <w:color w:val="auto"/>
                <w:szCs w:val="21"/>
                <w:highlight w:val="none"/>
              </w:rPr>
              <w:t>资金来源</w:t>
            </w:r>
          </w:p>
        </w:tc>
        <w:tc>
          <w:tcPr>
            <w:tcW w:w="6237" w:type="dxa"/>
            <w:noWrap w:val="0"/>
            <w:vAlign w:val="center"/>
          </w:tcPr>
          <w:p w14:paraId="709844A9">
            <w:pPr>
              <w:spacing w:line="360" w:lineRule="auto"/>
              <w:jc w:val="left"/>
              <w:rPr>
                <w:rFonts w:ascii="宋体"/>
                <w:color w:val="auto"/>
                <w:szCs w:val="21"/>
                <w:highlight w:val="none"/>
              </w:rPr>
            </w:pPr>
            <w:permStart w:id="48" w:edGrp="everyone"/>
            <w:r>
              <w:rPr>
                <w:rFonts w:hint="eastAsia" w:ascii="宋体" w:hAnsi="宋体"/>
                <w:color w:val="auto"/>
                <w:szCs w:val="21"/>
                <w:highlight w:val="none"/>
                <w:u w:val="none"/>
              </w:rPr>
              <w:t xml:space="preserve"> </w:t>
            </w:r>
            <w:r>
              <w:rPr>
                <w:rFonts w:hint="eastAsia" w:ascii="宋体" w:hAnsi="宋体" w:eastAsia="宋体" w:cs="Times New Roman"/>
                <w:szCs w:val="21"/>
                <w:highlight w:val="none"/>
                <w:lang w:val="en-US" w:eastAsia="zh-CN"/>
              </w:rPr>
              <w:t>镇财政资金</w:t>
            </w:r>
            <w:r>
              <w:rPr>
                <w:rFonts w:hint="eastAsia" w:ascii="宋体" w:hAnsi="宋体"/>
                <w:color w:val="auto"/>
                <w:szCs w:val="21"/>
                <w:highlight w:val="none"/>
                <w:u w:val="none"/>
              </w:rPr>
              <w:t xml:space="preserve"> </w:t>
            </w:r>
            <w:permEnd w:id="48"/>
          </w:p>
        </w:tc>
      </w:tr>
      <w:tr w14:paraId="55802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080" w:type="dxa"/>
            <w:noWrap w:val="0"/>
            <w:vAlign w:val="center"/>
          </w:tcPr>
          <w:p w14:paraId="3EC71E7B">
            <w:pPr>
              <w:spacing w:line="360" w:lineRule="auto"/>
              <w:jc w:val="center"/>
              <w:rPr>
                <w:rFonts w:ascii="宋体"/>
                <w:color w:val="auto"/>
                <w:szCs w:val="21"/>
                <w:highlight w:val="none"/>
              </w:rPr>
            </w:pPr>
            <w:r>
              <w:rPr>
                <w:rFonts w:ascii="宋体" w:hAnsi="宋体"/>
                <w:color w:val="auto"/>
                <w:szCs w:val="21"/>
                <w:highlight w:val="none"/>
              </w:rPr>
              <w:t>1.2.2</w:t>
            </w:r>
          </w:p>
        </w:tc>
        <w:tc>
          <w:tcPr>
            <w:tcW w:w="2181" w:type="dxa"/>
            <w:noWrap w:val="0"/>
            <w:vAlign w:val="center"/>
          </w:tcPr>
          <w:p w14:paraId="49BD20C5">
            <w:pPr>
              <w:spacing w:line="360" w:lineRule="auto"/>
              <w:jc w:val="center"/>
              <w:rPr>
                <w:rFonts w:ascii="宋体"/>
                <w:color w:val="auto"/>
                <w:szCs w:val="21"/>
                <w:highlight w:val="none"/>
              </w:rPr>
            </w:pPr>
            <w:r>
              <w:rPr>
                <w:rFonts w:hint="eastAsia" w:ascii="宋体" w:hAnsi="宋体"/>
                <w:color w:val="auto"/>
                <w:szCs w:val="21"/>
                <w:highlight w:val="none"/>
              </w:rPr>
              <w:t>出资比例</w:t>
            </w:r>
          </w:p>
        </w:tc>
        <w:tc>
          <w:tcPr>
            <w:tcW w:w="6237" w:type="dxa"/>
            <w:noWrap w:val="0"/>
            <w:vAlign w:val="center"/>
          </w:tcPr>
          <w:p w14:paraId="7EEDAFD6">
            <w:pPr>
              <w:spacing w:line="360" w:lineRule="auto"/>
              <w:jc w:val="left"/>
              <w:rPr>
                <w:rFonts w:ascii="宋体"/>
                <w:color w:val="auto"/>
                <w:szCs w:val="21"/>
                <w:highlight w:val="none"/>
              </w:rPr>
            </w:pPr>
            <w:permStart w:id="49" w:edGrp="everyone"/>
            <w:r>
              <w:rPr>
                <w:rFonts w:hint="eastAsia" w:ascii="宋体" w:hAnsi="宋体"/>
                <w:color w:val="auto"/>
                <w:szCs w:val="21"/>
                <w:highlight w:val="none"/>
                <w:u w:val="none"/>
              </w:rPr>
              <w:t xml:space="preserve">  </w:t>
            </w:r>
            <w:r>
              <w:rPr>
                <w:rFonts w:hint="eastAsia" w:ascii="宋体" w:hAnsi="宋体" w:cs="宋体"/>
                <w:i w:val="0"/>
                <w:color w:val="auto"/>
                <w:kern w:val="0"/>
                <w:sz w:val="20"/>
                <w:szCs w:val="20"/>
                <w:highlight w:val="none"/>
                <w:u w:val="none"/>
                <w:lang w:val="en-US" w:eastAsia="zh-CN" w:bidi="ar"/>
              </w:rPr>
              <w:t>100%</w:t>
            </w:r>
            <w:r>
              <w:rPr>
                <w:rFonts w:hint="eastAsia" w:ascii="宋体" w:hAnsi="宋体" w:eastAsia="宋体" w:cs="Times New Roman"/>
                <w:szCs w:val="21"/>
                <w:highlight w:val="none"/>
                <w:lang w:val="en-US" w:eastAsia="zh-CN"/>
              </w:rPr>
              <w:t>镇财政资金</w:t>
            </w:r>
            <w:r>
              <w:rPr>
                <w:rFonts w:hint="eastAsia" w:ascii="宋体" w:hAnsi="宋体"/>
                <w:color w:val="auto"/>
                <w:szCs w:val="21"/>
                <w:highlight w:val="none"/>
                <w:u w:val="none"/>
              </w:rPr>
              <w:t xml:space="preserve">  </w:t>
            </w:r>
            <w:permEnd w:id="49"/>
          </w:p>
        </w:tc>
      </w:tr>
      <w:tr w14:paraId="31093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080" w:type="dxa"/>
            <w:tcBorders>
              <w:bottom w:val="single" w:color="auto" w:sz="4" w:space="0"/>
            </w:tcBorders>
            <w:noWrap w:val="0"/>
            <w:vAlign w:val="center"/>
          </w:tcPr>
          <w:p w14:paraId="3DB8DDB8">
            <w:pPr>
              <w:spacing w:line="360" w:lineRule="auto"/>
              <w:jc w:val="center"/>
              <w:rPr>
                <w:rFonts w:ascii="宋体"/>
                <w:color w:val="auto"/>
                <w:szCs w:val="21"/>
                <w:highlight w:val="none"/>
              </w:rPr>
            </w:pPr>
            <w:r>
              <w:rPr>
                <w:rFonts w:ascii="宋体" w:hAnsi="宋体"/>
                <w:color w:val="auto"/>
                <w:szCs w:val="21"/>
                <w:highlight w:val="none"/>
              </w:rPr>
              <w:t>1.2.3</w:t>
            </w:r>
          </w:p>
        </w:tc>
        <w:tc>
          <w:tcPr>
            <w:tcW w:w="2181" w:type="dxa"/>
            <w:tcBorders>
              <w:bottom w:val="single" w:color="auto" w:sz="4" w:space="0"/>
            </w:tcBorders>
            <w:noWrap w:val="0"/>
            <w:vAlign w:val="center"/>
          </w:tcPr>
          <w:p w14:paraId="2F438B1C">
            <w:pPr>
              <w:spacing w:line="360" w:lineRule="auto"/>
              <w:jc w:val="center"/>
              <w:rPr>
                <w:rFonts w:ascii="宋体"/>
                <w:color w:val="auto"/>
                <w:szCs w:val="21"/>
                <w:highlight w:val="none"/>
              </w:rPr>
            </w:pPr>
            <w:r>
              <w:rPr>
                <w:rFonts w:hint="eastAsia" w:ascii="宋体" w:hAnsi="宋体"/>
                <w:color w:val="auto"/>
                <w:szCs w:val="21"/>
                <w:highlight w:val="none"/>
              </w:rPr>
              <w:t>资金落实情况</w:t>
            </w:r>
          </w:p>
        </w:tc>
        <w:tc>
          <w:tcPr>
            <w:tcW w:w="6237" w:type="dxa"/>
            <w:tcBorders>
              <w:bottom w:val="single" w:color="auto" w:sz="4" w:space="0"/>
            </w:tcBorders>
            <w:noWrap w:val="0"/>
            <w:vAlign w:val="center"/>
          </w:tcPr>
          <w:p w14:paraId="131961BC">
            <w:pPr>
              <w:spacing w:line="360" w:lineRule="auto"/>
              <w:jc w:val="left"/>
              <w:rPr>
                <w:rFonts w:ascii="宋体"/>
                <w:color w:val="auto"/>
                <w:szCs w:val="21"/>
                <w:highlight w:val="none"/>
              </w:rPr>
            </w:pPr>
            <w:permStart w:id="50"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已落实</w:t>
            </w:r>
            <w:r>
              <w:rPr>
                <w:rFonts w:hint="eastAsia" w:ascii="宋体" w:hAnsi="宋体"/>
                <w:color w:val="auto"/>
                <w:szCs w:val="21"/>
                <w:highlight w:val="none"/>
                <w:u w:val="none"/>
              </w:rPr>
              <w:t xml:space="preserve"> </w:t>
            </w:r>
            <w:permEnd w:id="50"/>
          </w:p>
        </w:tc>
      </w:tr>
      <w:tr w14:paraId="1B55F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80" w:type="dxa"/>
            <w:tcBorders>
              <w:bottom w:val="single" w:color="auto" w:sz="4" w:space="0"/>
            </w:tcBorders>
            <w:noWrap w:val="0"/>
            <w:vAlign w:val="center"/>
          </w:tcPr>
          <w:p w14:paraId="7537EA75">
            <w:pPr>
              <w:spacing w:line="360" w:lineRule="auto"/>
              <w:jc w:val="center"/>
              <w:rPr>
                <w:rFonts w:hint="eastAsia" w:ascii="宋体" w:hAnsi="宋体"/>
                <w:color w:val="auto"/>
                <w:szCs w:val="21"/>
                <w:highlight w:val="none"/>
              </w:rPr>
            </w:pPr>
            <w:r>
              <w:rPr>
                <w:rFonts w:hint="eastAsia" w:ascii="宋体" w:hAnsi="宋体"/>
                <w:color w:val="auto"/>
                <w:szCs w:val="21"/>
                <w:highlight w:val="none"/>
              </w:rPr>
              <w:t>1.3.1</w:t>
            </w:r>
          </w:p>
        </w:tc>
        <w:tc>
          <w:tcPr>
            <w:tcW w:w="2181" w:type="dxa"/>
            <w:tcBorders>
              <w:bottom w:val="single" w:color="auto" w:sz="4" w:space="0"/>
            </w:tcBorders>
            <w:noWrap w:val="0"/>
            <w:vAlign w:val="center"/>
          </w:tcPr>
          <w:p w14:paraId="5391A179">
            <w:pPr>
              <w:spacing w:line="360" w:lineRule="auto"/>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6237" w:type="dxa"/>
            <w:tcBorders>
              <w:bottom w:val="single" w:color="auto" w:sz="4" w:space="0"/>
            </w:tcBorders>
            <w:noWrap w:val="0"/>
            <w:vAlign w:val="center"/>
          </w:tcPr>
          <w:p w14:paraId="1505EBE7">
            <w:pPr>
              <w:spacing w:line="360" w:lineRule="auto"/>
              <w:ind w:firstLine="420" w:firstLineChars="200"/>
              <w:rPr>
                <w:rFonts w:hint="eastAsia" w:ascii="宋体" w:hAnsi="宋体" w:eastAsia="宋体" w:cs="宋体"/>
                <w:szCs w:val="21"/>
                <w:u w:val="single"/>
              </w:rPr>
            </w:pPr>
            <w:permStart w:id="51" w:edGrp="everyone"/>
            <w:r>
              <w:rPr>
                <w:rFonts w:hint="eastAsia" w:ascii="宋体" w:hAnsi="宋体"/>
                <w:color w:val="auto"/>
                <w:szCs w:val="21"/>
                <w:highlight w:val="none"/>
                <w:u w:val="none"/>
              </w:rPr>
              <w:t xml:space="preserve"> </w:t>
            </w:r>
            <w:r>
              <w:rPr>
                <w:rFonts w:hint="eastAsia" w:ascii="宋体" w:hAnsi="宋体" w:eastAsia="宋体" w:cs="宋体"/>
                <w:szCs w:val="21"/>
                <w:u w:val="single"/>
              </w:rPr>
              <w:t>（1）本项目勘察内容包括但不限于：</w:t>
            </w:r>
            <w:r>
              <w:rPr>
                <w:rFonts w:hint="eastAsia" w:ascii="宋体" w:hAnsi="宋体" w:cs="宋体"/>
                <w:szCs w:val="21"/>
                <w:u w:val="single"/>
                <w:lang w:eastAsia="zh-CN"/>
              </w:rPr>
              <w:t>初测（</w:t>
            </w:r>
            <w:r>
              <w:rPr>
                <w:rFonts w:hint="eastAsia" w:ascii="宋体" w:hAnsi="宋体" w:cs="宋体"/>
                <w:szCs w:val="21"/>
                <w:u w:val="single"/>
                <w:lang w:val="en-US" w:eastAsia="zh-CN"/>
              </w:rPr>
              <w:t>测量放点、管线物探及地</w:t>
            </w:r>
            <w:r>
              <w:rPr>
                <w:rFonts w:hint="eastAsia" w:ascii="宋体" w:hAnsi="宋体" w:eastAsia="宋体" w:cs="宋体"/>
                <w:szCs w:val="21"/>
                <w:u w:val="single"/>
              </w:rPr>
              <w:t>形图</w:t>
            </w:r>
            <w:r>
              <w:rPr>
                <w:rFonts w:hint="eastAsia" w:ascii="宋体" w:hAnsi="宋体" w:cs="宋体"/>
                <w:szCs w:val="21"/>
                <w:u w:val="single"/>
                <w:lang w:val="en-US" w:eastAsia="zh-CN"/>
              </w:rPr>
              <w:t>等</w:t>
            </w:r>
            <w:r>
              <w:rPr>
                <w:rFonts w:hint="eastAsia" w:ascii="宋体" w:hAnsi="宋体" w:eastAsia="宋体" w:cs="宋体"/>
                <w:szCs w:val="21"/>
                <w:u w:val="single"/>
              </w:rPr>
              <w:t>测量</w:t>
            </w:r>
            <w:r>
              <w:rPr>
                <w:rFonts w:hint="eastAsia" w:ascii="宋体" w:hAnsi="宋体" w:cs="宋体"/>
                <w:szCs w:val="21"/>
                <w:u w:val="single"/>
                <w:lang w:val="en-US" w:eastAsia="zh-CN"/>
              </w:rPr>
              <w:t>相关工作，报告须满足勘察设计深度需要）</w:t>
            </w:r>
            <w:r>
              <w:rPr>
                <w:rFonts w:hint="eastAsia" w:ascii="宋体" w:hAnsi="宋体" w:eastAsia="宋体" w:cs="宋体"/>
                <w:szCs w:val="21"/>
                <w:u w:val="single"/>
              </w:rPr>
              <w:t>和勘探，查明用地范围内地基岩土的类型、分布、岩土性质、不良地质等工程地质条件和水文地质条件，出具工程设计和施工所需要的勘察报告。为本工程所有设计和施工提供所需的工程地质依据。勘察布孔及进尺，由中标人按现行规范设计布置（按用地现状及设计单位有关需求进行勘察</w:t>
            </w:r>
            <w:r>
              <w:rPr>
                <w:rFonts w:hint="eastAsia" w:ascii="宋体" w:hAnsi="宋体" w:eastAsia="宋体" w:cs="宋体"/>
                <w:b/>
                <w:bCs/>
                <w:szCs w:val="21"/>
                <w:u w:val="single"/>
              </w:rPr>
              <w:t>，</w:t>
            </w:r>
            <w:r>
              <w:rPr>
                <w:rFonts w:hint="eastAsia" w:ascii="宋体" w:hAnsi="宋体" w:eastAsia="宋体" w:cs="宋体"/>
                <w:szCs w:val="21"/>
                <w:u w:val="single"/>
              </w:rPr>
              <w:t>并经建设单位认可），并负责配合勘察文件审查工作。如果在设计期间地形发生明显变化影响到图纸编制时，需及时更新地形图测量成果。</w:t>
            </w:r>
          </w:p>
          <w:p w14:paraId="118AC555">
            <w:pPr>
              <w:spacing w:line="360" w:lineRule="auto"/>
              <w:jc w:val="left"/>
              <w:rPr>
                <w:rFonts w:hint="eastAsia" w:ascii="宋体"/>
                <w:color w:val="auto"/>
                <w:szCs w:val="21"/>
                <w:highlight w:val="none"/>
              </w:rPr>
            </w:pPr>
            <w:r>
              <w:rPr>
                <w:rFonts w:hint="eastAsia" w:ascii="宋体" w:hAnsi="宋体" w:eastAsia="宋体" w:cs="宋体"/>
                <w:szCs w:val="21"/>
                <w:u w:val="single"/>
              </w:rPr>
              <w:t>（2）设计内容包括但不限于：方案设计、初步设计(含编制概算书)、施工图设计、配合招标人施工图审查（包含各专业图纸审查）、施工现场指导与监督、工程调整和竣工验收设计服务等。初步设计要求取得住建部门的审批合格意见书，</w:t>
            </w:r>
            <w:r>
              <w:rPr>
                <w:rFonts w:hint="eastAsia" w:ascii="宋体" w:hAnsi="宋体" w:cs="宋体"/>
                <w:szCs w:val="21"/>
                <w:highlight w:val="yellow"/>
                <w:u w:val="single"/>
                <w:lang w:val="en-US" w:eastAsia="zh-CN"/>
              </w:rPr>
              <w:t>并取得施工图审查合格证，</w:t>
            </w:r>
            <w:r>
              <w:rPr>
                <w:rFonts w:hint="eastAsia" w:ascii="宋体" w:hAnsi="宋体" w:eastAsia="宋体" w:cs="宋体"/>
                <w:b/>
                <w:bCs/>
                <w:szCs w:val="21"/>
                <w:u w:val="single"/>
              </w:rPr>
              <w:t>同时要求按限额设计</w:t>
            </w:r>
            <w:r>
              <w:rPr>
                <w:rFonts w:hint="eastAsia" w:ascii="宋体" w:hAnsi="宋体" w:eastAsia="宋体" w:cs="宋体"/>
                <w:szCs w:val="21"/>
                <w:u w:val="single"/>
              </w:rPr>
              <w:t>。中标人提供建设工程报建所需的工程图纸及资料、建设全过程设计服务及协调工作、负责规划报建代办理。包括但不限于道路工程、桥梁工程、照明工程、绿化工程等。</w:t>
            </w:r>
            <w:permEnd w:id="51"/>
          </w:p>
        </w:tc>
      </w:tr>
      <w:tr w14:paraId="5F39D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1080" w:type="dxa"/>
            <w:tcBorders>
              <w:bottom w:val="single" w:color="auto" w:sz="4" w:space="0"/>
            </w:tcBorders>
            <w:noWrap w:val="0"/>
            <w:vAlign w:val="center"/>
          </w:tcPr>
          <w:p w14:paraId="359D61F2">
            <w:pPr>
              <w:spacing w:line="360" w:lineRule="auto"/>
              <w:jc w:val="center"/>
              <w:rPr>
                <w:rFonts w:hint="eastAsia" w:ascii="宋体" w:hAnsi="宋体"/>
                <w:color w:val="auto"/>
                <w:szCs w:val="21"/>
                <w:highlight w:val="none"/>
              </w:rPr>
            </w:pPr>
            <w:r>
              <w:rPr>
                <w:rFonts w:hint="eastAsia" w:ascii="宋体" w:hAnsi="宋体"/>
                <w:color w:val="auto"/>
                <w:szCs w:val="21"/>
                <w:highlight w:val="none"/>
              </w:rPr>
              <w:t>1.3.2</w:t>
            </w:r>
          </w:p>
        </w:tc>
        <w:tc>
          <w:tcPr>
            <w:tcW w:w="2181" w:type="dxa"/>
            <w:tcBorders>
              <w:bottom w:val="single" w:color="auto" w:sz="4" w:space="0"/>
            </w:tcBorders>
            <w:noWrap w:val="0"/>
            <w:vAlign w:val="center"/>
          </w:tcPr>
          <w:p w14:paraId="39C3C863">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工期要求</w:t>
            </w:r>
          </w:p>
        </w:tc>
        <w:tc>
          <w:tcPr>
            <w:tcW w:w="6237" w:type="dxa"/>
            <w:tcBorders>
              <w:bottom w:val="single" w:color="auto" w:sz="4" w:space="0"/>
            </w:tcBorders>
            <w:noWrap w:val="0"/>
            <w:vAlign w:val="center"/>
          </w:tcPr>
          <w:p w14:paraId="59027F6D">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permStart w:id="52" w:edGrp="everyone"/>
            <w:r>
              <w:rPr>
                <w:rFonts w:hint="eastAsia" w:ascii="宋体" w:hAnsi="宋体"/>
                <w:color w:val="auto"/>
                <w:szCs w:val="21"/>
                <w:highlight w:val="none"/>
                <w:u w:val="none"/>
              </w:rPr>
              <w:t xml:space="preserve"> </w:t>
            </w:r>
            <w:r>
              <w:rPr>
                <w:rFonts w:hint="eastAsia" w:ascii="宋体" w:hAnsi="宋体" w:eastAsia="宋体" w:cs="宋体"/>
                <w:i w:val="0"/>
                <w:color w:val="000000"/>
                <w:kern w:val="0"/>
                <w:sz w:val="21"/>
                <w:szCs w:val="21"/>
                <w:highlight w:val="none"/>
                <w:u w:val="none"/>
                <w:lang w:val="en-US" w:eastAsia="zh-CN" w:bidi="ar"/>
              </w:rPr>
              <w:t>勘察设计周期（</w:t>
            </w:r>
            <w:r>
              <w:rPr>
                <w:rFonts w:hint="eastAsia" w:ascii="宋体" w:hAnsi="宋体" w:cs="宋体"/>
                <w:i w:val="0"/>
                <w:color w:val="000000"/>
                <w:kern w:val="0"/>
                <w:sz w:val="21"/>
                <w:szCs w:val="21"/>
                <w:highlight w:val="none"/>
                <w:u w:val="none"/>
                <w:lang w:val="en-US" w:eastAsia="zh-CN" w:bidi="ar"/>
              </w:rPr>
              <w:t>勘察、设计同步开展，即</w:t>
            </w:r>
            <w:r>
              <w:rPr>
                <w:rFonts w:hint="eastAsia" w:ascii="宋体" w:hAnsi="宋体" w:eastAsia="宋体" w:cs="宋体"/>
                <w:i w:val="0"/>
                <w:color w:val="000000"/>
                <w:kern w:val="0"/>
                <w:sz w:val="21"/>
                <w:szCs w:val="21"/>
                <w:highlight w:val="none"/>
                <w:u w:val="none"/>
                <w:lang w:val="en-US" w:eastAsia="zh-CN" w:bidi="ar"/>
              </w:rPr>
              <w:t>总工期</w:t>
            </w:r>
            <w:r>
              <w:rPr>
                <w:rFonts w:hint="eastAsia" w:ascii="宋体" w:hAnsi="宋体" w:cs="宋体"/>
                <w:i w:val="0"/>
                <w:color w:val="000000"/>
                <w:kern w:val="0"/>
                <w:sz w:val="21"/>
                <w:szCs w:val="21"/>
                <w:highlight w:val="none"/>
                <w:u w:val="none"/>
                <w:lang w:val="en-US" w:eastAsia="zh-CN" w:bidi="ar"/>
              </w:rPr>
              <w:t>共计</w:t>
            </w:r>
            <w:r>
              <w:rPr>
                <w:rFonts w:hint="eastAsia" w:ascii="宋体" w:hAnsi="宋体" w:cs="宋体"/>
                <w:i w:val="0"/>
                <w:color w:val="000000"/>
                <w:kern w:val="0"/>
                <w:sz w:val="21"/>
                <w:szCs w:val="21"/>
                <w:highlight w:val="none"/>
                <w:u w:val="single"/>
                <w:lang w:val="en-US" w:eastAsia="zh-CN" w:bidi="ar"/>
              </w:rPr>
              <w:t xml:space="preserve"> 90</w:t>
            </w:r>
            <w:r>
              <w:rPr>
                <w:rFonts w:hint="eastAsia" w:ascii="宋体" w:hAnsi="宋体" w:eastAsia="宋体" w:cs="宋体"/>
                <w:i w:val="0"/>
                <w:color w:val="000000"/>
                <w:kern w:val="0"/>
                <w:sz w:val="21"/>
                <w:szCs w:val="21"/>
                <w:highlight w:val="none"/>
                <w:u w:val="none"/>
                <w:lang w:val="en-US" w:eastAsia="zh-CN" w:bidi="ar"/>
              </w:rPr>
              <w:t>个日历天）</w:t>
            </w:r>
          </w:p>
          <w:p w14:paraId="44A31999">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勘察周期：</w:t>
            </w:r>
            <w:r>
              <w:rPr>
                <w:rFonts w:hint="eastAsia" w:ascii="宋体" w:hAnsi="宋体" w:cs="宋体"/>
                <w:i w:val="0"/>
                <w:color w:val="000000"/>
                <w:kern w:val="0"/>
                <w:sz w:val="21"/>
                <w:szCs w:val="21"/>
                <w:highlight w:val="none"/>
                <w:u w:val="single"/>
                <w:lang w:val="en-US" w:eastAsia="zh-CN" w:bidi="ar"/>
              </w:rPr>
              <w:t xml:space="preserve"> 30 </w:t>
            </w:r>
            <w:r>
              <w:rPr>
                <w:rFonts w:hint="eastAsia" w:ascii="宋体" w:hAnsi="宋体" w:eastAsia="宋体" w:cs="宋体"/>
                <w:i w:val="0"/>
                <w:color w:val="000000"/>
                <w:kern w:val="0"/>
                <w:sz w:val="21"/>
                <w:szCs w:val="21"/>
                <w:highlight w:val="none"/>
                <w:u w:val="none"/>
                <w:lang w:val="en-US" w:eastAsia="zh-CN" w:bidi="ar"/>
              </w:rPr>
              <w:t>个日历天</w:t>
            </w:r>
          </w:p>
          <w:p w14:paraId="39719754">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r>
              <w:rPr>
                <w:rFonts w:hint="eastAsia" w:ascii="宋体" w:hAnsi="宋体" w:eastAsia="宋体" w:cs="宋体"/>
                <w:szCs w:val="21"/>
              </w:rPr>
              <w:t>在</w:t>
            </w:r>
            <w:r>
              <w:rPr>
                <w:rFonts w:hint="eastAsia" w:ascii="宋体" w:hAnsi="宋体" w:eastAsia="宋体" w:cs="宋体"/>
                <w:kern w:val="0"/>
                <w:szCs w:val="21"/>
                <w:shd w:val="clear" w:color="auto" w:fill="FFFFFF"/>
              </w:rPr>
              <w:t>合同签订</w:t>
            </w:r>
            <w:r>
              <w:rPr>
                <w:rFonts w:hint="eastAsia" w:ascii="宋体" w:hAnsi="宋体" w:eastAsia="宋体" w:cs="宋体"/>
                <w:szCs w:val="21"/>
              </w:rPr>
              <w:t>后</w:t>
            </w:r>
            <w:r>
              <w:rPr>
                <w:rFonts w:hint="eastAsia" w:ascii="宋体" w:hAnsi="宋体" w:cs="宋体"/>
                <w:szCs w:val="21"/>
                <w:lang w:val="en-US" w:eastAsia="zh-CN"/>
              </w:rPr>
              <w:t>25</w:t>
            </w:r>
            <w:r>
              <w:rPr>
                <w:rFonts w:hint="eastAsia" w:ascii="宋体" w:hAnsi="宋体" w:eastAsia="宋体" w:cs="宋体"/>
                <w:szCs w:val="21"/>
              </w:rPr>
              <w:t>个内完成现场勘查并提交测量成果/钻探方案/勘察报告（送审稿）。</w:t>
            </w:r>
          </w:p>
          <w:p w14:paraId="1461397E">
            <w:pPr>
              <w:keepNext w:val="0"/>
              <w:keepLines w:val="0"/>
              <w:widowControl/>
              <w:suppressLineNumbers w:val="0"/>
              <w:spacing w:line="360" w:lineRule="auto"/>
              <w:jc w:val="left"/>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r>
              <w:rPr>
                <w:rFonts w:hint="eastAsia" w:ascii="宋体" w:hAnsi="宋体" w:cs="宋体"/>
                <w:i w:val="0"/>
                <w:color w:val="000000"/>
                <w:kern w:val="0"/>
                <w:sz w:val="21"/>
                <w:szCs w:val="21"/>
                <w:highlight w:val="none"/>
                <w:u w:val="none"/>
                <w:lang w:val="en-US" w:eastAsia="zh-CN" w:bidi="ar"/>
              </w:rPr>
              <w:t>2）</w:t>
            </w:r>
            <w:r>
              <w:rPr>
                <w:rFonts w:hint="eastAsia" w:ascii="宋体" w:hAnsi="宋体" w:eastAsia="宋体" w:cs="宋体"/>
                <w:szCs w:val="21"/>
              </w:rPr>
              <w:t>审查机构出具勘察报告审查意见后 5 个日历天内完成补充、修改。</w:t>
            </w:r>
          </w:p>
          <w:p w14:paraId="6C337B77">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设计周期：</w:t>
            </w:r>
            <w:r>
              <w:rPr>
                <w:rFonts w:hint="eastAsia" w:ascii="宋体" w:hAnsi="宋体" w:cs="宋体"/>
                <w:i w:val="0"/>
                <w:color w:val="000000"/>
                <w:kern w:val="0"/>
                <w:sz w:val="21"/>
                <w:szCs w:val="21"/>
                <w:highlight w:val="none"/>
                <w:u w:val="single"/>
                <w:lang w:val="en-US" w:eastAsia="zh-CN" w:bidi="ar"/>
              </w:rPr>
              <w:t>90</w:t>
            </w:r>
            <w:r>
              <w:rPr>
                <w:rFonts w:hint="eastAsia" w:ascii="宋体" w:hAnsi="宋体" w:eastAsia="宋体" w:cs="宋体"/>
                <w:i w:val="0"/>
                <w:color w:val="000000"/>
                <w:kern w:val="0"/>
                <w:sz w:val="21"/>
                <w:szCs w:val="21"/>
                <w:highlight w:val="none"/>
                <w:u w:val="none"/>
                <w:lang w:val="en-US" w:eastAsia="zh-CN" w:bidi="ar"/>
              </w:rPr>
              <w:t>个日历天</w:t>
            </w:r>
          </w:p>
          <w:p w14:paraId="1B2F751F">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r>
              <w:rPr>
                <w:rFonts w:hint="eastAsia" w:ascii="宋体" w:hAnsi="宋体" w:eastAsia="宋体" w:cs="宋体"/>
                <w:sz w:val="20"/>
                <w:szCs w:val="20"/>
              </w:rPr>
              <w:t>合同签订后</w:t>
            </w:r>
            <w:r>
              <w:rPr>
                <w:rFonts w:hint="eastAsia" w:ascii="宋体" w:hAnsi="宋体" w:cs="宋体"/>
                <w:szCs w:val="21"/>
                <w:lang w:val="en-US" w:eastAsia="zh-CN"/>
              </w:rPr>
              <w:t>25</w:t>
            </w:r>
            <w:r>
              <w:rPr>
                <w:rFonts w:hint="eastAsia" w:ascii="宋体" w:hAnsi="宋体" w:eastAsia="宋体" w:cs="宋体"/>
                <w:szCs w:val="21"/>
              </w:rPr>
              <w:t>个日历天内提供初步设计文件（含概算送审稿）</w:t>
            </w:r>
            <w:r>
              <w:rPr>
                <w:rFonts w:hint="eastAsia" w:ascii="宋体" w:hAnsi="宋体" w:eastAsia="宋体" w:cs="宋体"/>
                <w:i w:val="0"/>
                <w:color w:val="000000"/>
                <w:kern w:val="0"/>
                <w:sz w:val="21"/>
                <w:szCs w:val="21"/>
                <w:highlight w:val="none"/>
                <w:u w:val="none"/>
                <w:lang w:val="en-US" w:eastAsia="zh-CN" w:bidi="ar"/>
              </w:rPr>
              <w:t>；</w:t>
            </w:r>
          </w:p>
          <w:p w14:paraId="595BC395">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szCs w:val="21"/>
              </w:rPr>
              <w:t>初步设计评审后1</w:t>
            </w:r>
            <w:r>
              <w:rPr>
                <w:rFonts w:hint="eastAsia" w:ascii="宋体" w:hAnsi="宋体" w:cs="宋体"/>
                <w:szCs w:val="21"/>
                <w:lang w:val="en-US" w:eastAsia="zh-CN"/>
              </w:rPr>
              <w:t>5</w:t>
            </w:r>
            <w:r>
              <w:rPr>
                <w:rFonts w:hint="eastAsia" w:ascii="宋体" w:hAnsi="宋体" w:eastAsia="宋体" w:cs="宋体"/>
                <w:szCs w:val="21"/>
              </w:rPr>
              <w:t>个日历天内完成初步设计修编稿及配合报批</w:t>
            </w:r>
            <w:r>
              <w:rPr>
                <w:rFonts w:hint="eastAsia" w:ascii="宋体" w:hAnsi="宋体" w:eastAsia="宋体" w:cs="宋体"/>
                <w:i w:val="0"/>
                <w:color w:val="000000"/>
                <w:kern w:val="0"/>
                <w:sz w:val="21"/>
                <w:szCs w:val="21"/>
                <w:highlight w:val="none"/>
                <w:u w:val="none"/>
                <w:lang w:val="en-US" w:eastAsia="zh-CN" w:bidi="ar"/>
              </w:rPr>
              <w:t>；</w:t>
            </w:r>
          </w:p>
          <w:p w14:paraId="55DC93EC">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r>
              <w:rPr>
                <w:rFonts w:hint="eastAsia" w:ascii="宋体" w:hAnsi="宋体" w:eastAsia="宋体" w:cs="宋体"/>
                <w:szCs w:val="21"/>
              </w:rPr>
              <w:t>初步设计审查批复后</w:t>
            </w:r>
            <w:r>
              <w:rPr>
                <w:rFonts w:hint="eastAsia" w:ascii="宋体" w:hAnsi="宋体" w:cs="宋体"/>
                <w:szCs w:val="21"/>
                <w:lang w:val="en-US" w:eastAsia="zh-CN"/>
              </w:rPr>
              <w:t>35</w:t>
            </w:r>
            <w:r>
              <w:rPr>
                <w:rFonts w:hint="eastAsia" w:ascii="宋体" w:hAnsi="宋体" w:eastAsia="宋体" w:cs="宋体"/>
                <w:szCs w:val="21"/>
              </w:rPr>
              <w:t>个日历天内完成施工图设计并送审</w:t>
            </w:r>
            <w:r>
              <w:rPr>
                <w:rFonts w:hint="eastAsia" w:ascii="宋体" w:hAnsi="宋体" w:eastAsia="宋体" w:cs="宋体"/>
                <w:i w:val="0"/>
                <w:color w:val="000000"/>
                <w:kern w:val="0"/>
                <w:sz w:val="21"/>
                <w:szCs w:val="21"/>
                <w:highlight w:val="none"/>
                <w:u w:val="none"/>
                <w:lang w:val="en-US" w:eastAsia="zh-CN" w:bidi="ar"/>
              </w:rPr>
              <w:t>；</w:t>
            </w:r>
          </w:p>
          <w:p w14:paraId="53532585">
            <w:pPr>
              <w:spacing w:line="360" w:lineRule="auto"/>
              <w:jc w:val="left"/>
              <w:rPr>
                <w:rFonts w:hint="eastAsia" w:ascii="宋体"/>
                <w:color w:val="auto"/>
                <w:szCs w:val="21"/>
                <w:highlight w:val="none"/>
              </w:rPr>
            </w:pPr>
            <w:r>
              <w:rPr>
                <w:rFonts w:hint="eastAsia" w:ascii="宋体" w:hAnsi="宋体" w:eastAsia="宋体" w:cs="宋体"/>
                <w:i w:val="0"/>
                <w:color w:val="000000"/>
                <w:kern w:val="0"/>
                <w:sz w:val="21"/>
                <w:szCs w:val="21"/>
                <w:highlight w:val="none"/>
                <w:u w:val="none"/>
                <w:lang w:val="en-US" w:eastAsia="zh-CN" w:bidi="ar"/>
              </w:rPr>
              <w:t>（4）</w:t>
            </w:r>
            <w:r>
              <w:rPr>
                <w:rFonts w:hint="eastAsia" w:ascii="宋体" w:hAnsi="宋体" w:eastAsia="宋体" w:cs="宋体"/>
                <w:szCs w:val="21"/>
              </w:rPr>
              <w:t>施工图审查完成后 1</w:t>
            </w:r>
            <w:r>
              <w:rPr>
                <w:rFonts w:hint="eastAsia" w:ascii="宋体" w:hAnsi="宋体" w:cs="宋体"/>
                <w:szCs w:val="21"/>
                <w:lang w:val="en-US" w:eastAsia="zh-CN"/>
              </w:rPr>
              <w:t>5</w:t>
            </w:r>
            <w:r>
              <w:rPr>
                <w:rFonts w:hint="eastAsia" w:ascii="宋体" w:hAnsi="宋体" w:eastAsia="宋体" w:cs="宋体"/>
                <w:szCs w:val="21"/>
              </w:rPr>
              <w:t xml:space="preserve"> 个日历天内提交正式版施工图</w:t>
            </w:r>
            <w:r>
              <w:rPr>
                <w:rFonts w:hint="eastAsia" w:ascii="宋体" w:hAnsi="宋体" w:cs="宋体"/>
                <w:szCs w:val="21"/>
                <w:lang w:eastAsia="zh-CN"/>
              </w:rPr>
              <w:t>。</w:t>
            </w:r>
            <w:r>
              <w:rPr>
                <w:rFonts w:hint="eastAsia" w:ascii="宋体" w:hAnsi="宋体"/>
                <w:color w:val="auto"/>
                <w:szCs w:val="21"/>
                <w:highlight w:val="none"/>
                <w:u w:val="none"/>
              </w:rPr>
              <w:t xml:space="preserve">  </w:t>
            </w:r>
            <w:permEnd w:id="52"/>
          </w:p>
        </w:tc>
      </w:tr>
      <w:tr w14:paraId="3FE91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080" w:type="dxa"/>
            <w:tcBorders>
              <w:bottom w:val="single" w:color="auto" w:sz="4" w:space="0"/>
            </w:tcBorders>
            <w:noWrap w:val="0"/>
            <w:vAlign w:val="center"/>
          </w:tcPr>
          <w:p w14:paraId="327BBE78">
            <w:pPr>
              <w:pageBreakBefore w:val="0"/>
              <w:kinsoku/>
              <w:wordWrap/>
              <w:overflowPunct/>
              <w:topLinePunct w:val="0"/>
              <w:bidi w:val="0"/>
              <w:spacing w:line="360" w:lineRule="auto"/>
              <w:jc w:val="center"/>
              <w:textAlignment w:val="auto"/>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1.3.3</w:t>
            </w:r>
          </w:p>
        </w:tc>
        <w:tc>
          <w:tcPr>
            <w:tcW w:w="2181" w:type="dxa"/>
            <w:tcBorders>
              <w:bottom w:val="single" w:color="auto" w:sz="4" w:space="0"/>
            </w:tcBorders>
            <w:noWrap w:val="0"/>
            <w:vAlign w:val="center"/>
          </w:tcPr>
          <w:p w14:paraId="2FB3898E">
            <w:pPr>
              <w:pageBreakBefore w:val="0"/>
              <w:kinsoku/>
              <w:wordWrap/>
              <w:overflowPunct/>
              <w:topLinePunct w:val="0"/>
              <w:bidi w:val="0"/>
              <w:spacing w:line="360" w:lineRule="auto"/>
              <w:jc w:val="center"/>
              <w:textAlignment w:val="auto"/>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质量标准</w:t>
            </w:r>
          </w:p>
        </w:tc>
        <w:tc>
          <w:tcPr>
            <w:tcW w:w="6237" w:type="dxa"/>
            <w:tcBorders>
              <w:bottom w:val="single" w:color="auto" w:sz="4" w:space="0"/>
            </w:tcBorders>
            <w:noWrap w:val="0"/>
            <w:vAlign w:val="center"/>
          </w:tcPr>
          <w:p w14:paraId="2A319D1E">
            <w:pPr>
              <w:pageBreakBefore w:val="0"/>
              <w:kinsoku/>
              <w:wordWrap/>
              <w:overflowPunct/>
              <w:topLinePunct w:val="0"/>
              <w:bidi w:val="0"/>
              <w:spacing w:line="360" w:lineRule="auto"/>
              <w:jc w:val="left"/>
              <w:textAlignment w:val="auto"/>
              <w:rPr>
                <w:rFonts w:hint="eastAsia" w:ascii="宋体" w:hAnsi="宋体"/>
                <w:color w:val="auto"/>
                <w:kern w:val="2"/>
                <w:sz w:val="21"/>
                <w:szCs w:val="21"/>
                <w:highlight w:val="none"/>
                <w:u w:val="none"/>
                <w:lang w:val="en-US" w:eastAsia="zh-CN" w:bidi="ar-SA"/>
              </w:rPr>
            </w:pPr>
            <w:permStart w:id="53" w:edGrp="everyone"/>
            <w:r>
              <w:rPr>
                <w:rFonts w:hint="eastAsia" w:ascii="宋体" w:hAnsi="宋体"/>
                <w:color w:val="auto"/>
                <w:szCs w:val="21"/>
                <w:highlight w:val="none"/>
                <w:u w:val="none"/>
              </w:rPr>
              <w:t xml:space="preserve"> </w:t>
            </w:r>
            <w:r>
              <w:rPr>
                <w:rFonts w:hint="eastAsia" w:ascii="宋体" w:hAnsi="宋体" w:eastAsia="宋体" w:cs="Times New Roman"/>
                <w:kern w:val="2"/>
                <w:sz w:val="21"/>
                <w:szCs w:val="21"/>
              </w:rPr>
              <w:t>合格</w:t>
            </w:r>
            <w:r>
              <w:rPr>
                <w:rFonts w:hint="eastAsia" w:ascii="宋体" w:hAnsi="宋体"/>
                <w:color w:val="auto"/>
                <w:szCs w:val="21"/>
                <w:highlight w:val="none"/>
                <w:u w:val="none"/>
              </w:rPr>
              <w:t xml:space="preserve">  </w:t>
            </w:r>
            <w:permEnd w:id="53"/>
          </w:p>
        </w:tc>
      </w:tr>
      <w:tr w14:paraId="4E84F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1080" w:type="dxa"/>
            <w:tcBorders>
              <w:bottom w:val="single" w:color="auto" w:sz="4" w:space="0"/>
            </w:tcBorders>
            <w:noWrap w:val="0"/>
            <w:vAlign w:val="center"/>
          </w:tcPr>
          <w:p w14:paraId="5B642A82">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1.3.4</w:t>
            </w:r>
          </w:p>
        </w:tc>
        <w:tc>
          <w:tcPr>
            <w:tcW w:w="2181" w:type="dxa"/>
            <w:tcBorders>
              <w:bottom w:val="single" w:color="auto" w:sz="4" w:space="0"/>
            </w:tcBorders>
            <w:noWrap w:val="0"/>
            <w:vAlign w:val="center"/>
          </w:tcPr>
          <w:p w14:paraId="675321FB">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绿色建筑等级</w:t>
            </w:r>
          </w:p>
        </w:tc>
        <w:tc>
          <w:tcPr>
            <w:tcW w:w="6237" w:type="dxa"/>
            <w:tcBorders>
              <w:bottom w:val="single" w:color="auto" w:sz="4" w:space="0"/>
            </w:tcBorders>
            <w:noWrap w:val="0"/>
            <w:vAlign w:val="center"/>
          </w:tcPr>
          <w:p w14:paraId="490E8224">
            <w:pPr>
              <w:spacing w:line="360" w:lineRule="auto"/>
              <w:jc w:val="left"/>
              <w:rPr>
                <w:rFonts w:hint="eastAsia" w:ascii="宋体" w:hAnsi="宋体" w:eastAsia="宋体"/>
                <w:color w:val="auto"/>
                <w:szCs w:val="21"/>
                <w:highlight w:val="none"/>
                <w:u w:val="none"/>
                <w:lang w:val="en-US" w:eastAsia="zh-CN"/>
              </w:rPr>
            </w:pPr>
            <w:permStart w:id="54"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u w:val="none"/>
              </w:rPr>
              <w:t xml:space="preserve"> </w:t>
            </w:r>
            <w:permEnd w:id="54"/>
          </w:p>
        </w:tc>
      </w:tr>
      <w:tr w14:paraId="47E44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1080" w:type="dxa"/>
            <w:tcBorders>
              <w:bottom w:val="single" w:color="auto" w:sz="4" w:space="0"/>
            </w:tcBorders>
            <w:noWrap w:val="0"/>
            <w:vAlign w:val="center"/>
          </w:tcPr>
          <w:p w14:paraId="4F5A54E9">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1.4.1</w:t>
            </w:r>
          </w:p>
        </w:tc>
        <w:tc>
          <w:tcPr>
            <w:tcW w:w="2181" w:type="dxa"/>
            <w:tcBorders>
              <w:bottom w:val="single" w:color="auto" w:sz="4" w:space="0"/>
            </w:tcBorders>
            <w:noWrap w:val="0"/>
            <w:vAlign w:val="center"/>
          </w:tcPr>
          <w:p w14:paraId="093D7402">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投标人资格要求</w:t>
            </w:r>
          </w:p>
        </w:tc>
        <w:tc>
          <w:tcPr>
            <w:tcW w:w="6237" w:type="dxa"/>
            <w:tcBorders>
              <w:bottom w:val="single" w:color="auto" w:sz="4" w:space="0"/>
            </w:tcBorders>
            <w:noWrap w:val="0"/>
            <w:vAlign w:val="center"/>
          </w:tcPr>
          <w:p w14:paraId="787ABA06">
            <w:pPr>
              <w:spacing w:line="360" w:lineRule="auto"/>
              <w:jc w:val="left"/>
              <w:rPr>
                <w:rFonts w:hint="eastAsia" w:ascii="宋体" w:hAnsi="宋体"/>
                <w:color w:val="auto"/>
                <w:szCs w:val="21"/>
                <w:highlight w:val="none"/>
                <w:u w:val="single"/>
              </w:rPr>
            </w:pPr>
            <w:r>
              <w:rPr>
                <w:rFonts w:hint="eastAsia" w:ascii="宋体" w:hAnsi="宋体"/>
                <w:color w:val="auto"/>
                <w:szCs w:val="21"/>
                <w:highlight w:val="none"/>
              </w:rPr>
              <w:t>详见第一章招标公告</w:t>
            </w:r>
            <w:r>
              <w:rPr>
                <w:rFonts w:hint="eastAsia" w:ascii="宋体" w:hAnsi="宋体"/>
                <w:color w:val="auto"/>
                <w:szCs w:val="21"/>
                <w:highlight w:val="none"/>
                <w:lang w:val="en-US" w:eastAsia="zh-CN"/>
              </w:rPr>
              <w:t>“投标资格能力要求”</w:t>
            </w:r>
          </w:p>
        </w:tc>
      </w:tr>
      <w:tr w14:paraId="56012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72CE6C66">
            <w:pPr>
              <w:spacing w:line="360" w:lineRule="auto"/>
              <w:jc w:val="center"/>
              <w:rPr>
                <w:rFonts w:ascii="宋体" w:hAnsi="宋体"/>
                <w:color w:val="auto"/>
                <w:szCs w:val="21"/>
                <w:highlight w:val="none"/>
              </w:rPr>
            </w:pPr>
            <w:r>
              <w:rPr>
                <w:rFonts w:hint="eastAsia" w:ascii="宋体" w:hAnsi="宋体"/>
                <w:color w:val="auto"/>
                <w:szCs w:val="21"/>
                <w:highlight w:val="none"/>
              </w:rPr>
              <w:t>1.4.2</w:t>
            </w:r>
          </w:p>
        </w:tc>
        <w:tc>
          <w:tcPr>
            <w:tcW w:w="2181" w:type="dxa"/>
            <w:tcBorders>
              <w:top w:val="single" w:color="auto" w:sz="4" w:space="0"/>
            </w:tcBorders>
            <w:noWrap w:val="0"/>
            <w:vAlign w:val="center"/>
          </w:tcPr>
          <w:p w14:paraId="215190FA">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237" w:type="dxa"/>
            <w:tcBorders>
              <w:top w:val="single" w:color="auto" w:sz="4" w:space="0"/>
            </w:tcBorders>
            <w:noWrap w:val="0"/>
            <w:vAlign w:val="center"/>
          </w:tcPr>
          <w:p w14:paraId="5BE64E04">
            <w:pPr>
              <w:spacing w:line="360" w:lineRule="auto"/>
              <w:rPr>
                <w:rFonts w:hint="eastAsia" w:ascii="宋体" w:hAnsi="宋体"/>
                <w:color w:val="auto"/>
                <w:szCs w:val="21"/>
                <w:highlight w:val="none"/>
              </w:rPr>
            </w:pPr>
            <w:permStart w:id="55" w:edGrp="everyone"/>
            <w:r>
              <w:rPr>
                <w:rFonts w:hint="eastAsia" w:ascii="宋体" w:hAnsi="宋体"/>
                <w:color w:val="auto"/>
                <w:szCs w:val="21"/>
                <w:highlight w:val="none"/>
              </w:rPr>
              <w:t>□</w:t>
            </w:r>
            <w:permEnd w:id="55"/>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不接受</w:t>
            </w:r>
          </w:p>
          <w:p w14:paraId="6FF8C106">
            <w:pPr>
              <w:spacing w:line="360" w:lineRule="auto"/>
              <w:rPr>
                <w:rFonts w:hint="eastAsia" w:ascii="宋体" w:hAnsi="宋体"/>
                <w:color w:val="auto"/>
                <w:szCs w:val="21"/>
                <w:highlight w:val="none"/>
              </w:rPr>
            </w:pPr>
            <w:permStart w:id="56" w:edGrp="everyone"/>
            <w:r>
              <w:rPr>
                <w:rFonts w:hint="eastAsia" w:ascii="宋体" w:hAnsi="宋体"/>
                <w:color w:val="auto"/>
                <w:szCs w:val="21"/>
                <w:highlight w:val="none"/>
                <w:lang w:eastAsia="zh-CN"/>
              </w:rPr>
              <w:t>☑</w:t>
            </w:r>
            <w:permEnd w:id="56"/>
            <w:r>
              <w:rPr>
                <w:rFonts w:hint="eastAsia" w:ascii="宋体" w:hAnsi="宋体"/>
                <w:color w:val="auto"/>
                <w:szCs w:val="21"/>
                <w:highlight w:val="none"/>
                <w:lang w:val="en-US" w:eastAsia="zh-CN"/>
              </w:rPr>
              <w:t xml:space="preserve"> </w:t>
            </w:r>
            <w:r>
              <w:rPr>
                <w:rFonts w:hint="eastAsia" w:ascii="宋体" w:hAnsi="宋体"/>
                <w:color w:val="auto"/>
                <w:szCs w:val="21"/>
                <w:highlight w:val="none"/>
              </w:rPr>
              <w:t>接受</w:t>
            </w:r>
            <w:r>
              <w:rPr>
                <w:rFonts w:hint="eastAsia" w:ascii="宋体" w:hAnsi="宋体"/>
                <w:color w:val="auto"/>
                <w:szCs w:val="21"/>
                <w:highlight w:val="none"/>
                <w:lang w:eastAsia="zh-CN"/>
              </w:rPr>
              <w:t>，</w:t>
            </w:r>
            <w:r>
              <w:rPr>
                <w:rFonts w:hint="eastAsia" w:ascii="宋体" w:hAnsi="宋体"/>
                <w:color w:val="auto"/>
                <w:szCs w:val="21"/>
                <w:highlight w:val="none"/>
              </w:rPr>
              <w:t>应满足下列要求</w:t>
            </w:r>
            <w:r>
              <w:rPr>
                <w:rFonts w:hint="eastAsia" w:ascii="宋体" w:hAnsi="宋体"/>
                <w:color w:val="auto"/>
                <w:szCs w:val="21"/>
                <w:highlight w:val="none"/>
                <w:lang w:eastAsia="zh-CN"/>
              </w:rPr>
              <w:t>：</w:t>
            </w:r>
            <w:permStart w:id="57" w:edGrp="everyone"/>
            <w:r>
              <w:rPr>
                <w:rFonts w:hint="eastAsia" w:ascii="宋体" w:hAnsi="宋体" w:eastAsia="宋体" w:cs="Times New Roman"/>
                <w:szCs w:val="21"/>
              </w:rPr>
              <w:t>联合体必须以具有设计资质的企业为牵头单位，提供联合体协议书，联合体各方签订联合体协议后，不得再以自己名义单独或以其他联合体成员的名义参加本项目的投标，组成联合体投标的成员不得超过</w:t>
            </w:r>
            <w:r>
              <w:rPr>
                <w:rFonts w:hint="eastAsia" w:ascii="宋体" w:hAnsi="宋体" w:eastAsia="宋体" w:cs="Times New Roman"/>
                <w:szCs w:val="21"/>
                <w:u w:val="single"/>
              </w:rPr>
              <w:t xml:space="preserve"> 2 </w:t>
            </w:r>
            <w:r>
              <w:rPr>
                <w:rFonts w:hint="eastAsia" w:ascii="宋体" w:hAnsi="宋体" w:eastAsia="宋体" w:cs="Times New Roman"/>
                <w:szCs w:val="21"/>
              </w:rPr>
              <w:t>个，且设计任务必须由牵头单位独立完成，勘察任务必须由联合体投标成员的勘察单位独立完成。其中牵头单位（设计单位）设计资质及联合体单位（勘察单位）勘察资质均须在中山市建设工程企业诚信评价</w:t>
            </w:r>
            <w:r>
              <w:rPr>
                <w:rFonts w:hint="eastAsia" w:ascii="宋体" w:hAnsi="宋体" w:eastAsia="宋体" w:cs="Times New Roman"/>
                <w:szCs w:val="21"/>
                <w:u w:val="single"/>
              </w:rPr>
              <w:t xml:space="preserve"> B级 </w:t>
            </w:r>
            <w:r>
              <w:rPr>
                <w:rFonts w:hint="eastAsia" w:ascii="宋体" w:hAnsi="宋体" w:eastAsia="宋体" w:cs="Times New Roman"/>
                <w:szCs w:val="21"/>
              </w:rPr>
              <w:t>或以上且显示资料未过期。</w:t>
            </w:r>
            <w:permEnd w:id="57"/>
          </w:p>
        </w:tc>
      </w:tr>
      <w:tr w14:paraId="13A63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2A41425C">
            <w:pPr>
              <w:spacing w:line="360" w:lineRule="auto"/>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2181" w:type="dxa"/>
            <w:tcBorders>
              <w:top w:val="single" w:color="auto" w:sz="4" w:space="0"/>
            </w:tcBorders>
            <w:noWrap w:val="0"/>
            <w:vAlign w:val="center"/>
          </w:tcPr>
          <w:p w14:paraId="38EB394F">
            <w:pPr>
              <w:spacing w:line="360" w:lineRule="auto"/>
              <w:jc w:val="center"/>
              <w:rPr>
                <w:rFonts w:hint="eastAsia" w:eastAsia="宋体"/>
                <w:color w:val="auto"/>
                <w:kern w:val="2"/>
                <w:sz w:val="21"/>
                <w:szCs w:val="24"/>
                <w:highlight w:val="none"/>
                <w:lang w:val="en-US" w:eastAsia="zh-CN" w:bidi="ar-SA"/>
              </w:rPr>
            </w:pPr>
            <w:r>
              <w:rPr>
                <w:rFonts w:hint="eastAsia"/>
                <w:color w:val="auto"/>
                <w:highlight w:val="none"/>
                <w:lang w:val="en-US" w:eastAsia="zh-CN"/>
              </w:rPr>
              <w:t>设计成果</w:t>
            </w:r>
            <w:r>
              <w:rPr>
                <w:rFonts w:hint="eastAsia"/>
                <w:color w:val="auto"/>
                <w:highlight w:val="none"/>
              </w:rPr>
              <w:t>补偿</w:t>
            </w:r>
          </w:p>
        </w:tc>
        <w:tc>
          <w:tcPr>
            <w:tcW w:w="6237" w:type="dxa"/>
            <w:tcBorders>
              <w:top w:val="single" w:color="auto" w:sz="4" w:space="0"/>
            </w:tcBorders>
            <w:noWrap w:val="0"/>
            <w:vAlign w:val="center"/>
          </w:tcPr>
          <w:p w14:paraId="5844945E">
            <w:pPr>
              <w:spacing w:line="360" w:lineRule="auto"/>
              <w:jc w:val="left"/>
              <w:rPr>
                <w:rFonts w:hint="eastAsia" w:ascii="宋体" w:hAnsi="宋体"/>
                <w:bCs/>
                <w:color w:val="auto"/>
                <w:highlight w:val="none"/>
              </w:rPr>
            </w:pPr>
            <w:r>
              <w:rPr>
                <w:rFonts w:hint="eastAsia" w:ascii="宋体" w:hAnsi="宋体"/>
                <w:bCs/>
                <w:color w:val="auto"/>
                <w:highlight w:val="none"/>
              </w:rPr>
              <w:t>补偿方案如下：</w:t>
            </w:r>
          </w:p>
          <w:p w14:paraId="5C8E3651">
            <w:pPr>
              <w:spacing w:line="360" w:lineRule="auto"/>
              <w:jc w:val="left"/>
              <w:rPr>
                <w:rFonts w:hint="eastAsia" w:ascii="宋体" w:hAnsi="宋体"/>
                <w:bCs/>
                <w:color w:val="auto"/>
                <w:highlight w:val="none"/>
              </w:rPr>
            </w:pPr>
            <w:permStart w:id="58" w:edGrp="everyone"/>
            <w:r>
              <w:rPr>
                <w:rFonts w:hint="eastAsia" w:ascii="宋体" w:hAnsi="宋体"/>
                <w:bCs/>
                <w:color w:val="auto"/>
                <w:highlight w:val="none"/>
                <w:lang w:val="en-US" w:eastAsia="zh-CN"/>
              </w:rPr>
              <w:t>本项目无</w:t>
            </w:r>
            <w:r>
              <w:rPr>
                <w:rFonts w:hint="eastAsia" w:ascii="宋体" w:hAnsi="宋体"/>
                <w:bCs/>
                <w:color w:val="auto"/>
                <w:highlight w:val="none"/>
              </w:rPr>
              <w:t>补偿</w:t>
            </w:r>
          </w:p>
          <w:permEnd w:id="58"/>
          <w:p w14:paraId="0D096869">
            <w:pPr>
              <w:spacing w:line="360" w:lineRule="auto"/>
              <w:jc w:val="left"/>
              <w:rPr>
                <w:rFonts w:hint="eastAsia" w:ascii="宋体" w:hAnsi="宋体" w:eastAsia="宋体"/>
                <w:bCs/>
                <w:color w:val="auto"/>
                <w:kern w:val="2"/>
                <w:sz w:val="21"/>
                <w:szCs w:val="24"/>
                <w:highlight w:val="none"/>
                <w:lang w:val="en-US" w:eastAsia="zh-CN" w:bidi="ar-SA"/>
              </w:rPr>
            </w:pPr>
            <w:r>
              <w:rPr>
                <w:rFonts w:hint="eastAsia" w:ascii="宋体" w:hAnsi="宋体"/>
                <w:color w:val="auto"/>
                <w:szCs w:val="21"/>
                <w:highlight w:val="none"/>
              </w:rPr>
              <w:t>【</w:t>
            </w:r>
            <w:r>
              <w:rPr>
                <w:rFonts w:hint="eastAsia" w:ascii="宋体" w:hAnsi="宋体"/>
                <w:b w:val="0"/>
                <w:bCs w:val="0"/>
                <w:color w:val="auto"/>
                <w:szCs w:val="21"/>
                <w:highlight w:val="none"/>
              </w:rPr>
              <w:t>备注：</w:t>
            </w:r>
            <w:r>
              <w:rPr>
                <w:rFonts w:hint="eastAsia" w:ascii="宋体" w:hAnsi="宋体"/>
                <w:bCs/>
                <w:color w:val="auto"/>
                <w:highlight w:val="none"/>
              </w:rPr>
              <w:t>对于达到设计招标文件要求但未中标的设计方案，招标人应给予不同程度的补偿，并明确补偿标准及补偿数量，具体由招标单位自行确定</w:t>
            </w:r>
            <w:r>
              <w:rPr>
                <w:rFonts w:hint="eastAsia" w:ascii="宋体" w:hAnsi="宋体"/>
                <w:bCs/>
                <w:color w:val="auto"/>
                <w:highlight w:val="none"/>
                <w:lang w:eastAsia="zh-CN"/>
              </w:rPr>
              <w:t>。】</w:t>
            </w:r>
          </w:p>
        </w:tc>
      </w:tr>
      <w:tr w14:paraId="73ED5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6534DE0A">
            <w:pPr>
              <w:spacing w:line="360" w:lineRule="auto"/>
              <w:jc w:val="center"/>
              <w:rPr>
                <w:rFonts w:ascii="宋体"/>
                <w:color w:val="auto"/>
                <w:szCs w:val="21"/>
                <w:highlight w:val="none"/>
              </w:rPr>
            </w:pPr>
            <w:r>
              <w:rPr>
                <w:rFonts w:hint="eastAsia" w:ascii="宋体" w:hAnsi="宋体"/>
                <w:color w:val="auto"/>
                <w:szCs w:val="21"/>
                <w:highlight w:val="none"/>
              </w:rPr>
              <w:t>1.9</w:t>
            </w:r>
          </w:p>
        </w:tc>
        <w:tc>
          <w:tcPr>
            <w:tcW w:w="2181" w:type="dxa"/>
            <w:tcBorders>
              <w:top w:val="single" w:color="auto" w:sz="4" w:space="0"/>
            </w:tcBorders>
            <w:noWrap w:val="0"/>
            <w:vAlign w:val="center"/>
          </w:tcPr>
          <w:p w14:paraId="3B7DFE78">
            <w:pPr>
              <w:spacing w:line="360" w:lineRule="auto"/>
              <w:jc w:val="center"/>
              <w:rPr>
                <w:rFonts w:ascii="宋体"/>
                <w:color w:val="auto"/>
                <w:szCs w:val="21"/>
                <w:highlight w:val="none"/>
              </w:rPr>
            </w:pPr>
            <w:r>
              <w:rPr>
                <w:rFonts w:hint="eastAsia" w:ascii="宋体" w:hAnsi="宋体"/>
                <w:color w:val="auto"/>
                <w:szCs w:val="21"/>
                <w:highlight w:val="none"/>
              </w:rPr>
              <w:t>踏勘现场</w:t>
            </w:r>
          </w:p>
        </w:tc>
        <w:tc>
          <w:tcPr>
            <w:tcW w:w="6237" w:type="dxa"/>
            <w:tcBorders>
              <w:top w:val="single" w:color="auto" w:sz="4" w:space="0"/>
            </w:tcBorders>
            <w:noWrap w:val="0"/>
            <w:vAlign w:val="center"/>
          </w:tcPr>
          <w:p w14:paraId="0909A499">
            <w:pPr>
              <w:spacing w:line="360" w:lineRule="auto"/>
              <w:rPr>
                <w:rFonts w:hint="eastAsia" w:ascii="宋体" w:hAnsi="宋体"/>
                <w:color w:val="auto"/>
                <w:szCs w:val="21"/>
                <w:highlight w:val="none"/>
              </w:rPr>
            </w:pPr>
            <w:r>
              <w:rPr>
                <w:rFonts w:hint="eastAsia" w:ascii="宋体" w:hAnsi="宋体"/>
                <w:color w:val="auto"/>
                <w:szCs w:val="21"/>
                <w:highlight w:val="none"/>
              </w:rPr>
              <w:t>一般情况下不集中踏勘现场。</w:t>
            </w:r>
          </w:p>
          <w:p w14:paraId="4E2FD053">
            <w:pPr>
              <w:spacing w:line="360" w:lineRule="auto"/>
              <w:ind w:left="360"/>
              <w:rPr>
                <w:rFonts w:hint="eastAsia" w:ascii="宋体" w:hAnsi="宋体"/>
                <w:color w:val="auto"/>
                <w:szCs w:val="21"/>
                <w:highlight w:val="none"/>
              </w:rPr>
            </w:pPr>
            <w:permStart w:id="59" w:edGrp="everyone"/>
            <w:r>
              <w:rPr>
                <w:rFonts w:hint="eastAsia" w:ascii="宋体" w:hAnsi="宋体"/>
                <w:color w:val="auto"/>
                <w:szCs w:val="21"/>
                <w:highlight w:val="none"/>
                <w:lang w:eastAsia="zh-CN"/>
              </w:rPr>
              <w:t>☑</w:t>
            </w:r>
            <w:permEnd w:id="59"/>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不组织踏勘现场</w:t>
            </w:r>
          </w:p>
          <w:p w14:paraId="5BB5BAE5">
            <w:pPr>
              <w:spacing w:line="360" w:lineRule="auto"/>
              <w:ind w:left="360"/>
              <w:rPr>
                <w:rFonts w:hint="eastAsia" w:ascii="宋体" w:hAnsi="宋体"/>
                <w:color w:val="auto"/>
                <w:szCs w:val="21"/>
                <w:highlight w:val="none"/>
              </w:rPr>
            </w:pPr>
            <w:permStart w:id="60" w:edGrp="everyone"/>
            <w:r>
              <w:rPr>
                <w:rFonts w:hint="eastAsia" w:ascii="宋体" w:hAnsi="宋体"/>
                <w:color w:val="auto"/>
                <w:szCs w:val="21"/>
                <w:highlight w:val="none"/>
                <w:lang w:eastAsia="zh-CN"/>
              </w:rPr>
              <w:t>□</w:t>
            </w:r>
            <w:permEnd w:id="60"/>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组织踏勘现场 </w:t>
            </w:r>
          </w:p>
          <w:p w14:paraId="4993E0B1">
            <w:pPr>
              <w:spacing w:line="360" w:lineRule="auto"/>
              <w:ind w:left="360"/>
              <w:rPr>
                <w:rFonts w:hint="eastAsia" w:ascii="宋体" w:hAnsi="宋体"/>
                <w:color w:val="auto"/>
                <w:szCs w:val="21"/>
                <w:highlight w:val="none"/>
              </w:rPr>
            </w:pPr>
            <w:permStart w:id="61" w:edGrp="everyone"/>
            <w:r>
              <w:rPr>
                <w:rFonts w:hint="eastAsia" w:ascii="宋体" w:hAnsi="宋体"/>
                <w:color w:val="auto"/>
                <w:szCs w:val="21"/>
                <w:highlight w:val="none"/>
              </w:rPr>
              <w:t>□</w:t>
            </w:r>
            <w:permEnd w:id="61"/>
            <w:r>
              <w:rPr>
                <w:rFonts w:hint="eastAsia" w:ascii="宋体" w:hAnsi="宋体"/>
                <w:color w:val="auto"/>
                <w:szCs w:val="21"/>
                <w:highlight w:val="none"/>
                <w:lang w:val="en-US" w:eastAsia="zh-CN"/>
              </w:rPr>
              <w:t xml:space="preserve"> </w:t>
            </w:r>
            <w:r>
              <w:rPr>
                <w:rFonts w:hint="eastAsia" w:ascii="宋体" w:hAnsi="宋体"/>
                <w:color w:val="auto"/>
                <w:szCs w:val="21"/>
                <w:highlight w:val="none"/>
              </w:rPr>
              <w:t>踏勘时间：</w:t>
            </w:r>
            <w:permStart w:id="62" w:edGrp="everyone"/>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ermEnd w:id="62"/>
          <w:p w14:paraId="101457B9">
            <w:pPr>
              <w:spacing w:line="360" w:lineRule="auto"/>
              <w:ind w:firstLine="420" w:firstLineChars="200"/>
              <w:rPr>
                <w:rFonts w:ascii="宋体"/>
                <w:color w:val="auto"/>
                <w:szCs w:val="21"/>
                <w:highlight w:val="none"/>
              </w:rPr>
            </w:pPr>
            <w:r>
              <w:rPr>
                <w:rFonts w:hint="eastAsia" w:ascii="宋体" w:hAnsi="宋体"/>
                <w:color w:val="auto"/>
                <w:szCs w:val="21"/>
                <w:highlight w:val="none"/>
              </w:rPr>
              <w:t>踏勘集中地点：</w:t>
            </w:r>
            <w:permStart w:id="63" w:edGrp="everyone"/>
            <w:r>
              <w:rPr>
                <w:rFonts w:hint="eastAsia" w:ascii="宋体" w:hAnsi="宋体"/>
                <w:color w:val="auto"/>
                <w:szCs w:val="21"/>
                <w:highlight w:val="none"/>
                <w:u w:val="single"/>
              </w:rPr>
              <w:t xml:space="preserve">                           </w:t>
            </w:r>
            <w:permEnd w:id="63"/>
          </w:p>
        </w:tc>
      </w:tr>
      <w:tr w14:paraId="77750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4F2302DA">
            <w:pPr>
              <w:spacing w:line="360" w:lineRule="auto"/>
              <w:jc w:val="center"/>
              <w:rPr>
                <w:rFonts w:hint="eastAsia" w:ascii="宋体" w:hAnsi="宋体"/>
                <w:color w:val="auto"/>
                <w:szCs w:val="21"/>
                <w:highlight w:val="none"/>
              </w:rPr>
            </w:pPr>
            <w:r>
              <w:rPr>
                <w:rFonts w:hint="eastAsia" w:ascii="宋体" w:hAnsi="宋体"/>
                <w:color w:val="auto"/>
                <w:szCs w:val="21"/>
                <w:highlight w:val="none"/>
              </w:rPr>
              <w:t>1.10</w:t>
            </w:r>
          </w:p>
        </w:tc>
        <w:tc>
          <w:tcPr>
            <w:tcW w:w="2181" w:type="dxa"/>
            <w:tcBorders>
              <w:top w:val="single" w:color="auto" w:sz="4" w:space="0"/>
            </w:tcBorders>
            <w:noWrap w:val="0"/>
            <w:vAlign w:val="center"/>
          </w:tcPr>
          <w:p w14:paraId="487BBD19">
            <w:pPr>
              <w:spacing w:line="360" w:lineRule="auto"/>
              <w:jc w:val="center"/>
              <w:rPr>
                <w:rFonts w:hint="eastAsia" w:ascii="宋体" w:hAnsi="宋体"/>
                <w:color w:val="auto"/>
                <w:szCs w:val="21"/>
                <w:highlight w:val="none"/>
              </w:rPr>
            </w:pPr>
            <w:r>
              <w:rPr>
                <w:rFonts w:hint="eastAsia" w:ascii="宋体" w:hAnsi="宋体"/>
                <w:color w:val="auto"/>
                <w:szCs w:val="21"/>
                <w:highlight w:val="none"/>
              </w:rPr>
              <w:t>招标答疑</w:t>
            </w:r>
          </w:p>
        </w:tc>
        <w:tc>
          <w:tcPr>
            <w:tcW w:w="6237" w:type="dxa"/>
            <w:tcBorders>
              <w:top w:val="single" w:color="auto" w:sz="4" w:space="0"/>
            </w:tcBorders>
            <w:noWrap w:val="0"/>
            <w:vAlign w:val="center"/>
          </w:tcPr>
          <w:p w14:paraId="0E40621F">
            <w:pPr>
              <w:rPr>
                <w:rFonts w:hint="eastAsia"/>
                <w:lang w:eastAsia="zh-CN"/>
              </w:rPr>
            </w:pPr>
            <w:r>
              <w:rPr>
                <w:rFonts w:hint="eastAsia"/>
              </w:rPr>
              <w:t>投标人提出问题的截止时间</w:t>
            </w:r>
            <w:r>
              <w:rPr>
                <w:rFonts w:hint="eastAsia"/>
                <w:lang w:eastAsia="zh-CN"/>
              </w:rPr>
              <w:t>：</w:t>
            </w:r>
            <w:r>
              <w:rPr>
                <w:rFonts w:hint="eastAsia"/>
              </w:rPr>
              <w:t>以</w:t>
            </w:r>
            <w:r>
              <w:rPr>
                <w:rFonts w:hint="eastAsia"/>
                <w:lang w:eastAsia="zh-CN"/>
              </w:rPr>
              <w:t>工程建设交易系统</w:t>
            </w:r>
            <w:r>
              <w:rPr>
                <w:rFonts w:hint="eastAsia"/>
              </w:rPr>
              <w:t>上的</w:t>
            </w:r>
            <w:r>
              <w:rPr>
                <w:rFonts w:hint="eastAsia"/>
                <w:lang w:eastAsia="zh-CN"/>
              </w:rPr>
              <w:t>日程</w:t>
            </w:r>
            <w:r>
              <w:rPr>
                <w:rFonts w:hint="eastAsia"/>
              </w:rPr>
              <w:t>安排为准</w:t>
            </w:r>
            <w:r>
              <w:rPr>
                <w:rFonts w:hint="eastAsia"/>
                <w:lang w:eastAsia="zh-CN"/>
              </w:rPr>
              <w:t>。</w:t>
            </w:r>
          </w:p>
          <w:p w14:paraId="6D5D94DB">
            <w:pPr>
              <w:rPr>
                <w:rFonts w:hint="eastAsia"/>
                <w:lang w:val="en-US" w:eastAsia="zh-CN"/>
              </w:rPr>
            </w:pPr>
            <w:r>
              <w:rPr>
                <w:rFonts w:hint="eastAsia"/>
              </w:rPr>
              <w:t>投标人向招标人（或招标代理机构）提交有关问题的，可按投标</w:t>
            </w:r>
            <w:r>
              <w:rPr>
                <w:rFonts w:hint="eastAsia"/>
                <w:lang w:eastAsia="zh-CN"/>
              </w:rPr>
              <w:t>人</w:t>
            </w:r>
            <w:r>
              <w:rPr>
                <w:rFonts w:hint="eastAsia"/>
              </w:rPr>
              <w:t>须知前附表中</w:t>
            </w:r>
            <w:r>
              <w:rPr>
                <w:rFonts w:hint="eastAsia"/>
                <w:lang w:eastAsia="zh-CN"/>
              </w:rPr>
              <w:t>日程</w:t>
            </w:r>
            <w:r>
              <w:rPr>
                <w:rFonts w:hint="eastAsia"/>
              </w:rPr>
              <w:t>安排的时间内在广东省公共资源交易平台（交易系统），凭</w:t>
            </w:r>
            <w:r>
              <w:rPr>
                <w:rFonts w:hint="eastAsia"/>
                <w:lang w:eastAsia="zh-CN"/>
              </w:rPr>
              <w:t>电子招投标</w:t>
            </w:r>
            <w:r>
              <w:rPr>
                <w:rFonts w:hint="eastAsia"/>
              </w:rPr>
              <w:t>数字证书</w:t>
            </w:r>
            <w:r>
              <w:rPr>
                <w:rFonts w:hint="eastAsia"/>
                <w:lang w:eastAsia="zh-CN"/>
              </w:rPr>
              <w:t>登录工程建设交易系统</w:t>
            </w:r>
            <w:r>
              <w:rPr>
                <w:rFonts w:hint="eastAsia"/>
              </w:rPr>
              <w:t>，在“投标管理--参与项目”栏目页面，选择参与的项目名称，点击“</w:t>
            </w:r>
            <w:r>
              <w:rPr>
                <w:rFonts w:hint="eastAsia"/>
                <w:lang w:eastAsia="zh-CN"/>
              </w:rPr>
              <w:t>我要提疑</w:t>
            </w:r>
            <w:r>
              <w:rPr>
                <w:rFonts w:hint="eastAsia"/>
              </w:rPr>
              <w:t>”提出问题，保存后即可提交。所提交的资料以无记名形式提交，不得有任何可识别投标人单位及人员的标识。</w:t>
            </w:r>
            <w:r>
              <w:rPr>
                <w:rFonts w:hint="eastAsia"/>
                <w:lang w:val="en-US" w:eastAsia="zh-CN"/>
              </w:rPr>
              <w:t>不接受其他方式提问。</w:t>
            </w:r>
          </w:p>
          <w:p w14:paraId="1A5C6F36">
            <w:pPr>
              <w:rPr>
                <w:rFonts w:hint="eastAsia"/>
                <w:color w:val="auto"/>
                <w:highlight w:val="none"/>
                <w:u w:val="single"/>
              </w:rPr>
            </w:pPr>
            <w:r>
              <w:rPr>
                <w:rFonts w:hint="eastAsia"/>
              </w:rPr>
              <w:t>招标人（招标代理）收集相关问题，组织有关单位人员研究并形成答疑纪要（补遗书），在中山市公共资源交易</w:t>
            </w:r>
            <w:r>
              <w:rPr>
                <w:rFonts w:hint="eastAsia"/>
                <w:lang w:val="en-US" w:eastAsia="zh-CN"/>
              </w:rPr>
              <w:t>平台（公共服务系统）</w:t>
            </w:r>
            <w:r>
              <w:rPr>
                <w:rFonts w:hint="eastAsia"/>
              </w:rPr>
              <w:t>“建设工程--答疑、澄清”栏目发布答疑纪要（补遗书）。各投标人自行在中山市公共资源交易</w:t>
            </w:r>
            <w:r>
              <w:rPr>
                <w:rFonts w:hint="eastAsia"/>
                <w:lang w:val="en-US" w:eastAsia="zh-CN"/>
              </w:rPr>
              <w:t>平台（公共服务系统）</w:t>
            </w:r>
            <w:r>
              <w:rPr>
                <w:rFonts w:hint="eastAsia"/>
              </w:rPr>
              <w:t>“建设工程--答疑、澄清”栏目或工程建设交易系统下载答疑纪要（补遗书），招标人不再另行通知。投标人因自身原因未能获取答疑资料造成的后果，由投标人自行承担。发出答疑纪要（补遗书）的同时，招标人（招标代理）应把答疑纪要（补遗书）的扫描件上传</w:t>
            </w:r>
            <w:r>
              <w:rPr>
                <w:rFonts w:hint="eastAsia"/>
                <w:lang w:val="en-US" w:eastAsia="zh-CN"/>
              </w:rPr>
              <w:t>工程建设交易系统</w:t>
            </w:r>
            <w:r>
              <w:rPr>
                <w:rFonts w:hint="eastAsia"/>
              </w:rPr>
              <w:t>。</w:t>
            </w:r>
          </w:p>
        </w:tc>
      </w:tr>
      <w:tr w14:paraId="5768D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0D6D37F4">
            <w:pPr>
              <w:spacing w:line="360" w:lineRule="auto"/>
              <w:jc w:val="center"/>
              <w:rPr>
                <w:rFonts w:hint="eastAsia" w:ascii="宋体" w:hAnsi="宋体"/>
                <w:color w:val="auto"/>
                <w:szCs w:val="21"/>
                <w:highlight w:val="none"/>
              </w:rPr>
            </w:pPr>
            <w:r>
              <w:rPr>
                <w:rFonts w:hint="eastAsia" w:ascii="宋体" w:hAnsi="宋体"/>
                <w:color w:val="auto"/>
                <w:szCs w:val="21"/>
                <w:highlight w:val="none"/>
              </w:rPr>
              <w:t>1.11</w:t>
            </w:r>
          </w:p>
        </w:tc>
        <w:tc>
          <w:tcPr>
            <w:tcW w:w="2181" w:type="dxa"/>
            <w:tcBorders>
              <w:top w:val="single" w:color="auto" w:sz="4" w:space="0"/>
            </w:tcBorders>
            <w:noWrap w:val="0"/>
            <w:vAlign w:val="center"/>
          </w:tcPr>
          <w:p w14:paraId="1C072D90">
            <w:pPr>
              <w:spacing w:line="360" w:lineRule="auto"/>
              <w:jc w:val="center"/>
              <w:rPr>
                <w:rFonts w:hint="eastAsia" w:ascii="宋体" w:hAnsi="宋体"/>
                <w:color w:val="auto"/>
                <w:szCs w:val="21"/>
                <w:highlight w:val="none"/>
              </w:rPr>
            </w:pPr>
            <w:r>
              <w:rPr>
                <w:rFonts w:hint="eastAsia" w:ascii="宋体" w:hAnsi="宋体"/>
                <w:color w:val="auto"/>
                <w:szCs w:val="21"/>
                <w:highlight w:val="none"/>
              </w:rPr>
              <w:t>分包</w:t>
            </w:r>
          </w:p>
        </w:tc>
        <w:tc>
          <w:tcPr>
            <w:tcW w:w="6237" w:type="dxa"/>
            <w:tcBorders>
              <w:top w:val="single" w:color="auto" w:sz="4" w:space="0"/>
            </w:tcBorders>
            <w:noWrap w:val="0"/>
            <w:vAlign w:val="center"/>
          </w:tcPr>
          <w:p w14:paraId="1DB0FBC1">
            <w:pPr>
              <w:spacing w:line="360" w:lineRule="auto"/>
              <w:ind w:left="360"/>
              <w:rPr>
                <w:rFonts w:hint="eastAsia" w:ascii="宋体" w:hAnsi="宋体"/>
                <w:color w:val="auto"/>
                <w:szCs w:val="21"/>
                <w:highlight w:val="none"/>
              </w:rPr>
            </w:pPr>
            <w:permStart w:id="64" w:edGrp="everyone"/>
            <w:r>
              <w:rPr>
                <w:rFonts w:hint="eastAsia" w:ascii="宋体" w:hAnsi="宋体"/>
                <w:color w:val="auto"/>
                <w:szCs w:val="21"/>
                <w:highlight w:val="none"/>
              </w:rPr>
              <w:t>□</w:t>
            </w:r>
            <w:permEnd w:id="64"/>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不允许</w:t>
            </w:r>
          </w:p>
          <w:p w14:paraId="2A9E34AE">
            <w:pPr>
              <w:spacing w:line="360" w:lineRule="auto"/>
              <w:ind w:left="360"/>
              <w:rPr>
                <w:rFonts w:hint="eastAsia" w:ascii="宋体" w:hAnsi="宋体"/>
                <w:color w:val="auto"/>
                <w:highlight w:val="none"/>
                <w:u w:val="single"/>
              </w:rPr>
            </w:pPr>
            <w:permStart w:id="65" w:edGrp="everyone"/>
            <w:r>
              <w:rPr>
                <w:rFonts w:hint="eastAsia" w:ascii="宋体" w:hAnsi="宋体"/>
                <w:color w:val="auto"/>
                <w:szCs w:val="21"/>
                <w:highlight w:val="none"/>
                <w:lang w:eastAsia="zh-CN"/>
              </w:rPr>
              <w:t>☑</w:t>
            </w:r>
            <w:permEnd w:id="65"/>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允许。</w:t>
            </w:r>
            <w:permStart w:id="66" w:edGrp="everyone"/>
            <w:r>
              <w:rPr>
                <w:rFonts w:hint="eastAsia" w:ascii="宋体" w:hAnsi="宋体"/>
                <w:color w:val="auto"/>
                <w:highlight w:val="none"/>
                <w:u w:val="single"/>
              </w:rPr>
              <w:t>部分非主体、非关键性工作的工程设计（勘察）（须 经招标人同意）；接受分包的第三人资质要求：按《工程勘察资质标准》及《工程设计资质标准》要求具备分包相应专业</w:t>
            </w:r>
            <w:r>
              <w:rPr>
                <w:rFonts w:hint="eastAsia" w:ascii="宋体" w:hAnsi="宋体"/>
                <w:color w:val="auto"/>
                <w:highlight w:val="none"/>
                <w:u w:val="single"/>
                <w:lang w:eastAsia="zh-CN"/>
              </w:rPr>
              <w:t>的</w:t>
            </w:r>
            <w:r>
              <w:rPr>
                <w:rFonts w:hint="eastAsia" w:ascii="宋体" w:hAnsi="宋体"/>
                <w:color w:val="auto"/>
                <w:highlight w:val="none"/>
                <w:u w:val="single"/>
              </w:rPr>
              <w:t>资质。</w:t>
            </w:r>
            <w:permEnd w:id="66"/>
          </w:p>
        </w:tc>
      </w:tr>
      <w:tr w14:paraId="5D8E0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3F61EE7A">
            <w:pPr>
              <w:spacing w:line="360" w:lineRule="auto"/>
              <w:jc w:val="center"/>
              <w:rPr>
                <w:rFonts w:hint="eastAsia" w:ascii="宋体" w:hAnsi="宋体"/>
                <w:color w:val="auto"/>
                <w:szCs w:val="21"/>
                <w:highlight w:val="none"/>
              </w:rPr>
            </w:pPr>
            <w:r>
              <w:rPr>
                <w:rFonts w:hint="eastAsia" w:ascii="宋体" w:hAnsi="宋体"/>
                <w:color w:val="auto"/>
                <w:szCs w:val="21"/>
                <w:highlight w:val="none"/>
              </w:rPr>
              <w:t>1.12</w:t>
            </w:r>
          </w:p>
        </w:tc>
        <w:tc>
          <w:tcPr>
            <w:tcW w:w="2181" w:type="dxa"/>
            <w:tcBorders>
              <w:top w:val="single" w:color="auto" w:sz="4" w:space="0"/>
            </w:tcBorders>
            <w:noWrap w:val="0"/>
            <w:vAlign w:val="center"/>
          </w:tcPr>
          <w:p w14:paraId="06C1B838">
            <w:pPr>
              <w:spacing w:line="360" w:lineRule="auto"/>
              <w:jc w:val="center"/>
              <w:rPr>
                <w:rFonts w:hint="eastAsia" w:ascii="宋体" w:hAnsi="宋体"/>
                <w:color w:val="auto"/>
                <w:szCs w:val="21"/>
                <w:highlight w:val="none"/>
              </w:rPr>
            </w:pPr>
            <w:r>
              <w:rPr>
                <w:rFonts w:hint="eastAsia" w:ascii="宋体" w:hAnsi="宋体"/>
                <w:color w:val="auto"/>
                <w:szCs w:val="21"/>
                <w:highlight w:val="none"/>
              </w:rPr>
              <w:t>偏离</w:t>
            </w:r>
          </w:p>
        </w:tc>
        <w:tc>
          <w:tcPr>
            <w:tcW w:w="6237" w:type="dxa"/>
            <w:tcBorders>
              <w:top w:val="single" w:color="auto" w:sz="4" w:space="0"/>
            </w:tcBorders>
            <w:noWrap w:val="0"/>
            <w:vAlign w:val="center"/>
          </w:tcPr>
          <w:p w14:paraId="38E6C2B6">
            <w:pPr>
              <w:spacing w:line="360" w:lineRule="auto"/>
              <w:rPr>
                <w:rFonts w:hint="eastAsia"/>
                <w:color w:val="auto"/>
                <w:highlight w:val="none"/>
              </w:rPr>
            </w:pPr>
            <w:r>
              <w:rPr>
                <w:rFonts w:hint="eastAsia"/>
                <w:color w:val="auto"/>
                <w:highlight w:val="none"/>
              </w:rPr>
              <w:t>不允许</w:t>
            </w:r>
          </w:p>
        </w:tc>
      </w:tr>
      <w:tr w14:paraId="654BD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282B75E5">
            <w:pPr>
              <w:spacing w:line="360" w:lineRule="auto"/>
              <w:jc w:val="center"/>
              <w:rPr>
                <w:rFonts w:hint="eastAsia" w:ascii="宋体" w:hAnsi="宋体"/>
                <w:color w:val="auto"/>
                <w:szCs w:val="21"/>
                <w:highlight w:val="none"/>
              </w:rPr>
            </w:pPr>
            <w:r>
              <w:rPr>
                <w:rFonts w:hint="eastAsia" w:ascii="宋体" w:hAnsi="宋体"/>
                <w:color w:val="auto"/>
                <w:szCs w:val="21"/>
                <w:highlight w:val="none"/>
              </w:rPr>
              <w:t>2.1</w:t>
            </w:r>
          </w:p>
        </w:tc>
        <w:tc>
          <w:tcPr>
            <w:tcW w:w="2181" w:type="dxa"/>
            <w:tcBorders>
              <w:top w:val="single" w:color="auto" w:sz="4" w:space="0"/>
            </w:tcBorders>
            <w:noWrap w:val="0"/>
            <w:vAlign w:val="center"/>
          </w:tcPr>
          <w:p w14:paraId="447FB0EE">
            <w:pPr>
              <w:spacing w:line="360" w:lineRule="auto"/>
              <w:jc w:val="center"/>
              <w:rPr>
                <w:rFonts w:hint="eastAsia" w:ascii="宋体" w:hAnsi="宋体"/>
                <w:color w:val="auto"/>
                <w:szCs w:val="21"/>
                <w:highlight w:val="none"/>
              </w:rPr>
            </w:pPr>
            <w:r>
              <w:rPr>
                <w:rFonts w:hint="eastAsia" w:ascii="宋体" w:hAnsi="宋体"/>
                <w:color w:val="auto"/>
                <w:szCs w:val="21"/>
                <w:highlight w:val="none"/>
              </w:rPr>
              <w:t>构成招标文件的其他材料</w:t>
            </w:r>
          </w:p>
        </w:tc>
        <w:tc>
          <w:tcPr>
            <w:tcW w:w="6237" w:type="dxa"/>
            <w:tcBorders>
              <w:top w:val="single" w:color="auto" w:sz="4" w:space="0"/>
            </w:tcBorders>
            <w:noWrap w:val="0"/>
            <w:vAlign w:val="center"/>
          </w:tcPr>
          <w:p w14:paraId="27ED9E07">
            <w:pPr>
              <w:spacing w:line="360" w:lineRule="auto"/>
              <w:rPr>
                <w:rFonts w:hint="eastAsia" w:ascii="宋体" w:hAnsi="宋体"/>
                <w:color w:val="auto"/>
                <w:highlight w:val="none"/>
                <w:u w:val="single"/>
              </w:rPr>
            </w:pPr>
            <w:r>
              <w:rPr>
                <w:rFonts w:hint="eastAsia" w:ascii="宋体" w:hAnsi="宋体"/>
                <w:color w:val="auto"/>
                <w:szCs w:val="21"/>
                <w:highlight w:val="none"/>
              </w:rPr>
              <w:t>招标答疑</w:t>
            </w:r>
            <w:r>
              <w:rPr>
                <w:rFonts w:hint="eastAsia" w:ascii="宋体" w:hAnsi="宋体"/>
                <w:color w:val="auto"/>
                <w:szCs w:val="21"/>
                <w:highlight w:val="none"/>
                <w:lang w:eastAsia="zh-CN"/>
              </w:rPr>
              <w:t>、澄清</w:t>
            </w:r>
            <w:r>
              <w:rPr>
                <w:rFonts w:hint="eastAsia" w:ascii="宋体" w:hAnsi="宋体"/>
                <w:color w:val="auto"/>
                <w:szCs w:val="21"/>
                <w:highlight w:val="none"/>
              </w:rPr>
              <w:t>文件等</w:t>
            </w:r>
          </w:p>
        </w:tc>
      </w:tr>
      <w:tr w14:paraId="52618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66F2BDFF">
            <w:pPr>
              <w:spacing w:line="360" w:lineRule="auto"/>
              <w:jc w:val="center"/>
              <w:rPr>
                <w:rFonts w:hint="eastAsia" w:ascii="宋体" w:hAnsi="宋体"/>
                <w:color w:val="auto"/>
                <w:szCs w:val="21"/>
                <w:highlight w:val="none"/>
              </w:rPr>
            </w:pPr>
            <w:r>
              <w:rPr>
                <w:rFonts w:hint="eastAsia" w:ascii="宋体" w:hAnsi="宋体"/>
                <w:color w:val="auto"/>
                <w:szCs w:val="21"/>
                <w:highlight w:val="none"/>
              </w:rPr>
              <w:t>2.2</w:t>
            </w:r>
          </w:p>
        </w:tc>
        <w:tc>
          <w:tcPr>
            <w:tcW w:w="2181" w:type="dxa"/>
            <w:tcBorders>
              <w:top w:val="single" w:color="auto" w:sz="4" w:space="0"/>
            </w:tcBorders>
            <w:noWrap w:val="0"/>
            <w:vAlign w:val="center"/>
          </w:tcPr>
          <w:p w14:paraId="22064717">
            <w:pPr>
              <w:spacing w:line="360" w:lineRule="auto"/>
              <w:jc w:val="center"/>
              <w:rPr>
                <w:rFonts w:hint="eastAsia" w:ascii="宋体" w:hAnsi="宋体"/>
                <w:color w:val="auto"/>
                <w:szCs w:val="21"/>
                <w:highlight w:val="none"/>
              </w:rPr>
            </w:pPr>
            <w:r>
              <w:rPr>
                <w:rFonts w:hint="eastAsia"/>
                <w:color w:val="auto"/>
                <w:highlight w:val="none"/>
              </w:rPr>
              <w:t>招标人网上澄清的截止时间</w:t>
            </w:r>
          </w:p>
        </w:tc>
        <w:tc>
          <w:tcPr>
            <w:tcW w:w="6237" w:type="dxa"/>
            <w:tcBorders>
              <w:top w:val="single" w:color="auto" w:sz="4" w:space="0"/>
            </w:tcBorders>
            <w:noWrap w:val="0"/>
            <w:vAlign w:val="center"/>
          </w:tcPr>
          <w:p w14:paraId="2F060A79">
            <w:pPr>
              <w:widowControl/>
              <w:spacing w:line="360" w:lineRule="auto"/>
              <w:rPr>
                <w:rFonts w:hint="eastAsia" w:ascii="宋体" w:hAnsi="宋体" w:cs="Arial"/>
                <w:color w:val="auto"/>
                <w:szCs w:val="21"/>
                <w:highlight w:val="none"/>
              </w:rPr>
            </w:pPr>
            <w:r>
              <w:rPr>
                <w:rFonts w:hint="eastAsia" w:cs="Arial"/>
                <w:color w:val="auto"/>
                <w:szCs w:val="21"/>
                <w:highlight w:val="none"/>
              </w:rPr>
              <w:t>具体时间</w:t>
            </w:r>
            <w:r>
              <w:rPr>
                <w:rFonts w:hint="eastAsia" w:cs="Arial"/>
                <w:color w:val="auto"/>
                <w:szCs w:val="21"/>
                <w:highlight w:val="none"/>
                <w:lang w:eastAsia="zh-CN"/>
              </w:rPr>
              <w:t>以工程建设交易系统</w:t>
            </w:r>
            <w:r>
              <w:rPr>
                <w:rFonts w:hint="eastAsia" w:cs="Arial"/>
                <w:color w:val="auto"/>
                <w:szCs w:val="21"/>
                <w:highlight w:val="none"/>
              </w:rPr>
              <w:t>上的</w:t>
            </w:r>
            <w:r>
              <w:rPr>
                <w:rFonts w:hint="eastAsia" w:cs="Arial"/>
                <w:color w:val="auto"/>
                <w:szCs w:val="21"/>
                <w:highlight w:val="none"/>
                <w:lang w:eastAsia="zh-CN"/>
              </w:rPr>
              <w:t>日程</w:t>
            </w:r>
            <w:r>
              <w:rPr>
                <w:rFonts w:hint="eastAsia" w:cs="Arial"/>
                <w:color w:val="auto"/>
                <w:szCs w:val="21"/>
                <w:highlight w:val="none"/>
              </w:rPr>
              <w:t>安排为准</w:t>
            </w:r>
            <w:r>
              <w:rPr>
                <w:rFonts w:hint="eastAsia" w:ascii="宋体" w:hAnsi="宋体" w:cs="Arial"/>
                <w:color w:val="auto"/>
                <w:szCs w:val="21"/>
                <w:highlight w:val="none"/>
              </w:rPr>
              <w:t>。</w:t>
            </w:r>
          </w:p>
          <w:p w14:paraId="28568719">
            <w:pPr>
              <w:spacing w:line="360" w:lineRule="auto"/>
              <w:rPr>
                <w:rFonts w:hint="eastAsia" w:ascii="宋体" w:hAnsi="宋体" w:eastAsia="宋体"/>
                <w:color w:val="auto"/>
                <w:highlight w:val="none"/>
                <w:u w:val="single"/>
                <w:lang w:eastAsia="zh-CN"/>
              </w:rPr>
            </w:pPr>
            <w:r>
              <w:rPr>
                <w:rFonts w:hint="eastAsia" w:ascii="宋体" w:hAnsi="宋体"/>
                <w:color w:val="auto"/>
                <w:szCs w:val="21"/>
                <w:highlight w:val="none"/>
              </w:rPr>
              <w:t>【</w:t>
            </w:r>
            <w:r>
              <w:rPr>
                <w:rFonts w:hint="eastAsia" w:ascii="宋体" w:hAnsi="宋体"/>
                <w:color w:val="auto"/>
                <w:szCs w:val="21"/>
                <w:highlight w:val="none"/>
                <w:lang w:eastAsia="zh-CN"/>
              </w:rPr>
              <w:t>备注：</w:t>
            </w:r>
            <w:r>
              <w:rPr>
                <w:rFonts w:hint="eastAsia" w:ascii="宋体" w:hAnsi="宋体" w:cs="Arial"/>
                <w:color w:val="auto"/>
                <w:szCs w:val="21"/>
                <w:highlight w:val="none"/>
              </w:rPr>
              <w:t>对投标人编制标书时间造成影响的答疑纪要或补遗书，招标人需于投标截止前15日向投标人发出。</w:t>
            </w:r>
            <w:r>
              <w:rPr>
                <w:rFonts w:hint="eastAsia" w:ascii="宋体" w:hAnsi="宋体"/>
                <w:color w:val="auto"/>
                <w:szCs w:val="21"/>
                <w:highlight w:val="none"/>
              </w:rPr>
              <w:t>】</w:t>
            </w:r>
          </w:p>
        </w:tc>
      </w:tr>
      <w:tr w14:paraId="1DE95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3603286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3.1</w:t>
            </w:r>
          </w:p>
        </w:tc>
        <w:tc>
          <w:tcPr>
            <w:tcW w:w="2181" w:type="dxa"/>
            <w:tcBorders>
              <w:top w:val="single" w:color="auto" w:sz="4" w:space="0"/>
            </w:tcBorders>
            <w:noWrap w:val="0"/>
            <w:vAlign w:val="center"/>
          </w:tcPr>
          <w:p w14:paraId="1AFC2EC6">
            <w:pPr>
              <w:spacing w:line="360" w:lineRule="auto"/>
              <w:jc w:val="center"/>
              <w:rPr>
                <w:rFonts w:hint="default" w:eastAsia="宋体"/>
                <w:color w:val="auto"/>
                <w:highlight w:val="none"/>
                <w:lang w:val="en-US" w:eastAsia="zh-CN"/>
              </w:rPr>
            </w:pPr>
            <w:r>
              <w:rPr>
                <w:rFonts w:hint="eastAsia"/>
                <w:color w:val="auto"/>
                <w:highlight w:val="none"/>
                <w:lang w:val="en-US" w:eastAsia="zh-CN"/>
              </w:rPr>
              <w:t>投标文件的组成</w:t>
            </w:r>
          </w:p>
        </w:tc>
        <w:tc>
          <w:tcPr>
            <w:tcW w:w="6237" w:type="dxa"/>
            <w:tcBorders>
              <w:top w:val="single" w:color="auto" w:sz="4" w:space="0"/>
            </w:tcBorders>
            <w:noWrap w:val="0"/>
            <w:vAlign w:val="center"/>
          </w:tcPr>
          <w:p w14:paraId="37CB821D">
            <w:pPr>
              <w:spacing w:line="360" w:lineRule="auto"/>
              <w:ind w:lef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资格标函</w:t>
            </w:r>
          </w:p>
          <w:p w14:paraId="2A402C2F">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经济标函</w:t>
            </w:r>
          </w:p>
          <w:p w14:paraId="30CB59C3">
            <w:pPr>
              <w:spacing w:line="360" w:lineRule="auto"/>
              <w:ind w:lef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技术标函</w:t>
            </w:r>
          </w:p>
          <w:p w14:paraId="188802C7">
            <w:pPr>
              <w:spacing w:line="360" w:lineRule="auto"/>
              <w:rPr>
                <w:rFonts w:hint="default"/>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资信标函</w:t>
            </w:r>
          </w:p>
        </w:tc>
      </w:tr>
      <w:tr w14:paraId="3BFC7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0EE44B7B">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3.2.3</w:t>
            </w:r>
          </w:p>
        </w:tc>
        <w:tc>
          <w:tcPr>
            <w:tcW w:w="2181" w:type="dxa"/>
            <w:tcBorders>
              <w:top w:val="single" w:color="auto" w:sz="4" w:space="0"/>
            </w:tcBorders>
            <w:noWrap w:val="0"/>
            <w:vAlign w:val="center"/>
          </w:tcPr>
          <w:p w14:paraId="1BE7F0B2">
            <w:pPr>
              <w:spacing w:line="360" w:lineRule="auto"/>
              <w:jc w:val="center"/>
              <w:rPr>
                <w:rFonts w:hint="eastAsia"/>
                <w:color w:val="auto"/>
                <w:highlight w:val="none"/>
                <w:lang w:val="en-US" w:eastAsia="zh-CN"/>
              </w:rPr>
            </w:pPr>
            <w:r>
              <w:rPr>
                <w:rFonts w:hint="eastAsia"/>
                <w:color w:val="auto"/>
                <w:highlight w:val="none"/>
                <w:lang w:val="en-US" w:eastAsia="zh-CN"/>
              </w:rPr>
              <w:t>报价方式</w:t>
            </w:r>
          </w:p>
        </w:tc>
        <w:tc>
          <w:tcPr>
            <w:tcW w:w="6237" w:type="dxa"/>
            <w:tcBorders>
              <w:top w:val="single" w:color="auto" w:sz="4" w:space="0"/>
            </w:tcBorders>
            <w:noWrap w:val="0"/>
            <w:vAlign w:val="center"/>
          </w:tcPr>
          <w:p w14:paraId="0BF6E702">
            <w:pPr>
              <w:spacing w:line="360" w:lineRule="auto"/>
              <w:jc w:val="left"/>
              <w:rPr>
                <w:rFonts w:hint="eastAsia" w:ascii="Times New Roman" w:hAnsi="Times New Roman" w:eastAsia="宋体" w:cs="Times New Roman"/>
                <w:color w:val="auto"/>
                <w:szCs w:val="24"/>
                <w:highlight w:val="none"/>
                <w:u w:val="none"/>
                <w:lang w:val="en-US" w:eastAsia="zh-CN"/>
              </w:rPr>
            </w:pPr>
            <w:permStart w:id="67" w:edGrp="everyone"/>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u w:val="none"/>
                <w:lang w:val="en-US" w:eastAsia="zh-CN"/>
              </w:rPr>
              <w:t>（1）勘察费</w:t>
            </w:r>
          </w:p>
          <w:p w14:paraId="5B092368">
            <w:pPr>
              <w:spacing w:line="360" w:lineRule="auto"/>
              <w:jc w:val="left"/>
              <w:rPr>
                <w:rFonts w:hint="eastAsia"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color w:val="auto"/>
                <w:szCs w:val="24"/>
                <w:highlight w:val="none"/>
                <w:u w:val="none"/>
                <w:lang w:val="en-US" w:eastAsia="zh-CN"/>
              </w:rPr>
              <w:t>①</w:t>
            </w:r>
            <w:r>
              <w:rPr>
                <w:rFonts w:hint="eastAsia" w:ascii="宋体" w:hAnsi="宋体" w:cs="宋体"/>
                <w:strike w:val="0"/>
                <w:dstrike w:val="0"/>
                <w:color w:val="auto"/>
                <w:lang w:val="en-US" w:eastAsia="zh-CN"/>
              </w:rPr>
              <w:t>勘察</w:t>
            </w:r>
            <w:r>
              <w:rPr>
                <w:rFonts w:hint="eastAsia" w:ascii="宋体" w:hAnsi="宋体" w:cs="宋体"/>
                <w:strike w:val="0"/>
                <w:dstrike w:val="0"/>
                <w:color w:val="auto"/>
              </w:rPr>
              <w:t>费的</w:t>
            </w:r>
            <w:r>
              <w:rPr>
                <w:rFonts w:hint="eastAsia" w:ascii="Times New Roman" w:hAnsi="Times New Roman" w:eastAsia="宋体" w:cs="Times New Roman"/>
                <w:color w:val="auto"/>
                <w:szCs w:val="24"/>
                <w:highlight w:val="none"/>
                <w:u w:val="none"/>
                <w:lang w:val="en-US" w:eastAsia="zh-CN"/>
              </w:rPr>
              <w:t>投标报价在勘察费最高投标限价以下（包括最高投标限价）的为有效报价，</w:t>
            </w:r>
            <w:r>
              <w:rPr>
                <w:rFonts w:hint="eastAsia" w:cs="Times New Roman"/>
                <w:color w:val="auto"/>
                <w:szCs w:val="24"/>
                <w:highlight w:val="none"/>
                <w:u w:val="none"/>
                <w:lang w:val="en-US" w:eastAsia="zh-CN"/>
              </w:rPr>
              <w:t>否则其</w:t>
            </w:r>
            <w:r>
              <w:rPr>
                <w:rFonts w:hint="eastAsia" w:ascii="Times New Roman" w:hAnsi="Times New Roman" w:eastAsia="宋体" w:cs="Times New Roman"/>
                <w:color w:val="auto"/>
                <w:szCs w:val="24"/>
                <w:highlight w:val="none"/>
                <w:u w:val="none"/>
                <w:lang w:val="en-US" w:eastAsia="zh-CN"/>
              </w:rPr>
              <w:t>经济标作为废标处理</w:t>
            </w:r>
            <w:r>
              <w:rPr>
                <w:rFonts w:hint="eastAsia" w:cs="Times New Roman"/>
                <w:color w:val="auto"/>
                <w:szCs w:val="24"/>
                <w:highlight w:val="none"/>
                <w:u w:val="none"/>
                <w:lang w:val="en-US" w:eastAsia="zh-CN"/>
              </w:rPr>
              <w:t>。</w:t>
            </w:r>
          </w:p>
          <w:p w14:paraId="67097AF5">
            <w:pPr>
              <w:spacing w:line="360" w:lineRule="auto"/>
              <w:jc w:val="left"/>
              <w:rPr>
                <w:rFonts w:hint="eastAsia"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color w:val="auto"/>
                <w:szCs w:val="24"/>
                <w:highlight w:val="none"/>
                <w:u w:val="none"/>
                <w:lang w:val="en-US" w:eastAsia="zh-CN"/>
              </w:rPr>
              <w:t>（2）设计费</w:t>
            </w:r>
          </w:p>
          <w:p w14:paraId="5FBFEC5B">
            <w:pPr>
              <w:spacing w:line="360" w:lineRule="auto"/>
              <w:jc w:val="left"/>
              <w:rPr>
                <w:rFonts w:hint="eastAsia"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color w:val="auto"/>
                <w:szCs w:val="24"/>
                <w:highlight w:val="none"/>
                <w:u w:val="none"/>
                <w:lang w:val="en-US" w:eastAsia="zh-CN"/>
              </w:rPr>
              <w:t>设计费的投标报价在设计费最高投标限价以下（包括最高投标限价）的为有效报价，</w:t>
            </w:r>
            <w:r>
              <w:rPr>
                <w:rFonts w:hint="eastAsia" w:cs="Times New Roman"/>
                <w:color w:val="auto"/>
                <w:szCs w:val="24"/>
                <w:highlight w:val="none"/>
                <w:u w:val="none"/>
                <w:lang w:val="en-US" w:eastAsia="zh-CN"/>
              </w:rPr>
              <w:t>否则</w:t>
            </w:r>
            <w:r>
              <w:rPr>
                <w:rFonts w:hint="eastAsia" w:ascii="Times New Roman" w:hAnsi="Times New Roman" w:eastAsia="宋体" w:cs="Times New Roman"/>
                <w:color w:val="auto"/>
                <w:szCs w:val="24"/>
                <w:highlight w:val="none"/>
                <w:u w:val="none"/>
                <w:lang w:val="en-US" w:eastAsia="zh-CN"/>
              </w:rPr>
              <w:t>其经济标作为废标处理</w:t>
            </w:r>
            <w:r>
              <w:rPr>
                <w:rFonts w:hint="eastAsia" w:cs="Times New Roman"/>
                <w:color w:val="auto"/>
                <w:szCs w:val="24"/>
                <w:highlight w:val="none"/>
                <w:u w:val="none"/>
                <w:lang w:val="en-US" w:eastAsia="zh-CN"/>
              </w:rPr>
              <w:t>。</w:t>
            </w:r>
          </w:p>
          <w:p w14:paraId="33FB95E5">
            <w:pPr>
              <w:spacing w:line="360" w:lineRule="auto"/>
              <w:jc w:val="left"/>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b/>
                <w:bCs/>
                <w:color w:val="auto"/>
                <w:szCs w:val="24"/>
                <w:highlight w:val="none"/>
                <w:u w:val="none"/>
                <w:lang w:val="en-US" w:eastAsia="zh-CN"/>
              </w:rPr>
              <w:t>注：</w:t>
            </w:r>
            <w:r>
              <w:rPr>
                <w:rFonts w:hint="eastAsia" w:cs="Times New Roman"/>
                <w:b/>
                <w:bCs/>
                <w:color w:val="auto"/>
                <w:szCs w:val="24"/>
                <w:highlight w:val="none"/>
                <w:u w:val="none"/>
                <w:lang w:val="en-US" w:eastAsia="zh-CN"/>
              </w:rPr>
              <w:t>以上（1）（2）项</w:t>
            </w:r>
            <w:r>
              <w:rPr>
                <w:rFonts w:hint="eastAsia" w:ascii="Times New Roman" w:hAnsi="Times New Roman" w:eastAsia="宋体" w:cs="Times New Roman"/>
                <w:b/>
                <w:bCs/>
                <w:color w:val="auto"/>
                <w:szCs w:val="24"/>
                <w:highlight w:val="none"/>
                <w:u w:val="none"/>
                <w:lang w:val="en-US" w:eastAsia="zh-CN"/>
              </w:rPr>
              <w:t>投标报价四舍五入保留小数点后2位。</w:t>
            </w:r>
            <w:r>
              <w:rPr>
                <w:rFonts w:hint="eastAsia" w:ascii="Times New Roman" w:hAnsi="Times New Roman" w:eastAsia="宋体" w:cs="Times New Roman"/>
                <w:color w:val="auto"/>
                <w:szCs w:val="24"/>
                <w:highlight w:val="none"/>
                <w:u w:val="none"/>
                <w:lang w:val="en-US" w:eastAsia="zh-CN"/>
              </w:rPr>
              <w:t xml:space="preserve">    </w:t>
            </w:r>
            <w:permEnd w:id="67"/>
          </w:p>
        </w:tc>
      </w:tr>
      <w:tr w14:paraId="35521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4B09C2C8">
            <w:pPr>
              <w:pageBreakBefore w:val="0"/>
              <w:kinsoku/>
              <w:wordWrap/>
              <w:overflowPunct/>
              <w:topLinePunct w:val="0"/>
              <w:bidi w:val="0"/>
              <w:spacing w:line="360" w:lineRule="auto"/>
              <w:jc w:val="center"/>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eastAsia="zh-CN"/>
              </w:rPr>
              <w:t>3</w:t>
            </w:r>
            <w:r>
              <w:rPr>
                <w:rFonts w:hint="eastAsia" w:ascii="宋体" w:hAnsi="宋体"/>
                <w:color w:val="auto"/>
                <w:szCs w:val="21"/>
                <w:highlight w:val="none"/>
                <w:lang w:val="en-US" w:eastAsia="zh-CN"/>
              </w:rPr>
              <w:t>.2.4</w:t>
            </w:r>
          </w:p>
        </w:tc>
        <w:tc>
          <w:tcPr>
            <w:tcW w:w="2181" w:type="dxa"/>
            <w:tcBorders>
              <w:top w:val="single" w:color="auto" w:sz="4" w:space="0"/>
            </w:tcBorders>
            <w:noWrap w:val="0"/>
            <w:vAlign w:val="center"/>
          </w:tcPr>
          <w:p w14:paraId="265C13DF">
            <w:pPr>
              <w:pageBreakBefore w:val="0"/>
              <w:kinsoku/>
              <w:wordWrap/>
              <w:overflowPunct/>
              <w:topLinePunct w:val="0"/>
              <w:bidi w:val="0"/>
              <w:spacing w:line="360" w:lineRule="auto"/>
              <w:jc w:val="center"/>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最高投标限价</w:t>
            </w:r>
          </w:p>
        </w:tc>
        <w:tc>
          <w:tcPr>
            <w:tcW w:w="6237" w:type="dxa"/>
            <w:tcBorders>
              <w:top w:val="single" w:color="auto" w:sz="4" w:space="0"/>
            </w:tcBorders>
            <w:noWrap w:val="0"/>
            <w:vAlign w:val="center"/>
          </w:tcPr>
          <w:p w14:paraId="342E1465">
            <w:pPr>
              <w:spacing w:line="360" w:lineRule="auto"/>
              <w:ind w:left="558" w:hanging="558" w:hangingChars="266"/>
              <w:rPr>
                <w:rFonts w:hint="default" w:ascii="Times New Roman" w:hAnsi="Times New Roman" w:eastAsia="宋体" w:cs="Times New Roman"/>
                <w:color w:val="auto"/>
                <w:szCs w:val="24"/>
                <w:highlight w:val="none"/>
                <w:u w:val="none"/>
                <w:lang w:val="en-US" w:eastAsia="zh-CN"/>
              </w:rPr>
            </w:pPr>
            <w:permStart w:id="68" w:edGrp="everyone"/>
            <w:r>
              <w:rPr>
                <w:rFonts w:hint="eastAsia" w:ascii="宋体" w:hAnsi="宋体"/>
                <w:color w:val="auto"/>
                <w:szCs w:val="21"/>
                <w:highlight w:val="none"/>
              </w:rPr>
              <w:t>□</w:t>
            </w:r>
            <w:permEnd w:id="68"/>
            <w:r>
              <w:rPr>
                <w:rFonts w:hint="eastAsia" w:ascii="宋体" w:hAnsi="宋体"/>
                <w:color w:val="auto"/>
                <w:szCs w:val="21"/>
                <w:highlight w:val="none"/>
                <w:lang w:val="en-US" w:eastAsia="zh-CN"/>
              </w:rPr>
              <w:t xml:space="preserve"> 无</w:t>
            </w:r>
          </w:p>
          <w:p w14:paraId="660B7779">
            <w:pPr>
              <w:spacing w:line="360" w:lineRule="auto"/>
              <w:ind w:left="558" w:leftChars="0" w:hanging="558" w:hangingChars="266"/>
              <w:rPr>
                <w:rFonts w:hint="eastAsia" w:ascii="Times New Roman" w:hAnsi="Times New Roman" w:cs="Times New Roman"/>
                <w:color w:val="auto"/>
                <w:kern w:val="2"/>
                <w:sz w:val="21"/>
                <w:szCs w:val="24"/>
                <w:highlight w:val="none"/>
                <w:u w:val="none"/>
                <w:lang w:val="en-US" w:eastAsia="zh-CN" w:bidi="ar-SA"/>
              </w:rPr>
            </w:pPr>
            <w:permStart w:id="69" w:edGrp="everyone"/>
            <w:r>
              <w:rPr>
                <w:rFonts w:hint="eastAsia" w:ascii="宋体" w:hAnsi="宋体"/>
                <w:color w:val="auto"/>
                <w:szCs w:val="21"/>
                <w:highlight w:val="none"/>
                <w:lang w:eastAsia="zh-CN"/>
              </w:rPr>
              <w:t>☑</w:t>
            </w:r>
            <w:permEnd w:id="69"/>
            <w:r>
              <w:rPr>
                <w:rFonts w:hint="eastAsia" w:ascii="宋体" w:hAnsi="宋体"/>
                <w:color w:val="auto"/>
                <w:szCs w:val="21"/>
                <w:highlight w:val="none"/>
                <w:lang w:val="en-US" w:eastAsia="zh-CN"/>
              </w:rPr>
              <w:t xml:space="preserve"> 有，</w:t>
            </w:r>
            <w:r>
              <w:rPr>
                <w:rFonts w:hint="default" w:ascii="Times New Roman" w:hAnsi="Times New Roman" w:cs="Times New Roman"/>
                <w:color w:val="auto"/>
                <w:szCs w:val="24"/>
                <w:highlight w:val="none"/>
                <w:u w:val="none"/>
                <w:lang w:val="en-US" w:eastAsia="zh-CN"/>
              </w:rPr>
              <w:t>最高投标限价为：</w:t>
            </w:r>
            <w:permStart w:id="70" w:edGrp="everyone"/>
            <w:r>
              <w:rPr>
                <w:rFonts w:hint="default" w:ascii="Times New Roman" w:hAnsi="Times New Roman" w:cs="Times New Roman"/>
                <w:color w:val="auto"/>
                <w:szCs w:val="24"/>
                <w:highlight w:val="none"/>
                <w:u w:val="none"/>
                <w:lang w:val="en-US" w:eastAsia="zh-CN"/>
              </w:rPr>
              <w:t xml:space="preserve"> </w:t>
            </w:r>
            <w:r>
              <w:rPr>
                <w:rFonts w:hint="eastAsia" w:ascii="宋体" w:hAnsi="宋体" w:cs="宋体"/>
                <w:i w:val="0"/>
                <w:color w:val="auto"/>
                <w:kern w:val="0"/>
                <w:sz w:val="20"/>
                <w:szCs w:val="20"/>
                <w:highlight w:val="none"/>
                <w:u w:val="none"/>
                <w:lang w:val="en-US" w:eastAsia="zh-CN" w:bidi="ar"/>
              </w:rPr>
              <w:t>勘察设计费</w:t>
            </w:r>
            <w:r>
              <w:rPr>
                <w:rFonts w:hint="default" w:ascii="宋体" w:hAnsi="宋体" w:cs="宋体"/>
                <w:i w:val="0"/>
                <w:color w:val="auto"/>
                <w:kern w:val="0"/>
                <w:sz w:val="20"/>
                <w:szCs w:val="20"/>
                <w:highlight w:val="none"/>
                <w:u w:val="none"/>
                <w:lang w:val="en-US" w:eastAsia="zh-CN" w:bidi="ar"/>
              </w:rPr>
              <w:t>最高投标限价为</w:t>
            </w:r>
            <w:r>
              <w:rPr>
                <w:rFonts w:hint="eastAsia" w:ascii="宋体" w:hAnsi="宋体" w:cs="宋体"/>
                <w:i w:val="0"/>
                <w:color w:val="auto"/>
                <w:kern w:val="0"/>
                <w:sz w:val="20"/>
                <w:szCs w:val="20"/>
                <w:highlight w:val="none"/>
                <w:u w:val="none"/>
                <w:lang w:val="en-US" w:eastAsia="zh-CN" w:bidi="ar"/>
              </w:rPr>
              <w:t>5553360.00元，其中勘察费</w:t>
            </w:r>
            <w:r>
              <w:rPr>
                <w:rFonts w:hint="default" w:ascii="宋体" w:hAnsi="宋体" w:cs="宋体"/>
                <w:i w:val="0"/>
                <w:color w:val="auto"/>
                <w:kern w:val="0"/>
                <w:sz w:val="20"/>
                <w:szCs w:val="20"/>
                <w:highlight w:val="none"/>
                <w:u w:val="none"/>
                <w:lang w:val="en-US" w:eastAsia="zh-CN" w:bidi="ar"/>
              </w:rPr>
              <w:t>最高投标限价为</w:t>
            </w:r>
            <w:r>
              <w:rPr>
                <w:rFonts w:hint="eastAsia" w:ascii="宋体" w:hAnsi="宋体" w:cs="宋体"/>
                <w:i w:val="0"/>
                <w:color w:val="auto"/>
                <w:kern w:val="0"/>
                <w:sz w:val="20"/>
                <w:szCs w:val="20"/>
                <w:highlight w:val="none"/>
                <w:u w:val="none"/>
                <w:lang w:val="en-US" w:eastAsia="zh-CN" w:bidi="ar"/>
              </w:rPr>
              <w:t>2282900.00*（1-40%）=1369740.00元、设计费</w:t>
            </w:r>
            <w:r>
              <w:rPr>
                <w:rFonts w:hint="default" w:ascii="宋体" w:hAnsi="宋体" w:cs="宋体"/>
                <w:i w:val="0"/>
                <w:color w:val="auto"/>
                <w:kern w:val="0"/>
                <w:sz w:val="20"/>
                <w:szCs w:val="20"/>
                <w:highlight w:val="none"/>
                <w:u w:val="none"/>
                <w:lang w:val="en-US" w:eastAsia="zh-CN" w:bidi="ar"/>
              </w:rPr>
              <w:t>最高投标限价为</w:t>
            </w:r>
            <w:r>
              <w:rPr>
                <w:rFonts w:hint="eastAsia" w:ascii="宋体" w:hAnsi="宋体" w:cs="宋体"/>
                <w:i w:val="0"/>
                <w:color w:val="auto"/>
                <w:kern w:val="0"/>
                <w:sz w:val="20"/>
                <w:szCs w:val="20"/>
                <w:highlight w:val="none"/>
                <w:u w:val="none"/>
                <w:lang w:val="en-US" w:eastAsia="zh-CN" w:bidi="ar"/>
              </w:rPr>
              <w:t>6972700.00*（1-40%）=4183620.00元。</w:t>
            </w:r>
            <w:permEnd w:id="70"/>
          </w:p>
        </w:tc>
      </w:tr>
      <w:tr w14:paraId="23C86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7D07E762">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3.2.5</w:t>
            </w:r>
          </w:p>
        </w:tc>
        <w:tc>
          <w:tcPr>
            <w:tcW w:w="2181" w:type="dxa"/>
            <w:tcBorders>
              <w:top w:val="single" w:color="auto" w:sz="4" w:space="0"/>
            </w:tcBorders>
            <w:noWrap w:val="0"/>
            <w:vAlign w:val="center"/>
          </w:tcPr>
          <w:p w14:paraId="5CFF751F">
            <w:pPr>
              <w:spacing w:line="360" w:lineRule="auto"/>
              <w:jc w:val="center"/>
              <w:rPr>
                <w:rFonts w:hint="eastAsia"/>
                <w:color w:val="auto"/>
                <w:highlight w:val="none"/>
                <w:lang w:val="en-US" w:eastAsia="zh-CN"/>
              </w:rPr>
            </w:pPr>
            <w:r>
              <w:rPr>
                <w:rFonts w:hint="eastAsia"/>
                <w:color w:val="auto"/>
                <w:highlight w:val="none"/>
                <w:lang w:val="en-US" w:eastAsia="zh-CN"/>
              </w:rPr>
              <w:t>投标报价的其他要求</w:t>
            </w:r>
          </w:p>
        </w:tc>
        <w:tc>
          <w:tcPr>
            <w:tcW w:w="6237" w:type="dxa"/>
            <w:tcBorders>
              <w:top w:val="single" w:color="auto" w:sz="4" w:space="0"/>
            </w:tcBorders>
            <w:noWrap w:val="0"/>
            <w:vAlign w:val="center"/>
          </w:tcPr>
          <w:p w14:paraId="3B64709C">
            <w:pPr>
              <w:spacing w:line="360" w:lineRule="auto"/>
              <w:jc w:val="left"/>
              <w:rPr>
                <w:rFonts w:hint="eastAsia" w:ascii="Times New Roman" w:hAnsi="Times New Roman" w:eastAsia="宋体" w:cs="Times New Roman"/>
                <w:color w:val="auto"/>
                <w:szCs w:val="24"/>
                <w:highlight w:val="none"/>
                <w:lang w:val="en-US" w:eastAsia="zh-CN"/>
              </w:rPr>
            </w:pPr>
            <w:permStart w:id="71" w:edGrp="everyone"/>
            <w:r>
              <w:rPr>
                <w:rFonts w:hint="eastAsia" w:ascii="Times New Roman" w:hAnsi="Times New Roman" w:eastAsia="宋体" w:cs="Times New Roman"/>
                <w:color w:val="auto"/>
                <w:szCs w:val="24"/>
                <w:highlight w:val="none"/>
                <w:u w:val="none"/>
                <w:lang w:val="en-US" w:eastAsia="zh-CN"/>
              </w:rPr>
              <w:t xml:space="preserve"> </w:t>
            </w:r>
            <w:r>
              <w:rPr>
                <w:rFonts w:hint="eastAsia" w:ascii="宋体" w:hAnsi="宋体" w:eastAsia="宋体" w:cs="宋体"/>
                <w:color w:val="auto"/>
                <w:szCs w:val="24"/>
                <w:highlight w:val="none"/>
                <w:u w:val="none"/>
                <w:lang w:val="en-US" w:eastAsia="zh-CN"/>
              </w:rPr>
              <w:t xml:space="preserve">/  </w:t>
            </w:r>
            <w:r>
              <w:rPr>
                <w:rFonts w:hint="eastAsia" w:ascii="Times New Roman" w:hAnsi="Times New Roman" w:eastAsia="宋体" w:cs="Times New Roman"/>
                <w:color w:val="auto"/>
                <w:szCs w:val="24"/>
                <w:highlight w:val="none"/>
                <w:u w:val="none"/>
                <w:lang w:val="en-US" w:eastAsia="zh-CN"/>
              </w:rPr>
              <w:t xml:space="preserve">   </w:t>
            </w:r>
            <w:permEnd w:id="71"/>
          </w:p>
        </w:tc>
      </w:tr>
      <w:tr w14:paraId="1457C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28A5BBA0">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3.2.6</w:t>
            </w:r>
          </w:p>
        </w:tc>
        <w:tc>
          <w:tcPr>
            <w:tcW w:w="2181" w:type="dxa"/>
            <w:tcBorders>
              <w:top w:val="single" w:color="auto" w:sz="4" w:space="0"/>
            </w:tcBorders>
            <w:noWrap w:val="0"/>
            <w:vAlign w:val="center"/>
          </w:tcPr>
          <w:p w14:paraId="12322352">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支付</w:t>
            </w:r>
            <w:r>
              <w:rPr>
                <w:rFonts w:hint="eastAsia" w:ascii="宋体" w:hAnsi="宋体"/>
                <w:color w:val="auto"/>
                <w:szCs w:val="21"/>
                <w:highlight w:val="none"/>
              </w:rPr>
              <w:t>方式</w:t>
            </w:r>
          </w:p>
        </w:tc>
        <w:tc>
          <w:tcPr>
            <w:tcW w:w="6237" w:type="dxa"/>
            <w:tcBorders>
              <w:top w:val="single" w:color="auto" w:sz="4" w:space="0"/>
            </w:tcBorders>
            <w:noWrap w:val="0"/>
            <w:vAlign w:val="center"/>
          </w:tcPr>
          <w:p w14:paraId="6A24324D">
            <w:pPr>
              <w:spacing w:line="360" w:lineRule="auto"/>
              <w:rPr>
                <w:rFonts w:hint="eastAsia" w:ascii="宋体" w:hAnsi="宋体" w:cs="Arial"/>
                <w:color w:val="auto"/>
                <w:szCs w:val="21"/>
                <w:highlight w:val="none"/>
                <w:u w:val="none"/>
              </w:rPr>
            </w:pPr>
            <w:permStart w:id="72" w:edGrp="everyone"/>
            <w:r>
              <w:rPr>
                <w:rFonts w:hint="eastAsia" w:ascii="宋体" w:hAnsi="宋体" w:cs="Arial"/>
                <w:color w:val="auto"/>
                <w:szCs w:val="21"/>
                <w:highlight w:val="none"/>
                <w:u w:val="none"/>
              </w:rPr>
              <w:t xml:space="preserve"> 1.勘察费支付：</w:t>
            </w:r>
          </w:p>
          <w:p w14:paraId="0A0CFEC2">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1）结合工作时限和实际作业进度，服务成果经具有资质的第三方审查（评审）通过或前期监理、建设单位确认后，可以按实际完成工作量支付50%的进度款（当实际完成工作量计算金额大于勘察费中标价时，最多只可按勘察费中标价的50%支付）。</w:t>
            </w:r>
          </w:p>
          <w:p w14:paraId="41CBDCD2">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（2）本项结算审定后一次性支付余款。</w:t>
            </w:r>
          </w:p>
          <w:p w14:paraId="1E6D721B">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2.设计费支付：</w:t>
            </w:r>
          </w:p>
          <w:p w14:paraId="6C9C2073">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（1）完成初步设计并通过审查后，支付设计费用的30%；</w:t>
            </w:r>
          </w:p>
          <w:p w14:paraId="71772187">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（2）完成施工图设计并通过审查后，支付至设计费用的60%；</w:t>
            </w:r>
          </w:p>
          <w:p w14:paraId="30AE4FDE">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（3）预算审核通过后，支付至设计费的</w:t>
            </w:r>
            <w:r>
              <w:rPr>
                <w:rFonts w:hint="eastAsia" w:ascii="宋体" w:hAnsi="宋体" w:cs="Arial"/>
                <w:color w:val="auto"/>
                <w:szCs w:val="21"/>
                <w:highlight w:val="none"/>
                <w:u w:val="none"/>
                <w:lang w:val="en-US" w:eastAsia="zh-CN"/>
              </w:rPr>
              <w:t>8</w:t>
            </w:r>
            <w:r>
              <w:rPr>
                <w:rFonts w:hint="eastAsia" w:ascii="宋体" w:hAnsi="宋体" w:cs="Arial"/>
                <w:color w:val="auto"/>
                <w:szCs w:val="21"/>
                <w:highlight w:val="none"/>
                <w:u w:val="none"/>
              </w:rPr>
              <w:t>0%；</w:t>
            </w:r>
          </w:p>
          <w:p w14:paraId="454B54F5">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（4）工程竣工（交工）验收后，支付至设计费用的90%；</w:t>
            </w:r>
          </w:p>
          <w:p w14:paraId="46511FC5">
            <w:pPr>
              <w:spacing w:line="360" w:lineRule="auto"/>
              <w:rPr>
                <w:rFonts w:hint="eastAsia" w:ascii="宋体" w:hAnsi="宋体" w:cs="Arial"/>
                <w:color w:val="auto"/>
                <w:szCs w:val="21"/>
                <w:highlight w:val="none"/>
                <w:u w:val="none"/>
              </w:rPr>
            </w:pPr>
            <w:r>
              <w:rPr>
                <w:rFonts w:hint="eastAsia" w:ascii="宋体" w:hAnsi="宋体" w:cs="Arial"/>
                <w:color w:val="auto"/>
                <w:szCs w:val="21"/>
                <w:highlight w:val="none"/>
                <w:u w:val="none"/>
              </w:rPr>
              <w:t>（5）主体工程施工结算后，如未出现因设计原因导致超概算投资的，支付余款；如出现因设计原因导致超概算投资的，按本招标文件的违约条款执行。</w:t>
            </w:r>
          </w:p>
          <w:p w14:paraId="65961577">
            <w:pPr>
              <w:spacing w:line="360" w:lineRule="auto"/>
              <w:rPr>
                <w:rFonts w:hint="eastAsia" w:ascii="宋体" w:hAnsi="宋体"/>
                <w:color w:val="auto"/>
                <w:highlight w:val="none"/>
                <w:u w:val="single"/>
              </w:rPr>
            </w:pPr>
            <w:r>
              <w:rPr>
                <w:rFonts w:hint="eastAsia" w:ascii="宋体" w:hAnsi="宋体" w:cs="Arial"/>
                <w:color w:val="auto"/>
                <w:szCs w:val="21"/>
                <w:highlight w:val="none"/>
                <w:u w:val="none"/>
              </w:rPr>
              <w:t>注：中标人每次收取设计费用时，须向招标人出具相关税务机构的税务发票。</w:t>
            </w:r>
            <w:permEnd w:id="72"/>
          </w:p>
        </w:tc>
      </w:tr>
      <w:tr w14:paraId="2601E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80" w:type="dxa"/>
            <w:tcBorders>
              <w:top w:val="single" w:color="auto" w:sz="4" w:space="0"/>
            </w:tcBorders>
            <w:noWrap w:val="0"/>
            <w:vAlign w:val="center"/>
          </w:tcPr>
          <w:p w14:paraId="7A80BCE5">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3.2.7</w:t>
            </w:r>
          </w:p>
        </w:tc>
        <w:tc>
          <w:tcPr>
            <w:tcW w:w="2181" w:type="dxa"/>
            <w:tcBorders>
              <w:top w:val="single" w:color="auto" w:sz="4" w:space="0"/>
            </w:tcBorders>
            <w:noWrap w:val="0"/>
            <w:vAlign w:val="center"/>
          </w:tcPr>
          <w:p w14:paraId="02A97D34">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结算</w:t>
            </w:r>
            <w:r>
              <w:rPr>
                <w:rFonts w:hint="eastAsia" w:ascii="宋体" w:hAnsi="宋体"/>
                <w:color w:val="auto"/>
                <w:szCs w:val="21"/>
                <w:highlight w:val="none"/>
              </w:rPr>
              <w:t>方式</w:t>
            </w:r>
          </w:p>
        </w:tc>
        <w:tc>
          <w:tcPr>
            <w:tcW w:w="6237" w:type="dxa"/>
            <w:tcBorders>
              <w:top w:val="single" w:color="auto" w:sz="4" w:space="0"/>
            </w:tcBorders>
            <w:noWrap w:val="0"/>
            <w:vAlign w:val="center"/>
          </w:tcPr>
          <w:p w14:paraId="665E93C0">
            <w:pPr>
              <w:pStyle w:val="2"/>
              <w:adjustRightInd w:val="0"/>
              <w:snapToGrid w:val="0"/>
              <w:spacing w:line="360" w:lineRule="auto"/>
              <w:ind w:left="0" w:leftChars="0" w:firstLine="0" w:firstLineChars="0"/>
              <w:jc w:val="left"/>
              <w:rPr>
                <w:rFonts w:hint="eastAsia" w:ascii="宋体" w:hAnsi="宋体" w:eastAsia="宋体" w:cs="宋体"/>
                <w:b w:val="0"/>
                <w:bCs w:val="0"/>
                <w:color w:val="000000"/>
                <w:kern w:val="2"/>
                <w:sz w:val="21"/>
                <w:szCs w:val="21"/>
                <w:highlight w:val="none"/>
                <w:lang w:val="en-US" w:eastAsia="zh-CN" w:bidi="ar-SA"/>
              </w:rPr>
            </w:pPr>
            <w:permStart w:id="73" w:edGrp="everyone"/>
            <w:bookmarkStart w:id="34" w:name="OLE_LINK2"/>
            <w:r>
              <w:rPr>
                <w:rFonts w:hint="eastAsia" w:ascii="宋体" w:hAnsi="宋体" w:cs="Arial"/>
                <w:color w:val="auto"/>
                <w:szCs w:val="21"/>
                <w:highlight w:val="none"/>
                <w:u w:val="none"/>
                <w:lang w:val="en-US" w:eastAsia="zh-CN"/>
              </w:rPr>
              <w:t>（1）勘察费：</w:t>
            </w:r>
            <w:r>
              <w:rPr>
                <w:rFonts w:hint="eastAsia" w:ascii="宋体" w:hAnsi="宋体" w:cs="Arial"/>
                <w:strike w:val="0"/>
                <w:dstrike w:val="0"/>
                <w:color w:val="auto"/>
                <w:szCs w:val="21"/>
                <w:highlight w:val="none"/>
                <w:u w:val="none"/>
                <w:lang w:val="en-US" w:eastAsia="zh-CN"/>
              </w:rPr>
              <w:t>提交测量勘察成果报告并经招标人确认后，根据国家发展计划委员会、建设部颁发的《工程勘察设计收费标准》2002年修订本相关内容计算出工程勘察费后，再×（1-中标下浮率）</w:t>
            </w:r>
            <w:r>
              <w:rPr>
                <w:rFonts w:hint="eastAsia" w:ascii="宋体" w:hAnsi="宋体" w:cs="Arial"/>
                <w:color w:val="auto"/>
                <w:szCs w:val="21"/>
                <w:highlight w:val="none"/>
                <w:u w:val="none"/>
                <w:lang w:val="en-US" w:eastAsia="zh-CN"/>
              </w:rPr>
              <w:t>结算。当结算价大于勘察费中标价时，以勘察费中标价作为结算价。</w:t>
            </w:r>
            <w:r>
              <w:rPr>
                <w:rFonts w:hint="eastAsia" w:ascii="宋体" w:hAnsi="宋体" w:cs="宋体"/>
                <w:color w:val="000000"/>
                <w:highlight w:val="none"/>
              </w:rPr>
              <w:t>注：勘察费中标下浮率</w:t>
            </w:r>
            <w:r>
              <w:rPr>
                <w:rFonts w:ascii="宋体" w:hAnsi="宋体" w:cs="宋体"/>
                <w:color w:val="000000"/>
                <w:highlight w:val="none"/>
              </w:rPr>
              <w:t>=（1-</w:t>
            </w:r>
            <w:r>
              <w:rPr>
                <w:rFonts w:hint="eastAsia" w:ascii="宋体" w:hAnsi="宋体" w:cs="宋体"/>
                <w:color w:val="000000"/>
                <w:highlight w:val="none"/>
              </w:rPr>
              <w:t>勘察费中标价</w:t>
            </w:r>
            <w:r>
              <w:rPr>
                <w:rFonts w:ascii="宋体" w:hAnsi="宋体" w:cs="宋体"/>
                <w:color w:val="000000"/>
                <w:highlight w:val="none"/>
              </w:rPr>
              <w:t>/</w:t>
            </w:r>
            <w:r>
              <w:rPr>
                <w:rFonts w:hint="eastAsia" w:ascii="宋体" w:hAnsi="宋体" w:cs="宋体"/>
                <w:color w:val="000000"/>
                <w:kern w:val="0"/>
                <w:sz w:val="21"/>
                <w:szCs w:val="21"/>
                <w:lang w:bidi="ar"/>
              </w:rPr>
              <w:t>勘察费</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含测量</w:t>
            </w:r>
            <w:r>
              <w:rPr>
                <w:rFonts w:hint="eastAsia" w:ascii="宋体" w:hAnsi="宋体" w:cs="宋体"/>
                <w:color w:val="000000"/>
                <w:kern w:val="0"/>
                <w:sz w:val="21"/>
                <w:szCs w:val="21"/>
                <w:lang w:eastAsia="zh-CN" w:bidi="ar"/>
              </w:rPr>
              <w:t>）</w:t>
            </w:r>
            <w:r>
              <w:rPr>
                <w:rFonts w:hint="eastAsia" w:ascii="宋体" w:hAnsi="宋体" w:cs="宋体"/>
                <w:color w:val="000000"/>
                <w:kern w:val="0"/>
                <w:sz w:val="19"/>
                <w:szCs w:val="19"/>
                <w:lang w:val="en-US" w:eastAsia="zh-CN" w:bidi="ar"/>
              </w:rPr>
              <w:t>2282900.00</w:t>
            </w:r>
            <w:r>
              <w:rPr>
                <w:rFonts w:hint="eastAsia" w:ascii="宋体" w:hAnsi="宋体" w:cs="宋体"/>
                <w:color w:val="000000"/>
                <w:kern w:val="0"/>
                <w:sz w:val="21"/>
                <w:szCs w:val="21"/>
                <w:lang w:bidi="ar"/>
              </w:rPr>
              <w:t>元</w:t>
            </w:r>
            <w:r>
              <w:rPr>
                <w:rFonts w:hint="eastAsia" w:ascii="宋体" w:hAnsi="宋体" w:cs="宋体"/>
                <w:color w:val="000000"/>
                <w:highlight w:val="none"/>
              </w:rPr>
              <w:t>）×</w:t>
            </w:r>
            <w:r>
              <w:rPr>
                <w:rFonts w:ascii="宋体" w:hAnsi="宋体" w:cs="宋体"/>
                <w:color w:val="000000"/>
                <w:highlight w:val="none"/>
              </w:rPr>
              <w:t>100%</w:t>
            </w:r>
            <w:r>
              <w:rPr>
                <w:rFonts w:hint="eastAsia" w:ascii="宋体" w:hAnsi="宋体" w:cs="宋体"/>
                <w:color w:val="000000"/>
                <w:highlight w:val="none"/>
                <w:lang w:eastAsia="zh-CN"/>
              </w:rPr>
              <w:t>。</w:t>
            </w:r>
          </w:p>
          <w:p w14:paraId="286AD596">
            <w:pPr>
              <w:pStyle w:val="2"/>
              <w:adjustRightInd w:val="0"/>
              <w:snapToGrid w:val="0"/>
              <w:spacing w:line="360" w:lineRule="auto"/>
              <w:ind w:left="0" w:leftChars="0" w:firstLine="0" w:firstLineChars="0"/>
              <w:jc w:val="left"/>
              <w:rPr>
                <w:rFonts w:hint="eastAsia" w:ascii="宋体" w:hAnsi="宋体" w:cs="Arial"/>
                <w:color w:val="auto"/>
                <w:szCs w:val="21"/>
                <w:highlight w:val="none"/>
                <w:u w:val="none"/>
                <w:lang w:val="en-US" w:eastAsia="zh-CN"/>
              </w:rPr>
            </w:pPr>
            <w:r>
              <w:rPr>
                <w:rFonts w:hint="eastAsia" w:ascii="宋体" w:hAnsi="宋体" w:cs="Arial"/>
                <w:color w:val="auto"/>
                <w:szCs w:val="21"/>
                <w:highlight w:val="none"/>
                <w:u w:val="none"/>
                <w:lang w:val="en-US" w:eastAsia="zh-CN"/>
              </w:rPr>
              <w:t>（2）设计费：以经审定的概算中建筑安装工程费为计费基准，根据国家发展计划委员会、建设部颁发的《工程勘察设计收费标准》2002年修订本相关内容计算出工程设计费后，再×（1－设计费中标下浮率）结算，其中专业调整系数为城市道路工程0.9，复杂系数1，附加调整系数1。当结算价大于设计费中标价时，以设计费中标价为工程设计费结算价。</w:t>
            </w:r>
          </w:p>
          <w:p w14:paraId="4CFE34BE">
            <w:pPr>
              <w:pStyle w:val="2"/>
              <w:adjustRightInd w:val="0"/>
              <w:snapToGrid w:val="0"/>
              <w:spacing w:line="360" w:lineRule="auto"/>
              <w:ind w:left="0" w:leftChars="0" w:firstLine="0" w:firstLineChars="0"/>
              <w:jc w:val="left"/>
              <w:rPr>
                <w:rFonts w:hint="eastAsia" w:ascii="宋体" w:hAnsi="宋体" w:cs="Arial"/>
                <w:color w:val="auto"/>
                <w:szCs w:val="21"/>
                <w:highlight w:val="none"/>
                <w:u w:val="none"/>
                <w:lang w:val="en-US" w:eastAsia="zh-CN"/>
              </w:rPr>
            </w:pPr>
            <w:r>
              <w:rPr>
                <w:rFonts w:hint="eastAsia" w:ascii="宋体" w:hAnsi="宋体" w:cs="Arial"/>
                <w:color w:val="auto"/>
                <w:szCs w:val="21"/>
                <w:highlight w:val="none"/>
                <w:u w:val="none"/>
                <w:lang w:val="en-US" w:eastAsia="zh-CN"/>
              </w:rPr>
              <w:t>注：设计费中标下浮率=（1-设计费中标价/设计费6972700.00元）×100%。</w:t>
            </w:r>
          </w:p>
          <w:p w14:paraId="5DDC51AE">
            <w:pPr>
              <w:pStyle w:val="6"/>
              <w:rPr>
                <w:rFonts w:hint="eastAsia"/>
                <w:lang w:eastAsia="zh-CN"/>
              </w:rPr>
            </w:pPr>
            <w:r>
              <w:rPr>
                <w:rFonts w:hint="eastAsia" w:ascii="宋体" w:hAnsi="宋体" w:cs="Arial"/>
                <w:color w:val="auto"/>
                <w:szCs w:val="21"/>
                <w:highlight w:val="none"/>
                <w:u w:val="none"/>
                <w:lang w:val="en-US" w:eastAsia="zh-CN"/>
              </w:rPr>
              <w:t>上述中标下浮率按四舍五入原则保留小数点后2位。</w:t>
            </w:r>
          </w:p>
          <w:p w14:paraId="5357A43B">
            <w:pPr>
              <w:adjustRightInd w:val="0"/>
              <w:snapToGrid w:val="0"/>
              <w:spacing w:line="360" w:lineRule="auto"/>
              <w:rPr>
                <w:rFonts w:hint="eastAsia"/>
                <w:b/>
                <w:bCs/>
                <w:color w:val="auto"/>
                <w:highlight w:val="none"/>
              </w:rPr>
            </w:pPr>
            <w:r>
              <w:rPr>
                <w:rFonts w:hint="eastAsia"/>
                <w:b/>
                <w:bCs/>
                <w:color w:val="auto"/>
                <w:highlight w:val="none"/>
              </w:rPr>
              <w:t>注：1</w:t>
            </w:r>
            <w:r>
              <w:rPr>
                <w:rFonts w:hint="eastAsia"/>
                <w:b/>
                <w:bCs/>
                <w:color w:val="auto"/>
                <w:highlight w:val="none"/>
                <w:lang w:val="en-US" w:eastAsia="zh-CN"/>
              </w:rPr>
              <w:t>.</w:t>
            </w:r>
            <w:r>
              <w:rPr>
                <w:rFonts w:hint="eastAsia"/>
                <w:b/>
                <w:bCs/>
                <w:color w:val="auto"/>
                <w:highlight w:val="none"/>
              </w:rPr>
              <w:t>由于本项目使用财政资金，财政部门支付审批所需时间不计入付款期限。</w:t>
            </w:r>
          </w:p>
          <w:p w14:paraId="4B60CC4E">
            <w:pPr>
              <w:spacing w:line="360" w:lineRule="auto"/>
              <w:jc w:val="left"/>
              <w:rPr>
                <w:rFonts w:hint="eastAsia" w:ascii="宋体" w:hAnsi="宋体" w:cs="Arial"/>
                <w:color w:val="auto"/>
                <w:szCs w:val="21"/>
                <w:highlight w:val="none"/>
                <w:u w:val="single"/>
              </w:rPr>
            </w:pPr>
            <w:r>
              <w:rPr>
                <w:rFonts w:hint="eastAsia"/>
                <w:b/>
                <w:bCs/>
                <w:color w:val="auto"/>
                <w:highlight w:val="none"/>
                <w:lang w:val="en-US" w:eastAsia="zh-CN"/>
              </w:rPr>
              <w:t>2.</w:t>
            </w:r>
            <w:r>
              <w:rPr>
                <w:rFonts w:hint="eastAsia"/>
                <w:b/>
                <w:bCs/>
                <w:color w:val="auto"/>
                <w:highlight w:val="none"/>
              </w:rPr>
              <w:t>由于本项目使用财政资金，应接受财政审计监督，本项目勘察费、设计费结算价款最终以财政评审部门审定的结算价为准进行结算</w:t>
            </w:r>
            <w:r>
              <w:rPr>
                <w:rFonts w:hint="eastAsia" w:ascii="宋体" w:hAnsi="宋体"/>
                <w:color w:val="auto"/>
                <w:szCs w:val="21"/>
                <w:highlight w:val="none"/>
                <w:lang w:val="en-US" w:eastAsia="zh-CN"/>
              </w:rPr>
              <w:t>。</w:t>
            </w:r>
            <w:bookmarkEnd w:id="34"/>
            <w:permEnd w:id="73"/>
          </w:p>
        </w:tc>
      </w:tr>
      <w:tr w14:paraId="20820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080" w:type="dxa"/>
            <w:tcBorders>
              <w:top w:val="single" w:color="auto" w:sz="4" w:space="0"/>
            </w:tcBorders>
            <w:noWrap w:val="0"/>
            <w:vAlign w:val="center"/>
          </w:tcPr>
          <w:p w14:paraId="31F544D3">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3</w:t>
            </w:r>
          </w:p>
        </w:tc>
        <w:tc>
          <w:tcPr>
            <w:tcW w:w="2181" w:type="dxa"/>
            <w:tcBorders>
              <w:top w:val="single" w:color="auto" w:sz="4" w:space="0"/>
            </w:tcBorders>
            <w:noWrap w:val="0"/>
            <w:vAlign w:val="center"/>
          </w:tcPr>
          <w:p w14:paraId="656A7A2E">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投标有效期</w:t>
            </w:r>
          </w:p>
        </w:tc>
        <w:tc>
          <w:tcPr>
            <w:tcW w:w="6237" w:type="dxa"/>
            <w:tcBorders>
              <w:top w:val="single" w:color="auto" w:sz="4" w:space="0"/>
            </w:tcBorders>
            <w:noWrap w:val="0"/>
            <w:vAlign w:val="center"/>
          </w:tcPr>
          <w:p w14:paraId="22C6C3B8">
            <w:pPr>
              <w:spacing w:line="360" w:lineRule="auto"/>
              <w:rPr>
                <w:rFonts w:hint="eastAsia" w:ascii="宋体" w:hAnsi="宋体"/>
                <w:color w:val="auto"/>
                <w:highlight w:val="none"/>
                <w:u w:val="single"/>
              </w:rPr>
            </w:pPr>
            <w:permStart w:id="74" w:edGrp="everyone"/>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180</w:t>
            </w:r>
            <w:r>
              <w:rPr>
                <w:rFonts w:hint="eastAsia" w:ascii="宋体" w:hAnsi="宋体"/>
                <w:color w:val="auto"/>
                <w:highlight w:val="none"/>
                <w:u w:val="single"/>
              </w:rPr>
              <w:t xml:space="preserve"> </w:t>
            </w:r>
            <w:permEnd w:id="74"/>
            <w:r>
              <w:rPr>
                <w:rFonts w:hint="eastAsia" w:ascii="宋体" w:hAnsi="宋体"/>
                <w:color w:val="auto"/>
                <w:highlight w:val="none"/>
              </w:rPr>
              <w:t>日历天</w:t>
            </w:r>
            <w:r>
              <w:rPr>
                <w:rFonts w:hint="eastAsia" w:ascii="宋体" w:hAnsi="宋体"/>
                <w:color w:val="auto"/>
                <w:szCs w:val="21"/>
                <w:highlight w:val="none"/>
              </w:rPr>
              <w:t>（</w:t>
            </w:r>
            <w:r>
              <w:rPr>
                <w:rFonts w:hint="eastAsia" w:ascii="宋体" w:hAnsi="宋体" w:cs="宋体"/>
                <w:color w:val="auto"/>
                <w:kern w:val="0"/>
                <w:sz w:val="21"/>
                <w:szCs w:val="21"/>
                <w:highlight w:val="none"/>
              </w:rPr>
              <w:t>从提交投标文件截止之日起</w:t>
            </w:r>
            <w:r>
              <w:rPr>
                <w:rFonts w:hint="eastAsia" w:ascii="宋体" w:hAnsi="宋体"/>
                <w:color w:val="auto"/>
                <w:szCs w:val="21"/>
                <w:highlight w:val="none"/>
              </w:rPr>
              <w:t>）</w:t>
            </w:r>
          </w:p>
        </w:tc>
      </w:tr>
      <w:tr w14:paraId="3D158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080" w:type="dxa"/>
            <w:noWrap w:val="0"/>
            <w:vAlign w:val="center"/>
          </w:tcPr>
          <w:p w14:paraId="0A83D52D">
            <w:pPr>
              <w:spacing w:line="360" w:lineRule="auto"/>
              <w:jc w:val="center"/>
              <w:rPr>
                <w:rFonts w:hint="default" w:ascii="宋体" w:eastAsia="宋体"/>
                <w:color w:val="auto"/>
                <w:szCs w:val="21"/>
                <w:highlight w:val="none"/>
                <w:lang w:val="en-US"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4.1</w:t>
            </w:r>
          </w:p>
        </w:tc>
        <w:tc>
          <w:tcPr>
            <w:tcW w:w="2181" w:type="dxa"/>
            <w:noWrap w:val="0"/>
            <w:vAlign w:val="center"/>
          </w:tcPr>
          <w:p w14:paraId="683AA57C">
            <w:pPr>
              <w:spacing w:line="360" w:lineRule="auto"/>
              <w:jc w:val="center"/>
              <w:rPr>
                <w:rFonts w:ascii="宋体"/>
                <w:color w:val="auto"/>
                <w:szCs w:val="21"/>
                <w:highlight w:val="none"/>
              </w:rPr>
            </w:pPr>
            <w:r>
              <w:rPr>
                <w:rFonts w:hint="eastAsia" w:ascii="宋体" w:hAnsi="宋体"/>
                <w:color w:val="auto"/>
                <w:szCs w:val="21"/>
                <w:highlight w:val="none"/>
              </w:rPr>
              <w:t>投标保证金</w:t>
            </w:r>
          </w:p>
        </w:tc>
        <w:tc>
          <w:tcPr>
            <w:tcW w:w="6237" w:type="dxa"/>
            <w:noWrap w:val="0"/>
            <w:vAlign w:val="center"/>
          </w:tcPr>
          <w:p w14:paraId="4946BAB6">
            <w:pPr>
              <w:spacing w:line="360" w:lineRule="auto"/>
              <w:rPr>
                <w:rFonts w:hint="eastAsia" w:ascii="宋体" w:hAnsi="宋体" w:eastAsia="宋体"/>
                <w:b/>
                <w:bCs/>
                <w:color w:val="auto"/>
                <w:highlight w:val="none"/>
                <w:u w:val="single"/>
                <w:lang w:val="en-US" w:eastAsia="zh-CN"/>
              </w:rPr>
            </w:pPr>
            <w:r>
              <w:rPr>
                <w:rFonts w:hint="eastAsia" w:ascii="宋体" w:hAnsi="宋体"/>
                <w:bCs/>
                <w:color w:val="auto"/>
                <w:highlight w:val="none"/>
              </w:rPr>
              <w:t>金额：</w:t>
            </w:r>
            <w:permStart w:id="75" w:edGrp="everyone"/>
            <w:r>
              <w:rPr>
                <w:rFonts w:hint="eastAsia" w:ascii="宋体" w:hAnsi="宋体"/>
                <w:b/>
                <w:bCs/>
                <w:color w:val="auto"/>
                <w:highlight w:val="none"/>
                <w:u w:val="single"/>
              </w:rPr>
              <w:t xml:space="preserve">  </w:t>
            </w:r>
            <w:r>
              <w:rPr>
                <w:rFonts w:hint="eastAsia" w:ascii="宋体" w:hAnsi="宋体"/>
                <w:b/>
                <w:bCs/>
                <w:color w:val="auto"/>
                <w:highlight w:val="none"/>
                <w:u w:val="single"/>
                <w:lang w:val="en-US" w:eastAsia="zh-CN"/>
              </w:rPr>
              <w:t>10万元</w:t>
            </w:r>
            <w:r>
              <w:rPr>
                <w:rFonts w:hint="eastAsia" w:ascii="宋体" w:hAnsi="宋体"/>
                <w:b/>
                <w:bCs/>
                <w:color w:val="auto"/>
                <w:highlight w:val="none"/>
                <w:u w:val="single"/>
              </w:rPr>
              <w:t xml:space="preserve"> </w:t>
            </w:r>
            <w:r>
              <w:rPr>
                <w:rFonts w:hint="eastAsia" w:ascii="宋体" w:hAnsi="宋体"/>
                <w:b/>
                <w:bCs/>
                <w:color w:val="auto"/>
                <w:highlight w:val="none"/>
                <w:u w:val="single"/>
                <w:lang w:val="en-US" w:eastAsia="zh-CN"/>
              </w:rPr>
              <w:t xml:space="preserve"> </w:t>
            </w:r>
            <w:permEnd w:id="75"/>
            <w:r>
              <w:rPr>
                <w:rFonts w:hint="eastAsia" w:ascii="宋体" w:hAnsi="宋体"/>
                <w:color w:val="auto"/>
                <w:szCs w:val="21"/>
                <w:highlight w:val="none"/>
              </w:rPr>
              <w:t>【</w:t>
            </w:r>
            <w:r>
              <w:rPr>
                <w:rFonts w:hint="eastAsia" w:ascii="宋体" w:hAnsi="宋体"/>
                <w:color w:val="auto"/>
                <w:szCs w:val="21"/>
                <w:highlight w:val="none"/>
                <w:lang w:eastAsia="zh-CN"/>
              </w:rPr>
              <w:t>不超过</w:t>
            </w:r>
            <w:r>
              <w:rPr>
                <w:rFonts w:hint="eastAsia" w:ascii="宋体" w:hAnsi="宋体"/>
                <w:color w:val="auto"/>
                <w:szCs w:val="21"/>
                <w:highlight w:val="none"/>
              </w:rPr>
              <w:t>勘察设计费的2%，最高不超过10万元。】</w:t>
            </w:r>
          </w:p>
          <w:p w14:paraId="74897D5E">
            <w:pPr>
              <w:widowControl/>
              <w:tabs>
                <w:tab w:val="left" w:pos="12596"/>
              </w:tabs>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本项目适用：</w:t>
            </w:r>
          </w:p>
          <w:p w14:paraId="56D4B41E">
            <w:pPr>
              <w:widowControl/>
              <w:tabs>
                <w:tab w:val="left" w:pos="12596"/>
              </w:tabs>
              <w:spacing w:line="360" w:lineRule="auto"/>
              <w:ind w:firstLine="420" w:firstLineChars="200"/>
              <w:jc w:val="left"/>
              <w:rPr>
                <w:rFonts w:hint="eastAsia" w:ascii="宋体" w:hAnsi="宋体" w:cs="宋体"/>
                <w:color w:val="auto"/>
                <w:kern w:val="0"/>
                <w:szCs w:val="21"/>
                <w:highlight w:val="none"/>
              </w:rPr>
            </w:pPr>
            <w:permStart w:id="76" w:edGrp="everyone"/>
            <w:r>
              <w:rPr>
                <w:rFonts w:hint="eastAsia" w:ascii="宋体" w:hAnsi="宋体" w:cs="宋体"/>
                <w:color w:val="auto"/>
                <w:kern w:val="0"/>
                <w:szCs w:val="21"/>
                <w:highlight w:val="none"/>
              </w:rPr>
              <w:t>□</w:t>
            </w:r>
            <w:permEnd w:id="76"/>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免收投标保证金，提交《投标保证金承诺书》。（免收投标保证金的，投标人需在资格标函中提交《投标保证金承诺书》，《投标保证金承诺书》的内容、格式由招标人拟定。）</w:t>
            </w:r>
          </w:p>
          <w:p w14:paraId="1B310BCB">
            <w:pPr>
              <w:widowControl/>
              <w:tabs>
                <w:tab w:val="left" w:pos="12596"/>
              </w:tabs>
              <w:ind w:firstLine="420" w:firstLineChars="200"/>
              <w:jc w:val="left"/>
              <w:rPr>
                <w:rFonts w:hint="eastAsia"/>
              </w:rPr>
            </w:pPr>
            <w:permStart w:id="77" w:edGrp="everyone"/>
            <w:r>
              <w:rPr>
                <w:rFonts w:hint="eastAsia" w:ascii="宋体" w:hAnsi="宋体" w:cs="宋体"/>
                <w:color w:val="auto"/>
                <w:kern w:val="0"/>
                <w:szCs w:val="21"/>
                <w:highlight w:val="none"/>
              </w:rPr>
              <w:t>□</w:t>
            </w:r>
            <w:permEnd w:id="77"/>
            <w:r>
              <w:rPr>
                <w:rFonts w:hint="eastAsia" w:ascii="宋体" w:hAnsi="宋体" w:cs="宋体"/>
                <w:color w:val="auto"/>
                <w:kern w:val="0"/>
                <w:szCs w:val="21"/>
                <w:highlight w:val="none"/>
              </w:rPr>
              <w:t xml:space="preserve"> 部分免收投标保证金，适用范围：</w:t>
            </w:r>
            <w:permStart w:id="78" w:edGrp="everyone"/>
            <w:r>
              <w:rPr>
                <w:rFonts w:hint="eastAsia" w:ascii="宋体" w:hAnsi="宋体" w:cs="宋体"/>
                <w:color w:val="auto"/>
                <w:kern w:val="0"/>
                <w:szCs w:val="21"/>
                <w:highlight w:val="none"/>
                <w:u w:val="single"/>
              </w:rPr>
              <w:t xml:space="preserve">         </w:t>
            </w:r>
            <w:permEnd w:id="78"/>
            <w:r>
              <w:rPr>
                <w:rFonts w:hint="eastAsia" w:ascii="宋体" w:hAnsi="宋体" w:cs="宋体"/>
                <w:color w:val="auto"/>
                <w:kern w:val="0"/>
                <w:szCs w:val="21"/>
                <w:highlight w:val="none"/>
              </w:rPr>
              <w:t>。（符合免交投标保证金条件的投标人需在资格标函中提交《投标保证金承诺书》，同时，需在投标保证金截止时间之前在工程建设交易系统上传《投标保证金承诺书》。《投标保证金承诺书》的内容、格式由招标人拟定。）</w:t>
            </w:r>
          </w:p>
          <w:p w14:paraId="1818295C">
            <w:pPr>
              <w:widowControl/>
              <w:tabs>
                <w:tab w:val="left" w:pos="12596"/>
              </w:tabs>
              <w:spacing w:line="360" w:lineRule="auto"/>
              <w:ind w:firstLine="420" w:firstLineChars="200"/>
              <w:jc w:val="left"/>
              <w:rPr>
                <w:rFonts w:ascii="宋体" w:hAnsi="宋体"/>
                <w:color w:val="auto"/>
                <w:kern w:val="0"/>
                <w:szCs w:val="21"/>
                <w:highlight w:val="none"/>
              </w:rPr>
            </w:pPr>
            <w:permStart w:id="79" w:edGrp="everyone"/>
            <w:r>
              <w:rPr>
                <w:rFonts w:hint="eastAsia" w:ascii="宋体" w:hAnsi="宋体" w:cs="宋体"/>
                <w:color w:val="auto"/>
                <w:kern w:val="0"/>
                <w:szCs w:val="21"/>
                <w:highlight w:val="none"/>
                <w:lang w:eastAsia="zh-CN"/>
              </w:rPr>
              <w:t>☑</w:t>
            </w:r>
            <w:permEnd w:id="79"/>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收取投标保证金。投标保证金的形式：电子保函 或 银行转账。</w:t>
            </w:r>
          </w:p>
          <w:p w14:paraId="074A4BF4">
            <w:pPr>
              <w:widowControl/>
              <w:tabs>
                <w:tab w:val="left" w:pos="12596"/>
              </w:tabs>
              <w:spacing w:line="360" w:lineRule="auto"/>
              <w:ind w:firstLine="420" w:firstLineChars="200"/>
              <w:jc w:val="left"/>
              <w:rPr>
                <w:rFonts w:hint="eastAsia" w:ascii="宋体" w:cs="宋体"/>
                <w:color w:val="auto"/>
                <w:kern w:val="0"/>
                <w:szCs w:val="21"/>
                <w:highlight w:val="none"/>
              </w:rPr>
            </w:pPr>
            <w:r>
              <w:rPr>
                <w:rFonts w:hint="eastAsia" w:ascii="宋体" w:hAnsi="宋体"/>
                <w:color w:val="auto"/>
                <w:szCs w:val="21"/>
                <w:highlight w:val="none"/>
              </w:rPr>
              <w:t>提交截止时间：</w:t>
            </w:r>
            <w:r>
              <w:rPr>
                <w:rFonts w:hint="eastAsia" w:ascii="宋体" w:cs="宋体"/>
                <w:color w:val="auto"/>
                <w:kern w:val="0"/>
                <w:szCs w:val="21"/>
                <w:highlight w:val="none"/>
              </w:rPr>
              <w:t>具体时间以</w:t>
            </w:r>
            <w:r>
              <w:rPr>
                <w:rFonts w:hint="eastAsia" w:ascii="宋体" w:cs="宋体"/>
                <w:color w:val="auto"/>
                <w:kern w:val="0"/>
                <w:szCs w:val="21"/>
                <w:highlight w:val="none"/>
                <w:lang w:eastAsia="zh-CN"/>
              </w:rPr>
              <w:t>工程建设交易系统</w:t>
            </w:r>
            <w:r>
              <w:rPr>
                <w:rFonts w:hint="eastAsia" w:ascii="宋体" w:cs="宋体"/>
                <w:color w:val="auto"/>
                <w:kern w:val="0"/>
                <w:szCs w:val="21"/>
                <w:highlight w:val="none"/>
              </w:rPr>
              <w:t>上的</w:t>
            </w:r>
            <w:r>
              <w:rPr>
                <w:rFonts w:hint="eastAsia" w:ascii="宋体" w:cs="宋体"/>
                <w:color w:val="auto"/>
                <w:kern w:val="0"/>
                <w:szCs w:val="21"/>
                <w:highlight w:val="none"/>
                <w:lang w:eastAsia="zh-CN"/>
              </w:rPr>
              <w:t>日程</w:t>
            </w:r>
            <w:r>
              <w:rPr>
                <w:rFonts w:hint="eastAsia" w:ascii="宋体" w:cs="宋体"/>
                <w:color w:val="auto"/>
                <w:kern w:val="0"/>
                <w:szCs w:val="21"/>
                <w:highlight w:val="none"/>
              </w:rPr>
              <w:t>安排为准。</w:t>
            </w:r>
          </w:p>
          <w:p w14:paraId="6E7A6935">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bCs/>
                <w:color w:val="auto"/>
                <w:szCs w:val="21"/>
                <w:highlight w:val="none"/>
              </w:rPr>
              <w:t>应在</w:t>
            </w:r>
            <w:r>
              <w:rPr>
                <w:rFonts w:hint="eastAsia" w:ascii="宋体" w:hAnsi="宋体"/>
                <w:color w:val="auto"/>
                <w:szCs w:val="21"/>
                <w:highlight w:val="none"/>
              </w:rPr>
              <w:t>招标文件发售期间</w:t>
            </w:r>
            <w:r>
              <w:rPr>
                <w:rFonts w:hint="eastAsia" w:ascii="宋体" w:hAnsi="宋体"/>
                <w:bCs/>
                <w:color w:val="auto"/>
                <w:szCs w:val="21"/>
                <w:highlight w:val="none"/>
              </w:rPr>
              <w:t>通过</w:t>
            </w:r>
            <w:r>
              <w:rPr>
                <w:rFonts w:hint="eastAsia" w:ascii="宋体" w:hAnsi="宋体"/>
                <w:bCs/>
                <w:color w:val="auto"/>
                <w:szCs w:val="21"/>
                <w:highlight w:val="none"/>
                <w:lang w:eastAsia="zh-CN"/>
              </w:rPr>
              <w:t>工程建设交易系统</w:t>
            </w:r>
            <w:r>
              <w:rPr>
                <w:rFonts w:hint="eastAsia" w:ascii="宋体" w:hAnsi="宋体"/>
                <w:bCs/>
                <w:color w:val="auto"/>
                <w:szCs w:val="21"/>
                <w:highlight w:val="none"/>
              </w:rPr>
              <w:t>下载招标文件及相关文件</w:t>
            </w:r>
            <w:r>
              <w:rPr>
                <w:rFonts w:hint="eastAsia" w:ascii="宋体" w:hAnsi="宋体"/>
                <w:bCs/>
                <w:color w:val="auto"/>
                <w:szCs w:val="21"/>
                <w:highlight w:val="none"/>
                <w:lang w:eastAsia="zh-CN"/>
              </w:rPr>
              <w:t>，</w:t>
            </w:r>
            <w:r>
              <w:rPr>
                <w:rFonts w:hint="eastAsia" w:ascii="宋体" w:hAnsi="宋体"/>
                <w:bCs/>
                <w:color w:val="auto"/>
                <w:szCs w:val="21"/>
                <w:highlight w:val="none"/>
              </w:rPr>
              <w:t>在</w:t>
            </w:r>
            <w:r>
              <w:rPr>
                <w:rFonts w:hint="eastAsia" w:ascii="宋体" w:hAnsi="宋体"/>
                <w:bCs/>
                <w:color w:val="auto"/>
                <w:szCs w:val="21"/>
                <w:highlight w:val="none"/>
                <w:lang w:eastAsia="zh-CN"/>
              </w:rPr>
              <w:t>投标</w:t>
            </w:r>
            <w:r>
              <w:rPr>
                <w:rFonts w:hint="eastAsia" w:ascii="宋体" w:hAnsi="宋体"/>
                <w:color w:val="auto"/>
                <w:szCs w:val="21"/>
                <w:highlight w:val="none"/>
              </w:rPr>
              <w:t>保证金提交截止时间前提交</w:t>
            </w:r>
            <w:r>
              <w:rPr>
                <w:rFonts w:hint="eastAsia" w:ascii="宋体" w:hAnsi="宋体" w:cs="宋体"/>
                <w:color w:val="auto"/>
                <w:kern w:val="0"/>
                <w:szCs w:val="21"/>
                <w:highlight w:val="none"/>
              </w:rPr>
              <w:t>投标保证金，未按时提交投标保证金的，其投标不予受理。投标人在提交投标保证金后应及时查询投标保证金到账或电子保函的出具情况。如有问题请及早向市公共资源交易中心及有关金融机构查询解决。投标保证金以开标系统显示的记录为准。</w:t>
            </w:r>
          </w:p>
          <w:p w14:paraId="37BFC12C">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银行转账的投标保证金必须通过投标人已在</w:t>
            </w:r>
            <w:r>
              <w:rPr>
                <w:rFonts w:hint="eastAsia" w:ascii="宋体" w:hAnsi="宋体" w:cs="宋体"/>
                <w:color w:val="auto"/>
                <w:kern w:val="0"/>
                <w:szCs w:val="21"/>
                <w:highlight w:val="none"/>
                <w:lang w:eastAsia="zh-CN"/>
              </w:rPr>
              <w:t>“中山市公共资源交易中心-基础应用支撑平台”</w:t>
            </w:r>
            <w:r>
              <w:rPr>
                <w:rFonts w:hint="eastAsia" w:ascii="宋体" w:hAnsi="宋体" w:cs="宋体"/>
                <w:color w:val="auto"/>
                <w:kern w:val="0"/>
                <w:szCs w:val="21"/>
                <w:highlight w:val="none"/>
              </w:rPr>
              <w:t>中登记的基本账户（基本账户的企业名称须与投标人名称一致）转入相关账户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详见“缴纳投标保证金通知书”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，在“投标管理--参与项目”栏目页面，选择参与投标的项目获取保证金</w:t>
            </w:r>
            <w:r>
              <w:rPr>
                <w:rFonts w:hint="eastAsia" w:ascii="宋体" w:hAnsi="宋体"/>
                <w:color w:val="auto"/>
                <w:kern w:val="0"/>
                <w:szCs w:val="21"/>
                <w:highlight w:val="none"/>
              </w:rPr>
              <w:t>提交</w:t>
            </w:r>
            <w:r>
              <w:rPr>
                <w:rFonts w:hint="eastAsia" w:ascii="宋体" w:hAnsi="宋体" w:cs="宋体"/>
                <w:color w:val="auto"/>
                <w:kern w:val="0"/>
                <w:szCs w:val="21"/>
                <w:highlight w:val="none"/>
              </w:rPr>
              <w:t>子账号，并严格按照“缴纳投标保证金通知书”的要求足额</w:t>
            </w:r>
            <w:r>
              <w:rPr>
                <w:rFonts w:hint="eastAsia" w:ascii="宋体" w:hAnsi="宋体"/>
                <w:color w:val="auto"/>
                <w:kern w:val="0"/>
                <w:szCs w:val="21"/>
                <w:highlight w:val="none"/>
              </w:rPr>
              <w:t>提交</w:t>
            </w:r>
            <w:r>
              <w:rPr>
                <w:rFonts w:hint="eastAsia" w:ascii="宋体" w:hAnsi="宋体" w:cs="宋体"/>
                <w:color w:val="auto"/>
                <w:kern w:val="0"/>
                <w:szCs w:val="21"/>
                <w:highlight w:val="none"/>
              </w:rPr>
              <w:t>投标保证金。</w:t>
            </w:r>
          </w:p>
          <w:p w14:paraId="59A93D9D">
            <w:pPr>
              <w:widowControl/>
              <w:tabs>
                <w:tab w:val="left" w:pos="12596"/>
              </w:tabs>
              <w:spacing w:line="36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以电子保函方式提交投标保证金的，投标人凭电子招投标数字证书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，在“投标管理--参与项目”栏目页面，选择参与投标的项目，选择相关金融机构办理电子保函。电子保函的出具时间视同于</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保证金提交时间。电子保函有效期限到期后自动失效，若在有效期间内办理注销的，则在注销之日起失效。电子保函办理的申请流程及操作指引详见广东省公共资源交易平台（中山市）-“服务指南”。</w:t>
            </w:r>
          </w:p>
          <w:p w14:paraId="634D4E9F">
            <w:pP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如联合体投标，则由牵头单位提交投标保证金</w:t>
            </w:r>
            <w:r>
              <w:rPr>
                <w:rFonts w:hint="eastAsia" w:ascii="宋体" w:hAnsi="宋体" w:cs="宋体"/>
                <w:color w:val="auto"/>
                <w:kern w:val="0"/>
                <w:szCs w:val="21"/>
                <w:highlight w:val="none"/>
              </w:rPr>
              <w:t>）</w:t>
            </w:r>
          </w:p>
        </w:tc>
      </w:tr>
      <w:tr w14:paraId="0F082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14:paraId="10376F67">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2181" w:type="dxa"/>
            <w:noWrap w:val="0"/>
            <w:vAlign w:val="center"/>
          </w:tcPr>
          <w:p w14:paraId="13355E31">
            <w:pPr>
              <w:spacing w:line="360" w:lineRule="auto"/>
              <w:jc w:val="center"/>
              <w:rPr>
                <w:rFonts w:hint="eastAsia" w:ascii="宋体" w:hAnsi="宋体"/>
                <w:color w:val="auto"/>
                <w:szCs w:val="21"/>
                <w:highlight w:val="none"/>
              </w:rPr>
            </w:pPr>
            <w:r>
              <w:rPr>
                <w:rFonts w:hint="eastAsia" w:ascii="宋体" w:hAnsi="宋体"/>
                <w:color w:val="auto"/>
                <w:szCs w:val="21"/>
                <w:highlight w:val="none"/>
              </w:rPr>
              <w:t>是否允许递交备选投标方案</w:t>
            </w:r>
          </w:p>
        </w:tc>
        <w:tc>
          <w:tcPr>
            <w:tcW w:w="6237" w:type="dxa"/>
            <w:noWrap w:val="0"/>
            <w:vAlign w:val="center"/>
          </w:tcPr>
          <w:p w14:paraId="6C16008B">
            <w:pPr>
              <w:spacing w:line="360" w:lineRule="auto"/>
              <w:rPr>
                <w:rFonts w:hint="eastAsia" w:ascii="宋体" w:hAnsi="宋体"/>
                <w:color w:val="auto"/>
                <w:szCs w:val="21"/>
                <w:highlight w:val="none"/>
              </w:rPr>
            </w:pPr>
            <w:permStart w:id="80" w:edGrp="everyone"/>
            <w:r>
              <w:rPr>
                <w:rFonts w:hint="eastAsia" w:ascii="宋体" w:hAnsi="宋体"/>
                <w:color w:val="auto"/>
                <w:szCs w:val="21"/>
                <w:highlight w:val="none"/>
                <w:lang w:eastAsia="zh-CN"/>
              </w:rPr>
              <w:t>☑</w:t>
            </w:r>
            <w:permEnd w:id="80"/>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不允许</w:t>
            </w:r>
          </w:p>
          <w:p w14:paraId="3452A1F5">
            <w:pPr>
              <w:spacing w:line="360" w:lineRule="auto"/>
              <w:rPr>
                <w:rFonts w:hint="eastAsia" w:ascii="宋体" w:hAnsi="宋体" w:eastAsia="宋体" w:cs="宋体"/>
                <w:color w:val="auto"/>
                <w:kern w:val="0"/>
                <w:szCs w:val="21"/>
                <w:highlight w:val="none"/>
                <w:lang w:eastAsia="zh-CN"/>
              </w:rPr>
            </w:pPr>
            <w:permStart w:id="81" w:edGrp="everyone"/>
            <w:r>
              <w:rPr>
                <w:rFonts w:hint="eastAsia" w:ascii="宋体" w:hAnsi="宋体"/>
                <w:color w:val="auto"/>
                <w:szCs w:val="21"/>
                <w:highlight w:val="none"/>
                <w:lang w:eastAsia="zh-CN"/>
              </w:rPr>
              <w:t>□</w:t>
            </w:r>
            <w:permEnd w:id="81"/>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允许</w:t>
            </w:r>
          </w:p>
        </w:tc>
      </w:tr>
      <w:tr w14:paraId="2093F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14:paraId="5E58557F">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3.7.3</w:t>
            </w:r>
          </w:p>
        </w:tc>
        <w:tc>
          <w:tcPr>
            <w:tcW w:w="2181" w:type="dxa"/>
            <w:noWrap w:val="0"/>
            <w:vAlign w:val="center"/>
          </w:tcPr>
          <w:p w14:paraId="42188F86">
            <w:pPr>
              <w:spacing w:line="360" w:lineRule="auto"/>
              <w:jc w:val="center"/>
              <w:rPr>
                <w:rFonts w:hint="eastAsia" w:ascii="宋体" w:hAnsi="宋体"/>
                <w:color w:val="auto"/>
                <w:szCs w:val="21"/>
                <w:highlight w:val="none"/>
              </w:rPr>
            </w:pPr>
            <w:r>
              <w:rPr>
                <w:rFonts w:hint="eastAsia" w:ascii="宋体" w:hAnsi="宋体"/>
                <w:color w:val="auto"/>
                <w:szCs w:val="21"/>
                <w:highlight w:val="none"/>
              </w:rPr>
              <w:t>签</w:t>
            </w:r>
            <w:r>
              <w:rPr>
                <w:rFonts w:hint="eastAsia" w:ascii="宋体" w:hAnsi="宋体"/>
                <w:color w:val="auto"/>
                <w:szCs w:val="21"/>
                <w:highlight w:val="none"/>
                <w:lang w:eastAsia="zh-CN"/>
              </w:rPr>
              <w:t>名</w:t>
            </w:r>
            <w:r>
              <w:rPr>
                <w:rFonts w:hint="eastAsia" w:ascii="宋体" w:hAnsi="宋体"/>
                <w:color w:val="auto"/>
                <w:szCs w:val="21"/>
                <w:highlight w:val="none"/>
              </w:rPr>
              <w:t>或盖章要求</w:t>
            </w:r>
          </w:p>
        </w:tc>
        <w:tc>
          <w:tcPr>
            <w:tcW w:w="6237" w:type="dxa"/>
            <w:noWrap w:val="0"/>
            <w:vAlign w:val="center"/>
          </w:tcPr>
          <w:p w14:paraId="0F285224">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 投标文件</w:t>
            </w:r>
            <w:r>
              <w:rPr>
                <w:rFonts w:hint="eastAsia" w:ascii="宋体" w:hAnsi="宋体" w:eastAsia="宋体" w:cs="Times New Roman"/>
                <w:color w:val="auto"/>
                <w:szCs w:val="21"/>
                <w:highlight w:val="none"/>
              </w:rPr>
              <w:t>须按招标文件要求在注明要电子签名、加盖企业电子印章的位置由规定人员完成个人电子签名、加盖企业电子印章。</w:t>
            </w:r>
          </w:p>
          <w:p w14:paraId="4B04AC6C">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 xml:space="preserve"> 投标文件采用个人电子签名、企业电子印章需按《关于在我市房屋市政工程招标投标领域进一步启用企业电子签章、个人电子签名等事项的通知》（中建通〔2024〕38号）执行。</w:t>
            </w:r>
          </w:p>
          <w:p w14:paraId="6453D863">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如联合体投标，除联合体协议书外，法定代表人或代理人签名由牵头单位完成。投标文件中投标人名称写联合体所有成员单位名称或牵头单位名称均可，盖章只需盖牵头单位公章。</w:t>
            </w:r>
          </w:p>
          <w:p w14:paraId="716F2451">
            <w:pPr>
              <w:keepNext w:val="0"/>
              <w:keepLines w:val="0"/>
              <w:autoSpaceDE w:val="0"/>
              <w:autoSpaceDN w:val="0"/>
              <w:adjustRightInd w:val="0"/>
              <w:spacing w:line="360" w:lineRule="auto"/>
              <w:ind w:right="181" w:firstLine="420" w:firstLineChars="200"/>
              <w:jc w:val="left"/>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4</w:t>
            </w:r>
            <w:r>
              <w:rPr>
                <w:rFonts w:hint="eastAsia" w:ascii="宋体" w:hAnsi="宋体" w:eastAsia="宋体" w:cs="Times New Roman"/>
                <w:b w:val="0"/>
                <w:bCs w:val="0"/>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rPr>
              <w:t>不接受投标单位在投标文件中加盖分公司章。</w:t>
            </w:r>
          </w:p>
        </w:tc>
      </w:tr>
      <w:tr w14:paraId="1AD22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8" w:hRule="atLeast"/>
        </w:trPr>
        <w:tc>
          <w:tcPr>
            <w:tcW w:w="1080" w:type="dxa"/>
            <w:noWrap w:val="0"/>
            <w:vAlign w:val="center"/>
          </w:tcPr>
          <w:p w14:paraId="4DEF7828">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3.7.4</w:t>
            </w:r>
          </w:p>
        </w:tc>
        <w:tc>
          <w:tcPr>
            <w:tcW w:w="2181" w:type="dxa"/>
            <w:noWrap w:val="0"/>
            <w:vAlign w:val="center"/>
          </w:tcPr>
          <w:p w14:paraId="37E6AF5A">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电子投标文件编制要求</w:t>
            </w:r>
          </w:p>
        </w:tc>
        <w:tc>
          <w:tcPr>
            <w:tcW w:w="6237" w:type="dxa"/>
            <w:noWrap w:val="0"/>
            <w:vAlign w:val="center"/>
          </w:tcPr>
          <w:p w14:paraId="1305A95B">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全部投标文件均应制作成电子文件</w:t>
            </w:r>
            <w:r>
              <w:rPr>
                <w:rFonts w:hint="eastAsia" w:ascii="宋体" w:hAnsi="宋体"/>
                <w:color w:val="auto"/>
                <w:szCs w:val="21"/>
                <w:highlight w:val="none"/>
                <w:lang w:eastAsia="zh-CN"/>
              </w:rPr>
              <w:t>，</w:t>
            </w:r>
            <w:r>
              <w:rPr>
                <w:rFonts w:hint="eastAsia" w:ascii="宋体" w:hAnsi="宋体"/>
                <w:color w:val="auto"/>
                <w:szCs w:val="21"/>
                <w:highlight w:val="none"/>
              </w:rPr>
              <w:t>文件</w:t>
            </w:r>
            <w:r>
              <w:rPr>
                <w:rFonts w:hint="eastAsia" w:ascii="宋体" w:hAnsi="宋体"/>
                <w:color w:val="auto"/>
                <w:szCs w:val="21"/>
                <w:highlight w:val="none"/>
                <w:lang w:eastAsia="zh-CN"/>
              </w:rPr>
              <w:t>类型、</w:t>
            </w:r>
            <w:r>
              <w:rPr>
                <w:rFonts w:hint="eastAsia" w:ascii="宋体" w:hAnsi="宋体"/>
                <w:color w:val="auto"/>
                <w:szCs w:val="21"/>
                <w:highlight w:val="none"/>
              </w:rPr>
              <w:t>大小应</w:t>
            </w:r>
            <w:r>
              <w:rPr>
                <w:rFonts w:hint="eastAsia" w:ascii="宋体" w:hAnsi="宋体"/>
                <w:color w:val="auto"/>
                <w:szCs w:val="21"/>
                <w:highlight w:val="none"/>
                <w:lang w:val="en-US" w:eastAsia="zh-CN"/>
              </w:rPr>
              <w:t>符合</w:t>
            </w:r>
            <w:r>
              <w:rPr>
                <w:rFonts w:hint="eastAsia" w:ascii="宋体" w:hAnsi="宋体"/>
                <w:color w:val="auto"/>
                <w:szCs w:val="21"/>
                <w:highlight w:val="none"/>
              </w:rPr>
              <w:t>交易平台的要求。投标文件各标函应分别单独编制，其中：</w:t>
            </w:r>
          </w:p>
          <w:p w14:paraId="6E30EF11">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 </w:t>
            </w:r>
            <w:r>
              <w:rPr>
                <w:rFonts w:hint="eastAsia" w:ascii="宋体" w:hAnsi="宋体" w:eastAsia="宋体" w:cs="Times New Roman"/>
                <w:color w:val="auto"/>
                <w:szCs w:val="21"/>
                <w:highlight w:val="none"/>
              </w:rPr>
              <w:t>资格标电子标书</w:t>
            </w:r>
            <w:r>
              <w:rPr>
                <w:rFonts w:hint="eastAsia" w:ascii="宋体" w:hAnsi="宋体" w:eastAsia="宋体" w:cs="Times New Roman"/>
                <w:color w:val="auto"/>
                <w:szCs w:val="21"/>
                <w:highlight w:val="none"/>
                <w:lang w:val="en-US" w:eastAsia="zh-CN"/>
              </w:rPr>
              <w:t>1份</w:t>
            </w:r>
          </w:p>
          <w:p w14:paraId="66D85AD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 经济标电子标书1份</w:t>
            </w:r>
          </w:p>
          <w:p w14:paraId="3BCB16B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 技术标电子标书1份</w:t>
            </w:r>
          </w:p>
          <w:p w14:paraId="46E1BF78">
            <w:pPr>
              <w:keepNext w:val="0"/>
              <w:keepLines w:val="0"/>
              <w:pageBreakBefore w:val="0"/>
              <w:widowControl w:val="0"/>
              <w:kinsoku/>
              <w:wordWrap/>
              <w:overflowPunct/>
              <w:topLinePunct w:val="0"/>
              <w:autoSpaceDE w:val="0"/>
              <w:autoSpaceDN w:val="0"/>
              <w:bidi w:val="0"/>
              <w:adjustRightInd w:val="0"/>
              <w:snapToGrid/>
              <w:spacing w:line="360" w:lineRule="auto"/>
              <w:ind w:right="181" w:firstLine="420" w:firstLineChars="200"/>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 资信标电子标书1份</w:t>
            </w:r>
          </w:p>
          <w:p w14:paraId="47BF5120">
            <w:pPr>
              <w:autoSpaceDE w:val="0"/>
              <w:autoSpaceDN w:val="0"/>
              <w:adjustRightInd w:val="0"/>
              <w:spacing w:line="360" w:lineRule="auto"/>
              <w:ind w:right="18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相关操作手册请自行登录广东省公共资源交易平台（中山市）-“服务指南”</w:t>
            </w:r>
            <w:r>
              <w:rPr>
                <w:rFonts w:hint="eastAsia" w:ascii="宋体" w:hAnsi="宋体" w:eastAsia="宋体" w:cs="Times New Roman"/>
                <w:color w:val="auto"/>
                <w:szCs w:val="21"/>
                <w:highlight w:val="none"/>
              </w:rPr>
              <w:t>栏目下载。</w:t>
            </w:r>
          </w:p>
        </w:tc>
      </w:tr>
      <w:tr w14:paraId="2859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80" w:type="dxa"/>
            <w:noWrap w:val="0"/>
            <w:vAlign w:val="center"/>
          </w:tcPr>
          <w:p w14:paraId="55A31DCD">
            <w:pPr>
              <w:spacing w:line="360" w:lineRule="auto"/>
              <w:jc w:val="center"/>
              <w:rPr>
                <w:rFonts w:hint="default" w:ascii="宋体"/>
                <w:color w:val="auto"/>
                <w:szCs w:val="21"/>
                <w:highlight w:val="none"/>
                <w:lang w:val="en-US" w:eastAsia="zh-CN"/>
              </w:rPr>
            </w:pPr>
            <w:r>
              <w:rPr>
                <w:rFonts w:hint="eastAsia" w:ascii="宋体"/>
                <w:color w:val="auto"/>
                <w:szCs w:val="21"/>
                <w:highlight w:val="none"/>
                <w:lang w:val="en-US" w:eastAsia="zh-CN"/>
              </w:rPr>
              <w:t>4.1.1</w:t>
            </w:r>
          </w:p>
        </w:tc>
        <w:tc>
          <w:tcPr>
            <w:tcW w:w="2181" w:type="dxa"/>
            <w:noWrap w:val="0"/>
            <w:vAlign w:val="center"/>
          </w:tcPr>
          <w:p w14:paraId="523F29A9">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投标文件的密封和标记</w:t>
            </w:r>
          </w:p>
        </w:tc>
        <w:tc>
          <w:tcPr>
            <w:tcW w:w="6237" w:type="dxa"/>
            <w:noWrap w:val="0"/>
            <w:vAlign w:val="center"/>
          </w:tcPr>
          <w:p w14:paraId="195E4BA9">
            <w:pPr>
              <w:numPr>
                <w:ilvl w:val="0"/>
                <w:numId w:val="0"/>
              </w:numPr>
              <w:autoSpaceDE/>
              <w:autoSpaceDN/>
              <w:adjustRightInd/>
              <w:spacing w:line="360" w:lineRule="auto"/>
              <w:ind w:right="0" w:firstLine="420" w:firstLineChars="200"/>
              <w:jc w:val="left"/>
              <w:rPr>
                <w:rFonts w:hint="eastAsia"/>
                <w:color w:val="auto"/>
                <w:szCs w:val="21"/>
                <w:highlight w:val="none"/>
              </w:rPr>
            </w:pPr>
            <w:r>
              <w:rPr>
                <w:rFonts w:hint="eastAsia"/>
                <w:color w:val="auto"/>
                <w:szCs w:val="21"/>
                <w:highlight w:val="none"/>
              </w:rPr>
              <w:t>投标文件全部电子文档必须采用</w:t>
            </w:r>
            <w:r>
              <w:rPr>
                <w:rFonts w:hint="eastAsia"/>
                <w:color w:val="auto"/>
                <w:szCs w:val="21"/>
                <w:highlight w:val="none"/>
                <w:lang w:eastAsia="zh-CN"/>
              </w:rPr>
              <w:t>数字证书</w:t>
            </w:r>
            <w:r>
              <w:rPr>
                <w:rFonts w:hint="eastAsia"/>
                <w:color w:val="auto"/>
                <w:szCs w:val="21"/>
                <w:highlight w:val="none"/>
              </w:rPr>
              <w:t>进行上传</w:t>
            </w:r>
            <w:r>
              <w:rPr>
                <w:rFonts w:hint="eastAsia"/>
                <w:color w:val="auto"/>
                <w:szCs w:val="21"/>
                <w:highlight w:val="none"/>
                <w:lang w:eastAsia="zh-CN"/>
              </w:rPr>
              <w:t>，</w:t>
            </w:r>
            <w:r>
              <w:rPr>
                <w:rFonts w:hint="eastAsia"/>
                <w:color w:val="auto"/>
                <w:szCs w:val="21"/>
                <w:highlight w:val="none"/>
                <w:lang w:val="en-US" w:eastAsia="zh-CN"/>
              </w:rPr>
              <w:t>投标人应当按照招标文件和电子招标投标交易平台的要求加密投标文件，</w:t>
            </w:r>
            <w:r>
              <w:rPr>
                <w:rFonts w:hint="eastAsia" w:ascii="宋体" w:hAnsi="宋体"/>
                <w:color w:val="auto"/>
                <w:szCs w:val="21"/>
                <w:highlight w:val="none"/>
              </w:rPr>
              <w:t>相关操作手册请自行登录广东省公共资源交易平台（中山市）-“服务指南”栏目下载。</w:t>
            </w:r>
          </w:p>
        </w:tc>
      </w:tr>
      <w:tr w14:paraId="6FE06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1080" w:type="dxa"/>
            <w:noWrap w:val="0"/>
            <w:vAlign w:val="center"/>
          </w:tcPr>
          <w:p w14:paraId="5B0C35D8">
            <w:pPr>
              <w:spacing w:line="360" w:lineRule="auto"/>
              <w:jc w:val="center"/>
              <w:rPr>
                <w:rFonts w:hint="default" w:ascii="宋体"/>
                <w:color w:val="auto"/>
                <w:szCs w:val="21"/>
                <w:highlight w:val="none"/>
                <w:lang w:val="en-US" w:eastAsia="zh-CN"/>
              </w:rPr>
            </w:pPr>
            <w:r>
              <w:rPr>
                <w:rFonts w:hint="eastAsia" w:ascii="宋体"/>
                <w:color w:val="auto"/>
                <w:szCs w:val="21"/>
                <w:highlight w:val="none"/>
                <w:lang w:val="en-US" w:eastAsia="zh-CN"/>
              </w:rPr>
              <w:t>4.2.1</w:t>
            </w:r>
          </w:p>
        </w:tc>
        <w:tc>
          <w:tcPr>
            <w:tcW w:w="2181" w:type="dxa"/>
            <w:noWrap w:val="0"/>
            <w:vAlign w:val="center"/>
          </w:tcPr>
          <w:p w14:paraId="5B4CA836">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rPr>
              <w:t>投标截止时间</w:t>
            </w:r>
          </w:p>
        </w:tc>
        <w:tc>
          <w:tcPr>
            <w:tcW w:w="6237" w:type="dxa"/>
            <w:noWrap w:val="0"/>
            <w:vAlign w:val="center"/>
          </w:tcPr>
          <w:p w14:paraId="2AAB80E9">
            <w:pPr>
              <w:bidi w:val="0"/>
              <w:rPr>
                <w:rFonts w:hint="eastAsia"/>
                <w:color w:val="auto"/>
                <w:szCs w:val="21"/>
                <w:highlight w:val="none"/>
              </w:rPr>
            </w:pPr>
            <w:r>
              <w:rPr>
                <w:rFonts w:hint="eastAsia"/>
                <w:color w:val="auto"/>
                <w:highlight w:val="none"/>
              </w:rPr>
              <w:t>具体时间以工程建设交易系统上的日程安排为准。</w:t>
            </w:r>
          </w:p>
        </w:tc>
      </w:tr>
      <w:tr w14:paraId="146BE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6DD19899">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4.2</w:t>
            </w:r>
            <w:r>
              <w:rPr>
                <w:rFonts w:hint="eastAsia" w:ascii="宋体" w:hAnsi="宋体"/>
                <w:color w:val="auto"/>
                <w:szCs w:val="21"/>
                <w:highlight w:val="none"/>
                <w:lang w:val="en-US" w:eastAsia="zh-CN"/>
              </w:rPr>
              <w:t>.2</w:t>
            </w:r>
          </w:p>
        </w:tc>
        <w:tc>
          <w:tcPr>
            <w:tcW w:w="2181" w:type="dxa"/>
            <w:noWrap w:val="0"/>
            <w:vAlign w:val="center"/>
          </w:tcPr>
          <w:p w14:paraId="0932F778">
            <w:pPr>
              <w:spacing w:line="360" w:lineRule="auto"/>
              <w:jc w:val="center"/>
              <w:rPr>
                <w:rFonts w:hint="eastAsia" w:ascii="宋体" w:hAnsi="宋体"/>
                <w:color w:val="auto"/>
                <w:szCs w:val="21"/>
                <w:highlight w:val="none"/>
              </w:rPr>
            </w:pPr>
            <w:r>
              <w:rPr>
                <w:rFonts w:hint="eastAsia" w:ascii="宋体" w:hAnsi="宋体"/>
                <w:color w:val="auto"/>
                <w:szCs w:val="21"/>
                <w:highlight w:val="none"/>
              </w:rPr>
              <w:t>递交投标文件地点</w:t>
            </w:r>
          </w:p>
        </w:tc>
        <w:tc>
          <w:tcPr>
            <w:tcW w:w="6237" w:type="dxa"/>
            <w:noWrap w:val="0"/>
            <w:vAlign w:val="center"/>
          </w:tcPr>
          <w:p w14:paraId="1343331A">
            <w:pPr>
              <w:spacing w:line="360" w:lineRule="auto"/>
              <w:jc w:val="left"/>
              <w:rPr>
                <w:rFonts w:hint="eastAsia" w:ascii="宋体" w:cs="Arial Unicode MS"/>
                <w:color w:val="auto"/>
                <w:kern w:val="0"/>
                <w:szCs w:val="21"/>
                <w:highlight w:val="none"/>
              </w:rPr>
            </w:pPr>
            <w:r>
              <w:rPr>
                <w:rFonts w:hint="eastAsia" w:ascii="宋体" w:hAnsi="宋体"/>
                <w:color w:val="auto"/>
                <w:szCs w:val="21"/>
                <w:highlight w:val="none"/>
                <w:lang w:val="en-US" w:eastAsia="zh-CN"/>
              </w:rPr>
              <w:t>工程建设交易系统</w:t>
            </w:r>
          </w:p>
        </w:tc>
      </w:tr>
      <w:tr w14:paraId="3DDA7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5DDE5B52">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4.2.3</w:t>
            </w:r>
          </w:p>
        </w:tc>
        <w:tc>
          <w:tcPr>
            <w:tcW w:w="2181" w:type="dxa"/>
            <w:noWrap w:val="0"/>
            <w:vAlign w:val="center"/>
          </w:tcPr>
          <w:p w14:paraId="1756DD0B">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是否退还投标文件</w:t>
            </w:r>
          </w:p>
        </w:tc>
        <w:tc>
          <w:tcPr>
            <w:tcW w:w="6237" w:type="dxa"/>
            <w:noWrap w:val="0"/>
            <w:vAlign w:val="center"/>
          </w:tcPr>
          <w:p w14:paraId="07FFE25A">
            <w:pPr>
              <w:spacing w:line="360" w:lineRule="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投标文件不退还。</w:t>
            </w:r>
          </w:p>
        </w:tc>
      </w:tr>
      <w:tr w14:paraId="22C66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noWrap w:val="0"/>
            <w:vAlign w:val="center"/>
          </w:tcPr>
          <w:p w14:paraId="78A833D8">
            <w:pPr>
              <w:spacing w:line="360" w:lineRule="auto"/>
              <w:jc w:val="center"/>
              <w:rPr>
                <w:rFonts w:hint="default" w:ascii="宋体"/>
                <w:color w:val="auto"/>
                <w:szCs w:val="21"/>
                <w:highlight w:val="none"/>
                <w:lang w:val="en-US"/>
              </w:rPr>
            </w:pPr>
            <w:r>
              <w:rPr>
                <w:rFonts w:hint="eastAsia" w:ascii="宋体" w:hAnsi="宋体"/>
                <w:color w:val="auto"/>
                <w:szCs w:val="21"/>
                <w:highlight w:val="none"/>
                <w:lang w:val="en-US" w:eastAsia="zh-CN"/>
              </w:rPr>
              <w:t>5.1</w:t>
            </w:r>
          </w:p>
        </w:tc>
        <w:tc>
          <w:tcPr>
            <w:tcW w:w="2181" w:type="dxa"/>
            <w:noWrap w:val="0"/>
            <w:vAlign w:val="center"/>
          </w:tcPr>
          <w:p w14:paraId="39BC3B0B">
            <w:pPr>
              <w:spacing w:line="360" w:lineRule="auto"/>
              <w:jc w:val="center"/>
              <w:rPr>
                <w:rFonts w:hint="default" w:ascii="宋体" w:eastAsia="宋体"/>
                <w:color w:val="auto"/>
                <w:szCs w:val="21"/>
                <w:highlight w:val="none"/>
                <w:lang w:val="en-US" w:eastAsia="zh-CN"/>
              </w:rPr>
            </w:pPr>
            <w:r>
              <w:rPr>
                <w:rFonts w:hint="eastAsia"/>
                <w:color w:val="auto"/>
                <w:highlight w:val="none"/>
              </w:rPr>
              <w:t>开标</w:t>
            </w:r>
            <w:r>
              <w:rPr>
                <w:rFonts w:hint="eastAsia"/>
                <w:color w:val="auto"/>
                <w:highlight w:val="none"/>
                <w:lang w:val="en-US" w:eastAsia="zh-CN"/>
              </w:rPr>
              <w:t>时间和地点</w:t>
            </w:r>
          </w:p>
        </w:tc>
        <w:tc>
          <w:tcPr>
            <w:tcW w:w="6237" w:type="dxa"/>
            <w:noWrap w:val="0"/>
            <w:vAlign w:val="center"/>
          </w:tcPr>
          <w:p w14:paraId="6653684B">
            <w:pPr>
              <w:spacing w:line="360" w:lineRule="auto"/>
              <w:rPr>
                <w:rFonts w:hint="eastAsia" w:ascii="宋体" w:hAnsi="宋体"/>
                <w:color w:val="auto"/>
                <w:szCs w:val="21"/>
                <w:highlight w:val="none"/>
              </w:rPr>
            </w:pPr>
            <w:r>
              <w:rPr>
                <w:rFonts w:hint="eastAsia" w:ascii="宋体" w:hAnsi="宋体"/>
                <w:color w:val="auto"/>
                <w:szCs w:val="21"/>
                <w:highlight w:val="none"/>
              </w:rPr>
              <w:t>开标时间：具体时间以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上的</w:t>
            </w:r>
            <w:r>
              <w:rPr>
                <w:rFonts w:hint="eastAsia" w:ascii="宋体" w:hAnsi="宋体"/>
                <w:color w:val="auto"/>
                <w:szCs w:val="21"/>
                <w:highlight w:val="none"/>
                <w:lang w:eastAsia="zh-CN"/>
              </w:rPr>
              <w:t>日程</w:t>
            </w:r>
            <w:r>
              <w:rPr>
                <w:rFonts w:hint="eastAsia" w:ascii="宋体" w:hAnsi="宋体"/>
                <w:color w:val="auto"/>
                <w:szCs w:val="21"/>
                <w:highlight w:val="none"/>
              </w:rPr>
              <w:t>安排为准。</w:t>
            </w:r>
          </w:p>
          <w:p w14:paraId="5B19ECE7">
            <w:pPr>
              <w:spacing w:line="360" w:lineRule="auto"/>
              <w:jc w:val="left"/>
              <w:rPr>
                <w:rFonts w:asci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w:t>
            </w:r>
            <w:r>
              <w:rPr>
                <w:rFonts w:hint="eastAsia" w:ascii="宋体" w:hAnsi="宋体"/>
                <w:color w:val="auto"/>
                <w:szCs w:val="21"/>
                <w:highlight w:val="none"/>
              </w:rPr>
              <w:t>中山市公共资源交易中心（博爱六路22号）</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在中山市公共资源交易中心现场组织网上开标，投标人无需抵达开标现场。投标人可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工程建设交易系统→“参与项目”→“网上开标”栏目查看项目开标过程，依法提出开标异议。</w:t>
            </w:r>
          </w:p>
        </w:tc>
      </w:tr>
      <w:tr w14:paraId="007FB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noWrap w:val="0"/>
            <w:vAlign w:val="center"/>
          </w:tcPr>
          <w:p w14:paraId="62B4252D">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6.1.1</w:t>
            </w:r>
          </w:p>
        </w:tc>
        <w:tc>
          <w:tcPr>
            <w:tcW w:w="2181" w:type="dxa"/>
            <w:noWrap w:val="0"/>
            <w:vAlign w:val="center"/>
          </w:tcPr>
          <w:p w14:paraId="04707C46">
            <w:pPr>
              <w:spacing w:line="360" w:lineRule="auto"/>
              <w:jc w:val="center"/>
              <w:rPr>
                <w:rFonts w:hint="default" w:eastAsia="宋体"/>
                <w:color w:val="auto"/>
                <w:highlight w:val="none"/>
                <w:lang w:val="en-US" w:eastAsia="zh-CN"/>
              </w:rPr>
            </w:pPr>
            <w:r>
              <w:rPr>
                <w:rFonts w:hint="eastAsia"/>
                <w:color w:val="auto"/>
                <w:highlight w:val="none"/>
                <w:lang w:val="en-US" w:eastAsia="zh-CN"/>
              </w:rPr>
              <w:t>资格审查工作小组的组建</w:t>
            </w:r>
          </w:p>
        </w:tc>
        <w:tc>
          <w:tcPr>
            <w:tcW w:w="6237" w:type="dxa"/>
            <w:noWrap w:val="0"/>
            <w:vAlign w:val="center"/>
          </w:tcPr>
          <w:p w14:paraId="0227715B">
            <w:pPr>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共</w:t>
            </w:r>
            <w:permStart w:id="82"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permEnd w:id="82"/>
            <w:r>
              <w:rPr>
                <w:rFonts w:hint="eastAsia" w:ascii="宋体" w:hAnsi="宋体"/>
                <w:color w:val="auto"/>
                <w:szCs w:val="21"/>
                <w:highlight w:val="none"/>
              </w:rPr>
              <w:t>人。【备注：</w:t>
            </w:r>
            <w:r>
              <w:rPr>
                <w:rFonts w:hint="eastAsia" w:ascii="宋体" w:hAnsi="宋体"/>
                <w:color w:val="auto"/>
                <w:szCs w:val="21"/>
                <w:highlight w:val="none"/>
                <w:lang w:val="en-US" w:eastAsia="zh-CN"/>
              </w:rPr>
              <w:t>数量应为单数。</w:t>
            </w:r>
            <w:r>
              <w:rPr>
                <w:rFonts w:hint="eastAsia" w:ascii="宋体" w:hAnsi="宋体"/>
                <w:color w:val="auto"/>
                <w:szCs w:val="21"/>
                <w:highlight w:val="none"/>
              </w:rPr>
              <w:t>】</w:t>
            </w:r>
          </w:p>
        </w:tc>
      </w:tr>
      <w:tr w14:paraId="23AE3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vMerge w:val="restart"/>
            <w:noWrap w:val="0"/>
            <w:vAlign w:val="center"/>
          </w:tcPr>
          <w:p w14:paraId="7763EB52">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6.2</w:t>
            </w:r>
          </w:p>
        </w:tc>
        <w:tc>
          <w:tcPr>
            <w:tcW w:w="2181" w:type="dxa"/>
            <w:vMerge w:val="restart"/>
            <w:noWrap w:val="0"/>
            <w:vAlign w:val="center"/>
          </w:tcPr>
          <w:p w14:paraId="4D859BCD">
            <w:pPr>
              <w:spacing w:line="360" w:lineRule="auto"/>
              <w:jc w:val="center"/>
              <w:rPr>
                <w:rFonts w:hint="default"/>
                <w:color w:val="auto"/>
                <w:highlight w:val="none"/>
                <w:lang w:val="en-US" w:eastAsia="zh-CN"/>
              </w:rPr>
            </w:pPr>
            <w:r>
              <w:rPr>
                <w:rFonts w:hint="eastAsia"/>
                <w:color w:val="auto"/>
                <w:highlight w:val="none"/>
                <w:lang w:val="en-US" w:eastAsia="zh-CN"/>
              </w:rPr>
              <w:t>入围筛选方法和规则</w:t>
            </w:r>
          </w:p>
        </w:tc>
        <w:tc>
          <w:tcPr>
            <w:tcW w:w="6237" w:type="dxa"/>
            <w:noWrap w:val="0"/>
            <w:vAlign w:val="center"/>
          </w:tcPr>
          <w:p w14:paraId="04257BC1">
            <w:pPr>
              <w:spacing w:line="360" w:lineRule="auto"/>
              <w:rPr>
                <w:rFonts w:hint="eastAsia" w:ascii="宋体" w:hAnsi="宋体" w:eastAsia="宋体"/>
                <w:color w:val="auto"/>
                <w:szCs w:val="21"/>
                <w:highlight w:val="none"/>
                <w:lang w:eastAsia="zh-CN"/>
              </w:rPr>
            </w:pPr>
            <w:r>
              <w:rPr>
                <w:rFonts w:hint="eastAsia"/>
                <w:color w:val="auto"/>
                <w:highlight w:val="none"/>
                <w:lang w:val="en-US" w:eastAsia="zh-CN"/>
              </w:rPr>
              <w:t>入围筛选方法：</w:t>
            </w:r>
            <w:permStart w:id="83" w:edGrp="everyone"/>
            <w:r>
              <w:rPr>
                <w:rFonts w:hint="eastAsia" w:ascii="宋体" w:hAnsi="宋体"/>
                <w:color w:val="auto"/>
                <w:szCs w:val="21"/>
                <w:highlight w:val="none"/>
                <w:lang w:eastAsia="zh-CN"/>
              </w:rPr>
              <w:t>☑</w:t>
            </w:r>
            <w:permEnd w:id="83"/>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票决法</w:t>
            </w:r>
          </w:p>
          <w:p w14:paraId="2D530579">
            <w:pPr>
              <w:spacing w:line="360" w:lineRule="auto"/>
              <w:ind w:firstLine="1470" w:firstLineChars="700"/>
              <w:jc w:val="left"/>
              <w:rPr>
                <w:rFonts w:hint="eastAsia"/>
                <w:color w:val="auto"/>
                <w:highlight w:val="none"/>
                <w:lang w:val="en-US" w:eastAsia="zh-CN"/>
              </w:rPr>
            </w:pPr>
            <w:permStart w:id="84" w:edGrp="everyone"/>
            <w:r>
              <w:rPr>
                <w:rFonts w:hint="eastAsia" w:ascii="宋体" w:hAnsi="宋体"/>
                <w:color w:val="auto"/>
                <w:szCs w:val="21"/>
                <w:highlight w:val="none"/>
                <w:lang w:eastAsia="zh-CN"/>
              </w:rPr>
              <w:t>□</w:t>
            </w:r>
            <w:permEnd w:id="84"/>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集体议事法</w:t>
            </w:r>
          </w:p>
          <w:p w14:paraId="7EFF8046">
            <w:pPr>
              <w:pStyle w:val="6"/>
              <w:rPr>
                <w:rFonts w:hint="default"/>
                <w:color w:val="auto"/>
                <w:highlight w:val="none"/>
                <w:lang w:val="en-US" w:eastAsia="zh-CN"/>
              </w:rPr>
            </w:pPr>
            <w:r>
              <w:rPr>
                <w:rFonts w:hint="eastAsia" w:ascii="宋体" w:hAnsi="宋体"/>
                <w:b w:val="0"/>
                <w:bCs w:val="0"/>
                <w:color w:val="auto"/>
                <w:szCs w:val="21"/>
                <w:highlight w:val="none"/>
                <w:lang w:val="en-US" w:eastAsia="zh-CN"/>
              </w:rPr>
              <w:t>进入评标程序的投标人数量：</w:t>
            </w:r>
            <w:permStart w:id="85"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20 </w:t>
            </w:r>
            <w:permEnd w:id="85"/>
            <w:r>
              <w:rPr>
                <w:rFonts w:hint="eastAsia" w:ascii="宋体" w:hAnsi="宋体"/>
                <w:b w:val="0"/>
                <w:bCs w:val="0"/>
                <w:color w:val="auto"/>
                <w:szCs w:val="21"/>
                <w:highlight w:val="none"/>
              </w:rPr>
              <w:t>【</w:t>
            </w:r>
            <w:r>
              <w:rPr>
                <w:rFonts w:hint="eastAsia" w:ascii="宋体" w:hAnsi="宋体"/>
                <w:b w:val="0"/>
                <w:bCs w:val="0"/>
                <w:color w:val="auto"/>
                <w:szCs w:val="21"/>
                <w:highlight w:val="none"/>
                <w:u w:val="none"/>
              </w:rPr>
              <w:t>备注：</w:t>
            </w:r>
            <w:r>
              <w:rPr>
                <w:rFonts w:hint="eastAsia" w:ascii="宋体" w:hAnsi="宋体"/>
                <w:b w:val="0"/>
                <w:bCs w:val="0"/>
                <w:color w:val="auto"/>
                <w:szCs w:val="21"/>
                <w:highlight w:val="none"/>
                <w:u w:val="none"/>
                <w:lang w:val="en-US" w:eastAsia="zh-CN"/>
              </w:rPr>
              <w:t>15~20</w:t>
            </w:r>
            <w:r>
              <w:rPr>
                <w:rFonts w:hint="eastAsia" w:ascii="宋体" w:hAnsi="宋体"/>
                <w:b w:val="0"/>
                <w:bCs w:val="0"/>
                <w:color w:val="auto"/>
                <w:szCs w:val="21"/>
                <w:highlight w:val="none"/>
                <w:u w:val="none"/>
              </w:rPr>
              <w:t>（含本数）</w:t>
            </w:r>
            <w:r>
              <w:rPr>
                <w:rFonts w:hint="eastAsia" w:ascii="宋体" w:hAnsi="宋体"/>
                <w:b w:val="0"/>
                <w:bCs w:val="0"/>
                <w:color w:val="auto"/>
                <w:szCs w:val="21"/>
                <w:highlight w:val="none"/>
              </w:rPr>
              <w:t>】</w:t>
            </w:r>
          </w:p>
        </w:tc>
      </w:tr>
      <w:tr w14:paraId="040A1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080" w:type="dxa"/>
            <w:vMerge w:val="continue"/>
            <w:noWrap w:val="0"/>
            <w:vAlign w:val="center"/>
          </w:tcPr>
          <w:p w14:paraId="0CD40134">
            <w:pPr>
              <w:spacing w:line="360" w:lineRule="auto"/>
              <w:jc w:val="center"/>
              <w:rPr>
                <w:rFonts w:hint="eastAsia" w:ascii="宋体" w:hAnsi="宋体"/>
                <w:color w:val="auto"/>
                <w:szCs w:val="21"/>
                <w:highlight w:val="none"/>
                <w:lang w:val="en-US" w:eastAsia="zh-CN"/>
              </w:rPr>
            </w:pPr>
          </w:p>
        </w:tc>
        <w:tc>
          <w:tcPr>
            <w:tcW w:w="2181" w:type="dxa"/>
            <w:vMerge w:val="continue"/>
            <w:noWrap w:val="0"/>
            <w:vAlign w:val="center"/>
          </w:tcPr>
          <w:p w14:paraId="2EF1D395">
            <w:pPr>
              <w:spacing w:line="360" w:lineRule="auto"/>
              <w:jc w:val="center"/>
              <w:rPr>
                <w:rFonts w:hint="eastAsia"/>
                <w:color w:val="auto"/>
                <w:highlight w:val="none"/>
                <w:lang w:val="en-US" w:eastAsia="zh-CN"/>
              </w:rPr>
            </w:pPr>
          </w:p>
        </w:tc>
        <w:tc>
          <w:tcPr>
            <w:tcW w:w="6237" w:type="dxa"/>
            <w:noWrap w:val="0"/>
            <w:vAlign w:val="center"/>
          </w:tcPr>
          <w:p w14:paraId="2C3ED41A">
            <w:pPr>
              <w:rPr>
                <w:rFonts w:hint="eastAsia"/>
                <w:u w:val="single"/>
              </w:rPr>
            </w:pPr>
            <w:r>
              <w:rPr>
                <w:rFonts w:hint="eastAsia"/>
                <w:color w:val="auto"/>
                <w:highlight w:val="none"/>
                <w:lang w:val="en-US" w:eastAsia="zh-CN"/>
              </w:rPr>
              <w:t>具体筛选规则：</w:t>
            </w:r>
            <w:permStart w:id="86" w:edGrp="everyone"/>
            <w:r>
              <w:rPr>
                <w:rFonts w:hint="eastAsia"/>
                <w:color w:val="auto"/>
                <w:highlight w:val="none"/>
                <w:u w:val="single"/>
              </w:rPr>
              <w:t xml:space="preserve"> </w:t>
            </w:r>
            <w:r>
              <w:rPr>
                <w:rFonts w:hint="eastAsia"/>
                <w:u w:val="single"/>
              </w:rPr>
              <w:t>①当合格投标人数量不足3名的，重新招标。</w:t>
            </w:r>
          </w:p>
          <w:p w14:paraId="50A4CAA4">
            <w:pPr>
              <w:rPr>
                <w:rFonts w:hint="eastAsia"/>
                <w:u w:val="single"/>
              </w:rPr>
            </w:pPr>
            <w:r>
              <w:rPr>
                <w:rFonts w:hint="eastAsia"/>
                <w:u w:val="single"/>
              </w:rPr>
              <w:t>②当合格投标人数量多于3名（含3名）少于20名（含20名）的，所有投标人均进入评标环节。</w:t>
            </w:r>
          </w:p>
          <w:p w14:paraId="23EEBFF6">
            <w:pPr>
              <w:rPr>
                <w:rFonts w:hint="eastAsia"/>
                <w:u w:val="single"/>
              </w:rPr>
            </w:pPr>
            <w:r>
              <w:rPr>
                <w:rFonts w:hint="eastAsia"/>
                <w:u w:val="single"/>
              </w:rPr>
              <w:t>③当合格投标人超过20名的，则进行入围筛选，按照相关择优要素筛选出20名入围评标阶段的投标人。资格审查和入围筛选工作小组根据投标人的《资格标》及《资信标》按以下条件（排名不分先后）综合考虑，采用票决法选出20名投标人进入评标环节：</w:t>
            </w:r>
          </w:p>
          <w:p w14:paraId="62DA8A80">
            <w:pPr>
              <w:rPr>
                <w:rFonts w:hint="eastAsia"/>
                <w:u w:val="single"/>
              </w:rPr>
            </w:pPr>
            <w:r>
              <w:rPr>
                <w:rFonts w:hint="eastAsia"/>
                <w:u w:val="single"/>
              </w:rPr>
              <w:t>企企业综合实力</w:t>
            </w:r>
            <w:r>
              <w:rPr>
                <w:rFonts w:hint="eastAsia"/>
                <w:u w:val="single"/>
                <w:lang w:eastAsia="zh-CN"/>
              </w:rPr>
              <w:t>、</w:t>
            </w:r>
            <w:r>
              <w:rPr>
                <w:rFonts w:hint="eastAsia"/>
                <w:u w:val="single"/>
              </w:rPr>
              <w:t>拟派项目管理团队人员水平及主要业绩</w:t>
            </w:r>
            <w:r>
              <w:rPr>
                <w:rFonts w:hint="eastAsia"/>
                <w:u w:val="single"/>
                <w:lang w:eastAsia="zh-CN"/>
              </w:rPr>
              <w:t>、</w:t>
            </w:r>
            <w:r>
              <w:rPr>
                <w:rFonts w:hint="eastAsia"/>
                <w:u w:val="single"/>
              </w:rPr>
              <w:t>同类工程业绩</w:t>
            </w:r>
            <w:r>
              <w:rPr>
                <w:rFonts w:hint="eastAsia"/>
                <w:u w:val="single"/>
                <w:lang w:eastAsia="zh-CN"/>
              </w:rPr>
              <w:t>、</w:t>
            </w:r>
            <w:r>
              <w:rPr>
                <w:rFonts w:hint="eastAsia"/>
                <w:u w:val="single"/>
              </w:rPr>
              <w:t>企业不良行为记录情况</w:t>
            </w:r>
            <w:r>
              <w:rPr>
                <w:rFonts w:hint="eastAsia"/>
                <w:u w:val="single"/>
                <w:lang w:eastAsia="zh-CN"/>
              </w:rPr>
              <w:t>、</w:t>
            </w:r>
            <w:r>
              <w:rPr>
                <w:rFonts w:hint="eastAsia"/>
                <w:u w:val="single"/>
              </w:rPr>
              <w:t>诚信</w:t>
            </w:r>
            <w:r>
              <w:rPr>
                <w:rFonts w:hint="eastAsia"/>
                <w:u w:val="single"/>
                <w:lang w:eastAsia="zh-CN"/>
              </w:rPr>
              <w:t>等级</w:t>
            </w:r>
            <w:r>
              <w:rPr>
                <w:rFonts w:hint="eastAsia"/>
                <w:u w:val="single"/>
              </w:rPr>
              <w:t>情况</w:t>
            </w:r>
            <w:r>
              <w:rPr>
                <w:rFonts w:hint="eastAsia"/>
                <w:u w:val="single"/>
                <w:lang w:eastAsia="zh-CN"/>
              </w:rPr>
              <w:t>、</w:t>
            </w:r>
            <w:r>
              <w:rPr>
                <w:rFonts w:hint="eastAsia"/>
                <w:u w:val="single"/>
              </w:rPr>
              <w:t>投标报价等因素。</w:t>
            </w:r>
          </w:p>
          <w:p w14:paraId="20857B64">
            <w:pPr>
              <w:spacing w:line="360" w:lineRule="auto"/>
              <w:rPr>
                <w:rFonts w:hint="eastAsia" w:ascii="宋体" w:hAnsi="宋体"/>
                <w:color w:val="auto"/>
                <w:szCs w:val="21"/>
                <w:highlight w:val="none"/>
                <w:lang w:val="en-US" w:eastAsia="zh-CN"/>
              </w:rPr>
            </w:pPr>
            <w:r>
              <w:rPr>
                <w:rFonts w:hint="eastAsia"/>
                <w:u w:val="single"/>
              </w:rPr>
              <w:t>资格审查和入围筛选工作小组成员以记名方式对所有投标单位进行票决，每人选20名投标人，汇总得票数高的前20名投标人进入评标环节。若出现两名或两名以上投标人得票数相同并导致进入评标环节的投标人超过20名时，则对上述得票数相同的投标人进行新一轮的票决，直至确定20名投标人进入评标环节。</w:t>
            </w:r>
            <w:r>
              <w:rPr>
                <w:rFonts w:hint="eastAsia"/>
                <w:color w:val="auto"/>
                <w:highlight w:val="none"/>
                <w:u w:val="single"/>
              </w:rPr>
              <w:t xml:space="preserve"> </w:t>
            </w:r>
            <w:permEnd w:id="86"/>
          </w:p>
        </w:tc>
      </w:tr>
      <w:tr w14:paraId="4DE5A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080" w:type="dxa"/>
            <w:noWrap w:val="0"/>
            <w:vAlign w:val="center"/>
          </w:tcPr>
          <w:p w14:paraId="0822C390">
            <w:pPr>
              <w:spacing w:line="360" w:lineRule="auto"/>
              <w:jc w:val="center"/>
              <w:rPr>
                <w:rFonts w:hint="default" w:ascii="宋体" w:eastAsia="宋体"/>
                <w:color w:val="auto"/>
                <w:szCs w:val="21"/>
                <w:highlight w:val="none"/>
                <w:lang w:val="en-US" w:eastAsia="zh-CN"/>
              </w:rPr>
            </w:pP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2181" w:type="dxa"/>
            <w:noWrap w:val="0"/>
            <w:vAlign w:val="center"/>
          </w:tcPr>
          <w:p w14:paraId="6AE71344">
            <w:pPr>
              <w:spacing w:line="360" w:lineRule="auto"/>
              <w:jc w:val="center"/>
              <w:rPr>
                <w:rFonts w:ascii="宋体"/>
                <w:color w:val="auto"/>
                <w:szCs w:val="21"/>
                <w:highlight w:val="none"/>
              </w:rPr>
            </w:pPr>
            <w:r>
              <w:rPr>
                <w:rFonts w:hint="eastAsia" w:ascii="宋体" w:hAnsi="宋体"/>
                <w:color w:val="auto"/>
                <w:szCs w:val="21"/>
                <w:highlight w:val="none"/>
              </w:rPr>
              <w:t>评标委员会的组建</w:t>
            </w:r>
          </w:p>
        </w:tc>
        <w:tc>
          <w:tcPr>
            <w:tcW w:w="6237" w:type="dxa"/>
            <w:noWrap w:val="0"/>
            <w:vAlign w:val="center"/>
          </w:tcPr>
          <w:p w14:paraId="087CCDCD">
            <w:pPr>
              <w:spacing w:line="360" w:lineRule="auto"/>
              <w:rPr>
                <w:rFonts w:hint="eastAsia" w:ascii="宋体" w:hAnsi="宋体"/>
                <w:color w:val="auto"/>
                <w:szCs w:val="21"/>
                <w:highlight w:val="none"/>
              </w:rPr>
            </w:pPr>
            <w:r>
              <w:rPr>
                <w:rFonts w:hint="eastAsia" w:ascii="宋体" w:hAnsi="宋体"/>
                <w:color w:val="auto"/>
                <w:szCs w:val="21"/>
                <w:highlight w:val="none"/>
              </w:rPr>
              <w:t>评标委员会构成</w:t>
            </w:r>
            <w:r>
              <w:rPr>
                <w:rFonts w:hint="eastAsia" w:ascii="宋体" w:hAnsi="宋体"/>
                <w:color w:val="auto"/>
                <w:szCs w:val="21"/>
                <w:highlight w:val="none"/>
                <w:lang w:eastAsia="zh-CN"/>
              </w:rPr>
              <w:t>：</w:t>
            </w:r>
            <w:r>
              <w:rPr>
                <w:rFonts w:hint="eastAsia" w:ascii="宋体" w:hAnsi="宋体"/>
                <w:color w:val="auto"/>
                <w:szCs w:val="21"/>
                <w:highlight w:val="none"/>
              </w:rPr>
              <w:t>评标委员会共</w:t>
            </w:r>
            <w:permStart w:id="87"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permEnd w:id="87"/>
            <w:r>
              <w:rPr>
                <w:rFonts w:hint="eastAsia" w:ascii="宋体" w:hAnsi="宋体"/>
                <w:color w:val="auto"/>
                <w:szCs w:val="21"/>
                <w:highlight w:val="none"/>
              </w:rPr>
              <w:t>人。【备注：</w:t>
            </w:r>
            <w:r>
              <w:rPr>
                <w:rFonts w:hint="eastAsia" w:ascii="宋体" w:hAnsi="宋体"/>
                <w:color w:val="auto"/>
                <w:szCs w:val="21"/>
                <w:highlight w:val="none"/>
                <w:lang w:val="en-US" w:eastAsia="zh-CN"/>
              </w:rPr>
              <w:t>5人或以上单数。</w:t>
            </w:r>
            <w:r>
              <w:rPr>
                <w:rFonts w:hint="eastAsia" w:ascii="宋体" w:hAnsi="宋体"/>
                <w:color w:val="auto"/>
                <w:szCs w:val="21"/>
                <w:highlight w:val="none"/>
              </w:rPr>
              <w:t>】</w:t>
            </w:r>
          </w:p>
          <w:p w14:paraId="488E8A99">
            <w:pPr>
              <w:spacing w:line="360" w:lineRule="auto"/>
              <w:rPr>
                <w:rFonts w:hint="eastAsia" w:ascii="宋体" w:hAnsi="宋体"/>
                <w:color w:val="auto"/>
                <w:szCs w:val="21"/>
                <w:highlight w:val="none"/>
                <w:u w:val="single"/>
              </w:rPr>
            </w:pPr>
            <w:r>
              <w:rPr>
                <w:rFonts w:hint="eastAsia" w:ascii="宋体" w:hAnsi="宋体"/>
                <w:color w:val="auto"/>
                <w:szCs w:val="21"/>
                <w:highlight w:val="none"/>
              </w:rPr>
              <w:t>评标专家确定方式：</w:t>
            </w:r>
            <w:permStart w:id="88" w:edGrp="everyone"/>
            <w:r>
              <w:rPr>
                <w:rFonts w:hint="eastAsia" w:ascii="宋体" w:hAnsi="宋体"/>
                <w:color w:val="auto"/>
                <w:szCs w:val="21"/>
                <w:highlight w:val="none"/>
                <w:u w:val="single"/>
              </w:rPr>
              <w:t xml:space="preserve"> 在专家库中随机抽取 </w:t>
            </w:r>
            <w:permEnd w:id="88"/>
          </w:p>
          <w:p w14:paraId="2AFD39EF">
            <w:pPr>
              <w:spacing w:line="360" w:lineRule="auto"/>
              <w:rPr>
                <w:rFonts w:ascii="宋体"/>
                <w:color w:val="auto"/>
                <w:szCs w:val="21"/>
                <w:highlight w:val="none"/>
                <w:u w:val="single"/>
              </w:rPr>
            </w:pPr>
            <w:r>
              <w:rPr>
                <w:rFonts w:hint="eastAsia"/>
                <w:color w:val="auto"/>
                <w:highlight w:val="none"/>
              </w:rPr>
              <w:t>【</w:t>
            </w:r>
            <w:r>
              <w:rPr>
                <w:rFonts w:hint="eastAsia"/>
                <w:color w:val="auto"/>
                <w:highlight w:val="none"/>
                <w:lang w:val="en-US" w:eastAsia="zh-CN"/>
              </w:rPr>
              <w:t>备注：</w:t>
            </w:r>
            <w:r>
              <w:rPr>
                <w:rFonts w:hint="eastAsia" w:ascii="宋体" w:hAnsi="宋体"/>
                <w:color w:val="auto"/>
                <w:szCs w:val="21"/>
                <w:highlight w:val="none"/>
              </w:rPr>
              <w:t>评标专家一般从专家库随机抽取，对于技术复杂、专业性强或者国家有特殊要求的项目，招标人也可以直接邀请相应专业的中国科学院院士、中国工程院院士、全国工程勘察设计大师以及境外具有相应资历的专家参加评标</w:t>
            </w:r>
            <w:r>
              <w:rPr>
                <w:rFonts w:hint="eastAsia" w:ascii="宋体" w:hAnsi="宋体"/>
                <w:color w:val="auto"/>
                <w:szCs w:val="21"/>
                <w:highlight w:val="none"/>
                <w:lang w:eastAsia="zh-CN"/>
              </w:rPr>
              <w:t>。</w:t>
            </w:r>
            <w:r>
              <w:rPr>
                <w:rFonts w:hint="eastAsia"/>
                <w:color w:val="auto"/>
                <w:highlight w:val="none"/>
              </w:rPr>
              <w:t>】</w:t>
            </w:r>
          </w:p>
        </w:tc>
      </w:tr>
      <w:tr w14:paraId="5CAA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1080" w:type="dxa"/>
            <w:noWrap w:val="0"/>
            <w:vAlign w:val="center"/>
          </w:tcPr>
          <w:p w14:paraId="0C32D8F9">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7.3</w:t>
            </w:r>
          </w:p>
        </w:tc>
        <w:tc>
          <w:tcPr>
            <w:tcW w:w="2181" w:type="dxa"/>
            <w:noWrap w:val="0"/>
            <w:vAlign w:val="center"/>
          </w:tcPr>
          <w:p w14:paraId="47E6C256">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评标办法</w:t>
            </w:r>
          </w:p>
        </w:tc>
        <w:tc>
          <w:tcPr>
            <w:tcW w:w="6237" w:type="dxa"/>
            <w:noWrap w:val="0"/>
            <w:vAlign w:val="center"/>
          </w:tcPr>
          <w:p w14:paraId="65E3A5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permStart w:id="89" w:edGrp="everyone"/>
            <w:r>
              <w:rPr>
                <w:rFonts w:hint="eastAsia"/>
                <w:color w:val="auto"/>
                <w:highlight w:val="none"/>
                <w:lang w:eastAsia="zh-CN"/>
              </w:rPr>
              <w:t>☑</w:t>
            </w:r>
            <w:permEnd w:id="89"/>
            <w:r>
              <w:rPr>
                <w:rFonts w:hint="eastAsia"/>
                <w:color w:val="auto"/>
                <w:highlight w:val="none"/>
                <w:lang w:val="en-US" w:eastAsia="zh-CN"/>
              </w:rPr>
              <w:t xml:space="preserve"> 定性评审</w:t>
            </w:r>
          </w:p>
          <w:p w14:paraId="4B72B3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2"/>
                <w:sz w:val="21"/>
                <w:szCs w:val="24"/>
                <w:highlight w:val="none"/>
                <w:lang w:val="en-US" w:eastAsia="zh-CN" w:bidi="ar-SA"/>
              </w:rPr>
            </w:pPr>
            <w:permStart w:id="90" w:edGrp="everyone"/>
            <w:r>
              <w:rPr>
                <w:rFonts w:hint="eastAsia"/>
                <w:color w:val="auto"/>
                <w:highlight w:val="none"/>
              </w:rPr>
              <w:t>□</w:t>
            </w:r>
            <w:permEnd w:id="90"/>
            <w:r>
              <w:rPr>
                <w:rFonts w:hint="eastAsia"/>
                <w:color w:val="auto"/>
                <w:highlight w:val="none"/>
                <w:lang w:val="en-US" w:eastAsia="zh-CN"/>
              </w:rPr>
              <w:t xml:space="preserve"> 定量评审，推荐定标候选人数量：</w:t>
            </w:r>
            <w:permStart w:id="91" w:edGrp="everyone"/>
            <w:r>
              <w:rPr>
                <w:rFonts w:hint="eastAsia"/>
                <w:color w:val="auto"/>
                <w:highlight w:val="none"/>
                <w:u w:val="single"/>
              </w:rPr>
              <w:t xml:space="preserve">   </w:t>
            </w:r>
            <w:r>
              <w:rPr>
                <w:rFonts w:hint="eastAsia"/>
                <w:color w:val="auto"/>
                <w:highlight w:val="none"/>
                <w:u w:val="single"/>
                <w:lang w:val="en-US" w:eastAsia="zh-CN"/>
              </w:rPr>
              <w:t xml:space="preserve"> </w:t>
            </w:r>
            <w:permEnd w:id="91"/>
            <w:r>
              <w:rPr>
                <w:rFonts w:hint="eastAsia"/>
                <w:color w:val="auto"/>
                <w:highlight w:val="none"/>
                <w:lang w:val="en-US" w:eastAsia="zh-CN"/>
              </w:rPr>
              <w:t xml:space="preserve"> </w:t>
            </w:r>
            <w:r>
              <w:rPr>
                <w:rFonts w:hint="eastAsia"/>
                <w:color w:val="auto"/>
                <w:highlight w:val="none"/>
              </w:rPr>
              <w:t>【备注：</w:t>
            </w:r>
            <w:r>
              <w:rPr>
                <w:rFonts w:hint="eastAsia" w:ascii="宋体" w:hAnsi="宋体" w:eastAsia="宋体" w:cs="Times New Roman"/>
                <w:color w:val="auto"/>
                <w:szCs w:val="21"/>
                <w:highlight w:val="none"/>
                <w:lang w:val="en-US" w:eastAsia="zh-CN"/>
              </w:rPr>
              <w:t>不少于5</w:t>
            </w:r>
            <w:r>
              <w:rPr>
                <w:rFonts w:hint="eastAsia"/>
                <w:color w:val="auto"/>
                <w:highlight w:val="none"/>
                <w:lang w:val="en-US" w:eastAsia="zh-CN"/>
              </w:rPr>
              <w:t>名（含本数）。</w:t>
            </w:r>
            <w:r>
              <w:rPr>
                <w:rFonts w:hint="eastAsia"/>
                <w:color w:val="auto"/>
                <w:highlight w:val="none"/>
              </w:rPr>
              <w:t>当通过评标委员会评审的有效投标人数量已低于（或等于）规定的推荐定标候选人数量时，除投标文件出现无效投标情形外，所有投标</w:t>
            </w:r>
            <w:r>
              <w:rPr>
                <w:rFonts w:hint="eastAsia"/>
                <w:color w:val="auto"/>
                <w:highlight w:val="none"/>
                <w:lang w:val="en-US" w:eastAsia="zh-CN"/>
              </w:rPr>
              <w:t>人</w:t>
            </w:r>
            <w:r>
              <w:rPr>
                <w:rFonts w:hint="eastAsia"/>
                <w:color w:val="auto"/>
                <w:highlight w:val="none"/>
              </w:rPr>
              <w:t>均推荐为定标候选人。】</w:t>
            </w:r>
          </w:p>
        </w:tc>
      </w:tr>
      <w:tr w14:paraId="64E08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14:paraId="142054C2">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8.2</w:t>
            </w:r>
          </w:p>
        </w:tc>
        <w:tc>
          <w:tcPr>
            <w:tcW w:w="2181" w:type="dxa"/>
            <w:noWrap w:val="0"/>
            <w:vAlign w:val="center"/>
          </w:tcPr>
          <w:p w14:paraId="7DA96F94">
            <w:pPr>
              <w:spacing w:line="360" w:lineRule="auto"/>
              <w:jc w:val="center"/>
              <w:rPr>
                <w:rFonts w:hint="eastAsia"/>
                <w:color w:val="auto"/>
                <w:highlight w:val="none"/>
                <w:lang w:val="en-US" w:eastAsia="zh-CN"/>
              </w:rPr>
            </w:pPr>
            <w:r>
              <w:rPr>
                <w:rFonts w:hint="eastAsia" w:ascii="宋体" w:hAnsi="宋体"/>
                <w:color w:val="auto"/>
                <w:szCs w:val="21"/>
                <w:highlight w:val="none"/>
                <w:lang w:val="en-US" w:eastAsia="zh-CN"/>
              </w:rPr>
              <w:t>定</w:t>
            </w:r>
            <w:r>
              <w:rPr>
                <w:rFonts w:hint="eastAsia" w:ascii="宋体" w:hAnsi="宋体"/>
                <w:color w:val="auto"/>
                <w:szCs w:val="21"/>
                <w:highlight w:val="none"/>
              </w:rPr>
              <w:t>标委员会的组建</w:t>
            </w:r>
          </w:p>
        </w:tc>
        <w:tc>
          <w:tcPr>
            <w:tcW w:w="6237" w:type="dxa"/>
            <w:noWrap w:val="0"/>
            <w:vAlign w:val="center"/>
          </w:tcPr>
          <w:p w14:paraId="347752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定</w:t>
            </w:r>
            <w:r>
              <w:rPr>
                <w:rFonts w:hint="eastAsia"/>
                <w:color w:val="auto"/>
                <w:highlight w:val="none"/>
              </w:rPr>
              <w:t>标委员会构成</w:t>
            </w:r>
            <w:r>
              <w:rPr>
                <w:rFonts w:hint="eastAsia"/>
                <w:color w:val="auto"/>
                <w:highlight w:val="none"/>
                <w:lang w:eastAsia="zh-CN"/>
              </w:rPr>
              <w:t>：定</w:t>
            </w:r>
            <w:r>
              <w:rPr>
                <w:rFonts w:hint="eastAsia"/>
                <w:color w:val="auto"/>
                <w:highlight w:val="none"/>
              </w:rPr>
              <w:t>标委员会共</w:t>
            </w:r>
            <w:permStart w:id="92" w:edGrp="everyone"/>
            <w:r>
              <w:rPr>
                <w:rFonts w:hint="eastAsia"/>
                <w:color w:val="auto"/>
                <w:highlight w:val="none"/>
                <w:u w:val="single"/>
              </w:rPr>
              <w:t xml:space="preserve"> </w:t>
            </w:r>
            <w:r>
              <w:rPr>
                <w:rFonts w:hint="eastAsia"/>
                <w:color w:val="auto"/>
                <w:highlight w:val="none"/>
                <w:u w:val="single"/>
                <w:lang w:val="en-US" w:eastAsia="zh-CN"/>
              </w:rPr>
              <w:t>7</w:t>
            </w:r>
            <w:r>
              <w:rPr>
                <w:rFonts w:hint="eastAsia"/>
                <w:color w:val="auto"/>
                <w:highlight w:val="none"/>
                <w:u w:val="single"/>
              </w:rPr>
              <w:t xml:space="preserve"> </w:t>
            </w:r>
            <w:permEnd w:id="92"/>
            <w:r>
              <w:rPr>
                <w:rFonts w:hint="eastAsia"/>
                <w:color w:val="auto"/>
                <w:highlight w:val="none"/>
              </w:rPr>
              <w:t>人。</w:t>
            </w:r>
          </w:p>
          <w:p w14:paraId="48B679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备注：</w:t>
            </w:r>
            <w:r>
              <w:rPr>
                <w:rFonts w:hint="eastAsia" w:ascii="宋体" w:hAnsi="宋体"/>
                <w:color w:val="auto"/>
                <w:szCs w:val="21"/>
                <w:highlight w:val="none"/>
                <w:lang w:val="en-US" w:eastAsia="zh-CN"/>
              </w:rPr>
              <w:t>7人或以上单数。</w:t>
            </w:r>
            <w:r>
              <w:rPr>
                <w:rFonts w:hint="eastAsia"/>
                <w:color w:val="auto"/>
                <w:highlight w:val="none"/>
              </w:rPr>
              <w:t>定标委员会由招标人</w:t>
            </w:r>
            <w:r>
              <w:rPr>
                <w:rFonts w:hint="eastAsia"/>
                <w:color w:val="auto"/>
                <w:highlight w:val="none"/>
                <w:lang w:val="en-US" w:eastAsia="zh-CN"/>
              </w:rPr>
              <w:t>从</w:t>
            </w:r>
            <w:r>
              <w:rPr>
                <w:rFonts w:hint="eastAsia"/>
                <w:color w:val="auto"/>
                <w:highlight w:val="none"/>
              </w:rPr>
              <w:t>定标成员库中随机抽取确定</w:t>
            </w:r>
            <w:r>
              <w:rPr>
                <w:rFonts w:hint="eastAsia"/>
                <w:color w:val="auto"/>
                <w:highlight w:val="none"/>
                <w:lang w:eastAsia="zh-CN"/>
              </w:rPr>
              <w:t>，</w:t>
            </w:r>
            <w:r>
              <w:rPr>
                <w:rFonts w:hint="eastAsia"/>
                <w:color w:val="auto"/>
                <w:highlight w:val="none"/>
              </w:rPr>
              <w:t>招标人的法定代表人或主要负责人</w:t>
            </w:r>
            <w:r>
              <w:rPr>
                <w:rFonts w:hint="eastAsia"/>
                <w:color w:val="auto"/>
                <w:highlight w:val="none"/>
                <w:lang w:val="en-US" w:eastAsia="zh-CN"/>
              </w:rPr>
              <w:t>也</w:t>
            </w:r>
            <w:r>
              <w:rPr>
                <w:rFonts w:hint="eastAsia"/>
                <w:color w:val="auto"/>
                <w:highlight w:val="none"/>
              </w:rPr>
              <w:t>可从本单位直接指定部分定标委员会成员，或邀请符合法律法规规定的专家作为定标委员会成员，但总数不得超过定标委员会成员总数的三分之一。】</w:t>
            </w:r>
          </w:p>
        </w:tc>
      </w:tr>
      <w:tr w14:paraId="58F2D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vMerge w:val="restart"/>
            <w:noWrap w:val="0"/>
            <w:vAlign w:val="center"/>
          </w:tcPr>
          <w:p w14:paraId="23635805">
            <w:pPr>
              <w:spacing w:line="360" w:lineRule="auto"/>
              <w:jc w:val="center"/>
              <w:rPr>
                <w:rFonts w:hint="default"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8.4.2</w:t>
            </w:r>
          </w:p>
        </w:tc>
        <w:tc>
          <w:tcPr>
            <w:tcW w:w="2181" w:type="dxa"/>
            <w:vMerge w:val="restart"/>
            <w:noWrap w:val="0"/>
            <w:vAlign w:val="center"/>
          </w:tcPr>
          <w:p w14:paraId="0BC2838D">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定标方法</w:t>
            </w:r>
          </w:p>
        </w:tc>
        <w:tc>
          <w:tcPr>
            <w:tcW w:w="6237" w:type="dxa"/>
            <w:noWrap w:val="0"/>
            <w:vAlign w:val="center"/>
          </w:tcPr>
          <w:p w14:paraId="5E106922">
            <w:pPr>
              <w:pStyle w:val="6"/>
              <w:rPr>
                <w:rFonts w:hint="default" w:ascii="宋体" w:hAnsi="宋体" w:eastAsia="宋体" w:cs="Times New Roman"/>
                <w:b w:val="0"/>
                <w:bCs w:val="0"/>
                <w:color w:val="auto"/>
                <w:kern w:val="2"/>
                <w:sz w:val="21"/>
                <w:szCs w:val="21"/>
                <w:highlight w:val="none"/>
                <w:lang w:val="en-US" w:eastAsia="zh-CN" w:bidi="ar-SA"/>
              </w:rPr>
            </w:pPr>
            <w:permStart w:id="93" w:edGrp="everyone"/>
            <w:r>
              <w:rPr>
                <w:rFonts w:hint="eastAsia" w:ascii="Times New Roman" w:hAnsi="Times New Roman" w:cs="Times New Roman"/>
                <w:b w:val="0"/>
                <w:bCs w:val="0"/>
                <w:color w:val="auto"/>
                <w:kern w:val="2"/>
                <w:sz w:val="21"/>
                <w:szCs w:val="24"/>
                <w:highlight w:val="none"/>
                <w:lang w:val="en-US" w:eastAsia="zh-CN" w:bidi="ar-SA"/>
              </w:rPr>
              <w:t>☑</w:t>
            </w:r>
            <w:permEnd w:id="93"/>
            <w:r>
              <w:rPr>
                <w:rFonts w:hint="eastAsia" w:ascii="宋体" w:hAnsi="宋体" w:eastAsia="宋体" w:cs="Times New Roman"/>
                <w:b w:val="0"/>
                <w:bCs w:val="0"/>
                <w:color w:val="auto"/>
                <w:kern w:val="2"/>
                <w:sz w:val="21"/>
                <w:szCs w:val="21"/>
                <w:highlight w:val="none"/>
                <w:lang w:val="en-US" w:eastAsia="zh-CN" w:bidi="ar-SA"/>
              </w:rPr>
              <w:t xml:space="preserve"> 1. 票</w:t>
            </w:r>
            <w:r>
              <w:rPr>
                <w:rFonts w:hint="default" w:ascii="宋体" w:hAnsi="宋体" w:eastAsia="宋体" w:cs="Times New Roman"/>
                <w:b w:val="0"/>
                <w:bCs w:val="0"/>
                <w:color w:val="auto"/>
                <w:kern w:val="2"/>
                <w:sz w:val="21"/>
                <w:szCs w:val="21"/>
                <w:highlight w:val="none"/>
                <w:lang w:val="en-US" w:eastAsia="zh-CN" w:bidi="ar-SA"/>
              </w:rPr>
              <w:t>决定标法</w:t>
            </w:r>
          </w:p>
          <w:p w14:paraId="339131EC">
            <w:pPr>
              <w:pStyle w:val="6"/>
              <w:rPr>
                <w:rFonts w:hint="default" w:ascii="宋体" w:hAnsi="宋体" w:eastAsia="宋体" w:cs="Times New Roman"/>
                <w:b w:val="0"/>
                <w:bCs w:val="0"/>
                <w:color w:val="auto"/>
                <w:kern w:val="2"/>
                <w:sz w:val="21"/>
                <w:szCs w:val="21"/>
                <w:highlight w:val="none"/>
                <w:lang w:val="en-US" w:eastAsia="zh-CN" w:bidi="ar-SA"/>
              </w:rPr>
            </w:pPr>
            <w:permStart w:id="94" w:edGrp="everyone"/>
            <w:r>
              <w:rPr>
                <w:rFonts w:hint="eastAsia" w:ascii="宋体" w:hAnsi="宋体" w:eastAsia="宋体" w:cs="Times New Roman"/>
                <w:b w:val="0"/>
                <w:bCs w:val="0"/>
                <w:color w:val="auto"/>
                <w:kern w:val="2"/>
                <w:sz w:val="21"/>
                <w:szCs w:val="21"/>
                <w:highlight w:val="none"/>
                <w:lang w:val="en-US" w:eastAsia="zh-CN" w:bidi="ar-SA"/>
              </w:rPr>
              <w:t>□</w:t>
            </w:r>
            <w:permEnd w:id="94"/>
            <w:r>
              <w:rPr>
                <w:rFonts w:hint="eastAsia" w:ascii="宋体" w:hAnsi="宋体" w:eastAsia="宋体" w:cs="Times New Roman"/>
                <w:b w:val="0"/>
                <w:bCs w:val="0"/>
                <w:color w:val="auto"/>
                <w:kern w:val="2"/>
                <w:sz w:val="21"/>
                <w:szCs w:val="21"/>
                <w:highlight w:val="none"/>
                <w:lang w:val="en-US" w:eastAsia="zh-CN" w:bidi="ar-SA"/>
              </w:rPr>
              <w:t xml:space="preserve"> 2. </w:t>
            </w:r>
            <w:r>
              <w:rPr>
                <w:rFonts w:hint="default" w:ascii="宋体" w:hAnsi="宋体" w:eastAsia="宋体" w:cs="Times New Roman"/>
                <w:b w:val="0"/>
                <w:bCs w:val="0"/>
                <w:color w:val="auto"/>
                <w:kern w:val="2"/>
                <w:sz w:val="21"/>
                <w:szCs w:val="21"/>
                <w:highlight w:val="none"/>
                <w:lang w:val="en-US" w:eastAsia="zh-CN" w:bidi="ar-SA"/>
              </w:rPr>
              <w:t>集体议事定标法</w:t>
            </w:r>
          </w:p>
          <w:p w14:paraId="37F9CAC0">
            <w:pPr>
              <w:pStyle w:val="6"/>
              <w:rPr>
                <w:rFonts w:hint="eastAsia" w:ascii="Arial" w:hAnsi="Arial"/>
                <w:b/>
                <w:bCs/>
                <w:color w:val="auto"/>
                <w:kern w:val="2"/>
                <w:sz w:val="21"/>
                <w:szCs w:val="28"/>
                <w:highlight w:val="none"/>
                <w:lang w:val="en-US" w:eastAsia="zh-CN" w:bidi="ar-SA"/>
              </w:rPr>
            </w:pPr>
            <w:permStart w:id="95" w:edGrp="everyone"/>
            <w:r>
              <w:rPr>
                <w:rFonts w:hint="eastAsia" w:ascii="宋体" w:hAnsi="宋体" w:eastAsia="宋体" w:cs="Times New Roman"/>
                <w:b w:val="0"/>
                <w:bCs w:val="0"/>
                <w:color w:val="auto"/>
                <w:kern w:val="2"/>
                <w:sz w:val="21"/>
                <w:szCs w:val="21"/>
                <w:highlight w:val="none"/>
                <w:lang w:val="en-US" w:eastAsia="zh-CN" w:bidi="ar-SA"/>
              </w:rPr>
              <w:t>□</w:t>
            </w:r>
            <w:permEnd w:id="95"/>
            <w:r>
              <w:rPr>
                <w:rFonts w:hint="eastAsia" w:ascii="宋体" w:hAnsi="宋体" w:eastAsia="宋体" w:cs="Times New Roman"/>
                <w:b w:val="0"/>
                <w:bCs w:val="0"/>
                <w:color w:val="auto"/>
                <w:kern w:val="2"/>
                <w:sz w:val="21"/>
                <w:szCs w:val="21"/>
                <w:highlight w:val="none"/>
                <w:lang w:val="en-US" w:eastAsia="zh-CN" w:bidi="ar-SA"/>
              </w:rPr>
              <w:t xml:space="preserve"> 3. </w:t>
            </w:r>
            <w:permStart w:id="96" w:edGrp="everyone"/>
            <w:r>
              <w:rPr>
                <w:rFonts w:hint="eastAsia" w:ascii="Times New Roman" w:hAnsi="Times New Roman" w:eastAsia="宋体" w:cs="Times New Roman"/>
                <w:b w:val="0"/>
                <w:bCs w:val="0"/>
                <w:color w:val="auto"/>
                <w:kern w:val="2"/>
                <w:sz w:val="21"/>
                <w:szCs w:val="24"/>
                <w:highlight w:val="none"/>
                <w:lang w:val="en-US" w:eastAsia="zh-CN" w:bidi="ar-SA"/>
              </w:rPr>
              <w:t>符合法律法规规定的其它定标方法。</w:t>
            </w:r>
            <w:permEnd w:id="96"/>
          </w:p>
        </w:tc>
      </w:tr>
      <w:tr w14:paraId="00B98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vMerge w:val="continue"/>
            <w:noWrap w:val="0"/>
            <w:vAlign w:val="center"/>
          </w:tcPr>
          <w:p w14:paraId="0A51A93D">
            <w:pPr>
              <w:spacing w:line="360" w:lineRule="auto"/>
              <w:jc w:val="center"/>
              <w:rPr>
                <w:rFonts w:hint="eastAsia" w:ascii="宋体" w:hAnsi="宋体"/>
                <w:color w:val="auto"/>
                <w:szCs w:val="21"/>
                <w:highlight w:val="none"/>
                <w:lang w:val="en-US" w:eastAsia="zh-CN"/>
              </w:rPr>
            </w:pPr>
          </w:p>
        </w:tc>
        <w:tc>
          <w:tcPr>
            <w:tcW w:w="2181" w:type="dxa"/>
            <w:vMerge w:val="continue"/>
            <w:noWrap w:val="0"/>
            <w:vAlign w:val="center"/>
          </w:tcPr>
          <w:p w14:paraId="537B7447">
            <w:pPr>
              <w:spacing w:line="360" w:lineRule="auto"/>
              <w:jc w:val="center"/>
              <w:rPr>
                <w:rFonts w:hint="eastAsia"/>
                <w:color w:val="auto"/>
                <w:highlight w:val="none"/>
                <w:lang w:val="en-US" w:eastAsia="zh-CN"/>
              </w:rPr>
            </w:pPr>
          </w:p>
        </w:tc>
        <w:tc>
          <w:tcPr>
            <w:tcW w:w="6237" w:type="dxa"/>
            <w:noWrap w:val="0"/>
            <w:vAlign w:val="center"/>
          </w:tcPr>
          <w:p w14:paraId="6755E864">
            <w:pPr>
              <w:numPr>
                <w:ilvl w:val="0"/>
                <w:numId w:val="0"/>
              </w:numPr>
              <w:adjustRightInd w:val="0"/>
              <w:snapToGrid w:val="0"/>
              <w:spacing w:line="360" w:lineRule="auto"/>
              <w:ind w:firstLine="210" w:firstLineChars="100"/>
              <w:rPr>
                <w:rFonts w:hint="eastAsia"/>
                <w:color w:val="auto"/>
                <w:highlight w:val="none"/>
              </w:rPr>
            </w:pPr>
            <w:r>
              <w:rPr>
                <w:rFonts w:hint="eastAsia"/>
                <w:color w:val="auto"/>
                <w:highlight w:val="none"/>
              </w:rPr>
              <w:t>票决定标方式：</w:t>
            </w:r>
          </w:p>
          <w:p w14:paraId="59CC4969">
            <w:pPr>
              <w:numPr>
                <w:ilvl w:val="0"/>
                <w:numId w:val="0"/>
              </w:numPr>
              <w:adjustRightInd w:val="0"/>
              <w:snapToGrid w:val="0"/>
              <w:spacing w:line="360" w:lineRule="auto"/>
              <w:ind w:firstLine="210" w:firstLineChars="100"/>
              <w:rPr>
                <w:rFonts w:hint="eastAsia"/>
                <w:color w:val="auto"/>
                <w:highlight w:val="none"/>
              </w:rPr>
            </w:pPr>
            <w:permStart w:id="97" w:edGrp="everyone"/>
            <w:r>
              <w:rPr>
                <w:rFonts w:hint="eastAsia"/>
                <w:color w:val="auto"/>
                <w:highlight w:val="none"/>
                <w:lang w:eastAsia="zh-CN"/>
              </w:rPr>
              <w:t>☑</w:t>
            </w:r>
            <w:permEnd w:id="97"/>
            <w:r>
              <w:rPr>
                <w:rFonts w:hint="eastAsia"/>
                <w:color w:val="auto"/>
                <w:highlight w:val="none"/>
                <w:lang w:val="en-US" w:eastAsia="zh-CN"/>
              </w:rPr>
              <w:t xml:space="preserve"> </w:t>
            </w:r>
            <w:r>
              <w:rPr>
                <w:rFonts w:hint="eastAsia"/>
                <w:color w:val="auto"/>
                <w:highlight w:val="none"/>
              </w:rPr>
              <w:t>票决计分法</w:t>
            </w:r>
          </w:p>
          <w:p w14:paraId="2551D632">
            <w:pPr>
              <w:numPr>
                <w:ilvl w:val="0"/>
                <w:numId w:val="0"/>
              </w:numPr>
              <w:adjustRightInd w:val="0"/>
              <w:snapToGrid w:val="0"/>
              <w:spacing w:line="360" w:lineRule="auto"/>
              <w:ind w:firstLine="210" w:firstLineChars="100"/>
              <w:rPr>
                <w:rFonts w:hint="eastAsia"/>
                <w:color w:val="auto"/>
                <w:highlight w:val="none"/>
              </w:rPr>
            </w:pPr>
            <w:permStart w:id="98" w:edGrp="everyone"/>
            <w:r>
              <w:rPr>
                <w:rFonts w:hint="eastAsia"/>
                <w:color w:val="auto"/>
                <w:highlight w:val="none"/>
                <w:lang w:eastAsia="zh-CN"/>
              </w:rPr>
              <w:t>□</w:t>
            </w:r>
            <w:permEnd w:id="98"/>
            <w:r>
              <w:rPr>
                <w:rFonts w:hint="eastAsia"/>
                <w:color w:val="auto"/>
                <w:highlight w:val="none"/>
                <w:lang w:val="en-US" w:eastAsia="zh-CN"/>
              </w:rPr>
              <w:t xml:space="preserve"> </w:t>
            </w:r>
            <w:r>
              <w:rPr>
                <w:rFonts w:hint="eastAsia" w:ascii="Times New Roman" w:hAnsi="Times New Roman" w:eastAsia="宋体" w:cs="Times New Roman"/>
                <w:color w:val="auto"/>
                <w:highlight w:val="none"/>
                <w:lang w:val="en-US" w:eastAsia="zh-CN"/>
              </w:rPr>
              <w:t>简单多数计票法</w:t>
            </w:r>
          </w:p>
          <w:p w14:paraId="5C00D92D">
            <w:pPr>
              <w:numPr>
                <w:ilvl w:val="0"/>
                <w:numId w:val="0"/>
              </w:numPr>
              <w:adjustRightInd w:val="0"/>
              <w:snapToGrid w:val="0"/>
              <w:spacing w:line="360" w:lineRule="auto"/>
              <w:ind w:firstLine="210" w:firstLineChars="100"/>
              <w:rPr>
                <w:rFonts w:hint="eastAsia" w:ascii="宋体" w:hAnsi="宋体"/>
                <w:color w:val="auto"/>
                <w:szCs w:val="21"/>
                <w:highlight w:val="none"/>
              </w:rPr>
            </w:pPr>
            <w:permStart w:id="99" w:edGrp="everyone"/>
            <w:r>
              <w:rPr>
                <w:rFonts w:hint="eastAsia"/>
                <w:color w:val="auto"/>
                <w:highlight w:val="none"/>
              </w:rPr>
              <w:t>□</w:t>
            </w:r>
            <w:permEnd w:id="99"/>
            <w:r>
              <w:rPr>
                <w:rFonts w:hint="eastAsia"/>
                <w:color w:val="auto"/>
                <w:highlight w:val="none"/>
                <w:lang w:val="en-US" w:eastAsia="zh-CN"/>
              </w:rPr>
              <w:t xml:space="preserve"> </w:t>
            </w:r>
            <w:r>
              <w:rPr>
                <w:rFonts w:hint="eastAsia"/>
                <w:color w:val="auto"/>
                <w:highlight w:val="none"/>
              </w:rPr>
              <w:t>逐轮票决法</w:t>
            </w:r>
            <w:r>
              <w:rPr>
                <w:rFonts w:hint="eastAsia"/>
                <w:color w:val="auto"/>
                <w:highlight w:val="none"/>
                <w:lang w:eastAsia="zh-CN"/>
              </w:rPr>
              <w:t>。</w:t>
            </w:r>
            <w:r>
              <w:rPr>
                <w:rFonts w:hint="eastAsia" w:ascii="宋体" w:hAnsi="宋体" w:cs="宋体"/>
                <w:color w:val="auto"/>
                <w:kern w:val="0"/>
                <w:sz w:val="21"/>
                <w:szCs w:val="24"/>
                <w:highlight w:val="none"/>
                <w:lang w:val="en-US" w:eastAsia="zh-CN" w:bidi="ar-SA"/>
              </w:rPr>
              <w:t>当</w:t>
            </w:r>
            <w:r>
              <w:rPr>
                <w:rFonts w:hint="eastAsia" w:ascii="宋体" w:hAnsi="宋体" w:eastAsia="宋体" w:cs="宋体"/>
                <w:color w:val="auto"/>
                <w:kern w:val="0"/>
                <w:sz w:val="21"/>
                <w:szCs w:val="24"/>
                <w:highlight w:val="none"/>
                <w:lang w:val="en-US" w:eastAsia="zh-CN" w:bidi="ar-SA"/>
              </w:rPr>
              <w:t>单轮出现得票数最多的投标人不止1名</w:t>
            </w:r>
            <w:r>
              <w:rPr>
                <w:rFonts w:hint="eastAsia" w:ascii="宋体" w:hAnsi="宋体" w:cs="宋体"/>
                <w:color w:val="auto"/>
                <w:kern w:val="0"/>
                <w:sz w:val="21"/>
                <w:szCs w:val="24"/>
                <w:highlight w:val="none"/>
                <w:lang w:val="en-US" w:eastAsia="zh-CN" w:bidi="ar-SA"/>
              </w:rPr>
              <w:t>且</w:t>
            </w:r>
            <w:r>
              <w:rPr>
                <w:rFonts w:hint="eastAsia" w:ascii="宋体" w:hAnsi="宋体" w:eastAsia="宋体" w:cs="宋体"/>
                <w:color w:val="auto"/>
                <w:kern w:val="0"/>
                <w:sz w:val="21"/>
                <w:szCs w:val="24"/>
                <w:highlight w:val="none"/>
                <w:lang w:val="en-US" w:eastAsia="zh-CN" w:bidi="ar-SA"/>
              </w:rPr>
              <w:t>影响中标候选人确定的，</w:t>
            </w:r>
            <w:r>
              <w:rPr>
                <w:rFonts w:hint="eastAsia" w:ascii="宋体" w:hAnsi="宋体" w:eastAsia="宋体" w:cs="宋体"/>
                <w:kern w:val="0"/>
                <w:sz w:val="21"/>
                <w:szCs w:val="21"/>
                <w:highlight w:val="none"/>
              </w:rPr>
              <w:t>对并列投标人采取如下方式确定</w:t>
            </w:r>
            <w:r>
              <w:rPr>
                <w:rFonts w:hint="eastAsia" w:ascii="宋体" w:hAnsi="宋体" w:eastAsia="宋体" w:cs="宋体"/>
                <w:color w:val="auto"/>
                <w:kern w:val="0"/>
                <w:highlight w:val="none"/>
                <w:lang w:eastAsia="zh-CN"/>
              </w:rPr>
              <w:t>该轮淘汰的投标人</w:t>
            </w:r>
            <w:r>
              <w:rPr>
                <w:rFonts w:hint="eastAsia" w:ascii="宋体" w:hAnsi="宋体" w:eastAsia="宋体" w:cs="宋体"/>
                <w:kern w:val="0"/>
                <w:sz w:val="21"/>
                <w:szCs w:val="21"/>
                <w:highlight w:val="none"/>
              </w:rPr>
              <w:t>：</w:t>
            </w:r>
            <w:permStart w:id="100" w:edGrp="everyone"/>
            <w:r>
              <w:rPr>
                <w:rFonts w:hint="eastAsia"/>
                <w:highlight w:val="green"/>
                <w:u w:val="single"/>
                <w:lang w:val="en-US" w:eastAsia="zh-CN"/>
              </w:rPr>
              <w:t xml:space="preserve">            </w:t>
            </w:r>
            <w:permEnd w:id="100"/>
          </w:p>
        </w:tc>
      </w:tr>
      <w:tr w14:paraId="5686B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14:paraId="00E464F8">
            <w:pPr>
              <w:spacing w:line="360" w:lineRule="auto"/>
              <w:jc w:val="center"/>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8.4.3</w:t>
            </w:r>
          </w:p>
        </w:tc>
        <w:tc>
          <w:tcPr>
            <w:tcW w:w="2181" w:type="dxa"/>
            <w:noWrap w:val="0"/>
            <w:vAlign w:val="center"/>
          </w:tcPr>
          <w:p w14:paraId="3ADB0641">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中标候选人</w:t>
            </w:r>
          </w:p>
        </w:tc>
        <w:tc>
          <w:tcPr>
            <w:tcW w:w="6237" w:type="dxa"/>
            <w:noWrap w:val="0"/>
            <w:vAlign w:val="center"/>
          </w:tcPr>
          <w:p w14:paraId="4AD9EB5C">
            <w:pPr>
              <w:spacing w:line="360" w:lineRule="auto"/>
              <w:rPr>
                <w:rFonts w:hint="eastAsia"/>
                <w:color w:val="auto"/>
                <w:kern w:val="2"/>
                <w:sz w:val="21"/>
                <w:szCs w:val="24"/>
                <w:highlight w:val="none"/>
                <w:lang w:val="en-US" w:eastAsia="zh-CN" w:bidi="ar-SA"/>
              </w:rPr>
            </w:pPr>
            <w:r>
              <w:rPr>
                <w:rFonts w:hint="eastAsia"/>
                <w:color w:val="auto"/>
                <w:highlight w:val="none"/>
              </w:rPr>
              <w:t>推荐的中标候选人数：</w:t>
            </w:r>
            <w:permStart w:id="101" w:edGrp="everyone"/>
            <w:r>
              <w:rPr>
                <w:rFonts w:hint="eastAsia" w:ascii="宋体" w:hAnsi="宋体" w:eastAsia="宋体" w:cs="宋体"/>
                <w:color w:val="auto"/>
                <w:highlight w:val="none"/>
                <w:u w:val="single"/>
                <w:lang w:val="en-US" w:eastAsia="zh-CN"/>
              </w:rPr>
              <w:t xml:space="preserve"> 3 </w:t>
            </w:r>
            <w:permEnd w:id="101"/>
            <w:r>
              <w:rPr>
                <w:rFonts w:hint="eastAsia" w:ascii="宋体" w:hAnsi="宋体"/>
                <w:color w:val="auto"/>
                <w:szCs w:val="21"/>
                <w:highlight w:val="none"/>
              </w:rPr>
              <w:t>【备注：</w:t>
            </w:r>
            <w:r>
              <w:rPr>
                <w:rFonts w:hint="eastAsia" w:ascii="宋体" w:hAnsi="宋体"/>
                <w:color w:val="auto"/>
                <w:szCs w:val="21"/>
                <w:highlight w:val="none"/>
                <w:lang w:val="en-US" w:eastAsia="zh-CN"/>
              </w:rPr>
              <w:t>不超过3名</w:t>
            </w:r>
            <w:r>
              <w:rPr>
                <w:rFonts w:hint="eastAsia" w:ascii="宋体" w:hAnsi="宋体"/>
                <w:color w:val="auto"/>
                <w:szCs w:val="21"/>
                <w:highlight w:val="none"/>
              </w:rPr>
              <w:t>】</w:t>
            </w:r>
          </w:p>
        </w:tc>
      </w:tr>
      <w:tr w14:paraId="1D69A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080" w:type="dxa"/>
            <w:vMerge w:val="restart"/>
            <w:noWrap w:val="0"/>
            <w:vAlign w:val="center"/>
          </w:tcPr>
          <w:p w14:paraId="5EB4AE8F">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2</w:t>
            </w:r>
          </w:p>
        </w:tc>
        <w:tc>
          <w:tcPr>
            <w:tcW w:w="2181" w:type="dxa"/>
            <w:vMerge w:val="restart"/>
            <w:noWrap w:val="0"/>
            <w:vAlign w:val="center"/>
          </w:tcPr>
          <w:p w14:paraId="2C5C6D67">
            <w:pPr>
              <w:spacing w:line="360" w:lineRule="auto"/>
              <w:jc w:val="center"/>
              <w:rPr>
                <w:rFonts w:hint="eastAsia" w:ascii="宋体" w:hAnsi="宋体"/>
                <w:color w:val="auto"/>
                <w:szCs w:val="21"/>
                <w:highlight w:val="none"/>
              </w:rPr>
            </w:pPr>
            <w:r>
              <w:rPr>
                <w:rFonts w:hint="eastAsia" w:ascii="宋体" w:hAnsi="宋体"/>
                <w:color w:val="auto"/>
                <w:szCs w:val="21"/>
                <w:highlight w:val="none"/>
              </w:rPr>
              <w:t>履约担保</w:t>
            </w:r>
          </w:p>
        </w:tc>
        <w:tc>
          <w:tcPr>
            <w:tcW w:w="6237" w:type="dxa"/>
            <w:noWrap w:val="0"/>
            <w:vAlign w:val="center"/>
          </w:tcPr>
          <w:p w14:paraId="680C3597">
            <w:pPr>
              <w:autoSpaceDE w:val="0"/>
              <w:autoSpaceDN w:val="0"/>
              <w:adjustRightInd w:val="0"/>
              <w:spacing w:line="360" w:lineRule="auto"/>
              <w:ind w:left="0"/>
              <w:jc w:val="left"/>
              <w:rPr>
                <w:rFonts w:hint="eastAsia" w:ascii="宋体" w:hAnsi="宋体"/>
                <w:color w:val="auto"/>
                <w:szCs w:val="21"/>
                <w:highlight w:val="none"/>
              </w:rPr>
            </w:pPr>
            <w:permStart w:id="102" w:edGrp="everyone"/>
            <w:r>
              <w:rPr>
                <w:rFonts w:hint="eastAsia" w:ascii="宋体" w:hAnsi="宋体"/>
                <w:color w:val="auto"/>
                <w:szCs w:val="21"/>
                <w:highlight w:val="none"/>
              </w:rPr>
              <w:t>□</w:t>
            </w:r>
            <w:permEnd w:id="102"/>
            <w:r>
              <w:rPr>
                <w:rFonts w:hint="eastAsia" w:ascii="宋体" w:hAnsi="宋体"/>
                <w:color w:val="auto"/>
                <w:szCs w:val="21"/>
                <w:highlight w:val="none"/>
              </w:rPr>
              <w:t>否</w:t>
            </w:r>
          </w:p>
          <w:p w14:paraId="6F597170">
            <w:pPr>
              <w:autoSpaceDE w:val="0"/>
              <w:autoSpaceDN w:val="0"/>
              <w:adjustRightInd w:val="0"/>
              <w:spacing w:line="360" w:lineRule="auto"/>
              <w:ind w:left="0"/>
              <w:jc w:val="left"/>
              <w:rPr>
                <w:rFonts w:hint="eastAsia" w:ascii="宋体" w:hAnsi="宋体"/>
                <w:color w:val="auto"/>
                <w:szCs w:val="21"/>
                <w:highlight w:val="none"/>
              </w:rPr>
            </w:pPr>
            <w:permStart w:id="103" w:edGrp="everyone"/>
            <w:r>
              <w:rPr>
                <w:rFonts w:hint="eastAsia" w:ascii="宋体" w:hAnsi="宋体"/>
                <w:color w:val="auto"/>
                <w:szCs w:val="21"/>
                <w:highlight w:val="none"/>
                <w:lang w:eastAsia="zh-CN"/>
              </w:rPr>
              <w:t>☑</w:t>
            </w:r>
            <w:permEnd w:id="103"/>
            <w:r>
              <w:rPr>
                <w:rFonts w:hint="eastAsia" w:ascii="宋体" w:hAnsi="宋体"/>
                <w:color w:val="auto"/>
                <w:szCs w:val="21"/>
                <w:highlight w:val="none"/>
              </w:rPr>
              <w:t>是</w:t>
            </w:r>
          </w:p>
          <w:p w14:paraId="71A81FBC">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履约担保的形式：</w:t>
            </w:r>
            <w:permStart w:id="104" w:edGrp="everyone"/>
            <w:r>
              <w:rPr>
                <w:rFonts w:hint="eastAsia" w:ascii="宋体" w:hAnsi="宋体"/>
                <w:color w:val="auto"/>
                <w:szCs w:val="21"/>
                <w:highlight w:val="none"/>
                <w:u w:val="single"/>
              </w:rPr>
              <w:t xml:space="preserve"> 转账支票 或 银行保函 或 保证保险</w:t>
            </w:r>
            <w:r>
              <w:rPr>
                <w:rFonts w:hint="eastAsia" w:ascii="宋体" w:hAnsi="宋体"/>
                <w:color w:val="auto"/>
                <w:szCs w:val="21"/>
                <w:highlight w:val="none"/>
                <w:u w:val="single"/>
                <w:lang w:val="en-US" w:eastAsia="zh-CN"/>
              </w:rPr>
              <w:t xml:space="preserve"> 或担保保函</w:t>
            </w:r>
            <w:permEnd w:id="104"/>
            <w:r>
              <w:rPr>
                <w:rFonts w:hint="eastAsia" w:ascii="宋体" w:hAnsi="宋体"/>
                <w:color w:val="auto"/>
                <w:szCs w:val="21"/>
                <w:highlight w:val="none"/>
                <w:u w:val="none"/>
                <w:lang w:val="en-US" w:eastAsia="zh-CN"/>
              </w:rPr>
              <w:t>建议</w:t>
            </w:r>
            <w:r>
              <w:rPr>
                <w:rFonts w:hint="eastAsia"/>
                <w:color w:val="auto"/>
                <w:highlight w:val="none"/>
                <w:lang w:eastAsia="zh-CN"/>
              </w:rPr>
              <w:t>优先选择使用电子保函。</w:t>
            </w:r>
          </w:p>
          <w:p w14:paraId="092BED35">
            <w:pPr>
              <w:autoSpaceDE w:val="0"/>
              <w:autoSpaceDN w:val="0"/>
              <w:adjustRightInd w:val="0"/>
              <w:spacing w:line="360" w:lineRule="auto"/>
              <w:jc w:val="left"/>
              <w:rPr>
                <w:rFonts w:hint="eastAsia" w:ascii="宋体"/>
                <w:color w:val="auto"/>
                <w:szCs w:val="21"/>
                <w:highlight w:val="none"/>
              </w:rPr>
            </w:pPr>
            <w:r>
              <w:rPr>
                <w:rFonts w:hint="eastAsia" w:ascii="宋体" w:hAnsi="宋体"/>
                <w:color w:val="auto"/>
                <w:szCs w:val="21"/>
                <w:highlight w:val="none"/>
              </w:rPr>
              <w:t>履约担保的金额：</w:t>
            </w:r>
            <w:permStart w:id="105" w:edGrp="everyone"/>
            <w:r>
              <w:rPr>
                <w:rFonts w:hint="eastAsia" w:ascii="宋体" w:hAnsi="宋体"/>
                <w:color w:val="auto"/>
                <w:szCs w:val="21"/>
                <w:highlight w:val="none"/>
                <w:u w:val="single"/>
              </w:rPr>
              <w:t xml:space="preserve"> </w:t>
            </w:r>
            <w:r>
              <w:rPr>
                <w:rFonts w:hint="eastAsia" w:ascii="宋体" w:hAnsi="宋体" w:cs="Arial"/>
                <w:color w:val="auto"/>
                <w:kern w:val="0"/>
                <w:szCs w:val="21"/>
                <w:u w:val="single"/>
              </w:rPr>
              <w:t>中标价的10%</w:t>
            </w:r>
            <w:permEnd w:id="105"/>
            <w:r>
              <w:rPr>
                <w:rFonts w:hint="eastAsia"/>
                <w:color w:val="auto"/>
                <w:highlight w:val="none"/>
              </w:rPr>
              <w:t>【</w:t>
            </w:r>
            <w:r>
              <w:rPr>
                <w:rFonts w:hint="eastAsia"/>
                <w:color w:val="auto"/>
                <w:highlight w:val="none"/>
                <w:lang w:eastAsia="zh-CN"/>
              </w:rPr>
              <w:t>备注：</w:t>
            </w:r>
            <w:r>
              <w:rPr>
                <w:rFonts w:hint="eastAsia" w:ascii="宋体" w:hAnsi="宋体"/>
                <w:color w:val="auto"/>
                <w:szCs w:val="21"/>
                <w:highlight w:val="none"/>
              </w:rPr>
              <w:t>不得限定履约保证金只能以现金形式提交。</w:t>
            </w:r>
            <w:r>
              <w:rPr>
                <w:rFonts w:hint="eastAsia" w:ascii="宋体" w:hAnsi="宋体" w:cs="Arial"/>
                <w:color w:val="auto"/>
                <w:kern w:val="0"/>
                <w:szCs w:val="21"/>
                <w:highlight w:val="none"/>
              </w:rPr>
              <w:t>中标人履约担保金额不得超过中标价的10</w:t>
            </w:r>
            <w:r>
              <w:rPr>
                <w:rFonts w:hint="eastAsia" w:ascii="宋体" w:hAnsi="宋体"/>
                <w:color w:val="auto"/>
                <w:szCs w:val="21"/>
                <w:highlight w:val="none"/>
              </w:rPr>
              <w:t>%。</w:t>
            </w:r>
            <w:r>
              <w:rPr>
                <w:rFonts w:hint="eastAsia"/>
                <w:color w:val="auto"/>
                <w:highlight w:val="none"/>
              </w:rPr>
              <w:t>】</w:t>
            </w:r>
          </w:p>
        </w:tc>
      </w:tr>
      <w:tr w14:paraId="57A2A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080" w:type="dxa"/>
            <w:vMerge w:val="continue"/>
            <w:noWrap w:val="0"/>
            <w:vAlign w:val="center"/>
          </w:tcPr>
          <w:p w14:paraId="5806FABF">
            <w:pPr>
              <w:spacing w:line="360" w:lineRule="auto"/>
              <w:jc w:val="center"/>
              <w:rPr>
                <w:rFonts w:hint="default" w:ascii="宋体" w:hAnsi="宋体"/>
                <w:color w:val="auto"/>
                <w:szCs w:val="21"/>
                <w:highlight w:val="none"/>
                <w:lang w:val="en-US"/>
              </w:rPr>
            </w:pPr>
          </w:p>
        </w:tc>
        <w:tc>
          <w:tcPr>
            <w:tcW w:w="2181" w:type="dxa"/>
            <w:vMerge w:val="continue"/>
            <w:noWrap w:val="0"/>
            <w:vAlign w:val="center"/>
          </w:tcPr>
          <w:p w14:paraId="57ED7042">
            <w:pPr>
              <w:spacing w:line="360" w:lineRule="auto"/>
              <w:jc w:val="center"/>
              <w:rPr>
                <w:rFonts w:hint="eastAsia" w:ascii="宋体" w:hAnsi="宋体"/>
                <w:color w:val="auto"/>
                <w:szCs w:val="21"/>
                <w:highlight w:val="none"/>
              </w:rPr>
            </w:pPr>
          </w:p>
        </w:tc>
        <w:tc>
          <w:tcPr>
            <w:tcW w:w="6237" w:type="dxa"/>
            <w:noWrap w:val="0"/>
            <w:vAlign w:val="center"/>
          </w:tcPr>
          <w:p w14:paraId="5DF009E2">
            <w:pPr>
              <w:spacing w:line="360" w:lineRule="auto"/>
              <w:ind w:left="0" w:firstLine="0" w:firstLineChars="0"/>
              <w:jc w:val="left"/>
              <w:rPr>
                <w:rFonts w:hint="eastAsia"/>
                <w:color w:val="auto"/>
                <w:highlight w:val="none"/>
              </w:rPr>
            </w:pPr>
            <w:r>
              <w:rPr>
                <w:rFonts w:hint="eastAsia"/>
                <w:color w:val="auto"/>
                <w:highlight w:val="none"/>
                <w:lang w:val="en-US" w:eastAsia="zh-CN"/>
              </w:rPr>
              <w:t>联合体中标的，履约保证金提交方式：</w:t>
            </w:r>
          </w:p>
          <w:p w14:paraId="1A265BBC">
            <w:pPr>
              <w:spacing w:line="360" w:lineRule="auto"/>
              <w:ind w:left="420"/>
              <w:jc w:val="left"/>
              <w:rPr>
                <w:rFonts w:hint="default" w:ascii="宋体" w:hAnsi="宋体" w:eastAsia="宋体"/>
                <w:color w:val="auto"/>
                <w:szCs w:val="21"/>
                <w:highlight w:val="none"/>
                <w:lang w:val="en-US" w:eastAsia="zh-CN"/>
              </w:rPr>
            </w:pPr>
            <w:permStart w:id="106" w:edGrp="everyone"/>
            <w:r>
              <w:rPr>
                <w:rFonts w:hint="eastAsia" w:ascii="宋体" w:hAnsi="宋体"/>
                <w:color w:val="auto"/>
                <w:szCs w:val="21"/>
                <w:highlight w:val="none"/>
                <w:lang w:eastAsia="zh-CN"/>
              </w:rPr>
              <w:t>□</w:t>
            </w:r>
            <w:permEnd w:id="106"/>
            <w:r>
              <w:rPr>
                <w:rFonts w:hint="eastAsia" w:ascii="宋体" w:hAnsi="宋体"/>
                <w:color w:val="auto"/>
                <w:szCs w:val="21"/>
                <w:highlight w:val="none"/>
                <w:lang w:val="en-US" w:eastAsia="zh-CN"/>
              </w:rPr>
              <w:t xml:space="preserve"> 联合体各方名义提交，具体要求：</w:t>
            </w:r>
            <w:permStart w:id="107" w:edGrp="everyone"/>
            <w:r>
              <w:rPr>
                <w:rFonts w:hint="eastAsia" w:ascii="宋体" w:hAnsi="宋体"/>
                <w:color w:val="auto"/>
                <w:szCs w:val="21"/>
                <w:highlight w:val="none"/>
                <w:u w:val="single"/>
              </w:rPr>
              <w:t xml:space="preserve">      </w:t>
            </w:r>
            <w:permEnd w:id="107"/>
          </w:p>
          <w:p w14:paraId="7BDD467F">
            <w:pPr>
              <w:spacing w:line="360" w:lineRule="auto"/>
              <w:ind w:left="420"/>
              <w:jc w:val="left"/>
              <w:rPr>
                <w:rFonts w:hint="eastAsia"/>
                <w:color w:val="auto"/>
                <w:highlight w:val="none"/>
              </w:rPr>
            </w:pPr>
            <w:permStart w:id="108" w:edGrp="everyone"/>
            <w:r>
              <w:rPr>
                <w:rFonts w:hint="eastAsia" w:ascii="宋体" w:hAnsi="宋体"/>
                <w:color w:val="auto"/>
                <w:szCs w:val="21"/>
                <w:highlight w:val="none"/>
              </w:rPr>
              <w:t>□</w:t>
            </w:r>
            <w:permEnd w:id="108"/>
            <w:r>
              <w:rPr>
                <w:rFonts w:hint="eastAsia" w:ascii="宋体" w:hAnsi="宋体"/>
                <w:color w:val="auto"/>
                <w:szCs w:val="21"/>
                <w:highlight w:val="none"/>
                <w:lang w:val="en-US" w:eastAsia="zh-CN"/>
              </w:rPr>
              <w:t xml:space="preserve"> </w:t>
            </w:r>
            <w:r>
              <w:rPr>
                <w:rFonts w:hint="eastAsia"/>
                <w:color w:val="auto"/>
                <w:highlight w:val="none"/>
                <w:lang w:val="en-US" w:eastAsia="zh-CN"/>
              </w:rPr>
              <w:t>联合体中牵头人的名义提交</w:t>
            </w:r>
          </w:p>
        </w:tc>
      </w:tr>
      <w:tr w14:paraId="0EA48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14:paraId="673BC6DC">
            <w:pPr>
              <w:spacing w:line="360" w:lineRule="auto"/>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9.4</w:t>
            </w:r>
          </w:p>
        </w:tc>
        <w:tc>
          <w:tcPr>
            <w:tcW w:w="2181" w:type="dxa"/>
            <w:noWrap w:val="0"/>
            <w:vAlign w:val="center"/>
          </w:tcPr>
          <w:p w14:paraId="3C8D3FB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中标人是否需要参加勘察设计责任保险</w:t>
            </w:r>
          </w:p>
        </w:tc>
        <w:tc>
          <w:tcPr>
            <w:tcW w:w="6237" w:type="dxa"/>
            <w:noWrap w:val="0"/>
            <w:vAlign w:val="center"/>
          </w:tcPr>
          <w:p w14:paraId="6F622B68">
            <w:pPr>
              <w:spacing w:line="360" w:lineRule="auto"/>
              <w:ind w:left="420"/>
              <w:jc w:val="left"/>
              <w:rPr>
                <w:rFonts w:hint="eastAsia" w:ascii="宋体" w:hAnsi="宋体"/>
                <w:color w:val="auto"/>
                <w:szCs w:val="21"/>
                <w:highlight w:val="none"/>
              </w:rPr>
            </w:pPr>
            <w:permStart w:id="109" w:edGrp="everyone"/>
            <w:r>
              <w:rPr>
                <w:rFonts w:hint="eastAsia" w:ascii="宋体" w:hAnsi="宋体"/>
                <w:color w:val="auto"/>
                <w:szCs w:val="21"/>
                <w:highlight w:val="none"/>
                <w:lang w:eastAsia="zh-CN"/>
              </w:rPr>
              <w:t>☑</w:t>
            </w:r>
            <w:permEnd w:id="109"/>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否</w:t>
            </w:r>
          </w:p>
          <w:p w14:paraId="27CA2DA9">
            <w:pPr>
              <w:spacing w:line="360" w:lineRule="auto"/>
              <w:ind w:left="420" w:leftChars="0" w:firstLine="0" w:firstLineChars="0"/>
              <w:jc w:val="left"/>
              <w:rPr>
                <w:rFonts w:hint="eastAsia" w:ascii="宋体" w:hAnsi="宋体"/>
                <w:color w:val="auto"/>
                <w:kern w:val="2"/>
                <w:sz w:val="21"/>
                <w:szCs w:val="21"/>
                <w:highlight w:val="none"/>
                <w:lang w:val="en-US" w:eastAsia="zh-CN" w:bidi="ar-SA"/>
              </w:rPr>
            </w:pPr>
            <w:permStart w:id="110" w:edGrp="everyone"/>
            <w:r>
              <w:rPr>
                <w:rFonts w:hint="eastAsia" w:ascii="宋体" w:hAnsi="宋体"/>
                <w:color w:val="auto"/>
                <w:szCs w:val="21"/>
                <w:highlight w:val="none"/>
                <w:lang w:eastAsia="zh-CN"/>
              </w:rPr>
              <w:t>□</w:t>
            </w:r>
            <w:permEnd w:id="110"/>
            <w:r>
              <w:rPr>
                <w:rFonts w:hint="eastAsia" w:ascii="宋体" w:hAnsi="宋体"/>
                <w:color w:val="auto"/>
                <w:szCs w:val="21"/>
                <w:highlight w:val="none"/>
                <w:lang w:val="en-US" w:eastAsia="zh-CN"/>
              </w:rPr>
              <w:t xml:space="preserve"> </w:t>
            </w:r>
            <w:r>
              <w:rPr>
                <w:rFonts w:hint="eastAsia" w:ascii="宋体" w:hAnsi="宋体"/>
                <w:color w:val="auto"/>
                <w:szCs w:val="21"/>
                <w:highlight w:val="none"/>
              </w:rPr>
              <w:t>是</w:t>
            </w:r>
            <w:r>
              <w:rPr>
                <w:rFonts w:hint="eastAsia" w:ascii="宋体" w:hAnsi="宋体"/>
                <w:color w:val="auto"/>
                <w:szCs w:val="21"/>
                <w:highlight w:val="none"/>
                <w:lang w:eastAsia="zh-CN"/>
              </w:rPr>
              <w:t>，</w:t>
            </w:r>
            <w:permStart w:id="111" w:edGrp="everyone"/>
            <w:r>
              <w:rPr>
                <w:rFonts w:hint="eastAsia" w:ascii="宋体" w:hAnsi="宋体"/>
                <w:color w:val="auto"/>
                <w:szCs w:val="21"/>
                <w:highlight w:val="none"/>
                <w:u w:val="single"/>
                <w:lang w:val="en-US" w:eastAsia="zh-CN"/>
              </w:rPr>
              <w:t>按</w:t>
            </w:r>
            <w:r>
              <w:rPr>
                <w:rFonts w:hint="eastAsia" w:ascii="宋体" w:hAnsi="宋体"/>
                <w:color w:val="auto"/>
                <w:szCs w:val="21"/>
                <w:highlight w:val="none"/>
                <w:u w:val="single"/>
              </w:rPr>
              <w:t>《中山市住房和城乡建设局关于开展房屋建筑和市政基础设施工程勘察设计责任保险工作的通知》（中建通〔2021〕124号）</w:t>
            </w:r>
            <w:r>
              <w:rPr>
                <w:rFonts w:hint="eastAsia" w:ascii="宋体" w:hAnsi="宋体"/>
                <w:color w:val="auto"/>
                <w:szCs w:val="21"/>
                <w:highlight w:val="none"/>
                <w:u w:val="single"/>
                <w:lang w:val="en-US" w:eastAsia="zh-CN"/>
              </w:rPr>
              <w:t>执行。</w:t>
            </w:r>
            <w:permEnd w:id="111"/>
          </w:p>
        </w:tc>
      </w:tr>
      <w:tr w14:paraId="01899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80" w:type="dxa"/>
            <w:noWrap w:val="0"/>
            <w:vAlign w:val="center"/>
          </w:tcPr>
          <w:p w14:paraId="075FEC41">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9.5</w:t>
            </w:r>
          </w:p>
        </w:tc>
        <w:tc>
          <w:tcPr>
            <w:tcW w:w="2181" w:type="dxa"/>
            <w:noWrap w:val="0"/>
            <w:vAlign w:val="center"/>
          </w:tcPr>
          <w:p w14:paraId="1BF67B57">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危大工程清单</w:t>
            </w:r>
          </w:p>
        </w:tc>
        <w:tc>
          <w:tcPr>
            <w:tcW w:w="6237" w:type="dxa"/>
            <w:noWrap w:val="0"/>
            <w:vAlign w:val="center"/>
          </w:tcPr>
          <w:p w14:paraId="4F9BF426">
            <w:pPr>
              <w:spacing w:line="360" w:lineRule="auto"/>
              <w:ind w:left="0" w:leftChars="0" w:firstLine="420" w:firstLineChars="200"/>
              <w:jc w:val="left"/>
              <w:rPr>
                <w:rFonts w:hint="eastAsia" w:ascii="宋体" w:hAnsi="宋体"/>
                <w:color w:val="auto"/>
                <w:szCs w:val="21"/>
                <w:highlight w:val="none"/>
              </w:rPr>
            </w:pPr>
            <w:r>
              <w:rPr>
                <w:rFonts w:hint="eastAsia"/>
                <w:color w:val="auto"/>
                <w:highlight w:val="none"/>
              </w:rPr>
              <w:t>根据《危险性较大的分部分项工程安全管理规定》</w:t>
            </w:r>
            <w:r>
              <w:rPr>
                <w:rFonts w:hint="eastAsia"/>
                <w:color w:val="auto"/>
                <w:highlight w:val="none"/>
                <w:lang w:eastAsia="zh-CN"/>
              </w:rPr>
              <w:t>（</w:t>
            </w:r>
            <w:r>
              <w:rPr>
                <w:rFonts w:hint="eastAsia"/>
                <w:color w:val="auto"/>
                <w:highlight w:val="none"/>
              </w:rPr>
              <w:t>中华人民共和国住房和城乡建设部令第</w:t>
            </w:r>
            <w:r>
              <w:rPr>
                <w:rFonts w:hint="eastAsia" w:ascii="宋体" w:hAnsi="宋体" w:eastAsia="宋体" w:cs="Times New Roman"/>
                <w:b w:val="0"/>
                <w:bCs w:val="0"/>
                <w:color w:val="auto"/>
                <w:szCs w:val="21"/>
                <w:highlight w:val="none"/>
                <w:u w:val="none"/>
              </w:rPr>
              <w:t>37</w:t>
            </w:r>
            <w:r>
              <w:rPr>
                <w:rFonts w:hint="eastAsia"/>
                <w:color w:val="auto"/>
                <w:highlight w:val="none"/>
              </w:rPr>
              <w:t>号</w:t>
            </w:r>
            <w:r>
              <w:rPr>
                <w:rFonts w:hint="eastAsia"/>
                <w:color w:val="auto"/>
                <w:highlight w:val="none"/>
                <w:lang w:eastAsia="zh-CN"/>
              </w:rPr>
              <w:t>）</w:t>
            </w:r>
            <w:r>
              <w:rPr>
                <w:rFonts w:hint="eastAsia"/>
                <w:color w:val="auto"/>
                <w:highlight w:val="none"/>
              </w:rPr>
              <w:t>第七条</w:t>
            </w:r>
            <w:r>
              <w:rPr>
                <w:rFonts w:hint="eastAsia"/>
                <w:color w:val="auto"/>
                <w:highlight w:val="none"/>
                <w:lang w:eastAsia="zh-CN"/>
              </w:rPr>
              <w:t>的</w:t>
            </w:r>
            <w:r>
              <w:rPr>
                <w:rFonts w:hint="eastAsia"/>
                <w:color w:val="auto"/>
                <w:highlight w:val="none"/>
              </w:rPr>
              <w:t>要求，中标人需配合招标人在施工招标文件中列出危大工程清单。</w:t>
            </w:r>
          </w:p>
        </w:tc>
      </w:tr>
      <w:tr w14:paraId="2FCDB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00B92008">
            <w:pPr>
              <w:spacing w:line="36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11.5</w:t>
            </w:r>
          </w:p>
        </w:tc>
        <w:tc>
          <w:tcPr>
            <w:tcW w:w="2181" w:type="dxa"/>
            <w:noWrap w:val="0"/>
            <w:vAlign w:val="center"/>
          </w:tcPr>
          <w:p w14:paraId="3488C5BD">
            <w:pPr>
              <w:spacing w:line="360" w:lineRule="auto"/>
              <w:jc w:val="center"/>
              <w:rPr>
                <w:rFonts w:hint="eastAsia" w:ascii="宋体" w:hAnsi="宋体"/>
                <w:color w:val="auto"/>
                <w:szCs w:val="21"/>
                <w:highlight w:val="none"/>
              </w:rPr>
            </w:pPr>
            <w:r>
              <w:rPr>
                <w:rFonts w:hint="eastAsia" w:ascii="宋体" w:hAnsi="宋体"/>
                <w:color w:val="auto"/>
                <w:szCs w:val="21"/>
                <w:highlight w:val="none"/>
              </w:rPr>
              <w:t>异议</w:t>
            </w:r>
          </w:p>
        </w:tc>
        <w:tc>
          <w:tcPr>
            <w:tcW w:w="6237" w:type="dxa"/>
            <w:noWrap w:val="0"/>
            <w:vAlign w:val="center"/>
          </w:tcPr>
          <w:p w14:paraId="1AFF3094">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（1）参加现场开标投标人对开标有异议的，应当在开标现场提出，招标人当场作出答复，并制作记录。参加在线开标的投标人对开标结果有异议的，</w:t>
            </w:r>
            <w:r>
              <w:rPr>
                <w:rFonts w:hint="eastAsia"/>
                <w:color w:val="auto"/>
                <w:highlight w:val="none"/>
              </w:rPr>
              <w:t>应当在开标时间通过工程建设交易系统在线提出异议，招标人或招标代理在线及时回复，并制作记录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14:paraId="752309EE">
            <w:pPr>
              <w:pageBreakBefore w:val="0"/>
              <w:kinsoku/>
              <w:wordWrap/>
              <w:overflowPunct/>
              <w:topLinePunct w:val="0"/>
              <w:bidi w:val="0"/>
              <w:spacing w:line="360" w:lineRule="auto"/>
              <w:ind w:firstLine="420" w:firstLineChars="20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投标人或者其他利害关系人对资格预审文件有异议的，应当在提交资格预审申请文件截止时间2日前提出；对招标文件有异议的，应当在投标截止时间</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rPr>
              <w:t>日前以书面形式提出。投标人或者其他利害关系人对评标结果有异议的，应当在评标结果公示期间提出</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投标人或者其他利害关系人对定标结果有异议的，应当在</w:t>
            </w:r>
            <w:r>
              <w:rPr>
                <w:rFonts w:hint="eastAsia" w:ascii="宋体" w:hAnsi="宋体" w:cs="Times New Roman"/>
                <w:color w:val="auto"/>
                <w:szCs w:val="21"/>
                <w:highlight w:val="none"/>
                <w:lang w:val="en-US" w:eastAsia="zh-CN"/>
              </w:rPr>
              <w:t>中标候选人</w:t>
            </w:r>
            <w:r>
              <w:rPr>
                <w:rFonts w:hint="eastAsia" w:ascii="宋体" w:hAnsi="宋体" w:cs="Times New Roman"/>
                <w:color w:val="auto"/>
                <w:szCs w:val="21"/>
                <w:highlight w:val="none"/>
              </w:rPr>
              <w:t>公示期间提出。招标人</w:t>
            </w:r>
            <w:r>
              <w:rPr>
                <w:rFonts w:hint="eastAsia" w:ascii="宋体" w:hAnsi="宋体" w:cs="Times New Roman"/>
                <w:color w:val="auto"/>
                <w:szCs w:val="21"/>
                <w:highlight w:val="none"/>
                <w:lang w:val="en-US" w:eastAsia="zh-CN"/>
              </w:rPr>
              <w:t>应当</w:t>
            </w:r>
            <w:r>
              <w:rPr>
                <w:rFonts w:hint="eastAsia" w:ascii="宋体" w:hAnsi="宋体" w:cs="Times New Roman"/>
                <w:color w:val="auto"/>
                <w:szCs w:val="21"/>
                <w:highlight w:val="none"/>
              </w:rPr>
              <w:t>自收到异议之日起3日内作出答复；</w:t>
            </w:r>
            <w:r>
              <w:rPr>
                <w:rFonts w:hint="eastAsia" w:ascii="宋体" w:hAnsi="宋体" w:cs="Times New Roman"/>
                <w:color w:val="auto"/>
                <w:szCs w:val="21"/>
                <w:highlight w:val="none"/>
                <w:lang w:val="en-US" w:eastAsia="zh-CN"/>
              </w:rPr>
              <w:t>作出答复前，将暂停招标投标活动。</w:t>
            </w:r>
            <w:r>
              <w:rPr>
                <w:rFonts w:hint="eastAsia" w:ascii="宋体" w:hAnsi="宋体" w:cs="Times New Roman"/>
                <w:color w:val="auto"/>
                <w:szCs w:val="21"/>
                <w:highlight w:val="none"/>
              </w:rPr>
              <w:t>异议可通过广东省公共资源交易平台（交易系统）的“在线提出异议”栏目向招标人提出，也可线下直接向招标人递交异议文件。</w:t>
            </w:r>
          </w:p>
          <w:p w14:paraId="603D10B8">
            <w:pPr>
              <w:spacing w:line="360" w:lineRule="auto"/>
              <w:ind w:firstLine="420" w:firstLineChars="200"/>
              <w:rPr>
                <w:rFonts w:hint="eastAsia" w:ascii="宋体" w:hAnsi="宋体"/>
                <w:bCs/>
                <w:color w:val="auto"/>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委托代理人的，委托代理人没有相应的授权委托书和有效身份证明复印件，或者有关委托代理权限和事项不明确的。</w:t>
            </w:r>
          </w:p>
        </w:tc>
      </w:tr>
      <w:tr w14:paraId="4E492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50696239">
            <w:pPr>
              <w:spacing w:line="36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11.6</w:t>
            </w:r>
          </w:p>
        </w:tc>
        <w:tc>
          <w:tcPr>
            <w:tcW w:w="2181" w:type="dxa"/>
            <w:noWrap w:val="0"/>
            <w:vAlign w:val="center"/>
          </w:tcPr>
          <w:p w14:paraId="134AFF1C">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投诉</w:t>
            </w:r>
          </w:p>
        </w:tc>
        <w:tc>
          <w:tcPr>
            <w:tcW w:w="6237" w:type="dxa"/>
            <w:noWrap w:val="0"/>
            <w:vAlign w:val="center"/>
          </w:tcPr>
          <w:p w14:paraId="2BB1CC46">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投标人和其他利害关系人认为本次招标活动不符合法律行政法规规定的，可以自知道或者应当知道之日起10个日历天内向有关行政监督部门投诉。投诉须符合《工程建设项目招标投标活动投诉处理办法（2013年修订）》的规定。</w:t>
            </w:r>
          </w:p>
          <w:p w14:paraId="36081A6B">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投诉可通过广东省公共资源交易平台（交易系统）的“在线提出投诉”栏目向有关行政监督部门提出，也可线下直接向有关行政监督部门递交投诉文件。依据招投标法律法规规章规定，投诉事项属应先向招标人提出异议而没有提出异议的，行政监督部门不予受理。</w:t>
            </w:r>
          </w:p>
          <w:p w14:paraId="1E366DEF">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被投诉单位在收到查询函5个工作日内向招标人及行政监督部门提供书面回复及有效的证明资料。</w:t>
            </w:r>
          </w:p>
          <w:p w14:paraId="4D0FB5E6">
            <w:pPr>
              <w:spacing w:line="360" w:lineRule="auto"/>
              <w:ind w:firstLine="420" w:firstLineChars="200"/>
              <w:jc w:val="left"/>
              <w:rPr>
                <w:rFonts w:hint="eastAsia" w:ascii="宋体" w:hAnsi="宋体"/>
                <w:bCs/>
                <w:color w:val="auto"/>
                <w:highlight w:val="none"/>
              </w:rPr>
            </w:pPr>
            <w:r>
              <w:rPr>
                <w:rFonts w:hint="eastAsia" w:ascii="宋体" w:hAnsi="宋体"/>
                <w:bCs/>
                <w:color w:val="auto"/>
                <w:highlight w:val="none"/>
              </w:rPr>
              <w:t>依法必须进行招标的项目的招标投标活动违反招标投标法和招标投标法实施条例的规定，对中标结果造成实质性影响，且不能采取补救措施予以纠正的，招标、投标、中标无效，应当依法重新组织招标或评标</w:t>
            </w:r>
            <w:r>
              <w:rPr>
                <w:rFonts w:hint="eastAsia" w:ascii="宋体" w:hAnsi="宋体"/>
                <w:bCs/>
                <w:color w:val="auto"/>
                <w:highlight w:val="none"/>
                <w:lang w:eastAsia="zh-CN"/>
              </w:rPr>
              <w:t>或定标</w:t>
            </w:r>
            <w:r>
              <w:rPr>
                <w:rFonts w:hint="eastAsia" w:ascii="宋体" w:hAnsi="宋体"/>
                <w:bCs/>
                <w:color w:val="auto"/>
                <w:highlight w:val="none"/>
              </w:rPr>
              <w:t>。</w:t>
            </w:r>
          </w:p>
        </w:tc>
      </w:tr>
      <w:tr w14:paraId="33586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1A41B30B">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8418" w:type="dxa"/>
            <w:gridSpan w:val="2"/>
            <w:noWrap w:val="0"/>
            <w:vAlign w:val="center"/>
          </w:tcPr>
          <w:p w14:paraId="5556867D">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项目管理机构基本要求</w:t>
            </w:r>
          </w:p>
        </w:tc>
      </w:tr>
      <w:tr w14:paraId="4DB55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69F08E8E">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8418" w:type="dxa"/>
            <w:gridSpan w:val="2"/>
            <w:noWrap w:val="0"/>
            <w:vAlign w:val="center"/>
          </w:tcPr>
          <w:p w14:paraId="1AA5ECBA">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否决性条款</w:t>
            </w:r>
          </w:p>
        </w:tc>
      </w:tr>
      <w:tr w14:paraId="7129E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6B0232CB">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8418" w:type="dxa"/>
            <w:gridSpan w:val="2"/>
            <w:noWrap w:val="0"/>
            <w:vAlign w:val="center"/>
          </w:tcPr>
          <w:p w14:paraId="700D8264">
            <w:pPr>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需要补充的其他内容</w:t>
            </w:r>
          </w:p>
        </w:tc>
      </w:tr>
      <w:tr w14:paraId="73B3C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5E8A66A0">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14.1</w:t>
            </w:r>
          </w:p>
        </w:tc>
        <w:tc>
          <w:tcPr>
            <w:tcW w:w="2181" w:type="dxa"/>
            <w:noWrap w:val="0"/>
            <w:vAlign w:val="center"/>
          </w:tcPr>
          <w:p w14:paraId="0075B9F9">
            <w:pPr>
              <w:spacing w:line="360" w:lineRule="auto"/>
              <w:jc w:val="center"/>
              <w:rPr>
                <w:rFonts w:hint="eastAsia" w:ascii="宋体" w:hAnsi="宋体"/>
                <w:color w:val="auto"/>
                <w:szCs w:val="21"/>
                <w:highlight w:val="none"/>
              </w:rPr>
            </w:pPr>
            <w:r>
              <w:rPr>
                <w:rFonts w:hint="eastAsia" w:ascii="宋体" w:hAnsi="宋体"/>
                <w:color w:val="auto"/>
                <w:szCs w:val="21"/>
                <w:highlight w:val="none"/>
              </w:rPr>
              <w:t>证书及证明</w:t>
            </w:r>
            <w:r>
              <w:rPr>
                <w:rFonts w:hint="eastAsia" w:ascii="宋体" w:hAnsi="宋体"/>
                <w:color w:val="auto"/>
                <w:szCs w:val="21"/>
                <w:highlight w:val="none"/>
                <w:lang w:val="en-US" w:eastAsia="zh-CN"/>
              </w:rPr>
              <w:t>的</w:t>
            </w:r>
            <w:r>
              <w:rPr>
                <w:rFonts w:hint="eastAsia" w:ascii="宋体" w:hAnsi="宋体"/>
                <w:color w:val="auto"/>
                <w:szCs w:val="21"/>
                <w:highlight w:val="none"/>
              </w:rPr>
              <w:t>查验</w:t>
            </w:r>
          </w:p>
        </w:tc>
        <w:tc>
          <w:tcPr>
            <w:tcW w:w="6237" w:type="dxa"/>
            <w:noWrap w:val="0"/>
            <w:vAlign w:val="center"/>
          </w:tcPr>
          <w:p w14:paraId="234AA7CB">
            <w:pPr>
              <w:spacing w:line="360" w:lineRule="auto"/>
              <w:ind w:firstLine="420" w:firstLineChars="200"/>
              <w:rPr>
                <w:rFonts w:hint="eastAsia" w:ascii="宋体" w:hAnsi="宋体"/>
                <w:bCs/>
                <w:color w:val="auto"/>
                <w:highlight w:val="none"/>
              </w:rPr>
            </w:pPr>
            <w:r>
              <w:rPr>
                <w:rFonts w:hint="eastAsia" w:ascii="宋体" w:hAnsi="宋体"/>
                <w:color w:val="auto"/>
                <w:szCs w:val="21"/>
                <w:highlight w:val="none"/>
                <w:lang w:val="zh-CN"/>
              </w:rPr>
              <w:t>评标、定标结束后、中标通知书发出前，中标候选人的营业执照、资质证书、项目负责人注册证、社保证明、业绩证明材料等由招标人对其真实性、有效性进行查验，投标人须确保投标文件中所列的证件、证明材料真实、有效，否则招标人将按投标人提交虚假材料进行投标上报行政主管部门进行处理。投标人须配合招标人进行查验、核实，并提供相关证明材料以供招标人复制、查阅，否则招标人有权取消其中标候选人资格。</w:t>
            </w:r>
          </w:p>
        </w:tc>
      </w:tr>
      <w:tr w14:paraId="58F9A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3C48F747">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14.2</w:t>
            </w:r>
          </w:p>
        </w:tc>
        <w:tc>
          <w:tcPr>
            <w:tcW w:w="2181" w:type="dxa"/>
            <w:noWrap w:val="0"/>
            <w:vAlign w:val="center"/>
          </w:tcPr>
          <w:p w14:paraId="4E1DB3B3">
            <w:pPr>
              <w:spacing w:line="360" w:lineRule="auto"/>
              <w:jc w:val="center"/>
              <w:rPr>
                <w:rFonts w:ascii="宋体" w:hAnsi="宋体"/>
                <w:color w:val="auto"/>
                <w:szCs w:val="21"/>
                <w:highlight w:val="none"/>
              </w:rPr>
            </w:pPr>
            <w:r>
              <w:rPr>
                <w:rFonts w:hint="eastAsia" w:ascii="宋体" w:hAnsi="宋体"/>
                <w:color w:val="auto"/>
                <w:szCs w:val="21"/>
                <w:highlight w:val="none"/>
              </w:rPr>
              <w:t>资质证书</w:t>
            </w:r>
          </w:p>
        </w:tc>
        <w:tc>
          <w:tcPr>
            <w:tcW w:w="6237" w:type="dxa"/>
            <w:noWrap w:val="0"/>
            <w:vAlign w:val="center"/>
          </w:tcPr>
          <w:p w14:paraId="5D9A89BE">
            <w:pPr>
              <w:ind w:firstLine="420" w:firstLineChars="200"/>
              <w:rPr>
                <w:rFonts w:ascii="宋体" w:hAnsi="宋体"/>
                <w:color w:val="auto"/>
                <w:szCs w:val="21"/>
                <w:highlight w:val="none"/>
              </w:rPr>
            </w:pPr>
            <w:r>
              <w:rPr>
                <w:rFonts w:hint="eastAsia"/>
              </w:rPr>
              <w:t>资质证书、人员证书过期的，如能提供相关部门顺延证书有效期的文件，且符合文件规定的，则视为仍然有效。</w:t>
            </w:r>
          </w:p>
        </w:tc>
      </w:tr>
      <w:tr w14:paraId="32AE9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80" w:type="dxa"/>
            <w:noWrap w:val="0"/>
            <w:vAlign w:val="center"/>
          </w:tcPr>
          <w:p w14:paraId="7B2B54CD">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14.3</w:t>
            </w:r>
          </w:p>
        </w:tc>
        <w:tc>
          <w:tcPr>
            <w:tcW w:w="2181" w:type="dxa"/>
            <w:noWrap w:val="0"/>
            <w:vAlign w:val="center"/>
          </w:tcPr>
          <w:p w14:paraId="0A38A9EB">
            <w:pPr>
              <w:spacing w:line="240" w:lineRule="auto"/>
              <w:ind w:firstLine="420" w:firstLineChars="200"/>
              <w:jc w:val="left"/>
              <w:rPr>
                <w:rFonts w:hint="eastAsia" w:ascii="Times New Roman" w:hAnsi="Times New Roman" w:eastAsia="宋体"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复印件及扫描件</w:t>
            </w:r>
          </w:p>
        </w:tc>
        <w:tc>
          <w:tcPr>
            <w:tcW w:w="6237" w:type="dxa"/>
            <w:noWrap w:val="0"/>
            <w:vAlign w:val="center"/>
          </w:tcPr>
          <w:p w14:paraId="4F661002">
            <w:pPr>
              <w:ind w:firstLine="420" w:firstLineChars="200"/>
              <w:rPr>
                <w:rFonts w:hint="eastAsia" w:ascii="Times New Roman" w:hAnsi="Times New Roman" w:eastAsia="宋体" w:cs="Times New Roman"/>
                <w:color w:val="auto"/>
                <w:szCs w:val="24"/>
                <w:highlight w:val="none"/>
                <w:lang w:val="en-US" w:eastAsia="zh-CN"/>
              </w:rPr>
            </w:pPr>
            <w:r>
              <w:rPr>
                <w:rFonts w:hint="eastAsia" w:cs="Times New Roman"/>
                <w:color w:val="auto"/>
                <w:highlight w:val="none"/>
              </w:rPr>
              <w:t>招标文件中提到的</w:t>
            </w:r>
            <w:r>
              <w:rPr>
                <w:rFonts w:hint="eastAsia" w:ascii="Times New Roman" w:hAnsi="Times New Roman" w:cs="Times New Roman"/>
                <w:color w:val="auto"/>
                <w:kern w:val="2"/>
                <w:szCs w:val="24"/>
                <w:highlight w:val="none"/>
                <w:lang w:val="en-US" w:eastAsia="zh-CN"/>
              </w:rPr>
              <w:t>复印件、扫描件，彩色或黑白均可，但必须清晰、明辨，否则投标人自行承担后果。</w:t>
            </w:r>
          </w:p>
        </w:tc>
      </w:tr>
    </w:tbl>
    <w:p w14:paraId="7EE5EED2">
      <w:pPr>
        <w:pStyle w:val="4"/>
        <w:bidi w:val="0"/>
        <w:jc w:val="center"/>
        <w:rPr>
          <w:rFonts w:hint="eastAsia" w:eastAsia="宋体"/>
          <w:color w:val="auto"/>
          <w:highlight w:val="none"/>
          <w:lang w:val="en-US" w:eastAsia="zh-CN"/>
        </w:rPr>
      </w:pPr>
      <w:r>
        <w:rPr>
          <w:rFonts w:hint="eastAsia"/>
          <w:bCs w:val="0"/>
          <w:color w:val="auto"/>
          <w:highlight w:val="none"/>
          <w:lang w:eastAsia="zh-CN"/>
        </w:rPr>
        <w:br w:type="page"/>
      </w:r>
      <w:bookmarkStart w:id="35" w:name="_Toc381226882"/>
      <w:bookmarkStart w:id="36" w:name="_Toc383192371"/>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）资格审查要素表</w:t>
      </w:r>
      <w:bookmarkEnd w:id="35"/>
      <w:bookmarkEnd w:id="36"/>
    </w:p>
    <w:p w14:paraId="349D3F9F">
      <w:pPr>
        <w:widowControl/>
        <w:tabs>
          <w:tab w:val="center" w:pos="5495"/>
        </w:tabs>
        <w:spacing w:after="5"/>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ab/>
      </w:r>
      <w:r>
        <w:rPr>
          <w:rFonts w:hint="eastAsia" w:ascii="宋体" w:hAnsi="宋体" w:cs="宋体"/>
          <w:color w:val="auto"/>
          <w:szCs w:val="21"/>
          <w:highlight w:val="none"/>
        </w:rPr>
        <w:t>投标人名称：</w:t>
      </w:r>
    </w:p>
    <w:tbl>
      <w:tblPr>
        <w:tblStyle w:val="26"/>
        <w:tblW w:w="9011" w:type="dxa"/>
        <w:jc w:val="center"/>
        <w:tblLayout w:type="fixed"/>
        <w:tblCellMar>
          <w:top w:w="39" w:type="dxa"/>
          <w:left w:w="0" w:type="dxa"/>
          <w:bottom w:w="0" w:type="dxa"/>
          <w:right w:w="29" w:type="dxa"/>
        </w:tblCellMar>
      </w:tblPr>
      <w:tblGrid>
        <w:gridCol w:w="659"/>
        <w:gridCol w:w="1407"/>
        <w:gridCol w:w="2439"/>
        <w:gridCol w:w="1666"/>
        <w:gridCol w:w="1035"/>
        <w:gridCol w:w="1200"/>
        <w:gridCol w:w="605"/>
      </w:tblGrid>
      <w:tr w14:paraId="49075997">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4E2DF3B3">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5B858009">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资格审查要素</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0EDF1E2E">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审查标准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52CC3E0C">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审查结论</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6AAD4699">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不合格原因</w:t>
            </w: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2D9F7404">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14:paraId="0C1244BF">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6D58B4F0">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1C706A34">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投标保证金</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0073E18D">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符合第二章“投标人须知”3.4.1项规定。</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4CBDC25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58316504">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szCs w:val="21"/>
                <w:highlight w:val="none"/>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3C1FDA25">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70E0287D">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r>
      <w:tr w14:paraId="18439496">
        <w:tblPrEx>
          <w:tblCellMar>
            <w:top w:w="39" w:type="dxa"/>
            <w:left w:w="0" w:type="dxa"/>
            <w:bottom w:w="0" w:type="dxa"/>
            <w:right w:w="29" w:type="dxa"/>
          </w:tblCellMar>
        </w:tblPrEx>
        <w:trPr>
          <w:trHeight w:val="818"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4395D7F6">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06930225">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投标人名称</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3DEBB8CD">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与营业执照、资质证书一致。</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7226B9DD">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79C653EB">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szCs w:val="21"/>
                <w:highlight w:val="none"/>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6C3C75EA">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46A03DBB">
            <w:pPr>
              <w:keepNext w:val="0"/>
              <w:keepLines w:val="0"/>
              <w:pageBreakBefore w:val="0"/>
              <w:widowControl/>
              <w:kinsoku/>
              <w:wordWrap/>
              <w:overflowPunct/>
              <w:topLinePunct w:val="0"/>
              <w:autoSpaceDE/>
              <w:autoSpaceDN/>
              <w:bidi w:val="0"/>
              <w:adjustRightInd w:val="0"/>
              <w:snapToGrid w:val="0"/>
              <w:spacing w:line="360" w:lineRule="auto"/>
              <w:ind w:left="21" w:leftChars="10"/>
              <w:jc w:val="center"/>
              <w:textAlignment w:val="auto"/>
              <w:rPr>
                <w:rFonts w:hint="eastAsia" w:ascii="黑体" w:hAnsi="黑体" w:eastAsia="黑体" w:cs="黑体"/>
                <w:color w:val="auto"/>
                <w:szCs w:val="21"/>
                <w:highlight w:val="none"/>
              </w:rPr>
            </w:pPr>
          </w:p>
        </w:tc>
      </w:tr>
      <w:tr w14:paraId="2DD36AA7">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3AF1CFC8">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3013D13D">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投标文件格式</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4FAA9B2E">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符合第六章“投标文件格式”的规定</w:t>
            </w:r>
            <w:r>
              <w:rPr>
                <w:rFonts w:hint="eastAsia" w:ascii="宋体" w:hAnsi="宋体" w:cs="Times New Roman"/>
                <w:color w:val="auto"/>
                <w:kern w:val="2"/>
                <w:sz w:val="21"/>
                <w:szCs w:val="21"/>
                <w:highlight w:val="none"/>
                <w:lang w:val="en-US" w:eastAsia="zh-CN" w:bidi="ar-SA"/>
              </w:rPr>
              <w:t>。</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111F3A4B">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18F4F536">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03F6406E">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65556AF7">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14:paraId="6B98EFF3">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699A0861">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70FEE8C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签</w:t>
            </w:r>
            <w:r>
              <w:rPr>
                <w:rFonts w:hint="eastAsia" w:ascii="宋体" w:hAnsi="宋体" w:cs="Times New Roman"/>
                <w:color w:val="auto"/>
                <w:kern w:val="2"/>
                <w:sz w:val="21"/>
                <w:szCs w:val="21"/>
                <w:highlight w:val="none"/>
                <w:lang w:val="en-US" w:eastAsia="zh-CN" w:bidi="ar-SA"/>
              </w:rPr>
              <w:t>名</w:t>
            </w:r>
          </w:p>
          <w:p w14:paraId="048DB4EB">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盖章</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30849199">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按招标文件要求由法定代表人或其代理人在投标文件相应位置签名或加盖单位公章。</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3E3F8DD2">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14:paraId="60CE9795">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3D50283E">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47EE3186">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14:paraId="75781D1C">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23545CD1">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6028F018">
            <w:pPr>
              <w:bidi w:val="0"/>
              <w:jc w:val="center"/>
              <w:rPr>
                <w:rFonts w:hint="default"/>
                <w:lang w:val="en-US" w:eastAsia="zh-CN"/>
              </w:rPr>
            </w:pPr>
            <w:r>
              <w:rPr>
                <w:rFonts w:hint="eastAsia"/>
                <w:lang w:val="en-US" w:eastAsia="zh-CN"/>
              </w:rPr>
              <w:t>营业执照</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49E52B2C">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olor w:val="auto"/>
                <w:szCs w:val="21"/>
                <w:highlight w:val="none"/>
                <w:lang w:val="en-US" w:eastAsia="zh-CN"/>
              </w:rPr>
              <w:t>提交</w:t>
            </w:r>
            <w:r>
              <w:rPr>
                <w:rFonts w:hint="eastAsia" w:ascii="宋体" w:hAnsi="宋体"/>
                <w:color w:val="auto"/>
                <w:szCs w:val="21"/>
                <w:highlight w:val="none"/>
              </w:rPr>
              <w:t>有效的营业执照</w:t>
            </w:r>
            <w:r>
              <w:rPr>
                <w:rFonts w:hint="eastAsia" w:ascii="宋体" w:hAnsi="宋体"/>
                <w:color w:val="auto"/>
                <w:szCs w:val="21"/>
                <w:highlight w:val="none"/>
                <w:lang w:val="en-US" w:eastAsia="zh-CN"/>
              </w:rPr>
              <w:t>复印件或扫描件。</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08466BE1">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7DEE388A">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61EF65EB">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704840E5">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default" w:ascii="宋体" w:hAnsi="宋体" w:eastAsia="宋体" w:cs="宋体"/>
                <w:color w:val="auto"/>
                <w:szCs w:val="21"/>
                <w:highlight w:val="none"/>
                <w:lang w:val="en-US" w:eastAsia="zh-CN"/>
              </w:rPr>
            </w:pPr>
          </w:p>
        </w:tc>
      </w:tr>
      <w:tr w14:paraId="3A745401">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66B05AA8">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79931207">
            <w:pPr>
              <w:bidi w:val="0"/>
              <w:jc w:val="center"/>
              <w:rPr>
                <w:rFonts w:hint="default"/>
                <w:lang w:val="en-US" w:eastAsia="zh-CN"/>
              </w:rPr>
            </w:pPr>
            <w:r>
              <w:rPr>
                <w:rFonts w:hint="eastAsia"/>
                <w:lang w:val="en-US" w:eastAsia="zh-CN"/>
              </w:rPr>
              <w:t>资质证书</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686328A6">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提交有效的资质证书复印件或扫描件，符合第二章“投标人须知”第1.4.1项规定。</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0DFBE3C7">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14:paraId="4EB97B99">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6D774449">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6C1A430F">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14:paraId="6F5A6234">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6099D19E">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5A4349C7">
            <w:pPr>
              <w:bidi w:val="0"/>
              <w:jc w:val="center"/>
              <w:rPr>
                <w:rFonts w:hint="default"/>
                <w:lang w:val="en-US" w:eastAsia="zh-CN"/>
              </w:rPr>
            </w:pPr>
            <w:r>
              <w:rPr>
                <w:rFonts w:hint="eastAsia"/>
                <w:lang w:val="en-US" w:eastAsia="zh-CN"/>
              </w:rPr>
              <w:t>联合体投标人</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45DD0894">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olor w:val="auto"/>
                <w:szCs w:val="21"/>
                <w:highlight w:val="none"/>
              </w:rPr>
              <w:t>提交符合招标文件要求的联合体协议书，明确各方承担责任，并明确联合体牵头人</w:t>
            </w:r>
            <w:r>
              <w:rPr>
                <w:rFonts w:hint="eastAsia" w:ascii="宋体" w:hAnsi="宋体"/>
                <w:color w:val="auto"/>
                <w:szCs w:val="21"/>
                <w:highlight w:val="none"/>
                <w:lang w:eastAsia="zh-CN"/>
              </w:rPr>
              <w:t>；</w:t>
            </w:r>
            <w:r>
              <w:rPr>
                <w:rFonts w:hint="eastAsia" w:ascii="宋体" w:hAnsi="宋体"/>
                <w:color w:val="auto"/>
                <w:szCs w:val="21"/>
                <w:highlight w:val="none"/>
              </w:rPr>
              <w:t>符合第二章“投标人须知”第1.4.2项规定</w:t>
            </w:r>
            <w:r>
              <w:rPr>
                <w:rFonts w:hint="eastAsia" w:ascii="宋体" w:hAnsi="宋体"/>
                <w:color w:val="auto"/>
                <w:szCs w:val="21"/>
                <w:highlight w:val="none"/>
                <w:lang w:eastAsia="zh-CN"/>
              </w:rPr>
              <w:t>。</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5F8D837B">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4510F701">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76700ED1">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2E7EE759">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r>
      <w:tr w14:paraId="59AA1A70">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7A84538A">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0CB0A6CB">
            <w:pPr>
              <w:bidi w:val="0"/>
              <w:jc w:val="center"/>
              <w:rPr>
                <w:rFonts w:hint="default"/>
                <w:lang w:val="en-US" w:eastAsia="zh-CN"/>
              </w:rPr>
            </w:pPr>
            <w:r>
              <w:rPr>
                <w:rFonts w:hint="eastAsia"/>
                <w:lang w:val="en-US" w:eastAsia="zh-CN"/>
              </w:rPr>
              <w:t>法定代表人身份证明、授权委托书</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22E27DFD">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投标文件由法定代表人签</w:t>
            </w:r>
            <w:r>
              <w:rPr>
                <w:rFonts w:hint="eastAsia" w:ascii="宋体" w:hAnsi="宋体" w:cs="宋体"/>
                <w:color w:val="auto"/>
                <w:kern w:val="2"/>
                <w:sz w:val="21"/>
                <w:szCs w:val="21"/>
                <w:highlight w:val="none"/>
                <w:lang w:val="en-US" w:eastAsia="zh-CN" w:bidi="ar-SA"/>
              </w:rPr>
              <w:t>名</w:t>
            </w:r>
            <w:r>
              <w:rPr>
                <w:rFonts w:hint="eastAsia" w:ascii="宋体" w:hAnsi="宋体" w:eastAsia="宋体" w:cs="宋体"/>
                <w:color w:val="auto"/>
                <w:kern w:val="2"/>
                <w:sz w:val="21"/>
                <w:szCs w:val="21"/>
                <w:highlight w:val="none"/>
                <w:lang w:val="en-US" w:eastAsia="zh-CN" w:bidi="ar-SA"/>
              </w:rPr>
              <w:t>的，提交有效的法定代表人身份证明，由代理人签</w:t>
            </w:r>
            <w:r>
              <w:rPr>
                <w:rFonts w:hint="eastAsia" w:ascii="宋体" w:hAnsi="宋体" w:cs="宋体"/>
                <w:color w:val="auto"/>
                <w:kern w:val="2"/>
                <w:sz w:val="21"/>
                <w:szCs w:val="21"/>
                <w:highlight w:val="none"/>
                <w:lang w:val="en-US" w:eastAsia="zh-CN" w:bidi="ar-SA"/>
              </w:rPr>
              <w:t>名</w:t>
            </w:r>
            <w:r>
              <w:rPr>
                <w:rFonts w:hint="eastAsia" w:ascii="宋体" w:hAnsi="宋体" w:eastAsia="宋体" w:cs="宋体"/>
                <w:color w:val="auto"/>
                <w:kern w:val="2"/>
                <w:sz w:val="21"/>
                <w:szCs w:val="21"/>
                <w:highlight w:val="none"/>
                <w:lang w:val="en-US" w:eastAsia="zh-CN" w:bidi="ar-SA"/>
              </w:rPr>
              <w:t>的，提交有效的法定代表人身份证明和授权委托书；符合第六章“投标文件格式”的规定，授权委托书有效期不短于投标有效期。</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75BBFC7C">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3CF63121">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7469EE44">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35C7B475">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default" w:ascii="宋体" w:hAnsi="宋体" w:cs="宋体"/>
                <w:color w:val="auto"/>
                <w:szCs w:val="21"/>
                <w:highlight w:val="none"/>
                <w:lang w:val="en-US"/>
              </w:rPr>
            </w:pPr>
          </w:p>
        </w:tc>
      </w:tr>
      <w:tr w14:paraId="69A6A954">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01D6943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71663CF8">
            <w:pPr>
              <w:bidi w:val="0"/>
              <w:jc w:val="center"/>
              <w:rPr>
                <w:rFonts w:hint="eastAsia"/>
                <w:lang w:val="en-US" w:eastAsia="zh-CN"/>
              </w:rPr>
            </w:pPr>
            <w:r>
              <w:rPr>
                <w:rFonts w:hint="eastAsia"/>
                <w:lang w:val="en-US" w:eastAsia="zh-CN"/>
              </w:rPr>
              <w:t>中山市建设工程企业诚信评价等级</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75C5FC3D">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符合第二章“投标人须知”第1.4.1项规</w:t>
            </w:r>
            <w:r>
              <w:rPr>
                <w:rFonts w:hint="eastAsia" w:ascii="宋体" w:hAnsi="宋体" w:eastAsia="宋体" w:cs="宋体"/>
                <w:color w:val="auto"/>
                <w:kern w:val="2"/>
                <w:sz w:val="21"/>
                <w:szCs w:val="21"/>
                <w:highlight w:val="none"/>
                <w:lang w:val="en-US" w:eastAsia="zh-CN" w:bidi="ar-SA"/>
              </w:rPr>
              <w:t>定。根据开标当天工程建设交易系统获取的中山市建设工程企业管理和诚信平台零时的诚信登记数据核对投标人的诚信等级等情况，投标人无需提供资料。</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4FA9F6E9">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囗合格</w:t>
            </w:r>
          </w:p>
          <w:p w14:paraId="04B24FED">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4E2BC1ED">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1FD38BCB">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14:paraId="7A704D33">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35A4138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5AD7E4DD">
            <w:pPr>
              <w:bidi w:val="0"/>
              <w:jc w:val="center"/>
              <w:rPr>
                <w:rFonts w:hint="eastAsia"/>
                <w:lang w:val="en-US" w:eastAsia="zh-CN"/>
              </w:rPr>
            </w:pPr>
            <w:r>
              <w:rPr>
                <w:rFonts w:hint="eastAsia"/>
                <w:lang w:val="en-US" w:eastAsia="zh-CN"/>
              </w:rPr>
              <w:t>《信用中国》网站下载的信用信息报告</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4D29AD40">
            <w:pPr>
              <w:keepNext w:val="0"/>
              <w:keepLines w:val="0"/>
              <w:pageBreakBefore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符合第二章“投标人须知”第1.4.1项规定。</w:t>
            </w:r>
            <w:r>
              <w:rPr>
                <w:rFonts w:hint="eastAsia"/>
                <w:color w:val="auto"/>
                <w:highlight w:val="none"/>
                <w:lang w:eastAsia="zh-CN"/>
              </w:rPr>
              <w:t>报告生成时间为招标公告发布后。</w:t>
            </w:r>
            <w:r>
              <w:rPr>
                <w:rFonts w:hint="eastAsia" w:ascii="Times New Roman" w:hAnsi="Times New Roman" w:eastAsia="宋体" w:cs="Times New Roman"/>
                <w:bCs/>
                <w:color w:val="auto"/>
                <w:sz w:val="21"/>
                <w:szCs w:val="21"/>
                <w:highlight w:val="none"/>
              </w:rPr>
              <w:t>招标人在</w:t>
            </w:r>
            <w:r>
              <w:rPr>
                <w:rFonts w:hint="eastAsia" w:ascii="Times New Roman" w:hAnsi="Times New Roman" w:eastAsia="宋体" w:cs="Times New Roman"/>
                <w:bCs/>
                <w:color w:val="auto"/>
                <w:sz w:val="21"/>
                <w:szCs w:val="21"/>
                <w:highlight w:val="none"/>
                <w:lang w:val="en-US" w:eastAsia="zh-CN"/>
              </w:rPr>
              <w:t>开标</w:t>
            </w:r>
            <w:r>
              <w:rPr>
                <w:rFonts w:hint="eastAsia" w:ascii="Times New Roman" w:hAnsi="Times New Roman" w:eastAsia="宋体" w:cs="Times New Roman"/>
                <w:bCs/>
                <w:color w:val="auto"/>
                <w:sz w:val="21"/>
                <w:szCs w:val="21"/>
                <w:highlight w:val="none"/>
              </w:rPr>
              <w:t>当天</w:t>
            </w:r>
            <w:r>
              <w:rPr>
                <w:rFonts w:hint="eastAsia" w:ascii="Times New Roman" w:hAnsi="Times New Roman" w:eastAsia="宋体" w:cs="Times New Roman"/>
                <w:bCs/>
                <w:color w:val="auto"/>
                <w:sz w:val="21"/>
                <w:szCs w:val="21"/>
                <w:highlight w:val="none"/>
                <w:lang w:val="en-US" w:eastAsia="zh-CN"/>
              </w:rPr>
              <w:t>登录《信用中国》网站</w:t>
            </w:r>
            <w:r>
              <w:rPr>
                <w:rFonts w:hint="eastAsia" w:ascii="Times New Roman" w:hAnsi="Times New Roman" w:eastAsia="宋体" w:cs="Times New Roman"/>
                <w:bCs/>
                <w:color w:val="auto"/>
                <w:sz w:val="21"/>
                <w:szCs w:val="21"/>
                <w:highlight w:val="none"/>
              </w:rPr>
              <w:t>查询复核，如与投标人递交信息不一致，以</w:t>
            </w:r>
            <w:r>
              <w:rPr>
                <w:rFonts w:hint="eastAsia" w:ascii="Times New Roman" w:hAnsi="Times New Roman" w:eastAsia="宋体" w:cs="Times New Roman"/>
                <w:bCs/>
                <w:color w:val="auto"/>
                <w:sz w:val="21"/>
                <w:szCs w:val="21"/>
                <w:highlight w:val="none"/>
                <w:lang w:val="en-US" w:eastAsia="zh-CN"/>
              </w:rPr>
              <w:t>开标当日</w:t>
            </w:r>
            <w:r>
              <w:rPr>
                <w:rFonts w:hint="eastAsia" w:ascii="宋体" w:hAnsi="宋体" w:eastAsia="宋体" w:cs="宋体"/>
                <w:bCs/>
                <w:color w:val="auto"/>
                <w:sz w:val="21"/>
                <w:szCs w:val="21"/>
                <w:highlight w:val="none"/>
                <w:lang w:val="en-US" w:eastAsia="zh-CN"/>
              </w:rPr>
              <w:t>（投标截止日）</w:t>
            </w:r>
            <w:r>
              <w:rPr>
                <w:rFonts w:hint="eastAsia" w:ascii="Times New Roman" w:hAnsi="Times New Roman" w:eastAsia="宋体" w:cs="Times New Roman"/>
                <w:bCs/>
                <w:color w:val="auto"/>
                <w:sz w:val="21"/>
                <w:szCs w:val="21"/>
                <w:highlight w:val="none"/>
                <w:lang w:val="en-US" w:eastAsia="zh-CN"/>
              </w:rPr>
              <w:t>查询的</w:t>
            </w:r>
            <w:r>
              <w:rPr>
                <w:rFonts w:hint="eastAsia" w:ascii="Times New Roman" w:hAnsi="Times New Roman" w:eastAsia="宋体" w:cs="Times New Roman"/>
                <w:bCs/>
                <w:color w:val="auto"/>
                <w:sz w:val="21"/>
                <w:szCs w:val="21"/>
                <w:highlight w:val="none"/>
              </w:rPr>
              <w:t>结果为准。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117473C4">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4CA5AE26">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08C88614">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62496545">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14:paraId="76AE1CEE">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7755ACB5">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11</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719541C7">
            <w:pPr>
              <w:bidi w:val="0"/>
              <w:jc w:val="center"/>
              <w:rPr>
                <w:rFonts w:hint="eastAsia"/>
                <w:lang w:val="en-US" w:eastAsia="zh-CN"/>
              </w:rPr>
            </w:pPr>
            <w:r>
              <w:rPr>
                <w:rFonts w:hint="eastAsia"/>
                <w:lang w:val="en-US" w:eastAsia="zh-CN"/>
              </w:rPr>
              <w:t>国家企业信用信息公示系统的企业信用信息公示报告</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6C71B97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color w:val="auto"/>
                <w:highlight w:val="none"/>
              </w:rPr>
            </w:pPr>
            <w:r>
              <w:rPr>
                <w:rFonts w:hint="eastAsia" w:ascii="宋体" w:hAnsi="宋体"/>
                <w:color w:val="auto"/>
                <w:szCs w:val="21"/>
                <w:highlight w:val="none"/>
                <w:lang w:val="en-US" w:eastAsia="zh-CN"/>
              </w:rPr>
              <w:t>符合第二章“投标人须知”第1.4.1项规定。</w:t>
            </w:r>
            <w:r>
              <w:rPr>
                <w:rFonts w:hint="eastAsia"/>
                <w:color w:val="auto"/>
                <w:highlight w:val="none"/>
                <w:lang w:val="en-US" w:eastAsia="zh-CN"/>
              </w:rPr>
              <w:t>报告生成时间为招标公告发布后。</w:t>
            </w:r>
            <w:r>
              <w:rPr>
                <w:rFonts w:hint="eastAsia" w:ascii="Times New Roman" w:hAnsi="Times New Roman" w:eastAsia="宋体" w:cs="Times New Roman"/>
                <w:bCs/>
                <w:color w:val="auto"/>
                <w:sz w:val="21"/>
                <w:szCs w:val="21"/>
                <w:highlight w:val="none"/>
              </w:rPr>
              <w:t>招标人在</w:t>
            </w:r>
            <w:r>
              <w:rPr>
                <w:rFonts w:hint="eastAsia" w:ascii="Times New Roman" w:hAnsi="Times New Roman" w:eastAsia="宋体" w:cs="Times New Roman"/>
                <w:bCs/>
                <w:color w:val="auto"/>
                <w:sz w:val="21"/>
                <w:szCs w:val="21"/>
                <w:highlight w:val="none"/>
                <w:lang w:val="en-US" w:eastAsia="zh-CN"/>
              </w:rPr>
              <w:t>开标</w:t>
            </w:r>
            <w:r>
              <w:rPr>
                <w:rFonts w:hint="eastAsia" w:ascii="Times New Roman" w:hAnsi="Times New Roman" w:eastAsia="宋体" w:cs="Times New Roman"/>
                <w:bCs/>
                <w:color w:val="auto"/>
                <w:sz w:val="21"/>
                <w:szCs w:val="21"/>
                <w:highlight w:val="none"/>
              </w:rPr>
              <w:t>当天</w:t>
            </w:r>
            <w:r>
              <w:rPr>
                <w:rFonts w:hint="eastAsia" w:ascii="Times New Roman" w:hAnsi="Times New Roman" w:eastAsia="宋体" w:cs="Times New Roman"/>
                <w:bCs/>
                <w:color w:val="auto"/>
                <w:sz w:val="21"/>
                <w:szCs w:val="21"/>
                <w:highlight w:val="none"/>
                <w:lang w:val="en-US" w:eastAsia="zh-CN"/>
              </w:rPr>
              <w:t>登录</w:t>
            </w:r>
            <w:r>
              <w:rPr>
                <w:rFonts w:hint="eastAsia" w:ascii="宋体" w:hAnsi="宋体"/>
                <w:color w:val="auto"/>
                <w:szCs w:val="21"/>
                <w:highlight w:val="none"/>
              </w:rPr>
              <w:t>国家企业信用信息公示系统</w:t>
            </w:r>
            <w:r>
              <w:rPr>
                <w:rFonts w:hint="eastAsia" w:ascii="Times New Roman" w:hAnsi="Times New Roman" w:eastAsia="宋体" w:cs="Times New Roman"/>
                <w:bCs/>
                <w:color w:val="auto"/>
                <w:sz w:val="21"/>
                <w:szCs w:val="21"/>
                <w:highlight w:val="none"/>
              </w:rPr>
              <w:t>复核，如与投标人递交信息不一致，以</w:t>
            </w:r>
            <w:r>
              <w:rPr>
                <w:rFonts w:hint="eastAsia" w:ascii="Times New Roman" w:hAnsi="Times New Roman" w:eastAsia="宋体" w:cs="Times New Roman"/>
                <w:bCs/>
                <w:color w:val="auto"/>
                <w:sz w:val="21"/>
                <w:szCs w:val="21"/>
                <w:highlight w:val="none"/>
                <w:lang w:val="en-US" w:eastAsia="zh-CN"/>
              </w:rPr>
              <w:t>开标当日（投标截止日）查询的</w:t>
            </w:r>
            <w:r>
              <w:rPr>
                <w:rFonts w:hint="eastAsia" w:ascii="Times New Roman" w:hAnsi="Times New Roman" w:eastAsia="宋体" w:cs="Times New Roman"/>
                <w:bCs/>
                <w:color w:val="auto"/>
                <w:sz w:val="21"/>
                <w:szCs w:val="21"/>
                <w:highlight w:val="none"/>
              </w:rPr>
              <w:t>结果为准。</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543EC2DF">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378EA77C">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1F58B900">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1115BC79">
            <w:pPr>
              <w:keepNext w:val="0"/>
              <w:keepLines w:val="0"/>
              <w:pageBreakBefore w:val="0"/>
              <w:widowControl/>
              <w:kinsoku/>
              <w:wordWrap/>
              <w:overflowPunct/>
              <w:topLinePunct w:val="0"/>
              <w:autoSpaceDE/>
              <w:autoSpaceDN/>
              <w:bidi w:val="0"/>
              <w:adjustRightInd w:val="0"/>
              <w:snapToGrid w:val="0"/>
              <w:spacing w:line="360" w:lineRule="auto"/>
              <w:ind w:left="21" w:leftChars="10"/>
              <w:textAlignment w:val="auto"/>
              <w:rPr>
                <w:rFonts w:hint="eastAsia" w:ascii="宋体" w:hAnsi="宋体" w:cs="宋体"/>
                <w:color w:val="auto"/>
                <w:szCs w:val="21"/>
                <w:highlight w:val="none"/>
                <w:lang w:val="en-US" w:eastAsia="zh-CN"/>
              </w:rPr>
            </w:pPr>
          </w:p>
        </w:tc>
      </w:tr>
      <w:tr w14:paraId="3F2185C3">
        <w:tblPrEx>
          <w:tblCellMar>
            <w:top w:w="39" w:type="dxa"/>
            <w:left w:w="0" w:type="dxa"/>
            <w:bottom w:w="0" w:type="dxa"/>
            <w:right w:w="29" w:type="dxa"/>
          </w:tblCellMar>
        </w:tblPrEx>
        <w:trPr>
          <w:trHeight w:val="932" w:hRule="atLeast"/>
          <w:jc w:val="center"/>
        </w:trPr>
        <w:tc>
          <w:tcPr>
            <w:tcW w:w="659" w:type="dxa"/>
            <w:tcBorders>
              <w:top w:val="single" w:color="000000" w:sz="2" w:space="0"/>
              <w:left w:val="single" w:color="000000" w:sz="2" w:space="0"/>
              <w:bottom w:val="single" w:color="000000" w:sz="2" w:space="0"/>
              <w:right w:val="single" w:color="000000" w:sz="2" w:space="0"/>
            </w:tcBorders>
            <w:noWrap w:val="0"/>
            <w:vAlign w:val="center"/>
          </w:tcPr>
          <w:p w14:paraId="05B6EDE9">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center"/>
              <w:textAlignment w:val="auto"/>
              <w:outlineLvl w:val="9"/>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w:t>
            </w:r>
          </w:p>
        </w:tc>
        <w:tc>
          <w:tcPr>
            <w:tcW w:w="1407" w:type="dxa"/>
            <w:tcBorders>
              <w:top w:val="single" w:color="000000" w:sz="2" w:space="0"/>
              <w:left w:val="single" w:color="000000" w:sz="2" w:space="0"/>
              <w:bottom w:val="single" w:color="000000" w:sz="2" w:space="0"/>
              <w:right w:val="single" w:color="000000" w:sz="2" w:space="0"/>
            </w:tcBorders>
            <w:noWrap w:val="0"/>
            <w:vAlign w:val="center"/>
          </w:tcPr>
          <w:p w14:paraId="45A5355F">
            <w:pPr>
              <w:bidi w:val="0"/>
              <w:jc w:val="center"/>
              <w:rPr>
                <w:rFonts w:hint="default"/>
                <w:lang w:val="en-US" w:eastAsia="zh-CN"/>
              </w:rPr>
            </w:pPr>
            <w:r>
              <w:rPr>
                <w:rFonts w:hint="eastAsia"/>
                <w:lang w:val="en-US" w:eastAsia="zh-CN"/>
              </w:rPr>
              <w:t>其它不合格情况</w:t>
            </w:r>
          </w:p>
        </w:tc>
        <w:tc>
          <w:tcPr>
            <w:tcW w:w="4105" w:type="dxa"/>
            <w:gridSpan w:val="2"/>
            <w:tcBorders>
              <w:top w:val="single" w:color="000000" w:sz="2" w:space="0"/>
              <w:left w:val="single" w:color="000000" w:sz="2" w:space="0"/>
              <w:bottom w:val="single" w:color="000000" w:sz="2" w:space="0"/>
              <w:right w:val="single" w:color="000000" w:sz="2" w:space="0"/>
            </w:tcBorders>
            <w:noWrap w:val="0"/>
            <w:vAlign w:val="center"/>
          </w:tcPr>
          <w:p w14:paraId="3CCB2867">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420" w:firstLineChars="200"/>
              <w:jc w:val="both"/>
              <w:textAlignment w:val="auto"/>
              <w:outlineLvl w:val="9"/>
              <w:rPr>
                <w:rFonts w:hint="eastAsia" w:ascii="宋体" w:hAnsi="宋体" w:cs="宋体"/>
                <w:color w:val="auto"/>
                <w:kern w:val="0"/>
                <w:szCs w:val="21"/>
                <w:highlight w:val="none"/>
              </w:rPr>
            </w:pPr>
            <w:r>
              <w:rPr>
                <w:rFonts w:hint="eastAsia" w:eastAsia="宋体" w:cs="宋体"/>
                <w:b w:val="0"/>
                <w:bCs w:val="0"/>
                <w:color w:val="auto"/>
                <w:kern w:val="0"/>
                <w:sz w:val="21"/>
                <w:szCs w:val="21"/>
                <w:highlight w:val="none"/>
                <w:u w:val="none" w:color="auto"/>
                <w:lang w:eastAsia="zh-CN"/>
              </w:rPr>
              <w:t>不存在招标文件第</w:t>
            </w:r>
            <w:r>
              <w:rPr>
                <w:rFonts w:hint="eastAsia" w:eastAsia="宋体" w:cs="宋体"/>
                <w:b w:val="0"/>
                <w:bCs w:val="0"/>
                <w:color w:val="auto"/>
                <w:kern w:val="0"/>
                <w:sz w:val="21"/>
                <w:szCs w:val="21"/>
                <w:highlight w:val="none"/>
                <w:u w:val="none" w:color="auto"/>
                <w:lang w:val="en-US" w:eastAsia="zh-CN"/>
              </w:rPr>
              <w:t>二</w:t>
            </w:r>
            <w:r>
              <w:rPr>
                <w:rFonts w:hint="eastAsia" w:eastAsia="宋体" w:cs="宋体"/>
                <w:b w:val="0"/>
                <w:bCs w:val="0"/>
                <w:color w:val="auto"/>
                <w:kern w:val="0"/>
                <w:sz w:val="21"/>
                <w:szCs w:val="21"/>
                <w:highlight w:val="none"/>
                <w:u w:val="none" w:color="auto"/>
                <w:lang w:eastAsia="zh-CN"/>
              </w:rPr>
              <w:t>章“</w:t>
            </w:r>
            <w:r>
              <w:rPr>
                <w:rFonts w:hint="eastAsia" w:eastAsia="宋体" w:cs="宋体"/>
                <w:b w:val="0"/>
                <w:bCs w:val="0"/>
                <w:color w:val="auto"/>
                <w:kern w:val="0"/>
                <w:sz w:val="21"/>
                <w:szCs w:val="21"/>
                <w:highlight w:val="none"/>
                <w:u w:val="none" w:color="auto"/>
                <w:lang w:val="en-US" w:eastAsia="zh-CN"/>
              </w:rPr>
              <w:t>否决性条款</w:t>
            </w:r>
            <w:r>
              <w:rPr>
                <w:rFonts w:hint="eastAsia" w:eastAsia="宋体" w:cs="宋体"/>
                <w:b w:val="0"/>
                <w:bCs w:val="0"/>
                <w:color w:val="auto"/>
                <w:kern w:val="0"/>
                <w:sz w:val="21"/>
                <w:szCs w:val="21"/>
                <w:highlight w:val="none"/>
                <w:u w:val="none" w:color="auto"/>
                <w:lang w:eastAsia="zh-CN"/>
              </w:rPr>
              <w:t>”</w:t>
            </w:r>
            <w:r>
              <w:rPr>
                <w:rFonts w:hint="eastAsia" w:eastAsia="宋体" w:cs="宋体"/>
                <w:b w:val="0"/>
                <w:bCs w:val="0"/>
                <w:color w:val="auto"/>
                <w:kern w:val="0"/>
                <w:sz w:val="21"/>
                <w:szCs w:val="21"/>
                <w:highlight w:val="none"/>
                <w:u w:val="none" w:color="auto"/>
                <w:lang w:val="en-US" w:eastAsia="zh-CN"/>
              </w:rPr>
              <w:t>规定的情形</w:t>
            </w:r>
            <w:r>
              <w:rPr>
                <w:rFonts w:hint="eastAsia" w:eastAsia="宋体" w:cs="宋体"/>
                <w:b w:val="0"/>
                <w:bCs w:val="0"/>
                <w:color w:val="auto"/>
                <w:kern w:val="0"/>
                <w:sz w:val="21"/>
                <w:szCs w:val="21"/>
                <w:highlight w:val="none"/>
                <w:u w:val="none" w:color="auto"/>
                <w:lang w:eastAsia="zh-CN"/>
              </w:rPr>
              <w:t>或法律、法规、规章规定的应作无效投标文件处理的情况。</w:t>
            </w:r>
          </w:p>
        </w:tc>
        <w:tc>
          <w:tcPr>
            <w:tcW w:w="1035" w:type="dxa"/>
            <w:tcBorders>
              <w:top w:val="single" w:color="000000" w:sz="2" w:space="0"/>
              <w:left w:val="single" w:color="000000" w:sz="2" w:space="0"/>
              <w:bottom w:val="single" w:color="000000" w:sz="2" w:space="0"/>
              <w:right w:val="single" w:color="000000" w:sz="2" w:space="0"/>
            </w:tcBorders>
            <w:noWrap w:val="0"/>
            <w:vAlign w:val="center"/>
          </w:tcPr>
          <w:p w14:paraId="17D8AD6B">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囗合格</w:t>
            </w:r>
          </w:p>
          <w:p w14:paraId="14D4D2EC">
            <w:pPr>
              <w:keepNext w:val="0"/>
              <w:keepLines w:val="0"/>
              <w:pageBreakBefore w:val="0"/>
              <w:widowControl/>
              <w:kinsoku/>
              <w:wordWrap/>
              <w:overflowPunct/>
              <w:topLinePunct w:val="0"/>
              <w:autoSpaceDE/>
              <w:autoSpaceDN/>
              <w:bidi w:val="0"/>
              <w:adjustRightInd w:val="0"/>
              <w:snapToGrid w:val="0"/>
              <w:spacing w:line="360" w:lineRule="auto"/>
              <w:ind w:left="21" w:leftChars="10"/>
              <w:jc w:val="both"/>
              <w:textAlignment w:val="auto"/>
              <w:rPr>
                <w:rFonts w:hint="eastAsia" w:ascii="黑体" w:hAnsi="黑体" w:eastAsia="黑体" w:cs="黑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u w:val="none" w:color="auto"/>
                <w:lang w:val="en-US" w:eastAsia="zh-CN"/>
              </w:rPr>
              <w:t>囗不合格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14:paraId="460B6073">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cs="宋体"/>
                <w:color w:val="auto"/>
                <w:szCs w:val="21"/>
                <w:highlight w:val="none"/>
              </w:rPr>
            </w:pPr>
          </w:p>
        </w:tc>
        <w:tc>
          <w:tcPr>
            <w:tcW w:w="605" w:type="dxa"/>
            <w:tcBorders>
              <w:top w:val="single" w:color="000000" w:sz="2" w:space="0"/>
              <w:left w:val="single" w:color="000000" w:sz="2" w:space="0"/>
              <w:bottom w:val="single" w:color="000000" w:sz="2" w:space="0"/>
              <w:right w:val="single" w:color="000000" w:sz="2" w:space="0"/>
            </w:tcBorders>
            <w:noWrap w:val="0"/>
            <w:vAlign w:val="center"/>
          </w:tcPr>
          <w:p w14:paraId="1A63F57C">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cs="宋体"/>
                <w:color w:val="auto"/>
                <w:szCs w:val="21"/>
                <w:highlight w:val="none"/>
              </w:rPr>
            </w:pPr>
          </w:p>
        </w:tc>
      </w:tr>
      <w:tr w14:paraId="34B4F0F8">
        <w:tblPrEx>
          <w:tblCellMar>
            <w:top w:w="39" w:type="dxa"/>
            <w:left w:w="0" w:type="dxa"/>
            <w:bottom w:w="0" w:type="dxa"/>
            <w:right w:w="29" w:type="dxa"/>
          </w:tblCellMar>
        </w:tblPrEx>
        <w:trPr>
          <w:trHeight w:val="932" w:hRule="atLeast"/>
          <w:jc w:val="center"/>
        </w:trPr>
        <w:tc>
          <w:tcPr>
            <w:tcW w:w="4505" w:type="dxa"/>
            <w:gridSpan w:val="3"/>
            <w:tcBorders>
              <w:top w:val="single" w:color="000000" w:sz="2" w:space="0"/>
              <w:left w:val="single" w:color="000000" w:sz="2" w:space="0"/>
              <w:bottom w:val="single" w:color="000000" w:sz="2" w:space="0"/>
              <w:right w:val="single" w:color="000000" w:sz="2" w:space="0"/>
            </w:tcBorders>
            <w:noWrap w:val="0"/>
            <w:vAlign w:val="center"/>
          </w:tcPr>
          <w:p w14:paraId="79E3DDF8">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综合评价等级：</w:t>
            </w:r>
            <w:r>
              <w:rPr>
                <w:rFonts w:hint="eastAsia" w:ascii="宋体" w:hAnsi="宋体" w:eastAsia="宋体" w:cs="宋体"/>
                <w:b w:val="0"/>
                <w:bCs w:val="0"/>
                <w:color w:val="auto"/>
                <w:kern w:val="0"/>
                <w:sz w:val="21"/>
                <w:szCs w:val="21"/>
                <w:highlight w:val="none"/>
                <w:u w:val="none" w:color="auto"/>
                <w:lang w:val="en-US" w:eastAsia="zh-CN"/>
              </w:rPr>
              <w:t>囗合格    囗不合格</w:t>
            </w:r>
          </w:p>
        </w:tc>
        <w:tc>
          <w:tcPr>
            <w:tcW w:w="4506" w:type="dxa"/>
            <w:gridSpan w:val="4"/>
            <w:tcBorders>
              <w:top w:val="single" w:color="000000" w:sz="2" w:space="0"/>
              <w:left w:val="single" w:color="000000" w:sz="2" w:space="0"/>
              <w:bottom w:val="single" w:color="000000" w:sz="2" w:space="0"/>
              <w:right w:val="single" w:color="000000" w:sz="2" w:space="0"/>
            </w:tcBorders>
            <w:noWrap w:val="0"/>
            <w:vAlign w:val="center"/>
          </w:tcPr>
          <w:p w14:paraId="58F490B5">
            <w:pPr>
              <w:keepNext w:val="0"/>
              <w:keepLines w:val="0"/>
              <w:pageBreakBefore w:val="0"/>
              <w:widowControl/>
              <w:kinsoku/>
              <w:wordWrap/>
              <w:overflowPunct/>
              <w:topLinePunct w:val="0"/>
              <w:autoSpaceDE/>
              <w:autoSpaceDN/>
              <w:bidi w:val="0"/>
              <w:adjustRightInd w:val="0"/>
              <w:snapToGrid w:val="0"/>
              <w:spacing w:after="0" w:line="360" w:lineRule="auto"/>
              <w:ind w:left="21" w:leftChars="10" w:right="0" w:rightChars="0" w:firstLine="0" w:firstLineChars="0"/>
              <w:jc w:val="both"/>
              <w:textAlignment w:val="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不合格原因：</w:t>
            </w:r>
          </w:p>
        </w:tc>
      </w:tr>
    </w:tbl>
    <w:p w14:paraId="2050A3A5">
      <w:pPr>
        <w:bidi w:val="0"/>
        <w:rPr>
          <w:rFonts w:ascii="宋体" w:eastAsia="宋体" w:cs="宋体"/>
          <w:bCs/>
          <w:color w:val="auto"/>
          <w:kern w:val="2"/>
          <w:szCs w:val="21"/>
          <w:highlight w:val="none"/>
        </w:rPr>
      </w:pPr>
      <w:r>
        <w:rPr>
          <w:rFonts w:hint="eastAsia"/>
          <w:lang w:val="en-US" w:eastAsia="zh-CN"/>
        </w:rPr>
        <w:t>资格审查人员：                     资格审查日期：      年  月  日</w:t>
      </w:r>
    </w:p>
    <w:p w14:paraId="3B81504A">
      <w:pPr>
        <w:keepNext w:val="0"/>
        <w:keepLines w:val="0"/>
        <w:pageBreakBefore w:val="0"/>
        <w:kinsoku/>
        <w:wordWrap/>
        <w:overflowPunct/>
        <w:topLinePunct w:val="0"/>
        <w:autoSpaceDE/>
        <w:autoSpaceDN/>
        <w:bidi w:val="0"/>
        <w:spacing w:line="360" w:lineRule="auto"/>
        <w:textAlignment w:val="auto"/>
        <w:rPr>
          <w:rFonts w:ascii="宋体" w:hAnsi="宋体" w:cs="宋体"/>
          <w:bCs/>
          <w:color w:val="auto"/>
          <w:szCs w:val="21"/>
          <w:highlight w:val="none"/>
        </w:rPr>
      </w:pPr>
      <w:r>
        <w:rPr>
          <w:rFonts w:hint="eastAsia" w:ascii="宋体" w:hAnsi="宋体" w:cs="宋体"/>
          <w:bCs/>
          <w:color w:val="auto"/>
          <w:szCs w:val="21"/>
          <w:highlight w:val="none"/>
        </w:rPr>
        <w:t>备注：</w:t>
      </w:r>
    </w:p>
    <w:p w14:paraId="4C3D3E3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本表适用于</w:t>
      </w:r>
      <w:r>
        <w:rPr>
          <w:rFonts w:hint="eastAsia" w:ascii="宋体" w:hAnsi="宋体" w:eastAsia="宋体" w:cs="宋体"/>
          <w:b w:val="0"/>
          <w:bCs w:val="0"/>
          <w:color w:val="auto"/>
          <w:kern w:val="0"/>
          <w:sz w:val="21"/>
          <w:szCs w:val="21"/>
          <w:highlight w:val="none"/>
          <w:u w:val="none" w:color="auto"/>
          <w:lang w:val="en-US" w:eastAsia="zh-CN"/>
        </w:rPr>
        <w:t>资格审查小组成员</w:t>
      </w:r>
      <w:r>
        <w:rPr>
          <w:rFonts w:hint="eastAsia" w:ascii="宋体" w:hAnsi="宋体" w:cs="宋体"/>
          <w:bCs/>
          <w:color w:val="auto"/>
          <w:szCs w:val="21"/>
          <w:highlight w:val="none"/>
        </w:rPr>
        <w:t>独立</w:t>
      </w:r>
      <w:r>
        <w:rPr>
          <w:rFonts w:hint="eastAsia" w:ascii="宋体" w:hAnsi="宋体" w:cs="宋体"/>
          <w:bCs/>
          <w:color w:val="auto"/>
          <w:szCs w:val="21"/>
          <w:highlight w:val="none"/>
          <w:lang w:val="en-US" w:eastAsia="zh-CN"/>
        </w:rPr>
        <w:t>审查</w:t>
      </w:r>
      <w:r>
        <w:rPr>
          <w:rFonts w:hint="eastAsia" w:ascii="宋体" w:hAnsi="宋体" w:cs="宋体"/>
          <w:bCs/>
          <w:color w:val="auto"/>
          <w:szCs w:val="21"/>
          <w:highlight w:val="none"/>
        </w:rPr>
        <w:t>使用</w:t>
      </w:r>
      <w:r>
        <w:rPr>
          <w:rFonts w:hint="eastAsia" w:ascii="宋体" w:hAnsi="宋体" w:cs="宋体"/>
          <w:bCs/>
          <w:color w:val="auto"/>
          <w:szCs w:val="21"/>
          <w:highlight w:val="none"/>
          <w:lang w:eastAsia="zh-CN"/>
        </w:rPr>
        <w:t>。</w:t>
      </w:r>
    </w:p>
    <w:p w14:paraId="7A2830C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 xml:space="preserve"> </w:t>
      </w:r>
      <w:r>
        <w:rPr>
          <w:rFonts w:hint="eastAsia" w:ascii="宋体" w:hAnsi="宋体" w:eastAsia="宋体" w:cs="宋体"/>
          <w:b w:val="0"/>
          <w:bCs w:val="0"/>
          <w:color w:val="auto"/>
          <w:kern w:val="0"/>
          <w:sz w:val="21"/>
          <w:szCs w:val="21"/>
          <w:highlight w:val="none"/>
          <w:u w:val="none" w:color="auto"/>
          <w:lang w:val="en-US" w:eastAsia="zh-CN"/>
        </w:rPr>
        <w:t>出现招标文件否决性条款规定的情形或不符合本表评审内容要求情形的，评价等级为不合格，其他均应评定为合格。</w:t>
      </w:r>
    </w:p>
    <w:p w14:paraId="012D203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kern w:val="0"/>
          <w:sz w:val="21"/>
          <w:szCs w:val="21"/>
          <w:highlight w:val="none"/>
          <w:u w:val="none" w:color="auto"/>
          <w:lang w:val="en-US" w:eastAsia="zh-CN"/>
        </w:rPr>
      </w:pPr>
      <w:r>
        <w:rPr>
          <w:rFonts w:hint="eastAsia" w:ascii="宋体" w:hAnsi="宋体" w:eastAsia="宋体" w:cs="宋体"/>
          <w:b w:val="0"/>
          <w:bCs w:val="0"/>
          <w:color w:val="auto"/>
          <w:kern w:val="0"/>
          <w:sz w:val="21"/>
          <w:szCs w:val="21"/>
          <w:highlight w:val="none"/>
          <w:u w:val="none" w:color="auto"/>
          <w:lang w:val="en-US" w:eastAsia="zh-CN"/>
        </w:rPr>
        <w:t>3. 综合评价等级分为合格或不合格两个等级。任一资格审查要素审查结论为不合格的，资格审查结论为不合格。所有资格审查要素审查结论均为合格的，不得以其它理由认定资格审查结论为不合格。</w:t>
      </w:r>
    </w:p>
    <w:p w14:paraId="1665AE9B">
      <w:pPr>
        <w:pStyle w:val="4"/>
        <w:bidi w:val="0"/>
        <w:rPr>
          <w:color w:val="auto"/>
          <w:highlight w:val="none"/>
        </w:rPr>
      </w:pPr>
      <w:r>
        <w:rPr>
          <w:rFonts w:hint="eastAsia" w:ascii="宋体" w:hAnsi="宋体" w:eastAsia="宋体" w:cs="宋体"/>
          <w:b w:val="0"/>
          <w:bCs w:val="0"/>
          <w:color w:val="auto"/>
          <w:kern w:val="0"/>
          <w:sz w:val="21"/>
          <w:szCs w:val="21"/>
          <w:highlight w:val="none"/>
          <w:u w:val="none" w:color="auto"/>
          <w:lang w:val="en-US" w:eastAsia="zh-CN"/>
        </w:rPr>
        <w:br w:type="page"/>
      </w:r>
      <w:bookmarkStart w:id="37" w:name="_Toc28994"/>
      <w:bookmarkStart w:id="38" w:name="_Toc2591732"/>
      <w:bookmarkStart w:id="39" w:name="_Toc18295"/>
      <w:bookmarkStart w:id="40" w:name="_Toc1910288424"/>
      <w:bookmarkStart w:id="41" w:name="_Toc24241"/>
      <w:bookmarkStart w:id="42" w:name="_Toc16239"/>
      <w:bookmarkStart w:id="43" w:name="_Toc25815"/>
      <w:bookmarkStart w:id="44" w:name="_Toc2071450886"/>
      <w:r>
        <w:rPr>
          <w:rFonts w:hint="eastAsia" w:ascii="宋体" w:hAnsi="宋体" w:cs="宋体"/>
          <w:b/>
          <w:bCs/>
          <w:color w:val="auto"/>
          <w:kern w:val="2"/>
          <w:sz w:val="24"/>
          <w:szCs w:val="32"/>
          <w:highlight w:val="none"/>
          <w:lang w:val="en-US" w:eastAsia="zh-CN" w:bidi="ar-SA"/>
        </w:rPr>
        <w:t>1. 总</w:t>
      </w:r>
      <w:r>
        <w:rPr>
          <w:rFonts w:hint="eastAsia"/>
          <w:color w:val="auto"/>
          <w:highlight w:val="none"/>
        </w:rPr>
        <w:t>则</w:t>
      </w:r>
      <w:bookmarkEnd w:id="37"/>
      <w:bookmarkEnd w:id="38"/>
      <w:bookmarkEnd w:id="39"/>
      <w:bookmarkEnd w:id="40"/>
      <w:bookmarkEnd w:id="41"/>
      <w:bookmarkEnd w:id="42"/>
      <w:bookmarkEnd w:id="43"/>
      <w:bookmarkEnd w:id="44"/>
    </w:p>
    <w:p w14:paraId="31C65921">
      <w:pPr>
        <w:pStyle w:val="5"/>
        <w:bidi w:val="0"/>
        <w:rPr>
          <w:rFonts w:hint="eastAsia" w:ascii="宋体" w:hAnsi="宋体" w:eastAsia="宋体" w:cs="宋体"/>
          <w:b/>
          <w:bCs/>
          <w:color w:val="auto"/>
          <w:sz w:val="21"/>
          <w:highlight w:val="none"/>
        </w:rPr>
      </w:pPr>
      <w:bookmarkStart w:id="45" w:name="_Toc1376781545"/>
      <w:r>
        <w:rPr>
          <w:rFonts w:hint="eastAsia" w:ascii="宋体" w:hAnsi="宋体" w:eastAsia="宋体" w:cs="宋体"/>
          <w:b/>
          <w:bCs/>
          <w:color w:val="auto"/>
          <w:sz w:val="21"/>
          <w:highlight w:val="none"/>
        </w:rPr>
        <w:t>1.1 项目概况</w:t>
      </w:r>
      <w:bookmarkEnd w:id="45"/>
    </w:p>
    <w:p w14:paraId="22B0EE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 根据《中华人民共和国招标投标法》等有关法律、法规和规章的规定，本招标项目</w:t>
      </w:r>
      <w:r>
        <w:rPr>
          <w:rFonts w:hint="eastAsia" w:ascii="宋体" w:hAnsi="宋体"/>
          <w:color w:val="auto"/>
          <w:szCs w:val="21"/>
          <w:highlight w:val="none"/>
          <w:lang w:val="en-US" w:eastAsia="zh-CN"/>
        </w:rPr>
        <w:t>已</w:t>
      </w:r>
      <w:r>
        <w:rPr>
          <w:rFonts w:hint="eastAsia" w:ascii="宋体" w:hAnsi="宋体"/>
          <w:color w:val="auto"/>
          <w:szCs w:val="21"/>
          <w:highlight w:val="none"/>
        </w:rPr>
        <w:t>具备招标条件，现进行</w:t>
      </w:r>
      <w:r>
        <w:rPr>
          <w:rFonts w:hint="eastAsia" w:ascii="宋体" w:hAnsi="宋体"/>
          <w:color w:val="auto"/>
          <w:szCs w:val="21"/>
          <w:highlight w:val="none"/>
          <w:lang w:eastAsia="zh-CN"/>
        </w:rPr>
        <w:t>勘察设计</w:t>
      </w:r>
      <w:r>
        <w:rPr>
          <w:rFonts w:hint="eastAsia" w:ascii="宋体" w:hAnsi="宋体"/>
          <w:color w:val="auto"/>
          <w:szCs w:val="21"/>
          <w:highlight w:val="none"/>
        </w:rPr>
        <w:t>招标。</w:t>
      </w:r>
    </w:p>
    <w:p w14:paraId="54B0F6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招标人：见投标人须知前附表。</w:t>
      </w:r>
    </w:p>
    <w:p w14:paraId="3A9D05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 </w:t>
      </w:r>
      <w:r>
        <w:rPr>
          <w:rFonts w:hint="eastAsia" w:ascii="宋体" w:hAnsi="宋体"/>
          <w:color w:val="auto"/>
          <w:szCs w:val="21"/>
          <w:highlight w:val="none"/>
          <w:lang w:val="en-US" w:eastAsia="zh-CN"/>
        </w:rPr>
        <w:t>招</w:t>
      </w:r>
      <w:r>
        <w:rPr>
          <w:rFonts w:hint="eastAsia" w:ascii="宋体" w:hAnsi="宋体"/>
          <w:color w:val="auto"/>
          <w:szCs w:val="21"/>
          <w:highlight w:val="none"/>
        </w:rPr>
        <w:t>标代理机构：见投标人须知前附表。</w:t>
      </w:r>
    </w:p>
    <w:p w14:paraId="1E14AC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1.1.4 项目名称：见投标人须知前附表。</w:t>
      </w:r>
    </w:p>
    <w:p w14:paraId="52805C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1.1.5 </w:t>
      </w:r>
      <w:r>
        <w:rPr>
          <w:rFonts w:hint="eastAsia" w:ascii="宋体" w:hAnsi="宋体"/>
          <w:color w:val="auto"/>
          <w:szCs w:val="21"/>
          <w:highlight w:val="none"/>
          <w:lang w:eastAsia="zh-CN"/>
        </w:rPr>
        <w:t>项目</w:t>
      </w:r>
      <w:r>
        <w:rPr>
          <w:rFonts w:hint="eastAsia" w:ascii="宋体" w:hAnsi="宋体"/>
          <w:color w:val="auto"/>
          <w:szCs w:val="21"/>
          <w:highlight w:val="none"/>
        </w:rPr>
        <w:t>建设地点：见投标人须知前附表。</w:t>
      </w:r>
    </w:p>
    <w:p w14:paraId="41067DC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w:t>
      </w:r>
      <w:r>
        <w:rPr>
          <w:rFonts w:hint="eastAsia" w:ascii="宋体" w:hAnsi="宋体"/>
          <w:color w:val="auto"/>
          <w:szCs w:val="21"/>
          <w:highlight w:val="none"/>
          <w:lang w:eastAsia="zh-CN"/>
        </w:rPr>
        <w:t>项目</w:t>
      </w:r>
      <w:r>
        <w:rPr>
          <w:rFonts w:hint="eastAsia" w:ascii="宋体" w:hAnsi="宋体"/>
          <w:color w:val="auto"/>
          <w:szCs w:val="21"/>
          <w:highlight w:val="none"/>
        </w:rPr>
        <w:t>建设</w:t>
      </w:r>
      <w:r>
        <w:rPr>
          <w:rFonts w:hint="eastAsia" w:ascii="宋体" w:hAnsi="宋体"/>
          <w:color w:val="auto"/>
          <w:szCs w:val="21"/>
          <w:highlight w:val="none"/>
          <w:lang w:eastAsia="zh-CN"/>
        </w:rPr>
        <w:t>规模</w:t>
      </w:r>
      <w:r>
        <w:rPr>
          <w:rFonts w:hint="eastAsia" w:ascii="宋体" w:hAnsi="宋体"/>
          <w:color w:val="auto"/>
          <w:szCs w:val="21"/>
          <w:highlight w:val="none"/>
        </w:rPr>
        <w:t>：见投标人须知前附表。</w:t>
      </w:r>
    </w:p>
    <w:p w14:paraId="155DED1C">
      <w:pPr>
        <w:ind w:firstLine="420" w:firstLineChars="200"/>
        <w:rPr>
          <w:rFonts w:hint="eastAsia"/>
          <w:color w:val="auto"/>
          <w:highlight w:val="none"/>
        </w:rPr>
      </w:pPr>
      <w:r>
        <w:rPr>
          <w:rFonts w:hint="eastAsia" w:ascii="宋体" w:hAnsi="宋体"/>
          <w:color w:val="auto"/>
          <w:szCs w:val="21"/>
          <w:highlight w:val="none"/>
        </w:rPr>
        <w:t>1.1.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w:t>
      </w:r>
      <w:r>
        <w:rPr>
          <w:rFonts w:hint="eastAsia" w:ascii="宋体" w:hAnsi="宋体"/>
          <w:color w:val="auto"/>
          <w:szCs w:val="21"/>
          <w:highlight w:val="none"/>
          <w:lang w:eastAsia="zh-CN"/>
        </w:rPr>
        <w:t>项目投资估算</w:t>
      </w:r>
      <w:r>
        <w:rPr>
          <w:rFonts w:hint="eastAsia" w:ascii="宋体" w:hAnsi="宋体"/>
          <w:color w:val="auto"/>
          <w:szCs w:val="21"/>
          <w:highlight w:val="none"/>
        </w:rPr>
        <w:t>：见投标人须知前附表。</w:t>
      </w:r>
    </w:p>
    <w:p w14:paraId="40DCD1F9">
      <w:pPr>
        <w:pStyle w:val="5"/>
        <w:bidi w:val="0"/>
        <w:rPr>
          <w:rFonts w:hint="eastAsia" w:ascii="宋体" w:hAnsi="宋体" w:eastAsia="宋体" w:cs="宋体"/>
          <w:b/>
          <w:bCs/>
          <w:color w:val="auto"/>
          <w:sz w:val="21"/>
          <w:highlight w:val="none"/>
        </w:rPr>
      </w:pPr>
      <w:bookmarkStart w:id="46" w:name="_Toc2035873595"/>
      <w:r>
        <w:rPr>
          <w:rFonts w:hint="eastAsia" w:ascii="宋体" w:hAnsi="宋体" w:eastAsia="宋体" w:cs="宋体"/>
          <w:b/>
          <w:bCs/>
          <w:color w:val="auto"/>
          <w:sz w:val="21"/>
          <w:highlight w:val="none"/>
        </w:rPr>
        <w:t>1.2 资金来源和落实情况</w:t>
      </w:r>
      <w:bookmarkEnd w:id="46"/>
    </w:p>
    <w:p w14:paraId="2CB65134">
      <w:pPr>
        <w:spacing w:line="360" w:lineRule="auto"/>
        <w:ind w:firstLine="420" w:firstLineChars="200"/>
        <w:rPr>
          <w:rFonts w:ascii="宋体"/>
          <w:color w:val="auto"/>
          <w:szCs w:val="21"/>
          <w:highlight w:val="none"/>
        </w:rPr>
      </w:pPr>
      <w:r>
        <w:rPr>
          <w:rFonts w:ascii="宋体" w:hAnsi="宋体"/>
          <w:color w:val="auto"/>
          <w:szCs w:val="21"/>
          <w:highlight w:val="none"/>
        </w:rPr>
        <w:t xml:space="preserve">1.2.1 </w:t>
      </w:r>
      <w:r>
        <w:rPr>
          <w:rFonts w:hint="eastAsia" w:ascii="宋体" w:hAnsi="宋体"/>
          <w:color w:val="auto"/>
          <w:szCs w:val="21"/>
          <w:highlight w:val="none"/>
        </w:rPr>
        <w:t>资金来源：见投标人须知前附表。</w:t>
      </w:r>
    </w:p>
    <w:p w14:paraId="4532602E">
      <w:pPr>
        <w:spacing w:line="360" w:lineRule="auto"/>
        <w:ind w:firstLine="420" w:firstLineChars="200"/>
        <w:rPr>
          <w:rFonts w:asci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出资比例：见投标人须知前附表。</w:t>
      </w:r>
    </w:p>
    <w:p w14:paraId="6105D0FE">
      <w:pPr>
        <w:spacing w:line="360" w:lineRule="auto"/>
        <w:ind w:firstLine="420" w:firstLineChars="200"/>
        <w:rPr>
          <w:rFonts w:ascii="宋体"/>
          <w:color w:val="auto"/>
          <w:szCs w:val="21"/>
          <w:highlight w:val="none"/>
        </w:rPr>
      </w:pPr>
      <w:r>
        <w:rPr>
          <w:rFonts w:ascii="宋体" w:hAnsi="宋体"/>
          <w:color w:val="auto"/>
          <w:szCs w:val="21"/>
          <w:highlight w:val="none"/>
        </w:rPr>
        <w:t xml:space="preserve">1.2.3 </w:t>
      </w:r>
      <w:r>
        <w:rPr>
          <w:rFonts w:hint="eastAsia" w:ascii="宋体" w:hAnsi="宋体"/>
          <w:color w:val="auto"/>
          <w:szCs w:val="21"/>
          <w:highlight w:val="none"/>
        </w:rPr>
        <w:t>资金落实情况：见投标人须知前附表。</w:t>
      </w:r>
    </w:p>
    <w:p w14:paraId="5AC8E9D4">
      <w:pPr>
        <w:pStyle w:val="5"/>
        <w:bidi w:val="0"/>
        <w:rPr>
          <w:color w:val="auto"/>
          <w:highlight w:val="none"/>
        </w:rPr>
      </w:pPr>
      <w:bookmarkStart w:id="47" w:name="_Toc812920579"/>
      <w:r>
        <w:rPr>
          <w:rFonts w:hint="eastAsia" w:ascii="宋体" w:hAnsi="宋体" w:eastAsia="宋体" w:cs="宋体"/>
          <w:b/>
          <w:bCs/>
          <w:color w:val="auto"/>
          <w:sz w:val="21"/>
          <w:highlight w:val="none"/>
        </w:rPr>
        <w:t>1.3 招标范围、</w:t>
      </w:r>
      <w:r>
        <w:rPr>
          <w:rFonts w:hint="eastAsia" w:ascii="宋体" w:hAnsi="宋体" w:eastAsia="宋体" w:cs="宋体"/>
          <w:b/>
          <w:bCs/>
          <w:color w:val="auto"/>
          <w:sz w:val="21"/>
          <w:highlight w:val="none"/>
          <w:lang w:eastAsia="zh-CN"/>
        </w:rPr>
        <w:t>工期要求、质量标准</w:t>
      </w:r>
      <w:bookmarkEnd w:id="47"/>
    </w:p>
    <w:p w14:paraId="510929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招标范围：见投标人须知前附表。</w:t>
      </w:r>
    </w:p>
    <w:p w14:paraId="55AE7D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工期</w:t>
      </w:r>
      <w:r>
        <w:rPr>
          <w:rFonts w:hint="eastAsia" w:ascii="宋体" w:hAnsi="宋体"/>
          <w:color w:val="auto"/>
          <w:szCs w:val="21"/>
          <w:highlight w:val="none"/>
          <w:lang w:eastAsia="zh-CN"/>
        </w:rPr>
        <w:t>要求</w:t>
      </w:r>
      <w:r>
        <w:rPr>
          <w:rFonts w:hint="eastAsia" w:ascii="宋体" w:hAnsi="宋体"/>
          <w:color w:val="auto"/>
          <w:szCs w:val="21"/>
          <w:highlight w:val="none"/>
        </w:rPr>
        <w:t>：见投标人须知前附表。</w:t>
      </w:r>
    </w:p>
    <w:p w14:paraId="4679DC6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1.3.</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eastAsia="宋体" w:cs="Times New Roman"/>
          <w:color w:val="auto"/>
          <w:kern w:val="2"/>
          <w:sz w:val="21"/>
          <w:szCs w:val="21"/>
          <w:highlight w:val="none"/>
          <w:lang w:val="en-US" w:eastAsia="zh-CN" w:bidi="ar-SA"/>
        </w:rPr>
        <w:t>质量标准：见投标人须知前附表。</w:t>
      </w:r>
    </w:p>
    <w:p w14:paraId="18A9BA2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1.3.</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ascii="宋体" w:hAnsi="宋体"/>
          <w:color w:val="auto"/>
          <w:sz w:val="21"/>
          <w:szCs w:val="21"/>
          <w:highlight w:val="none"/>
          <w:lang w:val="en-US" w:eastAsia="zh-CN"/>
        </w:rPr>
        <w:t>绿色建筑等级</w:t>
      </w:r>
      <w:r>
        <w:rPr>
          <w:rFonts w:hint="eastAsia" w:ascii="宋体" w:hAnsi="宋体"/>
          <w:color w:val="auto"/>
          <w:sz w:val="21"/>
          <w:szCs w:val="21"/>
          <w:highlight w:val="none"/>
        </w:rPr>
        <w:t>：见投标人须知前附表。</w:t>
      </w:r>
    </w:p>
    <w:p w14:paraId="3678326B">
      <w:pPr>
        <w:pStyle w:val="5"/>
        <w:bidi w:val="0"/>
        <w:rPr>
          <w:rFonts w:hint="eastAsia" w:ascii="宋体" w:hAnsi="宋体" w:eastAsia="宋体" w:cs="宋体"/>
          <w:b/>
          <w:bCs/>
          <w:color w:val="auto"/>
          <w:sz w:val="21"/>
          <w:highlight w:val="none"/>
        </w:rPr>
      </w:pPr>
      <w:bookmarkStart w:id="48" w:name="_Toc747971141"/>
      <w:r>
        <w:rPr>
          <w:rFonts w:hint="eastAsia" w:ascii="宋体" w:hAnsi="宋体" w:eastAsia="宋体" w:cs="宋体"/>
          <w:b/>
          <w:bCs/>
          <w:color w:val="auto"/>
          <w:sz w:val="21"/>
          <w:highlight w:val="none"/>
        </w:rPr>
        <w:t>1.4 投标人资格要求</w:t>
      </w:r>
      <w:bookmarkEnd w:id="48"/>
    </w:p>
    <w:p w14:paraId="462BE0C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投标人应具备承担本项目勘察、设计的资质条件、能力。</w:t>
      </w:r>
    </w:p>
    <w:p w14:paraId="286515A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资质条件：见投标人须知前附表。</w:t>
      </w:r>
    </w:p>
    <w:p w14:paraId="79AD01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其他要求：见投标人须知前附表。</w:t>
      </w:r>
    </w:p>
    <w:p w14:paraId="2492D0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 投标人须知前附表规定接受联合体投标的，除应符合本章第1.4.1项和投标人须知前附表的要求外，还应遵守以下规定：</w:t>
      </w:r>
    </w:p>
    <w:p w14:paraId="56CDDF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联合体各方应按招标文件提供的格式签订联合体协议书，明确联合体牵头人和各方权利义务；</w:t>
      </w:r>
    </w:p>
    <w:p w14:paraId="4081F6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由同一专业的单位组成的联合体，按照资质等级较低的单位确定资质等级；</w:t>
      </w:r>
    </w:p>
    <w:p w14:paraId="67042D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联合体各方不得再以自己名义单独或参加其他联合体在同一标段中投标。</w:t>
      </w:r>
    </w:p>
    <w:p w14:paraId="6046F295">
      <w:pPr>
        <w:spacing w:line="360" w:lineRule="auto"/>
        <w:ind w:firstLine="420" w:firstLineChars="200"/>
        <w:rPr>
          <w:rFonts w:ascii="宋体"/>
          <w:color w:val="auto"/>
          <w:szCs w:val="21"/>
          <w:highlight w:val="none"/>
        </w:rPr>
      </w:pPr>
      <w:r>
        <w:rPr>
          <w:rFonts w:ascii="宋体" w:hAnsi="宋体"/>
          <w:color w:val="auto"/>
          <w:szCs w:val="21"/>
          <w:highlight w:val="none"/>
        </w:rPr>
        <w:t>1.4.</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投标人不得存在下列情形之一：</w:t>
      </w:r>
    </w:p>
    <w:p w14:paraId="13C023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为招标人不具有独立法人资格的附属机构（单位）</w:t>
      </w:r>
      <w:r>
        <w:rPr>
          <w:rFonts w:hint="eastAsia" w:ascii="宋体" w:hAnsi="宋体"/>
          <w:color w:val="auto"/>
          <w:szCs w:val="21"/>
          <w:highlight w:val="none"/>
          <w:lang w:eastAsia="zh-CN"/>
        </w:rPr>
        <w:t>；</w:t>
      </w:r>
    </w:p>
    <w:p w14:paraId="4DE643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为本招标项目的代建人；</w:t>
      </w:r>
    </w:p>
    <w:p w14:paraId="77AEB8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为本招标项目提供招标代理服务的；</w:t>
      </w:r>
    </w:p>
    <w:p w14:paraId="123B3E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与本招标项目的代建人或招标代理机构同为一个法定代表人的；</w:t>
      </w:r>
    </w:p>
    <w:p w14:paraId="730A63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与本招标项目的代建人或招标代理机构相互控股或参股的；</w:t>
      </w:r>
    </w:p>
    <w:p w14:paraId="6FCA6E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与本招标项目的代建人或招标代理机构相互任职或工作的；</w:t>
      </w:r>
    </w:p>
    <w:p w14:paraId="3CC475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color w:val="auto"/>
          <w:highlight w:val="none"/>
        </w:rPr>
        <w:t>单位负责人与其他投标人为同一人或者存在控股、管理关系的；</w:t>
      </w:r>
    </w:p>
    <w:p w14:paraId="6954CF83">
      <w:p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处于被责令停业期内的；</w:t>
      </w:r>
    </w:p>
    <w:p w14:paraId="2AA26C00">
      <w:pPr>
        <w:spacing w:line="360" w:lineRule="auto"/>
        <w:ind w:left="420" w:left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hint="eastAsia" w:ascii="宋体" w:hAnsi="宋体"/>
          <w:color w:val="auto"/>
          <w:szCs w:val="21"/>
          <w:highlight w:val="none"/>
        </w:rPr>
        <w:t>处于被暂停或取消投标资格期内的；</w:t>
      </w:r>
    </w:p>
    <w:p w14:paraId="2AFE96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r>
        <w:rPr>
          <w:rFonts w:hint="eastAsia" w:ascii="宋体" w:hAnsi="宋体"/>
          <w:color w:val="auto"/>
          <w:szCs w:val="21"/>
          <w:highlight w:val="none"/>
        </w:rPr>
        <w:t>处于财产被接管或冻结期内的</w:t>
      </w:r>
      <w:r>
        <w:rPr>
          <w:rFonts w:hint="eastAsia" w:ascii="宋体" w:hAnsi="宋体"/>
          <w:color w:val="auto"/>
          <w:szCs w:val="21"/>
          <w:highlight w:val="none"/>
          <w:lang w:eastAsia="zh-CN"/>
        </w:rPr>
        <w:t>；</w:t>
      </w:r>
    </w:p>
    <w:p w14:paraId="781C8265">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）为投资参股本招标项目的法人单位</w:t>
      </w:r>
      <w:r>
        <w:rPr>
          <w:rFonts w:hint="eastAsia" w:ascii="宋体" w:hAnsi="宋体" w:cs="宋体"/>
          <w:color w:val="auto"/>
          <w:szCs w:val="21"/>
          <w:highlight w:val="none"/>
          <w:lang w:eastAsia="zh-CN"/>
        </w:rPr>
        <w:t>；</w:t>
      </w:r>
    </w:p>
    <w:p w14:paraId="35B2841C">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）处于拖欠农民工工资失信联合惩戒对象名单内的。</w:t>
      </w:r>
    </w:p>
    <w:p w14:paraId="6AB74476">
      <w:pPr>
        <w:pStyle w:val="5"/>
        <w:bidi w:val="0"/>
        <w:rPr>
          <w:rFonts w:hint="eastAsia" w:ascii="宋体" w:hAnsi="宋体" w:eastAsia="宋体" w:cs="宋体"/>
          <w:b/>
          <w:bCs/>
          <w:color w:val="auto"/>
          <w:sz w:val="21"/>
          <w:highlight w:val="none"/>
        </w:rPr>
      </w:pPr>
      <w:bookmarkStart w:id="49" w:name="_Toc1400011272"/>
      <w:r>
        <w:rPr>
          <w:rFonts w:hint="eastAsia" w:ascii="宋体" w:hAnsi="宋体" w:eastAsia="宋体" w:cs="宋体"/>
          <w:b/>
          <w:bCs/>
          <w:color w:val="auto"/>
          <w:sz w:val="21"/>
          <w:highlight w:val="none"/>
        </w:rPr>
        <w:t xml:space="preserve">1.5 </w:t>
      </w:r>
      <w:bookmarkStart w:id="50" w:name="_Toc247513958"/>
      <w:bookmarkStart w:id="51" w:name="_Toc152045535"/>
      <w:bookmarkStart w:id="52" w:name="_Toc144974503"/>
      <w:bookmarkStart w:id="53" w:name="_Toc152042311"/>
      <w:bookmarkStart w:id="54" w:name="_Toc247527559"/>
      <w:bookmarkStart w:id="55" w:name="_Toc300834955"/>
      <w:r>
        <w:rPr>
          <w:rFonts w:hint="eastAsia" w:ascii="宋体" w:hAnsi="宋体" w:eastAsia="宋体" w:cs="宋体"/>
          <w:b/>
          <w:bCs/>
          <w:color w:val="auto"/>
          <w:sz w:val="21"/>
          <w:highlight w:val="none"/>
        </w:rPr>
        <w:t>费用承担</w:t>
      </w:r>
      <w:bookmarkEnd w:id="50"/>
      <w:bookmarkEnd w:id="51"/>
      <w:bookmarkEnd w:id="52"/>
      <w:bookmarkEnd w:id="53"/>
      <w:bookmarkEnd w:id="54"/>
      <w:r>
        <w:rPr>
          <w:rFonts w:hint="eastAsia" w:ascii="宋体" w:hAnsi="宋体" w:eastAsia="宋体" w:cs="宋体"/>
          <w:b/>
          <w:bCs/>
          <w:color w:val="auto"/>
          <w:sz w:val="21"/>
          <w:highlight w:val="none"/>
        </w:rPr>
        <w:t>和设计成果补偿</w:t>
      </w:r>
      <w:bookmarkEnd w:id="49"/>
      <w:bookmarkEnd w:id="55"/>
    </w:p>
    <w:p w14:paraId="0709D0B0">
      <w:pPr>
        <w:spacing w:line="360" w:lineRule="auto"/>
        <w:ind w:firstLine="420" w:firstLineChars="200"/>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1.5.1 投标人准备和参加投标活动发生的费用自理。</w:t>
      </w:r>
    </w:p>
    <w:p w14:paraId="54F8C93E">
      <w:pPr>
        <w:spacing w:line="360" w:lineRule="auto"/>
        <w:ind w:firstLine="420" w:firstLineChars="200"/>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1.5.2 招标人对符合招标文件规定的未中标人的设计成果进行补偿的，按投标人须知前附表规定给予补偿，并有权免费使用未中标人设计成果。</w:t>
      </w:r>
    </w:p>
    <w:p w14:paraId="11E7A8DA">
      <w:pPr>
        <w:spacing w:line="360" w:lineRule="auto"/>
        <w:ind w:firstLine="420" w:firstLineChars="200"/>
        <w:rPr>
          <w:rFonts w:hint="default" w:ascii="宋体" w:hAnsi="宋体" w:eastAsia="宋体" w:cs="Times New Roman"/>
          <w:color w:val="auto"/>
          <w:szCs w:val="21"/>
          <w:highlight w:val="none"/>
        </w:rPr>
      </w:pPr>
      <w:r>
        <w:rPr>
          <w:rFonts w:hint="eastAsia" w:ascii="宋体" w:hAnsi="宋体"/>
          <w:color w:val="auto"/>
          <w:szCs w:val="21"/>
          <w:highlight w:val="none"/>
          <w:lang w:val="en-US" w:eastAsia="zh-CN"/>
        </w:rPr>
        <w:t xml:space="preserve">1.5.3 </w:t>
      </w:r>
      <w:r>
        <w:rPr>
          <w:rFonts w:hint="eastAsia" w:ascii="宋体" w:hAnsi="宋体"/>
          <w:color w:val="auto"/>
          <w:szCs w:val="21"/>
          <w:highlight w:val="none"/>
        </w:rPr>
        <w:t>补偿费于本项目中标结果公告结束后，由投标人自行向</w:t>
      </w:r>
      <w:r>
        <w:rPr>
          <w:rFonts w:hint="eastAsia" w:ascii="宋体" w:hAnsi="宋体"/>
          <w:b/>
          <w:color w:val="auto"/>
          <w:szCs w:val="21"/>
          <w:highlight w:val="none"/>
        </w:rPr>
        <w:t>招标人</w:t>
      </w:r>
      <w:r>
        <w:rPr>
          <w:rFonts w:hint="eastAsia" w:ascii="宋体" w:hAnsi="宋体"/>
          <w:color w:val="auto"/>
          <w:szCs w:val="21"/>
          <w:highlight w:val="none"/>
        </w:rPr>
        <w:t>申请办理请款手续。</w:t>
      </w:r>
    </w:p>
    <w:p w14:paraId="75774A49">
      <w:pPr>
        <w:pStyle w:val="5"/>
        <w:bidi w:val="0"/>
        <w:rPr>
          <w:rFonts w:hint="eastAsia" w:ascii="宋体" w:hAnsi="宋体" w:eastAsia="宋体" w:cs="宋体"/>
          <w:b/>
          <w:bCs/>
          <w:color w:val="auto"/>
          <w:sz w:val="21"/>
          <w:highlight w:val="none"/>
        </w:rPr>
      </w:pPr>
      <w:bookmarkStart w:id="56" w:name="_Toc641204676"/>
      <w:r>
        <w:rPr>
          <w:rFonts w:hint="eastAsia" w:ascii="宋体" w:hAnsi="宋体" w:eastAsia="宋体" w:cs="宋体"/>
          <w:b/>
          <w:bCs/>
          <w:color w:val="auto"/>
          <w:sz w:val="21"/>
          <w:highlight w:val="none"/>
        </w:rPr>
        <w:t>1.6 保密</w:t>
      </w:r>
      <w:bookmarkEnd w:id="56"/>
    </w:p>
    <w:p w14:paraId="7AB387C0">
      <w:pPr>
        <w:spacing w:line="360" w:lineRule="auto"/>
        <w:ind w:firstLine="420" w:firstLineChars="200"/>
        <w:rPr>
          <w:rFonts w:asci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参与招标投标活动的各方应对招标文件和投标文件中的商业和技术等秘密保密，违者应对由此造成的后果承担法律责任。</w:t>
      </w:r>
    </w:p>
    <w:p w14:paraId="5616C78F">
      <w:pPr>
        <w:pStyle w:val="5"/>
        <w:bidi w:val="0"/>
        <w:rPr>
          <w:rFonts w:hint="eastAsia" w:ascii="宋体" w:hAnsi="宋体" w:eastAsia="宋体" w:cs="宋体"/>
          <w:b/>
          <w:bCs/>
          <w:color w:val="auto"/>
          <w:sz w:val="21"/>
          <w:highlight w:val="none"/>
        </w:rPr>
      </w:pPr>
      <w:bookmarkStart w:id="57" w:name="_Toc1809922971"/>
      <w:r>
        <w:rPr>
          <w:rFonts w:hint="eastAsia" w:ascii="宋体" w:hAnsi="宋体" w:eastAsia="宋体" w:cs="宋体"/>
          <w:b/>
          <w:bCs/>
          <w:color w:val="auto"/>
          <w:sz w:val="21"/>
          <w:highlight w:val="none"/>
        </w:rPr>
        <w:t>1.7 语言文字</w:t>
      </w:r>
      <w:bookmarkEnd w:id="57"/>
    </w:p>
    <w:p w14:paraId="6E2B0027">
      <w:pPr>
        <w:spacing w:line="360" w:lineRule="auto"/>
        <w:ind w:firstLine="420" w:firstLineChars="200"/>
        <w:rPr>
          <w:rFonts w:ascii="宋体"/>
          <w:color w:val="auto"/>
          <w:szCs w:val="21"/>
          <w:highlight w:val="none"/>
        </w:rPr>
      </w:pPr>
      <w:r>
        <w:rPr>
          <w:rFonts w:hint="eastAsia" w:ascii="宋体" w:hAnsi="宋体"/>
          <w:color w:val="auto"/>
          <w:szCs w:val="21"/>
          <w:highlight w:val="none"/>
        </w:rPr>
        <w:t>除专用术语外，与招标投标有关的语言均使用中文。必要时专用术语应附有中文注释。</w:t>
      </w:r>
    </w:p>
    <w:p w14:paraId="6B343195">
      <w:pPr>
        <w:pStyle w:val="5"/>
        <w:bidi w:val="0"/>
        <w:rPr>
          <w:rFonts w:hint="eastAsia" w:ascii="宋体" w:hAnsi="宋体" w:eastAsia="宋体" w:cs="宋体"/>
          <w:b/>
          <w:bCs/>
          <w:color w:val="auto"/>
          <w:sz w:val="21"/>
          <w:highlight w:val="none"/>
        </w:rPr>
      </w:pPr>
      <w:bookmarkStart w:id="58" w:name="_Toc407052076"/>
      <w:r>
        <w:rPr>
          <w:rFonts w:hint="eastAsia" w:ascii="宋体" w:hAnsi="宋体" w:eastAsia="宋体" w:cs="宋体"/>
          <w:b/>
          <w:bCs/>
          <w:color w:val="auto"/>
          <w:sz w:val="21"/>
          <w:highlight w:val="none"/>
        </w:rPr>
        <w:t>1.8 计量单位</w:t>
      </w:r>
      <w:bookmarkEnd w:id="58"/>
    </w:p>
    <w:p w14:paraId="53CD3144">
      <w:pPr>
        <w:spacing w:line="360" w:lineRule="auto"/>
        <w:ind w:firstLine="420" w:firstLineChars="200"/>
        <w:rPr>
          <w:rFonts w:ascii="宋体"/>
          <w:color w:val="auto"/>
          <w:szCs w:val="21"/>
          <w:highlight w:val="none"/>
        </w:rPr>
      </w:pPr>
      <w:r>
        <w:rPr>
          <w:rFonts w:hint="eastAsia" w:ascii="宋体" w:hAnsi="宋体"/>
          <w:color w:val="auto"/>
          <w:szCs w:val="21"/>
          <w:highlight w:val="none"/>
        </w:rPr>
        <w:t>所有计量均采用中华人民共和国法定计量单位。</w:t>
      </w:r>
    </w:p>
    <w:p w14:paraId="7E79850E">
      <w:pPr>
        <w:pStyle w:val="5"/>
        <w:bidi w:val="0"/>
        <w:rPr>
          <w:rFonts w:hint="eastAsia" w:ascii="宋体" w:hAnsi="宋体" w:eastAsia="宋体" w:cs="宋体"/>
          <w:b/>
          <w:bCs/>
          <w:color w:val="auto"/>
          <w:sz w:val="21"/>
          <w:highlight w:val="none"/>
        </w:rPr>
      </w:pPr>
      <w:bookmarkStart w:id="59" w:name="_Toc152940831"/>
      <w:r>
        <w:rPr>
          <w:rFonts w:hint="eastAsia" w:ascii="宋体" w:hAnsi="宋体" w:eastAsia="宋体" w:cs="宋体"/>
          <w:b/>
          <w:bCs/>
          <w:color w:val="auto"/>
          <w:sz w:val="21"/>
          <w:highlight w:val="none"/>
        </w:rPr>
        <w:t>1.9 踏勘现场</w:t>
      </w:r>
      <w:bookmarkEnd w:id="59"/>
    </w:p>
    <w:p w14:paraId="454AD6F3">
      <w:pPr>
        <w:spacing w:line="360" w:lineRule="auto"/>
        <w:ind w:firstLine="420" w:firstLineChars="200"/>
        <w:rPr>
          <w:rFonts w:ascii="宋体"/>
          <w:color w:val="auto"/>
          <w:szCs w:val="21"/>
          <w:highlight w:val="none"/>
        </w:rPr>
      </w:pPr>
      <w:r>
        <w:rPr>
          <w:rFonts w:ascii="宋体" w:hAnsi="宋体"/>
          <w:color w:val="auto"/>
          <w:szCs w:val="21"/>
          <w:highlight w:val="none"/>
        </w:rPr>
        <w:t xml:space="preserve">1.9.1 </w:t>
      </w:r>
      <w:r>
        <w:rPr>
          <w:rFonts w:hint="eastAsia" w:ascii="宋体" w:hAnsi="宋体"/>
          <w:color w:val="auto"/>
          <w:szCs w:val="21"/>
          <w:highlight w:val="none"/>
        </w:rPr>
        <w:t>投标人须知前附表规定组织踏勘现场的，招标人按投标人须知前附表规定的时间、地点组织投标人踏勘项目现场。</w:t>
      </w:r>
    </w:p>
    <w:p w14:paraId="7CB2468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1.9.2 </w:t>
      </w:r>
      <w:r>
        <w:rPr>
          <w:rFonts w:hint="eastAsia" w:ascii="宋体" w:hAnsi="宋体"/>
          <w:color w:val="auto"/>
          <w:szCs w:val="21"/>
          <w:highlight w:val="none"/>
        </w:rPr>
        <w:t>投标人踏勘现场发生的费用自理。</w:t>
      </w:r>
    </w:p>
    <w:p w14:paraId="6EE7F4E8">
      <w:pPr>
        <w:spacing w:line="360" w:lineRule="auto"/>
        <w:ind w:firstLine="420" w:firstLineChars="200"/>
        <w:rPr>
          <w:rFonts w:ascii="宋体"/>
          <w:color w:val="auto"/>
          <w:szCs w:val="21"/>
          <w:highlight w:val="none"/>
        </w:rPr>
      </w:pPr>
      <w:r>
        <w:rPr>
          <w:rFonts w:hint="eastAsia" w:ascii="宋体" w:hAnsi="宋体"/>
          <w:color w:val="auto"/>
          <w:szCs w:val="21"/>
          <w:highlight w:val="none"/>
        </w:rPr>
        <w:t>1.9.3</w:t>
      </w:r>
      <w:r>
        <w:rPr>
          <w:rFonts w:hint="eastAsia" w:ascii="宋体"/>
          <w:color w:val="auto"/>
          <w:szCs w:val="21"/>
          <w:highlight w:val="none"/>
        </w:rPr>
        <w:t xml:space="preserve"> </w:t>
      </w:r>
      <w:r>
        <w:rPr>
          <w:rFonts w:hint="eastAsia" w:ascii="宋体" w:hAnsi="宋体"/>
          <w:color w:val="auto"/>
          <w:szCs w:val="21"/>
          <w:highlight w:val="none"/>
        </w:rPr>
        <w:t>除招标人的原因外，投标人自行负责在踏勘现场中所发生的人员伤亡和财产损失。</w:t>
      </w:r>
    </w:p>
    <w:p w14:paraId="568D79F5">
      <w:pPr>
        <w:spacing w:line="360" w:lineRule="auto"/>
        <w:ind w:firstLine="420" w:firstLineChars="200"/>
        <w:rPr>
          <w:rFonts w:ascii="宋体"/>
          <w:color w:val="auto"/>
          <w:szCs w:val="21"/>
          <w:highlight w:val="none"/>
        </w:rPr>
      </w:pPr>
      <w:r>
        <w:rPr>
          <w:rFonts w:ascii="宋体" w:hAnsi="宋体"/>
          <w:color w:val="auto"/>
          <w:szCs w:val="21"/>
          <w:highlight w:val="none"/>
        </w:rPr>
        <w:t xml:space="preserve">1.9.4 </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2E529FCF">
      <w:pPr>
        <w:pStyle w:val="5"/>
        <w:bidi w:val="0"/>
        <w:rPr>
          <w:rFonts w:hint="eastAsia" w:ascii="宋体" w:hAnsi="宋体" w:eastAsia="宋体" w:cs="宋体"/>
          <w:b/>
          <w:bCs/>
          <w:color w:val="auto"/>
          <w:sz w:val="21"/>
          <w:highlight w:val="none"/>
        </w:rPr>
      </w:pPr>
      <w:bookmarkStart w:id="60" w:name="_Toc466871050"/>
      <w:r>
        <w:rPr>
          <w:rFonts w:hint="eastAsia" w:ascii="宋体" w:hAnsi="宋体" w:eastAsia="宋体" w:cs="宋体"/>
          <w:b/>
          <w:bCs/>
          <w:color w:val="auto"/>
          <w:sz w:val="21"/>
          <w:highlight w:val="none"/>
        </w:rPr>
        <w:t>1.10 招标答疑</w:t>
      </w:r>
      <w:bookmarkEnd w:id="60"/>
    </w:p>
    <w:p w14:paraId="1415CF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潜在投标人向招标人（或招标代理机构）提交有关问题的，可按投标人须知前附表规定的时间内在广东省公共资源交易平台（交易系统），</w:t>
      </w:r>
      <w:r>
        <w:rPr>
          <w:rFonts w:hint="eastAsia"/>
          <w:color w:val="auto"/>
          <w:highlight w:val="none"/>
        </w:rPr>
        <w:t>凭数字证书</w:t>
      </w:r>
      <w:r>
        <w:rPr>
          <w:rFonts w:hint="eastAsia"/>
          <w:color w:val="auto"/>
          <w:highlight w:val="none"/>
          <w:lang w:eastAsia="zh-CN"/>
        </w:rPr>
        <w:t>登录</w:t>
      </w:r>
      <w:r>
        <w:rPr>
          <w:rFonts w:hint="eastAsia" w:ascii="宋体" w:hAnsi="宋体"/>
          <w:color w:val="auto"/>
          <w:szCs w:val="21"/>
          <w:highlight w:val="none"/>
          <w:lang w:eastAsia="zh-CN"/>
        </w:rPr>
        <w:t>工程建设交易系统</w:t>
      </w:r>
      <w:r>
        <w:rPr>
          <w:rFonts w:hint="eastAsia"/>
          <w:color w:val="auto"/>
          <w:highlight w:val="none"/>
        </w:rPr>
        <w:t>，在“投标管理--参与项目”栏目页面，选择参与的项目名称，点击“</w:t>
      </w:r>
      <w:r>
        <w:rPr>
          <w:rFonts w:hint="eastAsia"/>
          <w:color w:val="auto"/>
          <w:highlight w:val="none"/>
          <w:lang w:eastAsia="zh-CN"/>
        </w:rPr>
        <w:t>我要提疑</w:t>
      </w:r>
      <w:r>
        <w:rPr>
          <w:rFonts w:hint="eastAsia"/>
          <w:color w:val="auto"/>
          <w:highlight w:val="none"/>
        </w:rPr>
        <w:t>”提出问题，保存后即可提交</w:t>
      </w:r>
      <w:r>
        <w:rPr>
          <w:rFonts w:hint="eastAsia" w:ascii="宋体" w:hAnsi="宋体"/>
          <w:color w:val="auto"/>
          <w:szCs w:val="21"/>
          <w:highlight w:val="none"/>
        </w:rPr>
        <w:t>。且所提交的资料以无记名形式提交，不得有任何可识别投标人单位及人员的标识。</w:t>
      </w:r>
    </w:p>
    <w:p w14:paraId="7D6059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1.10.2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招标人（招标代理）收集相关问题，组织有关单位人员答复并形成答疑纪要（补遗书），按投标人须知前附表规定的时间在中山市公共资源交易</w:t>
      </w:r>
      <w:r>
        <w:rPr>
          <w:rFonts w:hint="eastAsia" w:ascii="宋体" w:hAnsi="宋体"/>
          <w:color w:val="auto"/>
          <w:szCs w:val="21"/>
          <w:highlight w:val="none"/>
          <w:lang w:val="en-US" w:eastAsia="zh-CN"/>
        </w:rPr>
        <w:t>平台（公共服务系统）</w:t>
      </w:r>
      <w:r>
        <w:rPr>
          <w:rFonts w:hint="eastAsia" w:ascii="宋体" w:hAnsi="宋体"/>
          <w:color w:val="auto"/>
          <w:szCs w:val="21"/>
          <w:highlight w:val="none"/>
        </w:rPr>
        <w:t>“</w:t>
      </w:r>
      <w:r>
        <w:rPr>
          <w:rFonts w:hint="eastAsia"/>
          <w:color w:val="auto"/>
          <w:highlight w:val="none"/>
        </w:rPr>
        <w:t>建设工程--答疑、澄清</w:t>
      </w:r>
      <w:r>
        <w:rPr>
          <w:rFonts w:hint="eastAsia" w:ascii="宋体" w:hAnsi="宋体"/>
          <w:color w:val="auto"/>
          <w:szCs w:val="21"/>
          <w:highlight w:val="none"/>
        </w:rPr>
        <w:t>”栏</w:t>
      </w:r>
      <w:r>
        <w:rPr>
          <w:rFonts w:hint="eastAsia" w:ascii="宋体" w:hAnsi="宋体"/>
          <w:color w:val="auto"/>
          <w:szCs w:val="21"/>
          <w:highlight w:val="none"/>
          <w:lang w:eastAsia="zh-CN"/>
        </w:rPr>
        <w:t>目</w:t>
      </w:r>
      <w:r>
        <w:rPr>
          <w:rFonts w:hint="eastAsia" w:ascii="宋体" w:hAnsi="宋体"/>
          <w:color w:val="auto"/>
          <w:szCs w:val="21"/>
          <w:highlight w:val="none"/>
        </w:rPr>
        <w:t>发布答疑纪要（补遗书）。</w:t>
      </w:r>
      <w:r>
        <w:rPr>
          <w:rFonts w:hint="eastAsia"/>
          <w:color w:val="auto"/>
          <w:highlight w:val="none"/>
        </w:rPr>
        <w:t>发出答疑纪要（补遗书）的同时，招标人（招标代理）应把答疑纪要（补遗书）的扫描件上传</w:t>
      </w:r>
      <w:r>
        <w:rPr>
          <w:rFonts w:hint="eastAsia"/>
          <w:color w:val="auto"/>
          <w:highlight w:val="none"/>
          <w:lang w:val="en-US" w:eastAsia="zh-CN"/>
        </w:rPr>
        <w:t>工程建设交易系统</w:t>
      </w:r>
      <w:r>
        <w:rPr>
          <w:rFonts w:hint="eastAsia"/>
          <w:color w:val="auto"/>
          <w:highlight w:val="none"/>
        </w:rPr>
        <w:t>。</w:t>
      </w:r>
      <w:r>
        <w:rPr>
          <w:rFonts w:hint="eastAsia" w:ascii="宋体" w:hAnsi="宋体"/>
          <w:color w:val="auto"/>
          <w:szCs w:val="21"/>
          <w:highlight w:val="none"/>
        </w:rPr>
        <w:t>对投标人编制标书时间造成影响的答疑纪要或补遗书，招标人需于投标截止前15日向投标人发出。</w:t>
      </w:r>
    </w:p>
    <w:p w14:paraId="3AAC48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各</w:t>
      </w:r>
      <w:r>
        <w:rPr>
          <w:rFonts w:hint="eastAsia"/>
          <w:color w:val="auto"/>
          <w:highlight w:val="none"/>
        </w:rPr>
        <w:t>潜在投标人自行在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“建设工程--答疑、澄清”</w:t>
      </w:r>
      <w:r>
        <w:rPr>
          <w:rFonts w:hint="eastAsia"/>
          <w:color w:val="auto"/>
          <w:highlight w:val="none"/>
          <w:lang w:eastAsia="zh-CN"/>
        </w:rPr>
        <w:t>栏目或工程建设交易系统</w:t>
      </w:r>
      <w:r>
        <w:rPr>
          <w:rFonts w:hint="eastAsia"/>
          <w:color w:val="auto"/>
          <w:highlight w:val="none"/>
        </w:rPr>
        <w:t>下载答疑纪要（补遗书），招标人不再另行通知。投标人因自身原因未能获取答疑资料造成的后果，由投标人自行承担。</w:t>
      </w:r>
    </w:p>
    <w:p w14:paraId="1CE19506">
      <w:pPr>
        <w:pStyle w:val="5"/>
        <w:bidi w:val="0"/>
        <w:rPr>
          <w:rFonts w:hint="eastAsia" w:ascii="宋体" w:hAnsi="宋体" w:eastAsia="宋体" w:cs="宋体"/>
          <w:b/>
          <w:bCs/>
          <w:color w:val="auto"/>
          <w:sz w:val="21"/>
          <w:highlight w:val="none"/>
        </w:rPr>
      </w:pPr>
      <w:bookmarkStart w:id="61" w:name="_Toc486910144"/>
      <w:r>
        <w:rPr>
          <w:rFonts w:hint="eastAsia" w:ascii="宋体" w:hAnsi="宋体" w:eastAsia="宋体" w:cs="宋体"/>
          <w:b/>
          <w:bCs/>
          <w:color w:val="auto"/>
          <w:sz w:val="21"/>
          <w:highlight w:val="none"/>
        </w:rPr>
        <w:t>1.11 分包</w:t>
      </w:r>
      <w:bookmarkEnd w:id="61"/>
    </w:p>
    <w:p w14:paraId="5318A26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1.11.1 投标人拟在中标后将中标项目的非主体、非关键性工作进行分包的，应符合投标人须知前附表规定的分包内容和分包资质要求等限制性条件，除投标人须知前附表规定的经招标人同意可分包的非主体、非关键性工作外，其他工作不得分包。</w:t>
      </w:r>
    </w:p>
    <w:p w14:paraId="5C26EA9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1.11.2 中标人不得向他人转让中标项目，接受分包的人不得再次分包。中标人应当就分包项目向招标人负责，接受分包的人就分包项目承担连带责任。</w:t>
      </w:r>
    </w:p>
    <w:p w14:paraId="6D040BD9">
      <w:pPr>
        <w:pStyle w:val="5"/>
        <w:bidi w:val="0"/>
        <w:rPr>
          <w:rFonts w:hint="eastAsia" w:ascii="宋体" w:hAnsi="宋体" w:eastAsia="宋体" w:cs="宋体"/>
          <w:b/>
          <w:bCs/>
          <w:color w:val="auto"/>
          <w:sz w:val="21"/>
          <w:highlight w:val="none"/>
        </w:rPr>
      </w:pPr>
      <w:bookmarkStart w:id="62" w:name="_Toc742300683"/>
      <w:r>
        <w:rPr>
          <w:rFonts w:hint="eastAsia" w:ascii="宋体" w:hAnsi="宋体" w:eastAsia="宋体" w:cs="宋体"/>
          <w:b/>
          <w:bCs/>
          <w:color w:val="auto"/>
          <w:sz w:val="21"/>
          <w:highlight w:val="none"/>
        </w:rPr>
        <w:t>1.12 偏离</w:t>
      </w:r>
      <w:bookmarkEnd w:id="62"/>
    </w:p>
    <w:p w14:paraId="15DC18B1">
      <w:pPr>
        <w:spacing w:line="360" w:lineRule="auto"/>
        <w:ind w:firstLine="420" w:firstLineChars="200"/>
        <w:rPr>
          <w:rFonts w:asci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项目</w:t>
      </w:r>
      <w:r>
        <w:rPr>
          <w:rFonts w:hint="eastAsia" w:ascii="宋体" w:hAnsi="宋体"/>
          <w:color w:val="auto"/>
          <w:szCs w:val="21"/>
          <w:highlight w:val="none"/>
        </w:rPr>
        <w:t>不允许投标人的投标文件对招标文件的要求有负偏离。</w:t>
      </w:r>
    </w:p>
    <w:p w14:paraId="0039E3C4">
      <w:pPr>
        <w:pStyle w:val="4"/>
        <w:bidi w:val="0"/>
        <w:rPr>
          <w:color w:val="auto"/>
          <w:highlight w:val="none"/>
        </w:rPr>
      </w:pPr>
      <w:bookmarkStart w:id="63" w:name="_Toc30817"/>
      <w:bookmarkStart w:id="64" w:name="_Toc21167"/>
      <w:bookmarkStart w:id="65" w:name="_Toc24059"/>
      <w:bookmarkStart w:id="66" w:name="_Toc567580031"/>
      <w:bookmarkStart w:id="67" w:name="_Toc2591733"/>
      <w:bookmarkStart w:id="68" w:name="_Toc1613764566"/>
      <w:bookmarkStart w:id="69" w:name="_Toc23151"/>
      <w:bookmarkStart w:id="70" w:name="_Toc14243"/>
      <w:r>
        <w:rPr>
          <w:rFonts w:hint="eastAsia" w:ascii="宋体" w:hAnsi="宋体" w:eastAsia="宋体" w:cs="宋体"/>
          <w:color w:val="auto"/>
          <w:highlight w:val="none"/>
        </w:rPr>
        <w:t>2</w:t>
      </w:r>
      <w:r>
        <w:rPr>
          <w:rFonts w:hint="eastAsia" w:ascii="宋体" w:hAnsi="宋体" w:cs="宋体"/>
          <w:color w:val="auto"/>
          <w:highlight w:val="none"/>
          <w:lang w:val="en-US" w:eastAsia="zh-CN"/>
        </w:rPr>
        <w:t xml:space="preserve">. </w:t>
      </w:r>
      <w:r>
        <w:rPr>
          <w:rFonts w:hint="eastAsia"/>
          <w:color w:val="auto"/>
          <w:highlight w:val="none"/>
        </w:rPr>
        <w:t>招标文件</w:t>
      </w:r>
      <w:bookmarkEnd w:id="63"/>
      <w:bookmarkEnd w:id="64"/>
      <w:bookmarkEnd w:id="65"/>
      <w:bookmarkEnd w:id="66"/>
      <w:bookmarkEnd w:id="67"/>
      <w:bookmarkEnd w:id="68"/>
      <w:bookmarkEnd w:id="69"/>
      <w:bookmarkEnd w:id="70"/>
    </w:p>
    <w:p w14:paraId="79CB5B72">
      <w:pPr>
        <w:pStyle w:val="5"/>
        <w:bidi w:val="0"/>
        <w:rPr>
          <w:rFonts w:hint="eastAsia" w:ascii="宋体" w:hAnsi="宋体" w:eastAsia="宋体" w:cs="宋体"/>
          <w:b/>
          <w:bCs/>
          <w:color w:val="auto"/>
          <w:sz w:val="21"/>
          <w:highlight w:val="none"/>
        </w:rPr>
      </w:pPr>
      <w:bookmarkStart w:id="71" w:name="_Toc687243404"/>
      <w:r>
        <w:rPr>
          <w:rFonts w:hint="eastAsia" w:ascii="宋体" w:hAnsi="宋体" w:eastAsia="宋体" w:cs="宋体"/>
          <w:b/>
          <w:bCs/>
          <w:color w:val="auto"/>
          <w:sz w:val="21"/>
          <w:highlight w:val="none"/>
        </w:rPr>
        <w:t>2.1 招标文件的组成</w:t>
      </w:r>
      <w:bookmarkEnd w:id="71"/>
    </w:p>
    <w:p w14:paraId="2EC05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本招标文件包括：</w:t>
      </w:r>
    </w:p>
    <w:p w14:paraId="7BE161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招标公告；</w:t>
      </w:r>
    </w:p>
    <w:p w14:paraId="0C4D16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投标人须知；</w:t>
      </w:r>
    </w:p>
    <w:p w14:paraId="0885546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）评标办法、定标规则</w:t>
      </w:r>
      <w:r>
        <w:rPr>
          <w:rFonts w:hint="eastAsia" w:ascii="宋体" w:hAnsi="宋体" w:eastAsia="宋体" w:cs="宋体"/>
          <w:color w:val="auto"/>
          <w:szCs w:val="21"/>
          <w:highlight w:val="none"/>
          <w:lang w:val="en-US" w:eastAsia="zh-CN"/>
        </w:rPr>
        <w:t>；</w:t>
      </w:r>
    </w:p>
    <w:p w14:paraId="64428E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合同条款及格式；</w:t>
      </w:r>
    </w:p>
    <w:p w14:paraId="7B4A92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勘察设计任务书；</w:t>
      </w:r>
    </w:p>
    <w:p w14:paraId="62F2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投标文件格式；</w:t>
      </w:r>
    </w:p>
    <w:p w14:paraId="7BCA02F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招标人对招标文件范本条款的修改。</w:t>
      </w:r>
    </w:p>
    <w:p w14:paraId="5963934D">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根据本章第1.10款、第2.2款和第2.3款对招标文件所作的澄清、修改，构成招标文件的组成部</w:t>
      </w:r>
      <w:r>
        <w:rPr>
          <w:rFonts w:hint="eastAsia" w:ascii="宋体" w:hAnsi="宋体" w:eastAsia="宋体" w:cs="Times New Roman"/>
          <w:color w:val="auto"/>
          <w:szCs w:val="21"/>
          <w:highlight w:val="none"/>
          <w:lang w:val="en-US" w:eastAsia="zh-CN"/>
        </w:rPr>
        <w:t>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当招标文件、招标文件的澄清或修改等在同一内容的表述上不一致时，以最后发出的书面文件为准。</w:t>
      </w:r>
    </w:p>
    <w:p w14:paraId="3A5C581D">
      <w:pPr>
        <w:pStyle w:val="5"/>
        <w:bidi w:val="0"/>
        <w:rPr>
          <w:rFonts w:hint="eastAsia" w:ascii="宋体" w:hAnsi="宋体" w:eastAsia="宋体" w:cs="宋体"/>
          <w:b/>
          <w:bCs/>
          <w:color w:val="auto"/>
          <w:sz w:val="21"/>
          <w:highlight w:val="none"/>
        </w:rPr>
      </w:pPr>
      <w:bookmarkStart w:id="72" w:name="_Toc127761863"/>
      <w:r>
        <w:rPr>
          <w:rFonts w:hint="eastAsia" w:ascii="宋体" w:hAnsi="宋体" w:eastAsia="宋体" w:cs="宋体"/>
          <w:b/>
          <w:bCs/>
          <w:color w:val="auto"/>
          <w:sz w:val="21"/>
          <w:highlight w:val="none"/>
        </w:rPr>
        <w:t>2.2 招标文件的澄清</w:t>
      </w:r>
      <w:bookmarkEnd w:id="72"/>
    </w:p>
    <w:p w14:paraId="53574E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投标人应仔细阅读和检查招标文件的全部内容。如发现缺页或附件不全，应及时向招标人提出，以便补齐。如有疑问，应在投标人须知前附表规定的时间前以网络形式，要求招标人对招标文件予以澄清。</w:t>
      </w:r>
    </w:p>
    <w:p w14:paraId="7403A6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 招标文件的澄清</w:t>
      </w:r>
      <w:r>
        <w:rPr>
          <w:rFonts w:hint="eastAsia"/>
          <w:color w:val="auto"/>
          <w:highlight w:val="none"/>
        </w:rPr>
        <w:t>内容可能影响投标文件编制的，</w:t>
      </w:r>
      <w:r>
        <w:rPr>
          <w:rFonts w:hint="eastAsia" w:ascii="宋体" w:hAnsi="宋体"/>
          <w:color w:val="auto"/>
          <w:szCs w:val="21"/>
          <w:highlight w:val="none"/>
        </w:rPr>
        <w:t>将在投标人须知前附表规定的投标截止时间15天前在中山市公共资源交易</w:t>
      </w:r>
      <w:r>
        <w:rPr>
          <w:rFonts w:hint="eastAsia" w:ascii="宋体" w:hAnsi="宋体"/>
          <w:color w:val="auto"/>
          <w:szCs w:val="21"/>
          <w:highlight w:val="none"/>
          <w:lang w:val="en-US" w:eastAsia="zh-CN"/>
        </w:rPr>
        <w:t>平台（公共服务系统）</w:t>
      </w:r>
      <w:r>
        <w:rPr>
          <w:rFonts w:hint="eastAsia" w:ascii="宋体" w:hAnsi="宋体"/>
          <w:color w:val="auto"/>
          <w:szCs w:val="21"/>
          <w:highlight w:val="none"/>
        </w:rPr>
        <w:t>发布发给所有投标人，但不指明澄清问题的来源。如果澄清发出的时间距投标截</w:t>
      </w:r>
      <w:r>
        <w:rPr>
          <w:rFonts w:hint="eastAsia" w:ascii="宋体" w:hAnsi="宋体"/>
          <w:color w:val="auto"/>
          <w:szCs w:val="21"/>
          <w:highlight w:val="none"/>
          <w:lang w:eastAsia="zh-CN"/>
        </w:rPr>
        <w:t>止</w:t>
      </w:r>
      <w:r>
        <w:rPr>
          <w:rFonts w:hint="eastAsia" w:ascii="宋体" w:hAnsi="宋体"/>
          <w:color w:val="auto"/>
          <w:szCs w:val="21"/>
          <w:highlight w:val="none"/>
        </w:rPr>
        <w:t>时间不足15天，相应延长投标截止时间。</w:t>
      </w:r>
    </w:p>
    <w:p w14:paraId="24D39846">
      <w:pPr>
        <w:spacing w:line="360" w:lineRule="auto"/>
        <w:ind w:firstLine="420" w:firstLineChars="200"/>
        <w:rPr>
          <w:rFonts w:ascii="宋体" w:hAnsi="宋体"/>
          <w:color w:val="auto"/>
          <w:szCs w:val="21"/>
          <w:highlight w:val="none"/>
        </w:rPr>
      </w:pPr>
      <w:r>
        <w:rPr>
          <w:rFonts w:ascii="宋体" w:hAnsi="宋体"/>
          <w:color w:val="auto"/>
          <w:szCs w:val="21"/>
          <w:highlight w:val="none"/>
        </w:rPr>
        <w:t>2.2.3</w:t>
      </w:r>
      <w:r>
        <w:rPr>
          <w:rFonts w:hint="eastAsia" w:ascii="宋体" w:hAnsi="宋体"/>
          <w:color w:val="auto"/>
          <w:szCs w:val="21"/>
          <w:highlight w:val="none"/>
          <w:lang w:val="en-US" w:eastAsia="zh-CN"/>
        </w:rPr>
        <w:t xml:space="preserve"> </w:t>
      </w:r>
      <w:r>
        <w:rPr>
          <w:rFonts w:hint="eastAsia"/>
          <w:color w:val="auto"/>
          <w:highlight w:val="none"/>
        </w:rPr>
        <w:t>投标人应随时关注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w:t>
      </w:r>
      <w:r>
        <w:rPr>
          <w:rFonts w:hint="eastAsia"/>
          <w:color w:val="auto"/>
          <w:highlight w:val="none"/>
          <w:lang w:val="en-US" w:eastAsia="zh-CN"/>
        </w:rPr>
        <w:t>建设工程--答疑、澄清</w:t>
      </w:r>
      <w:r>
        <w:rPr>
          <w:rFonts w:hint="eastAsia"/>
          <w:color w:val="auto"/>
          <w:highlight w:val="none"/>
        </w:rPr>
        <w:t>”栏目或工程建设交易系统下载答疑纪要（补遗书），招标人不再另行通知。投标人因自身原因未能获取答疑资料造成的后果，由投标人自行承担。</w:t>
      </w:r>
    </w:p>
    <w:p w14:paraId="0DEDE303">
      <w:pPr>
        <w:pStyle w:val="5"/>
        <w:bidi w:val="0"/>
        <w:rPr>
          <w:rFonts w:hint="eastAsia" w:ascii="宋体" w:hAnsi="宋体" w:eastAsia="宋体" w:cs="宋体"/>
          <w:b/>
          <w:bCs/>
          <w:color w:val="auto"/>
          <w:sz w:val="21"/>
          <w:highlight w:val="none"/>
        </w:rPr>
      </w:pPr>
      <w:bookmarkStart w:id="73" w:name="_Toc87074368"/>
      <w:r>
        <w:rPr>
          <w:rFonts w:hint="eastAsia" w:ascii="宋体" w:hAnsi="宋体" w:eastAsia="宋体" w:cs="宋体"/>
          <w:b/>
          <w:bCs/>
          <w:color w:val="auto"/>
          <w:sz w:val="21"/>
          <w:highlight w:val="none"/>
        </w:rPr>
        <w:t>2.3 招标文件的修改</w:t>
      </w:r>
      <w:bookmarkEnd w:id="73"/>
    </w:p>
    <w:p w14:paraId="4A1F5A6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2.3.1 在投标截止时间15天前，招标人可以网络形式修改招标文件，并通知所有投标人。</w:t>
      </w:r>
      <w:r>
        <w:rPr>
          <w:rFonts w:hint="eastAsia"/>
          <w:color w:val="auto"/>
          <w:highlight w:val="none"/>
        </w:rPr>
        <w:t>修改的内容可能影响投标文件编制的，招标人应当在投标截止时间至少</w:t>
      </w:r>
      <w:r>
        <w:rPr>
          <w:rFonts w:hint="eastAsia" w:ascii="宋体" w:hAnsi="宋体" w:eastAsia="宋体" w:cs="Times New Roman"/>
          <w:color w:val="auto"/>
          <w:szCs w:val="21"/>
          <w:highlight w:val="none"/>
        </w:rPr>
        <w:t>15日</w:t>
      </w:r>
      <w:r>
        <w:rPr>
          <w:rFonts w:hint="eastAsia"/>
          <w:color w:val="auto"/>
          <w:highlight w:val="none"/>
        </w:rPr>
        <w:t>前，以书面形式通知所有获取招标文件的潜在投标人，</w:t>
      </w:r>
      <w:r>
        <w:rPr>
          <w:rFonts w:hint="eastAsia" w:ascii="宋体" w:hAnsi="宋体"/>
          <w:color w:val="auto"/>
          <w:szCs w:val="21"/>
          <w:highlight w:val="none"/>
        </w:rPr>
        <w:t>不足15天的，</w:t>
      </w:r>
      <w:r>
        <w:rPr>
          <w:rFonts w:hint="eastAsia"/>
          <w:color w:val="auto"/>
          <w:highlight w:val="none"/>
        </w:rPr>
        <w:t>招标人</w:t>
      </w:r>
      <w:r>
        <w:rPr>
          <w:rFonts w:hint="eastAsia" w:ascii="宋体" w:hAnsi="宋体"/>
          <w:color w:val="auto"/>
          <w:szCs w:val="21"/>
          <w:highlight w:val="none"/>
        </w:rPr>
        <w:t>应延长投标截止时间。</w:t>
      </w:r>
    </w:p>
    <w:p w14:paraId="0436BD98">
      <w:pPr>
        <w:spacing w:line="360" w:lineRule="auto"/>
        <w:ind w:firstLine="420" w:firstLineChars="200"/>
        <w:rPr>
          <w:rFonts w:hint="eastAsia"/>
          <w:color w:val="auto"/>
          <w:highlight w:val="none"/>
        </w:rPr>
      </w:pPr>
      <w:r>
        <w:rPr>
          <w:rFonts w:hint="eastAsia" w:ascii="宋体" w:hAnsi="宋体"/>
          <w:color w:val="auto"/>
          <w:szCs w:val="21"/>
          <w:highlight w:val="none"/>
        </w:rPr>
        <w:t>2.3.2</w:t>
      </w:r>
      <w:r>
        <w:rPr>
          <w:rFonts w:hint="eastAsia" w:ascii="宋体" w:hAnsi="宋体"/>
          <w:color w:val="auto"/>
          <w:szCs w:val="21"/>
          <w:highlight w:val="none"/>
          <w:lang w:val="en-US" w:eastAsia="zh-CN"/>
        </w:rPr>
        <w:t xml:space="preserve"> </w:t>
      </w:r>
      <w:r>
        <w:rPr>
          <w:rFonts w:hint="eastAsia"/>
          <w:color w:val="auto"/>
          <w:highlight w:val="none"/>
        </w:rPr>
        <w:t>投标人应随时关注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w:t>
      </w:r>
      <w:r>
        <w:rPr>
          <w:rFonts w:hint="eastAsia"/>
          <w:color w:val="auto"/>
          <w:highlight w:val="none"/>
          <w:lang w:val="en-US" w:eastAsia="zh-CN"/>
        </w:rPr>
        <w:t>建设工程</w:t>
      </w:r>
      <w:r>
        <w:rPr>
          <w:rFonts w:hint="eastAsia" w:ascii="宋体" w:hAnsi="宋体" w:eastAsia="宋体" w:cs="宋体"/>
          <w:color w:val="auto"/>
          <w:highlight w:val="none"/>
          <w:lang w:val="en-US" w:eastAsia="zh-CN"/>
        </w:rPr>
        <w:t>--</w:t>
      </w:r>
      <w:r>
        <w:rPr>
          <w:rFonts w:hint="eastAsia"/>
          <w:color w:val="auto"/>
          <w:highlight w:val="none"/>
          <w:lang w:val="en-US" w:eastAsia="zh-CN"/>
        </w:rPr>
        <w:t>答疑、澄清</w:t>
      </w:r>
      <w:r>
        <w:rPr>
          <w:rFonts w:hint="eastAsia"/>
          <w:color w:val="auto"/>
          <w:highlight w:val="none"/>
        </w:rPr>
        <w:t>”栏目或工程建设交易系统下载答疑纪要（补遗书），招标人不再另行通知。投标人因自身原因未能获取答疑资料造成的后果，由投标人自行承担。</w:t>
      </w:r>
    </w:p>
    <w:p w14:paraId="2E60240D">
      <w:pPr>
        <w:pStyle w:val="4"/>
        <w:bidi w:val="0"/>
        <w:rPr>
          <w:rFonts w:hint="eastAsia" w:ascii="宋体" w:hAnsi="宋体" w:eastAsia="宋体" w:cs="宋体"/>
          <w:b/>
          <w:bCs/>
          <w:color w:val="auto"/>
          <w:highlight w:val="none"/>
        </w:rPr>
      </w:pPr>
      <w:bookmarkStart w:id="74" w:name="_Toc524488729"/>
      <w:bookmarkStart w:id="75" w:name="_Toc6918"/>
      <w:bookmarkStart w:id="76" w:name="_Toc700"/>
      <w:bookmarkStart w:id="77" w:name="_Toc25384"/>
      <w:bookmarkStart w:id="78" w:name="_Toc6175"/>
      <w:bookmarkStart w:id="79" w:name="_Toc18080"/>
      <w:bookmarkStart w:id="80" w:name="_Toc2591734"/>
      <w:bookmarkStart w:id="81" w:name="_Toc551583109"/>
      <w:r>
        <w:rPr>
          <w:rFonts w:hint="eastAsia" w:ascii="宋体" w:hAnsi="宋体" w:eastAsia="宋体" w:cs="宋体"/>
          <w:b/>
          <w:bCs/>
          <w:color w:val="auto"/>
          <w:highlight w:val="none"/>
        </w:rPr>
        <w:t>3</w:t>
      </w:r>
      <w:r>
        <w:rPr>
          <w:rFonts w:hint="eastAsia" w:ascii="宋体" w:hAnsi="宋体" w:cs="宋体"/>
          <w:b/>
          <w:bCs/>
          <w:color w:val="auto"/>
          <w:highlight w:val="none"/>
          <w:lang w:val="en-US" w:eastAsia="zh-CN"/>
        </w:rPr>
        <w:t xml:space="preserve">. </w:t>
      </w:r>
      <w:r>
        <w:rPr>
          <w:rFonts w:hint="eastAsia" w:ascii="宋体" w:hAnsi="宋体" w:eastAsia="宋体" w:cs="宋体"/>
          <w:b/>
          <w:bCs/>
          <w:color w:val="auto"/>
          <w:highlight w:val="none"/>
        </w:rPr>
        <w:t>投标文件</w:t>
      </w:r>
      <w:bookmarkEnd w:id="74"/>
      <w:bookmarkEnd w:id="75"/>
      <w:bookmarkEnd w:id="76"/>
      <w:bookmarkEnd w:id="77"/>
      <w:bookmarkEnd w:id="78"/>
      <w:bookmarkEnd w:id="79"/>
      <w:bookmarkEnd w:id="80"/>
      <w:bookmarkEnd w:id="81"/>
    </w:p>
    <w:p w14:paraId="0D868037">
      <w:pPr>
        <w:pStyle w:val="5"/>
        <w:bidi w:val="0"/>
        <w:rPr>
          <w:rFonts w:hint="eastAsia" w:ascii="宋体" w:hAnsi="宋体" w:eastAsia="宋体" w:cs="宋体"/>
          <w:b/>
          <w:bCs/>
          <w:color w:val="auto"/>
          <w:sz w:val="21"/>
          <w:highlight w:val="none"/>
        </w:rPr>
      </w:pPr>
      <w:bookmarkStart w:id="82" w:name="_Toc1115421887"/>
      <w:r>
        <w:rPr>
          <w:rFonts w:hint="eastAsia" w:ascii="宋体" w:hAnsi="宋体" w:eastAsia="宋体" w:cs="宋体"/>
          <w:b/>
          <w:bCs/>
          <w:color w:val="auto"/>
          <w:sz w:val="21"/>
          <w:highlight w:val="none"/>
        </w:rPr>
        <w:t>3.1 投标文件的组成</w:t>
      </w:r>
      <w:bookmarkEnd w:id="82"/>
    </w:p>
    <w:p w14:paraId="7A0DD48B">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rPr>
        <w:t>3.1.1</w:t>
      </w:r>
      <w:r>
        <w:rPr>
          <w:rFonts w:hint="eastAsia" w:ascii="宋体" w:hAnsi="宋体" w:cs="Courier New"/>
          <w:color w:val="auto"/>
          <w:szCs w:val="21"/>
          <w:highlight w:val="none"/>
          <w:lang w:val="en-US" w:eastAsia="zh-CN"/>
        </w:rPr>
        <w:t xml:space="preserve"> 投标文件应包括下列内容：</w:t>
      </w:r>
    </w:p>
    <w:p w14:paraId="2E7456C0">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3.1.1.1 资格标</w:t>
      </w:r>
    </w:p>
    <w:p w14:paraId="1B587CC9">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（1）封面；</w:t>
      </w:r>
    </w:p>
    <w:p w14:paraId="3CDB1293">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（2）目录；</w:t>
      </w:r>
    </w:p>
    <w:p w14:paraId="5CBED354">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（3）法定代表人身份证明</w:t>
      </w:r>
      <w:r>
        <w:rPr>
          <w:rFonts w:hint="eastAsia" w:ascii="宋体" w:hAnsi="宋体" w:eastAsia="宋体" w:cs="Courier New"/>
          <w:color w:val="auto"/>
          <w:szCs w:val="21"/>
          <w:highlight w:val="none"/>
          <w:lang w:val="en-US" w:eastAsia="zh-CN"/>
        </w:rPr>
        <w:t>（</w:t>
      </w:r>
      <w:r>
        <w:rPr>
          <w:rFonts w:hint="eastAsia" w:ascii="宋体" w:hAnsi="宋体" w:eastAsia="宋体" w:cs="Courier New"/>
          <w:color w:val="auto"/>
          <w:szCs w:val="21"/>
          <w:highlight w:val="none"/>
        </w:rPr>
        <w:t>联合体投标的，由牵头单位提供</w:t>
      </w:r>
      <w:r>
        <w:rPr>
          <w:rFonts w:hint="eastAsia" w:ascii="宋体" w:hAnsi="宋体" w:eastAsia="宋体" w:cs="Courier New"/>
          <w:color w:val="auto"/>
          <w:szCs w:val="21"/>
          <w:highlight w:val="none"/>
          <w:lang w:val="en-US" w:eastAsia="zh-CN"/>
        </w:rPr>
        <w:t>）</w:t>
      </w:r>
      <w:r>
        <w:rPr>
          <w:rFonts w:hint="eastAsia" w:ascii="宋体" w:hAnsi="宋体" w:cs="Courier New"/>
          <w:color w:val="auto"/>
          <w:szCs w:val="21"/>
          <w:highlight w:val="none"/>
          <w:lang w:val="en-US" w:eastAsia="zh-CN"/>
        </w:rPr>
        <w:t>；</w:t>
      </w:r>
    </w:p>
    <w:p w14:paraId="74E15C32">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（4）授权委托书；（适用于有代理人的情况。</w:t>
      </w:r>
      <w:r>
        <w:rPr>
          <w:rFonts w:hint="eastAsia" w:ascii="宋体" w:hAnsi="宋体" w:eastAsia="宋体" w:cs="Courier New"/>
          <w:color w:val="auto"/>
          <w:szCs w:val="21"/>
          <w:highlight w:val="none"/>
        </w:rPr>
        <w:t>联合体投标的，由牵头单位提供</w:t>
      </w:r>
      <w:r>
        <w:rPr>
          <w:rFonts w:hint="eastAsia" w:ascii="宋体" w:hAnsi="宋体" w:cs="Courier New"/>
          <w:color w:val="auto"/>
          <w:szCs w:val="21"/>
          <w:highlight w:val="none"/>
          <w:lang w:val="en-US" w:eastAsia="zh-CN"/>
        </w:rPr>
        <w:t>）</w:t>
      </w:r>
    </w:p>
    <w:p w14:paraId="677B950B">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lang w:eastAsia="zh-CN"/>
        </w:rPr>
        <w:t>投标人基本情况表；</w:t>
      </w:r>
    </w:p>
    <w:p w14:paraId="4B10EF1C">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（6）联合体协议书（适用于联合体投标的情况）；</w:t>
      </w:r>
    </w:p>
    <w:p w14:paraId="755660F3">
      <w:pPr>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val="en-US" w:eastAsia="zh-CN"/>
        </w:rPr>
        <w:t>（7）</w:t>
      </w:r>
      <w:r>
        <w:rPr>
          <w:rFonts w:hint="eastAsia" w:ascii="宋体" w:hAnsi="宋体" w:eastAsia="宋体" w:cs="Courier New"/>
          <w:color w:val="auto"/>
          <w:szCs w:val="21"/>
          <w:highlight w:val="none"/>
          <w:lang w:eastAsia="zh-CN"/>
        </w:rPr>
        <w:t>《信用中国》</w:t>
      </w:r>
      <w:r>
        <w:rPr>
          <w:rFonts w:hint="eastAsia" w:ascii="宋体" w:hAnsi="宋体" w:eastAsia="宋体" w:cs="Courier New"/>
          <w:color w:val="auto"/>
          <w:szCs w:val="21"/>
          <w:highlight w:val="none"/>
        </w:rPr>
        <w:t>网站</w:t>
      </w:r>
      <w:r>
        <w:rPr>
          <w:rFonts w:hint="eastAsia" w:ascii="宋体" w:hAnsi="宋体" w:eastAsia="宋体" w:cs="Courier New"/>
          <w:color w:val="auto"/>
          <w:szCs w:val="21"/>
          <w:highlight w:val="none"/>
          <w:lang w:val="en-US" w:eastAsia="zh-CN"/>
        </w:rPr>
        <w:t>下载</w:t>
      </w:r>
      <w:r>
        <w:rPr>
          <w:rFonts w:hint="eastAsia" w:ascii="宋体" w:hAnsi="宋体" w:eastAsia="宋体" w:cs="Courier New"/>
          <w:color w:val="auto"/>
          <w:szCs w:val="21"/>
          <w:highlight w:val="none"/>
        </w:rPr>
        <w:t>的信用</w:t>
      </w:r>
      <w:r>
        <w:rPr>
          <w:rFonts w:hint="eastAsia" w:ascii="宋体" w:hAnsi="宋体" w:eastAsia="宋体" w:cs="Courier New"/>
          <w:color w:val="auto"/>
          <w:szCs w:val="21"/>
          <w:highlight w:val="none"/>
          <w:lang w:val="en-US" w:eastAsia="zh-CN"/>
        </w:rPr>
        <w:t>信息</w:t>
      </w:r>
      <w:r>
        <w:rPr>
          <w:rFonts w:hint="eastAsia" w:ascii="宋体" w:hAnsi="宋体" w:eastAsia="宋体" w:cs="Courier New"/>
          <w:color w:val="auto"/>
          <w:szCs w:val="21"/>
          <w:highlight w:val="none"/>
        </w:rPr>
        <w:t>报告</w:t>
      </w:r>
      <w:r>
        <w:rPr>
          <w:rFonts w:hint="eastAsia" w:ascii="宋体" w:hAnsi="宋体" w:eastAsia="宋体" w:cs="Courier New"/>
          <w:color w:val="auto"/>
          <w:szCs w:val="21"/>
          <w:highlight w:val="none"/>
          <w:lang w:eastAsia="zh-CN"/>
        </w:rPr>
        <w:t>；</w:t>
      </w:r>
    </w:p>
    <w:p w14:paraId="62F722CB">
      <w:pPr>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val="en-US" w:eastAsia="zh-CN"/>
        </w:rPr>
        <w:t>（8）</w:t>
      </w:r>
      <w:r>
        <w:rPr>
          <w:rFonts w:hint="eastAsia" w:ascii="宋体" w:hAnsi="宋体" w:eastAsia="宋体" w:cs="Courier New"/>
          <w:color w:val="auto"/>
          <w:szCs w:val="21"/>
          <w:highlight w:val="none"/>
        </w:rPr>
        <w:t>国家企业信用信息公示系统的企业信用信息公示报告</w:t>
      </w:r>
      <w:r>
        <w:rPr>
          <w:rFonts w:hint="eastAsia" w:ascii="宋体" w:hAnsi="宋体" w:eastAsia="宋体" w:cs="Courier New"/>
          <w:color w:val="auto"/>
          <w:szCs w:val="21"/>
          <w:highlight w:val="none"/>
          <w:lang w:eastAsia="zh-CN"/>
        </w:rPr>
        <w:t>；</w:t>
      </w:r>
    </w:p>
    <w:p w14:paraId="35ABFBFB">
      <w:pPr>
        <w:ind w:firstLine="420" w:firstLineChars="200"/>
        <w:rPr>
          <w:rFonts w:hint="eastAsia" w:ascii="宋体" w:hAnsi="宋体" w:eastAsia="宋体" w:cs="Courier New"/>
          <w:color w:val="auto"/>
          <w:szCs w:val="21"/>
          <w:highlight w:val="none"/>
          <w:lang w:eastAsia="zh-CN"/>
        </w:rPr>
      </w:pP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9</w:t>
      </w:r>
      <w:r>
        <w:rPr>
          <w:rFonts w:hint="eastAsia" w:ascii="宋体" w:hAnsi="宋体" w:eastAsia="宋体" w:cs="Courier New"/>
          <w:color w:val="auto"/>
          <w:szCs w:val="21"/>
          <w:highlight w:val="none"/>
          <w:lang w:eastAsia="zh-CN"/>
        </w:rPr>
        <w:t>）投标保证金承诺书（如需）；</w:t>
      </w:r>
    </w:p>
    <w:p w14:paraId="1A90DAE9">
      <w:pPr>
        <w:ind w:firstLine="420" w:firstLineChars="200"/>
        <w:rPr>
          <w:rFonts w:hint="eastAsia" w:ascii="宋体" w:hAnsi="宋体" w:eastAsia="宋体" w:cs="Courier New"/>
          <w:color w:val="auto"/>
          <w:szCs w:val="21"/>
          <w:highlight w:val="none"/>
          <w:lang w:eastAsia="zh-CN"/>
        </w:rPr>
      </w:pP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10</w:t>
      </w:r>
      <w:r>
        <w:rPr>
          <w:rFonts w:hint="eastAsia" w:ascii="宋体" w:hAnsi="宋体" w:eastAsia="宋体" w:cs="Courier New"/>
          <w:color w:val="auto"/>
          <w:szCs w:val="21"/>
          <w:highlight w:val="none"/>
          <w:lang w:eastAsia="zh-CN"/>
        </w:rPr>
        <w:t>）投标人认为需要补充的材料。</w:t>
      </w:r>
    </w:p>
    <w:p w14:paraId="3593BA87">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3.1.1.2 经济标</w:t>
      </w:r>
    </w:p>
    <w:p w14:paraId="2B415F7E">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（1）封面；</w:t>
      </w:r>
    </w:p>
    <w:p w14:paraId="70BB8584">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（2）投标报价单；</w:t>
      </w:r>
    </w:p>
    <w:p w14:paraId="292FF0DC">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w:t>
      </w:r>
      <w:r>
        <w:rPr>
          <w:rFonts w:hint="eastAsia" w:ascii="宋体" w:hAnsi="宋体" w:eastAsia="宋体" w:cs="Courier New"/>
          <w:color w:val="auto"/>
          <w:szCs w:val="21"/>
          <w:highlight w:val="none"/>
          <w:lang w:eastAsia="zh-CN"/>
        </w:rPr>
        <w:t>投标人认为需要补充的材料。</w:t>
      </w:r>
    </w:p>
    <w:p w14:paraId="22B01CD7">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3.1.1.3 技术标</w:t>
      </w:r>
    </w:p>
    <w:p w14:paraId="4CCB0787">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（一）封面、目录</w:t>
      </w:r>
    </w:p>
    <w:p w14:paraId="64AC2009">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（二）基本资料</w:t>
      </w:r>
    </w:p>
    <w:p w14:paraId="388770EB">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（1）投标承诺书；</w:t>
      </w:r>
    </w:p>
    <w:p w14:paraId="7A8BB0B9">
      <w:pPr>
        <w:spacing w:line="360" w:lineRule="auto"/>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）项目管理机构；</w:t>
      </w:r>
    </w:p>
    <w:p w14:paraId="70E9A01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rPr>
        <w:t>）</w:t>
      </w:r>
      <w:r>
        <w:rPr>
          <w:rFonts w:hint="eastAsia" w:ascii="宋体" w:hAnsi="宋体" w:eastAsia="宋体" w:cs="Courier New"/>
          <w:color w:val="auto"/>
          <w:sz w:val="21"/>
          <w:szCs w:val="21"/>
          <w:highlight w:val="none"/>
          <w:lang w:val="en-US" w:eastAsia="zh-CN"/>
        </w:rPr>
        <w:t>投标人认为需要补充的材料。</w:t>
      </w:r>
    </w:p>
    <w:p w14:paraId="32C48703">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（三）勘察设计方案</w:t>
      </w:r>
    </w:p>
    <w:p w14:paraId="60B18486">
      <w:pPr>
        <w:ind w:firstLine="420" w:firstLineChars="200"/>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eastAsia="zh-CN"/>
        </w:rPr>
        <w:t>编制</w:t>
      </w:r>
      <w:r>
        <w:rPr>
          <w:rFonts w:hint="eastAsia" w:ascii="宋体" w:hAnsi="宋体" w:cs="Courier New"/>
          <w:color w:val="auto"/>
          <w:szCs w:val="21"/>
          <w:highlight w:val="none"/>
        </w:rPr>
        <w:t>内容见第</w:t>
      </w:r>
      <w:r>
        <w:rPr>
          <w:rFonts w:hint="eastAsia" w:ascii="宋体" w:hAnsi="宋体" w:cs="Courier New"/>
          <w:color w:val="auto"/>
          <w:szCs w:val="21"/>
          <w:highlight w:val="none"/>
          <w:lang w:eastAsia="zh-CN"/>
        </w:rPr>
        <w:t>六</w:t>
      </w:r>
      <w:r>
        <w:rPr>
          <w:rFonts w:hint="eastAsia" w:ascii="宋体" w:hAnsi="宋体" w:cs="Courier New"/>
          <w:color w:val="auto"/>
          <w:szCs w:val="21"/>
          <w:highlight w:val="none"/>
        </w:rPr>
        <w:t>章“投标文件格式”中技术标的“二、</w:t>
      </w:r>
      <w:r>
        <w:rPr>
          <w:rFonts w:hint="eastAsia" w:ascii="宋体" w:hAnsi="宋体" w:cs="Courier New"/>
          <w:color w:val="auto"/>
          <w:szCs w:val="21"/>
          <w:highlight w:val="none"/>
          <w:lang w:eastAsia="zh-CN"/>
        </w:rPr>
        <w:t>勘察设计方案</w:t>
      </w:r>
      <w:r>
        <w:rPr>
          <w:rFonts w:hint="eastAsia" w:ascii="宋体" w:hAnsi="宋体" w:cs="Courier New"/>
          <w:color w:val="auto"/>
          <w:szCs w:val="21"/>
          <w:highlight w:val="none"/>
        </w:rPr>
        <w:t>”。</w:t>
      </w:r>
    </w:p>
    <w:p w14:paraId="522BE5A1">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3.1.1.4 资信标</w:t>
      </w:r>
    </w:p>
    <w:p w14:paraId="703DE8AB">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（1）封面；</w:t>
      </w:r>
    </w:p>
    <w:p w14:paraId="6CDE0956">
      <w:pPr>
        <w:spacing w:line="360" w:lineRule="auto"/>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（2）目录；</w:t>
      </w:r>
    </w:p>
    <w:p w14:paraId="76C1E55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Courier New"/>
          <w:color w:val="auto"/>
          <w:szCs w:val="21"/>
          <w:highlight w:val="none"/>
          <w:lang w:val="en-US" w:eastAsia="zh-CN"/>
        </w:rPr>
        <w:t>（3）</w:t>
      </w:r>
      <w:r>
        <w:rPr>
          <w:rFonts w:hint="eastAsia" w:ascii="宋体" w:hAnsi="宋体" w:eastAsia="宋体" w:cs="宋体"/>
          <w:color w:val="auto"/>
          <w:sz w:val="21"/>
          <w:szCs w:val="21"/>
          <w:highlight w:val="none"/>
          <w:lang w:val="en-US" w:eastAsia="zh-CN"/>
        </w:rPr>
        <w:t>资信标函内容索引</w:t>
      </w:r>
      <w:r>
        <w:rPr>
          <w:rFonts w:hint="eastAsia" w:ascii="宋体" w:hAnsi="宋体" w:cs="宋体"/>
          <w:color w:val="auto"/>
          <w:sz w:val="21"/>
          <w:szCs w:val="21"/>
          <w:highlight w:val="none"/>
          <w:lang w:val="en-US" w:eastAsia="zh-CN"/>
        </w:rPr>
        <w:t>；</w:t>
      </w:r>
    </w:p>
    <w:p w14:paraId="44AA309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（4）投标人资信情况汇总表</w:t>
      </w:r>
      <w:r>
        <w:rPr>
          <w:rFonts w:hint="eastAsia" w:ascii="宋体" w:hAnsi="宋体" w:cs="宋体"/>
          <w:color w:val="auto"/>
          <w:sz w:val="21"/>
          <w:szCs w:val="21"/>
          <w:highlight w:val="none"/>
          <w:lang w:val="en-US" w:eastAsia="zh-CN"/>
        </w:rPr>
        <w:t>；</w:t>
      </w:r>
    </w:p>
    <w:p w14:paraId="5915F202">
      <w:pPr>
        <w:pageBreakBefore w:val="0"/>
        <w:kinsoku/>
        <w:wordWrap/>
        <w:overflowPunct/>
        <w:topLinePunct w:val="0"/>
        <w:bidi w:val="0"/>
        <w:spacing w:line="360" w:lineRule="auto"/>
        <w:ind w:firstLine="420" w:firstLineChars="200"/>
        <w:textAlignment w:val="auto"/>
        <w:rPr>
          <w:rFonts w:hint="eastAsia" w:ascii="宋体" w:hAnsi="宋体" w:cs="宋体"/>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w:t>
      </w:r>
      <w:r>
        <w:rPr>
          <w:rFonts w:hint="eastAsia" w:ascii="宋体" w:hAnsi="宋体" w:cs="宋体"/>
          <w:color w:val="auto"/>
          <w:szCs w:val="21"/>
          <w:highlight w:val="none"/>
          <w:lang w:eastAsia="zh-CN"/>
        </w:rPr>
        <w:t>资信评审</w:t>
      </w:r>
      <w:r>
        <w:rPr>
          <w:rFonts w:ascii="宋体" w:hAnsi="宋体" w:cs="宋体"/>
          <w:color w:val="auto"/>
          <w:szCs w:val="21"/>
          <w:highlight w:val="none"/>
        </w:rPr>
        <w:t>资料</w:t>
      </w:r>
      <w:r>
        <w:rPr>
          <w:rFonts w:hint="eastAsia" w:ascii="宋体" w:hAnsi="宋体" w:cs="宋体"/>
          <w:color w:val="auto"/>
          <w:szCs w:val="21"/>
          <w:highlight w:val="none"/>
        </w:rPr>
        <w:t>，</w:t>
      </w:r>
      <w:r>
        <w:rPr>
          <w:rFonts w:ascii="宋体" w:hAnsi="宋体" w:cs="宋体"/>
          <w:color w:val="auto"/>
          <w:szCs w:val="21"/>
          <w:highlight w:val="none"/>
        </w:rPr>
        <w:t>本条由</w:t>
      </w:r>
      <w:r>
        <w:rPr>
          <w:rFonts w:hint="eastAsia" w:ascii="宋体" w:hAnsi="宋体" w:cs="宋体"/>
          <w:color w:val="auto"/>
          <w:szCs w:val="21"/>
          <w:highlight w:val="none"/>
        </w:rPr>
        <w:t>投</w:t>
      </w:r>
      <w:r>
        <w:rPr>
          <w:rFonts w:ascii="宋体" w:hAnsi="宋体" w:cs="宋体"/>
          <w:color w:val="auto"/>
          <w:szCs w:val="21"/>
          <w:highlight w:val="none"/>
        </w:rPr>
        <w:t>标人根据</w:t>
      </w:r>
      <w:r>
        <w:rPr>
          <w:rFonts w:hint="eastAsia" w:ascii="宋体" w:hAnsi="宋体" w:cs="宋体"/>
          <w:color w:val="auto"/>
          <w:szCs w:val="21"/>
          <w:highlight w:val="none"/>
        </w:rPr>
        <w:t>工程</w:t>
      </w:r>
      <w:r>
        <w:rPr>
          <w:rFonts w:ascii="宋体" w:hAnsi="宋体" w:cs="宋体"/>
          <w:color w:val="auto"/>
          <w:szCs w:val="21"/>
          <w:highlight w:val="none"/>
        </w:rPr>
        <w:t>项目的</w:t>
      </w:r>
      <w:r>
        <w:rPr>
          <w:rFonts w:hint="eastAsia" w:ascii="宋体" w:hAnsi="宋体" w:cs="宋体"/>
          <w:color w:val="auto"/>
          <w:szCs w:val="21"/>
          <w:highlight w:val="none"/>
        </w:rPr>
        <w:t>特点及</w:t>
      </w:r>
      <w:r>
        <w:rPr>
          <w:rFonts w:hint="eastAsia" w:ascii="宋体" w:hAnsi="宋体" w:cs="宋体"/>
          <w:color w:val="auto"/>
          <w:szCs w:val="21"/>
          <w:highlight w:val="none"/>
          <w:lang w:eastAsia="zh-CN"/>
        </w:rPr>
        <w:t>第三章“评标办法、定标规则”</w:t>
      </w:r>
      <w:r>
        <w:rPr>
          <w:rFonts w:hint="eastAsia" w:ascii="宋体" w:hAnsi="宋体" w:eastAsia="宋体" w:cs="宋体"/>
          <w:color w:val="auto"/>
          <w:szCs w:val="21"/>
          <w:highlight w:val="none"/>
          <w:lang w:eastAsia="zh-CN"/>
        </w:rPr>
        <w:t>第一部分的“评标办法前附表”及第二部分“</w:t>
      </w:r>
      <w:r>
        <w:rPr>
          <w:rFonts w:hint="eastAsia" w:ascii="宋体" w:hAnsi="宋体" w:eastAsia="宋体" w:cs="宋体"/>
          <w:color w:val="auto"/>
          <w:szCs w:val="21"/>
          <w:highlight w:val="none"/>
          <w:lang w:val="en-US" w:eastAsia="zh-CN"/>
        </w:rPr>
        <w:t>2. 定标因素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《资信要素一览表》</w:t>
      </w:r>
      <w:r>
        <w:rPr>
          <w:rFonts w:hint="eastAsia" w:ascii="宋体" w:hAnsi="宋体" w:cs="宋体"/>
          <w:color w:val="auto"/>
          <w:szCs w:val="21"/>
          <w:highlight w:val="none"/>
          <w:lang w:eastAsia="zh-CN"/>
        </w:rPr>
        <w:t>的要求，逐项提交资料（如有）。</w:t>
      </w:r>
    </w:p>
    <w:p w14:paraId="0D60FFA7">
      <w:pPr>
        <w:spacing w:line="360" w:lineRule="auto"/>
        <w:ind w:firstLine="420"/>
        <w:rPr>
          <w:rFonts w:hint="eastAsia" w:ascii="宋体" w:hAnsi="宋体"/>
          <w:color w:val="auto"/>
          <w:szCs w:val="21"/>
          <w:highlight w:val="none"/>
        </w:rPr>
      </w:pPr>
      <w:r>
        <w:rPr>
          <w:rFonts w:hint="eastAsia" w:hAnsi="宋体" w:cs="Times New Roman"/>
          <w:color w:val="auto"/>
          <w:highlight w:val="none"/>
          <w:lang w:val="en-US" w:eastAsia="zh-CN"/>
        </w:rPr>
        <w:t>投标人在评标过程中作出的符合法律法规和招标文件规定的澄清确认，构成投标文件的组成部分。</w:t>
      </w:r>
      <w:r>
        <w:rPr>
          <w:rFonts w:hint="eastAsia" w:ascii="宋体" w:hAnsi="宋体"/>
          <w:color w:val="auto"/>
          <w:szCs w:val="21"/>
          <w:highlight w:val="none"/>
        </w:rPr>
        <w:t>投标人应对所递交的投标文件以及与投标有关的证明资料的真实性负责，若以弄虚作假骗取中标的，中标无效，给招标人造成损失的依法承担赔偿责任。</w:t>
      </w:r>
    </w:p>
    <w:p w14:paraId="4A50B371">
      <w:pPr>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3.1.2</w:t>
      </w:r>
      <w:r>
        <w:rPr>
          <w:rFonts w:hint="eastAsia" w:ascii="宋体" w:hAnsi="宋体" w:cs="宋体"/>
          <w:bCs/>
          <w:color w:val="auto"/>
          <w:szCs w:val="21"/>
          <w:highlight w:val="none"/>
          <w:lang w:val="en-US" w:eastAsia="zh-CN"/>
        </w:rPr>
        <w:t xml:space="preserve"> 投标人须知前附表规定不接受联合体投标的，或投标人没有组成联合体的，投标文件不包括</w:t>
      </w:r>
      <w:r>
        <w:rPr>
          <w:rFonts w:hint="eastAsia" w:ascii="宋体" w:hAnsi="宋体" w:cs="宋体"/>
          <w:bCs/>
          <w:color w:val="auto"/>
          <w:szCs w:val="21"/>
          <w:highlight w:val="none"/>
        </w:rPr>
        <w:t>本章第3.1.1.1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目</w:t>
      </w:r>
      <w:r>
        <w:rPr>
          <w:rFonts w:hint="eastAsia" w:ascii="宋体" w:hAnsi="宋体" w:cs="宋体"/>
          <w:bCs/>
          <w:color w:val="auto"/>
          <w:szCs w:val="21"/>
          <w:highlight w:val="none"/>
          <w:lang w:eastAsia="zh-CN"/>
        </w:rPr>
        <w:t>所指的</w:t>
      </w:r>
      <w:r>
        <w:rPr>
          <w:rFonts w:hint="eastAsia" w:ascii="宋体" w:hAnsi="宋体" w:cs="宋体"/>
          <w:bCs/>
          <w:color w:val="auto"/>
          <w:szCs w:val="21"/>
          <w:highlight w:val="none"/>
          <w:lang w:val="en-US" w:eastAsia="zh-CN"/>
        </w:rPr>
        <w:t>联合体协议书。</w:t>
      </w:r>
    </w:p>
    <w:p w14:paraId="758DB059">
      <w:pPr>
        <w:pStyle w:val="5"/>
        <w:bidi w:val="0"/>
        <w:rPr>
          <w:rFonts w:hint="eastAsia" w:ascii="宋体" w:hAnsi="宋体" w:eastAsia="宋体" w:cs="宋体"/>
          <w:b/>
          <w:bCs/>
          <w:color w:val="auto"/>
          <w:sz w:val="21"/>
          <w:highlight w:val="none"/>
          <w:lang w:val="en-US" w:eastAsia="zh-CN"/>
        </w:rPr>
      </w:pPr>
      <w:bookmarkStart w:id="83" w:name="_Toc826838266"/>
      <w:r>
        <w:rPr>
          <w:rFonts w:hint="eastAsia" w:ascii="宋体" w:hAnsi="宋体" w:eastAsia="宋体" w:cs="宋体"/>
          <w:b/>
          <w:bCs/>
          <w:color w:val="auto"/>
          <w:sz w:val="21"/>
          <w:highlight w:val="none"/>
        </w:rPr>
        <w:t>3.</w:t>
      </w:r>
      <w:r>
        <w:rPr>
          <w:rFonts w:hint="eastAsia" w:ascii="宋体" w:hAnsi="宋体" w:eastAsia="宋体" w:cs="宋体"/>
          <w:b/>
          <w:bCs/>
          <w:color w:val="auto"/>
          <w:sz w:val="21"/>
          <w:highlight w:val="none"/>
          <w:lang w:val="en-US" w:eastAsia="zh-CN"/>
        </w:rPr>
        <w:t>2</w:t>
      </w:r>
      <w:r>
        <w:rPr>
          <w:rFonts w:hint="eastAsia" w:ascii="宋体" w:hAnsi="宋体" w:eastAsia="宋体" w:cs="宋体"/>
          <w:b/>
          <w:bCs/>
          <w:color w:val="auto"/>
          <w:sz w:val="21"/>
          <w:highlight w:val="none"/>
        </w:rPr>
        <w:t xml:space="preserve"> 投标</w:t>
      </w:r>
      <w:r>
        <w:rPr>
          <w:rFonts w:hint="eastAsia" w:ascii="宋体" w:hAnsi="宋体" w:eastAsia="宋体" w:cs="宋体"/>
          <w:b/>
          <w:bCs/>
          <w:color w:val="auto"/>
          <w:sz w:val="21"/>
          <w:highlight w:val="none"/>
          <w:lang w:val="en-US" w:eastAsia="zh-CN"/>
        </w:rPr>
        <w:t>报价</w:t>
      </w:r>
      <w:bookmarkEnd w:id="83"/>
    </w:p>
    <w:p w14:paraId="3BBD60D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3.2.1 投标人应按第六章“投标文件格式”的要求在投标报价单中进行报价。</w:t>
      </w:r>
    </w:p>
    <w:p w14:paraId="7D9E4AA4">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3.2.2 投标人应充分了解该项目的总体情况以及影响投标报价的其他要素。</w:t>
      </w:r>
    </w:p>
    <w:p w14:paraId="7D096C8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3.2.3 本项目的报价方式见投标人须知前附表。</w:t>
      </w:r>
    </w:p>
    <w:p w14:paraId="6C591977">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3.2.4 招标人设有最高投标限价的，投标人的投标报价不得超过最高投标限价，最高投标限价在投标人须知前附表中载明。</w:t>
      </w:r>
    </w:p>
    <w:p w14:paraId="6CFAA34B">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3.2.5 投标报价的其他要求见投标人须知前附表。</w:t>
      </w:r>
    </w:p>
    <w:p w14:paraId="4DBB0139">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3.2.6 支付方式见投标人须知前附表。</w:t>
      </w:r>
    </w:p>
    <w:p w14:paraId="4DE6E678">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3.2.7 结算方式见投标人须知前附表。</w:t>
      </w:r>
    </w:p>
    <w:p w14:paraId="283D10AC">
      <w:pPr>
        <w:pStyle w:val="5"/>
        <w:bidi w:val="0"/>
        <w:rPr>
          <w:rFonts w:hint="eastAsia" w:ascii="宋体" w:hAnsi="宋体" w:eastAsia="宋体" w:cs="宋体"/>
          <w:b/>
          <w:bCs/>
          <w:color w:val="auto"/>
          <w:sz w:val="21"/>
          <w:highlight w:val="none"/>
        </w:rPr>
      </w:pPr>
      <w:bookmarkStart w:id="84" w:name="_Toc1506770253"/>
      <w:r>
        <w:rPr>
          <w:rFonts w:hint="eastAsia" w:ascii="宋体" w:hAnsi="宋体" w:eastAsia="宋体" w:cs="宋体"/>
          <w:b/>
          <w:bCs/>
          <w:color w:val="auto"/>
          <w:sz w:val="21"/>
          <w:highlight w:val="none"/>
        </w:rPr>
        <w:t>3.</w:t>
      </w:r>
      <w:r>
        <w:rPr>
          <w:rFonts w:hint="eastAsia" w:ascii="宋体" w:hAnsi="宋体" w:eastAsia="宋体" w:cs="宋体"/>
          <w:b/>
          <w:bCs/>
          <w:color w:val="auto"/>
          <w:sz w:val="21"/>
          <w:highlight w:val="none"/>
          <w:lang w:val="en-US" w:eastAsia="zh-CN"/>
        </w:rPr>
        <w:t>3</w:t>
      </w:r>
      <w:r>
        <w:rPr>
          <w:rFonts w:hint="eastAsia" w:ascii="宋体" w:hAnsi="宋体" w:cs="宋体"/>
          <w:b/>
          <w:bCs/>
          <w:color w:val="auto"/>
          <w:sz w:val="21"/>
          <w:highlight w:val="none"/>
          <w:lang w:val="en-US" w:eastAsia="zh-CN"/>
        </w:rPr>
        <w:t xml:space="preserve"> </w:t>
      </w:r>
      <w:r>
        <w:rPr>
          <w:rFonts w:hint="eastAsia" w:ascii="宋体" w:hAnsi="宋体" w:eastAsia="宋体" w:cs="宋体"/>
          <w:b/>
          <w:bCs/>
          <w:color w:val="auto"/>
          <w:sz w:val="21"/>
          <w:highlight w:val="none"/>
        </w:rPr>
        <w:t>投标有效期</w:t>
      </w:r>
      <w:bookmarkEnd w:id="84"/>
    </w:p>
    <w:p w14:paraId="56CBF4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3</w:t>
      </w:r>
      <w:r>
        <w:rPr>
          <w:rFonts w:hint="eastAsia" w:ascii="宋体" w:hAnsi="宋体"/>
          <w:color w:val="auto"/>
          <w:szCs w:val="21"/>
          <w:highlight w:val="none"/>
        </w:rPr>
        <w:t>.1 在投标人须知前附表规定的投标有效期内，投标人不得要求撤销或修改其投标文件。</w:t>
      </w:r>
    </w:p>
    <w:p w14:paraId="73A6A6DB">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或申请注销电子保函。</w:t>
      </w:r>
    </w:p>
    <w:p w14:paraId="7816F920">
      <w:pPr>
        <w:widowControl/>
        <w:tabs>
          <w:tab w:val="left" w:pos="12596"/>
        </w:tabs>
        <w:spacing w:line="360" w:lineRule="auto"/>
        <w:jc w:val="left"/>
        <w:rPr>
          <w:rFonts w:hint="eastAsia" w:ascii="宋体" w:hAnsi="宋体" w:eastAsia="宋体" w:cs="宋体"/>
          <w:b w:val="0"/>
          <w:bCs w:val="0"/>
          <w:color w:val="auto"/>
          <w:kern w:val="2"/>
          <w:sz w:val="21"/>
          <w:szCs w:val="32"/>
          <w:highlight w:val="none"/>
          <w:lang w:val="en-US" w:eastAsia="zh-CN" w:bidi="ar-SA"/>
        </w:rPr>
      </w:pPr>
      <w:r>
        <w:rPr>
          <w:rFonts w:hint="eastAsia" w:ascii="宋体" w:hAnsi="宋体" w:eastAsia="宋体" w:cs="宋体"/>
          <w:b/>
          <w:bCs/>
          <w:color w:val="auto"/>
          <w:kern w:val="2"/>
          <w:sz w:val="21"/>
          <w:szCs w:val="32"/>
          <w:highlight w:val="none"/>
          <w:lang w:val="en-US" w:eastAsia="zh-CN" w:bidi="ar-SA"/>
        </w:rPr>
        <w:t>3.4 投标保证金</w:t>
      </w:r>
    </w:p>
    <w:p w14:paraId="227DDEF6">
      <w:pPr>
        <w:widowControl/>
        <w:tabs>
          <w:tab w:val="left" w:pos="12596"/>
        </w:tabs>
        <w:spacing w:line="360" w:lineRule="auto"/>
        <w:ind w:firstLine="420" w:firstLineChars="200"/>
        <w:jc w:val="left"/>
        <w:rPr>
          <w:rFonts w:hint="eastAsia" w:ascii="宋体" w:hAnsi="宋体" w:cs="宋体"/>
          <w:color w:val="auto"/>
          <w:kern w:val="0"/>
          <w:szCs w:val="21"/>
          <w:highlight w:val="none"/>
        </w:rPr>
      </w:pPr>
      <w:bookmarkStart w:id="85" w:name="_Toc1607101140"/>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投标人应按投标人须知前附表规定的金额、形式和时间提交投标保证金。联合体投标的，其投标保证金由牵头人提交，并应符合投标人须知前附表的规定。</w:t>
      </w:r>
    </w:p>
    <w:p w14:paraId="48DE4A10">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以转账方式提交投标保证金的，招标人不接受同一账户分多次转账或由多个账户转账的方式</w:t>
      </w:r>
      <w:r>
        <w:rPr>
          <w:rFonts w:hint="eastAsia" w:ascii="宋体" w:hAnsi="宋体"/>
          <w:color w:val="auto"/>
          <w:kern w:val="0"/>
          <w:szCs w:val="21"/>
          <w:highlight w:val="none"/>
        </w:rPr>
        <w:t>提交</w:t>
      </w:r>
      <w:r>
        <w:rPr>
          <w:rFonts w:hint="eastAsia" w:ascii="宋体" w:hAnsi="宋体" w:cs="宋体"/>
          <w:color w:val="auto"/>
          <w:kern w:val="0"/>
          <w:szCs w:val="21"/>
          <w:highlight w:val="none"/>
        </w:rPr>
        <w:t>投标保证金。</w:t>
      </w:r>
      <w:r>
        <w:rPr>
          <w:rFonts w:hint="eastAsia" w:ascii="宋体" w:hAnsi="宋体" w:eastAsia="宋体" w:cs="宋体"/>
          <w:color w:val="auto"/>
          <w:kern w:val="0"/>
          <w:szCs w:val="21"/>
          <w:highlight w:val="none"/>
        </w:rPr>
        <w:t>银行转账的投标保证金必须通过投标人已在“中山市公共资源交易中心-基础应用支撑平台”中登记的基本账户（基本账户的企业名称须与投标人名称一致）转入相关账户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详见“缴纳投标保证金通知书”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：投标人凭电子招投标数字证书</w:t>
      </w:r>
      <w:r>
        <w:rPr>
          <w:rFonts w:hint="eastAsia" w:ascii="宋体" w:hAnsi="宋体" w:eastAsia="宋体" w:cs="宋体"/>
          <w:color w:val="auto"/>
          <w:kern w:val="0"/>
          <w:szCs w:val="21"/>
          <w:highlight w:val="none"/>
          <w:lang w:eastAsia="zh-CN"/>
        </w:rPr>
        <w:t>登录</w:t>
      </w:r>
      <w:r>
        <w:rPr>
          <w:rFonts w:hint="eastAsia" w:ascii="宋体" w:hAnsi="宋体" w:eastAsia="宋体" w:cs="宋体"/>
          <w:color w:val="auto"/>
          <w:highlight w:val="none"/>
          <w:lang w:val="en-US" w:eastAsia="zh-CN"/>
        </w:rPr>
        <w:t>工程建设交易系统</w:t>
      </w:r>
      <w:r>
        <w:rPr>
          <w:rFonts w:hint="eastAsia" w:ascii="宋体" w:hAnsi="宋体" w:eastAsia="宋体" w:cs="宋体"/>
          <w:color w:val="auto"/>
          <w:kern w:val="0"/>
          <w:szCs w:val="21"/>
          <w:highlight w:val="none"/>
        </w:rPr>
        <w:t>，在“投标管理--参与项目”栏目页面，选择参与投标的项目获取保证金提交子账号，并严格按照“缴纳投标保证金通知书”的要求足额提交投标保证金。</w:t>
      </w:r>
      <w:r>
        <w:rPr>
          <w:rFonts w:hint="eastAsia" w:ascii="宋体" w:hAnsi="宋体" w:cs="宋体"/>
          <w:color w:val="auto"/>
          <w:kern w:val="0"/>
          <w:szCs w:val="21"/>
          <w:highlight w:val="none"/>
        </w:rPr>
        <w:t>投标保证金只向提交投标保证金的账户退还。</w:t>
      </w:r>
    </w:p>
    <w:p w14:paraId="69E8C32B">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禁止投标单位采用EFT系统（广东金融结算系统）方式提交投标保证金，如采用此方式导致招投标系统无法识别提交投标保证金账号信息，视为未按要求提交投标保证金，由此造成废标的后果由投标单位自行承担。</w:t>
      </w:r>
    </w:p>
    <w:p w14:paraId="10195A7D">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交投标保证金时如遇到银行系统升级，使投标人基本账号改变，导致招标投标系统判断投标人未提交投标保证金的，投标人应及时向相关银行索取书面说明，到中山市公共资源交易中心办理基本账户新号备案手续。</w:t>
      </w:r>
    </w:p>
    <w:p w14:paraId="7D661EF7">
      <w:pPr>
        <w:widowControl/>
        <w:tabs>
          <w:tab w:val="left" w:pos="12596"/>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以电子保函方式提交投标保证金的，投标人凭电子招投标数字证书</w:t>
      </w:r>
      <w:r>
        <w:rPr>
          <w:rFonts w:hint="eastAsia" w:ascii="宋体" w:hAnsi="宋体" w:cs="宋体"/>
          <w:color w:val="auto"/>
          <w:kern w:val="0"/>
          <w:szCs w:val="21"/>
          <w:highlight w:val="none"/>
          <w:lang w:eastAsia="zh-CN"/>
        </w:rPr>
        <w:t>登录工程建设交易系统</w:t>
      </w:r>
      <w:r>
        <w:rPr>
          <w:rFonts w:hint="eastAsia" w:ascii="宋体" w:hAnsi="宋体" w:cs="宋体"/>
          <w:color w:val="auto"/>
          <w:kern w:val="0"/>
          <w:szCs w:val="21"/>
          <w:highlight w:val="none"/>
        </w:rPr>
        <w:t>，在“投标管理--参与项目”栏目页面，选择参与投标的项目，选择相关金融机构办理电子保函。电子保函的出具时间视同于保证金提交时间。电子保函有效期限到期后自动失效，若在有效期间内办理注销的，则在注销之日起失效。电子保函办理的申请流程及操作指引详见广东省公共资源交易平台（中山市）→“服务指南”。</w:t>
      </w:r>
    </w:p>
    <w:p w14:paraId="44A00C94">
      <w:pPr>
        <w:widowControl/>
        <w:tabs>
          <w:tab w:val="left" w:pos="12596"/>
        </w:tabs>
        <w:spacing w:line="360" w:lineRule="auto"/>
        <w:ind w:firstLine="420" w:firstLineChars="200"/>
        <w:jc w:val="left"/>
        <w:rPr>
          <w:rFonts w:ascii="宋体" w:hAnsi="宋体"/>
          <w:b/>
          <w:color w:val="auto"/>
          <w:kern w:val="0"/>
          <w:szCs w:val="21"/>
          <w:highlight w:val="none"/>
        </w:rPr>
      </w:pPr>
      <w:r>
        <w:rPr>
          <w:rFonts w:hint="eastAsia" w:ascii="宋体" w:hAnsi="宋体" w:cs="宋体"/>
          <w:color w:val="auto"/>
          <w:kern w:val="0"/>
          <w:szCs w:val="21"/>
          <w:highlight w:val="none"/>
        </w:rPr>
        <w:t>投标保证金提交时间以保证金转账到账时间或电子保函出具时间为准，投标人应提前提交投标保证金，由于投标保证金提交时间超过投标保证金提交截止时间而导致</w:t>
      </w:r>
      <w:r>
        <w:rPr>
          <w:rFonts w:hint="eastAsia" w:ascii="宋体" w:hAnsi="宋体" w:cs="宋体"/>
          <w:color w:val="auto"/>
          <w:kern w:val="0"/>
          <w:szCs w:val="21"/>
          <w:highlight w:val="none"/>
          <w:lang w:eastAsia="zh-CN"/>
        </w:rPr>
        <w:t>被投决投标</w:t>
      </w:r>
      <w:r>
        <w:rPr>
          <w:rFonts w:hint="eastAsia" w:ascii="宋体" w:hAnsi="宋体" w:cs="宋体"/>
          <w:color w:val="auto"/>
          <w:kern w:val="0"/>
          <w:szCs w:val="21"/>
          <w:highlight w:val="none"/>
        </w:rPr>
        <w:t>的，由投标人自负责任。提交投标保证金时，投标人必须按“缴纳投标保证金通知书”中的收款账号填写完整或按电子保函的申请程序办理手续，如因收款账号填写不完整造成保证金不能按时到账或因操作不当等造成电子保函不能按时出具导致</w:t>
      </w:r>
      <w:r>
        <w:rPr>
          <w:rFonts w:hint="eastAsia" w:ascii="宋体" w:hAnsi="宋体" w:cs="宋体"/>
          <w:color w:val="auto"/>
          <w:kern w:val="0"/>
          <w:szCs w:val="21"/>
          <w:highlight w:val="none"/>
          <w:lang w:eastAsia="zh-CN"/>
        </w:rPr>
        <w:t>被否决投标</w:t>
      </w:r>
      <w:r>
        <w:rPr>
          <w:rFonts w:hint="eastAsia" w:ascii="宋体" w:hAnsi="宋体" w:cs="宋体"/>
          <w:color w:val="auto"/>
          <w:kern w:val="0"/>
          <w:szCs w:val="21"/>
          <w:highlight w:val="none"/>
        </w:rPr>
        <w:t>的，后果由投标人自行承担。</w:t>
      </w:r>
    </w:p>
    <w:p w14:paraId="53868A38">
      <w:pPr>
        <w:spacing w:line="360" w:lineRule="auto"/>
        <w:ind w:firstLine="401" w:firstLineChars="191"/>
        <w:rPr>
          <w:rFonts w:ascii="宋体" w:hAnsi="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 投标人不按本章第3.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.1项要求提交投标保证金或投标保证金承诺书的，其投标</w:t>
      </w:r>
      <w:r>
        <w:rPr>
          <w:rFonts w:hint="eastAsia" w:ascii="宋体" w:hAnsi="宋体" w:cs="宋体"/>
          <w:color w:val="auto"/>
          <w:kern w:val="0"/>
          <w:szCs w:val="21"/>
          <w:highlight w:val="none"/>
          <w:lang w:val="en-US" w:eastAsia="zh-CN"/>
        </w:rPr>
        <w:t>将被否决</w:t>
      </w:r>
      <w:r>
        <w:rPr>
          <w:rFonts w:hint="eastAsia" w:ascii="宋体" w:hAnsi="宋体" w:cs="宋体"/>
          <w:color w:val="auto"/>
          <w:kern w:val="0"/>
          <w:szCs w:val="21"/>
          <w:highlight w:val="none"/>
        </w:rPr>
        <w:t>。</w:t>
      </w:r>
    </w:p>
    <w:p w14:paraId="32D549AA">
      <w:pPr>
        <w:spacing w:line="360" w:lineRule="auto"/>
        <w:ind w:firstLine="401" w:firstLineChars="191"/>
        <w:rPr>
          <w:rFonts w:ascii="宋体" w:hAnsi="宋体"/>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w:t>
      </w:r>
      <w:r>
        <w:rPr>
          <w:rFonts w:hint="eastAsia" w:ascii="宋体" w:hAnsi="宋体"/>
          <w:color w:val="auto"/>
          <w:szCs w:val="21"/>
          <w:highlight w:val="none"/>
        </w:rPr>
        <w:t>投标保证金的退还</w:t>
      </w:r>
    </w:p>
    <w:p w14:paraId="0F34F7EE">
      <w:pPr>
        <w:numPr>
          <w:ilvl w:val="0"/>
          <w:numId w:val="0"/>
        </w:num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s="宋体"/>
          <w:color w:val="auto"/>
          <w:kern w:val="0"/>
          <w:szCs w:val="21"/>
          <w:highlight w:val="none"/>
        </w:rPr>
        <w:t>中标候选人以外的投标人的投标保证金退付。在发出中标通知书后5日内（法定节假日顺延），由交易中心代招标人将转账提交的投标保证金及银行同期存款利息退回中标候选人以外的投标人，电子保函的则予以注销；</w:t>
      </w:r>
    </w:p>
    <w:p w14:paraId="1F5B6CDC">
      <w:pPr>
        <w:numPr>
          <w:ilvl w:val="0"/>
          <w:numId w:val="0"/>
        </w:num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s="宋体"/>
          <w:color w:val="auto"/>
          <w:kern w:val="0"/>
          <w:szCs w:val="21"/>
          <w:highlight w:val="none"/>
        </w:rPr>
        <w:t>中标人和其他中标候选人的投标保证金退付。招标人发出已与中标人签订合同的通知后5日内（法定节假日顺延），由交易中心代招标人将转账提交的投标保证金及银行同期存款利息</w:t>
      </w:r>
      <w:r>
        <w:rPr>
          <w:rFonts w:hint="eastAsia" w:ascii="宋体" w:hAnsi="宋体" w:cs="宋体"/>
          <w:color w:val="auto"/>
          <w:kern w:val="0"/>
          <w:szCs w:val="21"/>
          <w:highlight w:val="none"/>
          <w:lang w:eastAsia="zh-CN"/>
        </w:rPr>
        <w:t>退回</w:t>
      </w:r>
      <w:r>
        <w:rPr>
          <w:rFonts w:hint="eastAsia" w:ascii="宋体" w:hAnsi="宋体" w:cs="宋体"/>
          <w:color w:val="auto"/>
          <w:kern w:val="0"/>
          <w:szCs w:val="21"/>
          <w:highlight w:val="none"/>
        </w:rPr>
        <w:t>中标人和其他中标候选人，电子保函的则予以注销；</w:t>
      </w:r>
    </w:p>
    <w:p w14:paraId="568AD878">
      <w:pPr>
        <w:numPr>
          <w:ilvl w:val="0"/>
          <w:numId w:val="0"/>
        </w:num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s="宋体"/>
          <w:color w:val="auto"/>
          <w:kern w:val="0"/>
          <w:szCs w:val="21"/>
          <w:highlight w:val="none"/>
        </w:rPr>
        <w:t>项目招标失败或终止招标的投标保证金退付。招标人发出的招标失败或终止招标的有关文件后5日内（法定节假日顺延），由交易中心代招标人将转账提交的投标保证金及银行同期存款利息退还所有投标人，电子保函的则予以注销。</w:t>
      </w:r>
    </w:p>
    <w:p w14:paraId="1B93F5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4</w:t>
      </w:r>
      <w:r>
        <w:rPr>
          <w:rFonts w:hint="eastAsia" w:ascii="宋体" w:hAnsi="宋体"/>
          <w:color w:val="auto"/>
          <w:szCs w:val="21"/>
          <w:highlight w:val="none"/>
        </w:rPr>
        <w:t>.4 有下列情形之一的，投标保证金将不予退还：</w:t>
      </w:r>
    </w:p>
    <w:p w14:paraId="46EA8D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投标人在规定的投标有效期内撤销（中标候选人弃标亦视为撤销行为）或修改其投标文件；</w:t>
      </w:r>
    </w:p>
    <w:p w14:paraId="11623E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中标人在收到中标通知书后，无正当理由拒签合同协议书或未按招标文件规定提交履约担保。</w:t>
      </w:r>
    </w:p>
    <w:p w14:paraId="6CD8AE5D">
      <w:pPr>
        <w:pStyle w:val="5"/>
        <w:bidi w:val="0"/>
        <w:rPr>
          <w:rFonts w:hint="eastAsia" w:ascii="宋体" w:hAnsi="宋体" w:cs="宋体"/>
          <w:color w:val="auto"/>
          <w:sz w:val="21"/>
          <w:highlight w:val="none"/>
        </w:rPr>
      </w:pPr>
      <w:bookmarkStart w:id="86" w:name="_Toc1541764720"/>
      <w:r>
        <w:rPr>
          <w:rFonts w:hint="eastAsia" w:ascii="宋体" w:hAnsi="宋体" w:cs="宋体"/>
          <w:color w:val="auto"/>
          <w:sz w:val="21"/>
          <w:highlight w:val="none"/>
          <w:lang w:val="en-US" w:eastAsia="zh-CN"/>
        </w:rPr>
        <w:t xml:space="preserve">3.5 </w:t>
      </w:r>
      <w:r>
        <w:rPr>
          <w:rFonts w:hint="eastAsia" w:ascii="宋体" w:hAnsi="宋体" w:cs="宋体"/>
          <w:color w:val="auto"/>
          <w:sz w:val="21"/>
          <w:highlight w:val="none"/>
        </w:rPr>
        <w:t>资格审查资料</w:t>
      </w:r>
      <w:bookmarkEnd w:id="86"/>
    </w:p>
    <w:p w14:paraId="067C9F2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投标人须按</w:t>
      </w:r>
      <w:r>
        <w:rPr>
          <w:rFonts w:hint="eastAsia" w:ascii="宋体" w:hAnsi="宋体" w:eastAsia="宋体" w:cs="Times New Roman"/>
          <w:color w:val="auto"/>
          <w:szCs w:val="21"/>
          <w:highlight w:val="none"/>
          <w:lang w:eastAsia="zh-CN"/>
        </w:rPr>
        <w:t>本章</w:t>
      </w:r>
      <w:r>
        <w:rPr>
          <w:rFonts w:hint="eastAsia" w:ascii="宋体" w:hAnsi="宋体" w:eastAsia="宋体" w:cs="Times New Roman"/>
          <w:color w:val="auto"/>
          <w:szCs w:val="21"/>
          <w:highlight w:val="none"/>
          <w:lang w:val="en-US" w:eastAsia="zh-CN"/>
        </w:rPr>
        <w:t>3.1.1.1及</w:t>
      </w:r>
      <w:r>
        <w:rPr>
          <w:rFonts w:hint="eastAsia" w:ascii="宋体" w:hAnsi="宋体" w:eastAsia="宋体" w:cs="Times New Roman"/>
          <w:color w:val="auto"/>
          <w:szCs w:val="21"/>
          <w:highlight w:val="none"/>
        </w:rPr>
        <w:t>招标文件第六章“投标文件格式”</w:t>
      </w:r>
      <w:r>
        <w:rPr>
          <w:rFonts w:hint="eastAsia" w:ascii="宋体" w:hAnsi="宋体" w:eastAsia="宋体" w:cs="Times New Roman"/>
          <w:color w:val="auto"/>
          <w:szCs w:val="21"/>
          <w:highlight w:val="none"/>
          <w:lang w:eastAsia="zh-CN"/>
        </w:rPr>
        <w:t>要求提供</w:t>
      </w:r>
      <w:r>
        <w:rPr>
          <w:rFonts w:hint="eastAsia" w:ascii="宋体" w:hAnsi="宋体" w:eastAsia="宋体" w:cs="Times New Roman"/>
          <w:color w:val="auto"/>
          <w:szCs w:val="21"/>
          <w:highlight w:val="none"/>
        </w:rPr>
        <w:t>相关证件及证明材料，以证实其各项资格条件能满足要求，具备承担本项目的资质条件、能力。</w:t>
      </w:r>
    </w:p>
    <w:p w14:paraId="4AD3D58C">
      <w:pPr>
        <w:spacing w:line="360" w:lineRule="auto"/>
        <w:ind w:firstLine="315" w:firstLineChars="15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3.5.1 </w:t>
      </w:r>
      <w:r>
        <w:rPr>
          <w:rFonts w:hint="eastAsia" w:ascii="宋体" w:hAnsi="宋体" w:eastAsia="宋体" w:cs="宋体"/>
          <w:b w:val="0"/>
          <w:bCs w:val="0"/>
          <w:color w:val="auto"/>
          <w:kern w:val="2"/>
          <w:sz w:val="21"/>
          <w:szCs w:val="21"/>
          <w:highlight w:val="none"/>
          <w:lang w:val="en-US" w:eastAsia="zh-CN" w:bidi="ar-SA"/>
        </w:rPr>
        <w:t>《投标人基本情况表》应附投标人营业执照、资质证书等材料的复印件或扫描件。</w:t>
      </w:r>
    </w:p>
    <w:p w14:paraId="0AD68806">
      <w:pPr>
        <w:spacing w:line="360" w:lineRule="auto"/>
        <w:ind w:firstLine="315" w:firstLineChars="150"/>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 xml:space="preserve">3.5.2 </w:t>
      </w:r>
      <w:r>
        <w:rPr>
          <w:rFonts w:hint="eastAsia" w:ascii="宋体" w:hAnsi="宋体" w:eastAsia="宋体" w:cs="宋体"/>
          <w:color w:val="auto"/>
          <w:szCs w:val="21"/>
          <w:highlight w:val="none"/>
          <w:lang w:val="en-US" w:eastAsia="zh-CN"/>
        </w:rPr>
        <w:t>“《信用中国》网站下载的信用信息报告”“国家企业信用信息公示系统的企业信用信息公示报告”</w:t>
      </w:r>
      <w:r>
        <w:rPr>
          <w:rFonts w:hint="eastAsia"/>
          <w:color w:val="auto"/>
          <w:highlight w:val="none"/>
          <w:lang w:val="en-US" w:eastAsia="zh-CN"/>
        </w:rPr>
        <w:t>应为</w:t>
      </w:r>
      <w:r>
        <w:rPr>
          <w:rFonts w:hint="eastAsia" w:ascii="Times New Roman" w:hAnsi="Times New Roman" w:eastAsia="宋体" w:cs="Times New Roman"/>
          <w:bCs/>
          <w:color w:val="auto"/>
          <w:sz w:val="21"/>
          <w:szCs w:val="21"/>
          <w:highlight w:val="none"/>
          <w:lang w:val="en-US" w:eastAsia="zh-CN"/>
        </w:rPr>
        <w:t>招标公告发布后、</w:t>
      </w:r>
      <w:r>
        <w:rPr>
          <w:rFonts w:hint="eastAsia" w:ascii="Times New Roman" w:hAnsi="Times New Roman" w:eastAsia="宋体" w:cs="Times New Roman"/>
          <w:bCs/>
          <w:color w:val="auto"/>
          <w:sz w:val="21"/>
          <w:szCs w:val="21"/>
          <w:highlight w:val="none"/>
        </w:rPr>
        <w:t>投标截止时间前</w:t>
      </w:r>
      <w:r>
        <w:rPr>
          <w:rFonts w:hint="eastAsia" w:ascii="Times New Roman" w:hAnsi="Times New Roman" w:eastAsia="宋体" w:cs="Times New Roman"/>
          <w:bCs/>
          <w:color w:val="auto"/>
          <w:sz w:val="21"/>
          <w:szCs w:val="21"/>
          <w:highlight w:val="none"/>
          <w:lang w:val="en-US" w:eastAsia="zh-CN"/>
        </w:rPr>
        <w:t>下载的报告，</w:t>
      </w:r>
      <w:r>
        <w:rPr>
          <w:rFonts w:hint="eastAsia" w:ascii="宋体" w:hAnsi="宋体"/>
          <w:color w:val="auto"/>
          <w:szCs w:val="21"/>
          <w:highlight w:val="none"/>
        </w:rPr>
        <w:t>具体版式以</w:t>
      </w:r>
      <w:r>
        <w:rPr>
          <w:rFonts w:hint="eastAsia" w:ascii="宋体" w:hAnsi="宋体"/>
          <w:color w:val="auto"/>
          <w:szCs w:val="21"/>
          <w:highlight w:val="none"/>
          <w:lang w:eastAsia="zh-CN"/>
        </w:rPr>
        <w:t>《信用中国》</w:t>
      </w:r>
      <w:r>
        <w:rPr>
          <w:rFonts w:hint="eastAsia" w:ascii="宋体" w:hAnsi="宋体"/>
          <w:color w:val="auto"/>
          <w:szCs w:val="21"/>
          <w:highlight w:val="none"/>
        </w:rPr>
        <w:t>网站、国家企业信用信息公示系统的版式为准</w:t>
      </w:r>
      <w:r>
        <w:rPr>
          <w:rFonts w:hint="eastAsia" w:ascii="Times New Roman" w:hAnsi="Times New Roman" w:eastAsia="宋体" w:cs="Times New Roman"/>
          <w:bCs/>
          <w:color w:val="auto"/>
          <w:sz w:val="21"/>
          <w:szCs w:val="21"/>
          <w:highlight w:val="none"/>
        </w:rPr>
        <w:t>。</w:t>
      </w:r>
      <w:r>
        <w:rPr>
          <w:rFonts w:hint="eastAsia" w:ascii="宋体" w:hAnsi="宋体" w:eastAsia="宋体" w:cs="宋体"/>
          <w:color w:val="auto"/>
          <w:szCs w:val="21"/>
          <w:highlight w:val="none"/>
          <w:lang w:val="en-US" w:eastAsia="zh-CN"/>
        </w:rPr>
        <w:t>招标人在开标当天查询复核，如与投标人递交信息不一致，以开标当日（投标截止日）查询的结果为准。</w:t>
      </w:r>
    </w:p>
    <w:p w14:paraId="6C3CC575">
      <w:pPr>
        <w:tabs>
          <w:tab w:val="left" w:pos="0"/>
          <w:tab w:val="left" w:pos="720"/>
        </w:tabs>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3 </w:t>
      </w:r>
      <w:r>
        <w:rPr>
          <w:rFonts w:hint="eastAsia" w:ascii="宋体" w:hAnsi="宋体"/>
          <w:color w:val="auto"/>
          <w:szCs w:val="21"/>
          <w:highlight w:val="none"/>
        </w:rPr>
        <w:t>“投标人须知前附表”规定接受联合体投标的，本章第3.</w:t>
      </w:r>
      <w:r>
        <w:rPr>
          <w:rFonts w:hint="eastAsia" w:ascii="宋体" w:hAnsi="宋体"/>
          <w:color w:val="auto"/>
          <w:szCs w:val="21"/>
          <w:highlight w:val="none"/>
          <w:lang w:val="en-US" w:eastAsia="zh-CN"/>
        </w:rPr>
        <w:t>5</w:t>
      </w: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3.5.2</w:t>
      </w:r>
      <w:r>
        <w:rPr>
          <w:rFonts w:hint="eastAsia" w:ascii="宋体" w:hAnsi="宋体"/>
          <w:color w:val="auto"/>
          <w:szCs w:val="21"/>
          <w:highlight w:val="none"/>
        </w:rPr>
        <w:t>项规定的表格和资料应包括联合体各方相关情况。</w:t>
      </w:r>
    </w:p>
    <w:bookmarkEnd w:id="85"/>
    <w:p w14:paraId="68FEB04B">
      <w:pPr>
        <w:pStyle w:val="5"/>
        <w:bidi w:val="0"/>
        <w:rPr>
          <w:rFonts w:hint="eastAsia" w:ascii="宋体" w:hAnsi="宋体" w:eastAsia="宋体" w:cs="宋体"/>
          <w:b/>
          <w:bCs/>
          <w:color w:val="auto"/>
          <w:sz w:val="21"/>
          <w:highlight w:val="none"/>
          <w:lang w:val="en-US" w:eastAsia="zh-CN"/>
        </w:rPr>
      </w:pPr>
      <w:bookmarkStart w:id="87" w:name="_Toc498270544"/>
      <w:r>
        <w:rPr>
          <w:rFonts w:hint="eastAsia" w:ascii="宋体" w:hAnsi="宋体" w:eastAsia="宋体" w:cs="宋体"/>
          <w:b/>
          <w:bCs/>
          <w:color w:val="auto"/>
          <w:sz w:val="21"/>
          <w:highlight w:val="none"/>
          <w:lang w:val="en-US" w:eastAsia="zh-CN"/>
        </w:rPr>
        <w:t>3.6 备选投标方案</w:t>
      </w:r>
      <w:bookmarkEnd w:id="87"/>
    </w:p>
    <w:p w14:paraId="72BD9373">
      <w:pPr>
        <w:spacing w:line="360" w:lineRule="auto"/>
        <w:ind w:firstLine="420" w:firstLineChars="200"/>
        <w:rPr>
          <w:rFonts w:hint="eastAsia" w:ascii="宋体" w:hAnsi="宋体"/>
          <w:color w:val="auto"/>
          <w:szCs w:val="21"/>
          <w:highlight w:val="none"/>
        </w:rPr>
      </w:pPr>
      <w:bookmarkStart w:id="88" w:name="_Toc997813780"/>
      <w:r>
        <w:rPr>
          <w:rFonts w:hint="eastAsia" w:ascii="宋体" w:hAnsi="宋体"/>
          <w:color w:val="auto"/>
          <w:szCs w:val="21"/>
          <w:highlight w:val="none"/>
        </w:rPr>
        <w:t>除投标人须知前附表另有规定外，投标人不得递交备选投标方案。允许投标人递交备选投标方案的，只有中标人所递交的备选投标方案方可予以考虑。评标委员会认为中标人的</w:t>
      </w:r>
      <w:r>
        <w:rPr>
          <w:rFonts w:hint="eastAsia" w:ascii="宋体" w:hAnsi="宋体"/>
          <w:color w:val="auto"/>
          <w:szCs w:val="21"/>
          <w:highlight w:val="none"/>
          <w:lang w:val="en-US" w:eastAsia="zh-CN"/>
        </w:rPr>
        <w:t>备</w:t>
      </w:r>
      <w:r>
        <w:rPr>
          <w:rFonts w:hint="eastAsia" w:ascii="宋体" w:hAnsi="宋体"/>
          <w:color w:val="auto"/>
          <w:szCs w:val="21"/>
          <w:highlight w:val="none"/>
        </w:rPr>
        <w:t>选投标方案优于其按照招标文件要求编制的投标方案的，招标人可以接受该备选投标方案。</w:t>
      </w:r>
    </w:p>
    <w:p w14:paraId="5D71CC5F">
      <w:pPr>
        <w:pStyle w:val="5"/>
        <w:bidi w:val="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3.7 投标文件的编制</w:t>
      </w:r>
      <w:bookmarkEnd w:id="88"/>
    </w:p>
    <w:p w14:paraId="44B2FD66">
      <w:pPr>
        <w:spacing w:line="36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 xml:space="preserve">.1 </w:t>
      </w:r>
      <w:r>
        <w:rPr>
          <w:rFonts w:hint="eastAsia" w:ascii="宋体" w:hAnsi="宋体"/>
          <w:color w:val="auto"/>
          <w:szCs w:val="21"/>
          <w:highlight w:val="none"/>
        </w:rPr>
        <w:t>投标文件应按第六章“投标文件格式”进行编写，</w:t>
      </w:r>
      <w:r>
        <w:rPr>
          <w:rFonts w:hint="eastAsia" w:ascii="宋体" w:hAnsi="宋体"/>
          <w:color w:val="auto"/>
          <w:szCs w:val="21"/>
          <w:highlight w:val="none"/>
          <w:lang w:val="en-US" w:eastAsia="zh-CN"/>
        </w:rPr>
        <w:t>按顺序编制页码，</w:t>
      </w:r>
      <w:r>
        <w:rPr>
          <w:rFonts w:hint="eastAsia" w:ascii="宋体" w:hAnsi="宋体"/>
          <w:color w:val="auto"/>
          <w:szCs w:val="21"/>
          <w:highlight w:val="none"/>
        </w:rPr>
        <w:t>如有必要，可以增加附页，作为投标文件的组成部分。</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eastAsia="zh-CN"/>
        </w:rPr>
        <w:t>投标承诺书</w:t>
      </w:r>
      <w:r>
        <w:rPr>
          <w:rFonts w:hint="eastAsia" w:ascii="宋体" w:hAnsi="宋体" w:eastAsia="宋体" w:cs="宋体"/>
          <w:color w:val="auto"/>
          <w:szCs w:val="21"/>
          <w:highlight w:val="none"/>
        </w:rPr>
        <w:t>在满足招标文件实质性要求的基础上，可以提出比招标文件要求更有利于招标人的承诺。</w:t>
      </w:r>
    </w:p>
    <w:p w14:paraId="48DFD4F2">
      <w:pPr>
        <w:spacing w:line="360" w:lineRule="auto"/>
        <w:ind w:left="5"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 xml:space="preserve">.2 </w:t>
      </w:r>
      <w:r>
        <w:rPr>
          <w:rFonts w:hint="eastAsia" w:ascii="宋体" w:hAnsi="宋体"/>
          <w:color w:val="auto"/>
          <w:szCs w:val="21"/>
          <w:highlight w:val="none"/>
        </w:rPr>
        <w:t>投标文件应当对招标文件有关人员</w:t>
      </w:r>
      <w:r>
        <w:rPr>
          <w:rFonts w:hint="eastAsia" w:ascii="宋体" w:hAnsi="宋体"/>
          <w:color w:val="auto"/>
          <w:szCs w:val="21"/>
          <w:highlight w:val="none"/>
          <w:lang w:eastAsia="zh-CN"/>
        </w:rPr>
        <w:t>要求</w:t>
      </w:r>
      <w:r>
        <w:rPr>
          <w:rFonts w:hint="eastAsia" w:ascii="宋体" w:hAnsi="宋体"/>
          <w:color w:val="auto"/>
          <w:szCs w:val="21"/>
          <w:highlight w:val="none"/>
        </w:rPr>
        <w:t>、工期、投标有效期、质量要求、技术标准和要求、招标范围等实质性内容作出响应。</w:t>
      </w:r>
    </w:p>
    <w:p w14:paraId="5EA9BF6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val="en-US" w:eastAsia="zh-CN"/>
        </w:rPr>
        <w:t>3</w:t>
      </w:r>
      <w:r>
        <w:rPr>
          <w:rFonts w:hint="default" w:ascii="宋体" w:hAnsi="宋体"/>
          <w:color w:val="auto"/>
          <w:szCs w:val="21"/>
          <w:highlight w:val="none"/>
          <w:lang w:val="en" w:eastAsia="zh-CN"/>
        </w:rPr>
        <w:t xml:space="preserve"> </w:t>
      </w:r>
      <w:r>
        <w:rPr>
          <w:rFonts w:hint="eastAsia" w:ascii="宋体" w:hAnsi="宋体"/>
          <w:color w:val="auto"/>
          <w:szCs w:val="21"/>
          <w:highlight w:val="none"/>
          <w:lang w:eastAsia="zh-CN"/>
        </w:rPr>
        <w:t>投标文件须按招标文件要求在注明要电子签名、加盖电子印章的位置由规定人员（含法定代表人）完成个人电子签名、加盖企业电子印章。所有投标文件中的投标人名称、招标人名称必须使用企业（单位）全称，自然人名字必须使用法定姓名（与本人身份证姓名一致）。如投标文件由代理人签名的，投标文件应附法定代表人签署的授权委托书。签名或盖章的其他要求见投标人须知前附表。</w:t>
      </w:r>
    </w:p>
    <w:p w14:paraId="5C024F3D">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如评委对投标文件中的签名、印章是否为电子签名、企业电子印章提出质疑的，可通过电子印章客户端进行核验，并以电子印章客户端核验结果为准，电子签名、电子印章不符合上述要求的投标文件将被否决。</w:t>
      </w:r>
    </w:p>
    <w:p w14:paraId="737CC1D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val="en-US" w:eastAsia="zh-CN"/>
        </w:rPr>
        <w:t>4</w:t>
      </w:r>
      <w:r>
        <w:rPr>
          <w:rFonts w:hint="default" w:ascii="宋体" w:hAnsi="宋体"/>
          <w:color w:val="auto"/>
          <w:szCs w:val="21"/>
          <w:highlight w:val="none"/>
          <w:lang w:val="en" w:eastAsia="zh-CN"/>
        </w:rPr>
        <w:t xml:space="preserve"> </w:t>
      </w:r>
      <w:r>
        <w:rPr>
          <w:rFonts w:hint="eastAsia" w:ascii="宋体" w:hAnsi="宋体"/>
          <w:color w:val="auto"/>
          <w:szCs w:val="21"/>
          <w:highlight w:val="none"/>
          <w:lang w:val="en-US" w:eastAsia="zh-CN"/>
        </w:rPr>
        <w:t>投标文件应制作成电子文件，</w:t>
      </w:r>
      <w:r>
        <w:rPr>
          <w:rFonts w:hint="eastAsia" w:ascii="宋体" w:hAnsi="宋体"/>
          <w:color w:val="auto"/>
          <w:szCs w:val="21"/>
          <w:highlight w:val="none"/>
        </w:rPr>
        <w:t>电子投标文件的编制要求详见投标人须知前附表。</w:t>
      </w:r>
    </w:p>
    <w:p w14:paraId="133012F1">
      <w:pPr>
        <w:pStyle w:val="4"/>
        <w:bidi w:val="0"/>
        <w:rPr>
          <w:rFonts w:hint="eastAsia" w:ascii="宋体" w:hAnsi="宋体" w:cs="宋体"/>
          <w:color w:val="auto"/>
          <w:highlight w:val="none"/>
        </w:rPr>
      </w:pPr>
      <w:bookmarkStart w:id="89" w:name="_Toc524649192"/>
      <w:bookmarkStart w:id="90" w:name="_Toc1977409122"/>
      <w:bookmarkStart w:id="91" w:name="_Toc17556"/>
      <w:bookmarkStart w:id="92" w:name="_Toc2591735"/>
      <w:bookmarkStart w:id="93" w:name="_Toc14517"/>
      <w:bookmarkStart w:id="94" w:name="_Toc25303"/>
      <w:bookmarkStart w:id="95" w:name="_Toc14507"/>
      <w:bookmarkStart w:id="96" w:name="_Toc556"/>
      <w:r>
        <w:rPr>
          <w:rFonts w:hint="eastAsia" w:ascii="宋体" w:hAnsi="宋体" w:cs="宋体"/>
          <w:color w:val="auto"/>
          <w:highlight w:val="none"/>
        </w:rPr>
        <w:t>4</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w:t>
      </w:r>
      <w:bookmarkEnd w:id="89"/>
      <w:bookmarkEnd w:id="90"/>
      <w:bookmarkEnd w:id="91"/>
      <w:bookmarkEnd w:id="92"/>
      <w:bookmarkEnd w:id="93"/>
      <w:bookmarkEnd w:id="94"/>
      <w:bookmarkEnd w:id="95"/>
      <w:bookmarkEnd w:id="96"/>
    </w:p>
    <w:p w14:paraId="4B24B1B0">
      <w:pPr>
        <w:pStyle w:val="5"/>
        <w:bidi w:val="0"/>
        <w:rPr>
          <w:rFonts w:hint="eastAsia" w:ascii="宋体" w:hAnsi="宋体" w:cs="宋体"/>
          <w:color w:val="auto"/>
          <w:sz w:val="21"/>
          <w:highlight w:val="none"/>
          <w:lang w:val="en-US" w:eastAsia="zh-CN"/>
        </w:rPr>
      </w:pPr>
      <w:bookmarkStart w:id="97" w:name="_Toc709538153"/>
      <w:r>
        <w:rPr>
          <w:rFonts w:hint="eastAsia" w:ascii="宋体" w:hAnsi="宋体" w:cs="宋体"/>
          <w:color w:val="auto"/>
          <w:sz w:val="21"/>
          <w:highlight w:val="none"/>
        </w:rPr>
        <w:t>4.1 投标文件的</w:t>
      </w:r>
      <w:r>
        <w:rPr>
          <w:rFonts w:hint="eastAsia" w:ascii="宋体" w:hAnsi="宋体" w:cs="宋体"/>
          <w:color w:val="auto"/>
          <w:sz w:val="21"/>
          <w:highlight w:val="none"/>
          <w:lang w:val="en-US" w:eastAsia="zh-CN"/>
        </w:rPr>
        <w:t>密封和标记</w:t>
      </w:r>
      <w:bookmarkEnd w:id="97"/>
    </w:p>
    <w:p w14:paraId="2D12F176">
      <w:pPr>
        <w:autoSpaceDE w:val="0"/>
        <w:autoSpaceDN w:val="0"/>
        <w:adjustRightIn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投标文件的密封和标记</w:t>
      </w:r>
      <w:r>
        <w:rPr>
          <w:rFonts w:hint="eastAsia" w:ascii="宋体" w:hAnsi="宋体" w:eastAsia="宋体" w:cs="宋体"/>
          <w:color w:val="auto"/>
          <w:szCs w:val="21"/>
          <w:highlight w:val="none"/>
          <w:lang w:eastAsia="zh-CN"/>
        </w:rPr>
        <w:t>见投标人须知前附表。</w:t>
      </w:r>
    </w:p>
    <w:p w14:paraId="69093A4D">
      <w:pPr>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4.1.2</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未按本章要求密封和标记的投标文件，</w:t>
      </w:r>
      <w:r>
        <w:rPr>
          <w:rFonts w:hint="eastAsia" w:ascii="宋体" w:hAnsi="宋体" w:eastAsia="宋体" w:cs="宋体"/>
          <w:color w:val="auto"/>
          <w:szCs w:val="21"/>
          <w:highlight w:val="none"/>
          <w:lang w:val="en-US" w:eastAsia="zh-CN"/>
        </w:rPr>
        <w:t>交易平台将予以拒收</w:t>
      </w:r>
      <w:r>
        <w:rPr>
          <w:rFonts w:hint="eastAsia" w:ascii="宋体" w:hAnsi="宋体"/>
          <w:color w:val="auto"/>
          <w:szCs w:val="21"/>
          <w:highlight w:val="none"/>
        </w:rPr>
        <w:t>。</w:t>
      </w:r>
    </w:p>
    <w:p w14:paraId="74BDAF9F">
      <w:pPr>
        <w:pStyle w:val="5"/>
        <w:bidi w:val="0"/>
        <w:rPr>
          <w:rFonts w:hint="eastAsia" w:ascii="宋体" w:hAnsi="宋体" w:cs="宋体"/>
          <w:color w:val="auto"/>
          <w:sz w:val="21"/>
          <w:highlight w:val="none"/>
        </w:rPr>
      </w:pPr>
      <w:bookmarkStart w:id="98" w:name="_Toc3407110"/>
      <w:r>
        <w:rPr>
          <w:rFonts w:hint="eastAsia" w:ascii="宋体" w:hAnsi="宋体" w:cs="宋体"/>
          <w:color w:val="auto"/>
          <w:sz w:val="21"/>
          <w:highlight w:val="none"/>
        </w:rPr>
        <w:t>4.2 投标文件的递交</w:t>
      </w:r>
      <w:bookmarkEnd w:id="98"/>
    </w:p>
    <w:p w14:paraId="031D2208">
      <w:pPr>
        <w:spacing w:line="360" w:lineRule="auto"/>
        <w:ind w:firstLine="420" w:firstLineChars="200"/>
        <w:rPr>
          <w:rFonts w:ascii="宋体"/>
          <w:color w:val="auto"/>
          <w:szCs w:val="21"/>
          <w:highlight w:val="none"/>
        </w:rPr>
      </w:pPr>
      <w:r>
        <w:rPr>
          <w:rFonts w:ascii="宋体" w:hAnsi="宋体"/>
          <w:color w:val="auto"/>
          <w:szCs w:val="21"/>
          <w:highlight w:val="none"/>
        </w:rPr>
        <w:t xml:space="preserve">4.2.1 </w:t>
      </w:r>
      <w:r>
        <w:rPr>
          <w:rFonts w:hint="eastAsia" w:ascii="宋体" w:hAnsi="宋体"/>
          <w:color w:val="auto"/>
          <w:szCs w:val="21"/>
          <w:highlight w:val="none"/>
        </w:rPr>
        <w:t>投标人应在本章“投标人须知前附表”规定的投标截止时间前递交投标文件。</w:t>
      </w:r>
    </w:p>
    <w:p w14:paraId="1472E456">
      <w:pPr>
        <w:spacing w:line="360" w:lineRule="auto"/>
        <w:ind w:firstLine="420" w:firstLineChars="200"/>
        <w:rPr>
          <w:rFonts w:ascii="宋体"/>
          <w:color w:val="auto"/>
          <w:szCs w:val="21"/>
          <w:highlight w:val="none"/>
        </w:rPr>
      </w:pPr>
      <w:r>
        <w:rPr>
          <w:rFonts w:ascii="宋体" w:hAnsi="宋体"/>
          <w:color w:val="auto"/>
          <w:szCs w:val="21"/>
          <w:highlight w:val="none"/>
        </w:rPr>
        <w:t xml:space="preserve">4.2.2 </w:t>
      </w:r>
      <w:r>
        <w:rPr>
          <w:rFonts w:hint="eastAsia" w:ascii="宋体" w:hAnsi="宋体"/>
          <w:color w:val="auto"/>
          <w:szCs w:val="21"/>
          <w:highlight w:val="none"/>
        </w:rPr>
        <w:t>投标人递交投标文件的地点：见投标人须知前附表。</w:t>
      </w:r>
    </w:p>
    <w:p w14:paraId="6C05AD3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4.2.3 </w:t>
      </w:r>
      <w:r>
        <w:rPr>
          <w:rFonts w:hint="eastAsia" w:ascii="宋体" w:hAnsi="宋体"/>
          <w:color w:val="auto"/>
          <w:szCs w:val="21"/>
          <w:highlight w:val="none"/>
        </w:rPr>
        <w:t>除投标人须知前附表另有规定外，投标人所递交的投标文件不予退还。</w:t>
      </w:r>
    </w:p>
    <w:p w14:paraId="30EE2B89">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4.2.4</w:t>
      </w:r>
      <w:r>
        <w:rPr>
          <w:rFonts w:hint="default" w:ascii="宋体" w:hAnsi="宋体" w:eastAsia="宋体" w:cs="宋体"/>
          <w:b w:val="0"/>
          <w:bCs w:val="0"/>
          <w:color w:val="auto"/>
          <w:szCs w:val="21"/>
          <w:highlight w:val="none"/>
          <w:lang w:val="en" w:eastAsia="zh-CN"/>
        </w:rPr>
        <w:t xml:space="preserve"> </w:t>
      </w:r>
      <w:r>
        <w:rPr>
          <w:rFonts w:hint="eastAsia" w:ascii="宋体" w:hAnsi="宋体" w:eastAsia="宋体" w:cs="宋体"/>
          <w:b w:val="0"/>
          <w:bCs w:val="0"/>
          <w:color w:val="auto"/>
          <w:szCs w:val="21"/>
          <w:highlight w:val="none"/>
          <w:lang w:val="en-US" w:eastAsia="zh-CN"/>
        </w:rPr>
        <w:t>投标人完成电子投标文件上传后，交易平台即时向投标人发出递交回执通知，递交时间以递交回执通知载明的传输完成时间为准</w:t>
      </w:r>
      <w:r>
        <w:rPr>
          <w:rFonts w:hint="eastAsia" w:ascii="宋体" w:hAnsi="宋体" w:eastAsia="宋体" w:cs="宋体"/>
          <w:b w:val="0"/>
          <w:bCs w:val="0"/>
          <w:color w:val="auto"/>
          <w:szCs w:val="21"/>
          <w:highlight w:val="none"/>
        </w:rPr>
        <w:t>。</w:t>
      </w:r>
    </w:p>
    <w:p w14:paraId="79FA26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5</w:t>
      </w:r>
      <w:r>
        <w:rPr>
          <w:rFonts w:hint="default" w:ascii="宋体" w:hAnsi="宋体" w:eastAsia="宋体" w:cs="宋体"/>
          <w:color w:val="auto"/>
          <w:szCs w:val="21"/>
          <w:highlight w:val="none"/>
          <w:lang w:val="en" w:eastAsia="zh-CN"/>
        </w:rPr>
        <w:t xml:space="preserve"> </w:t>
      </w:r>
      <w:r>
        <w:rPr>
          <w:rFonts w:hint="eastAsia" w:ascii="宋体" w:hAnsi="宋体" w:eastAsia="宋体" w:cs="宋体"/>
          <w:color w:val="auto"/>
          <w:szCs w:val="21"/>
          <w:highlight w:val="none"/>
        </w:rPr>
        <w:t>逾期</w:t>
      </w:r>
      <w:r>
        <w:rPr>
          <w:rFonts w:hint="eastAsia" w:ascii="宋体" w:hAnsi="宋体" w:eastAsia="宋体" w:cs="宋体"/>
          <w:color w:val="auto"/>
          <w:szCs w:val="21"/>
          <w:highlight w:val="none"/>
          <w:lang w:eastAsia="zh-CN"/>
        </w:rPr>
        <w:t>上传</w:t>
      </w:r>
      <w:r>
        <w:rPr>
          <w:rFonts w:hint="eastAsia" w:ascii="宋体" w:hAnsi="宋体" w:eastAsia="宋体" w:cs="宋体"/>
          <w:color w:val="auto"/>
          <w:szCs w:val="21"/>
          <w:highlight w:val="none"/>
        </w:rPr>
        <w:t>或者未</w:t>
      </w:r>
      <w:r>
        <w:rPr>
          <w:rFonts w:hint="eastAsia" w:ascii="宋体" w:hAnsi="宋体" w:eastAsia="宋体" w:cs="宋体"/>
          <w:color w:val="auto"/>
          <w:szCs w:val="21"/>
          <w:highlight w:val="none"/>
          <w:lang w:eastAsia="zh-CN"/>
        </w:rPr>
        <w:t>上传</w:t>
      </w:r>
      <w:r>
        <w:rPr>
          <w:rFonts w:hint="eastAsia" w:ascii="宋体" w:hAnsi="宋体" w:eastAsia="宋体" w:cs="宋体"/>
          <w:color w:val="auto"/>
          <w:szCs w:val="21"/>
          <w:highlight w:val="none"/>
        </w:rPr>
        <w:t>指定地点的投标文件，</w:t>
      </w:r>
      <w:r>
        <w:rPr>
          <w:rFonts w:hint="eastAsia" w:ascii="宋体" w:hAnsi="宋体" w:eastAsia="宋体" w:cs="宋体"/>
          <w:color w:val="auto"/>
          <w:szCs w:val="21"/>
          <w:highlight w:val="none"/>
          <w:lang w:val="en-US" w:eastAsia="zh-CN"/>
        </w:rPr>
        <w:t>交易平台将予以拒收</w:t>
      </w:r>
      <w:r>
        <w:rPr>
          <w:rFonts w:hint="eastAsia" w:ascii="宋体" w:hAnsi="宋体" w:eastAsia="宋体" w:cs="宋体"/>
          <w:color w:val="auto"/>
          <w:szCs w:val="21"/>
          <w:highlight w:val="none"/>
        </w:rPr>
        <w:t>。</w:t>
      </w:r>
    </w:p>
    <w:p w14:paraId="52C2E2FF">
      <w:pPr>
        <w:pStyle w:val="5"/>
        <w:bidi w:val="0"/>
        <w:rPr>
          <w:rFonts w:hint="eastAsia" w:ascii="宋体" w:hAnsi="宋体" w:cs="宋体"/>
          <w:color w:val="auto"/>
          <w:sz w:val="21"/>
          <w:highlight w:val="none"/>
        </w:rPr>
      </w:pPr>
      <w:bookmarkStart w:id="99" w:name="_Toc1539568388"/>
      <w:r>
        <w:rPr>
          <w:rFonts w:hint="eastAsia" w:ascii="宋体" w:hAnsi="宋体" w:cs="宋体"/>
          <w:color w:val="auto"/>
          <w:sz w:val="21"/>
          <w:highlight w:val="none"/>
        </w:rPr>
        <w:t>4.3 投标文</w:t>
      </w:r>
      <w:r>
        <w:rPr>
          <w:rFonts w:hint="eastAsia" w:ascii="宋体" w:hAnsi="宋体" w:eastAsia="宋体" w:cs="宋体"/>
          <w:color w:val="auto"/>
          <w:sz w:val="21"/>
          <w:highlight w:val="none"/>
        </w:rPr>
        <w:t>件的修改与撤回</w:t>
      </w:r>
      <w:bookmarkEnd w:id="99"/>
    </w:p>
    <w:p w14:paraId="0C6BBD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在本章“投标人须知前附表”规定的投标截止时间前，投标人可以修改或撤回已递交的投标文件。在投标截止前修改投标文件的，投标人只要把已修改的电子投标文件</w:t>
      </w:r>
      <w:r>
        <w:rPr>
          <w:rFonts w:hint="eastAsia" w:ascii="宋体" w:hAnsi="宋体"/>
          <w:color w:val="auto"/>
          <w:szCs w:val="21"/>
          <w:highlight w:val="none"/>
          <w:lang w:eastAsia="zh-CN"/>
        </w:rPr>
        <w:t>加密后</w:t>
      </w:r>
      <w:r>
        <w:rPr>
          <w:rFonts w:hint="eastAsia" w:ascii="宋体" w:hAnsi="宋体"/>
          <w:color w:val="auto"/>
          <w:szCs w:val="21"/>
          <w:highlight w:val="none"/>
        </w:rPr>
        <w:t>在投标截止前重新上传，计算机以最后收到的投标文件为准。</w:t>
      </w:r>
    </w:p>
    <w:p w14:paraId="5C74C8E8">
      <w:pPr>
        <w:pStyle w:val="4"/>
        <w:bidi w:val="0"/>
        <w:rPr>
          <w:rFonts w:hint="eastAsia" w:ascii="宋体" w:hAnsi="宋体" w:cs="宋体"/>
          <w:color w:val="auto"/>
          <w:highlight w:val="none"/>
        </w:rPr>
      </w:pPr>
      <w:bookmarkStart w:id="100" w:name="_Toc27620"/>
      <w:bookmarkStart w:id="101" w:name="_Toc2591736"/>
      <w:bookmarkStart w:id="102" w:name="_Toc757156309"/>
      <w:bookmarkStart w:id="103" w:name="_Toc17647"/>
      <w:bookmarkStart w:id="104" w:name="_Toc1305805167"/>
      <w:bookmarkStart w:id="105" w:name="_Toc26888"/>
      <w:bookmarkStart w:id="106" w:name="_Toc16215"/>
      <w:bookmarkStart w:id="107" w:name="_Toc8382"/>
      <w:r>
        <w:rPr>
          <w:rFonts w:hint="eastAsia" w:ascii="宋体" w:hAnsi="宋体" w:cs="宋体"/>
          <w:color w:val="auto"/>
          <w:highlight w:val="none"/>
          <w:lang w:val="en-US"/>
        </w:rPr>
        <w:t>5</w:t>
      </w:r>
      <w:r>
        <w:rPr>
          <w:rFonts w:hint="eastAsia" w:ascii="宋体" w:hAnsi="宋体" w:cs="宋体"/>
          <w:color w:val="auto"/>
          <w:highlight w:val="none"/>
          <w:lang w:val="en-US" w:eastAsia="zh-CN"/>
        </w:rPr>
        <w:t xml:space="preserve">. </w:t>
      </w:r>
      <w:r>
        <w:rPr>
          <w:rFonts w:hint="eastAsia" w:ascii="宋体" w:hAnsi="宋体" w:cs="宋体"/>
          <w:color w:val="auto"/>
          <w:highlight w:val="none"/>
        </w:rPr>
        <w:t>开标</w:t>
      </w:r>
      <w:bookmarkEnd w:id="100"/>
      <w:bookmarkEnd w:id="101"/>
      <w:bookmarkEnd w:id="102"/>
      <w:bookmarkEnd w:id="103"/>
      <w:bookmarkEnd w:id="104"/>
      <w:bookmarkEnd w:id="105"/>
      <w:bookmarkEnd w:id="106"/>
      <w:bookmarkEnd w:id="107"/>
    </w:p>
    <w:p w14:paraId="78F27FB7">
      <w:pPr>
        <w:pStyle w:val="5"/>
        <w:bidi w:val="0"/>
        <w:rPr>
          <w:rFonts w:hint="eastAsia" w:ascii="宋体" w:hAnsi="宋体" w:cs="宋体"/>
          <w:color w:val="auto"/>
          <w:sz w:val="21"/>
          <w:highlight w:val="none"/>
          <w:lang w:eastAsia="zh-CN"/>
        </w:rPr>
      </w:pPr>
      <w:bookmarkStart w:id="108" w:name="_Toc1463535626"/>
      <w:r>
        <w:rPr>
          <w:rFonts w:hint="eastAsia" w:ascii="宋体" w:hAnsi="宋体" w:cs="宋体"/>
          <w:color w:val="auto"/>
          <w:sz w:val="21"/>
          <w:highlight w:val="none"/>
          <w:lang w:val="en-US"/>
        </w:rPr>
        <w:t>5</w:t>
      </w:r>
      <w:r>
        <w:rPr>
          <w:rFonts w:hint="eastAsia" w:ascii="宋体" w:hAnsi="宋体" w:cs="宋体"/>
          <w:color w:val="auto"/>
          <w:sz w:val="21"/>
          <w:highlight w:val="none"/>
        </w:rPr>
        <w:t>.1 开标时间和地点</w:t>
      </w:r>
      <w:bookmarkEnd w:id="108"/>
    </w:p>
    <w:p w14:paraId="39FED168">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招标人在投标人须知前附表规定的开标时间</w:t>
      </w:r>
      <w:r>
        <w:rPr>
          <w:rFonts w:hint="eastAsia" w:ascii="宋体" w:hAnsi="宋体"/>
          <w:color w:val="auto"/>
          <w:szCs w:val="21"/>
          <w:highlight w:val="none"/>
          <w:lang w:eastAsia="zh-CN"/>
        </w:rPr>
        <w:t>和</w:t>
      </w:r>
      <w:r>
        <w:rPr>
          <w:rFonts w:hint="eastAsia" w:ascii="宋体" w:hAnsi="宋体"/>
          <w:color w:val="auto"/>
          <w:szCs w:val="21"/>
          <w:highlight w:val="none"/>
        </w:rPr>
        <w:t>地点公开开标。</w:t>
      </w:r>
    </w:p>
    <w:p w14:paraId="70436D6B">
      <w:pPr>
        <w:pStyle w:val="5"/>
        <w:bidi w:val="0"/>
        <w:rPr>
          <w:rFonts w:hint="eastAsia" w:ascii="宋体" w:hAnsi="宋体" w:cs="宋体"/>
          <w:color w:val="auto"/>
          <w:sz w:val="21"/>
          <w:highlight w:val="none"/>
          <w:lang w:val="en-US" w:eastAsia="zh-CN"/>
        </w:rPr>
      </w:pPr>
      <w:bookmarkStart w:id="109" w:name="_Toc575361631"/>
      <w:r>
        <w:rPr>
          <w:rFonts w:hint="eastAsia" w:ascii="宋体" w:hAnsi="宋体" w:cs="宋体"/>
          <w:color w:val="auto"/>
          <w:sz w:val="21"/>
          <w:highlight w:val="none"/>
          <w:lang w:val="en-US" w:eastAsia="zh-CN"/>
        </w:rPr>
        <w:t>5</w:t>
      </w:r>
      <w:r>
        <w:rPr>
          <w:rFonts w:hint="eastAsia" w:ascii="宋体" w:hAnsi="宋体" w:cs="宋体"/>
          <w:color w:val="auto"/>
          <w:sz w:val="21"/>
          <w:highlight w:val="none"/>
        </w:rPr>
        <w:t>.2 开标程序</w:t>
      </w:r>
      <w:bookmarkEnd w:id="109"/>
    </w:p>
    <w:p w14:paraId="6997A1ED">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开标由招标人及其委托的招标代理机构主持；工作组由招标人代表及其委托的招标代理工作人员共同组成。招标人须委派至少一名招标人代表到现场参与开标，且招标人代表须有授权委托书。招标代理机构人员不能同时担任招标人代表。</w:t>
      </w:r>
      <w:r>
        <w:rPr>
          <w:rFonts w:hint="eastAsia" w:ascii="宋体" w:hAnsi="宋体"/>
          <w:color w:val="auto"/>
          <w:szCs w:val="21"/>
          <w:highlight w:val="none"/>
          <w:lang w:val="en-US" w:eastAsia="zh-CN"/>
        </w:rPr>
        <w:t>主持人按下列程序进行开标：</w:t>
      </w:r>
    </w:p>
    <w:p w14:paraId="4F358ACC">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olor w:val="auto"/>
          <w:szCs w:val="21"/>
          <w:highlight w:val="none"/>
          <w:lang w:val="en-US" w:eastAsia="zh-CN"/>
        </w:rPr>
        <w:t>宣布开标纪律；</w:t>
      </w:r>
    </w:p>
    <w:p w14:paraId="12F6BDE3">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olor w:val="auto"/>
          <w:szCs w:val="21"/>
          <w:highlight w:val="none"/>
          <w:lang w:val="en-US" w:eastAsia="zh-CN"/>
        </w:rPr>
        <w:t>宣布开标人、唱标人、记录人、监标人、公共资源交易中心见证人等有关人员姓名；</w:t>
      </w:r>
    </w:p>
    <w:p w14:paraId="42941309">
      <w:pPr>
        <w:pageBreakBefore w:val="0"/>
        <w:numPr>
          <w:ilvl w:val="0"/>
          <w:numId w:val="0"/>
        </w:numPr>
        <w:kinsoku/>
        <w:wordWrap/>
        <w:overflowPunct/>
        <w:topLinePunct w:val="0"/>
        <w:bidi w:val="0"/>
        <w:spacing w:line="360" w:lineRule="auto"/>
        <w:ind w:left="399" w:leftChars="190" w:firstLine="0" w:firstLineChars="0"/>
        <w:textAlignment w:val="auto"/>
        <w:rPr>
          <w:rFonts w:hint="eastAsia" w:ascii="宋体" w:hAnsi="宋体"/>
          <w:color w:val="auto"/>
          <w:szCs w:val="21"/>
          <w:highlight w:val="none"/>
          <w:lang w:val="en-US" w:eastAsia="zh-CN"/>
        </w:rPr>
      </w:pPr>
      <w:r>
        <w:rPr>
          <w:rFonts w:hint="eastAsia" w:ascii="宋体" w:hAnsi="宋体" w:cs="宋体"/>
          <w:color w:val="auto"/>
          <w:kern w:val="0"/>
          <w:szCs w:val="21"/>
          <w:highlight w:val="none"/>
          <w:lang w:eastAsia="zh-CN"/>
        </w:rPr>
        <w:t>（</w:t>
      </w:r>
      <w:r>
        <w:rPr>
          <w:rFonts w:hint="default"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招标人、行政监管部门和交易中心</w:t>
      </w:r>
      <w:r>
        <w:rPr>
          <w:rFonts w:hint="eastAsia" w:ascii="宋体" w:hAnsi="宋体" w:cs="宋体"/>
          <w:color w:val="auto"/>
          <w:kern w:val="0"/>
          <w:szCs w:val="21"/>
          <w:highlight w:val="none"/>
          <w:lang w:val="en-US" w:eastAsia="zh-CN"/>
        </w:rPr>
        <w:t>通过</w:t>
      </w:r>
      <w:r>
        <w:rPr>
          <w:rFonts w:hint="eastAsia" w:ascii="宋体" w:hAnsi="宋体"/>
          <w:color w:val="auto"/>
          <w:szCs w:val="21"/>
          <w:highlight w:val="none"/>
          <w:lang w:eastAsia="zh-CN"/>
        </w:rPr>
        <w:t>工程建设交易系统</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网上递交的投标文件进行</w:t>
      </w:r>
      <w:r>
        <w:rPr>
          <w:rFonts w:hint="eastAsia" w:ascii="宋体" w:hAnsi="宋体" w:cs="宋体"/>
          <w:color w:val="auto"/>
          <w:kern w:val="0"/>
          <w:szCs w:val="21"/>
          <w:highlight w:val="none"/>
        </w:rPr>
        <w:t>三方解密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）招标人或招标代理</w:t>
      </w:r>
      <w:r>
        <w:rPr>
          <w:rFonts w:hint="eastAsia" w:ascii="宋体" w:hAnsi="宋体" w:cs="宋体"/>
          <w:color w:val="auto"/>
          <w:kern w:val="0"/>
          <w:szCs w:val="21"/>
          <w:highlight w:val="none"/>
          <w:lang w:val="en-US" w:eastAsia="zh-CN"/>
        </w:rPr>
        <w:t>通过</w:t>
      </w:r>
      <w:r>
        <w:rPr>
          <w:rFonts w:hint="eastAsia" w:ascii="宋体" w:hAnsi="宋体"/>
          <w:color w:val="auto"/>
          <w:szCs w:val="21"/>
          <w:highlight w:val="none"/>
          <w:lang w:eastAsia="zh-CN"/>
        </w:rPr>
        <w:t>工程建设交易系统</w:t>
      </w:r>
      <w:r>
        <w:rPr>
          <w:rFonts w:hint="eastAsia" w:ascii="宋体" w:hAnsi="宋体" w:cs="宋体"/>
          <w:color w:val="auto"/>
          <w:kern w:val="0"/>
          <w:szCs w:val="21"/>
          <w:highlight w:val="none"/>
          <w:lang w:val="en-US" w:eastAsia="zh-CN"/>
        </w:rPr>
        <w:t>公布项目名称、投标人名称、投标保证金缴纳情况、投标报价、工期等内容，并如实记录。</w:t>
      </w:r>
    </w:p>
    <w:p w14:paraId="0F9F5A85">
      <w:pPr>
        <w:pageBreakBefore w:val="0"/>
        <w:numPr>
          <w:ilvl w:val="0"/>
          <w:numId w:val="0"/>
        </w:numPr>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s="宋体"/>
          <w:color w:val="auto"/>
          <w:kern w:val="0"/>
          <w:szCs w:val="21"/>
          <w:highlight w:val="none"/>
          <w:lang w:val="en-US" w:eastAsia="zh-CN"/>
        </w:rPr>
        <w:t>（5）开标结束。</w:t>
      </w:r>
    </w:p>
    <w:p w14:paraId="01E31DCA">
      <w:pPr>
        <w:pStyle w:val="4"/>
        <w:bidi w:val="0"/>
        <w:rPr>
          <w:rFonts w:hint="eastAsia" w:ascii="宋体" w:hAnsi="宋体" w:eastAsia="宋体" w:cs="宋体"/>
          <w:b/>
          <w:bCs/>
          <w:color w:val="auto"/>
          <w:highlight w:val="none"/>
          <w:lang w:val="en-US" w:eastAsia="zh-CN"/>
        </w:rPr>
      </w:pPr>
      <w:bookmarkStart w:id="110" w:name="_Toc5751"/>
      <w:bookmarkStart w:id="111" w:name="_Toc128972557"/>
      <w:bookmarkStart w:id="112" w:name="_Toc1869529883"/>
      <w:r>
        <w:rPr>
          <w:rFonts w:hint="eastAsia" w:ascii="宋体" w:hAnsi="宋体" w:eastAsia="宋体" w:cs="宋体"/>
          <w:b/>
          <w:bCs/>
          <w:color w:val="auto"/>
          <w:highlight w:val="none"/>
          <w:lang w:val="en-US" w:eastAsia="zh-CN"/>
        </w:rPr>
        <w:t>6</w:t>
      </w:r>
      <w:r>
        <w:rPr>
          <w:rFonts w:hint="eastAsia" w:ascii="宋体" w:hAnsi="宋体" w:cs="宋体"/>
          <w:b/>
          <w:bCs/>
          <w:color w:val="auto"/>
          <w:highlight w:val="none"/>
          <w:lang w:val="en-US" w:eastAsia="zh-CN"/>
        </w:rPr>
        <w:t xml:space="preserve">. </w:t>
      </w:r>
      <w:bookmarkEnd w:id="110"/>
      <w:bookmarkEnd w:id="111"/>
      <w:r>
        <w:rPr>
          <w:rFonts w:hint="eastAsia" w:ascii="宋体" w:hAnsi="宋体" w:cs="宋体"/>
          <w:b/>
          <w:bCs/>
          <w:color w:val="auto"/>
          <w:highlight w:val="none"/>
          <w:lang w:val="en-US" w:eastAsia="zh-CN"/>
        </w:rPr>
        <w:t>资格审查及入围筛选</w:t>
      </w:r>
      <w:bookmarkEnd w:id="112"/>
    </w:p>
    <w:p w14:paraId="221DFBFD">
      <w:pPr>
        <w:pStyle w:val="5"/>
        <w:bidi w:val="0"/>
        <w:rPr>
          <w:rFonts w:hint="eastAsia" w:ascii="宋体" w:hAnsi="宋体" w:cs="宋体"/>
          <w:color w:val="auto"/>
          <w:sz w:val="21"/>
          <w:highlight w:val="none"/>
          <w:lang w:val="en-US" w:eastAsia="zh-CN"/>
        </w:rPr>
      </w:pPr>
      <w:bookmarkStart w:id="113" w:name="_Toc734425347"/>
      <w:r>
        <w:rPr>
          <w:rFonts w:hint="eastAsia" w:ascii="宋体" w:hAnsi="宋体" w:cs="宋体"/>
          <w:color w:val="auto"/>
          <w:sz w:val="21"/>
          <w:highlight w:val="none"/>
          <w:lang w:val="en-US" w:eastAsia="zh-CN"/>
        </w:rPr>
        <w:t>6.1 资格审查</w:t>
      </w:r>
      <w:bookmarkEnd w:id="113"/>
    </w:p>
    <w:p w14:paraId="6C1A5B50">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6.1.1 资格审查工作由招标人组建的资格审查工作小组负责。资格审查工作小组的</w:t>
      </w:r>
      <w:r>
        <w:rPr>
          <w:rFonts w:hint="eastAsia" w:ascii="宋体" w:hAnsi="宋体" w:eastAsia="宋体" w:cs="Times New Roman"/>
          <w:color w:val="auto"/>
          <w:szCs w:val="21"/>
          <w:highlight w:val="none"/>
        </w:rPr>
        <w:t>确定方式见投标人须知前附表</w:t>
      </w:r>
      <w:r>
        <w:rPr>
          <w:rFonts w:hint="eastAsia" w:ascii="宋体" w:hAnsi="宋体" w:eastAsia="宋体" w:cs="Times New Roman"/>
          <w:color w:val="auto"/>
          <w:szCs w:val="21"/>
          <w:highlight w:val="none"/>
          <w:lang w:eastAsia="zh-CN"/>
        </w:rPr>
        <w:t>。</w:t>
      </w:r>
    </w:p>
    <w:p w14:paraId="69B7B517">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6.1.2 资格审查工作应当在开标当天，开标后、评标前进行。资格审查内容详见《资格审查要素表》。</w:t>
      </w:r>
    </w:p>
    <w:p w14:paraId="10F3319C">
      <w:pPr>
        <w:adjustRightInd/>
        <w:snapToGrid/>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6.1.3 资格审查合格的投标人</w:t>
      </w:r>
      <w:r>
        <w:rPr>
          <w:rFonts w:hint="eastAsia" w:ascii="宋体" w:hAnsi="宋体" w:eastAsia="宋体" w:cs="Times New Roman"/>
          <w:color w:val="auto"/>
          <w:kern w:val="2"/>
          <w:szCs w:val="21"/>
          <w:highlight w:val="none"/>
        </w:rPr>
        <w:t>数量不足3名</w:t>
      </w:r>
      <w:r>
        <w:rPr>
          <w:rFonts w:hint="eastAsia" w:ascii="宋体" w:hAnsi="宋体" w:eastAsia="宋体" w:cs="Times New Roman"/>
          <w:color w:val="auto"/>
          <w:szCs w:val="21"/>
          <w:highlight w:val="none"/>
          <w:lang w:val="fr-CH" w:eastAsia="zh-CN"/>
        </w:rPr>
        <w:t>使得投标明显缺乏竞争</w:t>
      </w:r>
      <w:r>
        <w:rPr>
          <w:rFonts w:hint="eastAsia" w:ascii="宋体" w:hAnsi="宋体" w:eastAsia="宋体" w:cs="Times New Roman"/>
          <w:color w:val="auto"/>
          <w:kern w:val="2"/>
          <w:szCs w:val="21"/>
          <w:highlight w:val="none"/>
        </w:rPr>
        <w:t>的，招标人应当宣布本次招标失败，重新招标。</w:t>
      </w:r>
    </w:p>
    <w:p w14:paraId="3A400AD9">
      <w:pPr>
        <w:pStyle w:val="5"/>
        <w:bidi w:val="0"/>
        <w:rPr>
          <w:rFonts w:hint="eastAsia" w:ascii="宋体" w:hAnsi="宋体" w:cs="宋体"/>
          <w:color w:val="auto"/>
          <w:sz w:val="21"/>
          <w:highlight w:val="none"/>
          <w:lang w:val="en-US" w:eastAsia="zh-CN"/>
        </w:rPr>
      </w:pPr>
      <w:bookmarkStart w:id="114" w:name="_Toc1975372903"/>
      <w:r>
        <w:rPr>
          <w:rFonts w:hint="eastAsia" w:ascii="宋体" w:hAnsi="宋体" w:cs="宋体"/>
          <w:color w:val="auto"/>
          <w:sz w:val="21"/>
          <w:highlight w:val="none"/>
          <w:lang w:val="en-US" w:eastAsia="zh-CN"/>
        </w:rPr>
        <w:t>6.2 入围筛选</w:t>
      </w:r>
      <w:bookmarkEnd w:id="114"/>
    </w:p>
    <w:p w14:paraId="0BE2FCFB">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入围筛选工作应当在资格审查工作完成的</w:t>
      </w:r>
      <w:r>
        <w:rPr>
          <w:rFonts w:hint="eastAsia" w:ascii="宋体" w:hAnsi="宋体"/>
          <w:color w:val="auto"/>
          <w:szCs w:val="21"/>
          <w:highlight w:val="none"/>
          <w:lang w:eastAsia="zh-CN"/>
        </w:rPr>
        <w:t>当天</w:t>
      </w:r>
      <w:r>
        <w:rPr>
          <w:rFonts w:hint="eastAsia" w:ascii="宋体" w:hAnsi="宋体"/>
          <w:color w:val="auto"/>
          <w:szCs w:val="21"/>
          <w:highlight w:val="none"/>
        </w:rPr>
        <w:t>或次日</w:t>
      </w:r>
      <w:r>
        <w:rPr>
          <w:rFonts w:hint="eastAsia" w:ascii="宋体" w:hAnsi="宋体"/>
          <w:color w:val="auto"/>
          <w:szCs w:val="21"/>
          <w:highlight w:val="none"/>
          <w:lang w:eastAsia="zh-CN"/>
        </w:rPr>
        <w:t>进行。</w:t>
      </w:r>
      <w:r>
        <w:rPr>
          <w:rFonts w:hint="eastAsia" w:ascii="宋体" w:hAnsi="宋体"/>
          <w:color w:val="auto"/>
          <w:szCs w:val="21"/>
          <w:highlight w:val="none"/>
          <w:lang w:val="en-US" w:eastAsia="zh-CN"/>
        </w:rPr>
        <w:t>资格审查合格的投标人数量超过投标人须知前附表规定进入评标程序的投标人数量的，由资格审查工作小组按照招标文件规定的择优方法和规则筛选出规定数量的投标人进入评标环节。</w:t>
      </w:r>
      <w:r>
        <w:rPr>
          <w:rFonts w:hint="eastAsia" w:ascii="宋体" w:hAnsi="宋体" w:eastAsia="宋体" w:cs="Times New Roman"/>
          <w:color w:val="auto"/>
          <w:szCs w:val="21"/>
          <w:highlight w:val="none"/>
          <w:lang w:val="en-US" w:eastAsia="zh-CN"/>
        </w:rPr>
        <w:t>资格审查合格的投标人数量少于（或等于）</w:t>
      </w:r>
      <w:r>
        <w:rPr>
          <w:rFonts w:hint="eastAsia" w:ascii="宋体" w:hAnsi="宋体"/>
          <w:color w:val="auto"/>
          <w:szCs w:val="21"/>
          <w:highlight w:val="none"/>
          <w:lang w:val="en-US" w:eastAsia="zh-CN"/>
        </w:rPr>
        <w:t>投标人须知前附表规定进入评标程序的投标人数量</w:t>
      </w:r>
      <w:r>
        <w:rPr>
          <w:rFonts w:hint="eastAsia" w:ascii="宋体" w:hAnsi="宋体" w:eastAsia="宋体" w:cs="Times New Roman"/>
          <w:color w:val="auto"/>
          <w:szCs w:val="21"/>
          <w:highlight w:val="none"/>
          <w:lang w:val="en-US" w:eastAsia="zh-CN"/>
        </w:rPr>
        <w:t>的，所有资格审查合格的投标人均进入评标环节。资格审查不合格的投标人不得进入后续程序。</w:t>
      </w:r>
      <w:r>
        <w:rPr>
          <w:rFonts w:hint="eastAsia" w:ascii="宋体" w:hAnsi="宋体"/>
          <w:color w:val="auto"/>
          <w:szCs w:val="21"/>
          <w:highlight w:val="none"/>
          <w:lang w:val="en-US" w:eastAsia="zh-CN"/>
        </w:rPr>
        <w:t>入围筛选方法和规则详见投标人须知前附表。</w:t>
      </w:r>
    </w:p>
    <w:p w14:paraId="621B65C7">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6.3 资格审查及入围筛选结果</w:t>
      </w:r>
    </w:p>
    <w:p w14:paraId="39E729D3">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资格审查工作小组完成开标、资格审查及入围筛选工作后，应制作资格审查及入围筛选报告，并签字确认。资格审查及入围筛选报告应包含</w:t>
      </w:r>
      <w:r>
        <w:rPr>
          <w:rFonts w:hint="eastAsia" w:ascii="宋体" w:hAnsi="宋体" w:eastAsia="宋体" w:cs="Times New Roman"/>
          <w:color w:val="auto"/>
          <w:szCs w:val="21"/>
          <w:highlight w:val="none"/>
          <w:lang w:val="en-US" w:eastAsia="zh-CN"/>
        </w:rPr>
        <w:t>参与投标的单位名单、资格审查合格的投标人名单、入围</w:t>
      </w:r>
      <w:r>
        <w:rPr>
          <w:rFonts w:hint="eastAsia" w:ascii="宋体" w:hAnsi="宋体"/>
          <w:color w:val="auto"/>
          <w:szCs w:val="21"/>
          <w:highlight w:val="none"/>
          <w:lang w:val="en-US" w:eastAsia="zh-CN"/>
        </w:rPr>
        <w:t>筛选方式、入围筛选结果等情况。</w:t>
      </w:r>
    </w:p>
    <w:p w14:paraId="1D08886D">
      <w:pPr>
        <w:pStyle w:val="4"/>
        <w:numPr>
          <w:ilvl w:val="0"/>
          <w:numId w:val="0"/>
        </w:numPr>
        <w:bidi w:val="0"/>
        <w:ind w:leftChars="0"/>
        <w:rPr>
          <w:rFonts w:hint="eastAsia" w:ascii="宋体" w:hAnsi="宋体" w:eastAsia="宋体" w:cs="宋体"/>
          <w:b/>
          <w:bCs/>
          <w:color w:val="auto"/>
          <w:highlight w:val="none"/>
          <w:lang w:val="en-US" w:eastAsia="zh-CN"/>
        </w:rPr>
      </w:pPr>
      <w:bookmarkStart w:id="115" w:name="_Toc20767"/>
      <w:bookmarkStart w:id="116" w:name="_Toc15638"/>
      <w:bookmarkStart w:id="117" w:name="_Toc9789"/>
      <w:bookmarkStart w:id="118" w:name="_Toc16392"/>
      <w:bookmarkStart w:id="119" w:name="_Toc770177233"/>
      <w:bookmarkStart w:id="120" w:name="_Toc1100781530"/>
      <w:bookmarkStart w:id="121" w:name="_Toc2591737"/>
      <w:r>
        <w:rPr>
          <w:rFonts w:hint="eastAsia" w:ascii="宋体" w:hAnsi="宋体" w:eastAsia="宋体" w:cs="宋体"/>
          <w:b/>
          <w:bCs/>
          <w:color w:val="auto"/>
          <w:highlight w:val="none"/>
          <w:lang w:val="en-US" w:eastAsia="zh-CN"/>
        </w:rPr>
        <w:t>7. 评标</w:t>
      </w:r>
      <w:bookmarkEnd w:id="115"/>
      <w:bookmarkEnd w:id="116"/>
      <w:bookmarkEnd w:id="117"/>
      <w:bookmarkEnd w:id="118"/>
      <w:bookmarkEnd w:id="119"/>
      <w:bookmarkEnd w:id="120"/>
      <w:bookmarkEnd w:id="121"/>
    </w:p>
    <w:p w14:paraId="5DCD6372">
      <w:pPr>
        <w:pStyle w:val="5"/>
        <w:bidi w:val="0"/>
        <w:rPr>
          <w:rFonts w:hint="eastAsia" w:ascii="宋体" w:hAnsi="宋体" w:cs="宋体"/>
          <w:color w:val="auto"/>
          <w:sz w:val="21"/>
          <w:highlight w:val="none"/>
        </w:rPr>
      </w:pPr>
      <w:bookmarkStart w:id="122" w:name="_Toc396864670"/>
      <w:r>
        <w:rPr>
          <w:rFonts w:hint="eastAsia" w:ascii="宋体" w:hAnsi="宋体" w:cs="宋体"/>
          <w:color w:val="auto"/>
          <w:sz w:val="21"/>
          <w:highlight w:val="none"/>
          <w:lang w:val="en-US" w:eastAsia="zh-CN"/>
        </w:rPr>
        <w:t>7</w:t>
      </w:r>
      <w:r>
        <w:rPr>
          <w:rFonts w:hint="eastAsia" w:ascii="宋体" w:hAnsi="宋体" w:cs="宋体"/>
          <w:color w:val="auto"/>
          <w:sz w:val="21"/>
          <w:highlight w:val="none"/>
        </w:rPr>
        <w:t>.1 评标委员会</w:t>
      </w:r>
      <w:bookmarkEnd w:id="122"/>
    </w:p>
    <w:p w14:paraId="4DBEC74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.1.1 评标工作由招标人依法组建的评标委员会负责。评标委员会由招标人的代表和有关技术、经济等方面的专家组成，成员人数为五人以上的单数，有关技术、经济等方面的专家不得少于成员数量的三分之二。有关技术、经济等方面的专家须在依法成立的专家库抽取，评标委员会成员人数以及技术、经济等方面专家的确定方式见投标人须知前附表。</w:t>
      </w:r>
    </w:p>
    <w:p w14:paraId="482698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 xml:space="preserve">.1.2 </w:t>
      </w:r>
      <w:r>
        <w:rPr>
          <w:rFonts w:hint="eastAsia" w:ascii="宋体" w:hAnsi="宋体"/>
          <w:color w:val="auto"/>
          <w:szCs w:val="21"/>
          <w:highlight w:val="none"/>
        </w:rPr>
        <w:t>评标委员会成员有下列情形之一的，应当回避：</w:t>
      </w:r>
    </w:p>
    <w:p w14:paraId="1E6A0049">
      <w:pPr>
        <w:spacing w:line="360" w:lineRule="auto"/>
        <w:ind w:firstLine="420" w:firstLineChars="20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投标人或投标人的主要负责人的近亲属</w:t>
      </w:r>
      <w:r>
        <w:rPr>
          <w:rFonts w:hint="eastAsia" w:ascii="宋体" w:hAnsi="宋体"/>
          <w:color w:val="auto"/>
          <w:szCs w:val="21"/>
          <w:highlight w:val="none"/>
          <w:lang w:eastAsia="zh-CN"/>
        </w:rPr>
        <w:t>。</w:t>
      </w:r>
    </w:p>
    <w:p w14:paraId="1B8EE98C">
      <w:pPr>
        <w:spacing w:line="360" w:lineRule="auto"/>
        <w:ind w:firstLine="420" w:firstLineChars="20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项目主管部门或者行政监督部门的人员</w:t>
      </w:r>
      <w:r>
        <w:rPr>
          <w:rFonts w:hint="eastAsia" w:ascii="宋体" w:hAnsi="宋体"/>
          <w:color w:val="auto"/>
          <w:szCs w:val="21"/>
          <w:highlight w:val="none"/>
          <w:lang w:eastAsia="zh-CN"/>
        </w:rPr>
        <w:t>。</w:t>
      </w:r>
    </w:p>
    <w:p w14:paraId="2210B946">
      <w:pPr>
        <w:spacing w:line="360" w:lineRule="auto"/>
        <w:ind w:firstLine="420" w:firstLineChars="20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与投标人有经济利益关系，可能影响对投标公正评审的</w:t>
      </w:r>
      <w:r>
        <w:rPr>
          <w:rFonts w:hint="eastAsia" w:ascii="宋体" w:hAnsi="宋体"/>
          <w:color w:val="auto"/>
          <w:szCs w:val="21"/>
          <w:highlight w:val="none"/>
          <w:lang w:eastAsia="zh-CN"/>
        </w:rPr>
        <w:t>。</w:t>
      </w:r>
    </w:p>
    <w:p w14:paraId="2B5662F5">
      <w:pPr>
        <w:spacing w:line="360" w:lineRule="auto"/>
        <w:ind w:firstLine="420" w:firstLineChars="20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曾因在招标、评标以及其他与招标投标有关活动中从事违法行为而受过行政处罚或刑事处罚的。</w:t>
      </w:r>
    </w:p>
    <w:p w14:paraId="397EA8C8">
      <w:pPr>
        <w:pStyle w:val="5"/>
        <w:bidi w:val="0"/>
        <w:rPr>
          <w:rFonts w:hint="eastAsia" w:ascii="宋体" w:hAnsi="宋体" w:cs="宋体"/>
          <w:color w:val="auto"/>
          <w:sz w:val="21"/>
          <w:highlight w:val="none"/>
        </w:rPr>
      </w:pPr>
      <w:bookmarkStart w:id="123" w:name="_Toc234941331"/>
      <w:r>
        <w:rPr>
          <w:rFonts w:hint="eastAsia" w:ascii="宋体" w:hAnsi="宋体" w:cs="宋体"/>
          <w:color w:val="auto"/>
          <w:sz w:val="21"/>
          <w:highlight w:val="none"/>
          <w:lang w:val="en-US" w:eastAsia="zh-CN"/>
        </w:rPr>
        <w:t>7</w:t>
      </w:r>
      <w:r>
        <w:rPr>
          <w:rFonts w:hint="eastAsia" w:ascii="宋体" w:hAnsi="宋体" w:cs="宋体"/>
          <w:color w:val="auto"/>
          <w:sz w:val="21"/>
          <w:highlight w:val="none"/>
        </w:rPr>
        <w:t>.2 评标原则</w:t>
      </w:r>
      <w:bookmarkEnd w:id="123"/>
    </w:p>
    <w:p w14:paraId="2267ADF2">
      <w:pPr>
        <w:spacing w:line="360" w:lineRule="auto"/>
        <w:ind w:firstLine="420" w:firstLineChars="200"/>
        <w:rPr>
          <w:rFonts w:ascii="宋体"/>
          <w:color w:val="auto"/>
          <w:szCs w:val="21"/>
          <w:highlight w:val="none"/>
        </w:rPr>
      </w:pPr>
      <w:r>
        <w:rPr>
          <w:rFonts w:hint="eastAsia" w:ascii="宋体" w:hAnsi="宋体"/>
          <w:color w:val="auto"/>
          <w:szCs w:val="21"/>
          <w:highlight w:val="none"/>
        </w:rPr>
        <w:t>评标活动遵循公平、公正、科学和择优的原则。</w:t>
      </w:r>
    </w:p>
    <w:p w14:paraId="7A1B9B86">
      <w:pPr>
        <w:pStyle w:val="5"/>
        <w:bidi w:val="0"/>
        <w:rPr>
          <w:rFonts w:hint="eastAsia" w:ascii="宋体" w:hAnsi="宋体" w:cs="宋体"/>
          <w:color w:val="auto"/>
          <w:sz w:val="21"/>
          <w:highlight w:val="none"/>
          <w:lang w:val="en-US" w:eastAsia="zh-CN"/>
        </w:rPr>
      </w:pPr>
      <w:bookmarkStart w:id="124" w:name="_Toc923118064"/>
      <w:r>
        <w:rPr>
          <w:rFonts w:hint="eastAsia" w:ascii="宋体" w:hAnsi="宋体" w:cs="宋体"/>
          <w:color w:val="auto"/>
          <w:sz w:val="21"/>
          <w:highlight w:val="none"/>
          <w:lang w:val="en-US" w:eastAsia="zh-CN"/>
        </w:rPr>
        <w:t>7</w:t>
      </w:r>
      <w:r>
        <w:rPr>
          <w:rFonts w:hint="eastAsia" w:ascii="宋体" w:hAnsi="宋体" w:cs="宋体"/>
          <w:color w:val="auto"/>
          <w:sz w:val="21"/>
          <w:highlight w:val="none"/>
        </w:rPr>
        <w:t xml:space="preserve">.3 </w:t>
      </w:r>
      <w:r>
        <w:rPr>
          <w:rFonts w:hint="eastAsia" w:ascii="宋体" w:hAnsi="宋体" w:cs="宋体"/>
          <w:color w:val="auto"/>
          <w:sz w:val="21"/>
          <w:highlight w:val="none"/>
          <w:lang w:val="en-US" w:eastAsia="zh-CN"/>
        </w:rPr>
        <w:t>评标</w:t>
      </w:r>
      <w:bookmarkEnd w:id="124"/>
    </w:p>
    <w:p w14:paraId="6FDE2E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7.3.1 评标工作原则上在完成资格审查及入围筛选的同日或次日进行。</w:t>
      </w:r>
      <w:r>
        <w:rPr>
          <w:rFonts w:hint="eastAsia" w:ascii="宋体" w:hAnsi="宋体" w:eastAsia="宋体" w:cs="宋体"/>
          <w:color w:val="auto"/>
          <w:kern w:val="0"/>
          <w:szCs w:val="21"/>
          <w:highlight w:val="none"/>
        </w:rPr>
        <w:t>评标委员会应当</w:t>
      </w:r>
      <w:r>
        <w:rPr>
          <w:rFonts w:hint="eastAsia" w:ascii="宋体" w:hAnsi="宋体" w:eastAsia="宋体" w:cs="宋体"/>
          <w:color w:val="auto"/>
          <w:kern w:val="0"/>
          <w:szCs w:val="21"/>
          <w:highlight w:val="none"/>
          <w:lang w:val="en-US" w:eastAsia="zh-CN"/>
        </w:rPr>
        <w:t>按照</w:t>
      </w:r>
      <w:r>
        <w:rPr>
          <w:rFonts w:hint="eastAsia" w:ascii="宋体" w:hAnsi="宋体" w:eastAsia="宋体" w:cs="宋体"/>
          <w:color w:val="auto"/>
          <w:kern w:val="0"/>
          <w:szCs w:val="21"/>
          <w:highlight w:val="none"/>
        </w:rPr>
        <w:t>“投标须知前附表”规定的评标方法，对投标文件进行评审和比较，招标文件中没有规定的标准和方法不得作为评标的依据。</w:t>
      </w:r>
    </w:p>
    <w:p w14:paraId="47A377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7.3.2 评标完成后，评标委员会应当向招标人提交书面评标报告和定标候选人名单。</w:t>
      </w:r>
    </w:p>
    <w:p w14:paraId="652411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7.3.3 采用定量评审的，评标委员会按投标人评审总得分由高到低，向招标人推荐不少于5名</w:t>
      </w:r>
      <w:r>
        <w:rPr>
          <w:rFonts w:hint="eastAsia" w:ascii="宋体" w:hAnsi="宋体" w:eastAsia="宋体" w:cs="宋体"/>
          <w:color w:val="auto"/>
          <w:szCs w:val="21"/>
          <w:highlight w:val="none"/>
          <w:lang w:val="en-US" w:eastAsia="zh-CN"/>
        </w:rPr>
        <w:t>（含本数）</w:t>
      </w:r>
      <w:r>
        <w:rPr>
          <w:rFonts w:hint="eastAsia" w:ascii="宋体" w:hAnsi="宋体" w:eastAsia="宋体" w:cs="宋体"/>
          <w:color w:val="auto"/>
          <w:kern w:val="0"/>
          <w:szCs w:val="21"/>
          <w:highlight w:val="none"/>
          <w:lang w:val="en-US" w:eastAsia="zh-CN"/>
        </w:rPr>
        <w:t>排名靠前但不排序</w:t>
      </w:r>
      <w:r>
        <w:rPr>
          <w:rFonts w:hint="eastAsia" w:ascii="宋体" w:hAnsi="宋体" w:eastAsia="宋体" w:cs="宋体"/>
          <w:color w:val="auto"/>
          <w:szCs w:val="21"/>
          <w:highlight w:val="none"/>
          <w:lang w:val="en-US" w:eastAsia="zh-CN"/>
        </w:rPr>
        <w:t>定标候选人。</w:t>
      </w:r>
      <w:r>
        <w:rPr>
          <w:rFonts w:hint="eastAsia" w:ascii="宋体" w:hAnsi="宋体" w:eastAsia="宋体" w:cs="宋体"/>
          <w:color w:val="auto"/>
          <w:kern w:val="0"/>
          <w:szCs w:val="21"/>
          <w:highlight w:val="none"/>
          <w:lang w:val="en-US" w:eastAsia="zh-CN"/>
        </w:rPr>
        <w:t>评标委员会推荐定标候选人的数量见投标人须知前附表。当通过评标委员会评审的有效投标人数量已低于（或等于）投标人须知前附表规定的推荐定标候选人数量时，除投标文件出现无效投标情形外，所有投标人均推荐为定标候选人。</w:t>
      </w:r>
    </w:p>
    <w:p w14:paraId="6B27CEF8">
      <w:pPr>
        <w:pStyle w:val="5"/>
        <w:bidi w:val="0"/>
        <w:rPr>
          <w:rFonts w:hint="eastAsia" w:ascii="宋体" w:hAnsi="宋体" w:cs="宋体"/>
          <w:color w:val="auto"/>
          <w:sz w:val="21"/>
          <w:highlight w:val="none"/>
          <w:lang w:val="en-US" w:eastAsia="zh-CN"/>
        </w:rPr>
      </w:pPr>
      <w:bookmarkStart w:id="125" w:name="_Toc863735720"/>
      <w:r>
        <w:rPr>
          <w:rFonts w:hint="eastAsia" w:ascii="宋体" w:hAnsi="宋体" w:cs="宋体"/>
          <w:color w:val="auto"/>
          <w:sz w:val="21"/>
          <w:highlight w:val="none"/>
          <w:lang w:val="en-US" w:eastAsia="zh-CN"/>
        </w:rPr>
        <w:t>7.4 投标文件的重大偏差</w:t>
      </w:r>
      <w:bookmarkEnd w:id="125"/>
    </w:p>
    <w:p w14:paraId="6697E18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投标文件存在重大偏差情形的，评标委员会应根据相应的投标文件否决性条款作否决投标处理。</w:t>
      </w:r>
    </w:p>
    <w:p w14:paraId="44AFFA2A">
      <w:pPr>
        <w:pStyle w:val="5"/>
        <w:bidi w:val="0"/>
        <w:rPr>
          <w:rFonts w:hint="eastAsia" w:ascii="宋体" w:hAnsi="宋体" w:cs="宋体"/>
          <w:color w:val="auto"/>
          <w:sz w:val="21"/>
          <w:highlight w:val="none"/>
        </w:rPr>
      </w:pPr>
      <w:bookmarkStart w:id="126" w:name="_Toc721851475"/>
      <w:r>
        <w:rPr>
          <w:rFonts w:hint="eastAsia" w:ascii="宋体" w:hAnsi="宋体" w:cs="宋体"/>
          <w:color w:val="auto"/>
          <w:sz w:val="21"/>
          <w:highlight w:val="none"/>
          <w:lang w:val="en-US" w:eastAsia="zh-CN"/>
        </w:rPr>
        <w:t>7.5 投标文件的细微偏差</w:t>
      </w:r>
      <w:bookmarkEnd w:id="126"/>
    </w:p>
    <w:p w14:paraId="30154A4C">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细微偏差是指投标文件在实质上响应招标文件要求，提供了不完整的技术信息和数据等情况，并且补正这些遗漏或者不完整不会对其他投标人造成不公平的结果。细微偏差不影响投标文件的有效性。</w:t>
      </w:r>
    </w:p>
    <w:p w14:paraId="7B07FC5E">
      <w:pPr>
        <w:pStyle w:val="5"/>
        <w:bidi w:val="0"/>
        <w:rPr>
          <w:rFonts w:hint="eastAsia" w:ascii="宋体" w:hAnsi="宋体" w:cs="宋体"/>
          <w:color w:val="auto"/>
          <w:sz w:val="21"/>
          <w:highlight w:val="none"/>
          <w:lang w:val="en-US" w:eastAsia="zh-CN"/>
        </w:rPr>
      </w:pPr>
      <w:bookmarkStart w:id="127" w:name="_Toc1409094879"/>
      <w:r>
        <w:rPr>
          <w:rFonts w:hint="eastAsia" w:ascii="宋体" w:hAnsi="宋体" w:cs="宋体"/>
          <w:color w:val="auto"/>
          <w:sz w:val="21"/>
          <w:highlight w:val="none"/>
          <w:lang w:val="en-US" w:eastAsia="zh-CN"/>
        </w:rPr>
        <w:t>7</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6</w:t>
      </w:r>
      <w:r>
        <w:rPr>
          <w:rFonts w:hint="eastAsia" w:ascii="宋体" w:hAnsi="宋体" w:cs="宋体"/>
          <w:color w:val="auto"/>
          <w:sz w:val="21"/>
          <w:highlight w:val="none"/>
        </w:rPr>
        <w:t xml:space="preserve"> 评标</w:t>
      </w:r>
      <w:r>
        <w:rPr>
          <w:rFonts w:hint="eastAsia" w:ascii="宋体" w:hAnsi="宋体" w:cs="宋体"/>
          <w:color w:val="auto"/>
          <w:sz w:val="21"/>
          <w:highlight w:val="none"/>
          <w:lang w:val="en-US" w:eastAsia="zh-CN"/>
        </w:rPr>
        <w:t>结果公示</w:t>
      </w:r>
      <w:bookmarkEnd w:id="127"/>
    </w:p>
    <w:p w14:paraId="4643745F">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招标人在收到评标报告之日起3日内，在</w:t>
      </w:r>
      <w:r>
        <w:rPr>
          <w:rFonts w:hint="eastAsia" w:ascii="宋体" w:hAnsi="宋体" w:eastAsia="宋体" w:cs="Times New Roman"/>
          <w:color w:val="auto"/>
          <w:szCs w:val="21"/>
          <w:highlight w:val="none"/>
        </w:rPr>
        <w:t>广东省招标投标监管网</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广东省公共资源交易平台（中山市）</w:t>
      </w:r>
      <w:r>
        <w:rPr>
          <w:rFonts w:hint="eastAsia" w:ascii="宋体" w:hAnsi="宋体" w:eastAsia="宋体" w:cs="Times New Roman"/>
          <w:color w:val="auto"/>
          <w:szCs w:val="21"/>
          <w:highlight w:val="none"/>
          <w:lang w:val="en-US" w:eastAsia="zh-CN"/>
        </w:rPr>
        <w:t>和</w:t>
      </w:r>
      <w:r>
        <w:rPr>
          <w:rFonts w:hint="eastAsia" w:ascii="宋体" w:hAnsi="宋体" w:eastAsia="宋体" w:cs="Times New Roman"/>
          <w:color w:val="auto"/>
          <w:szCs w:val="21"/>
          <w:highlight w:val="none"/>
        </w:rPr>
        <w:t>中山市公共资源交易</w:t>
      </w:r>
      <w:r>
        <w:rPr>
          <w:rFonts w:hint="eastAsia" w:ascii="宋体" w:hAnsi="宋体" w:eastAsia="宋体" w:cs="Times New Roman"/>
          <w:color w:val="auto"/>
          <w:szCs w:val="21"/>
          <w:highlight w:val="none"/>
          <w:lang w:val="en-US" w:eastAsia="zh-CN"/>
        </w:rPr>
        <w:t>平台（公共服务系统</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的“建设工程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评标结果公示”栏目</w:t>
      </w:r>
      <w:r>
        <w:rPr>
          <w:rFonts w:hint="eastAsia" w:ascii="宋体" w:hAnsi="宋体" w:eastAsia="宋体" w:cs="Times New Roman"/>
          <w:color w:val="auto"/>
          <w:szCs w:val="21"/>
          <w:highlight w:val="none"/>
        </w:rPr>
        <w:t>上公示</w:t>
      </w:r>
      <w:r>
        <w:rPr>
          <w:rFonts w:hint="eastAsia" w:ascii="宋体" w:hAnsi="宋体" w:eastAsia="宋体" w:cs="Times New Roman"/>
          <w:color w:val="auto"/>
          <w:szCs w:val="21"/>
          <w:highlight w:val="none"/>
          <w:lang w:val="en-US" w:eastAsia="zh-CN"/>
        </w:rPr>
        <w:t>评标结果</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公示期不得少于3日，</w:t>
      </w:r>
      <w:r>
        <w:rPr>
          <w:rFonts w:hint="eastAsia" w:ascii="宋体" w:hAnsi="宋体" w:eastAsia="宋体" w:cs="Times New Roman"/>
          <w:color w:val="auto"/>
          <w:szCs w:val="21"/>
          <w:highlight w:val="none"/>
        </w:rPr>
        <w:t>公示应当附</w:t>
      </w:r>
      <w:r>
        <w:rPr>
          <w:rFonts w:hint="eastAsia" w:ascii="宋体" w:hAnsi="宋体" w:eastAsia="宋体" w:cs="Times New Roman"/>
          <w:color w:val="auto"/>
          <w:szCs w:val="21"/>
          <w:highlight w:val="none"/>
          <w:lang w:eastAsia="zh-CN"/>
        </w:rPr>
        <w:t>资格审查及入围筛选</w:t>
      </w:r>
      <w:r>
        <w:rPr>
          <w:rFonts w:hint="eastAsia" w:ascii="宋体" w:hAnsi="宋体" w:eastAsia="宋体" w:cs="Times New Roman"/>
          <w:color w:val="auto"/>
          <w:szCs w:val="21"/>
          <w:highlight w:val="none"/>
        </w:rPr>
        <w:t>报告、评标报告等材料</w:t>
      </w:r>
      <w:r>
        <w:rPr>
          <w:rFonts w:hint="eastAsia" w:ascii="宋体" w:hAnsi="宋体" w:eastAsia="宋体" w:cs="Times New Roman"/>
          <w:color w:val="auto"/>
          <w:szCs w:val="21"/>
          <w:highlight w:val="none"/>
          <w:lang w:val="en-US" w:eastAsia="zh-CN"/>
        </w:rPr>
        <w:t>。</w:t>
      </w:r>
    </w:p>
    <w:p w14:paraId="4D9A6E11">
      <w:pPr>
        <w:pStyle w:val="4"/>
        <w:numPr>
          <w:ilvl w:val="0"/>
          <w:numId w:val="0"/>
        </w:numPr>
        <w:bidi w:val="0"/>
        <w:rPr>
          <w:rFonts w:hint="eastAsia" w:ascii="宋体" w:hAnsi="宋体" w:cs="宋体"/>
          <w:color w:val="auto"/>
          <w:highlight w:val="none"/>
          <w:lang w:val="en-US" w:eastAsia="zh-CN"/>
        </w:rPr>
      </w:pPr>
      <w:bookmarkStart w:id="128" w:name="_Toc1793180611"/>
      <w:bookmarkStart w:id="129" w:name="_Toc9829"/>
      <w:bookmarkStart w:id="130" w:name="_Toc1349942681"/>
      <w:r>
        <w:rPr>
          <w:rFonts w:hint="eastAsia" w:ascii="宋体" w:hAnsi="宋体" w:eastAsia="宋体" w:cs="宋体"/>
          <w:b/>
          <w:bCs/>
          <w:color w:val="auto"/>
          <w:highlight w:val="none"/>
          <w:lang w:val="en-US" w:eastAsia="zh-CN"/>
        </w:rPr>
        <w:t>8. 定标</w:t>
      </w:r>
      <w:bookmarkEnd w:id="128"/>
      <w:bookmarkEnd w:id="129"/>
      <w:bookmarkEnd w:id="130"/>
    </w:p>
    <w:p w14:paraId="67FC74D2">
      <w:pPr>
        <w:pStyle w:val="5"/>
        <w:bidi w:val="0"/>
        <w:rPr>
          <w:rFonts w:hint="eastAsia" w:ascii="宋体" w:hAnsi="宋体" w:cs="宋体"/>
          <w:color w:val="auto"/>
          <w:sz w:val="21"/>
          <w:highlight w:val="none"/>
          <w:lang w:val="en-US" w:eastAsia="zh-CN"/>
        </w:rPr>
      </w:pPr>
      <w:bookmarkStart w:id="131" w:name="_Toc417091007"/>
      <w:r>
        <w:rPr>
          <w:rFonts w:hint="eastAsia" w:ascii="宋体" w:hAnsi="宋体" w:cs="宋体"/>
          <w:color w:val="auto"/>
          <w:sz w:val="21"/>
          <w:highlight w:val="none"/>
          <w:lang w:val="en-US" w:eastAsia="zh-CN"/>
        </w:rPr>
        <w:t>8</w:t>
      </w:r>
      <w:r>
        <w:rPr>
          <w:rFonts w:hint="eastAsia" w:ascii="宋体" w:hAnsi="宋体" w:cs="宋体"/>
          <w:color w:val="auto"/>
          <w:sz w:val="21"/>
          <w:highlight w:val="none"/>
        </w:rPr>
        <w:t xml:space="preserve">.1 </w:t>
      </w:r>
      <w:r>
        <w:rPr>
          <w:rFonts w:hint="eastAsia" w:ascii="宋体" w:hAnsi="宋体" w:cs="宋体"/>
          <w:color w:val="auto"/>
          <w:sz w:val="21"/>
          <w:highlight w:val="none"/>
          <w:lang w:val="en-US" w:eastAsia="zh-CN"/>
        </w:rPr>
        <w:t>清标</w:t>
      </w:r>
      <w:bookmarkEnd w:id="131"/>
    </w:p>
    <w:p w14:paraId="21E5AF0E">
      <w:pPr>
        <w:spacing w:line="360" w:lineRule="auto"/>
        <w:ind w:firstLine="420" w:firstLineChars="200"/>
        <w:rPr>
          <w:rFonts w:hint="eastAsia"/>
          <w:color w:val="auto"/>
          <w:highlight w:val="none"/>
        </w:rPr>
      </w:pPr>
      <w:bookmarkStart w:id="132" w:name="_Toc27984"/>
      <w:r>
        <w:rPr>
          <w:rFonts w:hint="eastAsia"/>
          <w:color w:val="auto"/>
          <w:highlight w:val="none"/>
        </w:rPr>
        <w:t>定标前招标人自行或者委托专业机构组建清标工作小组开展清标工作，可以对企业经营现状、投标文件或方案进行澄清与复核，可以对投标人及拟派项目负责人等进行考察，也可以对项目后期可能遇到的风险和问题进行评估等。</w:t>
      </w:r>
      <w:bookmarkEnd w:id="132"/>
    </w:p>
    <w:p w14:paraId="1668CD26">
      <w:pPr>
        <w:spacing w:line="360" w:lineRule="auto"/>
        <w:ind w:firstLine="420" w:firstLineChars="200"/>
        <w:rPr>
          <w:rFonts w:hint="eastAsia"/>
          <w:color w:val="auto"/>
          <w:highlight w:val="none"/>
          <w:lang w:val="en-US" w:eastAsia="zh-CN"/>
        </w:rPr>
      </w:pPr>
      <w:bookmarkStart w:id="133" w:name="_Toc248"/>
      <w:r>
        <w:rPr>
          <w:rFonts w:hint="eastAsia"/>
          <w:color w:val="auto"/>
          <w:highlight w:val="none"/>
        </w:rPr>
        <w:t>清标工作完成后，招标人形成清标报告，作为定标的辅助。清标报告内容应当客观公正、真实有效，不得有明示或者暗示中标单位的内容。</w:t>
      </w:r>
      <w:bookmarkEnd w:id="133"/>
    </w:p>
    <w:p w14:paraId="20743DC0">
      <w:pPr>
        <w:pStyle w:val="5"/>
        <w:bidi w:val="0"/>
        <w:rPr>
          <w:rFonts w:hint="eastAsia" w:ascii="宋体" w:hAnsi="宋体" w:cs="宋体"/>
          <w:color w:val="auto"/>
          <w:sz w:val="21"/>
          <w:highlight w:val="none"/>
          <w:lang w:val="en-US" w:eastAsia="zh-CN"/>
        </w:rPr>
      </w:pPr>
      <w:bookmarkStart w:id="134" w:name="_Toc1960677989"/>
      <w:r>
        <w:rPr>
          <w:rFonts w:hint="eastAsia" w:ascii="宋体" w:hAnsi="宋体" w:cs="宋体"/>
          <w:color w:val="auto"/>
          <w:sz w:val="21"/>
          <w:highlight w:val="none"/>
          <w:lang w:val="en-US" w:eastAsia="zh-CN"/>
        </w:rPr>
        <w:t>8</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2</w:t>
      </w:r>
      <w:r>
        <w:rPr>
          <w:rFonts w:hint="eastAsia" w:ascii="宋体" w:hAnsi="宋体" w:cs="宋体"/>
          <w:color w:val="auto"/>
          <w:sz w:val="21"/>
          <w:highlight w:val="none"/>
        </w:rPr>
        <w:t xml:space="preserve"> </w:t>
      </w:r>
      <w:r>
        <w:rPr>
          <w:rFonts w:hint="eastAsia" w:ascii="宋体" w:hAnsi="宋体" w:cs="宋体"/>
          <w:color w:val="auto"/>
          <w:sz w:val="21"/>
          <w:highlight w:val="none"/>
          <w:lang w:val="en-US" w:eastAsia="zh-CN"/>
        </w:rPr>
        <w:t>定标委员会</w:t>
      </w:r>
      <w:bookmarkEnd w:id="134"/>
    </w:p>
    <w:p w14:paraId="39F0DA89">
      <w:pPr>
        <w:ind w:firstLine="420" w:firstLineChars="20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8.2.1</w:t>
      </w:r>
      <w:r>
        <w:rPr>
          <w:rFonts w:hint="eastAsia" w:ascii="宋体" w:hAnsi="宋体" w:eastAsia="宋体" w:cs="Courier New"/>
          <w:color w:val="auto"/>
          <w:szCs w:val="21"/>
          <w:highlight w:val="none"/>
        </w:rPr>
        <w:t>定标委员会由招标人负责组建，招标人的法定代表人或者主要负责人承担定标委员会运行过程中的管理、监督责任。定标委员会成员数量原则上为</w:t>
      </w:r>
      <w:r>
        <w:rPr>
          <w:rFonts w:hint="eastAsia" w:ascii="宋体" w:hAnsi="宋体" w:eastAsia="宋体" w:cs="Courier New"/>
          <w:color w:val="auto"/>
          <w:szCs w:val="21"/>
          <w:highlight w:val="none"/>
          <w:lang w:val="en-US" w:eastAsia="zh-CN"/>
        </w:rPr>
        <w:t>7人</w:t>
      </w:r>
      <w:r>
        <w:rPr>
          <w:rFonts w:hint="eastAsia" w:ascii="宋体" w:hAnsi="宋体" w:eastAsia="宋体" w:cs="Courier New"/>
          <w:color w:val="auto"/>
          <w:szCs w:val="21"/>
          <w:highlight w:val="none"/>
        </w:rPr>
        <w:t>或以上单数</w:t>
      </w: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rPr>
        <w:t>定标委员会名单由招标人</w:t>
      </w:r>
      <w:r>
        <w:rPr>
          <w:rFonts w:hint="eastAsia" w:ascii="宋体" w:hAnsi="宋体" w:eastAsia="宋体" w:cs="Courier New"/>
          <w:color w:val="auto"/>
          <w:szCs w:val="21"/>
          <w:highlight w:val="none"/>
          <w:lang w:eastAsia="zh-CN"/>
        </w:rPr>
        <w:t>在定标时间开始前2小时内在市公共资源交易中心见证下通过摇珠机从定标成员库中随机抽取确定。</w:t>
      </w:r>
      <w:r>
        <w:rPr>
          <w:rFonts w:hint="eastAsia" w:ascii="宋体" w:hAnsi="宋体" w:eastAsia="宋体" w:cs="Courier New"/>
          <w:color w:val="auto"/>
          <w:szCs w:val="21"/>
          <w:highlight w:val="none"/>
        </w:rPr>
        <w:t>招标人的法定代表人或主要负责人</w:t>
      </w:r>
      <w:r>
        <w:rPr>
          <w:rFonts w:hint="eastAsia" w:ascii="宋体" w:hAnsi="宋体" w:eastAsia="宋体" w:cs="Courier New"/>
          <w:color w:val="auto"/>
          <w:szCs w:val="21"/>
          <w:highlight w:val="none"/>
          <w:lang w:val="en-US" w:eastAsia="zh-CN"/>
        </w:rPr>
        <w:t>也</w:t>
      </w:r>
      <w:r>
        <w:rPr>
          <w:rFonts w:hint="eastAsia" w:ascii="宋体" w:hAnsi="宋体" w:eastAsia="宋体" w:cs="Courier New"/>
          <w:color w:val="auto"/>
          <w:szCs w:val="21"/>
          <w:highlight w:val="none"/>
        </w:rPr>
        <w:t>可从本单位直接指定部分定标委员会成员，或邀请符合法律法规规定的专家作为定标委员会成员，但总数不得超过定标委员会成员总数的三分之一。</w:t>
      </w:r>
      <w:r>
        <w:rPr>
          <w:rFonts w:hint="eastAsia" w:ascii="宋体" w:hAnsi="宋体" w:eastAsia="宋体" w:cs="Courier New"/>
          <w:color w:val="auto"/>
          <w:szCs w:val="21"/>
          <w:highlight w:val="none"/>
          <w:lang w:val="en-US" w:eastAsia="zh-CN"/>
        </w:rPr>
        <w:t>定标委员会成员数量详见投标人</w:t>
      </w:r>
      <w:r>
        <w:rPr>
          <w:rFonts w:hint="eastAsia" w:ascii="宋体" w:hAnsi="宋体" w:eastAsia="宋体" w:cs="Courier New"/>
          <w:color w:val="auto"/>
          <w:szCs w:val="21"/>
          <w:highlight w:val="none"/>
        </w:rPr>
        <w:t>须知前附表。</w:t>
      </w:r>
    </w:p>
    <w:p w14:paraId="3A2284A8">
      <w:pPr>
        <w:pageBreakBefore w:val="0"/>
        <w:kinsoku/>
        <w:wordWrap/>
        <w:overflowPunct/>
        <w:topLinePunct w:val="0"/>
        <w:bidi w:val="0"/>
        <w:spacing w:line="360" w:lineRule="auto"/>
        <w:ind w:firstLine="420" w:firstLineChars="200"/>
        <w:textAlignment w:val="auto"/>
        <w:rPr>
          <w:rFonts w:hint="eastAsia" w:ascii="宋体" w:hAnsi="宋体" w:cs="Courier New"/>
          <w:color w:val="auto"/>
          <w:kern w:val="2"/>
          <w:sz w:val="21"/>
          <w:szCs w:val="21"/>
          <w:highlight w:val="none"/>
          <w:lang w:val="en-US" w:eastAsia="zh-CN" w:bidi="ar-SA"/>
        </w:rPr>
      </w:pPr>
      <w:r>
        <w:rPr>
          <w:rFonts w:hint="eastAsia" w:ascii="宋体" w:hAnsi="宋体" w:cs="Courier New"/>
          <w:color w:val="auto"/>
          <w:kern w:val="2"/>
          <w:sz w:val="21"/>
          <w:szCs w:val="21"/>
          <w:highlight w:val="none"/>
          <w:lang w:val="en-US" w:eastAsia="zh-CN" w:bidi="ar-SA"/>
        </w:rPr>
        <w:t>8.2.2 定标委员会成员有下列情形之一的，应当回避：</w:t>
      </w:r>
    </w:p>
    <w:p w14:paraId="2B1517E4">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与投标单位有直接利益关系的</w:t>
      </w:r>
      <w:r>
        <w:rPr>
          <w:rFonts w:hint="eastAsia" w:ascii="宋体" w:hAnsi="宋体"/>
          <w:color w:val="auto"/>
          <w:szCs w:val="21"/>
          <w:highlight w:val="none"/>
          <w:lang w:eastAsia="zh-CN"/>
        </w:rPr>
        <w:t>。</w:t>
      </w:r>
    </w:p>
    <w:p w14:paraId="56C2112F">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作为招标人代表参与本项目评标委员会的</w:t>
      </w:r>
      <w:r>
        <w:rPr>
          <w:rFonts w:hint="eastAsia" w:ascii="宋体" w:hAnsi="宋体"/>
          <w:color w:val="auto"/>
          <w:szCs w:val="21"/>
          <w:highlight w:val="none"/>
          <w:lang w:eastAsia="zh-CN"/>
        </w:rPr>
        <w:t>。</w:t>
      </w:r>
    </w:p>
    <w:p w14:paraId="7A3C87C5">
      <w:pPr>
        <w:pageBreakBefore w:val="0"/>
        <w:kinsoku/>
        <w:wordWrap/>
        <w:overflowPunct/>
        <w:topLinePunct w:val="0"/>
        <w:bidi w:val="0"/>
        <w:spacing w:line="360" w:lineRule="auto"/>
        <w:ind w:firstLine="420" w:firstLineChars="200"/>
        <w:textAlignment w:val="auto"/>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与投标人有经济利益关系，可能影响对投标公正评审的</w:t>
      </w:r>
      <w:r>
        <w:rPr>
          <w:rFonts w:hint="eastAsia" w:ascii="宋体" w:hAnsi="宋体"/>
          <w:color w:val="auto"/>
          <w:szCs w:val="21"/>
          <w:highlight w:val="none"/>
          <w:lang w:eastAsia="zh-CN"/>
        </w:rPr>
        <w:t>。</w:t>
      </w:r>
    </w:p>
    <w:p w14:paraId="6B0952B4">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w:t>
      </w:r>
      <w:r>
        <w:rPr>
          <w:rFonts w:hint="eastAsia" w:hAnsi="宋体"/>
          <w:color w:val="auto"/>
          <w:highlight w:val="none"/>
          <w:lang w:eastAsia="zh-CN"/>
        </w:rPr>
        <w:t>资格审查工作小组</w:t>
      </w:r>
      <w:r>
        <w:rPr>
          <w:rFonts w:hint="eastAsia" w:hAnsi="宋体"/>
          <w:color w:val="auto"/>
          <w:highlight w:val="none"/>
          <w:lang w:val="en-US" w:eastAsia="zh-CN"/>
        </w:rPr>
        <w:t>成员</w:t>
      </w:r>
      <w:r>
        <w:rPr>
          <w:rFonts w:hint="eastAsia" w:hAnsi="宋体"/>
          <w:color w:val="auto"/>
          <w:highlight w:val="none"/>
        </w:rPr>
        <w:t>或清标工作小</w:t>
      </w:r>
      <w:r>
        <w:rPr>
          <w:rFonts w:hint="eastAsia" w:ascii="宋体" w:hAnsi="宋体" w:eastAsia="宋体" w:cs="Times New Roman"/>
          <w:color w:val="auto"/>
          <w:szCs w:val="21"/>
          <w:highlight w:val="none"/>
        </w:rPr>
        <w:t>组成员</w:t>
      </w:r>
      <w:r>
        <w:rPr>
          <w:rFonts w:hint="eastAsia" w:ascii="宋体" w:hAnsi="宋体" w:eastAsia="宋体" w:cs="Times New Roman"/>
          <w:color w:val="auto"/>
          <w:szCs w:val="21"/>
          <w:highlight w:val="none"/>
          <w:lang w:eastAsia="zh-CN"/>
        </w:rPr>
        <w:t>。</w:t>
      </w:r>
    </w:p>
    <w:p w14:paraId="30AB8A5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kern w:val="2"/>
          <w:szCs w:val="21"/>
          <w:highlight w:val="none"/>
          <w:lang w:val="en-US" w:eastAsia="zh-CN"/>
        </w:rPr>
        <w:t>（5）其它影响招标、投标公正评审情形。</w:t>
      </w:r>
    </w:p>
    <w:p w14:paraId="66EEA91E">
      <w:pPr>
        <w:pStyle w:val="5"/>
        <w:bidi w:val="0"/>
        <w:rPr>
          <w:rFonts w:hint="eastAsia" w:ascii="宋体" w:hAnsi="宋体" w:cs="宋体"/>
          <w:color w:val="auto"/>
          <w:sz w:val="21"/>
          <w:highlight w:val="none"/>
          <w:lang w:val="en-US" w:eastAsia="zh-CN"/>
        </w:rPr>
      </w:pPr>
      <w:bookmarkStart w:id="135" w:name="_Toc761118850"/>
      <w:r>
        <w:rPr>
          <w:rFonts w:hint="eastAsia" w:ascii="宋体" w:hAnsi="宋体" w:cs="宋体"/>
          <w:color w:val="auto"/>
          <w:sz w:val="21"/>
          <w:highlight w:val="none"/>
          <w:lang w:val="en-US" w:eastAsia="zh-CN"/>
        </w:rPr>
        <w:t>8.3 定标原则</w:t>
      </w:r>
      <w:bookmarkEnd w:id="135"/>
    </w:p>
    <w:p w14:paraId="72078E74">
      <w:pPr>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cs="Courier New"/>
          <w:color w:val="auto"/>
          <w:szCs w:val="21"/>
          <w:highlight w:val="none"/>
        </w:rPr>
        <w:t>定标</w:t>
      </w:r>
      <w:r>
        <w:rPr>
          <w:rFonts w:hint="eastAsia" w:ascii="宋体" w:hAnsi="宋体" w:cs="Courier New"/>
          <w:color w:val="auto"/>
          <w:szCs w:val="21"/>
          <w:highlight w:val="none"/>
          <w:lang w:val="en-US" w:eastAsia="zh-CN"/>
        </w:rPr>
        <w:t>应</w:t>
      </w:r>
      <w:r>
        <w:rPr>
          <w:rFonts w:hint="eastAsia" w:ascii="宋体" w:hAnsi="宋体" w:cs="Courier New"/>
          <w:color w:val="auto"/>
          <w:szCs w:val="21"/>
          <w:highlight w:val="none"/>
        </w:rPr>
        <w:t>坚持择优与竞价相结合，优质优价的原则</w:t>
      </w:r>
      <w:r>
        <w:rPr>
          <w:rFonts w:hint="eastAsia" w:ascii="宋体" w:hAnsi="宋体" w:cs="Courier New"/>
          <w:color w:val="auto"/>
          <w:szCs w:val="21"/>
          <w:highlight w:val="none"/>
          <w:lang w:eastAsia="zh-CN"/>
        </w:rPr>
        <w:t>。</w:t>
      </w:r>
    </w:p>
    <w:p w14:paraId="323EDCF0">
      <w:pPr>
        <w:pStyle w:val="5"/>
        <w:bidi w:val="0"/>
        <w:rPr>
          <w:rFonts w:hint="eastAsia" w:ascii="宋体" w:hAnsi="宋体" w:cs="宋体"/>
          <w:color w:val="auto"/>
          <w:sz w:val="21"/>
          <w:highlight w:val="none"/>
          <w:lang w:val="en-US" w:eastAsia="zh-CN"/>
        </w:rPr>
      </w:pPr>
      <w:bookmarkStart w:id="136" w:name="_Toc1243929273"/>
      <w:r>
        <w:rPr>
          <w:rFonts w:hint="eastAsia" w:ascii="宋体" w:hAnsi="宋体" w:cs="宋体"/>
          <w:color w:val="auto"/>
          <w:sz w:val="21"/>
          <w:highlight w:val="none"/>
          <w:lang w:val="en-US" w:eastAsia="zh-CN"/>
        </w:rPr>
        <w:t>8.4 定标</w:t>
      </w:r>
      <w:bookmarkEnd w:id="136"/>
    </w:p>
    <w:p w14:paraId="17667D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8.4.1 招标人应当在评标结果公示结束后5个工作日内进入中山市公共资源交易中心进行定标。不能按时定标的，应当在</w:t>
      </w:r>
      <w:r>
        <w:rPr>
          <w:rFonts w:hint="eastAsia" w:ascii="宋体" w:hAnsi="宋体" w:eastAsia="宋体" w:cs="Courier New"/>
          <w:color w:val="auto"/>
          <w:szCs w:val="21"/>
          <w:highlight w:val="none"/>
        </w:rPr>
        <w:t>广东省招标投标监管网、广东省公共资源交易平台（中山市）和中山市公共资源交易平台（公共服务系统</w:t>
      </w:r>
      <w:r>
        <w:rPr>
          <w:rFonts w:hint="eastAsia" w:ascii="宋体" w:hAnsi="宋体" w:eastAsia="宋体" w:cs="Courier New"/>
          <w:color w:val="auto"/>
          <w:kern w:val="2"/>
          <w:sz w:val="21"/>
          <w:szCs w:val="21"/>
          <w:highlight w:val="none"/>
          <w:lang w:val="en-US" w:eastAsia="zh-CN" w:bidi="ar-SA"/>
        </w:rPr>
        <w:t>）上公布延期原因及最终定标时间。</w:t>
      </w:r>
    </w:p>
    <w:p w14:paraId="63CDE9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8.4.2 定标委员会应该根据招标文件规定的方法、择优因素、标准和程序进行定标，招标文件没有规定的方法、择优因素、标准，不作为定标依据，定标完成后，定标委员会应当向招标人提交书面定标报告。本项目的定标方法见投标人须知前附表。</w:t>
      </w:r>
    </w:p>
    <w:p w14:paraId="2DD769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Courier New"/>
          <w:color w:val="auto"/>
          <w:kern w:val="2"/>
          <w:sz w:val="21"/>
          <w:szCs w:val="21"/>
          <w:highlight w:val="none"/>
          <w:lang w:val="zh-CN" w:eastAsia="zh-CN" w:bidi="ar-SA"/>
        </w:rPr>
      </w:pPr>
      <w:r>
        <w:rPr>
          <w:rFonts w:hint="eastAsia" w:ascii="宋体" w:hAnsi="宋体" w:eastAsia="宋体" w:cs="Courier New"/>
          <w:color w:val="auto"/>
          <w:kern w:val="2"/>
          <w:sz w:val="21"/>
          <w:szCs w:val="21"/>
          <w:highlight w:val="none"/>
          <w:lang w:val="en-US" w:eastAsia="zh-CN" w:bidi="ar-SA"/>
        </w:rPr>
        <w:t>8.4.3 除投标人须知前附表规定定标委员会直接确定中标人外，招标人依据定标委员会推荐的中标候选人确定中标人，定标委员会推荐中标候选人的人数见投标人须知前附表。</w:t>
      </w:r>
    </w:p>
    <w:p w14:paraId="323D5AF4">
      <w:pPr>
        <w:pStyle w:val="5"/>
        <w:bidi w:val="0"/>
        <w:rPr>
          <w:rFonts w:hint="eastAsia" w:ascii="宋体" w:hAnsi="宋体" w:cs="宋体"/>
          <w:color w:val="auto"/>
          <w:sz w:val="21"/>
          <w:highlight w:val="none"/>
          <w:lang w:val="en-US" w:eastAsia="zh-CN"/>
        </w:rPr>
      </w:pPr>
      <w:bookmarkStart w:id="137" w:name="_Toc1319964594"/>
      <w:r>
        <w:rPr>
          <w:rFonts w:hint="eastAsia" w:ascii="宋体" w:hAnsi="宋体" w:cs="宋体"/>
          <w:color w:val="auto"/>
          <w:sz w:val="21"/>
          <w:highlight w:val="none"/>
          <w:lang w:val="en-US" w:eastAsia="zh-CN"/>
        </w:rPr>
        <w:t>8</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5</w:t>
      </w:r>
      <w:r>
        <w:rPr>
          <w:rFonts w:hint="eastAsia" w:ascii="宋体" w:hAnsi="宋体" w:cs="宋体"/>
          <w:color w:val="auto"/>
          <w:sz w:val="21"/>
          <w:highlight w:val="none"/>
        </w:rPr>
        <w:t xml:space="preserve"> </w:t>
      </w:r>
      <w:r>
        <w:rPr>
          <w:rFonts w:hint="eastAsia" w:ascii="宋体" w:hAnsi="宋体" w:cs="宋体"/>
          <w:color w:val="auto"/>
          <w:sz w:val="21"/>
          <w:highlight w:val="none"/>
          <w:lang w:val="en-US" w:eastAsia="zh-CN"/>
        </w:rPr>
        <w:t>中标候选人公示</w:t>
      </w:r>
      <w:bookmarkEnd w:id="137"/>
    </w:p>
    <w:p w14:paraId="6507F178">
      <w:pPr>
        <w:spacing w:line="360" w:lineRule="auto"/>
        <w:ind w:firstLine="420" w:firstLineChars="200"/>
        <w:jc w:val="left"/>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招标人在定标工作完成后3日内，在</w:t>
      </w:r>
      <w:r>
        <w:rPr>
          <w:rFonts w:hint="eastAsia" w:ascii="宋体" w:hAnsi="宋体" w:eastAsia="宋体" w:cs="Courier New"/>
          <w:color w:val="auto"/>
          <w:szCs w:val="21"/>
          <w:highlight w:val="none"/>
        </w:rPr>
        <w:t>广东省招标投标监管网</w:t>
      </w:r>
      <w:r>
        <w:rPr>
          <w:rFonts w:hint="eastAsia" w:ascii="宋体" w:hAnsi="宋体" w:eastAsia="宋体" w:cs="Courier New"/>
          <w:color w:val="auto"/>
          <w:szCs w:val="21"/>
          <w:highlight w:val="none"/>
          <w:lang w:val="en-US" w:eastAsia="zh-CN"/>
        </w:rPr>
        <w:t>、</w:t>
      </w:r>
      <w:r>
        <w:rPr>
          <w:rFonts w:hint="eastAsia" w:ascii="宋体" w:hAnsi="宋体" w:eastAsia="宋体" w:cs="宋体"/>
          <w:color w:val="auto"/>
          <w:szCs w:val="21"/>
          <w:highlight w:val="none"/>
        </w:rPr>
        <w:t>广东省公共资源交易平台（中山市）→“中标候选人公示”栏目以及</w:t>
      </w:r>
      <w:r>
        <w:rPr>
          <w:rFonts w:hint="eastAsia" w:ascii="宋体" w:hAnsi="宋体" w:eastAsia="宋体" w:cs="Courier New"/>
          <w:color w:val="auto"/>
          <w:szCs w:val="21"/>
          <w:highlight w:val="none"/>
        </w:rPr>
        <w:t>中山市公共资源交易</w:t>
      </w:r>
      <w:r>
        <w:rPr>
          <w:rFonts w:hint="eastAsia" w:ascii="宋体" w:hAnsi="宋体" w:eastAsia="宋体" w:cs="Courier New"/>
          <w:color w:val="auto"/>
          <w:szCs w:val="21"/>
          <w:highlight w:val="none"/>
          <w:lang w:val="en-US" w:eastAsia="zh-CN"/>
        </w:rPr>
        <w:t>平台（公共服务系统）的</w:t>
      </w:r>
      <w:r>
        <w:rPr>
          <w:rFonts w:hint="eastAsia" w:ascii="宋体" w:hAnsi="宋体" w:eastAsia="宋体" w:cs="宋体"/>
          <w:color w:val="auto"/>
          <w:szCs w:val="21"/>
          <w:highlight w:val="none"/>
        </w:rPr>
        <w:t>“建设工程</w:t>
      </w:r>
      <w:r>
        <w:rPr>
          <w:rFonts w:hint="eastAsia" w:ascii="宋体" w:hAnsi="宋体" w:eastAsia="宋体" w:cs="Times New Roman"/>
          <w:color w:val="auto"/>
          <w:szCs w:val="21"/>
          <w:highlight w:val="none"/>
        </w:rPr>
        <w:t>→</w:t>
      </w:r>
      <w:r>
        <w:rPr>
          <w:rFonts w:hint="eastAsia" w:ascii="宋体" w:hAnsi="宋体" w:eastAsia="宋体" w:cs="Courier New"/>
          <w:color w:val="auto"/>
          <w:szCs w:val="21"/>
          <w:highlight w:val="none"/>
          <w:lang w:eastAsia="zh-CN"/>
        </w:rPr>
        <w:t>中标候选人公示”栏目</w:t>
      </w:r>
      <w:r>
        <w:rPr>
          <w:rFonts w:hint="eastAsia" w:ascii="宋体" w:hAnsi="宋体" w:eastAsia="宋体" w:cs="Courier New"/>
          <w:color w:val="auto"/>
          <w:szCs w:val="21"/>
          <w:highlight w:val="none"/>
        </w:rPr>
        <w:t>上公示</w:t>
      </w:r>
      <w:r>
        <w:rPr>
          <w:rFonts w:hint="eastAsia" w:ascii="宋体" w:hAnsi="宋体" w:eastAsia="宋体" w:cs="Courier New"/>
          <w:color w:val="auto"/>
          <w:szCs w:val="21"/>
          <w:highlight w:val="none"/>
          <w:lang w:val="en-US" w:eastAsia="zh-CN"/>
        </w:rPr>
        <w:t>中标候选人</w:t>
      </w: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lang w:val="en-US" w:eastAsia="zh-CN"/>
        </w:rPr>
        <w:t>公示期不得少于3日，</w:t>
      </w:r>
      <w:r>
        <w:rPr>
          <w:rFonts w:hint="eastAsia" w:ascii="宋体" w:hAnsi="宋体" w:eastAsia="宋体" w:cs="Courier New"/>
          <w:color w:val="auto"/>
          <w:szCs w:val="21"/>
          <w:highlight w:val="none"/>
        </w:rPr>
        <w:t>公示应当附</w:t>
      </w:r>
      <w:r>
        <w:rPr>
          <w:rFonts w:hint="eastAsia" w:ascii="宋体" w:hAnsi="宋体" w:eastAsia="宋体" w:cs="Courier New"/>
          <w:color w:val="auto"/>
          <w:szCs w:val="21"/>
          <w:highlight w:val="none"/>
          <w:lang w:val="en-US" w:eastAsia="zh-CN"/>
        </w:rPr>
        <w:t>定标</w:t>
      </w:r>
      <w:r>
        <w:rPr>
          <w:rFonts w:hint="eastAsia" w:ascii="宋体" w:hAnsi="宋体" w:eastAsia="宋体" w:cs="Courier New"/>
          <w:color w:val="auto"/>
          <w:szCs w:val="21"/>
          <w:highlight w:val="none"/>
        </w:rPr>
        <w:t>报告等材料</w:t>
      </w:r>
      <w:r>
        <w:rPr>
          <w:rFonts w:hint="eastAsia" w:ascii="宋体" w:hAnsi="宋体" w:eastAsia="宋体" w:cs="Courier New"/>
          <w:color w:val="auto"/>
          <w:szCs w:val="21"/>
          <w:highlight w:val="none"/>
          <w:lang w:val="en-US" w:eastAsia="zh-CN"/>
        </w:rPr>
        <w:t>。</w:t>
      </w:r>
    </w:p>
    <w:p w14:paraId="22D88B89">
      <w:pPr>
        <w:pStyle w:val="4"/>
        <w:numPr>
          <w:ilvl w:val="0"/>
          <w:numId w:val="0"/>
        </w:numPr>
        <w:bidi w:val="0"/>
        <w:ind w:leftChars="0"/>
        <w:rPr>
          <w:rFonts w:hint="eastAsia" w:ascii="宋体" w:hAnsi="宋体" w:eastAsia="宋体" w:cs="宋体"/>
          <w:b/>
          <w:bCs/>
          <w:color w:val="auto"/>
          <w:highlight w:val="none"/>
          <w:lang w:val="en-US" w:eastAsia="zh-CN"/>
        </w:rPr>
      </w:pPr>
      <w:bookmarkStart w:id="138" w:name="_Toc963319036"/>
      <w:bookmarkStart w:id="139" w:name="_Toc18808"/>
      <w:bookmarkStart w:id="140" w:name="_Toc220736342"/>
      <w:r>
        <w:rPr>
          <w:rFonts w:hint="eastAsia" w:ascii="宋体" w:hAnsi="宋体" w:eastAsia="宋体" w:cs="宋体"/>
          <w:b/>
          <w:bCs/>
          <w:color w:val="auto"/>
          <w:highlight w:val="none"/>
          <w:lang w:val="en-US" w:eastAsia="zh-CN"/>
        </w:rPr>
        <w:t>9. 合同授予</w:t>
      </w:r>
      <w:bookmarkEnd w:id="138"/>
      <w:bookmarkEnd w:id="139"/>
      <w:bookmarkEnd w:id="140"/>
    </w:p>
    <w:p w14:paraId="5161CC36">
      <w:pPr>
        <w:pStyle w:val="5"/>
        <w:bidi w:val="0"/>
        <w:rPr>
          <w:rFonts w:hint="eastAsia" w:ascii="宋体" w:hAnsi="宋体" w:cs="宋体"/>
          <w:color w:val="auto"/>
          <w:sz w:val="21"/>
          <w:highlight w:val="none"/>
        </w:rPr>
      </w:pPr>
      <w:bookmarkStart w:id="141" w:name="_Toc1742199818"/>
      <w:r>
        <w:rPr>
          <w:rFonts w:hint="eastAsia" w:ascii="宋体" w:hAnsi="宋体" w:cs="宋体"/>
          <w:color w:val="auto"/>
          <w:sz w:val="21"/>
          <w:highlight w:val="none"/>
          <w:lang w:val="en-US" w:eastAsia="zh-CN"/>
        </w:rPr>
        <w:t>9</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 xml:space="preserve"> 中标通知</w:t>
      </w:r>
      <w:bookmarkEnd w:id="141"/>
    </w:p>
    <w:p w14:paraId="021125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9.1.1 招标人在确定中标人后统一在广东省招标投标监管网、广东省公共资源交易平台（中山市）→“中标结果”栏目以及中山市公共资源交易平台（公共服务系统）的“建设工程</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lang w:val="en-US" w:eastAsia="zh-CN"/>
        </w:rPr>
        <w:t>中标信息”栏目公告中标信息</w:t>
      </w:r>
      <w:r>
        <w:rPr>
          <w:rFonts w:hint="eastAsia" w:ascii="宋体" w:hAnsi="宋体" w:eastAsia="宋体" w:cs="宋体"/>
          <w:color w:val="auto"/>
          <w:szCs w:val="21"/>
          <w:highlight w:val="none"/>
        </w:rPr>
        <w:t>，该</w:t>
      </w:r>
      <w:r>
        <w:rPr>
          <w:rFonts w:hint="eastAsia" w:ascii="宋体" w:hAnsi="宋体" w:eastAsia="宋体" w:cs="宋体"/>
          <w:color w:val="auto"/>
          <w:szCs w:val="21"/>
          <w:highlight w:val="none"/>
          <w:lang w:val="en-US" w:eastAsia="zh-CN"/>
        </w:rPr>
        <w:t>公布</w:t>
      </w:r>
      <w:r>
        <w:rPr>
          <w:rFonts w:hint="eastAsia" w:ascii="宋体" w:hAnsi="宋体" w:eastAsia="宋体" w:cs="宋体"/>
          <w:color w:val="auto"/>
          <w:szCs w:val="21"/>
          <w:highlight w:val="none"/>
        </w:rPr>
        <w:t>等同于</w:t>
      </w:r>
      <w:r>
        <w:rPr>
          <w:rFonts w:hint="eastAsia" w:ascii="宋体" w:hAnsi="宋体" w:eastAsia="宋体" w:cs="宋体"/>
          <w:color w:val="auto"/>
          <w:szCs w:val="21"/>
          <w:highlight w:val="none"/>
          <w:lang w:eastAsia="zh-CN"/>
        </w:rPr>
        <w:t>将中标结果</w:t>
      </w:r>
      <w:r>
        <w:rPr>
          <w:rFonts w:hint="eastAsia" w:ascii="宋体" w:hAnsi="宋体" w:eastAsia="宋体" w:cs="宋体"/>
          <w:color w:val="auto"/>
          <w:szCs w:val="21"/>
          <w:highlight w:val="none"/>
        </w:rPr>
        <w:t>告知中标人及未中标人，请投标人及时查看。在本章规定的投标有效期内，招标人以书面形式向中标人发出中标通知书。</w:t>
      </w:r>
    </w:p>
    <w:p w14:paraId="708F7113">
      <w:pPr>
        <w:ind w:firstLine="420" w:firstLineChars="200"/>
        <w:rPr>
          <w:rFonts w:hint="default"/>
          <w:color w:val="auto"/>
          <w:highlight w:val="none"/>
        </w:rPr>
      </w:pPr>
      <w:r>
        <w:rPr>
          <w:rFonts w:hint="default" w:ascii="宋体" w:hAnsi="宋体" w:eastAsia="宋体" w:cs="宋体"/>
          <w:color w:val="auto"/>
          <w:szCs w:val="21"/>
          <w:highlight w:val="none"/>
          <w:lang w:val="en-US" w:eastAsia="zh-CN"/>
        </w:rPr>
        <w:t>9.1.2 中标通知书采</w:t>
      </w:r>
      <w:r>
        <w:rPr>
          <w:rFonts w:hint="default" w:hAnsi="Courier New" w:eastAsia="宋体" w:cs="Courier New"/>
          <w:color w:val="auto"/>
          <w:highlight w:val="none"/>
          <w:lang w:val="en-US" w:eastAsia="zh-CN"/>
        </w:rPr>
        <w:t>用在线签章的，按公共资源交易平台的要求操作。</w:t>
      </w:r>
    </w:p>
    <w:p w14:paraId="1AFFBF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9.1.3 中标人或</w:t>
      </w:r>
      <w:r>
        <w:rPr>
          <w:rFonts w:hint="eastAsia" w:ascii="宋体" w:hAnsi="宋体" w:cs="宋体"/>
          <w:color w:val="auto"/>
          <w:szCs w:val="21"/>
          <w:highlight w:val="none"/>
          <w:lang w:val="en-US"/>
        </w:rPr>
        <w:t>排名第一的中标候选人放弃中标、因不可抗力不能履行合同、不按照招标文件要求提交履约保证金，或者被查实存在影响中标结果的违法行为等情形，不符合中标条件的，招标人可以按照</w:t>
      </w:r>
      <w:r>
        <w:rPr>
          <w:rFonts w:hint="eastAsia" w:ascii="宋体" w:hAnsi="宋体" w:cs="宋体"/>
          <w:color w:val="auto"/>
          <w:szCs w:val="21"/>
          <w:highlight w:val="none"/>
          <w:lang w:val="en-US" w:eastAsia="zh-CN"/>
        </w:rPr>
        <w:t>定</w:t>
      </w:r>
      <w:r>
        <w:rPr>
          <w:rFonts w:hint="eastAsia" w:ascii="宋体" w:hAnsi="宋体" w:cs="宋体"/>
          <w:color w:val="auto"/>
          <w:szCs w:val="21"/>
          <w:highlight w:val="none"/>
          <w:lang w:val="en-US"/>
        </w:rPr>
        <w:t>标委员会提出的中标候选人名单排序依次确定其他中标候选人为中标人，也可以重新招标。</w:t>
      </w:r>
    </w:p>
    <w:p w14:paraId="680B7B5F">
      <w:pPr>
        <w:pStyle w:val="5"/>
        <w:bidi w:val="0"/>
        <w:rPr>
          <w:rFonts w:hint="eastAsia" w:ascii="宋体" w:hAnsi="宋体" w:cs="宋体"/>
          <w:color w:val="auto"/>
          <w:sz w:val="21"/>
          <w:highlight w:val="none"/>
        </w:rPr>
      </w:pPr>
      <w:bookmarkStart w:id="142" w:name="_Toc170294726"/>
      <w:r>
        <w:rPr>
          <w:rFonts w:hint="eastAsia" w:ascii="宋体" w:hAnsi="宋体" w:cs="宋体"/>
          <w:color w:val="auto"/>
          <w:sz w:val="21"/>
          <w:highlight w:val="none"/>
          <w:lang w:val="en-US" w:eastAsia="zh-CN"/>
        </w:rPr>
        <w:t>9</w:t>
      </w:r>
      <w:r>
        <w:rPr>
          <w:rFonts w:hint="eastAsia" w:ascii="宋体" w:hAnsi="宋体" w:cs="宋体"/>
          <w:color w:val="auto"/>
          <w:sz w:val="21"/>
          <w:highlight w:val="none"/>
        </w:rPr>
        <w:t>.</w:t>
      </w:r>
      <w:r>
        <w:rPr>
          <w:rFonts w:hint="eastAsia" w:ascii="宋体" w:hAnsi="宋体" w:cs="宋体"/>
          <w:color w:val="auto"/>
          <w:sz w:val="21"/>
          <w:highlight w:val="none"/>
          <w:lang w:val="en-US" w:eastAsia="zh-CN"/>
        </w:rPr>
        <w:t xml:space="preserve">2 </w:t>
      </w:r>
      <w:r>
        <w:rPr>
          <w:rFonts w:hint="eastAsia" w:ascii="宋体" w:hAnsi="宋体" w:cs="宋体"/>
          <w:color w:val="auto"/>
          <w:sz w:val="21"/>
          <w:highlight w:val="none"/>
        </w:rPr>
        <w:t>履约担保</w:t>
      </w:r>
      <w:bookmarkEnd w:id="142"/>
    </w:p>
    <w:p w14:paraId="3682A4DE">
      <w:pPr>
        <w:spacing w:line="360" w:lineRule="auto"/>
        <w:ind w:firstLine="420" w:firstLineChars="200"/>
        <w:rPr>
          <w:rFonts w:hint="default" w:ascii="宋体" w:eastAsia="宋体"/>
          <w:color w:val="auto"/>
          <w:szCs w:val="21"/>
          <w:highlight w:val="none"/>
          <w:lang w:val="en-US" w:eastAsia="zh-CN"/>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在签订合同前，中标人应按投标人须知前附表规定的金额、担保形式和招标文件规定的履约担保</w:t>
      </w:r>
      <w:r>
        <w:rPr>
          <w:rFonts w:hint="eastAsia" w:ascii="宋体" w:hAnsi="宋体"/>
          <w:color w:val="auto"/>
          <w:szCs w:val="21"/>
          <w:highlight w:val="none"/>
          <w:lang w:eastAsia="zh-CN"/>
        </w:rPr>
        <w:t>提交方</w:t>
      </w:r>
      <w:r>
        <w:rPr>
          <w:rFonts w:hint="eastAsia" w:ascii="宋体" w:hAnsi="宋体"/>
          <w:color w:val="auto"/>
          <w:szCs w:val="21"/>
          <w:highlight w:val="none"/>
        </w:rPr>
        <w:t>式向招标人提交履约担保。</w:t>
      </w:r>
      <w:r>
        <w:rPr>
          <w:rFonts w:hint="eastAsia" w:ascii="宋体" w:hAnsi="宋体"/>
          <w:color w:val="auto"/>
          <w:szCs w:val="21"/>
          <w:highlight w:val="none"/>
          <w:lang w:val="en-US" w:eastAsia="zh-CN"/>
        </w:rPr>
        <w:t>除投标人须知前附表另有规定外，履约保证金为中标合同金额的10%。</w:t>
      </w:r>
    </w:p>
    <w:p w14:paraId="4610F5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 xml:space="preserve">.2 </w:t>
      </w:r>
      <w:r>
        <w:rPr>
          <w:rFonts w:hint="eastAsia" w:ascii="宋体" w:hAnsi="宋体"/>
          <w:color w:val="auto"/>
          <w:szCs w:val="21"/>
          <w:highlight w:val="none"/>
        </w:rPr>
        <w:t>中标人不能按本章要求提交履约担保的，视为放弃中标，其投标保证金不予退还，给招标人造成的损失超过投标保证金数额的，中标人还应当对超过部分予以赔偿。</w:t>
      </w:r>
    </w:p>
    <w:p w14:paraId="598B30C0">
      <w:pPr>
        <w:pStyle w:val="5"/>
        <w:bidi w:val="0"/>
        <w:rPr>
          <w:rFonts w:hint="eastAsia" w:ascii="宋体" w:hAnsi="宋体" w:cs="宋体"/>
          <w:color w:val="auto"/>
          <w:sz w:val="21"/>
          <w:highlight w:val="none"/>
        </w:rPr>
      </w:pPr>
      <w:bookmarkStart w:id="143" w:name="_Toc745385534"/>
      <w:r>
        <w:rPr>
          <w:rFonts w:hint="eastAsia" w:ascii="宋体" w:hAnsi="宋体" w:cs="宋体"/>
          <w:color w:val="auto"/>
          <w:sz w:val="21"/>
          <w:highlight w:val="none"/>
          <w:lang w:val="en-US" w:eastAsia="zh-CN"/>
        </w:rPr>
        <w:t xml:space="preserve">9.3 </w:t>
      </w:r>
      <w:r>
        <w:rPr>
          <w:rFonts w:hint="eastAsia" w:ascii="宋体" w:hAnsi="宋体" w:cs="宋体"/>
          <w:color w:val="auto"/>
          <w:sz w:val="21"/>
          <w:highlight w:val="none"/>
        </w:rPr>
        <w:t>签订合同</w:t>
      </w:r>
      <w:bookmarkEnd w:id="143"/>
    </w:p>
    <w:p w14:paraId="182406E9">
      <w:pPr>
        <w:tabs>
          <w:tab w:val="left" w:pos="636"/>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 xml:space="preserve">.1 </w:t>
      </w:r>
      <w:r>
        <w:rPr>
          <w:rFonts w:hint="eastAsia" w:ascii="宋体" w:hAnsi="宋体"/>
          <w:color w:val="auto"/>
          <w:szCs w:val="21"/>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4E94F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 xml:space="preserve">.2 </w:t>
      </w:r>
      <w:r>
        <w:rPr>
          <w:rFonts w:hint="eastAsia" w:ascii="宋体" w:hAnsi="宋体"/>
          <w:color w:val="auto"/>
          <w:szCs w:val="21"/>
          <w:highlight w:val="none"/>
        </w:rPr>
        <w:t>发出中标通知书后，招标人无正当理由拒签合同的，招标人向中标人退还投标保证金；给中标人造成损失的，还应当赔偿损失。</w:t>
      </w:r>
    </w:p>
    <w:p w14:paraId="228B2095">
      <w:pPr>
        <w:spacing w:line="360" w:lineRule="auto"/>
        <w:ind w:left="420" w:leftChars="200" w:firstLine="0" w:firstLineChars="0"/>
        <w:rPr>
          <w:rFonts w:hint="default"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lang w:val="en-US" w:eastAsia="zh-CN"/>
        </w:rPr>
        <w:t>9</w:t>
      </w:r>
      <w:r>
        <w:rPr>
          <w:rFonts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3</w:t>
      </w:r>
      <w:r>
        <w:rPr>
          <w:rFonts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eastAsia="zh-CN"/>
        </w:rPr>
        <w:t>3</w:t>
      </w:r>
      <w:r>
        <w:rPr>
          <w:rFonts w:ascii="宋体" w:hAnsi="宋体" w:eastAsia="宋体" w:cs="Times New Roman"/>
          <w:b w:val="0"/>
          <w:bCs w:val="0"/>
          <w:color w:val="auto"/>
          <w:szCs w:val="21"/>
          <w:highlight w:val="none"/>
        </w:rPr>
        <w:t xml:space="preserve"> </w:t>
      </w:r>
      <w:r>
        <w:rPr>
          <w:rFonts w:hint="default" w:ascii="宋体" w:hAnsi="宋体" w:eastAsia="宋体" w:cs="Times New Roman"/>
          <w:b w:val="0"/>
          <w:bCs w:val="0"/>
          <w:color w:val="auto"/>
          <w:szCs w:val="21"/>
          <w:highlight w:val="none"/>
        </w:rPr>
        <w:t>联合体中标的，联合体各方应当共同与招标人签订合同，就中标项目向招标人承担连带责任。</w:t>
      </w:r>
      <w:r>
        <w:rPr>
          <w:rFonts w:hint="eastAsia" w:ascii="宋体" w:hAnsi="宋体" w:eastAsia="宋体" w:cs="Times New Roman"/>
          <w:color w:val="auto"/>
          <w:szCs w:val="21"/>
          <w:highlight w:val="none"/>
          <w:lang w:val="en-US" w:eastAsia="zh-CN"/>
        </w:rPr>
        <w:t>9</w:t>
      </w:r>
      <w:r>
        <w:rPr>
          <w:rFonts w:hint="default"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3.4</w:t>
      </w:r>
      <w:r>
        <w:rPr>
          <w:rFonts w:hint="default" w:ascii="宋体" w:hAnsi="宋体" w:eastAsia="宋体" w:cs="Times New Roman"/>
          <w:color w:val="auto"/>
          <w:szCs w:val="21"/>
          <w:highlight w:val="none"/>
          <w:lang w:val="en-US" w:eastAsia="zh-CN"/>
        </w:rPr>
        <w:t xml:space="preserve"> </w:t>
      </w:r>
      <w:r>
        <w:rPr>
          <w:rFonts w:hint="default" w:ascii="宋体" w:hAnsi="宋体" w:eastAsia="宋体" w:cs="Times New Roman"/>
          <w:b w:val="0"/>
          <w:bCs w:val="0"/>
          <w:color w:val="auto"/>
          <w:szCs w:val="21"/>
          <w:highlight w:val="none"/>
        </w:rPr>
        <w:t>合同签订采用在线签章的，按公共资源交易平台的要求操作。</w:t>
      </w:r>
    </w:p>
    <w:p w14:paraId="5C38D595">
      <w:pPr>
        <w:pStyle w:val="5"/>
        <w:bidi w:val="0"/>
        <w:rPr>
          <w:rFonts w:hint="eastAsia" w:ascii="宋体" w:hAnsi="宋体" w:cs="宋体"/>
          <w:color w:val="auto"/>
          <w:sz w:val="21"/>
          <w:highlight w:val="none"/>
          <w:lang w:val="en-US" w:eastAsia="zh-CN"/>
        </w:rPr>
      </w:pPr>
      <w:bookmarkStart w:id="144" w:name="_Toc304254323"/>
      <w:r>
        <w:rPr>
          <w:rFonts w:hint="eastAsia" w:ascii="宋体" w:hAnsi="宋体" w:cs="宋体"/>
          <w:color w:val="auto"/>
          <w:sz w:val="21"/>
          <w:highlight w:val="none"/>
          <w:lang w:val="en-US" w:eastAsia="zh-CN"/>
        </w:rPr>
        <w:t>9.4 勘察设计责任保险</w:t>
      </w:r>
      <w:bookmarkEnd w:id="144"/>
    </w:p>
    <w:p w14:paraId="5B8C8BE3">
      <w:pPr>
        <w:ind w:firstLine="420" w:firstLineChars="200"/>
        <w:rPr>
          <w:rFonts w:hint="eastAsia" w:ascii="宋体" w:hAnsi="宋体" w:eastAsia="宋体" w:cs="Times New Roman"/>
          <w:color w:val="auto"/>
          <w:kern w:val="2"/>
          <w:sz w:val="21"/>
          <w:szCs w:val="21"/>
          <w:highlight w:val="none"/>
          <w:lang w:val="en-US" w:eastAsia="zh-CN" w:bidi="ar"/>
        </w:rPr>
      </w:pPr>
      <w:r>
        <w:rPr>
          <w:rFonts w:hint="eastAsia" w:ascii="宋体" w:hAnsi="宋体" w:eastAsia="宋体" w:cs="Times New Roman"/>
          <w:color w:val="auto"/>
          <w:kern w:val="2"/>
          <w:sz w:val="21"/>
          <w:szCs w:val="21"/>
          <w:highlight w:val="none"/>
          <w:lang w:val="en-US" w:eastAsia="zh-CN" w:bidi="ar"/>
        </w:rPr>
        <w:t>具体要求详见投标人须知前附表。</w:t>
      </w:r>
    </w:p>
    <w:p w14:paraId="21DE5A95">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9.5 危大工程清单</w:t>
      </w:r>
    </w:p>
    <w:p w14:paraId="4D3F2A0B">
      <w:pPr>
        <w:ind w:firstLine="420" w:firstLineChars="200"/>
        <w:rPr>
          <w:rFonts w:hint="eastAsia"/>
          <w:color w:val="auto"/>
          <w:highlight w:val="none"/>
        </w:rPr>
      </w:pPr>
      <w:r>
        <w:rPr>
          <w:rFonts w:hint="eastAsia" w:ascii="宋体" w:hAnsi="宋体" w:eastAsia="宋体" w:cs="Times New Roman"/>
          <w:color w:val="auto"/>
          <w:kern w:val="2"/>
          <w:sz w:val="21"/>
          <w:szCs w:val="21"/>
          <w:highlight w:val="none"/>
          <w:lang w:val="en-US" w:eastAsia="zh-CN" w:bidi="ar"/>
        </w:rPr>
        <w:t>具体要求详见投标人须知前附表。</w:t>
      </w:r>
    </w:p>
    <w:p w14:paraId="61E54F69">
      <w:pPr>
        <w:pStyle w:val="4"/>
        <w:numPr>
          <w:ilvl w:val="0"/>
          <w:numId w:val="0"/>
        </w:numPr>
        <w:bidi w:val="0"/>
        <w:rPr>
          <w:rFonts w:hint="eastAsia" w:ascii="宋体" w:hAnsi="宋体" w:eastAsia="宋体" w:cs="宋体"/>
          <w:b/>
          <w:bCs/>
          <w:color w:val="auto"/>
          <w:szCs w:val="24"/>
          <w:highlight w:val="none"/>
          <w:lang w:val="en-US" w:eastAsia="zh-CN"/>
        </w:rPr>
      </w:pPr>
      <w:bookmarkStart w:id="145" w:name="_Toc1847037553"/>
      <w:r>
        <w:rPr>
          <w:rFonts w:hint="eastAsia" w:ascii="宋体" w:hAnsi="宋体" w:eastAsia="宋体" w:cs="宋体"/>
          <w:b/>
          <w:bCs/>
          <w:color w:val="auto"/>
          <w:szCs w:val="24"/>
          <w:highlight w:val="none"/>
          <w:lang w:val="en-US" w:eastAsia="zh-CN"/>
        </w:rPr>
        <w:t>10. 重新招标和不再招标</w:t>
      </w:r>
      <w:bookmarkEnd w:id="145"/>
    </w:p>
    <w:p w14:paraId="65AF0519">
      <w:pPr>
        <w:pStyle w:val="5"/>
        <w:bidi w:val="0"/>
        <w:rPr>
          <w:rFonts w:hint="eastAsia" w:ascii="宋体" w:hAnsi="宋体" w:cs="宋体"/>
          <w:color w:val="auto"/>
          <w:sz w:val="21"/>
          <w:highlight w:val="none"/>
        </w:rPr>
      </w:pPr>
      <w:bookmarkStart w:id="146" w:name="_Toc1591335009"/>
      <w:r>
        <w:rPr>
          <w:rFonts w:hint="eastAsia" w:ascii="宋体" w:hAnsi="宋体" w:cs="宋体"/>
          <w:color w:val="auto"/>
          <w:sz w:val="21"/>
          <w:highlight w:val="none"/>
          <w:lang w:val="en-US" w:eastAsia="zh-CN"/>
        </w:rPr>
        <w:t>10</w:t>
      </w:r>
      <w:r>
        <w:rPr>
          <w:rFonts w:hint="eastAsia" w:ascii="宋体" w:hAnsi="宋体" w:cs="宋体"/>
          <w:color w:val="auto"/>
          <w:sz w:val="21"/>
          <w:highlight w:val="none"/>
        </w:rPr>
        <w:t>.1 重新招标</w:t>
      </w:r>
      <w:bookmarkEnd w:id="146"/>
    </w:p>
    <w:p w14:paraId="3BAB7901">
      <w:pPr>
        <w:spacing w:line="360" w:lineRule="auto"/>
        <w:ind w:firstLine="420" w:firstLineChars="200"/>
        <w:rPr>
          <w:rFonts w:ascii="宋体"/>
          <w:color w:val="auto"/>
          <w:szCs w:val="21"/>
          <w:highlight w:val="none"/>
        </w:rPr>
      </w:pPr>
      <w:r>
        <w:rPr>
          <w:rFonts w:hint="eastAsia" w:ascii="宋体" w:hAnsi="宋体"/>
          <w:color w:val="auto"/>
          <w:szCs w:val="21"/>
          <w:highlight w:val="none"/>
        </w:rPr>
        <w:t>有下列情形之一的，招标人将重新招标：</w:t>
      </w:r>
    </w:p>
    <w:p w14:paraId="40CCD529">
      <w:pPr>
        <w:numPr>
          <w:ilvl w:val="0"/>
          <w:numId w:val="0"/>
        </w:numPr>
        <w:spacing w:line="360" w:lineRule="auto"/>
        <w:ind w:left="420" w:firstLine="0" w:firstLineChars="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）投标保证金截止时间止，提交投标保证金的投标人少于3个的。</w:t>
      </w:r>
    </w:p>
    <w:p w14:paraId="10C7A872">
      <w:pPr>
        <w:numPr>
          <w:ilvl w:val="0"/>
          <w:numId w:val="0"/>
        </w:numPr>
        <w:spacing w:line="360" w:lineRule="auto"/>
        <w:ind w:left="420" w:firstLine="0" w:firstLineChars="0"/>
        <w:rPr>
          <w:rFonts w:hint="eastAsia" w:asci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投标截止时间止，投标人少于3个的</w:t>
      </w:r>
      <w:r>
        <w:rPr>
          <w:rFonts w:hint="eastAsia" w:ascii="宋体" w:hAnsi="宋体"/>
          <w:color w:val="auto"/>
          <w:szCs w:val="21"/>
          <w:highlight w:val="none"/>
          <w:lang w:eastAsia="zh-CN"/>
        </w:rPr>
        <w:t>。</w:t>
      </w:r>
    </w:p>
    <w:p w14:paraId="6911F9B6">
      <w:pPr>
        <w:numPr>
          <w:ilvl w:val="0"/>
          <w:numId w:val="0"/>
        </w:numPr>
        <w:spacing w:line="360" w:lineRule="auto"/>
        <w:ind w:left="420" w:firstLine="0" w:firstLineChars="0"/>
        <w:rPr>
          <w:rFonts w:ascii="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）因有效的投标少于三个使得投标明显缺乏竞争的。</w:t>
      </w:r>
    </w:p>
    <w:p w14:paraId="517D7B62">
      <w:pPr>
        <w:numPr>
          <w:ilvl w:val="0"/>
          <w:numId w:val="0"/>
        </w:numPr>
        <w:spacing w:line="360" w:lineRule="auto"/>
        <w:ind w:left="420" w:firstLine="0" w:firstLineChars="0"/>
        <w:rPr>
          <w:rFonts w:asci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经评标委员会评审后否决所有投标的</w:t>
      </w:r>
      <w:r>
        <w:rPr>
          <w:rFonts w:hint="eastAsia" w:ascii="宋体" w:hAnsi="宋体"/>
          <w:color w:val="auto"/>
          <w:szCs w:val="21"/>
          <w:highlight w:val="none"/>
          <w:lang w:eastAsia="zh-CN"/>
        </w:rPr>
        <w:t>。</w:t>
      </w:r>
    </w:p>
    <w:p w14:paraId="728AF3FF">
      <w:pPr>
        <w:numPr>
          <w:ilvl w:val="0"/>
          <w:numId w:val="0"/>
        </w:numPr>
        <w:spacing w:line="360" w:lineRule="auto"/>
        <w:ind w:left="420"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法律法规规定的重新招标的其他情形。</w:t>
      </w:r>
    </w:p>
    <w:p w14:paraId="6573B663">
      <w:pPr>
        <w:pStyle w:val="5"/>
        <w:bidi w:val="0"/>
        <w:rPr>
          <w:rFonts w:hint="eastAsia" w:ascii="宋体" w:hAnsi="宋体" w:cs="宋体"/>
          <w:color w:val="auto"/>
          <w:sz w:val="21"/>
          <w:highlight w:val="none"/>
        </w:rPr>
      </w:pPr>
      <w:bookmarkStart w:id="147" w:name="_Toc1843822711"/>
      <w:r>
        <w:rPr>
          <w:rFonts w:hint="eastAsia" w:ascii="宋体" w:hAnsi="宋体" w:cs="宋体"/>
          <w:color w:val="auto"/>
          <w:sz w:val="21"/>
          <w:highlight w:val="none"/>
          <w:lang w:val="en-US" w:eastAsia="zh-CN"/>
        </w:rPr>
        <w:t>10</w:t>
      </w:r>
      <w:r>
        <w:rPr>
          <w:rFonts w:hint="eastAsia" w:ascii="宋体" w:hAnsi="宋体" w:cs="宋体"/>
          <w:color w:val="auto"/>
          <w:sz w:val="21"/>
          <w:highlight w:val="none"/>
        </w:rPr>
        <w:t>.2</w:t>
      </w:r>
      <w:r>
        <w:rPr>
          <w:rFonts w:hint="eastAsia" w:ascii="宋体" w:hAnsi="宋体" w:cs="宋体"/>
          <w:color w:val="auto"/>
          <w:sz w:val="21"/>
          <w:highlight w:val="none"/>
          <w:lang w:val="en-US" w:eastAsia="zh-CN"/>
        </w:rPr>
        <w:t xml:space="preserve"> </w:t>
      </w:r>
      <w:r>
        <w:rPr>
          <w:rFonts w:hint="eastAsia" w:ascii="宋体" w:hAnsi="宋体" w:cs="宋体"/>
          <w:color w:val="auto"/>
          <w:sz w:val="21"/>
          <w:highlight w:val="none"/>
        </w:rPr>
        <w:t>调整招标方式或不再招标</w:t>
      </w:r>
      <w:bookmarkEnd w:id="147"/>
    </w:p>
    <w:p w14:paraId="185235DA">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连续两次及以上招标失败的项目，项目审批、核准部门不再核准变更招标方式。招标项目必须严格按照项目审批、核准部门作出的招标核准意见进行分项整体招标，严禁肢解分项招标。确需拆分分项进行招标的，招标人为市属职能部门或镇区政府的，应经本单位主要负责人签名、加盖单位公章备案，并向有关行政监督部门提交书面说明；招标人为其他单位的，应经上级行政主管部门主要负责人签名、加盖单位公章备案，并向有关行政监督部门提交有法定代表人签字并加盖公章的书面说明。</w:t>
      </w:r>
    </w:p>
    <w:p w14:paraId="532D7DC9">
      <w:pPr>
        <w:pStyle w:val="4"/>
        <w:numPr>
          <w:ilvl w:val="0"/>
          <w:numId w:val="0"/>
        </w:numPr>
        <w:bidi w:val="0"/>
        <w:rPr>
          <w:rFonts w:hint="eastAsia" w:ascii="宋体" w:hAnsi="宋体" w:eastAsia="宋体" w:cs="宋体"/>
          <w:b/>
          <w:bCs/>
          <w:color w:val="auto"/>
          <w:szCs w:val="24"/>
          <w:highlight w:val="none"/>
          <w:lang w:val="en-US" w:eastAsia="zh-CN"/>
        </w:rPr>
      </w:pPr>
      <w:bookmarkStart w:id="148" w:name="_Toc30410"/>
      <w:bookmarkStart w:id="149" w:name="_Toc2196"/>
      <w:bookmarkStart w:id="150" w:name="_Toc2943"/>
      <w:bookmarkStart w:id="151" w:name="_Toc18849"/>
      <w:bookmarkStart w:id="152" w:name="_Toc2591741"/>
      <w:bookmarkStart w:id="153" w:name="_Toc930858145"/>
      <w:bookmarkStart w:id="154" w:name="_Toc224497123"/>
      <w:bookmarkStart w:id="155" w:name="_Toc8471"/>
      <w:r>
        <w:rPr>
          <w:rFonts w:hint="eastAsia" w:ascii="宋体" w:hAnsi="宋体" w:eastAsia="宋体" w:cs="宋体"/>
          <w:b/>
          <w:bCs/>
          <w:color w:val="auto"/>
          <w:szCs w:val="24"/>
          <w:highlight w:val="none"/>
          <w:lang w:val="en-US" w:eastAsia="zh-CN"/>
        </w:rPr>
        <w:t>11. 纪律和监督</w:t>
      </w:r>
      <w:bookmarkEnd w:id="148"/>
      <w:bookmarkEnd w:id="149"/>
      <w:bookmarkEnd w:id="150"/>
      <w:bookmarkEnd w:id="151"/>
      <w:bookmarkEnd w:id="152"/>
      <w:bookmarkEnd w:id="153"/>
      <w:bookmarkEnd w:id="154"/>
      <w:bookmarkEnd w:id="155"/>
    </w:p>
    <w:p w14:paraId="1127421A">
      <w:pPr>
        <w:pStyle w:val="5"/>
        <w:bidi w:val="0"/>
        <w:rPr>
          <w:rFonts w:hint="eastAsia" w:ascii="宋体" w:hAnsi="宋体" w:cs="宋体"/>
          <w:color w:val="auto"/>
          <w:sz w:val="21"/>
          <w:highlight w:val="none"/>
        </w:rPr>
      </w:pPr>
      <w:bookmarkStart w:id="156" w:name="_Toc130823045"/>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.1 对招标人的纪律要求</w:t>
      </w:r>
      <w:bookmarkEnd w:id="156"/>
    </w:p>
    <w:p w14:paraId="71CC18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11.1.1 </w:t>
      </w:r>
      <w:r>
        <w:rPr>
          <w:rFonts w:hint="eastAsia" w:ascii="宋体" w:hAnsi="宋体"/>
          <w:color w:val="auto"/>
          <w:szCs w:val="21"/>
          <w:highlight w:val="none"/>
        </w:rPr>
        <w:t>招标人不得</w:t>
      </w:r>
      <w:r>
        <w:rPr>
          <w:rFonts w:hint="eastAsia" w:ascii="宋体" w:hAnsi="宋体"/>
          <w:color w:val="auto"/>
          <w:szCs w:val="21"/>
          <w:highlight w:val="none"/>
          <w:lang w:eastAsia="zh-CN"/>
        </w:rPr>
        <w:t>泄露</w:t>
      </w:r>
      <w:r>
        <w:rPr>
          <w:rFonts w:hint="eastAsia" w:ascii="宋体" w:hAnsi="宋体"/>
          <w:color w:val="auto"/>
          <w:szCs w:val="21"/>
          <w:highlight w:val="none"/>
        </w:rPr>
        <w:t>招标投标活动中应当保密的情况和资料，不得与投标人串通损害国家利益、社会公共利益或者他人合法权益。</w:t>
      </w:r>
    </w:p>
    <w:p w14:paraId="5721969C">
      <w:pPr>
        <w:spacing w:line="360" w:lineRule="auto"/>
        <w:ind w:firstLine="420" w:firstLineChars="200"/>
        <w:rPr>
          <w:rFonts w:hint="eastAsia"/>
          <w:color w:val="auto"/>
          <w:highlight w:val="none"/>
          <w:lang w:val="en-US" w:eastAsia="zh-CN"/>
        </w:rPr>
      </w:pPr>
      <w:r>
        <w:rPr>
          <w:rFonts w:hint="eastAsia" w:ascii="宋体" w:hAnsi="宋体" w:eastAsia="宋体" w:cs="Times New Roman"/>
          <w:color w:val="auto"/>
          <w:szCs w:val="21"/>
          <w:highlight w:val="none"/>
          <w:lang w:val="en-US" w:eastAsia="zh-CN"/>
        </w:rPr>
        <w:t xml:space="preserve">11.1.2 </w:t>
      </w:r>
      <w:r>
        <w:rPr>
          <w:rFonts w:hint="eastAsia"/>
          <w:color w:val="auto"/>
          <w:highlight w:val="none"/>
          <w:lang w:val="en-US" w:eastAsia="zh-CN"/>
        </w:rPr>
        <w:t>招标人应组建</w:t>
      </w:r>
      <w:r>
        <w:rPr>
          <w:rFonts w:hint="eastAsia" w:ascii="宋体" w:hAnsi="宋体" w:eastAsia="宋体" w:cs="宋体"/>
          <w:color w:val="auto"/>
          <w:highlight w:val="none"/>
          <w:lang w:val="en-US" w:eastAsia="zh-CN"/>
        </w:rPr>
        <w:t>3人</w:t>
      </w:r>
      <w:r>
        <w:rPr>
          <w:rFonts w:hint="eastAsia"/>
          <w:color w:val="auto"/>
          <w:highlight w:val="none"/>
          <w:lang w:val="en-US" w:eastAsia="zh-CN"/>
        </w:rPr>
        <w:t>以上的监督小组，对招标、评标、定标全过程进行监督。</w:t>
      </w:r>
    </w:p>
    <w:p w14:paraId="636D15B3">
      <w:pPr>
        <w:spacing w:line="360" w:lineRule="auto"/>
        <w:ind w:firstLine="420" w:firstLineChars="200"/>
        <w:rPr>
          <w:rFonts w:hint="default" w:ascii="Arial" w:hAnsi="Arial" w:eastAsia="宋体" w:cs="Times New Roman"/>
          <w:b/>
          <w:bCs/>
          <w:color w:val="auto"/>
          <w:szCs w:val="28"/>
          <w:highlight w:val="none"/>
        </w:rPr>
      </w:pPr>
      <w:r>
        <w:rPr>
          <w:rFonts w:hint="eastAsia"/>
          <w:color w:val="auto"/>
          <w:highlight w:val="none"/>
          <w:lang w:val="en-US" w:eastAsia="zh-CN"/>
        </w:rPr>
        <w:t>招标人监督小组应及时指出、制止违反程序及纪律的行为，但不得就资格审查、入围筛选或者评标、定标涉及的实质内容发表意见或者参与评标委员会、定标委员会的讨论。特殊情况导致开标、评标或者定标无法继续进行的、相关人员存在违反程序及纪律的行为被指出后仍拒绝纠正的、发现招标投标活动存在其他违反相关规定行为的，招标监督小组应当及时报告行政监督部门。招标监督小组负责编制本招标项目的监督小组工作情况记录表，并于招标投标情况书面报告书备案时同步向行政监督部门提交。</w:t>
      </w:r>
    </w:p>
    <w:p w14:paraId="46E0ED9E">
      <w:pPr>
        <w:pStyle w:val="5"/>
        <w:bidi w:val="0"/>
        <w:rPr>
          <w:rFonts w:hint="eastAsia" w:ascii="宋体" w:hAnsi="宋体" w:cs="宋体"/>
          <w:color w:val="auto"/>
          <w:sz w:val="21"/>
          <w:highlight w:val="none"/>
        </w:rPr>
      </w:pPr>
      <w:bookmarkStart w:id="157" w:name="_Toc1159874690"/>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.2 对投标人的纪律要求</w:t>
      </w:r>
      <w:bookmarkEnd w:id="157"/>
    </w:p>
    <w:p w14:paraId="2BDC168C">
      <w:pPr>
        <w:spacing w:line="360" w:lineRule="auto"/>
        <w:ind w:firstLine="420" w:firstLineChars="200"/>
        <w:rPr>
          <w:rFonts w:asci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7930BF1">
      <w:pPr>
        <w:pStyle w:val="5"/>
        <w:bidi w:val="0"/>
        <w:rPr>
          <w:rFonts w:hint="eastAsia" w:ascii="宋体" w:hAnsi="宋体" w:cs="宋体"/>
          <w:color w:val="auto"/>
          <w:sz w:val="21"/>
          <w:highlight w:val="none"/>
        </w:rPr>
      </w:pPr>
      <w:bookmarkStart w:id="158" w:name="_Toc917312351"/>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.3 对评标委员会成员的纪律要求</w:t>
      </w:r>
      <w:bookmarkEnd w:id="158"/>
    </w:p>
    <w:p w14:paraId="1A03A638">
      <w:pPr>
        <w:spacing w:line="360" w:lineRule="auto"/>
        <w:ind w:firstLine="420" w:firstLineChars="200"/>
        <w:rPr>
          <w:rFonts w:ascii="宋体"/>
          <w:color w:val="auto"/>
          <w:szCs w:val="21"/>
          <w:highlight w:val="none"/>
        </w:rPr>
      </w:pPr>
      <w:r>
        <w:rPr>
          <w:rFonts w:hint="eastAsia" w:ascii="宋体" w:hAnsi="宋体"/>
          <w:color w:val="auto"/>
          <w:szCs w:val="21"/>
          <w:highlight w:val="none"/>
        </w:rPr>
        <w:t>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在评标活动中，评标委员会成员不得擅离职守，影响评标程序正常进行，不得使用第三章没有规定的评审因素和</w:t>
      </w:r>
      <w:r>
        <w:rPr>
          <w:rFonts w:hint="eastAsia" w:ascii="宋体" w:hAnsi="宋体"/>
          <w:color w:val="auto"/>
          <w:szCs w:val="21"/>
          <w:highlight w:val="none"/>
          <w:lang w:eastAsia="zh-CN"/>
        </w:rPr>
        <w:t>评审</w:t>
      </w:r>
      <w:r>
        <w:rPr>
          <w:rFonts w:hint="eastAsia" w:ascii="宋体" w:hAnsi="宋体"/>
          <w:color w:val="auto"/>
          <w:szCs w:val="21"/>
          <w:highlight w:val="none"/>
        </w:rPr>
        <w:t>标准进行评标。</w:t>
      </w:r>
    </w:p>
    <w:p w14:paraId="3771615E">
      <w:pPr>
        <w:pStyle w:val="5"/>
        <w:bidi w:val="0"/>
        <w:rPr>
          <w:rFonts w:hint="eastAsia" w:ascii="宋体" w:hAnsi="宋体" w:cs="宋体"/>
          <w:color w:val="auto"/>
          <w:sz w:val="21"/>
          <w:highlight w:val="none"/>
        </w:rPr>
      </w:pPr>
      <w:bookmarkStart w:id="159" w:name="_Toc706184677"/>
      <w:r>
        <w:rPr>
          <w:rFonts w:hint="eastAsia" w:ascii="宋体" w:hAnsi="宋体" w:cs="宋体"/>
          <w:color w:val="auto"/>
          <w:sz w:val="21"/>
          <w:highlight w:val="none"/>
        </w:rPr>
        <w:t>1</w:t>
      </w:r>
      <w:r>
        <w:rPr>
          <w:rFonts w:hint="eastAsia" w:ascii="宋体" w:hAnsi="宋体" w:cs="宋体"/>
          <w:color w:val="auto"/>
          <w:sz w:val="21"/>
          <w:highlight w:val="none"/>
          <w:lang w:val="en-US" w:eastAsia="zh-CN"/>
        </w:rPr>
        <w:t>1</w:t>
      </w:r>
      <w:r>
        <w:rPr>
          <w:rFonts w:hint="eastAsia" w:ascii="宋体" w:hAnsi="宋体" w:cs="宋体"/>
          <w:color w:val="auto"/>
          <w:sz w:val="21"/>
          <w:highlight w:val="none"/>
        </w:rPr>
        <w:t>.4 对</w:t>
      </w:r>
      <w:r>
        <w:rPr>
          <w:rFonts w:hint="eastAsia" w:ascii="宋体" w:hAnsi="宋体" w:cs="宋体"/>
          <w:color w:val="auto"/>
          <w:sz w:val="21"/>
          <w:highlight w:val="none"/>
          <w:lang w:val="en-US" w:eastAsia="zh-CN"/>
        </w:rPr>
        <w:t>资格审查、入围筛选、评标、清标及定</w:t>
      </w:r>
      <w:r>
        <w:rPr>
          <w:rFonts w:hint="eastAsia" w:ascii="宋体" w:hAnsi="宋体" w:cs="宋体"/>
          <w:color w:val="auto"/>
          <w:sz w:val="21"/>
          <w:highlight w:val="none"/>
        </w:rPr>
        <w:t>标活动有关的工作人员的纪律要求</w:t>
      </w:r>
      <w:bookmarkEnd w:id="159"/>
    </w:p>
    <w:p w14:paraId="44EA50CA">
      <w:pPr>
        <w:spacing w:line="360" w:lineRule="auto"/>
        <w:ind w:firstLine="420" w:firstLineChars="200"/>
        <w:rPr>
          <w:rFonts w:ascii="宋体"/>
          <w:color w:val="auto"/>
          <w:szCs w:val="21"/>
          <w:highlight w:val="none"/>
        </w:rPr>
      </w:pPr>
      <w:r>
        <w:rPr>
          <w:rFonts w:hint="eastAsia" w:ascii="宋体" w:hAnsi="宋体"/>
          <w:color w:val="auto"/>
          <w:szCs w:val="21"/>
          <w:highlight w:val="none"/>
        </w:rPr>
        <w:t>与资格审查、入围筛选、评标、清标及定标活动有关的工作人员不得收受他人的财物或者其他好处，不得向他人透漏对投标文件的评审和比较、</w:t>
      </w:r>
      <w:r>
        <w:rPr>
          <w:rFonts w:hint="eastAsia" w:ascii="宋体" w:hAnsi="宋体"/>
          <w:color w:val="auto"/>
          <w:szCs w:val="21"/>
          <w:highlight w:val="none"/>
          <w:lang w:val="en-US" w:eastAsia="zh-CN"/>
        </w:rPr>
        <w:t>定标候选人或</w:t>
      </w:r>
      <w:r>
        <w:rPr>
          <w:rFonts w:hint="eastAsia" w:ascii="宋体" w:hAnsi="宋体"/>
          <w:color w:val="auto"/>
          <w:szCs w:val="21"/>
          <w:highlight w:val="none"/>
        </w:rPr>
        <w:t>中标候选人的推荐情况以及</w:t>
      </w:r>
      <w:r>
        <w:rPr>
          <w:rFonts w:hint="eastAsia" w:ascii="宋体" w:hAnsi="宋体"/>
          <w:color w:val="auto"/>
          <w:szCs w:val="21"/>
          <w:highlight w:val="none"/>
          <w:lang w:val="en-US" w:eastAsia="zh-CN"/>
        </w:rPr>
        <w:t>与</w:t>
      </w:r>
      <w:r>
        <w:rPr>
          <w:rFonts w:hint="eastAsia" w:ascii="宋体" w:hAnsi="宋体"/>
          <w:color w:val="auto"/>
          <w:szCs w:val="21"/>
          <w:highlight w:val="none"/>
        </w:rPr>
        <w:t>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w:t>
      </w:r>
      <w:r>
        <w:rPr>
          <w:rFonts w:hint="eastAsia" w:ascii="宋体" w:hAnsi="宋体"/>
          <w:color w:val="auto"/>
          <w:szCs w:val="21"/>
          <w:highlight w:val="none"/>
        </w:rPr>
        <w:t>有关的其他情况。在</w:t>
      </w:r>
      <w:r>
        <w:rPr>
          <w:rFonts w:hint="eastAsia" w:ascii="宋体" w:hAnsi="宋体"/>
          <w:color w:val="auto"/>
          <w:szCs w:val="21"/>
          <w:highlight w:val="none"/>
          <w:lang w:val="en-US" w:eastAsia="zh-CN"/>
        </w:rPr>
        <w:t>资格审查、入围筛选、</w:t>
      </w:r>
      <w:r>
        <w:rPr>
          <w:rFonts w:hint="eastAsia" w:ascii="宋体" w:hAnsi="宋体"/>
          <w:color w:val="auto"/>
          <w:szCs w:val="21"/>
          <w:highlight w:val="none"/>
        </w:rPr>
        <w:t>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清标及定标</w:t>
      </w:r>
      <w:r>
        <w:rPr>
          <w:rFonts w:hint="eastAsia" w:ascii="宋体" w:hAnsi="宋体"/>
          <w:color w:val="auto"/>
          <w:szCs w:val="21"/>
          <w:highlight w:val="none"/>
        </w:rPr>
        <w:t>活动中，有关的工作人员不得擅离职守，影响评标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w:t>
      </w:r>
      <w:r>
        <w:rPr>
          <w:rFonts w:hint="eastAsia" w:ascii="宋体" w:hAnsi="宋体"/>
          <w:color w:val="auto"/>
          <w:szCs w:val="21"/>
          <w:highlight w:val="none"/>
        </w:rPr>
        <w:t>程序正常进行。</w:t>
      </w:r>
    </w:p>
    <w:p w14:paraId="70179A23">
      <w:pPr>
        <w:pStyle w:val="5"/>
        <w:bidi w:val="0"/>
        <w:rPr>
          <w:rFonts w:hint="eastAsia" w:ascii="宋体" w:hAnsi="宋体" w:cs="宋体"/>
          <w:color w:val="auto"/>
          <w:sz w:val="21"/>
          <w:highlight w:val="none"/>
        </w:rPr>
      </w:pPr>
      <w:bookmarkStart w:id="160" w:name="_Toc1288847247"/>
      <w:r>
        <w:rPr>
          <w:rFonts w:hint="eastAsia" w:ascii="宋体" w:hAnsi="宋体" w:cs="宋体"/>
          <w:color w:val="auto"/>
          <w:sz w:val="21"/>
          <w:highlight w:val="none"/>
          <w:lang w:val="en-US" w:eastAsia="zh-CN"/>
        </w:rPr>
        <w:t>11</w:t>
      </w:r>
      <w:r>
        <w:rPr>
          <w:rFonts w:hint="eastAsia" w:ascii="宋体" w:hAnsi="宋体" w:cs="宋体"/>
          <w:color w:val="auto"/>
          <w:sz w:val="21"/>
          <w:highlight w:val="none"/>
        </w:rPr>
        <w:t>.5 异议</w:t>
      </w:r>
      <w:bookmarkEnd w:id="160"/>
    </w:p>
    <w:p w14:paraId="08801FE1">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color w:val="auto"/>
          <w:szCs w:val="21"/>
          <w:highlight w:val="none"/>
          <w:lang w:val="en-US" w:eastAsia="zh-CN"/>
        </w:rPr>
        <w:t>11.5.1 参加现场开标投标人对开标有异议的，应当在开标现场提出，招标人当场作出答复，并制作记录。参加在线开标的投标人对开标结果有异议的，</w:t>
      </w:r>
      <w:r>
        <w:rPr>
          <w:rFonts w:hint="eastAsia"/>
          <w:color w:val="auto"/>
          <w:highlight w:val="none"/>
        </w:rPr>
        <w:t>应当在开标时间通过</w:t>
      </w:r>
      <w:r>
        <w:rPr>
          <w:rFonts w:hint="eastAsia"/>
          <w:color w:val="auto"/>
          <w:highlight w:val="none"/>
          <w:lang w:eastAsia="zh-CN"/>
        </w:rPr>
        <w:t>工程建设交易系统</w:t>
      </w:r>
      <w:r>
        <w:rPr>
          <w:rFonts w:hint="eastAsia"/>
          <w:color w:val="auto"/>
          <w:highlight w:val="none"/>
        </w:rPr>
        <w:t>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14:paraId="0AA122E0">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eastAsia="宋体" w:cs="Times New Roman"/>
          <w:color w:val="auto"/>
          <w:szCs w:val="21"/>
          <w:highlight w:val="none"/>
          <w:lang w:val="en-US" w:eastAsia="zh-CN"/>
        </w:rPr>
        <w:t>11.5.2 潜在</w:t>
      </w:r>
      <w:r>
        <w:rPr>
          <w:rFonts w:hint="eastAsia" w:ascii="Times New Roman" w:hAnsi="Times New Roman" w:eastAsia="宋体" w:cs="Times New Roman"/>
          <w:b w:val="0"/>
          <w:bCs w:val="0"/>
          <w:color w:val="auto"/>
          <w:sz w:val="21"/>
          <w:szCs w:val="24"/>
          <w:highlight w:val="none"/>
        </w:rPr>
        <w:t>投标人或者其他利害关系人</w:t>
      </w:r>
      <w:r>
        <w:rPr>
          <w:rFonts w:hint="eastAsia" w:ascii="宋体" w:hAnsi="宋体"/>
          <w:b w:val="0"/>
          <w:bCs w:val="0"/>
          <w:color w:val="auto"/>
          <w:szCs w:val="21"/>
          <w:highlight w:val="none"/>
        </w:rPr>
        <w:t>对资格预审文件有异议的，应当在提交资格预审申请文件截止时间2日前提出；</w:t>
      </w:r>
      <w:r>
        <w:rPr>
          <w:rFonts w:hint="eastAsia" w:ascii="Times New Roman" w:hAnsi="Times New Roman" w:eastAsia="宋体" w:cs="Times New Roman"/>
          <w:b w:val="0"/>
          <w:bCs w:val="0"/>
          <w:color w:val="auto"/>
          <w:sz w:val="21"/>
          <w:szCs w:val="24"/>
          <w:highlight w:val="none"/>
        </w:rPr>
        <w:t>对招标文件有异议的，应当在投标截止时间</w:t>
      </w:r>
      <w:r>
        <w:rPr>
          <w:rFonts w:hint="eastAsia" w:ascii="宋体" w:hAnsi="宋体" w:eastAsia="宋体" w:cs="Times New Roman"/>
          <w:b w:val="0"/>
          <w:bCs w:val="0"/>
          <w:color w:val="auto"/>
          <w:kern w:val="2"/>
          <w:sz w:val="21"/>
          <w:szCs w:val="21"/>
          <w:highlight w:val="none"/>
          <w:lang w:val="en-US" w:eastAsia="zh-CN" w:bidi="ar-SA"/>
        </w:rPr>
        <w:t>10</w:t>
      </w:r>
      <w:r>
        <w:rPr>
          <w:rFonts w:hint="eastAsia" w:ascii="Times New Roman" w:hAnsi="Times New Roman" w:eastAsia="宋体" w:cs="Times New Roman"/>
          <w:b w:val="0"/>
          <w:bCs w:val="0"/>
          <w:color w:val="auto"/>
          <w:sz w:val="21"/>
          <w:szCs w:val="24"/>
          <w:highlight w:val="none"/>
        </w:rPr>
        <w:t>日前以书面形式提出。</w:t>
      </w:r>
      <w:r>
        <w:rPr>
          <w:rFonts w:hint="eastAsia" w:ascii="宋体" w:hAnsi="宋体" w:eastAsia="宋体" w:cs="Times New Roman"/>
          <w:b w:val="0"/>
          <w:bCs w:val="0"/>
          <w:color w:val="auto"/>
          <w:szCs w:val="21"/>
          <w:highlight w:val="none"/>
        </w:rPr>
        <w:t>投标人或者其他利害关系人对评标结果有异议的，应当在评标结果公示期间提出</w:t>
      </w: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rPr>
        <w:t>投标人或者其他利害关系人对定标结果有异议的，应当在</w:t>
      </w:r>
      <w:r>
        <w:rPr>
          <w:rFonts w:hint="eastAsia" w:ascii="宋体" w:hAnsi="宋体" w:eastAsia="宋体" w:cs="Times New Roman"/>
          <w:b w:val="0"/>
          <w:bCs w:val="0"/>
          <w:color w:val="auto"/>
          <w:szCs w:val="21"/>
          <w:highlight w:val="none"/>
          <w:lang w:val="en-US" w:eastAsia="zh-CN"/>
        </w:rPr>
        <w:t>中标候选人</w:t>
      </w:r>
      <w:r>
        <w:rPr>
          <w:rFonts w:hint="eastAsia" w:ascii="宋体" w:hAnsi="宋体" w:eastAsia="宋体" w:cs="Times New Roman"/>
          <w:b w:val="0"/>
          <w:bCs w:val="0"/>
          <w:color w:val="auto"/>
          <w:szCs w:val="21"/>
          <w:highlight w:val="none"/>
        </w:rPr>
        <w:t>公示期间提出。招标人</w:t>
      </w:r>
      <w:r>
        <w:rPr>
          <w:rFonts w:hint="eastAsia" w:ascii="宋体" w:hAnsi="宋体" w:eastAsia="宋体" w:cs="Times New Roman"/>
          <w:b w:val="0"/>
          <w:bCs w:val="0"/>
          <w:color w:val="auto"/>
          <w:szCs w:val="21"/>
          <w:highlight w:val="none"/>
          <w:lang w:val="en-US" w:eastAsia="zh-CN"/>
        </w:rPr>
        <w:t>应当</w:t>
      </w:r>
      <w:r>
        <w:rPr>
          <w:rFonts w:hint="eastAsia" w:ascii="宋体" w:hAnsi="宋体" w:eastAsia="宋体" w:cs="Times New Roman"/>
          <w:b w:val="0"/>
          <w:bCs w:val="0"/>
          <w:color w:val="auto"/>
          <w:szCs w:val="21"/>
          <w:highlight w:val="none"/>
        </w:rPr>
        <w:t>自收到异议之日起3日内作出答复；</w:t>
      </w:r>
      <w:r>
        <w:rPr>
          <w:rFonts w:hint="eastAsia" w:ascii="宋体" w:hAnsi="宋体" w:eastAsia="宋体" w:cs="Times New Roman"/>
          <w:b w:val="0"/>
          <w:bCs w:val="0"/>
          <w:color w:val="auto"/>
          <w:szCs w:val="21"/>
          <w:highlight w:val="none"/>
          <w:lang w:val="en-US" w:eastAsia="zh-CN"/>
        </w:rPr>
        <w:t>作出答复前，将暂停招标投标活动。</w:t>
      </w:r>
      <w:r>
        <w:rPr>
          <w:rFonts w:hint="eastAsia" w:ascii="宋体" w:hAnsi="宋体"/>
          <w:b w:val="0"/>
          <w:bCs w:val="0"/>
          <w:color w:val="auto"/>
          <w:szCs w:val="21"/>
          <w:highlight w:val="none"/>
        </w:rPr>
        <w:t>异议可通过广东省公共资源交易平台（交易系统）的“在线提出异议”栏目向招标人提出，也可线下直接向招标人递交异议文件。</w:t>
      </w:r>
    </w:p>
    <w:p w14:paraId="68E0387F">
      <w:pPr>
        <w:pageBreakBefore w:val="0"/>
        <w:kinsoku/>
        <w:wordWrap/>
        <w:overflowPunct/>
        <w:topLinePunct w:val="0"/>
        <w:bidi w:val="0"/>
        <w:spacing w:line="360" w:lineRule="auto"/>
        <w:ind w:firstLine="420" w:firstLineChars="200"/>
        <w:textAlignment w:val="auto"/>
        <w:rPr>
          <w:rFonts w:hint="eastAsia" w:ascii="宋体" w:hAnsi="宋体" w:eastAsia="宋体" w:cs="宋体"/>
          <w:b/>
          <w:bCs/>
          <w:color w:val="auto"/>
          <w:kern w:val="2"/>
          <w:sz w:val="21"/>
          <w:szCs w:val="32"/>
          <w:highlight w:val="none"/>
          <w:lang w:val="en-US" w:eastAsia="zh-CN" w:bidi="ar-SA"/>
        </w:rPr>
      </w:pPr>
      <w:r>
        <w:rPr>
          <w:rFonts w:hint="eastAsia" w:ascii="宋体" w:hAnsi="宋体"/>
          <w:color w:val="auto"/>
          <w:szCs w:val="21"/>
          <w:highlight w:val="none"/>
          <w:lang w:val="en-US" w:eastAsia="zh-CN"/>
        </w:rPr>
        <w:t xml:space="preserve">11.5.3 </w:t>
      </w:r>
      <w:r>
        <w:rPr>
          <w:rFonts w:hint="eastAsia" w:ascii="宋体" w:hAnsi="宋体"/>
          <w:color w:val="auto"/>
          <w:szCs w:val="21"/>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委托代理人的，委托代理人没有相应的授权委托书和有效身份证明复印件，或者有关委托代理权限和事项不明确的。</w:t>
      </w:r>
    </w:p>
    <w:p w14:paraId="7C396D02">
      <w:pPr>
        <w:pStyle w:val="5"/>
        <w:rPr>
          <w:rFonts w:hint="eastAsia" w:ascii="宋体" w:hAnsi="宋体" w:cs="宋体"/>
          <w:color w:val="auto"/>
          <w:sz w:val="21"/>
          <w:szCs w:val="32"/>
          <w:highlight w:val="none"/>
          <w:lang w:val="en-US" w:eastAsia="zh-CN"/>
        </w:rPr>
      </w:pPr>
      <w:r>
        <w:rPr>
          <w:rFonts w:hint="eastAsia" w:ascii="宋体" w:hAnsi="宋体" w:cs="宋体"/>
          <w:color w:val="auto"/>
          <w:sz w:val="21"/>
          <w:szCs w:val="32"/>
          <w:highlight w:val="none"/>
          <w:lang w:val="en-US" w:eastAsia="zh-CN"/>
        </w:rPr>
        <w:t>11.6 投诉</w:t>
      </w:r>
    </w:p>
    <w:p w14:paraId="7278D0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和其他利害关系人认为本次招标活动不符合法律行政法规规定的，可以自知道或者应当知道之日起10个日历天内向有关行政监督部门投诉。投诉应当按照《工程建设项目招标投标活动投诉处理办法（2013年修订）》的规定提出明确的请求和提供必要的证明材料。</w:t>
      </w:r>
    </w:p>
    <w:p w14:paraId="67137548">
      <w:pPr>
        <w:spacing w:line="360" w:lineRule="auto"/>
        <w:ind w:firstLine="420" w:firstLineChars="200"/>
        <w:rPr>
          <w:rFonts w:hint="eastAsia" w:ascii="宋体" w:hAnsi="宋体"/>
          <w:color w:val="auto"/>
          <w:szCs w:val="21"/>
          <w:highlight w:val="none"/>
        </w:rPr>
      </w:pPr>
      <w:r>
        <w:rPr>
          <w:rFonts w:hint="eastAsia" w:ascii="宋体" w:hAnsi="宋体"/>
          <w:bCs/>
          <w:color w:val="auto"/>
          <w:highlight w:val="none"/>
        </w:rPr>
        <w:t>投诉可通过广东省公共资源交易平台（交易系统）的“在线提出投诉”栏目向有关行政监督部门提出，也可线下直接向有关行政监督部门递交投诉文件。</w:t>
      </w:r>
      <w:r>
        <w:rPr>
          <w:rFonts w:hint="eastAsia" w:ascii="宋体" w:hAnsi="宋体"/>
          <w:color w:val="auto"/>
          <w:szCs w:val="21"/>
          <w:highlight w:val="none"/>
          <w:lang w:val="en-US" w:eastAsia="zh-CN"/>
        </w:rPr>
        <w:t>就</w:t>
      </w:r>
      <w:r>
        <w:rPr>
          <w:rFonts w:hint="eastAsia" w:ascii="宋体" w:hAnsi="宋体"/>
          <w:color w:val="auto"/>
          <w:szCs w:val="21"/>
          <w:highlight w:val="none"/>
        </w:rPr>
        <w:t>招标文件、开标、评标结果</w:t>
      </w:r>
      <w:r>
        <w:rPr>
          <w:rFonts w:hint="eastAsia" w:ascii="宋体" w:hAnsi="宋体"/>
          <w:color w:val="auto"/>
          <w:szCs w:val="21"/>
          <w:highlight w:val="none"/>
          <w:lang w:val="en-US" w:eastAsia="zh-CN"/>
        </w:rPr>
        <w:t>或</w:t>
      </w:r>
      <w:r>
        <w:rPr>
          <w:rFonts w:hint="eastAsia" w:ascii="宋体" w:hAnsi="宋体"/>
          <w:color w:val="auto"/>
          <w:szCs w:val="21"/>
          <w:highlight w:val="none"/>
        </w:rPr>
        <w:t>定标结果</w:t>
      </w:r>
      <w:r>
        <w:rPr>
          <w:rFonts w:hint="eastAsia" w:ascii="宋体" w:hAnsi="宋体"/>
          <w:color w:val="auto"/>
          <w:szCs w:val="21"/>
          <w:highlight w:val="none"/>
          <w:lang w:val="en-US" w:eastAsia="zh-CN"/>
        </w:rPr>
        <w:t>提出的投诉，</w:t>
      </w:r>
      <w:r>
        <w:rPr>
          <w:rFonts w:hint="eastAsia" w:ascii="宋体" w:hAnsi="宋体"/>
          <w:color w:val="auto"/>
          <w:szCs w:val="21"/>
          <w:highlight w:val="none"/>
        </w:rPr>
        <w:t>应先向招标人提出异议而没有提出异议的，行政监督部门不予受理。</w:t>
      </w:r>
    </w:p>
    <w:p w14:paraId="291ACB82">
      <w:pPr>
        <w:spacing w:line="360" w:lineRule="auto"/>
        <w:ind w:firstLine="420" w:firstLineChars="200"/>
        <w:rPr>
          <w:rFonts w:hint="eastAsia"/>
          <w:color w:val="auto"/>
          <w:highlight w:val="none"/>
        </w:rPr>
      </w:pPr>
      <w:r>
        <w:rPr>
          <w:rFonts w:hint="eastAsia" w:ascii="宋体" w:hAnsi="宋体"/>
          <w:color w:val="auto"/>
          <w:szCs w:val="21"/>
          <w:highlight w:val="none"/>
        </w:rPr>
        <w:t>被投诉单位在收到查询函5个工作日内向招标人及行政监督部门提供书面回复及有效的证明资料。</w:t>
      </w:r>
    </w:p>
    <w:p w14:paraId="7FE6D8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依法必须进行招标的项目的招标投标活动违反招标投标法和招标投标法实施条例的规定，对中标结果造成实质性影响，且不能采取补救措施予以纠正的，招标、投标、中标无效，应当依法重新组织招标或评标</w:t>
      </w:r>
      <w:r>
        <w:rPr>
          <w:rFonts w:hint="eastAsia" w:ascii="宋体" w:hAnsi="宋体"/>
          <w:color w:val="auto"/>
          <w:szCs w:val="21"/>
          <w:highlight w:val="none"/>
          <w:lang w:eastAsia="zh-CN"/>
        </w:rPr>
        <w:t>或定标</w:t>
      </w:r>
      <w:r>
        <w:rPr>
          <w:rFonts w:hint="eastAsia" w:ascii="宋体" w:hAnsi="宋体"/>
          <w:color w:val="auto"/>
          <w:szCs w:val="21"/>
          <w:highlight w:val="none"/>
        </w:rPr>
        <w:t>。</w:t>
      </w:r>
    </w:p>
    <w:p w14:paraId="1F31FA00">
      <w:pPr>
        <w:pStyle w:val="4"/>
        <w:numPr>
          <w:ilvl w:val="0"/>
          <w:numId w:val="0"/>
        </w:numPr>
        <w:bidi w:val="0"/>
        <w:rPr>
          <w:rFonts w:hint="eastAsia" w:ascii="宋体" w:hAnsi="宋体" w:cs="宋体"/>
          <w:color w:val="auto"/>
          <w:highlight w:val="none"/>
          <w:lang w:val="en-US" w:eastAsia="zh-CN"/>
        </w:rPr>
      </w:pPr>
      <w:bookmarkStart w:id="161" w:name="_Toc1192854403"/>
      <w:bookmarkStart w:id="162" w:name="_Toc534073932"/>
      <w:r>
        <w:rPr>
          <w:rFonts w:hint="eastAsia" w:ascii="宋体" w:hAnsi="宋体" w:cs="宋体"/>
          <w:color w:val="auto"/>
          <w:highlight w:val="none"/>
          <w:lang w:val="en-US" w:eastAsia="zh-CN"/>
        </w:rPr>
        <w:t>12. 项目管理机构基本要求</w:t>
      </w:r>
      <w:bookmarkEnd w:id="161"/>
      <w:bookmarkEnd w:id="162"/>
    </w:p>
    <w:p w14:paraId="192A6654">
      <w:pPr>
        <w:spacing w:line="360" w:lineRule="auto"/>
        <w:jc w:val="center"/>
        <w:rPr>
          <w:rFonts w:hint="eastAsia" w:ascii="宋体"/>
          <w:b/>
          <w:bCs/>
          <w:color w:val="auto"/>
          <w:szCs w:val="21"/>
          <w:highlight w:val="none"/>
        </w:rPr>
      </w:pPr>
      <w:r>
        <w:rPr>
          <w:rFonts w:hint="eastAsia" w:ascii="宋体"/>
          <w:b/>
          <w:bCs/>
          <w:color w:val="auto"/>
          <w:szCs w:val="21"/>
          <w:highlight w:val="none"/>
        </w:rPr>
        <w:t>《</w:t>
      </w:r>
      <w:r>
        <w:rPr>
          <w:rFonts w:hint="eastAsia" w:ascii="宋体"/>
          <w:b/>
          <w:bCs/>
          <w:color w:val="auto"/>
          <w:szCs w:val="21"/>
          <w:highlight w:val="none"/>
          <w:lang w:val="en-US" w:eastAsia="zh-CN"/>
        </w:rPr>
        <w:t>项目管理机构主要人员配置表</w:t>
      </w:r>
      <w:r>
        <w:rPr>
          <w:rFonts w:hint="eastAsia" w:ascii="宋体"/>
          <w:b/>
          <w:bCs/>
          <w:color w:val="auto"/>
          <w:szCs w:val="21"/>
          <w:highlight w:val="none"/>
        </w:rPr>
        <w:t>》</w:t>
      </w:r>
    </w:p>
    <w:tbl>
      <w:tblPr>
        <w:tblStyle w:val="26"/>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440"/>
        <w:gridCol w:w="3703"/>
        <w:gridCol w:w="2986"/>
      </w:tblGrid>
      <w:tr w14:paraId="55CC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2E8116AF">
            <w:pPr>
              <w:spacing w:line="360" w:lineRule="auto"/>
              <w:jc w:val="center"/>
              <w:rPr>
                <w:rFonts w:hint="eastAsia" w:ascii="宋体"/>
                <w:b/>
                <w:bCs/>
                <w:color w:val="auto"/>
                <w:szCs w:val="21"/>
                <w:highlight w:val="none"/>
              </w:rPr>
            </w:pPr>
            <w:r>
              <w:rPr>
                <w:rFonts w:hint="eastAsia" w:ascii="宋体"/>
                <w:b/>
                <w:bCs/>
                <w:color w:val="auto"/>
                <w:szCs w:val="21"/>
                <w:highlight w:val="none"/>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C3F25E6">
            <w:pPr>
              <w:spacing w:line="360" w:lineRule="auto"/>
              <w:jc w:val="center"/>
              <w:rPr>
                <w:rFonts w:hint="eastAsia" w:ascii="宋体"/>
                <w:b/>
                <w:bCs/>
                <w:color w:val="auto"/>
                <w:szCs w:val="21"/>
                <w:highlight w:val="none"/>
              </w:rPr>
            </w:pPr>
            <w:r>
              <w:rPr>
                <w:rFonts w:hint="eastAsia" w:ascii="宋体"/>
                <w:b/>
                <w:bCs/>
                <w:color w:val="auto"/>
                <w:szCs w:val="21"/>
                <w:highlight w:val="none"/>
              </w:rPr>
              <w:t>人员名称</w:t>
            </w:r>
          </w:p>
        </w:tc>
        <w:tc>
          <w:tcPr>
            <w:tcW w:w="3703" w:type="dxa"/>
            <w:tcBorders>
              <w:top w:val="single" w:color="auto" w:sz="4" w:space="0"/>
              <w:left w:val="single" w:color="auto" w:sz="4" w:space="0"/>
              <w:bottom w:val="single" w:color="auto" w:sz="4" w:space="0"/>
              <w:right w:val="single" w:color="auto" w:sz="4" w:space="0"/>
            </w:tcBorders>
            <w:noWrap w:val="0"/>
            <w:vAlign w:val="center"/>
          </w:tcPr>
          <w:p w14:paraId="4DAC2966">
            <w:pPr>
              <w:spacing w:line="360" w:lineRule="auto"/>
              <w:jc w:val="center"/>
              <w:rPr>
                <w:rFonts w:hint="eastAsia" w:ascii="宋体"/>
                <w:b/>
                <w:bCs/>
                <w:color w:val="auto"/>
                <w:szCs w:val="21"/>
                <w:highlight w:val="none"/>
              </w:rPr>
            </w:pPr>
            <w:r>
              <w:rPr>
                <w:rFonts w:hint="eastAsia" w:ascii="宋体"/>
                <w:b/>
                <w:bCs/>
                <w:color w:val="auto"/>
                <w:szCs w:val="21"/>
                <w:highlight w:val="none"/>
              </w:rPr>
              <w:t>专业</w:t>
            </w:r>
          </w:p>
        </w:tc>
        <w:tc>
          <w:tcPr>
            <w:tcW w:w="2986" w:type="dxa"/>
            <w:tcBorders>
              <w:top w:val="single" w:color="auto" w:sz="4" w:space="0"/>
              <w:left w:val="single" w:color="auto" w:sz="4" w:space="0"/>
              <w:bottom w:val="single" w:color="auto" w:sz="4" w:space="0"/>
              <w:right w:val="single" w:color="auto" w:sz="4" w:space="0"/>
            </w:tcBorders>
            <w:noWrap w:val="0"/>
            <w:vAlign w:val="center"/>
          </w:tcPr>
          <w:p w14:paraId="4AADC50A">
            <w:pPr>
              <w:spacing w:line="360" w:lineRule="auto"/>
              <w:jc w:val="center"/>
              <w:rPr>
                <w:rFonts w:hint="eastAsia" w:ascii="宋体"/>
                <w:b/>
                <w:bCs/>
                <w:color w:val="auto"/>
                <w:szCs w:val="21"/>
                <w:highlight w:val="none"/>
              </w:rPr>
            </w:pPr>
            <w:r>
              <w:rPr>
                <w:rFonts w:hint="eastAsia" w:ascii="宋体"/>
                <w:b/>
                <w:bCs/>
                <w:color w:val="auto"/>
                <w:szCs w:val="21"/>
                <w:highlight w:val="none"/>
              </w:rPr>
              <w:t>备注</w:t>
            </w:r>
          </w:p>
        </w:tc>
      </w:tr>
      <w:tr w14:paraId="694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520B4C3E">
            <w:pPr>
              <w:spacing w:line="360" w:lineRule="auto"/>
              <w:jc w:val="center"/>
              <w:rPr>
                <w:rFonts w:hint="eastAsia" w:ascii="宋体"/>
                <w:b/>
                <w:bCs/>
                <w:color w:val="auto"/>
                <w:szCs w:val="21"/>
                <w:highlight w:val="none"/>
              </w:rPr>
            </w:pPr>
            <w:r>
              <w:rPr>
                <w:rFonts w:hint="eastAsia" w:ascii="宋体"/>
                <w:b/>
                <w:bCs/>
                <w:color w:val="auto"/>
                <w:szCs w:val="21"/>
                <w:highlight w:val="none"/>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E47B486">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14:paraId="22AA8AA7">
            <w:pPr>
              <w:spacing w:line="360" w:lineRule="auto"/>
              <w:jc w:val="center"/>
              <w:rPr>
                <w:rFonts w:hint="default" w:ascii="宋体" w:eastAsia="宋体"/>
                <w:bCs/>
                <w:color w:val="auto"/>
                <w:szCs w:val="21"/>
                <w:highlight w:val="none"/>
                <w:u w:val="single"/>
                <w:lang w:val="en-US" w:eastAsia="zh-CN"/>
              </w:rPr>
            </w:pPr>
            <w:permStart w:id="112" w:edGrp="everyone"/>
            <w:r>
              <w:rPr>
                <w:rFonts w:hint="eastAsia" w:ascii="宋体" w:eastAsia="宋体"/>
                <w:bCs/>
                <w:color w:val="auto"/>
                <w:szCs w:val="21"/>
                <w:highlight w:val="none"/>
                <w:u w:val="single"/>
                <w:lang w:val="en-US" w:eastAsia="zh-CN"/>
              </w:rPr>
              <w:t xml:space="preserve"> 市政类</w:t>
            </w:r>
            <w:r>
              <w:rPr>
                <w:rFonts w:hint="eastAsia" w:ascii="宋体"/>
                <w:bCs/>
                <w:color w:val="auto"/>
                <w:szCs w:val="21"/>
                <w:highlight w:val="none"/>
                <w:u w:val="single"/>
                <w:lang w:val="en-US" w:eastAsia="zh-CN"/>
              </w:rPr>
              <w:t>高级</w:t>
            </w:r>
            <w:r>
              <w:rPr>
                <w:rFonts w:hint="eastAsia" w:ascii="宋体" w:eastAsia="宋体"/>
                <w:bCs/>
                <w:color w:val="auto"/>
                <w:szCs w:val="21"/>
                <w:highlight w:val="none"/>
                <w:u w:val="single"/>
                <w:lang w:val="en-US" w:eastAsia="zh-CN"/>
              </w:rPr>
              <w:t xml:space="preserve">工程师或以上职称 </w:t>
            </w:r>
            <w:permEnd w:id="112"/>
          </w:p>
        </w:tc>
        <w:tc>
          <w:tcPr>
            <w:tcW w:w="2986" w:type="dxa"/>
            <w:tcBorders>
              <w:top w:val="single" w:color="auto" w:sz="4" w:space="0"/>
              <w:left w:val="single" w:color="auto" w:sz="4" w:space="0"/>
              <w:bottom w:val="single" w:color="auto" w:sz="4" w:space="0"/>
              <w:right w:val="single" w:color="auto" w:sz="4" w:space="0"/>
            </w:tcBorders>
            <w:noWrap w:val="0"/>
            <w:vAlign w:val="center"/>
          </w:tcPr>
          <w:p w14:paraId="77A853BE">
            <w:pPr>
              <w:spacing w:line="360" w:lineRule="auto"/>
              <w:ind w:firstLine="420" w:firstLineChars="200"/>
              <w:jc w:val="center"/>
              <w:rPr>
                <w:rFonts w:hint="eastAsia" w:ascii="宋体"/>
                <w:bCs/>
                <w:color w:val="auto"/>
                <w:szCs w:val="21"/>
                <w:highlight w:val="none"/>
              </w:rPr>
            </w:pPr>
            <w:r>
              <w:rPr>
                <w:rFonts w:hint="eastAsia" w:ascii="宋体"/>
                <w:bCs/>
                <w:color w:val="auto"/>
                <w:szCs w:val="21"/>
                <w:highlight w:val="none"/>
              </w:rPr>
              <w:t>提供</w:t>
            </w:r>
            <w:permStart w:id="113" w:edGrp="everyone"/>
            <w:r>
              <w:rPr>
                <w:rFonts w:hint="eastAsia"/>
                <w:color w:val="auto"/>
                <w:szCs w:val="21"/>
                <w:highlight w:val="none"/>
                <w:u w:val="single"/>
                <w:lang w:val="en-US" w:eastAsia="zh-CN"/>
              </w:rPr>
              <w:t>职称</w:t>
            </w:r>
            <w:permEnd w:id="113"/>
            <w:r>
              <w:rPr>
                <w:rFonts w:hint="eastAsia"/>
                <w:color w:val="auto"/>
                <w:szCs w:val="21"/>
                <w:highlight w:val="none"/>
              </w:rPr>
              <w:t>证、身份证、社保证明</w:t>
            </w:r>
            <w:r>
              <w:rPr>
                <w:rFonts w:hint="eastAsia"/>
                <w:color w:val="auto"/>
                <w:szCs w:val="21"/>
                <w:highlight w:val="none"/>
                <w:lang w:eastAsia="zh-CN"/>
              </w:rPr>
              <w:t>的</w:t>
            </w:r>
            <w:r>
              <w:rPr>
                <w:rFonts w:hint="eastAsia"/>
                <w:color w:val="auto"/>
                <w:szCs w:val="21"/>
                <w:highlight w:val="none"/>
              </w:rPr>
              <w:t>复印件</w:t>
            </w:r>
            <w:r>
              <w:rPr>
                <w:rFonts w:hint="eastAsia"/>
                <w:color w:val="auto"/>
                <w:szCs w:val="21"/>
                <w:highlight w:val="none"/>
                <w:lang w:eastAsia="zh-CN"/>
              </w:rPr>
              <w:t>或扫描件</w:t>
            </w:r>
          </w:p>
        </w:tc>
      </w:tr>
      <w:tr w14:paraId="2415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16825B30">
            <w:pPr>
              <w:spacing w:line="360" w:lineRule="auto"/>
              <w:jc w:val="center"/>
              <w:rPr>
                <w:rFonts w:hint="eastAsia" w:ascii="宋体"/>
                <w:b/>
                <w:bCs/>
                <w:color w:val="auto"/>
                <w:szCs w:val="21"/>
                <w:highlight w:val="none"/>
              </w:rPr>
            </w:pPr>
            <w:r>
              <w:rPr>
                <w:rFonts w:hint="eastAsia" w:ascii="宋体"/>
                <w:b/>
                <w:bCs/>
                <w:color w:val="auto"/>
                <w:szCs w:val="21"/>
                <w:highlight w:val="none"/>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926B6EE">
            <w:pPr>
              <w:spacing w:line="360" w:lineRule="auto"/>
              <w:jc w:val="center"/>
              <w:rPr>
                <w:rFonts w:hint="eastAsia" w:ascii="宋体"/>
                <w:color w:val="auto"/>
                <w:szCs w:val="21"/>
                <w:highlight w:val="none"/>
              </w:rPr>
            </w:pPr>
            <w:r>
              <w:rPr>
                <w:rFonts w:hint="eastAsia" w:ascii="宋体"/>
                <w:color w:val="auto"/>
                <w:szCs w:val="21"/>
                <w:highlight w:val="none"/>
                <w:lang w:val="en-US" w:eastAsia="zh-CN"/>
              </w:rPr>
              <w:t>勘察项目负责人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14:paraId="185A8BB0">
            <w:pPr>
              <w:spacing w:line="360" w:lineRule="auto"/>
              <w:jc w:val="center"/>
              <w:rPr>
                <w:rFonts w:hint="eastAsia" w:ascii="宋体"/>
                <w:bCs/>
                <w:color w:val="auto"/>
                <w:szCs w:val="21"/>
                <w:highlight w:val="none"/>
              </w:rPr>
            </w:pPr>
            <w:permStart w:id="114" w:edGrp="everyone"/>
            <w:r>
              <w:rPr>
                <w:rFonts w:hint="eastAsia"/>
                <w:color w:val="auto"/>
                <w:szCs w:val="21"/>
                <w:u w:val="single"/>
                <w:lang w:bidi="ar"/>
              </w:rPr>
              <w:t>注册土木工程师（岩土）</w:t>
            </w:r>
            <w:r>
              <w:rPr>
                <w:rFonts w:hint="eastAsia" w:ascii="宋体" w:eastAsia="宋体"/>
                <w:bCs/>
                <w:color w:val="auto"/>
                <w:szCs w:val="21"/>
                <w:highlight w:val="none"/>
                <w:u w:val="single"/>
                <w:lang w:val="en-US" w:eastAsia="zh-CN"/>
              </w:rPr>
              <w:t xml:space="preserve"> </w:t>
            </w:r>
            <w:permEnd w:id="114"/>
          </w:p>
        </w:tc>
        <w:tc>
          <w:tcPr>
            <w:tcW w:w="2986" w:type="dxa"/>
            <w:tcBorders>
              <w:top w:val="single" w:color="auto" w:sz="4" w:space="0"/>
              <w:left w:val="single" w:color="auto" w:sz="4" w:space="0"/>
              <w:bottom w:val="single" w:color="auto" w:sz="4" w:space="0"/>
              <w:right w:val="single" w:color="auto" w:sz="4" w:space="0"/>
            </w:tcBorders>
            <w:noWrap w:val="0"/>
            <w:vAlign w:val="center"/>
          </w:tcPr>
          <w:p w14:paraId="51DF069E">
            <w:pPr>
              <w:spacing w:line="360" w:lineRule="auto"/>
              <w:ind w:firstLine="420" w:firstLineChars="200"/>
              <w:jc w:val="center"/>
              <w:rPr>
                <w:rFonts w:hint="eastAsia" w:ascii="宋体" w:eastAsia="宋体"/>
                <w:bCs/>
                <w:color w:val="auto"/>
                <w:szCs w:val="21"/>
                <w:highlight w:val="none"/>
                <w:lang w:eastAsia="zh-CN"/>
              </w:rPr>
            </w:pPr>
            <w:r>
              <w:rPr>
                <w:rFonts w:hint="eastAsia" w:ascii="宋体"/>
                <w:bCs/>
                <w:color w:val="auto"/>
                <w:szCs w:val="21"/>
                <w:highlight w:val="none"/>
              </w:rPr>
              <w:t>提供</w:t>
            </w:r>
            <w:permStart w:id="115" w:edGrp="everyone"/>
            <w:r>
              <w:rPr>
                <w:rFonts w:hint="eastAsia"/>
                <w:color w:val="auto"/>
                <w:szCs w:val="21"/>
                <w:highlight w:val="none"/>
                <w:u w:val="single"/>
              </w:rPr>
              <w:t>注册</w:t>
            </w:r>
            <w:permEnd w:id="115"/>
            <w:r>
              <w:rPr>
                <w:rFonts w:hint="eastAsia"/>
                <w:color w:val="auto"/>
                <w:szCs w:val="21"/>
                <w:highlight w:val="none"/>
              </w:rPr>
              <w:t>证</w:t>
            </w:r>
            <w:r>
              <w:rPr>
                <w:rFonts w:hint="eastAsia" w:ascii="宋体"/>
                <w:bCs/>
                <w:color w:val="auto"/>
                <w:szCs w:val="21"/>
                <w:highlight w:val="none"/>
              </w:rPr>
              <w:t>、身份证、社保证明复印件</w:t>
            </w:r>
            <w:r>
              <w:rPr>
                <w:rFonts w:hint="eastAsia" w:ascii="宋体"/>
                <w:bCs/>
                <w:color w:val="auto"/>
                <w:szCs w:val="21"/>
                <w:highlight w:val="none"/>
                <w:lang w:eastAsia="zh-CN"/>
              </w:rPr>
              <w:t>或扫描件</w:t>
            </w:r>
          </w:p>
        </w:tc>
      </w:tr>
      <w:tr w14:paraId="07E7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67F62ED7">
            <w:pPr>
              <w:spacing w:line="360" w:lineRule="auto"/>
              <w:jc w:val="center"/>
              <w:rPr>
                <w:rFonts w:hint="eastAsia" w:ascii="宋体"/>
                <w:b/>
                <w:bCs/>
                <w:color w:val="auto"/>
                <w:szCs w:val="21"/>
                <w:highlight w:val="none"/>
              </w:rPr>
            </w:pPr>
            <w:r>
              <w:rPr>
                <w:rFonts w:hint="eastAsia" w:ascii="宋体"/>
                <w:b/>
                <w:bCs/>
                <w:color w:val="auto"/>
                <w:szCs w:val="21"/>
                <w:highlight w:val="none"/>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883EB0">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rPr>
              <w:t>设计项目负责人</w:t>
            </w:r>
          </w:p>
        </w:tc>
        <w:tc>
          <w:tcPr>
            <w:tcW w:w="3703" w:type="dxa"/>
            <w:tcBorders>
              <w:top w:val="single" w:color="auto" w:sz="4" w:space="0"/>
              <w:left w:val="single" w:color="auto" w:sz="4" w:space="0"/>
              <w:bottom w:val="single" w:color="auto" w:sz="4" w:space="0"/>
              <w:right w:val="single" w:color="auto" w:sz="4" w:space="0"/>
            </w:tcBorders>
            <w:noWrap w:val="0"/>
            <w:vAlign w:val="center"/>
          </w:tcPr>
          <w:p w14:paraId="6D6B2073">
            <w:pPr>
              <w:spacing w:line="360" w:lineRule="auto"/>
              <w:jc w:val="center"/>
              <w:rPr>
                <w:rFonts w:hint="eastAsia" w:ascii="宋体"/>
                <w:bCs/>
                <w:color w:val="auto"/>
                <w:szCs w:val="21"/>
                <w:highlight w:val="none"/>
              </w:rPr>
            </w:pPr>
            <w:permStart w:id="116" w:edGrp="everyone"/>
            <w:r>
              <w:rPr>
                <w:rFonts w:hint="eastAsia" w:ascii="宋体" w:eastAsia="宋体"/>
                <w:bCs/>
                <w:color w:val="auto"/>
                <w:szCs w:val="21"/>
                <w:highlight w:val="none"/>
                <w:u w:val="single"/>
                <w:lang w:val="en-US" w:eastAsia="zh-CN"/>
              </w:rPr>
              <w:t xml:space="preserve"> 市政类</w:t>
            </w:r>
            <w:r>
              <w:rPr>
                <w:rFonts w:hint="eastAsia" w:ascii="宋体"/>
                <w:bCs/>
                <w:color w:val="auto"/>
                <w:szCs w:val="21"/>
                <w:highlight w:val="none"/>
                <w:u w:val="single"/>
                <w:lang w:val="en-US" w:eastAsia="zh-CN"/>
              </w:rPr>
              <w:t>高级</w:t>
            </w:r>
            <w:r>
              <w:rPr>
                <w:rFonts w:hint="eastAsia" w:ascii="宋体" w:eastAsia="宋体"/>
                <w:bCs/>
                <w:color w:val="auto"/>
                <w:szCs w:val="21"/>
                <w:highlight w:val="none"/>
                <w:u w:val="single"/>
                <w:lang w:val="en-US" w:eastAsia="zh-CN"/>
              </w:rPr>
              <w:t xml:space="preserve">工程师或以上职称 </w:t>
            </w:r>
            <w:permEnd w:id="116"/>
          </w:p>
        </w:tc>
        <w:tc>
          <w:tcPr>
            <w:tcW w:w="2986" w:type="dxa"/>
            <w:tcBorders>
              <w:top w:val="single" w:color="auto" w:sz="4" w:space="0"/>
              <w:left w:val="single" w:color="auto" w:sz="4" w:space="0"/>
              <w:bottom w:val="single" w:color="auto" w:sz="4" w:space="0"/>
              <w:right w:val="single" w:color="auto" w:sz="4" w:space="0"/>
            </w:tcBorders>
            <w:noWrap w:val="0"/>
            <w:vAlign w:val="center"/>
          </w:tcPr>
          <w:p w14:paraId="4138867D">
            <w:pPr>
              <w:spacing w:line="360" w:lineRule="auto"/>
              <w:ind w:firstLine="420" w:firstLineChars="200"/>
              <w:jc w:val="center"/>
              <w:rPr>
                <w:rFonts w:hint="eastAsia" w:ascii="宋体" w:eastAsia="宋体"/>
                <w:bCs/>
                <w:color w:val="auto"/>
                <w:szCs w:val="21"/>
                <w:highlight w:val="none"/>
                <w:lang w:eastAsia="zh-CN"/>
              </w:rPr>
            </w:pPr>
            <w:r>
              <w:rPr>
                <w:rFonts w:hint="eastAsia" w:ascii="宋体"/>
                <w:bCs/>
                <w:color w:val="auto"/>
                <w:szCs w:val="21"/>
                <w:highlight w:val="none"/>
              </w:rPr>
              <w:t>提供</w:t>
            </w:r>
            <w:permStart w:id="117" w:edGrp="everyone"/>
            <w:bookmarkStart w:id="475" w:name="_GoBack"/>
            <w:bookmarkEnd w:id="475"/>
            <w:r>
              <w:rPr>
                <w:rFonts w:hint="eastAsia"/>
                <w:color w:val="auto"/>
                <w:szCs w:val="21"/>
                <w:highlight w:val="none"/>
                <w:u w:val="single"/>
              </w:rPr>
              <w:t>职称</w:t>
            </w:r>
            <w:permEnd w:id="117"/>
            <w:r>
              <w:rPr>
                <w:rFonts w:hint="eastAsia" w:ascii="宋体"/>
                <w:bCs/>
                <w:color w:val="auto"/>
                <w:szCs w:val="21"/>
                <w:highlight w:val="none"/>
                <w:lang w:val="en-US" w:eastAsia="zh-CN"/>
              </w:rPr>
              <w:t>证</w:t>
            </w:r>
            <w:r>
              <w:rPr>
                <w:rFonts w:hint="eastAsia" w:ascii="宋体"/>
                <w:bCs/>
                <w:color w:val="auto"/>
                <w:szCs w:val="21"/>
                <w:highlight w:val="none"/>
              </w:rPr>
              <w:t>、身份证、社保证明</w:t>
            </w:r>
            <w:r>
              <w:rPr>
                <w:rFonts w:hint="eastAsia" w:ascii="宋体"/>
                <w:bCs/>
                <w:color w:val="auto"/>
                <w:szCs w:val="21"/>
                <w:highlight w:val="none"/>
                <w:lang w:eastAsia="zh-CN"/>
              </w:rPr>
              <w:t>的</w:t>
            </w:r>
            <w:r>
              <w:rPr>
                <w:rFonts w:hint="eastAsia" w:ascii="宋体"/>
                <w:bCs/>
                <w:color w:val="auto"/>
                <w:szCs w:val="21"/>
                <w:highlight w:val="none"/>
              </w:rPr>
              <w:t>复印件</w:t>
            </w:r>
            <w:r>
              <w:rPr>
                <w:rFonts w:hint="eastAsia" w:ascii="宋体"/>
                <w:bCs/>
                <w:color w:val="auto"/>
                <w:szCs w:val="21"/>
                <w:highlight w:val="none"/>
                <w:lang w:eastAsia="zh-CN"/>
              </w:rPr>
              <w:t>或扫描件</w:t>
            </w:r>
          </w:p>
        </w:tc>
      </w:tr>
    </w:tbl>
    <w:p w14:paraId="302F77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auto"/>
          <w:highlight w:val="none"/>
        </w:rPr>
      </w:pPr>
      <w:permStart w:id="118" w:edGrp="everyone"/>
      <w:permEnd w:id="118"/>
      <w:r>
        <w:rPr>
          <w:rFonts w:hint="eastAsia" w:ascii="宋体" w:hAnsi="宋体"/>
          <w:bCs/>
          <w:color w:val="auto"/>
          <w:szCs w:val="21"/>
          <w:highlight w:val="none"/>
          <w:lang w:eastAsia="zh-CN"/>
        </w:rPr>
        <w:t>备</w:t>
      </w:r>
      <w:r>
        <w:rPr>
          <w:rFonts w:hint="eastAsia" w:ascii="宋体" w:hAnsi="宋体"/>
          <w:bCs/>
          <w:color w:val="auto"/>
          <w:szCs w:val="21"/>
          <w:highlight w:val="none"/>
        </w:rPr>
        <w:t>注：甲、乙级岩土工程勘察的项目负责人应由注册土木工程师（岩土）担任；设计项目负责人应当由取得相应的工程建设类注册执业资格担任（未实行注册执业制度的项目负责人应具备中级以上专业技术职称）。承担民用房屋建筑工程的设计项目负责人原则上由注册建筑师担任，招标单位根据项目具体情况确定人员配备要求。</w:t>
      </w:r>
    </w:p>
    <w:p w14:paraId="5AF44E3A">
      <w:pPr>
        <w:tabs>
          <w:tab w:val="left" w:pos="-951"/>
          <w:tab w:val="left" w:pos="4267"/>
          <w:tab w:val="left" w:pos="7925"/>
        </w:tabs>
        <w:adjustRightInd w:val="0"/>
        <w:snapToGrid w:val="0"/>
        <w:spacing w:line="360" w:lineRule="auto"/>
        <w:ind w:right="-6"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 xml:space="preserve">12.1 </w:t>
      </w:r>
      <w:r>
        <w:rPr>
          <w:rFonts w:hint="eastAsia" w:ascii="宋体" w:hAnsi="宋体"/>
          <w:bCs/>
          <w:color w:val="auto"/>
          <w:szCs w:val="21"/>
          <w:highlight w:val="none"/>
        </w:rPr>
        <w:t>拟投入</w:t>
      </w:r>
      <w:r>
        <w:rPr>
          <w:rFonts w:hint="eastAsia" w:ascii="宋体" w:hAnsi="宋体"/>
          <w:bCs/>
          <w:color w:val="auto"/>
          <w:szCs w:val="21"/>
          <w:highlight w:val="none"/>
          <w:lang w:eastAsia="zh-CN"/>
        </w:rPr>
        <w:t>的项目</w:t>
      </w:r>
      <w:r>
        <w:rPr>
          <w:rFonts w:hint="eastAsia" w:ascii="宋体" w:hAnsi="宋体"/>
          <w:bCs/>
          <w:color w:val="auto"/>
          <w:szCs w:val="21"/>
          <w:highlight w:val="none"/>
          <w:lang w:val="en-US" w:eastAsia="zh-CN"/>
        </w:rPr>
        <w:t>管理机构</w:t>
      </w:r>
      <w:r>
        <w:rPr>
          <w:rFonts w:hint="eastAsia" w:ascii="宋体" w:hAnsi="宋体"/>
          <w:bCs/>
          <w:color w:val="auto"/>
          <w:szCs w:val="21"/>
          <w:highlight w:val="none"/>
        </w:rPr>
        <w:t>人员必须是投标人的员工。</w:t>
      </w:r>
    </w:p>
    <w:p w14:paraId="41D90C55">
      <w:pPr>
        <w:numPr>
          <w:ilvl w:val="0"/>
          <w:numId w:val="0"/>
        </w:num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 xml:space="preserve">12.2 </w:t>
      </w:r>
      <w:r>
        <w:rPr>
          <w:rFonts w:hint="eastAsia" w:ascii="宋体" w:hAnsi="宋体"/>
          <w:bCs/>
          <w:color w:val="auto"/>
          <w:szCs w:val="21"/>
          <w:highlight w:val="none"/>
        </w:rPr>
        <w:t>拟投入本</w:t>
      </w:r>
      <w:r>
        <w:rPr>
          <w:rFonts w:hint="eastAsia" w:ascii="宋体" w:hAnsi="宋体"/>
          <w:bCs/>
          <w:color w:val="auto"/>
          <w:szCs w:val="21"/>
          <w:highlight w:val="none"/>
          <w:lang w:eastAsia="zh-CN"/>
        </w:rPr>
        <w:t>项目</w:t>
      </w:r>
      <w:r>
        <w:rPr>
          <w:rFonts w:hint="eastAsia" w:ascii="宋体" w:hAnsi="宋体"/>
          <w:bCs/>
          <w:color w:val="auto"/>
          <w:szCs w:val="21"/>
          <w:highlight w:val="none"/>
          <w:lang w:val="en-US" w:eastAsia="zh-CN"/>
        </w:rPr>
        <w:t>的</w:t>
      </w:r>
      <w:r>
        <w:rPr>
          <w:rFonts w:hint="eastAsia" w:ascii="宋体" w:hAnsi="宋体"/>
          <w:bCs/>
          <w:color w:val="auto"/>
          <w:szCs w:val="21"/>
          <w:highlight w:val="none"/>
        </w:rPr>
        <w:t>人员</w:t>
      </w:r>
      <w:r>
        <w:rPr>
          <w:rFonts w:hint="eastAsia" w:ascii="宋体" w:hAnsi="宋体"/>
          <w:bCs/>
          <w:color w:val="auto"/>
          <w:szCs w:val="21"/>
          <w:highlight w:val="none"/>
          <w:lang w:eastAsia="zh-CN"/>
        </w:rPr>
        <w:t>须</w:t>
      </w:r>
      <w:r>
        <w:rPr>
          <w:rFonts w:hint="eastAsia" w:ascii="宋体" w:hAnsi="宋体"/>
          <w:bCs/>
          <w:color w:val="auto"/>
          <w:szCs w:val="21"/>
          <w:highlight w:val="none"/>
          <w:lang w:val="en-US" w:eastAsia="zh-CN"/>
        </w:rPr>
        <w:t>提交的</w:t>
      </w:r>
      <w:r>
        <w:rPr>
          <w:rFonts w:hint="eastAsia" w:ascii="宋体" w:hAnsi="宋体"/>
          <w:bCs/>
          <w:color w:val="auto"/>
          <w:szCs w:val="21"/>
          <w:highlight w:val="none"/>
        </w:rPr>
        <w:t>社保证明应为</w:t>
      </w:r>
      <w:permStart w:id="119" w:edGrp="everyone"/>
      <w:r>
        <w:rPr>
          <w:rFonts w:hint="eastAsia" w:ascii="宋体" w:hAnsi="宋体"/>
          <w:bCs/>
          <w:color w:val="auto"/>
          <w:szCs w:val="21"/>
          <w:highlight w:val="none"/>
          <w:u w:val="single"/>
          <w:lang w:val="en-US" w:eastAsia="zh-CN"/>
        </w:rPr>
        <w:t>2024</w:t>
      </w:r>
      <w:permEnd w:id="119"/>
      <w:r>
        <w:rPr>
          <w:rFonts w:hint="eastAsia" w:ascii="宋体" w:hAnsi="宋体"/>
          <w:color w:val="auto"/>
          <w:szCs w:val="21"/>
          <w:highlight w:val="none"/>
        </w:rPr>
        <w:t>年</w:t>
      </w:r>
      <w:permStart w:id="120"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w:t>
      </w:r>
      <w:permEnd w:id="120"/>
      <w:r>
        <w:rPr>
          <w:rFonts w:hint="eastAsia" w:ascii="宋体" w:hAnsi="宋体"/>
          <w:color w:val="auto"/>
          <w:szCs w:val="21"/>
          <w:highlight w:val="none"/>
        </w:rPr>
        <w:t>月至</w:t>
      </w:r>
      <w:permStart w:id="121"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2024</w:t>
      </w:r>
      <w:r>
        <w:rPr>
          <w:rFonts w:hint="eastAsia" w:ascii="宋体" w:hAnsi="宋体"/>
          <w:color w:val="auto"/>
          <w:szCs w:val="21"/>
          <w:highlight w:val="none"/>
          <w:u w:val="single"/>
        </w:rPr>
        <w:t xml:space="preserve"> </w:t>
      </w:r>
      <w:permEnd w:id="121"/>
      <w:r>
        <w:rPr>
          <w:rFonts w:hint="eastAsia" w:ascii="宋体" w:hAnsi="宋体"/>
          <w:color w:val="auto"/>
          <w:szCs w:val="21"/>
          <w:highlight w:val="none"/>
        </w:rPr>
        <w:t>年</w:t>
      </w:r>
      <w:permStart w:id="122"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 xml:space="preserve"> </w:t>
      </w:r>
      <w:permEnd w:id="122"/>
      <w:r>
        <w:rPr>
          <w:rFonts w:hint="eastAsia" w:ascii="宋体" w:hAnsi="宋体"/>
          <w:color w:val="auto"/>
          <w:szCs w:val="21"/>
          <w:highlight w:val="none"/>
        </w:rPr>
        <w:t>月</w:t>
      </w:r>
      <w:r>
        <w:rPr>
          <w:rFonts w:hint="eastAsia" w:ascii="宋体" w:hAnsi="宋体"/>
          <w:bCs/>
          <w:color w:val="auto"/>
          <w:szCs w:val="21"/>
          <w:highlight w:val="none"/>
        </w:rPr>
        <w:t>连续</w:t>
      </w:r>
      <w:permStart w:id="123"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permEnd w:id="123"/>
      <w:r>
        <w:rPr>
          <w:rFonts w:hint="eastAsia" w:ascii="宋体" w:hAnsi="宋体"/>
          <w:bCs/>
          <w:color w:val="auto"/>
          <w:szCs w:val="21"/>
          <w:highlight w:val="none"/>
        </w:rPr>
        <w:t>个月（设定的</w:t>
      </w:r>
      <w:r>
        <w:rPr>
          <w:rFonts w:hint="eastAsia" w:ascii="宋体" w:hAnsi="宋体"/>
          <w:color w:val="auto"/>
          <w:szCs w:val="21"/>
          <w:highlight w:val="none"/>
        </w:rPr>
        <w:t>时间不少于3个月，且不得超过6个月。</w:t>
      </w:r>
      <w:r>
        <w:rPr>
          <w:rFonts w:hint="eastAsia" w:ascii="宋体" w:hAnsi="宋体"/>
          <w:bCs/>
          <w:color w:val="auto"/>
          <w:szCs w:val="21"/>
          <w:highlight w:val="none"/>
        </w:rPr>
        <w:t>）的社保证明。</w:t>
      </w:r>
    </w:p>
    <w:p w14:paraId="2E9DBEFB">
      <w:pPr>
        <w:numPr>
          <w:ilvl w:val="0"/>
          <w:numId w:val="0"/>
        </w:numPr>
        <w:spacing w:line="360" w:lineRule="auto"/>
        <w:ind w:firstLine="420" w:firstLineChars="200"/>
        <w:rPr>
          <w:rFonts w:hint="eastAsia" w:ascii="宋体" w:hAnsi="宋体"/>
          <w:b/>
          <w:bCs/>
          <w:color w:val="auto"/>
          <w:szCs w:val="21"/>
          <w:highlight w:val="none"/>
        </w:rPr>
      </w:pPr>
      <w:r>
        <w:rPr>
          <w:rFonts w:hint="eastAsia" w:ascii="宋体" w:hAnsi="宋体"/>
          <w:bCs/>
          <w:color w:val="auto"/>
          <w:szCs w:val="21"/>
          <w:highlight w:val="none"/>
          <w:lang w:val="en-US" w:eastAsia="zh-CN"/>
        </w:rPr>
        <w:t xml:space="preserve">12.3 </w:t>
      </w:r>
      <w:r>
        <w:rPr>
          <w:rFonts w:hint="eastAsia" w:ascii="宋体" w:hAnsi="宋体"/>
          <w:bCs/>
          <w:color w:val="auto"/>
          <w:szCs w:val="21"/>
          <w:highlight w:val="none"/>
        </w:rPr>
        <w:t>投入本</w:t>
      </w:r>
      <w:r>
        <w:rPr>
          <w:rFonts w:hint="eastAsia" w:ascii="宋体" w:hAnsi="宋体"/>
          <w:bCs/>
          <w:color w:val="auto"/>
          <w:szCs w:val="21"/>
          <w:highlight w:val="none"/>
          <w:lang w:val="en-US" w:eastAsia="zh-CN"/>
        </w:rPr>
        <w:t>项目的</w:t>
      </w:r>
      <w:r>
        <w:rPr>
          <w:rFonts w:hint="eastAsia" w:ascii="宋体" w:hAnsi="宋体"/>
          <w:bCs/>
          <w:color w:val="auto"/>
          <w:szCs w:val="21"/>
          <w:highlight w:val="none"/>
        </w:rPr>
        <w:t>人员必须满足以上要求，其中一项不满足的，</w:t>
      </w:r>
      <w:r>
        <w:rPr>
          <w:rFonts w:hint="eastAsia" w:ascii="宋体" w:hAnsi="宋体"/>
          <w:b/>
          <w:bCs/>
          <w:color w:val="auto"/>
          <w:szCs w:val="21"/>
          <w:highlight w:val="none"/>
        </w:rPr>
        <w:t>则评审不合格，</w:t>
      </w:r>
      <w:r>
        <w:rPr>
          <w:rFonts w:hint="eastAsia" w:ascii="宋体" w:hAnsi="宋体"/>
          <w:bCs/>
          <w:color w:val="auto"/>
          <w:szCs w:val="21"/>
          <w:highlight w:val="none"/>
        </w:rPr>
        <w:t>以上表格中要求提交的资料必须齐全、合法、真实、有效，否则</w:t>
      </w:r>
      <w:r>
        <w:rPr>
          <w:rFonts w:hint="eastAsia" w:ascii="宋体" w:hAnsi="宋体"/>
          <w:bCs/>
          <w:color w:val="auto"/>
          <w:szCs w:val="21"/>
          <w:highlight w:val="none"/>
          <w:lang w:eastAsia="zh-CN"/>
        </w:rPr>
        <w:t>作否决投标处理</w:t>
      </w:r>
      <w:r>
        <w:rPr>
          <w:rFonts w:hint="eastAsia" w:ascii="宋体" w:hAnsi="宋体"/>
          <w:b w:val="0"/>
          <w:bCs w:val="0"/>
          <w:color w:val="auto"/>
          <w:szCs w:val="21"/>
          <w:highlight w:val="none"/>
        </w:rPr>
        <w:t>。</w:t>
      </w:r>
    </w:p>
    <w:p w14:paraId="13987D04">
      <w:pPr>
        <w:pStyle w:val="4"/>
        <w:numPr>
          <w:ilvl w:val="0"/>
          <w:numId w:val="0"/>
        </w:numPr>
        <w:bidi w:val="0"/>
        <w:rPr>
          <w:rFonts w:hint="eastAsia" w:ascii="宋体" w:hAnsi="宋体" w:cs="宋体"/>
          <w:color w:val="auto"/>
          <w:highlight w:val="none"/>
          <w:lang w:val="en-US" w:eastAsia="zh-CN"/>
        </w:rPr>
      </w:pPr>
      <w:bookmarkStart w:id="163" w:name="_Toc871607637"/>
      <w:bookmarkStart w:id="164" w:name="_Toc2059024481"/>
      <w:r>
        <w:rPr>
          <w:rFonts w:hint="eastAsia" w:ascii="宋体" w:hAnsi="宋体" w:cs="宋体"/>
          <w:color w:val="auto"/>
          <w:highlight w:val="none"/>
          <w:lang w:val="en-US" w:eastAsia="zh-CN"/>
        </w:rPr>
        <w:t>13. 否决性条款</w:t>
      </w:r>
      <w:bookmarkEnd w:id="163"/>
      <w:bookmarkEnd w:id="164"/>
    </w:p>
    <w:p w14:paraId="4FE91ABA">
      <w:pPr>
        <w:adjustRightInd w:val="0"/>
        <w:snapToGrid w:val="0"/>
        <w:spacing w:line="360" w:lineRule="auto"/>
        <w:ind w:firstLine="422" w:firstLineChars="200"/>
        <w:rPr>
          <w:rFonts w:hint="eastAsia" w:ascii="宋体" w:hAnsi="宋体" w:eastAsia="宋体" w:cs="宋体"/>
          <w:b/>
          <w:bCs w:val="0"/>
          <w:color w:val="auto"/>
          <w:kern w:val="0"/>
          <w:sz w:val="21"/>
          <w:szCs w:val="21"/>
          <w:highlight w:val="none"/>
        </w:rPr>
      </w:pPr>
      <w:r>
        <w:rPr>
          <w:rFonts w:hint="eastAsia" w:ascii="宋体" w:hAnsi="宋体"/>
          <w:b/>
          <w:color w:val="auto"/>
          <w:szCs w:val="21"/>
          <w:highlight w:val="none"/>
        </w:rPr>
        <w:t>否决性条款中没有列出的不予受理或</w:t>
      </w:r>
      <w:r>
        <w:rPr>
          <w:rFonts w:hint="eastAsia" w:ascii="宋体" w:hAnsi="宋体"/>
          <w:b/>
          <w:color w:val="auto"/>
          <w:szCs w:val="21"/>
          <w:highlight w:val="none"/>
          <w:lang w:eastAsia="zh-CN"/>
        </w:rPr>
        <w:t>否</w:t>
      </w:r>
      <w:r>
        <w:rPr>
          <w:rFonts w:hint="eastAsia" w:ascii="宋体" w:hAnsi="宋体"/>
          <w:b/>
          <w:color w:val="auto"/>
          <w:szCs w:val="21"/>
          <w:highlight w:val="none"/>
          <w:lang w:val="en-US" w:eastAsia="zh-CN"/>
        </w:rPr>
        <w:t>决投标</w:t>
      </w:r>
      <w:r>
        <w:rPr>
          <w:rFonts w:hint="eastAsia" w:ascii="宋体" w:hAnsi="宋体"/>
          <w:b/>
          <w:color w:val="auto"/>
          <w:szCs w:val="21"/>
          <w:highlight w:val="none"/>
        </w:rPr>
        <w:t>的条款，不得作为不予受理或</w:t>
      </w:r>
      <w:r>
        <w:rPr>
          <w:rFonts w:hint="eastAsia" w:ascii="宋体" w:hAnsi="宋体"/>
          <w:b/>
          <w:color w:val="auto"/>
          <w:szCs w:val="21"/>
          <w:highlight w:val="none"/>
          <w:lang w:eastAsia="zh-CN"/>
        </w:rPr>
        <w:t>否</w:t>
      </w:r>
      <w:r>
        <w:rPr>
          <w:rFonts w:hint="eastAsia" w:ascii="宋体" w:hAnsi="宋体"/>
          <w:b/>
          <w:color w:val="auto"/>
          <w:szCs w:val="21"/>
          <w:highlight w:val="none"/>
          <w:lang w:val="en-US" w:eastAsia="zh-CN"/>
        </w:rPr>
        <w:t>决投标</w:t>
      </w:r>
      <w:r>
        <w:rPr>
          <w:rFonts w:hint="eastAsia" w:ascii="宋体" w:hAnsi="宋体"/>
          <w:b/>
          <w:color w:val="auto"/>
          <w:szCs w:val="21"/>
          <w:highlight w:val="none"/>
        </w:rPr>
        <w:t>的依据</w:t>
      </w:r>
      <w:r>
        <w:rPr>
          <w:rFonts w:hint="eastAsia" w:ascii="宋体" w:hAnsi="宋体"/>
          <w:b/>
          <w:color w:val="auto"/>
          <w:szCs w:val="21"/>
          <w:highlight w:val="none"/>
          <w:lang w:eastAsia="zh-CN"/>
        </w:rPr>
        <w:t>，</w:t>
      </w:r>
      <w:r>
        <w:rPr>
          <w:rFonts w:hint="eastAsia" w:ascii="宋体" w:hAnsi="宋体" w:cs="Arial"/>
          <w:b/>
          <w:color w:val="auto"/>
          <w:kern w:val="0"/>
          <w:szCs w:val="21"/>
          <w:highlight w:val="none"/>
        </w:rPr>
        <w:t>法律法规规定除外</w:t>
      </w:r>
      <w:r>
        <w:rPr>
          <w:rFonts w:hint="eastAsia" w:ascii="宋体" w:hAnsi="宋体"/>
          <w:b/>
          <w:color w:val="auto"/>
          <w:szCs w:val="21"/>
          <w:highlight w:val="none"/>
        </w:rPr>
        <w:t>。</w:t>
      </w:r>
      <w:r>
        <w:rPr>
          <w:rFonts w:hint="eastAsia" w:ascii="宋体" w:hAnsi="宋体" w:eastAsia="宋体" w:cs="宋体"/>
          <w:b/>
          <w:bCs w:val="0"/>
          <w:color w:val="auto"/>
          <w:kern w:val="0"/>
          <w:sz w:val="21"/>
          <w:szCs w:val="21"/>
          <w:highlight w:val="none"/>
        </w:rPr>
        <w:t>如招标文件的澄清、答疑、补充文件中增加否决性条款的，招标人应当重新编写本章节内容，将新增否决性条款列入本章节，并发布新的完整的《否决性条款》。否则，增加的否决性条款无效。</w:t>
      </w:r>
    </w:p>
    <w:p w14:paraId="2638F5D2">
      <w:pPr>
        <w:pageBreakBefore w:val="0"/>
        <w:kinsoku/>
        <w:wordWrap/>
        <w:overflowPunct/>
        <w:topLinePunct w:val="0"/>
        <w:bidi w:val="0"/>
        <w:spacing w:line="360" w:lineRule="auto"/>
        <w:textAlignment w:val="auto"/>
        <w:rPr>
          <w:rFonts w:hint="default"/>
          <w:color w:val="auto"/>
          <w:highlight w:val="none"/>
          <w:lang w:val="en-US"/>
        </w:rPr>
      </w:pPr>
      <w:bookmarkStart w:id="165" w:name="_Toc1076540459"/>
      <w:r>
        <w:rPr>
          <w:rFonts w:hint="eastAsia" w:ascii="宋体" w:hAnsi="宋体" w:cs="宋体"/>
          <w:b/>
          <w:bCs/>
          <w:color w:val="auto"/>
          <w:sz w:val="21"/>
          <w:highlight w:val="none"/>
          <w:lang w:val="en-US" w:eastAsia="zh-CN"/>
        </w:rPr>
        <w:t xml:space="preserve">13.1 </w:t>
      </w:r>
      <w:bookmarkEnd w:id="165"/>
      <w:r>
        <w:rPr>
          <w:rFonts w:hint="eastAsia" w:ascii="宋体" w:hAnsi="宋体"/>
          <w:b/>
          <w:color w:val="auto"/>
          <w:szCs w:val="21"/>
          <w:highlight w:val="none"/>
          <w:lang w:val="en-US" w:eastAsia="zh-CN"/>
        </w:rPr>
        <w:t>资格审查阶段否决投标的情形（由资格审查工作小组负责判定）</w:t>
      </w:r>
    </w:p>
    <w:p w14:paraId="4F9B0913">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lang w:eastAsia="zh-CN"/>
        </w:rPr>
      </w:pPr>
      <w:r>
        <w:rPr>
          <w:rFonts w:hint="eastAsia" w:ascii="宋体" w:hAnsi="宋体"/>
          <w:bCs/>
          <w:color w:val="auto"/>
          <w:szCs w:val="21"/>
          <w:highlight w:val="none"/>
        </w:rPr>
        <w:t>提疑文件具有识别投标人单位及人员标识的</w:t>
      </w:r>
      <w:r>
        <w:rPr>
          <w:rFonts w:hint="eastAsia" w:ascii="宋体" w:hAnsi="宋体"/>
          <w:bCs/>
          <w:color w:val="auto"/>
          <w:szCs w:val="21"/>
          <w:highlight w:val="none"/>
          <w:lang w:eastAsia="zh-CN"/>
        </w:rPr>
        <w:t>。</w:t>
      </w:r>
    </w:p>
    <w:p w14:paraId="73F1FE61">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lang w:eastAsia="zh-CN"/>
        </w:rPr>
      </w:pPr>
      <w:r>
        <w:rPr>
          <w:rFonts w:hint="eastAsia" w:ascii="宋体" w:hAnsi="宋体"/>
          <w:color w:val="auto"/>
          <w:szCs w:val="21"/>
          <w:highlight w:val="none"/>
          <w:lang w:val="en-US" w:eastAsia="zh-CN"/>
        </w:rPr>
        <w:t>存在第二章“投标人须知”第1.4.3项任一情形的。</w:t>
      </w:r>
    </w:p>
    <w:p w14:paraId="799E6691">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bCs/>
          <w:color w:val="auto"/>
          <w:szCs w:val="21"/>
          <w:highlight w:val="none"/>
          <w:lang w:eastAsia="zh-CN"/>
        </w:rPr>
      </w:pPr>
      <w:r>
        <w:rPr>
          <w:rFonts w:hint="eastAsia" w:ascii="宋体" w:hAnsi="宋体"/>
          <w:bCs/>
          <w:color w:val="auto"/>
          <w:szCs w:val="21"/>
          <w:highlight w:val="none"/>
        </w:rPr>
        <w:t>未按规定提交投标保证金</w:t>
      </w:r>
      <w:r>
        <w:rPr>
          <w:rFonts w:hint="eastAsia" w:ascii="宋体" w:hAnsi="宋体"/>
          <w:bCs/>
          <w:color w:val="auto"/>
          <w:szCs w:val="21"/>
          <w:highlight w:val="none"/>
          <w:lang w:eastAsia="zh-CN"/>
        </w:rPr>
        <w:t>或提交《投标保证金承诺书》的。</w:t>
      </w:r>
      <w:r>
        <w:rPr>
          <w:rFonts w:hint="eastAsia" w:ascii="宋体" w:hAnsi="宋体"/>
          <w:bCs/>
          <w:color w:val="auto"/>
          <w:szCs w:val="21"/>
          <w:highlight w:val="none"/>
        </w:rPr>
        <w:t>（投标保证金以开标系统显示的结果为准）</w:t>
      </w:r>
    </w:p>
    <w:p w14:paraId="4C808064">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bCs/>
          <w:color w:val="auto"/>
          <w:szCs w:val="21"/>
          <w:highlight w:val="none"/>
          <w:lang w:eastAsia="zh-CN"/>
        </w:rPr>
      </w:pPr>
      <w:r>
        <w:rPr>
          <w:rFonts w:hint="eastAsia" w:ascii="宋体" w:hAnsi="宋体"/>
          <w:bCs/>
          <w:color w:val="auto"/>
          <w:szCs w:val="21"/>
          <w:highlight w:val="none"/>
        </w:rPr>
        <w:t>不同投标人的投标保证金从同一单位或者个人的账户转出</w:t>
      </w:r>
      <w:r>
        <w:rPr>
          <w:rFonts w:hint="eastAsia" w:ascii="宋体" w:hAnsi="宋体"/>
          <w:bCs/>
          <w:color w:val="auto"/>
          <w:szCs w:val="21"/>
          <w:highlight w:val="none"/>
          <w:lang w:eastAsia="zh-CN"/>
        </w:rPr>
        <w:t>的。</w:t>
      </w:r>
    </w:p>
    <w:p w14:paraId="3FD54BF8">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color w:val="auto"/>
          <w:kern w:val="2"/>
          <w:szCs w:val="21"/>
          <w:highlight w:val="none"/>
        </w:rPr>
        <w:t>因投标人原因，上传的电子投标文件无法正常打开的</w:t>
      </w:r>
      <w:r>
        <w:rPr>
          <w:rFonts w:hint="eastAsia" w:ascii="宋体" w:hAnsi="宋体" w:eastAsia="宋体" w:cs="Times New Roman"/>
          <w:color w:val="auto"/>
          <w:kern w:val="2"/>
          <w:szCs w:val="21"/>
          <w:highlight w:val="none"/>
          <w:lang w:eastAsia="zh-CN"/>
        </w:rPr>
        <w:t>。</w:t>
      </w:r>
    </w:p>
    <w:p w14:paraId="363FE25A">
      <w:pPr>
        <w:pageBreakBefore w:val="0"/>
        <w:numPr>
          <w:ilvl w:val="0"/>
          <w:numId w:val="3"/>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投标文件的组成不符合招标文件规定的</w:t>
      </w:r>
      <w:r>
        <w:rPr>
          <w:rFonts w:hint="eastAsia" w:ascii="宋体" w:hAnsi="宋体" w:eastAsia="宋体" w:cs="Times New Roman"/>
          <w:color w:val="auto"/>
          <w:kern w:val="2"/>
          <w:szCs w:val="21"/>
          <w:highlight w:val="none"/>
        </w:rPr>
        <w:t>。</w:t>
      </w:r>
    </w:p>
    <w:p w14:paraId="266A306A">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投标文件上标明的投标人名称与提交投标保证金时不一致的</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（有提供市场监督管理部门出具的相关变更证明的除外）</w:t>
      </w:r>
    </w:p>
    <w:p w14:paraId="3BEC55A8">
      <w:pPr>
        <w:numPr>
          <w:ilvl w:val="0"/>
          <w:numId w:val="3"/>
        </w:numPr>
        <w:tabs>
          <w:tab w:val="clear" w:pos="0"/>
        </w:tabs>
        <w:spacing w:line="360" w:lineRule="auto"/>
        <w:ind w:firstLine="403"/>
        <w:rPr>
          <w:rFonts w:hint="eastAsia"/>
          <w:color w:val="auto"/>
          <w:highlight w:val="none"/>
        </w:rPr>
      </w:pPr>
      <w:r>
        <w:rPr>
          <w:rFonts w:hint="eastAsia" w:ascii="宋体" w:hAnsi="宋体" w:eastAsia="宋体" w:cs="Times New Roman"/>
          <w:bCs/>
          <w:color w:val="auto"/>
          <w:szCs w:val="21"/>
          <w:highlight w:val="none"/>
        </w:rPr>
        <w:t>不符合招标公告中投标资格能力要求的。</w:t>
      </w:r>
    </w:p>
    <w:p w14:paraId="5E505EAB">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联合体投标的，有以下情形之一的：（接受联合体投标的设定此条款）</w:t>
      </w:r>
    </w:p>
    <w:p w14:paraId="31E1583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（1）联合体牵头人不具备与所投标段工程内容相适应的资质，或成员单位不具备与所承担工程内容相适应的资质。</w:t>
      </w:r>
    </w:p>
    <w:p w14:paraId="2F9F5F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（2）联合体各方签订联合体协议后，再以自己名义单独或以其他联合体成员的名义参加同一标段的投标。</w:t>
      </w:r>
    </w:p>
    <w:p w14:paraId="7D3EE48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（3）提交联合体各成员单位共同签订的联合体协议，没有明确牵头人及成员单位各自的权利和义务以及应当承担的责任。</w:t>
      </w:r>
    </w:p>
    <w:p w14:paraId="27C9690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（4）投标人组成联合体投标，但投标文件中未按规定附有联合体各方共同签署（不允许私章）盖章的联合体协议书的。</w:t>
      </w:r>
    </w:p>
    <w:p w14:paraId="556EC365">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lang w:val="en-US" w:eastAsia="zh-CN"/>
        </w:rPr>
        <w:t>未按招标文件第六章“投标文件格式”编制投标文件。</w:t>
      </w:r>
    </w:p>
    <w:p w14:paraId="68636BA0">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未按招标文件规定的内容填写或未按规定签</w:t>
      </w:r>
      <w:r>
        <w:rPr>
          <w:rFonts w:hint="eastAsia" w:ascii="宋体" w:hAnsi="宋体" w:cs="Times New Roman"/>
          <w:bCs/>
          <w:color w:val="auto"/>
          <w:szCs w:val="21"/>
          <w:highlight w:val="none"/>
          <w:lang w:eastAsia="zh-CN"/>
        </w:rPr>
        <w:t>名</w:t>
      </w:r>
      <w:r>
        <w:rPr>
          <w:rFonts w:hint="eastAsia" w:ascii="宋体" w:hAnsi="宋体" w:eastAsia="宋体" w:cs="Times New Roman"/>
          <w:bCs/>
          <w:color w:val="auto"/>
          <w:szCs w:val="21"/>
          <w:highlight w:val="none"/>
        </w:rPr>
        <w:t>或盖章，内容不全或者关键内容字迹模糊、无法辨认的。</w:t>
      </w:r>
    </w:p>
    <w:p w14:paraId="63136B78">
      <w:pPr>
        <w:keepNext w:val="0"/>
        <w:keepLines w:val="0"/>
        <w:pageBreakBefore w:val="0"/>
        <w:widowControl w:val="0"/>
        <w:numPr>
          <w:ilvl w:val="0"/>
          <w:numId w:val="3"/>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投标文件内缺少有效的法定代表人身份证明，或者投标文件由代理人签署但投标文件内未附有效的法定代表人身份证明及授权委托书。</w:t>
      </w:r>
    </w:p>
    <w:p w14:paraId="046D05FE">
      <w:pPr>
        <w:pStyle w:val="5"/>
        <w:bidi w:val="0"/>
        <w:rPr>
          <w:rFonts w:hint="eastAsia" w:ascii="宋体" w:hAnsi="宋体" w:cs="宋体"/>
          <w:b/>
          <w:bCs/>
          <w:color w:val="auto"/>
          <w:sz w:val="21"/>
          <w:highlight w:val="none"/>
          <w:lang w:val="en-US" w:eastAsia="zh-CN"/>
        </w:rPr>
      </w:pPr>
      <w:bookmarkStart w:id="166" w:name="_Toc1616228734"/>
      <w:r>
        <w:rPr>
          <w:rFonts w:hint="eastAsia" w:ascii="宋体" w:hAnsi="宋体" w:cs="宋体"/>
          <w:b/>
          <w:bCs/>
          <w:color w:val="auto"/>
          <w:sz w:val="21"/>
          <w:highlight w:val="none"/>
          <w:lang w:val="en-US" w:eastAsia="zh-CN"/>
        </w:rPr>
        <w:t>13.2 评标阶段否决投标的情形（由评标委员会负责判定）</w:t>
      </w:r>
      <w:bookmarkEnd w:id="166"/>
    </w:p>
    <w:p w14:paraId="07D3826F">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color w:val="auto"/>
          <w:kern w:val="2"/>
          <w:szCs w:val="21"/>
          <w:highlight w:val="none"/>
        </w:rPr>
        <w:t>因投标人原因，上传的电子投标文件无法正常打开的</w:t>
      </w:r>
      <w:r>
        <w:rPr>
          <w:rFonts w:hint="eastAsia" w:ascii="宋体" w:hAnsi="宋体" w:eastAsia="宋体" w:cs="Times New Roman"/>
          <w:color w:val="auto"/>
          <w:kern w:val="2"/>
          <w:szCs w:val="21"/>
          <w:highlight w:val="none"/>
          <w:lang w:eastAsia="zh-CN"/>
        </w:rPr>
        <w:t>。</w:t>
      </w:r>
    </w:p>
    <w:p w14:paraId="5D858FC3">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投标文件的组成不符合招标文件规定的</w:t>
      </w:r>
      <w:r>
        <w:rPr>
          <w:rFonts w:hint="eastAsia" w:ascii="宋体" w:hAnsi="宋体" w:eastAsia="宋体" w:cs="Times New Roman"/>
          <w:color w:val="auto"/>
          <w:kern w:val="2"/>
          <w:szCs w:val="21"/>
          <w:highlight w:val="none"/>
        </w:rPr>
        <w:t>。</w:t>
      </w:r>
    </w:p>
    <w:p w14:paraId="5503A117">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zh-CN" w:eastAsia="zh-CN"/>
        </w:rPr>
        <w:t>同一投标人提交两个以上不同的投标文件或者投标报价的</w:t>
      </w:r>
      <w:r>
        <w:rPr>
          <w:rFonts w:hint="eastAsia" w:ascii="宋体" w:hAnsi="宋体" w:eastAsia="宋体" w:cs="Times New Roman"/>
          <w:color w:val="auto"/>
          <w:szCs w:val="21"/>
          <w:highlight w:val="none"/>
        </w:rPr>
        <w:t>。（招标文件另有规定除外）</w:t>
      </w:r>
    </w:p>
    <w:p w14:paraId="1B89FA35">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lang w:val="en-US" w:eastAsia="zh-CN"/>
        </w:rPr>
        <w:t>未按招标文件第六章“投标文件格式”编制投标文件。</w:t>
      </w:r>
    </w:p>
    <w:p w14:paraId="2B6B7940">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rPr>
      </w:pPr>
      <w:r>
        <w:rPr>
          <w:rFonts w:hint="eastAsia" w:ascii="宋体" w:hAnsi="宋体" w:eastAsia="宋体" w:cs="Times New Roman"/>
          <w:bCs/>
          <w:color w:val="auto"/>
          <w:szCs w:val="21"/>
          <w:highlight w:val="none"/>
        </w:rPr>
        <w:t>未按招标文件规定的内容填写或未按规定签</w:t>
      </w:r>
      <w:r>
        <w:rPr>
          <w:rFonts w:hint="eastAsia" w:ascii="宋体" w:hAnsi="宋体" w:cs="Times New Roman"/>
          <w:bCs/>
          <w:color w:val="auto"/>
          <w:szCs w:val="21"/>
          <w:highlight w:val="none"/>
          <w:lang w:eastAsia="zh-CN"/>
        </w:rPr>
        <w:t>名</w:t>
      </w:r>
      <w:r>
        <w:rPr>
          <w:rFonts w:hint="eastAsia" w:ascii="宋体" w:hAnsi="宋体" w:eastAsia="宋体" w:cs="Times New Roman"/>
          <w:bCs/>
          <w:color w:val="auto"/>
          <w:szCs w:val="21"/>
          <w:highlight w:val="none"/>
        </w:rPr>
        <w:t>或盖章，内容不全或者关键内容字迹模糊、无法辨认的。</w:t>
      </w:r>
    </w:p>
    <w:p w14:paraId="46CF907A">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承诺书中的勘察设计周期不满足项目规定的期限要求、或没有响应招标文件相关承诺的。</w:t>
      </w:r>
    </w:p>
    <w:p w14:paraId="33AD948D">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项目管理机构人员配备不符合招标文件要求或未按招标文件要求提交齐全、真实、有效的资料。</w:t>
      </w:r>
    </w:p>
    <w:p w14:paraId="58352A07">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技术标书中存在违反国家工程建设标准强制性条文的。</w:t>
      </w:r>
    </w:p>
    <w:p w14:paraId="0729C20F">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评标委员会以书面方式要求投标人对投标文件中含义不明确、对同类问题表述不一致或者有明显文字和计算错误的内容作必要的澄清、说明或补正，投标人拒不按照要求对投标文件进行澄清、说明或者补正的。</w:t>
      </w:r>
    </w:p>
    <w:p w14:paraId="193FEE46">
      <w:pPr>
        <w:pageBreakBefore w:val="0"/>
        <w:numPr>
          <w:ilvl w:val="0"/>
          <w:numId w:val="4"/>
        </w:numPr>
        <w:tabs>
          <w:tab w:val="clear" w:pos="0"/>
        </w:tabs>
        <w:kinsoku/>
        <w:wordWrap/>
        <w:overflowPunct/>
        <w:topLinePunct w:val="0"/>
        <w:bidi w:val="0"/>
        <w:spacing w:line="360" w:lineRule="auto"/>
        <w:ind w:left="0" w:leftChars="0" w:firstLine="403" w:firstLineChars="0"/>
        <w:textAlignment w:val="auto"/>
        <w:rPr>
          <w:rFonts w:hint="eastAsia"/>
          <w:color w:val="auto"/>
          <w:highlight w:val="none"/>
          <w:lang w:val="en-US" w:eastAsia="zh-CN"/>
        </w:rPr>
      </w:pPr>
      <w:r>
        <w:rPr>
          <w:rFonts w:hint="eastAsia" w:ascii="宋体" w:hAnsi="宋体" w:eastAsia="宋体" w:cs="Times New Roman"/>
          <w:color w:val="auto"/>
          <w:szCs w:val="21"/>
          <w:highlight w:val="none"/>
        </w:rPr>
        <w:t>投标报价有算术错误的，评标委员会根据招标文件约定对投标报价进行修正，投标人不接受修正价格的。</w:t>
      </w:r>
    </w:p>
    <w:p w14:paraId="172BF367">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color w:val="auto"/>
          <w:highlight w:val="none"/>
          <w:lang w:val="en-US" w:eastAsia="zh-CN"/>
        </w:rPr>
      </w:pPr>
      <w:r>
        <w:rPr>
          <w:rFonts w:hint="eastAsia" w:ascii="宋体" w:hAnsi="宋体" w:eastAsia="宋体" w:cs="Times New Roman"/>
          <w:bCs/>
          <w:color w:val="auto"/>
          <w:szCs w:val="21"/>
          <w:highlight w:val="none"/>
          <w:lang w:val="en-US" w:eastAsia="zh-CN"/>
        </w:rPr>
        <w:t>投标报价低于成本或高于最高投标限价的。</w:t>
      </w:r>
    </w:p>
    <w:p w14:paraId="72BCC98F">
      <w:pPr>
        <w:keepNext w:val="0"/>
        <w:keepLines w:val="0"/>
        <w:pageBreakBefore w:val="0"/>
        <w:widowControl w:val="0"/>
        <w:numPr>
          <w:ilvl w:val="0"/>
          <w:numId w:val="4"/>
        </w:numPr>
        <w:tabs>
          <w:tab w:val="clear"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投标人以他人的名义投标或出现下列串通投标、弄虚作假投标嫌疑情形之一的：</w:t>
      </w:r>
    </w:p>
    <w:p w14:paraId="1C19DB4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（1）不同投标人的投标文件由同一单位或者个人编制；</w:t>
      </w:r>
    </w:p>
    <w:p w14:paraId="2A33B7B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（2）不同投标人委托同一单位或者个人办理投标事宜；</w:t>
      </w:r>
    </w:p>
    <w:p w14:paraId="7DD79C9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（3）不同投标人的投标文件载明的项目管理成员为同一人；</w:t>
      </w:r>
    </w:p>
    <w:p w14:paraId="1F889F9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（4）不同投标人的投标文件异常一致或者投标报价呈规律性差异；</w:t>
      </w:r>
    </w:p>
    <w:p w14:paraId="68A433E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（5）不同投标人的投标文件相互混装；</w:t>
      </w:r>
    </w:p>
    <w:p w14:paraId="438CA48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firstLine="0" w:firstLineChars="0"/>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（6）不同投标人的投标文件经交易系统检测出特征码一致的；</w:t>
      </w:r>
    </w:p>
    <w:p w14:paraId="7E88495E">
      <w:pPr>
        <w:numPr>
          <w:ilvl w:val="0"/>
          <w:numId w:val="0"/>
        </w:numPr>
        <w:tabs>
          <w:tab w:val="left" w:pos="0"/>
        </w:tabs>
        <w:spacing w:line="360" w:lineRule="auto"/>
        <w:ind w:left="403" w:firstLine="0" w:firstLineChars="0"/>
        <w:rPr>
          <w:rFonts w:hint="default" w:eastAsia="宋体"/>
          <w:color w:val="auto"/>
          <w:highlight w:val="none"/>
          <w:lang w:val="en-US" w:eastAsia="zh-CN"/>
        </w:rPr>
      </w:pPr>
      <w:r>
        <w:rPr>
          <w:rFonts w:hint="eastAsia" w:ascii="宋体" w:hAnsi="宋体" w:eastAsia="宋体" w:cs="Times New Roman"/>
          <w:bCs/>
          <w:color w:val="auto"/>
          <w:szCs w:val="21"/>
          <w:highlight w:val="none"/>
          <w:lang w:val="en-US" w:eastAsia="zh-CN"/>
        </w:rPr>
        <w:t>（7）评标委员会认定的其他串通投标情形。</w:t>
      </w:r>
    </w:p>
    <w:p w14:paraId="088B10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olor w:val="auto"/>
          <w:szCs w:val="21"/>
          <w:highlight w:val="none"/>
        </w:rPr>
        <w:t>注：</w:t>
      </w:r>
      <w:r>
        <w:rPr>
          <w:rFonts w:hint="eastAsia"/>
          <w:color w:val="auto"/>
          <w:highlight w:val="none"/>
        </w:rPr>
        <w:t>在</w:t>
      </w:r>
      <w:r>
        <w:rPr>
          <w:rFonts w:hint="eastAsia"/>
          <w:color w:val="auto"/>
          <w:highlight w:val="none"/>
          <w:lang w:val="en-US" w:eastAsia="zh-CN"/>
        </w:rPr>
        <w:t>资格审查</w:t>
      </w:r>
      <w:r>
        <w:rPr>
          <w:rFonts w:hint="eastAsia"/>
          <w:color w:val="auto"/>
          <w:highlight w:val="none"/>
        </w:rPr>
        <w:t>环节中，如遇争议部分需</w:t>
      </w:r>
      <w:r>
        <w:rPr>
          <w:rFonts w:hint="eastAsia"/>
          <w:color w:val="auto"/>
          <w:highlight w:val="none"/>
          <w:lang w:val="en-US" w:eastAsia="zh-CN"/>
        </w:rPr>
        <w:t>资格审查工作小组</w:t>
      </w:r>
      <w:r>
        <w:rPr>
          <w:rFonts w:hint="eastAsia"/>
          <w:color w:val="auto"/>
          <w:highlight w:val="none"/>
          <w:lang w:eastAsia="zh-CN"/>
        </w:rPr>
        <w:t>作出</w:t>
      </w:r>
      <w:r>
        <w:rPr>
          <w:rFonts w:hint="eastAsia"/>
          <w:color w:val="auto"/>
          <w:highlight w:val="none"/>
        </w:rPr>
        <w:t>表决的，由</w:t>
      </w:r>
      <w:r>
        <w:rPr>
          <w:rFonts w:hint="eastAsia"/>
          <w:color w:val="auto"/>
          <w:highlight w:val="none"/>
          <w:lang w:val="en-US" w:eastAsia="zh-CN"/>
        </w:rPr>
        <w:t>资格审查工作小组</w:t>
      </w:r>
      <w:r>
        <w:rPr>
          <w:rFonts w:hint="eastAsia"/>
          <w:color w:val="auto"/>
          <w:highlight w:val="none"/>
        </w:rPr>
        <w:t>全体成</w:t>
      </w:r>
      <w:r>
        <w:rPr>
          <w:rFonts w:hint="eastAsia" w:ascii="宋体" w:hAnsi="宋体" w:eastAsia="宋体" w:cs="Times New Roman"/>
          <w:color w:val="auto"/>
          <w:szCs w:val="21"/>
          <w:highlight w:val="none"/>
        </w:rPr>
        <w:t>员按照少数服从多数的原则，以记名投票方式表决。在评标环节中，如遇争议部分需评标委员会</w:t>
      </w:r>
      <w:r>
        <w:rPr>
          <w:rFonts w:hint="eastAsia" w:ascii="宋体" w:hAnsi="宋体" w:eastAsia="宋体" w:cs="Times New Roman"/>
          <w:color w:val="auto"/>
          <w:szCs w:val="21"/>
          <w:highlight w:val="none"/>
          <w:lang w:eastAsia="zh-CN"/>
        </w:rPr>
        <w:t>作出</w:t>
      </w:r>
      <w:r>
        <w:rPr>
          <w:rFonts w:hint="eastAsia" w:ascii="宋体" w:hAnsi="宋体" w:eastAsia="宋体" w:cs="Times New Roman"/>
          <w:color w:val="auto"/>
          <w:szCs w:val="21"/>
          <w:highlight w:val="none"/>
        </w:rPr>
        <w:t>表决的，由评标委员会全体成员按照少数服从多数的原则，以记名投票方式表决。</w:t>
      </w:r>
    </w:p>
    <w:p w14:paraId="52614E15">
      <w:pPr>
        <w:pStyle w:val="4"/>
        <w:numPr>
          <w:ilvl w:val="0"/>
          <w:numId w:val="0"/>
        </w:numPr>
        <w:rPr>
          <w:rFonts w:hint="eastAsia" w:ascii="宋体" w:hAnsi="宋体" w:eastAsia="宋体" w:cs="宋体"/>
          <w:color w:val="auto"/>
          <w:highlight w:val="none"/>
          <w:lang w:val="en-US" w:eastAsia="zh-CN"/>
        </w:rPr>
      </w:pPr>
      <w:bookmarkStart w:id="167" w:name="_Toc22028"/>
      <w:bookmarkStart w:id="168" w:name="_Toc681100375"/>
      <w:bookmarkStart w:id="169" w:name="_Toc2048602368"/>
      <w:r>
        <w:rPr>
          <w:rFonts w:hint="eastAsia" w:ascii="宋体" w:hAnsi="宋体" w:eastAsia="宋体" w:cs="宋体"/>
          <w:color w:val="auto"/>
          <w:highlight w:val="none"/>
          <w:lang w:val="en-US" w:eastAsia="zh-CN"/>
        </w:rPr>
        <w:t>14. 需要补充的其他内容</w:t>
      </w:r>
      <w:bookmarkEnd w:id="167"/>
      <w:bookmarkEnd w:id="168"/>
      <w:bookmarkEnd w:id="169"/>
    </w:p>
    <w:p w14:paraId="16EC67B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 w:val="21"/>
          <w:szCs w:val="21"/>
          <w:highlight w:val="none"/>
        </w:rPr>
        <w:t>需要补充的其他内容：</w:t>
      </w:r>
      <w:r>
        <w:rPr>
          <w:rFonts w:hint="eastAsia" w:ascii="宋体" w:hAnsi="宋体" w:eastAsia="宋体" w:cs="Times New Roman"/>
          <w:color w:val="auto"/>
          <w:szCs w:val="21"/>
          <w:highlight w:val="none"/>
          <w:lang w:val="en-US" w:eastAsia="zh-CN"/>
        </w:rPr>
        <w:t>见投标人须知前附表。</w:t>
      </w:r>
    </w:p>
    <w:p w14:paraId="1F34B8D8">
      <w:pPr>
        <w:pageBreakBefore w:val="0"/>
        <w:kinsoku/>
        <w:wordWrap w:val="0"/>
        <w:overflowPunct/>
        <w:topLinePunct w:val="0"/>
        <w:bidi w:val="0"/>
        <w:spacing w:before="0" w:beforeLines="0" w:after="0" w:afterLines="0" w:line="360" w:lineRule="auto"/>
        <w:ind w:firstLine="0" w:firstLineChars="0"/>
        <w:jc w:val="both"/>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bookmarkStart w:id="170" w:name="_Toc2041157724"/>
      <w:r>
        <w:rPr>
          <w:rStyle w:val="37"/>
          <w:rFonts w:hint="eastAsia" w:ascii="宋体" w:hAnsi="宋体" w:eastAsia="宋体" w:cs="宋体"/>
          <w:b w:val="0"/>
          <w:bCs w:val="0"/>
          <w:color w:val="auto"/>
          <w:sz w:val="21"/>
          <w:szCs w:val="21"/>
          <w:highlight w:val="none"/>
          <w:lang w:val="en-US" w:eastAsia="zh-CN"/>
        </w:rPr>
        <w:t>附件一：</w:t>
      </w:r>
      <w:r>
        <w:rPr>
          <w:rStyle w:val="37"/>
          <w:rFonts w:hint="eastAsia" w:ascii="宋体" w:hAnsi="宋体" w:eastAsia="宋体" w:cs="宋体"/>
          <w:b w:val="0"/>
          <w:bCs w:val="0"/>
          <w:color w:val="auto"/>
          <w:sz w:val="21"/>
          <w:szCs w:val="21"/>
          <w:highlight w:val="none"/>
          <w:lang w:val="en-US"/>
        </w:rPr>
        <w:t>问题澄清通知</w:t>
      </w:r>
      <w:bookmarkEnd w:id="170"/>
    </w:p>
    <w:p w14:paraId="373A0509">
      <w:pPr>
        <w:pageBreakBefore w:val="0"/>
        <w:kinsoku/>
        <w:wordWrap/>
        <w:overflowPunct/>
        <w:topLinePunct w:val="0"/>
        <w:bidi w:val="0"/>
        <w:spacing w:before="240" w:beforeLines="100" w:after="240" w:afterLines="100" w:line="360" w:lineRule="auto"/>
        <w:jc w:val="center"/>
        <w:textAlignment w:val="auto"/>
        <w:rPr>
          <w:rFonts w:hint="eastAsia" w:ascii="黑体" w:eastAsia="黑体"/>
          <w:color w:val="auto"/>
          <w:sz w:val="28"/>
          <w:szCs w:val="28"/>
          <w:highlight w:val="none"/>
        </w:rPr>
      </w:pPr>
      <w:r>
        <w:rPr>
          <w:rFonts w:hint="eastAsia" w:ascii="黑体" w:eastAsia="黑体"/>
          <w:color w:val="auto"/>
          <w:sz w:val="28"/>
          <w:szCs w:val="28"/>
          <w:highlight w:val="none"/>
        </w:rPr>
        <w:t>问题澄清通知</w:t>
      </w:r>
    </w:p>
    <w:p w14:paraId="60AEDEDD">
      <w:pPr>
        <w:pageBreakBefore w:val="0"/>
        <w:kinsoku/>
        <w:wordWrap/>
        <w:overflowPunct/>
        <w:topLinePunct w:val="0"/>
        <w:bidi w:val="0"/>
        <w:spacing w:line="360" w:lineRule="auto"/>
        <w:ind w:firstLine="5355" w:firstLineChars="2550"/>
        <w:textAlignment w:val="auto"/>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472D180A">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37815B58">
      <w:pPr>
        <w:pageBreakBefore w:val="0"/>
        <w:kinsoku/>
        <w:wordWrap/>
        <w:overflowPunct/>
        <w:topLinePunct w:val="0"/>
        <w:bidi w:val="0"/>
        <w:spacing w:line="360" w:lineRule="auto"/>
        <w:ind w:firstLine="420" w:firstLineChars="200"/>
        <w:textAlignment w:val="auto"/>
        <w:rPr>
          <w:rFonts w:hint="eastAsia"/>
          <w:color w:val="auto"/>
          <w:highlight w:val="none"/>
          <w:lang w:eastAsia="zh-CN"/>
        </w:rPr>
      </w:pPr>
      <w:r>
        <w:rPr>
          <w:rFonts w:hint="eastAsia"/>
          <w:color w:val="auto"/>
          <w:highlight w:val="none"/>
          <w:u w:val="single"/>
        </w:rPr>
        <w:t xml:space="preserve">             </w:t>
      </w:r>
      <w:r>
        <w:rPr>
          <w:rFonts w:hint="eastAsia"/>
          <w:color w:val="auto"/>
          <w:highlight w:val="none"/>
        </w:rPr>
        <w:t>（项目名称）</w:t>
      </w:r>
      <w:r>
        <w:rPr>
          <w:rFonts w:hint="eastAsia"/>
          <w:color w:val="auto"/>
          <w:highlight w:val="none"/>
          <w:u w:val="single"/>
        </w:rPr>
        <w:t xml:space="preserve">        </w:t>
      </w:r>
      <w:r>
        <w:rPr>
          <w:rFonts w:hint="eastAsia"/>
          <w:color w:val="auto"/>
          <w:highlight w:val="none"/>
        </w:rPr>
        <w:t>的评标委员会对你方的投标文件进行了仔细的审查，现需你方对</w:t>
      </w:r>
      <w:r>
        <w:rPr>
          <w:rFonts w:hint="eastAsia"/>
          <w:color w:val="auto"/>
          <w:highlight w:val="none"/>
          <w:lang w:val="en-US" w:eastAsia="zh-CN"/>
        </w:rPr>
        <w:t>下列</w:t>
      </w:r>
      <w:r>
        <w:rPr>
          <w:rFonts w:hint="eastAsia"/>
          <w:color w:val="auto"/>
          <w:highlight w:val="none"/>
        </w:rPr>
        <w:t>问题以书面形式予以澄清、说明或者补正</w:t>
      </w:r>
      <w:r>
        <w:rPr>
          <w:rFonts w:hint="eastAsia"/>
          <w:color w:val="auto"/>
          <w:highlight w:val="none"/>
          <w:lang w:eastAsia="zh-CN"/>
        </w:rPr>
        <w:t>：</w:t>
      </w:r>
    </w:p>
    <w:p w14:paraId="23F80E4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p>
    <w:p w14:paraId="005D4D3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p>
    <w:p w14:paraId="60B1912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F36A8F0">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color w:val="auto"/>
          <w:highlight w:val="none"/>
        </w:rPr>
        <w:t>请将上述问题的澄清、说明或者补正于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时前密封递交至</w:t>
      </w:r>
      <w:r>
        <w:rPr>
          <w:rFonts w:hint="eastAsia"/>
          <w:color w:val="auto"/>
          <w:highlight w:val="none"/>
          <w:u w:val="single"/>
        </w:rPr>
        <w:t>（详细地址）</w:t>
      </w:r>
      <w:r>
        <w:rPr>
          <w:rFonts w:hint="eastAsia"/>
          <w:color w:val="auto"/>
          <w:highlight w:val="none"/>
        </w:rPr>
        <w:t>或传真至</w:t>
      </w:r>
      <w:r>
        <w:rPr>
          <w:rFonts w:hint="eastAsia"/>
          <w:color w:val="auto"/>
          <w:highlight w:val="none"/>
          <w:u w:val="single"/>
        </w:rPr>
        <w:t xml:space="preserve">      </w:t>
      </w:r>
      <w:r>
        <w:rPr>
          <w:rFonts w:hint="eastAsia"/>
          <w:color w:val="auto"/>
          <w:highlight w:val="none"/>
        </w:rPr>
        <w:t>（传真</w:t>
      </w:r>
      <w:r>
        <w:rPr>
          <w:rFonts w:hint="eastAsia" w:ascii="Times New Roman" w:hAnsi="Times New Roman" w:eastAsia="宋体" w:cs="Times New Roman"/>
          <w:color w:val="auto"/>
          <w:highlight w:val="none"/>
        </w:rPr>
        <w:t>号码）</w:t>
      </w:r>
      <w:r>
        <w:rPr>
          <w:rFonts w:hint="eastAsia" w:ascii="Times New Roman" w:hAnsi="Times New Roman" w:eastAsia="宋体" w:cs="Times New Roman"/>
          <w:color w:val="auto"/>
          <w:highlight w:val="none"/>
          <w:lang w:val="en-US" w:eastAsia="zh-CN"/>
        </w:rPr>
        <w:t>或</w:t>
      </w:r>
      <w:r>
        <w:rPr>
          <w:rFonts w:hint="eastAsia" w:ascii="Times New Roman" w:hAnsi="Times New Roman" w:eastAsia="宋体" w:cs="Times New Roman"/>
          <w:color w:val="auto"/>
          <w:sz w:val="21"/>
          <w:szCs w:val="24"/>
          <w:highlight w:val="none"/>
        </w:rPr>
        <w:t>通过下载招标文件的电子招标交易平台上传。</w:t>
      </w:r>
      <w:r>
        <w:rPr>
          <w:rFonts w:hint="eastAsia"/>
          <w:color w:val="auto"/>
          <w:highlight w:val="none"/>
        </w:rPr>
        <w:t>采用传真方式的，应在</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时前将原件递交至</w:t>
      </w:r>
      <w:r>
        <w:rPr>
          <w:rFonts w:hint="eastAsia"/>
          <w:color w:val="auto"/>
          <w:highlight w:val="none"/>
          <w:u w:val="single"/>
        </w:rPr>
        <w:t xml:space="preserve">                         </w:t>
      </w:r>
      <w:r>
        <w:rPr>
          <w:rFonts w:hint="eastAsia"/>
          <w:color w:val="auto"/>
          <w:highlight w:val="none"/>
        </w:rPr>
        <w:t xml:space="preserve"> （详细地址）。</w:t>
      </w:r>
    </w:p>
    <w:p w14:paraId="1A53CB71">
      <w:pPr>
        <w:pageBreakBefore w:val="0"/>
        <w:kinsoku/>
        <w:wordWrap/>
        <w:overflowPunct/>
        <w:topLinePunct w:val="0"/>
        <w:bidi w:val="0"/>
        <w:spacing w:line="360" w:lineRule="auto"/>
        <w:textAlignment w:val="auto"/>
        <w:rPr>
          <w:rFonts w:hint="eastAsia"/>
          <w:color w:val="auto"/>
          <w:highlight w:val="none"/>
        </w:rPr>
      </w:pPr>
    </w:p>
    <w:p w14:paraId="01644E13">
      <w:pPr>
        <w:pageBreakBefore w:val="0"/>
        <w:kinsoku/>
        <w:wordWrap/>
        <w:overflowPunct/>
        <w:topLinePunct w:val="0"/>
        <w:bidi w:val="0"/>
        <w:spacing w:line="360" w:lineRule="auto"/>
        <w:ind w:firstLine="3045" w:firstLineChars="1450"/>
        <w:textAlignment w:val="auto"/>
        <w:rPr>
          <w:rFonts w:hint="eastAsia"/>
          <w:color w:val="auto"/>
          <w:highlight w:val="none"/>
        </w:rPr>
      </w:pPr>
      <w:r>
        <w:rPr>
          <w:rFonts w:hint="eastAsia"/>
          <w:color w:val="auto"/>
          <w:highlight w:val="none"/>
        </w:rPr>
        <w:t>（经评标委员会授权的招标人代表签字或招标人加盖单位章）</w:t>
      </w:r>
    </w:p>
    <w:p w14:paraId="052519BA">
      <w:pPr>
        <w:pageBreakBefore w:val="0"/>
        <w:kinsoku/>
        <w:wordWrap/>
        <w:overflowPunct/>
        <w:topLinePunct w:val="0"/>
        <w:bidi w:val="0"/>
        <w:spacing w:line="360" w:lineRule="auto"/>
        <w:ind w:firstLine="4620" w:firstLineChars="2200"/>
        <w:jc w:val="both"/>
        <w:textAlignment w:val="auto"/>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F364D35">
      <w:pPr>
        <w:pageBreakBefore w:val="0"/>
        <w:kinsoku/>
        <w:wordWrap/>
        <w:overflowPunct/>
        <w:topLinePunct w:val="0"/>
        <w:bidi w:val="0"/>
        <w:spacing w:line="360" w:lineRule="auto"/>
        <w:jc w:val="both"/>
        <w:textAlignment w:val="auto"/>
        <w:rPr>
          <w:rFonts w:hint="eastAsia" w:ascii="宋体" w:hAnsi="宋体" w:eastAsia="宋体" w:cs="宋体"/>
          <w:color w:val="auto"/>
          <w:highlight w:val="none"/>
        </w:rPr>
      </w:pPr>
      <w:r>
        <w:rPr>
          <w:rFonts w:hint="eastAsia" w:ascii="宋体" w:hAnsi="宋体" w:eastAsia="宋体" w:cs="Times New Roman"/>
          <w:color w:val="auto"/>
          <w:szCs w:val="21"/>
          <w:highlight w:val="none"/>
          <w:lang w:val="en-US" w:eastAsia="zh-CN"/>
        </w:rPr>
        <w:br w:type="page"/>
      </w:r>
      <w:bookmarkStart w:id="171" w:name="_Toc562200916"/>
      <w:bookmarkStart w:id="172" w:name="_Toc1286560793"/>
      <w:bookmarkStart w:id="173" w:name="_Toc505631221"/>
      <w:bookmarkStart w:id="174" w:name="_Toc184635083"/>
      <w:bookmarkStart w:id="175" w:name="_Toc597754405"/>
      <w:bookmarkStart w:id="176" w:name="_Toc336057852"/>
      <w:bookmarkStart w:id="177" w:name="_Toc797804152"/>
      <w:bookmarkStart w:id="178" w:name="_Toc1355220281"/>
      <w:bookmarkStart w:id="179" w:name="_Toc1048590087"/>
      <w:bookmarkStart w:id="180" w:name="_Toc439701117"/>
      <w:bookmarkStart w:id="181" w:name="_Toc515414628"/>
      <w:bookmarkStart w:id="182" w:name="_Toc882391510"/>
      <w:bookmarkStart w:id="183" w:name="_Toc1005979937"/>
      <w:bookmarkStart w:id="184" w:name="_Toc1300848102"/>
      <w:bookmarkStart w:id="185" w:name="_Toc68719380"/>
      <w:r>
        <w:rPr>
          <w:rStyle w:val="37"/>
          <w:rFonts w:hint="eastAsia" w:ascii="宋体" w:hAnsi="宋体" w:eastAsia="宋体" w:cs="宋体"/>
          <w:b w:val="0"/>
          <w:bCs w:val="0"/>
          <w:color w:val="auto"/>
          <w:sz w:val="21"/>
          <w:szCs w:val="21"/>
          <w:highlight w:val="none"/>
          <w:lang w:val="en-US" w:eastAsia="zh-CN"/>
        </w:rPr>
        <w:t>附件二：</w:t>
      </w:r>
      <w:r>
        <w:rPr>
          <w:rStyle w:val="37"/>
          <w:rFonts w:hint="eastAsia" w:ascii="宋体" w:hAnsi="宋体" w:eastAsia="宋体" w:cs="宋体"/>
          <w:b w:val="0"/>
          <w:bCs w:val="0"/>
          <w:color w:val="auto"/>
          <w:sz w:val="21"/>
          <w:szCs w:val="21"/>
          <w:highlight w:val="none"/>
        </w:rPr>
        <w:t>问题的澄清</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B000A20">
      <w:pPr>
        <w:pageBreakBefore w:val="0"/>
        <w:kinsoku/>
        <w:wordWrap/>
        <w:overflowPunct/>
        <w:topLinePunct w:val="0"/>
        <w:bidi w:val="0"/>
        <w:spacing w:before="240" w:beforeLines="100" w:after="240" w:afterLines="10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问题的澄清</w:t>
      </w:r>
    </w:p>
    <w:p w14:paraId="7200AB39">
      <w:pPr>
        <w:pageBreakBefore w:val="0"/>
        <w:kinsoku/>
        <w:wordWrap/>
        <w:overflowPunct/>
        <w:topLinePunct w:val="0"/>
        <w:bidi w:val="0"/>
        <w:spacing w:before="240" w:beforeLines="100" w:after="240" w:afterLines="100" w:line="360" w:lineRule="auto"/>
        <w:jc w:val="center"/>
        <w:textAlignment w:val="auto"/>
        <w:rPr>
          <w:rFonts w:hint="eastAsia" w:ascii="宋体" w:hAnsi="宋体" w:eastAsia="宋体" w:cs="宋体"/>
          <w:color w:val="auto"/>
          <w:sz w:val="28"/>
          <w:szCs w:val="28"/>
          <w:highlight w:val="none"/>
        </w:rPr>
      </w:pPr>
    </w:p>
    <w:p w14:paraId="5D30C894">
      <w:pPr>
        <w:pageBreakBefore w:val="0"/>
        <w:kinsoku/>
        <w:wordWrap/>
        <w:overflowPunct/>
        <w:topLinePunct w:val="0"/>
        <w:bidi w:val="0"/>
        <w:spacing w:line="360" w:lineRule="auto"/>
        <w:ind w:firstLine="5355" w:firstLineChars="25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编号：</w:t>
      </w:r>
      <w:r>
        <w:rPr>
          <w:rFonts w:hint="eastAsia" w:ascii="宋体" w:hAnsi="宋体" w:eastAsia="宋体" w:cs="宋体"/>
          <w:color w:val="auto"/>
          <w:highlight w:val="none"/>
          <w:u w:val="single"/>
        </w:rPr>
        <w:t xml:space="preserve">                  </w:t>
      </w:r>
    </w:p>
    <w:p w14:paraId="28F2B67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rPr>
        <w:t>委员会：</w:t>
      </w:r>
    </w:p>
    <w:p w14:paraId="3D64D21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问题澄清通知（编号：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）已收悉，现澄清如下：</w:t>
      </w:r>
    </w:p>
    <w:p w14:paraId="5A547CC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p>
    <w:p w14:paraId="47F377D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p>
    <w:p w14:paraId="2A05AFA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3B9863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2DAD9F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15E2FC3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669B36E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5E936E60">
      <w:pPr>
        <w:pageBreakBefore w:val="0"/>
        <w:kinsoku/>
        <w:wordWrap/>
        <w:overflowPunct/>
        <w:topLinePunct w:val="0"/>
        <w:bidi w:val="0"/>
        <w:spacing w:line="360" w:lineRule="auto"/>
        <w:ind w:firstLine="4725" w:firstLineChars="2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251B855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p>
    <w:p w14:paraId="5BC15C3A">
      <w:pPr>
        <w:pageBreakBefore w:val="0"/>
        <w:kinsoku/>
        <w:wordWrap/>
        <w:overflowPunct/>
        <w:topLinePunct w:val="0"/>
        <w:bidi w:val="0"/>
        <w:spacing w:line="360" w:lineRule="auto"/>
        <w:ind w:firstLine="4725" w:firstLineChars="2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43096538">
      <w:pPr>
        <w:pageBreakBefore w:val="0"/>
        <w:kinsoku/>
        <w:wordWrap/>
        <w:overflowPunct/>
        <w:topLinePunct w:val="0"/>
        <w:bidi w:val="0"/>
        <w:spacing w:line="360" w:lineRule="auto"/>
        <w:ind w:firstLine="5145" w:firstLineChars="2450"/>
        <w:textAlignment w:val="auto"/>
        <w:rPr>
          <w:rFonts w:hint="eastAsia" w:ascii="宋体" w:hAnsi="宋体" w:eastAsia="宋体" w:cs="宋体"/>
          <w:color w:val="auto"/>
          <w:szCs w:val="21"/>
          <w:highlight w:val="none"/>
          <w:u w:val="single"/>
        </w:rPr>
      </w:pPr>
    </w:p>
    <w:p w14:paraId="48440DB7">
      <w:pPr>
        <w:pageBreakBefore w:val="0"/>
        <w:kinsoku/>
        <w:wordWrap/>
        <w:overflowPunct/>
        <w:topLinePunct w:val="0"/>
        <w:bidi w:val="0"/>
        <w:spacing w:line="360" w:lineRule="auto"/>
        <w:ind w:firstLine="5145" w:firstLineChars="24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Start w:id="186" w:name="_Toc11867"/>
      <w:bookmarkStart w:id="187" w:name="_Toc1490866739"/>
      <w:bookmarkStart w:id="188" w:name="_Toc8294"/>
      <w:bookmarkStart w:id="189" w:name="_Toc2591743"/>
      <w:bookmarkStart w:id="190" w:name="_Toc15619"/>
      <w:bookmarkStart w:id="191" w:name="_Toc27095"/>
      <w:bookmarkStart w:id="192" w:name="_Toc11289"/>
    </w:p>
    <w:p w14:paraId="5407044F">
      <w:pPr>
        <w:pageBreakBefore w:val="0"/>
        <w:kinsoku/>
        <w:wordWrap/>
        <w:overflowPunct/>
        <w:topLinePunct w:val="0"/>
        <w:bidi w:val="0"/>
        <w:spacing w:line="360" w:lineRule="auto"/>
        <w:jc w:val="center"/>
        <w:textAlignment w:val="auto"/>
        <w:rPr>
          <w:rFonts w:hint="default"/>
          <w:color w:val="auto"/>
          <w:highlight w:val="none"/>
          <w:lang w:val="en-US" w:eastAsia="zh-CN"/>
        </w:rPr>
      </w:pPr>
      <w:r>
        <w:rPr>
          <w:rFonts w:hint="eastAsia"/>
          <w:color w:val="auto"/>
          <w:highlight w:val="none"/>
          <w:lang w:val="en-US" w:eastAsia="zh-CN"/>
        </w:rPr>
        <w:br w:type="page"/>
      </w:r>
      <w:bookmarkEnd w:id="186"/>
      <w:bookmarkEnd w:id="187"/>
      <w:bookmarkStart w:id="193" w:name="_Toc621706957"/>
      <w:bookmarkStart w:id="194" w:name="_Toc1427240394"/>
      <w:r>
        <w:rPr>
          <w:rStyle w:val="36"/>
          <w:rFonts w:hint="eastAsia"/>
          <w:color w:val="auto"/>
          <w:highlight w:val="none"/>
          <w:lang w:val="en-US" w:eastAsia="zh-CN"/>
        </w:rPr>
        <w:t>第三章 评标办法、定标规则</w:t>
      </w:r>
      <w:bookmarkEnd w:id="193"/>
      <w:bookmarkEnd w:id="194"/>
    </w:p>
    <w:bookmarkEnd w:id="188"/>
    <w:bookmarkEnd w:id="189"/>
    <w:bookmarkEnd w:id="190"/>
    <w:bookmarkEnd w:id="191"/>
    <w:bookmarkEnd w:id="192"/>
    <w:p w14:paraId="4ED227F8">
      <w:pPr>
        <w:pStyle w:val="4"/>
        <w:numPr>
          <w:ilvl w:val="0"/>
          <w:numId w:val="0"/>
        </w:numPr>
        <w:jc w:val="center"/>
        <w:rPr>
          <w:rFonts w:hint="eastAsia"/>
          <w:color w:val="auto"/>
          <w:highlight w:val="none"/>
          <w:lang w:val="en-US" w:eastAsia="zh-CN"/>
        </w:rPr>
      </w:pPr>
      <w:bookmarkStart w:id="195" w:name="_Toc1137785721"/>
      <w:bookmarkStart w:id="196" w:name="_Toc352593997"/>
      <w:bookmarkStart w:id="197" w:name="_Toc25642"/>
      <w:bookmarkStart w:id="198" w:name="_Toc24629"/>
      <w:bookmarkStart w:id="199" w:name="_Toc8758"/>
      <w:bookmarkStart w:id="200" w:name="_Toc969"/>
      <w:bookmarkStart w:id="201" w:name="_Toc2591749"/>
      <w:bookmarkStart w:id="202" w:name="_Toc9556"/>
      <w:r>
        <w:rPr>
          <w:rFonts w:hint="eastAsia"/>
          <w:color w:val="auto"/>
          <w:highlight w:val="none"/>
          <w:lang w:val="en-US" w:eastAsia="zh-CN"/>
        </w:rPr>
        <w:t>第一部分 评标办法</w:t>
      </w:r>
      <w:bookmarkEnd w:id="195"/>
      <w:bookmarkEnd w:id="196"/>
    </w:p>
    <w:p w14:paraId="372D6432">
      <w:pPr>
        <w:pStyle w:val="4"/>
        <w:numPr>
          <w:ilvl w:val="0"/>
          <w:numId w:val="0"/>
        </w:numPr>
        <w:jc w:val="center"/>
        <w:rPr>
          <w:rFonts w:hint="eastAsia" w:ascii="宋体" w:hAnsi="宋体" w:cs="宋体"/>
          <w:color w:val="auto"/>
          <w:sz w:val="21"/>
          <w:szCs w:val="21"/>
          <w:highlight w:val="none"/>
          <w:lang w:val="en-US" w:eastAsia="zh-CN"/>
        </w:rPr>
      </w:pPr>
      <w:bookmarkStart w:id="203" w:name="_Toc2145685048"/>
      <w:bookmarkStart w:id="204" w:name="_Toc1094871078"/>
      <w:r>
        <w:rPr>
          <w:rFonts w:hint="default" w:ascii="宋体" w:hAnsi="宋体" w:cs="宋体"/>
          <w:color w:val="auto"/>
          <w:sz w:val="21"/>
          <w:szCs w:val="21"/>
          <w:highlight w:val="none"/>
          <w:lang w:val="en-US" w:eastAsia="zh-CN"/>
        </w:rPr>
        <w:t>评标办法前附表</w:t>
      </w:r>
      <w:bookmarkEnd w:id="203"/>
      <w:bookmarkEnd w:id="204"/>
    </w:p>
    <w:tbl>
      <w:tblPr>
        <w:tblStyle w:val="26"/>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46"/>
        <w:gridCol w:w="1440"/>
        <w:gridCol w:w="1441"/>
        <w:gridCol w:w="4665"/>
      </w:tblGrid>
      <w:tr w14:paraId="4AC8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16" w:type="dxa"/>
            <w:gridSpan w:val="2"/>
            <w:noWrap w:val="0"/>
            <w:vAlign w:val="center"/>
          </w:tcPr>
          <w:p w14:paraId="634E491F">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lang w:eastAsia="zh-CN"/>
              </w:rPr>
              <w:t>条</w:t>
            </w:r>
            <w:r>
              <w:rPr>
                <w:rFonts w:hint="eastAsia" w:ascii="宋体" w:hAnsi="宋体"/>
                <w:b/>
                <w:color w:val="auto"/>
                <w:szCs w:val="21"/>
                <w:highlight w:val="none"/>
              </w:rPr>
              <w:t>款号</w:t>
            </w:r>
          </w:p>
        </w:tc>
        <w:tc>
          <w:tcPr>
            <w:tcW w:w="2881" w:type="dxa"/>
            <w:gridSpan w:val="2"/>
            <w:noWrap w:val="0"/>
            <w:vAlign w:val="center"/>
          </w:tcPr>
          <w:p w14:paraId="13B72650">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评审因素</w:t>
            </w:r>
          </w:p>
        </w:tc>
        <w:tc>
          <w:tcPr>
            <w:tcW w:w="4665" w:type="dxa"/>
            <w:noWrap w:val="0"/>
            <w:vAlign w:val="center"/>
          </w:tcPr>
          <w:p w14:paraId="54CE304A">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评审标准</w:t>
            </w:r>
          </w:p>
        </w:tc>
      </w:tr>
      <w:tr w14:paraId="7EC6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restart"/>
            <w:noWrap w:val="0"/>
            <w:vAlign w:val="center"/>
          </w:tcPr>
          <w:p w14:paraId="24E968C3">
            <w:pPr>
              <w:pageBreakBefore w:val="0"/>
              <w:kinsoku/>
              <w:wordWrap/>
              <w:overflowPunct/>
              <w:topLinePunct w:val="0"/>
              <w:autoSpaceDE/>
              <w:autoSpaceDN/>
              <w:bidi w:val="0"/>
              <w:adjustRightInd/>
              <w:spacing w:line="360" w:lineRule="auto"/>
              <w:jc w:val="both"/>
              <w:textAlignment w:val="auto"/>
              <w:rPr>
                <w:rFonts w:hint="default" w:eastAsia="宋体"/>
                <w:color w:val="auto"/>
                <w:highlight w:val="none"/>
                <w:lang w:val="en-US" w:eastAsia="zh-CN"/>
              </w:rPr>
            </w:pPr>
            <w:r>
              <w:rPr>
                <w:rFonts w:hint="eastAsia" w:ascii="宋体" w:hAnsi="宋体" w:eastAsia="宋体" w:cs="宋体"/>
                <w:color w:val="auto"/>
                <w:kern w:val="0"/>
                <w:szCs w:val="21"/>
                <w:highlight w:val="none"/>
                <w:lang w:val="en-US" w:eastAsia="zh-CN"/>
              </w:rPr>
              <w:t>2.1</w:t>
            </w:r>
          </w:p>
        </w:tc>
        <w:tc>
          <w:tcPr>
            <w:tcW w:w="1046" w:type="dxa"/>
            <w:vMerge w:val="restart"/>
            <w:noWrap w:val="0"/>
            <w:vAlign w:val="center"/>
          </w:tcPr>
          <w:p w14:paraId="5C380B55">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lang w:eastAsia="zh-CN"/>
              </w:rPr>
              <w:t>初步</w:t>
            </w:r>
            <w:r>
              <w:rPr>
                <w:rFonts w:hint="eastAsia" w:ascii="宋体" w:hAnsi="宋体"/>
                <w:color w:val="auto"/>
                <w:szCs w:val="21"/>
                <w:highlight w:val="none"/>
              </w:rPr>
              <w:t>评审标准</w:t>
            </w:r>
          </w:p>
        </w:tc>
        <w:tc>
          <w:tcPr>
            <w:tcW w:w="2881" w:type="dxa"/>
            <w:gridSpan w:val="2"/>
            <w:noWrap w:val="0"/>
            <w:vAlign w:val="center"/>
          </w:tcPr>
          <w:p w14:paraId="4E50B621">
            <w:pPr>
              <w:pageBreakBefore w:val="0"/>
              <w:kinsoku/>
              <w:wordWrap/>
              <w:overflowPunct/>
              <w:topLinePunct w:val="0"/>
              <w:autoSpaceDE/>
              <w:autoSpaceDN/>
              <w:bidi w:val="0"/>
              <w:adjustRightInd/>
              <w:spacing w:line="360" w:lineRule="auto"/>
              <w:ind w:firstLine="420" w:firstLineChars="200"/>
              <w:jc w:val="both"/>
              <w:textAlignment w:val="auto"/>
              <w:rPr>
                <w:rFonts w:hint="default"/>
                <w:color w:val="auto"/>
                <w:kern w:val="2"/>
                <w:sz w:val="21"/>
                <w:szCs w:val="24"/>
                <w:highlight w:val="none"/>
                <w:lang w:val="en-US" w:eastAsia="zh-CN" w:bidi="ar-SA"/>
              </w:rPr>
            </w:pPr>
            <w:r>
              <w:rPr>
                <w:rFonts w:hint="eastAsia"/>
                <w:color w:val="auto"/>
                <w:kern w:val="2"/>
                <w:sz w:val="21"/>
                <w:szCs w:val="24"/>
                <w:highlight w:val="none"/>
                <w:lang w:val="en-US" w:eastAsia="zh-CN" w:bidi="ar-SA"/>
              </w:rPr>
              <w:t>投标人名称</w:t>
            </w:r>
          </w:p>
        </w:tc>
        <w:tc>
          <w:tcPr>
            <w:tcW w:w="4665" w:type="dxa"/>
            <w:noWrap w:val="0"/>
            <w:vAlign w:val="top"/>
          </w:tcPr>
          <w:p w14:paraId="0E66D751">
            <w:pPr>
              <w:pageBreakBefore w:val="0"/>
              <w:kinsoku/>
              <w:wordWrap/>
              <w:overflowPunct/>
              <w:topLinePunct w:val="0"/>
              <w:autoSpaceDE/>
              <w:autoSpaceDN/>
              <w:bidi w:val="0"/>
              <w:adjustRightInd/>
              <w:spacing w:line="360" w:lineRule="auto"/>
              <w:jc w:val="left"/>
              <w:textAlignment w:val="auto"/>
              <w:rPr>
                <w:rFonts w:hint="default"/>
                <w:color w:val="auto"/>
                <w:kern w:val="2"/>
                <w:sz w:val="21"/>
                <w:szCs w:val="24"/>
                <w:highlight w:val="none"/>
                <w:lang w:val="en-US" w:eastAsia="zh-CN" w:bidi="ar-SA"/>
              </w:rPr>
            </w:pPr>
            <w:r>
              <w:rPr>
                <w:rFonts w:hint="eastAsia"/>
                <w:color w:val="auto"/>
                <w:kern w:val="2"/>
                <w:sz w:val="21"/>
                <w:szCs w:val="24"/>
                <w:highlight w:val="none"/>
                <w:lang w:val="en-US" w:eastAsia="zh-CN" w:bidi="ar-SA"/>
              </w:rPr>
              <w:t>与营业执照、资质证书一致</w:t>
            </w:r>
          </w:p>
        </w:tc>
      </w:tr>
      <w:tr w14:paraId="1F46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1624B2B9">
            <w:pPr>
              <w:pageBreakBefore w:val="0"/>
              <w:kinsoku/>
              <w:wordWrap/>
              <w:overflowPunct/>
              <w:topLinePunct w:val="0"/>
              <w:autoSpaceDE/>
              <w:autoSpaceDN/>
              <w:bidi w:val="0"/>
              <w:adjustRightInd/>
              <w:spacing w:line="360" w:lineRule="auto"/>
              <w:jc w:val="both"/>
              <w:textAlignment w:val="auto"/>
              <w:rPr>
                <w:rFonts w:hint="eastAsia"/>
                <w:color w:val="auto"/>
                <w:highlight w:val="none"/>
                <w:lang w:val="en-US" w:eastAsia="zh-CN"/>
              </w:rPr>
            </w:pPr>
          </w:p>
        </w:tc>
        <w:tc>
          <w:tcPr>
            <w:tcW w:w="1046" w:type="dxa"/>
            <w:vMerge w:val="continue"/>
            <w:noWrap w:val="0"/>
            <w:vAlign w:val="center"/>
          </w:tcPr>
          <w:p w14:paraId="1F443393">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2881" w:type="dxa"/>
            <w:gridSpan w:val="2"/>
            <w:noWrap w:val="0"/>
            <w:vAlign w:val="center"/>
          </w:tcPr>
          <w:p w14:paraId="379A5D94">
            <w:pPr>
              <w:pageBreakBefore w:val="0"/>
              <w:kinsoku/>
              <w:wordWrap/>
              <w:overflowPunct/>
              <w:topLinePunct w:val="0"/>
              <w:autoSpaceDE/>
              <w:autoSpaceDN/>
              <w:bidi w:val="0"/>
              <w:adjustRightInd/>
              <w:spacing w:line="360" w:lineRule="auto"/>
              <w:ind w:firstLine="420" w:firstLineChars="200"/>
              <w:jc w:val="both"/>
              <w:textAlignment w:val="auto"/>
              <w:rPr>
                <w:rFonts w:hint="eastAsia"/>
                <w:color w:val="auto"/>
                <w:kern w:val="2"/>
                <w:sz w:val="21"/>
                <w:szCs w:val="24"/>
                <w:highlight w:val="none"/>
                <w:lang w:val="en-US" w:eastAsia="zh-CN" w:bidi="ar-SA"/>
              </w:rPr>
            </w:pPr>
            <w:r>
              <w:rPr>
                <w:rFonts w:hint="eastAsia" w:ascii="宋体" w:hAnsi="宋体"/>
                <w:color w:val="auto"/>
                <w:szCs w:val="21"/>
                <w:highlight w:val="none"/>
              </w:rPr>
              <w:t>投标文件格式</w:t>
            </w:r>
          </w:p>
        </w:tc>
        <w:tc>
          <w:tcPr>
            <w:tcW w:w="4665" w:type="dxa"/>
            <w:noWrap w:val="0"/>
            <w:vAlign w:val="top"/>
          </w:tcPr>
          <w:p w14:paraId="04C12407">
            <w:pPr>
              <w:pageBreakBefore w:val="0"/>
              <w:kinsoku/>
              <w:wordWrap/>
              <w:overflowPunct/>
              <w:topLinePunct w:val="0"/>
              <w:autoSpaceDE/>
              <w:autoSpaceDN/>
              <w:bidi w:val="0"/>
              <w:adjustRightInd/>
              <w:spacing w:line="360" w:lineRule="auto"/>
              <w:jc w:val="left"/>
              <w:textAlignment w:val="auto"/>
              <w:rPr>
                <w:rFonts w:hint="eastAsia" w:eastAsia="宋体"/>
                <w:color w:val="auto"/>
                <w:kern w:val="2"/>
                <w:sz w:val="21"/>
                <w:szCs w:val="24"/>
                <w:highlight w:val="none"/>
                <w:lang w:val="en-US" w:eastAsia="zh-CN" w:bidi="ar-SA"/>
              </w:rPr>
            </w:pPr>
            <w:r>
              <w:rPr>
                <w:rFonts w:hint="eastAsia" w:ascii="宋体" w:hAnsi="宋体"/>
                <w:color w:val="auto"/>
                <w:szCs w:val="21"/>
                <w:highlight w:val="none"/>
              </w:rPr>
              <w:t>符合第</w:t>
            </w:r>
            <w:r>
              <w:rPr>
                <w:rFonts w:hint="eastAsia" w:ascii="宋体" w:hAnsi="宋体"/>
                <w:color w:val="auto"/>
                <w:szCs w:val="21"/>
                <w:highlight w:val="none"/>
                <w:lang w:val="en-US" w:eastAsia="zh-CN"/>
              </w:rPr>
              <w:t>六</w:t>
            </w:r>
            <w:r>
              <w:rPr>
                <w:rFonts w:hint="eastAsia" w:ascii="宋体" w:hAnsi="宋体"/>
                <w:color w:val="auto"/>
                <w:szCs w:val="21"/>
                <w:highlight w:val="none"/>
              </w:rPr>
              <w:t>章“投标文件格式”的要求</w:t>
            </w:r>
          </w:p>
        </w:tc>
      </w:tr>
      <w:tr w14:paraId="66B9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132C2360">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center"/>
          </w:tcPr>
          <w:p w14:paraId="264129A0">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2881" w:type="dxa"/>
            <w:gridSpan w:val="2"/>
            <w:noWrap w:val="0"/>
            <w:vAlign w:val="center"/>
          </w:tcPr>
          <w:p w14:paraId="77837AEA">
            <w:pPr>
              <w:pageBreakBefore w:val="0"/>
              <w:kinsoku/>
              <w:wordWrap/>
              <w:overflowPunct/>
              <w:topLinePunct w:val="0"/>
              <w:autoSpaceDE/>
              <w:autoSpaceDN/>
              <w:bidi w:val="0"/>
              <w:adjustRightInd/>
              <w:spacing w:line="360" w:lineRule="auto"/>
              <w:ind w:firstLine="420" w:firstLineChars="200"/>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签名盖章</w:t>
            </w:r>
          </w:p>
        </w:tc>
        <w:tc>
          <w:tcPr>
            <w:tcW w:w="4665" w:type="dxa"/>
            <w:noWrap w:val="0"/>
            <w:vAlign w:val="top"/>
          </w:tcPr>
          <w:p w14:paraId="5FB347AC">
            <w:pPr>
              <w:pageBreakBefore w:val="0"/>
              <w:kinsoku/>
              <w:wordWrap/>
              <w:overflowPunct/>
              <w:topLinePunct w:val="0"/>
              <w:autoSpaceDE/>
              <w:autoSpaceDN/>
              <w:bidi w:val="0"/>
              <w:adjustRightInd/>
              <w:spacing w:line="360" w:lineRule="auto"/>
              <w:jc w:val="left"/>
              <w:textAlignment w:val="auto"/>
              <w:rPr>
                <w:rFonts w:hint="eastAsia" w:ascii="宋体" w:hAnsi="宋体"/>
                <w:b/>
                <w:bCs/>
                <w:color w:val="auto"/>
                <w:szCs w:val="21"/>
                <w:highlight w:val="none"/>
              </w:rPr>
            </w:pPr>
            <w:r>
              <w:rPr>
                <w:rFonts w:hint="eastAsia" w:ascii="宋体" w:hAnsi="宋体" w:eastAsia="宋体" w:cs="Times New Roman"/>
                <w:color w:val="auto"/>
                <w:kern w:val="2"/>
                <w:sz w:val="21"/>
                <w:szCs w:val="21"/>
                <w:highlight w:val="none"/>
                <w:lang w:val="en-US" w:eastAsia="zh-CN" w:bidi="ar-SA"/>
              </w:rPr>
              <w:t>按招标文件要求由法定代表人或其代理人在投标文件相应位置签名或加盖单位公章</w:t>
            </w:r>
          </w:p>
        </w:tc>
      </w:tr>
      <w:tr w14:paraId="7FA8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70" w:type="dxa"/>
            <w:vMerge w:val="continue"/>
            <w:noWrap w:val="0"/>
            <w:vAlign w:val="top"/>
          </w:tcPr>
          <w:p w14:paraId="62FA5D28">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14:paraId="5C807532">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2881" w:type="dxa"/>
            <w:gridSpan w:val="2"/>
            <w:noWrap w:val="0"/>
            <w:vAlign w:val="center"/>
          </w:tcPr>
          <w:p w14:paraId="4C8697C7">
            <w:pPr>
              <w:pageBreakBefore w:val="0"/>
              <w:kinsoku/>
              <w:wordWrap/>
              <w:overflowPunct/>
              <w:topLinePunct w:val="0"/>
              <w:autoSpaceDE/>
              <w:autoSpaceDN/>
              <w:bidi w:val="0"/>
              <w:adjustRightInd/>
              <w:spacing w:line="360" w:lineRule="auto"/>
              <w:ind w:firstLine="420" w:firstLineChars="200"/>
              <w:jc w:val="both"/>
              <w:textAlignment w:val="auto"/>
              <w:rPr>
                <w:rFonts w:hint="eastAsia"/>
                <w:dstrike/>
                <w:color w:val="auto"/>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承诺书</w:t>
            </w:r>
          </w:p>
        </w:tc>
        <w:tc>
          <w:tcPr>
            <w:tcW w:w="4665" w:type="dxa"/>
            <w:noWrap w:val="0"/>
            <w:vAlign w:val="top"/>
          </w:tcPr>
          <w:p w14:paraId="1966FD0B">
            <w:pPr>
              <w:pageBreakBefore w:val="0"/>
              <w:kinsoku/>
              <w:wordWrap/>
              <w:overflowPunct/>
              <w:topLinePunct w:val="0"/>
              <w:autoSpaceDE/>
              <w:autoSpaceDN/>
              <w:bidi w:val="0"/>
              <w:adjustRightInd/>
              <w:spacing w:line="360" w:lineRule="auto"/>
              <w:jc w:val="left"/>
              <w:textAlignment w:val="auto"/>
              <w:rPr>
                <w:rFonts w:hint="eastAsia" w:eastAsia="宋体"/>
                <w:color w:val="auto"/>
                <w:highlight w:val="none"/>
                <w:lang w:eastAsia="zh-CN"/>
              </w:rPr>
            </w:pPr>
            <w:r>
              <w:rPr>
                <w:rFonts w:hint="eastAsia" w:ascii="宋体" w:hAnsi="宋体"/>
                <w:color w:val="auto"/>
                <w:szCs w:val="21"/>
                <w:highlight w:val="none"/>
              </w:rPr>
              <w:t>符合第二章“投标人须知”的规定</w:t>
            </w:r>
            <w:r>
              <w:rPr>
                <w:rFonts w:hint="eastAsia" w:ascii="宋体" w:hAnsi="宋体"/>
                <w:color w:val="auto"/>
                <w:szCs w:val="21"/>
                <w:highlight w:val="none"/>
                <w:lang w:eastAsia="zh-CN"/>
              </w:rPr>
              <w:t>，</w:t>
            </w:r>
            <w:r>
              <w:rPr>
                <w:rFonts w:hint="eastAsia" w:ascii="宋体" w:hAnsi="宋体"/>
                <w:color w:val="auto"/>
                <w:szCs w:val="21"/>
                <w:highlight w:val="none"/>
              </w:rPr>
              <w:t>有法定代表人或其代理人签</w:t>
            </w:r>
            <w:r>
              <w:rPr>
                <w:rFonts w:hint="eastAsia" w:ascii="宋体" w:hAnsi="宋体"/>
                <w:color w:val="auto"/>
                <w:szCs w:val="21"/>
                <w:highlight w:val="none"/>
                <w:lang w:eastAsia="zh-CN"/>
              </w:rPr>
              <w:t>名</w:t>
            </w:r>
            <w:r>
              <w:rPr>
                <w:rFonts w:hint="eastAsia" w:ascii="宋体" w:hAnsi="宋体"/>
                <w:color w:val="auto"/>
                <w:szCs w:val="21"/>
                <w:highlight w:val="none"/>
              </w:rPr>
              <w:t>及加盖单位</w:t>
            </w:r>
            <w:r>
              <w:rPr>
                <w:rFonts w:hint="eastAsia" w:ascii="宋体" w:hAnsi="宋体"/>
                <w:color w:val="auto"/>
                <w:szCs w:val="21"/>
                <w:highlight w:val="none"/>
                <w:lang w:val="en-US" w:eastAsia="zh-CN"/>
              </w:rPr>
              <w:t>公</w:t>
            </w:r>
            <w:r>
              <w:rPr>
                <w:rFonts w:hint="eastAsia" w:ascii="宋体" w:hAnsi="宋体"/>
                <w:color w:val="auto"/>
                <w:szCs w:val="21"/>
                <w:highlight w:val="none"/>
              </w:rPr>
              <w:t>章，内容符合招标文件要求</w:t>
            </w:r>
          </w:p>
        </w:tc>
      </w:tr>
      <w:tr w14:paraId="63EB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0612EE5E">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14:paraId="1E6F05FC">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14:paraId="6B5AAE14">
            <w:pPr>
              <w:pageBreakBefore w:val="0"/>
              <w:kinsoku/>
              <w:wordWrap/>
              <w:overflowPunct/>
              <w:topLinePunct w:val="0"/>
              <w:autoSpaceDE/>
              <w:autoSpaceDN/>
              <w:bidi w:val="0"/>
              <w:adjustRightInd/>
              <w:spacing w:line="360" w:lineRule="auto"/>
              <w:ind w:firstLine="420" w:firstLineChars="200"/>
              <w:jc w:val="both"/>
              <w:textAlignment w:val="auto"/>
              <w:rPr>
                <w:rFonts w:hint="default" w:eastAsia="宋体"/>
                <w:color w:val="auto"/>
                <w:highlight w:val="none"/>
                <w:lang w:val="en-US" w:eastAsia="zh-CN"/>
              </w:rPr>
            </w:pPr>
            <w:r>
              <w:rPr>
                <w:rFonts w:hint="eastAsia" w:ascii="宋体" w:hAnsi="宋体"/>
                <w:color w:val="auto"/>
                <w:szCs w:val="21"/>
                <w:highlight w:val="none"/>
                <w:lang w:val="en-US" w:eastAsia="zh-CN"/>
              </w:rPr>
              <w:t>项目管理机构</w:t>
            </w:r>
          </w:p>
        </w:tc>
        <w:tc>
          <w:tcPr>
            <w:tcW w:w="4665" w:type="dxa"/>
            <w:noWrap w:val="0"/>
            <w:vAlign w:val="top"/>
          </w:tcPr>
          <w:p w14:paraId="26DC48A9">
            <w:pPr>
              <w:pageBreakBefore w:val="0"/>
              <w:kinsoku/>
              <w:wordWrap/>
              <w:overflowPunct/>
              <w:topLinePunct w:val="0"/>
              <w:autoSpaceDE/>
              <w:autoSpaceDN/>
              <w:bidi w:val="0"/>
              <w:adjustRightInd/>
              <w:spacing w:line="360" w:lineRule="auto"/>
              <w:textAlignment w:val="auto"/>
              <w:rPr>
                <w:rFonts w:hint="eastAsia" w:eastAsia="宋体"/>
                <w:color w:val="auto"/>
                <w:highlight w:val="none"/>
                <w:lang w:eastAsia="zh-CN"/>
              </w:rPr>
            </w:pPr>
            <w:r>
              <w:rPr>
                <w:rFonts w:hint="eastAsia" w:ascii="宋体" w:hAnsi="宋体"/>
                <w:color w:val="auto"/>
                <w:szCs w:val="21"/>
                <w:highlight w:val="none"/>
              </w:rPr>
              <w:t>符合第二章“投标人须知”第</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条</w:t>
            </w:r>
            <w:r>
              <w:rPr>
                <w:rFonts w:hint="eastAsia" w:ascii="宋体" w:hAnsi="宋体"/>
                <w:color w:val="auto"/>
                <w:szCs w:val="21"/>
                <w:highlight w:val="none"/>
              </w:rPr>
              <w:t>规定</w:t>
            </w:r>
          </w:p>
        </w:tc>
      </w:tr>
      <w:tr w14:paraId="425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6CAF2E1F">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14:paraId="09490486">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14:paraId="6AA7E5B2">
            <w:pPr>
              <w:pageBreakBefore w:val="0"/>
              <w:kinsoku/>
              <w:wordWrap/>
              <w:overflowPunct/>
              <w:topLinePunct w:val="0"/>
              <w:autoSpaceDE/>
              <w:autoSpaceDN/>
              <w:bidi w:val="0"/>
              <w:adjustRightInd/>
              <w:spacing w:line="360" w:lineRule="auto"/>
              <w:ind w:firstLine="420" w:firstLineChars="200"/>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rPr>
              <w:t>投标报价</w:t>
            </w:r>
          </w:p>
        </w:tc>
        <w:tc>
          <w:tcPr>
            <w:tcW w:w="4665" w:type="dxa"/>
            <w:noWrap w:val="0"/>
            <w:vAlign w:val="top"/>
          </w:tcPr>
          <w:p w14:paraId="14B02F1D">
            <w:pPr>
              <w:pageBreakBefore w:val="0"/>
              <w:kinsoku/>
              <w:wordWrap/>
              <w:overflowPunct/>
              <w:topLinePunct w:val="0"/>
              <w:autoSpaceDE/>
              <w:autoSpaceDN/>
              <w:bidi w:val="0"/>
              <w:adjustRightInd/>
              <w:spacing w:line="360" w:lineRule="auto"/>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只有一个有效报价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符合第二章“投标人须知”第3.2款规定</w:t>
            </w:r>
          </w:p>
        </w:tc>
      </w:tr>
      <w:tr w14:paraId="65C4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38D214DB">
            <w:pPr>
              <w:pageBreakBefore w:val="0"/>
              <w:kinsoku/>
              <w:wordWrap/>
              <w:overflowPunct/>
              <w:topLinePunct w:val="0"/>
              <w:autoSpaceDE/>
              <w:autoSpaceDN/>
              <w:bidi w:val="0"/>
              <w:adjustRightInd/>
              <w:spacing w:line="360" w:lineRule="auto"/>
              <w:jc w:val="both"/>
              <w:textAlignment w:val="auto"/>
              <w:rPr>
                <w:rFonts w:hint="eastAsia"/>
                <w:color w:val="auto"/>
                <w:highlight w:val="none"/>
              </w:rPr>
            </w:pPr>
          </w:p>
        </w:tc>
        <w:tc>
          <w:tcPr>
            <w:tcW w:w="1046" w:type="dxa"/>
            <w:vMerge w:val="continue"/>
            <w:noWrap w:val="0"/>
            <w:vAlign w:val="top"/>
          </w:tcPr>
          <w:p w14:paraId="5DFAC79F">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2881" w:type="dxa"/>
            <w:gridSpan w:val="2"/>
            <w:noWrap w:val="0"/>
            <w:vAlign w:val="center"/>
          </w:tcPr>
          <w:p w14:paraId="172902C6">
            <w:pPr>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其它不合格情况</w:t>
            </w:r>
          </w:p>
        </w:tc>
        <w:tc>
          <w:tcPr>
            <w:tcW w:w="4665" w:type="dxa"/>
            <w:noWrap w:val="0"/>
            <w:vAlign w:val="top"/>
          </w:tcPr>
          <w:p w14:paraId="673B52D6">
            <w:pPr>
              <w:pageBreakBefore w:val="0"/>
              <w:kinsoku/>
              <w:wordWrap/>
              <w:overflowPunct/>
              <w:topLinePunct w:val="0"/>
              <w:autoSpaceDE/>
              <w:autoSpaceDN/>
              <w:bidi w:val="0"/>
              <w:adjustRightInd/>
              <w:spacing w:line="360" w:lineRule="auto"/>
              <w:textAlignment w:val="auto"/>
              <w:rPr>
                <w:rFonts w:hint="default" w:ascii="宋体" w:hAnsi="宋体" w:eastAsia="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不存在招标文件第二章</w:t>
            </w:r>
            <w:r>
              <w:rPr>
                <w:rFonts w:hint="eastAsia" w:ascii="宋体" w:hAnsi="宋体"/>
                <w:color w:val="auto"/>
                <w:szCs w:val="21"/>
                <w:highlight w:val="none"/>
              </w:rPr>
              <w:t>“投标人须知”</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13条规定的情形或违反法律法规规章、规范性文件规定、国家强制性条文标准的情形</w:t>
            </w:r>
          </w:p>
        </w:tc>
      </w:tr>
      <w:tr w14:paraId="04A4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noWrap w:val="0"/>
            <w:vAlign w:val="center"/>
          </w:tcPr>
          <w:p w14:paraId="5D52BDC6">
            <w:pPr>
              <w:spacing w:line="360" w:lineRule="auto"/>
              <w:jc w:val="center"/>
              <w:rPr>
                <w:rFonts w:hint="eastAsia"/>
                <w:color w:val="auto"/>
                <w:kern w:val="2"/>
                <w:sz w:val="21"/>
                <w:szCs w:val="24"/>
                <w:highlight w:val="none"/>
                <w:lang w:val="en-US" w:eastAsia="zh-CN" w:bidi="ar-SA"/>
              </w:rPr>
            </w:pPr>
            <w:r>
              <w:rPr>
                <w:rFonts w:hint="eastAsia" w:ascii="宋体" w:hAnsi="宋体" w:eastAsia="宋体" w:cs="Times New Roman"/>
                <w:color w:val="auto"/>
                <w:szCs w:val="21"/>
                <w:highlight w:val="none"/>
                <w:lang w:val="en-US" w:eastAsia="zh-CN"/>
              </w:rPr>
              <w:t>2.2.1</w:t>
            </w:r>
          </w:p>
        </w:tc>
        <w:tc>
          <w:tcPr>
            <w:tcW w:w="1046" w:type="dxa"/>
            <w:noWrap w:val="0"/>
            <w:vAlign w:val="top"/>
          </w:tcPr>
          <w:p w14:paraId="4C37168F">
            <w:pPr>
              <w:spacing w:line="360" w:lineRule="auto"/>
              <w:jc w:val="center"/>
              <w:rPr>
                <w:rFonts w:hint="eastAsia"/>
                <w:color w:val="auto"/>
                <w:kern w:val="2"/>
                <w:sz w:val="21"/>
                <w:szCs w:val="24"/>
                <w:highlight w:val="none"/>
                <w:lang w:val="en-US" w:eastAsia="zh-CN" w:bidi="ar-SA"/>
              </w:rPr>
            </w:pPr>
            <w:r>
              <w:rPr>
                <w:rFonts w:hint="eastAsia"/>
                <w:color w:val="auto"/>
                <w:highlight w:val="none"/>
                <w:lang w:val="en-US" w:eastAsia="zh-CN"/>
              </w:rPr>
              <w:t>定性评审详细评审标准</w:t>
            </w:r>
          </w:p>
        </w:tc>
        <w:tc>
          <w:tcPr>
            <w:tcW w:w="2881" w:type="dxa"/>
            <w:gridSpan w:val="2"/>
            <w:noWrap w:val="0"/>
            <w:vAlign w:val="center"/>
          </w:tcPr>
          <w:p w14:paraId="50D06343">
            <w:pPr>
              <w:spacing w:line="360" w:lineRule="auto"/>
              <w:jc w:val="center"/>
              <w:rPr>
                <w:rFonts w:hint="eastAsia" w:ascii="宋体" w:hAnsi="宋体"/>
                <w:color w:val="auto"/>
                <w:kern w:val="2"/>
                <w:sz w:val="21"/>
                <w:szCs w:val="21"/>
                <w:highlight w:val="none"/>
                <w:lang w:val="en-US" w:eastAsia="zh-CN" w:bidi="ar-SA"/>
              </w:rPr>
            </w:pPr>
            <w:r>
              <w:rPr>
                <w:rFonts w:hint="eastAsia" w:ascii="宋体" w:hAnsi="宋体" w:cs="宋体"/>
                <w:color w:val="auto"/>
                <w:szCs w:val="21"/>
                <w:highlight w:val="none"/>
              </w:rPr>
              <w:t>技术标</w:t>
            </w:r>
          </w:p>
        </w:tc>
        <w:tc>
          <w:tcPr>
            <w:tcW w:w="4665" w:type="dxa"/>
            <w:noWrap w:val="0"/>
            <w:vAlign w:val="center"/>
          </w:tcPr>
          <w:p w14:paraId="7F0A03B9">
            <w:pPr>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lang w:eastAsia="zh-CN"/>
              </w:rPr>
              <w:t>详</w:t>
            </w:r>
            <w:r>
              <w:rPr>
                <w:rFonts w:hint="eastAsia" w:ascii="宋体" w:hAnsi="宋体" w:cs="宋体"/>
                <w:color w:val="auto"/>
                <w:szCs w:val="21"/>
                <w:highlight w:val="none"/>
              </w:rPr>
              <w:t>见</w:t>
            </w:r>
            <w:r>
              <w:rPr>
                <w:rFonts w:hint="eastAsia" w:ascii="宋体" w:hAnsi="宋体" w:cs="宋体"/>
                <w:color w:val="auto"/>
                <w:szCs w:val="21"/>
                <w:highlight w:val="none"/>
                <w:lang w:eastAsia="zh-CN"/>
              </w:rPr>
              <w:t>附件一《技术标详细评审标准》</w:t>
            </w:r>
          </w:p>
        </w:tc>
      </w:tr>
      <w:tr w14:paraId="30AC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restart"/>
            <w:noWrap w:val="0"/>
            <w:vAlign w:val="center"/>
          </w:tcPr>
          <w:p w14:paraId="5755E41C">
            <w:pPr>
              <w:spacing w:line="360" w:lineRule="auto"/>
              <w:jc w:val="center"/>
              <w:rPr>
                <w:rFonts w:hint="eastAsia" w:ascii="宋体" w:hAnsi="宋体" w:cs="宋体"/>
                <w:color w:val="auto"/>
                <w:highlight w:val="none"/>
              </w:rPr>
            </w:pPr>
            <w:r>
              <w:rPr>
                <w:rFonts w:hint="eastAsia" w:ascii="宋体" w:hAnsi="宋体" w:cs="宋体"/>
                <w:color w:val="auto"/>
                <w:highlight w:val="none"/>
              </w:rPr>
              <w:t>2.2.2</w:t>
            </w:r>
          </w:p>
        </w:tc>
        <w:tc>
          <w:tcPr>
            <w:tcW w:w="1046" w:type="dxa"/>
            <w:vMerge w:val="restart"/>
            <w:noWrap w:val="0"/>
            <w:vAlign w:val="center"/>
          </w:tcPr>
          <w:p w14:paraId="2970B3F6">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定量评审</w:t>
            </w:r>
            <w:r>
              <w:rPr>
                <w:rFonts w:hint="eastAsia" w:ascii="宋体" w:hAnsi="宋体" w:cs="宋体"/>
                <w:color w:val="auto"/>
                <w:szCs w:val="21"/>
                <w:highlight w:val="none"/>
              </w:rPr>
              <w:t>详细评审标准</w:t>
            </w:r>
          </w:p>
        </w:tc>
        <w:tc>
          <w:tcPr>
            <w:tcW w:w="2881" w:type="dxa"/>
            <w:gridSpan w:val="2"/>
            <w:noWrap w:val="0"/>
            <w:vAlign w:val="center"/>
          </w:tcPr>
          <w:p w14:paraId="232B6D6C">
            <w:pPr>
              <w:spacing w:line="360" w:lineRule="auto"/>
              <w:jc w:val="center"/>
              <w:rPr>
                <w:rFonts w:hint="eastAsia" w:ascii="宋体" w:hAnsi="宋体" w:cs="宋体"/>
                <w:color w:val="auto"/>
                <w:highlight w:val="none"/>
              </w:rPr>
            </w:pPr>
            <w:r>
              <w:rPr>
                <w:rFonts w:hint="eastAsia" w:ascii="宋体" w:hAnsi="宋体" w:cs="宋体"/>
                <w:color w:val="auto"/>
                <w:highlight w:val="none"/>
              </w:rPr>
              <w:t>分值构成</w:t>
            </w:r>
          </w:p>
          <w:p w14:paraId="59A394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（满分100分）</w:t>
            </w:r>
          </w:p>
        </w:tc>
        <w:tc>
          <w:tcPr>
            <w:tcW w:w="4665" w:type="dxa"/>
            <w:noWrap w:val="0"/>
            <w:vAlign w:val="center"/>
          </w:tcPr>
          <w:p w14:paraId="09C7B6F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技术标：</w:t>
            </w:r>
            <w:permStart w:id="124" w:edGrp="everyone"/>
            <w:r>
              <w:rPr>
                <w:rFonts w:hint="eastAsia" w:ascii="宋体" w:hAnsi="宋体" w:cs="宋体"/>
                <w:color w:val="auto"/>
                <w:szCs w:val="21"/>
                <w:highlight w:val="none"/>
                <w:u w:val="single"/>
              </w:rPr>
              <w:t xml:space="preserve">         </w:t>
            </w:r>
            <w:permEnd w:id="124"/>
            <w:r>
              <w:rPr>
                <w:rFonts w:hint="eastAsia" w:ascii="宋体" w:hAnsi="宋体" w:cs="宋体"/>
                <w:color w:val="auto"/>
                <w:szCs w:val="21"/>
                <w:highlight w:val="none"/>
              </w:rPr>
              <w:t>分</w:t>
            </w:r>
          </w:p>
          <w:p w14:paraId="3752677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资信标：</w:t>
            </w:r>
            <w:permStart w:id="125" w:edGrp="everyone"/>
            <w:r>
              <w:rPr>
                <w:rFonts w:hint="eastAsia" w:ascii="宋体" w:hAnsi="宋体" w:cs="宋体"/>
                <w:color w:val="auto"/>
                <w:szCs w:val="21"/>
                <w:highlight w:val="none"/>
                <w:u w:val="single"/>
              </w:rPr>
              <w:t xml:space="preserve">         </w:t>
            </w:r>
            <w:permEnd w:id="125"/>
            <w:r>
              <w:rPr>
                <w:rFonts w:hint="eastAsia" w:ascii="宋体" w:hAnsi="宋体" w:cs="宋体"/>
                <w:color w:val="auto"/>
                <w:szCs w:val="21"/>
                <w:highlight w:val="none"/>
              </w:rPr>
              <w:t>分</w:t>
            </w:r>
          </w:p>
          <w:p w14:paraId="422E5B8A">
            <w:pPr>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经济标：</w:t>
            </w:r>
            <w:permStart w:id="126" w:edGrp="everyone"/>
            <w:r>
              <w:rPr>
                <w:rFonts w:hint="eastAsia" w:ascii="宋体" w:hAnsi="宋体" w:cs="宋体"/>
                <w:color w:val="auto"/>
                <w:szCs w:val="21"/>
                <w:highlight w:val="none"/>
                <w:u w:val="single"/>
              </w:rPr>
              <w:t xml:space="preserve">         </w:t>
            </w:r>
            <w:permEnd w:id="126"/>
            <w:r>
              <w:rPr>
                <w:rFonts w:hint="eastAsia" w:ascii="宋体" w:hAnsi="宋体" w:cs="宋体"/>
                <w:color w:val="auto"/>
                <w:szCs w:val="21"/>
                <w:highlight w:val="none"/>
              </w:rPr>
              <w:t>分</w:t>
            </w:r>
          </w:p>
        </w:tc>
      </w:tr>
      <w:tr w14:paraId="7CB6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3C0AFC96">
            <w:pPr>
              <w:spacing w:line="360" w:lineRule="auto"/>
              <w:jc w:val="center"/>
              <w:rPr>
                <w:rFonts w:hint="eastAsia" w:ascii="宋体" w:hAnsi="宋体" w:cs="宋体"/>
                <w:color w:val="auto"/>
                <w:highlight w:val="none"/>
              </w:rPr>
            </w:pPr>
          </w:p>
        </w:tc>
        <w:tc>
          <w:tcPr>
            <w:tcW w:w="1046" w:type="dxa"/>
            <w:vMerge w:val="continue"/>
            <w:noWrap w:val="0"/>
            <w:vAlign w:val="center"/>
          </w:tcPr>
          <w:p w14:paraId="66C847E6">
            <w:pPr>
              <w:spacing w:line="360" w:lineRule="auto"/>
              <w:jc w:val="center"/>
              <w:rPr>
                <w:rFonts w:hint="eastAsia" w:ascii="宋体" w:hAnsi="宋体" w:cs="宋体"/>
                <w:color w:val="auto"/>
                <w:highlight w:val="none"/>
              </w:rPr>
            </w:pPr>
          </w:p>
        </w:tc>
        <w:tc>
          <w:tcPr>
            <w:tcW w:w="2881" w:type="dxa"/>
            <w:gridSpan w:val="2"/>
            <w:noWrap w:val="0"/>
            <w:vAlign w:val="center"/>
          </w:tcPr>
          <w:p w14:paraId="3B73C46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
              </w:rPr>
              <w:t>评标基准价计算方法</w:t>
            </w:r>
          </w:p>
        </w:tc>
        <w:tc>
          <w:tcPr>
            <w:tcW w:w="4665" w:type="dxa"/>
            <w:noWrap w:val="0"/>
            <w:vAlign w:val="center"/>
          </w:tcPr>
          <w:p w14:paraId="0908C37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若进入价格评审阶段的投标人为四家以下时（含四家），取所有进入价格评审阶段有效的投标人报价的算术平均值定义为基准价格；若进入价格评审阶段的投标人有五家或以上时，去掉一个最高评标价格和一个最低评标价格后取剩余评标价格的算术平均值定义为基准价格。计算结果精确至小数点后两位，第三位四舍五入，保留两位小数。</w:t>
            </w:r>
          </w:p>
          <w:p w14:paraId="2FD0247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基准价一经确定，在随后的评审或复评过程中无论出现何种情形，包括随后的招标投标活动中任何通过评标委员会初步评审的投标人资格被取消的等情形的，该基准价都不作调整，算术计算错误除外。</w:t>
            </w:r>
          </w:p>
        </w:tc>
      </w:tr>
      <w:tr w14:paraId="049E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69C34397">
            <w:pPr>
              <w:spacing w:line="360" w:lineRule="auto"/>
              <w:jc w:val="center"/>
              <w:rPr>
                <w:rFonts w:hint="eastAsia" w:ascii="宋体" w:hAnsi="宋体" w:cs="宋体"/>
                <w:color w:val="auto"/>
                <w:highlight w:val="none"/>
              </w:rPr>
            </w:pPr>
          </w:p>
        </w:tc>
        <w:tc>
          <w:tcPr>
            <w:tcW w:w="1046" w:type="dxa"/>
            <w:vMerge w:val="continue"/>
            <w:noWrap w:val="0"/>
            <w:vAlign w:val="center"/>
          </w:tcPr>
          <w:p w14:paraId="48811C8B">
            <w:pPr>
              <w:spacing w:line="360" w:lineRule="auto"/>
              <w:jc w:val="center"/>
              <w:rPr>
                <w:rFonts w:hint="eastAsia" w:ascii="宋体" w:hAnsi="宋体" w:cs="宋体"/>
                <w:color w:val="auto"/>
                <w:highlight w:val="none"/>
              </w:rPr>
            </w:pPr>
          </w:p>
        </w:tc>
        <w:tc>
          <w:tcPr>
            <w:tcW w:w="2881" w:type="dxa"/>
            <w:gridSpan w:val="2"/>
            <w:noWrap w:val="0"/>
            <w:vAlign w:val="center"/>
          </w:tcPr>
          <w:p w14:paraId="641B7491">
            <w:pPr>
              <w:spacing w:line="360" w:lineRule="auto"/>
              <w:jc w:val="center"/>
              <w:rPr>
                <w:rFonts w:hint="eastAsia" w:ascii="宋体" w:hAnsi="宋体" w:cs="宋体"/>
                <w:color w:val="auto"/>
                <w:szCs w:val="21"/>
                <w:highlight w:val="none"/>
                <w:lang w:val="en"/>
              </w:rPr>
            </w:pPr>
            <w:r>
              <w:rPr>
                <w:rFonts w:hint="eastAsia" w:ascii="宋体" w:hAnsi="宋体" w:cs="宋体"/>
                <w:color w:val="auto"/>
                <w:szCs w:val="21"/>
                <w:highlight w:val="none"/>
              </w:rPr>
              <w:t>投标报价的偏差率计算公式</w:t>
            </w:r>
          </w:p>
        </w:tc>
        <w:tc>
          <w:tcPr>
            <w:tcW w:w="4665" w:type="dxa"/>
            <w:noWrap w:val="0"/>
            <w:vAlign w:val="center"/>
          </w:tcPr>
          <w:p w14:paraId="55B2A46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偏差率</w:t>
            </w:r>
            <w:r>
              <w:rPr>
                <w:rFonts w:hint="eastAsia" w:ascii="宋体" w:hAnsi="宋体" w:cs="宋体"/>
                <w:color w:val="auto"/>
                <w:szCs w:val="21"/>
                <w:highlight w:val="none"/>
              </w:rPr>
              <w:t>=100</w:t>
            </w:r>
            <w:r>
              <w:rPr>
                <w:rFonts w:hint="eastAsia" w:ascii="宋体" w:hAnsi="宋体" w:cs="宋体"/>
                <w:color w:val="auto"/>
                <w:highlight w:val="none"/>
              </w:rPr>
              <w:t>%×（投标人报价－评标基准价）/评标基准价</w:t>
            </w:r>
          </w:p>
        </w:tc>
      </w:tr>
      <w:tr w14:paraId="2931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3D7D3D1D">
            <w:pPr>
              <w:spacing w:line="360" w:lineRule="auto"/>
              <w:jc w:val="center"/>
              <w:rPr>
                <w:rFonts w:hint="eastAsia" w:ascii="宋体" w:hAnsi="宋体" w:cs="宋体"/>
                <w:color w:val="auto"/>
                <w:highlight w:val="none"/>
              </w:rPr>
            </w:pPr>
          </w:p>
        </w:tc>
        <w:tc>
          <w:tcPr>
            <w:tcW w:w="1046" w:type="dxa"/>
            <w:vMerge w:val="continue"/>
            <w:noWrap w:val="0"/>
            <w:vAlign w:val="center"/>
          </w:tcPr>
          <w:p w14:paraId="31DAB77A">
            <w:pPr>
              <w:spacing w:line="360" w:lineRule="auto"/>
              <w:jc w:val="center"/>
              <w:rPr>
                <w:rFonts w:hint="eastAsia" w:ascii="宋体" w:hAnsi="宋体" w:cs="宋体"/>
                <w:color w:val="auto"/>
                <w:highlight w:val="none"/>
              </w:rPr>
            </w:pPr>
          </w:p>
        </w:tc>
        <w:tc>
          <w:tcPr>
            <w:tcW w:w="1440" w:type="dxa"/>
            <w:vMerge w:val="restart"/>
            <w:noWrap w:val="0"/>
            <w:vAlign w:val="center"/>
          </w:tcPr>
          <w:p w14:paraId="42BDD481">
            <w:pPr>
              <w:spacing w:line="360" w:lineRule="auto"/>
              <w:jc w:val="center"/>
              <w:rPr>
                <w:rFonts w:hint="eastAsia" w:ascii="宋体" w:hAnsi="宋体" w:cs="宋体"/>
                <w:color w:val="auto"/>
                <w:highlight w:val="none"/>
              </w:rPr>
            </w:pPr>
            <w:r>
              <w:rPr>
                <w:rFonts w:hint="eastAsia" w:ascii="宋体" w:hAnsi="宋体" w:cs="宋体"/>
                <w:color w:val="auto"/>
                <w:highlight w:val="none"/>
              </w:rPr>
              <w:t>评分</w:t>
            </w:r>
          </w:p>
          <w:p w14:paraId="29B33D45">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标准</w:t>
            </w:r>
          </w:p>
        </w:tc>
        <w:tc>
          <w:tcPr>
            <w:tcW w:w="1441" w:type="dxa"/>
            <w:noWrap w:val="0"/>
            <w:vAlign w:val="center"/>
          </w:tcPr>
          <w:p w14:paraId="4E5CE2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技术标</w:t>
            </w:r>
          </w:p>
        </w:tc>
        <w:tc>
          <w:tcPr>
            <w:tcW w:w="4665" w:type="dxa"/>
            <w:noWrap w:val="0"/>
            <w:vAlign w:val="center"/>
          </w:tcPr>
          <w:p w14:paraId="0D97C9D0">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详见附件二</w:t>
            </w:r>
            <w:r>
              <w:rPr>
                <w:rFonts w:hint="eastAsia" w:ascii="宋体" w:hAnsi="宋体" w:cs="宋体"/>
                <w:color w:val="auto"/>
                <w:szCs w:val="21"/>
                <w:highlight w:val="none"/>
              </w:rPr>
              <w:t>《技术标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r w14:paraId="55F5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5238A270">
            <w:pPr>
              <w:spacing w:line="360" w:lineRule="auto"/>
              <w:jc w:val="center"/>
              <w:rPr>
                <w:rFonts w:hint="eastAsia" w:ascii="宋体" w:hAnsi="宋体" w:cs="宋体"/>
                <w:color w:val="auto"/>
                <w:highlight w:val="none"/>
              </w:rPr>
            </w:pPr>
          </w:p>
        </w:tc>
        <w:tc>
          <w:tcPr>
            <w:tcW w:w="1046" w:type="dxa"/>
            <w:vMerge w:val="continue"/>
            <w:noWrap w:val="0"/>
            <w:vAlign w:val="center"/>
          </w:tcPr>
          <w:p w14:paraId="6871B98B">
            <w:pPr>
              <w:spacing w:line="360" w:lineRule="auto"/>
              <w:jc w:val="center"/>
              <w:rPr>
                <w:rFonts w:hint="eastAsia" w:ascii="宋体" w:hAnsi="宋体" w:cs="宋体"/>
                <w:color w:val="auto"/>
                <w:highlight w:val="none"/>
              </w:rPr>
            </w:pPr>
          </w:p>
        </w:tc>
        <w:tc>
          <w:tcPr>
            <w:tcW w:w="1440" w:type="dxa"/>
            <w:vMerge w:val="continue"/>
            <w:noWrap w:val="0"/>
            <w:vAlign w:val="center"/>
          </w:tcPr>
          <w:p w14:paraId="2C654D54">
            <w:pPr>
              <w:spacing w:line="360" w:lineRule="auto"/>
              <w:jc w:val="center"/>
              <w:rPr>
                <w:rFonts w:hint="eastAsia" w:ascii="宋体" w:hAnsi="宋体" w:cs="宋体"/>
                <w:color w:val="auto"/>
                <w:szCs w:val="21"/>
                <w:highlight w:val="none"/>
              </w:rPr>
            </w:pPr>
          </w:p>
        </w:tc>
        <w:tc>
          <w:tcPr>
            <w:tcW w:w="1441" w:type="dxa"/>
            <w:noWrap w:val="0"/>
            <w:vAlign w:val="center"/>
          </w:tcPr>
          <w:p w14:paraId="657E4F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资信标</w:t>
            </w:r>
          </w:p>
        </w:tc>
        <w:tc>
          <w:tcPr>
            <w:tcW w:w="4665" w:type="dxa"/>
            <w:noWrap w:val="0"/>
            <w:vAlign w:val="center"/>
          </w:tcPr>
          <w:p w14:paraId="2318BBC1">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详见附件三</w:t>
            </w:r>
            <w:r>
              <w:rPr>
                <w:rFonts w:hint="eastAsia" w:ascii="宋体" w:hAnsi="宋体" w:cs="宋体"/>
                <w:color w:val="auto"/>
                <w:szCs w:val="21"/>
                <w:highlight w:val="none"/>
              </w:rPr>
              <w:t>《资信标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r w14:paraId="5A95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58578C7C">
            <w:pPr>
              <w:spacing w:line="360" w:lineRule="auto"/>
              <w:jc w:val="center"/>
              <w:rPr>
                <w:rFonts w:hint="eastAsia" w:ascii="宋体" w:hAnsi="宋体" w:cs="宋体"/>
                <w:color w:val="auto"/>
                <w:highlight w:val="none"/>
              </w:rPr>
            </w:pPr>
          </w:p>
        </w:tc>
        <w:tc>
          <w:tcPr>
            <w:tcW w:w="1046" w:type="dxa"/>
            <w:vMerge w:val="continue"/>
            <w:noWrap w:val="0"/>
            <w:vAlign w:val="center"/>
          </w:tcPr>
          <w:p w14:paraId="42874573">
            <w:pPr>
              <w:spacing w:line="360" w:lineRule="auto"/>
              <w:jc w:val="center"/>
              <w:rPr>
                <w:rFonts w:hint="eastAsia" w:ascii="宋体" w:hAnsi="宋体" w:cs="宋体"/>
                <w:color w:val="auto"/>
                <w:highlight w:val="none"/>
              </w:rPr>
            </w:pPr>
          </w:p>
        </w:tc>
        <w:tc>
          <w:tcPr>
            <w:tcW w:w="1440" w:type="dxa"/>
            <w:vMerge w:val="continue"/>
            <w:noWrap w:val="0"/>
            <w:vAlign w:val="center"/>
          </w:tcPr>
          <w:p w14:paraId="62393F74">
            <w:pPr>
              <w:spacing w:line="360" w:lineRule="auto"/>
              <w:jc w:val="center"/>
              <w:rPr>
                <w:rFonts w:hint="eastAsia" w:ascii="宋体" w:hAnsi="宋体" w:cs="宋体"/>
                <w:color w:val="auto"/>
                <w:szCs w:val="21"/>
                <w:highlight w:val="none"/>
              </w:rPr>
            </w:pPr>
          </w:p>
        </w:tc>
        <w:tc>
          <w:tcPr>
            <w:tcW w:w="1441" w:type="dxa"/>
            <w:noWrap w:val="0"/>
            <w:vAlign w:val="center"/>
          </w:tcPr>
          <w:p w14:paraId="55EAFE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经济标</w:t>
            </w:r>
          </w:p>
        </w:tc>
        <w:tc>
          <w:tcPr>
            <w:tcW w:w="4665" w:type="dxa"/>
            <w:noWrap w:val="0"/>
            <w:vAlign w:val="center"/>
          </w:tcPr>
          <w:p w14:paraId="18FBD093">
            <w:pPr>
              <w:spacing w:line="360" w:lineRule="auto"/>
              <w:jc w:val="center"/>
              <w:rPr>
                <w:rFonts w:hint="eastAsia" w:ascii="宋体" w:hAnsi="宋体" w:cs="宋体"/>
                <w:color w:val="auto"/>
                <w:highlight w:val="none"/>
              </w:rPr>
            </w:pPr>
            <w:r>
              <w:rPr>
                <w:rFonts w:hint="eastAsia" w:ascii="宋体" w:hAnsi="宋体" w:cs="宋体"/>
                <w:color w:val="auto"/>
                <w:szCs w:val="21"/>
                <w:highlight w:val="none"/>
                <w:lang w:eastAsia="zh-CN"/>
              </w:rPr>
              <w:t>详见附件四</w:t>
            </w:r>
            <w:r>
              <w:rPr>
                <w:rFonts w:hint="eastAsia" w:ascii="宋体" w:hAnsi="宋体" w:cs="宋体"/>
                <w:color w:val="auto"/>
                <w:szCs w:val="21"/>
                <w:highlight w:val="none"/>
              </w:rPr>
              <w:t>《经济标</w:t>
            </w:r>
            <w:r>
              <w:rPr>
                <w:rFonts w:hint="eastAsia" w:ascii="宋体" w:hAnsi="宋体" w:cs="宋体"/>
                <w:color w:val="auto"/>
                <w:szCs w:val="21"/>
                <w:highlight w:val="none"/>
                <w:lang w:eastAsia="zh-CN"/>
              </w:rPr>
              <w:t>评分</w:t>
            </w:r>
            <w:r>
              <w:rPr>
                <w:rFonts w:hint="eastAsia" w:ascii="宋体" w:hAnsi="宋体" w:cs="宋体"/>
                <w:color w:val="auto"/>
                <w:szCs w:val="21"/>
                <w:highlight w:val="none"/>
              </w:rPr>
              <w:t>标准》</w:t>
            </w:r>
          </w:p>
        </w:tc>
      </w:tr>
    </w:tbl>
    <w:p w14:paraId="2E97196E">
      <w:pPr>
        <w:pStyle w:val="4"/>
        <w:bidi w:val="0"/>
        <w:rPr>
          <w:rFonts w:hint="default"/>
          <w:color w:val="auto"/>
          <w:highlight w:val="none"/>
          <w:lang w:val="en-US" w:eastAsia="zh-CN"/>
        </w:rPr>
      </w:pPr>
      <w:bookmarkStart w:id="205" w:name="_Toc752477971"/>
      <w:r>
        <w:rPr>
          <w:rFonts w:hint="eastAsia" w:ascii="宋体" w:hAnsi="宋体" w:cs="宋体"/>
          <w:color w:val="auto"/>
          <w:highlight w:val="none"/>
        </w:rPr>
        <w:br w:type="page"/>
      </w:r>
      <w:bookmarkStart w:id="206" w:name="_Toc924747936"/>
      <w:r>
        <w:rPr>
          <w:rFonts w:hint="eastAsia" w:ascii="宋体" w:hAnsi="宋体" w:cs="宋体"/>
          <w:color w:val="auto"/>
          <w:highlight w:val="none"/>
        </w:rPr>
        <w:t>1</w:t>
      </w:r>
      <w:r>
        <w:rPr>
          <w:rFonts w:hint="eastAsia" w:ascii="宋体" w:hAnsi="宋体" w:cs="宋体"/>
          <w:color w:val="auto"/>
          <w:highlight w:val="none"/>
          <w:lang w:val="en-US" w:eastAsia="zh-CN"/>
        </w:rPr>
        <w:t>. 评标办法</w:t>
      </w:r>
      <w:bookmarkEnd w:id="205"/>
      <w:bookmarkEnd w:id="206"/>
    </w:p>
    <w:p w14:paraId="6F2CDAEB">
      <w:pPr>
        <w:pStyle w:val="5"/>
        <w:bidi w:val="0"/>
        <w:rPr>
          <w:rFonts w:hint="eastAsia" w:ascii="宋体" w:hAnsi="宋体" w:cs="宋体"/>
          <w:color w:val="auto"/>
          <w:sz w:val="21"/>
          <w:highlight w:val="none"/>
          <w:lang w:val="en-US" w:eastAsia="zh-CN"/>
        </w:rPr>
      </w:pPr>
      <w:bookmarkStart w:id="207" w:name="_Toc1511962085"/>
      <w:r>
        <w:rPr>
          <w:rFonts w:hint="eastAsia" w:ascii="宋体" w:hAnsi="宋体" w:cs="宋体"/>
          <w:color w:val="auto"/>
          <w:sz w:val="21"/>
          <w:highlight w:val="none"/>
          <w:lang w:val="en-US" w:eastAsia="zh-CN"/>
        </w:rPr>
        <w:t>1.1 定性评审</w:t>
      </w:r>
    </w:p>
    <w:p w14:paraId="5772336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用定性评审的项目，评标委员会按照招标文件的规定对投标文件（技术标、经济标、资信标）是否满足招标文件实质性要求提出意见，指出各投标文件中的优点和存在的缺陷、应当注意和澄清的事项等，不对投标文件打分，不直接确定中标人，仅向招标人推送不排序的合格定标候选人名单。</w:t>
      </w:r>
    </w:p>
    <w:p w14:paraId="4833B8AF">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1.2 定量评审</w:t>
      </w:r>
    </w:p>
    <w:p w14:paraId="6515D4B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采用定量评审的项目，评标委员会根据招标文件规定的评审因素，对投标文件（技术标、经济标、资信标）进行评审，并对有效的投标文件进行比较、打分，</w:t>
      </w:r>
      <w:r>
        <w:rPr>
          <w:rFonts w:hint="eastAsia" w:ascii="宋体" w:hAnsi="宋体" w:eastAsia="宋体" w:cs="宋体"/>
          <w:color w:val="auto"/>
          <w:szCs w:val="21"/>
          <w:highlight w:val="none"/>
          <w:lang w:val="en-US" w:eastAsia="zh-CN"/>
        </w:rPr>
        <w:t>按照投标人评审总得分由高到低的顺序，向定标委员会推荐排名靠前但不排序的规定数量的定标候选人</w:t>
      </w:r>
      <w:r>
        <w:rPr>
          <w:rFonts w:hint="eastAsia" w:ascii="宋体" w:hAnsi="宋体"/>
          <w:color w:val="auto"/>
          <w:szCs w:val="21"/>
          <w:highlight w:val="none"/>
          <w:lang w:val="en-US" w:eastAsia="zh-CN"/>
        </w:rPr>
        <w:t>。</w:t>
      </w:r>
      <w:r>
        <w:rPr>
          <w:rFonts w:hint="eastAsia" w:ascii="宋体" w:hAnsi="宋体"/>
          <w:color w:val="auto"/>
          <w:szCs w:val="21"/>
          <w:highlight w:val="none"/>
        </w:rPr>
        <w:t>当通过评标委员会评审的有效投标人数量已低于（或等于）招标文件规定的推荐定标候选人数量</w:t>
      </w:r>
      <w:r>
        <w:rPr>
          <w:rFonts w:hint="eastAsia" w:ascii="宋体" w:hAnsi="宋体"/>
          <w:color w:val="auto"/>
          <w:szCs w:val="21"/>
          <w:highlight w:val="none"/>
          <w:lang w:val="en-US" w:eastAsia="zh-CN"/>
        </w:rPr>
        <w:t>且大于（或等于）3名</w:t>
      </w:r>
      <w:r>
        <w:rPr>
          <w:rFonts w:hint="eastAsia" w:ascii="宋体" w:hAnsi="宋体"/>
          <w:color w:val="auto"/>
          <w:szCs w:val="21"/>
          <w:highlight w:val="none"/>
        </w:rPr>
        <w:t>时，除投标文件出现无效投标情形外，所有投标</w:t>
      </w:r>
      <w:r>
        <w:rPr>
          <w:rFonts w:hint="eastAsia" w:ascii="宋体" w:hAnsi="宋体"/>
          <w:color w:val="auto"/>
          <w:szCs w:val="21"/>
          <w:highlight w:val="none"/>
          <w:lang w:val="en-US" w:eastAsia="zh-CN"/>
        </w:rPr>
        <w:t>人</w:t>
      </w:r>
      <w:r>
        <w:rPr>
          <w:rFonts w:hint="eastAsia" w:ascii="宋体" w:hAnsi="宋体"/>
          <w:color w:val="auto"/>
          <w:szCs w:val="21"/>
          <w:highlight w:val="none"/>
        </w:rPr>
        <w:t>均推荐为定标候选人。</w:t>
      </w:r>
    </w:p>
    <w:p w14:paraId="513538E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投标人得分只作定标候选人推荐依据，具体得分及排序不向定标委员会推送。</w:t>
      </w:r>
    </w:p>
    <w:p w14:paraId="6FBF97D7">
      <w:pPr>
        <w:pStyle w:val="4"/>
        <w:bidi w:val="0"/>
        <w:rPr>
          <w:rFonts w:hint="eastAsia" w:ascii="宋体" w:hAnsi="宋体" w:cs="宋体"/>
          <w:color w:val="auto"/>
          <w:highlight w:val="none"/>
          <w:lang w:val="en-US" w:eastAsia="zh-CN"/>
        </w:rPr>
      </w:pPr>
      <w:bookmarkStart w:id="208" w:name="_Toc400419735"/>
      <w:r>
        <w:rPr>
          <w:rFonts w:hint="eastAsia" w:ascii="宋体" w:hAnsi="宋体" w:cs="宋体"/>
          <w:color w:val="auto"/>
          <w:highlight w:val="none"/>
          <w:lang w:val="en-US" w:eastAsia="zh-CN"/>
        </w:rPr>
        <w:t>2. 评审标准</w:t>
      </w:r>
      <w:bookmarkEnd w:id="208"/>
    </w:p>
    <w:p w14:paraId="48236194">
      <w:pPr>
        <w:pStyle w:val="5"/>
        <w:bidi w:val="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2.1 初步评审标准</w:t>
      </w:r>
      <w:bookmarkEnd w:id="207"/>
    </w:p>
    <w:p w14:paraId="62B65C4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初步</w:t>
      </w:r>
      <w:r>
        <w:rPr>
          <w:rFonts w:hint="eastAsia" w:ascii="宋体" w:hAnsi="宋体" w:eastAsia="宋体" w:cs="Times New Roman"/>
          <w:color w:val="auto"/>
          <w:szCs w:val="21"/>
          <w:highlight w:val="none"/>
        </w:rPr>
        <w:t>评审标准：见评标办法前附表。</w:t>
      </w:r>
    </w:p>
    <w:p w14:paraId="361AAED2">
      <w:pPr>
        <w:pStyle w:val="5"/>
        <w:rPr>
          <w:rFonts w:hint="eastAsia" w:ascii="宋体" w:hAnsi="宋体" w:eastAsia="宋体" w:cs="宋体"/>
          <w:color w:val="auto"/>
          <w:sz w:val="21"/>
          <w:szCs w:val="32"/>
          <w:highlight w:val="none"/>
        </w:rPr>
      </w:pPr>
      <w:bookmarkStart w:id="209" w:name="_Toc565672312"/>
      <w:r>
        <w:rPr>
          <w:rFonts w:hint="eastAsia" w:ascii="宋体" w:hAnsi="宋体" w:eastAsia="宋体" w:cs="宋体"/>
          <w:b/>
          <w:bCs/>
          <w:color w:val="auto"/>
          <w:sz w:val="21"/>
          <w:highlight w:val="none"/>
          <w:lang w:val="en-US" w:eastAsia="zh-CN"/>
        </w:rPr>
        <w:t>2.</w:t>
      </w:r>
      <w:r>
        <w:rPr>
          <w:rFonts w:hint="eastAsia" w:ascii="宋体" w:hAnsi="宋体" w:cs="宋体"/>
          <w:b/>
          <w:bCs/>
          <w:color w:val="auto"/>
          <w:sz w:val="21"/>
          <w:highlight w:val="none"/>
          <w:lang w:val="en-US" w:eastAsia="zh-CN"/>
        </w:rPr>
        <w:t>2</w:t>
      </w:r>
      <w:r>
        <w:rPr>
          <w:rFonts w:hint="eastAsia" w:ascii="宋体" w:hAnsi="宋体" w:eastAsia="宋体" w:cs="宋体"/>
          <w:b/>
          <w:bCs/>
          <w:color w:val="auto"/>
          <w:sz w:val="21"/>
          <w:highlight w:val="none"/>
          <w:lang w:val="en-US" w:eastAsia="zh-CN"/>
        </w:rPr>
        <w:t xml:space="preserve"> 详细评审标准</w:t>
      </w:r>
      <w:bookmarkEnd w:id="209"/>
    </w:p>
    <w:p w14:paraId="0066572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2.2.1 </w:t>
      </w:r>
      <w:r>
        <w:rPr>
          <w:rFonts w:hint="eastAsia" w:ascii="宋体" w:hAnsi="宋体" w:cs="宋体"/>
          <w:color w:val="auto"/>
          <w:szCs w:val="21"/>
          <w:highlight w:val="none"/>
          <w:lang w:eastAsia="zh-CN"/>
        </w:rPr>
        <w:t>定性评审</w:t>
      </w:r>
      <w:r>
        <w:rPr>
          <w:rFonts w:hint="eastAsia" w:ascii="宋体" w:hAnsi="宋体" w:cs="宋体"/>
          <w:color w:val="auto"/>
          <w:szCs w:val="21"/>
          <w:highlight w:val="none"/>
        </w:rPr>
        <w:t>详细评审标准</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color w:val="auto"/>
          <w:szCs w:val="21"/>
          <w:highlight w:val="none"/>
        </w:rPr>
        <w:t>见评标办法前附表</w:t>
      </w:r>
      <w:r>
        <w:rPr>
          <w:rFonts w:hint="eastAsia" w:ascii="宋体" w:hAnsi="宋体" w:eastAsia="宋体" w:cs="宋体"/>
          <w:color w:val="auto"/>
          <w:szCs w:val="21"/>
          <w:highlight w:val="none"/>
          <w:lang w:val="en-US" w:eastAsia="zh-CN"/>
        </w:rPr>
        <w:t>。</w:t>
      </w:r>
    </w:p>
    <w:p w14:paraId="4D7CF5F3">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b w:val="0"/>
          <w:bCs w:val="0"/>
          <w:color w:val="auto"/>
          <w:szCs w:val="21"/>
          <w:highlight w:val="none"/>
          <w:lang w:val="en-US" w:eastAsia="zh-CN"/>
        </w:rPr>
        <w:t xml:space="preserve">2.2.2 </w:t>
      </w:r>
      <w:r>
        <w:rPr>
          <w:rFonts w:hint="eastAsia" w:ascii="宋体" w:hAnsi="宋体" w:cs="宋体"/>
          <w:color w:val="auto"/>
          <w:szCs w:val="21"/>
          <w:highlight w:val="none"/>
          <w:lang w:eastAsia="zh-CN"/>
        </w:rPr>
        <w:t>定量评审</w:t>
      </w:r>
      <w:r>
        <w:rPr>
          <w:rFonts w:hint="eastAsia" w:ascii="宋体" w:hAnsi="宋体" w:cs="宋体"/>
          <w:color w:val="auto"/>
          <w:szCs w:val="21"/>
          <w:highlight w:val="none"/>
        </w:rPr>
        <w:t>详细评审标准</w:t>
      </w:r>
    </w:p>
    <w:p w14:paraId="358A755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分值构成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见评标办法前附表。</w:t>
      </w:r>
    </w:p>
    <w:p w14:paraId="35F7B33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评标基准价计算</w:t>
      </w:r>
      <w:r>
        <w:rPr>
          <w:rFonts w:hint="eastAsia" w:ascii="宋体" w:hAnsi="宋体" w:eastAsia="宋体" w:cs="宋体"/>
          <w:color w:val="auto"/>
          <w:szCs w:val="21"/>
          <w:highlight w:val="none"/>
          <w:lang w:eastAsia="zh-CN"/>
        </w:rPr>
        <w:t>方法：</w:t>
      </w:r>
      <w:r>
        <w:rPr>
          <w:rFonts w:hint="eastAsia" w:ascii="宋体" w:hAnsi="宋体" w:eastAsia="宋体" w:cs="宋体"/>
          <w:color w:val="auto"/>
          <w:szCs w:val="21"/>
          <w:highlight w:val="none"/>
        </w:rPr>
        <w:t>见评标办法前附表。</w:t>
      </w:r>
    </w:p>
    <w:p w14:paraId="795702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投标报价的偏差率计算</w:t>
      </w:r>
      <w:r>
        <w:rPr>
          <w:rFonts w:hint="eastAsia" w:ascii="宋体" w:hAnsi="宋体" w:eastAsia="宋体" w:cs="宋体"/>
          <w:color w:val="auto"/>
          <w:szCs w:val="21"/>
          <w:highlight w:val="none"/>
          <w:lang w:eastAsia="zh-CN"/>
        </w:rPr>
        <w:t>公式：</w:t>
      </w:r>
      <w:r>
        <w:rPr>
          <w:rFonts w:hint="eastAsia" w:ascii="宋体" w:hAnsi="宋体" w:eastAsia="宋体" w:cs="宋体"/>
          <w:color w:val="auto"/>
          <w:szCs w:val="21"/>
          <w:highlight w:val="none"/>
        </w:rPr>
        <w:t>见评标办法前附表。</w:t>
      </w:r>
    </w:p>
    <w:p w14:paraId="243E1823">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4）评分标准：</w:t>
      </w:r>
      <w:r>
        <w:rPr>
          <w:rFonts w:hint="eastAsia" w:ascii="宋体" w:hAnsi="宋体" w:eastAsia="宋体" w:cs="宋体"/>
          <w:color w:val="auto"/>
          <w:szCs w:val="21"/>
          <w:highlight w:val="none"/>
        </w:rPr>
        <w:t>见评标办法前附表。</w:t>
      </w:r>
    </w:p>
    <w:p w14:paraId="2CFCE44D">
      <w:pPr>
        <w:pStyle w:val="4"/>
        <w:bidi w:val="0"/>
        <w:rPr>
          <w:rFonts w:hint="eastAsia" w:ascii="宋体" w:hAnsi="宋体" w:eastAsia="宋体" w:cs="宋体"/>
          <w:b/>
          <w:bCs/>
          <w:color w:val="auto"/>
          <w:highlight w:val="none"/>
          <w:lang w:val="en-US" w:eastAsia="zh-CN"/>
        </w:rPr>
      </w:pPr>
      <w:bookmarkStart w:id="210" w:name="_Toc278541321"/>
      <w:bookmarkStart w:id="211" w:name="_Toc626813305"/>
      <w:bookmarkStart w:id="212" w:name="_Toc215129057"/>
      <w:bookmarkStart w:id="213" w:name="_Toc1690538636"/>
      <w:bookmarkStart w:id="214" w:name="_Toc1490924542"/>
      <w:bookmarkStart w:id="215" w:name="_Toc1101366266"/>
      <w:bookmarkStart w:id="216" w:name="_Toc644508435"/>
      <w:bookmarkStart w:id="217" w:name="_Toc769564932"/>
      <w:bookmarkStart w:id="218" w:name="_Toc1536447498"/>
      <w:bookmarkStart w:id="219" w:name="_Toc1317122835"/>
      <w:bookmarkStart w:id="220" w:name="_Toc1281153826"/>
      <w:bookmarkStart w:id="221" w:name="_Toc1949045300"/>
      <w:bookmarkStart w:id="222" w:name="_Toc1282992548"/>
      <w:bookmarkStart w:id="223" w:name="_Toc1436702866"/>
      <w:bookmarkStart w:id="224" w:name="_Toc1730308697"/>
      <w:bookmarkStart w:id="225" w:name="_Toc1054891817"/>
      <w:bookmarkStart w:id="226" w:name="_Toc1831774316"/>
      <w:bookmarkStart w:id="227" w:name="_Toc867220854"/>
      <w:bookmarkStart w:id="228" w:name="_Toc736687881"/>
      <w:bookmarkStart w:id="229" w:name="_Toc460631527"/>
      <w:bookmarkStart w:id="230" w:name="_Toc88735809"/>
      <w:bookmarkStart w:id="231" w:name="_Toc2122701925"/>
      <w:bookmarkStart w:id="232" w:name="_Toc1169281885"/>
      <w:bookmarkStart w:id="233" w:name="_Toc1173576269"/>
      <w:bookmarkStart w:id="234" w:name="_Toc1717190697"/>
      <w:bookmarkStart w:id="235" w:name="_Toc815483490"/>
      <w:bookmarkStart w:id="236" w:name="_Toc96903633"/>
      <w:bookmarkStart w:id="237" w:name="_Toc1611033039"/>
      <w:r>
        <w:rPr>
          <w:rFonts w:hint="eastAsia" w:ascii="宋体" w:hAnsi="宋体" w:eastAsia="宋体" w:cs="宋体"/>
          <w:b/>
          <w:bCs/>
          <w:color w:val="auto"/>
          <w:highlight w:val="none"/>
          <w:lang w:val="en-US" w:eastAsia="zh-CN"/>
        </w:rPr>
        <w:t>3. 评标准备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D1CCFA2">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评标委员会成员到达评标现场时应完成电子签到以证明其出席。评标委员会首先推选一名评标委员会主任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评标委员会主任负责评标活动的组织领导工作。评标委员会主任在与其他评标委员会成员协商的基础上，可以将评标委员会划分为技术组和商务组。</w:t>
      </w:r>
    </w:p>
    <w:p w14:paraId="59AE74FE">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62ECCB1A">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招标人或招标代理机构应向评标委员会提供评标所需的信息和数据，包括招标文件、</w:t>
      </w:r>
      <w:r>
        <w:rPr>
          <w:rFonts w:hint="eastAsia" w:ascii="宋体" w:hAnsi="宋体" w:eastAsia="宋体" w:cs="宋体"/>
          <w:color w:val="auto"/>
          <w:highlight w:val="none"/>
          <w:lang w:val="en-US" w:eastAsia="zh-CN"/>
        </w:rPr>
        <w:t>通过资格审查及入围筛选</w:t>
      </w:r>
      <w:r>
        <w:rPr>
          <w:rFonts w:hint="eastAsia" w:ascii="宋体" w:hAnsi="宋体" w:eastAsia="宋体" w:cs="宋体"/>
          <w:color w:val="auto"/>
          <w:highlight w:val="none"/>
        </w:rPr>
        <w:t>的投标文件、开标会记录、</w:t>
      </w:r>
      <w:r>
        <w:rPr>
          <w:rFonts w:hint="eastAsia" w:ascii="宋体" w:hAnsi="宋体" w:eastAsia="宋体" w:cs="宋体"/>
          <w:color w:val="auto"/>
          <w:szCs w:val="21"/>
          <w:highlight w:val="none"/>
          <w:lang w:val="en-US" w:eastAsia="zh-CN"/>
        </w:rPr>
        <w:t>资格审查及入围筛选报告、</w:t>
      </w:r>
      <w:r>
        <w:rPr>
          <w:rFonts w:hint="eastAsia" w:ascii="宋体" w:hAnsi="宋体" w:eastAsia="宋体" w:cs="宋体"/>
          <w:color w:val="auto"/>
          <w:highlight w:val="none"/>
        </w:rPr>
        <w:t>招标控制价、有关的法律、法规、规章、国家标准以及招标人或评标委员会认为必要的其他信息和数据。</w:t>
      </w:r>
    </w:p>
    <w:p w14:paraId="2852B7C6">
      <w:pPr>
        <w:pStyle w:val="4"/>
        <w:bidi w:val="0"/>
        <w:rPr>
          <w:rFonts w:hint="eastAsia" w:ascii="宋体" w:hAnsi="宋体" w:eastAsia="宋体" w:cs="宋体"/>
          <w:b/>
          <w:bCs/>
          <w:color w:val="auto"/>
          <w:highlight w:val="none"/>
          <w:lang w:val="en-US" w:eastAsia="zh-CN"/>
        </w:rPr>
      </w:pPr>
      <w:bookmarkStart w:id="238" w:name="_Toc1091871875"/>
      <w:bookmarkStart w:id="239" w:name="_Toc759409811"/>
      <w:r>
        <w:rPr>
          <w:rFonts w:hint="eastAsia" w:ascii="宋体" w:hAnsi="宋体" w:eastAsia="宋体" w:cs="宋体"/>
          <w:b/>
          <w:bCs/>
          <w:color w:val="auto"/>
          <w:highlight w:val="none"/>
          <w:lang w:val="en-US" w:eastAsia="zh-CN"/>
        </w:rPr>
        <w:t>4. 评标程序（定性评审）</w:t>
      </w:r>
      <w:bookmarkEnd w:id="238"/>
    </w:p>
    <w:p w14:paraId="13FFC149">
      <w:pPr>
        <w:pStyle w:val="5"/>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评标程序表</w:t>
      </w:r>
    </w:p>
    <w:p w14:paraId="64EB7DBA">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评标委员会成员应按《评标程序表》（定性评审）规定的程序及步骤对投标文件进行独立评审，并由评标委员会汇总评审意见，推荐定标候选人，出具评标报告。</w:t>
      </w:r>
    </w:p>
    <w:bookmarkEnd w:id="239"/>
    <w:p w14:paraId="336845EB">
      <w:pPr>
        <w:spacing w:line="360" w:lineRule="auto"/>
        <w:ind w:left="425"/>
        <w:jc w:val="center"/>
        <w:rPr>
          <w:rFonts w:hint="eastAsia" w:eastAsia="宋体"/>
          <w:b/>
          <w:color w:val="auto"/>
          <w:szCs w:val="21"/>
          <w:highlight w:val="none"/>
          <w:lang w:eastAsia="zh-CN"/>
        </w:rPr>
      </w:pPr>
      <w:r>
        <w:rPr>
          <w:rFonts w:hint="eastAsia"/>
          <w:b/>
          <w:color w:val="auto"/>
          <w:szCs w:val="21"/>
          <w:highlight w:val="none"/>
        </w:rPr>
        <w:t>评标程序</w:t>
      </w:r>
      <w:r>
        <w:rPr>
          <w:rFonts w:hint="eastAsia" w:ascii="Times New Roman" w:hAnsi="Times New Roman" w:eastAsia="宋体" w:cs="Times New Roman"/>
          <w:b/>
          <w:color w:val="auto"/>
          <w:szCs w:val="21"/>
          <w:highlight w:val="none"/>
        </w:rPr>
        <w:t>表</w:t>
      </w:r>
      <w:r>
        <w:rPr>
          <w:rFonts w:hint="eastAsia" w:ascii="Times New Roman" w:hAnsi="Times New Roman" w:eastAsia="宋体" w:cs="Times New Roman"/>
          <w:b/>
          <w:color w:val="auto"/>
          <w:szCs w:val="21"/>
          <w:highlight w:val="none"/>
          <w:lang w:val="en-US" w:eastAsia="zh-CN"/>
        </w:rPr>
        <w:t>（定性评审）</w:t>
      </w:r>
    </w:p>
    <w:tbl>
      <w:tblPr>
        <w:tblStyle w:val="27"/>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2"/>
        <w:gridCol w:w="5253"/>
      </w:tblGrid>
      <w:tr w14:paraId="4573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59" w:type="dxa"/>
            <w:gridSpan w:val="2"/>
            <w:noWrap w:val="0"/>
            <w:vAlign w:val="center"/>
          </w:tcPr>
          <w:p w14:paraId="019D5782">
            <w:pPr>
              <w:keepNext w:val="0"/>
              <w:keepLines w:val="0"/>
              <w:pageBreakBefore w:val="0"/>
              <w:widowControl/>
              <w:kinsoku/>
              <w:wordWrap/>
              <w:overflowPunct/>
              <w:topLinePunct w:val="0"/>
              <w:autoSpaceDE/>
              <w:autoSpaceDN/>
              <w:bidi w:val="0"/>
              <w:adjustRightInd/>
              <w:snapToGrid w:val="0"/>
              <w:spacing w:line="240" w:lineRule="auto"/>
              <w:ind w:firstLine="422" w:firstLineChars="0"/>
              <w:jc w:val="center"/>
              <w:textAlignment w:val="auto"/>
              <w:rPr>
                <w:rFonts w:hint="eastAsia" w:ascii="宋体" w:hAnsi="宋体" w:eastAsia="宋体"/>
                <w:b/>
                <w:bCs/>
                <w:color w:val="auto"/>
                <w:kern w:val="0"/>
                <w:sz w:val="21"/>
                <w:szCs w:val="21"/>
                <w:highlight w:val="none"/>
                <w:lang w:val="en-US" w:eastAsia="zh-CN" w:bidi="ar-SA"/>
              </w:rPr>
            </w:pPr>
            <w:r>
              <w:rPr>
                <w:rFonts w:hint="eastAsia" w:ascii="宋体" w:hAnsi="宋体" w:cs="宋体"/>
                <w:b/>
                <w:bCs/>
                <w:color w:val="auto"/>
                <w:kern w:val="0"/>
                <w:szCs w:val="21"/>
                <w:highlight w:val="none"/>
                <w:lang w:val="en-US" w:eastAsia="zh-CN"/>
              </w:rPr>
              <w:t>评标程序</w:t>
            </w:r>
          </w:p>
        </w:tc>
        <w:tc>
          <w:tcPr>
            <w:tcW w:w="5253" w:type="dxa"/>
            <w:noWrap w:val="0"/>
            <w:vAlign w:val="center"/>
          </w:tcPr>
          <w:p w14:paraId="22D71CC5">
            <w:pPr>
              <w:keepNext w:val="0"/>
              <w:keepLines w:val="0"/>
              <w:pageBreakBefore w:val="0"/>
              <w:widowControl/>
              <w:kinsoku/>
              <w:wordWrap/>
              <w:overflowPunct/>
              <w:topLinePunct w:val="0"/>
              <w:autoSpaceDE/>
              <w:autoSpaceDN/>
              <w:bidi w:val="0"/>
              <w:adjustRightInd/>
              <w:snapToGrid w:val="0"/>
              <w:spacing w:line="240" w:lineRule="auto"/>
              <w:ind w:firstLine="422" w:firstLineChars="0"/>
              <w:jc w:val="center"/>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工作程序</w:t>
            </w:r>
          </w:p>
        </w:tc>
      </w:tr>
      <w:tr w14:paraId="1C33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14:paraId="3AA97F37">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s="宋体"/>
                <w:color w:val="auto"/>
                <w:kern w:val="0"/>
                <w:szCs w:val="21"/>
                <w:highlight w:val="none"/>
                <w:lang w:eastAsia="zh-CN"/>
              </w:rPr>
              <w:t>程序</w:t>
            </w:r>
            <w:r>
              <w:rPr>
                <w:rFonts w:hint="eastAsia" w:ascii="宋体" w:hAnsi="宋体" w:cs="宋体"/>
                <w:color w:val="auto"/>
                <w:kern w:val="0"/>
                <w:szCs w:val="21"/>
                <w:highlight w:val="none"/>
                <w:lang w:val="en-US" w:eastAsia="zh-CN"/>
              </w:rPr>
              <w:t>1</w:t>
            </w:r>
          </w:p>
        </w:tc>
        <w:tc>
          <w:tcPr>
            <w:tcW w:w="1842" w:type="dxa"/>
            <w:noWrap w:val="0"/>
            <w:vAlign w:val="center"/>
          </w:tcPr>
          <w:p w14:paraId="060AB81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经济标</w:t>
            </w:r>
            <w:r>
              <w:rPr>
                <w:rFonts w:hint="eastAsia" w:ascii="宋体" w:hAnsi="宋体" w:eastAsia="宋体" w:cs="宋体"/>
                <w:color w:val="auto"/>
                <w:spacing w:val="0"/>
                <w:kern w:val="0"/>
                <w:szCs w:val="21"/>
                <w:highlight w:val="none"/>
              </w:rPr>
              <w:t>评</w:t>
            </w:r>
            <w:r>
              <w:rPr>
                <w:rFonts w:hint="eastAsia" w:ascii="宋体" w:hAnsi="宋体" w:eastAsia="宋体" w:cs="宋体"/>
                <w:color w:val="auto"/>
                <w:kern w:val="0"/>
                <w:szCs w:val="21"/>
                <w:highlight w:val="none"/>
              </w:rPr>
              <w:t>审</w:t>
            </w:r>
          </w:p>
        </w:tc>
        <w:tc>
          <w:tcPr>
            <w:tcW w:w="5253" w:type="dxa"/>
            <w:noWrap w:val="0"/>
            <w:vAlign w:val="center"/>
          </w:tcPr>
          <w:p w14:paraId="1B486FC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对</w:t>
            </w:r>
            <w:r>
              <w:rPr>
                <w:rFonts w:hint="eastAsia" w:ascii="宋体" w:hAnsi="宋体" w:eastAsia="宋体" w:cs="宋体"/>
                <w:color w:val="auto"/>
                <w:kern w:val="0"/>
                <w:szCs w:val="21"/>
                <w:highlight w:val="none"/>
                <w:lang w:val="en-US" w:eastAsia="zh-CN"/>
              </w:rPr>
              <w:t>入围</w:t>
            </w:r>
            <w:r>
              <w:rPr>
                <w:rFonts w:hint="eastAsia" w:ascii="宋体" w:hAnsi="宋体" w:eastAsia="宋体" w:cs="宋体"/>
                <w:color w:val="auto"/>
                <w:spacing w:val="0"/>
                <w:kern w:val="0"/>
                <w:szCs w:val="21"/>
                <w:highlight w:val="none"/>
                <w:lang w:val="en-US" w:eastAsia="zh-CN"/>
              </w:rPr>
              <w:t>投标人的经济标进行评审</w:t>
            </w:r>
            <w:r>
              <w:rPr>
                <w:rFonts w:hint="eastAsia" w:ascii="宋体" w:hAnsi="宋体" w:eastAsia="宋体" w:cs="宋体"/>
                <w:color w:val="auto"/>
                <w:kern w:val="0"/>
                <w:szCs w:val="21"/>
                <w:highlight w:val="none"/>
                <w:lang w:val="en-US" w:eastAsia="zh-CN"/>
              </w:rPr>
              <w:t>。</w:t>
            </w:r>
          </w:p>
        </w:tc>
      </w:tr>
      <w:tr w14:paraId="2308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0"/>
            <w:vAlign w:val="center"/>
          </w:tcPr>
          <w:p w14:paraId="5D6B9E38">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s="宋体"/>
                <w:color w:val="auto"/>
                <w:kern w:val="0"/>
                <w:szCs w:val="21"/>
                <w:highlight w:val="none"/>
                <w:lang w:eastAsia="zh-CN"/>
              </w:rPr>
              <w:t>程序</w:t>
            </w:r>
            <w:r>
              <w:rPr>
                <w:rFonts w:hint="eastAsia" w:ascii="宋体" w:hAnsi="宋体" w:cs="宋体"/>
                <w:color w:val="auto"/>
                <w:kern w:val="0"/>
                <w:szCs w:val="21"/>
                <w:highlight w:val="none"/>
                <w:lang w:val="en-US" w:eastAsia="zh-CN"/>
              </w:rPr>
              <w:t>2</w:t>
            </w:r>
          </w:p>
        </w:tc>
        <w:tc>
          <w:tcPr>
            <w:tcW w:w="1842" w:type="dxa"/>
            <w:noWrap w:val="0"/>
            <w:vAlign w:val="center"/>
          </w:tcPr>
          <w:p w14:paraId="0D2C272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资信标</w:t>
            </w:r>
            <w:r>
              <w:rPr>
                <w:rFonts w:hint="eastAsia" w:ascii="宋体" w:hAnsi="宋体" w:eastAsia="宋体" w:cs="宋体"/>
                <w:color w:val="auto"/>
                <w:spacing w:val="0"/>
                <w:kern w:val="0"/>
                <w:szCs w:val="21"/>
                <w:highlight w:val="none"/>
              </w:rPr>
              <w:t>评</w:t>
            </w:r>
            <w:r>
              <w:rPr>
                <w:rFonts w:hint="eastAsia" w:ascii="宋体" w:hAnsi="宋体" w:eastAsia="宋体" w:cs="宋体"/>
                <w:color w:val="auto"/>
                <w:kern w:val="0"/>
                <w:szCs w:val="21"/>
                <w:highlight w:val="none"/>
              </w:rPr>
              <w:t>审</w:t>
            </w:r>
          </w:p>
        </w:tc>
        <w:tc>
          <w:tcPr>
            <w:tcW w:w="5253" w:type="dxa"/>
            <w:noWrap w:val="0"/>
            <w:vAlign w:val="center"/>
          </w:tcPr>
          <w:p w14:paraId="31191E2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kern w:val="0"/>
                <w:szCs w:val="21"/>
                <w:highlight w:val="none"/>
                <w:lang w:val="en-US" w:eastAsia="zh-CN"/>
              </w:rPr>
              <w:t>对经济标评审合格的投标人的资信标进行评审</w:t>
            </w:r>
            <w:r>
              <w:rPr>
                <w:rFonts w:hint="eastAsia" w:ascii="宋体" w:hAnsi="宋体" w:eastAsia="宋体" w:cs="宋体"/>
                <w:color w:val="auto"/>
                <w:kern w:val="0"/>
                <w:szCs w:val="21"/>
                <w:highlight w:val="none"/>
                <w:lang w:val="en-US" w:eastAsia="zh-CN"/>
              </w:rPr>
              <w:t>。</w:t>
            </w:r>
          </w:p>
        </w:tc>
      </w:tr>
      <w:tr w14:paraId="1F67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1B0F916">
            <w:pPr>
              <w:keepNext w:val="0"/>
              <w:keepLines w:val="0"/>
              <w:pageBreakBefore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color w:val="auto"/>
                <w:kern w:val="0"/>
                <w:szCs w:val="21"/>
                <w:highlight w:val="none"/>
                <w:lang w:eastAsia="zh-CN"/>
              </w:rPr>
              <w:t>程序</w:t>
            </w:r>
            <w:r>
              <w:rPr>
                <w:rFonts w:hint="eastAsia" w:ascii="宋体" w:hAnsi="宋体"/>
                <w:color w:val="auto"/>
                <w:kern w:val="0"/>
                <w:szCs w:val="21"/>
                <w:highlight w:val="none"/>
                <w:lang w:val="en-US" w:eastAsia="zh-CN"/>
              </w:rPr>
              <w:t>3</w:t>
            </w:r>
          </w:p>
        </w:tc>
        <w:tc>
          <w:tcPr>
            <w:tcW w:w="1842" w:type="dxa"/>
            <w:noWrap w:val="0"/>
            <w:vAlign w:val="center"/>
          </w:tcPr>
          <w:p w14:paraId="7868719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highlight w:val="none"/>
                <w:vertAlign w:val="baseline"/>
                <w:lang w:val="en-US" w:eastAsia="zh-CN"/>
              </w:rPr>
              <w:t>技术标评</w:t>
            </w:r>
            <w:r>
              <w:rPr>
                <w:rFonts w:hint="eastAsia" w:ascii="宋体" w:hAnsi="宋体" w:eastAsia="宋体" w:cs="宋体"/>
                <w:color w:val="auto"/>
                <w:highlight w:val="none"/>
                <w:vertAlign w:val="baseline"/>
                <w:lang w:val="en-US" w:eastAsia="zh-CN"/>
              </w:rPr>
              <w:t>审</w:t>
            </w:r>
          </w:p>
        </w:tc>
        <w:tc>
          <w:tcPr>
            <w:tcW w:w="5253" w:type="dxa"/>
            <w:noWrap w:val="0"/>
            <w:vAlign w:val="center"/>
          </w:tcPr>
          <w:p w14:paraId="7DE5F28D">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color w:val="auto"/>
                <w:highlight w:val="none"/>
                <w:vertAlign w:val="baseline"/>
                <w:lang w:val="en-US" w:eastAsia="zh-CN"/>
              </w:rPr>
            </w:pPr>
            <w:r>
              <w:rPr>
                <w:rFonts w:hint="eastAsia" w:ascii="宋体" w:hAnsi="宋体" w:eastAsia="宋体" w:cs="宋体"/>
                <w:color w:val="auto"/>
                <w:spacing w:val="0"/>
                <w:kern w:val="0"/>
                <w:szCs w:val="21"/>
                <w:highlight w:val="none"/>
                <w:lang w:val="en-US" w:eastAsia="zh-CN"/>
              </w:rPr>
              <w:t>对资信标评审合格的投标人的技术标进行评审</w:t>
            </w:r>
            <w:r>
              <w:rPr>
                <w:rFonts w:hint="eastAsia" w:ascii="宋体" w:hAnsi="宋体" w:eastAsia="宋体" w:cs="宋体"/>
                <w:color w:val="auto"/>
                <w:kern w:val="0"/>
                <w:szCs w:val="21"/>
                <w:highlight w:val="none"/>
                <w:lang w:val="en-US" w:eastAsia="zh-CN"/>
              </w:rPr>
              <w:t>。</w:t>
            </w:r>
          </w:p>
        </w:tc>
      </w:tr>
      <w:tr w14:paraId="5861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ED957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程序4</w:t>
            </w:r>
          </w:p>
        </w:tc>
        <w:tc>
          <w:tcPr>
            <w:tcW w:w="1842" w:type="dxa"/>
            <w:noWrap w:val="0"/>
            <w:vAlign w:val="center"/>
          </w:tcPr>
          <w:p w14:paraId="244E9D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pacing w:val="0"/>
                <w:szCs w:val="21"/>
                <w:highlight w:val="none"/>
                <w:lang w:val="en-US" w:eastAsia="zh-CN"/>
              </w:rPr>
              <w:t>定标候选人推</w:t>
            </w:r>
            <w:r>
              <w:rPr>
                <w:rFonts w:hint="eastAsia" w:ascii="宋体" w:hAnsi="宋体" w:eastAsia="宋体" w:cs="宋体"/>
                <w:color w:val="auto"/>
                <w:szCs w:val="21"/>
                <w:highlight w:val="none"/>
                <w:lang w:val="en-US" w:eastAsia="zh-CN"/>
              </w:rPr>
              <w:t>荐</w:t>
            </w:r>
          </w:p>
        </w:tc>
        <w:tc>
          <w:tcPr>
            <w:tcW w:w="5253" w:type="dxa"/>
            <w:noWrap w:val="0"/>
            <w:vAlign w:val="center"/>
          </w:tcPr>
          <w:p w14:paraId="7AB2D0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olor w:val="auto"/>
                <w:szCs w:val="21"/>
                <w:highlight w:val="none"/>
                <w:lang w:val="en-US" w:eastAsia="zh-CN"/>
              </w:rPr>
            </w:pPr>
            <w:r>
              <w:rPr>
                <w:rFonts w:hint="eastAsia" w:ascii="宋体" w:hAnsi="宋体" w:eastAsia="宋体" w:cs="宋体"/>
                <w:color w:val="auto"/>
                <w:spacing w:val="0"/>
                <w:szCs w:val="21"/>
                <w:highlight w:val="none"/>
                <w:lang w:val="en-US" w:eastAsia="zh-CN"/>
              </w:rPr>
              <w:t>推荐所有标函评审均为合格的投标人为定标候选人</w:t>
            </w:r>
            <w:r>
              <w:rPr>
                <w:rFonts w:hint="eastAsia" w:ascii="宋体" w:hAnsi="宋体" w:eastAsia="宋体" w:cs="宋体"/>
                <w:color w:val="auto"/>
                <w:szCs w:val="21"/>
                <w:highlight w:val="none"/>
                <w:lang w:val="en-US" w:eastAsia="zh-CN"/>
              </w:rPr>
              <w:t>。</w:t>
            </w:r>
          </w:p>
        </w:tc>
      </w:tr>
    </w:tbl>
    <w:p w14:paraId="55ACB5D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highlight w:val="none"/>
        </w:rPr>
      </w:pPr>
      <w:bookmarkStart w:id="240" w:name="_Toc608407711"/>
      <w:r>
        <w:rPr>
          <w:rFonts w:hint="eastAsia" w:ascii="宋体" w:hAnsi="宋体" w:eastAsia="宋体" w:cs="宋体"/>
          <w:b/>
          <w:bCs/>
          <w:color w:val="auto"/>
          <w:highlight w:val="none"/>
        </w:rPr>
        <w:t>备注：因有效的投标人少于3个使得投标明显缺乏竞争的，招标失败，由招标人</w:t>
      </w:r>
      <w:r>
        <w:rPr>
          <w:rFonts w:hint="eastAsia" w:ascii="宋体" w:hAnsi="宋体" w:eastAsia="宋体" w:cs="宋体"/>
          <w:b/>
          <w:bCs/>
          <w:color w:val="auto"/>
          <w:highlight w:val="none"/>
          <w:lang w:eastAsia="zh-CN"/>
        </w:rPr>
        <w:t>依法</w:t>
      </w:r>
      <w:r>
        <w:rPr>
          <w:rFonts w:hint="eastAsia" w:ascii="宋体" w:hAnsi="宋体" w:eastAsia="宋体" w:cs="宋体"/>
          <w:b/>
          <w:bCs/>
          <w:color w:val="auto"/>
          <w:highlight w:val="none"/>
        </w:rPr>
        <w:t>重新组织招标。</w:t>
      </w:r>
    </w:p>
    <w:p w14:paraId="7448A74B">
      <w:pPr>
        <w:pStyle w:val="5"/>
        <w:rPr>
          <w:rFonts w:hint="eastAsia" w:ascii="宋体" w:hAnsi="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4.2 经济标评审</w:t>
      </w:r>
    </w:p>
    <w:bookmarkEnd w:id="240"/>
    <w:p w14:paraId="6319784A">
      <w:pPr>
        <w:numPr>
          <w:ilvl w:val="0"/>
          <w:numId w:val="0"/>
        </w:numPr>
        <w:spacing w:line="360" w:lineRule="auto"/>
        <w:ind w:firstLine="420" w:firstLineChars="200"/>
        <w:rPr>
          <w:rFonts w:hint="eastAsia" w:ascii="宋体" w:hAnsi="宋体" w:eastAsia="宋体" w:cs="Times New Roman"/>
          <w:color w:val="auto"/>
          <w:kern w:val="2"/>
          <w:szCs w:val="21"/>
          <w:highlight w:val="none"/>
          <w:lang w:val="en-US" w:eastAsia="zh-CN" w:bidi="ar-SA"/>
        </w:rPr>
      </w:pPr>
      <w:r>
        <w:rPr>
          <w:rFonts w:hint="eastAsia" w:ascii="宋体" w:hAnsi="宋体" w:eastAsia="宋体" w:cs="Times New Roman"/>
          <w:color w:val="auto"/>
          <w:kern w:val="2"/>
          <w:szCs w:val="21"/>
          <w:highlight w:val="none"/>
          <w:lang w:val="en-US" w:eastAsia="zh-CN" w:bidi="ar-SA"/>
        </w:rPr>
        <w:t>4.2.1 评标委员会根据本章第2.1款规定的标准对投标人的经济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79F81FBF">
      <w:pPr>
        <w:numPr>
          <w:ilvl w:val="0"/>
          <w:numId w:val="0"/>
        </w:numPr>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4.2.2 投标报价有算术错误及其他错误的，评标委员会按以下原则要求投标人对投标报价进行修正</w:t>
      </w:r>
      <w:r>
        <w:rPr>
          <w:rFonts w:hint="eastAsia" w:ascii="宋体" w:hAnsi="宋体"/>
          <w:color w:val="auto"/>
          <w:szCs w:val="21"/>
          <w:highlight w:val="none"/>
          <w:lang w:val="en-US" w:eastAsia="zh-CN"/>
        </w:rPr>
        <w:t>，并要求投标人书面澄清确认。投标人拒不澄清确认的，评标委员会应当否决其投标</w:t>
      </w:r>
      <w:r>
        <w:rPr>
          <w:rFonts w:hint="eastAsia" w:ascii="宋体" w:hAnsi="宋体"/>
          <w:color w:val="auto"/>
          <w:szCs w:val="21"/>
          <w:highlight w:val="none"/>
        </w:rPr>
        <w:t>：</w:t>
      </w:r>
    </w:p>
    <w:p w14:paraId="09C28E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数字表示的金额和用文字表示的金额不一样时，应以文字表示的金额为准；</w:t>
      </w:r>
    </w:p>
    <w:p w14:paraId="7E5710F7">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大写金额和小写金额不一致的，以大写金额为准；</w:t>
      </w:r>
    </w:p>
    <w:p w14:paraId="69989809">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单价金额与数量相乘和合价金额不一致的，以单价金额为准，如果单价金额有明显的小数点位置差错，应以标出的合价金额为准，同时对单价金额予以修正；</w:t>
      </w:r>
    </w:p>
    <w:p w14:paraId="1C79AF3E">
      <w:pPr>
        <w:ind w:firstLine="420" w:firstLineChars="200"/>
        <w:rPr>
          <w:rFonts w:hint="default" w:ascii="Arial" w:hAnsi="Arial" w:eastAsia="宋体" w:cs="Times New Roman"/>
          <w:kern w:val="2"/>
          <w:szCs w:val="28"/>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合价金额累计与总价金额不一致的，以合价金额为准，修正总价金额。</w:t>
      </w:r>
    </w:p>
    <w:p w14:paraId="5B4B6797">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4.2.3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3EF53BD">
      <w:pPr>
        <w:numPr>
          <w:ilvl w:val="0"/>
          <w:numId w:val="0"/>
        </w:numPr>
        <w:ind w:firstLine="420" w:firstLineChars="200"/>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4.2.4 综合评价等级为“合格”的投标文件，评标专家发现投标文件存在签订合同前应注意和澄清的事项等情形的，应当在评标结论中指出。经济标综合评价结论为“合格”的，方可进入下一阶段资信标的评审。</w:t>
      </w:r>
    </w:p>
    <w:p w14:paraId="1D0CFC60">
      <w:pPr>
        <w:pStyle w:val="5"/>
        <w:bidi w:val="0"/>
        <w:rPr>
          <w:rFonts w:hint="eastAsia" w:ascii="宋体" w:hAnsi="宋体" w:cs="宋体"/>
          <w:color w:val="auto"/>
          <w:sz w:val="21"/>
          <w:szCs w:val="21"/>
          <w:highlight w:val="none"/>
          <w:lang w:val="en-US" w:eastAsia="zh-CN"/>
        </w:rPr>
      </w:pPr>
      <w:bookmarkStart w:id="241" w:name="_Toc1885636906"/>
      <w:r>
        <w:rPr>
          <w:rFonts w:hint="eastAsia" w:ascii="宋体" w:hAnsi="宋体" w:cs="宋体"/>
          <w:color w:val="auto"/>
          <w:sz w:val="21"/>
          <w:szCs w:val="21"/>
          <w:highlight w:val="none"/>
          <w:lang w:val="en-US" w:eastAsia="zh-CN"/>
        </w:rPr>
        <w:t>4.3 资信标评审</w:t>
      </w:r>
      <w:bookmarkEnd w:id="241"/>
    </w:p>
    <w:p w14:paraId="447F06F9">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4.3.1 评标委员会根据本章第2.1款规定的标准对投标人的资信标进行</w:t>
      </w:r>
      <w:r>
        <w:rPr>
          <w:rFonts w:hint="eastAsia" w:ascii="宋体" w:hAnsi="宋体" w:cs="Times New Roman"/>
          <w:color w:val="auto"/>
          <w:szCs w:val="21"/>
          <w:highlight w:val="none"/>
          <w:lang w:val="en-US" w:eastAsia="zh-CN"/>
        </w:rPr>
        <w:t>初步</w:t>
      </w:r>
      <w:r>
        <w:rPr>
          <w:rFonts w:hint="default" w:ascii="宋体" w:hAnsi="宋体" w:cs="Times New Roman"/>
          <w:color w:val="auto"/>
          <w:szCs w:val="21"/>
          <w:highlight w:val="none"/>
          <w:lang w:val="en-US" w:eastAsia="zh-CN"/>
        </w:rPr>
        <w:t>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11414276">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4.3.2 资信标综合评价结论为“合格”的，方可进入下一阶段技术标的评审。</w:t>
      </w:r>
    </w:p>
    <w:p w14:paraId="4AE6F29E">
      <w:pPr>
        <w:pStyle w:val="5"/>
        <w:bidi w:val="0"/>
        <w:rPr>
          <w:rFonts w:hint="eastAsia" w:ascii="宋体" w:hAnsi="宋体" w:cs="宋体"/>
          <w:color w:val="auto"/>
          <w:sz w:val="21"/>
          <w:szCs w:val="21"/>
          <w:highlight w:val="none"/>
          <w:lang w:val="en-US" w:eastAsia="zh-CN"/>
        </w:rPr>
      </w:pPr>
      <w:bookmarkStart w:id="242" w:name="_Toc980146153"/>
      <w:r>
        <w:rPr>
          <w:rFonts w:hint="eastAsia" w:ascii="宋体" w:hAnsi="宋体" w:cs="宋体"/>
          <w:color w:val="auto"/>
          <w:sz w:val="21"/>
          <w:szCs w:val="21"/>
          <w:highlight w:val="none"/>
          <w:lang w:val="en-US" w:eastAsia="zh-CN"/>
        </w:rPr>
        <w:t>4.4 技术标评审</w:t>
      </w:r>
      <w:bookmarkEnd w:id="242"/>
    </w:p>
    <w:p w14:paraId="2762D544">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4.4.1 评标委员会根据本章第2.1款规定的标准对投标人的技术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2A00E994">
      <w:pPr>
        <w:numPr>
          <w:ilvl w:val="0"/>
          <w:numId w:val="0"/>
        </w:numPr>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4.4.2 综合评价等级为“合格”的投标文件，评标委员会根据本章第2.2.1项规定的标准对技术标进行详细评审，指出存在优点的具体事项，或指出存在缺陷或签订合同前应注意和澄清的具体事项。评标专家对各评审项目进行逐条评审时，应给出具体的评审意见，不得以“合格、不合格、可行、不可行、优、良、中、差”等分级、评价性意见代替。</w:t>
      </w:r>
    </w:p>
    <w:p w14:paraId="6749A329">
      <w:pPr>
        <w:pStyle w:val="5"/>
        <w:bidi w:val="0"/>
        <w:rPr>
          <w:rFonts w:hint="default" w:ascii="宋体" w:hAnsi="宋体" w:cs="宋体"/>
          <w:color w:val="auto"/>
          <w:sz w:val="21"/>
          <w:szCs w:val="21"/>
          <w:highlight w:val="none"/>
          <w:lang w:val="en-US" w:eastAsia="zh-CN"/>
        </w:rPr>
      </w:pPr>
      <w:bookmarkStart w:id="243" w:name="_Toc203123881"/>
      <w:r>
        <w:rPr>
          <w:rFonts w:hint="eastAsia" w:ascii="宋体" w:hAnsi="宋体" w:cs="宋体"/>
          <w:color w:val="auto"/>
          <w:sz w:val="21"/>
          <w:szCs w:val="21"/>
          <w:highlight w:val="none"/>
          <w:lang w:val="en-US" w:eastAsia="zh-CN"/>
        </w:rPr>
        <w:t>4</w:t>
      </w: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default" w:ascii="宋体" w:hAnsi="宋体" w:cs="宋体"/>
          <w:color w:val="auto"/>
          <w:sz w:val="21"/>
          <w:szCs w:val="21"/>
          <w:highlight w:val="none"/>
          <w:lang w:val="en-US" w:eastAsia="zh-CN"/>
        </w:rPr>
        <w:t xml:space="preserve"> 汇总评审意见</w:t>
      </w:r>
    </w:p>
    <w:p w14:paraId="02E60C53">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4.5.1 在各评标专家独立对所有投标人评审完成之后，评标委员会集体汇总各评标专家对同一投标人的评审意见。</w:t>
      </w:r>
    </w:p>
    <w:p w14:paraId="485004A4">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4.5.2 评标委员会主任应对“评审项目”逐条进行汇总。汇总单条“评审项目”的评审意见时，将各评标专家对该投标人该评审项目的评审意见罗列在一起，集体讨论后形成评标委员会集体对该投标人该评审项目的评审意见。评标委员会集体对同一投标人给出综合评价等级。</w:t>
      </w:r>
    </w:p>
    <w:p w14:paraId="0C2D001B">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4.5.3 评标委员会在汇总各评标专家意见时，如果有评标专家对汇总意见持保留意见的，则应在汇总表中注明。</w:t>
      </w:r>
    </w:p>
    <w:p w14:paraId="10BFE0E9">
      <w:pPr>
        <w:numPr>
          <w:ilvl w:val="0"/>
          <w:numId w:val="0"/>
        </w:num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4.5.4 投标人综合评价等级为不合格的，仅需指出不合格的具体原因，不必再指出投标文件优点和存在缺陷或签订合同前应注意和澄清的事项。</w:t>
      </w:r>
    </w:p>
    <w:bookmarkEnd w:id="243"/>
    <w:p w14:paraId="6DBCBA69">
      <w:pPr>
        <w:pStyle w:val="5"/>
        <w:bidi w:val="0"/>
        <w:rPr>
          <w:rFonts w:hint="eastAsia" w:ascii="宋体" w:hAnsi="宋体" w:eastAsia="宋体" w:cs="宋体"/>
          <w:b/>
          <w:bCs/>
          <w:color w:val="auto"/>
          <w:sz w:val="21"/>
          <w:szCs w:val="21"/>
          <w:highlight w:val="none"/>
          <w:lang w:val="en-US" w:eastAsia="zh-CN"/>
        </w:rPr>
      </w:pPr>
      <w:bookmarkStart w:id="244" w:name="_Toc2055931632"/>
      <w:r>
        <w:rPr>
          <w:rFonts w:hint="eastAsia" w:ascii="宋体" w:hAnsi="宋体" w:eastAsia="宋体" w:cs="宋体"/>
          <w:b/>
          <w:bCs/>
          <w:color w:val="auto"/>
          <w:sz w:val="21"/>
          <w:szCs w:val="21"/>
          <w:highlight w:val="none"/>
          <w:lang w:val="en-US" w:eastAsia="zh-CN"/>
        </w:rPr>
        <w:t>4.6 推荐定标候选人</w:t>
      </w:r>
    </w:p>
    <w:p w14:paraId="3CAEFB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r>
        <w:rPr>
          <w:rFonts w:hint="eastAsia" w:ascii="宋体" w:hAnsi="宋体" w:eastAsia="宋体" w:cs="宋体"/>
          <w:color w:val="auto"/>
          <w:szCs w:val="21"/>
          <w:highlight w:val="none"/>
          <w:lang w:val="en-US" w:eastAsia="zh-CN"/>
        </w:rPr>
        <w:t>将所有标函评审合格的投标人推荐为定标候选人。</w:t>
      </w:r>
    </w:p>
    <w:p w14:paraId="5B3B332D">
      <w:pPr>
        <w:pStyle w:val="5"/>
        <w:bidi w:val="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default"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7</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评标结果</w:t>
      </w:r>
    </w:p>
    <w:p w14:paraId="1CE08233">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4.7.1 评标委员会实行少数服从多数的原则，评标结果经评标委员会全体成员过半数通过有效。</w:t>
      </w:r>
    </w:p>
    <w:p w14:paraId="0631C75A">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4.7.2 评标完成后，评标委员会应当向招标人提交书面评标报告。评标报告包括项目基本情况、评标委员会成员名单、澄清和说明情况记录、否决投标的判定情况说明、每个环节评审结果、专家评审表及定标候选人名单等内容。评标报告由评标委员会全体成员签字，对评标结果持有异议的评委会成员可以书面方式阐述其不同意见和理由。评标委员会成员拒绝在评标报告上签字且不陈述其不同意见和理由的，视为同意评标结论。</w:t>
      </w:r>
    </w:p>
    <w:p w14:paraId="760C1ABB">
      <w:pPr>
        <w:numPr>
          <w:ilvl w:val="0"/>
          <w:numId w:val="0"/>
        </w:num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4.7.3 评标委员会作出否决投标处理后，合格投标人数量不足3名</w:t>
      </w:r>
      <w:r>
        <w:rPr>
          <w:rFonts w:hint="eastAsia" w:ascii="宋体" w:hAnsi="宋体" w:eastAsia="宋体" w:cs="Times New Roman"/>
          <w:color w:val="auto"/>
          <w:szCs w:val="21"/>
          <w:highlight w:val="none"/>
          <w:lang w:val="fr-CH" w:eastAsia="zh-CN"/>
        </w:rPr>
        <w:t>使得投标明显缺乏竞争</w:t>
      </w:r>
      <w:r>
        <w:rPr>
          <w:rFonts w:hint="eastAsia" w:ascii="宋体" w:hAnsi="宋体" w:eastAsia="宋体" w:cs="Times New Roman"/>
          <w:color w:val="auto"/>
          <w:szCs w:val="21"/>
          <w:highlight w:val="none"/>
          <w:lang w:val="en-US" w:eastAsia="zh-CN"/>
        </w:rPr>
        <w:t>的，招标人应当宣布本次招标失败，重新招标。</w:t>
      </w:r>
    </w:p>
    <w:bookmarkEnd w:id="244"/>
    <w:p w14:paraId="13CE5410">
      <w:pPr>
        <w:pStyle w:val="4"/>
        <w:numPr>
          <w:ilvl w:val="0"/>
          <w:numId w:val="0"/>
        </w:numPr>
        <w:bidi w:val="0"/>
        <w:ind w:leftChars="0"/>
        <w:rPr>
          <w:rFonts w:hint="eastAsia" w:ascii="宋体" w:hAnsi="宋体" w:eastAsia="宋体" w:cs="宋体"/>
          <w:color w:val="auto"/>
          <w:sz w:val="21"/>
          <w:szCs w:val="21"/>
          <w:highlight w:val="none"/>
          <w:lang w:val="en-US" w:eastAsia="zh-CN"/>
        </w:rPr>
      </w:pPr>
      <w:bookmarkStart w:id="245" w:name="_Toc340080924"/>
      <w:bookmarkStart w:id="246" w:name="_Toc1930320316"/>
      <w:bookmarkStart w:id="247" w:name="_Toc203717267"/>
      <w:r>
        <w:rPr>
          <w:rFonts w:hint="eastAsia" w:ascii="宋体" w:hAnsi="宋体" w:eastAsia="宋体" w:cs="宋体"/>
          <w:color w:val="auto"/>
          <w:sz w:val="21"/>
          <w:szCs w:val="21"/>
          <w:highlight w:val="none"/>
          <w:lang w:val="en-US" w:eastAsia="zh-CN"/>
        </w:rPr>
        <w:t>5. 评标程序（定量评审）</w:t>
      </w:r>
      <w:bookmarkEnd w:id="245"/>
    </w:p>
    <w:p w14:paraId="0042848D">
      <w:pPr>
        <w:pStyle w:val="5"/>
        <w:bidi w:val="0"/>
        <w:rPr>
          <w:rFonts w:hint="eastAsia" w:ascii="宋体" w:hAnsi="宋体" w:eastAsia="宋体" w:cs="宋体"/>
          <w:color w:val="auto"/>
          <w:sz w:val="21"/>
          <w:szCs w:val="21"/>
          <w:highlight w:val="none"/>
          <w:lang w:val="en-US" w:eastAsia="zh-CN"/>
        </w:rPr>
      </w:pPr>
      <w:bookmarkStart w:id="248" w:name="_Toc1897374323"/>
      <w:bookmarkStart w:id="249" w:name="_Toc939763480"/>
      <w:bookmarkStart w:id="250" w:name="_Toc509716698"/>
      <w:bookmarkStart w:id="251" w:name="_Toc423384955"/>
      <w:bookmarkStart w:id="252" w:name="_Toc89184904"/>
      <w:bookmarkStart w:id="253" w:name="_Toc418699922"/>
      <w:bookmarkStart w:id="254" w:name="_Toc821753435"/>
      <w:bookmarkStart w:id="255" w:name="_Toc1209600907"/>
      <w:bookmarkStart w:id="256" w:name="_Toc528424002"/>
      <w:bookmarkStart w:id="257" w:name="_Toc840610431"/>
      <w:bookmarkStart w:id="258" w:name="_Toc496595645"/>
      <w:bookmarkStart w:id="259" w:name="_Toc380079975"/>
      <w:bookmarkStart w:id="260" w:name="_Toc207591047"/>
      <w:bookmarkStart w:id="261" w:name="_Toc983238246"/>
      <w:bookmarkStart w:id="262" w:name="_Toc1845269740"/>
      <w:bookmarkStart w:id="263" w:name="_Toc2086095195"/>
      <w:bookmarkStart w:id="264" w:name="_Toc1084583419"/>
      <w:r>
        <w:rPr>
          <w:rFonts w:hint="eastAsia" w:ascii="宋体" w:hAnsi="宋体" w:eastAsia="宋体" w:cs="宋体"/>
          <w:color w:val="auto"/>
          <w:sz w:val="21"/>
          <w:szCs w:val="21"/>
          <w:highlight w:val="none"/>
          <w:lang w:val="en-US" w:eastAsia="zh-CN"/>
        </w:rPr>
        <w:t>5.1 评标程序表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1B4A3C51">
      <w:pPr>
        <w:spacing w:line="360" w:lineRule="auto"/>
        <w:ind w:firstLine="420" w:firstLineChars="200"/>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评标委员会成员应按《评标程序表》（定量评审）规定的程序及步骤对投标文件进行评审，并由评标委员会汇总评审意见，推荐定标候选人，出具评标报告。</w:t>
      </w:r>
    </w:p>
    <w:p w14:paraId="517CF361">
      <w:pPr>
        <w:spacing w:line="360" w:lineRule="auto"/>
        <w:ind w:left="425"/>
        <w:jc w:val="center"/>
        <w:rPr>
          <w:rFonts w:hint="eastAsia" w:eastAsia="宋体"/>
          <w:b/>
          <w:color w:val="auto"/>
          <w:szCs w:val="21"/>
          <w:highlight w:val="none"/>
          <w:lang w:eastAsia="zh-CN"/>
        </w:rPr>
      </w:pPr>
      <w:r>
        <w:rPr>
          <w:rFonts w:hint="eastAsia"/>
          <w:b/>
          <w:color w:val="auto"/>
          <w:szCs w:val="21"/>
          <w:highlight w:val="none"/>
        </w:rPr>
        <w:t>评标程序表</w:t>
      </w:r>
      <w:r>
        <w:rPr>
          <w:rFonts w:hint="eastAsia"/>
          <w:b/>
          <w:color w:val="auto"/>
          <w:szCs w:val="21"/>
          <w:highlight w:val="none"/>
          <w:lang w:eastAsia="zh-CN"/>
        </w:rPr>
        <w:t>（</w:t>
      </w:r>
      <w:r>
        <w:rPr>
          <w:rFonts w:hint="eastAsia"/>
          <w:b/>
          <w:color w:val="auto"/>
          <w:szCs w:val="21"/>
          <w:highlight w:val="none"/>
          <w:lang w:val="en-US" w:eastAsia="zh-CN"/>
        </w:rPr>
        <w:t>定量评审</w:t>
      </w:r>
      <w:r>
        <w:rPr>
          <w:rFonts w:hint="eastAsia"/>
          <w:b/>
          <w:color w:val="auto"/>
          <w:szCs w:val="21"/>
          <w:highlight w:val="none"/>
          <w:lang w:eastAsia="zh-CN"/>
        </w:rPr>
        <w:t>）</w:t>
      </w:r>
    </w:p>
    <w:tbl>
      <w:tblPr>
        <w:tblStyle w:val="27"/>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2"/>
        <w:gridCol w:w="5253"/>
      </w:tblGrid>
      <w:tr w14:paraId="694A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9" w:type="dxa"/>
            <w:gridSpan w:val="2"/>
            <w:noWrap w:val="0"/>
            <w:vAlign w:val="center"/>
          </w:tcPr>
          <w:p w14:paraId="5A81E175">
            <w:pPr>
              <w:widowControl/>
              <w:snapToGrid w:val="0"/>
              <w:spacing w:line="240" w:lineRule="auto"/>
              <w:ind w:firstLine="422" w:firstLineChars="0"/>
              <w:jc w:val="center"/>
              <w:rPr>
                <w:rFonts w:hint="eastAsia" w:ascii="宋体" w:hAnsi="宋体" w:eastAsia="宋体"/>
                <w:b/>
                <w:bCs/>
                <w:color w:val="auto"/>
                <w:kern w:val="0"/>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评标程序</w:t>
            </w:r>
          </w:p>
        </w:tc>
        <w:tc>
          <w:tcPr>
            <w:tcW w:w="5253" w:type="dxa"/>
            <w:noWrap w:val="0"/>
            <w:vAlign w:val="center"/>
          </w:tcPr>
          <w:p w14:paraId="5A695FF2">
            <w:pPr>
              <w:widowControl/>
              <w:snapToGrid w:val="0"/>
              <w:spacing w:line="240" w:lineRule="auto"/>
              <w:ind w:firstLine="422" w:firstLineChars="0"/>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工作程序</w:t>
            </w:r>
          </w:p>
        </w:tc>
      </w:tr>
      <w:tr w14:paraId="5DF8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14:paraId="5EC30D32">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程序</w:t>
            </w:r>
            <w:r>
              <w:rPr>
                <w:rFonts w:hint="eastAsia" w:ascii="宋体" w:hAnsi="宋体" w:cs="宋体"/>
                <w:color w:val="auto"/>
                <w:kern w:val="0"/>
                <w:szCs w:val="21"/>
                <w:highlight w:val="none"/>
                <w:lang w:val="en-US" w:eastAsia="zh-CN"/>
              </w:rPr>
              <w:t>1</w:t>
            </w:r>
          </w:p>
        </w:tc>
        <w:tc>
          <w:tcPr>
            <w:tcW w:w="1842" w:type="dxa"/>
            <w:noWrap w:val="0"/>
            <w:vAlign w:val="center"/>
          </w:tcPr>
          <w:p w14:paraId="178CDC33">
            <w:pPr>
              <w:spacing w:line="360" w:lineRule="auto"/>
              <w:jc w:val="center"/>
              <w:rPr>
                <w:rFonts w:hint="eastAsia"/>
                <w:color w:val="auto"/>
                <w:kern w:val="2"/>
                <w:sz w:val="21"/>
                <w:szCs w:val="24"/>
                <w:highlight w:val="none"/>
                <w:lang w:val="en-US" w:eastAsia="zh-CN" w:bidi="ar-SA"/>
              </w:rPr>
            </w:pPr>
            <w:r>
              <w:rPr>
                <w:rFonts w:hint="eastAsia"/>
                <w:color w:val="auto"/>
                <w:highlight w:val="none"/>
                <w:vertAlign w:val="baseline"/>
                <w:lang w:val="en-US" w:eastAsia="zh-CN"/>
              </w:rPr>
              <w:t>技术标评审</w:t>
            </w:r>
          </w:p>
        </w:tc>
        <w:tc>
          <w:tcPr>
            <w:tcW w:w="5253" w:type="dxa"/>
            <w:noWrap w:val="0"/>
            <w:vAlign w:val="center"/>
          </w:tcPr>
          <w:p w14:paraId="3671667A">
            <w:pPr>
              <w:spacing w:line="360" w:lineRule="auto"/>
              <w:ind w:firstLine="0" w:firstLineChars="0"/>
              <w:jc w:val="left"/>
              <w:rPr>
                <w:rFonts w:hint="eastAsia"/>
                <w:color w:val="auto"/>
                <w:kern w:val="2"/>
                <w:sz w:val="21"/>
                <w:szCs w:val="24"/>
                <w:highlight w:val="none"/>
                <w:vertAlign w:val="baseline"/>
                <w:lang w:val="en-US" w:eastAsia="zh-CN" w:bidi="ar-SA"/>
              </w:rPr>
            </w:pPr>
            <w:r>
              <w:rPr>
                <w:rFonts w:hint="eastAsia" w:ascii="宋体" w:hAnsi="宋体"/>
                <w:color w:val="auto"/>
                <w:kern w:val="0"/>
                <w:szCs w:val="21"/>
                <w:highlight w:val="none"/>
                <w:lang w:val="en-US" w:eastAsia="zh-CN"/>
              </w:rPr>
              <w:t>对入围投标人的技术标进行评审。</w:t>
            </w:r>
          </w:p>
        </w:tc>
      </w:tr>
      <w:tr w14:paraId="19CE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7" w:type="dxa"/>
            <w:noWrap w:val="0"/>
            <w:vAlign w:val="center"/>
          </w:tcPr>
          <w:p w14:paraId="4B666C8D">
            <w:pPr>
              <w:spacing w:line="360" w:lineRule="auto"/>
              <w:jc w:val="center"/>
              <w:rPr>
                <w:rFonts w:hint="eastAsia"/>
                <w:color w:val="auto"/>
                <w:kern w:val="2"/>
                <w:sz w:val="21"/>
                <w:szCs w:val="24"/>
                <w:highlight w:val="none"/>
                <w:vertAlign w:val="baseline"/>
                <w:lang w:val="en-US" w:eastAsia="zh-CN" w:bidi="ar-SA"/>
              </w:rPr>
            </w:pPr>
            <w:r>
              <w:rPr>
                <w:rFonts w:hint="eastAsia" w:ascii="宋体" w:hAnsi="宋体" w:cs="宋体"/>
                <w:color w:val="auto"/>
                <w:kern w:val="0"/>
                <w:szCs w:val="21"/>
                <w:highlight w:val="none"/>
              </w:rPr>
              <w:t>程序</w:t>
            </w:r>
            <w:r>
              <w:rPr>
                <w:rFonts w:hint="eastAsia" w:ascii="宋体" w:hAnsi="宋体" w:cs="宋体"/>
                <w:color w:val="auto"/>
                <w:kern w:val="0"/>
                <w:szCs w:val="21"/>
                <w:highlight w:val="none"/>
                <w:lang w:val="en-US" w:eastAsia="zh-CN"/>
              </w:rPr>
              <w:t>2</w:t>
            </w:r>
          </w:p>
        </w:tc>
        <w:tc>
          <w:tcPr>
            <w:tcW w:w="1842" w:type="dxa"/>
            <w:noWrap w:val="0"/>
            <w:vAlign w:val="center"/>
          </w:tcPr>
          <w:p w14:paraId="03D3FB83">
            <w:pPr>
              <w:widowControl/>
              <w:snapToGrid/>
              <w:spacing w:line="360" w:lineRule="auto"/>
              <w:jc w:val="center"/>
              <w:rPr>
                <w:rFonts w:hint="eastAsia" w:ascii="宋体" w:hAnsi="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资信标</w:t>
            </w:r>
            <w:r>
              <w:rPr>
                <w:rFonts w:hint="eastAsia" w:ascii="宋体" w:hAnsi="宋体" w:cs="宋体"/>
                <w:color w:val="auto"/>
                <w:kern w:val="0"/>
                <w:szCs w:val="21"/>
                <w:highlight w:val="none"/>
              </w:rPr>
              <w:t>评审</w:t>
            </w:r>
          </w:p>
        </w:tc>
        <w:tc>
          <w:tcPr>
            <w:tcW w:w="5253" w:type="dxa"/>
            <w:noWrap w:val="0"/>
            <w:vAlign w:val="center"/>
          </w:tcPr>
          <w:p w14:paraId="6BFC3A8F">
            <w:pPr>
              <w:widowControl/>
              <w:snapToGrid/>
              <w:spacing w:line="360" w:lineRule="auto"/>
              <w:ind w:firstLine="0" w:firstLineChars="0"/>
              <w:jc w:val="left"/>
              <w:rPr>
                <w:rFonts w:hint="eastAsia" w:ascii="宋体" w:hAnsi="宋体" w:cs="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对技术标评审合格的投标人的资信标进行评审。</w:t>
            </w:r>
          </w:p>
        </w:tc>
      </w:tr>
      <w:tr w14:paraId="052A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0"/>
            <w:vAlign w:val="center"/>
          </w:tcPr>
          <w:p w14:paraId="39AAD320">
            <w:pPr>
              <w:spacing w:line="360" w:lineRule="auto"/>
              <w:jc w:val="center"/>
              <w:rPr>
                <w:rFonts w:hint="eastAsia"/>
                <w:color w:val="auto"/>
                <w:kern w:val="2"/>
                <w:sz w:val="21"/>
                <w:szCs w:val="24"/>
                <w:highlight w:val="none"/>
                <w:vertAlign w:val="baseline"/>
                <w:lang w:val="en-US" w:eastAsia="zh-CN" w:bidi="ar-SA"/>
              </w:rPr>
            </w:pPr>
            <w:r>
              <w:rPr>
                <w:rFonts w:hint="eastAsia" w:ascii="宋体" w:hAnsi="宋体"/>
                <w:color w:val="auto"/>
                <w:kern w:val="0"/>
                <w:szCs w:val="21"/>
                <w:highlight w:val="none"/>
              </w:rPr>
              <w:t>程序</w:t>
            </w:r>
            <w:r>
              <w:rPr>
                <w:rFonts w:hint="eastAsia" w:ascii="宋体" w:hAnsi="宋体"/>
                <w:color w:val="auto"/>
                <w:kern w:val="0"/>
                <w:szCs w:val="21"/>
                <w:highlight w:val="none"/>
                <w:lang w:val="en-US" w:eastAsia="zh-CN"/>
              </w:rPr>
              <w:t>3</w:t>
            </w:r>
          </w:p>
        </w:tc>
        <w:tc>
          <w:tcPr>
            <w:tcW w:w="1842" w:type="dxa"/>
            <w:noWrap w:val="0"/>
            <w:vAlign w:val="center"/>
          </w:tcPr>
          <w:p w14:paraId="79C983C7">
            <w:pPr>
              <w:widowControl/>
              <w:snapToGrid/>
              <w:spacing w:line="360" w:lineRule="auto"/>
              <w:jc w:val="center"/>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经济标</w:t>
            </w:r>
            <w:r>
              <w:rPr>
                <w:rFonts w:hint="eastAsia" w:ascii="宋体" w:hAnsi="宋体"/>
                <w:color w:val="auto"/>
                <w:kern w:val="0"/>
                <w:szCs w:val="21"/>
                <w:highlight w:val="none"/>
              </w:rPr>
              <w:t>评审</w:t>
            </w:r>
          </w:p>
        </w:tc>
        <w:tc>
          <w:tcPr>
            <w:tcW w:w="5253" w:type="dxa"/>
            <w:noWrap w:val="0"/>
            <w:vAlign w:val="center"/>
          </w:tcPr>
          <w:p w14:paraId="3A58A7D7">
            <w:pPr>
              <w:widowControl/>
              <w:snapToGrid/>
              <w:spacing w:line="360" w:lineRule="auto"/>
              <w:ind w:firstLine="0" w:firstLineChars="0"/>
              <w:jc w:val="left"/>
              <w:rPr>
                <w:rFonts w:hint="eastAsia" w:ascii="宋体" w:hAnsi="宋体"/>
                <w:color w:val="auto"/>
                <w:kern w:val="0"/>
                <w:sz w:val="21"/>
                <w:szCs w:val="21"/>
                <w:highlight w:val="none"/>
                <w:lang w:val="en-US" w:eastAsia="zh-CN" w:bidi="ar-SA"/>
              </w:rPr>
            </w:pPr>
            <w:r>
              <w:rPr>
                <w:rFonts w:hint="eastAsia" w:ascii="宋体" w:hAnsi="宋体"/>
                <w:color w:val="auto"/>
                <w:kern w:val="0"/>
                <w:szCs w:val="21"/>
                <w:highlight w:val="none"/>
                <w:lang w:val="en-US" w:eastAsia="zh-CN"/>
              </w:rPr>
              <w:t>对资信标评审合格的投标单位的经济标进行评审。</w:t>
            </w:r>
          </w:p>
        </w:tc>
      </w:tr>
      <w:tr w14:paraId="2A5D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51FAC70">
            <w:pPr>
              <w:spacing w:line="360" w:lineRule="auto"/>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程序4</w:t>
            </w:r>
          </w:p>
        </w:tc>
        <w:tc>
          <w:tcPr>
            <w:tcW w:w="1842" w:type="dxa"/>
            <w:noWrap w:val="0"/>
            <w:vAlign w:val="center"/>
          </w:tcPr>
          <w:p w14:paraId="2A870512">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定标候选人推荐</w:t>
            </w:r>
          </w:p>
        </w:tc>
        <w:tc>
          <w:tcPr>
            <w:tcW w:w="5253" w:type="dxa"/>
            <w:noWrap w:val="0"/>
            <w:vAlign w:val="center"/>
          </w:tcPr>
          <w:p w14:paraId="3890C34F">
            <w:pPr>
              <w:spacing w:line="360" w:lineRule="auto"/>
              <w:ind w:firstLine="0" w:firstLineChars="0"/>
              <w:jc w:val="left"/>
              <w:rPr>
                <w:rFonts w:hint="eastAsia" w:ascii="宋体" w:hAnsi="宋体" w:eastAsia="宋体"/>
                <w:color w:val="auto"/>
                <w:szCs w:val="21"/>
                <w:highlight w:val="none"/>
                <w:lang w:val="en-US" w:eastAsia="zh-CN"/>
              </w:rPr>
            </w:pPr>
            <w:r>
              <w:rPr>
                <w:rFonts w:hint="eastAsia" w:ascii="宋体" w:hAnsi="宋体" w:cs="宋体"/>
                <w:color w:val="auto"/>
                <w:kern w:val="0"/>
                <w:szCs w:val="21"/>
                <w:highlight w:val="none"/>
              </w:rPr>
              <w:t>将各投标单位的技术标得分、</w:t>
            </w:r>
            <w:r>
              <w:rPr>
                <w:rFonts w:hint="eastAsia" w:ascii="宋体" w:hAnsi="宋体" w:cs="宋体"/>
                <w:color w:val="auto"/>
                <w:kern w:val="0"/>
                <w:szCs w:val="21"/>
                <w:highlight w:val="none"/>
                <w:lang w:eastAsia="zh-CN"/>
              </w:rPr>
              <w:t>资信标</w:t>
            </w:r>
            <w:r>
              <w:rPr>
                <w:rFonts w:hint="eastAsia" w:ascii="宋体" w:hAnsi="宋体" w:cs="宋体"/>
                <w:color w:val="auto"/>
                <w:kern w:val="0"/>
                <w:szCs w:val="21"/>
                <w:highlight w:val="none"/>
              </w:rPr>
              <w:t>得分</w:t>
            </w:r>
            <w:r>
              <w:rPr>
                <w:rFonts w:hint="eastAsia" w:ascii="宋体" w:hAnsi="宋体"/>
                <w:color w:val="auto"/>
                <w:szCs w:val="21"/>
                <w:highlight w:val="none"/>
              </w:rPr>
              <w:t>和经济标得分</w:t>
            </w:r>
            <w:r>
              <w:rPr>
                <w:rFonts w:hint="eastAsia" w:ascii="宋体" w:hAnsi="宋体" w:cs="宋体"/>
                <w:color w:val="auto"/>
                <w:kern w:val="0"/>
                <w:szCs w:val="21"/>
                <w:highlight w:val="none"/>
              </w:rPr>
              <w:t>相加得出其</w:t>
            </w:r>
            <w:r>
              <w:rPr>
                <w:rFonts w:hint="eastAsia" w:ascii="宋体" w:hAnsi="宋体" w:cs="宋体"/>
                <w:color w:val="auto"/>
                <w:kern w:val="0"/>
                <w:szCs w:val="21"/>
                <w:highlight w:val="none"/>
                <w:lang w:eastAsia="zh-CN"/>
              </w:rPr>
              <w:t>评审总</w:t>
            </w:r>
            <w:r>
              <w:rPr>
                <w:rFonts w:hint="eastAsia" w:ascii="宋体" w:hAnsi="宋体" w:cs="宋体"/>
                <w:color w:val="auto"/>
                <w:kern w:val="0"/>
                <w:szCs w:val="21"/>
                <w:highlight w:val="none"/>
              </w:rPr>
              <w:t>得分，评标委员会根据</w:t>
            </w:r>
            <w:r>
              <w:rPr>
                <w:rFonts w:hint="eastAsia" w:ascii="宋体" w:hAnsi="宋体" w:cs="宋体"/>
                <w:color w:val="auto"/>
                <w:kern w:val="0"/>
                <w:szCs w:val="21"/>
                <w:highlight w:val="none"/>
                <w:lang w:eastAsia="zh-CN"/>
              </w:rPr>
              <w:t>评审总</w:t>
            </w:r>
            <w:r>
              <w:rPr>
                <w:rFonts w:hint="eastAsia" w:ascii="宋体" w:hAnsi="宋体" w:cs="宋体"/>
                <w:color w:val="auto"/>
                <w:kern w:val="0"/>
                <w:szCs w:val="21"/>
                <w:highlight w:val="none"/>
              </w:rPr>
              <w:t>得分，按从高到</w:t>
            </w:r>
            <w:r>
              <w:rPr>
                <w:rFonts w:hint="eastAsia" w:ascii="宋体" w:hAnsi="宋体" w:cs="宋体"/>
                <w:color w:val="auto"/>
                <w:kern w:val="0"/>
                <w:szCs w:val="21"/>
                <w:highlight w:val="none"/>
                <w:lang w:val="en-US" w:eastAsia="zh-CN"/>
              </w:rPr>
              <w:t>低</w:t>
            </w:r>
            <w:r>
              <w:rPr>
                <w:rFonts w:hint="eastAsia" w:ascii="宋体" w:hAnsi="宋体" w:cs="宋体"/>
                <w:color w:val="auto"/>
                <w:kern w:val="0"/>
                <w:szCs w:val="21"/>
                <w:highlight w:val="none"/>
              </w:rPr>
              <w:t>顺序排列，推荐</w:t>
            </w:r>
            <w:r>
              <w:rPr>
                <w:rFonts w:hint="eastAsia" w:ascii="宋体" w:hAnsi="宋体" w:cs="宋体"/>
                <w:color w:val="auto"/>
                <w:kern w:val="0"/>
                <w:szCs w:val="21"/>
                <w:highlight w:val="none"/>
                <w:lang w:val="en-US" w:eastAsia="zh-CN"/>
              </w:rPr>
              <w:t>投标人须知前附表规定数量</w:t>
            </w:r>
            <w:r>
              <w:rPr>
                <w:rFonts w:hint="eastAsia" w:ascii="宋体" w:hAnsi="宋体" w:cs="宋体"/>
                <w:color w:val="auto"/>
                <w:kern w:val="0"/>
                <w:szCs w:val="21"/>
                <w:highlight w:val="none"/>
              </w:rPr>
              <w:t>的中标候选人</w:t>
            </w:r>
            <w:r>
              <w:rPr>
                <w:rFonts w:hint="eastAsia" w:ascii="宋体" w:hAnsi="宋体" w:cs="宋体"/>
                <w:color w:val="auto"/>
                <w:kern w:val="0"/>
                <w:szCs w:val="21"/>
                <w:highlight w:val="none"/>
                <w:lang w:eastAsia="zh-CN"/>
              </w:rPr>
              <w:t>。</w:t>
            </w:r>
          </w:p>
        </w:tc>
      </w:tr>
    </w:tbl>
    <w:p w14:paraId="15783AE6">
      <w:pPr>
        <w:pageBreakBefore w:val="0"/>
        <w:kinsoku/>
        <w:wordWrap/>
        <w:overflowPunct/>
        <w:topLinePunct w:val="0"/>
        <w:autoSpaceDE/>
        <w:autoSpaceDN/>
        <w:bidi w:val="0"/>
        <w:adjustRightInd/>
        <w:spacing w:line="360" w:lineRule="auto"/>
        <w:ind w:firstLine="422"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rPr>
        <w:t>备注：因有效的投标人少于3个使得投标明显缺乏竞争的，招标失败，由招标人</w:t>
      </w:r>
      <w:r>
        <w:rPr>
          <w:rFonts w:hint="eastAsia" w:ascii="宋体" w:hAnsi="宋体" w:eastAsia="宋体" w:cs="宋体"/>
          <w:b/>
          <w:bCs/>
          <w:color w:val="auto"/>
          <w:highlight w:val="none"/>
          <w:lang w:eastAsia="zh-CN"/>
        </w:rPr>
        <w:t>依法</w:t>
      </w:r>
      <w:r>
        <w:rPr>
          <w:rFonts w:hint="eastAsia" w:ascii="宋体" w:hAnsi="宋体" w:eastAsia="宋体" w:cs="宋体"/>
          <w:b/>
          <w:bCs/>
          <w:color w:val="auto"/>
          <w:highlight w:val="none"/>
        </w:rPr>
        <w:t>重新组织招标。</w:t>
      </w:r>
    </w:p>
    <w:p w14:paraId="17A11B25">
      <w:pPr>
        <w:pStyle w:val="5"/>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技术标评审</w:t>
      </w:r>
    </w:p>
    <w:p w14:paraId="51B1B82B">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5.2.1 评标委员会根据本章第2.1款规定的标准对投标人的技术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10F734BB">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5.2.2 综合评价等级为“合格”的投标文件，评标委员会根据本章第2.2.2项规定的标准对技术标进行详细评审、打分。将各评委对投标人的技术标评分去掉一个最高分和一个最低分后取算术平均值即为该投标人的技术标得分（计算结果精确至小数点后两位，第三位四舍五入，保留两位小数）。</w:t>
      </w:r>
    </w:p>
    <w:p w14:paraId="653A5690">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5.2.3 技术标综合评价结论为“合格”的，方可进入下一阶段资信标的评审。</w:t>
      </w:r>
    </w:p>
    <w:p w14:paraId="6B3B2E0B">
      <w:pPr>
        <w:pStyle w:val="5"/>
        <w:bidi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5.3 资信标评审</w:t>
      </w:r>
    </w:p>
    <w:p w14:paraId="7FA6C2DA">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5.3.1 评标委员会根据本章第2.1款规定的标准对投标人的资信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2176B91E">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5.3.2 综合评价等级为“合格”的投标文件，评标委员会根据本章第2.2.2项规定的标准对资信标进行详细评审、打分。</w:t>
      </w:r>
    </w:p>
    <w:p w14:paraId="3DB8063F">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5.3.3 资信标综合评价结论为“合格”的，方可进入下一阶段经济标的评审。</w:t>
      </w:r>
    </w:p>
    <w:p w14:paraId="5022615E">
      <w:pPr>
        <w:pStyle w:val="5"/>
        <w:bidi w:val="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w:t>
      </w:r>
      <w:r>
        <w:rPr>
          <w:rFonts w:hint="default" w:ascii="宋体" w:hAnsi="宋体" w:cs="宋体"/>
          <w:color w:val="auto"/>
          <w:sz w:val="21"/>
          <w:szCs w:val="21"/>
          <w:highlight w:val="none"/>
          <w:lang w:val="en-US" w:eastAsia="zh-CN"/>
        </w:rPr>
        <w:t xml:space="preserve"> 经济标评审</w:t>
      </w:r>
    </w:p>
    <w:p w14:paraId="55F858DF">
      <w:pPr>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5.4.1 评标委员会根据本章第2.1款规定的标准对投标人的经济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0861D15D">
      <w:pPr>
        <w:numPr>
          <w:ilvl w:val="0"/>
          <w:numId w:val="0"/>
        </w:numPr>
        <w:spacing w:line="360" w:lineRule="auto"/>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5.4.2 投标报价有算术错误及其他错误的，评标委员会按以下原则要求投标人对投标报价进行修正，并要求投标人书面澄清确认。投标人拒不澄清确认的，评标委员会应当否决其投标</w:t>
      </w:r>
      <w:r>
        <w:rPr>
          <w:rFonts w:hint="eastAsia" w:ascii="宋体" w:hAnsi="宋体" w:cs="Times New Roman"/>
          <w:color w:val="auto"/>
          <w:szCs w:val="21"/>
          <w:highlight w:val="none"/>
        </w:rPr>
        <w:t>：</w:t>
      </w:r>
    </w:p>
    <w:p w14:paraId="75FA92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数字表示的金额和用文字表示的金额不一样时，应以文字表示的金额为准；</w:t>
      </w:r>
    </w:p>
    <w:p w14:paraId="2819FF27">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大写金额和小写金额不一致的，以大写金额为准；</w:t>
      </w:r>
    </w:p>
    <w:p w14:paraId="0856A41B">
      <w:pPr>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单价金额与数量相乘和合价金额不一致的，以单价金额为准，如果单价金额有明显的小数点位置差错，应以标出的合价金额为准，同时对单价金额予以修正；</w:t>
      </w:r>
    </w:p>
    <w:p w14:paraId="19DDE964">
      <w:pPr>
        <w:ind w:firstLine="420" w:firstLineChars="200"/>
        <w:rPr>
          <w:rFonts w:hint="default" w:ascii="Arial" w:hAnsi="Arial" w:eastAsia="宋体" w:cs="Times New Roman"/>
          <w:kern w:val="2"/>
          <w:szCs w:val="28"/>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合价金额累计与总价金额不一致的，以合价金额为准，修正总价金额。</w:t>
      </w:r>
    </w:p>
    <w:p w14:paraId="3F7F4EBD">
      <w:pPr>
        <w:numPr>
          <w:ilvl w:val="0"/>
          <w:numId w:val="0"/>
        </w:num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5.4.3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6AF2F6E4">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5.4.4 综合评价等级为“合格”的投标文件，</w:t>
      </w:r>
      <w:r>
        <w:rPr>
          <w:rFonts w:hint="eastAsia" w:ascii="宋体" w:hAnsi="宋体" w:cs="Times New Roman"/>
          <w:color w:val="auto"/>
          <w:szCs w:val="21"/>
          <w:highlight w:val="none"/>
        </w:rPr>
        <w:t>评标委员会按本章第2.</w:t>
      </w:r>
      <w:r>
        <w:rPr>
          <w:rFonts w:hint="eastAsia" w:ascii="宋体" w:hAnsi="宋体" w:cs="Times New Roman"/>
          <w:color w:val="auto"/>
          <w:szCs w:val="21"/>
          <w:highlight w:val="none"/>
          <w:lang w:val="en-US" w:eastAsia="zh-CN"/>
        </w:rPr>
        <w:t>2.2项</w:t>
      </w:r>
      <w:r>
        <w:rPr>
          <w:rFonts w:hint="eastAsia" w:ascii="宋体" w:hAnsi="宋体" w:cs="Times New Roman"/>
          <w:color w:val="auto"/>
          <w:szCs w:val="21"/>
          <w:highlight w:val="none"/>
        </w:rPr>
        <w:t>规定的量化因素和标准进行价格折算，计算出</w:t>
      </w:r>
      <w:r>
        <w:rPr>
          <w:rFonts w:hint="eastAsia" w:ascii="宋体" w:hAnsi="宋体" w:cs="Times New Roman"/>
          <w:color w:val="auto"/>
          <w:szCs w:val="21"/>
          <w:highlight w:val="none"/>
          <w:lang w:val="en-US" w:eastAsia="zh-CN"/>
        </w:rPr>
        <w:t>评标基准价以及投标人的经济标得分。</w:t>
      </w:r>
    </w:p>
    <w:p w14:paraId="506AE842">
      <w:pPr>
        <w:pStyle w:val="5"/>
        <w:bidi w:val="0"/>
        <w:rPr>
          <w:rFonts w:hint="default" w:ascii="宋体" w:hAnsi="宋体" w:eastAsia="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5.5</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推荐定标候选人</w:t>
      </w:r>
    </w:p>
    <w:p w14:paraId="33711BD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olor w:val="auto"/>
          <w:szCs w:val="21"/>
          <w:highlight w:val="none"/>
          <w:lang w:val="en-US" w:eastAsia="zh-CN"/>
        </w:rPr>
        <w:t xml:space="preserve">5.5.1 </w:t>
      </w:r>
      <w:r>
        <w:rPr>
          <w:rFonts w:hint="eastAsia" w:ascii="宋体" w:hAnsi="宋体" w:eastAsia="宋体" w:cs="Times New Roman"/>
          <w:color w:val="auto"/>
          <w:szCs w:val="21"/>
          <w:highlight w:val="none"/>
          <w:lang w:val="en-US" w:eastAsia="zh-CN"/>
        </w:rPr>
        <w:t>将投标人的技术标得分、资信标得分和经济标得分相加得出投标人的评审总得分。</w:t>
      </w:r>
      <w:r>
        <w:rPr>
          <w:rFonts w:hint="eastAsia" w:ascii="宋体" w:hAnsi="宋体" w:eastAsia="宋体" w:cs="宋体"/>
          <w:color w:val="auto"/>
          <w:szCs w:val="21"/>
          <w:highlight w:val="none"/>
          <w:lang w:val="en-US" w:eastAsia="zh-CN"/>
        </w:rPr>
        <w:t>评标委员评标委员会按投标人评审总得分由高到低，推荐排名靠前但不排序的定标候选人，定标候选人的数量详见第二章“投标人须知”前附表第7.3项。</w:t>
      </w:r>
    </w:p>
    <w:p w14:paraId="4B7D0B8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5.5.2 若出现评审总得分有两家或以上投标单位的分值相同时，则依次按以下内容的得分高低确定投标人的排序：（1）经济标得分、（2）资信标得分、（3）技术标得分。若上述内容得分也相同时，则由评标委员会投票决定，并在评标报告中记录。</w:t>
      </w:r>
    </w:p>
    <w:p w14:paraId="45D634A9">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5.5.3 当通过评标委员会评审的有效投标人数量已低于（或等于）规定的推荐定标候选人数量时，除投标文件出现无效投标情形外，所有投标人均推荐为定标候选人。</w:t>
      </w:r>
    </w:p>
    <w:p w14:paraId="4984EE4E">
      <w:pPr>
        <w:pStyle w:val="5"/>
        <w:bidi w:val="0"/>
        <w:rPr>
          <w:rFonts w:hint="default" w:ascii="宋体" w:hAnsi="宋体" w:eastAsia="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val="en-US" w:eastAsia="zh-CN"/>
        </w:rPr>
        <w:t>6</w:t>
      </w:r>
      <w:r>
        <w:rPr>
          <w:rFonts w:hint="default"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评标结果</w:t>
      </w:r>
    </w:p>
    <w:p w14:paraId="45D7E45E">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5.6.1 评标委员会实行少数服从多数的原则，评标结果经评标委员会全体成员过半数通过有效。</w:t>
      </w:r>
    </w:p>
    <w:p w14:paraId="523F2C93">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5.6.2 评标完成后，评标委员会应当向招标人提交书面评标报告。评标报告包括项目基本情况、评标委员会成员名单、澄清和说明情况记录、否决投标的判定情况说明、每个环节评审结果、专家评审表及定标候选人名单等内容。评标报告由评标委员会全体成员签字，对评标结果持有异议的评委会成员可以书面方式阐述其不同意见和理由。评标委员会成员拒绝在评标报告上签字且不陈述其不同意见和理由的，视为同意评标结论。</w:t>
      </w:r>
    </w:p>
    <w:p w14:paraId="05A24094">
      <w:pPr>
        <w:spacing w:line="360" w:lineRule="auto"/>
        <w:ind w:firstLine="420" w:firstLineChars="200"/>
        <w:rPr>
          <w:rFonts w:hint="eastAsia" w:ascii="宋体" w:hAnsi="宋体" w:eastAsia="宋体" w:cs="宋体"/>
          <w:color w:val="auto"/>
          <w:szCs w:val="21"/>
          <w:highlight w:val="none"/>
          <w:lang w:val="fr-CH" w:eastAsia="zh-CN"/>
        </w:rPr>
      </w:pPr>
      <w:r>
        <w:rPr>
          <w:rFonts w:hint="eastAsia" w:ascii="宋体" w:hAnsi="宋体" w:eastAsia="宋体" w:cs="宋体"/>
          <w:color w:val="auto"/>
          <w:szCs w:val="21"/>
          <w:highlight w:val="none"/>
          <w:lang w:val="fr-CH" w:eastAsia="zh-CN"/>
        </w:rPr>
        <w:t>5.6.3 评标委员会作出否决投标处理后，合格投标人数量不足</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fr-CH" w:eastAsia="zh-CN"/>
        </w:rPr>
        <w:t>名使得投标明显缺乏竞争的，招标人应当宣布本次招标失败，重新招标。</w:t>
      </w:r>
    </w:p>
    <w:p w14:paraId="14934A67">
      <w:pPr>
        <w:pStyle w:val="4"/>
        <w:bidi w:val="0"/>
        <w:rPr>
          <w:rFonts w:hint="eastAsia" w:ascii="宋体" w:hAnsi="宋体" w:eastAsia="宋体" w:cs="宋体"/>
          <w:b/>
          <w:bCs/>
          <w:color w:val="auto"/>
          <w:highlight w:val="none"/>
          <w:lang w:val="en-US" w:eastAsia="zh-CN"/>
        </w:rPr>
      </w:pPr>
      <w:bookmarkStart w:id="265" w:name="_Toc1291344425"/>
      <w:bookmarkStart w:id="266" w:name="_Toc1773338560"/>
      <w:bookmarkStart w:id="267" w:name="_Toc631748268"/>
      <w:bookmarkStart w:id="268" w:name="_Toc1292455934"/>
      <w:bookmarkStart w:id="269" w:name="_Toc604116360"/>
      <w:bookmarkStart w:id="270" w:name="_Toc633118346"/>
      <w:bookmarkStart w:id="271" w:name="_Toc1060797442"/>
      <w:bookmarkStart w:id="272" w:name="_Toc1615796325"/>
      <w:bookmarkStart w:id="273" w:name="_Toc1078628032"/>
      <w:bookmarkStart w:id="274" w:name="_Toc2096344195"/>
      <w:bookmarkStart w:id="275" w:name="_Toc504950611"/>
      <w:bookmarkStart w:id="276" w:name="_Toc670682237"/>
      <w:bookmarkStart w:id="277" w:name="_Toc2001369797"/>
      <w:bookmarkStart w:id="278" w:name="_Toc1066434457"/>
      <w:bookmarkStart w:id="279" w:name="_Toc750307369"/>
      <w:bookmarkStart w:id="280" w:name="_Toc873713857"/>
      <w:bookmarkStart w:id="281" w:name="_Toc1242646629"/>
      <w:bookmarkStart w:id="282" w:name="_Toc840255876"/>
      <w:bookmarkStart w:id="283" w:name="_Toc83829522"/>
      <w:bookmarkStart w:id="284" w:name="_Toc547027981"/>
      <w:bookmarkStart w:id="285" w:name="_Toc723072117"/>
      <w:bookmarkStart w:id="286" w:name="_Toc1702352118"/>
      <w:bookmarkStart w:id="287" w:name="_Toc575778678"/>
      <w:bookmarkStart w:id="288" w:name="_Toc1355413450"/>
      <w:bookmarkStart w:id="289" w:name="_Toc339083929"/>
      <w:bookmarkStart w:id="290" w:name="_Toc1561431302"/>
      <w:bookmarkStart w:id="291" w:name="_Toc1128992400"/>
      <w:bookmarkStart w:id="292" w:name="_Toc1428772904"/>
      <w:r>
        <w:rPr>
          <w:rFonts w:hint="eastAsia" w:ascii="宋体" w:hAnsi="宋体" w:eastAsia="宋体" w:cs="宋体"/>
          <w:b/>
          <w:bCs/>
          <w:color w:val="auto"/>
          <w:highlight w:val="none"/>
          <w:lang w:val="en-US" w:eastAsia="zh-CN"/>
        </w:rPr>
        <w:t>6. 投标文件的评审</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16B38A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highlight w:val="none"/>
          <w:lang w:val="fr-CH"/>
        </w:rPr>
      </w:pPr>
      <w:r>
        <w:rPr>
          <w:rFonts w:hint="eastAsia" w:ascii="Times New Roman" w:hAnsi="Times New Roman" w:eastAsia="宋体" w:cs="Times New Roman"/>
          <w:color w:val="auto"/>
          <w:highlight w:val="none"/>
          <w:lang w:val="fr-CH"/>
        </w:rPr>
        <w:t>评标委员会在评标过程中发现问题的，应当及时向招标人提出处理建议；发现招标文件内容违反有关强制性规定或者招标文件存在歧义、重大缺陷导致评标无法进行时，应当停止评标并向招标人说明情况；发现投标文件中含义不明确、对同类问题表述不一致、有明显文字和计算错误、投标报价可能低于成本影响履约的，应当先请投标人作必要的澄清、说明，不得直接否决投标；因有效投标不足</w:t>
      </w:r>
      <w:r>
        <w:rPr>
          <w:rFonts w:hint="eastAsia" w:ascii="宋体" w:hAnsi="宋体" w:eastAsia="宋体" w:cs="Times New Roman"/>
          <w:color w:val="auto"/>
          <w:kern w:val="2"/>
          <w:szCs w:val="21"/>
          <w:highlight w:val="none"/>
          <w:lang w:val="en-US" w:eastAsia="zh-CN"/>
        </w:rPr>
        <w:t>3</w:t>
      </w:r>
      <w:r>
        <w:rPr>
          <w:rFonts w:hint="eastAsia" w:ascii="Times New Roman" w:hAnsi="Times New Roman" w:eastAsia="宋体" w:cs="Times New Roman"/>
          <w:color w:val="auto"/>
          <w:kern w:val="2"/>
          <w:szCs w:val="24"/>
          <w:highlight w:val="none"/>
          <w:lang w:val="fr-CH"/>
        </w:rPr>
        <w:t>个</w:t>
      </w:r>
      <w:r>
        <w:rPr>
          <w:rFonts w:hint="eastAsia" w:ascii="Times New Roman" w:hAnsi="Times New Roman" w:eastAsia="宋体" w:cs="Times New Roman"/>
          <w:color w:val="auto"/>
          <w:highlight w:val="none"/>
          <w:lang w:val="fr-CH"/>
        </w:rPr>
        <w:t>的使得投标明显缺乏竞争的，评标委员会可以否决全部投标，但应在评标报告中详细说明理由；发现违法行为的，以及评标过程和结果受到非法影响或者干预的，应当及时向行政监督部门报告。</w:t>
      </w:r>
    </w:p>
    <w:p w14:paraId="31FE36C2">
      <w:pPr>
        <w:pStyle w:val="4"/>
        <w:bidi w:val="0"/>
        <w:rPr>
          <w:rFonts w:hint="eastAsia" w:ascii="宋体" w:hAnsi="宋体" w:eastAsia="宋体" w:cs="宋体"/>
          <w:b/>
          <w:bCs/>
          <w:color w:val="auto"/>
          <w:highlight w:val="none"/>
          <w:lang w:val="en-US" w:eastAsia="zh-CN"/>
        </w:rPr>
      </w:pPr>
      <w:bookmarkStart w:id="293" w:name="_Toc1665418748"/>
      <w:bookmarkStart w:id="294" w:name="_Toc1546823421"/>
      <w:r>
        <w:rPr>
          <w:rFonts w:hint="eastAsia" w:ascii="宋体" w:hAnsi="宋体" w:eastAsia="宋体" w:cs="宋体"/>
          <w:b/>
          <w:bCs/>
          <w:color w:val="auto"/>
          <w:highlight w:val="none"/>
          <w:lang w:val="en-US" w:eastAsia="zh-CN"/>
        </w:rPr>
        <w:t>7.</w:t>
      </w:r>
      <w:r>
        <w:rPr>
          <w:rFonts w:hint="eastAsia" w:ascii="宋体" w:hAnsi="宋体" w:cs="宋体"/>
          <w:b/>
          <w:bCs/>
          <w:color w:val="auto"/>
          <w:highlight w:val="none"/>
          <w:lang w:val="en-US" w:eastAsia="zh-CN"/>
        </w:rPr>
        <w:t xml:space="preserve"> </w:t>
      </w:r>
      <w:r>
        <w:rPr>
          <w:rFonts w:hint="eastAsia" w:ascii="宋体" w:hAnsi="宋体" w:eastAsia="宋体" w:cs="宋体"/>
          <w:b/>
          <w:bCs/>
          <w:color w:val="auto"/>
          <w:highlight w:val="none"/>
          <w:lang w:val="en-US" w:eastAsia="zh-CN"/>
        </w:rPr>
        <w:t>投标文件的澄清</w:t>
      </w:r>
      <w:bookmarkEnd w:id="293"/>
      <w:bookmarkEnd w:id="294"/>
    </w:p>
    <w:p w14:paraId="2C605261">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7.1 </w:t>
      </w:r>
      <w:r>
        <w:rPr>
          <w:rFonts w:hint="eastAsia" w:ascii="宋体" w:hAnsi="宋体" w:eastAsia="宋体" w:cs="宋体"/>
          <w:color w:val="auto"/>
          <w:szCs w:val="24"/>
          <w:highlight w:val="none"/>
          <w:lang w:val="en-US"/>
        </w:rPr>
        <w:t>在评标过程中，评标委员会可通过工程交易系统要求投标人对所提交的投标文件中</w:t>
      </w:r>
      <w:r>
        <w:rPr>
          <w:rFonts w:hint="eastAsia" w:ascii="宋体" w:hAnsi="宋体" w:cs="宋体"/>
          <w:color w:val="auto"/>
          <w:szCs w:val="24"/>
          <w:highlight w:val="none"/>
          <w:lang w:val="en-US" w:eastAsia="zh-CN"/>
        </w:rPr>
        <w:t>含义</w:t>
      </w:r>
      <w:r>
        <w:rPr>
          <w:rFonts w:hint="eastAsia" w:ascii="宋体" w:hAnsi="宋体" w:eastAsia="宋体" w:cs="宋体"/>
          <w:color w:val="auto"/>
          <w:szCs w:val="24"/>
          <w:highlight w:val="none"/>
          <w:lang w:val="en-US"/>
        </w:rPr>
        <w:t>不明确</w:t>
      </w:r>
      <w:r>
        <w:rPr>
          <w:rFonts w:hint="eastAsia" w:ascii="宋体" w:hAnsi="宋体" w:eastAsia="宋体" w:cs="宋体"/>
          <w:color w:val="auto"/>
          <w:szCs w:val="24"/>
          <w:highlight w:val="none"/>
          <w:lang w:val="en-US" w:eastAsia="zh-CN"/>
        </w:rPr>
        <w:t>、对同类问题表述不一致或者有明显文字和计算错误</w:t>
      </w:r>
      <w:r>
        <w:rPr>
          <w:rFonts w:hint="eastAsia" w:ascii="宋体" w:hAnsi="宋体" w:eastAsia="宋体" w:cs="宋体"/>
          <w:color w:val="auto"/>
          <w:szCs w:val="24"/>
          <w:highlight w:val="none"/>
          <w:lang w:val="en-US"/>
        </w:rPr>
        <w:t>的内容进行书面澄清或说明，或者对细微偏差进行补正</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rPr>
        <w:t>投标人可在交易系统查看并作回复。投标人应及时查看系统通知，并在规定的时间内按评标委员会要求在工程交易系统提交澄清、说明或补正文件。如投标人未及时在交易系统提交书面澄清、说明或补正导致投标被</w:t>
      </w:r>
      <w:r>
        <w:rPr>
          <w:rFonts w:hint="eastAsia" w:ascii="宋体" w:hAnsi="宋体" w:eastAsia="宋体" w:cs="宋体"/>
          <w:color w:val="auto"/>
          <w:szCs w:val="24"/>
          <w:highlight w:val="none"/>
          <w:lang w:val="en-US" w:eastAsia="zh-CN"/>
        </w:rPr>
        <w:t>否决</w:t>
      </w:r>
      <w:r>
        <w:rPr>
          <w:rFonts w:hint="eastAsia" w:ascii="宋体" w:hAnsi="宋体" w:eastAsia="宋体" w:cs="宋体"/>
          <w:color w:val="auto"/>
          <w:szCs w:val="24"/>
          <w:highlight w:val="none"/>
          <w:lang w:val="en-US"/>
        </w:rPr>
        <w:t>的，由此造成的后果由相应的投标人负责。评标委员会不接受投标人主动提出的澄清、说明或补正。</w:t>
      </w:r>
    </w:p>
    <w:p w14:paraId="505092F5">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7.2 </w:t>
      </w:r>
      <w:r>
        <w:rPr>
          <w:rFonts w:hint="eastAsia" w:ascii="宋体" w:hAnsi="宋体" w:eastAsia="宋体" w:cs="宋体"/>
          <w:color w:val="auto"/>
          <w:szCs w:val="24"/>
          <w:highlight w:val="none"/>
          <w:lang w:val="en-US"/>
        </w:rPr>
        <w:t>澄清、说明和补正不得</w:t>
      </w:r>
      <w:r>
        <w:rPr>
          <w:rFonts w:hint="eastAsia" w:ascii="宋体" w:hAnsi="宋体" w:eastAsia="宋体" w:cs="宋体"/>
          <w:color w:val="auto"/>
          <w:szCs w:val="24"/>
          <w:highlight w:val="none"/>
          <w:lang w:val="en-US" w:eastAsia="zh-CN"/>
        </w:rPr>
        <w:t>超出投标文件的范围且不得</w:t>
      </w:r>
      <w:r>
        <w:rPr>
          <w:rFonts w:hint="eastAsia" w:ascii="宋体" w:hAnsi="宋体" w:eastAsia="宋体" w:cs="宋体"/>
          <w:color w:val="auto"/>
          <w:szCs w:val="24"/>
          <w:highlight w:val="none"/>
          <w:lang w:val="en-US"/>
        </w:rPr>
        <w:t>改变投标文件的实质性内容（算术性错误修正的除外）。投标人</w:t>
      </w:r>
      <w:r>
        <w:rPr>
          <w:rFonts w:hint="eastAsia" w:ascii="宋体" w:hAnsi="宋体" w:eastAsia="宋体" w:cs="宋体"/>
          <w:color w:val="auto"/>
          <w:szCs w:val="24"/>
          <w:highlight w:val="none"/>
          <w:lang w:val="en-US" w:eastAsia="zh-CN"/>
        </w:rPr>
        <w:t>通过交易系统提交的</w:t>
      </w:r>
      <w:r>
        <w:rPr>
          <w:rFonts w:hint="eastAsia" w:ascii="宋体" w:hAnsi="宋体" w:eastAsia="宋体" w:cs="宋体"/>
          <w:color w:val="auto"/>
          <w:szCs w:val="24"/>
          <w:highlight w:val="none"/>
          <w:lang w:val="en-US"/>
        </w:rPr>
        <w:t>澄清、说明和补正属于投标文件的组成部分。</w:t>
      </w:r>
    </w:p>
    <w:p w14:paraId="5B1AAF42">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 xml:space="preserve">7.3 </w:t>
      </w:r>
      <w:r>
        <w:rPr>
          <w:rFonts w:hint="eastAsia" w:ascii="宋体" w:hAnsi="宋体" w:eastAsia="宋体" w:cs="宋体"/>
          <w:color w:val="auto"/>
          <w:szCs w:val="24"/>
          <w:highlight w:val="none"/>
          <w:lang w:val="en-US"/>
        </w:rPr>
        <w:t>评标委员会对投标人提交的澄清、说明或补正有疑问的，可以要求投标人进一步澄清、说明</w:t>
      </w:r>
    </w:p>
    <w:p w14:paraId="7725EECC">
      <w:pPr>
        <w:spacing w:line="360" w:lineRule="auto"/>
        <w:ind w:firstLine="420" w:firstLineChars="200"/>
        <w:jc w:val="left"/>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或补正，直至满足评标委员会的要求。</w:t>
      </w:r>
    </w:p>
    <w:p w14:paraId="315F2B6F">
      <w:pPr>
        <w:pStyle w:val="4"/>
        <w:numPr>
          <w:ilvl w:val="0"/>
          <w:numId w:val="0"/>
        </w:numPr>
        <w:bidi w:val="0"/>
        <w:ind w:leftChars="0"/>
        <w:rPr>
          <w:rFonts w:hint="eastAsia" w:ascii="宋体" w:hAnsi="宋体" w:eastAsia="宋体" w:cs="宋体"/>
          <w:b/>
          <w:bCs/>
          <w:color w:val="auto"/>
          <w:highlight w:val="none"/>
          <w:lang w:val="en-US" w:eastAsia="zh-CN"/>
        </w:rPr>
      </w:pPr>
      <w:bookmarkStart w:id="295" w:name="_Toc1616021124"/>
      <w:bookmarkStart w:id="296" w:name="_Toc1119569583"/>
      <w:bookmarkStart w:id="297" w:name="_Toc602392695"/>
      <w:bookmarkStart w:id="298" w:name="_Toc1272219168"/>
      <w:bookmarkStart w:id="299" w:name="_Toc660571388"/>
      <w:bookmarkStart w:id="300" w:name="_Toc1586171062"/>
      <w:bookmarkStart w:id="301" w:name="_Toc65996259"/>
      <w:bookmarkStart w:id="302" w:name="_Toc1331409821"/>
      <w:bookmarkStart w:id="303" w:name="_Toc1501597260"/>
      <w:bookmarkStart w:id="304" w:name="_Toc146249677"/>
      <w:bookmarkStart w:id="305" w:name="_Toc2012428560"/>
      <w:bookmarkStart w:id="306" w:name="_Toc311070686"/>
      <w:bookmarkStart w:id="307" w:name="_Toc283692172"/>
      <w:bookmarkStart w:id="308" w:name="_Toc1189440329"/>
      <w:bookmarkStart w:id="309" w:name="_Toc2144473128"/>
      <w:bookmarkStart w:id="310" w:name="_Toc10658850"/>
      <w:bookmarkStart w:id="311" w:name="_Toc751894172"/>
      <w:bookmarkStart w:id="312" w:name="_Toc1303955796"/>
      <w:bookmarkStart w:id="313" w:name="_Toc1108632796"/>
      <w:bookmarkStart w:id="314" w:name="_Toc205818733"/>
      <w:bookmarkStart w:id="315" w:name="_Toc1478054821"/>
      <w:bookmarkStart w:id="316" w:name="_Toc1596435613"/>
      <w:bookmarkStart w:id="317" w:name="_Toc1390112869"/>
      <w:bookmarkStart w:id="318" w:name="_Toc1741499463"/>
      <w:bookmarkStart w:id="319" w:name="_Toc2065958270"/>
      <w:bookmarkStart w:id="320" w:name="_Toc1297085926"/>
      <w:bookmarkStart w:id="321" w:name="_Toc1546615072"/>
      <w:bookmarkStart w:id="322" w:name="_Toc721849099"/>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lang w:val="en-US" w:eastAsia="zh-CN"/>
        </w:rPr>
        <w:t>. 特殊情况的处置程序</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F28AF31">
      <w:pPr>
        <w:pStyle w:val="5"/>
        <w:bidi w:val="0"/>
        <w:rPr>
          <w:rFonts w:hint="eastAsia" w:ascii="宋体" w:hAnsi="宋体" w:eastAsia="宋体" w:cs="宋体"/>
          <w:color w:val="auto"/>
          <w:sz w:val="21"/>
          <w:szCs w:val="21"/>
          <w:highlight w:val="none"/>
        </w:rPr>
      </w:pPr>
      <w:bookmarkStart w:id="323" w:name="_Toc148160803"/>
      <w:bookmarkStart w:id="324" w:name="_Toc541801356"/>
      <w:bookmarkStart w:id="325" w:name="_Toc1768856366"/>
      <w:bookmarkStart w:id="326" w:name="_Toc1689572773"/>
      <w:bookmarkStart w:id="327" w:name="_Toc28882071"/>
      <w:bookmarkStart w:id="328" w:name="_Toc1743589899"/>
      <w:bookmarkStart w:id="329" w:name="_Toc169830713"/>
      <w:bookmarkStart w:id="330" w:name="_Toc283931887"/>
      <w:bookmarkStart w:id="331" w:name="_Toc1826707246"/>
      <w:bookmarkStart w:id="332" w:name="_Toc28853158"/>
      <w:bookmarkStart w:id="333" w:name="_Toc1937324444"/>
      <w:bookmarkStart w:id="334" w:name="_Toc1040151323"/>
      <w:bookmarkStart w:id="335" w:name="_Toc1660155811"/>
      <w:bookmarkStart w:id="336" w:name="_Toc521112620"/>
      <w:bookmarkStart w:id="337" w:name="_Toc1519340729"/>
      <w:bookmarkStart w:id="338" w:name="_Toc1002790669"/>
      <w:bookmarkStart w:id="339" w:name="_Toc1021621374"/>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关于评标活动暂停</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9BE67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8.1.1 </w:t>
      </w:r>
      <w:r>
        <w:rPr>
          <w:rFonts w:hint="eastAsia" w:ascii="宋体" w:hAnsi="宋体" w:eastAsia="宋体" w:cs="宋体"/>
          <w:color w:val="auto"/>
          <w:highlight w:val="none"/>
        </w:rPr>
        <w:t>评标委员会应当执行连续评标的原则，按评标办法中规定的程序、内容、方法、标准完成全部评标工作。只有发生不可抗力导致评标工作无法继续时，评标活动方可暂停。</w:t>
      </w:r>
    </w:p>
    <w:p w14:paraId="769FD2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8.1.2 </w:t>
      </w:r>
      <w:r>
        <w:rPr>
          <w:rFonts w:hint="eastAsia" w:ascii="宋体" w:hAnsi="宋体" w:eastAsia="宋体" w:cs="宋体"/>
          <w:color w:val="auto"/>
          <w:highlight w:val="none"/>
        </w:rPr>
        <w:t>发生评标暂停情况时，评标委员会应当封存全部投标文件和评标记录，待不可抗力的影响结束且具备继续评标的条件时，由原评标委员会继续评标。</w:t>
      </w:r>
    </w:p>
    <w:p w14:paraId="5495FF9C">
      <w:pPr>
        <w:pStyle w:val="5"/>
        <w:bidi w:val="0"/>
        <w:rPr>
          <w:rFonts w:hint="eastAsia" w:ascii="宋体" w:hAnsi="宋体" w:eastAsia="宋体" w:cs="宋体"/>
          <w:b/>
          <w:bCs/>
          <w:color w:val="auto"/>
          <w:sz w:val="21"/>
          <w:szCs w:val="21"/>
          <w:highlight w:val="none"/>
          <w:lang w:val="en-US" w:eastAsia="zh-CN"/>
        </w:rPr>
      </w:pPr>
      <w:bookmarkStart w:id="340" w:name="_Toc39916697"/>
      <w:bookmarkStart w:id="341" w:name="_Toc1706389979"/>
      <w:bookmarkStart w:id="342" w:name="_Toc64725959"/>
      <w:bookmarkStart w:id="343" w:name="_Toc916498485"/>
      <w:bookmarkStart w:id="344" w:name="_Toc1456573185"/>
      <w:bookmarkStart w:id="345" w:name="_Toc787793468"/>
      <w:bookmarkStart w:id="346" w:name="_Toc1062394972"/>
      <w:bookmarkStart w:id="347" w:name="_Toc1327436382"/>
      <w:bookmarkStart w:id="348" w:name="_Toc1513458870"/>
      <w:bookmarkStart w:id="349" w:name="_Toc1681647281"/>
      <w:bookmarkStart w:id="350" w:name="_Toc1504298554"/>
      <w:bookmarkStart w:id="351" w:name="_Toc1824584422"/>
      <w:bookmarkStart w:id="352" w:name="_Toc756261637"/>
      <w:bookmarkStart w:id="353" w:name="_Toc59191169"/>
      <w:bookmarkStart w:id="354" w:name="_Toc578578094"/>
      <w:bookmarkStart w:id="355" w:name="_Toc686172436"/>
      <w:bookmarkStart w:id="356" w:name="_Toc568709649"/>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.2关于评标中途更换评标委员会成员</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FA416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除非发生下列情况之一，评标委员会成员不得在评标中途更换：</w:t>
      </w:r>
    </w:p>
    <w:p w14:paraId="4A0913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（1）因不可抗拒的客观原因，不能到场或需在评标中途退出评标活动。</w:t>
      </w:r>
    </w:p>
    <w:p w14:paraId="2D48FC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（2）根据法律法规规定，某个或某几个评标委员会成员需要回避。</w:t>
      </w:r>
    </w:p>
    <w:p w14:paraId="04E133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退出评标的评标委员会成员，其已完成的评标行为无效。由招标人根据本招标文件规定的评标委员会成员产生方式另行确定替代者进行评标。</w:t>
      </w:r>
    </w:p>
    <w:p w14:paraId="689DFEB6">
      <w:pPr>
        <w:pStyle w:val="5"/>
        <w:bidi w:val="0"/>
        <w:rPr>
          <w:rFonts w:hint="eastAsia" w:ascii="宋体" w:hAnsi="宋体" w:eastAsia="宋体" w:cs="宋体"/>
          <w:b/>
          <w:bCs/>
          <w:color w:val="auto"/>
          <w:sz w:val="21"/>
          <w:szCs w:val="21"/>
          <w:highlight w:val="none"/>
          <w:lang w:val="en-US" w:eastAsia="zh-CN"/>
        </w:rPr>
      </w:pPr>
      <w:bookmarkStart w:id="357" w:name="_Toc919934978"/>
      <w:bookmarkStart w:id="358" w:name="_Toc1874462056"/>
      <w:bookmarkStart w:id="359" w:name="_Toc129471579"/>
      <w:bookmarkStart w:id="360" w:name="_Toc2030644144"/>
      <w:bookmarkStart w:id="361" w:name="_Toc1907112907"/>
      <w:bookmarkStart w:id="362" w:name="_Toc901033137"/>
      <w:bookmarkStart w:id="363" w:name="_Toc434546653"/>
      <w:bookmarkStart w:id="364" w:name="_Toc201307860"/>
      <w:bookmarkStart w:id="365" w:name="_Toc1058304465"/>
      <w:bookmarkStart w:id="366" w:name="_Toc1500886790"/>
      <w:bookmarkStart w:id="367" w:name="_Toc1955644285"/>
      <w:bookmarkStart w:id="368" w:name="_Toc1107760294"/>
      <w:bookmarkStart w:id="369" w:name="_Toc1002119305"/>
      <w:bookmarkStart w:id="370" w:name="_Toc545499446"/>
      <w:bookmarkStart w:id="371" w:name="_Toc274115440"/>
      <w:bookmarkStart w:id="372" w:name="_Toc1582418801"/>
      <w:bookmarkStart w:id="373" w:name="_Toc338961393"/>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.3记名投票</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37257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在任何评标环节中，需评标委员会就某项定性的评审结论</w:t>
      </w:r>
      <w:r>
        <w:rPr>
          <w:rFonts w:hint="eastAsia" w:ascii="宋体" w:hAnsi="宋体" w:eastAsia="宋体" w:cs="宋体"/>
          <w:color w:val="auto"/>
          <w:highlight w:val="none"/>
          <w:lang w:eastAsia="zh-CN"/>
        </w:rPr>
        <w:t>作出</w:t>
      </w:r>
      <w:r>
        <w:rPr>
          <w:rFonts w:hint="eastAsia" w:ascii="宋体" w:hAnsi="宋体" w:eastAsia="宋体" w:cs="宋体"/>
          <w:color w:val="auto"/>
          <w:highlight w:val="none"/>
        </w:rPr>
        <w:t>表决的，由评标委员会全体成员按照少数服从多数的原则，以记名投票方式表决。</w:t>
      </w:r>
    </w:p>
    <w:bookmarkEnd w:id="246"/>
    <w:p w14:paraId="7BAF991F">
      <w:pPr>
        <w:pStyle w:val="4"/>
        <w:bidi w:val="0"/>
        <w:jc w:val="center"/>
        <w:rPr>
          <w:rFonts w:hint="default"/>
          <w:color w:val="auto"/>
          <w:highlight w:val="none"/>
          <w:lang w:val="en-US" w:eastAsia="zh-CN"/>
        </w:rPr>
      </w:pPr>
      <w:bookmarkStart w:id="374" w:name="_Toc239595712"/>
      <w:r>
        <w:rPr>
          <w:rFonts w:hint="eastAsia"/>
          <w:color w:val="auto"/>
          <w:highlight w:val="none"/>
          <w:lang w:val="en-US" w:eastAsia="zh-CN"/>
        </w:rPr>
        <w:t>第二部分 定标规则</w:t>
      </w:r>
      <w:bookmarkEnd w:id="247"/>
      <w:bookmarkEnd w:id="374"/>
    </w:p>
    <w:p w14:paraId="5F4E8364">
      <w:pPr>
        <w:pStyle w:val="4"/>
        <w:bidi w:val="0"/>
        <w:rPr>
          <w:rFonts w:hint="eastAsia" w:ascii="宋体" w:hAnsi="宋体" w:cs="宋体"/>
          <w:color w:val="auto"/>
          <w:highlight w:val="none"/>
          <w:lang w:val="en-US" w:eastAsia="zh-CN"/>
        </w:rPr>
      </w:pPr>
      <w:bookmarkStart w:id="375" w:name="_Toc1013007965"/>
      <w:bookmarkStart w:id="376" w:name="_Toc124039588"/>
      <w:r>
        <w:rPr>
          <w:rFonts w:hint="eastAsia" w:ascii="宋体" w:hAnsi="宋体" w:cs="宋体"/>
          <w:color w:val="auto"/>
          <w:highlight w:val="none"/>
          <w:lang w:val="en-US" w:eastAsia="zh-CN"/>
        </w:rPr>
        <w:t>1. 定标办法</w:t>
      </w:r>
      <w:bookmarkEnd w:id="375"/>
      <w:bookmarkEnd w:id="376"/>
    </w:p>
    <w:p w14:paraId="7F0E49CE">
      <w:pPr>
        <w:pStyle w:val="6"/>
        <w:bidi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1.1 票决定标法</w:t>
      </w:r>
    </w:p>
    <w:p w14:paraId="78B06C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1.1.1 票决计分法</w:t>
      </w:r>
    </w:p>
    <w:p w14:paraId="55FCD1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val="en-US" w:eastAsia="zh-CN"/>
        </w:rPr>
        <w:t>各</w:t>
      </w:r>
      <w:r>
        <w:rPr>
          <w:rFonts w:hint="eastAsia" w:ascii="宋体" w:hAnsi="宋体" w:eastAsia="宋体" w:cs="宋体"/>
          <w:color w:val="auto"/>
          <w:kern w:val="0"/>
          <w:highlight w:val="none"/>
          <w:lang w:eastAsia="zh-CN"/>
        </w:rPr>
        <w:t>成员</w:t>
      </w:r>
      <w:r>
        <w:rPr>
          <w:rFonts w:hint="eastAsia" w:ascii="宋体" w:hAnsi="宋体" w:eastAsia="宋体" w:cs="宋体"/>
          <w:color w:val="auto"/>
          <w:kern w:val="0"/>
          <w:highlight w:val="none"/>
          <w:lang w:val="en-US" w:eastAsia="zh-CN"/>
        </w:rPr>
        <w:t>根据定标因素对所有进入定标程序的投标人进行评审比较后，在各自的选票上选取3名不同的投标人并进行排序，排名第一的投标人得5分，排名第二的投标人得3分，排名第三的投标人得1分。统计各投标人的得分总数，</w:t>
      </w:r>
      <w:r>
        <w:rPr>
          <w:rFonts w:hint="eastAsia"/>
          <w:color w:val="auto"/>
          <w:highlight w:val="none"/>
          <w:lang w:val="en-US" w:eastAsia="zh-CN"/>
        </w:rPr>
        <w:t>按投标人得分总数从高到低排序推荐中标候选人。</w:t>
      </w:r>
      <w:r>
        <w:rPr>
          <w:rFonts w:hint="eastAsia" w:ascii="宋体" w:hAnsi="宋体" w:eastAsia="宋体" w:cs="宋体"/>
          <w:color w:val="auto"/>
          <w:kern w:val="0"/>
          <w:highlight w:val="none"/>
        </w:rPr>
        <w:t>投票结果出现</w:t>
      </w:r>
      <w:r>
        <w:rPr>
          <w:rFonts w:hint="eastAsia" w:ascii="宋体" w:hAnsi="宋体" w:eastAsia="宋体" w:cs="宋体"/>
          <w:color w:val="auto"/>
          <w:kern w:val="0"/>
          <w:highlight w:val="none"/>
          <w:lang w:eastAsia="zh-CN"/>
        </w:rPr>
        <w:t>并列排序的</w:t>
      </w:r>
      <w:r>
        <w:rPr>
          <w:rFonts w:hint="eastAsia" w:ascii="宋体" w:hAnsi="宋体" w:eastAsia="宋体" w:cs="宋体"/>
          <w:color w:val="auto"/>
          <w:kern w:val="0"/>
          <w:highlight w:val="none"/>
        </w:rPr>
        <w:t>，在不影响</w:t>
      </w:r>
      <w:r>
        <w:rPr>
          <w:rFonts w:hint="eastAsia"/>
          <w:color w:val="auto"/>
          <w:highlight w:val="none"/>
          <w:lang w:val="en-US" w:eastAsia="zh-CN"/>
        </w:rPr>
        <w:t>中标候选人推荐的</w:t>
      </w:r>
      <w:r>
        <w:rPr>
          <w:rFonts w:hint="eastAsia" w:ascii="宋体" w:hAnsi="宋体" w:eastAsia="宋体" w:cs="宋体"/>
          <w:color w:val="auto"/>
          <w:kern w:val="0"/>
          <w:highlight w:val="none"/>
        </w:rPr>
        <w:t>情况下</w:t>
      </w:r>
      <w:r>
        <w:rPr>
          <w:rFonts w:hint="eastAsia" w:ascii="宋体" w:hAnsi="宋体" w:eastAsia="宋体" w:cs="宋体"/>
          <w:color w:val="auto"/>
          <w:kern w:val="0"/>
          <w:highlight w:val="none"/>
          <w:lang w:eastAsia="zh-CN"/>
        </w:rPr>
        <w:t>无需</w:t>
      </w:r>
      <w:r>
        <w:rPr>
          <w:rFonts w:hint="eastAsia" w:ascii="宋体" w:hAnsi="宋体" w:eastAsia="宋体" w:cs="宋体"/>
          <w:color w:val="auto"/>
          <w:kern w:val="0"/>
          <w:highlight w:val="none"/>
        </w:rPr>
        <w:t>再次投票</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投票结果</w:t>
      </w:r>
      <w:r>
        <w:rPr>
          <w:rFonts w:hint="eastAsia" w:ascii="宋体" w:hAnsi="宋体" w:eastAsia="宋体" w:cs="宋体"/>
          <w:color w:val="auto"/>
          <w:kern w:val="0"/>
          <w:highlight w:val="none"/>
          <w:lang w:eastAsia="zh-CN"/>
        </w:rPr>
        <w:t>出现</w:t>
      </w:r>
      <w:r>
        <w:rPr>
          <w:rFonts w:hint="eastAsia" w:ascii="宋体" w:hAnsi="宋体" w:eastAsia="宋体" w:cs="宋体"/>
          <w:color w:val="auto"/>
          <w:kern w:val="0"/>
          <w:highlight w:val="none"/>
        </w:rPr>
        <w:t>并列排序</w:t>
      </w:r>
      <w:r>
        <w:rPr>
          <w:rFonts w:hint="eastAsia" w:ascii="宋体" w:hAnsi="宋体" w:eastAsia="宋体" w:cs="宋体"/>
          <w:color w:val="auto"/>
          <w:kern w:val="0"/>
          <w:highlight w:val="none"/>
          <w:lang w:eastAsia="zh-CN"/>
        </w:rPr>
        <w:t>且</w:t>
      </w:r>
      <w:r>
        <w:rPr>
          <w:rFonts w:hint="eastAsia" w:ascii="宋体" w:hAnsi="宋体" w:eastAsia="宋体" w:cs="宋体"/>
          <w:color w:val="auto"/>
          <w:kern w:val="0"/>
          <w:highlight w:val="none"/>
        </w:rPr>
        <w:t>影响到</w:t>
      </w:r>
      <w:r>
        <w:rPr>
          <w:rFonts w:hint="eastAsia" w:ascii="宋体" w:hAnsi="宋体" w:eastAsia="宋体" w:cs="宋体"/>
          <w:color w:val="auto"/>
          <w:kern w:val="0"/>
          <w:highlight w:val="none"/>
          <w:lang w:eastAsia="zh-CN"/>
        </w:rPr>
        <w:t>中标候选人推荐的</w:t>
      </w:r>
      <w:r>
        <w:rPr>
          <w:rFonts w:hint="eastAsia" w:ascii="宋体" w:hAnsi="宋体" w:eastAsia="宋体" w:cs="宋体"/>
          <w:color w:val="auto"/>
          <w:kern w:val="0"/>
          <w:highlight w:val="none"/>
        </w:rPr>
        <w:t>，</w:t>
      </w:r>
      <w:r>
        <w:rPr>
          <w:rFonts w:hint="eastAsia" w:ascii="宋体" w:hAnsi="宋体" w:eastAsia="宋体" w:cs="宋体"/>
          <w:color w:val="auto"/>
          <w:highlight w:val="none"/>
          <w:lang w:val="en-US" w:eastAsia="zh-CN"/>
        </w:rPr>
        <w:t>由定标委员会成员按照一人一票原则对并列的投标人再次进行投票并统计得票总数，按投标人得票数从高到低的顺序确定其先后排序</w:t>
      </w:r>
      <w:r>
        <w:rPr>
          <w:rFonts w:hint="eastAsia"/>
          <w:color w:val="auto"/>
          <w:highlight w:val="none"/>
          <w:lang w:val="en-US" w:eastAsia="zh-CN"/>
        </w:rPr>
        <w:t>。</w:t>
      </w:r>
    </w:p>
    <w:p w14:paraId="671F19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1.1.2 简单多数计票法</w:t>
      </w:r>
    </w:p>
    <w:p w14:paraId="335487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定标委员会各成员根据定标因素对</w:t>
      </w:r>
      <w:r>
        <w:rPr>
          <w:rFonts w:hint="eastAsia" w:ascii="宋体" w:hAnsi="宋体" w:eastAsia="宋体" w:cs="宋体"/>
          <w:color w:val="auto"/>
          <w:kern w:val="0"/>
          <w:highlight w:val="none"/>
          <w:lang w:val="en-US" w:eastAsia="zh-CN"/>
        </w:rPr>
        <w:t>所有进入定标程序的投标人进行评审比较后</w:t>
      </w:r>
      <w:r>
        <w:rPr>
          <w:rFonts w:hint="eastAsia"/>
          <w:color w:val="auto"/>
          <w:highlight w:val="none"/>
          <w:lang w:val="en-US" w:eastAsia="zh-CN"/>
        </w:rPr>
        <w:t>，在各自的选票上选取</w:t>
      </w:r>
      <w:r>
        <w:rPr>
          <w:rFonts w:hint="eastAsia" w:ascii="宋体" w:hAnsi="宋体" w:eastAsia="宋体" w:cs="宋体"/>
          <w:color w:val="auto"/>
          <w:kern w:val="0"/>
          <w:highlight w:val="none"/>
          <w:lang w:val="en-US" w:eastAsia="zh-CN"/>
        </w:rPr>
        <w:t>3名</w:t>
      </w:r>
      <w:r>
        <w:rPr>
          <w:rFonts w:hint="eastAsia"/>
          <w:color w:val="auto"/>
          <w:highlight w:val="none"/>
          <w:lang w:val="en-US" w:eastAsia="zh-CN"/>
        </w:rPr>
        <w:t>不同的投标人。</w:t>
      </w:r>
      <w:r>
        <w:rPr>
          <w:rFonts w:hint="eastAsia" w:ascii="宋体" w:hAnsi="宋体" w:eastAsia="宋体" w:cs="宋体"/>
          <w:color w:val="auto"/>
          <w:kern w:val="0"/>
          <w:highlight w:val="none"/>
          <w:lang w:val="en-US" w:eastAsia="zh-CN"/>
        </w:rPr>
        <w:t>统计各投标人的得票总数，</w:t>
      </w:r>
      <w:r>
        <w:rPr>
          <w:rFonts w:hint="eastAsia"/>
          <w:color w:val="auto"/>
          <w:highlight w:val="none"/>
          <w:lang w:val="en-US" w:eastAsia="zh-CN"/>
        </w:rPr>
        <w:t>按投标人得票总数从高到低排序推荐中标候选人。</w:t>
      </w:r>
      <w:r>
        <w:rPr>
          <w:rFonts w:hint="eastAsia" w:ascii="宋体" w:hAnsi="宋体" w:eastAsia="宋体" w:cs="宋体"/>
          <w:color w:val="auto"/>
          <w:kern w:val="0"/>
          <w:highlight w:val="none"/>
        </w:rPr>
        <w:t>投票结果出现</w:t>
      </w:r>
      <w:r>
        <w:rPr>
          <w:rFonts w:hint="eastAsia" w:ascii="宋体" w:hAnsi="宋体" w:eastAsia="宋体" w:cs="宋体"/>
          <w:color w:val="auto"/>
          <w:kern w:val="0"/>
          <w:highlight w:val="none"/>
          <w:lang w:eastAsia="zh-CN"/>
        </w:rPr>
        <w:t>并列排序的</w:t>
      </w:r>
      <w:r>
        <w:rPr>
          <w:rFonts w:hint="eastAsia" w:ascii="宋体" w:hAnsi="宋体" w:eastAsia="宋体" w:cs="宋体"/>
          <w:color w:val="auto"/>
          <w:kern w:val="0"/>
          <w:highlight w:val="none"/>
        </w:rPr>
        <w:t>，在不影响</w:t>
      </w:r>
      <w:r>
        <w:rPr>
          <w:rFonts w:hint="eastAsia"/>
          <w:color w:val="auto"/>
          <w:highlight w:val="none"/>
          <w:lang w:val="en-US" w:eastAsia="zh-CN"/>
        </w:rPr>
        <w:t>中标候选人推荐的</w:t>
      </w:r>
      <w:r>
        <w:rPr>
          <w:rFonts w:hint="eastAsia" w:ascii="宋体" w:hAnsi="宋体" w:eastAsia="宋体" w:cs="宋体"/>
          <w:color w:val="auto"/>
          <w:kern w:val="0"/>
          <w:highlight w:val="none"/>
        </w:rPr>
        <w:t>情况下</w:t>
      </w:r>
      <w:r>
        <w:rPr>
          <w:rFonts w:hint="eastAsia" w:ascii="宋体" w:hAnsi="宋体" w:eastAsia="宋体" w:cs="宋体"/>
          <w:color w:val="auto"/>
          <w:kern w:val="0"/>
          <w:highlight w:val="none"/>
          <w:lang w:eastAsia="zh-CN"/>
        </w:rPr>
        <w:t>无需</w:t>
      </w:r>
      <w:r>
        <w:rPr>
          <w:rFonts w:hint="eastAsia" w:ascii="宋体" w:hAnsi="宋体" w:eastAsia="宋体" w:cs="宋体"/>
          <w:color w:val="auto"/>
          <w:kern w:val="0"/>
          <w:highlight w:val="none"/>
        </w:rPr>
        <w:t>再次投票</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投票结果</w:t>
      </w:r>
      <w:r>
        <w:rPr>
          <w:rFonts w:hint="eastAsia" w:ascii="宋体" w:hAnsi="宋体" w:eastAsia="宋体" w:cs="宋体"/>
          <w:color w:val="auto"/>
          <w:kern w:val="0"/>
          <w:highlight w:val="none"/>
          <w:lang w:eastAsia="zh-CN"/>
        </w:rPr>
        <w:t>出现</w:t>
      </w:r>
      <w:r>
        <w:rPr>
          <w:rFonts w:hint="eastAsia" w:ascii="宋体" w:hAnsi="宋体" w:eastAsia="宋体" w:cs="宋体"/>
          <w:color w:val="auto"/>
          <w:kern w:val="0"/>
          <w:highlight w:val="none"/>
        </w:rPr>
        <w:t>并列排序</w:t>
      </w:r>
      <w:r>
        <w:rPr>
          <w:rFonts w:hint="eastAsia" w:ascii="宋体" w:hAnsi="宋体" w:eastAsia="宋体" w:cs="宋体"/>
          <w:color w:val="auto"/>
          <w:kern w:val="0"/>
          <w:highlight w:val="none"/>
          <w:lang w:eastAsia="zh-CN"/>
        </w:rPr>
        <w:t>且</w:t>
      </w:r>
      <w:r>
        <w:rPr>
          <w:rFonts w:hint="eastAsia" w:ascii="宋体" w:hAnsi="宋体" w:eastAsia="宋体" w:cs="宋体"/>
          <w:color w:val="auto"/>
          <w:kern w:val="0"/>
          <w:highlight w:val="none"/>
        </w:rPr>
        <w:t>影响到</w:t>
      </w:r>
      <w:r>
        <w:rPr>
          <w:rFonts w:hint="eastAsia" w:ascii="宋体" w:hAnsi="宋体" w:eastAsia="宋体" w:cs="宋体"/>
          <w:color w:val="auto"/>
          <w:kern w:val="0"/>
          <w:highlight w:val="none"/>
          <w:lang w:eastAsia="zh-CN"/>
        </w:rPr>
        <w:t>中标候选人推荐的</w:t>
      </w:r>
      <w:r>
        <w:rPr>
          <w:rFonts w:hint="eastAsia" w:ascii="宋体" w:hAnsi="宋体" w:eastAsia="宋体" w:cs="宋体"/>
          <w:color w:val="auto"/>
          <w:kern w:val="0"/>
          <w:highlight w:val="none"/>
        </w:rPr>
        <w:t>，</w:t>
      </w:r>
      <w:r>
        <w:rPr>
          <w:rFonts w:hint="eastAsia" w:ascii="宋体" w:hAnsi="宋体" w:eastAsia="宋体" w:cs="宋体"/>
          <w:color w:val="auto"/>
          <w:highlight w:val="none"/>
          <w:lang w:val="en-US" w:eastAsia="zh-CN"/>
        </w:rPr>
        <w:t>由定标委员会成员按照一人一票原则对并列的投标人再次进行投票并统计得票总数，按投标人得票数从高到低的顺序确定其先后排序</w:t>
      </w:r>
      <w:r>
        <w:rPr>
          <w:rFonts w:hint="eastAsia"/>
          <w:color w:val="auto"/>
          <w:highlight w:val="none"/>
          <w:lang w:val="en-US" w:eastAsia="zh-CN"/>
        </w:rPr>
        <w:t>。</w:t>
      </w:r>
    </w:p>
    <w:p w14:paraId="1E22E7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1.1.3 逐轮票决法</w:t>
      </w:r>
    </w:p>
    <w:p w14:paraId="65D50733">
      <w:pPr>
        <w:keepNext w:val="0"/>
        <w:keepLines w:val="0"/>
        <w:spacing w:line="360" w:lineRule="auto"/>
        <w:ind w:firstLine="420" w:firstLineChars="200"/>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eastAsia="zh-CN"/>
        </w:rPr>
        <w:t>各</w:t>
      </w:r>
      <w:r>
        <w:rPr>
          <w:rFonts w:hint="eastAsia" w:ascii="宋体" w:hAnsi="宋体" w:eastAsia="宋体" w:cs="宋体"/>
          <w:color w:val="auto"/>
          <w:kern w:val="0"/>
          <w:highlight w:val="none"/>
        </w:rPr>
        <w:t>成员</w:t>
      </w:r>
      <w:r>
        <w:rPr>
          <w:rFonts w:hint="eastAsia" w:ascii="宋体" w:hAnsi="宋体" w:eastAsia="宋体" w:cs="宋体"/>
          <w:color w:val="auto"/>
          <w:kern w:val="0"/>
          <w:highlight w:val="none"/>
          <w:lang w:val="en-US" w:eastAsia="zh-CN"/>
        </w:rPr>
        <w:t>根据定标因素</w:t>
      </w:r>
      <w:r>
        <w:rPr>
          <w:rFonts w:hint="eastAsia" w:ascii="宋体" w:hAnsi="宋体" w:eastAsia="宋体" w:cs="宋体"/>
          <w:color w:val="auto"/>
          <w:kern w:val="0"/>
          <w:highlight w:val="none"/>
        </w:rPr>
        <w:t>对所有进入定标程序的投标人</w:t>
      </w:r>
      <w:r>
        <w:rPr>
          <w:rFonts w:hint="eastAsia" w:ascii="宋体" w:hAnsi="宋体" w:eastAsia="宋体" w:cs="宋体"/>
          <w:color w:val="auto"/>
          <w:kern w:val="0"/>
          <w:highlight w:val="none"/>
          <w:lang w:val="en-US" w:eastAsia="zh-CN"/>
        </w:rPr>
        <w:t>进行评审比较后，</w:t>
      </w:r>
      <w:r>
        <w:rPr>
          <w:rFonts w:hint="eastAsia" w:ascii="宋体" w:hAnsi="宋体" w:eastAsia="宋体" w:cs="宋体"/>
          <w:color w:val="auto"/>
          <w:kern w:val="0"/>
          <w:sz w:val="21"/>
          <w:szCs w:val="24"/>
          <w:highlight w:val="none"/>
          <w:lang w:val="en-US" w:eastAsia="zh-CN" w:bidi="ar-SA"/>
        </w:rPr>
        <w:t>采取多轮投票且每轮每人投1个淘汰单位的形式，逐轮淘汰1名得票数最多的投标人，直至确定中标候选人。逐轮票决过程中，单轮出现得票数最多的投标人不止1名但不影响中标候选人确定的，一并加以淘汰，否则由定标委员会在得票最多的几个投标人中</w:t>
      </w:r>
      <w:r>
        <w:rPr>
          <w:rFonts w:hint="eastAsia" w:ascii="宋体" w:hAnsi="宋体" w:eastAsia="宋体" w:cs="宋体"/>
          <w:color w:val="auto"/>
          <w:kern w:val="0"/>
          <w:highlight w:val="none"/>
        </w:rPr>
        <w:t>以投标</w:t>
      </w:r>
      <w:r>
        <w:rPr>
          <w:rFonts w:hint="eastAsia" w:ascii="宋体" w:hAnsi="宋体" w:eastAsia="宋体" w:cs="宋体"/>
          <w:color w:val="auto"/>
          <w:kern w:val="0"/>
          <w:highlight w:val="none"/>
          <w:lang w:eastAsia="zh-CN"/>
        </w:rPr>
        <w:t>人</w:t>
      </w:r>
      <w:r>
        <w:rPr>
          <w:rFonts w:hint="eastAsia" w:ascii="宋体" w:hAnsi="宋体" w:eastAsia="宋体" w:cs="宋体"/>
          <w:color w:val="auto"/>
          <w:kern w:val="0"/>
          <w:highlight w:val="none"/>
        </w:rPr>
        <w:t>须知前附表规定的方式确定</w:t>
      </w:r>
      <w:r>
        <w:rPr>
          <w:rFonts w:hint="eastAsia" w:ascii="宋体" w:hAnsi="宋体" w:eastAsia="宋体" w:cs="宋体"/>
          <w:color w:val="auto"/>
          <w:kern w:val="0"/>
          <w:highlight w:val="none"/>
          <w:lang w:eastAsia="zh-CN"/>
        </w:rPr>
        <w:t>该轮淘汰的投标人。</w:t>
      </w:r>
    </w:p>
    <w:p w14:paraId="52C2DCA2">
      <w:pPr>
        <w:pStyle w:val="5"/>
        <w:spacing w:line="360" w:lineRule="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1.2 集体议事定标法</w:t>
      </w:r>
    </w:p>
    <w:p w14:paraId="385BA0AF">
      <w:pPr>
        <w:spacing w:line="360" w:lineRule="auto"/>
        <w:ind w:firstLine="420" w:firstLineChars="200"/>
        <w:rPr>
          <w:rFonts w:hint="eastAsia" w:ascii="Times New Roman" w:hAnsi="Times New Roman" w:eastAsia="宋体" w:cs="Times New Roman"/>
          <w:bCs w:val="0"/>
          <w:color w:val="auto"/>
          <w:sz w:val="21"/>
          <w:szCs w:val="24"/>
          <w:highlight w:val="none"/>
        </w:rPr>
      </w:pPr>
      <w:r>
        <w:rPr>
          <w:rFonts w:hint="eastAsia" w:ascii="宋体" w:hAnsi="宋体" w:eastAsia="宋体" w:cs="宋体"/>
          <w:color w:val="auto"/>
          <w:kern w:val="0"/>
          <w:highlight w:val="none"/>
        </w:rPr>
        <w:t>定标委员会</w:t>
      </w:r>
      <w:r>
        <w:rPr>
          <w:rFonts w:hint="eastAsia" w:ascii="宋体" w:hAnsi="宋体" w:eastAsia="宋体" w:cs="宋体"/>
          <w:color w:val="auto"/>
          <w:kern w:val="0"/>
          <w:highlight w:val="none"/>
          <w:lang w:eastAsia="zh-CN"/>
        </w:rPr>
        <w:t>各</w:t>
      </w:r>
      <w:r>
        <w:rPr>
          <w:rFonts w:hint="eastAsia" w:ascii="宋体" w:hAnsi="宋体" w:eastAsia="宋体" w:cs="宋体"/>
          <w:color w:val="auto"/>
          <w:kern w:val="0"/>
          <w:highlight w:val="none"/>
        </w:rPr>
        <w:t>成员</w:t>
      </w:r>
      <w:r>
        <w:rPr>
          <w:rFonts w:hint="eastAsia" w:ascii="宋体" w:hAnsi="宋体" w:eastAsia="宋体" w:cs="宋体"/>
          <w:color w:val="auto"/>
          <w:kern w:val="0"/>
          <w:highlight w:val="none"/>
          <w:lang w:val="en-US" w:eastAsia="zh-CN"/>
        </w:rPr>
        <w:t>根据定标因素</w:t>
      </w:r>
      <w:r>
        <w:rPr>
          <w:rFonts w:hint="eastAsia" w:ascii="宋体" w:hAnsi="宋体" w:eastAsia="宋体" w:cs="宋体"/>
          <w:color w:val="auto"/>
          <w:kern w:val="0"/>
          <w:highlight w:val="none"/>
        </w:rPr>
        <w:t>对所有进入定标程序的投标人</w:t>
      </w:r>
      <w:r>
        <w:rPr>
          <w:rFonts w:hint="eastAsia" w:ascii="宋体" w:hAnsi="宋体" w:eastAsia="宋体" w:cs="宋体"/>
          <w:color w:val="auto"/>
          <w:kern w:val="0"/>
          <w:highlight w:val="none"/>
          <w:lang w:val="en-US" w:eastAsia="zh-CN"/>
        </w:rPr>
        <w:t>进行评审比较后，</w:t>
      </w:r>
      <w:r>
        <w:rPr>
          <w:rFonts w:hint="eastAsia" w:ascii="Times New Roman" w:hAnsi="Times New Roman" w:eastAsia="宋体" w:cs="Times New Roman"/>
          <w:bCs w:val="0"/>
          <w:color w:val="auto"/>
          <w:sz w:val="21"/>
          <w:szCs w:val="24"/>
          <w:highlight w:val="none"/>
        </w:rPr>
        <w:t>进行集体商议，定标委员会成员各自发表意见，由定标委员会</w:t>
      </w:r>
      <w:r>
        <w:rPr>
          <w:rFonts w:hint="eastAsia" w:ascii="Times New Roman" w:hAnsi="Times New Roman" w:eastAsia="宋体" w:cs="Times New Roman"/>
          <w:bCs w:val="0"/>
          <w:color w:val="auto"/>
          <w:sz w:val="21"/>
          <w:szCs w:val="24"/>
          <w:highlight w:val="none"/>
          <w:lang w:eastAsia="zh-CN"/>
        </w:rPr>
        <w:t>主任</w:t>
      </w:r>
      <w:r>
        <w:rPr>
          <w:rFonts w:hint="eastAsia" w:ascii="Times New Roman" w:hAnsi="Times New Roman" w:eastAsia="宋体" w:cs="Times New Roman"/>
          <w:bCs w:val="0"/>
          <w:color w:val="auto"/>
          <w:sz w:val="21"/>
          <w:szCs w:val="24"/>
          <w:highlight w:val="none"/>
        </w:rPr>
        <w:t>最终确定中标人。所有参加会议的定标委员会成员的意见应当作书面记录，并由定标委员会成员签字确认。</w:t>
      </w:r>
    </w:p>
    <w:p w14:paraId="39EB79C6">
      <w:pPr>
        <w:pStyle w:val="4"/>
        <w:numPr>
          <w:ilvl w:val="0"/>
          <w:numId w:val="0"/>
        </w:numPr>
        <w:bidi w:val="0"/>
        <w:rPr>
          <w:rFonts w:hint="eastAsia" w:ascii="宋体" w:hAnsi="宋体" w:eastAsia="宋体" w:cs="宋体"/>
          <w:b/>
          <w:bCs/>
          <w:color w:val="auto"/>
          <w:highlight w:val="none"/>
          <w:lang w:val="en-US" w:eastAsia="zh-CN"/>
        </w:rPr>
      </w:pPr>
      <w:bookmarkStart w:id="377" w:name="_Toc1159730568"/>
      <w:bookmarkStart w:id="378" w:name="_Toc1893748480"/>
      <w:bookmarkStart w:id="379" w:name="_Toc637466392"/>
      <w:bookmarkStart w:id="380" w:name="_Toc1879376054"/>
      <w:bookmarkStart w:id="381" w:name="_Toc44324624"/>
      <w:bookmarkStart w:id="382" w:name="_Toc76180492"/>
      <w:bookmarkStart w:id="383" w:name="_Toc255725373"/>
      <w:bookmarkStart w:id="384" w:name="_Toc1965861443"/>
      <w:bookmarkStart w:id="385" w:name="_Toc445988264"/>
      <w:bookmarkStart w:id="386" w:name="_Toc905153575"/>
      <w:bookmarkStart w:id="387" w:name="_Toc314409387"/>
      <w:bookmarkStart w:id="388" w:name="_Toc752132837"/>
      <w:bookmarkStart w:id="389" w:name="_Toc1446479880"/>
      <w:bookmarkStart w:id="390" w:name="_Toc1835495849"/>
      <w:bookmarkStart w:id="391" w:name="_Toc1980578845"/>
      <w:bookmarkStart w:id="392" w:name="_Toc151800609"/>
      <w:bookmarkStart w:id="393" w:name="_Toc104005342"/>
      <w:bookmarkStart w:id="394" w:name="_Toc269996536"/>
      <w:bookmarkStart w:id="395" w:name="_Toc582846010"/>
      <w:bookmarkStart w:id="396" w:name="_Toc7279054"/>
      <w:bookmarkStart w:id="397" w:name="_Toc845566034"/>
      <w:bookmarkStart w:id="398" w:name="_Toc1634971638"/>
      <w:bookmarkStart w:id="399" w:name="_Toc1776761527"/>
      <w:bookmarkStart w:id="400" w:name="_Toc1670752096"/>
      <w:bookmarkStart w:id="401" w:name="_Toc1000246763"/>
      <w:bookmarkStart w:id="402" w:name="_Toc1200460676"/>
      <w:bookmarkStart w:id="403" w:name="_Toc1088260853"/>
      <w:bookmarkStart w:id="404" w:name="_Toc1563050389"/>
      <w:r>
        <w:rPr>
          <w:rFonts w:hint="eastAsia" w:ascii="宋体" w:hAnsi="宋体" w:eastAsia="宋体" w:cs="宋体"/>
          <w:b/>
          <w:bCs/>
          <w:color w:val="auto"/>
          <w:highlight w:val="none"/>
          <w:lang w:val="en-US" w:eastAsia="zh-CN"/>
        </w:rPr>
        <w:t>2. 定标因素</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8B92D11">
      <w:pPr>
        <w:adjustRightInd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除价格因素外，</w:t>
      </w:r>
      <w:r>
        <w:rPr>
          <w:rFonts w:hint="eastAsia" w:ascii="宋体" w:hAnsi="宋体" w:eastAsia="宋体" w:cs="宋体"/>
          <w:color w:val="auto"/>
          <w:szCs w:val="21"/>
          <w:highlight w:val="none"/>
          <w:lang w:val="en-US" w:eastAsia="zh-CN"/>
        </w:rPr>
        <w:t>定标环节的</w:t>
      </w:r>
      <w:r>
        <w:rPr>
          <w:rFonts w:hint="eastAsia" w:ascii="宋体" w:hAnsi="宋体" w:eastAsia="宋体" w:cs="宋体"/>
          <w:color w:val="auto"/>
          <w:szCs w:val="21"/>
          <w:highlight w:val="none"/>
        </w:rPr>
        <w:t>择优因素包括但不限于</w:t>
      </w:r>
      <w:r>
        <w:rPr>
          <w:rFonts w:hint="eastAsia" w:ascii="宋体" w:hAnsi="宋体" w:cs="宋体"/>
          <w:color w:val="auto"/>
          <w:szCs w:val="21"/>
          <w:highlight w:val="none"/>
          <w:lang w:eastAsia="zh-CN"/>
        </w:rPr>
        <w:t>：</w:t>
      </w:r>
      <w:permStart w:id="127" w:edGrp="everyone"/>
      <w:r>
        <w:rPr>
          <w:rFonts w:hint="eastAsia"/>
          <w:color w:val="auto"/>
          <w:u w:val="single"/>
        </w:rPr>
        <w:t>企业综合实力</w:t>
      </w:r>
      <w:r>
        <w:rPr>
          <w:rFonts w:hint="eastAsia"/>
          <w:color w:val="auto"/>
          <w:u w:val="single"/>
          <w:lang w:eastAsia="zh-CN"/>
        </w:rPr>
        <w:t>、</w:t>
      </w:r>
      <w:r>
        <w:rPr>
          <w:rFonts w:hint="eastAsia"/>
          <w:color w:val="auto"/>
          <w:u w:val="single"/>
        </w:rPr>
        <w:t>拟派项目管理团队人员水平及主要业绩</w:t>
      </w:r>
      <w:r>
        <w:rPr>
          <w:rFonts w:hint="eastAsia"/>
          <w:color w:val="auto"/>
          <w:u w:val="single"/>
          <w:lang w:eastAsia="zh-CN"/>
        </w:rPr>
        <w:t>、</w:t>
      </w:r>
      <w:r>
        <w:rPr>
          <w:rFonts w:hint="eastAsia"/>
          <w:color w:val="auto"/>
          <w:u w:val="single"/>
        </w:rPr>
        <w:t>同类工程业绩</w:t>
      </w:r>
      <w:r>
        <w:rPr>
          <w:rFonts w:hint="eastAsia"/>
          <w:color w:val="auto"/>
          <w:u w:val="single"/>
          <w:lang w:eastAsia="zh-CN"/>
        </w:rPr>
        <w:t>、</w:t>
      </w:r>
      <w:r>
        <w:rPr>
          <w:rFonts w:hint="eastAsia"/>
          <w:color w:val="auto"/>
          <w:u w:val="single"/>
        </w:rPr>
        <w:t>企业不良行为记录情况</w:t>
      </w:r>
      <w:r>
        <w:rPr>
          <w:rFonts w:hint="eastAsia"/>
          <w:color w:val="auto"/>
          <w:u w:val="single"/>
          <w:lang w:eastAsia="zh-CN"/>
        </w:rPr>
        <w:t>、</w:t>
      </w:r>
      <w:r>
        <w:rPr>
          <w:rFonts w:hint="eastAsia" w:ascii="宋体" w:hAnsi="宋体" w:eastAsia="宋体" w:cs="宋体"/>
          <w:color w:val="000000"/>
          <w:kern w:val="0"/>
          <w:highlight w:val="none"/>
          <w:u w:val="single"/>
          <w:lang w:bidi="ar"/>
        </w:rPr>
        <w:t>诚信</w:t>
      </w:r>
      <w:r>
        <w:rPr>
          <w:rFonts w:hint="eastAsia" w:ascii="宋体" w:hAnsi="宋体" w:eastAsia="宋体" w:cs="宋体"/>
          <w:color w:val="000000"/>
          <w:kern w:val="0"/>
          <w:highlight w:val="none"/>
          <w:u w:val="single"/>
          <w:lang w:eastAsia="zh-CN" w:bidi="ar"/>
        </w:rPr>
        <w:t>等级</w:t>
      </w:r>
      <w:r>
        <w:rPr>
          <w:rFonts w:hint="eastAsia" w:ascii="宋体" w:hAnsi="宋体" w:eastAsia="宋体" w:cs="宋体"/>
          <w:color w:val="000000"/>
          <w:kern w:val="0"/>
          <w:highlight w:val="none"/>
          <w:u w:val="single"/>
          <w:lang w:bidi="ar"/>
        </w:rPr>
        <w:t>情况</w:t>
      </w:r>
      <w:r>
        <w:rPr>
          <w:rFonts w:hint="eastAsia" w:ascii="宋体" w:hAnsi="宋体" w:eastAsia="宋体" w:cs="宋体"/>
          <w:color w:val="000000"/>
          <w:kern w:val="0"/>
          <w:highlight w:val="none"/>
          <w:u w:val="single"/>
          <w:lang w:eastAsia="zh-CN" w:bidi="ar"/>
        </w:rPr>
        <w:t>、</w:t>
      </w:r>
      <w:r>
        <w:rPr>
          <w:rFonts w:hint="eastAsia" w:ascii="宋体" w:hAnsi="宋体" w:eastAsia="宋体" w:cs="宋体"/>
          <w:color w:val="auto"/>
          <w:szCs w:val="21"/>
          <w:highlight w:val="none"/>
          <w:u w:val="single"/>
        </w:rPr>
        <w:t>投标报价</w:t>
      </w:r>
      <w:r>
        <w:rPr>
          <w:rFonts w:hint="eastAsia" w:ascii="宋体" w:hAnsi="宋体" w:eastAsia="宋体" w:cs="宋体"/>
          <w:color w:val="auto"/>
          <w:szCs w:val="21"/>
          <w:highlight w:val="none"/>
          <w:u w:val="single"/>
          <w:lang w:eastAsia="zh-CN"/>
        </w:rPr>
        <w:t>、</w:t>
      </w:r>
      <w:r>
        <w:rPr>
          <w:rFonts w:hint="eastAsia" w:ascii="宋体" w:hAnsi="宋体" w:eastAsia="宋体" w:cs="宋体"/>
          <w:color w:val="000000"/>
          <w:kern w:val="0"/>
          <w:highlight w:val="none"/>
          <w:u w:val="single"/>
          <w:lang w:val="en-US" w:eastAsia="zh-CN" w:bidi="ar"/>
        </w:rPr>
        <w:t>评标专家评审意见</w:t>
      </w:r>
      <w:r>
        <w:rPr>
          <w:rFonts w:hint="eastAsia" w:ascii="宋体" w:hAnsi="宋体" w:eastAsia="宋体" w:cs="宋体"/>
          <w:color w:val="auto"/>
          <w:szCs w:val="21"/>
          <w:highlight w:val="none"/>
          <w:u w:val="single"/>
          <w:lang w:val="en-US" w:eastAsia="zh-CN"/>
        </w:rPr>
        <w:t>等</w:t>
      </w:r>
      <w:r>
        <w:rPr>
          <w:rFonts w:hint="eastAsia" w:ascii="宋体" w:hAnsi="宋体" w:eastAsia="宋体" w:cs="宋体"/>
          <w:color w:val="auto"/>
          <w:szCs w:val="21"/>
          <w:highlight w:val="none"/>
          <w:u w:val="single"/>
        </w:rPr>
        <w:t>。</w:t>
      </w:r>
      <w:permEnd w:id="127"/>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lang w:eastAsia="zh-CN"/>
        </w:rPr>
        <w:t>的以下</w:t>
      </w:r>
      <w:r>
        <w:rPr>
          <w:rFonts w:hint="eastAsia" w:ascii="宋体" w:hAnsi="宋体" w:eastAsia="宋体" w:cs="宋体"/>
          <w:color w:val="auto"/>
          <w:kern w:val="0"/>
          <w:szCs w:val="21"/>
          <w:highlight w:val="none"/>
        </w:rPr>
        <w:t>资信</w:t>
      </w:r>
      <w:r>
        <w:rPr>
          <w:rFonts w:hint="eastAsia" w:ascii="宋体" w:hAnsi="宋体" w:eastAsia="宋体" w:cs="宋体"/>
          <w:color w:val="auto"/>
          <w:kern w:val="0"/>
          <w:szCs w:val="21"/>
          <w:highlight w:val="none"/>
          <w:lang w:eastAsia="zh-CN"/>
        </w:rPr>
        <w:t>情况将作为本项目定标委员会的参考因素：</w:t>
      </w:r>
    </w:p>
    <w:p w14:paraId="1DA28291">
      <w:pPr>
        <w:adjustRightInd w:val="0"/>
        <w:snapToGrid w:val="0"/>
        <w:spacing w:line="360" w:lineRule="auto"/>
        <w:ind w:firstLine="420"/>
        <w:jc w:val="center"/>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Cs w:val="21"/>
          <w:highlight w:val="none"/>
        </w:rPr>
        <w:t>资信要素一览表</w:t>
      </w:r>
    </w:p>
    <w:tbl>
      <w:tblPr>
        <w:tblStyle w:val="2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531"/>
        <w:gridCol w:w="5999"/>
      </w:tblGrid>
      <w:tr w14:paraId="0FDF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54B69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序号</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58AF6D5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资信要素名称</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27D37F4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有关要求或说明</w:t>
            </w:r>
          </w:p>
        </w:tc>
      </w:tr>
      <w:tr w14:paraId="6B34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F7B5AE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kern w:val="0"/>
                <w:szCs w:val="21"/>
                <w:highlight w:val="none"/>
                <w:lang w:val="en-US" w:eastAsia="zh-CN" w:bidi="ar"/>
              </w:rPr>
            </w:pPr>
            <w:permStart w:id="128" w:edGrp="everyone"/>
            <w:r>
              <w:rPr>
                <w:rFonts w:hint="eastAsia" w:ascii="宋体" w:hAnsi="宋体" w:eastAsia="宋体" w:cs="宋体"/>
                <w:b w:val="0"/>
                <w:bCs w:val="0"/>
                <w:color w:val="auto"/>
                <w:kern w:val="0"/>
                <w:szCs w:val="21"/>
                <w:highlight w:val="none"/>
                <w:lang w:val="en-US" w:eastAsia="zh-CN" w:bidi="ar"/>
              </w:rPr>
              <w:t>1</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06DA86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lang w:bidi="ar"/>
              </w:rPr>
            </w:pPr>
            <w:r>
              <w:rPr>
                <w:rFonts w:hint="eastAsia" w:ascii="宋体" w:hAnsi="宋体" w:eastAsia="宋体" w:cs="宋体"/>
                <w:color w:val="auto"/>
                <w:highlight w:val="none"/>
              </w:rPr>
              <w:t>企业综合实力</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13BE19B9">
            <w:pPr>
              <w:widowControl w:val="0"/>
              <w:kinsoku/>
              <w:autoSpaceDE w:val="0"/>
              <w:autoSpaceDN w:val="0"/>
              <w:adjustRightInd/>
              <w:snapToGrid/>
              <w:spacing w:line="400" w:lineRule="exact"/>
              <w:jc w:val="both"/>
              <w:rPr>
                <w:rFonts w:ascii="宋体" w:hAnsi="宋体" w:eastAsia="宋体" w:cs="宋体"/>
                <w:color w:val="auto"/>
                <w:highlight w:val="none"/>
              </w:rPr>
            </w:pPr>
            <w:r>
              <w:rPr>
                <w:rFonts w:hint="eastAsia" w:ascii="宋体" w:hAnsi="宋体" w:eastAsia="宋体" w:cs="宋体"/>
                <w:color w:val="auto"/>
                <w:highlight w:val="none"/>
              </w:rPr>
              <w:t>注册资本、资质</w:t>
            </w:r>
            <w:r>
              <w:rPr>
                <w:rFonts w:hint="eastAsia" w:ascii="宋体" w:hAnsi="宋体" w:eastAsia="宋体" w:cs="宋体"/>
                <w:color w:val="auto"/>
                <w:highlight w:val="none"/>
                <w:lang w:val="en-US" w:eastAsia="zh-CN"/>
              </w:rPr>
              <w:t>情况</w:t>
            </w:r>
            <w:r>
              <w:rPr>
                <w:rFonts w:hint="eastAsia" w:ascii="宋体" w:hAnsi="宋体" w:eastAsia="宋体" w:cs="宋体"/>
                <w:color w:val="auto"/>
                <w:highlight w:val="none"/>
              </w:rPr>
              <w:t>：</w:t>
            </w:r>
          </w:p>
          <w:p w14:paraId="7B949B6F">
            <w:pPr>
              <w:widowControl w:val="0"/>
              <w:kinsoku/>
              <w:autoSpaceDE w:val="0"/>
              <w:autoSpaceDN w:val="0"/>
              <w:adjustRightInd/>
              <w:snapToGrid/>
              <w:spacing w:line="400" w:lineRule="exact"/>
              <w:jc w:val="both"/>
              <w:rPr>
                <w:rFonts w:ascii="宋体" w:hAnsi="宋体" w:eastAsia="宋体" w:cs="宋体"/>
                <w:color w:val="auto"/>
                <w:highlight w:val="none"/>
              </w:rPr>
            </w:pPr>
            <w:r>
              <w:rPr>
                <w:rFonts w:hint="eastAsia" w:ascii="宋体" w:hAnsi="宋体" w:eastAsia="宋体" w:cs="宋体"/>
                <w:color w:val="auto"/>
                <w:highlight w:val="none"/>
              </w:rPr>
              <w:t>（1）“注册资本”以投标截止当天“国家企业信用信息公示系统”查询的信息为准；</w:t>
            </w:r>
          </w:p>
          <w:p w14:paraId="654E7184">
            <w:pPr>
              <w:widowControl w:val="0"/>
              <w:kinsoku/>
              <w:autoSpaceDE w:val="0"/>
              <w:autoSpaceDN w:val="0"/>
              <w:adjustRightInd/>
              <w:snapToGrid/>
              <w:spacing w:line="400" w:lineRule="exact"/>
              <w:jc w:val="both"/>
              <w:rPr>
                <w:rFonts w:ascii="宋体" w:hAnsi="宋体" w:eastAsia="宋体" w:cs="宋体"/>
                <w:color w:val="auto"/>
                <w:highlight w:val="none"/>
              </w:rPr>
            </w:pPr>
            <w:r>
              <w:rPr>
                <w:rFonts w:hint="eastAsia" w:ascii="宋体" w:hAnsi="宋体" w:eastAsia="宋体" w:cs="宋体"/>
                <w:color w:val="auto"/>
                <w:highlight w:val="none"/>
              </w:rPr>
              <w:t>（2）“资质情况”以投标人资质证书为准；</w:t>
            </w:r>
          </w:p>
          <w:p w14:paraId="47B5E70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lang w:bidi="ar"/>
              </w:rPr>
            </w:pPr>
            <w:r>
              <w:rPr>
                <w:rFonts w:hint="eastAsia" w:cs="宋体"/>
                <w:b/>
                <w:bCs/>
                <w:color w:val="auto"/>
                <w:kern w:val="0"/>
                <w:highlight w:val="none"/>
              </w:rPr>
              <w:t>注：</w:t>
            </w:r>
            <w:r>
              <w:rPr>
                <w:rFonts w:hint="eastAsia" w:cs="宋体"/>
                <w:b/>
                <w:bCs/>
                <w:color w:val="auto"/>
                <w:szCs w:val="21"/>
                <w:highlight w:val="none"/>
              </w:rPr>
              <w:t>如为联合体投标，</w:t>
            </w:r>
            <w:r>
              <w:rPr>
                <w:rFonts w:hint="eastAsia" w:ascii="宋体" w:hAnsi="宋体" w:cs="宋体"/>
                <w:b/>
                <w:bCs/>
                <w:color w:val="auto"/>
                <w:kern w:val="0"/>
                <w:szCs w:val="21"/>
                <w:highlight w:val="none"/>
              </w:rPr>
              <w:t>联合体</w:t>
            </w:r>
            <w:r>
              <w:rPr>
                <w:rFonts w:hint="eastAsia" w:ascii="宋体" w:hAnsi="宋体" w:eastAsia="宋体" w:cs="宋体"/>
                <w:b/>
                <w:bCs/>
                <w:color w:val="auto"/>
                <w:kern w:val="0"/>
                <w:szCs w:val="21"/>
                <w:highlight w:val="none"/>
                <w:lang w:val="en-US" w:eastAsia="zh-CN"/>
              </w:rPr>
              <w:t>双</w:t>
            </w:r>
            <w:r>
              <w:rPr>
                <w:rFonts w:hint="eastAsia" w:ascii="宋体" w:hAnsi="宋体" w:cs="宋体"/>
                <w:b/>
                <w:bCs/>
                <w:color w:val="auto"/>
                <w:kern w:val="0"/>
                <w:szCs w:val="21"/>
                <w:highlight w:val="none"/>
              </w:rPr>
              <w:t>方</w:t>
            </w:r>
            <w:r>
              <w:rPr>
                <w:rFonts w:hint="eastAsia" w:cs="宋体"/>
                <w:b/>
                <w:bCs/>
                <w:color w:val="auto"/>
                <w:kern w:val="0"/>
                <w:szCs w:val="21"/>
                <w:highlight w:val="none"/>
                <w:lang w:val="en-US" w:eastAsia="zh-CN"/>
              </w:rPr>
              <w:t>均需</w:t>
            </w:r>
            <w:r>
              <w:rPr>
                <w:rFonts w:hint="eastAsia" w:ascii="宋体" w:hAnsi="宋体" w:cs="宋体"/>
                <w:b/>
                <w:bCs/>
                <w:color w:val="auto"/>
                <w:kern w:val="0"/>
                <w:szCs w:val="21"/>
                <w:highlight w:val="none"/>
              </w:rPr>
              <w:t>提供</w:t>
            </w:r>
            <w:r>
              <w:rPr>
                <w:rFonts w:hint="eastAsia" w:cs="宋体"/>
                <w:b/>
                <w:bCs/>
                <w:color w:val="auto"/>
                <w:szCs w:val="21"/>
                <w:highlight w:val="none"/>
              </w:rPr>
              <w:t>。</w:t>
            </w:r>
          </w:p>
        </w:tc>
      </w:tr>
      <w:tr w14:paraId="44BD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71375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4C22BC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lang w:bidi="ar"/>
              </w:rPr>
            </w:pPr>
            <w:r>
              <w:rPr>
                <w:rFonts w:hint="eastAsia" w:ascii="宋体" w:hAnsi="宋体" w:cs="宋体"/>
                <w:color w:val="auto"/>
                <w:szCs w:val="21"/>
                <w:highlight w:val="none"/>
              </w:rPr>
              <w:t>拟派项目管理团队人员水平及主要业绩</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4208B9D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设计</w:t>
            </w:r>
            <w:r>
              <w:rPr>
                <w:rFonts w:hint="eastAsia" w:ascii="宋体" w:hAnsi="宋体" w:eastAsia="宋体" w:cs="宋体"/>
                <w:color w:val="auto"/>
                <w:szCs w:val="21"/>
                <w:highlight w:val="none"/>
              </w:rPr>
              <w:t>项目负责人提供职称证、注册证等相关证明文件。</w:t>
            </w:r>
          </w:p>
          <w:p w14:paraId="7B5C4D4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注：以上人员需提供身份证、</w:t>
            </w:r>
            <w:r>
              <w:rPr>
                <w:rFonts w:hint="eastAsia" w:ascii="宋体" w:hAnsi="宋体" w:eastAsia="宋体" w:cs="宋体"/>
                <w:color w:val="auto"/>
                <w:szCs w:val="21"/>
                <w:highlight w:val="none"/>
                <w:lang w:val="en-US" w:eastAsia="zh-CN"/>
              </w:rPr>
              <w:t>职称证、注册证、</w:t>
            </w:r>
            <w:r>
              <w:rPr>
                <w:rFonts w:hint="eastAsia" w:ascii="宋体" w:hAnsi="宋体" w:eastAsia="宋体" w:cs="宋体"/>
                <w:color w:val="auto"/>
                <w:szCs w:val="21"/>
                <w:highlight w:val="none"/>
              </w:rPr>
              <w:t>社保证明复印件加盖公章</w:t>
            </w:r>
            <w:r>
              <w:rPr>
                <w:rFonts w:hint="eastAsia" w:ascii="宋体" w:hAnsi="宋体" w:cs="宋体"/>
                <w:color w:val="auto"/>
                <w:szCs w:val="21"/>
                <w:highlight w:val="none"/>
                <w:lang w:eastAsia="zh-CN"/>
              </w:rPr>
              <w:t>；项目负责人可以兼任设计项目负责人。</w:t>
            </w:r>
          </w:p>
          <w:p w14:paraId="24A7387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投标人提供拟派项目负责人、</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设计项目负责人的</w:t>
            </w:r>
            <w:r>
              <w:rPr>
                <w:rFonts w:hint="eastAsia" w:ascii="宋体" w:hAnsi="宋体" w:eastAsia="宋体" w:cs="宋体"/>
                <w:color w:val="auto"/>
                <w:highlight w:val="none"/>
                <w:lang w:eastAsia="zh-CN"/>
              </w:rPr>
              <w:t>近</w:t>
            </w:r>
            <w:r>
              <w:rPr>
                <w:rFonts w:hint="eastAsia" w:ascii="宋体" w:hAnsi="宋体" w:cs="宋体"/>
                <w:color w:val="auto"/>
                <w:highlight w:val="none"/>
                <w:lang w:val="en-US" w:eastAsia="zh-CN"/>
              </w:rPr>
              <w:t>五</w:t>
            </w:r>
            <w:r>
              <w:rPr>
                <w:rFonts w:hint="eastAsia" w:ascii="宋体" w:hAnsi="宋体" w:eastAsia="宋体" w:cs="宋体"/>
                <w:color w:val="auto"/>
                <w:highlight w:val="none"/>
                <w:lang w:eastAsia="zh-CN"/>
              </w:rPr>
              <w:t>年</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从投标截止时间之日起倒算，时间以合同签订日期为准）</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lang w:eastAsia="zh-CN"/>
              </w:rPr>
              <w:t>个</w:t>
            </w:r>
            <w:r>
              <w:rPr>
                <w:rFonts w:hint="eastAsia" w:ascii="宋体" w:hAnsi="宋体" w:eastAsia="宋体" w:cs="宋体"/>
                <w:color w:val="auto"/>
                <w:szCs w:val="21"/>
                <w:highlight w:val="none"/>
              </w:rPr>
              <w:t>人</w:t>
            </w:r>
            <w:r>
              <w:rPr>
                <w:rFonts w:hint="eastAsia" w:ascii="宋体" w:hAnsi="宋体" w:cs="宋体"/>
                <w:color w:val="auto"/>
                <w:szCs w:val="21"/>
                <w:highlight w:val="none"/>
                <w:lang w:val="en-US" w:eastAsia="zh-CN"/>
              </w:rPr>
              <w:t>同</w:t>
            </w:r>
            <w:r>
              <w:rPr>
                <w:rFonts w:hint="eastAsia" w:ascii="宋体" w:hAnsi="宋体" w:eastAsia="宋体" w:cs="宋体"/>
                <w:color w:val="auto"/>
                <w:szCs w:val="21"/>
                <w:highlight w:val="none"/>
                <w:lang w:val="en-US" w:eastAsia="zh-CN"/>
              </w:rPr>
              <w:t>类</w:t>
            </w:r>
            <w:r>
              <w:rPr>
                <w:rFonts w:hint="eastAsia" w:ascii="宋体" w:hAnsi="宋体" w:cs="宋体"/>
                <w:color w:val="auto"/>
                <w:szCs w:val="21"/>
                <w:highlight w:val="none"/>
                <w:lang w:val="en-US" w:eastAsia="zh-CN"/>
              </w:rPr>
              <w:t>工程业</w:t>
            </w:r>
            <w:r>
              <w:rPr>
                <w:rFonts w:hint="eastAsia" w:ascii="宋体" w:hAnsi="宋体" w:eastAsia="宋体" w:cs="宋体"/>
                <w:color w:val="auto"/>
                <w:szCs w:val="21"/>
                <w:highlight w:val="none"/>
              </w:rPr>
              <w:t>绩证明材料。</w:t>
            </w:r>
          </w:p>
          <w:p w14:paraId="695B6D3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证明材料包括</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w:t>
            </w:r>
            <w:r>
              <w:rPr>
                <w:rFonts w:hint="eastAsia" w:ascii="宋体" w:hAnsi="宋体" w:eastAsia="宋体" w:cs="宋体"/>
                <w:color w:val="000000"/>
                <w:highlight w:val="none"/>
              </w:rPr>
              <w:t>对于内容较多的要求摘选简化，即挑选合同书封面、封底</w:t>
            </w:r>
            <w:r>
              <w:rPr>
                <w:rFonts w:hint="eastAsia" w:ascii="宋体" w:hAnsi="宋体" w:eastAsia="宋体" w:cs="宋体"/>
                <w:color w:val="000000"/>
                <w:szCs w:val="21"/>
                <w:highlight w:val="none"/>
              </w:rPr>
              <w:t>及其中涉</w:t>
            </w:r>
            <w:r>
              <w:rPr>
                <w:rFonts w:hint="eastAsia" w:ascii="宋体" w:hAnsi="宋体" w:eastAsia="宋体" w:cs="宋体"/>
                <w:color w:val="auto"/>
                <w:szCs w:val="21"/>
                <w:highlight w:val="none"/>
              </w:rPr>
              <w:t>及单位名称、工程名称、工程造价、承包范围、单位公章、法人签章(签字)等重要内容的合同页）（不超过3项，超过3项的按顺序选择前3项作为定标参考依据）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个人</w:t>
            </w:r>
            <w:r>
              <w:rPr>
                <w:rFonts w:hint="eastAsia" w:ascii="宋体" w:hAnsi="宋体" w:cs="宋体"/>
                <w:color w:val="auto"/>
                <w:szCs w:val="21"/>
                <w:highlight w:val="none"/>
                <w:lang w:val="en-US" w:eastAsia="zh-CN"/>
              </w:rPr>
              <w:t>同</w:t>
            </w:r>
            <w:r>
              <w:rPr>
                <w:rFonts w:hint="eastAsia" w:ascii="宋体" w:hAnsi="宋体" w:eastAsia="宋体" w:cs="宋体"/>
                <w:color w:val="auto"/>
                <w:szCs w:val="21"/>
                <w:highlight w:val="none"/>
                <w:lang w:val="en-US" w:eastAsia="zh-CN"/>
              </w:rPr>
              <w:t>类</w:t>
            </w:r>
            <w:r>
              <w:rPr>
                <w:rFonts w:hint="eastAsia" w:ascii="宋体" w:hAnsi="宋体" w:eastAsia="宋体" w:cs="宋体"/>
                <w:color w:val="auto"/>
                <w:szCs w:val="21"/>
                <w:highlight w:val="none"/>
              </w:rPr>
              <w:t>业绩提供的证明资料中能够体现</w:t>
            </w:r>
            <w:r>
              <w:rPr>
                <w:rFonts w:hint="eastAsia" w:ascii="宋体" w:hAnsi="宋体" w:cs="宋体"/>
                <w:color w:val="auto"/>
                <w:szCs w:val="21"/>
                <w:highlight w:val="none"/>
                <w:lang w:val="en-US" w:eastAsia="zh-CN"/>
              </w:rPr>
              <w:t>本</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设计项目负责人姓名</w:t>
            </w:r>
            <w:r>
              <w:rPr>
                <w:rFonts w:hint="eastAsia" w:ascii="宋体" w:hAnsi="宋体" w:eastAsia="宋体" w:cs="宋体"/>
                <w:color w:val="auto"/>
                <w:szCs w:val="21"/>
                <w:highlight w:val="none"/>
                <w:lang w:val="en-US" w:eastAsia="zh-CN"/>
              </w:rPr>
              <w:t>及对应的岗位</w:t>
            </w:r>
            <w:r>
              <w:rPr>
                <w:rFonts w:hint="eastAsia" w:ascii="宋体" w:hAnsi="宋体" w:eastAsia="宋体" w:cs="宋体"/>
                <w:color w:val="auto"/>
                <w:szCs w:val="21"/>
                <w:highlight w:val="none"/>
              </w:rPr>
              <w:t>。</w:t>
            </w:r>
          </w:p>
        </w:tc>
      </w:tr>
      <w:tr w14:paraId="2AD7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8D459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color w:val="auto"/>
                <w:kern w:val="0"/>
                <w:szCs w:val="21"/>
                <w:highlight w:val="none"/>
                <w:lang w:eastAsia="zh-CN" w:bidi="ar"/>
              </w:rPr>
            </w:pPr>
            <w:r>
              <w:rPr>
                <w:rFonts w:hint="eastAsia" w:ascii="宋体" w:hAnsi="宋体" w:cs="宋体"/>
                <w:b w:val="0"/>
                <w:bCs w:val="0"/>
                <w:color w:val="auto"/>
                <w:kern w:val="0"/>
                <w:szCs w:val="21"/>
                <w:highlight w:val="none"/>
                <w:lang w:val="en-US" w:eastAsia="zh-CN" w:bidi="ar"/>
              </w:rPr>
              <w:t>3</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238444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lang w:bidi="ar"/>
              </w:rPr>
            </w:pPr>
            <w:r>
              <w:rPr>
                <w:rFonts w:hint="eastAsia" w:ascii="宋体" w:hAnsi="宋体" w:eastAsia="宋体" w:cs="宋体"/>
                <w:color w:val="auto"/>
              </w:rPr>
              <w:t>同类</w:t>
            </w:r>
            <w:r>
              <w:rPr>
                <w:rFonts w:hint="eastAsia" w:ascii="宋体" w:hAnsi="宋体" w:eastAsia="宋体" w:cs="宋体"/>
                <w:color w:val="auto"/>
                <w:lang w:val="en-US" w:eastAsia="zh-CN"/>
              </w:rPr>
              <w:t>工程</w:t>
            </w:r>
            <w:r>
              <w:rPr>
                <w:rFonts w:hint="eastAsia" w:ascii="宋体" w:hAnsi="宋体" w:eastAsia="宋体" w:cs="宋体"/>
                <w:color w:val="auto"/>
              </w:rPr>
              <w:t>业绩</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06B031F3">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勘察业绩：</w:t>
            </w:r>
          </w:p>
          <w:p w14:paraId="2F3CBBED">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投标人</w:t>
            </w:r>
            <w:r>
              <w:rPr>
                <w:rFonts w:hint="eastAsia" w:ascii="宋体" w:hAnsi="宋体" w:eastAsia="宋体" w:cs="宋体"/>
                <w:color w:val="auto"/>
                <w:highlight w:val="none"/>
                <w:lang w:eastAsia="zh-CN"/>
              </w:rPr>
              <w:t>提供近</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年（从投标截止时间之日起倒算，时间以合同签订日期为准）</w:t>
            </w:r>
            <w:r>
              <w:rPr>
                <w:rFonts w:hint="eastAsia" w:ascii="宋体" w:hAnsi="宋体" w:eastAsia="宋体" w:cs="宋体"/>
                <w:color w:val="auto"/>
                <w:highlight w:val="none"/>
                <w:lang w:val="en-US" w:eastAsia="zh-CN"/>
              </w:rPr>
              <w:t>承接过</w:t>
            </w:r>
            <w:r>
              <w:rPr>
                <w:rFonts w:hint="eastAsia" w:ascii="宋体" w:hAnsi="宋体" w:eastAsia="宋体" w:cs="宋体"/>
                <w:color w:val="auto"/>
                <w:highlight w:val="none"/>
                <w:lang w:eastAsia="zh-CN"/>
              </w:rPr>
              <w:t>同类</w:t>
            </w:r>
            <w:r>
              <w:rPr>
                <w:rFonts w:hint="eastAsia" w:ascii="宋体" w:hAnsi="宋体" w:eastAsia="宋体" w:cs="宋体"/>
                <w:color w:val="auto"/>
                <w:highlight w:val="none"/>
                <w:lang w:val="en-US" w:eastAsia="zh-CN"/>
              </w:rPr>
              <w:t>工程勘察</w:t>
            </w:r>
            <w:r>
              <w:rPr>
                <w:rFonts w:hint="eastAsia" w:ascii="宋体" w:hAnsi="宋体" w:eastAsia="宋体" w:cs="宋体"/>
                <w:color w:val="auto"/>
                <w:highlight w:val="none"/>
                <w:lang w:eastAsia="zh-CN"/>
              </w:rPr>
              <w:t>业绩；</w:t>
            </w:r>
          </w:p>
          <w:p w14:paraId="00D68DE0">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设计业绩：</w:t>
            </w:r>
          </w:p>
          <w:p w14:paraId="5F4C375D">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color w:val="auto"/>
                <w:lang w:eastAsia="zh-CN"/>
              </w:rPr>
            </w:pPr>
            <w:r>
              <w:rPr>
                <w:rFonts w:hint="eastAsia" w:ascii="宋体" w:hAnsi="宋体" w:eastAsia="宋体" w:cs="宋体"/>
                <w:color w:val="auto"/>
                <w:highlight w:val="none"/>
              </w:rPr>
              <w:t>投标人提供</w:t>
            </w:r>
            <w:r>
              <w:rPr>
                <w:rFonts w:hint="eastAsia" w:ascii="宋体" w:hAnsi="宋体" w:eastAsia="宋体" w:cs="宋体"/>
                <w:color w:val="auto"/>
                <w:highlight w:val="none"/>
                <w:lang w:eastAsia="zh-CN"/>
              </w:rPr>
              <w:t>近</w:t>
            </w:r>
            <w:r>
              <w:rPr>
                <w:rFonts w:hint="eastAsia" w:ascii="宋体" w:hAnsi="宋体" w:cs="宋体"/>
                <w:color w:val="auto"/>
                <w:highlight w:val="none"/>
                <w:lang w:val="en-US" w:eastAsia="zh-CN"/>
              </w:rPr>
              <w:t>五</w:t>
            </w:r>
            <w:r>
              <w:rPr>
                <w:rFonts w:hint="eastAsia" w:ascii="宋体" w:hAnsi="宋体" w:eastAsia="宋体" w:cs="宋体"/>
                <w:color w:val="auto"/>
                <w:highlight w:val="none"/>
                <w:lang w:eastAsia="zh-CN"/>
              </w:rPr>
              <w:t>年</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从投标截止时间之日起倒算，时间以合同签订日期为准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承接过</w:t>
            </w:r>
            <w:r>
              <w:rPr>
                <w:rFonts w:hint="eastAsia" w:ascii="宋体" w:hAnsi="宋体" w:eastAsia="宋体" w:cs="宋体"/>
                <w:color w:val="auto"/>
                <w:highlight w:val="none"/>
              </w:rPr>
              <w:t>同类</w:t>
            </w:r>
            <w:r>
              <w:rPr>
                <w:rFonts w:hint="eastAsia" w:ascii="宋体" w:hAnsi="宋体" w:eastAsia="宋体" w:cs="宋体"/>
                <w:color w:val="000000"/>
                <w:highlight w:val="none"/>
                <w:lang w:val="en-US" w:eastAsia="zh-CN"/>
              </w:rPr>
              <w:t>工程</w:t>
            </w:r>
            <w:r>
              <w:rPr>
                <w:rFonts w:hint="eastAsia" w:ascii="宋体" w:hAnsi="宋体" w:cs="宋体"/>
                <w:color w:val="auto"/>
                <w:highlight w:val="none"/>
                <w:lang w:val="en-US" w:eastAsia="zh-CN"/>
              </w:rPr>
              <w:t>设计</w:t>
            </w:r>
            <w:r>
              <w:rPr>
                <w:rFonts w:hint="eastAsia" w:ascii="宋体" w:hAnsi="宋体" w:eastAsia="宋体" w:cs="宋体"/>
                <w:color w:val="auto"/>
                <w:highlight w:val="none"/>
              </w:rPr>
              <w:t>业绩</w:t>
            </w:r>
            <w:r>
              <w:rPr>
                <w:rFonts w:hint="eastAsia" w:ascii="宋体" w:hAnsi="宋体" w:eastAsia="宋体" w:cs="宋体"/>
                <w:color w:val="auto"/>
                <w:highlight w:val="none"/>
                <w:lang w:eastAsia="zh-CN"/>
              </w:rPr>
              <w:t>；</w:t>
            </w:r>
          </w:p>
          <w:p w14:paraId="6A685D3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highlight w:val="none"/>
                <w:lang w:val="en-US" w:eastAsia="zh-CN"/>
              </w:rPr>
              <w:t>注：上述业绩数量均</w:t>
            </w:r>
            <w:r>
              <w:rPr>
                <w:rFonts w:hint="eastAsia" w:ascii="宋体" w:hAnsi="宋体" w:eastAsia="宋体" w:cs="宋体"/>
                <w:color w:val="auto"/>
                <w:highlight w:val="none"/>
              </w:rPr>
              <w:t>不超过3项，超过3项的按资信情况汇总表顺序选择前3项作为定标参考依据）。业绩要求须按本表“备注”中“2）同类业绩的具体要求”提供证明资料。</w:t>
            </w:r>
            <w:r>
              <w:rPr>
                <w:rFonts w:hint="eastAsia" w:ascii="宋体" w:hAnsi="宋体" w:eastAsia="宋体" w:cs="宋体"/>
                <w:b/>
                <w:bCs/>
                <w:color w:val="auto"/>
                <w:highlight w:val="none"/>
              </w:rPr>
              <w:t>如为联合体投标，勘察业绩由联合体中的勘察单位提供，设计业绩由联合体中的设计单位提供。</w:t>
            </w:r>
          </w:p>
        </w:tc>
      </w:tr>
      <w:tr w14:paraId="2728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8FCA62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4</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30E39B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企业不良行为记录情况</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12A17F2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left"/>
              <w:textAlignment w:val="auto"/>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投标人的企业不良行为记录，以投标截止当天“全国建筑市场监督公共服务平台”及“中山市建设工程企业管理和诚信平台”所能查询到的安全生产不良行为记录信息为准。</w:t>
            </w:r>
          </w:p>
          <w:p w14:paraId="376A218A">
            <w:pPr>
              <w:keepNext/>
              <w:keepLines/>
              <w:pageBreakBefore w:val="0"/>
              <w:widowControl w:val="0"/>
              <w:kinsoku/>
              <w:wordWrap/>
              <w:overflowPunct/>
              <w:topLinePunct w:val="0"/>
              <w:autoSpaceDE/>
              <w:autoSpaceDN/>
              <w:bidi w:val="0"/>
              <w:adjustRightInd/>
              <w:snapToGrid/>
              <w:spacing w:line="360" w:lineRule="auto"/>
              <w:jc w:val="left"/>
              <w:textAlignment w:val="auto"/>
              <w:outlineLvl w:val="3"/>
              <w:rPr>
                <w:rFonts w:hint="eastAsia"/>
              </w:rPr>
            </w:pPr>
            <w:r>
              <w:rPr>
                <w:rFonts w:hint="eastAsia" w:ascii="宋体" w:hAnsi="宋体" w:eastAsia="宋体" w:cs="宋体"/>
                <w:b/>
                <w:bCs/>
                <w:color w:val="auto"/>
                <w:kern w:val="0"/>
                <w:szCs w:val="21"/>
                <w:highlight w:val="none"/>
                <w:lang w:bidi="ar"/>
              </w:rPr>
              <w:t>注：如为联合体投标，联合体双方均需提供。</w:t>
            </w:r>
          </w:p>
        </w:tc>
      </w:tr>
      <w:tr w14:paraId="172B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4B20E6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5</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08867D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b w:val="0"/>
                <w:bCs w:val="0"/>
                <w:color w:val="000000"/>
                <w:kern w:val="0"/>
                <w:szCs w:val="21"/>
                <w:highlight w:val="none"/>
                <w:lang w:val="en-US" w:eastAsia="zh-CN" w:bidi="ar"/>
              </w:rPr>
              <w:t>诚信等级情况</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26B0314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highlight w:val="none"/>
                <w:lang w:bidi="ar"/>
              </w:rPr>
            </w:pPr>
            <w:r>
              <w:rPr>
                <w:rFonts w:hint="eastAsia" w:ascii="宋体" w:hAnsi="宋体" w:eastAsia="宋体" w:cs="宋体"/>
                <w:color w:val="auto"/>
                <w:kern w:val="0"/>
                <w:highlight w:val="none"/>
                <w:lang w:bidi="ar"/>
              </w:rPr>
              <w:t>投标人</w:t>
            </w:r>
            <w:r>
              <w:rPr>
                <w:rFonts w:hint="eastAsia"/>
                <w:color w:val="auto"/>
                <w:highlight w:val="none"/>
              </w:rPr>
              <w:t>在中山市建设工程企业管理和诚信平台</w:t>
            </w:r>
            <w:r>
              <w:rPr>
                <w:rFonts w:hint="eastAsia"/>
                <w:color w:val="auto"/>
                <w:highlight w:val="none"/>
                <w:lang w:eastAsia="zh-CN"/>
              </w:rPr>
              <w:t>上与本项目资质要求对应的企业类型</w:t>
            </w:r>
            <w:r>
              <w:rPr>
                <w:rFonts w:hint="eastAsia" w:ascii="宋体" w:hAnsi="宋体" w:eastAsia="宋体" w:cs="宋体"/>
                <w:color w:val="auto"/>
                <w:kern w:val="0"/>
                <w:highlight w:val="none"/>
                <w:lang w:bidi="ar"/>
              </w:rPr>
              <w:t>所获得的</w:t>
            </w:r>
            <w:r>
              <w:rPr>
                <w:rFonts w:hint="eastAsia" w:ascii="宋体" w:hAnsi="宋体" w:eastAsia="宋体" w:cs="宋体"/>
                <w:color w:val="000000"/>
                <w:kern w:val="0"/>
                <w:highlight w:val="none"/>
                <w:lang w:bidi="ar"/>
              </w:rPr>
              <w:t>诚信</w:t>
            </w:r>
            <w:r>
              <w:rPr>
                <w:rFonts w:hint="eastAsia" w:ascii="宋体" w:hAnsi="宋体" w:eastAsia="宋体" w:cs="宋体"/>
                <w:color w:val="000000"/>
                <w:kern w:val="0"/>
                <w:highlight w:val="none"/>
                <w:lang w:eastAsia="zh-CN" w:bidi="ar"/>
              </w:rPr>
              <w:t>等级</w:t>
            </w:r>
            <w:r>
              <w:rPr>
                <w:rFonts w:hint="eastAsia" w:ascii="宋体" w:hAnsi="宋体" w:eastAsia="宋体" w:cs="宋体"/>
                <w:color w:val="000000"/>
                <w:kern w:val="0"/>
                <w:highlight w:val="none"/>
                <w:lang w:bidi="ar"/>
              </w:rPr>
              <w:t>情况</w:t>
            </w:r>
            <w:r>
              <w:rPr>
                <w:rFonts w:hint="eastAsia" w:ascii="宋体" w:hAnsi="宋体" w:cs="宋体"/>
                <w:color w:val="000000"/>
                <w:kern w:val="0"/>
                <w:highlight w:val="none"/>
                <w:lang w:bidi="ar"/>
              </w:rPr>
              <w:t>(以</w:t>
            </w:r>
            <w:r>
              <w:rPr>
                <w:rFonts w:hint="eastAsia" w:ascii="宋体" w:hAnsi="宋体" w:cs="宋体"/>
                <w:color w:val="auto"/>
                <w:kern w:val="0"/>
                <w:highlight w:val="none"/>
                <w:lang w:bidi="ar"/>
              </w:rPr>
              <w:t>投标截止当天查询的为准）。</w:t>
            </w:r>
          </w:p>
          <w:p w14:paraId="0AF383E2">
            <w:pPr>
              <w:keepNext/>
              <w:keepLines/>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kern w:val="0"/>
                <w:sz w:val="20"/>
                <w:szCs w:val="20"/>
                <w:lang w:val="en-US" w:eastAsia="zh-CN" w:bidi="ar-SA"/>
              </w:rPr>
            </w:pPr>
            <w:r>
              <w:rPr>
                <w:rFonts w:hint="eastAsia" w:ascii="宋体" w:hAnsi="宋体" w:cs="宋体"/>
                <w:b/>
                <w:bCs/>
                <w:color w:val="auto"/>
                <w:kern w:val="0"/>
                <w:szCs w:val="21"/>
                <w:highlight w:val="none"/>
                <w:lang w:val="en-US" w:eastAsia="zh-CN" w:bidi="ar"/>
              </w:rPr>
              <w:t>注：如为联合体投标，联合体各方均需提供。</w:t>
            </w:r>
          </w:p>
        </w:tc>
      </w:tr>
      <w:tr w14:paraId="324F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ABFE17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6</w:t>
            </w:r>
          </w:p>
        </w:tc>
        <w:tc>
          <w:tcPr>
            <w:tcW w:w="2531" w:type="dxa"/>
            <w:tcBorders>
              <w:top w:val="single" w:color="auto" w:sz="4" w:space="0"/>
              <w:left w:val="single" w:color="auto" w:sz="4" w:space="0"/>
              <w:bottom w:val="single" w:color="auto" w:sz="4" w:space="0"/>
              <w:right w:val="single" w:color="auto" w:sz="4" w:space="0"/>
            </w:tcBorders>
            <w:noWrap w:val="0"/>
            <w:vAlign w:val="center"/>
          </w:tcPr>
          <w:p w14:paraId="4EA8DE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投标报价</w:t>
            </w:r>
          </w:p>
        </w:tc>
        <w:tc>
          <w:tcPr>
            <w:tcW w:w="5999" w:type="dxa"/>
            <w:tcBorders>
              <w:top w:val="single" w:color="auto" w:sz="4" w:space="0"/>
              <w:left w:val="single" w:color="auto" w:sz="4" w:space="0"/>
              <w:bottom w:val="single" w:color="auto" w:sz="4" w:space="0"/>
              <w:right w:val="single" w:color="auto" w:sz="4" w:space="0"/>
            </w:tcBorders>
            <w:noWrap w:val="0"/>
            <w:vAlign w:val="center"/>
          </w:tcPr>
          <w:p w14:paraId="51D32F6F">
            <w:pPr>
              <w:keepNext/>
              <w:keepLines/>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cs="宋体"/>
                <w:color w:val="auto"/>
                <w:highlight w:val="none"/>
                <w:lang w:val="en-US" w:eastAsia="zh-CN"/>
              </w:rPr>
            </w:pPr>
            <w:r>
              <w:rPr>
                <w:rFonts w:hint="eastAsia" w:ascii="宋体" w:hAnsi="宋体" w:eastAsia="宋体" w:cs="宋体"/>
                <w:color w:val="auto"/>
                <w:szCs w:val="21"/>
                <w:highlight w:val="none"/>
              </w:rPr>
              <w:t>投标报价的金额。</w:t>
            </w:r>
          </w:p>
        </w:tc>
      </w:tr>
    </w:tbl>
    <w:p w14:paraId="4C836A13">
      <w:pPr>
        <w:numPr>
          <w:ilvl w:val="0"/>
          <w:numId w:val="5"/>
        </w:numPr>
        <w:spacing w:line="360" w:lineRule="auto"/>
        <w:ind w:left="525" w:leftChars="0" w:firstLine="0" w:firstLineChars="0"/>
        <w:rPr>
          <w:rFonts w:hint="eastAsia" w:ascii="宋体" w:hAnsi="宋体" w:eastAsia="宋体" w:cs="宋体"/>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rPr>
        <w:t>资信要素不进行评审。</w:t>
      </w:r>
    </w:p>
    <w:p w14:paraId="3F760C56">
      <w:pPr>
        <w:tabs>
          <w:tab w:val="left" w:pos="71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（1）凡不能通过后续增加资金、人力、物力投入改变的要素视为资信要素，如投标人业绩，从业人员资格等情况。</w:t>
      </w:r>
    </w:p>
    <w:p w14:paraId="1C0C7A2B">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（2）资信要素不得有规模（业绩规模除外）、数量等下限要求。</w:t>
      </w:r>
    </w:p>
    <w:p w14:paraId="6D0E2F08">
      <w:pPr>
        <w:numPr>
          <w:ilvl w:val="0"/>
          <w:numId w:val="0"/>
        </w:numPr>
        <w:spacing w:line="360" w:lineRule="auto"/>
        <w:ind w:left="525" w:leftChars="0"/>
        <w:rPr>
          <w:rFonts w:hint="eastAsia" w:ascii="宋体" w:hAnsi="宋体" w:eastAsia="宋体" w:cs="宋体"/>
        </w:rPr>
      </w:pPr>
      <w:r>
        <w:rPr>
          <w:rFonts w:hint="eastAsia" w:ascii="宋体" w:hAnsi="宋体" w:cs="宋体"/>
          <w:szCs w:val="21"/>
          <w:highlight w:val="none"/>
          <w:lang w:eastAsia="zh-CN"/>
        </w:rPr>
        <w:t>（</w:t>
      </w:r>
      <w:r>
        <w:rPr>
          <w:rFonts w:hint="eastAsia" w:ascii="宋体" w:hAnsi="宋体" w:cs="宋体"/>
          <w:szCs w:val="21"/>
          <w:highlight w:val="none"/>
        </w:rPr>
        <w:t>3）中标候选人的资信资料（《投标人资信情况汇总表》）真实性通过公示予以监督。</w:t>
      </w:r>
      <w:r>
        <w:rPr>
          <w:rFonts w:hint="eastAsia" w:ascii="宋体" w:hAnsi="宋体" w:eastAsia="宋体" w:cs="宋体"/>
          <w:color w:val="auto"/>
          <w:kern w:val="0"/>
          <w:szCs w:val="21"/>
          <w:highlight w:val="none"/>
          <w:lang w:val="en-US" w:eastAsia="zh-CN"/>
        </w:rPr>
        <w:t xml:space="preserve"> </w:t>
      </w:r>
    </w:p>
    <w:p w14:paraId="6B8A9D1D">
      <w:pPr>
        <w:spacing w:line="360" w:lineRule="auto"/>
        <w:ind w:firstLine="420" w:firstLineChars="200"/>
        <w:rPr>
          <w:rFonts w:ascii="宋体" w:hAnsi="宋体" w:eastAsia="宋体" w:cs="宋体"/>
        </w:rPr>
      </w:pPr>
      <w:r>
        <w:rPr>
          <w:rFonts w:hint="eastAsia" w:ascii="宋体" w:hAnsi="宋体" w:eastAsia="宋体" w:cs="宋体"/>
        </w:rPr>
        <w:t>2）同类业绩的具体要求：</w:t>
      </w:r>
    </w:p>
    <w:p w14:paraId="1AFE040A">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highlight w:val="none"/>
          <w:lang w:eastAsia="zh-CN"/>
        </w:rPr>
      </w:pPr>
      <w:r>
        <w:rPr>
          <w:rFonts w:hint="eastAsia" w:ascii="宋体" w:hAnsi="宋体" w:cs="宋体"/>
          <w:color w:val="auto"/>
          <w:highlight w:val="none"/>
          <w:lang w:val="en-US" w:eastAsia="zh-CN"/>
        </w:rPr>
        <w:t>①本次招标</w:t>
      </w:r>
      <w:r>
        <w:rPr>
          <w:rFonts w:hint="eastAsia" w:ascii="宋体" w:hAnsi="宋体" w:cs="宋体"/>
          <w:color w:val="000000"/>
          <w:highlight w:val="none"/>
          <w:lang w:val="en-US" w:eastAsia="zh-CN"/>
        </w:rPr>
        <w:t>中“同类工程”指：</w:t>
      </w:r>
      <w:r>
        <w:rPr>
          <w:rFonts w:hint="eastAsia" w:ascii="宋体" w:hAnsi="宋体" w:cs="宋体"/>
          <w:b/>
          <w:bCs/>
          <w:color w:val="000000"/>
          <w:highlight w:val="none"/>
          <w:lang w:eastAsia="zh-CN"/>
        </w:rPr>
        <w:t>市政</w:t>
      </w:r>
      <w:r>
        <w:rPr>
          <w:rFonts w:hint="eastAsia" w:ascii="宋体" w:hAnsi="宋体" w:eastAsia="宋体" w:cs="宋体"/>
          <w:b/>
          <w:bCs/>
          <w:color w:val="000000"/>
          <w:highlight w:val="none"/>
        </w:rPr>
        <w:t>道路工程</w:t>
      </w:r>
      <w:r>
        <w:rPr>
          <w:rFonts w:hint="eastAsia"/>
          <w:lang w:val="en-US" w:eastAsia="zh-CN"/>
        </w:rPr>
        <w:t>（含桥梁工程）</w:t>
      </w:r>
      <w:r>
        <w:rPr>
          <w:rFonts w:hint="eastAsia" w:ascii="宋体" w:hAnsi="宋体" w:eastAsia="宋体" w:cs="宋体"/>
          <w:color w:val="000000"/>
          <w:highlight w:val="none"/>
          <w:lang w:eastAsia="zh-CN"/>
        </w:rPr>
        <w:t>。</w:t>
      </w:r>
    </w:p>
    <w:p w14:paraId="5AA02F2B">
      <w:pPr>
        <w:keepNext w:val="0"/>
        <w:keepLines w:val="0"/>
        <w:pageBreakBefore w:val="0"/>
        <w:widowControl w:val="0"/>
        <w:kinsoku/>
        <w:wordWrap/>
        <w:overflowPunct/>
        <w:topLinePunct w:val="0"/>
        <w:autoSpaceDE/>
        <w:autoSpaceDN/>
        <w:bidi w:val="0"/>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提供合同复印件加盖公章，时间以合同签订时间为准。对于内容较多的合同（协议书），要求摘选简化，即挑选合同书封面、封底及其中涉及单位名称、工程名称、工程造价、承包范围、单位公章、法人名章（签字）等重要内容的合同页。合同与中标通知书金额不一致时，以合同金额计算。</w:t>
      </w:r>
    </w:p>
    <w:p w14:paraId="5AA4EA13">
      <w:pPr>
        <w:tabs>
          <w:tab w:val="left" w:pos="1986"/>
        </w:tabs>
        <w:autoSpaceDE w:val="0"/>
        <w:autoSpaceDN w:val="0"/>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③</w:t>
      </w:r>
      <w:r>
        <w:rPr>
          <w:rFonts w:hint="eastAsia" w:ascii="宋体" w:hAnsi="宋体" w:eastAsia="宋体" w:cs="宋体"/>
          <w:color w:val="auto"/>
          <w:highlight w:val="none"/>
        </w:rPr>
        <w:t>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ermEnd w:id="128"/>
    <w:p w14:paraId="3FC142F5">
      <w:pPr>
        <w:tabs>
          <w:tab w:val="left" w:pos="1986"/>
        </w:tabs>
        <w:autoSpaceDE w:val="0"/>
        <w:autoSpaceDN w:val="0"/>
        <w:spacing w:line="360" w:lineRule="auto"/>
        <w:ind w:firstLine="420" w:firstLineChars="200"/>
        <w:jc w:val="left"/>
        <w:rPr>
          <w:rFonts w:hint="default"/>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备注：招标人应结合招标项目的实际情况设定资信要素。资信要素设定的注意事项详见《使用说明》</w:t>
      </w:r>
      <w:r>
        <w:rPr>
          <w:rFonts w:hint="eastAsia" w:ascii="宋体" w:hAnsi="宋体"/>
          <w:color w:val="auto"/>
          <w:szCs w:val="21"/>
          <w:highlight w:val="none"/>
        </w:rPr>
        <w:t>】</w:t>
      </w:r>
    </w:p>
    <w:p w14:paraId="00F1D673">
      <w:pPr>
        <w:pStyle w:val="4"/>
        <w:numPr>
          <w:ilvl w:val="0"/>
          <w:numId w:val="0"/>
        </w:numPr>
        <w:bidi w:val="0"/>
        <w:rPr>
          <w:rFonts w:hint="eastAsia" w:ascii="宋体" w:hAnsi="宋体" w:cs="宋体"/>
          <w:color w:val="auto"/>
          <w:szCs w:val="32"/>
          <w:highlight w:val="none"/>
          <w:lang w:val="en-US" w:eastAsia="zh-CN"/>
        </w:rPr>
      </w:pPr>
      <w:bookmarkStart w:id="405" w:name="_Toc620822594"/>
      <w:bookmarkStart w:id="406" w:name="_Toc1300206094"/>
      <w:r>
        <w:rPr>
          <w:rFonts w:hint="eastAsia" w:ascii="宋体" w:hAnsi="宋体" w:cs="宋体"/>
          <w:b/>
          <w:bCs/>
          <w:color w:val="auto"/>
          <w:highlight w:val="none"/>
          <w:lang w:val="en-US" w:eastAsia="zh-CN"/>
        </w:rPr>
        <w:t>3. 定标程序</w:t>
      </w:r>
      <w:bookmarkEnd w:id="405"/>
      <w:bookmarkEnd w:id="406"/>
    </w:p>
    <w:p w14:paraId="7AEEF2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招标人在定标时间开始前2小时内在市公共资源交易中心见证下通过摇珠随机抽取招标文件规定人数的定标委员会成员。定标委员会成员凭身份证和授权委托书到市公共资源交易中心集中签到。定标委员会推荐或选举一名定标委员会成员担任定标委员会主任，由其主持当次定标会议并依据招标文件进行定标的各个议程。</w:t>
      </w:r>
      <w:r>
        <w:rPr>
          <w:rFonts w:hint="eastAsia" w:ascii="宋体" w:hAnsi="宋体" w:eastAsia="宋体" w:cs="宋体"/>
          <w:color w:val="auto"/>
          <w:kern w:val="0"/>
          <w:highlight w:val="none"/>
          <w:lang w:eastAsia="zh-CN"/>
        </w:rPr>
        <w:t>集体议事定标法的</w:t>
      </w:r>
      <w:r>
        <w:rPr>
          <w:rFonts w:hint="eastAsia" w:ascii="宋体" w:hAnsi="宋体" w:eastAsia="宋体" w:cs="宋体"/>
          <w:color w:val="auto"/>
          <w:kern w:val="0"/>
          <w:highlight w:val="none"/>
        </w:rPr>
        <w:t>定标委员会主任</w:t>
      </w:r>
      <w:r>
        <w:rPr>
          <w:rFonts w:hint="eastAsia" w:ascii="宋体" w:hAnsi="宋体" w:eastAsia="宋体" w:cs="宋体"/>
          <w:color w:val="auto"/>
          <w:kern w:val="0"/>
          <w:highlight w:val="none"/>
          <w:lang w:eastAsia="zh-CN"/>
        </w:rPr>
        <w:t>由</w:t>
      </w:r>
      <w:r>
        <w:rPr>
          <w:rFonts w:hint="eastAsia" w:ascii="宋体" w:hAnsi="宋体" w:eastAsia="宋体" w:cs="宋体"/>
          <w:color w:val="auto"/>
          <w:kern w:val="0"/>
          <w:highlight w:val="none"/>
        </w:rPr>
        <w:t>招标人的法定代表人或者主要负责人担任</w:t>
      </w:r>
      <w:r>
        <w:rPr>
          <w:rFonts w:hint="eastAsia" w:ascii="宋体" w:hAnsi="宋体" w:eastAsia="宋体" w:cs="宋体"/>
          <w:color w:val="auto"/>
          <w:kern w:val="0"/>
          <w:highlight w:val="none"/>
          <w:lang w:eastAsia="zh-CN"/>
        </w:rPr>
        <w:t>。</w:t>
      </w:r>
    </w:p>
    <w:p w14:paraId="1D94D1E1">
      <w:pPr>
        <w:ind w:firstLine="420" w:firstLineChars="200"/>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Cs w:val="0"/>
          <w:color w:val="auto"/>
          <w:kern w:val="0"/>
          <w:sz w:val="21"/>
          <w:szCs w:val="24"/>
          <w:highlight w:val="none"/>
        </w:rPr>
        <w:t>招标人或者招标代理机构在定标前可以介绍项目情况、招标情况、清标及对投标人或者项目负责人的考察、质询情况；招标人可以邀请评标专家代表介绍评标情况、专家评审意见及评标结论、提醒注意事项。定标委员会成员有疑问的，可以向招标人或者招标代理机构、评标专家提问。</w:t>
      </w:r>
    </w:p>
    <w:p w14:paraId="6E5F32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color w:val="auto"/>
          <w:kern w:val="0"/>
          <w:szCs w:val="24"/>
          <w:highlight w:val="none"/>
          <w:lang w:eastAsia="zh-CN"/>
        </w:rPr>
        <w:t>定标工作按</w:t>
      </w:r>
      <w:r>
        <w:rPr>
          <w:rFonts w:hint="eastAsia" w:ascii="宋体" w:hAnsi="宋体" w:eastAsia="宋体" w:cs="宋体"/>
          <w:color w:val="auto"/>
          <w:kern w:val="0"/>
          <w:szCs w:val="24"/>
          <w:highlight w:val="none"/>
          <w:lang w:val="en-US" w:eastAsia="zh-CN"/>
        </w:rPr>
        <w:t>下列程序进行：</w:t>
      </w:r>
    </w:p>
    <w:p w14:paraId="63EA92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1）主持人宣布定标会议开始，宣读定标会议的注意事项，定标委员会的组成情况，介绍项目概况、招标投标情况、评标情况、清标情况、定标规则等。定标委员会成员有疑问的，可以向招标人或者招标代理机构提问。</w:t>
      </w:r>
    </w:p>
    <w:p w14:paraId="453D9B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2）定标委员会推荐或选举一名定标委员会成员担任定标委员会主任，由其主持当次定标会议并依据招标文件进行定标的各个日程。招标人的法定代表人或者主要负责人为定标委员会成员的，由其直接担任定标委员会主任。</w:t>
      </w:r>
    </w:p>
    <w:p w14:paraId="07620F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（3）定标委员会按照招标文件规定的定标方法和规则确定中标候选人。</w:t>
      </w:r>
    </w:p>
    <w:p w14:paraId="51D3F0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val="0"/>
          <w:bCs w:val="0"/>
          <w:color w:val="auto"/>
          <w:kern w:val="0"/>
          <w:sz w:val="21"/>
          <w:szCs w:val="24"/>
          <w:highlight w:val="none"/>
          <w:lang w:val="en-US" w:eastAsia="zh-CN" w:bidi="ar-SA"/>
        </w:rPr>
      </w:pPr>
      <w:r>
        <w:rPr>
          <w:rFonts w:hint="eastAsia" w:ascii="宋体" w:hAnsi="宋体" w:eastAsia="宋体" w:cs="宋体"/>
          <w:b w:val="0"/>
          <w:bCs w:val="0"/>
          <w:color w:val="auto"/>
          <w:kern w:val="0"/>
          <w:sz w:val="21"/>
          <w:szCs w:val="24"/>
          <w:highlight w:val="none"/>
          <w:lang w:val="en-US" w:eastAsia="zh-CN" w:bidi="ar-SA"/>
        </w:rPr>
        <w:t>（4）定标结束后，定标委员会整理定标资料和编制定标报告，并在定标报告上签字确认。定标资料包括集体讨论会议记录（如有）、定标委员会成员签到表、定标委员会主任推选结果、选票（含投票理由）等。定标报告应包括入围定标环节的名单、定标委员会的产生过程及名单、定标方法、定标时间及定标结果等内容。</w:t>
      </w:r>
    </w:p>
    <w:p w14:paraId="112C2210">
      <w:pPr>
        <w:spacing w:line="360" w:lineRule="auto"/>
        <w:ind w:firstLine="420" w:firstLineChars="200"/>
        <w:rPr>
          <w:rFonts w:hint="default" w:ascii="Verdana" w:hAnsi="Verdana"/>
          <w:color w:val="auto"/>
          <w:kern w:val="0"/>
          <w:szCs w:val="20"/>
          <w:highlight w:val="none"/>
          <w:lang w:val="en-US" w:eastAsia="zh-CN"/>
        </w:rPr>
      </w:pPr>
      <w:r>
        <w:rPr>
          <w:color w:val="auto"/>
          <w:highlight w:val="none"/>
        </w:rPr>
        <w:br w:type="page"/>
      </w:r>
      <w:bookmarkStart w:id="407" w:name="_Toc1841162521"/>
      <w:bookmarkStart w:id="408" w:name="_Toc2034328012"/>
      <w:bookmarkStart w:id="409" w:name="_Toc1823529694"/>
      <w:r>
        <w:rPr>
          <w:rStyle w:val="37"/>
          <w:rFonts w:hint="eastAsia" w:ascii="宋体" w:hAnsi="宋体" w:cs="宋体"/>
          <w:b w:val="0"/>
          <w:bCs w:val="0"/>
          <w:color w:val="auto"/>
          <w:sz w:val="21"/>
          <w:szCs w:val="21"/>
          <w:highlight w:val="none"/>
        </w:rPr>
        <w:t>附件</w:t>
      </w:r>
      <w:r>
        <w:rPr>
          <w:rStyle w:val="37"/>
          <w:rFonts w:hint="eastAsia" w:ascii="宋体" w:hAnsi="宋体" w:eastAsia="宋体" w:cs="宋体"/>
          <w:b w:val="0"/>
          <w:bCs w:val="0"/>
          <w:color w:val="auto"/>
          <w:sz w:val="21"/>
          <w:szCs w:val="21"/>
          <w:highlight w:val="none"/>
          <w:lang w:eastAsia="zh-CN"/>
        </w:rPr>
        <w:t>一</w:t>
      </w:r>
      <w:r>
        <w:rPr>
          <w:rStyle w:val="37"/>
          <w:rFonts w:hint="eastAsia" w:ascii="宋体" w:hAnsi="宋体" w:cs="宋体"/>
          <w:b w:val="0"/>
          <w:bCs w:val="0"/>
          <w:color w:val="auto"/>
          <w:sz w:val="21"/>
          <w:szCs w:val="21"/>
          <w:highlight w:val="none"/>
        </w:rPr>
        <w:t>：</w:t>
      </w:r>
      <w:r>
        <w:rPr>
          <w:rStyle w:val="37"/>
          <w:rFonts w:hint="eastAsia" w:ascii="宋体" w:hAnsi="宋体" w:eastAsia="宋体" w:cs="宋体"/>
          <w:b w:val="0"/>
          <w:bCs w:val="0"/>
          <w:color w:val="auto"/>
          <w:sz w:val="21"/>
          <w:szCs w:val="21"/>
          <w:highlight w:val="none"/>
          <w:lang w:eastAsia="zh-CN"/>
        </w:rPr>
        <w:t>技术标详细评审标准</w:t>
      </w:r>
      <w:r>
        <w:rPr>
          <w:rStyle w:val="37"/>
          <w:rFonts w:hint="eastAsia" w:ascii="宋体" w:hAnsi="宋体" w:eastAsia="宋体" w:cs="宋体"/>
          <w:b w:val="0"/>
          <w:bCs w:val="0"/>
          <w:color w:val="auto"/>
          <w:sz w:val="21"/>
          <w:szCs w:val="21"/>
          <w:highlight w:val="none"/>
          <w:lang w:val="en-US" w:eastAsia="zh-CN"/>
        </w:rPr>
        <w:t>（适用于采用定性评审的项目）</w:t>
      </w:r>
      <w:bookmarkEnd w:id="407"/>
      <w:bookmarkEnd w:id="408"/>
    </w:p>
    <w:p w14:paraId="5CB94EAC">
      <w:pPr>
        <w:pStyle w:val="8"/>
        <w:jc w:val="center"/>
        <w:rPr>
          <w:rFonts w:hint="eastAsia"/>
          <w:b/>
          <w:bCs/>
          <w:color w:val="auto"/>
          <w:highlight w:val="none"/>
          <w:lang w:eastAsia="zh-CN"/>
        </w:rPr>
      </w:pPr>
      <w:r>
        <w:rPr>
          <w:rFonts w:hint="eastAsia" w:ascii="Verdana" w:hAnsi="Verdana"/>
          <w:b/>
          <w:bCs/>
          <w:color w:val="auto"/>
          <w:kern w:val="0"/>
          <w:sz w:val="28"/>
          <w:szCs w:val="28"/>
          <w:highlight w:val="none"/>
          <w:lang w:eastAsia="zh-CN"/>
        </w:rPr>
        <w:t>技术标详细评审标准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3"/>
        <w:gridCol w:w="3120"/>
        <w:gridCol w:w="1166"/>
        <w:gridCol w:w="1955"/>
      </w:tblGrid>
      <w:tr w14:paraId="6CBE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8" w:type="dxa"/>
            <w:noWrap w:val="0"/>
            <w:vAlign w:val="center"/>
          </w:tcPr>
          <w:p w14:paraId="726D63F8">
            <w:pPr>
              <w:spacing w:line="360" w:lineRule="auto"/>
              <w:jc w:val="center"/>
              <w:rPr>
                <w:rFonts w:hint="eastAsia" w:ascii="宋体" w:hAnsi="宋体" w:cs="宋体"/>
                <w:b/>
                <w:color w:val="auto"/>
                <w:highlight w:val="none"/>
              </w:rPr>
            </w:pPr>
            <w:r>
              <w:rPr>
                <w:rFonts w:hint="eastAsia" w:ascii="宋体" w:hAnsi="宋体" w:cs="宋体"/>
                <w:b/>
                <w:color w:val="auto"/>
                <w:szCs w:val="21"/>
                <w:highlight w:val="none"/>
              </w:rPr>
              <w:t>序号</w:t>
            </w:r>
          </w:p>
        </w:tc>
        <w:tc>
          <w:tcPr>
            <w:tcW w:w="2393" w:type="dxa"/>
            <w:noWrap w:val="0"/>
            <w:vAlign w:val="center"/>
          </w:tcPr>
          <w:p w14:paraId="3B951B5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评审项目</w:t>
            </w:r>
          </w:p>
        </w:tc>
        <w:tc>
          <w:tcPr>
            <w:tcW w:w="3120" w:type="dxa"/>
            <w:noWrap w:val="0"/>
            <w:vAlign w:val="center"/>
          </w:tcPr>
          <w:p w14:paraId="70AAEFF5">
            <w:pPr>
              <w:spacing w:line="360" w:lineRule="auto"/>
              <w:jc w:val="center"/>
              <w:rPr>
                <w:rFonts w:hint="eastAsia" w:ascii="宋体" w:hAnsi="宋体" w:cs="宋体"/>
                <w:b/>
                <w:color w:val="auto"/>
                <w:highlight w:val="none"/>
              </w:rPr>
            </w:pPr>
            <w:r>
              <w:rPr>
                <w:rFonts w:hint="eastAsia" w:ascii="宋体" w:hAnsi="宋体" w:cs="宋体"/>
                <w:b/>
                <w:color w:val="auto"/>
                <w:szCs w:val="21"/>
                <w:highlight w:val="none"/>
              </w:rPr>
              <w:t>评审内容</w:t>
            </w:r>
          </w:p>
        </w:tc>
        <w:tc>
          <w:tcPr>
            <w:tcW w:w="1166" w:type="dxa"/>
            <w:noWrap w:val="0"/>
            <w:vAlign w:val="center"/>
          </w:tcPr>
          <w:p w14:paraId="6C5EDDE5">
            <w:pPr>
              <w:spacing w:line="360" w:lineRule="auto"/>
              <w:jc w:val="center"/>
              <w:rPr>
                <w:rFonts w:hint="eastAsia" w:ascii="宋体" w:hAnsi="宋体" w:cs="宋体"/>
                <w:b/>
                <w:color w:val="auto"/>
                <w:highlight w:val="none"/>
              </w:rPr>
            </w:pPr>
            <w:r>
              <w:rPr>
                <w:rFonts w:hint="eastAsia" w:ascii="宋体" w:hAnsi="宋体" w:cs="宋体"/>
                <w:b/>
                <w:color w:val="auto"/>
                <w:highlight w:val="none"/>
              </w:rPr>
              <w:t>优点</w:t>
            </w:r>
          </w:p>
        </w:tc>
        <w:tc>
          <w:tcPr>
            <w:tcW w:w="1955" w:type="dxa"/>
            <w:noWrap w:val="0"/>
            <w:vAlign w:val="center"/>
          </w:tcPr>
          <w:p w14:paraId="48E7E35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存在缺陷或签订合同前应注意和澄清的事项</w:t>
            </w:r>
          </w:p>
        </w:tc>
      </w:tr>
      <w:tr w14:paraId="3781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470D5371">
            <w:pPr>
              <w:spacing w:line="360" w:lineRule="auto"/>
              <w:jc w:val="center"/>
              <w:rPr>
                <w:rFonts w:ascii="宋体" w:hAnsi="宋体" w:cs="宋体"/>
                <w:b/>
                <w:color w:val="auto"/>
                <w:szCs w:val="21"/>
                <w:highlight w:val="none"/>
              </w:rPr>
            </w:pPr>
            <w:permStart w:id="129" w:edGrp="everyone"/>
            <w:r>
              <w:rPr>
                <w:rFonts w:hint="eastAsia" w:ascii="宋体" w:hAnsi="宋体" w:cs="宋体"/>
                <w:color w:val="auto"/>
                <w:highlight w:val="none"/>
              </w:rPr>
              <w:t>1</w:t>
            </w:r>
          </w:p>
        </w:tc>
        <w:tc>
          <w:tcPr>
            <w:tcW w:w="2393" w:type="dxa"/>
            <w:noWrap w:val="0"/>
            <w:vAlign w:val="center"/>
          </w:tcPr>
          <w:p w14:paraId="21D8796F">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0"/>
                <w:szCs w:val="21"/>
              </w:rPr>
              <w:t>对本项目勘察设计的总体设计原则、设计思路</w:t>
            </w:r>
          </w:p>
        </w:tc>
        <w:tc>
          <w:tcPr>
            <w:tcW w:w="3120" w:type="dxa"/>
            <w:noWrap w:val="0"/>
            <w:vAlign w:val="center"/>
          </w:tcPr>
          <w:p w14:paraId="7D9D10CC">
            <w:pPr>
              <w:spacing w:line="360" w:lineRule="auto"/>
              <w:jc w:val="left"/>
              <w:rPr>
                <w:rFonts w:hint="eastAsia" w:ascii="宋体" w:hAnsi="宋体" w:cs="宋体"/>
                <w:b/>
                <w:color w:val="auto"/>
                <w:szCs w:val="21"/>
                <w:highlight w:val="none"/>
              </w:rPr>
            </w:pPr>
            <w:r>
              <w:rPr>
                <w:rFonts w:hint="eastAsia" w:ascii="宋体" w:hAnsi="宋体" w:eastAsia="宋体" w:cs="宋体"/>
                <w:snapToGrid w:val="0"/>
                <w:kern w:val="0"/>
                <w:sz w:val="20"/>
                <w:szCs w:val="21"/>
              </w:rPr>
              <w:t>总体思路表述清晰、完整、严谨、合理，根据项目实际特点，合理应用技术标准，“适用、经济、安全、美观”，体现精细化、创新性、融入节约、环保理念。</w:t>
            </w:r>
          </w:p>
        </w:tc>
        <w:tc>
          <w:tcPr>
            <w:tcW w:w="1166" w:type="dxa"/>
            <w:noWrap w:val="0"/>
            <w:vAlign w:val="center"/>
          </w:tcPr>
          <w:p w14:paraId="612E8D94">
            <w:pPr>
              <w:spacing w:line="360" w:lineRule="auto"/>
              <w:jc w:val="center"/>
              <w:rPr>
                <w:rFonts w:hint="eastAsia" w:ascii="宋体" w:hAnsi="宋体" w:cs="宋体"/>
                <w:b/>
                <w:color w:val="auto"/>
                <w:highlight w:val="none"/>
              </w:rPr>
            </w:pPr>
          </w:p>
        </w:tc>
        <w:tc>
          <w:tcPr>
            <w:tcW w:w="1955" w:type="dxa"/>
            <w:noWrap w:val="0"/>
            <w:vAlign w:val="center"/>
          </w:tcPr>
          <w:p w14:paraId="493F52BF">
            <w:pPr>
              <w:spacing w:line="360" w:lineRule="auto"/>
              <w:jc w:val="center"/>
              <w:rPr>
                <w:rFonts w:hint="eastAsia" w:ascii="宋体" w:hAnsi="宋体" w:cs="宋体"/>
                <w:b/>
                <w:color w:val="auto"/>
                <w:szCs w:val="21"/>
                <w:highlight w:val="none"/>
              </w:rPr>
            </w:pPr>
          </w:p>
        </w:tc>
      </w:tr>
      <w:tr w14:paraId="2E11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622A8FD4">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2393" w:type="dxa"/>
            <w:noWrap w:val="0"/>
            <w:vAlign w:val="center"/>
          </w:tcPr>
          <w:p w14:paraId="57904C22">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0"/>
                <w:szCs w:val="21"/>
              </w:rPr>
              <w:t>勘察设计方案</w:t>
            </w:r>
          </w:p>
        </w:tc>
        <w:tc>
          <w:tcPr>
            <w:tcW w:w="3120" w:type="dxa"/>
            <w:noWrap w:val="0"/>
            <w:vAlign w:val="center"/>
          </w:tcPr>
          <w:p w14:paraId="1EFB4F24">
            <w:pPr>
              <w:spacing w:line="36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0"/>
                <w:szCs w:val="21"/>
              </w:rPr>
              <w:t>方案是否合理、完整、可行；是否能解决现场出现的或可预见的问题；是否有危大工程等重点部位和环节；是否需要专项设计等；对项目设计特点描述是否准确、到位；对关键技术问题是否有深入的表述，解决方案是否完整、经济、安全、切实可行，措施得力。</w:t>
            </w:r>
          </w:p>
        </w:tc>
        <w:tc>
          <w:tcPr>
            <w:tcW w:w="1166" w:type="dxa"/>
            <w:noWrap w:val="0"/>
            <w:vAlign w:val="center"/>
          </w:tcPr>
          <w:p w14:paraId="0BE272E8">
            <w:pPr>
              <w:spacing w:line="360" w:lineRule="auto"/>
              <w:jc w:val="center"/>
              <w:rPr>
                <w:rFonts w:hint="eastAsia" w:ascii="宋体" w:hAnsi="宋体" w:cs="宋体"/>
                <w:b/>
                <w:color w:val="auto"/>
                <w:highlight w:val="none"/>
              </w:rPr>
            </w:pPr>
          </w:p>
        </w:tc>
        <w:tc>
          <w:tcPr>
            <w:tcW w:w="1955" w:type="dxa"/>
            <w:noWrap w:val="0"/>
            <w:vAlign w:val="center"/>
          </w:tcPr>
          <w:p w14:paraId="6C85EF83">
            <w:pPr>
              <w:spacing w:line="360" w:lineRule="auto"/>
              <w:jc w:val="center"/>
              <w:rPr>
                <w:rFonts w:hint="eastAsia" w:ascii="宋体" w:hAnsi="宋体" w:cs="宋体"/>
                <w:b/>
                <w:color w:val="auto"/>
                <w:szCs w:val="21"/>
                <w:highlight w:val="none"/>
              </w:rPr>
            </w:pPr>
          </w:p>
        </w:tc>
      </w:tr>
      <w:tr w14:paraId="4988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4BB6B3F1">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2393" w:type="dxa"/>
            <w:noWrap w:val="0"/>
            <w:vAlign w:val="center"/>
          </w:tcPr>
          <w:p w14:paraId="2755A13C">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0"/>
                <w:szCs w:val="21"/>
              </w:rPr>
              <w:t>质量保证、进度安排、安全文明</w:t>
            </w:r>
          </w:p>
        </w:tc>
        <w:tc>
          <w:tcPr>
            <w:tcW w:w="3120" w:type="dxa"/>
            <w:noWrap w:val="0"/>
            <w:vAlign w:val="center"/>
          </w:tcPr>
          <w:p w14:paraId="186C7F57">
            <w:pPr>
              <w:spacing w:line="36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0"/>
                <w:szCs w:val="21"/>
              </w:rPr>
              <w:t>质量保证体系及措施完善、合理，可操作性强；进度安排及保证措施合理、可行；安全文明保证措施合理、可行；</w:t>
            </w:r>
          </w:p>
        </w:tc>
        <w:tc>
          <w:tcPr>
            <w:tcW w:w="1166" w:type="dxa"/>
            <w:noWrap w:val="0"/>
            <w:vAlign w:val="center"/>
          </w:tcPr>
          <w:p w14:paraId="1DB96122">
            <w:pPr>
              <w:spacing w:line="360" w:lineRule="auto"/>
              <w:jc w:val="center"/>
              <w:rPr>
                <w:rFonts w:hint="eastAsia" w:ascii="宋体" w:hAnsi="宋体" w:cs="宋体"/>
                <w:b/>
                <w:color w:val="auto"/>
                <w:highlight w:val="none"/>
              </w:rPr>
            </w:pPr>
          </w:p>
        </w:tc>
        <w:tc>
          <w:tcPr>
            <w:tcW w:w="1955" w:type="dxa"/>
            <w:noWrap w:val="0"/>
            <w:vAlign w:val="center"/>
          </w:tcPr>
          <w:p w14:paraId="26D38478">
            <w:pPr>
              <w:spacing w:line="360" w:lineRule="auto"/>
              <w:jc w:val="center"/>
              <w:rPr>
                <w:rFonts w:hint="eastAsia" w:ascii="宋体" w:hAnsi="宋体" w:cs="宋体"/>
                <w:b/>
                <w:color w:val="auto"/>
                <w:szCs w:val="21"/>
                <w:highlight w:val="none"/>
              </w:rPr>
            </w:pPr>
          </w:p>
        </w:tc>
      </w:tr>
      <w:tr w14:paraId="75EA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43F08E6A">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2393" w:type="dxa"/>
            <w:noWrap w:val="0"/>
            <w:vAlign w:val="center"/>
          </w:tcPr>
          <w:p w14:paraId="7D1EF16F">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0"/>
                <w:szCs w:val="21"/>
              </w:rPr>
              <w:t>图纸组织表达</w:t>
            </w:r>
          </w:p>
        </w:tc>
        <w:tc>
          <w:tcPr>
            <w:tcW w:w="3120" w:type="dxa"/>
            <w:noWrap w:val="0"/>
            <w:vAlign w:val="center"/>
          </w:tcPr>
          <w:p w14:paraId="4E686E81">
            <w:pPr>
              <w:spacing w:line="36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0"/>
                <w:szCs w:val="21"/>
              </w:rPr>
              <w:t>主要考察投标人图纸组织是否有序。</w:t>
            </w:r>
          </w:p>
        </w:tc>
        <w:tc>
          <w:tcPr>
            <w:tcW w:w="1166" w:type="dxa"/>
            <w:noWrap w:val="0"/>
            <w:vAlign w:val="center"/>
          </w:tcPr>
          <w:p w14:paraId="291461B1">
            <w:pPr>
              <w:spacing w:line="360" w:lineRule="auto"/>
              <w:jc w:val="center"/>
              <w:rPr>
                <w:rFonts w:hint="eastAsia" w:ascii="宋体" w:hAnsi="宋体" w:cs="宋体"/>
                <w:b/>
                <w:color w:val="auto"/>
                <w:highlight w:val="none"/>
              </w:rPr>
            </w:pPr>
          </w:p>
        </w:tc>
        <w:tc>
          <w:tcPr>
            <w:tcW w:w="1955" w:type="dxa"/>
            <w:noWrap w:val="0"/>
            <w:vAlign w:val="center"/>
          </w:tcPr>
          <w:p w14:paraId="605F31AB">
            <w:pPr>
              <w:spacing w:line="360" w:lineRule="auto"/>
              <w:jc w:val="center"/>
              <w:rPr>
                <w:rFonts w:hint="eastAsia" w:ascii="宋体" w:hAnsi="宋体" w:cs="宋体"/>
                <w:b/>
                <w:color w:val="auto"/>
                <w:szCs w:val="21"/>
                <w:highlight w:val="none"/>
              </w:rPr>
            </w:pPr>
          </w:p>
        </w:tc>
      </w:tr>
      <w:tr w14:paraId="588C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28" w:type="dxa"/>
            <w:noWrap w:val="0"/>
            <w:vAlign w:val="center"/>
          </w:tcPr>
          <w:p w14:paraId="34CCF834">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2393" w:type="dxa"/>
            <w:noWrap w:val="0"/>
            <w:vAlign w:val="center"/>
          </w:tcPr>
          <w:p w14:paraId="6CA9E16F">
            <w:pPr>
              <w:spacing w:line="360" w:lineRule="auto"/>
              <w:jc w:val="left"/>
              <w:rPr>
                <w:rFonts w:hint="eastAsia" w:ascii="宋体" w:hAnsi="宋体" w:cs="宋体"/>
                <w:color w:val="auto"/>
                <w:highlight w:val="none"/>
              </w:rPr>
            </w:pPr>
            <w:r>
              <w:rPr>
                <w:rFonts w:hint="eastAsia" w:ascii="宋体" w:hAnsi="宋体" w:eastAsia="宋体" w:cs="宋体"/>
                <w:snapToGrid w:val="0"/>
                <w:color w:val="auto"/>
                <w:kern w:val="0"/>
                <w:sz w:val="20"/>
                <w:szCs w:val="21"/>
              </w:rPr>
              <w:t>后续服务工作安排情况</w:t>
            </w:r>
          </w:p>
        </w:tc>
        <w:tc>
          <w:tcPr>
            <w:tcW w:w="3120" w:type="dxa"/>
            <w:noWrap w:val="0"/>
            <w:vAlign w:val="center"/>
          </w:tcPr>
          <w:p w14:paraId="64706511">
            <w:pPr>
              <w:spacing w:line="360" w:lineRule="auto"/>
              <w:jc w:val="left"/>
              <w:rPr>
                <w:rFonts w:hint="eastAsia" w:ascii="宋体" w:hAnsi="宋体" w:cs="宋体"/>
                <w:b/>
                <w:color w:val="auto"/>
                <w:szCs w:val="21"/>
                <w:highlight w:val="none"/>
              </w:rPr>
            </w:pPr>
            <w:r>
              <w:rPr>
                <w:rFonts w:hint="eastAsia" w:ascii="宋体" w:hAnsi="宋体" w:eastAsia="宋体" w:cs="宋体"/>
                <w:snapToGrid w:val="0"/>
                <w:color w:val="auto"/>
                <w:kern w:val="0"/>
                <w:sz w:val="20"/>
                <w:szCs w:val="21"/>
              </w:rPr>
              <w:t>对后续服务的承诺安排满足需求。</w:t>
            </w:r>
          </w:p>
        </w:tc>
        <w:tc>
          <w:tcPr>
            <w:tcW w:w="1166" w:type="dxa"/>
            <w:noWrap w:val="0"/>
            <w:vAlign w:val="center"/>
          </w:tcPr>
          <w:p w14:paraId="418DF485">
            <w:pPr>
              <w:spacing w:line="360" w:lineRule="auto"/>
              <w:jc w:val="center"/>
              <w:rPr>
                <w:rFonts w:hint="eastAsia" w:ascii="宋体" w:hAnsi="宋体" w:cs="宋体"/>
                <w:b/>
                <w:color w:val="auto"/>
                <w:highlight w:val="none"/>
              </w:rPr>
            </w:pPr>
          </w:p>
        </w:tc>
        <w:tc>
          <w:tcPr>
            <w:tcW w:w="1955" w:type="dxa"/>
            <w:noWrap w:val="0"/>
            <w:vAlign w:val="center"/>
          </w:tcPr>
          <w:p w14:paraId="44EF301E">
            <w:pPr>
              <w:spacing w:line="360" w:lineRule="auto"/>
              <w:jc w:val="center"/>
              <w:rPr>
                <w:rFonts w:hint="eastAsia" w:ascii="宋体" w:hAnsi="宋体" w:cs="宋体"/>
                <w:b/>
                <w:color w:val="auto"/>
                <w:szCs w:val="21"/>
                <w:highlight w:val="none"/>
              </w:rPr>
            </w:pPr>
          </w:p>
        </w:tc>
      </w:tr>
    </w:tbl>
    <w:p w14:paraId="6DDC798B">
      <w:pPr>
        <w:bidi w:val="0"/>
        <w:rPr>
          <w:rFonts w:hint="default"/>
          <w:lang w:val="en-US" w:eastAsia="zh-CN"/>
        </w:rPr>
      </w:pPr>
      <w:r>
        <w:rPr>
          <w:rFonts w:hint="eastAsia"/>
          <w:lang w:val="en-US" w:eastAsia="zh-CN"/>
        </w:rPr>
        <w:t xml:space="preserve">  </w:t>
      </w:r>
    </w:p>
    <w:permEnd w:id="129"/>
    <w:p w14:paraId="0447318B">
      <w:pPr>
        <w:tabs>
          <w:tab w:val="left" w:pos="1986"/>
        </w:tabs>
        <w:autoSpaceDE w:val="0"/>
        <w:autoSpaceDN w:val="0"/>
        <w:spacing w:line="360" w:lineRule="auto"/>
        <w:ind w:firstLine="420" w:firstLineChars="200"/>
        <w:jc w:val="left"/>
        <w:rPr>
          <w:rFonts w:hint="default"/>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备注：招标人应结合招标项目的实际情况设定技术标评审标准，评审标准设定的注意事项详见《使用说明》。</w:t>
      </w:r>
      <w:r>
        <w:rPr>
          <w:rFonts w:hint="eastAsia" w:ascii="宋体" w:hAnsi="宋体"/>
          <w:color w:val="auto"/>
          <w:szCs w:val="21"/>
          <w:highlight w:val="none"/>
        </w:rPr>
        <w:t>】</w:t>
      </w:r>
    </w:p>
    <w:p w14:paraId="31BBBAFF">
      <w:pPr>
        <w:spacing w:line="360" w:lineRule="auto"/>
        <w:ind w:firstLine="420" w:firstLineChars="200"/>
        <w:rPr>
          <w:rStyle w:val="37"/>
          <w:rFonts w:hint="default" w:ascii="宋体" w:hAnsi="宋体" w:eastAsia="宋体" w:cs="宋体"/>
          <w:b w:val="0"/>
          <w:bCs w:val="0"/>
          <w:color w:val="auto"/>
          <w:sz w:val="21"/>
          <w:szCs w:val="21"/>
          <w:highlight w:val="none"/>
          <w:lang w:val="en-US" w:eastAsia="zh-CN"/>
        </w:rPr>
      </w:pPr>
      <w:r>
        <w:rPr>
          <w:rStyle w:val="37"/>
          <w:rFonts w:hint="eastAsia" w:ascii="宋体" w:hAnsi="宋体" w:cs="宋体"/>
          <w:b w:val="0"/>
          <w:bCs w:val="0"/>
          <w:color w:val="auto"/>
          <w:sz w:val="21"/>
          <w:szCs w:val="21"/>
          <w:highlight w:val="none"/>
        </w:rPr>
        <w:br w:type="page"/>
      </w:r>
      <w:bookmarkStart w:id="410" w:name="_Toc2130169221"/>
      <w:bookmarkStart w:id="411" w:name="_Toc1655840884"/>
      <w:bookmarkStart w:id="412" w:name="_Toc283451153"/>
      <w:r>
        <w:rPr>
          <w:rStyle w:val="37"/>
          <w:rFonts w:hint="eastAsia" w:ascii="宋体" w:hAnsi="宋体" w:cs="宋体"/>
          <w:b w:val="0"/>
          <w:bCs w:val="0"/>
          <w:color w:val="auto"/>
          <w:sz w:val="21"/>
          <w:szCs w:val="21"/>
          <w:highlight w:val="none"/>
        </w:rPr>
        <w:t>附件</w:t>
      </w:r>
      <w:r>
        <w:rPr>
          <w:rStyle w:val="37"/>
          <w:rFonts w:hint="eastAsia" w:ascii="宋体" w:hAnsi="宋体" w:eastAsia="宋体" w:cs="宋体"/>
          <w:b w:val="0"/>
          <w:bCs w:val="0"/>
          <w:color w:val="auto"/>
          <w:sz w:val="21"/>
          <w:szCs w:val="21"/>
          <w:highlight w:val="none"/>
          <w:lang w:eastAsia="zh-CN"/>
        </w:rPr>
        <w:t>二</w:t>
      </w:r>
      <w:r>
        <w:rPr>
          <w:rStyle w:val="37"/>
          <w:rFonts w:hint="eastAsia" w:ascii="宋体" w:hAnsi="宋体" w:cs="宋体"/>
          <w:b w:val="0"/>
          <w:bCs w:val="0"/>
          <w:color w:val="auto"/>
          <w:sz w:val="21"/>
          <w:szCs w:val="21"/>
          <w:highlight w:val="none"/>
        </w:rPr>
        <w:t>：</w:t>
      </w:r>
      <w:r>
        <w:rPr>
          <w:rStyle w:val="37"/>
          <w:rFonts w:hint="eastAsia" w:ascii="宋体" w:hAnsi="宋体" w:eastAsia="宋体" w:cs="宋体"/>
          <w:b w:val="0"/>
          <w:bCs w:val="0"/>
          <w:color w:val="auto"/>
          <w:sz w:val="21"/>
          <w:szCs w:val="21"/>
          <w:highlight w:val="none"/>
          <w:lang w:eastAsia="zh-CN"/>
        </w:rPr>
        <w:t>技术标评分标准</w:t>
      </w:r>
      <w:r>
        <w:rPr>
          <w:rStyle w:val="37"/>
          <w:rFonts w:hint="eastAsia" w:ascii="宋体" w:hAnsi="宋体" w:eastAsia="宋体" w:cs="宋体"/>
          <w:b w:val="0"/>
          <w:bCs w:val="0"/>
          <w:color w:val="auto"/>
          <w:sz w:val="21"/>
          <w:szCs w:val="21"/>
          <w:highlight w:val="none"/>
          <w:lang w:val="en-US" w:eastAsia="zh-CN"/>
        </w:rPr>
        <w:t>（适用于采用定量评审的项目）</w:t>
      </w:r>
    </w:p>
    <w:bookmarkEnd w:id="410"/>
    <w:bookmarkEnd w:id="411"/>
    <w:bookmarkEnd w:id="412"/>
    <w:p w14:paraId="62CCE419">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技术标评分标准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768"/>
        <w:gridCol w:w="865"/>
        <w:gridCol w:w="5152"/>
      </w:tblGrid>
      <w:tr w14:paraId="112D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5C4279E1">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序号</w:t>
            </w:r>
          </w:p>
        </w:tc>
        <w:tc>
          <w:tcPr>
            <w:tcW w:w="2768" w:type="dxa"/>
            <w:noWrap w:val="0"/>
            <w:vAlign w:val="center"/>
          </w:tcPr>
          <w:p w14:paraId="33C3D2A5">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评审项目</w:t>
            </w:r>
          </w:p>
        </w:tc>
        <w:tc>
          <w:tcPr>
            <w:tcW w:w="865" w:type="dxa"/>
            <w:noWrap w:val="0"/>
            <w:vAlign w:val="center"/>
          </w:tcPr>
          <w:p w14:paraId="2328EDC8">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分值</w:t>
            </w:r>
          </w:p>
        </w:tc>
        <w:tc>
          <w:tcPr>
            <w:tcW w:w="5152" w:type="dxa"/>
            <w:noWrap w:val="0"/>
            <w:vAlign w:val="center"/>
          </w:tcPr>
          <w:p w14:paraId="6DD21962">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评审标准</w:t>
            </w:r>
          </w:p>
        </w:tc>
      </w:tr>
      <w:tr w14:paraId="3FF5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0FE34324">
            <w:pPr>
              <w:spacing w:line="360" w:lineRule="auto"/>
              <w:jc w:val="center"/>
              <w:rPr>
                <w:rFonts w:hint="eastAsia" w:ascii="宋体" w:hAnsi="宋体" w:eastAsia="宋体" w:cs="宋体"/>
                <w:color w:val="auto"/>
                <w:highlight w:val="none"/>
                <w:lang w:eastAsia="zh-CN"/>
              </w:rPr>
            </w:pPr>
            <w:permStart w:id="130" w:edGrp="everyone"/>
            <w:r>
              <w:rPr>
                <w:rFonts w:hint="eastAsia" w:ascii="宋体" w:hAnsi="宋体" w:cs="宋体"/>
                <w:color w:val="auto"/>
                <w:highlight w:val="none"/>
                <w:lang w:eastAsia="zh-CN"/>
              </w:rPr>
              <w:t>1</w:t>
            </w:r>
          </w:p>
        </w:tc>
        <w:tc>
          <w:tcPr>
            <w:tcW w:w="2768" w:type="dxa"/>
            <w:noWrap w:val="0"/>
            <w:vAlign w:val="center"/>
          </w:tcPr>
          <w:p w14:paraId="30C6F114">
            <w:pPr>
              <w:spacing w:line="360" w:lineRule="auto"/>
              <w:jc w:val="left"/>
              <w:rPr>
                <w:rFonts w:hint="eastAsia" w:eastAsia="宋体"/>
                <w:color w:val="auto"/>
                <w:highlight w:val="none"/>
                <w:lang w:val="en-US" w:eastAsia="zh-CN"/>
              </w:rPr>
            </w:pPr>
            <w:r>
              <w:rPr>
                <w:rFonts w:hint="eastAsia"/>
                <w:color w:val="auto"/>
                <w:highlight w:val="none"/>
                <w:lang w:val="en-US" w:eastAsia="zh-CN"/>
              </w:rPr>
              <w:t>/</w:t>
            </w:r>
          </w:p>
        </w:tc>
        <w:tc>
          <w:tcPr>
            <w:tcW w:w="865" w:type="dxa"/>
            <w:noWrap w:val="0"/>
            <w:vAlign w:val="center"/>
          </w:tcPr>
          <w:p w14:paraId="737887F0">
            <w:pPr>
              <w:pStyle w:val="23"/>
              <w:spacing w:line="360" w:lineRule="auto"/>
              <w:jc w:val="center"/>
              <w:rPr>
                <w:rFonts w:hint="eastAsia" w:eastAsia="宋体"/>
                <w:b/>
                <w:color w:val="auto"/>
                <w:kern w:val="2"/>
                <w:sz w:val="21"/>
                <w:szCs w:val="21"/>
                <w:highlight w:val="none"/>
                <w:lang w:val="en-US" w:eastAsia="zh-CN"/>
              </w:rPr>
            </w:pPr>
            <w:r>
              <w:rPr>
                <w:rFonts w:hint="eastAsia" w:eastAsia="宋体"/>
                <w:b/>
                <w:color w:val="auto"/>
                <w:kern w:val="2"/>
                <w:sz w:val="21"/>
                <w:szCs w:val="21"/>
                <w:highlight w:val="none"/>
                <w:lang w:val="en-US" w:eastAsia="zh-CN"/>
              </w:rPr>
              <w:t>/</w:t>
            </w:r>
          </w:p>
        </w:tc>
        <w:tc>
          <w:tcPr>
            <w:tcW w:w="5152" w:type="dxa"/>
            <w:noWrap w:val="0"/>
            <w:vAlign w:val="center"/>
          </w:tcPr>
          <w:p w14:paraId="3C23667D">
            <w:pPr>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289A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40AB3BC7">
            <w:pPr>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p>
        </w:tc>
        <w:tc>
          <w:tcPr>
            <w:tcW w:w="2768" w:type="dxa"/>
            <w:noWrap w:val="0"/>
            <w:vAlign w:val="center"/>
          </w:tcPr>
          <w:p w14:paraId="48EFF404">
            <w:pPr>
              <w:spacing w:line="360" w:lineRule="auto"/>
              <w:jc w:val="left"/>
              <w:rPr>
                <w:rFonts w:hint="eastAsia" w:eastAsia="宋体"/>
                <w:b/>
                <w:color w:val="auto"/>
                <w:szCs w:val="21"/>
                <w:highlight w:val="none"/>
                <w:lang w:val="en-US" w:eastAsia="zh-CN"/>
              </w:rPr>
            </w:pPr>
            <w:r>
              <w:rPr>
                <w:rFonts w:hint="eastAsia"/>
                <w:b/>
                <w:color w:val="auto"/>
                <w:szCs w:val="21"/>
                <w:highlight w:val="none"/>
                <w:lang w:val="en-US" w:eastAsia="zh-CN"/>
              </w:rPr>
              <w:t>/</w:t>
            </w:r>
          </w:p>
        </w:tc>
        <w:tc>
          <w:tcPr>
            <w:tcW w:w="865" w:type="dxa"/>
            <w:noWrap w:val="0"/>
            <w:vAlign w:val="center"/>
          </w:tcPr>
          <w:p w14:paraId="564B9FBF">
            <w:pPr>
              <w:pStyle w:val="23"/>
              <w:spacing w:line="360" w:lineRule="auto"/>
              <w:jc w:val="center"/>
              <w:rPr>
                <w:rFonts w:hint="eastAsia" w:eastAsia="宋体"/>
                <w:b/>
                <w:color w:val="auto"/>
                <w:kern w:val="2"/>
                <w:sz w:val="21"/>
                <w:szCs w:val="21"/>
                <w:highlight w:val="none"/>
                <w:lang w:val="en-US" w:eastAsia="zh-CN"/>
              </w:rPr>
            </w:pPr>
            <w:r>
              <w:rPr>
                <w:rFonts w:hint="eastAsia" w:eastAsia="宋体"/>
                <w:b/>
                <w:color w:val="auto"/>
                <w:kern w:val="2"/>
                <w:sz w:val="21"/>
                <w:szCs w:val="21"/>
                <w:highlight w:val="none"/>
                <w:lang w:val="en-US" w:eastAsia="zh-CN"/>
              </w:rPr>
              <w:t>/</w:t>
            </w:r>
          </w:p>
        </w:tc>
        <w:tc>
          <w:tcPr>
            <w:tcW w:w="5152" w:type="dxa"/>
            <w:noWrap w:val="0"/>
            <w:vAlign w:val="center"/>
          </w:tcPr>
          <w:p w14:paraId="66520645">
            <w:pPr>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bl>
    <w:p w14:paraId="44CBF875">
      <w:pPr>
        <w:spacing w:line="360" w:lineRule="auto"/>
        <w:rPr>
          <w:rStyle w:val="37"/>
          <w:rFonts w:hint="default" w:ascii="宋体" w:hAnsi="宋体" w:eastAsia="宋体" w:cs="宋体"/>
          <w:b w:val="0"/>
          <w:bCs w:val="0"/>
          <w:color w:val="auto"/>
          <w:sz w:val="21"/>
          <w:szCs w:val="21"/>
          <w:highlight w:val="none"/>
          <w:lang w:val="en-US" w:eastAsia="zh-CN"/>
        </w:rPr>
      </w:pPr>
      <w:r>
        <w:rPr>
          <w:rStyle w:val="37"/>
          <w:rFonts w:hint="eastAsia" w:ascii="宋体" w:hAnsi="宋体" w:eastAsia="宋体" w:cs="宋体"/>
          <w:b w:val="0"/>
          <w:bCs w:val="0"/>
          <w:color w:val="auto"/>
          <w:sz w:val="21"/>
          <w:szCs w:val="21"/>
          <w:highlight w:val="none"/>
          <w:lang w:val="en-US" w:eastAsia="zh-CN"/>
        </w:rPr>
        <w:t xml:space="preserve">  本项目不适用</w:t>
      </w:r>
    </w:p>
    <w:permEnd w:id="130"/>
    <w:p w14:paraId="77475AD2">
      <w:pPr>
        <w:tabs>
          <w:tab w:val="left" w:pos="1986"/>
        </w:tabs>
        <w:autoSpaceDE w:val="0"/>
        <w:autoSpaceDN w:val="0"/>
        <w:spacing w:line="360" w:lineRule="auto"/>
        <w:ind w:firstLine="420" w:firstLineChars="200"/>
        <w:jc w:val="left"/>
        <w:rPr>
          <w:rStyle w:val="37"/>
          <w:rFonts w:hint="eastAsia" w:ascii="宋体" w:hAnsi="宋体" w:cs="宋体"/>
          <w:b w:val="0"/>
          <w:bCs w:val="0"/>
          <w:color w:val="auto"/>
          <w:sz w:val="21"/>
          <w:szCs w:val="21"/>
          <w:highlight w:val="none"/>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备注：招标人应结合招标项目的实际情况设定技术标评分标准，评分标准设定的注意事项详见《使用说明》</w:t>
      </w:r>
      <w:r>
        <w:rPr>
          <w:rFonts w:hint="eastAsia" w:ascii="宋体" w:hAnsi="宋体"/>
          <w:color w:val="auto"/>
          <w:szCs w:val="21"/>
          <w:highlight w:val="none"/>
        </w:rPr>
        <w:t>】</w:t>
      </w:r>
    </w:p>
    <w:p w14:paraId="36A5CEA2">
      <w:pPr>
        <w:spacing w:line="360" w:lineRule="auto"/>
        <w:rPr>
          <w:rStyle w:val="37"/>
          <w:rFonts w:hint="default" w:ascii="宋体" w:hAnsi="宋体" w:eastAsia="宋体" w:cs="宋体"/>
          <w:b w:val="0"/>
          <w:bCs w:val="0"/>
          <w:color w:val="auto"/>
          <w:sz w:val="21"/>
          <w:szCs w:val="21"/>
          <w:highlight w:val="none"/>
          <w:lang w:val="en-US" w:eastAsia="zh-CN"/>
        </w:rPr>
      </w:pPr>
      <w:r>
        <w:rPr>
          <w:rStyle w:val="37"/>
          <w:rFonts w:hint="eastAsia" w:ascii="宋体" w:hAnsi="宋体" w:cs="宋体"/>
          <w:b w:val="0"/>
          <w:bCs w:val="0"/>
          <w:color w:val="auto"/>
          <w:sz w:val="21"/>
          <w:szCs w:val="21"/>
          <w:highlight w:val="none"/>
        </w:rPr>
        <w:br w:type="page"/>
      </w:r>
      <w:bookmarkStart w:id="413" w:name="_Toc1338279558"/>
      <w:bookmarkStart w:id="414" w:name="_Toc1859094788"/>
      <w:bookmarkStart w:id="415" w:name="_Toc1145311324"/>
      <w:r>
        <w:rPr>
          <w:rStyle w:val="37"/>
          <w:rFonts w:hint="eastAsia" w:ascii="宋体" w:hAnsi="宋体" w:cs="宋体"/>
          <w:b w:val="0"/>
          <w:bCs w:val="0"/>
          <w:color w:val="auto"/>
          <w:sz w:val="21"/>
          <w:szCs w:val="21"/>
          <w:highlight w:val="none"/>
        </w:rPr>
        <w:t>附件</w:t>
      </w:r>
      <w:r>
        <w:rPr>
          <w:rStyle w:val="37"/>
          <w:rFonts w:hint="eastAsia" w:ascii="宋体" w:hAnsi="宋体" w:eastAsia="宋体" w:cs="宋体"/>
          <w:b w:val="0"/>
          <w:bCs w:val="0"/>
          <w:color w:val="auto"/>
          <w:sz w:val="21"/>
          <w:szCs w:val="21"/>
          <w:highlight w:val="none"/>
          <w:lang w:eastAsia="zh-CN"/>
        </w:rPr>
        <w:t>三</w:t>
      </w:r>
      <w:r>
        <w:rPr>
          <w:rStyle w:val="37"/>
          <w:rFonts w:hint="eastAsia" w:ascii="宋体" w:hAnsi="宋体" w:cs="宋体"/>
          <w:b w:val="0"/>
          <w:bCs w:val="0"/>
          <w:color w:val="auto"/>
          <w:sz w:val="21"/>
          <w:szCs w:val="21"/>
          <w:highlight w:val="none"/>
        </w:rPr>
        <w:t>：</w:t>
      </w:r>
      <w:r>
        <w:rPr>
          <w:rStyle w:val="37"/>
          <w:rFonts w:hint="eastAsia" w:ascii="宋体" w:hAnsi="宋体" w:eastAsia="宋体" w:cs="宋体"/>
          <w:b w:val="0"/>
          <w:bCs w:val="0"/>
          <w:color w:val="auto"/>
          <w:sz w:val="21"/>
          <w:szCs w:val="21"/>
          <w:highlight w:val="none"/>
          <w:lang w:eastAsia="zh-CN"/>
        </w:rPr>
        <w:t>资信标评分标准</w:t>
      </w:r>
      <w:r>
        <w:rPr>
          <w:rStyle w:val="37"/>
          <w:rFonts w:hint="eastAsia" w:ascii="宋体" w:hAnsi="宋体" w:cs="宋体"/>
          <w:b w:val="0"/>
          <w:bCs w:val="0"/>
          <w:color w:val="auto"/>
          <w:sz w:val="21"/>
          <w:szCs w:val="21"/>
          <w:highlight w:val="none"/>
          <w:lang w:eastAsia="zh-CN"/>
        </w:rPr>
        <w:t>（适用于采用定量评审的项目）</w:t>
      </w:r>
    </w:p>
    <w:bookmarkEnd w:id="413"/>
    <w:bookmarkEnd w:id="414"/>
    <w:bookmarkEnd w:id="415"/>
    <w:p w14:paraId="7A28CD83">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资信标评分标准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21"/>
        <w:gridCol w:w="1445"/>
        <w:gridCol w:w="5819"/>
      </w:tblGrid>
      <w:tr w14:paraId="195F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4C95349D">
            <w:pPr>
              <w:bidi w:val="0"/>
              <w:jc w:val="center"/>
              <w:rPr>
                <w:rFonts w:hint="eastAsia"/>
                <w:b/>
                <w:bCs/>
              </w:rPr>
            </w:pPr>
            <w:r>
              <w:rPr>
                <w:rFonts w:hint="eastAsia"/>
                <w:b/>
                <w:bCs/>
              </w:rPr>
              <w:t>序号</w:t>
            </w:r>
          </w:p>
        </w:tc>
        <w:tc>
          <w:tcPr>
            <w:tcW w:w="1521" w:type="dxa"/>
            <w:noWrap w:val="0"/>
            <w:vAlign w:val="center"/>
          </w:tcPr>
          <w:p w14:paraId="28881D87">
            <w:pPr>
              <w:bidi w:val="0"/>
              <w:jc w:val="center"/>
              <w:rPr>
                <w:rFonts w:hint="eastAsia"/>
                <w:b/>
                <w:bCs/>
              </w:rPr>
            </w:pPr>
            <w:r>
              <w:rPr>
                <w:rFonts w:hint="eastAsia"/>
                <w:b/>
                <w:bCs/>
              </w:rPr>
              <w:t>评审项目</w:t>
            </w:r>
          </w:p>
        </w:tc>
        <w:tc>
          <w:tcPr>
            <w:tcW w:w="1445" w:type="dxa"/>
            <w:noWrap w:val="0"/>
            <w:vAlign w:val="center"/>
          </w:tcPr>
          <w:p w14:paraId="24905157">
            <w:pPr>
              <w:bidi w:val="0"/>
              <w:jc w:val="center"/>
              <w:rPr>
                <w:rFonts w:hint="eastAsia"/>
                <w:b/>
                <w:bCs/>
              </w:rPr>
            </w:pPr>
            <w:r>
              <w:rPr>
                <w:rFonts w:hint="eastAsia"/>
                <w:b/>
                <w:bCs/>
              </w:rPr>
              <w:t>分值</w:t>
            </w:r>
          </w:p>
        </w:tc>
        <w:tc>
          <w:tcPr>
            <w:tcW w:w="5819" w:type="dxa"/>
            <w:noWrap w:val="0"/>
            <w:vAlign w:val="center"/>
          </w:tcPr>
          <w:p w14:paraId="6E328E91">
            <w:pPr>
              <w:bidi w:val="0"/>
              <w:jc w:val="center"/>
              <w:rPr>
                <w:rFonts w:hint="eastAsia"/>
                <w:b/>
                <w:bCs/>
              </w:rPr>
            </w:pPr>
            <w:r>
              <w:rPr>
                <w:rFonts w:hint="eastAsia"/>
                <w:b/>
                <w:bCs/>
              </w:rPr>
              <w:t>评审标准</w:t>
            </w:r>
          </w:p>
        </w:tc>
      </w:tr>
      <w:tr w14:paraId="5751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3DD0F52B">
            <w:pPr>
              <w:jc w:val="center"/>
              <w:rPr>
                <w:rFonts w:hint="eastAsia" w:ascii="宋体" w:hAnsi="宋体" w:cs="Times New Roman"/>
                <w:color w:val="auto"/>
                <w:szCs w:val="21"/>
                <w:highlight w:val="none"/>
              </w:rPr>
            </w:pPr>
            <w:permStart w:id="131" w:edGrp="everyone"/>
            <w:r>
              <w:rPr>
                <w:rFonts w:hint="eastAsia" w:ascii="宋体" w:hAnsi="宋体" w:cs="Times New Roman"/>
                <w:color w:val="auto"/>
                <w:szCs w:val="21"/>
                <w:highlight w:val="none"/>
              </w:rPr>
              <w:t>1</w:t>
            </w:r>
          </w:p>
        </w:tc>
        <w:tc>
          <w:tcPr>
            <w:tcW w:w="1521" w:type="dxa"/>
            <w:noWrap w:val="0"/>
            <w:vAlign w:val="center"/>
          </w:tcPr>
          <w:p w14:paraId="5C750349">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w:t>
            </w:r>
          </w:p>
        </w:tc>
        <w:tc>
          <w:tcPr>
            <w:tcW w:w="1445" w:type="dxa"/>
            <w:noWrap w:val="0"/>
            <w:vAlign w:val="center"/>
          </w:tcPr>
          <w:p w14:paraId="6288524C">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w:t>
            </w:r>
          </w:p>
        </w:tc>
        <w:tc>
          <w:tcPr>
            <w:tcW w:w="5819" w:type="dxa"/>
            <w:noWrap w:val="0"/>
            <w:vAlign w:val="center"/>
          </w:tcPr>
          <w:p w14:paraId="72598B5F">
            <w:pPr>
              <w:spacing w:line="360" w:lineRule="auto"/>
              <w:ind w:firstLine="420" w:firstLineChars="200"/>
              <w:jc w:val="left"/>
              <w:rPr>
                <w:rFonts w:hint="eastAsia" w:eastAsia="宋体"/>
                <w:color w:val="auto"/>
                <w:highlight w:val="none"/>
                <w:lang w:eastAsia="zh-CN"/>
              </w:rPr>
            </w:pPr>
            <w:r>
              <w:rPr>
                <w:rFonts w:hint="eastAsia" w:ascii="宋体" w:hAnsi="宋体"/>
                <w:color w:val="auto"/>
                <w:szCs w:val="21"/>
                <w:highlight w:val="none"/>
                <w:lang w:val="en-US" w:eastAsia="zh-CN"/>
              </w:rPr>
              <w:t>/</w:t>
            </w:r>
          </w:p>
        </w:tc>
      </w:tr>
    </w:tbl>
    <w:p w14:paraId="0D8147F9">
      <w:pPr>
        <w:spacing w:line="360" w:lineRule="auto"/>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 xml:space="preserve">  </w:t>
      </w:r>
      <w:r>
        <w:rPr>
          <w:rStyle w:val="37"/>
          <w:rFonts w:hint="eastAsia" w:ascii="宋体" w:hAnsi="宋体" w:eastAsia="宋体" w:cs="宋体"/>
          <w:b w:val="0"/>
          <w:bCs w:val="0"/>
          <w:color w:val="auto"/>
          <w:sz w:val="21"/>
          <w:szCs w:val="21"/>
          <w:highlight w:val="none"/>
          <w:lang w:val="en-US" w:eastAsia="zh-CN"/>
        </w:rPr>
        <w:t>本项目不适用</w:t>
      </w:r>
    </w:p>
    <w:permEnd w:id="131"/>
    <w:p w14:paraId="08469E7E">
      <w:pPr>
        <w:tabs>
          <w:tab w:val="left" w:pos="1986"/>
        </w:tabs>
        <w:autoSpaceDE w:val="0"/>
        <w:autoSpaceDN w:val="0"/>
        <w:spacing w:line="360" w:lineRule="auto"/>
        <w:ind w:firstLine="420" w:firstLineChars="200"/>
        <w:jc w:val="left"/>
        <w:rPr>
          <w:rFonts w:hint="eastAsia"/>
          <w:color w:val="auto"/>
          <w:highlight w:val="none"/>
          <w:lang w:val="en-US" w:eastAsia="zh-CN"/>
        </w:rPr>
      </w:pP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备注：上述“评分标准”栏目内容仅供参考，招标人应当根据实际情况进行调整。评分标准设定的注意事项详见《使用说明》</w:t>
      </w:r>
      <w:r>
        <w:rPr>
          <w:rFonts w:hint="eastAsia" w:ascii="宋体" w:hAnsi="宋体"/>
          <w:color w:val="auto"/>
          <w:szCs w:val="21"/>
          <w:highlight w:val="none"/>
        </w:rPr>
        <w:t>】</w:t>
      </w:r>
    </w:p>
    <w:p w14:paraId="0D60C977">
      <w:pPr>
        <w:spacing w:line="360" w:lineRule="auto"/>
        <w:ind w:right="945"/>
        <w:jc w:val="left"/>
        <w:rPr>
          <w:rStyle w:val="37"/>
          <w:rFonts w:hint="eastAsia" w:ascii="宋体" w:hAnsi="宋体" w:eastAsia="宋体" w:cs="宋体"/>
          <w:b w:val="0"/>
          <w:bCs w:val="0"/>
          <w:color w:val="auto"/>
          <w:sz w:val="21"/>
          <w:szCs w:val="21"/>
          <w:highlight w:val="none"/>
          <w:lang w:eastAsia="zh-CN"/>
        </w:rPr>
      </w:pPr>
      <w:r>
        <w:rPr>
          <w:rFonts w:hint="eastAsia" w:ascii="宋体" w:hAnsi="宋体" w:cs="宋体"/>
          <w:color w:val="auto"/>
          <w:szCs w:val="21"/>
          <w:highlight w:val="none"/>
        </w:rPr>
        <w:br w:type="page"/>
      </w:r>
      <w:bookmarkEnd w:id="197"/>
      <w:bookmarkEnd w:id="198"/>
      <w:bookmarkEnd w:id="199"/>
      <w:bookmarkEnd w:id="200"/>
      <w:bookmarkEnd w:id="201"/>
      <w:bookmarkEnd w:id="202"/>
      <w:bookmarkEnd w:id="409"/>
      <w:bookmarkStart w:id="416" w:name="_Toc1864253486"/>
      <w:bookmarkStart w:id="417" w:name="_Toc1765627062"/>
      <w:bookmarkStart w:id="418" w:name="_Toc1749394983"/>
      <w:r>
        <w:rPr>
          <w:rStyle w:val="37"/>
          <w:rFonts w:hint="eastAsia" w:ascii="宋体" w:hAnsi="宋体" w:cs="宋体"/>
          <w:b w:val="0"/>
          <w:bCs w:val="0"/>
          <w:color w:val="auto"/>
          <w:sz w:val="21"/>
          <w:szCs w:val="21"/>
          <w:highlight w:val="none"/>
        </w:rPr>
        <w:t>附件</w:t>
      </w:r>
      <w:r>
        <w:rPr>
          <w:rStyle w:val="37"/>
          <w:rFonts w:hint="eastAsia" w:ascii="宋体" w:hAnsi="宋体" w:eastAsia="宋体" w:cs="宋体"/>
          <w:b w:val="0"/>
          <w:bCs w:val="0"/>
          <w:color w:val="auto"/>
          <w:sz w:val="21"/>
          <w:szCs w:val="21"/>
          <w:highlight w:val="none"/>
          <w:lang w:eastAsia="zh-CN"/>
        </w:rPr>
        <w:t>四</w:t>
      </w:r>
      <w:r>
        <w:rPr>
          <w:rStyle w:val="37"/>
          <w:rFonts w:hint="eastAsia" w:ascii="宋体" w:hAnsi="宋体" w:cs="宋体"/>
          <w:b w:val="0"/>
          <w:bCs w:val="0"/>
          <w:color w:val="auto"/>
          <w:sz w:val="21"/>
          <w:szCs w:val="21"/>
          <w:highlight w:val="none"/>
        </w:rPr>
        <w:t>：</w:t>
      </w:r>
      <w:r>
        <w:rPr>
          <w:rStyle w:val="37"/>
          <w:rFonts w:hint="eastAsia" w:ascii="宋体" w:hAnsi="宋体" w:eastAsia="宋体" w:cs="宋体"/>
          <w:b w:val="0"/>
          <w:bCs w:val="0"/>
          <w:color w:val="auto"/>
          <w:sz w:val="21"/>
          <w:szCs w:val="21"/>
          <w:highlight w:val="none"/>
          <w:lang w:eastAsia="zh-CN"/>
        </w:rPr>
        <w:t>经济标评分标准（适用于采用定量评审的项目）</w:t>
      </w:r>
    </w:p>
    <w:bookmarkEnd w:id="416"/>
    <w:bookmarkEnd w:id="417"/>
    <w:p w14:paraId="02455EED">
      <w:pPr>
        <w:pStyle w:val="8"/>
        <w:jc w:val="center"/>
        <w:rPr>
          <w:rFonts w:hint="eastAsia"/>
          <w:color w:val="auto"/>
          <w:highlight w:val="none"/>
          <w:lang w:eastAsia="zh-CN"/>
        </w:rPr>
      </w:pPr>
      <w:r>
        <w:rPr>
          <w:rFonts w:hint="eastAsia" w:ascii="Verdana" w:hAnsi="Verdana"/>
          <w:b/>
          <w:bCs/>
          <w:color w:val="auto"/>
          <w:kern w:val="0"/>
          <w:sz w:val="28"/>
          <w:szCs w:val="28"/>
          <w:highlight w:val="none"/>
          <w:lang w:eastAsia="zh-CN"/>
        </w:rPr>
        <w:t>经济标评分标准</w:t>
      </w:r>
    </w:p>
    <w:tbl>
      <w:tblPr>
        <w:tblStyle w:val="26"/>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45"/>
        <w:gridCol w:w="944"/>
        <w:gridCol w:w="6596"/>
      </w:tblGrid>
      <w:tr w14:paraId="13CC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2277B2DC">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序号</w:t>
            </w:r>
          </w:p>
        </w:tc>
        <w:tc>
          <w:tcPr>
            <w:tcW w:w="1245" w:type="dxa"/>
            <w:noWrap w:val="0"/>
            <w:vAlign w:val="center"/>
          </w:tcPr>
          <w:p w14:paraId="5D7B52E2">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评审项目</w:t>
            </w:r>
          </w:p>
        </w:tc>
        <w:tc>
          <w:tcPr>
            <w:tcW w:w="944" w:type="dxa"/>
            <w:noWrap w:val="0"/>
            <w:vAlign w:val="center"/>
          </w:tcPr>
          <w:p w14:paraId="5B569C31">
            <w:pPr>
              <w:pStyle w:val="23"/>
              <w:spacing w:line="360" w:lineRule="auto"/>
              <w:jc w:val="center"/>
              <w:rPr>
                <w:rFonts w:hint="eastAsia" w:ascii="宋体" w:hAnsi="宋体" w:eastAsia="宋体" w:cs="宋体"/>
                <w:b/>
                <w:color w:val="auto"/>
                <w:kern w:val="2"/>
                <w:sz w:val="21"/>
                <w:szCs w:val="24"/>
                <w:highlight w:val="none"/>
              </w:rPr>
            </w:pPr>
            <w:r>
              <w:rPr>
                <w:rFonts w:hint="eastAsia" w:eastAsia="宋体"/>
                <w:b/>
                <w:color w:val="auto"/>
                <w:kern w:val="2"/>
                <w:sz w:val="21"/>
                <w:szCs w:val="21"/>
                <w:highlight w:val="none"/>
              </w:rPr>
              <w:t>分值</w:t>
            </w:r>
          </w:p>
        </w:tc>
        <w:tc>
          <w:tcPr>
            <w:tcW w:w="6596" w:type="dxa"/>
            <w:noWrap w:val="0"/>
            <w:vAlign w:val="center"/>
          </w:tcPr>
          <w:p w14:paraId="0C83A12F">
            <w:pPr>
              <w:pStyle w:val="23"/>
              <w:spacing w:line="360" w:lineRule="auto"/>
              <w:jc w:val="center"/>
              <w:rPr>
                <w:rFonts w:hint="eastAsia" w:ascii="宋体" w:hAnsi="宋体" w:eastAsia="宋体" w:cs="宋体"/>
                <w:b/>
                <w:color w:val="auto"/>
                <w:szCs w:val="21"/>
                <w:highlight w:val="none"/>
              </w:rPr>
            </w:pPr>
            <w:r>
              <w:rPr>
                <w:rFonts w:hint="eastAsia" w:eastAsia="宋体"/>
                <w:b/>
                <w:color w:val="auto"/>
                <w:kern w:val="2"/>
                <w:sz w:val="21"/>
                <w:szCs w:val="21"/>
                <w:highlight w:val="none"/>
              </w:rPr>
              <w:t>评审标准</w:t>
            </w:r>
          </w:p>
        </w:tc>
      </w:tr>
      <w:tr w14:paraId="43E7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7" w:type="dxa"/>
            <w:noWrap w:val="0"/>
            <w:vAlign w:val="center"/>
          </w:tcPr>
          <w:p w14:paraId="02ADBA22">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45" w:type="dxa"/>
            <w:noWrap w:val="0"/>
            <w:vAlign w:val="center"/>
          </w:tcPr>
          <w:p w14:paraId="3F3BBA0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944" w:type="dxa"/>
            <w:noWrap w:val="0"/>
            <w:vAlign w:val="center"/>
          </w:tcPr>
          <w:p w14:paraId="6C083598">
            <w:pPr>
              <w:spacing w:line="360" w:lineRule="auto"/>
              <w:jc w:val="center"/>
              <w:rPr>
                <w:rFonts w:ascii="宋体" w:hAnsi="宋体" w:cs="宋体"/>
                <w:color w:val="auto"/>
                <w:szCs w:val="21"/>
                <w:highlight w:val="none"/>
              </w:rPr>
            </w:pPr>
            <w:permStart w:id="132" w:edGrp="everyone"/>
            <w:r>
              <w:rPr>
                <w:rFonts w:hint="eastAsia" w:ascii="宋体" w:hAnsi="宋体" w:cs="宋体"/>
                <w:color w:val="auto"/>
                <w:szCs w:val="21"/>
                <w:highlight w:val="none"/>
                <w:u w:val="single"/>
                <w:lang w:val="en-US" w:eastAsia="zh-CN"/>
              </w:rPr>
              <w:t xml:space="preserve">  / </w:t>
            </w:r>
            <w:permEnd w:id="132"/>
            <w:r>
              <w:rPr>
                <w:rFonts w:hint="eastAsia" w:ascii="宋体" w:hAnsi="宋体" w:cs="宋体"/>
                <w:color w:val="auto"/>
                <w:szCs w:val="21"/>
                <w:highlight w:val="none"/>
              </w:rPr>
              <w:t>分</w:t>
            </w:r>
          </w:p>
        </w:tc>
        <w:tc>
          <w:tcPr>
            <w:tcW w:w="6596" w:type="dxa"/>
            <w:noWrap w:val="0"/>
            <w:vAlign w:val="center"/>
          </w:tcPr>
          <w:p w14:paraId="0F56BAFA">
            <w:pPr>
              <w:spacing w:line="360" w:lineRule="auto"/>
              <w:ind w:firstLine="420" w:firstLineChars="200"/>
              <w:rPr>
                <w:rFonts w:hint="eastAsia"/>
                <w:color w:val="auto"/>
                <w:highlight w:val="none"/>
              </w:rPr>
            </w:pPr>
            <w:r>
              <w:rPr>
                <w:rFonts w:hint="eastAsia"/>
                <w:color w:val="auto"/>
                <w:highlight w:val="none"/>
              </w:rPr>
              <w:t>等于评标基准价的为满分，每高于评标基准价比例</w:t>
            </w:r>
            <w:r>
              <w:rPr>
                <w:rFonts w:hint="eastAsia" w:ascii="宋体" w:hAnsi="宋体" w:eastAsia="宋体" w:cs="宋体"/>
                <w:color w:val="auto"/>
                <w:highlight w:val="none"/>
              </w:rPr>
              <w:t>1%</w:t>
            </w:r>
            <w:r>
              <w:rPr>
                <w:rFonts w:hint="eastAsia"/>
                <w:color w:val="auto"/>
                <w:highlight w:val="none"/>
              </w:rPr>
              <w:t>的扣</w:t>
            </w:r>
            <w:permStart w:id="133" w:edGrp="everyone"/>
            <w:r>
              <w:rPr>
                <w:rFonts w:hint="eastAsia" w:ascii="宋体" w:hAnsi="宋体" w:cs="宋体"/>
                <w:color w:val="auto"/>
                <w:highlight w:val="none"/>
                <w:u w:val="single"/>
                <w:lang w:val="en-US" w:eastAsia="zh-CN"/>
              </w:rPr>
              <w:t>/</w:t>
            </w:r>
            <w:permEnd w:id="133"/>
            <w:r>
              <w:rPr>
                <w:rFonts w:hint="eastAsia"/>
                <w:color w:val="auto"/>
                <w:highlight w:val="none"/>
              </w:rPr>
              <w:t>分；每低于评标基准价</w:t>
            </w:r>
            <w:r>
              <w:rPr>
                <w:rFonts w:hint="eastAsia" w:ascii="Times New Roman" w:hAnsi="Times New Roman" w:eastAsia="宋体" w:cs="Times New Roman"/>
                <w:color w:val="auto"/>
                <w:highlight w:val="none"/>
              </w:rPr>
              <w:t>比例</w:t>
            </w:r>
            <w:r>
              <w:rPr>
                <w:rFonts w:hint="eastAsia" w:ascii="宋体" w:hAnsi="宋体" w:eastAsia="宋体" w:cs="宋体"/>
                <w:color w:val="auto"/>
                <w:highlight w:val="none"/>
              </w:rPr>
              <w:t>1%</w:t>
            </w:r>
            <w:r>
              <w:rPr>
                <w:rFonts w:hint="eastAsia" w:ascii="Times New Roman" w:hAnsi="Times New Roman" w:eastAsia="宋体" w:cs="Times New Roman"/>
                <w:color w:val="auto"/>
                <w:highlight w:val="none"/>
              </w:rPr>
              <w:t>的扣</w:t>
            </w:r>
            <w:permStart w:id="134" w:edGrp="everyone"/>
            <w:r>
              <w:rPr>
                <w:rFonts w:hint="eastAsia" w:ascii="宋体" w:hAnsi="宋体" w:cs="宋体"/>
                <w:color w:val="auto"/>
                <w:highlight w:val="none"/>
                <w:u w:val="single"/>
                <w:lang w:val="en-US" w:eastAsia="zh-CN"/>
              </w:rPr>
              <w:t>/</w:t>
            </w:r>
            <w:permEnd w:id="134"/>
            <w:r>
              <w:rPr>
                <w:rFonts w:hint="eastAsia" w:ascii="Times New Roman" w:hAnsi="Times New Roman" w:eastAsia="宋体" w:cs="Times New Roman"/>
                <w:color w:val="auto"/>
                <w:highlight w:val="none"/>
              </w:rPr>
              <w:t>分</w:t>
            </w:r>
            <w:r>
              <w:rPr>
                <w:rFonts w:hint="eastAsia"/>
                <w:color w:val="auto"/>
                <w:highlight w:val="none"/>
              </w:rPr>
              <w:t>。中间值按比例内插，计算结果精确至小数点后两</w:t>
            </w:r>
            <w:r>
              <w:rPr>
                <w:rFonts w:hint="eastAsia" w:ascii="宋体" w:hAnsi="宋体" w:eastAsia="宋体" w:cs="宋体"/>
                <w:color w:val="auto"/>
                <w:highlight w:val="none"/>
              </w:rPr>
              <w:t>位，第三位四舍五入，保留两位小数，以此求得各投标人的报价得分。经济标得分最低为0分，所有负值均计0分，</w:t>
            </w:r>
            <w:r>
              <w:rPr>
                <w:rFonts w:hint="eastAsia"/>
                <w:color w:val="auto"/>
                <w:highlight w:val="none"/>
              </w:rPr>
              <w:t>不设负分。以上文字描述和公式表达在理解上有歧义时，以公式表达为准，公式表示如下：</w:t>
            </w:r>
          </w:p>
          <w:p w14:paraId="46CA3E9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F1=F-（∣D1-D∣／D×100）×E</w:t>
            </w:r>
          </w:p>
          <w:p w14:paraId="1583CA94">
            <w:pPr>
              <w:spacing w:line="360" w:lineRule="auto"/>
              <w:jc w:val="left"/>
              <w:rPr>
                <w:rFonts w:hint="eastAsia"/>
                <w:color w:val="auto"/>
                <w:highlight w:val="none"/>
              </w:rPr>
            </w:pPr>
            <w:r>
              <w:rPr>
                <w:rFonts w:hint="eastAsia"/>
                <w:color w:val="auto"/>
                <w:highlight w:val="none"/>
              </w:rPr>
              <w:t>式中：</w:t>
            </w:r>
            <w:r>
              <w:rPr>
                <w:rFonts w:hint="eastAsia" w:ascii="宋体" w:hAnsi="宋体" w:eastAsia="宋体" w:cs="宋体"/>
                <w:color w:val="auto"/>
                <w:highlight w:val="none"/>
              </w:rPr>
              <w:t>F1=投</w:t>
            </w:r>
            <w:r>
              <w:rPr>
                <w:rFonts w:hint="eastAsia"/>
                <w:color w:val="auto"/>
                <w:highlight w:val="none"/>
              </w:rPr>
              <w:t>标人价格得分；</w:t>
            </w:r>
          </w:p>
          <w:p w14:paraId="7D06EF1B">
            <w:pPr>
              <w:spacing w:line="360" w:lineRule="auto"/>
              <w:ind w:firstLine="630" w:firstLineChars="300"/>
              <w:jc w:val="left"/>
              <w:rPr>
                <w:color w:val="auto"/>
                <w:highlight w:val="none"/>
              </w:rPr>
            </w:pPr>
            <w:r>
              <w:rPr>
                <w:rFonts w:hint="eastAsia" w:ascii="宋体" w:hAnsi="宋体" w:eastAsia="宋体" w:cs="宋体"/>
                <w:color w:val="auto"/>
                <w:highlight w:val="none"/>
              </w:rPr>
              <w:t>F=满</w:t>
            </w:r>
            <w:r>
              <w:rPr>
                <w:rFonts w:hint="eastAsia"/>
                <w:color w:val="auto"/>
                <w:highlight w:val="none"/>
              </w:rPr>
              <w:t>分分值；</w:t>
            </w:r>
          </w:p>
          <w:p w14:paraId="015AA4F7">
            <w:pPr>
              <w:spacing w:line="360" w:lineRule="auto"/>
              <w:ind w:firstLine="630" w:firstLineChars="300"/>
              <w:jc w:val="left"/>
              <w:rPr>
                <w:rFonts w:hint="eastAsia"/>
                <w:color w:val="auto"/>
                <w:highlight w:val="none"/>
              </w:rPr>
            </w:pPr>
            <w:r>
              <w:rPr>
                <w:rFonts w:hint="eastAsia" w:ascii="宋体" w:hAnsi="宋体" w:eastAsia="宋体" w:cs="宋体"/>
                <w:color w:val="auto"/>
                <w:highlight w:val="none"/>
              </w:rPr>
              <w:t>D1=</w:t>
            </w:r>
            <w:r>
              <w:rPr>
                <w:rFonts w:hint="eastAsia"/>
                <w:color w:val="auto"/>
                <w:highlight w:val="none"/>
              </w:rPr>
              <w:t>投标人报价；</w:t>
            </w:r>
          </w:p>
          <w:p w14:paraId="34996E0C">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D=评标基准价；</w:t>
            </w:r>
          </w:p>
          <w:p w14:paraId="032275B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若D1≥D</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则E=</w:t>
            </w:r>
            <w:permStart w:id="135" w:edGrp="everyone"/>
            <w:r>
              <w:rPr>
                <w:rFonts w:hint="eastAsia" w:ascii="宋体" w:hAnsi="宋体" w:cs="宋体"/>
                <w:color w:val="auto"/>
                <w:highlight w:val="none"/>
                <w:u w:val="single"/>
                <w:lang w:val="en-US" w:eastAsia="zh-CN"/>
              </w:rPr>
              <w:t>/</w:t>
            </w:r>
            <w:permEnd w:id="135"/>
            <w:r>
              <w:rPr>
                <w:rFonts w:hint="eastAsia" w:ascii="宋体" w:hAnsi="宋体" w:eastAsia="宋体" w:cs="宋体"/>
                <w:color w:val="auto"/>
                <w:highlight w:val="none"/>
              </w:rPr>
              <w:t>（</w:t>
            </w:r>
            <w:r>
              <w:rPr>
                <w:rFonts w:hint="eastAsia" w:ascii="宋体" w:hAnsi="宋体" w:eastAsia="宋体" w:cs="宋体"/>
                <w:color w:val="auto"/>
                <w:highlight w:val="none"/>
                <w:lang w:eastAsia="zh-CN"/>
              </w:rPr>
              <w:t>建议</w:t>
            </w:r>
            <w:r>
              <w:rPr>
                <w:rFonts w:hint="eastAsia" w:ascii="宋体" w:hAnsi="宋体" w:eastAsia="宋体" w:cs="宋体"/>
                <w:color w:val="auto"/>
                <w:highlight w:val="none"/>
              </w:rPr>
              <w:t>不低于0.5）</w:t>
            </w:r>
          </w:p>
          <w:p w14:paraId="5235D824">
            <w:pPr>
              <w:spacing w:line="360" w:lineRule="auto"/>
              <w:jc w:val="left"/>
              <w:rPr>
                <w:rFonts w:hint="eastAsia" w:ascii="宋体" w:hAnsi="宋体" w:cs="宋体"/>
                <w:color w:val="auto"/>
                <w:szCs w:val="21"/>
                <w:highlight w:val="none"/>
              </w:rPr>
            </w:pPr>
            <w:r>
              <w:rPr>
                <w:rFonts w:hint="eastAsia" w:ascii="宋体" w:hAnsi="宋体" w:eastAsia="宋体" w:cs="宋体"/>
                <w:color w:val="auto"/>
                <w:highlight w:val="none"/>
              </w:rPr>
              <w:t>若D1＜D</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则E=</w:t>
            </w:r>
            <w:permStart w:id="136" w:edGrp="everyone"/>
            <w:r>
              <w:rPr>
                <w:rFonts w:hint="eastAsia" w:ascii="宋体" w:hAnsi="宋体" w:cs="宋体"/>
                <w:color w:val="auto"/>
                <w:highlight w:val="none"/>
                <w:u w:val="single"/>
                <w:lang w:val="en-US" w:eastAsia="zh-CN"/>
              </w:rPr>
              <w:t>/</w:t>
            </w:r>
            <w:permEnd w:id="136"/>
            <w:r>
              <w:rPr>
                <w:rFonts w:hint="eastAsia" w:ascii="宋体" w:hAnsi="宋体" w:eastAsia="宋体" w:cs="宋体"/>
                <w:color w:val="auto"/>
                <w:highlight w:val="none"/>
              </w:rPr>
              <w:t>（</w:t>
            </w:r>
            <w:r>
              <w:rPr>
                <w:rFonts w:hint="eastAsia" w:ascii="宋体" w:hAnsi="宋体" w:eastAsia="宋体" w:cs="宋体"/>
                <w:color w:val="auto"/>
                <w:highlight w:val="none"/>
                <w:lang w:eastAsia="zh-CN"/>
              </w:rPr>
              <w:t>建议</w:t>
            </w:r>
            <w:r>
              <w:rPr>
                <w:rFonts w:hint="eastAsia" w:ascii="宋体" w:hAnsi="宋体" w:eastAsia="宋体" w:cs="宋体"/>
                <w:color w:val="auto"/>
                <w:highlight w:val="none"/>
              </w:rPr>
              <w:t>不低于0.3）</w:t>
            </w:r>
          </w:p>
        </w:tc>
      </w:tr>
    </w:tbl>
    <w:p w14:paraId="6B7BA3AD">
      <w:pPr>
        <w:pStyle w:val="3"/>
        <w:bidi w:val="0"/>
        <w:jc w:val="center"/>
        <w:rPr>
          <w:rFonts w:hint="eastAsia"/>
          <w:color w:val="auto"/>
          <w:highlight w:val="none"/>
          <w:lang w:val="en-US" w:eastAsia="zh-CN"/>
        </w:rPr>
      </w:pPr>
      <w:r>
        <w:rPr>
          <w:rFonts w:hint="eastAsia" w:ascii="宋体" w:hAnsi="宋体" w:cs="宋体"/>
          <w:b w:val="0"/>
          <w:color w:val="auto"/>
          <w:sz w:val="28"/>
          <w:szCs w:val="28"/>
          <w:highlight w:val="none"/>
        </w:rPr>
        <w:br w:type="page"/>
      </w:r>
      <w:bookmarkStart w:id="419" w:name="_Toc814162403"/>
      <w:r>
        <w:rPr>
          <w:rFonts w:hint="eastAsia"/>
          <w:color w:val="auto"/>
          <w:highlight w:val="none"/>
          <w:lang w:val="en-US" w:eastAsia="zh-CN"/>
        </w:rPr>
        <w:t>第四章 合同条款及格式</w:t>
      </w:r>
      <w:bookmarkEnd w:id="418"/>
      <w:bookmarkEnd w:id="419"/>
    </w:p>
    <w:p w14:paraId="008DC0D7">
      <w:pPr>
        <w:spacing w:line="360" w:lineRule="auto"/>
        <w:ind w:firstLine="420" w:firstLineChars="200"/>
        <w:rPr>
          <w:rFonts w:ascii="宋体" w:hAnsi="宋体"/>
          <w:color w:val="auto"/>
          <w:kern w:val="0"/>
          <w:szCs w:val="21"/>
          <w:highlight w:val="none"/>
          <w:u w:val="single"/>
        </w:rPr>
      </w:pPr>
      <w:permStart w:id="137" w:edGrp="everyone"/>
      <w:r>
        <w:rPr>
          <w:rFonts w:hint="eastAsia" w:ascii="宋体" w:hAnsi="宋体"/>
          <w:color w:val="auto"/>
          <w:kern w:val="0"/>
          <w:szCs w:val="21"/>
          <w:highlight w:val="none"/>
          <w:u w:val="single"/>
        </w:rPr>
        <w:t>采用《建设工程设计合同示范文本（房屋建筑工程）》（GF-2015-0209）/《建设工程设计合同示范文本（专业建设工程）》（GF-2015-0210）和</w:t>
      </w:r>
      <w:r>
        <w:rPr>
          <w:color w:val="auto"/>
          <w:kern w:val="0"/>
          <w:szCs w:val="21"/>
          <w:highlight w:val="none"/>
          <w:u w:val="single"/>
        </w:rPr>
        <w:t>《建设工程勘察合同（示范文本）》（</w:t>
      </w:r>
      <w:r>
        <w:rPr>
          <w:rFonts w:hint="eastAsia" w:ascii="宋体" w:hAnsi="宋体" w:eastAsia="宋体" w:cs="Times New Roman"/>
          <w:color w:val="auto"/>
          <w:kern w:val="0"/>
          <w:szCs w:val="21"/>
          <w:highlight w:val="none"/>
          <w:u w:val="single"/>
        </w:rPr>
        <w:t>GF-2016-0203</w:t>
      </w:r>
      <w:r>
        <w:rPr>
          <w:color w:val="auto"/>
          <w:kern w:val="0"/>
          <w:szCs w:val="21"/>
          <w:highlight w:val="none"/>
          <w:u w:val="single"/>
        </w:rPr>
        <w:t>）</w:t>
      </w:r>
      <w:r>
        <w:rPr>
          <w:rFonts w:hint="eastAsia" w:ascii="宋体" w:hAnsi="宋体"/>
          <w:color w:val="auto"/>
          <w:kern w:val="0"/>
          <w:szCs w:val="21"/>
          <w:highlight w:val="none"/>
          <w:u w:val="single"/>
        </w:rPr>
        <w:t>。</w:t>
      </w:r>
    </w:p>
    <w:permEnd w:id="137"/>
    <w:p w14:paraId="46C539E8">
      <w:pPr>
        <w:pStyle w:val="3"/>
        <w:jc w:val="center"/>
        <w:rPr>
          <w:rFonts w:hint="eastAsia"/>
          <w:color w:val="auto"/>
          <w:highlight w:val="none"/>
        </w:rPr>
      </w:pPr>
      <w:r>
        <w:rPr>
          <w:rFonts w:ascii="宋体" w:hAnsi="宋体"/>
          <w:color w:val="auto"/>
          <w:kern w:val="0"/>
          <w:szCs w:val="21"/>
          <w:highlight w:val="none"/>
          <w:u w:val="single"/>
        </w:rPr>
        <w:br w:type="page"/>
      </w:r>
      <w:bookmarkStart w:id="420" w:name="_Toc29565"/>
      <w:bookmarkStart w:id="421" w:name="_Toc13113"/>
      <w:bookmarkStart w:id="422" w:name="_Toc2591750"/>
      <w:bookmarkStart w:id="423" w:name="_Toc26011"/>
      <w:bookmarkStart w:id="424" w:name="_Toc11629"/>
      <w:bookmarkStart w:id="425" w:name="_Toc867357559"/>
      <w:bookmarkStart w:id="426" w:name="_Toc213966408"/>
      <w:bookmarkStart w:id="427" w:name="_Toc7218"/>
      <w:r>
        <w:rPr>
          <w:rFonts w:hint="eastAsia"/>
          <w:color w:val="auto"/>
          <w:highlight w:val="none"/>
        </w:rPr>
        <w:t>第五章</w:t>
      </w:r>
      <w:r>
        <w:rPr>
          <w:color w:val="auto"/>
          <w:highlight w:val="none"/>
        </w:rPr>
        <w:t xml:space="preserve"> </w:t>
      </w:r>
      <w:r>
        <w:rPr>
          <w:rFonts w:hint="eastAsia"/>
          <w:color w:val="auto"/>
          <w:highlight w:val="none"/>
        </w:rPr>
        <w:t>勘察设计任务书</w:t>
      </w:r>
      <w:bookmarkEnd w:id="420"/>
      <w:bookmarkEnd w:id="421"/>
      <w:bookmarkEnd w:id="422"/>
      <w:bookmarkEnd w:id="423"/>
      <w:bookmarkEnd w:id="424"/>
      <w:bookmarkEnd w:id="425"/>
      <w:bookmarkEnd w:id="426"/>
      <w:bookmarkEnd w:id="427"/>
    </w:p>
    <w:p w14:paraId="3EF3FA1F">
      <w:pPr>
        <w:spacing w:line="360" w:lineRule="auto"/>
        <w:rPr>
          <w:rFonts w:hint="eastAsia" w:ascii="宋体" w:hAnsi="宋体" w:eastAsia="宋体" w:cs="宋体"/>
          <w:szCs w:val="21"/>
        </w:rPr>
      </w:pPr>
      <w:bookmarkStart w:id="428" w:name="_Toc689"/>
      <w:bookmarkStart w:id="429" w:name="_Toc9796"/>
      <w:bookmarkStart w:id="430" w:name="_Toc14748"/>
      <w:bookmarkStart w:id="431" w:name="_Toc1020821105"/>
      <w:bookmarkStart w:id="432" w:name="_Toc24753"/>
      <w:bookmarkStart w:id="433" w:name="_Toc3765"/>
      <w:bookmarkStart w:id="434" w:name="_Toc2591751"/>
      <w:permStart w:id="138" w:edGrp="everyone"/>
      <w:r>
        <w:rPr>
          <w:rFonts w:hint="eastAsia" w:ascii="宋体" w:hAnsi="宋体" w:eastAsia="宋体" w:cs="宋体"/>
          <w:szCs w:val="21"/>
        </w:rPr>
        <w:t xml:space="preserve">1. </w:t>
      </w:r>
      <w:bookmarkEnd w:id="428"/>
      <w:bookmarkEnd w:id="429"/>
      <w:bookmarkEnd w:id="430"/>
      <w:bookmarkEnd w:id="431"/>
      <w:bookmarkEnd w:id="432"/>
      <w:bookmarkEnd w:id="433"/>
      <w:bookmarkEnd w:id="434"/>
      <w:r>
        <w:rPr>
          <w:rFonts w:hint="eastAsia" w:ascii="宋体" w:hAnsi="宋体" w:eastAsia="宋体" w:cs="宋体"/>
          <w:szCs w:val="21"/>
        </w:rPr>
        <w:t>项目概述</w:t>
      </w:r>
    </w:p>
    <w:p w14:paraId="2283AB96">
      <w:pPr>
        <w:keepNext/>
        <w:keepLines/>
        <w:spacing w:line="360" w:lineRule="auto"/>
        <w:outlineLvl w:val="3"/>
        <w:rPr>
          <w:rFonts w:hint="eastAsia" w:ascii="宋体" w:hAnsi="宋体" w:eastAsia="宋体" w:cs="宋体"/>
          <w:b w:val="0"/>
          <w:bCs w:val="0"/>
          <w:szCs w:val="21"/>
        </w:rPr>
      </w:pPr>
      <w:r>
        <w:rPr>
          <w:rFonts w:hint="eastAsia" w:ascii="宋体" w:hAnsi="宋体" w:eastAsia="宋体" w:cs="宋体"/>
          <w:b w:val="0"/>
          <w:bCs w:val="0"/>
          <w:szCs w:val="21"/>
        </w:rPr>
        <w:t>项目名称：三角镇新华北路道路工程</w:t>
      </w:r>
    </w:p>
    <w:p w14:paraId="15366E8C">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项目建设地点：中山市三角镇</w:t>
      </w:r>
    </w:p>
    <w:p w14:paraId="66DB19D3">
      <w:pPr>
        <w:keepNext/>
        <w:keepLines/>
        <w:spacing w:line="360" w:lineRule="auto"/>
        <w:outlineLvl w:val="3"/>
        <w:rPr>
          <w:rFonts w:hint="eastAsia" w:ascii="宋体" w:hAnsi="宋体" w:eastAsia="宋体" w:cs="宋体"/>
          <w:b w:val="0"/>
          <w:bCs w:val="0"/>
          <w:szCs w:val="21"/>
        </w:rPr>
      </w:pPr>
      <w:r>
        <w:rPr>
          <w:rFonts w:hint="eastAsia" w:ascii="宋体" w:hAnsi="宋体" w:eastAsia="宋体" w:cs="宋体"/>
          <w:b w:val="0"/>
          <w:bCs w:val="0"/>
          <w:szCs w:val="21"/>
        </w:rPr>
        <w:t>项目概况：本工程共涉及</w:t>
      </w:r>
      <w:r>
        <w:rPr>
          <w:rFonts w:ascii="宋体" w:hAnsi="宋体" w:eastAsia="宋体" w:cs="宋体"/>
          <w:b w:val="0"/>
          <w:bCs w:val="0"/>
          <w:szCs w:val="21"/>
        </w:rPr>
        <w:t>1条道路建设，位于三角镇</w:t>
      </w:r>
      <w:r>
        <w:rPr>
          <w:rFonts w:hint="eastAsia" w:ascii="宋体" w:hAnsi="宋体" w:eastAsia="宋体" w:cs="宋体"/>
          <w:b w:val="0"/>
          <w:bCs w:val="0"/>
          <w:szCs w:val="21"/>
        </w:rPr>
        <w:t>高平化工园区</w:t>
      </w:r>
      <w:r>
        <w:rPr>
          <w:rFonts w:ascii="宋体" w:hAnsi="宋体" w:eastAsia="宋体" w:cs="宋体"/>
          <w:b w:val="0"/>
          <w:bCs w:val="0"/>
          <w:szCs w:val="21"/>
        </w:rPr>
        <w:t>，为三角镇的重要干道网络。新华北路起点位于</w:t>
      </w:r>
      <w:r>
        <w:rPr>
          <w:rFonts w:hint="eastAsia" w:ascii="宋体" w:hAnsi="宋体" w:eastAsia="宋体" w:cs="宋体"/>
          <w:b w:val="0"/>
          <w:bCs w:val="0"/>
          <w:szCs w:val="21"/>
        </w:rPr>
        <w:t>上九屈涌北岸福泽三街</w:t>
      </w:r>
      <w:r>
        <w:rPr>
          <w:rFonts w:ascii="宋体" w:hAnsi="宋体" w:eastAsia="宋体" w:cs="宋体"/>
          <w:b w:val="0"/>
          <w:bCs w:val="0"/>
          <w:szCs w:val="21"/>
        </w:rPr>
        <w:t>，</w:t>
      </w:r>
      <w:r>
        <w:rPr>
          <w:rFonts w:hint="eastAsia" w:ascii="宋体" w:hAnsi="宋体" w:eastAsia="宋体" w:cs="宋体"/>
          <w:b w:val="0"/>
          <w:bCs w:val="0"/>
          <w:szCs w:val="21"/>
        </w:rPr>
        <w:t>南北走向</w:t>
      </w:r>
      <w:r>
        <w:rPr>
          <w:rFonts w:ascii="宋体" w:hAnsi="宋体" w:eastAsia="宋体" w:cs="宋体"/>
          <w:b w:val="0"/>
          <w:bCs w:val="0"/>
          <w:szCs w:val="21"/>
        </w:rPr>
        <w:t>，</w:t>
      </w:r>
      <w:r>
        <w:rPr>
          <w:rFonts w:hint="eastAsia" w:ascii="宋体" w:hAnsi="宋体" w:eastAsia="宋体" w:cs="宋体"/>
          <w:b w:val="0"/>
          <w:bCs w:val="0"/>
          <w:szCs w:val="21"/>
        </w:rPr>
        <w:t>与规划</w:t>
      </w:r>
      <w:r>
        <w:rPr>
          <w:rFonts w:ascii="宋体" w:hAnsi="宋体" w:eastAsia="宋体" w:cs="宋体"/>
          <w:b w:val="0"/>
          <w:bCs w:val="0"/>
          <w:szCs w:val="21"/>
        </w:rPr>
        <w:t>环镇路</w:t>
      </w:r>
      <w:r>
        <w:rPr>
          <w:rFonts w:hint="eastAsia" w:ascii="宋体" w:hAnsi="宋体" w:eastAsia="宋体" w:cs="宋体"/>
          <w:b w:val="0"/>
          <w:bCs w:val="0"/>
          <w:szCs w:val="21"/>
        </w:rPr>
        <w:t>平交</w:t>
      </w:r>
      <w:r>
        <w:rPr>
          <w:rFonts w:ascii="宋体" w:hAnsi="宋体" w:eastAsia="宋体" w:cs="宋体"/>
          <w:b w:val="0"/>
          <w:bCs w:val="0"/>
          <w:szCs w:val="21"/>
        </w:rPr>
        <w:t>，向南延伸至</w:t>
      </w:r>
      <w:r>
        <w:rPr>
          <w:rFonts w:hint="eastAsia" w:ascii="宋体" w:hAnsi="宋体" w:eastAsia="宋体" w:cs="宋体"/>
          <w:b w:val="0"/>
          <w:bCs w:val="0"/>
          <w:szCs w:val="21"/>
        </w:rPr>
        <w:t>规划道路作为设计终点</w:t>
      </w:r>
      <w:r>
        <w:rPr>
          <w:rFonts w:ascii="宋体" w:hAnsi="宋体" w:eastAsia="宋体" w:cs="宋体"/>
          <w:b w:val="0"/>
          <w:bCs w:val="0"/>
          <w:szCs w:val="21"/>
        </w:rPr>
        <w:t>，线位总长1.625km</w:t>
      </w:r>
      <w:r>
        <w:rPr>
          <w:rFonts w:hint="eastAsia" w:ascii="宋体" w:hAnsi="宋体" w:eastAsia="宋体" w:cs="宋体"/>
          <w:b w:val="0"/>
          <w:bCs w:val="0"/>
          <w:szCs w:val="21"/>
        </w:rPr>
        <w:t>。本条道路建设标准为城市次干路，设计时速为40km/h，设计道路宽度为24m，沿线新建箱涵两座，配套实施交通工程、智能交通工程、给排水工程、工业污水、事故废水、电力工程、通讯工程、照明工程、绿化工程、蒸汽管道工程等。在与民古路交叉节点，同步实施上跨民古路桥梁60m，</w:t>
      </w:r>
      <w:r>
        <w:rPr>
          <w:rFonts w:hint="eastAsia" w:ascii="宋体" w:hAnsi="宋体" w:eastAsia="宋体" w:cs="宋体"/>
          <w:i w:val="0"/>
          <w:color w:val="auto"/>
          <w:kern w:val="0"/>
          <w:sz w:val="20"/>
          <w:szCs w:val="20"/>
          <w:highlight w:val="none"/>
          <w:u w:val="none"/>
          <w:lang w:val="en-US" w:eastAsia="zh-CN" w:bidi="ar"/>
        </w:rPr>
        <w:t>最大跨度为30m，</w:t>
      </w:r>
      <w:r>
        <w:rPr>
          <w:rFonts w:hint="eastAsia" w:ascii="宋体" w:hAnsi="宋体" w:eastAsia="宋体" w:cs="宋体"/>
          <w:b w:val="0"/>
          <w:bCs w:val="0"/>
          <w:szCs w:val="21"/>
        </w:rPr>
        <w:t>为新华北路预留远期实施条件。</w:t>
      </w:r>
    </w:p>
    <w:p w14:paraId="42AE226D">
      <w:pPr>
        <w:numPr>
          <w:ilvl w:val="0"/>
          <w:numId w:val="6"/>
        </w:numPr>
        <w:spacing w:line="360" w:lineRule="auto"/>
        <w:rPr>
          <w:rFonts w:hint="eastAsia" w:ascii="宋体" w:hAnsi="宋体" w:eastAsia="宋体" w:cs="宋体"/>
          <w:szCs w:val="21"/>
        </w:rPr>
      </w:pPr>
      <w:bookmarkStart w:id="435" w:name="_Toc28483"/>
      <w:bookmarkStart w:id="436" w:name="_Toc2591752"/>
      <w:bookmarkStart w:id="437" w:name="_Toc22546"/>
      <w:bookmarkStart w:id="438" w:name="_Toc21706"/>
      <w:bookmarkStart w:id="439" w:name="_Toc1561682952"/>
      <w:bookmarkStart w:id="440" w:name="_Toc28631"/>
      <w:bookmarkStart w:id="441" w:name="_Toc6619"/>
      <w:r>
        <w:rPr>
          <w:rFonts w:hint="eastAsia" w:ascii="宋体" w:hAnsi="宋体" w:eastAsia="宋体" w:cs="宋体"/>
          <w:szCs w:val="21"/>
        </w:rPr>
        <w:t>勘察设计工作内容</w:t>
      </w:r>
      <w:bookmarkEnd w:id="435"/>
      <w:bookmarkEnd w:id="436"/>
      <w:bookmarkEnd w:id="437"/>
      <w:bookmarkEnd w:id="438"/>
      <w:bookmarkEnd w:id="439"/>
      <w:bookmarkEnd w:id="440"/>
      <w:bookmarkEnd w:id="441"/>
    </w:p>
    <w:p w14:paraId="77E08808">
      <w:pPr>
        <w:spacing w:line="360" w:lineRule="auto"/>
        <w:ind w:firstLine="420" w:firstLineChars="200"/>
        <w:rPr>
          <w:rFonts w:hint="eastAsia" w:ascii="宋体" w:hAnsi="宋体" w:eastAsia="宋体" w:cs="宋体"/>
          <w:szCs w:val="21"/>
          <w:u w:val="single"/>
        </w:rPr>
      </w:pPr>
      <w:bookmarkStart w:id="442" w:name="_Toc1194112562"/>
      <w:bookmarkStart w:id="443" w:name="_Toc16491"/>
      <w:bookmarkStart w:id="444" w:name="_Toc754"/>
      <w:bookmarkStart w:id="445" w:name="_Toc30493"/>
      <w:bookmarkStart w:id="446" w:name="_Toc2591753"/>
      <w:bookmarkStart w:id="447" w:name="_Toc86"/>
      <w:bookmarkStart w:id="448" w:name="_Toc15115"/>
      <w:r>
        <w:rPr>
          <w:rFonts w:hint="eastAsia" w:ascii="宋体" w:hAnsi="宋体" w:eastAsia="宋体" w:cs="宋体"/>
          <w:szCs w:val="21"/>
          <w:u w:val="single"/>
        </w:rPr>
        <w:t>（1）本项目勘察内容包括但不限于：</w:t>
      </w:r>
      <w:r>
        <w:rPr>
          <w:rFonts w:hint="eastAsia" w:ascii="宋体" w:hAnsi="宋体" w:cs="宋体"/>
          <w:szCs w:val="21"/>
          <w:u w:val="single"/>
          <w:lang w:eastAsia="zh-CN"/>
        </w:rPr>
        <w:t>初测（</w:t>
      </w:r>
      <w:r>
        <w:rPr>
          <w:rFonts w:hint="eastAsia" w:ascii="宋体" w:hAnsi="宋体" w:cs="宋体"/>
          <w:szCs w:val="21"/>
          <w:u w:val="single"/>
          <w:lang w:val="en-US" w:eastAsia="zh-CN"/>
        </w:rPr>
        <w:t>测量放点、管线物探及地</w:t>
      </w:r>
      <w:r>
        <w:rPr>
          <w:rFonts w:hint="eastAsia" w:ascii="宋体" w:hAnsi="宋体" w:eastAsia="宋体" w:cs="宋体"/>
          <w:szCs w:val="21"/>
          <w:u w:val="single"/>
        </w:rPr>
        <w:t>形图</w:t>
      </w:r>
      <w:r>
        <w:rPr>
          <w:rFonts w:hint="eastAsia" w:ascii="宋体" w:hAnsi="宋体" w:cs="宋体"/>
          <w:szCs w:val="21"/>
          <w:u w:val="single"/>
          <w:lang w:val="en-US" w:eastAsia="zh-CN"/>
        </w:rPr>
        <w:t>等</w:t>
      </w:r>
      <w:r>
        <w:rPr>
          <w:rFonts w:hint="eastAsia" w:ascii="宋体" w:hAnsi="宋体" w:eastAsia="宋体" w:cs="宋体"/>
          <w:szCs w:val="21"/>
          <w:u w:val="single"/>
        </w:rPr>
        <w:t>测量</w:t>
      </w:r>
      <w:r>
        <w:rPr>
          <w:rFonts w:hint="eastAsia" w:ascii="宋体" w:hAnsi="宋体" w:cs="宋体"/>
          <w:szCs w:val="21"/>
          <w:u w:val="single"/>
          <w:lang w:val="en-US" w:eastAsia="zh-CN"/>
        </w:rPr>
        <w:t>相关工作，报告须满足勘察设计深度需要）</w:t>
      </w:r>
      <w:r>
        <w:rPr>
          <w:rFonts w:hint="eastAsia" w:ascii="宋体" w:hAnsi="宋体" w:eastAsia="宋体" w:cs="宋体"/>
          <w:szCs w:val="21"/>
          <w:u w:val="single"/>
        </w:rPr>
        <w:t>和勘探，查明用地范围内地基岩土的类型、分布、岩土性质、不良地质等工程地质条件和水文地质条件，出具工程设计和施工所需要的勘察报告。为本工程所有设计和施工提供所需的工程地质依据。勘察布孔及进尺，由中标人按现行规范设计布置（按用地现状及设计单位有关需求进行勘察</w:t>
      </w:r>
      <w:r>
        <w:rPr>
          <w:rFonts w:hint="eastAsia" w:ascii="宋体" w:hAnsi="宋体" w:eastAsia="宋体" w:cs="宋体"/>
          <w:b/>
          <w:bCs/>
          <w:szCs w:val="21"/>
          <w:u w:val="single"/>
        </w:rPr>
        <w:t>，</w:t>
      </w:r>
      <w:r>
        <w:rPr>
          <w:rFonts w:hint="eastAsia" w:ascii="宋体" w:hAnsi="宋体" w:eastAsia="宋体" w:cs="宋体"/>
          <w:szCs w:val="21"/>
          <w:u w:val="single"/>
        </w:rPr>
        <w:t>并经建设单位认可），并负责配合勘察文件审查工作。如果在设计期间地形发生明显变化影响到图纸编制时，需及时更新地形图测量成果。</w:t>
      </w:r>
    </w:p>
    <w:p w14:paraId="0360D09C">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2）设计内容包括但不限于：方案设计、初步设计(含编制概算书)、施工图设计、配合招标人施工图审查（包含各专业图纸审查）、施工现场指导与监督、工程调整和竣工验收设计服务等。初步设计要求取得住建部门的审批合格意见书，</w:t>
      </w:r>
      <w:r>
        <w:rPr>
          <w:rFonts w:hint="eastAsia" w:ascii="宋体" w:hAnsi="宋体" w:cs="宋体"/>
          <w:szCs w:val="21"/>
          <w:highlight w:val="yellow"/>
          <w:u w:val="single"/>
          <w:lang w:val="en-US" w:eastAsia="zh-CN"/>
        </w:rPr>
        <w:t>并取得施工图审查合格证，</w:t>
      </w:r>
      <w:r>
        <w:rPr>
          <w:rFonts w:hint="eastAsia" w:ascii="宋体" w:hAnsi="宋体" w:eastAsia="宋体" w:cs="宋体"/>
          <w:b/>
          <w:bCs/>
          <w:szCs w:val="21"/>
          <w:u w:val="single"/>
        </w:rPr>
        <w:t>同时要求按限额设计</w:t>
      </w:r>
      <w:r>
        <w:rPr>
          <w:rFonts w:hint="eastAsia" w:ascii="宋体" w:hAnsi="宋体" w:eastAsia="宋体" w:cs="宋体"/>
          <w:szCs w:val="21"/>
          <w:u w:val="single"/>
        </w:rPr>
        <w:t>。中标人提供建设工程报建所需的工程图纸及资料、建设全过程设计服务及协调工作、负责规划报建代办理。包括但不限于道路工程、桥梁工程、照明工程、绿化工程等。</w:t>
      </w:r>
    </w:p>
    <w:p w14:paraId="7582905D">
      <w:pPr>
        <w:spacing w:line="360" w:lineRule="auto"/>
        <w:rPr>
          <w:rFonts w:hint="eastAsia" w:ascii="宋体" w:hAnsi="宋体" w:eastAsia="宋体" w:cs="宋体"/>
          <w:szCs w:val="21"/>
        </w:rPr>
      </w:pPr>
      <w:r>
        <w:rPr>
          <w:rFonts w:hint="eastAsia" w:ascii="宋体" w:hAnsi="宋体" w:eastAsia="宋体" w:cs="宋体"/>
          <w:szCs w:val="21"/>
        </w:rPr>
        <w:t>3. 勘察设计标准</w:t>
      </w:r>
      <w:bookmarkEnd w:id="442"/>
      <w:bookmarkEnd w:id="443"/>
      <w:bookmarkEnd w:id="444"/>
      <w:bookmarkEnd w:id="445"/>
      <w:bookmarkEnd w:id="446"/>
      <w:bookmarkEnd w:id="447"/>
      <w:bookmarkEnd w:id="448"/>
    </w:p>
    <w:p w14:paraId="0BA153F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szCs w:val="21"/>
        </w:rPr>
        <w:t>详见《可行性研究报告》</w:t>
      </w:r>
      <w:r>
        <w:rPr>
          <w:rFonts w:hint="eastAsia" w:ascii="宋体" w:hAnsi="宋体" w:eastAsia="宋体" w:cs="宋体"/>
          <w:color w:val="000000"/>
          <w:szCs w:val="21"/>
        </w:rPr>
        <w:t>（修编稿）</w:t>
      </w:r>
    </w:p>
    <w:p w14:paraId="64EE62BB">
      <w:pPr>
        <w:spacing w:line="360" w:lineRule="auto"/>
        <w:rPr>
          <w:rFonts w:hint="eastAsia" w:ascii="宋体" w:hAnsi="宋体" w:eastAsia="宋体" w:cs="宋体"/>
          <w:color w:val="000000"/>
          <w:szCs w:val="21"/>
        </w:rPr>
      </w:pPr>
      <w:bookmarkStart w:id="449" w:name="_Toc3625"/>
      <w:bookmarkStart w:id="450" w:name="_Toc30686"/>
      <w:bookmarkStart w:id="451" w:name="_Toc2591754"/>
      <w:bookmarkStart w:id="452" w:name="_Toc13762"/>
      <w:bookmarkStart w:id="453" w:name="_Toc1223944986"/>
      <w:bookmarkStart w:id="454" w:name="_Toc3681"/>
      <w:bookmarkStart w:id="455" w:name="_Toc11897"/>
      <w:r>
        <w:rPr>
          <w:rFonts w:hint="eastAsia" w:ascii="宋体" w:hAnsi="宋体" w:eastAsia="宋体" w:cs="宋体"/>
          <w:color w:val="000000"/>
          <w:szCs w:val="21"/>
        </w:rPr>
        <w:t>4.勘察设计依据</w:t>
      </w:r>
      <w:bookmarkEnd w:id="449"/>
      <w:bookmarkEnd w:id="450"/>
      <w:bookmarkEnd w:id="451"/>
      <w:bookmarkEnd w:id="452"/>
      <w:bookmarkEnd w:id="453"/>
      <w:bookmarkEnd w:id="454"/>
      <w:bookmarkEnd w:id="455"/>
    </w:p>
    <w:p w14:paraId="33F1035A">
      <w:pPr>
        <w:spacing w:line="360" w:lineRule="auto"/>
        <w:ind w:firstLine="420" w:firstLineChars="200"/>
        <w:rPr>
          <w:rFonts w:hint="eastAsia" w:ascii="宋体" w:hAnsi="宋体" w:eastAsia="宋体" w:cs="宋体"/>
          <w:szCs w:val="21"/>
        </w:rPr>
      </w:pPr>
      <w:r>
        <w:rPr>
          <w:rFonts w:hint="eastAsia" w:ascii="宋体" w:hAnsi="宋体" w:eastAsia="宋体" w:cs="宋体"/>
          <w:color w:val="000000"/>
          <w:szCs w:val="21"/>
        </w:rPr>
        <w:t xml:space="preserve"> 详见《可行性研究报告》（修编稿）</w:t>
      </w:r>
    </w:p>
    <w:p w14:paraId="71C006EB">
      <w:pPr>
        <w:numPr>
          <w:ilvl w:val="0"/>
          <w:numId w:val="7"/>
        </w:numPr>
        <w:spacing w:line="360" w:lineRule="auto"/>
        <w:rPr>
          <w:rFonts w:hint="eastAsia" w:ascii="宋体" w:hAnsi="宋体" w:eastAsia="宋体" w:cs="宋体"/>
          <w:szCs w:val="21"/>
        </w:rPr>
      </w:pPr>
      <w:r>
        <w:rPr>
          <w:rFonts w:hint="eastAsia" w:ascii="宋体" w:hAnsi="宋体" w:eastAsia="宋体" w:cs="宋体"/>
          <w:szCs w:val="21"/>
        </w:rPr>
        <w:t>勘察工作量</w:t>
      </w:r>
    </w:p>
    <w:p w14:paraId="65D9142F">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根据本项目工程特点，勘察钻孔分为路基钻孔、排水管线钻孔、箱涵钻孔、桥梁钻孔。由于污水管采用顶管工艺，路基钻孔结合排水钻孔布置。 </w:t>
      </w:r>
    </w:p>
    <w:p w14:paraId="7497219E">
      <w:pPr>
        <w:spacing w:line="360" w:lineRule="auto"/>
        <w:rPr>
          <w:rFonts w:hint="eastAsia" w:ascii="宋体" w:hAnsi="宋体" w:eastAsia="宋体" w:cs="宋体"/>
          <w:color w:val="000000"/>
          <w:szCs w:val="21"/>
        </w:rPr>
      </w:pPr>
      <w:r>
        <w:rPr>
          <w:rFonts w:hint="eastAsia" w:ascii="宋体" w:hAnsi="宋体" w:eastAsia="宋体" w:cs="宋体"/>
          <w:color w:val="000000"/>
          <w:szCs w:val="21"/>
        </w:rPr>
        <w:t>排水钻孔：</w:t>
      </w:r>
    </w:p>
    <w:p w14:paraId="3E12495B">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由于污水管采用顶管工艺，本次勘察沿道路按间距30m呈“之”形布孔。具体钻孔位置根据场地条件而定，路基钻孔结合排水钻孔布置，共计94孔。顶管工作井钻孔深度不超过25m。钻孔总深度不超过2350米。</w:t>
      </w:r>
    </w:p>
    <w:p w14:paraId="4EBB405D">
      <w:pPr>
        <w:spacing w:line="360" w:lineRule="auto"/>
        <w:rPr>
          <w:rFonts w:hint="eastAsia" w:ascii="宋体" w:hAnsi="宋体" w:eastAsia="宋体" w:cs="宋体"/>
          <w:color w:val="000000"/>
          <w:szCs w:val="21"/>
        </w:rPr>
      </w:pPr>
      <w:r>
        <w:rPr>
          <w:rFonts w:hint="eastAsia" w:ascii="宋体" w:hAnsi="宋体" w:eastAsia="宋体" w:cs="宋体"/>
          <w:color w:val="000000"/>
          <w:szCs w:val="21"/>
        </w:rPr>
        <w:t>道路钻孔：</w:t>
      </w:r>
    </w:p>
    <w:p w14:paraId="59891ADC">
      <w:pPr>
        <w:spacing w:line="360" w:lineRule="auto"/>
        <w:rPr>
          <w:rFonts w:hint="eastAsia" w:ascii="宋体" w:hAnsi="宋体" w:eastAsia="宋体" w:cs="宋体"/>
          <w:color w:val="000000"/>
          <w:szCs w:val="21"/>
        </w:rPr>
      </w:pPr>
      <w:r>
        <w:rPr>
          <w:rFonts w:hint="eastAsia" w:ascii="宋体" w:hAnsi="宋体" w:eastAsia="宋体" w:cs="宋体"/>
          <w:color w:val="000000"/>
          <w:szCs w:val="21"/>
        </w:rPr>
        <w:t>结合排水勘探孔一并考虑可满足要求。</w:t>
      </w:r>
    </w:p>
    <w:p w14:paraId="6F9B09DF">
      <w:pPr>
        <w:spacing w:line="360" w:lineRule="auto"/>
        <w:rPr>
          <w:rFonts w:hint="eastAsia" w:ascii="宋体" w:hAnsi="宋体" w:eastAsia="宋体" w:cs="宋体"/>
          <w:color w:val="000000"/>
          <w:szCs w:val="21"/>
        </w:rPr>
      </w:pPr>
      <w:r>
        <w:rPr>
          <w:rFonts w:hint="eastAsia" w:ascii="宋体" w:hAnsi="宋体" w:eastAsia="宋体" w:cs="宋体"/>
          <w:color w:val="000000"/>
          <w:szCs w:val="21"/>
        </w:rPr>
        <w:t>箱涵钻孔：</w:t>
      </w:r>
    </w:p>
    <w:p w14:paraId="751E691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根据场地条件及拟建物特征，本次勘察箱涵地段共布10孔。钻孔深度暂按摩擦桩考虑，钻孔深度不超过70m。钻孔总深度不超过700米。</w:t>
      </w:r>
    </w:p>
    <w:p w14:paraId="2A13D66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桥梁钻孔：</w:t>
      </w:r>
    </w:p>
    <w:p w14:paraId="70FBBB24">
      <w:pPr>
        <w:spacing w:line="360" w:lineRule="auto"/>
        <w:rPr>
          <w:rFonts w:hint="eastAsia" w:ascii="宋体" w:hAnsi="宋体" w:eastAsia="宋体" w:cs="宋体"/>
          <w:color w:val="000000"/>
          <w:szCs w:val="21"/>
        </w:rPr>
      </w:pPr>
      <w:r>
        <w:rPr>
          <w:rFonts w:hint="eastAsia" w:ascii="宋体" w:hAnsi="宋体" w:eastAsia="宋体" w:cs="宋体"/>
          <w:color w:val="000000"/>
          <w:szCs w:val="21"/>
        </w:rPr>
        <w:t>拟建场地工程地质条件较复杂，本次勘察桥梁孔按每个墩位对角或中心点布孔，共计12孔，全部为控制性钻孔。钻孔深度暂按摩擦桩考虑，钻孔深度不超过70m。钻孔总深度不超过840米。</w:t>
      </w:r>
    </w:p>
    <w:p w14:paraId="5D02DCDC">
      <w:pPr>
        <w:numPr>
          <w:ilvl w:val="0"/>
          <w:numId w:val="7"/>
        </w:numPr>
        <w:spacing w:line="360" w:lineRule="auto"/>
        <w:rPr>
          <w:rFonts w:hint="eastAsia" w:ascii="宋体" w:hAnsi="宋体" w:eastAsia="宋体" w:cs="宋体"/>
          <w:szCs w:val="21"/>
        </w:rPr>
      </w:pPr>
      <w:r>
        <w:rPr>
          <w:rFonts w:hint="eastAsia" w:ascii="宋体" w:hAnsi="宋体" w:eastAsia="宋体" w:cs="宋体"/>
          <w:szCs w:val="21"/>
        </w:rPr>
        <w:t>勘察设计成果要求</w:t>
      </w:r>
    </w:p>
    <w:p w14:paraId="6E2B17FE">
      <w:pPr>
        <w:pStyle w:val="8"/>
        <w:rPr>
          <w:rFonts w:hint="eastAsia" w:ascii="宋体" w:hAnsi="宋体" w:eastAsia="宋体" w:cs="宋体"/>
          <w:sz w:val="21"/>
          <w:szCs w:val="21"/>
          <w:lang w:val="en-US" w:eastAsia="zh-CN"/>
        </w:rPr>
      </w:pPr>
      <w:r>
        <w:rPr>
          <w:rFonts w:hint="eastAsia" w:ascii="宋体" w:hAnsi="宋体" w:eastAsia="宋体" w:cs="宋体"/>
          <w:sz w:val="21"/>
          <w:szCs w:val="21"/>
          <w:u w:val="single"/>
        </w:rPr>
        <w:t>（1）</w:t>
      </w:r>
      <w:r>
        <w:rPr>
          <w:rFonts w:hint="eastAsia" w:ascii="宋体" w:hAnsi="宋体" w:eastAsia="宋体" w:cs="宋体"/>
          <w:sz w:val="21"/>
          <w:szCs w:val="21"/>
          <w:u w:val="single"/>
          <w:lang w:eastAsia="zh-CN"/>
        </w:rPr>
        <w:t>勘察成果要求</w:t>
      </w:r>
    </w:p>
    <w:tbl>
      <w:tblPr>
        <w:tblStyle w:val="26"/>
        <w:tblW w:w="4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1216"/>
        <w:gridCol w:w="5052"/>
      </w:tblGrid>
      <w:tr w14:paraId="103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01" w:type="pct"/>
            <w:noWrap w:val="0"/>
            <w:vAlign w:val="center"/>
          </w:tcPr>
          <w:p w14:paraId="1168C681">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资料及文件名称</w:t>
            </w:r>
          </w:p>
        </w:tc>
        <w:tc>
          <w:tcPr>
            <w:tcW w:w="698" w:type="pct"/>
            <w:noWrap w:val="0"/>
            <w:vAlign w:val="center"/>
          </w:tcPr>
          <w:p w14:paraId="53EDD2FA">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份数/电子版数量</w:t>
            </w:r>
          </w:p>
        </w:tc>
        <w:tc>
          <w:tcPr>
            <w:tcW w:w="2900" w:type="pct"/>
            <w:noWrap w:val="0"/>
            <w:vAlign w:val="center"/>
          </w:tcPr>
          <w:p w14:paraId="61267316">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提交时间</w:t>
            </w:r>
          </w:p>
        </w:tc>
      </w:tr>
      <w:tr w14:paraId="0F78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01" w:type="pct"/>
            <w:noWrap w:val="0"/>
            <w:vAlign w:val="center"/>
          </w:tcPr>
          <w:p w14:paraId="699A42C4">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测量成果、</w:t>
            </w:r>
            <w:r>
              <w:rPr>
                <w:rFonts w:hint="eastAsia" w:ascii="宋体" w:hAnsi="宋体" w:eastAsia="宋体" w:cs="宋体"/>
                <w:color w:val="auto"/>
                <w:sz w:val="21"/>
                <w:szCs w:val="21"/>
                <w:highlight w:val="none"/>
              </w:rPr>
              <w:t>勘察报告（送审稿）</w:t>
            </w:r>
          </w:p>
        </w:tc>
        <w:tc>
          <w:tcPr>
            <w:tcW w:w="698" w:type="pct"/>
            <w:noWrap w:val="0"/>
            <w:vAlign w:val="center"/>
          </w:tcPr>
          <w:p w14:paraId="1559EA70">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p>
        </w:tc>
        <w:tc>
          <w:tcPr>
            <w:tcW w:w="2900" w:type="pct"/>
            <w:noWrap w:val="0"/>
            <w:vAlign w:val="center"/>
          </w:tcPr>
          <w:p w14:paraId="193CA3A0">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在合同签订后25个内完成现场勘查并提交测量成果/钻探方案/勘察报告（送审稿）。</w:t>
            </w:r>
          </w:p>
        </w:tc>
      </w:tr>
      <w:tr w14:paraId="1D39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01" w:type="pct"/>
            <w:noWrap w:val="0"/>
            <w:vAlign w:val="center"/>
          </w:tcPr>
          <w:p w14:paraId="2E26D11E">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经审查合格并加盖审图合格章的勘察报告</w:t>
            </w:r>
          </w:p>
        </w:tc>
        <w:tc>
          <w:tcPr>
            <w:tcW w:w="698" w:type="pct"/>
            <w:noWrap w:val="0"/>
            <w:vAlign w:val="center"/>
          </w:tcPr>
          <w:p w14:paraId="29684ED3">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w:t>
            </w:r>
          </w:p>
        </w:tc>
        <w:tc>
          <w:tcPr>
            <w:tcW w:w="2900" w:type="pct"/>
            <w:noWrap w:val="0"/>
            <w:vAlign w:val="center"/>
          </w:tcPr>
          <w:p w14:paraId="187725C1">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lang w:eastAsia="zh-CN"/>
              </w:rPr>
              <w:t>审查机构出具勘察报告审查意见后</w:t>
            </w:r>
            <w:r>
              <w:rPr>
                <w:rFonts w:hint="eastAsia" w:ascii="宋体" w:hAnsi="宋体" w:eastAsia="宋体" w:cs="宋体"/>
                <w:color w:val="auto"/>
                <w:sz w:val="21"/>
                <w:szCs w:val="21"/>
                <w:highlight w:val="none"/>
                <w:lang w:val="en-US" w:eastAsia="zh-CN"/>
              </w:rPr>
              <w:t xml:space="preserve"> 5 个</w:t>
            </w:r>
            <w:r>
              <w:rPr>
                <w:rFonts w:hint="eastAsia" w:ascii="宋体" w:hAnsi="宋体" w:eastAsia="宋体" w:cs="宋体"/>
                <w:color w:val="auto"/>
                <w:sz w:val="21"/>
                <w:szCs w:val="21"/>
                <w:highlight w:val="none"/>
                <w:lang w:eastAsia="zh-CN"/>
              </w:rPr>
              <w:t>日历天内完成补充、修改。</w:t>
            </w:r>
          </w:p>
        </w:tc>
      </w:tr>
    </w:tbl>
    <w:p w14:paraId="449E280B">
      <w:pPr>
        <w:kinsoku w:val="0"/>
        <w:wordWrap w:val="0"/>
        <w:spacing w:line="360" w:lineRule="auto"/>
        <w:ind w:firstLine="420" w:firstLineChars="200"/>
        <w:textAlignment w:val="baseline"/>
        <w:rPr>
          <w:rFonts w:hint="eastAsia" w:ascii="宋体" w:hAnsi="宋体" w:eastAsia="宋体" w:cs="宋体"/>
          <w:szCs w:val="21"/>
        </w:rPr>
      </w:pPr>
    </w:p>
    <w:p w14:paraId="37630E84">
      <w:pPr>
        <w:kinsoku w:val="0"/>
        <w:wordWrap w:val="0"/>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乙方应当按照勘察进度计划执行，确保不影响工程后续工作开展，因乙方原因造成工期延误的，乙方应当自费赶上进度；因政府或甲方原因导致的工期延误顺延，工期延误导致的费用增加已包含在合同中，甲方不再另行支付。</w:t>
      </w:r>
    </w:p>
    <w:p w14:paraId="7C1B4435">
      <w:pPr>
        <w:autoSpaceDE w:val="0"/>
        <w:autoSpaceDN w:val="0"/>
        <w:adjustRightInd w:val="0"/>
        <w:snapToGrid w:val="0"/>
        <w:spacing w:before="120" w:line="360" w:lineRule="auto"/>
        <w:rPr>
          <w:rFonts w:hint="eastAsia" w:ascii="宋体" w:hAnsi="宋体" w:eastAsia="宋体" w:cs="宋体"/>
          <w:snapToGrid w:val="0"/>
          <w:color w:val="000000"/>
          <w:kern w:val="0"/>
          <w:szCs w:val="21"/>
          <w:u w:val="single"/>
        </w:rPr>
      </w:pPr>
      <w:r>
        <w:rPr>
          <w:rFonts w:hint="eastAsia" w:ascii="宋体" w:hAnsi="宋体" w:eastAsia="宋体" w:cs="宋体"/>
          <w:snapToGrid w:val="0"/>
          <w:color w:val="000000"/>
          <w:kern w:val="0"/>
          <w:szCs w:val="21"/>
          <w:u w:val="single"/>
        </w:rPr>
        <w:t>（2）设计成果要求</w:t>
      </w:r>
    </w:p>
    <w:tbl>
      <w:tblPr>
        <w:tblStyle w:val="26"/>
        <w:tblW w:w="4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005"/>
        <w:gridCol w:w="1366"/>
        <w:gridCol w:w="5346"/>
      </w:tblGrid>
      <w:tr w14:paraId="29AC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noWrap w:val="0"/>
            <w:vAlign w:val="center"/>
          </w:tcPr>
          <w:p w14:paraId="744016DA">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80" w:type="pct"/>
            <w:noWrap w:val="0"/>
            <w:vAlign w:val="center"/>
          </w:tcPr>
          <w:p w14:paraId="290239E8">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资料及文件名称</w:t>
            </w:r>
          </w:p>
        </w:tc>
        <w:tc>
          <w:tcPr>
            <w:tcW w:w="736" w:type="pct"/>
            <w:noWrap w:val="0"/>
            <w:vAlign w:val="center"/>
          </w:tcPr>
          <w:p w14:paraId="47CD798E">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份数/电子版数量</w:t>
            </w:r>
          </w:p>
        </w:tc>
        <w:tc>
          <w:tcPr>
            <w:tcW w:w="2880" w:type="pct"/>
            <w:noWrap w:val="0"/>
            <w:vAlign w:val="center"/>
          </w:tcPr>
          <w:p w14:paraId="68268468">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提交时间</w:t>
            </w:r>
          </w:p>
        </w:tc>
      </w:tr>
      <w:tr w14:paraId="157F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3" w:type="pct"/>
            <w:noWrap w:val="0"/>
            <w:vAlign w:val="center"/>
          </w:tcPr>
          <w:p w14:paraId="3B6E7F0B">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1080" w:type="pct"/>
            <w:shd w:val="clear" w:color="auto" w:fill="auto"/>
            <w:noWrap w:val="0"/>
            <w:vAlign w:val="center"/>
          </w:tcPr>
          <w:p w14:paraId="24EDF128">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初步设计文件（含概算送审稿）</w:t>
            </w:r>
          </w:p>
        </w:tc>
        <w:tc>
          <w:tcPr>
            <w:tcW w:w="736" w:type="pct"/>
            <w:shd w:val="clear" w:color="auto" w:fill="auto"/>
            <w:noWrap w:val="0"/>
            <w:vAlign w:val="center"/>
          </w:tcPr>
          <w:p w14:paraId="73C9889D">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2880" w:type="pct"/>
            <w:noWrap w:val="0"/>
            <w:vAlign w:val="center"/>
          </w:tcPr>
          <w:p w14:paraId="67339ADC">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合同签订后25个日历天内提供初步设计文件（含概算送审稿）；</w:t>
            </w:r>
          </w:p>
        </w:tc>
      </w:tr>
      <w:tr w14:paraId="5E22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03" w:type="pct"/>
            <w:noWrap w:val="0"/>
            <w:vAlign w:val="center"/>
          </w:tcPr>
          <w:p w14:paraId="2B904580">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080" w:type="pct"/>
            <w:shd w:val="clear" w:color="auto" w:fill="auto"/>
            <w:noWrap w:val="0"/>
            <w:vAlign w:val="center"/>
          </w:tcPr>
          <w:p w14:paraId="25B82005">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初步设计修编稿</w:t>
            </w:r>
          </w:p>
        </w:tc>
        <w:tc>
          <w:tcPr>
            <w:tcW w:w="736" w:type="pct"/>
            <w:shd w:val="clear" w:color="auto" w:fill="auto"/>
            <w:noWrap w:val="0"/>
            <w:vAlign w:val="center"/>
          </w:tcPr>
          <w:p w14:paraId="067C90E8">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5/1</w:t>
            </w:r>
          </w:p>
        </w:tc>
        <w:tc>
          <w:tcPr>
            <w:tcW w:w="2880" w:type="pct"/>
            <w:noWrap w:val="0"/>
            <w:vAlign w:val="center"/>
          </w:tcPr>
          <w:p w14:paraId="0774BD9C">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初步设计评审后15个日历天内完成初步设计修编稿及配合报批；</w:t>
            </w:r>
          </w:p>
        </w:tc>
      </w:tr>
      <w:tr w14:paraId="2163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noWrap w:val="0"/>
            <w:vAlign w:val="center"/>
          </w:tcPr>
          <w:p w14:paraId="65584E3D">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080" w:type="pct"/>
            <w:shd w:val="clear" w:color="auto" w:fill="auto"/>
            <w:noWrap w:val="0"/>
            <w:vAlign w:val="center"/>
          </w:tcPr>
          <w:p w14:paraId="726487CF">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施工图设计</w:t>
            </w:r>
          </w:p>
        </w:tc>
        <w:tc>
          <w:tcPr>
            <w:tcW w:w="736" w:type="pct"/>
            <w:shd w:val="clear" w:color="auto" w:fill="auto"/>
            <w:noWrap w:val="0"/>
            <w:vAlign w:val="center"/>
          </w:tcPr>
          <w:p w14:paraId="2879C2F1">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p>
        </w:tc>
        <w:tc>
          <w:tcPr>
            <w:tcW w:w="2880" w:type="pct"/>
            <w:noWrap w:val="0"/>
            <w:vAlign w:val="center"/>
          </w:tcPr>
          <w:p w14:paraId="2D21D6D8">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初步设计审查批复后35个日历天内完成施工图设计并送审；</w:t>
            </w:r>
          </w:p>
        </w:tc>
      </w:tr>
      <w:tr w14:paraId="5861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3" w:type="pct"/>
            <w:noWrap w:val="0"/>
            <w:vAlign w:val="center"/>
          </w:tcPr>
          <w:p w14:paraId="473628B2">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080" w:type="pct"/>
            <w:shd w:val="clear" w:color="auto" w:fill="auto"/>
            <w:noWrap w:val="0"/>
            <w:vAlign w:val="center"/>
          </w:tcPr>
          <w:p w14:paraId="79B7C6A7">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正式版施工图</w:t>
            </w:r>
          </w:p>
        </w:tc>
        <w:tc>
          <w:tcPr>
            <w:tcW w:w="736" w:type="pct"/>
            <w:shd w:val="clear" w:color="auto" w:fill="auto"/>
            <w:noWrap w:val="0"/>
            <w:vAlign w:val="center"/>
          </w:tcPr>
          <w:p w14:paraId="63E01EF9">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12/1</w:t>
            </w:r>
          </w:p>
        </w:tc>
        <w:tc>
          <w:tcPr>
            <w:tcW w:w="2880" w:type="pct"/>
            <w:noWrap w:val="0"/>
            <w:vAlign w:val="center"/>
          </w:tcPr>
          <w:p w14:paraId="3BB29FA9">
            <w:pPr>
              <w:keepNext w:val="0"/>
              <w:keepLines w:val="0"/>
              <w:pageBreakBefore w:val="0"/>
              <w:widowControl w:val="0"/>
              <w:kinsoku w:val="0"/>
              <w:wordWrap w:val="0"/>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施工图审查完成后 15 个日历天内提交正式版施工图。</w:t>
            </w:r>
          </w:p>
        </w:tc>
      </w:tr>
    </w:tbl>
    <w:p w14:paraId="5BC96602">
      <w:pPr>
        <w:spacing w:line="360" w:lineRule="auto"/>
        <w:ind w:firstLine="420" w:firstLineChars="200"/>
        <w:rPr>
          <w:rFonts w:hint="eastAsia" w:ascii="宋体" w:hAnsi="宋体" w:eastAsia="宋体" w:cs="宋体"/>
          <w:szCs w:val="21"/>
        </w:rPr>
      </w:pPr>
    </w:p>
    <w:p w14:paraId="5834735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按照本工程设计内容和要求，提供能清晰表达各专业设计的有关图纸和相关资料，设计图纸深度按住房城乡建设部发布的《市政公用工程设计文件编制深度规定（2013年版）》、《工程设计深度规定（2016年版）》要求执行。</w:t>
      </w:r>
    </w:p>
    <w:p w14:paraId="1CA57BA0">
      <w:pPr>
        <w:pStyle w:val="16"/>
        <w:rPr>
          <w:rFonts w:hint="eastAsia"/>
        </w:rPr>
      </w:pPr>
    </w:p>
    <w:p w14:paraId="413B446A">
      <w:pPr>
        <w:keepNext/>
        <w:keepLines/>
        <w:numPr>
          <w:ilvl w:val="0"/>
          <w:numId w:val="7"/>
        </w:numPr>
        <w:spacing w:line="360" w:lineRule="auto"/>
        <w:outlineLvl w:val="3"/>
        <w:rPr>
          <w:rFonts w:ascii="Arial" w:hAnsi="Arial" w:eastAsia="宋体" w:cs="Times New Roman"/>
          <w:b/>
          <w:bCs/>
          <w:szCs w:val="28"/>
        </w:rPr>
      </w:pPr>
      <w:r>
        <w:rPr>
          <w:rFonts w:hint="eastAsia" w:ascii="宋体" w:hAnsi="宋体" w:eastAsia="宋体" w:cs="宋体"/>
          <w:b/>
          <w:bCs/>
          <w:szCs w:val="21"/>
        </w:rPr>
        <w:t>其他要求</w:t>
      </w:r>
    </w:p>
    <w:p w14:paraId="6ACEB8CD">
      <w:pPr>
        <w:pStyle w:val="23"/>
        <w:spacing w:before="0" w:beforeAutospacing="0" w:after="0" w:afterAutospacing="0"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勘察、设计单位对包含“危大工程”的项目进行勘察设计，应严格落实《广东省住房和城乡建设厅关于印发房屋市政工程危险性较大的分部分项工程安全管理实施细则的通知》（粤建规范〔2019〕2号）第六条“勘察单位应当根据工程实际及工程周边环境资料，在勘察文件中说明可能造成工程施工安全风险的地质条件，如岩溶、地下暗河（涌）、软弱岩土、花岗岩残积土、承压水层等，流土管涌渗漏变形等，以及所采取安全技术措施的建议。</w:t>
      </w:r>
    </w:p>
    <w:p w14:paraId="4B8D26B8">
      <w:pPr>
        <w:pStyle w:val="23"/>
        <w:spacing w:before="0" w:beforeAutospacing="0" w:after="0" w:afterAutospacing="0"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设计单位应当在设计文件中注明涉及危大工程的重点部位和环节，提出保障工程周边环境安全和工程施工安全的意见，必要时进行专项设计。设计交底时，设计单位应向建设单位、施工单位、监理单位作出特别说明”等要求。</w:t>
      </w:r>
    </w:p>
    <w:p w14:paraId="1E78C0F8">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（1）对于存在危大工程的项目，勘察文件应在章节中进行危大工程说明，内容包括：</w:t>
      </w:r>
    </w:p>
    <w:p w14:paraId="1997842D">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①危大工程概况；</w:t>
      </w:r>
    </w:p>
    <w:p w14:paraId="076AFF76">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②地质条件可能造成的工程风险内容。主要是根据工程实际及工程周边环境资料和地质条件，列出深基坑、深沟（槽）、边坡等方面的危大工程清单；</w:t>
      </w:r>
    </w:p>
    <w:p w14:paraId="494FEC1F">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③提供危大工程设计、施工所需的岩土工程参数；</w:t>
      </w:r>
    </w:p>
    <w:p w14:paraId="086108BA">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④提出危大工程设计、施工及监测的相关建议。</w:t>
      </w:r>
    </w:p>
    <w:p w14:paraId="3D683627">
      <w:pPr>
        <w:pStyle w:val="23"/>
        <w:spacing w:before="0" w:beforeAutospacing="0" w:after="0" w:afterAutospacing="0" w:line="360" w:lineRule="auto"/>
        <w:jc w:val="both"/>
        <w:rPr>
          <w:rFonts w:hint="eastAsia" w:ascii="宋体" w:hAnsi="宋体"/>
          <w:color w:val="auto"/>
          <w:szCs w:val="21"/>
        </w:rPr>
      </w:pPr>
      <w:r>
        <w:rPr>
          <w:rFonts w:hint="eastAsia" w:ascii="宋体" w:hAnsi="宋体" w:eastAsia="宋体" w:cs="宋体"/>
          <w:bCs/>
          <w:color w:val="auto"/>
          <w:sz w:val="21"/>
          <w:szCs w:val="21"/>
        </w:rPr>
        <w:t>（2）设计文件在设计总说明中应设危大工程情况章节，内容包括：</w:t>
      </w:r>
    </w:p>
    <w:p w14:paraId="7D272A3B">
      <w:pPr>
        <w:pStyle w:val="23"/>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①危大工程概况；</w:t>
      </w:r>
    </w:p>
    <w:p w14:paraId="5E441A84">
      <w:pPr>
        <w:pStyle w:val="23"/>
        <w:spacing w:before="0" w:beforeAutospacing="0" w:after="0" w:afterAutospacing="0" w:line="360" w:lineRule="auto"/>
        <w:jc w:val="both"/>
        <w:rPr>
          <w:rFonts w:hint="eastAsia" w:ascii="宋体" w:hAnsi="宋体"/>
          <w:color w:val="auto"/>
          <w:szCs w:val="21"/>
        </w:rPr>
      </w:pPr>
      <w:r>
        <w:rPr>
          <w:rFonts w:hint="eastAsia" w:ascii="宋体" w:hAnsi="宋体" w:eastAsia="宋体" w:cs="宋体"/>
          <w:bCs/>
          <w:color w:val="auto"/>
          <w:sz w:val="21"/>
          <w:szCs w:val="21"/>
        </w:rPr>
        <w:t>②涉及危大工程的重点部位和环节。列出重点部位和节点清单，提出保障工程周边环境安全和工程施工安全的意见，必要时进行专项设计，其中基坑及边坡类危大工程须进行专项设计；</w:t>
      </w:r>
    </w:p>
    <w:p w14:paraId="3BA6E077">
      <w:pPr>
        <w:spacing w:line="360" w:lineRule="auto"/>
        <w:rPr>
          <w:rFonts w:ascii="Times New Roman" w:hAnsi="Times New Roman" w:eastAsia="宋体" w:cs="Times New Roman"/>
        </w:rPr>
      </w:pPr>
      <w:r>
        <w:rPr>
          <w:rFonts w:hint="eastAsia" w:ascii="宋体" w:hAnsi="宋体" w:eastAsia="宋体" w:cs="宋体"/>
          <w:bCs/>
          <w:szCs w:val="21"/>
        </w:rPr>
        <w:t>③提出危大工程监测的建议。</w:t>
      </w:r>
    </w:p>
    <w:permEnd w:id="138"/>
    <w:p w14:paraId="06D72759">
      <w:pPr>
        <w:rPr>
          <w:rFonts w:hint="eastAsia" w:ascii="Times New Roman" w:hAnsi="Times New Roman" w:eastAsia="宋体" w:cs="Times New Roman"/>
          <w:b w:val="0"/>
          <w:bCs w:val="0"/>
          <w:color w:val="auto"/>
          <w:sz w:val="24"/>
          <w:szCs w:val="24"/>
          <w:highlight w:val="none"/>
          <w:lang w:val="en-US" w:eastAsia="zh-CN"/>
        </w:rPr>
      </w:pPr>
    </w:p>
    <w:p w14:paraId="700E0468">
      <w:pPr>
        <w:pStyle w:val="3"/>
        <w:numPr>
          <w:ilvl w:val="0"/>
          <w:numId w:val="0"/>
        </w:numPr>
        <w:jc w:val="center"/>
        <w:rPr>
          <w:color w:val="auto"/>
          <w:highlight w:val="none"/>
        </w:rPr>
      </w:pPr>
      <w:r>
        <w:rPr>
          <w:color w:val="auto"/>
          <w:highlight w:val="none"/>
        </w:rPr>
        <w:br w:type="page"/>
      </w:r>
      <w:bookmarkStart w:id="456" w:name="_Toc817551369"/>
      <w:bookmarkStart w:id="457" w:name="_Toc1778170461"/>
      <w:r>
        <w:rPr>
          <w:rFonts w:hint="eastAsia"/>
          <w:color w:val="auto"/>
          <w:highlight w:val="none"/>
        </w:rPr>
        <w:t>第</w:t>
      </w:r>
      <w:r>
        <w:rPr>
          <w:rFonts w:hint="eastAsia"/>
          <w:color w:val="auto"/>
          <w:highlight w:val="none"/>
          <w:lang w:eastAsia="zh-CN"/>
        </w:rPr>
        <w:t>六</w:t>
      </w:r>
      <w:r>
        <w:rPr>
          <w:rFonts w:hint="eastAsia"/>
          <w:color w:val="auto"/>
          <w:highlight w:val="none"/>
        </w:rPr>
        <w:t>章</w:t>
      </w:r>
      <w:r>
        <w:rPr>
          <w:color w:val="auto"/>
          <w:highlight w:val="none"/>
        </w:rPr>
        <w:t xml:space="preserve"> </w:t>
      </w:r>
      <w:r>
        <w:rPr>
          <w:rFonts w:hint="eastAsia"/>
          <w:color w:val="auto"/>
          <w:highlight w:val="none"/>
          <w:lang w:eastAsia="zh-CN"/>
        </w:rPr>
        <w:t>投标文件格式</w:t>
      </w:r>
      <w:bookmarkEnd w:id="456"/>
      <w:bookmarkEnd w:id="457"/>
    </w:p>
    <w:p w14:paraId="29877866">
      <w:pPr>
        <w:tabs>
          <w:tab w:val="left" w:pos="-951"/>
          <w:tab w:val="left" w:pos="4267"/>
          <w:tab w:val="left" w:pos="7925"/>
        </w:tabs>
        <w:adjustRightInd w:val="0"/>
        <w:snapToGrid w:val="0"/>
        <w:spacing w:line="360" w:lineRule="auto"/>
        <w:ind w:right="-6"/>
        <w:jc w:val="right"/>
        <w:rPr>
          <w:rFonts w:hint="eastAsia" w:ascii="宋体" w:hAnsi="宋体"/>
          <w:color w:val="auto"/>
          <w:sz w:val="28"/>
          <w:szCs w:val="28"/>
          <w:highlight w:val="none"/>
        </w:rPr>
      </w:pPr>
      <w:r>
        <w:rPr>
          <w:rFonts w:ascii="宋体" w:hAnsi="宋体"/>
          <w:color w:val="auto"/>
          <w:szCs w:val="21"/>
          <w:highlight w:val="none"/>
        </w:rPr>
        <w:br w:type="page"/>
      </w:r>
      <w:r>
        <w:rPr>
          <w:rFonts w:hint="eastAsia" w:ascii="宋体" w:hAnsi="宋体"/>
          <w:color w:val="auto"/>
          <w:sz w:val="28"/>
          <w:szCs w:val="28"/>
          <w:highlight w:val="none"/>
        </w:rPr>
        <w:t>正本（副本）</w:t>
      </w:r>
    </w:p>
    <w:p w14:paraId="59F62785">
      <w:pPr>
        <w:spacing w:line="360" w:lineRule="auto"/>
        <w:rPr>
          <w:rFonts w:hint="eastAsia" w:ascii="宋体" w:hAnsi="宋体"/>
          <w:color w:val="auto"/>
          <w:szCs w:val="21"/>
          <w:highlight w:val="none"/>
        </w:rPr>
      </w:pPr>
    </w:p>
    <w:p w14:paraId="042AA6E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427CDA45">
      <w:pPr>
        <w:pStyle w:val="10"/>
        <w:spacing w:line="360" w:lineRule="auto"/>
        <w:jc w:val="center"/>
        <w:rPr>
          <w:rFonts w:hint="eastAsia" w:ascii="宋体" w:hAnsi="宋体" w:eastAsia="宋体"/>
          <w:color w:val="auto"/>
          <w:sz w:val="40"/>
          <w:szCs w:val="40"/>
          <w:highlight w:val="none"/>
          <w:lang w:eastAsia="zh-CN"/>
        </w:rPr>
      </w:pPr>
      <w:r>
        <w:rPr>
          <w:rFonts w:hint="eastAsia" w:ascii="宋体" w:hAnsi="宋体"/>
          <w:bCs/>
          <w:color w:val="auto"/>
          <w:sz w:val="40"/>
          <w:szCs w:val="40"/>
          <w:highlight w:val="none"/>
          <w:lang w:eastAsia="zh-CN"/>
        </w:rPr>
        <w:t>项目名称</w:t>
      </w:r>
    </w:p>
    <w:p w14:paraId="3CDE3BE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1D628DAE">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4966B92">
      <w:pPr>
        <w:tabs>
          <w:tab w:val="left" w:pos="-951"/>
          <w:tab w:val="left" w:pos="4267"/>
          <w:tab w:val="left" w:pos="7925"/>
        </w:tabs>
        <w:adjustRightInd w:val="0"/>
        <w:snapToGrid w:val="0"/>
        <w:spacing w:line="360" w:lineRule="auto"/>
        <w:ind w:right="-6"/>
        <w:jc w:val="center"/>
        <w:rPr>
          <w:rFonts w:hint="eastAsia" w:ascii="宋体" w:hAnsi="宋体"/>
          <w:bCs/>
          <w:color w:val="auto"/>
          <w:szCs w:val="21"/>
          <w:highlight w:val="none"/>
        </w:rPr>
      </w:pPr>
      <w:r>
        <w:rPr>
          <w:rFonts w:hint="eastAsia" w:ascii="宋体" w:hAnsi="宋体"/>
          <w:bCs/>
          <w:color w:val="auto"/>
          <w:sz w:val="84"/>
          <w:szCs w:val="84"/>
          <w:highlight w:val="none"/>
        </w:rPr>
        <w:t>资格标函</w:t>
      </w:r>
    </w:p>
    <w:p w14:paraId="7AA0C9A4">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039BE50">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7DE507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B17F00E">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7FA4ED2">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D6F7884">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731510E">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CAFDD7F">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4C47E405">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加盖电子印章</w:t>
      </w:r>
      <w:r>
        <w:rPr>
          <w:rFonts w:hint="eastAsia" w:ascii="宋体" w:hAnsi="宋体"/>
          <w:bCs/>
          <w:color w:val="auto"/>
          <w:sz w:val="28"/>
          <w:szCs w:val="28"/>
          <w:highlight w:val="none"/>
          <w:u w:val="none"/>
        </w:rPr>
        <w:t>）</w:t>
      </w:r>
    </w:p>
    <w:p w14:paraId="58734ED8">
      <w:pPr>
        <w:tabs>
          <w:tab w:val="left" w:pos="-951"/>
          <w:tab w:val="left" w:pos="4267"/>
          <w:tab w:val="left" w:pos="7925"/>
        </w:tabs>
        <w:adjustRightInd w:val="0"/>
        <w:snapToGrid w:val="0"/>
        <w:spacing w:line="360" w:lineRule="auto"/>
        <w:ind w:right="-6" w:firstLine="154" w:firstLineChars="55"/>
        <w:rPr>
          <w:rFonts w:hint="eastAsia" w:ascii="宋体" w:hAnsi="宋体"/>
          <w:bCs/>
          <w:color w:val="auto"/>
          <w:sz w:val="28"/>
          <w:szCs w:val="28"/>
          <w:highlight w:val="none"/>
          <w:u w:val="single"/>
        </w:rPr>
      </w:pPr>
    </w:p>
    <w:p w14:paraId="4D142AE9">
      <w:pPr>
        <w:tabs>
          <w:tab w:val="left" w:pos="-951"/>
          <w:tab w:val="left" w:pos="4267"/>
          <w:tab w:val="left" w:pos="7925"/>
        </w:tabs>
        <w:adjustRightInd w:val="0"/>
        <w:snapToGrid w:val="0"/>
        <w:spacing w:line="360" w:lineRule="auto"/>
        <w:ind w:right="-6" w:firstLine="2212" w:firstLineChars="790"/>
        <w:rPr>
          <w:rFonts w:hint="eastAsia" w:ascii="宋体" w:hAnsi="宋体" w:eastAsia="宋体"/>
          <w:bCs/>
          <w:color w:val="auto"/>
          <w:sz w:val="28"/>
          <w:szCs w:val="28"/>
          <w:highlight w:val="none"/>
          <w:u w:val="single"/>
          <w:lang w:eastAsia="zh-CN"/>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14:paraId="26EDE2B0">
      <w:pPr>
        <w:tabs>
          <w:tab w:val="left" w:pos="-951"/>
          <w:tab w:val="left" w:pos="4267"/>
          <w:tab w:val="left" w:pos="7925"/>
        </w:tabs>
        <w:adjustRightInd w:val="0"/>
        <w:snapToGrid w:val="0"/>
        <w:spacing w:line="360" w:lineRule="auto"/>
        <w:ind w:right="-6"/>
        <w:rPr>
          <w:rFonts w:hint="eastAsia" w:ascii="宋体" w:hAnsi="宋体"/>
          <w:b/>
          <w:bCs/>
          <w:color w:val="auto"/>
          <w:sz w:val="28"/>
          <w:szCs w:val="28"/>
          <w:highlight w:val="none"/>
        </w:rPr>
      </w:pPr>
    </w:p>
    <w:p w14:paraId="31756061">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14:paraId="2D2D268E">
      <w:pPr>
        <w:tabs>
          <w:tab w:val="left" w:pos="-951"/>
          <w:tab w:val="left" w:pos="4267"/>
          <w:tab w:val="left" w:pos="7925"/>
        </w:tabs>
        <w:adjustRightInd w:val="0"/>
        <w:snapToGrid w:val="0"/>
        <w:spacing w:line="360" w:lineRule="auto"/>
        <w:ind w:right="-6"/>
        <w:rPr>
          <w:rFonts w:hint="eastAsia" w:ascii="宋体" w:hAnsi="宋体"/>
          <w:bCs/>
          <w:color w:val="auto"/>
          <w:sz w:val="21"/>
          <w:szCs w:val="21"/>
          <w:highlight w:val="none"/>
        </w:rPr>
      </w:pPr>
    </w:p>
    <w:p w14:paraId="62808E44">
      <w:pPr>
        <w:pStyle w:val="6"/>
        <w:rPr>
          <w:rFonts w:hint="eastAsia"/>
        </w:rPr>
      </w:pPr>
    </w:p>
    <w:p w14:paraId="151153D3">
      <w:pPr>
        <w:spacing w:line="420" w:lineRule="exact"/>
        <w:jc w:val="left"/>
        <w:rPr>
          <w:rFonts w:hint="eastAsia" w:ascii="宋体" w:hAnsi="宋体"/>
          <w:bCs/>
          <w:color w:val="auto"/>
          <w:sz w:val="36"/>
          <w:szCs w:val="36"/>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、“正本”或“副本”字样</w:t>
      </w:r>
      <w:r>
        <w:rPr>
          <w:rFonts w:hint="eastAsia" w:ascii="宋体" w:hAnsi="宋体" w:eastAsia="宋体" w:cs="宋体"/>
          <w:color w:val="auto"/>
          <w:sz w:val="21"/>
          <w:szCs w:val="21"/>
          <w:highlight w:val="none"/>
        </w:rPr>
        <w:t>（电子标书免</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、“资格标”或“资格标函”字样、投标人名称、投标人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46AF9AEF">
      <w:pPr>
        <w:spacing w:line="360" w:lineRule="auto"/>
        <w:ind w:firstLine="420"/>
        <w:jc w:val="center"/>
        <w:rPr>
          <w:rFonts w:hint="eastAsia" w:ascii="宋体" w:hAnsi="宋体"/>
          <w:color w:val="auto"/>
          <w:sz w:val="21"/>
          <w:szCs w:val="21"/>
          <w:highlight w:val="none"/>
          <w:lang w:val="en-US"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资格标</w:t>
      </w:r>
      <w:r>
        <w:rPr>
          <w:rFonts w:hint="eastAsia" w:ascii="宋体" w:hAnsi="宋体" w:eastAsia="宋体" w:cs="宋体"/>
          <w:b/>
          <w:color w:val="auto"/>
          <w:sz w:val="28"/>
          <w:szCs w:val="28"/>
          <w:highlight w:val="none"/>
        </w:rPr>
        <w:t>目录</w:t>
      </w:r>
    </w:p>
    <w:p w14:paraId="6F5E0A39">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身份证明</w:t>
      </w:r>
    </w:p>
    <w:p w14:paraId="52821E5E">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二、授权委托书</w:t>
      </w:r>
      <w:r>
        <w:rPr>
          <w:rFonts w:hint="eastAsia" w:ascii="宋体" w:hAnsi="宋体" w:eastAsia="宋体" w:cs="宋体"/>
          <w:color w:val="auto"/>
          <w:sz w:val="21"/>
          <w:szCs w:val="21"/>
          <w:highlight w:val="none"/>
          <w:lang w:val="en-US" w:eastAsia="zh-CN"/>
        </w:rPr>
        <w:t>（适用于有代理人的情况）</w:t>
      </w:r>
    </w:p>
    <w:p w14:paraId="75E8B692">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Cs w:val="21"/>
          <w:highlight w:val="none"/>
          <w:lang w:eastAsia="zh-CN"/>
        </w:rPr>
        <w:t>投标人基本情况表</w:t>
      </w:r>
    </w:p>
    <w:p w14:paraId="0895E4E7">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四、联合体协议书（适用于联合体投标的情况）</w:t>
      </w:r>
    </w:p>
    <w:p w14:paraId="3B7A9C76">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五、《信用中国》网站下载的信用信息报告</w:t>
      </w:r>
    </w:p>
    <w:p w14:paraId="4F1156AE">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六、国家企业信用信息公示系统下载的企业信用信息公示报告</w:t>
      </w:r>
    </w:p>
    <w:p w14:paraId="7713A017">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七、投标保证金承诺书（如需）</w:t>
      </w:r>
    </w:p>
    <w:p w14:paraId="22890C8D">
      <w:pPr>
        <w:spacing w:line="360" w:lineRule="auto"/>
        <w:ind w:firstLine="420"/>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lang w:val="en-US" w:eastAsia="zh-CN"/>
        </w:rPr>
        <w:t>八</w:t>
      </w:r>
      <w:r>
        <w:rPr>
          <w:rFonts w:hint="eastAsia" w:ascii="宋体" w:hAnsi="宋体" w:eastAsia="宋体" w:cs="Times New Roman"/>
          <w:color w:val="auto"/>
          <w:sz w:val="21"/>
          <w:szCs w:val="21"/>
          <w:highlight w:val="none"/>
          <w:lang w:val="en-US" w:eastAsia="zh-CN"/>
        </w:rPr>
        <w:t>、投标人认为需要补充的材料</w:t>
      </w:r>
    </w:p>
    <w:p w14:paraId="43F57F74">
      <w:pPr>
        <w:pStyle w:val="14"/>
        <w:jc w:val="center"/>
        <w:rPr>
          <w:b/>
          <w:color w:val="auto"/>
          <w:sz w:val="32"/>
          <w:szCs w:val="32"/>
          <w:highlight w:val="none"/>
        </w:rPr>
      </w:pPr>
      <w:r>
        <w:rPr>
          <w:rFonts w:hint="eastAsia"/>
          <w:b/>
          <w:color w:val="auto"/>
          <w:sz w:val="32"/>
          <w:szCs w:val="32"/>
          <w:highlight w:val="none"/>
        </w:rPr>
        <w:br w:type="page"/>
      </w:r>
      <w:r>
        <w:rPr>
          <w:rFonts w:hint="eastAsia" w:ascii="宋体" w:hAnsi="宋体" w:eastAsia="宋体" w:cs="Times New Roman"/>
          <w:b/>
          <w:bCs/>
          <w:color w:val="auto"/>
          <w:kern w:val="2"/>
          <w:sz w:val="28"/>
          <w:szCs w:val="28"/>
          <w:highlight w:val="none"/>
          <w:lang w:val="en-US" w:eastAsia="zh-CN" w:bidi="ar-SA"/>
        </w:rPr>
        <w:t>一、法定代表人身份证明</w:t>
      </w:r>
    </w:p>
    <w:p w14:paraId="2D9D70C6">
      <w:pPr>
        <w:spacing w:line="360" w:lineRule="auto"/>
        <w:ind w:firstLine="560" w:firstLineChars="200"/>
        <w:rPr>
          <w:rFonts w:hint="eastAsia" w:ascii="宋体" w:hAnsi="宋体"/>
          <w:color w:val="auto"/>
          <w:sz w:val="28"/>
          <w:szCs w:val="28"/>
          <w:highlight w:val="none"/>
        </w:rPr>
      </w:pPr>
    </w:p>
    <w:p w14:paraId="43FA738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EC04822">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81BA7EC">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16A6834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成立时间：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7FEAB3E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5606522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性别：</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p>
    <w:p w14:paraId="2B8809F5">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（投标人名称）的法定代表人。</w:t>
      </w:r>
    </w:p>
    <w:p w14:paraId="6E08395F">
      <w:pPr>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特此证明。</w:t>
      </w:r>
    </w:p>
    <w:p w14:paraId="02FFB6C3">
      <w:pPr>
        <w:spacing w:line="360" w:lineRule="auto"/>
        <w:ind w:firstLine="420" w:firstLineChars="200"/>
        <w:rPr>
          <w:rFonts w:hint="eastAsia" w:ascii="宋体" w:hAnsi="宋体"/>
          <w:color w:val="auto"/>
          <w:sz w:val="21"/>
          <w:szCs w:val="21"/>
          <w:highlight w:val="none"/>
        </w:rPr>
      </w:pPr>
    </w:p>
    <w:p w14:paraId="6A65A04C">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附：法定代表人身份证复印件</w:t>
      </w:r>
      <w:r>
        <w:rPr>
          <w:rFonts w:hint="eastAsia" w:ascii="宋体" w:hAnsi="宋体"/>
          <w:color w:val="auto"/>
          <w:sz w:val="21"/>
          <w:szCs w:val="21"/>
          <w:highlight w:val="none"/>
          <w:lang w:eastAsia="zh-CN"/>
        </w:rPr>
        <w:t>或扫描件</w:t>
      </w:r>
    </w:p>
    <w:p w14:paraId="2D70ECCA">
      <w:pPr>
        <w:spacing w:line="360" w:lineRule="auto"/>
        <w:ind w:firstLine="420" w:firstLineChars="200"/>
        <w:rPr>
          <w:rFonts w:hint="eastAsia" w:ascii="宋体" w:hAnsi="宋体"/>
          <w:color w:val="auto"/>
          <w:sz w:val="21"/>
          <w:szCs w:val="21"/>
          <w:highlight w:val="none"/>
        </w:rPr>
      </w:pPr>
    </w:p>
    <w:p w14:paraId="5A7FB2AA">
      <w:pPr>
        <w:spacing w:line="360" w:lineRule="auto"/>
        <w:jc w:val="right"/>
        <w:rPr>
          <w:rFonts w:hint="eastAsia"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p>
    <w:p w14:paraId="71407C8A">
      <w:pPr>
        <w:spacing w:line="360" w:lineRule="auto"/>
        <w:ind w:firstLine="4515" w:firstLineChars="2150"/>
        <w:rPr>
          <w:rFonts w:hint="eastAsia" w:ascii="宋体" w:hAnsi="宋体"/>
          <w:color w:val="auto"/>
          <w:sz w:val="21"/>
          <w:szCs w:val="21"/>
          <w:highlight w:val="none"/>
          <w:u w:val="single"/>
        </w:rPr>
      </w:pPr>
    </w:p>
    <w:p w14:paraId="3F9369CD">
      <w:pPr>
        <w:spacing w:line="360" w:lineRule="auto"/>
        <w:ind w:firstLine="5355" w:firstLineChars="2550"/>
        <w:rPr>
          <w:rFonts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BA2DD9F">
      <w:pPr>
        <w:tabs>
          <w:tab w:val="left" w:pos="-951"/>
          <w:tab w:val="left" w:pos="4267"/>
          <w:tab w:val="left" w:pos="7925"/>
        </w:tabs>
        <w:adjustRightInd w:val="0"/>
        <w:snapToGrid w:val="0"/>
        <w:spacing w:line="360" w:lineRule="auto"/>
        <w:ind w:right="-6"/>
        <w:jc w:val="center"/>
        <w:rPr>
          <w:rFonts w:hint="eastAsia" w:ascii="宋体" w:hAnsi="Courier New" w:cs="Courier New"/>
          <w:b/>
          <w:color w:val="auto"/>
          <w:sz w:val="32"/>
          <w:szCs w:val="32"/>
          <w:highlight w:val="none"/>
        </w:rPr>
      </w:pPr>
      <w:r>
        <w:rPr>
          <w:color w:val="auto"/>
          <w:highlight w:val="none"/>
        </w:rPr>
        <w:br w:type="page"/>
      </w:r>
      <w:r>
        <w:rPr>
          <w:rFonts w:hint="eastAsia" w:ascii="宋体" w:hAnsi="宋体" w:eastAsia="宋体" w:cs="Times New Roman"/>
          <w:b/>
          <w:bCs/>
          <w:color w:val="auto"/>
          <w:sz w:val="28"/>
          <w:szCs w:val="28"/>
          <w:highlight w:val="none"/>
          <w:lang w:val="en-US" w:eastAsia="zh-CN"/>
        </w:rPr>
        <w:t>二、</w:t>
      </w:r>
      <w:r>
        <w:rPr>
          <w:rFonts w:hint="eastAsia" w:ascii="宋体" w:hAnsi="宋体" w:eastAsia="宋体" w:cs="Times New Roman"/>
          <w:b/>
          <w:bCs/>
          <w:color w:val="auto"/>
          <w:sz w:val="28"/>
          <w:szCs w:val="28"/>
          <w:highlight w:val="none"/>
        </w:rPr>
        <w:t>授权委托书</w:t>
      </w:r>
    </w:p>
    <w:p w14:paraId="61298D55">
      <w:pPr>
        <w:rPr>
          <w:rFonts w:hint="eastAsia"/>
          <w:color w:val="auto"/>
          <w:highlight w:val="none"/>
        </w:rPr>
      </w:pPr>
    </w:p>
    <w:p w14:paraId="29E5FB1E">
      <w:pPr>
        <w:spacing w:line="500" w:lineRule="exact"/>
        <w:ind w:firstLine="525" w:firstLineChars="250"/>
        <w:rPr>
          <w:rFonts w:ascii="宋体" w:hAnsi="宋体"/>
          <w:color w:val="auto"/>
          <w:kern w:val="10"/>
          <w:sz w:val="21"/>
          <w:szCs w:val="21"/>
          <w:highlight w:val="none"/>
        </w:rPr>
      </w:pPr>
      <w:r>
        <w:rPr>
          <w:rFonts w:hint="eastAsia"/>
          <w:color w:val="auto"/>
          <w:sz w:val="21"/>
          <w:szCs w:val="21"/>
          <w:highlight w:val="none"/>
        </w:rPr>
        <w:t>本人</w:t>
      </w:r>
      <w:r>
        <w:rPr>
          <w:rFonts w:hint="eastAsia"/>
          <w:color w:val="auto"/>
          <w:sz w:val="21"/>
          <w:szCs w:val="21"/>
          <w:highlight w:val="none"/>
          <w:u w:val="single"/>
        </w:rPr>
        <w:t xml:space="preserve">       </w:t>
      </w:r>
      <w:r>
        <w:rPr>
          <w:rFonts w:hint="eastAsia"/>
          <w:color w:val="auto"/>
          <w:sz w:val="21"/>
          <w:szCs w:val="21"/>
          <w:highlight w:val="none"/>
        </w:rPr>
        <w:t>（姓名）系</w:t>
      </w:r>
      <w:r>
        <w:rPr>
          <w:rFonts w:hint="eastAsia"/>
          <w:color w:val="auto"/>
          <w:sz w:val="21"/>
          <w:szCs w:val="21"/>
          <w:highlight w:val="none"/>
          <w:u w:val="single"/>
        </w:rPr>
        <w:t xml:space="preserve">           </w:t>
      </w:r>
      <w:r>
        <w:rPr>
          <w:rFonts w:hint="eastAsia"/>
          <w:color w:val="auto"/>
          <w:sz w:val="21"/>
          <w:szCs w:val="21"/>
          <w:highlight w:val="none"/>
        </w:rPr>
        <w:t>（投标人名称）的法定代表人，现委托</w:t>
      </w:r>
      <w:r>
        <w:rPr>
          <w:rFonts w:hint="eastAsia"/>
          <w:color w:val="auto"/>
          <w:sz w:val="21"/>
          <w:szCs w:val="21"/>
          <w:highlight w:val="none"/>
          <w:u w:val="single"/>
        </w:rPr>
        <w:t xml:space="preserve">       </w:t>
      </w:r>
      <w:r>
        <w:rPr>
          <w:rFonts w:hint="eastAsia"/>
          <w:color w:val="auto"/>
          <w:sz w:val="21"/>
          <w:szCs w:val="21"/>
          <w:highlight w:val="none"/>
        </w:rPr>
        <w:t>（姓名）为我方代理人。代理人根据授权，以我方名义签署、澄清确认、说明、补正、递交、撤回、修改</w:t>
      </w:r>
      <w:r>
        <w:rPr>
          <w:rFonts w:hint="eastAsia"/>
          <w:color w:val="auto"/>
          <w:sz w:val="21"/>
          <w:szCs w:val="21"/>
          <w:highlight w:val="none"/>
          <w:u w:val="single"/>
        </w:rPr>
        <w:t xml:space="preserve">        </w:t>
      </w:r>
      <w:r>
        <w:rPr>
          <w:rFonts w:hint="eastAsia"/>
          <w:color w:val="auto"/>
          <w:sz w:val="21"/>
          <w:szCs w:val="21"/>
          <w:highlight w:val="none"/>
        </w:rPr>
        <w:t>（项目名称）投标文件、签订合同和处理有关事宜</w:t>
      </w:r>
      <w:r>
        <w:rPr>
          <w:rFonts w:hint="eastAsia" w:ascii="宋体" w:hAnsi="宋体"/>
          <w:color w:val="auto"/>
          <w:kern w:val="10"/>
          <w:sz w:val="21"/>
          <w:szCs w:val="21"/>
          <w:highlight w:val="none"/>
        </w:rPr>
        <w:t>，其法律后果由我方承担。</w:t>
      </w:r>
    </w:p>
    <w:p w14:paraId="36DD7500">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委托期限：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至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r>
        <w:rPr>
          <w:rFonts w:hint="eastAsia" w:ascii="宋体" w:hAnsi="宋体"/>
          <w:color w:val="auto"/>
          <w:sz w:val="21"/>
          <w:szCs w:val="21"/>
          <w:highlight w:val="none"/>
          <w:lang w:val="zh-CN"/>
        </w:rPr>
        <w:t>委托期限</w:t>
      </w:r>
      <w:r>
        <w:rPr>
          <w:rFonts w:hint="eastAsia" w:ascii="宋体" w:hAnsi="宋体"/>
          <w:color w:val="auto"/>
          <w:sz w:val="21"/>
          <w:szCs w:val="21"/>
          <w:highlight w:val="none"/>
        </w:rPr>
        <w:t>建议</w:t>
      </w:r>
      <w:r>
        <w:rPr>
          <w:rFonts w:hint="eastAsia" w:ascii="宋体" w:hAnsi="宋体"/>
          <w:color w:val="auto"/>
          <w:sz w:val="21"/>
          <w:szCs w:val="21"/>
          <w:highlight w:val="none"/>
          <w:lang w:val="zh-CN"/>
        </w:rPr>
        <w:t>不少于投标有效期。</w:t>
      </w:r>
      <w:r>
        <w:rPr>
          <w:rFonts w:hint="eastAsia" w:ascii="宋体" w:hAnsi="宋体"/>
          <w:color w:val="auto"/>
          <w:sz w:val="21"/>
          <w:szCs w:val="21"/>
          <w:highlight w:val="none"/>
        </w:rPr>
        <w:t>）</w:t>
      </w:r>
    </w:p>
    <w:p w14:paraId="0DEE8657">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代理人无转委托权。</w:t>
      </w:r>
    </w:p>
    <w:p w14:paraId="31C20216">
      <w:pPr>
        <w:rPr>
          <w:color w:val="auto"/>
          <w:highlight w:val="none"/>
        </w:rPr>
      </w:pPr>
    </w:p>
    <w:p w14:paraId="2CCD0309">
      <w:pPr>
        <w:spacing w:line="500" w:lineRule="exac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附：代理人身份证复印件</w:t>
      </w:r>
      <w:r>
        <w:rPr>
          <w:rFonts w:hint="eastAsia" w:ascii="宋体" w:hAnsi="宋体"/>
          <w:color w:val="auto"/>
          <w:sz w:val="21"/>
          <w:szCs w:val="21"/>
          <w:highlight w:val="none"/>
          <w:lang w:eastAsia="zh-CN"/>
        </w:rPr>
        <w:t>或扫描件</w:t>
      </w:r>
    </w:p>
    <w:p w14:paraId="171A257C">
      <w:pPr>
        <w:rPr>
          <w:rFonts w:hint="eastAsia"/>
          <w:color w:val="auto"/>
          <w:highlight w:val="none"/>
        </w:rPr>
      </w:pPr>
    </w:p>
    <w:p w14:paraId="19BF98B2">
      <w:pPr>
        <w:spacing w:line="500" w:lineRule="exact"/>
        <w:jc w:val="right"/>
        <w:rPr>
          <w:rFonts w:hint="eastAsia"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p>
    <w:p w14:paraId="23130534">
      <w:pPr>
        <w:spacing w:line="500" w:lineRule="exact"/>
        <w:jc w:val="both"/>
        <w:rPr>
          <w:rFonts w:ascii="宋体" w:hAnsi="宋体"/>
          <w:color w:val="auto"/>
          <w:sz w:val="21"/>
          <w:szCs w:val="21"/>
          <w:highlight w:val="none"/>
        </w:rPr>
      </w:pPr>
    </w:p>
    <w:p w14:paraId="6094789E">
      <w:pPr>
        <w:spacing w:line="500" w:lineRule="exact"/>
        <w:ind w:firstLine="4410" w:firstLineChars="2100"/>
        <w:jc w:val="both"/>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1DD01A18">
      <w:pPr>
        <w:spacing w:line="500" w:lineRule="exact"/>
        <w:jc w:val="both"/>
        <w:rPr>
          <w:rFonts w:ascii="宋体" w:hAnsi="宋体"/>
          <w:color w:val="auto"/>
          <w:sz w:val="21"/>
          <w:szCs w:val="21"/>
          <w:highlight w:val="none"/>
        </w:rPr>
      </w:pPr>
    </w:p>
    <w:p w14:paraId="0F5345FD">
      <w:pPr>
        <w:spacing w:line="500" w:lineRule="exact"/>
        <w:ind w:right="560" w:firstLine="4410" w:firstLineChars="2100"/>
        <w:rPr>
          <w:rFonts w:hint="eastAsia" w:ascii="宋体" w:hAnsi="宋体"/>
          <w:color w:val="auto"/>
          <w:sz w:val="21"/>
          <w:szCs w:val="21"/>
          <w:highlight w:val="none"/>
          <w:u w:val="single"/>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rPr>
        <w:t xml:space="preserve">                            </w:t>
      </w:r>
    </w:p>
    <w:p w14:paraId="054A22DD">
      <w:pPr>
        <w:rPr>
          <w:color w:val="auto"/>
          <w:highlight w:val="none"/>
        </w:rPr>
      </w:pPr>
    </w:p>
    <w:p w14:paraId="22AB539F">
      <w:pPr>
        <w:spacing w:line="500" w:lineRule="exact"/>
        <w:ind w:firstLine="4410" w:firstLineChars="2100"/>
        <w:jc w:val="both"/>
        <w:rPr>
          <w:rFonts w:hint="eastAsia" w:ascii="宋体" w:hAnsi="宋体"/>
          <w:color w:val="auto"/>
          <w:sz w:val="21"/>
          <w:szCs w:val="21"/>
          <w:highlight w:val="none"/>
        </w:rPr>
      </w:pPr>
      <w:r>
        <w:rPr>
          <w:rFonts w:hint="eastAsia" w:ascii="宋体" w:hAnsi="宋体"/>
          <w:color w:val="auto"/>
          <w:sz w:val="21"/>
          <w:szCs w:val="21"/>
          <w:highlight w:val="none"/>
        </w:rPr>
        <w:t>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513CD520">
      <w:pPr>
        <w:spacing w:line="500" w:lineRule="exact"/>
        <w:jc w:val="center"/>
        <w:rPr>
          <w:rFonts w:ascii="宋体" w:hAnsi="宋体"/>
          <w:color w:val="auto"/>
          <w:sz w:val="21"/>
          <w:szCs w:val="21"/>
          <w:highlight w:val="none"/>
        </w:rPr>
      </w:pPr>
    </w:p>
    <w:p w14:paraId="19C38090">
      <w:pPr>
        <w:spacing w:line="500" w:lineRule="exact"/>
        <w:ind w:firstLine="4410" w:firstLineChars="2100"/>
        <w:rPr>
          <w:rFonts w:hint="eastAsia" w:ascii="宋体" w:hAnsi="宋体"/>
          <w:color w:val="auto"/>
          <w:sz w:val="21"/>
          <w:szCs w:val="21"/>
          <w:highlight w:val="none"/>
          <w:u w:val="single"/>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rPr>
        <w:t xml:space="preserve">                               </w:t>
      </w:r>
    </w:p>
    <w:p w14:paraId="7C9E335A">
      <w:pPr>
        <w:spacing w:line="500" w:lineRule="exact"/>
        <w:rPr>
          <w:rFonts w:hint="eastAsia" w:ascii="宋体" w:hAnsi="宋体"/>
          <w:color w:val="auto"/>
          <w:sz w:val="28"/>
          <w:szCs w:val="28"/>
          <w:highlight w:val="none"/>
          <w:u w:val="single"/>
        </w:rPr>
      </w:pPr>
    </w:p>
    <w:p w14:paraId="3ADC75FF">
      <w:pPr>
        <w:tabs>
          <w:tab w:val="left" w:pos="-951"/>
          <w:tab w:val="left" w:pos="4267"/>
          <w:tab w:val="left" w:pos="7925"/>
        </w:tabs>
        <w:adjustRightInd w:val="0"/>
        <w:snapToGrid w:val="0"/>
        <w:spacing w:line="360" w:lineRule="auto"/>
        <w:ind w:right="-6"/>
        <w:jc w:val="center"/>
        <w:rPr>
          <w:rFonts w:hint="eastAsia" w:ascii="宋体" w:hAnsi="宋体" w:eastAsia="宋体" w:cs="宋体"/>
          <w:b/>
          <w:bCs/>
          <w:color w:val="auto"/>
          <w:sz w:val="28"/>
          <w:szCs w:val="28"/>
          <w:highlight w:val="none"/>
        </w:rPr>
      </w:pPr>
      <w:r>
        <w:rPr>
          <w:rFonts w:ascii="宋体" w:hAnsi="宋体"/>
          <w:bCs/>
          <w:color w:val="auto"/>
          <w:szCs w:val="21"/>
          <w:highlight w:val="none"/>
        </w:rPr>
        <w:br w:type="page"/>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投标人基本情况表</w:t>
      </w:r>
    </w:p>
    <w:tbl>
      <w:tblPr>
        <w:tblStyle w:val="26"/>
        <w:tblW w:w="499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402"/>
        <w:gridCol w:w="1073"/>
        <w:gridCol w:w="2663"/>
        <w:gridCol w:w="1840"/>
        <w:gridCol w:w="1860"/>
      </w:tblGrid>
      <w:tr w14:paraId="3E664D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1221" w:type="pct"/>
            <w:noWrap w:val="0"/>
            <w:vAlign w:val="center"/>
          </w:tcPr>
          <w:p w14:paraId="5FC0755C">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企业名称</w:t>
            </w:r>
          </w:p>
        </w:tc>
        <w:tc>
          <w:tcPr>
            <w:tcW w:w="3778" w:type="pct"/>
            <w:gridSpan w:val="4"/>
            <w:noWrap w:val="0"/>
            <w:vAlign w:val="bottom"/>
          </w:tcPr>
          <w:p w14:paraId="73CA8548">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314412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221" w:type="pct"/>
            <w:noWrap w:val="0"/>
            <w:vAlign w:val="center"/>
          </w:tcPr>
          <w:p w14:paraId="0CC28839">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注册地址</w:t>
            </w:r>
          </w:p>
        </w:tc>
        <w:tc>
          <w:tcPr>
            <w:tcW w:w="3778" w:type="pct"/>
            <w:gridSpan w:val="4"/>
            <w:noWrap w:val="0"/>
            <w:vAlign w:val="bottom"/>
          </w:tcPr>
          <w:p w14:paraId="34F23606">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584061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221" w:type="pct"/>
            <w:vMerge w:val="restart"/>
            <w:noWrap w:val="0"/>
            <w:vAlign w:val="center"/>
          </w:tcPr>
          <w:p w14:paraId="0FF5463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联系方式</w:t>
            </w:r>
          </w:p>
        </w:tc>
        <w:tc>
          <w:tcPr>
            <w:tcW w:w="545" w:type="pct"/>
            <w:noWrap w:val="0"/>
            <w:vAlign w:val="bottom"/>
          </w:tcPr>
          <w:p w14:paraId="2D32445C">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r>
              <w:rPr>
                <w:rFonts w:hint="eastAsia" w:ascii="宋体" w:hAnsi="宋体"/>
                <w:bCs/>
                <w:color w:val="auto"/>
                <w:sz w:val="21"/>
                <w:szCs w:val="21"/>
                <w:highlight w:val="none"/>
                <w:lang w:eastAsia="zh-CN"/>
              </w:rPr>
              <w:t>联系人</w:t>
            </w:r>
          </w:p>
        </w:tc>
        <w:tc>
          <w:tcPr>
            <w:tcW w:w="1353" w:type="pct"/>
            <w:noWrap w:val="0"/>
            <w:vAlign w:val="bottom"/>
          </w:tcPr>
          <w:p w14:paraId="3B291432">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c>
          <w:tcPr>
            <w:tcW w:w="935" w:type="pct"/>
            <w:noWrap w:val="0"/>
            <w:vAlign w:val="bottom"/>
          </w:tcPr>
          <w:p w14:paraId="32071011">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r>
              <w:rPr>
                <w:rFonts w:hint="eastAsia" w:ascii="宋体" w:hAnsi="宋体"/>
                <w:bCs/>
                <w:color w:val="auto"/>
                <w:sz w:val="21"/>
                <w:szCs w:val="21"/>
                <w:highlight w:val="none"/>
              </w:rPr>
              <w:t>电话</w:t>
            </w:r>
          </w:p>
        </w:tc>
        <w:tc>
          <w:tcPr>
            <w:tcW w:w="944" w:type="pct"/>
            <w:noWrap w:val="0"/>
            <w:vAlign w:val="bottom"/>
          </w:tcPr>
          <w:p w14:paraId="6800A09A">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088AE5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221" w:type="pct"/>
            <w:vMerge w:val="continue"/>
            <w:noWrap w:val="0"/>
            <w:vAlign w:val="center"/>
          </w:tcPr>
          <w:p w14:paraId="01A004A2">
            <w:pPr>
              <w:tabs>
                <w:tab w:val="left" w:pos="-951"/>
                <w:tab w:val="left" w:pos="4267"/>
                <w:tab w:val="left" w:pos="7925"/>
              </w:tabs>
              <w:adjustRightInd w:val="0"/>
              <w:snapToGrid w:val="0"/>
              <w:spacing w:line="360" w:lineRule="auto"/>
              <w:ind w:right="-6"/>
              <w:jc w:val="center"/>
              <w:rPr>
                <w:color w:val="auto"/>
                <w:szCs w:val="21"/>
                <w:highlight w:val="none"/>
              </w:rPr>
            </w:pPr>
          </w:p>
        </w:tc>
        <w:tc>
          <w:tcPr>
            <w:tcW w:w="545" w:type="pct"/>
            <w:noWrap w:val="0"/>
            <w:vAlign w:val="bottom"/>
          </w:tcPr>
          <w:p w14:paraId="4CB80375">
            <w:pPr>
              <w:tabs>
                <w:tab w:val="left" w:pos="-951"/>
                <w:tab w:val="left" w:pos="4267"/>
                <w:tab w:val="left" w:pos="7925"/>
              </w:tabs>
              <w:adjustRightInd w:val="0"/>
              <w:snapToGrid w:val="0"/>
              <w:spacing w:line="360" w:lineRule="auto"/>
              <w:ind w:right="-6"/>
              <w:jc w:val="both"/>
              <w:rPr>
                <w:color w:val="auto"/>
                <w:szCs w:val="21"/>
                <w:highlight w:val="none"/>
              </w:rPr>
            </w:pPr>
            <w:r>
              <w:rPr>
                <w:rFonts w:hint="eastAsia" w:ascii="宋体" w:hAnsi="宋体"/>
                <w:bCs/>
                <w:color w:val="auto"/>
                <w:sz w:val="21"/>
                <w:szCs w:val="21"/>
                <w:highlight w:val="none"/>
              </w:rPr>
              <w:t>传真</w:t>
            </w:r>
          </w:p>
        </w:tc>
        <w:tc>
          <w:tcPr>
            <w:tcW w:w="1353" w:type="pct"/>
            <w:noWrap w:val="0"/>
            <w:vAlign w:val="bottom"/>
          </w:tcPr>
          <w:p w14:paraId="5D3ADEB0">
            <w:pPr>
              <w:tabs>
                <w:tab w:val="left" w:pos="-951"/>
                <w:tab w:val="left" w:pos="4267"/>
                <w:tab w:val="left" w:pos="7925"/>
              </w:tabs>
              <w:adjustRightInd w:val="0"/>
              <w:snapToGrid w:val="0"/>
              <w:spacing w:line="360" w:lineRule="auto"/>
              <w:ind w:right="-6"/>
              <w:jc w:val="both"/>
              <w:rPr>
                <w:color w:val="auto"/>
                <w:szCs w:val="21"/>
                <w:highlight w:val="none"/>
              </w:rPr>
            </w:pPr>
          </w:p>
        </w:tc>
        <w:tc>
          <w:tcPr>
            <w:tcW w:w="935" w:type="pct"/>
            <w:noWrap w:val="0"/>
            <w:vAlign w:val="bottom"/>
          </w:tcPr>
          <w:p w14:paraId="694A8E94">
            <w:pPr>
              <w:tabs>
                <w:tab w:val="left" w:pos="-951"/>
                <w:tab w:val="left" w:pos="4267"/>
                <w:tab w:val="left" w:pos="7925"/>
              </w:tabs>
              <w:adjustRightInd w:val="0"/>
              <w:snapToGrid w:val="0"/>
              <w:spacing w:line="360" w:lineRule="auto"/>
              <w:ind w:right="-6"/>
              <w:jc w:val="both"/>
              <w:rPr>
                <w:color w:val="auto"/>
                <w:szCs w:val="21"/>
                <w:highlight w:val="none"/>
              </w:rPr>
            </w:pPr>
            <w:r>
              <w:rPr>
                <w:rFonts w:hint="eastAsia" w:ascii="宋体" w:hAnsi="宋体"/>
                <w:bCs/>
                <w:color w:val="auto"/>
                <w:sz w:val="21"/>
                <w:szCs w:val="21"/>
                <w:highlight w:val="none"/>
              </w:rPr>
              <w:t>邮政编码</w:t>
            </w:r>
          </w:p>
        </w:tc>
        <w:tc>
          <w:tcPr>
            <w:tcW w:w="944" w:type="pct"/>
            <w:noWrap w:val="0"/>
            <w:vAlign w:val="bottom"/>
          </w:tcPr>
          <w:p w14:paraId="3F678CB5">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408A68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1221" w:type="pct"/>
            <w:noWrap w:val="0"/>
            <w:vAlign w:val="center"/>
          </w:tcPr>
          <w:p w14:paraId="027D3B6D">
            <w:pPr>
              <w:tabs>
                <w:tab w:val="left" w:pos="-951"/>
                <w:tab w:val="left" w:pos="4267"/>
                <w:tab w:val="left" w:pos="7925"/>
              </w:tabs>
              <w:adjustRightInd w:val="0"/>
              <w:snapToGrid w:val="0"/>
              <w:spacing w:line="360" w:lineRule="auto"/>
              <w:ind w:right="-6" w:rightChars="0"/>
              <w:jc w:val="center"/>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法定代表人</w:t>
            </w:r>
          </w:p>
        </w:tc>
        <w:tc>
          <w:tcPr>
            <w:tcW w:w="545" w:type="pct"/>
            <w:noWrap w:val="0"/>
            <w:vAlign w:val="bottom"/>
          </w:tcPr>
          <w:p w14:paraId="27B8FCD2">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姓名</w:t>
            </w:r>
          </w:p>
        </w:tc>
        <w:tc>
          <w:tcPr>
            <w:tcW w:w="1353" w:type="pct"/>
            <w:noWrap w:val="0"/>
            <w:vAlign w:val="bottom"/>
          </w:tcPr>
          <w:p w14:paraId="7AABD6A9">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p>
        </w:tc>
        <w:tc>
          <w:tcPr>
            <w:tcW w:w="935" w:type="pct"/>
            <w:noWrap w:val="0"/>
            <w:vAlign w:val="bottom"/>
          </w:tcPr>
          <w:p w14:paraId="7323E7B4">
            <w:pPr>
              <w:tabs>
                <w:tab w:val="left" w:pos="-951"/>
                <w:tab w:val="left" w:pos="4267"/>
                <w:tab w:val="left" w:pos="7925"/>
              </w:tabs>
              <w:adjustRightInd w:val="0"/>
              <w:snapToGrid w:val="0"/>
              <w:spacing w:line="360" w:lineRule="auto"/>
              <w:ind w:right="-6" w:rightChars="0"/>
              <w:jc w:val="both"/>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职务</w:t>
            </w:r>
          </w:p>
        </w:tc>
        <w:tc>
          <w:tcPr>
            <w:tcW w:w="944" w:type="pct"/>
            <w:noWrap w:val="0"/>
            <w:vAlign w:val="bottom"/>
          </w:tcPr>
          <w:p w14:paraId="5A910D5F">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155EF2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21" w:type="pct"/>
            <w:noWrap w:val="0"/>
            <w:vAlign w:val="center"/>
          </w:tcPr>
          <w:p w14:paraId="6FB59F96">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技术负责人</w:t>
            </w:r>
          </w:p>
        </w:tc>
        <w:tc>
          <w:tcPr>
            <w:tcW w:w="545" w:type="pct"/>
            <w:noWrap w:val="0"/>
            <w:vAlign w:val="bottom"/>
          </w:tcPr>
          <w:p w14:paraId="3A56DEAA">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r>
              <w:rPr>
                <w:rFonts w:hint="eastAsia" w:ascii="宋体" w:hAnsi="宋体"/>
                <w:bCs/>
                <w:color w:val="auto"/>
                <w:kern w:val="2"/>
                <w:sz w:val="21"/>
                <w:szCs w:val="21"/>
                <w:highlight w:val="none"/>
                <w:lang w:val="en-US" w:eastAsia="zh-CN" w:bidi="ar-SA"/>
              </w:rPr>
              <w:t>姓名</w:t>
            </w:r>
          </w:p>
        </w:tc>
        <w:tc>
          <w:tcPr>
            <w:tcW w:w="1353" w:type="pct"/>
            <w:noWrap w:val="0"/>
            <w:vAlign w:val="bottom"/>
          </w:tcPr>
          <w:p w14:paraId="20C85645">
            <w:pPr>
              <w:tabs>
                <w:tab w:val="left" w:pos="-951"/>
                <w:tab w:val="left" w:pos="4267"/>
                <w:tab w:val="left" w:pos="7925"/>
              </w:tabs>
              <w:adjustRightInd w:val="0"/>
              <w:snapToGrid w:val="0"/>
              <w:spacing w:line="360" w:lineRule="auto"/>
              <w:ind w:right="-6" w:rightChars="0"/>
              <w:jc w:val="both"/>
              <w:rPr>
                <w:rFonts w:hint="eastAsia" w:ascii="宋体" w:hAnsi="宋体"/>
                <w:bCs/>
                <w:color w:val="auto"/>
                <w:kern w:val="2"/>
                <w:sz w:val="21"/>
                <w:szCs w:val="21"/>
                <w:highlight w:val="none"/>
                <w:lang w:val="en-US" w:eastAsia="zh-CN" w:bidi="ar-SA"/>
              </w:rPr>
            </w:pPr>
          </w:p>
        </w:tc>
        <w:tc>
          <w:tcPr>
            <w:tcW w:w="935" w:type="pct"/>
            <w:noWrap w:val="0"/>
            <w:vAlign w:val="bottom"/>
          </w:tcPr>
          <w:p w14:paraId="304A1533">
            <w:pPr>
              <w:tabs>
                <w:tab w:val="left" w:pos="-951"/>
                <w:tab w:val="left" w:pos="4267"/>
                <w:tab w:val="left" w:pos="7925"/>
              </w:tabs>
              <w:adjustRightInd w:val="0"/>
              <w:snapToGrid w:val="0"/>
              <w:spacing w:line="360" w:lineRule="auto"/>
              <w:ind w:right="-6" w:rightChars="0"/>
              <w:jc w:val="both"/>
              <w:rPr>
                <w:rFonts w:hint="default" w:ascii="宋体" w:hAnsi="宋体"/>
                <w:bCs/>
                <w:color w:val="auto"/>
                <w:sz w:val="21"/>
                <w:szCs w:val="21"/>
                <w:highlight w:val="none"/>
                <w:lang w:val="en-US" w:eastAsia="zh-CN"/>
              </w:rPr>
            </w:pPr>
            <w:r>
              <w:rPr>
                <w:rFonts w:hint="eastAsia" w:ascii="宋体" w:hAnsi="宋体"/>
                <w:bCs/>
                <w:color w:val="auto"/>
                <w:sz w:val="21"/>
                <w:szCs w:val="21"/>
                <w:highlight w:val="none"/>
                <w:lang w:eastAsia="zh-CN"/>
              </w:rPr>
              <w:t>注册资格</w:t>
            </w:r>
            <w:r>
              <w:rPr>
                <w:rFonts w:hint="eastAsia" w:ascii="宋体" w:hAnsi="宋体"/>
                <w:bCs/>
                <w:color w:val="auto"/>
                <w:sz w:val="21"/>
                <w:szCs w:val="21"/>
                <w:highlight w:val="none"/>
                <w:lang w:val="en-US" w:eastAsia="zh-CN"/>
              </w:rPr>
              <w:t>/职称</w:t>
            </w:r>
          </w:p>
        </w:tc>
        <w:tc>
          <w:tcPr>
            <w:tcW w:w="944" w:type="pct"/>
            <w:noWrap w:val="0"/>
            <w:vAlign w:val="bottom"/>
          </w:tcPr>
          <w:p w14:paraId="666A4EE8">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2D3B47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221" w:type="pct"/>
            <w:noWrap w:val="0"/>
            <w:vAlign w:val="center"/>
          </w:tcPr>
          <w:p w14:paraId="0EE549A6">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企业资质证书</w:t>
            </w:r>
          </w:p>
        </w:tc>
        <w:tc>
          <w:tcPr>
            <w:tcW w:w="3778" w:type="pct"/>
            <w:gridSpan w:val="4"/>
            <w:noWrap w:val="0"/>
            <w:vAlign w:val="bottom"/>
          </w:tcPr>
          <w:p w14:paraId="4B8BEF74">
            <w:pPr>
              <w:tabs>
                <w:tab w:val="left" w:pos="-951"/>
                <w:tab w:val="left" w:pos="4267"/>
                <w:tab w:val="left" w:pos="7925"/>
              </w:tabs>
              <w:adjustRightInd w:val="0"/>
              <w:snapToGrid w:val="0"/>
              <w:spacing w:line="360" w:lineRule="auto"/>
              <w:ind w:right="-6" w:rightChars="0"/>
              <w:jc w:val="both"/>
              <w:rPr>
                <w:rFonts w:hint="eastAsia" w:ascii="宋体" w:hAnsi="宋体"/>
                <w:bCs/>
                <w:color w:val="auto"/>
                <w:sz w:val="21"/>
                <w:szCs w:val="21"/>
                <w:highlight w:val="none"/>
              </w:rPr>
            </w:pPr>
            <w:r>
              <w:rPr>
                <w:rFonts w:hint="eastAsia" w:ascii="宋体" w:hAnsi="宋体"/>
                <w:bCs/>
                <w:color w:val="auto"/>
                <w:sz w:val="21"/>
                <w:szCs w:val="21"/>
                <w:highlight w:val="none"/>
                <w:lang w:eastAsia="zh-CN"/>
              </w:rPr>
              <w:t>类型：</w:t>
            </w:r>
            <w:r>
              <w:rPr>
                <w:rFonts w:hint="eastAsia" w:ascii="宋体" w:hAnsi="宋体"/>
                <w:bCs/>
                <w:color w:val="auto"/>
                <w:sz w:val="21"/>
                <w:szCs w:val="21"/>
                <w:highlight w:val="none"/>
                <w:lang w:val="en-US" w:eastAsia="zh-CN"/>
              </w:rPr>
              <w:t xml:space="preserve">                   等级：           证书号：</w:t>
            </w:r>
          </w:p>
        </w:tc>
      </w:tr>
      <w:tr w14:paraId="64CC9D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221" w:type="pct"/>
            <w:noWrap w:val="0"/>
            <w:vAlign w:val="center"/>
          </w:tcPr>
          <w:p w14:paraId="1CF3586B">
            <w:pPr>
              <w:tabs>
                <w:tab w:val="left" w:pos="-951"/>
                <w:tab w:val="left" w:pos="4267"/>
                <w:tab w:val="left" w:pos="7925"/>
              </w:tabs>
              <w:adjustRightInd w:val="0"/>
              <w:snapToGrid w:val="0"/>
              <w:spacing w:line="360" w:lineRule="auto"/>
              <w:ind w:right="-6" w:rightChars="0"/>
              <w:jc w:val="center"/>
              <w:rPr>
                <w:rFonts w:hint="eastAsia"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eastAsia="zh-CN"/>
              </w:rPr>
              <w:t>成立时间</w:t>
            </w:r>
          </w:p>
        </w:tc>
        <w:tc>
          <w:tcPr>
            <w:tcW w:w="3778" w:type="pct"/>
            <w:gridSpan w:val="4"/>
            <w:noWrap w:val="0"/>
            <w:vAlign w:val="bottom"/>
          </w:tcPr>
          <w:p w14:paraId="42F361C4">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2E53DB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1221" w:type="pct"/>
            <w:noWrap w:val="0"/>
            <w:vAlign w:val="center"/>
          </w:tcPr>
          <w:p w14:paraId="753D9B88">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统一社会信用代码</w:t>
            </w:r>
          </w:p>
        </w:tc>
        <w:tc>
          <w:tcPr>
            <w:tcW w:w="3778" w:type="pct"/>
            <w:gridSpan w:val="4"/>
            <w:noWrap w:val="0"/>
            <w:vAlign w:val="bottom"/>
          </w:tcPr>
          <w:p w14:paraId="674F36D2">
            <w:pPr>
              <w:tabs>
                <w:tab w:val="left" w:pos="-951"/>
                <w:tab w:val="left" w:pos="4267"/>
                <w:tab w:val="left" w:pos="7925"/>
              </w:tabs>
              <w:adjustRightInd w:val="0"/>
              <w:snapToGrid w:val="0"/>
              <w:spacing w:line="360" w:lineRule="auto"/>
              <w:ind w:right="-6"/>
              <w:jc w:val="left"/>
              <w:rPr>
                <w:rFonts w:hint="eastAsia" w:ascii="宋体" w:hAnsi="宋体"/>
                <w:bCs/>
                <w:color w:val="auto"/>
                <w:sz w:val="21"/>
                <w:szCs w:val="21"/>
                <w:highlight w:val="none"/>
              </w:rPr>
            </w:pPr>
          </w:p>
        </w:tc>
      </w:tr>
      <w:tr w14:paraId="64102D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221" w:type="pct"/>
            <w:noWrap w:val="0"/>
            <w:vAlign w:val="center"/>
          </w:tcPr>
          <w:p w14:paraId="5F2628FB">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基本账户开户银行</w:t>
            </w:r>
          </w:p>
        </w:tc>
        <w:tc>
          <w:tcPr>
            <w:tcW w:w="3778" w:type="pct"/>
            <w:gridSpan w:val="4"/>
            <w:noWrap w:val="0"/>
            <w:vAlign w:val="bottom"/>
          </w:tcPr>
          <w:p w14:paraId="63803B20">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4CA372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4" w:hRule="atLeast"/>
          <w:jc w:val="center"/>
        </w:trPr>
        <w:tc>
          <w:tcPr>
            <w:tcW w:w="1221" w:type="pct"/>
            <w:noWrap w:val="0"/>
            <w:vAlign w:val="center"/>
          </w:tcPr>
          <w:p w14:paraId="4052F6DF">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基本账户银行账号</w:t>
            </w:r>
          </w:p>
        </w:tc>
        <w:tc>
          <w:tcPr>
            <w:tcW w:w="3778" w:type="pct"/>
            <w:gridSpan w:val="4"/>
            <w:noWrap w:val="0"/>
            <w:vAlign w:val="bottom"/>
          </w:tcPr>
          <w:p w14:paraId="60A8C137">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290628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1" w:type="pct"/>
            <w:noWrap w:val="0"/>
            <w:vAlign w:val="center"/>
          </w:tcPr>
          <w:p w14:paraId="029BF044">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经营范围：</w:t>
            </w:r>
          </w:p>
        </w:tc>
        <w:tc>
          <w:tcPr>
            <w:tcW w:w="3778" w:type="pct"/>
            <w:gridSpan w:val="4"/>
            <w:noWrap w:val="0"/>
            <w:vAlign w:val="bottom"/>
          </w:tcPr>
          <w:p w14:paraId="52841FFF">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44E49A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1221" w:type="pct"/>
            <w:noWrap w:val="0"/>
            <w:vAlign w:val="bottom"/>
          </w:tcPr>
          <w:p w14:paraId="51E708E4">
            <w:pPr>
              <w:tabs>
                <w:tab w:val="left" w:pos="-951"/>
                <w:tab w:val="left" w:pos="4267"/>
                <w:tab w:val="left" w:pos="7925"/>
              </w:tabs>
              <w:adjustRightInd w:val="0"/>
              <w:snapToGrid w:val="0"/>
              <w:spacing w:line="360" w:lineRule="auto"/>
              <w:ind w:right="-6" w:rightChars="0"/>
              <w:jc w:val="both"/>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投标人关联企业情况（包括但不限于与投标人法定代表人为同一人或者存在控股、管理关系的不同单位）</w:t>
            </w:r>
          </w:p>
        </w:tc>
        <w:tc>
          <w:tcPr>
            <w:tcW w:w="3778" w:type="pct"/>
            <w:gridSpan w:val="4"/>
            <w:noWrap w:val="0"/>
            <w:vAlign w:val="bottom"/>
          </w:tcPr>
          <w:p w14:paraId="0C79FD00">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r w14:paraId="0896CC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1221" w:type="pct"/>
            <w:noWrap w:val="0"/>
            <w:vAlign w:val="bottom"/>
          </w:tcPr>
          <w:p w14:paraId="6DDB7A5B">
            <w:pPr>
              <w:tabs>
                <w:tab w:val="left" w:pos="-951"/>
                <w:tab w:val="left" w:pos="4267"/>
                <w:tab w:val="left" w:pos="7925"/>
              </w:tabs>
              <w:adjustRightInd w:val="0"/>
              <w:snapToGrid w:val="0"/>
              <w:spacing w:line="360" w:lineRule="auto"/>
              <w:ind w:right="-6" w:rightChars="0"/>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备注</w:t>
            </w:r>
          </w:p>
        </w:tc>
        <w:tc>
          <w:tcPr>
            <w:tcW w:w="3778" w:type="pct"/>
            <w:gridSpan w:val="4"/>
            <w:noWrap w:val="0"/>
            <w:vAlign w:val="bottom"/>
          </w:tcPr>
          <w:p w14:paraId="48FC526D">
            <w:pPr>
              <w:tabs>
                <w:tab w:val="left" w:pos="-951"/>
                <w:tab w:val="left" w:pos="4267"/>
                <w:tab w:val="left" w:pos="7925"/>
              </w:tabs>
              <w:adjustRightInd w:val="0"/>
              <w:snapToGrid w:val="0"/>
              <w:spacing w:line="360" w:lineRule="auto"/>
              <w:ind w:right="-6"/>
              <w:jc w:val="both"/>
              <w:rPr>
                <w:rFonts w:hint="eastAsia" w:ascii="宋体" w:hAnsi="宋体"/>
                <w:bCs/>
                <w:color w:val="auto"/>
                <w:sz w:val="21"/>
                <w:szCs w:val="21"/>
                <w:highlight w:val="none"/>
              </w:rPr>
            </w:pPr>
          </w:p>
        </w:tc>
      </w:tr>
    </w:tbl>
    <w:p w14:paraId="44F055D9">
      <w:pPr>
        <w:tabs>
          <w:tab w:val="left" w:pos="-951"/>
          <w:tab w:val="left" w:pos="4267"/>
          <w:tab w:val="left" w:pos="7925"/>
        </w:tabs>
        <w:adjustRightInd w:val="0"/>
        <w:snapToGrid w:val="0"/>
        <w:spacing w:line="360" w:lineRule="auto"/>
        <w:ind w:right="-6"/>
        <w:rPr>
          <w:rFonts w:ascii="宋体" w:hAnsi="宋体"/>
          <w:bCs/>
          <w:color w:val="auto"/>
          <w:szCs w:val="21"/>
          <w:highlight w:val="none"/>
        </w:rPr>
      </w:pPr>
      <w:r>
        <w:rPr>
          <w:rFonts w:hint="eastAsia" w:ascii="宋体" w:hAnsi="宋体"/>
          <w:bCs/>
          <w:color w:val="auto"/>
          <w:szCs w:val="21"/>
          <w:highlight w:val="none"/>
        </w:rPr>
        <w:t>注：本表后附</w:t>
      </w:r>
      <w:r>
        <w:rPr>
          <w:rFonts w:hint="eastAsia" w:ascii="宋体" w:hAnsi="宋体"/>
          <w:bCs/>
          <w:color w:val="auto"/>
          <w:szCs w:val="21"/>
          <w:highlight w:val="none"/>
          <w:lang w:eastAsia="zh-CN"/>
        </w:rPr>
        <w:t>投标人的</w:t>
      </w:r>
      <w:r>
        <w:rPr>
          <w:rFonts w:hint="eastAsia" w:ascii="宋体" w:hAnsi="宋体"/>
          <w:bCs/>
          <w:color w:val="auto"/>
          <w:szCs w:val="21"/>
          <w:highlight w:val="none"/>
        </w:rPr>
        <w:t>营业执照、资质证书等文件的</w:t>
      </w:r>
      <w:r>
        <w:rPr>
          <w:rFonts w:hint="eastAsia" w:ascii="宋体" w:hAnsi="宋体"/>
          <w:bCs/>
          <w:color w:val="auto"/>
          <w:szCs w:val="21"/>
          <w:highlight w:val="none"/>
          <w:lang w:eastAsia="zh-CN"/>
        </w:rPr>
        <w:t>复印件或</w:t>
      </w:r>
      <w:r>
        <w:rPr>
          <w:rFonts w:hint="eastAsia" w:ascii="宋体" w:hAnsi="宋体"/>
          <w:bCs/>
          <w:color w:val="auto"/>
          <w:szCs w:val="21"/>
          <w:highlight w:val="none"/>
        </w:rPr>
        <w:t>扫描件。如为联合体投标</w:t>
      </w:r>
      <w:r>
        <w:rPr>
          <w:rFonts w:hint="eastAsia" w:ascii="宋体" w:hAnsi="宋体"/>
          <w:bCs/>
          <w:color w:val="auto"/>
          <w:szCs w:val="21"/>
          <w:highlight w:val="none"/>
          <w:lang w:eastAsia="zh-CN"/>
        </w:rPr>
        <w:t>的</w:t>
      </w:r>
      <w:r>
        <w:rPr>
          <w:rFonts w:hint="eastAsia" w:ascii="宋体" w:hAnsi="宋体"/>
          <w:bCs/>
          <w:color w:val="auto"/>
          <w:szCs w:val="21"/>
          <w:highlight w:val="none"/>
        </w:rPr>
        <w:t>，联合体各方均需填写本表。</w:t>
      </w:r>
    </w:p>
    <w:p w14:paraId="35E07317">
      <w:pPr>
        <w:tabs>
          <w:tab w:val="left" w:pos="-951"/>
          <w:tab w:val="left" w:pos="4267"/>
          <w:tab w:val="left" w:pos="7925"/>
        </w:tabs>
        <w:adjustRightInd w:val="0"/>
        <w:snapToGrid w:val="0"/>
        <w:spacing w:line="360" w:lineRule="auto"/>
        <w:ind w:right="-6"/>
        <w:jc w:val="center"/>
        <w:rPr>
          <w:rFonts w:hint="eastAsia" w:ascii="宋体" w:hAnsi="宋体"/>
          <w:b/>
          <w:bCs/>
          <w:color w:val="auto"/>
          <w:sz w:val="28"/>
          <w:szCs w:val="28"/>
          <w:highlight w:val="none"/>
        </w:rPr>
      </w:pPr>
      <w:r>
        <w:rPr>
          <w:rFonts w:hint="eastAsia" w:ascii="宋体" w:hAnsi="宋体"/>
          <w:b/>
          <w:bCs/>
          <w:color w:val="auto"/>
          <w:sz w:val="28"/>
          <w:szCs w:val="28"/>
          <w:highlight w:val="none"/>
          <w:lang w:eastAsia="zh-CN"/>
        </w:rPr>
        <w:br w:type="page"/>
      </w:r>
      <w:r>
        <w:rPr>
          <w:rFonts w:hint="eastAsia" w:ascii="宋体" w:hAnsi="宋体"/>
          <w:b/>
          <w:bCs/>
          <w:color w:val="auto"/>
          <w:sz w:val="28"/>
          <w:szCs w:val="28"/>
          <w:highlight w:val="none"/>
          <w:lang w:eastAsia="zh-CN"/>
        </w:rPr>
        <w:t>四、</w:t>
      </w:r>
      <w:r>
        <w:rPr>
          <w:rFonts w:hint="eastAsia" w:ascii="宋体" w:hAnsi="宋体"/>
          <w:b/>
          <w:bCs/>
          <w:color w:val="auto"/>
          <w:sz w:val="28"/>
          <w:szCs w:val="28"/>
          <w:highlight w:val="none"/>
        </w:rPr>
        <w:t>联合体协议书</w:t>
      </w:r>
    </w:p>
    <w:p w14:paraId="1858A140">
      <w:pPr>
        <w:tabs>
          <w:tab w:val="left" w:pos="-951"/>
          <w:tab w:val="left" w:pos="4267"/>
          <w:tab w:val="left" w:pos="7925"/>
        </w:tabs>
        <w:adjustRightInd w:val="0"/>
        <w:snapToGrid w:val="0"/>
        <w:spacing w:line="360" w:lineRule="auto"/>
        <w:ind w:right="-6"/>
        <w:rPr>
          <w:rFonts w:hint="eastAsia" w:ascii="宋体" w:hAnsi="宋体"/>
          <w:bCs/>
          <w:color w:val="auto"/>
          <w:szCs w:val="21"/>
          <w:highlight w:val="none"/>
        </w:rPr>
      </w:pPr>
    </w:p>
    <w:p w14:paraId="71FAC27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（所有成员单位名称）自愿组成联合体，共同参加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（项目名称）投标。现就联合体投标事宜订立如下协议。</w:t>
      </w:r>
    </w:p>
    <w:p w14:paraId="3EFA07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（某成员单位名称）为本项目联合体牵头人。</w:t>
      </w:r>
    </w:p>
    <w:p w14:paraId="444F45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60934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联合体将严格按照招标文件的各项要求，递交投标文件，履行合同，并对外承担连带责任。</w:t>
      </w:r>
    </w:p>
    <w:p w14:paraId="61739D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联合体</w:t>
      </w:r>
      <w:r>
        <w:rPr>
          <w:rFonts w:hint="eastAsia" w:ascii="宋体" w:hAnsi="宋体"/>
          <w:color w:val="auto"/>
          <w:szCs w:val="21"/>
          <w:highlight w:val="none"/>
          <w:lang w:eastAsia="zh-CN"/>
        </w:rPr>
        <w:t>牵头单位的职责分工：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none"/>
          <w:lang w:eastAsia="zh-CN"/>
        </w:rPr>
        <w:t>；联合体内其余</w:t>
      </w:r>
      <w:r>
        <w:rPr>
          <w:rFonts w:hint="eastAsia" w:ascii="宋体" w:hAnsi="宋体"/>
          <w:color w:val="auto"/>
          <w:szCs w:val="21"/>
          <w:highlight w:val="none"/>
        </w:rPr>
        <w:t>成员单位的职责分工：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75B24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本协议书自签署之日起生效，合同履行完毕后自动失效。</w:t>
      </w:r>
    </w:p>
    <w:p w14:paraId="68E9DE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5F28DDFE">
      <w:pPr>
        <w:spacing w:line="360" w:lineRule="auto"/>
        <w:rPr>
          <w:rFonts w:hint="eastAsia" w:ascii="宋体" w:hAnsi="宋体"/>
          <w:color w:val="auto"/>
          <w:szCs w:val="21"/>
          <w:highlight w:val="none"/>
        </w:rPr>
      </w:pPr>
    </w:p>
    <w:p w14:paraId="4406336C">
      <w:pPr>
        <w:spacing w:line="360" w:lineRule="auto"/>
        <w:rPr>
          <w:rFonts w:hint="eastAsia" w:ascii="宋体" w:hAnsi="宋体"/>
          <w:color w:val="auto"/>
          <w:szCs w:val="21"/>
          <w:highlight w:val="none"/>
        </w:rPr>
      </w:pPr>
    </w:p>
    <w:p w14:paraId="78A327DD">
      <w:pPr>
        <w:spacing w:line="360" w:lineRule="auto"/>
        <w:rPr>
          <w:rFonts w:hint="eastAsia" w:ascii="宋体" w:hAnsi="宋体"/>
          <w:color w:val="auto"/>
          <w:szCs w:val="21"/>
          <w:highlight w:val="none"/>
        </w:rPr>
      </w:pPr>
    </w:p>
    <w:p w14:paraId="753C4A2F">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联合体牵头人名称：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6805F7F8">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3FFFC020">
      <w:pPr>
        <w:spacing w:line="360" w:lineRule="auto"/>
        <w:rPr>
          <w:rFonts w:ascii="宋体" w:hAnsi="宋体"/>
          <w:color w:val="auto"/>
          <w:szCs w:val="21"/>
          <w:highlight w:val="none"/>
        </w:rPr>
      </w:pPr>
    </w:p>
    <w:p w14:paraId="008FA3D3">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1B37AB23">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6C0C080D">
      <w:pPr>
        <w:spacing w:line="360" w:lineRule="auto"/>
        <w:rPr>
          <w:rFonts w:ascii="宋体" w:hAnsi="宋体"/>
          <w:color w:val="auto"/>
          <w:szCs w:val="21"/>
          <w:highlight w:val="none"/>
        </w:rPr>
      </w:pPr>
    </w:p>
    <w:p w14:paraId="2980BAA9">
      <w:pPr>
        <w:spacing w:line="360" w:lineRule="auto"/>
        <w:ind w:firstLine="3570" w:firstLineChars="1700"/>
        <w:rPr>
          <w:rFonts w:hint="eastAsia" w:ascii="宋体" w:hAnsi="宋体"/>
          <w:color w:val="auto"/>
          <w:szCs w:val="21"/>
          <w:highlight w:val="none"/>
        </w:rPr>
      </w:pPr>
      <w:permStart w:id="139" w:edGrp="everyone"/>
      <w:r>
        <w:rPr>
          <w:rFonts w:hint="eastAsia" w:ascii="宋体" w:hAnsi="宋体"/>
          <w:color w:val="auto"/>
          <w:szCs w:val="21"/>
          <w:highlight w:val="none"/>
        </w:rPr>
        <w:t>联合体成员名称：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23B6A545">
      <w:pPr>
        <w:spacing w:line="360" w:lineRule="auto"/>
        <w:ind w:firstLine="3570" w:firstLineChars="17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ermEnd w:id="139"/>
    <w:p w14:paraId="7CF13748">
      <w:pPr>
        <w:spacing w:line="360" w:lineRule="auto"/>
        <w:rPr>
          <w:rFonts w:hint="eastAsia" w:ascii="宋体" w:hAnsi="宋体"/>
          <w:color w:val="auto"/>
          <w:szCs w:val="21"/>
          <w:highlight w:val="none"/>
        </w:rPr>
      </w:pPr>
    </w:p>
    <w:p w14:paraId="368C03BE">
      <w:pPr>
        <w:pStyle w:val="10"/>
        <w:ind w:firstLine="5355" w:firstLineChars="2550"/>
        <w:jc w:val="both"/>
        <w:rPr>
          <w:rFonts w:hint="eastAsia"/>
          <w:color w:val="auto"/>
          <w:highlight w:val="none"/>
        </w:rPr>
      </w:pPr>
      <w:r>
        <w:rPr>
          <w:rFonts w:hint="eastAsia"/>
          <w:color w:val="auto"/>
          <w:highlight w:val="none"/>
        </w:rPr>
        <w:t>年    月    日</w:t>
      </w:r>
    </w:p>
    <w:p w14:paraId="2ADEBF28">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14:paraId="0A7646D2">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14:paraId="395F7903">
      <w:pPr>
        <w:tabs>
          <w:tab w:val="left" w:pos="-951"/>
          <w:tab w:val="left" w:pos="4267"/>
          <w:tab w:val="left" w:pos="7925"/>
        </w:tabs>
        <w:adjustRightInd w:val="0"/>
        <w:snapToGrid w:val="0"/>
        <w:spacing w:line="360" w:lineRule="auto"/>
        <w:ind w:right="-6"/>
        <w:jc w:val="right"/>
        <w:rPr>
          <w:rFonts w:ascii="宋体" w:hAnsi="宋体"/>
          <w:b/>
          <w:bCs/>
          <w:color w:val="auto"/>
          <w:sz w:val="28"/>
          <w:szCs w:val="28"/>
          <w:highlight w:val="none"/>
        </w:rPr>
      </w:pPr>
    </w:p>
    <w:p w14:paraId="1CB81D7E">
      <w:pPr>
        <w:tabs>
          <w:tab w:val="left" w:pos="-951"/>
          <w:tab w:val="left" w:pos="4267"/>
          <w:tab w:val="left" w:pos="7925"/>
        </w:tabs>
        <w:adjustRightInd w:val="0"/>
        <w:snapToGrid w:val="0"/>
        <w:spacing w:line="360" w:lineRule="auto"/>
        <w:ind w:right="-6" w:firstLine="560" w:firstLineChars="200"/>
        <w:jc w:val="right"/>
        <w:rPr>
          <w:rFonts w:hint="eastAsia" w:ascii="宋体" w:hAnsi="宋体"/>
          <w:color w:val="auto"/>
          <w:sz w:val="28"/>
          <w:szCs w:val="28"/>
          <w:highlight w:val="none"/>
        </w:rPr>
      </w:pPr>
      <w:r>
        <w:rPr>
          <w:rFonts w:hint="eastAsia" w:ascii="宋体" w:hAnsi="宋体"/>
          <w:color w:val="auto"/>
          <w:sz w:val="28"/>
          <w:szCs w:val="28"/>
          <w:highlight w:val="none"/>
        </w:rPr>
        <w:t>正本（副本）</w:t>
      </w:r>
    </w:p>
    <w:p w14:paraId="5BBA4FEB">
      <w:pPr>
        <w:spacing w:line="360" w:lineRule="auto"/>
        <w:rPr>
          <w:rFonts w:hint="eastAsia" w:ascii="宋体" w:hAnsi="宋体"/>
          <w:color w:val="auto"/>
          <w:szCs w:val="21"/>
          <w:highlight w:val="none"/>
        </w:rPr>
      </w:pPr>
    </w:p>
    <w:p w14:paraId="7AD9F25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76826E5F">
      <w:pPr>
        <w:pStyle w:val="10"/>
        <w:spacing w:line="360" w:lineRule="auto"/>
        <w:jc w:val="center"/>
        <w:rPr>
          <w:rFonts w:hint="eastAsia" w:ascii="宋体" w:hAnsi="宋体" w:eastAsia="宋体"/>
          <w:color w:val="auto"/>
          <w:sz w:val="40"/>
          <w:szCs w:val="40"/>
          <w:highlight w:val="none"/>
          <w:lang w:eastAsia="zh-CN"/>
        </w:rPr>
      </w:pPr>
      <w:r>
        <w:rPr>
          <w:rFonts w:hint="eastAsia" w:ascii="宋体" w:hAnsi="宋体"/>
          <w:bCs/>
          <w:color w:val="auto"/>
          <w:sz w:val="40"/>
          <w:szCs w:val="40"/>
          <w:highlight w:val="none"/>
          <w:lang w:eastAsia="zh-CN"/>
        </w:rPr>
        <w:t>项目名称</w:t>
      </w:r>
    </w:p>
    <w:p w14:paraId="215E23E6">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63D6D0A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AD3B221">
      <w:pPr>
        <w:tabs>
          <w:tab w:val="left" w:pos="-951"/>
          <w:tab w:val="left" w:pos="4267"/>
          <w:tab w:val="left" w:pos="7925"/>
        </w:tabs>
        <w:adjustRightInd w:val="0"/>
        <w:snapToGrid w:val="0"/>
        <w:spacing w:line="360" w:lineRule="auto"/>
        <w:ind w:right="-6"/>
        <w:jc w:val="center"/>
        <w:rPr>
          <w:rFonts w:hint="eastAsia" w:ascii="宋体" w:hAnsi="宋体"/>
          <w:bCs/>
          <w:color w:val="auto"/>
          <w:szCs w:val="21"/>
          <w:highlight w:val="none"/>
        </w:rPr>
      </w:pPr>
      <w:r>
        <w:rPr>
          <w:rFonts w:hint="eastAsia" w:ascii="宋体" w:hAnsi="宋体"/>
          <w:bCs/>
          <w:color w:val="auto"/>
          <w:sz w:val="84"/>
          <w:szCs w:val="84"/>
          <w:highlight w:val="none"/>
          <w:lang w:val="en-US" w:eastAsia="zh-CN"/>
        </w:rPr>
        <w:t>技术</w:t>
      </w:r>
      <w:r>
        <w:rPr>
          <w:rFonts w:hint="eastAsia" w:ascii="宋体" w:hAnsi="宋体"/>
          <w:bCs/>
          <w:color w:val="auto"/>
          <w:sz w:val="84"/>
          <w:szCs w:val="84"/>
          <w:highlight w:val="none"/>
        </w:rPr>
        <w:t>标函</w:t>
      </w:r>
    </w:p>
    <w:p w14:paraId="2D0F1AA3">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3673332">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9672535">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76F957F">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343207C">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6D5662D9">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7D2EC50D">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lang w:eastAsia="zh-CN"/>
        </w:rPr>
        <w:t>（加盖电子印章）</w:t>
      </w:r>
    </w:p>
    <w:p w14:paraId="4A29CEFC">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14:paraId="74EFBB8E">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14:paraId="01A14EBB">
      <w:pPr>
        <w:tabs>
          <w:tab w:val="left" w:pos="-951"/>
          <w:tab w:val="left" w:pos="4267"/>
          <w:tab w:val="left" w:pos="7925"/>
        </w:tabs>
        <w:adjustRightInd w:val="0"/>
        <w:snapToGrid w:val="0"/>
        <w:spacing w:line="360" w:lineRule="auto"/>
        <w:ind w:right="-6"/>
        <w:rPr>
          <w:rFonts w:hint="eastAsia" w:ascii="宋体" w:hAnsi="宋体"/>
          <w:b/>
          <w:bCs/>
          <w:color w:val="auto"/>
          <w:sz w:val="28"/>
          <w:szCs w:val="28"/>
          <w:highlight w:val="none"/>
        </w:rPr>
      </w:pPr>
    </w:p>
    <w:p w14:paraId="1B4D2621">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14:paraId="008DFE8B">
      <w:pPr>
        <w:bidi w:val="0"/>
        <w:rPr>
          <w:rFonts w:hint="eastAsia"/>
        </w:rPr>
      </w:pPr>
    </w:p>
    <w:p w14:paraId="0C4AED50">
      <w:pPr>
        <w:rPr>
          <w:rFonts w:hint="eastAsia"/>
        </w:rPr>
      </w:pPr>
    </w:p>
    <w:p w14:paraId="11BC01AB">
      <w:pPr>
        <w:tabs>
          <w:tab w:val="left" w:pos="-951"/>
          <w:tab w:val="left" w:pos="4267"/>
          <w:tab w:val="left" w:pos="7925"/>
        </w:tabs>
        <w:adjustRightInd/>
        <w:snapToGrid/>
        <w:spacing w:line="420" w:lineRule="exact"/>
        <w:ind w:right="0" w:firstLine="0" w:firstLineChars="0"/>
        <w:jc w:val="left"/>
        <w:rPr>
          <w:rFonts w:hint="eastAsia" w:ascii="宋体" w:hAnsi="宋体"/>
          <w:bCs/>
          <w:color w:val="auto"/>
          <w:sz w:val="36"/>
          <w:szCs w:val="36"/>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、“正本”或“副本”字样</w:t>
      </w:r>
      <w:r>
        <w:rPr>
          <w:rFonts w:hint="eastAsia" w:ascii="宋体" w:hAnsi="宋体" w:eastAsia="宋体" w:cs="宋体"/>
          <w:color w:val="auto"/>
          <w:sz w:val="21"/>
          <w:szCs w:val="21"/>
          <w:highlight w:val="none"/>
        </w:rPr>
        <w:t>（电子标书免</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标”或“</w:t>
      </w: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标函”字样、投标人名称、投标人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4BBCC06E">
      <w:pPr>
        <w:spacing w:line="360" w:lineRule="auto"/>
        <w:ind w:firstLine="420"/>
        <w:jc w:val="center"/>
        <w:rPr>
          <w:rFonts w:hint="eastAsia" w:ascii="宋体" w:hAnsi="宋体"/>
          <w:color w:val="auto"/>
          <w:sz w:val="21"/>
          <w:szCs w:val="21"/>
          <w:highlight w:val="none"/>
          <w:lang w:val="en-US"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技术标</w:t>
      </w:r>
      <w:r>
        <w:rPr>
          <w:rFonts w:hint="eastAsia" w:ascii="宋体" w:hAnsi="宋体" w:eastAsia="宋体" w:cs="宋体"/>
          <w:b/>
          <w:color w:val="auto"/>
          <w:sz w:val="28"/>
          <w:szCs w:val="28"/>
          <w:highlight w:val="none"/>
        </w:rPr>
        <w:t>目录</w:t>
      </w:r>
    </w:p>
    <w:p w14:paraId="189D35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一、基本资料</w:t>
      </w:r>
    </w:p>
    <w:p w14:paraId="7CB91B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hint="eastAsia" w:ascii="宋体" w:hAnsi="宋体"/>
          <w:color w:val="auto"/>
          <w:szCs w:val="21"/>
          <w:highlight w:val="none"/>
          <w:lang w:eastAsia="zh-CN"/>
        </w:rPr>
        <w:t>投标承诺书</w:t>
      </w:r>
    </w:p>
    <w:p w14:paraId="371B0049">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（二）</w:t>
      </w:r>
      <w:r>
        <w:rPr>
          <w:rFonts w:hint="eastAsia" w:ascii="宋体" w:hAnsi="宋体"/>
          <w:color w:val="auto"/>
          <w:szCs w:val="21"/>
          <w:highlight w:val="none"/>
          <w:lang w:eastAsia="zh-CN"/>
        </w:rPr>
        <w:t>项目管理机构</w:t>
      </w:r>
    </w:p>
    <w:p w14:paraId="554F3D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w:t>
      </w:r>
      <w:r>
        <w:rPr>
          <w:rFonts w:hint="eastAsia" w:ascii="宋体" w:hAnsi="宋体" w:eastAsia="宋体" w:cs="Times New Roman"/>
          <w:color w:val="auto"/>
          <w:sz w:val="21"/>
          <w:szCs w:val="21"/>
          <w:highlight w:val="none"/>
          <w:lang w:val="en-US" w:eastAsia="zh-CN"/>
        </w:rPr>
        <w:t>投标人认为需要补充的材料</w:t>
      </w:r>
    </w:p>
    <w:p w14:paraId="4752CDB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w:t>
      </w:r>
      <w:r>
        <w:rPr>
          <w:rFonts w:hint="eastAsia" w:ascii="宋体" w:hAnsi="宋体"/>
          <w:color w:val="auto"/>
          <w:szCs w:val="21"/>
          <w:highlight w:val="none"/>
          <w:lang w:eastAsia="zh-CN"/>
        </w:rPr>
        <w:t>勘察设计方案</w:t>
      </w:r>
    </w:p>
    <w:p w14:paraId="65C7995F">
      <w:pPr>
        <w:spacing w:line="360" w:lineRule="auto"/>
        <w:jc w:val="center"/>
        <w:rPr>
          <w:rFonts w:hint="eastAsia" w:ascii="宋体" w:hAnsi="宋体"/>
          <w:color w:val="auto"/>
          <w:szCs w:val="21"/>
          <w:highlight w:val="none"/>
        </w:rPr>
      </w:pPr>
      <w:r>
        <w:rPr>
          <w:rFonts w:hint="eastAsia" w:ascii="宋体" w:hAnsi="宋体"/>
          <w:b/>
          <w:bCs/>
          <w:color w:val="auto"/>
          <w:sz w:val="28"/>
          <w:szCs w:val="28"/>
          <w:highlight w:val="none"/>
        </w:rPr>
        <w:br w:type="page"/>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一</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投标承诺书</w:t>
      </w:r>
    </w:p>
    <w:p w14:paraId="03926073">
      <w:pPr>
        <w:pStyle w:val="10"/>
        <w:keepNext w:val="0"/>
        <w:keepLines w:val="0"/>
        <w:pageBreakBefore w:val="0"/>
        <w:widowControl w:val="0"/>
        <w:kinsoku/>
        <w:wordWrap/>
        <w:overflowPunct/>
        <w:topLinePunct w:val="0"/>
        <w:autoSpaceDE/>
        <w:autoSpaceDN/>
        <w:bidi w:val="0"/>
        <w:spacing w:after="0" w:line="360" w:lineRule="auto"/>
        <w:ind w:firstLine="0" w:firstLineChars="0"/>
        <w:textAlignment w:val="auto"/>
        <w:rPr>
          <w:rFonts w:hint="eastAsia" w:ascii="微软雅黑" w:hAnsi="微软雅黑"/>
          <w:color w:val="auto"/>
          <w:highlight w:val="none"/>
          <w:u w:val="single"/>
        </w:rPr>
      </w:pPr>
      <w:r>
        <w:rPr>
          <w:rFonts w:hint="eastAsia" w:ascii="微软雅黑" w:hAnsi="微软雅黑"/>
          <w:color w:val="auto"/>
          <w:highlight w:val="none"/>
        </w:rPr>
        <w:t>致：</w:t>
      </w:r>
      <w:r>
        <w:rPr>
          <w:rFonts w:hint="eastAsia" w:ascii="微软雅黑" w:hAnsi="微软雅黑"/>
          <w:color w:val="auto"/>
          <w:highlight w:val="none"/>
          <w:u w:val="single"/>
        </w:rPr>
        <w:t xml:space="preserve">  （招标人）</w:t>
      </w:r>
    </w:p>
    <w:p w14:paraId="1CC32C07">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color w:val="auto"/>
          <w:szCs w:val="21"/>
          <w:highlight w:val="none"/>
        </w:rPr>
      </w:pPr>
      <w:r>
        <w:rPr>
          <w:rFonts w:hint="eastAsia" w:ascii="宋体" w:hAnsi="宋体"/>
          <w:color w:val="auto"/>
          <w:szCs w:val="21"/>
          <w:highlight w:val="none"/>
        </w:rPr>
        <w:t>我方已收到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b w:val="0"/>
          <w:bCs w:val="0"/>
          <w:color w:val="auto"/>
          <w:szCs w:val="21"/>
          <w:highlight w:val="none"/>
          <w:u w:val="single"/>
        </w:rPr>
        <w:t>项目名称</w:t>
      </w:r>
      <w:r>
        <w:rPr>
          <w:rFonts w:hint="eastAsia" w:ascii="宋体" w:hAnsi="宋体"/>
          <w:b w:val="0"/>
          <w:bCs w:val="0"/>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rPr>
        <w:t>招标文件，经考察现场和研究上述招标文件及合同条件、技术规范的全部内容和其他有关文件。我方决定参加投标，并承诺如下：</w:t>
      </w:r>
    </w:p>
    <w:p w14:paraId="3DBA7AFF">
      <w:pPr>
        <w:keepNext w:val="0"/>
        <w:keepLines w:val="0"/>
        <w:pageBreakBefore w:val="0"/>
        <w:widowControl w:val="0"/>
        <w:numPr>
          <w:ilvl w:val="0"/>
          <w:numId w:val="8"/>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Cs w:val="21"/>
          <w:highlight w:val="none"/>
          <w:lang w:val="en-US" w:eastAsia="zh-CN"/>
        </w:rPr>
        <w:t>我方不存在招标文件第二章“投标人须知”第1.4.3项所规定的任何一种情形，否则招标人有权取消我方的中标资格。</w:t>
      </w:r>
    </w:p>
    <w:p w14:paraId="738E978B">
      <w:pPr>
        <w:keepNext w:val="0"/>
        <w:keepLines w:val="0"/>
        <w:pageBreakBefore w:val="0"/>
        <w:widowControl w:val="0"/>
        <w:numPr>
          <w:ilvl w:val="0"/>
          <w:numId w:val="8"/>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b w:val="0"/>
          <w:bCs w:val="0"/>
          <w:color w:val="auto"/>
          <w:sz w:val="21"/>
          <w:szCs w:val="21"/>
          <w:highlight w:val="none"/>
          <w:lang w:val="en-US" w:eastAsia="zh-CN"/>
        </w:rPr>
      </w:pPr>
      <w:r>
        <w:rPr>
          <w:rFonts w:hint="default" w:ascii="宋体" w:hAnsi="宋体" w:eastAsia="宋体" w:cs="Times New Roman"/>
          <w:b w:val="0"/>
          <w:bCs w:val="0"/>
          <w:color w:val="auto"/>
          <w:sz w:val="21"/>
          <w:szCs w:val="21"/>
          <w:highlight w:val="none"/>
          <w:lang w:val="en-US" w:eastAsia="zh-CN"/>
        </w:rPr>
        <w:t>我方未</w:t>
      </w:r>
      <w:r>
        <w:rPr>
          <w:rFonts w:hint="default" w:ascii="宋体" w:hAnsi="宋体" w:eastAsia="宋体" w:cs="Times New Roman"/>
          <w:b w:val="0"/>
          <w:bCs w:val="0"/>
          <w:color w:val="auto"/>
          <w:sz w:val="21"/>
          <w:szCs w:val="21"/>
          <w:highlight w:val="none"/>
        </w:rPr>
        <w:t>在</w:t>
      </w:r>
      <w:r>
        <w:rPr>
          <w:rFonts w:hint="eastAsia" w:ascii="宋体" w:hAnsi="宋体" w:eastAsia="宋体" w:cs="Times New Roman"/>
          <w:b w:val="0"/>
          <w:bCs w:val="0"/>
          <w:color w:val="auto"/>
          <w:sz w:val="21"/>
          <w:szCs w:val="21"/>
          <w:highlight w:val="none"/>
          <w:lang w:eastAsia="zh-CN"/>
        </w:rPr>
        <w:t>《信用中国》</w:t>
      </w:r>
      <w:r>
        <w:rPr>
          <w:rFonts w:hint="default" w:ascii="宋体" w:hAnsi="宋体" w:eastAsia="宋体" w:cs="Times New Roman"/>
          <w:b w:val="0"/>
          <w:bCs w:val="0"/>
          <w:color w:val="auto"/>
          <w:sz w:val="21"/>
          <w:szCs w:val="21"/>
          <w:highlight w:val="none"/>
        </w:rPr>
        <w:t>网站（www.creditchina.gov.cn）被列为</w:t>
      </w:r>
      <w:r>
        <w:rPr>
          <w:rFonts w:hint="eastAsia"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rPr>
        <w:t>失信被执行人</w:t>
      </w:r>
      <w:r>
        <w:rPr>
          <w:rFonts w:hint="eastAsia"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lang w:eastAsia="zh-CN"/>
        </w:rPr>
        <w:t>、</w:t>
      </w:r>
      <w:r>
        <w:rPr>
          <w:rFonts w:hint="default" w:ascii="宋体" w:hAnsi="宋体" w:eastAsia="宋体" w:cs="Times New Roman"/>
          <w:b w:val="0"/>
          <w:bCs w:val="0"/>
          <w:color w:val="auto"/>
          <w:sz w:val="21"/>
          <w:szCs w:val="21"/>
          <w:highlight w:val="none"/>
          <w:lang w:val="en-US" w:eastAsia="zh-CN"/>
        </w:rPr>
        <w:t>未</w:t>
      </w:r>
      <w:r>
        <w:rPr>
          <w:rFonts w:hint="default" w:ascii="宋体" w:hAnsi="宋体" w:eastAsia="宋体" w:cs="Times New Roman"/>
          <w:b w:val="0"/>
          <w:bCs w:val="0"/>
          <w:color w:val="auto"/>
          <w:sz w:val="21"/>
          <w:szCs w:val="21"/>
          <w:highlight w:val="none"/>
        </w:rPr>
        <w:t>在国家企业信用信息公示系统被列</w:t>
      </w:r>
      <w:r>
        <w:rPr>
          <w:rFonts w:hint="default" w:ascii="宋体" w:hAnsi="宋体" w:eastAsia="宋体" w:cs="Times New Roman"/>
          <w:b w:val="0"/>
          <w:bCs w:val="0"/>
          <w:color w:val="auto"/>
          <w:sz w:val="21"/>
          <w:szCs w:val="21"/>
          <w:highlight w:val="none"/>
          <w:lang w:val="en-US" w:eastAsia="zh-CN"/>
        </w:rPr>
        <w:t>入</w:t>
      </w:r>
      <w:r>
        <w:rPr>
          <w:rFonts w:hint="default" w:ascii="宋体" w:hAnsi="宋体" w:eastAsia="宋体" w:cs="Times New Roman"/>
          <w:b w:val="0"/>
          <w:bCs w:val="0"/>
          <w:color w:val="auto"/>
          <w:sz w:val="21"/>
          <w:szCs w:val="21"/>
          <w:highlight w:val="none"/>
        </w:rPr>
        <w:t>“严重违法失信企业名单”。</w:t>
      </w:r>
    </w:p>
    <w:p w14:paraId="7649F8DC">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 w:val="21"/>
          <w:szCs w:val="21"/>
          <w:highlight w:val="none"/>
          <w:lang w:val="en-US" w:eastAsia="zh-CN"/>
        </w:rPr>
        <w:t>我方保证在本项目投标中不与其他单位串通投标、不以行贿手段谋取中标、不挂靠或者借用资质投标，不胁迫其他潜在投标人放弃投标，不胁迫中标人放弃中标、转让中标项目。</w:t>
      </w:r>
    </w:p>
    <w:p w14:paraId="0B26E3A2">
      <w:pPr>
        <w:keepNext w:val="0"/>
        <w:keepLines w:val="0"/>
        <w:pageBreakBefore w:val="0"/>
        <w:widowControl w:val="0"/>
        <w:numPr>
          <w:ilvl w:val="0"/>
          <w:numId w:val="8"/>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rPr>
        <w:t>我方保证所递交的投标文件及其后所提供的一切资料内容完整、真实、合法、有效。如我方成为本项目的中标候选人，我方同意并授权招标人将我方投标文件按法定要求进行公开。</w:t>
      </w:r>
    </w:p>
    <w:p w14:paraId="1B3DDD09">
      <w:pPr>
        <w:keepNext w:val="0"/>
        <w:keepLines w:val="0"/>
        <w:pageBreakBefore w:val="0"/>
        <w:widowControl w:val="0"/>
        <w:numPr>
          <w:ilvl w:val="0"/>
          <w:numId w:val="8"/>
        </w:numPr>
        <w:kinsoku/>
        <w:wordWrap/>
        <w:overflowPunct/>
        <w:topLinePunct w:val="0"/>
        <w:autoSpaceDE/>
        <w:autoSpaceDN/>
        <w:bidi w:val="0"/>
        <w:spacing w:line="360" w:lineRule="auto"/>
        <w:ind w:firstLine="403" w:firstLineChars="0"/>
        <w:textAlignment w:val="auto"/>
        <w:rPr>
          <w:rFonts w:hint="default" w:ascii="宋体" w:hAnsi="宋体" w:eastAsia="宋体" w:cs="Times New Roman"/>
          <w:color w:val="auto"/>
          <w:szCs w:val="21"/>
          <w:highlight w:val="none"/>
        </w:rPr>
      </w:pPr>
      <w:r>
        <w:rPr>
          <w:rFonts w:hint="default" w:ascii="宋体" w:hAnsi="宋体" w:eastAsia="宋体" w:cs="Times New Roman"/>
          <w:color w:val="auto"/>
          <w:spacing w:val="0"/>
          <w:szCs w:val="21"/>
          <w:highlight w:val="none"/>
        </w:rPr>
        <w:t>我方愿意按招标文件及合同条件、技术规范的规定，承包上述工程的勘察、设计任务。</w:t>
      </w:r>
    </w:p>
    <w:p w14:paraId="1B8EC011">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default" w:ascii="宋体" w:hAnsi="宋体" w:eastAsia="宋体" w:cs="Times New Roman"/>
          <w:color w:val="auto"/>
          <w:szCs w:val="21"/>
          <w:highlight w:val="none"/>
        </w:rPr>
        <w:t>如果我方中标，我方保证在接到招标人中标通知后，立即开展勘察、设计工作，按招标文件和合同条件、技术规范要求的质量和进度于</w:t>
      </w:r>
      <w:permStart w:id="140" w:edGrp="everyone"/>
      <w:r>
        <w:rPr>
          <w:rFonts w:hint="eastAsia" w:ascii="宋体" w:hAnsi="宋体" w:cs="Times New Roman"/>
          <w:color w:val="auto"/>
          <w:szCs w:val="21"/>
          <w:highlight w:val="none"/>
          <w:lang w:val="en-US" w:eastAsia="zh-CN"/>
        </w:rPr>
        <w:t>90</w:t>
      </w:r>
      <w:r>
        <w:rPr>
          <w:rFonts w:hint="default" w:ascii="宋体" w:hAnsi="宋体" w:eastAsia="宋体" w:cs="Times New Roman"/>
          <w:color w:val="auto"/>
          <w:szCs w:val="21"/>
          <w:highlight w:val="none"/>
        </w:rPr>
        <w:t>个日历天</w:t>
      </w:r>
      <w:permEnd w:id="140"/>
      <w:r>
        <w:rPr>
          <w:rFonts w:hint="default" w:ascii="宋体" w:hAnsi="宋体" w:eastAsia="宋体" w:cs="Times New Roman"/>
          <w:color w:val="auto"/>
          <w:szCs w:val="21"/>
          <w:highlight w:val="none"/>
        </w:rPr>
        <w:t>内完成全部勘察、设计工作</w:t>
      </w:r>
      <w:permStart w:id="141" w:edGrp="everyone"/>
      <w:r>
        <w:rPr>
          <w:rFonts w:hint="eastAsia" w:ascii="宋体" w:hAnsi="宋体" w:eastAsia="宋体" w:cs="宋体"/>
          <w:i w:val="0"/>
          <w:color w:val="000000"/>
          <w:kern w:val="0"/>
          <w:sz w:val="21"/>
          <w:szCs w:val="21"/>
          <w:highlight w:val="none"/>
          <w:u w:val="none"/>
          <w:lang w:val="en-US" w:eastAsia="zh-CN" w:bidi="ar"/>
        </w:rPr>
        <w:t>勘察设计周期（</w:t>
      </w:r>
      <w:r>
        <w:rPr>
          <w:rFonts w:hint="eastAsia" w:ascii="宋体" w:hAnsi="宋体" w:cs="宋体"/>
          <w:i w:val="0"/>
          <w:color w:val="000000"/>
          <w:kern w:val="0"/>
          <w:sz w:val="21"/>
          <w:szCs w:val="21"/>
          <w:highlight w:val="none"/>
          <w:u w:val="none"/>
          <w:lang w:val="en-US" w:eastAsia="zh-CN" w:bidi="ar"/>
        </w:rPr>
        <w:t>勘察、设计同步开展，即</w:t>
      </w:r>
      <w:r>
        <w:rPr>
          <w:rFonts w:hint="eastAsia" w:ascii="宋体" w:hAnsi="宋体" w:eastAsia="宋体" w:cs="宋体"/>
          <w:i w:val="0"/>
          <w:color w:val="000000"/>
          <w:kern w:val="0"/>
          <w:sz w:val="21"/>
          <w:szCs w:val="21"/>
          <w:highlight w:val="none"/>
          <w:u w:val="none"/>
          <w:lang w:val="en-US" w:eastAsia="zh-CN" w:bidi="ar"/>
        </w:rPr>
        <w:t>总工期</w:t>
      </w:r>
      <w:r>
        <w:rPr>
          <w:rFonts w:hint="eastAsia" w:ascii="宋体" w:hAnsi="宋体" w:cs="宋体"/>
          <w:i w:val="0"/>
          <w:color w:val="000000"/>
          <w:kern w:val="0"/>
          <w:sz w:val="21"/>
          <w:szCs w:val="21"/>
          <w:highlight w:val="none"/>
          <w:u w:val="none"/>
          <w:lang w:val="en-US" w:eastAsia="zh-CN" w:bidi="ar"/>
        </w:rPr>
        <w:t>共计</w:t>
      </w:r>
      <w:r>
        <w:rPr>
          <w:rFonts w:hint="eastAsia" w:ascii="宋体" w:hAnsi="宋体" w:cs="宋体"/>
          <w:i w:val="0"/>
          <w:color w:val="000000"/>
          <w:kern w:val="0"/>
          <w:sz w:val="21"/>
          <w:szCs w:val="21"/>
          <w:highlight w:val="none"/>
          <w:u w:val="single"/>
          <w:lang w:val="en-US" w:eastAsia="zh-CN" w:bidi="ar"/>
        </w:rPr>
        <w:t>90</w:t>
      </w:r>
      <w:r>
        <w:rPr>
          <w:rFonts w:hint="eastAsia" w:ascii="宋体" w:hAnsi="宋体" w:eastAsia="宋体" w:cs="宋体"/>
          <w:i w:val="0"/>
          <w:color w:val="000000"/>
          <w:kern w:val="0"/>
          <w:sz w:val="21"/>
          <w:szCs w:val="21"/>
          <w:highlight w:val="none"/>
          <w:u w:val="none"/>
          <w:lang w:val="en-US" w:eastAsia="zh-CN" w:bidi="ar"/>
        </w:rPr>
        <w:t>个日历天）</w:t>
      </w:r>
    </w:p>
    <w:p w14:paraId="6B21C4B3">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勘察周期： 30 个日历天</w:t>
      </w:r>
    </w:p>
    <w:p w14:paraId="436D890A">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1）在合同签订后25个内完成现场勘查并提交测量成果/钻探方案/勘察报告（送审稿）。</w:t>
      </w:r>
    </w:p>
    <w:p w14:paraId="431C5331">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2</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审查机构出具勘察报告审查意见后 5 个日历天内完成补充、修改。</w:t>
      </w:r>
    </w:p>
    <w:p w14:paraId="50DF38A8">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设计周期：90个日历天</w:t>
      </w:r>
    </w:p>
    <w:p w14:paraId="400B4890">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（1）合同签订后25个日历天内提供初步设计文件（含概算送审稿）；</w:t>
      </w:r>
    </w:p>
    <w:p w14:paraId="63319F9F">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（2）初步设计评审后15个日历天内完成初步设计修编稿及配合报批；</w:t>
      </w:r>
    </w:p>
    <w:p w14:paraId="6F2874DB">
      <w:pPr>
        <w:keepNext w:val="0"/>
        <w:keepLines w:val="0"/>
        <w:widowControl/>
        <w:suppressLineNumbers w:val="0"/>
        <w:spacing w:line="36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（3）初步设计审查批复后35个日历天内完成施工图设计并送审；</w:t>
      </w:r>
    </w:p>
    <w:p w14:paraId="1F264A25">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Times New Roman"/>
          <w:color w:val="auto"/>
          <w:szCs w:val="21"/>
          <w:highlight w:val="none"/>
        </w:rPr>
      </w:pPr>
      <w:r>
        <w:rPr>
          <w:rFonts w:hint="eastAsia" w:ascii="宋体" w:hAnsi="宋体" w:eastAsia="宋体" w:cs="宋体"/>
          <w:i w:val="0"/>
          <w:color w:val="000000"/>
          <w:kern w:val="0"/>
          <w:sz w:val="21"/>
          <w:szCs w:val="21"/>
          <w:highlight w:val="none"/>
          <w:u w:val="none"/>
          <w:lang w:val="en-US" w:eastAsia="zh-CN" w:bidi="ar"/>
        </w:rPr>
        <w:t>（4）施工图审查完成后 15 个日历天内提交正式版施工图。</w:t>
      </w:r>
    </w:p>
    <w:p w14:paraId="6E4DAC33">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我方承诺：如我方出现《违约金及承诺一览表》的违约情况，我方愿意按照招标人的要求执行，并承担由此产生的一切责任和后果</w:t>
      </w:r>
      <w:permEnd w:id="141"/>
      <w:r>
        <w:rPr>
          <w:rFonts w:hint="default" w:ascii="宋体" w:hAnsi="宋体" w:eastAsia="宋体" w:cs="Times New Roman"/>
          <w:color w:val="auto"/>
          <w:szCs w:val="21"/>
          <w:highlight w:val="none"/>
        </w:rPr>
        <w:t>。</w:t>
      </w:r>
    </w:p>
    <w:p w14:paraId="4EE18A2F">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pacing w:val="0"/>
          <w:szCs w:val="21"/>
          <w:highlight w:val="none"/>
        </w:rPr>
      </w:pPr>
      <w:r>
        <w:rPr>
          <w:rFonts w:hint="default" w:ascii="宋体" w:hAnsi="宋体" w:eastAsia="宋体" w:cs="Times New Roman"/>
          <w:color w:val="auto"/>
          <w:szCs w:val="21"/>
          <w:highlight w:val="none"/>
        </w:rPr>
        <w:t>我方承诺按招标人、评标委员会及图纸审查机构的意见，对设计图纸进行修改完善。</w:t>
      </w:r>
    </w:p>
    <w:p w14:paraId="6902D45B">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如果我方中标，我方保证在投标文件中所列的勘察、设计人员（包括项目负责人、分项负责人）必须按项目进度要求全部到位，除特殊情况外，不允许更换专职设计人员，尤其是项目负责人，确保为工程实施全过程提供优质服务。</w:t>
      </w:r>
    </w:p>
    <w:p w14:paraId="1A386793">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ascii="宋体" w:hAnsi="宋体" w:eastAsia="宋体" w:cs="Times New Roman"/>
          <w:color w:val="auto"/>
          <w:szCs w:val="21"/>
          <w:highlight w:val="none"/>
        </w:rPr>
        <w:t>所有</w:t>
      </w:r>
      <w:r>
        <w:rPr>
          <w:rFonts w:hint="default" w:ascii="宋体" w:hAnsi="宋体" w:eastAsia="宋体" w:cs="Times New Roman"/>
          <w:color w:val="auto"/>
          <w:szCs w:val="21"/>
          <w:highlight w:val="none"/>
        </w:rPr>
        <w:t>勘察、</w:t>
      </w:r>
      <w:r>
        <w:rPr>
          <w:rFonts w:ascii="宋体" w:hAnsi="宋体" w:eastAsia="宋体" w:cs="Times New Roman"/>
          <w:color w:val="auto"/>
          <w:szCs w:val="21"/>
          <w:highlight w:val="none"/>
        </w:rPr>
        <w:t>设计工作任务必须由我方独立完成，</w:t>
      </w:r>
      <w:r>
        <w:rPr>
          <w:rFonts w:hint="default" w:ascii="宋体" w:hAnsi="宋体" w:eastAsia="宋体" w:cs="Times New Roman"/>
          <w:color w:val="auto"/>
          <w:szCs w:val="21"/>
          <w:highlight w:val="none"/>
        </w:rPr>
        <w:t>除投标人须知前附表规定的经招标人同意可分包的非主体、非关键性工作外，其他工作不得分包、转包，</w:t>
      </w:r>
      <w:r>
        <w:rPr>
          <w:rFonts w:ascii="宋体" w:hAnsi="宋体" w:eastAsia="宋体" w:cs="Times New Roman"/>
          <w:color w:val="auto"/>
          <w:szCs w:val="21"/>
          <w:highlight w:val="none"/>
        </w:rPr>
        <w:t>否则按违约处理，招标人依法追究我方违约责任。</w:t>
      </w:r>
    </w:p>
    <w:p w14:paraId="386A3FE1">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ascii="宋体" w:hAnsi="宋体" w:eastAsia="宋体" w:cs="Times New Roman"/>
          <w:color w:val="auto"/>
          <w:szCs w:val="21"/>
          <w:highlight w:val="none"/>
        </w:rPr>
      </w:pPr>
      <w:r>
        <w:rPr>
          <w:rFonts w:hint="default" w:ascii="宋体" w:hAnsi="宋体" w:eastAsia="宋体" w:cs="Times New Roman"/>
          <w:color w:val="auto"/>
          <w:szCs w:val="21"/>
          <w:highlight w:val="none"/>
        </w:rPr>
        <w:t>我方同意所递交的投标文件在招标文件规定的投标有效期内有效，我方将受此约束。除非另外达成协议并生效，招标人的招标文件、中标通知书和我方的投标文件、投标承诺书将构成约束我们双方的合同。</w:t>
      </w:r>
    </w:p>
    <w:p w14:paraId="5863EFBE">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公示期满后，假如确定我方中标，将在中标通知书发出之日起</w:t>
      </w:r>
      <w:permStart w:id="142" w:edGrp="everyone"/>
      <w:r>
        <w:rPr>
          <w:rFonts w:hint="default" w:ascii="宋体" w:hAnsi="宋体" w:eastAsia="宋体" w:cs="Times New Roman"/>
          <w:color w:val="auto"/>
          <w:szCs w:val="21"/>
          <w:highlight w:val="none"/>
          <w:u w:val="single"/>
        </w:rPr>
        <w:t>30</w:t>
      </w:r>
      <w:permEnd w:id="142"/>
      <w:r>
        <w:rPr>
          <w:rFonts w:hint="default" w:ascii="宋体" w:hAnsi="宋体" w:eastAsia="宋体" w:cs="Times New Roman"/>
          <w:color w:val="auto"/>
          <w:szCs w:val="21"/>
          <w:highlight w:val="none"/>
        </w:rPr>
        <w:t>天内，与招标人签订工程承包合同。若我方在中标通知书发出之日起</w:t>
      </w:r>
      <w:permStart w:id="143" w:edGrp="everyone"/>
      <w:r>
        <w:rPr>
          <w:rFonts w:hint="default" w:ascii="宋体" w:hAnsi="宋体" w:eastAsia="宋体" w:cs="Times New Roman"/>
          <w:color w:val="auto"/>
          <w:szCs w:val="21"/>
          <w:highlight w:val="none"/>
          <w:u w:val="single"/>
        </w:rPr>
        <w:t>30</w:t>
      </w:r>
      <w:permEnd w:id="143"/>
      <w:r>
        <w:rPr>
          <w:rFonts w:hint="default" w:ascii="宋体" w:hAnsi="宋体" w:eastAsia="宋体" w:cs="Times New Roman"/>
          <w:color w:val="auto"/>
          <w:szCs w:val="21"/>
          <w:highlight w:val="none"/>
        </w:rPr>
        <w:t>天内不履行与招标人订立合同的，则视为自动放弃中标，其投标保证金由招标人没收，给招标人造成的损失超过投标保证金数额的，对超过部分我方承诺赔偿，并且招标人有权取消我方中标人资格，报招投标监管部门另行确定中标人或重新招标。</w:t>
      </w:r>
    </w:p>
    <w:p w14:paraId="5CE69C79">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color w:val="auto"/>
          <w:kern w:val="2"/>
          <w:sz w:val="21"/>
          <w:szCs w:val="21"/>
          <w:highlight w:val="none"/>
          <w:lang w:val="en-US" w:eastAsia="zh-CN" w:bidi="ar-SA"/>
        </w:rPr>
        <w:t>如果我方中标后由于自身原因造成不能履约的，招标人有权取消我方的中标资格。</w:t>
      </w:r>
    </w:p>
    <w:p w14:paraId="41238767">
      <w:pPr>
        <w:keepNext w:val="0"/>
        <w:keepLines w:val="0"/>
        <w:pageBreakBefore w:val="0"/>
        <w:widowControl w:val="0"/>
        <w:numPr>
          <w:ilvl w:val="0"/>
          <w:numId w:val="8"/>
        </w:numPr>
        <w:kinsoku/>
        <w:wordWrap/>
        <w:overflowPunct/>
        <w:topLinePunct w:val="0"/>
        <w:autoSpaceDE/>
        <w:autoSpaceDN/>
        <w:bidi w:val="0"/>
        <w:spacing w:line="360" w:lineRule="auto"/>
        <w:ind w:firstLine="403"/>
        <w:textAlignment w:val="auto"/>
        <w:rPr>
          <w:rFonts w:hint="default" w:ascii="宋体" w:hAnsi="宋体" w:eastAsia="宋体" w:cs="Times New Roman"/>
          <w:color w:val="auto"/>
          <w:szCs w:val="21"/>
          <w:highlight w:val="none"/>
        </w:rPr>
      </w:pPr>
      <w:r>
        <w:rPr>
          <w:rFonts w:hint="default" w:ascii="宋体" w:hAnsi="宋体" w:eastAsia="宋体" w:cs="Times New Roman"/>
          <w:b w:val="0"/>
          <w:bCs w:val="0"/>
          <w:color w:val="auto"/>
          <w:sz w:val="21"/>
          <w:szCs w:val="21"/>
          <w:highlight w:val="none"/>
          <w:u w:val="none"/>
          <w:lang w:val="en-US" w:eastAsia="zh-CN"/>
        </w:rPr>
        <w:t>我方违反上述承诺、保证，或上述声明与事实不符，一经查实，我方愿意接受中山市建设行政主管部门记录不良行为，承担由此产生的一切责任。</w:t>
      </w:r>
    </w:p>
    <w:p w14:paraId="25F45100">
      <w:pPr>
        <w:keepNext w:val="0"/>
        <w:keepLines w:val="0"/>
        <w:pageBreakBefore w:val="0"/>
        <w:widowControl w:val="0"/>
        <w:tabs>
          <w:tab w:val="left" w:pos="-951"/>
          <w:tab w:val="left" w:pos="4267"/>
          <w:tab w:val="left" w:pos="7925"/>
        </w:tabs>
        <w:kinsoku/>
        <w:wordWrap/>
        <w:overflowPunct/>
        <w:topLinePunct w:val="0"/>
        <w:autoSpaceDE/>
        <w:autoSpaceDN/>
        <w:bidi w:val="0"/>
        <w:adjustRightInd w:val="0"/>
        <w:snapToGrid w:val="0"/>
        <w:spacing w:line="360" w:lineRule="auto"/>
        <w:ind w:right="-6" w:firstLine="3255" w:firstLineChars="1550"/>
        <w:jc w:val="right"/>
        <w:textAlignment w:val="auto"/>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
          <w:color w:val="auto"/>
          <w:szCs w:val="21"/>
          <w:highlight w:val="none"/>
          <w:u w:val="single"/>
        </w:rPr>
        <w:t xml:space="preserve">                        </w:t>
      </w:r>
      <w:r>
        <w:rPr>
          <w:rFonts w:hint="eastAsia" w:ascii="宋体" w:hAnsi="宋体"/>
          <w:bCs/>
          <w:color w:val="auto"/>
          <w:szCs w:val="21"/>
          <w:highlight w:val="none"/>
        </w:rPr>
        <w:t>（</w:t>
      </w:r>
      <w:r>
        <w:rPr>
          <w:rFonts w:hint="eastAsia" w:ascii="宋体" w:hAnsi="宋体"/>
          <w:bCs/>
          <w:color w:val="auto"/>
          <w:szCs w:val="21"/>
          <w:highlight w:val="none"/>
          <w:lang w:eastAsia="zh-CN"/>
        </w:rPr>
        <w:t>加盖电子印章</w:t>
      </w:r>
      <w:r>
        <w:rPr>
          <w:rFonts w:hint="eastAsia" w:ascii="宋体" w:hAnsi="宋体"/>
          <w:bCs/>
          <w:color w:val="auto"/>
          <w:szCs w:val="21"/>
          <w:highlight w:val="none"/>
        </w:rPr>
        <w:t>）</w:t>
      </w:r>
    </w:p>
    <w:p w14:paraId="433537C0">
      <w:pPr>
        <w:keepNext w:val="0"/>
        <w:keepLines w:val="0"/>
        <w:pageBreakBefore w:val="0"/>
        <w:widowControl w:val="0"/>
        <w:tabs>
          <w:tab w:val="left" w:pos="-951"/>
          <w:tab w:val="left" w:pos="4267"/>
          <w:tab w:val="left" w:pos="7925"/>
        </w:tabs>
        <w:kinsoku/>
        <w:wordWrap/>
        <w:overflowPunct/>
        <w:topLinePunct w:val="0"/>
        <w:autoSpaceDE/>
        <w:autoSpaceDN/>
        <w:bidi w:val="0"/>
        <w:adjustRightInd w:val="0"/>
        <w:snapToGrid w:val="0"/>
        <w:spacing w:line="360" w:lineRule="auto"/>
        <w:ind w:right="-6" w:firstLine="2310" w:firstLineChars="110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法定代表人或代理人：</w:t>
      </w:r>
      <w:r>
        <w:rPr>
          <w:rFonts w:hint="eastAsia" w:ascii="宋体" w:hAnsi="宋体"/>
          <w:b/>
          <w:color w:val="auto"/>
          <w:szCs w:val="21"/>
          <w:highlight w:val="none"/>
          <w:u w:val="single"/>
        </w:rPr>
        <w:t xml:space="preserve">              </w:t>
      </w:r>
      <w:r>
        <w:rPr>
          <w:rFonts w:hint="eastAsia" w:ascii="宋体" w:hAnsi="宋体"/>
          <w:bCs/>
          <w:color w:val="auto"/>
          <w:szCs w:val="21"/>
          <w:highlight w:val="none"/>
        </w:rPr>
        <w:t>（</w:t>
      </w:r>
      <w:r>
        <w:rPr>
          <w:rFonts w:hint="eastAsia" w:ascii="宋体" w:hAnsi="宋体"/>
          <w:bCs/>
          <w:color w:val="auto"/>
          <w:szCs w:val="21"/>
          <w:highlight w:val="none"/>
          <w:lang w:eastAsia="zh-CN"/>
        </w:rPr>
        <w:t>电子签名</w:t>
      </w:r>
      <w:r>
        <w:rPr>
          <w:rFonts w:hint="eastAsia" w:ascii="宋体" w:hAnsi="宋体"/>
          <w:bCs/>
          <w:color w:val="auto"/>
          <w:szCs w:val="21"/>
          <w:highlight w:val="none"/>
        </w:rPr>
        <w:t>）</w:t>
      </w:r>
    </w:p>
    <w:p w14:paraId="062A2610">
      <w:pPr>
        <w:keepNext w:val="0"/>
        <w:keepLines w:val="0"/>
        <w:pageBreakBefore w:val="0"/>
        <w:widowControl w:val="0"/>
        <w:tabs>
          <w:tab w:val="left" w:pos="6300"/>
        </w:tabs>
        <w:kinsoku/>
        <w:wordWrap/>
        <w:overflowPunct/>
        <w:topLinePunct w:val="0"/>
        <w:autoSpaceDE/>
        <w:autoSpaceDN/>
        <w:bidi w:val="0"/>
        <w:snapToGrid w:val="0"/>
        <w:spacing w:line="360" w:lineRule="auto"/>
        <w:ind w:firstLine="4410" w:firstLineChars="2100"/>
        <w:jc w:val="both"/>
        <w:textAlignment w:val="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color w:val="auto"/>
          <w:szCs w:val="21"/>
          <w:highlight w:val="none"/>
        </w:rPr>
        <w:t>年</w:t>
      </w:r>
      <w:r>
        <w:rPr>
          <w:rFonts w:hint="eastAsia" w:ascii="宋体" w:hAnsi="宋体"/>
          <w:bCs/>
          <w:color w:val="auto"/>
          <w:szCs w:val="21"/>
          <w:highlight w:val="none"/>
          <w:u w:val="single"/>
        </w:rPr>
        <w:t xml:space="preserve">    </w:t>
      </w:r>
      <w:r>
        <w:rPr>
          <w:rFonts w:hint="eastAsia" w:ascii="宋体" w:hAnsi="宋体"/>
          <w:color w:val="auto"/>
          <w:szCs w:val="21"/>
          <w:highlight w:val="none"/>
        </w:rPr>
        <w:t>月</w:t>
      </w:r>
      <w:r>
        <w:rPr>
          <w:rFonts w:hint="eastAsia" w:ascii="宋体" w:hAnsi="宋体"/>
          <w:bCs/>
          <w:color w:val="auto"/>
          <w:szCs w:val="21"/>
          <w:highlight w:val="none"/>
          <w:u w:val="single"/>
        </w:rPr>
        <w:t xml:space="preserve">    </w:t>
      </w:r>
      <w:r>
        <w:rPr>
          <w:rFonts w:hint="eastAsia" w:ascii="宋体" w:hAnsi="宋体"/>
          <w:color w:val="auto"/>
          <w:szCs w:val="21"/>
          <w:highlight w:val="none"/>
        </w:rPr>
        <w:t>日</w:t>
      </w:r>
    </w:p>
    <w:p w14:paraId="249865DF">
      <w:pPr>
        <w:keepNext w:val="0"/>
        <w:keepLines w:val="0"/>
        <w:pageBreakBefore w:val="0"/>
        <w:widowControl w:val="0"/>
        <w:tabs>
          <w:tab w:val="left" w:pos="6300"/>
        </w:tabs>
        <w:kinsoku/>
        <w:wordWrap/>
        <w:overflowPunct/>
        <w:topLinePunct w:val="0"/>
        <w:autoSpaceDE/>
        <w:autoSpaceDN/>
        <w:bidi w:val="0"/>
        <w:snapToGrid w:val="0"/>
        <w:spacing w:line="360" w:lineRule="auto"/>
        <w:ind w:firstLine="2310" w:firstLineChars="1100"/>
        <w:jc w:val="center"/>
        <w:textAlignment w:val="auto"/>
        <w:rPr>
          <w:rFonts w:hint="eastAsia" w:ascii="宋体" w:hAnsi="宋体"/>
          <w:color w:val="auto"/>
          <w:szCs w:val="21"/>
          <w:highlight w:val="none"/>
        </w:rPr>
      </w:pPr>
    </w:p>
    <w:p w14:paraId="1D65778A">
      <w:pPr>
        <w:tabs>
          <w:tab w:val="left" w:pos="-951"/>
          <w:tab w:val="left" w:pos="4267"/>
          <w:tab w:val="left" w:pos="7925"/>
        </w:tabs>
        <w:adjustRightInd w:val="0"/>
        <w:snapToGrid w:val="0"/>
        <w:ind w:right="-6"/>
        <w:jc w:val="both"/>
        <w:rPr>
          <w:rFonts w:hint="eastAsia" w:ascii="宋体" w:hAnsi="宋体"/>
          <w:bCs/>
          <w:color w:val="auto"/>
          <w:szCs w:val="21"/>
          <w:highlight w:val="none"/>
        </w:rPr>
        <w:sectPr>
          <w:footerReference r:id="rId6" w:type="default"/>
          <w:footerReference r:id="rId7" w:type="even"/>
          <w:pgSz w:w="11906" w:h="16838"/>
          <w:pgMar w:top="1417" w:right="1134" w:bottom="1141" w:left="1134" w:header="851" w:footer="992" w:gutter="0"/>
          <w:pgBorders>
            <w:top w:val="none" w:sz="0" w:space="0"/>
            <w:left w:val="none" w:sz="0" w:space="0"/>
            <w:bottom w:val="none" w:sz="0" w:space="0"/>
            <w:right w:val="none" w:sz="0" w:space="0"/>
          </w:pgBorders>
          <w:cols w:space="720" w:num="1"/>
          <w:rtlGutter w:val="0"/>
          <w:docGrid w:type="lines" w:linePitch="318" w:charSpace="0"/>
        </w:sectPr>
      </w:pPr>
    </w:p>
    <w:p w14:paraId="591C30C9">
      <w:pPr>
        <w:keepNext w:val="0"/>
        <w:keepLines w:val="0"/>
        <w:pageBreakBefore w:val="0"/>
        <w:widowControl w:val="0"/>
        <w:numPr>
          <w:ilvl w:val="0"/>
          <w:numId w:val="0"/>
        </w:numPr>
        <w:tabs>
          <w:tab w:val="left" w:pos="-951"/>
          <w:tab w:val="left" w:pos="4267"/>
          <w:tab w:val="left" w:pos="7925"/>
        </w:tabs>
        <w:kinsoku/>
        <w:wordWrap/>
        <w:overflowPunct/>
        <w:topLinePunct w:val="0"/>
        <w:autoSpaceDE/>
        <w:autoSpaceDN/>
        <w:bidi w:val="0"/>
        <w:adjustRightInd w:val="0"/>
        <w:snapToGrid w:val="0"/>
        <w:spacing w:line="360" w:lineRule="auto"/>
        <w:ind w:right="-6" w:rightChars="0"/>
        <w:jc w:val="center"/>
        <w:textAlignment w:val="auto"/>
        <w:rPr>
          <w:rFonts w:hint="eastAsia"/>
          <w:color w:val="auto"/>
          <w:highlight w:val="none"/>
          <w:lang w:val="en-US" w:eastAsia="zh-CN"/>
        </w:rPr>
      </w:pPr>
      <w:r>
        <w:rPr>
          <w:rFonts w:hint="eastAsia" w:ascii="宋体" w:hAnsi="宋体"/>
          <w:b/>
          <w:bCs/>
          <w:color w:val="auto"/>
          <w:sz w:val="28"/>
          <w:szCs w:val="28"/>
          <w:highlight w:val="none"/>
          <w:lang w:val="en-US" w:eastAsia="zh-CN"/>
        </w:rPr>
        <w:t>（二）项目管理机构</w:t>
      </w:r>
    </w:p>
    <w:p w14:paraId="6ECEEED1">
      <w:pPr>
        <w:keepNext w:val="0"/>
        <w:keepLines w:val="0"/>
        <w:pageBreakBefore w:val="0"/>
        <w:widowControl w:val="0"/>
        <w:numPr>
          <w:ilvl w:val="0"/>
          <w:numId w:val="0"/>
        </w:numPr>
        <w:tabs>
          <w:tab w:val="left" w:pos="-951"/>
          <w:tab w:val="left" w:pos="4267"/>
          <w:tab w:val="left" w:pos="7925"/>
        </w:tabs>
        <w:kinsoku/>
        <w:wordWrap/>
        <w:overflowPunct/>
        <w:topLinePunct w:val="0"/>
        <w:autoSpaceDE/>
        <w:autoSpaceDN/>
        <w:bidi w:val="0"/>
        <w:adjustRightInd w:val="0"/>
        <w:snapToGrid w:val="0"/>
        <w:spacing w:line="360" w:lineRule="auto"/>
        <w:ind w:left="0" w:leftChars="0" w:right="-6" w:firstLine="0" w:firstLineChars="0"/>
        <w:jc w:val="center"/>
        <w:textAlignment w:val="auto"/>
        <w:rPr>
          <w:rFonts w:hint="eastAsia"/>
          <w:color w:val="auto"/>
          <w:highlight w:val="none"/>
          <w:lang w:eastAsia="zh-CN"/>
        </w:rPr>
      </w:pPr>
      <w:r>
        <w:rPr>
          <w:rFonts w:hint="eastAsia" w:ascii="宋体" w:hAnsi="宋体" w:eastAsia="宋体" w:cs="宋体"/>
          <w:b/>
          <w:color w:val="auto"/>
          <w:highlight w:val="none"/>
          <w:lang w:val="en-US" w:eastAsia="zh-CN"/>
        </w:rPr>
        <w:t xml:space="preserve">1. </w:t>
      </w:r>
      <w:r>
        <w:rPr>
          <w:rFonts w:hint="eastAsia" w:ascii="宋体" w:hAnsi="宋体" w:eastAsia="宋体" w:cs="宋体"/>
          <w:b/>
          <w:color w:val="auto"/>
          <w:highlight w:val="none"/>
        </w:rPr>
        <w:t>项目</w:t>
      </w:r>
      <w:r>
        <w:rPr>
          <w:rFonts w:hint="eastAsia"/>
          <w:b/>
          <w:color w:val="auto"/>
          <w:highlight w:val="none"/>
        </w:rPr>
        <w:t>管理机构主要人员配置表</w:t>
      </w:r>
    </w:p>
    <w:tbl>
      <w:tblPr>
        <w:tblStyle w:val="26"/>
        <w:tblW w:w="9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7"/>
        <w:gridCol w:w="638"/>
        <w:gridCol w:w="850"/>
        <w:gridCol w:w="1130"/>
        <w:gridCol w:w="900"/>
        <w:gridCol w:w="1080"/>
        <w:gridCol w:w="1102"/>
        <w:gridCol w:w="1025"/>
        <w:gridCol w:w="713"/>
      </w:tblGrid>
      <w:tr w14:paraId="184F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9" w:type="dxa"/>
            <w:vMerge w:val="restart"/>
            <w:noWrap w:val="0"/>
            <w:vAlign w:val="center"/>
          </w:tcPr>
          <w:p w14:paraId="6C3041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岗位</w:t>
            </w:r>
          </w:p>
        </w:tc>
        <w:tc>
          <w:tcPr>
            <w:tcW w:w="937" w:type="dxa"/>
            <w:vMerge w:val="restart"/>
            <w:noWrap w:val="0"/>
            <w:vAlign w:val="center"/>
          </w:tcPr>
          <w:p w14:paraId="65F9047B">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姓名</w:t>
            </w:r>
          </w:p>
        </w:tc>
        <w:tc>
          <w:tcPr>
            <w:tcW w:w="638" w:type="dxa"/>
            <w:vMerge w:val="restart"/>
            <w:noWrap w:val="0"/>
            <w:vAlign w:val="center"/>
          </w:tcPr>
          <w:p w14:paraId="3ABD52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性别</w:t>
            </w:r>
          </w:p>
        </w:tc>
        <w:tc>
          <w:tcPr>
            <w:tcW w:w="850" w:type="dxa"/>
            <w:vMerge w:val="restart"/>
            <w:noWrap w:val="0"/>
            <w:vAlign w:val="center"/>
          </w:tcPr>
          <w:p w14:paraId="3CC076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237" w:type="dxa"/>
            <w:gridSpan w:val="5"/>
            <w:noWrap w:val="0"/>
            <w:vAlign w:val="center"/>
          </w:tcPr>
          <w:p w14:paraId="622B76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13" w:type="dxa"/>
            <w:vMerge w:val="restart"/>
            <w:noWrap w:val="0"/>
            <w:vAlign w:val="center"/>
          </w:tcPr>
          <w:p w14:paraId="050D4D10">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AB3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39" w:type="dxa"/>
            <w:vMerge w:val="continue"/>
            <w:noWrap w:val="0"/>
            <w:vAlign w:val="top"/>
          </w:tcPr>
          <w:p w14:paraId="3D2E51CB">
            <w:pPr>
              <w:spacing w:line="360" w:lineRule="auto"/>
              <w:rPr>
                <w:rFonts w:hint="eastAsia" w:ascii="宋体" w:hAnsi="宋体" w:eastAsia="宋体" w:cs="宋体"/>
                <w:color w:val="auto"/>
                <w:szCs w:val="21"/>
                <w:highlight w:val="none"/>
              </w:rPr>
            </w:pPr>
          </w:p>
        </w:tc>
        <w:tc>
          <w:tcPr>
            <w:tcW w:w="937" w:type="dxa"/>
            <w:vMerge w:val="continue"/>
            <w:noWrap w:val="0"/>
            <w:vAlign w:val="top"/>
          </w:tcPr>
          <w:p w14:paraId="43D52195">
            <w:pPr>
              <w:spacing w:line="360" w:lineRule="auto"/>
              <w:rPr>
                <w:rFonts w:hint="eastAsia" w:ascii="宋体" w:hAnsi="宋体" w:eastAsia="宋体" w:cs="宋体"/>
                <w:color w:val="auto"/>
                <w:szCs w:val="21"/>
                <w:highlight w:val="none"/>
              </w:rPr>
            </w:pPr>
          </w:p>
        </w:tc>
        <w:tc>
          <w:tcPr>
            <w:tcW w:w="638" w:type="dxa"/>
            <w:vMerge w:val="continue"/>
            <w:noWrap w:val="0"/>
            <w:vAlign w:val="top"/>
          </w:tcPr>
          <w:p w14:paraId="4E678E88">
            <w:pPr>
              <w:spacing w:line="360" w:lineRule="auto"/>
              <w:rPr>
                <w:rFonts w:hint="eastAsia" w:ascii="宋体" w:hAnsi="宋体" w:eastAsia="宋体" w:cs="宋体"/>
                <w:color w:val="auto"/>
                <w:szCs w:val="21"/>
                <w:highlight w:val="none"/>
              </w:rPr>
            </w:pPr>
          </w:p>
        </w:tc>
        <w:tc>
          <w:tcPr>
            <w:tcW w:w="850" w:type="dxa"/>
            <w:vMerge w:val="continue"/>
            <w:noWrap w:val="0"/>
            <w:vAlign w:val="top"/>
          </w:tcPr>
          <w:p w14:paraId="7CC8C15B">
            <w:pPr>
              <w:spacing w:line="360" w:lineRule="auto"/>
              <w:rPr>
                <w:rFonts w:hint="eastAsia" w:ascii="宋体" w:hAnsi="宋体" w:eastAsia="宋体" w:cs="宋体"/>
                <w:color w:val="auto"/>
                <w:szCs w:val="21"/>
                <w:highlight w:val="none"/>
              </w:rPr>
            </w:pPr>
          </w:p>
        </w:tc>
        <w:tc>
          <w:tcPr>
            <w:tcW w:w="1130" w:type="dxa"/>
            <w:noWrap w:val="0"/>
            <w:vAlign w:val="center"/>
          </w:tcPr>
          <w:p w14:paraId="1E8B4D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00" w:type="dxa"/>
            <w:noWrap w:val="0"/>
            <w:vAlign w:val="center"/>
          </w:tcPr>
          <w:p w14:paraId="7FFE3C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级</w:t>
            </w:r>
          </w:p>
        </w:tc>
        <w:tc>
          <w:tcPr>
            <w:tcW w:w="1080" w:type="dxa"/>
            <w:noWrap w:val="0"/>
            <w:vAlign w:val="center"/>
          </w:tcPr>
          <w:p w14:paraId="1E5715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w:t>
            </w:r>
            <w:r>
              <w:rPr>
                <w:rFonts w:hint="eastAsia" w:ascii="宋体" w:hAnsi="宋体" w:eastAsia="宋体" w:cs="宋体"/>
                <w:color w:val="auto"/>
                <w:szCs w:val="21"/>
                <w:highlight w:val="none"/>
                <w:lang w:eastAsia="zh-CN"/>
              </w:rPr>
              <w:t>书编</w:t>
            </w:r>
            <w:r>
              <w:rPr>
                <w:rFonts w:hint="eastAsia" w:ascii="宋体" w:hAnsi="宋体" w:eastAsia="宋体" w:cs="宋体"/>
                <w:color w:val="auto"/>
                <w:szCs w:val="21"/>
                <w:highlight w:val="none"/>
              </w:rPr>
              <w:t>号</w:t>
            </w:r>
          </w:p>
        </w:tc>
        <w:tc>
          <w:tcPr>
            <w:tcW w:w="1102" w:type="dxa"/>
            <w:noWrap w:val="0"/>
            <w:vAlign w:val="center"/>
          </w:tcPr>
          <w:p w14:paraId="2B02AB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025" w:type="dxa"/>
            <w:noWrap w:val="0"/>
            <w:vAlign w:val="center"/>
          </w:tcPr>
          <w:p w14:paraId="4CAE07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社保</w:t>
            </w:r>
          </w:p>
          <w:p w14:paraId="65BEC2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w:t>
            </w:r>
          </w:p>
        </w:tc>
        <w:tc>
          <w:tcPr>
            <w:tcW w:w="713" w:type="dxa"/>
            <w:vMerge w:val="continue"/>
            <w:noWrap w:val="0"/>
            <w:vAlign w:val="top"/>
          </w:tcPr>
          <w:p w14:paraId="0B393CD7">
            <w:pPr>
              <w:spacing w:line="360" w:lineRule="auto"/>
              <w:rPr>
                <w:rFonts w:hint="eastAsia" w:ascii="宋体" w:hAnsi="宋体" w:eastAsia="宋体" w:cs="宋体"/>
                <w:color w:val="auto"/>
                <w:szCs w:val="21"/>
                <w:highlight w:val="none"/>
              </w:rPr>
            </w:pPr>
          </w:p>
        </w:tc>
      </w:tr>
      <w:tr w14:paraId="7950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4460892F">
            <w:pPr>
              <w:spacing w:line="360" w:lineRule="auto"/>
              <w:rPr>
                <w:rFonts w:hint="eastAsia" w:ascii="宋体" w:hAnsi="宋体" w:eastAsia="宋体" w:cs="宋体"/>
                <w:color w:val="auto"/>
                <w:szCs w:val="21"/>
                <w:highlight w:val="none"/>
              </w:rPr>
            </w:pPr>
          </w:p>
        </w:tc>
        <w:tc>
          <w:tcPr>
            <w:tcW w:w="937" w:type="dxa"/>
            <w:noWrap w:val="0"/>
            <w:vAlign w:val="top"/>
          </w:tcPr>
          <w:p w14:paraId="2836CC8E">
            <w:pPr>
              <w:spacing w:line="360" w:lineRule="auto"/>
              <w:rPr>
                <w:rFonts w:hint="eastAsia" w:ascii="宋体" w:hAnsi="宋体" w:eastAsia="宋体" w:cs="宋体"/>
                <w:color w:val="auto"/>
                <w:szCs w:val="21"/>
                <w:highlight w:val="none"/>
                <w:lang w:eastAsia="zh-CN"/>
              </w:rPr>
            </w:pPr>
          </w:p>
        </w:tc>
        <w:tc>
          <w:tcPr>
            <w:tcW w:w="638" w:type="dxa"/>
            <w:noWrap w:val="0"/>
            <w:vAlign w:val="top"/>
          </w:tcPr>
          <w:p w14:paraId="1104A82B">
            <w:pPr>
              <w:spacing w:line="360" w:lineRule="auto"/>
              <w:rPr>
                <w:rFonts w:hint="eastAsia" w:ascii="宋体" w:hAnsi="宋体" w:eastAsia="宋体" w:cs="宋体"/>
                <w:color w:val="auto"/>
                <w:szCs w:val="21"/>
                <w:highlight w:val="none"/>
              </w:rPr>
            </w:pPr>
          </w:p>
        </w:tc>
        <w:tc>
          <w:tcPr>
            <w:tcW w:w="850" w:type="dxa"/>
            <w:noWrap w:val="0"/>
            <w:vAlign w:val="top"/>
          </w:tcPr>
          <w:p w14:paraId="4592D2AC">
            <w:pPr>
              <w:spacing w:line="360" w:lineRule="auto"/>
              <w:rPr>
                <w:rFonts w:hint="eastAsia" w:ascii="宋体" w:hAnsi="宋体" w:eastAsia="宋体" w:cs="宋体"/>
                <w:color w:val="auto"/>
                <w:szCs w:val="21"/>
                <w:highlight w:val="none"/>
              </w:rPr>
            </w:pPr>
          </w:p>
        </w:tc>
        <w:tc>
          <w:tcPr>
            <w:tcW w:w="1130" w:type="dxa"/>
            <w:noWrap w:val="0"/>
            <w:vAlign w:val="top"/>
          </w:tcPr>
          <w:p w14:paraId="02A920DE">
            <w:pPr>
              <w:spacing w:line="360" w:lineRule="auto"/>
              <w:rPr>
                <w:rFonts w:hint="eastAsia" w:ascii="宋体" w:hAnsi="宋体" w:eastAsia="宋体" w:cs="宋体"/>
                <w:color w:val="auto"/>
                <w:szCs w:val="21"/>
                <w:highlight w:val="none"/>
              </w:rPr>
            </w:pPr>
          </w:p>
        </w:tc>
        <w:tc>
          <w:tcPr>
            <w:tcW w:w="900" w:type="dxa"/>
            <w:noWrap w:val="0"/>
            <w:vAlign w:val="top"/>
          </w:tcPr>
          <w:p w14:paraId="63AF75FF">
            <w:pPr>
              <w:spacing w:line="360" w:lineRule="auto"/>
              <w:rPr>
                <w:rFonts w:hint="eastAsia" w:ascii="宋体" w:hAnsi="宋体" w:eastAsia="宋体" w:cs="宋体"/>
                <w:color w:val="auto"/>
                <w:szCs w:val="21"/>
                <w:highlight w:val="none"/>
              </w:rPr>
            </w:pPr>
          </w:p>
        </w:tc>
        <w:tc>
          <w:tcPr>
            <w:tcW w:w="1080" w:type="dxa"/>
            <w:noWrap w:val="0"/>
            <w:vAlign w:val="top"/>
          </w:tcPr>
          <w:p w14:paraId="64F022C3">
            <w:pPr>
              <w:spacing w:line="360" w:lineRule="auto"/>
              <w:rPr>
                <w:rFonts w:hint="eastAsia" w:ascii="宋体" w:hAnsi="宋体" w:eastAsia="宋体" w:cs="宋体"/>
                <w:color w:val="auto"/>
                <w:szCs w:val="21"/>
                <w:highlight w:val="none"/>
              </w:rPr>
            </w:pPr>
          </w:p>
        </w:tc>
        <w:tc>
          <w:tcPr>
            <w:tcW w:w="1102" w:type="dxa"/>
            <w:noWrap w:val="0"/>
            <w:vAlign w:val="top"/>
          </w:tcPr>
          <w:p w14:paraId="50BDBDF1">
            <w:pPr>
              <w:spacing w:line="360" w:lineRule="auto"/>
              <w:rPr>
                <w:rFonts w:hint="eastAsia" w:ascii="宋体" w:hAnsi="宋体" w:eastAsia="宋体" w:cs="宋体"/>
                <w:color w:val="auto"/>
                <w:szCs w:val="21"/>
                <w:highlight w:val="none"/>
              </w:rPr>
            </w:pPr>
          </w:p>
        </w:tc>
        <w:tc>
          <w:tcPr>
            <w:tcW w:w="1025" w:type="dxa"/>
            <w:noWrap w:val="0"/>
            <w:vAlign w:val="top"/>
          </w:tcPr>
          <w:p w14:paraId="6D9BA941">
            <w:pPr>
              <w:spacing w:line="360" w:lineRule="auto"/>
              <w:ind w:firstLine="420" w:firstLineChars="200"/>
              <w:rPr>
                <w:rFonts w:hint="eastAsia" w:ascii="宋体" w:hAnsi="宋体" w:eastAsia="宋体" w:cs="宋体"/>
                <w:color w:val="auto"/>
                <w:szCs w:val="21"/>
                <w:highlight w:val="none"/>
              </w:rPr>
            </w:pPr>
          </w:p>
        </w:tc>
        <w:tc>
          <w:tcPr>
            <w:tcW w:w="713" w:type="dxa"/>
            <w:noWrap w:val="0"/>
            <w:vAlign w:val="top"/>
          </w:tcPr>
          <w:p w14:paraId="4A11EA74">
            <w:pPr>
              <w:spacing w:line="360" w:lineRule="auto"/>
              <w:rPr>
                <w:rFonts w:hint="eastAsia" w:ascii="宋体" w:hAnsi="宋体" w:eastAsia="宋体" w:cs="宋体"/>
                <w:color w:val="auto"/>
                <w:szCs w:val="21"/>
                <w:highlight w:val="none"/>
              </w:rPr>
            </w:pPr>
          </w:p>
        </w:tc>
      </w:tr>
      <w:tr w14:paraId="7F21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67E36DD9">
            <w:pPr>
              <w:spacing w:line="360" w:lineRule="auto"/>
              <w:rPr>
                <w:rFonts w:hint="eastAsia" w:ascii="宋体" w:hAnsi="宋体" w:eastAsia="宋体" w:cs="宋体"/>
                <w:color w:val="auto"/>
                <w:szCs w:val="21"/>
                <w:highlight w:val="none"/>
              </w:rPr>
            </w:pPr>
          </w:p>
        </w:tc>
        <w:tc>
          <w:tcPr>
            <w:tcW w:w="937" w:type="dxa"/>
            <w:noWrap w:val="0"/>
            <w:vAlign w:val="top"/>
          </w:tcPr>
          <w:p w14:paraId="2CA645A4">
            <w:pPr>
              <w:spacing w:line="360" w:lineRule="auto"/>
              <w:rPr>
                <w:rFonts w:hint="eastAsia" w:ascii="宋体" w:hAnsi="宋体" w:eastAsia="宋体" w:cs="宋体"/>
                <w:color w:val="auto"/>
                <w:szCs w:val="21"/>
                <w:highlight w:val="none"/>
              </w:rPr>
            </w:pPr>
          </w:p>
        </w:tc>
        <w:tc>
          <w:tcPr>
            <w:tcW w:w="638" w:type="dxa"/>
            <w:noWrap w:val="0"/>
            <w:vAlign w:val="top"/>
          </w:tcPr>
          <w:p w14:paraId="49D8C2B4">
            <w:pPr>
              <w:spacing w:line="360" w:lineRule="auto"/>
              <w:rPr>
                <w:rFonts w:hint="eastAsia" w:ascii="宋体" w:hAnsi="宋体" w:eastAsia="宋体" w:cs="宋体"/>
                <w:color w:val="auto"/>
                <w:szCs w:val="21"/>
                <w:highlight w:val="none"/>
              </w:rPr>
            </w:pPr>
          </w:p>
        </w:tc>
        <w:tc>
          <w:tcPr>
            <w:tcW w:w="850" w:type="dxa"/>
            <w:noWrap w:val="0"/>
            <w:vAlign w:val="top"/>
          </w:tcPr>
          <w:p w14:paraId="6AB556D0">
            <w:pPr>
              <w:spacing w:line="360" w:lineRule="auto"/>
              <w:rPr>
                <w:rFonts w:hint="eastAsia" w:ascii="宋体" w:hAnsi="宋体" w:eastAsia="宋体" w:cs="宋体"/>
                <w:color w:val="auto"/>
                <w:szCs w:val="21"/>
                <w:highlight w:val="none"/>
              </w:rPr>
            </w:pPr>
          </w:p>
        </w:tc>
        <w:tc>
          <w:tcPr>
            <w:tcW w:w="1130" w:type="dxa"/>
            <w:noWrap w:val="0"/>
            <w:vAlign w:val="top"/>
          </w:tcPr>
          <w:p w14:paraId="29079FBE">
            <w:pPr>
              <w:spacing w:line="360" w:lineRule="auto"/>
              <w:rPr>
                <w:rFonts w:hint="eastAsia" w:ascii="宋体" w:hAnsi="宋体" w:eastAsia="宋体" w:cs="宋体"/>
                <w:color w:val="auto"/>
                <w:szCs w:val="21"/>
                <w:highlight w:val="none"/>
              </w:rPr>
            </w:pPr>
          </w:p>
        </w:tc>
        <w:tc>
          <w:tcPr>
            <w:tcW w:w="900" w:type="dxa"/>
            <w:noWrap w:val="0"/>
            <w:vAlign w:val="top"/>
          </w:tcPr>
          <w:p w14:paraId="40F38311">
            <w:pPr>
              <w:spacing w:line="360" w:lineRule="auto"/>
              <w:rPr>
                <w:rFonts w:hint="eastAsia" w:ascii="宋体" w:hAnsi="宋体" w:eastAsia="宋体" w:cs="宋体"/>
                <w:color w:val="auto"/>
                <w:szCs w:val="21"/>
                <w:highlight w:val="none"/>
              </w:rPr>
            </w:pPr>
          </w:p>
        </w:tc>
        <w:tc>
          <w:tcPr>
            <w:tcW w:w="1080" w:type="dxa"/>
            <w:noWrap w:val="0"/>
            <w:vAlign w:val="top"/>
          </w:tcPr>
          <w:p w14:paraId="60A31D4E">
            <w:pPr>
              <w:spacing w:line="360" w:lineRule="auto"/>
              <w:rPr>
                <w:rFonts w:hint="eastAsia" w:ascii="宋体" w:hAnsi="宋体" w:eastAsia="宋体" w:cs="宋体"/>
                <w:color w:val="auto"/>
                <w:szCs w:val="21"/>
                <w:highlight w:val="none"/>
              </w:rPr>
            </w:pPr>
          </w:p>
        </w:tc>
        <w:tc>
          <w:tcPr>
            <w:tcW w:w="1102" w:type="dxa"/>
            <w:noWrap w:val="0"/>
            <w:vAlign w:val="top"/>
          </w:tcPr>
          <w:p w14:paraId="4E4F87E3">
            <w:pPr>
              <w:spacing w:line="360" w:lineRule="auto"/>
              <w:rPr>
                <w:rFonts w:hint="eastAsia" w:ascii="宋体" w:hAnsi="宋体" w:eastAsia="宋体" w:cs="宋体"/>
                <w:color w:val="auto"/>
                <w:szCs w:val="21"/>
                <w:highlight w:val="none"/>
              </w:rPr>
            </w:pPr>
          </w:p>
        </w:tc>
        <w:tc>
          <w:tcPr>
            <w:tcW w:w="1025" w:type="dxa"/>
            <w:noWrap w:val="0"/>
            <w:vAlign w:val="top"/>
          </w:tcPr>
          <w:p w14:paraId="227D4917">
            <w:pPr>
              <w:spacing w:line="360" w:lineRule="auto"/>
              <w:rPr>
                <w:rFonts w:hint="eastAsia" w:ascii="宋体" w:hAnsi="宋体" w:eastAsia="宋体" w:cs="宋体"/>
                <w:color w:val="auto"/>
                <w:szCs w:val="21"/>
                <w:highlight w:val="none"/>
              </w:rPr>
            </w:pPr>
          </w:p>
        </w:tc>
        <w:tc>
          <w:tcPr>
            <w:tcW w:w="713" w:type="dxa"/>
            <w:noWrap w:val="0"/>
            <w:vAlign w:val="top"/>
          </w:tcPr>
          <w:p w14:paraId="74A6CA8F">
            <w:pPr>
              <w:spacing w:line="360" w:lineRule="auto"/>
              <w:rPr>
                <w:rFonts w:hint="eastAsia" w:ascii="宋体" w:hAnsi="宋体" w:eastAsia="宋体" w:cs="宋体"/>
                <w:color w:val="auto"/>
                <w:szCs w:val="21"/>
                <w:highlight w:val="none"/>
              </w:rPr>
            </w:pPr>
          </w:p>
        </w:tc>
      </w:tr>
      <w:tr w14:paraId="021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0E2CF3F0">
            <w:pPr>
              <w:spacing w:line="360" w:lineRule="auto"/>
              <w:rPr>
                <w:rFonts w:hint="eastAsia" w:ascii="宋体" w:hAnsi="宋体" w:eastAsia="宋体" w:cs="宋体"/>
                <w:color w:val="auto"/>
                <w:szCs w:val="21"/>
                <w:highlight w:val="none"/>
              </w:rPr>
            </w:pPr>
          </w:p>
        </w:tc>
        <w:tc>
          <w:tcPr>
            <w:tcW w:w="937" w:type="dxa"/>
            <w:noWrap w:val="0"/>
            <w:vAlign w:val="top"/>
          </w:tcPr>
          <w:p w14:paraId="5CE628FC">
            <w:pPr>
              <w:spacing w:line="360" w:lineRule="auto"/>
              <w:rPr>
                <w:rFonts w:hint="eastAsia" w:ascii="宋体" w:hAnsi="宋体" w:eastAsia="宋体" w:cs="宋体"/>
                <w:color w:val="auto"/>
                <w:szCs w:val="21"/>
                <w:highlight w:val="none"/>
              </w:rPr>
            </w:pPr>
          </w:p>
        </w:tc>
        <w:tc>
          <w:tcPr>
            <w:tcW w:w="638" w:type="dxa"/>
            <w:noWrap w:val="0"/>
            <w:vAlign w:val="top"/>
          </w:tcPr>
          <w:p w14:paraId="49DFD3A6">
            <w:pPr>
              <w:spacing w:line="360" w:lineRule="auto"/>
              <w:rPr>
                <w:rFonts w:hint="eastAsia" w:ascii="宋体" w:hAnsi="宋体" w:eastAsia="宋体" w:cs="宋体"/>
                <w:color w:val="auto"/>
                <w:szCs w:val="21"/>
                <w:highlight w:val="none"/>
              </w:rPr>
            </w:pPr>
          </w:p>
        </w:tc>
        <w:tc>
          <w:tcPr>
            <w:tcW w:w="850" w:type="dxa"/>
            <w:noWrap w:val="0"/>
            <w:vAlign w:val="top"/>
          </w:tcPr>
          <w:p w14:paraId="43893C3F">
            <w:pPr>
              <w:spacing w:line="360" w:lineRule="auto"/>
              <w:rPr>
                <w:rFonts w:hint="eastAsia" w:ascii="宋体" w:hAnsi="宋体" w:eastAsia="宋体" w:cs="宋体"/>
                <w:color w:val="auto"/>
                <w:szCs w:val="21"/>
                <w:highlight w:val="none"/>
              </w:rPr>
            </w:pPr>
          </w:p>
        </w:tc>
        <w:tc>
          <w:tcPr>
            <w:tcW w:w="1130" w:type="dxa"/>
            <w:noWrap w:val="0"/>
            <w:vAlign w:val="top"/>
          </w:tcPr>
          <w:p w14:paraId="1F43112A">
            <w:pPr>
              <w:spacing w:line="360" w:lineRule="auto"/>
              <w:rPr>
                <w:rFonts w:hint="eastAsia" w:ascii="宋体" w:hAnsi="宋体" w:eastAsia="宋体" w:cs="宋体"/>
                <w:color w:val="auto"/>
                <w:szCs w:val="21"/>
                <w:highlight w:val="none"/>
              </w:rPr>
            </w:pPr>
          </w:p>
        </w:tc>
        <w:tc>
          <w:tcPr>
            <w:tcW w:w="900" w:type="dxa"/>
            <w:noWrap w:val="0"/>
            <w:vAlign w:val="top"/>
          </w:tcPr>
          <w:p w14:paraId="4EB01C55">
            <w:pPr>
              <w:spacing w:line="360" w:lineRule="auto"/>
              <w:rPr>
                <w:rFonts w:hint="eastAsia" w:ascii="宋体" w:hAnsi="宋体" w:eastAsia="宋体" w:cs="宋体"/>
                <w:color w:val="auto"/>
                <w:szCs w:val="21"/>
                <w:highlight w:val="none"/>
              </w:rPr>
            </w:pPr>
          </w:p>
        </w:tc>
        <w:tc>
          <w:tcPr>
            <w:tcW w:w="1080" w:type="dxa"/>
            <w:noWrap w:val="0"/>
            <w:vAlign w:val="top"/>
          </w:tcPr>
          <w:p w14:paraId="6C7DA2E2">
            <w:pPr>
              <w:spacing w:line="360" w:lineRule="auto"/>
              <w:rPr>
                <w:rFonts w:hint="eastAsia" w:ascii="宋体" w:hAnsi="宋体" w:eastAsia="宋体" w:cs="宋体"/>
                <w:color w:val="auto"/>
                <w:szCs w:val="21"/>
                <w:highlight w:val="none"/>
              </w:rPr>
            </w:pPr>
          </w:p>
        </w:tc>
        <w:tc>
          <w:tcPr>
            <w:tcW w:w="1102" w:type="dxa"/>
            <w:noWrap w:val="0"/>
            <w:vAlign w:val="top"/>
          </w:tcPr>
          <w:p w14:paraId="61CD2B28">
            <w:pPr>
              <w:spacing w:line="360" w:lineRule="auto"/>
              <w:rPr>
                <w:rFonts w:hint="eastAsia" w:ascii="宋体" w:hAnsi="宋体" w:eastAsia="宋体" w:cs="宋体"/>
                <w:color w:val="auto"/>
                <w:szCs w:val="21"/>
                <w:highlight w:val="none"/>
              </w:rPr>
            </w:pPr>
          </w:p>
        </w:tc>
        <w:tc>
          <w:tcPr>
            <w:tcW w:w="1025" w:type="dxa"/>
            <w:noWrap w:val="0"/>
            <w:vAlign w:val="top"/>
          </w:tcPr>
          <w:p w14:paraId="0B8E49FB">
            <w:pPr>
              <w:spacing w:line="360" w:lineRule="auto"/>
              <w:rPr>
                <w:rFonts w:hint="eastAsia" w:ascii="宋体" w:hAnsi="宋体" w:eastAsia="宋体" w:cs="宋体"/>
                <w:color w:val="auto"/>
                <w:szCs w:val="21"/>
                <w:highlight w:val="none"/>
              </w:rPr>
            </w:pPr>
          </w:p>
        </w:tc>
        <w:tc>
          <w:tcPr>
            <w:tcW w:w="713" w:type="dxa"/>
            <w:noWrap w:val="0"/>
            <w:vAlign w:val="top"/>
          </w:tcPr>
          <w:p w14:paraId="59B774C4">
            <w:pPr>
              <w:spacing w:line="360" w:lineRule="auto"/>
              <w:rPr>
                <w:rFonts w:hint="eastAsia" w:ascii="宋体" w:hAnsi="宋体" w:eastAsia="宋体" w:cs="宋体"/>
                <w:color w:val="auto"/>
                <w:szCs w:val="21"/>
                <w:highlight w:val="none"/>
              </w:rPr>
            </w:pPr>
          </w:p>
        </w:tc>
      </w:tr>
      <w:tr w14:paraId="78DA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08BC40C3">
            <w:pPr>
              <w:spacing w:line="360" w:lineRule="auto"/>
              <w:rPr>
                <w:rFonts w:hint="eastAsia" w:ascii="宋体" w:hAnsi="宋体" w:eastAsia="宋体" w:cs="宋体"/>
                <w:color w:val="auto"/>
                <w:szCs w:val="21"/>
                <w:highlight w:val="none"/>
              </w:rPr>
            </w:pPr>
          </w:p>
        </w:tc>
        <w:tc>
          <w:tcPr>
            <w:tcW w:w="937" w:type="dxa"/>
            <w:noWrap w:val="0"/>
            <w:vAlign w:val="top"/>
          </w:tcPr>
          <w:p w14:paraId="17365FF1">
            <w:pPr>
              <w:spacing w:line="360" w:lineRule="auto"/>
              <w:rPr>
                <w:rFonts w:hint="eastAsia" w:ascii="宋体" w:hAnsi="宋体" w:eastAsia="宋体" w:cs="宋体"/>
                <w:color w:val="auto"/>
                <w:szCs w:val="21"/>
                <w:highlight w:val="none"/>
              </w:rPr>
            </w:pPr>
          </w:p>
        </w:tc>
        <w:tc>
          <w:tcPr>
            <w:tcW w:w="638" w:type="dxa"/>
            <w:noWrap w:val="0"/>
            <w:vAlign w:val="top"/>
          </w:tcPr>
          <w:p w14:paraId="073CE8D9">
            <w:pPr>
              <w:spacing w:line="360" w:lineRule="auto"/>
              <w:rPr>
                <w:rFonts w:hint="eastAsia" w:ascii="宋体" w:hAnsi="宋体" w:eastAsia="宋体" w:cs="宋体"/>
                <w:color w:val="auto"/>
                <w:szCs w:val="21"/>
                <w:highlight w:val="none"/>
              </w:rPr>
            </w:pPr>
          </w:p>
        </w:tc>
        <w:tc>
          <w:tcPr>
            <w:tcW w:w="850" w:type="dxa"/>
            <w:noWrap w:val="0"/>
            <w:vAlign w:val="top"/>
          </w:tcPr>
          <w:p w14:paraId="2E07297B">
            <w:pPr>
              <w:spacing w:line="360" w:lineRule="auto"/>
              <w:rPr>
                <w:rFonts w:hint="eastAsia" w:ascii="宋体" w:hAnsi="宋体" w:eastAsia="宋体" w:cs="宋体"/>
                <w:color w:val="auto"/>
                <w:szCs w:val="21"/>
                <w:highlight w:val="none"/>
              </w:rPr>
            </w:pPr>
          </w:p>
        </w:tc>
        <w:tc>
          <w:tcPr>
            <w:tcW w:w="1130" w:type="dxa"/>
            <w:noWrap w:val="0"/>
            <w:vAlign w:val="top"/>
          </w:tcPr>
          <w:p w14:paraId="3F9ECEC1">
            <w:pPr>
              <w:spacing w:line="360" w:lineRule="auto"/>
              <w:rPr>
                <w:rFonts w:hint="eastAsia" w:ascii="宋体" w:hAnsi="宋体" w:eastAsia="宋体" w:cs="宋体"/>
                <w:color w:val="auto"/>
                <w:szCs w:val="21"/>
                <w:highlight w:val="none"/>
              </w:rPr>
            </w:pPr>
          </w:p>
        </w:tc>
        <w:tc>
          <w:tcPr>
            <w:tcW w:w="900" w:type="dxa"/>
            <w:noWrap w:val="0"/>
            <w:vAlign w:val="top"/>
          </w:tcPr>
          <w:p w14:paraId="68058438">
            <w:pPr>
              <w:spacing w:line="360" w:lineRule="auto"/>
              <w:rPr>
                <w:rFonts w:hint="eastAsia" w:ascii="宋体" w:hAnsi="宋体" w:eastAsia="宋体" w:cs="宋体"/>
                <w:color w:val="auto"/>
                <w:szCs w:val="21"/>
                <w:highlight w:val="none"/>
              </w:rPr>
            </w:pPr>
          </w:p>
        </w:tc>
        <w:tc>
          <w:tcPr>
            <w:tcW w:w="1080" w:type="dxa"/>
            <w:noWrap w:val="0"/>
            <w:vAlign w:val="top"/>
          </w:tcPr>
          <w:p w14:paraId="3EA57311">
            <w:pPr>
              <w:spacing w:line="360" w:lineRule="auto"/>
              <w:rPr>
                <w:rFonts w:hint="eastAsia" w:ascii="宋体" w:hAnsi="宋体" w:eastAsia="宋体" w:cs="宋体"/>
                <w:color w:val="auto"/>
                <w:szCs w:val="21"/>
                <w:highlight w:val="none"/>
              </w:rPr>
            </w:pPr>
          </w:p>
        </w:tc>
        <w:tc>
          <w:tcPr>
            <w:tcW w:w="1102" w:type="dxa"/>
            <w:noWrap w:val="0"/>
            <w:vAlign w:val="top"/>
          </w:tcPr>
          <w:p w14:paraId="5336A95A">
            <w:pPr>
              <w:spacing w:line="360" w:lineRule="auto"/>
              <w:rPr>
                <w:rFonts w:hint="eastAsia" w:ascii="宋体" w:hAnsi="宋体" w:eastAsia="宋体" w:cs="宋体"/>
                <w:color w:val="auto"/>
                <w:szCs w:val="21"/>
                <w:highlight w:val="none"/>
              </w:rPr>
            </w:pPr>
          </w:p>
        </w:tc>
        <w:tc>
          <w:tcPr>
            <w:tcW w:w="1025" w:type="dxa"/>
            <w:noWrap w:val="0"/>
            <w:vAlign w:val="top"/>
          </w:tcPr>
          <w:p w14:paraId="409DADD5">
            <w:pPr>
              <w:spacing w:line="360" w:lineRule="auto"/>
              <w:rPr>
                <w:rFonts w:hint="eastAsia" w:ascii="宋体" w:hAnsi="宋体" w:eastAsia="宋体" w:cs="宋体"/>
                <w:color w:val="auto"/>
                <w:szCs w:val="21"/>
                <w:highlight w:val="none"/>
              </w:rPr>
            </w:pPr>
          </w:p>
        </w:tc>
        <w:tc>
          <w:tcPr>
            <w:tcW w:w="713" w:type="dxa"/>
            <w:noWrap w:val="0"/>
            <w:vAlign w:val="top"/>
          </w:tcPr>
          <w:p w14:paraId="569AF0A5">
            <w:pPr>
              <w:spacing w:line="360" w:lineRule="auto"/>
              <w:rPr>
                <w:rFonts w:hint="eastAsia" w:ascii="宋体" w:hAnsi="宋体" w:eastAsia="宋体" w:cs="宋体"/>
                <w:color w:val="auto"/>
                <w:szCs w:val="21"/>
                <w:highlight w:val="none"/>
              </w:rPr>
            </w:pPr>
          </w:p>
        </w:tc>
      </w:tr>
      <w:tr w14:paraId="6B9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0D58FA48">
            <w:pPr>
              <w:spacing w:line="360" w:lineRule="auto"/>
              <w:rPr>
                <w:rFonts w:hint="eastAsia" w:ascii="宋体" w:hAnsi="宋体" w:eastAsia="宋体" w:cs="宋体"/>
                <w:color w:val="auto"/>
                <w:szCs w:val="21"/>
                <w:highlight w:val="none"/>
              </w:rPr>
            </w:pPr>
          </w:p>
        </w:tc>
        <w:tc>
          <w:tcPr>
            <w:tcW w:w="937" w:type="dxa"/>
            <w:noWrap w:val="0"/>
            <w:vAlign w:val="top"/>
          </w:tcPr>
          <w:p w14:paraId="7F7AF43A">
            <w:pPr>
              <w:spacing w:line="360" w:lineRule="auto"/>
              <w:rPr>
                <w:rFonts w:hint="eastAsia" w:ascii="宋体" w:hAnsi="宋体" w:eastAsia="宋体" w:cs="宋体"/>
                <w:color w:val="auto"/>
                <w:szCs w:val="21"/>
                <w:highlight w:val="none"/>
              </w:rPr>
            </w:pPr>
          </w:p>
        </w:tc>
        <w:tc>
          <w:tcPr>
            <w:tcW w:w="638" w:type="dxa"/>
            <w:noWrap w:val="0"/>
            <w:vAlign w:val="top"/>
          </w:tcPr>
          <w:p w14:paraId="7439C562">
            <w:pPr>
              <w:spacing w:line="360" w:lineRule="auto"/>
              <w:rPr>
                <w:rFonts w:hint="eastAsia" w:ascii="宋体" w:hAnsi="宋体" w:eastAsia="宋体" w:cs="宋体"/>
                <w:color w:val="auto"/>
                <w:szCs w:val="21"/>
                <w:highlight w:val="none"/>
              </w:rPr>
            </w:pPr>
          </w:p>
        </w:tc>
        <w:tc>
          <w:tcPr>
            <w:tcW w:w="850" w:type="dxa"/>
            <w:noWrap w:val="0"/>
            <w:vAlign w:val="top"/>
          </w:tcPr>
          <w:p w14:paraId="3A1DB217">
            <w:pPr>
              <w:spacing w:line="360" w:lineRule="auto"/>
              <w:rPr>
                <w:rFonts w:hint="eastAsia" w:ascii="宋体" w:hAnsi="宋体" w:eastAsia="宋体" w:cs="宋体"/>
                <w:color w:val="auto"/>
                <w:szCs w:val="21"/>
                <w:highlight w:val="none"/>
              </w:rPr>
            </w:pPr>
          </w:p>
        </w:tc>
        <w:tc>
          <w:tcPr>
            <w:tcW w:w="1130" w:type="dxa"/>
            <w:noWrap w:val="0"/>
            <w:vAlign w:val="top"/>
          </w:tcPr>
          <w:p w14:paraId="34BDB698">
            <w:pPr>
              <w:spacing w:line="360" w:lineRule="auto"/>
              <w:rPr>
                <w:rFonts w:hint="eastAsia" w:ascii="宋体" w:hAnsi="宋体" w:eastAsia="宋体" w:cs="宋体"/>
                <w:color w:val="auto"/>
                <w:szCs w:val="21"/>
                <w:highlight w:val="none"/>
              </w:rPr>
            </w:pPr>
          </w:p>
        </w:tc>
        <w:tc>
          <w:tcPr>
            <w:tcW w:w="900" w:type="dxa"/>
            <w:noWrap w:val="0"/>
            <w:vAlign w:val="top"/>
          </w:tcPr>
          <w:p w14:paraId="6AC1B1D4">
            <w:pPr>
              <w:spacing w:line="360" w:lineRule="auto"/>
              <w:rPr>
                <w:rFonts w:hint="eastAsia" w:ascii="宋体" w:hAnsi="宋体" w:eastAsia="宋体" w:cs="宋体"/>
                <w:color w:val="auto"/>
                <w:szCs w:val="21"/>
                <w:highlight w:val="none"/>
              </w:rPr>
            </w:pPr>
          </w:p>
        </w:tc>
        <w:tc>
          <w:tcPr>
            <w:tcW w:w="1080" w:type="dxa"/>
            <w:noWrap w:val="0"/>
            <w:vAlign w:val="top"/>
          </w:tcPr>
          <w:p w14:paraId="784A10B8">
            <w:pPr>
              <w:spacing w:line="360" w:lineRule="auto"/>
              <w:rPr>
                <w:rFonts w:hint="eastAsia" w:ascii="宋体" w:hAnsi="宋体" w:eastAsia="宋体" w:cs="宋体"/>
                <w:color w:val="auto"/>
                <w:szCs w:val="21"/>
                <w:highlight w:val="none"/>
              </w:rPr>
            </w:pPr>
          </w:p>
        </w:tc>
        <w:tc>
          <w:tcPr>
            <w:tcW w:w="1102" w:type="dxa"/>
            <w:noWrap w:val="0"/>
            <w:vAlign w:val="top"/>
          </w:tcPr>
          <w:p w14:paraId="4F8BB7A9">
            <w:pPr>
              <w:spacing w:line="360" w:lineRule="auto"/>
              <w:rPr>
                <w:rFonts w:hint="eastAsia" w:ascii="宋体" w:hAnsi="宋体" w:eastAsia="宋体" w:cs="宋体"/>
                <w:color w:val="auto"/>
                <w:szCs w:val="21"/>
                <w:highlight w:val="none"/>
              </w:rPr>
            </w:pPr>
          </w:p>
        </w:tc>
        <w:tc>
          <w:tcPr>
            <w:tcW w:w="1025" w:type="dxa"/>
            <w:noWrap w:val="0"/>
            <w:vAlign w:val="top"/>
          </w:tcPr>
          <w:p w14:paraId="681AAD5C">
            <w:pPr>
              <w:spacing w:line="360" w:lineRule="auto"/>
              <w:rPr>
                <w:rFonts w:hint="eastAsia" w:ascii="宋体" w:hAnsi="宋体" w:eastAsia="宋体" w:cs="宋体"/>
                <w:color w:val="auto"/>
                <w:szCs w:val="21"/>
                <w:highlight w:val="none"/>
              </w:rPr>
            </w:pPr>
          </w:p>
        </w:tc>
        <w:tc>
          <w:tcPr>
            <w:tcW w:w="713" w:type="dxa"/>
            <w:noWrap w:val="0"/>
            <w:vAlign w:val="top"/>
          </w:tcPr>
          <w:p w14:paraId="6F5EBE3D">
            <w:pPr>
              <w:spacing w:line="360" w:lineRule="auto"/>
              <w:rPr>
                <w:rFonts w:hint="eastAsia" w:ascii="宋体" w:hAnsi="宋体" w:eastAsia="宋体" w:cs="宋体"/>
                <w:color w:val="auto"/>
                <w:szCs w:val="21"/>
                <w:highlight w:val="none"/>
              </w:rPr>
            </w:pPr>
          </w:p>
        </w:tc>
      </w:tr>
      <w:tr w14:paraId="2414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0A639EDD">
            <w:pPr>
              <w:spacing w:line="360" w:lineRule="auto"/>
              <w:rPr>
                <w:rFonts w:hint="eastAsia" w:ascii="宋体" w:hAnsi="宋体" w:eastAsia="宋体" w:cs="宋体"/>
                <w:color w:val="auto"/>
                <w:szCs w:val="21"/>
                <w:highlight w:val="none"/>
              </w:rPr>
            </w:pPr>
          </w:p>
        </w:tc>
        <w:tc>
          <w:tcPr>
            <w:tcW w:w="937" w:type="dxa"/>
            <w:noWrap w:val="0"/>
            <w:vAlign w:val="top"/>
          </w:tcPr>
          <w:p w14:paraId="133C9C9F">
            <w:pPr>
              <w:spacing w:line="360" w:lineRule="auto"/>
              <w:rPr>
                <w:rFonts w:hint="eastAsia" w:ascii="宋体" w:hAnsi="宋体" w:eastAsia="宋体" w:cs="宋体"/>
                <w:color w:val="auto"/>
                <w:szCs w:val="21"/>
                <w:highlight w:val="none"/>
              </w:rPr>
            </w:pPr>
          </w:p>
        </w:tc>
        <w:tc>
          <w:tcPr>
            <w:tcW w:w="638" w:type="dxa"/>
            <w:noWrap w:val="0"/>
            <w:vAlign w:val="top"/>
          </w:tcPr>
          <w:p w14:paraId="2F1C6EC1">
            <w:pPr>
              <w:spacing w:line="360" w:lineRule="auto"/>
              <w:rPr>
                <w:rFonts w:hint="eastAsia" w:ascii="宋体" w:hAnsi="宋体" w:eastAsia="宋体" w:cs="宋体"/>
                <w:color w:val="auto"/>
                <w:szCs w:val="21"/>
                <w:highlight w:val="none"/>
              </w:rPr>
            </w:pPr>
          </w:p>
        </w:tc>
        <w:tc>
          <w:tcPr>
            <w:tcW w:w="850" w:type="dxa"/>
            <w:noWrap w:val="0"/>
            <w:vAlign w:val="top"/>
          </w:tcPr>
          <w:p w14:paraId="41EE0B7E">
            <w:pPr>
              <w:spacing w:line="360" w:lineRule="auto"/>
              <w:rPr>
                <w:rFonts w:hint="eastAsia" w:ascii="宋体" w:hAnsi="宋体" w:eastAsia="宋体" w:cs="宋体"/>
                <w:color w:val="auto"/>
                <w:szCs w:val="21"/>
                <w:highlight w:val="none"/>
              </w:rPr>
            </w:pPr>
          </w:p>
        </w:tc>
        <w:tc>
          <w:tcPr>
            <w:tcW w:w="1130" w:type="dxa"/>
            <w:noWrap w:val="0"/>
            <w:vAlign w:val="top"/>
          </w:tcPr>
          <w:p w14:paraId="51F8D0C3">
            <w:pPr>
              <w:spacing w:line="360" w:lineRule="auto"/>
              <w:rPr>
                <w:rFonts w:hint="eastAsia" w:ascii="宋体" w:hAnsi="宋体" w:eastAsia="宋体" w:cs="宋体"/>
                <w:color w:val="auto"/>
                <w:szCs w:val="21"/>
                <w:highlight w:val="none"/>
              </w:rPr>
            </w:pPr>
          </w:p>
        </w:tc>
        <w:tc>
          <w:tcPr>
            <w:tcW w:w="900" w:type="dxa"/>
            <w:noWrap w:val="0"/>
            <w:vAlign w:val="top"/>
          </w:tcPr>
          <w:p w14:paraId="33E351B9">
            <w:pPr>
              <w:spacing w:line="360" w:lineRule="auto"/>
              <w:rPr>
                <w:rFonts w:hint="eastAsia" w:ascii="宋体" w:hAnsi="宋体" w:eastAsia="宋体" w:cs="宋体"/>
                <w:color w:val="auto"/>
                <w:szCs w:val="21"/>
                <w:highlight w:val="none"/>
              </w:rPr>
            </w:pPr>
          </w:p>
        </w:tc>
        <w:tc>
          <w:tcPr>
            <w:tcW w:w="1080" w:type="dxa"/>
            <w:noWrap w:val="0"/>
            <w:vAlign w:val="top"/>
          </w:tcPr>
          <w:p w14:paraId="46180A78">
            <w:pPr>
              <w:spacing w:line="360" w:lineRule="auto"/>
              <w:rPr>
                <w:rFonts w:hint="eastAsia" w:ascii="宋体" w:hAnsi="宋体" w:eastAsia="宋体" w:cs="宋体"/>
                <w:color w:val="auto"/>
                <w:szCs w:val="21"/>
                <w:highlight w:val="none"/>
              </w:rPr>
            </w:pPr>
          </w:p>
        </w:tc>
        <w:tc>
          <w:tcPr>
            <w:tcW w:w="1102" w:type="dxa"/>
            <w:noWrap w:val="0"/>
            <w:vAlign w:val="top"/>
          </w:tcPr>
          <w:p w14:paraId="7136DE5D">
            <w:pPr>
              <w:spacing w:line="360" w:lineRule="auto"/>
              <w:rPr>
                <w:rFonts w:hint="eastAsia" w:ascii="宋体" w:hAnsi="宋体" w:eastAsia="宋体" w:cs="宋体"/>
                <w:color w:val="auto"/>
                <w:szCs w:val="21"/>
                <w:highlight w:val="none"/>
              </w:rPr>
            </w:pPr>
          </w:p>
        </w:tc>
        <w:tc>
          <w:tcPr>
            <w:tcW w:w="1025" w:type="dxa"/>
            <w:noWrap w:val="0"/>
            <w:vAlign w:val="top"/>
          </w:tcPr>
          <w:p w14:paraId="5FADF2E9">
            <w:pPr>
              <w:spacing w:line="360" w:lineRule="auto"/>
              <w:rPr>
                <w:rFonts w:hint="eastAsia" w:ascii="宋体" w:hAnsi="宋体" w:eastAsia="宋体" w:cs="宋体"/>
                <w:color w:val="auto"/>
                <w:szCs w:val="21"/>
                <w:highlight w:val="none"/>
              </w:rPr>
            </w:pPr>
          </w:p>
        </w:tc>
        <w:tc>
          <w:tcPr>
            <w:tcW w:w="713" w:type="dxa"/>
            <w:noWrap w:val="0"/>
            <w:vAlign w:val="top"/>
          </w:tcPr>
          <w:p w14:paraId="722A7797">
            <w:pPr>
              <w:spacing w:line="360" w:lineRule="auto"/>
              <w:rPr>
                <w:rFonts w:hint="eastAsia" w:ascii="宋体" w:hAnsi="宋体" w:eastAsia="宋体" w:cs="宋体"/>
                <w:color w:val="auto"/>
                <w:szCs w:val="21"/>
                <w:highlight w:val="none"/>
              </w:rPr>
            </w:pPr>
          </w:p>
        </w:tc>
      </w:tr>
      <w:tr w14:paraId="7EAC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37687B2B">
            <w:pPr>
              <w:spacing w:line="360" w:lineRule="auto"/>
              <w:rPr>
                <w:rFonts w:hint="eastAsia" w:ascii="宋体" w:hAnsi="宋体" w:eastAsia="宋体" w:cs="宋体"/>
                <w:color w:val="auto"/>
                <w:szCs w:val="21"/>
                <w:highlight w:val="none"/>
              </w:rPr>
            </w:pPr>
          </w:p>
        </w:tc>
        <w:tc>
          <w:tcPr>
            <w:tcW w:w="937" w:type="dxa"/>
            <w:noWrap w:val="0"/>
            <w:vAlign w:val="top"/>
          </w:tcPr>
          <w:p w14:paraId="6F14D473">
            <w:pPr>
              <w:spacing w:line="360" w:lineRule="auto"/>
              <w:rPr>
                <w:rFonts w:hint="eastAsia" w:ascii="宋体" w:hAnsi="宋体" w:eastAsia="宋体" w:cs="宋体"/>
                <w:color w:val="auto"/>
                <w:szCs w:val="21"/>
                <w:highlight w:val="none"/>
              </w:rPr>
            </w:pPr>
          </w:p>
        </w:tc>
        <w:tc>
          <w:tcPr>
            <w:tcW w:w="638" w:type="dxa"/>
            <w:noWrap w:val="0"/>
            <w:vAlign w:val="top"/>
          </w:tcPr>
          <w:p w14:paraId="7B77DC3E">
            <w:pPr>
              <w:spacing w:line="360" w:lineRule="auto"/>
              <w:rPr>
                <w:rFonts w:hint="eastAsia" w:ascii="宋体" w:hAnsi="宋体" w:eastAsia="宋体" w:cs="宋体"/>
                <w:color w:val="auto"/>
                <w:szCs w:val="21"/>
                <w:highlight w:val="none"/>
              </w:rPr>
            </w:pPr>
          </w:p>
        </w:tc>
        <w:tc>
          <w:tcPr>
            <w:tcW w:w="850" w:type="dxa"/>
            <w:noWrap w:val="0"/>
            <w:vAlign w:val="top"/>
          </w:tcPr>
          <w:p w14:paraId="20386C1B">
            <w:pPr>
              <w:spacing w:line="360" w:lineRule="auto"/>
              <w:rPr>
                <w:rFonts w:hint="eastAsia" w:ascii="宋体" w:hAnsi="宋体" w:eastAsia="宋体" w:cs="宋体"/>
                <w:color w:val="auto"/>
                <w:szCs w:val="21"/>
                <w:highlight w:val="none"/>
              </w:rPr>
            </w:pPr>
          </w:p>
        </w:tc>
        <w:tc>
          <w:tcPr>
            <w:tcW w:w="1130" w:type="dxa"/>
            <w:noWrap w:val="0"/>
            <w:vAlign w:val="top"/>
          </w:tcPr>
          <w:p w14:paraId="28467771">
            <w:pPr>
              <w:spacing w:line="360" w:lineRule="auto"/>
              <w:rPr>
                <w:rFonts w:hint="eastAsia" w:ascii="宋体" w:hAnsi="宋体" w:eastAsia="宋体" w:cs="宋体"/>
                <w:color w:val="auto"/>
                <w:szCs w:val="21"/>
                <w:highlight w:val="none"/>
              </w:rPr>
            </w:pPr>
          </w:p>
        </w:tc>
        <w:tc>
          <w:tcPr>
            <w:tcW w:w="900" w:type="dxa"/>
            <w:noWrap w:val="0"/>
            <w:vAlign w:val="top"/>
          </w:tcPr>
          <w:p w14:paraId="14CA4BCF">
            <w:pPr>
              <w:spacing w:line="360" w:lineRule="auto"/>
              <w:rPr>
                <w:rFonts w:hint="eastAsia" w:ascii="宋体" w:hAnsi="宋体" w:eastAsia="宋体" w:cs="宋体"/>
                <w:color w:val="auto"/>
                <w:szCs w:val="21"/>
                <w:highlight w:val="none"/>
              </w:rPr>
            </w:pPr>
          </w:p>
        </w:tc>
        <w:tc>
          <w:tcPr>
            <w:tcW w:w="1080" w:type="dxa"/>
            <w:noWrap w:val="0"/>
            <w:vAlign w:val="top"/>
          </w:tcPr>
          <w:p w14:paraId="477C9A62">
            <w:pPr>
              <w:spacing w:line="360" w:lineRule="auto"/>
              <w:rPr>
                <w:rFonts w:hint="eastAsia" w:ascii="宋体" w:hAnsi="宋体" w:eastAsia="宋体" w:cs="宋体"/>
                <w:color w:val="auto"/>
                <w:szCs w:val="21"/>
                <w:highlight w:val="none"/>
              </w:rPr>
            </w:pPr>
          </w:p>
        </w:tc>
        <w:tc>
          <w:tcPr>
            <w:tcW w:w="1102" w:type="dxa"/>
            <w:noWrap w:val="0"/>
            <w:vAlign w:val="top"/>
          </w:tcPr>
          <w:p w14:paraId="597CEFC7">
            <w:pPr>
              <w:spacing w:line="360" w:lineRule="auto"/>
              <w:rPr>
                <w:rFonts w:hint="eastAsia" w:ascii="宋体" w:hAnsi="宋体" w:eastAsia="宋体" w:cs="宋体"/>
                <w:color w:val="auto"/>
                <w:szCs w:val="21"/>
                <w:highlight w:val="none"/>
              </w:rPr>
            </w:pPr>
          </w:p>
        </w:tc>
        <w:tc>
          <w:tcPr>
            <w:tcW w:w="1025" w:type="dxa"/>
            <w:noWrap w:val="0"/>
            <w:vAlign w:val="top"/>
          </w:tcPr>
          <w:p w14:paraId="2A8D8603">
            <w:pPr>
              <w:spacing w:line="360" w:lineRule="auto"/>
              <w:rPr>
                <w:rFonts w:hint="eastAsia" w:ascii="宋体" w:hAnsi="宋体" w:eastAsia="宋体" w:cs="宋体"/>
                <w:color w:val="auto"/>
                <w:szCs w:val="21"/>
                <w:highlight w:val="none"/>
              </w:rPr>
            </w:pPr>
          </w:p>
        </w:tc>
        <w:tc>
          <w:tcPr>
            <w:tcW w:w="713" w:type="dxa"/>
            <w:noWrap w:val="0"/>
            <w:vAlign w:val="top"/>
          </w:tcPr>
          <w:p w14:paraId="63ED838F">
            <w:pPr>
              <w:spacing w:line="360" w:lineRule="auto"/>
              <w:rPr>
                <w:rFonts w:hint="eastAsia" w:ascii="宋体" w:hAnsi="宋体" w:eastAsia="宋体" w:cs="宋体"/>
                <w:color w:val="auto"/>
                <w:szCs w:val="21"/>
                <w:highlight w:val="none"/>
              </w:rPr>
            </w:pPr>
          </w:p>
        </w:tc>
      </w:tr>
      <w:tr w14:paraId="66C8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032925B6">
            <w:pPr>
              <w:spacing w:line="360" w:lineRule="auto"/>
              <w:rPr>
                <w:rFonts w:hint="eastAsia" w:ascii="宋体" w:hAnsi="宋体" w:eastAsia="宋体" w:cs="宋体"/>
                <w:color w:val="auto"/>
                <w:szCs w:val="21"/>
                <w:highlight w:val="none"/>
              </w:rPr>
            </w:pPr>
          </w:p>
        </w:tc>
        <w:tc>
          <w:tcPr>
            <w:tcW w:w="937" w:type="dxa"/>
            <w:noWrap w:val="0"/>
            <w:vAlign w:val="top"/>
          </w:tcPr>
          <w:p w14:paraId="5DC7433C">
            <w:pPr>
              <w:spacing w:line="360" w:lineRule="auto"/>
              <w:rPr>
                <w:rFonts w:hint="eastAsia" w:ascii="宋体" w:hAnsi="宋体" w:eastAsia="宋体" w:cs="宋体"/>
                <w:color w:val="auto"/>
                <w:szCs w:val="21"/>
                <w:highlight w:val="none"/>
              </w:rPr>
            </w:pPr>
          </w:p>
        </w:tc>
        <w:tc>
          <w:tcPr>
            <w:tcW w:w="638" w:type="dxa"/>
            <w:noWrap w:val="0"/>
            <w:vAlign w:val="top"/>
          </w:tcPr>
          <w:p w14:paraId="7128EF6E">
            <w:pPr>
              <w:spacing w:line="360" w:lineRule="auto"/>
              <w:rPr>
                <w:rFonts w:hint="eastAsia" w:ascii="宋体" w:hAnsi="宋体" w:eastAsia="宋体" w:cs="宋体"/>
                <w:color w:val="auto"/>
                <w:szCs w:val="21"/>
                <w:highlight w:val="none"/>
              </w:rPr>
            </w:pPr>
          </w:p>
        </w:tc>
        <w:tc>
          <w:tcPr>
            <w:tcW w:w="850" w:type="dxa"/>
            <w:noWrap w:val="0"/>
            <w:vAlign w:val="top"/>
          </w:tcPr>
          <w:p w14:paraId="66779F7B">
            <w:pPr>
              <w:spacing w:line="360" w:lineRule="auto"/>
              <w:rPr>
                <w:rFonts w:hint="eastAsia" w:ascii="宋体" w:hAnsi="宋体" w:eastAsia="宋体" w:cs="宋体"/>
                <w:color w:val="auto"/>
                <w:szCs w:val="21"/>
                <w:highlight w:val="none"/>
              </w:rPr>
            </w:pPr>
          </w:p>
        </w:tc>
        <w:tc>
          <w:tcPr>
            <w:tcW w:w="1130" w:type="dxa"/>
            <w:noWrap w:val="0"/>
            <w:vAlign w:val="top"/>
          </w:tcPr>
          <w:p w14:paraId="23B7C5FA">
            <w:pPr>
              <w:spacing w:line="360" w:lineRule="auto"/>
              <w:rPr>
                <w:rFonts w:hint="eastAsia" w:ascii="宋体" w:hAnsi="宋体" w:eastAsia="宋体" w:cs="宋体"/>
                <w:color w:val="auto"/>
                <w:szCs w:val="21"/>
                <w:highlight w:val="none"/>
              </w:rPr>
            </w:pPr>
          </w:p>
        </w:tc>
        <w:tc>
          <w:tcPr>
            <w:tcW w:w="900" w:type="dxa"/>
            <w:noWrap w:val="0"/>
            <w:vAlign w:val="top"/>
          </w:tcPr>
          <w:p w14:paraId="786604BD">
            <w:pPr>
              <w:spacing w:line="360" w:lineRule="auto"/>
              <w:rPr>
                <w:rFonts w:hint="eastAsia" w:ascii="宋体" w:hAnsi="宋体" w:eastAsia="宋体" w:cs="宋体"/>
                <w:color w:val="auto"/>
                <w:szCs w:val="21"/>
                <w:highlight w:val="none"/>
              </w:rPr>
            </w:pPr>
          </w:p>
        </w:tc>
        <w:tc>
          <w:tcPr>
            <w:tcW w:w="1080" w:type="dxa"/>
            <w:noWrap w:val="0"/>
            <w:vAlign w:val="top"/>
          </w:tcPr>
          <w:p w14:paraId="32A2E16B">
            <w:pPr>
              <w:spacing w:line="360" w:lineRule="auto"/>
              <w:rPr>
                <w:rFonts w:hint="eastAsia" w:ascii="宋体" w:hAnsi="宋体" w:eastAsia="宋体" w:cs="宋体"/>
                <w:color w:val="auto"/>
                <w:szCs w:val="21"/>
                <w:highlight w:val="none"/>
              </w:rPr>
            </w:pPr>
          </w:p>
        </w:tc>
        <w:tc>
          <w:tcPr>
            <w:tcW w:w="1102" w:type="dxa"/>
            <w:noWrap w:val="0"/>
            <w:vAlign w:val="top"/>
          </w:tcPr>
          <w:p w14:paraId="5065C92C">
            <w:pPr>
              <w:spacing w:line="360" w:lineRule="auto"/>
              <w:rPr>
                <w:rFonts w:hint="eastAsia" w:ascii="宋体" w:hAnsi="宋体" w:eastAsia="宋体" w:cs="宋体"/>
                <w:color w:val="auto"/>
                <w:szCs w:val="21"/>
                <w:highlight w:val="none"/>
              </w:rPr>
            </w:pPr>
          </w:p>
        </w:tc>
        <w:tc>
          <w:tcPr>
            <w:tcW w:w="1025" w:type="dxa"/>
            <w:noWrap w:val="0"/>
            <w:vAlign w:val="top"/>
          </w:tcPr>
          <w:p w14:paraId="7B086106">
            <w:pPr>
              <w:spacing w:line="360" w:lineRule="auto"/>
              <w:rPr>
                <w:rFonts w:hint="eastAsia" w:ascii="宋体" w:hAnsi="宋体" w:eastAsia="宋体" w:cs="宋体"/>
                <w:color w:val="auto"/>
                <w:szCs w:val="21"/>
                <w:highlight w:val="none"/>
              </w:rPr>
            </w:pPr>
          </w:p>
        </w:tc>
        <w:tc>
          <w:tcPr>
            <w:tcW w:w="713" w:type="dxa"/>
            <w:noWrap w:val="0"/>
            <w:vAlign w:val="top"/>
          </w:tcPr>
          <w:p w14:paraId="57615975">
            <w:pPr>
              <w:spacing w:line="360" w:lineRule="auto"/>
              <w:rPr>
                <w:rFonts w:hint="eastAsia" w:ascii="宋体" w:hAnsi="宋体" w:eastAsia="宋体" w:cs="宋体"/>
                <w:color w:val="auto"/>
                <w:szCs w:val="21"/>
                <w:highlight w:val="none"/>
              </w:rPr>
            </w:pPr>
          </w:p>
        </w:tc>
      </w:tr>
      <w:tr w14:paraId="2E3B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0D682C9D">
            <w:pPr>
              <w:spacing w:line="360" w:lineRule="auto"/>
              <w:rPr>
                <w:rFonts w:hint="eastAsia" w:ascii="宋体" w:hAnsi="宋体" w:eastAsia="宋体" w:cs="宋体"/>
                <w:color w:val="auto"/>
                <w:szCs w:val="21"/>
                <w:highlight w:val="none"/>
              </w:rPr>
            </w:pPr>
          </w:p>
        </w:tc>
        <w:tc>
          <w:tcPr>
            <w:tcW w:w="937" w:type="dxa"/>
            <w:noWrap w:val="0"/>
            <w:vAlign w:val="top"/>
          </w:tcPr>
          <w:p w14:paraId="2B75B1D0">
            <w:pPr>
              <w:spacing w:line="360" w:lineRule="auto"/>
              <w:rPr>
                <w:rFonts w:hint="eastAsia" w:ascii="宋体" w:hAnsi="宋体" w:eastAsia="宋体" w:cs="宋体"/>
                <w:color w:val="auto"/>
                <w:szCs w:val="21"/>
                <w:highlight w:val="none"/>
              </w:rPr>
            </w:pPr>
          </w:p>
        </w:tc>
        <w:tc>
          <w:tcPr>
            <w:tcW w:w="638" w:type="dxa"/>
            <w:noWrap w:val="0"/>
            <w:vAlign w:val="top"/>
          </w:tcPr>
          <w:p w14:paraId="1B4919D3">
            <w:pPr>
              <w:spacing w:line="360" w:lineRule="auto"/>
              <w:rPr>
                <w:rFonts w:hint="eastAsia" w:ascii="宋体" w:hAnsi="宋体" w:eastAsia="宋体" w:cs="宋体"/>
                <w:color w:val="auto"/>
                <w:szCs w:val="21"/>
                <w:highlight w:val="none"/>
              </w:rPr>
            </w:pPr>
          </w:p>
        </w:tc>
        <w:tc>
          <w:tcPr>
            <w:tcW w:w="850" w:type="dxa"/>
            <w:noWrap w:val="0"/>
            <w:vAlign w:val="top"/>
          </w:tcPr>
          <w:p w14:paraId="2684459A">
            <w:pPr>
              <w:spacing w:line="360" w:lineRule="auto"/>
              <w:rPr>
                <w:rFonts w:hint="eastAsia" w:ascii="宋体" w:hAnsi="宋体" w:eastAsia="宋体" w:cs="宋体"/>
                <w:color w:val="auto"/>
                <w:szCs w:val="21"/>
                <w:highlight w:val="none"/>
              </w:rPr>
            </w:pPr>
          </w:p>
        </w:tc>
        <w:tc>
          <w:tcPr>
            <w:tcW w:w="1130" w:type="dxa"/>
            <w:noWrap w:val="0"/>
            <w:vAlign w:val="top"/>
          </w:tcPr>
          <w:p w14:paraId="5705B6F2">
            <w:pPr>
              <w:spacing w:line="360" w:lineRule="auto"/>
              <w:rPr>
                <w:rFonts w:hint="eastAsia" w:ascii="宋体" w:hAnsi="宋体" w:eastAsia="宋体" w:cs="宋体"/>
                <w:color w:val="auto"/>
                <w:szCs w:val="21"/>
                <w:highlight w:val="none"/>
              </w:rPr>
            </w:pPr>
          </w:p>
        </w:tc>
        <w:tc>
          <w:tcPr>
            <w:tcW w:w="900" w:type="dxa"/>
            <w:noWrap w:val="0"/>
            <w:vAlign w:val="top"/>
          </w:tcPr>
          <w:p w14:paraId="66C9D56E">
            <w:pPr>
              <w:spacing w:line="360" w:lineRule="auto"/>
              <w:rPr>
                <w:rFonts w:hint="eastAsia" w:ascii="宋体" w:hAnsi="宋体" w:eastAsia="宋体" w:cs="宋体"/>
                <w:color w:val="auto"/>
                <w:szCs w:val="21"/>
                <w:highlight w:val="none"/>
              </w:rPr>
            </w:pPr>
          </w:p>
        </w:tc>
        <w:tc>
          <w:tcPr>
            <w:tcW w:w="1080" w:type="dxa"/>
            <w:noWrap w:val="0"/>
            <w:vAlign w:val="top"/>
          </w:tcPr>
          <w:p w14:paraId="437413A0">
            <w:pPr>
              <w:spacing w:line="360" w:lineRule="auto"/>
              <w:rPr>
                <w:rFonts w:hint="eastAsia" w:ascii="宋体" w:hAnsi="宋体" w:eastAsia="宋体" w:cs="宋体"/>
                <w:color w:val="auto"/>
                <w:szCs w:val="21"/>
                <w:highlight w:val="none"/>
              </w:rPr>
            </w:pPr>
          </w:p>
        </w:tc>
        <w:tc>
          <w:tcPr>
            <w:tcW w:w="1102" w:type="dxa"/>
            <w:noWrap w:val="0"/>
            <w:vAlign w:val="top"/>
          </w:tcPr>
          <w:p w14:paraId="20F775D2">
            <w:pPr>
              <w:spacing w:line="360" w:lineRule="auto"/>
              <w:rPr>
                <w:rFonts w:hint="eastAsia" w:ascii="宋体" w:hAnsi="宋体" w:eastAsia="宋体" w:cs="宋体"/>
                <w:color w:val="auto"/>
                <w:szCs w:val="21"/>
                <w:highlight w:val="none"/>
              </w:rPr>
            </w:pPr>
          </w:p>
        </w:tc>
        <w:tc>
          <w:tcPr>
            <w:tcW w:w="1025" w:type="dxa"/>
            <w:noWrap w:val="0"/>
            <w:vAlign w:val="top"/>
          </w:tcPr>
          <w:p w14:paraId="62553F30">
            <w:pPr>
              <w:spacing w:line="360" w:lineRule="auto"/>
              <w:rPr>
                <w:rFonts w:hint="eastAsia" w:ascii="宋体" w:hAnsi="宋体" w:eastAsia="宋体" w:cs="宋体"/>
                <w:color w:val="auto"/>
                <w:szCs w:val="21"/>
                <w:highlight w:val="none"/>
              </w:rPr>
            </w:pPr>
          </w:p>
        </w:tc>
        <w:tc>
          <w:tcPr>
            <w:tcW w:w="713" w:type="dxa"/>
            <w:noWrap w:val="0"/>
            <w:vAlign w:val="top"/>
          </w:tcPr>
          <w:p w14:paraId="0E8563C7">
            <w:pPr>
              <w:spacing w:line="360" w:lineRule="auto"/>
              <w:rPr>
                <w:rFonts w:hint="eastAsia" w:ascii="宋体" w:hAnsi="宋体" w:eastAsia="宋体" w:cs="宋体"/>
                <w:color w:val="auto"/>
                <w:szCs w:val="21"/>
                <w:highlight w:val="none"/>
              </w:rPr>
            </w:pPr>
          </w:p>
        </w:tc>
      </w:tr>
      <w:tr w14:paraId="1553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1F0D1E4A">
            <w:pPr>
              <w:spacing w:line="360" w:lineRule="auto"/>
              <w:rPr>
                <w:rFonts w:hint="eastAsia" w:ascii="宋体" w:hAnsi="宋体" w:eastAsia="宋体" w:cs="宋体"/>
                <w:color w:val="auto"/>
                <w:szCs w:val="21"/>
                <w:highlight w:val="none"/>
              </w:rPr>
            </w:pPr>
          </w:p>
        </w:tc>
        <w:tc>
          <w:tcPr>
            <w:tcW w:w="937" w:type="dxa"/>
            <w:noWrap w:val="0"/>
            <w:vAlign w:val="top"/>
          </w:tcPr>
          <w:p w14:paraId="5EF018E5">
            <w:pPr>
              <w:spacing w:line="360" w:lineRule="auto"/>
              <w:rPr>
                <w:rFonts w:hint="eastAsia" w:ascii="宋体" w:hAnsi="宋体" w:eastAsia="宋体" w:cs="宋体"/>
                <w:color w:val="auto"/>
                <w:szCs w:val="21"/>
                <w:highlight w:val="none"/>
              </w:rPr>
            </w:pPr>
          </w:p>
        </w:tc>
        <w:tc>
          <w:tcPr>
            <w:tcW w:w="638" w:type="dxa"/>
            <w:noWrap w:val="0"/>
            <w:vAlign w:val="top"/>
          </w:tcPr>
          <w:p w14:paraId="0AB1A7B4">
            <w:pPr>
              <w:spacing w:line="360" w:lineRule="auto"/>
              <w:rPr>
                <w:rFonts w:hint="eastAsia" w:ascii="宋体" w:hAnsi="宋体" w:eastAsia="宋体" w:cs="宋体"/>
                <w:color w:val="auto"/>
                <w:szCs w:val="21"/>
                <w:highlight w:val="none"/>
              </w:rPr>
            </w:pPr>
          </w:p>
        </w:tc>
        <w:tc>
          <w:tcPr>
            <w:tcW w:w="850" w:type="dxa"/>
            <w:noWrap w:val="0"/>
            <w:vAlign w:val="top"/>
          </w:tcPr>
          <w:p w14:paraId="32642E99">
            <w:pPr>
              <w:spacing w:line="360" w:lineRule="auto"/>
              <w:rPr>
                <w:rFonts w:hint="eastAsia" w:ascii="宋体" w:hAnsi="宋体" w:eastAsia="宋体" w:cs="宋体"/>
                <w:color w:val="auto"/>
                <w:szCs w:val="21"/>
                <w:highlight w:val="none"/>
              </w:rPr>
            </w:pPr>
          </w:p>
        </w:tc>
        <w:tc>
          <w:tcPr>
            <w:tcW w:w="1130" w:type="dxa"/>
            <w:noWrap w:val="0"/>
            <w:vAlign w:val="top"/>
          </w:tcPr>
          <w:p w14:paraId="04707641">
            <w:pPr>
              <w:spacing w:line="360" w:lineRule="auto"/>
              <w:rPr>
                <w:rFonts w:hint="eastAsia" w:ascii="宋体" w:hAnsi="宋体" w:eastAsia="宋体" w:cs="宋体"/>
                <w:color w:val="auto"/>
                <w:szCs w:val="21"/>
                <w:highlight w:val="none"/>
              </w:rPr>
            </w:pPr>
          </w:p>
        </w:tc>
        <w:tc>
          <w:tcPr>
            <w:tcW w:w="900" w:type="dxa"/>
            <w:noWrap w:val="0"/>
            <w:vAlign w:val="top"/>
          </w:tcPr>
          <w:p w14:paraId="6BF95DB7">
            <w:pPr>
              <w:spacing w:line="360" w:lineRule="auto"/>
              <w:rPr>
                <w:rFonts w:hint="eastAsia" w:ascii="宋体" w:hAnsi="宋体" w:eastAsia="宋体" w:cs="宋体"/>
                <w:color w:val="auto"/>
                <w:szCs w:val="21"/>
                <w:highlight w:val="none"/>
              </w:rPr>
            </w:pPr>
          </w:p>
        </w:tc>
        <w:tc>
          <w:tcPr>
            <w:tcW w:w="1080" w:type="dxa"/>
            <w:noWrap w:val="0"/>
            <w:vAlign w:val="top"/>
          </w:tcPr>
          <w:p w14:paraId="1A54AB50">
            <w:pPr>
              <w:spacing w:line="360" w:lineRule="auto"/>
              <w:rPr>
                <w:rFonts w:hint="eastAsia" w:ascii="宋体" w:hAnsi="宋体" w:eastAsia="宋体" w:cs="宋体"/>
                <w:color w:val="auto"/>
                <w:szCs w:val="21"/>
                <w:highlight w:val="none"/>
              </w:rPr>
            </w:pPr>
          </w:p>
        </w:tc>
        <w:tc>
          <w:tcPr>
            <w:tcW w:w="1102" w:type="dxa"/>
            <w:noWrap w:val="0"/>
            <w:vAlign w:val="top"/>
          </w:tcPr>
          <w:p w14:paraId="54E43F07">
            <w:pPr>
              <w:spacing w:line="360" w:lineRule="auto"/>
              <w:rPr>
                <w:rFonts w:hint="eastAsia" w:ascii="宋体" w:hAnsi="宋体" w:eastAsia="宋体" w:cs="宋体"/>
                <w:color w:val="auto"/>
                <w:szCs w:val="21"/>
                <w:highlight w:val="none"/>
              </w:rPr>
            </w:pPr>
          </w:p>
        </w:tc>
        <w:tc>
          <w:tcPr>
            <w:tcW w:w="1025" w:type="dxa"/>
            <w:noWrap w:val="0"/>
            <w:vAlign w:val="top"/>
          </w:tcPr>
          <w:p w14:paraId="5E09A750">
            <w:pPr>
              <w:spacing w:line="360" w:lineRule="auto"/>
              <w:rPr>
                <w:rFonts w:hint="eastAsia" w:ascii="宋体" w:hAnsi="宋体" w:eastAsia="宋体" w:cs="宋体"/>
                <w:color w:val="auto"/>
                <w:szCs w:val="21"/>
                <w:highlight w:val="none"/>
              </w:rPr>
            </w:pPr>
          </w:p>
        </w:tc>
        <w:tc>
          <w:tcPr>
            <w:tcW w:w="713" w:type="dxa"/>
            <w:noWrap w:val="0"/>
            <w:vAlign w:val="top"/>
          </w:tcPr>
          <w:p w14:paraId="114B5254">
            <w:pPr>
              <w:spacing w:line="360" w:lineRule="auto"/>
              <w:rPr>
                <w:rFonts w:hint="eastAsia" w:ascii="宋体" w:hAnsi="宋体" w:eastAsia="宋体" w:cs="宋体"/>
                <w:color w:val="auto"/>
                <w:szCs w:val="21"/>
                <w:highlight w:val="none"/>
              </w:rPr>
            </w:pPr>
          </w:p>
        </w:tc>
      </w:tr>
    </w:tbl>
    <w:p w14:paraId="39FE9B58">
      <w:pPr>
        <w:spacing w:line="360" w:lineRule="auto"/>
        <w:ind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b w:val="0"/>
          <w:bCs w:val="0"/>
          <w:color w:val="auto"/>
          <w:kern w:val="2"/>
          <w:sz w:val="21"/>
          <w:szCs w:val="21"/>
          <w:highlight w:val="none"/>
          <w:lang w:val="en-US" w:eastAsia="zh-CN" w:bidi="ar-SA"/>
        </w:rPr>
        <w:t>项目管理机构主要人员配置须满足第二章“投标人须知”12.项目管理机构基本要求，否则评审不合格。</w:t>
      </w:r>
    </w:p>
    <w:p w14:paraId="0C0757BD">
      <w:pPr>
        <w:numPr>
          <w:ilvl w:val="0"/>
          <w:numId w:val="0"/>
        </w:numPr>
        <w:tabs>
          <w:tab w:val="left" w:pos="-951"/>
          <w:tab w:val="left" w:pos="4267"/>
          <w:tab w:val="left" w:pos="7925"/>
        </w:tabs>
        <w:adjustRightInd w:val="0"/>
        <w:snapToGrid w:val="0"/>
        <w:ind w:right="-6" w:rightChars="0"/>
        <w:jc w:val="center"/>
        <w:rPr>
          <w:rFonts w:hint="default" w:ascii="Arial" w:hAnsi="Arial"/>
          <w:b/>
          <w:bCs/>
          <w:color w:val="auto"/>
          <w:sz w:val="21"/>
          <w:szCs w:val="28"/>
          <w:highlight w:val="none"/>
        </w:rPr>
      </w:pPr>
      <w:r>
        <w:rPr>
          <w:rFonts w:hint="eastAsia" w:ascii="宋体" w:hAnsi="宋体" w:eastAsia="宋体" w:cs="宋体"/>
          <w:b/>
          <w:bCs w:val="0"/>
          <w:color w:val="auto"/>
          <w:sz w:val="21"/>
          <w:szCs w:val="24"/>
          <w:highlight w:val="none"/>
          <w:lang w:val="en-US" w:eastAsia="zh-CN"/>
        </w:rPr>
        <w:br w:type="page"/>
      </w:r>
      <w:r>
        <w:rPr>
          <w:rFonts w:hint="eastAsia" w:ascii="宋体" w:hAnsi="宋体" w:eastAsia="宋体" w:cs="宋体"/>
          <w:b/>
          <w:bCs w:val="0"/>
          <w:color w:val="auto"/>
          <w:sz w:val="21"/>
          <w:szCs w:val="24"/>
          <w:highlight w:val="none"/>
          <w:lang w:val="en-US" w:eastAsia="zh-CN"/>
        </w:rPr>
        <w:t xml:space="preserve">2. </w:t>
      </w:r>
      <w:r>
        <w:rPr>
          <w:rFonts w:hint="eastAsia" w:ascii="宋体" w:hAnsi="宋体" w:eastAsia="宋体" w:cs="宋体"/>
          <w:b/>
          <w:bCs w:val="0"/>
          <w:color w:val="auto"/>
          <w:sz w:val="21"/>
          <w:szCs w:val="24"/>
          <w:highlight w:val="none"/>
          <w:lang w:eastAsia="zh-CN"/>
        </w:rPr>
        <w:t>主要人员简历表</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06"/>
        <w:gridCol w:w="204"/>
        <w:gridCol w:w="1271"/>
        <w:gridCol w:w="750"/>
        <w:gridCol w:w="478"/>
        <w:gridCol w:w="710"/>
        <w:gridCol w:w="596"/>
        <w:gridCol w:w="1802"/>
        <w:gridCol w:w="1943"/>
      </w:tblGrid>
      <w:tr w14:paraId="6318A4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gridSpan w:val="2"/>
            <w:noWrap w:val="0"/>
            <w:vAlign w:val="center"/>
          </w:tcPr>
          <w:p w14:paraId="4B7DE5DC">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r>
              <w:rPr>
                <w:rFonts w:hint="eastAsia" w:ascii="宋体" w:hAnsi="宋体"/>
                <w:bCs/>
                <w:color w:val="auto"/>
                <w:sz w:val="21"/>
                <w:szCs w:val="21"/>
                <w:highlight w:val="none"/>
              </w:rPr>
              <w:t>姓名</w:t>
            </w:r>
          </w:p>
        </w:tc>
        <w:tc>
          <w:tcPr>
            <w:tcW w:w="1271" w:type="dxa"/>
            <w:noWrap w:val="0"/>
            <w:vAlign w:val="center"/>
          </w:tcPr>
          <w:p w14:paraId="74001F8B">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750" w:type="dxa"/>
            <w:noWrap w:val="0"/>
            <w:vAlign w:val="center"/>
          </w:tcPr>
          <w:p w14:paraId="1E2A9D86">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年龄</w:t>
            </w:r>
          </w:p>
        </w:tc>
        <w:tc>
          <w:tcPr>
            <w:tcW w:w="1188" w:type="dxa"/>
            <w:gridSpan w:val="2"/>
            <w:noWrap w:val="0"/>
            <w:vAlign w:val="center"/>
          </w:tcPr>
          <w:p w14:paraId="1AE3487D">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14:paraId="6CB7926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执业或职业资格</w:t>
            </w:r>
          </w:p>
          <w:p w14:paraId="530239E0">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证书名称</w:t>
            </w:r>
          </w:p>
        </w:tc>
        <w:tc>
          <w:tcPr>
            <w:tcW w:w="1943" w:type="dxa"/>
            <w:noWrap w:val="0"/>
            <w:vAlign w:val="center"/>
          </w:tcPr>
          <w:p w14:paraId="02C4DE0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17CFD2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2" w:hRule="atLeast"/>
          <w:jc w:val="center"/>
        </w:trPr>
        <w:tc>
          <w:tcPr>
            <w:tcW w:w="1510" w:type="dxa"/>
            <w:gridSpan w:val="2"/>
            <w:noWrap w:val="0"/>
            <w:vAlign w:val="center"/>
          </w:tcPr>
          <w:p w14:paraId="0EFCE04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r>
              <w:rPr>
                <w:rFonts w:hint="eastAsia" w:ascii="宋体" w:hAnsi="宋体"/>
                <w:bCs/>
                <w:color w:val="auto"/>
                <w:sz w:val="21"/>
                <w:szCs w:val="21"/>
                <w:highlight w:val="none"/>
                <w:lang w:eastAsia="zh-CN"/>
              </w:rPr>
              <w:t>职称</w:t>
            </w:r>
          </w:p>
        </w:tc>
        <w:tc>
          <w:tcPr>
            <w:tcW w:w="1271" w:type="dxa"/>
            <w:noWrap w:val="0"/>
            <w:vAlign w:val="center"/>
          </w:tcPr>
          <w:p w14:paraId="3624D382">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750" w:type="dxa"/>
            <w:noWrap w:val="0"/>
            <w:vAlign w:val="center"/>
          </w:tcPr>
          <w:p w14:paraId="141EA35C">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学历</w:t>
            </w:r>
          </w:p>
        </w:tc>
        <w:tc>
          <w:tcPr>
            <w:tcW w:w="1188" w:type="dxa"/>
            <w:gridSpan w:val="2"/>
            <w:noWrap w:val="0"/>
            <w:vAlign w:val="center"/>
          </w:tcPr>
          <w:p w14:paraId="4BF8879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14:paraId="1D7D7886">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拟在本项目任职</w:t>
            </w:r>
          </w:p>
        </w:tc>
        <w:tc>
          <w:tcPr>
            <w:tcW w:w="1943" w:type="dxa"/>
            <w:noWrap w:val="0"/>
            <w:vAlign w:val="center"/>
          </w:tcPr>
          <w:p w14:paraId="3DF049E8">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68E5A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2" w:hRule="atLeast"/>
          <w:jc w:val="center"/>
        </w:trPr>
        <w:tc>
          <w:tcPr>
            <w:tcW w:w="1510" w:type="dxa"/>
            <w:gridSpan w:val="2"/>
            <w:noWrap w:val="0"/>
            <w:vAlign w:val="center"/>
          </w:tcPr>
          <w:p w14:paraId="49A8A8B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工作年限</w:t>
            </w:r>
          </w:p>
        </w:tc>
        <w:tc>
          <w:tcPr>
            <w:tcW w:w="3209" w:type="dxa"/>
            <w:gridSpan w:val="4"/>
            <w:noWrap w:val="0"/>
            <w:vAlign w:val="center"/>
          </w:tcPr>
          <w:p w14:paraId="0CA2A06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398" w:type="dxa"/>
            <w:gridSpan w:val="2"/>
            <w:noWrap w:val="0"/>
            <w:vAlign w:val="center"/>
          </w:tcPr>
          <w:p w14:paraId="4D210A4B">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从事设计</w:t>
            </w:r>
            <w:r>
              <w:rPr>
                <w:rFonts w:hint="eastAsia" w:ascii="宋体" w:hAnsi="宋体"/>
                <w:bCs/>
                <w:color w:val="auto"/>
                <w:sz w:val="21"/>
                <w:szCs w:val="21"/>
                <w:highlight w:val="none"/>
                <w:lang w:val="en-US" w:eastAsia="zh-CN"/>
              </w:rPr>
              <w:t>/</w:t>
            </w:r>
            <w:r>
              <w:rPr>
                <w:rFonts w:hint="eastAsia" w:ascii="宋体" w:hAnsi="宋体"/>
                <w:bCs/>
                <w:color w:val="auto"/>
                <w:sz w:val="21"/>
                <w:szCs w:val="21"/>
                <w:highlight w:val="none"/>
                <w:lang w:eastAsia="zh-CN"/>
              </w:rPr>
              <w:t>勘察工作年限</w:t>
            </w:r>
          </w:p>
        </w:tc>
        <w:tc>
          <w:tcPr>
            <w:tcW w:w="1943" w:type="dxa"/>
            <w:noWrap w:val="0"/>
            <w:vAlign w:val="center"/>
          </w:tcPr>
          <w:p w14:paraId="6CF9B632">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47D84D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0" w:type="dxa"/>
            <w:gridSpan w:val="9"/>
            <w:noWrap w:val="0"/>
            <w:vAlign w:val="center"/>
          </w:tcPr>
          <w:p w14:paraId="0FFC715F">
            <w:pPr>
              <w:tabs>
                <w:tab w:val="left" w:pos="-951"/>
                <w:tab w:val="left" w:pos="4267"/>
                <w:tab w:val="left" w:pos="7925"/>
              </w:tabs>
              <w:adjustRightInd w:val="0"/>
              <w:snapToGrid w:val="0"/>
              <w:spacing w:line="360" w:lineRule="auto"/>
              <w:ind w:right="-6"/>
              <w:jc w:val="left"/>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主要工作经历</w:t>
            </w:r>
          </w:p>
        </w:tc>
      </w:tr>
      <w:tr w14:paraId="1D940C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7FF67E88">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时间</w:t>
            </w:r>
          </w:p>
        </w:tc>
        <w:tc>
          <w:tcPr>
            <w:tcW w:w="2703" w:type="dxa"/>
            <w:gridSpan w:val="4"/>
            <w:noWrap w:val="0"/>
            <w:vAlign w:val="center"/>
          </w:tcPr>
          <w:p w14:paraId="1EC7AD70">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参加过的类似项目</w:t>
            </w:r>
          </w:p>
        </w:tc>
        <w:tc>
          <w:tcPr>
            <w:tcW w:w="1306" w:type="dxa"/>
            <w:gridSpan w:val="2"/>
            <w:noWrap w:val="0"/>
            <w:vAlign w:val="center"/>
          </w:tcPr>
          <w:p w14:paraId="7B920DFA">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担任职务</w:t>
            </w:r>
          </w:p>
        </w:tc>
        <w:tc>
          <w:tcPr>
            <w:tcW w:w="3745" w:type="dxa"/>
            <w:gridSpan w:val="2"/>
            <w:noWrap w:val="0"/>
            <w:vAlign w:val="center"/>
          </w:tcPr>
          <w:p w14:paraId="04DC6991">
            <w:pPr>
              <w:tabs>
                <w:tab w:val="left" w:pos="-951"/>
                <w:tab w:val="left" w:pos="4267"/>
                <w:tab w:val="left" w:pos="7925"/>
              </w:tabs>
              <w:adjustRightInd w:val="0"/>
              <w:snapToGrid w:val="0"/>
              <w:spacing w:line="360" w:lineRule="auto"/>
              <w:ind w:right="-6"/>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eastAsia="zh-CN"/>
              </w:rPr>
              <w:t>发包人及联系电话</w:t>
            </w:r>
          </w:p>
        </w:tc>
      </w:tr>
      <w:tr w14:paraId="1155C0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23A0C4BC">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31EAFE63">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48BEE31E">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407D49B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62F247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28D163A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660A4AA1">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623FCDEE">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3C7ABF39">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2ADC16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4FBA0CA6">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7037C8EC">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3CF102D4">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6B8F5781">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786250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02CFA86F">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121204E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776B4DE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7DFDC97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6F1961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1220AD2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1D3663EE">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4D5463B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5A089CAD">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250308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4679C678">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01005E5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02A24638">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5803476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510196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2A2440A9">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48DBF901">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7F13BC7A">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6E2EF83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08A6AE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64A498B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322554B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5C04CEB7">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219C318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1D6901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41E46FD0">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579DF9F6">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434CEF9B">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0D122023">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r w14:paraId="1DF04B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noWrap w:val="0"/>
            <w:vAlign w:val="center"/>
          </w:tcPr>
          <w:p w14:paraId="147B94E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2703" w:type="dxa"/>
            <w:gridSpan w:val="4"/>
            <w:noWrap w:val="0"/>
            <w:vAlign w:val="center"/>
          </w:tcPr>
          <w:p w14:paraId="35578092">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1306" w:type="dxa"/>
            <w:gridSpan w:val="2"/>
            <w:noWrap w:val="0"/>
            <w:vAlign w:val="center"/>
          </w:tcPr>
          <w:p w14:paraId="4D3933F5">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c>
          <w:tcPr>
            <w:tcW w:w="3745" w:type="dxa"/>
            <w:gridSpan w:val="2"/>
            <w:noWrap w:val="0"/>
            <w:vAlign w:val="center"/>
          </w:tcPr>
          <w:p w14:paraId="3A2B31C9">
            <w:pPr>
              <w:tabs>
                <w:tab w:val="left" w:pos="-951"/>
                <w:tab w:val="left" w:pos="4267"/>
                <w:tab w:val="left" w:pos="7925"/>
              </w:tabs>
              <w:adjustRightInd w:val="0"/>
              <w:snapToGrid w:val="0"/>
              <w:spacing w:line="360" w:lineRule="auto"/>
              <w:ind w:right="-6"/>
              <w:jc w:val="center"/>
              <w:rPr>
                <w:rFonts w:hint="eastAsia" w:ascii="宋体" w:hAnsi="宋体"/>
                <w:bCs/>
                <w:color w:val="auto"/>
                <w:sz w:val="21"/>
                <w:szCs w:val="21"/>
                <w:highlight w:val="none"/>
              </w:rPr>
            </w:pPr>
          </w:p>
        </w:tc>
      </w:tr>
    </w:tbl>
    <w:p w14:paraId="01466F7F">
      <w:pPr>
        <w:ind w:firstLine="0" w:firstLineChars="0"/>
        <w:rPr>
          <w:rStyle w:val="43"/>
          <w:rFonts w:hint="eastAsia"/>
          <w:b w:val="0"/>
          <w:bCs w:val="0"/>
          <w:color w:val="auto"/>
          <w:highlight w:val="none"/>
          <w:lang w:eastAsia="zh-CN"/>
        </w:rPr>
      </w:pPr>
      <w:r>
        <w:rPr>
          <w:rStyle w:val="43"/>
          <w:rFonts w:hint="eastAsia"/>
          <w:b w:val="0"/>
          <w:bCs w:val="0"/>
          <w:color w:val="auto"/>
          <w:highlight w:val="none"/>
          <w:lang w:eastAsia="zh-CN"/>
        </w:rPr>
        <w:t>注：</w:t>
      </w:r>
    </w:p>
    <w:p w14:paraId="3E09A86D">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《项目管理机构主要人员配置表》中填报的人员，均须填写本表。</w:t>
      </w:r>
    </w:p>
    <w:p w14:paraId="0AE8EB73">
      <w:pPr>
        <w:ind w:firstLine="420" w:firstLineChars="200"/>
        <w:rPr>
          <w:rFonts w:hint="eastAsia" w:ascii="宋体" w:hAnsi="宋体" w:cs="宋体"/>
          <w:color w:val="auto"/>
          <w:szCs w:val="21"/>
          <w:highlight w:val="none"/>
        </w:rPr>
      </w:pPr>
      <w:r>
        <w:rPr>
          <w:rFonts w:hint="eastAsia" w:ascii="宋体" w:hAnsi="宋体" w:eastAsia="宋体" w:cs="宋体"/>
          <w:b w:val="0"/>
          <w:color w:val="auto"/>
          <w:szCs w:val="21"/>
          <w:highlight w:val="none"/>
          <w:lang w:eastAsia="zh-CN"/>
        </w:rPr>
        <w:t>2</w:t>
      </w:r>
      <w:r>
        <w:rPr>
          <w:rFonts w:hint="eastAsia" w:ascii="宋体" w:hAnsi="宋体" w:eastAsia="宋体" w:cs="宋体"/>
          <w:b w:val="0"/>
          <w:color w:val="auto"/>
          <w:szCs w:val="21"/>
          <w:highlight w:val="none"/>
          <w:lang w:val="en-US" w:eastAsia="zh-CN"/>
        </w:rPr>
        <w:t xml:space="preserve">. </w:t>
      </w:r>
      <w:r>
        <w:rPr>
          <w:rFonts w:hint="eastAsia" w:ascii="宋体" w:hAnsi="宋体" w:eastAsia="宋体" w:cs="宋体"/>
          <w:b w:val="0"/>
          <w:color w:val="auto"/>
          <w:szCs w:val="21"/>
          <w:highlight w:val="none"/>
          <w:lang w:eastAsia="zh-CN"/>
        </w:rPr>
        <w:t>投标人应</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第二章</w:t>
      </w:r>
      <w:r>
        <w:rPr>
          <w:rFonts w:hint="eastAsia" w:ascii="宋体" w:hAnsi="宋体" w:eastAsia="宋体" w:cs="宋体"/>
          <w:b w:val="0"/>
          <w:bCs w:val="0"/>
          <w:color w:val="auto"/>
          <w:kern w:val="2"/>
          <w:sz w:val="21"/>
          <w:szCs w:val="21"/>
          <w:highlight w:val="none"/>
          <w:lang w:val="en-US" w:eastAsia="zh-CN" w:bidi="ar-SA"/>
        </w:rPr>
        <w:t>“投标人须知”</w:t>
      </w:r>
      <w:r>
        <w:rPr>
          <w:rFonts w:hint="eastAsia" w:ascii="宋体" w:hAnsi="宋体" w:eastAsia="宋体" w:cs="宋体"/>
          <w:color w:val="auto"/>
          <w:sz w:val="21"/>
          <w:szCs w:val="21"/>
          <w:highlight w:val="none"/>
          <w:lang w:val="en-US" w:eastAsia="zh-CN"/>
        </w:rPr>
        <w:t>12.项目管理机构基本要求 在本表后附人员的</w:t>
      </w:r>
      <w:r>
        <w:rPr>
          <w:rFonts w:hint="eastAsia" w:ascii="宋体" w:hAnsi="宋体" w:eastAsia="宋体" w:cs="宋体"/>
          <w:color w:val="auto"/>
          <w:sz w:val="21"/>
          <w:szCs w:val="21"/>
          <w:highlight w:val="none"/>
        </w:rPr>
        <w:t>相关资料。人员相关资料按个人分别集中编制在一起</w:t>
      </w:r>
      <w:r>
        <w:rPr>
          <w:rFonts w:hint="eastAsia" w:ascii="宋体" w:hAnsi="宋体" w:eastAsia="宋体" w:cs="宋体"/>
          <w:color w:val="auto"/>
          <w:sz w:val="21"/>
          <w:szCs w:val="21"/>
          <w:highlight w:val="none"/>
          <w:lang w:eastAsia="zh-CN"/>
        </w:rPr>
        <w:t>。</w:t>
      </w:r>
    </w:p>
    <w:p w14:paraId="6E50AD87">
      <w:pPr>
        <w:jc w:val="center"/>
        <w:rPr>
          <w:rFonts w:hint="eastAsia" w:ascii="宋体" w:hAnsi="宋体" w:eastAsia="宋体" w:cs="宋体"/>
          <w:b/>
          <w:color w:val="auto"/>
          <w:szCs w:val="21"/>
          <w:highlight w:val="none"/>
          <w:lang w:eastAsia="zh-CN"/>
        </w:rPr>
      </w:pPr>
      <w:r>
        <w:rPr>
          <w:rFonts w:hint="eastAsia"/>
          <w:color w:val="auto"/>
          <w:highlight w:val="none"/>
          <w:lang w:val="en-US" w:eastAsia="zh-CN"/>
        </w:rPr>
        <w:br w:type="page"/>
      </w:r>
      <w:r>
        <w:rPr>
          <w:rFonts w:hint="eastAsia" w:ascii="宋体" w:hAnsi="宋体" w:eastAsia="宋体" w:cs="宋体"/>
          <w:b/>
          <w:bCs/>
          <w:color w:val="auto"/>
          <w:sz w:val="28"/>
          <w:szCs w:val="28"/>
          <w:highlight w:val="none"/>
          <w:lang w:val="en-US" w:eastAsia="zh-CN"/>
        </w:rPr>
        <w:t>二、勘察设计方案</w:t>
      </w:r>
    </w:p>
    <w:p w14:paraId="0940F296">
      <w:pPr>
        <w:pStyle w:val="22"/>
        <w:keepNext w:val="0"/>
        <w:keepLines w:val="0"/>
        <w:widowControl/>
        <w:suppressLineNumbers w:val="0"/>
        <w:rPr>
          <w:color w:val="auto"/>
          <w:highlight w:val="none"/>
        </w:rPr>
      </w:pPr>
    </w:p>
    <w:p w14:paraId="0E0387DC">
      <w:pPr>
        <w:pStyle w:val="22"/>
        <w:keepNext w:val="0"/>
        <w:keepLines w:val="0"/>
        <w:widowControl/>
        <w:suppressLineNumbers w:val="0"/>
        <w:spacing w:line="360" w:lineRule="auto"/>
        <w:ind w:left="0" w:firstLine="0" w:firstLineChars="0"/>
        <w:rPr>
          <w:color w:val="auto"/>
          <w:highlight w:val="none"/>
        </w:rPr>
      </w:pPr>
      <w:permStart w:id="144" w:edGrp="everyone"/>
      <w:r>
        <w:rPr>
          <w:rFonts w:hint="default" w:ascii="Arial" w:hAnsi="Arial" w:eastAsia="宋体" w:cs="Arial"/>
          <w:b/>
          <w:bCs/>
          <w:color w:val="auto"/>
          <w:sz w:val="24"/>
          <w:szCs w:val="24"/>
          <w:highlight w:val="none"/>
          <w:lang w:val="en-US" w:eastAsia="zh-CN"/>
        </w:rPr>
        <w:t>（一）</w:t>
      </w:r>
      <w:r>
        <w:rPr>
          <w:rFonts w:hint="default" w:ascii="Arial" w:hAnsi="Arial" w:eastAsia="宋体" w:cs="Arial"/>
          <w:b/>
          <w:bCs/>
          <w:color w:val="auto"/>
          <w:sz w:val="24"/>
          <w:szCs w:val="24"/>
          <w:highlight w:val="none"/>
        </w:rPr>
        <w:t>勘察纲要应包括（但不限于）下列内容：</w:t>
      </w:r>
    </w:p>
    <w:p w14:paraId="0B35735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勘察工程概况；</w:t>
      </w:r>
    </w:p>
    <w:p w14:paraId="421DE466">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勘察范围、勘察内容；</w:t>
      </w:r>
    </w:p>
    <w:p w14:paraId="23B02968">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勘察依据、勘察工作目标；</w:t>
      </w:r>
    </w:p>
    <w:p w14:paraId="6E5DBC3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勘察机构设置（框图）、岗位职责；</w:t>
      </w:r>
    </w:p>
    <w:p w14:paraId="254F52C9">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勘察说明和勘察方案；</w:t>
      </w:r>
    </w:p>
    <w:p w14:paraId="7C14A44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6. </w:t>
      </w:r>
      <w:r>
        <w:rPr>
          <w:rFonts w:hint="eastAsia" w:ascii="宋体" w:hAnsi="宋体" w:cs="宋体"/>
          <w:color w:val="auto"/>
          <w:szCs w:val="21"/>
          <w:highlight w:val="none"/>
        </w:rPr>
        <w:t>拟投入的勘察人员、勘察设备；</w:t>
      </w:r>
    </w:p>
    <w:p w14:paraId="1A4FDCA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勘察质量、进度、保密等保证措施；</w:t>
      </w:r>
    </w:p>
    <w:p w14:paraId="139CF49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8. </w:t>
      </w:r>
      <w:r>
        <w:rPr>
          <w:rFonts w:hint="eastAsia" w:ascii="宋体" w:hAnsi="宋体" w:cs="宋体"/>
          <w:color w:val="auto"/>
          <w:szCs w:val="21"/>
          <w:highlight w:val="none"/>
        </w:rPr>
        <w:t>勘察安全保证措施；</w:t>
      </w:r>
    </w:p>
    <w:p w14:paraId="4081B7D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9. </w:t>
      </w:r>
      <w:r>
        <w:rPr>
          <w:rFonts w:hint="eastAsia" w:ascii="宋体" w:hAnsi="宋体" w:cs="宋体"/>
          <w:color w:val="auto"/>
          <w:szCs w:val="21"/>
          <w:highlight w:val="none"/>
        </w:rPr>
        <w:t>勘察工作重点、难点分析；</w:t>
      </w:r>
    </w:p>
    <w:p w14:paraId="7B32E6DE">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10. </w:t>
      </w:r>
      <w:r>
        <w:rPr>
          <w:rFonts w:hint="eastAsia" w:ascii="宋体" w:hAnsi="宋体" w:cs="宋体"/>
          <w:color w:val="auto"/>
          <w:szCs w:val="21"/>
          <w:highlight w:val="none"/>
        </w:rPr>
        <w:t>对本工程勘察的合理化建议。</w:t>
      </w:r>
    </w:p>
    <w:p w14:paraId="5A835C4A">
      <w:pPr>
        <w:rPr>
          <w:rFonts w:hint="eastAsia"/>
          <w:b/>
          <w:bCs/>
        </w:rPr>
      </w:pPr>
      <w:r>
        <w:rPr>
          <w:rFonts w:hint="eastAsia"/>
          <w:b/>
          <w:bCs/>
          <w:lang w:eastAsia="zh-CN"/>
        </w:rPr>
        <w:t>（二）</w:t>
      </w:r>
      <w:r>
        <w:rPr>
          <w:rFonts w:hint="eastAsia"/>
          <w:b/>
          <w:bCs/>
        </w:rPr>
        <w:t>设计方案应包括（但不限于）下列内容：</w:t>
      </w:r>
    </w:p>
    <w:p w14:paraId="0B75F28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设计工程概况；</w:t>
      </w:r>
    </w:p>
    <w:p w14:paraId="336CBD0F">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设计范围、设计内容；</w:t>
      </w:r>
    </w:p>
    <w:p w14:paraId="01FB261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设计依据、设计工作目标；</w:t>
      </w:r>
    </w:p>
    <w:p w14:paraId="7B84055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设计机构设置（框图）、岗位职责；</w:t>
      </w:r>
    </w:p>
    <w:p w14:paraId="6168B8D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设计说明和设计方案；</w:t>
      </w:r>
    </w:p>
    <w:p w14:paraId="5C5AEE26">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6. </w:t>
      </w:r>
      <w:r>
        <w:rPr>
          <w:rFonts w:hint="eastAsia" w:ascii="宋体" w:hAnsi="宋体" w:cs="宋体"/>
          <w:color w:val="auto"/>
          <w:szCs w:val="21"/>
          <w:highlight w:val="none"/>
        </w:rPr>
        <w:t>拟投入的设计人员；</w:t>
      </w:r>
    </w:p>
    <w:p w14:paraId="2DBF547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设计质量、进度、保密等保证措施；</w:t>
      </w:r>
    </w:p>
    <w:p w14:paraId="1C3670C2">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8. </w:t>
      </w:r>
      <w:r>
        <w:rPr>
          <w:rFonts w:hint="eastAsia" w:ascii="宋体" w:hAnsi="宋体" w:cs="宋体"/>
          <w:color w:val="auto"/>
          <w:szCs w:val="21"/>
          <w:highlight w:val="none"/>
        </w:rPr>
        <w:t>设计安全保证措施；</w:t>
      </w:r>
    </w:p>
    <w:p w14:paraId="15AA0CBA">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9. </w:t>
      </w:r>
      <w:r>
        <w:rPr>
          <w:rFonts w:hint="eastAsia" w:ascii="宋体" w:hAnsi="宋体" w:cs="宋体"/>
          <w:color w:val="auto"/>
          <w:szCs w:val="21"/>
          <w:highlight w:val="none"/>
        </w:rPr>
        <w:t>设计工作重点、难点分析；</w:t>
      </w:r>
    </w:p>
    <w:p w14:paraId="3AB7702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10. </w:t>
      </w:r>
      <w:r>
        <w:rPr>
          <w:rFonts w:hint="eastAsia" w:ascii="宋体" w:hAnsi="宋体" w:cs="宋体"/>
          <w:color w:val="auto"/>
          <w:szCs w:val="21"/>
          <w:highlight w:val="none"/>
        </w:rPr>
        <w:t>对本工程设计的合理化建议。</w:t>
      </w:r>
    </w:p>
    <w:p w14:paraId="0387A542">
      <w:pPr>
        <w:spacing w:line="240" w:lineRule="auto"/>
        <w:ind w:firstLine="420" w:firstLineChars="200"/>
        <w:rPr>
          <w:rFonts w:hint="eastAsia" w:ascii="宋体" w:hAnsi="宋体" w:cs="宋体"/>
          <w:color w:val="auto"/>
          <w:szCs w:val="21"/>
          <w:highlight w:val="none"/>
        </w:rPr>
      </w:pPr>
    </w:p>
    <w:p w14:paraId="33EB4692">
      <w:pPr>
        <w:spacing w:line="24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备注</w:t>
      </w:r>
      <w:r>
        <w:rPr>
          <w:rFonts w:hint="eastAsia" w:ascii="宋体" w:hAnsi="宋体" w:cs="宋体"/>
          <w:color w:val="auto"/>
          <w:szCs w:val="21"/>
          <w:highlight w:val="none"/>
        </w:rPr>
        <w:t>：</w:t>
      </w:r>
      <w:r>
        <w:rPr>
          <w:rFonts w:hint="eastAsia" w:ascii="宋体" w:hAnsi="宋体" w:cs="宋体"/>
          <w:color w:val="auto"/>
          <w:szCs w:val="21"/>
          <w:highlight w:val="none"/>
          <w:lang w:eastAsia="zh-CN"/>
        </w:rPr>
        <w:t>勘察设计方案</w:t>
      </w:r>
      <w:r>
        <w:rPr>
          <w:rFonts w:hint="eastAsia" w:ascii="宋体" w:hAnsi="宋体" w:cs="宋体"/>
          <w:color w:val="auto"/>
          <w:szCs w:val="21"/>
          <w:highlight w:val="none"/>
        </w:rPr>
        <w:t>内容仅供参</w:t>
      </w:r>
      <w:r>
        <w:rPr>
          <w:rFonts w:hint="eastAsia" w:ascii="宋体" w:hAnsi="宋体" w:cs="宋体"/>
          <w:color w:val="auto"/>
          <w:szCs w:val="21"/>
          <w:highlight w:val="none"/>
          <w:lang w:val="en-US" w:eastAsia="zh-CN"/>
        </w:rPr>
        <w:t>考，招标人应根据项目实际进行调整</w:t>
      </w:r>
      <w:r>
        <w:rPr>
          <w:rFonts w:hint="eastAsia" w:ascii="宋体" w:hAnsi="宋体" w:cs="宋体"/>
          <w:color w:val="auto"/>
          <w:szCs w:val="21"/>
          <w:highlight w:val="none"/>
          <w:lang w:eastAsia="zh-CN"/>
        </w:rPr>
        <w:t>。</w:t>
      </w:r>
    </w:p>
    <w:permEnd w:id="144"/>
    <w:p w14:paraId="5083CECB">
      <w:pPr>
        <w:spacing w:line="360" w:lineRule="auto"/>
        <w:ind w:firstLine="420" w:firstLineChars="200"/>
        <w:rPr>
          <w:rFonts w:hint="eastAsia"/>
          <w:color w:val="auto"/>
          <w:highlight w:val="none"/>
        </w:rPr>
      </w:pPr>
      <w:r>
        <w:rPr>
          <w:rFonts w:hint="eastAsia" w:ascii="宋体" w:hAnsi="宋体" w:eastAsia="宋体" w:cs="宋体"/>
          <w:color w:val="auto"/>
          <w:szCs w:val="21"/>
          <w:highlight w:val="none"/>
          <w:lang w:eastAsia="zh-CN"/>
        </w:rPr>
        <w:br w:type="page"/>
      </w:r>
      <w:bookmarkStart w:id="458" w:name="_Toc2064045692_WPSOffice_Level2"/>
      <w:permStart w:id="145" w:edGrp="everyone"/>
      <w:r>
        <w:rPr>
          <w:rFonts w:hint="eastAsia" w:ascii="宋体" w:hAnsi="宋体" w:eastAsia="宋体" w:cs="宋体"/>
          <w:color w:val="auto"/>
          <w:highlight w:val="none"/>
        </w:rPr>
        <w:t>附表一：拟投入本</w:t>
      </w: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的主要</w:t>
      </w:r>
      <w:r>
        <w:rPr>
          <w:rFonts w:hint="eastAsia" w:ascii="宋体" w:hAnsi="宋体" w:eastAsia="宋体" w:cs="宋体"/>
          <w:color w:val="auto"/>
          <w:highlight w:val="none"/>
          <w:lang w:eastAsia="zh-CN"/>
        </w:rPr>
        <w:t>勘察</w:t>
      </w:r>
      <w:r>
        <w:rPr>
          <w:rFonts w:hint="eastAsia" w:ascii="宋体" w:hAnsi="宋体" w:eastAsia="宋体" w:cs="宋体"/>
          <w:color w:val="auto"/>
          <w:highlight w:val="none"/>
        </w:rPr>
        <w:t>设备表</w:t>
      </w:r>
      <w:bookmarkEnd w:id="458"/>
    </w:p>
    <w:tbl>
      <w:tblPr>
        <w:tblStyle w:val="2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1697"/>
        <w:gridCol w:w="925"/>
        <w:gridCol w:w="875"/>
        <w:gridCol w:w="1360"/>
        <w:gridCol w:w="1181"/>
        <w:gridCol w:w="1237"/>
      </w:tblGrid>
      <w:tr w14:paraId="2894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noWrap w:val="0"/>
            <w:vAlign w:val="center"/>
          </w:tcPr>
          <w:p w14:paraId="170324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85" w:type="dxa"/>
            <w:noWrap w:val="0"/>
            <w:vAlign w:val="center"/>
          </w:tcPr>
          <w:p w14:paraId="7E4F17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697" w:type="dxa"/>
            <w:noWrap w:val="0"/>
            <w:vAlign w:val="center"/>
          </w:tcPr>
          <w:p w14:paraId="160C9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型号规格</w:t>
            </w:r>
          </w:p>
        </w:tc>
        <w:tc>
          <w:tcPr>
            <w:tcW w:w="925" w:type="dxa"/>
            <w:noWrap w:val="0"/>
            <w:vAlign w:val="center"/>
          </w:tcPr>
          <w:p w14:paraId="74163E7B">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单位</w:t>
            </w:r>
          </w:p>
        </w:tc>
        <w:tc>
          <w:tcPr>
            <w:tcW w:w="875" w:type="dxa"/>
            <w:noWrap w:val="0"/>
            <w:vAlign w:val="center"/>
          </w:tcPr>
          <w:p w14:paraId="3CA6B0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60" w:type="dxa"/>
            <w:noWrap w:val="0"/>
            <w:vAlign w:val="center"/>
          </w:tcPr>
          <w:p w14:paraId="446D41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181" w:type="dxa"/>
            <w:noWrap w:val="0"/>
            <w:vAlign w:val="center"/>
          </w:tcPr>
          <w:p w14:paraId="003BEA6B">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p>
        </w:tc>
        <w:tc>
          <w:tcPr>
            <w:tcW w:w="1237" w:type="dxa"/>
            <w:noWrap w:val="0"/>
            <w:vAlign w:val="center"/>
          </w:tcPr>
          <w:p w14:paraId="275C540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F8B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4575C3FF">
            <w:pPr>
              <w:spacing w:line="360" w:lineRule="auto"/>
              <w:jc w:val="both"/>
              <w:rPr>
                <w:rFonts w:hint="eastAsia" w:ascii="宋体" w:hAnsi="宋体" w:eastAsia="宋体" w:cs="宋体"/>
                <w:color w:val="auto"/>
                <w:szCs w:val="21"/>
                <w:highlight w:val="none"/>
              </w:rPr>
            </w:pPr>
          </w:p>
        </w:tc>
        <w:tc>
          <w:tcPr>
            <w:tcW w:w="1185" w:type="dxa"/>
            <w:noWrap w:val="0"/>
            <w:vAlign w:val="top"/>
          </w:tcPr>
          <w:p w14:paraId="172084B5">
            <w:pPr>
              <w:spacing w:line="360" w:lineRule="auto"/>
              <w:jc w:val="both"/>
              <w:rPr>
                <w:rFonts w:hint="eastAsia" w:ascii="宋体" w:hAnsi="宋体" w:eastAsia="宋体" w:cs="宋体"/>
                <w:color w:val="auto"/>
                <w:szCs w:val="21"/>
                <w:highlight w:val="none"/>
              </w:rPr>
            </w:pPr>
          </w:p>
        </w:tc>
        <w:tc>
          <w:tcPr>
            <w:tcW w:w="1697" w:type="dxa"/>
            <w:noWrap w:val="0"/>
            <w:vAlign w:val="top"/>
          </w:tcPr>
          <w:p w14:paraId="04182DFF">
            <w:pPr>
              <w:spacing w:line="360" w:lineRule="auto"/>
              <w:jc w:val="both"/>
              <w:rPr>
                <w:rFonts w:hint="eastAsia" w:ascii="宋体" w:hAnsi="宋体" w:eastAsia="宋体" w:cs="宋体"/>
                <w:color w:val="auto"/>
                <w:szCs w:val="21"/>
                <w:highlight w:val="none"/>
              </w:rPr>
            </w:pPr>
          </w:p>
        </w:tc>
        <w:tc>
          <w:tcPr>
            <w:tcW w:w="925" w:type="dxa"/>
            <w:noWrap w:val="0"/>
            <w:vAlign w:val="top"/>
          </w:tcPr>
          <w:p w14:paraId="01454C7D">
            <w:pPr>
              <w:spacing w:line="360" w:lineRule="auto"/>
              <w:jc w:val="both"/>
              <w:rPr>
                <w:rFonts w:hint="eastAsia" w:ascii="宋体" w:hAnsi="宋体" w:eastAsia="宋体" w:cs="宋体"/>
                <w:color w:val="auto"/>
                <w:szCs w:val="21"/>
                <w:highlight w:val="none"/>
              </w:rPr>
            </w:pPr>
          </w:p>
        </w:tc>
        <w:tc>
          <w:tcPr>
            <w:tcW w:w="875" w:type="dxa"/>
            <w:noWrap w:val="0"/>
            <w:vAlign w:val="top"/>
          </w:tcPr>
          <w:p w14:paraId="62094FDA">
            <w:pPr>
              <w:spacing w:line="360" w:lineRule="auto"/>
              <w:jc w:val="both"/>
              <w:rPr>
                <w:rFonts w:hint="eastAsia" w:ascii="宋体" w:hAnsi="宋体" w:eastAsia="宋体" w:cs="宋体"/>
                <w:color w:val="auto"/>
                <w:szCs w:val="21"/>
                <w:highlight w:val="none"/>
              </w:rPr>
            </w:pPr>
          </w:p>
        </w:tc>
        <w:tc>
          <w:tcPr>
            <w:tcW w:w="1360" w:type="dxa"/>
            <w:noWrap w:val="0"/>
            <w:vAlign w:val="top"/>
          </w:tcPr>
          <w:p w14:paraId="2FD712C6">
            <w:pPr>
              <w:spacing w:line="360" w:lineRule="auto"/>
              <w:jc w:val="both"/>
              <w:rPr>
                <w:rFonts w:hint="eastAsia" w:ascii="宋体" w:hAnsi="宋体" w:eastAsia="宋体" w:cs="宋体"/>
                <w:color w:val="auto"/>
                <w:szCs w:val="21"/>
                <w:highlight w:val="none"/>
              </w:rPr>
            </w:pPr>
          </w:p>
        </w:tc>
        <w:tc>
          <w:tcPr>
            <w:tcW w:w="1181" w:type="dxa"/>
            <w:noWrap w:val="0"/>
            <w:vAlign w:val="top"/>
          </w:tcPr>
          <w:p w14:paraId="6ECF96F2">
            <w:pPr>
              <w:spacing w:line="360" w:lineRule="auto"/>
              <w:jc w:val="both"/>
              <w:rPr>
                <w:rFonts w:hint="eastAsia" w:ascii="宋体" w:hAnsi="宋体" w:eastAsia="宋体" w:cs="宋体"/>
                <w:color w:val="auto"/>
                <w:szCs w:val="21"/>
                <w:highlight w:val="none"/>
              </w:rPr>
            </w:pPr>
          </w:p>
        </w:tc>
        <w:tc>
          <w:tcPr>
            <w:tcW w:w="1237" w:type="dxa"/>
            <w:noWrap w:val="0"/>
            <w:vAlign w:val="top"/>
          </w:tcPr>
          <w:p w14:paraId="212FFB80">
            <w:pPr>
              <w:spacing w:line="360" w:lineRule="auto"/>
              <w:jc w:val="both"/>
              <w:rPr>
                <w:rFonts w:hint="eastAsia" w:ascii="宋体" w:hAnsi="宋体" w:eastAsia="宋体" w:cs="宋体"/>
                <w:color w:val="auto"/>
                <w:szCs w:val="21"/>
                <w:highlight w:val="none"/>
              </w:rPr>
            </w:pPr>
          </w:p>
        </w:tc>
      </w:tr>
      <w:tr w14:paraId="0D45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51D76956">
            <w:pPr>
              <w:spacing w:line="360" w:lineRule="auto"/>
              <w:rPr>
                <w:rFonts w:hint="eastAsia" w:ascii="宋体" w:hAnsi="宋体" w:eastAsia="宋体" w:cs="宋体"/>
                <w:color w:val="auto"/>
                <w:szCs w:val="21"/>
                <w:highlight w:val="none"/>
              </w:rPr>
            </w:pPr>
          </w:p>
        </w:tc>
        <w:tc>
          <w:tcPr>
            <w:tcW w:w="1185" w:type="dxa"/>
            <w:noWrap w:val="0"/>
            <w:vAlign w:val="top"/>
          </w:tcPr>
          <w:p w14:paraId="48D1DFC7">
            <w:pPr>
              <w:spacing w:line="360" w:lineRule="auto"/>
              <w:rPr>
                <w:rFonts w:hint="eastAsia" w:ascii="宋体" w:hAnsi="宋体" w:eastAsia="宋体" w:cs="宋体"/>
                <w:color w:val="auto"/>
                <w:szCs w:val="21"/>
                <w:highlight w:val="none"/>
              </w:rPr>
            </w:pPr>
          </w:p>
        </w:tc>
        <w:tc>
          <w:tcPr>
            <w:tcW w:w="1697" w:type="dxa"/>
            <w:noWrap w:val="0"/>
            <w:vAlign w:val="top"/>
          </w:tcPr>
          <w:p w14:paraId="2F05687F">
            <w:pPr>
              <w:spacing w:line="360" w:lineRule="auto"/>
              <w:rPr>
                <w:rFonts w:hint="eastAsia" w:ascii="宋体" w:hAnsi="宋体" w:eastAsia="宋体" w:cs="宋体"/>
                <w:color w:val="auto"/>
                <w:szCs w:val="21"/>
                <w:highlight w:val="none"/>
              </w:rPr>
            </w:pPr>
          </w:p>
        </w:tc>
        <w:tc>
          <w:tcPr>
            <w:tcW w:w="925" w:type="dxa"/>
            <w:noWrap w:val="0"/>
            <w:vAlign w:val="top"/>
          </w:tcPr>
          <w:p w14:paraId="016093E0">
            <w:pPr>
              <w:spacing w:line="360" w:lineRule="auto"/>
              <w:rPr>
                <w:rFonts w:hint="eastAsia" w:ascii="宋体" w:hAnsi="宋体" w:eastAsia="宋体" w:cs="宋体"/>
                <w:color w:val="auto"/>
                <w:szCs w:val="21"/>
                <w:highlight w:val="none"/>
              </w:rPr>
            </w:pPr>
          </w:p>
        </w:tc>
        <w:tc>
          <w:tcPr>
            <w:tcW w:w="875" w:type="dxa"/>
            <w:noWrap w:val="0"/>
            <w:vAlign w:val="top"/>
          </w:tcPr>
          <w:p w14:paraId="23CA4178">
            <w:pPr>
              <w:spacing w:line="360" w:lineRule="auto"/>
              <w:rPr>
                <w:rFonts w:hint="eastAsia" w:ascii="宋体" w:hAnsi="宋体" w:eastAsia="宋体" w:cs="宋体"/>
                <w:color w:val="auto"/>
                <w:szCs w:val="21"/>
                <w:highlight w:val="none"/>
              </w:rPr>
            </w:pPr>
          </w:p>
        </w:tc>
        <w:tc>
          <w:tcPr>
            <w:tcW w:w="1360" w:type="dxa"/>
            <w:noWrap w:val="0"/>
            <w:vAlign w:val="top"/>
          </w:tcPr>
          <w:p w14:paraId="30379F2C">
            <w:pPr>
              <w:spacing w:line="360" w:lineRule="auto"/>
              <w:rPr>
                <w:rFonts w:hint="eastAsia" w:ascii="宋体" w:hAnsi="宋体" w:eastAsia="宋体" w:cs="宋体"/>
                <w:color w:val="auto"/>
                <w:szCs w:val="21"/>
                <w:highlight w:val="none"/>
              </w:rPr>
            </w:pPr>
          </w:p>
        </w:tc>
        <w:tc>
          <w:tcPr>
            <w:tcW w:w="1181" w:type="dxa"/>
            <w:noWrap w:val="0"/>
            <w:vAlign w:val="top"/>
          </w:tcPr>
          <w:p w14:paraId="6C61454E">
            <w:pPr>
              <w:spacing w:line="360" w:lineRule="auto"/>
              <w:rPr>
                <w:rFonts w:hint="eastAsia" w:ascii="宋体" w:hAnsi="宋体" w:eastAsia="宋体" w:cs="宋体"/>
                <w:color w:val="auto"/>
                <w:szCs w:val="21"/>
                <w:highlight w:val="none"/>
              </w:rPr>
            </w:pPr>
          </w:p>
        </w:tc>
        <w:tc>
          <w:tcPr>
            <w:tcW w:w="1237" w:type="dxa"/>
            <w:noWrap w:val="0"/>
            <w:vAlign w:val="top"/>
          </w:tcPr>
          <w:p w14:paraId="335DA6FB">
            <w:pPr>
              <w:spacing w:line="360" w:lineRule="auto"/>
              <w:rPr>
                <w:rFonts w:hint="eastAsia" w:ascii="宋体" w:hAnsi="宋体" w:eastAsia="宋体" w:cs="宋体"/>
                <w:color w:val="auto"/>
                <w:szCs w:val="21"/>
                <w:highlight w:val="none"/>
              </w:rPr>
            </w:pPr>
          </w:p>
        </w:tc>
      </w:tr>
      <w:tr w14:paraId="6D0C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65770483">
            <w:pPr>
              <w:spacing w:line="360" w:lineRule="auto"/>
              <w:rPr>
                <w:rFonts w:hint="eastAsia" w:ascii="宋体" w:hAnsi="宋体" w:eastAsia="宋体" w:cs="宋体"/>
                <w:color w:val="auto"/>
                <w:szCs w:val="21"/>
                <w:highlight w:val="none"/>
              </w:rPr>
            </w:pPr>
          </w:p>
        </w:tc>
        <w:tc>
          <w:tcPr>
            <w:tcW w:w="1185" w:type="dxa"/>
            <w:noWrap w:val="0"/>
            <w:vAlign w:val="top"/>
          </w:tcPr>
          <w:p w14:paraId="7F8AB16E">
            <w:pPr>
              <w:spacing w:line="360" w:lineRule="auto"/>
              <w:rPr>
                <w:rFonts w:hint="eastAsia" w:ascii="宋体" w:hAnsi="宋体" w:eastAsia="宋体" w:cs="宋体"/>
                <w:color w:val="auto"/>
                <w:szCs w:val="21"/>
                <w:highlight w:val="none"/>
              </w:rPr>
            </w:pPr>
          </w:p>
        </w:tc>
        <w:tc>
          <w:tcPr>
            <w:tcW w:w="1697" w:type="dxa"/>
            <w:noWrap w:val="0"/>
            <w:vAlign w:val="top"/>
          </w:tcPr>
          <w:p w14:paraId="487526A6">
            <w:pPr>
              <w:spacing w:line="360" w:lineRule="auto"/>
              <w:rPr>
                <w:rFonts w:hint="eastAsia" w:ascii="宋体" w:hAnsi="宋体" w:eastAsia="宋体" w:cs="宋体"/>
                <w:color w:val="auto"/>
                <w:szCs w:val="21"/>
                <w:highlight w:val="none"/>
              </w:rPr>
            </w:pPr>
          </w:p>
        </w:tc>
        <w:tc>
          <w:tcPr>
            <w:tcW w:w="925" w:type="dxa"/>
            <w:noWrap w:val="0"/>
            <w:vAlign w:val="top"/>
          </w:tcPr>
          <w:p w14:paraId="6960B80A">
            <w:pPr>
              <w:spacing w:line="360" w:lineRule="auto"/>
              <w:rPr>
                <w:rFonts w:hint="eastAsia" w:ascii="宋体" w:hAnsi="宋体" w:eastAsia="宋体" w:cs="宋体"/>
                <w:color w:val="auto"/>
                <w:szCs w:val="21"/>
                <w:highlight w:val="none"/>
              </w:rPr>
            </w:pPr>
          </w:p>
        </w:tc>
        <w:tc>
          <w:tcPr>
            <w:tcW w:w="875" w:type="dxa"/>
            <w:noWrap w:val="0"/>
            <w:vAlign w:val="top"/>
          </w:tcPr>
          <w:p w14:paraId="559807F5">
            <w:pPr>
              <w:spacing w:line="360" w:lineRule="auto"/>
              <w:rPr>
                <w:rFonts w:hint="eastAsia" w:ascii="宋体" w:hAnsi="宋体" w:eastAsia="宋体" w:cs="宋体"/>
                <w:color w:val="auto"/>
                <w:szCs w:val="21"/>
                <w:highlight w:val="none"/>
              </w:rPr>
            </w:pPr>
          </w:p>
        </w:tc>
        <w:tc>
          <w:tcPr>
            <w:tcW w:w="1360" w:type="dxa"/>
            <w:noWrap w:val="0"/>
            <w:vAlign w:val="top"/>
          </w:tcPr>
          <w:p w14:paraId="335F08F4">
            <w:pPr>
              <w:spacing w:line="360" w:lineRule="auto"/>
              <w:rPr>
                <w:rFonts w:hint="eastAsia" w:ascii="宋体" w:hAnsi="宋体" w:eastAsia="宋体" w:cs="宋体"/>
                <w:color w:val="auto"/>
                <w:szCs w:val="21"/>
                <w:highlight w:val="none"/>
              </w:rPr>
            </w:pPr>
          </w:p>
        </w:tc>
        <w:tc>
          <w:tcPr>
            <w:tcW w:w="1181" w:type="dxa"/>
            <w:noWrap w:val="0"/>
            <w:vAlign w:val="top"/>
          </w:tcPr>
          <w:p w14:paraId="4B0F9444">
            <w:pPr>
              <w:spacing w:line="360" w:lineRule="auto"/>
              <w:rPr>
                <w:rFonts w:hint="eastAsia" w:ascii="宋体" w:hAnsi="宋体" w:eastAsia="宋体" w:cs="宋体"/>
                <w:color w:val="auto"/>
                <w:szCs w:val="21"/>
                <w:highlight w:val="none"/>
              </w:rPr>
            </w:pPr>
          </w:p>
        </w:tc>
        <w:tc>
          <w:tcPr>
            <w:tcW w:w="1237" w:type="dxa"/>
            <w:noWrap w:val="0"/>
            <w:vAlign w:val="top"/>
          </w:tcPr>
          <w:p w14:paraId="7CC142B3">
            <w:pPr>
              <w:spacing w:line="360" w:lineRule="auto"/>
              <w:rPr>
                <w:rFonts w:hint="eastAsia" w:ascii="宋体" w:hAnsi="宋体" w:eastAsia="宋体" w:cs="宋体"/>
                <w:color w:val="auto"/>
                <w:szCs w:val="21"/>
                <w:highlight w:val="none"/>
              </w:rPr>
            </w:pPr>
          </w:p>
        </w:tc>
      </w:tr>
      <w:tr w14:paraId="4C23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noWrap w:val="0"/>
            <w:vAlign w:val="top"/>
          </w:tcPr>
          <w:p w14:paraId="1ECE6C8A">
            <w:pPr>
              <w:spacing w:line="360" w:lineRule="auto"/>
              <w:rPr>
                <w:rFonts w:hint="eastAsia" w:ascii="宋体" w:hAnsi="宋体" w:eastAsia="宋体" w:cs="宋体"/>
                <w:color w:val="auto"/>
                <w:szCs w:val="21"/>
                <w:highlight w:val="none"/>
              </w:rPr>
            </w:pPr>
          </w:p>
        </w:tc>
        <w:tc>
          <w:tcPr>
            <w:tcW w:w="1185" w:type="dxa"/>
            <w:noWrap w:val="0"/>
            <w:vAlign w:val="top"/>
          </w:tcPr>
          <w:p w14:paraId="7D2F20D3">
            <w:pPr>
              <w:spacing w:line="360" w:lineRule="auto"/>
              <w:rPr>
                <w:rFonts w:hint="eastAsia" w:ascii="宋体" w:hAnsi="宋体" w:eastAsia="宋体" w:cs="宋体"/>
                <w:color w:val="auto"/>
                <w:szCs w:val="21"/>
                <w:highlight w:val="none"/>
              </w:rPr>
            </w:pPr>
          </w:p>
        </w:tc>
        <w:tc>
          <w:tcPr>
            <w:tcW w:w="1697" w:type="dxa"/>
            <w:noWrap w:val="0"/>
            <w:vAlign w:val="top"/>
          </w:tcPr>
          <w:p w14:paraId="292547CC">
            <w:pPr>
              <w:spacing w:line="360" w:lineRule="auto"/>
              <w:rPr>
                <w:rFonts w:hint="eastAsia" w:ascii="宋体" w:hAnsi="宋体" w:eastAsia="宋体" w:cs="宋体"/>
                <w:color w:val="auto"/>
                <w:szCs w:val="21"/>
                <w:highlight w:val="none"/>
              </w:rPr>
            </w:pPr>
          </w:p>
        </w:tc>
        <w:tc>
          <w:tcPr>
            <w:tcW w:w="925" w:type="dxa"/>
            <w:noWrap w:val="0"/>
            <w:vAlign w:val="top"/>
          </w:tcPr>
          <w:p w14:paraId="7B14B63F">
            <w:pPr>
              <w:spacing w:line="360" w:lineRule="auto"/>
              <w:rPr>
                <w:rFonts w:hint="eastAsia" w:ascii="宋体" w:hAnsi="宋体" w:eastAsia="宋体" w:cs="宋体"/>
                <w:color w:val="auto"/>
                <w:szCs w:val="21"/>
                <w:highlight w:val="none"/>
              </w:rPr>
            </w:pPr>
          </w:p>
        </w:tc>
        <w:tc>
          <w:tcPr>
            <w:tcW w:w="875" w:type="dxa"/>
            <w:noWrap w:val="0"/>
            <w:vAlign w:val="top"/>
          </w:tcPr>
          <w:p w14:paraId="2FE86A6B">
            <w:pPr>
              <w:spacing w:line="360" w:lineRule="auto"/>
              <w:rPr>
                <w:rFonts w:hint="eastAsia" w:ascii="宋体" w:hAnsi="宋体" w:eastAsia="宋体" w:cs="宋体"/>
                <w:color w:val="auto"/>
                <w:szCs w:val="21"/>
                <w:highlight w:val="none"/>
              </w:rPr>
            </w:pPr>
          </w:p>
        </w:tc>
        <w:tc>
          <w:tcPr>
            <w:tcW w:w="1360" w:type="dxa"/>
            <w:noWrap w:val="0"/>
            <w:vAlign w:val="top"/>
          </w:tcPr>
          <w:p w14:paraId="0F554A84">
            <w:pPr>
              <w:spacing w:line="360" w:lineRule="auto"/>
              <w:rPr>
                <w:rFonts w:hint="eastAsia" w:ascii="宋体" w:hAnsi="宋体" w:eastAsia="宋体" w:cs="宋体"/>
                <w:color w:val="auto"/>
                <w:szCs w:val="21"/>
                <w:highlight w:val="none"/>
              </w:rPr>
            </w:pPr>
          </w:p>
        </w:tc>
        <w:tc>
          <w:tcPr>
            <w:tcW w:w="1181" w:type="dxa"/>
            <w:noWrap w:val="0"/>
            <w:vAlign w:val="top"/>
          </w:tcPr>
          <w:p w14:paraId="32668849">
            <w:pPr>
              <w:spacing w:line="360" w:lineRule="auto"/>
              <w:rPr>
                <w:rFonts w:hint="eastAsia" w:ascii="宋体" w:hAnsi="宋体" w:eastAsia="宋体" w:cs="宋体"/>
                <w:color w:val="auto"/>
                <w:szCs w:val="21"/>
                <w:highlight w:val="none"/>
              </w:rPr>
            </w:pPr>
          </w:p>
        </w:tc>
        <w:tc>
          <w:tcPr>
            <w:tcW w:w="1237" w:type="dxa"/>
            <w:noWrap w:val="0"/>
            <w:vAlign w:val="top"/>
          </w:tcPr>
          <w:p w14:paraId="76DC9D3E">
            <w:pPr>
              <w:spacing w:line="360" w:lineRule="auto"/>
              <w:rPr>
                <w:rFonts w:hint="eastAsia" w:ascii="宋体" w:hAnsi="宋体" w:eastAsia="宋体" w:cs="宋体"/>
                <w:color w:val="auto"/>
                <w:szCs w:val="21"/>
                <w:highlight w:val="none"/>
              </w:rPr>
            </w:pPr>
          </w:p>
        </w:tc>
      </w:tr>
      <w:tr w14:paraId="6F22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7B2C60A3">
            <w:pPr>
              <w:spacing w:line="360" w:lineRule="auto"/>
              <w:rPr>
                <w:rFonts w:hint="eastAsia" w:ascii="宋体" w:hAnsi="宋体" w:eastAsia="宋体" w:cs="宋体"/>
                <w:color w:val="auto"/>
                <w:szCs w:val="21"/>
                <w:highlight w:val="none"/>
              </w:rPr>
            </w:pPr>
          </w:p>
        </w:tc>
        <w:tc>
          <w:tcPr>
            <w:tcW w:w="1185" w:type="dxa"/>
            <w:noWrap w:val="0"/>
            <w:vAlign w:val="top"/>
          </w:tcPr>
          <w:p w14:paraId="6E7AD6CB">
            <w:pPr>
              <w:spacing w:line="360" w:lineRule="auto"/>
              <w:rPr>
                <w:rFonts w:hint="eastAsia" w:ascii="宋体" w:hAnsi="宋体" w:eastAsia="宋体" w:cs="宋体"/>
                <w:color w:val="auto"/>
                <w:szCs w:val="21"/>
                <w:highlight w:val="none"/>
              </w:rPr>
            </w:pPr>
          </w:p>
        </w:tc>
        <w:tc>
          <w:tcPr>
            <w:tcW w:w="1697" w:type="dxa"/>
            <w:noWrap w:val="0"/>
            <w:vAlign w:val="top"/>
          </w:tcPr>
          <w:p w14:paraId="1F6770BB">
            <w:pPr>
              <w:spacing w:line="360" w:lineRule="auto"/>
              <w:rPr>
                <w:rFonts w:hint="eastAsia" w:ascii="宋体" w:hAnsi="宋体" w:eastAsia="宋体" w:cs="宋体"/>
                <w:color w:val="auto"/>
                <w:szCs w:val="21"/>
                <w:highlight w:val="none"/>
              </w:rPr>
            </w:pPr>
          </w:p>
        </w:tc>
        <w:tc>
          <w:tcPr>
            <w:tcW w:w="925" w:type="dxa"/>
            <w:noWrap w:val="0"/>
            <w:vAlign w:val="top"/>
          </w:tcPr>
          <w:p w14:paraId="576CF313">
            <w:pPr>
              <w:spacing w:line="360" w:lineRule="auto"/>
              <w:rPr>
                <w:rFonts w:hint="eastAsia" w:ascii="宋体" w:hAnsi="宋体" w:eastAsia="宋体" w:cs="宋体"/>
                <w:color w:val="auto"/>
                <w:szCs w:val="21"/>
                <w:highlight w:val="none"/>
              </w:rPr>
            </w:pPr>
          </w:p>
        </w:tc>
        <w:tc>
          <w:tcPr>
            <w:tcW w:w="875" w:type="dxa"/>
            <w:noWrap w:val="0"/>
            <w:vAlign w:val="top"/>
          </w:tcPr>
          <w:p w14:paraId="0A1A1946">
            <w:pPr>
              <w:spacing w:line="360" w:lineRule="auto"/>
              <w:rPr>
                <w:rFonts w:hint="eastAsia" w:ascii="宋体" w:hAnsi="宋体" w:eastAsia="宋体" w:cs="宋体"/>
                <w:color w:val="auto"/>
                <w:szCs w:val="21"/>
                <w:highlight w:val="none"/>
              </w:rPr>
            </w:pPr>
          </w:p>
        </w:tc>
        <w:tc>
          <w:tcPr>
            <w:tcW w:w="1360" w:type="dxa"/>
            <w:noWrap w:val="0"/>
            <w:vAlign w:val="top"/>
          </w:tcPr>
          <w:p w14:paraId="4AAC07E5">
            <w:pPr>
              <w:spacing w:line="360" w:lineRule="auto"/>
              <w:rPr>
                <w:rFonts w:hint="eastAsia" w:ascii="宋体" w:hAnsi="宋体" w:eastAsia="宋体" w:cs="宋体"/>
                <w:color w:val="auto"/>
                <w:szCs w:val="21"/>
                <w:highlight w:val="none"/>
              </w:rPr>
            </w:pPr>
          </w:p>
        </w:tc>
        <w:tc>
          <w:tcPr>
            <w:tcW w:w="1181" w:type="dxa"/>
            <w:noWrap w:val="0"/>
            <w:vAlign w:val="top"/>
          </w:tcPr>
          <w:p w14:paraId="0CD6E737">
            <w:pPr>
              <w:spacing w:line="360" w:lineRule="auto"/>
              <w:rPr>
                <w:rFonts w:hint="eastAsia" w:ascii="宋体" w:hAnsi="宋体" w:eastAsia="宋体" w:cs="宋体"/>
                <w:color w:val="auto"/>
                <w:szCs w:val="21"/>
                <w:highlight w:val="none"/>
              </w:rPr>
            </w:pPr>
          </w:p>
        </w:tc>
        <w:tc>
          <w:tcPr>
            <w:tcW w:w="1237" w:type="dxa"/>
            <w:noWrap w:val="0"/>
            <w:vAlign w:val="top"/>
          </w:tcPr>
          <w:p w14:paraId="50629174">
            <w:pPr>
              <w:spacing w:line="360" w:lineRule="auto"/>
              <w:rPr>
                <w:rFonts w:hint="eastAsia" w:ascii="宋体" w:hAnsi="宋体" w:eastAsia="宋体" w:cs="宋体"/>
                <w:color w:val="auto"/>
                <w:szCs w:val="21"/>
                <w:highlight w:val="none"/>
              </w:rPr>
            </w:pPr>
          </w:p>
        </w:tc>
      </w:tr>
      <w:tr w14:paraId="4C4C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244CDB90">
            <w:pPr>
              <w:spacing w:line="360" w:lineRule="auto"/>
              <w:rPr>
                <w:rFonts w:hint="eastAsia" w:ascii="宋体" w:hAnsi="宋体" w:eastAsia="宋体" w:cs="宋体"/>
                <w:color w:val="auto"/>
                <w:szCs w:val="21"/>
                <w:highlight w:val="none"/>
              </w:rPr>
            </w:pPr>
          </w:p>
        </w:tc>
        <w:tc>
          <w:tcPr>
            <w:tcW w:w="1185" w:type="dxa"/>
            <w:noWrap w:val="0"/>
            <w:vAlign w:val="top"/>
          </w:tcPr>
          <w:p w14:paraId="3D5D6330">
            <w:pPr>
              <w:spacing w:line="360" w:lineRule="auto"/>
              <w:rPr>
                <w:rFonts w:hint="eastAsia" w:ascii="宋体" w:hAnsi="宋体" w:eastAsia="宋体" w:cs="宋体"/>
                <w:color w:val="auto"/>
                <w:szCs w:val="21"/>
                <w:highlight w:val="none"/>
              </w:rPr>
            </w:pPr>
          </w:p>
        </w:tc>
        <w:tc>
          <w:tcPr>
            <w:tcW w:w="1697" w:type="dxa"/>
            <w:noWrap w:val="0"/>
            <w:vAlign w:val="top"/>
          </w:tcPr>
          <w:p w14:paraId="7CC27006">
            <w:pPr>
              <w:spacing w:line="360" w:lineRule="auto"/>
              <w:rPr>
                <w:rFonts w:hint="eastAsia" w:ascii="宋体" w:hAnsi="宋体" w:eastAsia="宋体" w:cs="宋体"/>
                <w:color w:val="auto"/>
                <w:szCs w:val="21"/>
                <w:highlight w:val="none"/>
              </w:rPr>
            </w:pPr>
          </w:p>
        </w:tc>
        <w:tc>
          <w:tcPr>
            <w:tcW w:w="925" w:type="dxa"/>
            <w:noWrap w:val="0"/>
            <w:vAlign w:val="top"/>
          </w:tcPr>
          <w:p w14:paraId="6905AF2D">
            <w:pPr>
              <w:spacing w:line="360" w:lineRule="auto"/>
              <w:rPr>
                <w:rFonts w:hint="eastAsia" w:ascii="宋体" w:hAnsi="宋体" w:eastAsia="宋体" w:cs="宋体"/>
                <w:color w:val="auto"/>
                <w:szCs w:val="21"/>
                <w:highlight w:val="none"/>
              </w:rPr>
            </w:pPr>
          </w:p>
        </w:tc>
        <w:tc>
          <w:tcPr>
            <w:tcW w:w="875" w:type="dxa"/>
            <w:noWrap w:val="0"/>
            <w:vAlign w:val="top"/>
          </w:tcPr>
          <w:p w14:paraId="61D32EEA">
            <w:pPr>
              <w:spacing w:line="360" w:lineRule="auto"/>
              <w:rPr>
                <w:rFonts w:hint="eastAsia" w:ascii="宋体" w:hAnsi="宋体" w:eastAsia="宋体" w:cs="宋体"/>
                <w:color w:val="auto"/>
                <w:szCs w:val="21"/>
                <w:highlight w:val="none"/>
              </w:rPr>
            </w:pPr>
          </w:p>
        </w:tc>
        <w:tc>
          <w:tcPr>
            <w:tcW w:w="1360" w:type="dxa"/>
            <w:noWrap w:val="0"/>
            <w:vAlign w:val="top"/>
          </w:tcPr>
          <w:p w14:paraId="3746A1D4">
            <w:pPr>
              <w:spacing w:line="360" w:lineRule="auto"/>
              <w:rPr>
                <w:rFonts w:hint="eastAsia" w:ascii="宋体" w:hAnsi="宋体" w:eastAsia="宋体" w:cs="宋体"/>
                <w:color w:val="auto"/>
                <w:szCs w:val="21"/>
                <w:highlight w:val="none"/>
              </w:rPr>
            </w:pPr>
          </w:p>
        </w:tc>
        <w:tc>
          <w:tcPr>
            <w:tcW w:w="1181" w:type="dxa"/>
            <w:noWrap w:val="0"/>
            <w:vAlign w:val="top"/>
          </w:tcPr>
          <w:p w14:paraId="5AF12EE9">
            <w:pPr>
              <w:spacing w:line="360" w:lineRule="auto"/>
              <w:rPr>
                <w:rFonts w:hint="eastAsia" w:ascii="宋体" w:hAnsi="宋体" w:eastAsia="宋体" w:cs="宋体"/>
                <w:color w:val="auto"/>
                <w:szCs w:val="21"/>
                <w:highlight w:val="none"/>
              </w:rPr>
            </w:pPr>
          </w:p>
        </w:tc>
        <w:tc>
          <w:tcPr>
            <w:tcW w:w="1237" w:type="dxa"/>
            <w:noWrap w:val="0"/>
            <w:vAlign w:val="top"/>
          </w:tcPr>
          <w:p w14:paraId="2FE5E205">
            <w:pPr>
              <w:spacing w:line="360" w:lineRule="auto"/>
              <w:rPr>
                <w:rFonts w:hint="eastAsia" w:ascii="宋体" w:hAnsi="宋体" w:eastAsia="宋体" w:cs="宋体"/>
                <w:color w:val="auto"/>
                <w:szCs w:val="21"/>
                <w:highlight w:val="none"/>
              </w:rPr>
            </w:pPr>
          </w:p>
        </w:tc>
      </w:tr>
      <w:tr w14:paraId="6E16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2280B6B3">
            <w:pPr>
              <w:spacing w:line="360" w:lineRule="auto"/>
              <w:rPr>
                <w:rFonts w:hint="eastAsia" w:ascii="宋体" w:hAnsi="宋体" w:eastAsia="宋体" w:cs="宋体"/>
                <w:color w:val="auto"/>
                <w:szCs w:val="21"/>
                <w:highlight w:val="none"/>
              </w:rPr>
            </w:pPr>
          </w:p>
        </w:tc>
        <w:tc>
          <w:tcPr>
            <w:tcW w:w="1185" w:type="dxa"/>
            <w:noWrap w:val="0"/>
            <w:vAlign w:val="top"/>
          </w:tcPr>
          <w:p w14:paraId="2C45D2BB">
            <w:pPr>
              <w:spacing w:line="360" w:lineRule="auto"/>
              <w:rPr>
                <w:rFonts w:hint="eastAsia" w:ascii="宋体" w:hAnsi="宋体" w:eastAsia="宋体" w:cs="宋体"/>
                <w:color w:val="auto"/>
                <w:szCs w:val="21"/>
                <w:highlight w:val="none"/>
              </w:rPr>
            </w:pPr>
          </w:p>
        </w:tc>
        <w:tc>
          <w:tcPr>
            <w:tcW w:w="1697" w:type="dxa"/>
            <w:noWrap w:val="0"/>
            <w:vAlign w:val="top"/>
          </w:tcPr>
          <w:p w14:paraId="5B65F27A">
            <w:pPr>
              <w:spacing w:line="360" w:lineRule="auto"/>
              <w:rPr>
                <w:rFonts w:hint="eastAsia" w:ascii="宋体" w:hAnsi="宋体" w:eastAsia="宋体" w:cs="宋体"/>
                <w:color w:val="auto"/>
                <w:szCs w:val="21"/>
                <w:highlight w:val="none"/>
              </w:rPr>
            </w:pPr>
          </w:p>
        </w:tc>
        <w:tc>
          <w:tcPr>
            <w:tcW w:w="925" w:type="dxa"/>
            <w:noWrap w:val="0"/>
            <w:vAlign w:val="top"/>
          </w:tcPr>
          <w:p w14:paraId="31A0AC96">
            <w:pPr>
              <w:spacing w:line="360" w:lineRule="auto"/>
              <w:rPr>
                <w:rFonts w:hint="eastAsia" w:ascii="宋体" w:hAnsi="宋体" w:eastAsia="宋体" w:cs="宋体"/>
                <w:color w:val="auto"/>
                <w:szCs w:val="21"/>
                <w:highlight w:val="none"/>
              </w:rPr>
            </w:pPr>
          </w:p>
        </w:tc>
        <w:tc>
          <w:tcPr>
            <w:tcW w:w="875" w:type="dxa"/>
            <w:noWrap w:val="0"/>
            <w:vAlign w:val="top"/>
          </w:tcPr>
          <w:p w14:paraId="1D0F5CB7">
            <w:pPr>
              <w:spacing w:line="360" w:lineRule="auto"/>
              <w:rPr>
                <w:rFonts w:hint="eastAsia" w:ascii="宋体" w:hAnsi="宋体" w:eastAsia="宋体" w:cs="宋体"/>
                <w:color w:val="auto"/>
                <w:szCs w:val="21"/>
                <w:highlight w:val="none"/>
              </w:rPr>
            </w:pPr>
          </w:p>
        </w:tc>
        <w:tc>
          <w:tcPr>
            <w:tcW w:w="1360" w:type="dxa"/>
            <w:noWrap w:val="0"/>
            <w:vAlign w:val="top"/>
          </w:tcPr>
          <w:p w14:paraId="2076635F">
            <w:pPr>
              <w:spacing w:line="360" w:lineRule="auto"/>
              <w:rPr>
                <w:rFonts w:hint="eastAsia" w:ascii="宋体" w:hAnsi="宋体" w:eastAsia="宋体" w:cs="宋体"/>
                <w:color w:val="auto"/>
                <w:szCs w:val="21"/>
                <w:highlight w:val="none"/>
              </w:rPr>
            </w:pPr>
          </w:p>
        </w:tc>
        <w:tc>
          <w:tcPr>
            <w:tcW w:w="1181" w:type="dxa"/>
            <w:noWrap w:val="0"/>
            <w:vAlign w:val="top"/>
          </w:tcPr>
          <w:p w14:paraId="4C4B62E2">
            <w:pPr>
              <w:spacing w:line="360" w:lineRule="auto"/>
              <w:rPr>
                <w:rFonts w:hint="eastAsia" w:ascii="宋体" w:hAnsi="宋体" w:eastAsia="宋体" w:cs="宋体"/>
                <w:color w:val="auto"/>
                <w:szCs w:val="21"/>
                <w:highlight w:val="none"/>
              </w:rPr>
            </w:pPr>
          </w:p>
        </w:tc>
        <w:tc>
          <w:tcPr>
            <w:tcW w:w="1237" w:type="dxa"/>
            <w:noWrap w:val="0"/>
            <w:vAlign w:val="top"/>
          </w:tcPr>
          <w:p w14:paraId="22DDEDCF">
            <w:pPr>
              <w:spacing w:line="360" w:lineRule="auto"/>
              <w:rPr>
                <w:rFonts w:hint="eastAsia" w:ascii="宋体" w:hAnsi="宋体" w:eastAsia="宋体" w:cs="宋体"/>
                <w:color w:val="auto"/>
                <w:szCs w:val="21"/>
                <w:highlight w:val="none"/>
              </w:rPr>
            </w:pPr>
          </w:p>
        </w:tc>
      </w:tr>
      <w:tr w14:paraId="42D3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noWrap w:val="0"/>
            <w:vAlign w:val="top"/>
          </w:tcPr>
          <w:p w14:paraId="1876C156">
            <w:pPr>
              <w:spacing w:line="360" w:lineRule="auto"/>
              <w:rPr>
                <w:rFonts w:hint="eastAsia" w:ascii="宋体" w:hAnsi="宋体" w:eastAsia="宋体" w:cs="宋体"/>
                <w:color w:val="auto"/>
                <w:szCs w:val="21"/>
                <w:highlight w:val="none"/>
              </w:rPr>
            </w:pPr>
          </w:p>
        </w:tc>
        <w:tc>
          <w:tcPr>
            <w:tcW w:w="1185" w:type="dxa"/>
            <w:noWrap w:val="0"/>
            <w:vAlign w:val="top"/>
          </w:tcPr>
          <w:p w14:paraId="537C3FCB">
            <w:pPr>
              <w:spacing w:line="360" w:lineRule="auto"/>
              <w:rPr>
                <w:rFonts w:hint="eastAsia" w:ascii="宋体" w:hAnsi="宋体" w:eastAsia="宋体" w:cs="宋体"/>
                <w:color w:val="auto"/>
                <w:szCs w:val="21"/>
                <w:highlight w:val="none"/>
              </w:rPr>
            </w:pPr>
          </w:p>
        </w:tc>
        <w:tc>
          <w:tcPr>
            <w:tcW w:w="1697" w:type="dxa"/>
            <w:noWrap w:val="0"/>
            <w:vAlign w:val="top"/>
          </w:tcPr>
          <w:p w14:paraId="1313FC09">
            <w:pPr>
              <w:spacing w:line="360" w:lineRule="auto"/>
              <w:rPr>
                <w:rFonts w:hint="eastAsia" w:ascii="宋体" w:hAnsi="宋体" w:eastAsia="宋体" w:cs="宋体"/>
                <w:color w:val="auto"/>
                <w:szCs w:val="21"/>
                <w:highlight w:val="none"/>
              </w:rPr>
            </w:pPr>
          </w:p>
        </w:tc>
        <w:tc>
          <w:tcPr>
            <w:tcW w:w="925" w:type="dxa"/>
            <w:noWrap w:val="0"/>
            <w:vAlign w:val="top"/>
          </w:tcPr>
          <w:p w14:paraId="0680EA74">
            <w:pPr>
              <w:spacing w:line="360" w:lineRule="auto"/>
              <w:rPr>
                <w:rFonts w:hint="eastAsia" w:ascii="宋体" w:hAnsi="宋体" w:eastAsia="宋体" w:cs="宋体"/>
                <w:color w:val="auto"/>
                <w:szCs w:val="21"/>
                <w:highlight w:val="none"/>
              </w:rPr>
            </w:pPr>
          </w:p>
        </w:tc>
        <w:tc>
          <w:tcPr>
            <w:tcW w:w="875" w:type="dxa"/>
            <w:noWrap w:val="0"/>
            <w:vAlign w:val="top"/>
          </w:tcPr>
          <w:p w14:paraId="42A6AED8">
            <w:pPr>
              <w:spacing w:line="360" w:lineRule="auto"/>
              <w:rPr>
                <w:rFonts w:hint="eastAsia" w:ascii="宋体" w:hAnsi="宋体" w:eastAsia="宋体" w:cs="宋体"/>
                <w:color w:val="auto"/>
                <w:szCs w:val="21"/>
                <w:highlight w:val="none"/>
              </w:rPr>
            </w:pPr>
          </w:p>
        </w:tc>
        <w:tc>
          <w:tcPr>
            <w:tcW w:w="1360" w:type="dxa"/>
            <w:noWrap w:val="0"/>
            <w:vAlign w:val="top"/>
          </w:tcPr>
          <w:p w14:paraId="6CBBBBA2">
            <w:pPr>
              <w:spacing w:line="360" w:lineRule="auto"/>
              <w:rPr>
                <w:rFonts w:hint="eastAsia" w:ascii="宋体" w:hAnsi="宋体" w:eastAsia="宋体" w:cs="宋体"/>
                <w:color w:val="auto"/>
                <w:szCs w:val="21"/>
                <w:highlight w:val="none"/>
              </w:rPr>
            </w:pPr>
          </w:p>
        </w:tc>
        <w:tc>
          <w:tcPr>
            <w:tcW w:w="1181" w:type="dxa"/>
            <w:noWrap w:val="0"/>
            <w:vAlign w:val="top"/>
          </w:tcPr>
          <w:p w14:paraId="7CF75B25">
            <w:pPr>
              <w:spacing w:line="360" w:lineRule="auto"/>
              <w:rPr>
                <w:rFonts w:hint="eastAsia" w:ascii="宋体" w:hAnsi="宋体" w:eastAsia="宋体" w:cs="宋体"/>
                <w:color w:val="auto"/>
                <w:szCs w:val="21"/>
                <w:highlight w:val="none"/>
              </w:rPr>
            </w:pPr>
          </w:p>
        </w:tc>
        <w:tc>
          <w:tcPr>
            <w:tcW w:w="1237" w:type="dxa"/>
            <w:noWrap w:val="0"/>
            <w:vAlign w:val="top"/>
          </w:tcPr>
          <w:p w14:paraId="135EE795">
            <w:pPr>
              <w:spacing w:line="360" w:lineRule="auto"/>
              <w:rPr>
                <w:rFonts w:hint="eastAsia" w:ascii="宋体" w:hAnsi="宋体" w:eastAsia="宋体" w:cs="宋体"/>
                <w:color w:val="auto"/>
                <w:szCs w:val="21"/>
                <w:highlight w:val="none"/>
              </w:rPr>
            </w:pPr>
          </w:p>
        </w:tc>
      </w:tr>
      <w:tr w14:paraId="1334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05A8038A">
            <w:pPr>
              <w:spacing w:line="360" w:lineRule="auto"/>
              <w:rPr>
                <w:rFonts w:hint="eastAsia" w:ascii="宋体" w:hAnsi="宋体" w:eastAsia="宋体" w:cs="宋体"/>
                <w:color w:val="auto"/>
                <w:szCs w:val="21"/>
                <w:highlight w:val="none"/>
              </w:rPr>
            </w:pPr>
          </w:p>
        </w:tc>
        <w:tc>
          <w:tcPr>
            <w:tcW w:w="1185" w:type="dxa"/>
            <w:noWrap w:val="0"/>
            <w:vAlign w:val="top"/>
          </w:tcPr>
          <w:p w14:paraId="25C913D9">
            <w:pPr>
              <w:spacing w:line="360" w:lineRule="auto"/>
              <w:rPr>
                <w:rFonts w:hint="eastAsia" w:ascii="宋体" w:hAnsi="宋体" w:eastAsia="宋体" w:cs="宋体"/>
                <w:color w:val="auto"/>
                <w:szCs w:val="21"/>
                <w:highlight w:val="none"/>
              </w:rPr>
            </w:pPr>
          </w:p>
        </w:tc>
        <w:tc>
          <w:tcPr>
            <w:tcW w:w="1697" w:type="dxa"/>
            <w:noWrap w:val="0"/>
            <w:vAlign w:val="top"/>
          </w:tcPr>
          <w:p w14:paraId="4A8670CE">
            <w:pPr>
              <w:spacing w:line="360" w:lineRule="auto"/>
              <w:rPr>
                <w:rFonts w:hint="eastAsia" w:ascii="宋体" w:hAnsi="宋体" w:eastAsia="宋体" w:cs="宋体"/>
                <w:color w:val="auto"/>
                <w:szCs w:val="21"/>
                <w:highlight w:val="none"/>
              </w:rPr>
            </w:pPr>
          </w:p>
        </w:tc>
        <w:tc>
          <w:tcPr>
            <w:tcW w:w="925" w:type="dxa"/>
            <w:noWrap w:val="0"/>
            <w:vAlign w:val="top"/>
          </w:tcPr>
          <w:p w14:paraId="1667E261">
            <w:pPr>
              <w:spacing w:line="360" w:lineRule="auto"/>
              <w:rPr>
                <w:rFonts w:hint="eastAsia" w:ascii="宋体" w:hAnsi="宋体" w:eastAsia="宋体" w:cs="宋体"/>
                <w:color w:val="auto"/>
                <w:szCs w:val="21"/>
                <w:highlight w:val="none"/>
              </w:rPr>
            </w:pPr>
          </w:p>
        </w:tc>
        <w:tc>
          <w:tcPr>
            <w:tcW w:w="875" w:type="dxa"/>
            <w:noWrap w:val="0"/>
            <w:vAlign w:val="top"/>
          </w:tcPr>
          <w:p w14:paraId="7C019C90">
            <w:pPr>
              <w:spacing w:line="360" w:lineRule="auto"/>
              <w:rPr>
                <w:rFonts w:hint="eastAsia" w:ascii="宋体" w:hAnsi="宋体" w:eastAsia="宋体" w:cs="宋体"/>
                <w:color w:val="auto"/>
                <w:szCs w:val="21"/>
                <w:highlight w:val="none"/>
              </w:rPr>
            </w:pPr>
          </w:p>
        </w:tc>
        <w:tc>
          <w:tcPr>
            <w:tcW w:w="1360" w:type="dxa"/>
            <w:noWrap w:val="0"/>
            <w:vAlign w:val="top"/>
          </w:tcPr>
          <w:p w14:paraId="6E9C827F">
            <w:pPr>
              <w:spacing w:line="360" w:lineRule="auto"/>
              <w:rPr>
                <w:rFonts w:hint="eastAsia" w:ascii="宋体" w:hAnsi="宋体" w:eastAsia="宋体" w:cs="宋体"/>
                <w:color w:val="auto"/>
                <w:szCs w:val="21"/>
                <w:highlight w:val="none"/>
              </w:rPr>
            </w:pPr>
          </w:p>
        </w:tc>
        <w:tc>
          <w:tcPr>
            <w:tcW w:w="1181" w:type="dxa"/>
            <w:noWrap w:val="0"/>
            <w:vAlign w:val="top"/>
          </w:tcPr>
          <w:p w14:paraId="5CAA4B38">
            <w:pPr>
              <w:spacing w:line="360" w:lineRule="auto"/>
              <w:rPr>
                <w:rFonts w:hint="eastAsia" w:ascii="宋体" w:hAnsi="宋体" w:eastAsia="宋体" w:cs="宋体"/>
                <w:color w:val="auto"/>
                <w:szCs w:val="21"/>
                <w:highlight w:val="none"/>
              </w:rPr>
            </w:pPr>
          </w:p>
        </w:tc>
        <w:tc>
          <w:tcPr>
            <w:tcW w:w="1237" w:type="dxa"/>
            <w:noWrap w:val="0"/>
            <w:vAlign w:val="top"/>
          </w:tcPr>
          <w:p w14:paraId="5290CDA4">
            <w:pPr>
              <w:spacing w:line="360" w:lineRule="auto"/>
              <w:rPr>
                <w:rFonts w:hint="eastAsia" w:ascii="宋体" w:hAnsi="宋体" w:eastAsia="宋体" w:cs="宋体"/>
                <w:color w:val="auto"/>
                <w:szCs w:val="21"/>
                <w:highlight w:val="none"/>
              </w:rPr>
            </w:pPr>
          </w:p>
        </w:tc>
      </w:tr>
      <w:tr w14:paraId="4F59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1E2EB45C">
            <w:pPr>
              <w:spacing w:line="360" w:lineRule="auto"/>
              <w:rPr>
                <w:rFonts w:hint="eastAsia" w:ascii="宋体" w:hAnsi="宋体" w:eastAsia="宋体" w:cs="宋体"/>
                <w:color w:val="auto"/>
                <w:szCs w:val="21"/>
                <w:highlight w:val="none"/>
              </w:rPr>
            </w:pPr>
          </w:p>
        </w:tc>
        <w:tc>
          <w:tcPr>
            <w:tcW w:w="1185" w:type="dxa"/>
            <w:noWrap w:val="0"/>
            <w:vAlign w:val="top"/>
          </w:tcPr>
          <w:p w14:paraId="46F73F45">
            <w:pPr>
              <w:spacing w:line="360" w:lineRule="auto"/>
              <w:rPr>
                <w:rFonts w:hint="eastAsia" w:ascii="宋体" w:hAnsi="宋体" w:eastAsia="宋体" w:cs="宋体"/>
                <w:color w:val="auto"/>
                <w:szCs w:val="21"/>
                <w:highlight w:val="none"/>
              </w:rPr>
            </w:pPr>
          </w:p>
        </w:tc>
        <w:tc>
          <w:tcPr>
            <w:tcW w:w="1697" w:type="dxa"/>
            <w:noWrap w:val="0"/>
            <w:vAlign w:val="top"/>
          </w:tcPr>
          <w:p w14:paraId="275DC63D">
            <w:pPr>
              <w:spacing w:line="360" w:lineRule="auto"/>
              <w:rPr>
                <w:rFonts w:hint="eastAsia" w:ascii="宋体" w:hAnsi="宋体" w:eastAsia="宋体" w:cs="宋体"/>
                <w:color w:val="auto"/>
                <w:szCs w:val="21"/>
                <w:highlight w:val="none"/>
              </w:rPr>
            </w:pPr>
          </w:p>
        </w:tc>
        <w:tc>
          <w:tcPr>
            <w:tcW w:w="925" w:type="dxa"/>
            <w:noWrap w:val="0"/>
            <w:vAlign w:val="top"/>
          </w:tcPr>
          <w:p w14:paraId="19D12062">
            <w:pPr>
              <w:spacing w:line="360" w:lineRule="auto"/>
              <w:rPr>
                <w:rFonts w:hint="eastAsia" w:ascii="宋体" w:hAnsi="宋体" w:eastAsia="宋体" w:cs="宋体"/>
                <w:color w:val="auto"/>
                <w:szCs w:val="21"/>
                <w:highlight w:val="none"/>
              </w:rPr>
            </w:pPr>
          </w:p>
        </w:tc>
        <w:tc>
          <w:tcPr>
            <w:tcW w:w="875" w:type="dxa"/>
            <w:noWrap w:val="0"/>
            <w:vAlign w:val="top"/>
          </w:tcPr>
          <w:p w14:paraId="6591FD57">
            <w:pPr>
              <w:spacing w:line="360" w:lineRule="auto"/>
              <w:rPr>
                <w:rFonts w:hint="eastAsia" w:ascii="宋体" w:hAnsi="宋体" w:eastAsia="宋体" w:cs="宋体"/>
                <w:color w:val="auto"/>
                <w:szCs w:val="21"/>
                <w:highlight w:val="none"/>
              </w:rPr>
            </w:pPr>
          </w:p>
        </w:tc>
        <w:tc>
          <w:tcPr>
            <w:tcW w:w="1360" w:type="dxa"/>
            <w:noWrap w:val="0"/>
            <w:vAlign w:val="top"/>
          </w:tcPr>
          <w:p w14:paraId="712166C1">
            <w:pPr>
              <w:spacing w:line="360" w:lineRule="auto"/>
              <w:rPr>
                <w:rFonts w:hint="eastAsia" w:ascii="宋体" w:hAnsi="宋体" w:eastAsia="宋体" w:cs="宋体"/>
                <w:color w:val="auto"/>
                <w:szCs w:val="21"/>
                <w:highlight w:val="none"/>
              </w:rPr>
            </w:pPr>
          </w:p>
        </w:tc>
        <w:tc>
          <w:tcPr>
            <w:tcW w:w="1181" w:type="dxa"/>
            <w:noWrap w:val="0"/>
            <w:vAlign w:val="top"/>
          </w:tcPr>
          <w:p w14:paraId="333EA207">
            <w:pPr>
              <w:spacing w:line="360" w:lineRule="auto"/>
              <w:rPr>
                <w:rFonts w:hint="eastAsia" w:ascii="宋体" w:hAnsi="宋体" w:eastAsia="宋体" w:cs="宋体"/>
                <w:color w:val="auto"/>
                <w:szCs w:val="21"/>
                <w:highlight w:val="none"/>
              </w:rPr>
            </w:pPr>
          </w:p>
        </w:tc>
        <w:tc>
          <w:tcPr>
            <w:tcW w:w="1237" w:type="dxa"/>
            <w:noWrap w:val="0"/>
            <w:vAlign w:val="top"/>
          </w:tcPr>
          <w:p w14:paraId="5391CAC7">
            <w:pPr>
              <w:spacing w:line="360" w:lineRule="auto"/>
              <w:rPr>
                <w:rFonts w:hint="eastAsia" w:ascii="宋体" w:hAnsi="宋体" w:eastAsia="宋体" w:cs="宋体"/>
                <w:color w:val="auto"/>
                <w:szCs w:val="21"/>
                <w:highlight w:val="none"/>
              </w:rPr>
            </w:pPr>
          </w:p>
        </w:tc>
      </w:tr>
      <w:tr w14:paraId="406F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14D6B490">
            <w:pPr>
              <w:spacing w:line="360" w:lineRule="auto"/>
              <w:rPr>
                <w:rFonts w:hint="eastAsia" w:ascii="宋体" w:hAnsi="宋体" w:eastAsia="宋体" w:cs="宋体"/>
                <w:color w:val="auto"/>
                <w:szCs w:val="21"/>
                <w:highlight w:val="none"/>
              </w:rPr>
            </w:pPr>
          </w:p>
        </w:tc>
        <w:tc>
          <w:tcPr>
            <w:tcW w:w="1185" w:type="dxa"/>
            <w:noWrap w:val="0"/>
            <w:vAlign w:val="top"/>
          </w:tcPr>
          <w:p w14:paraId="1E089094">
            <w:pPr>
              <w:spacing w:line="360" w:lineRule="auto"/>
              <w:rPr>
                <w:rFonts w:hint="eastAsia" w:ascii="宋体" w:hAnsi="宋体" w:eastAsia="宋体" w:cs="宋体"/>
                <w:color w:val="auto"/>
                <w:szCs w:val="21"/>
                <w:highlight w:val="none"/>
              </w:rPr>
            </w:pPr>
          </w:p>
        </w:tc>
        <w:tc>
          <w:tcPr>
            <w:tcW w:w="1697" w:type="dxa"/>
            <w:noWrap w:val="0"/>
            <w:vAlign w:val="top"/>
          </w:tcPr>
          <w:p w14:paraId="0480B39F">
            <w:pPr>
              <w:spacing w:line="360" w:lineRule="auto"/>
              <w:rPr>
                <w:rFonts w:hint="eastAsia" w:ascii="宋体" w:hAnsi="宋体" w:eastAsia="宋体" w:cs="宋体"/>
                <w:color w:val="auto"/>
                <w:szCs w:val="21"/>
                <w:highlight w:val="none"/>
              </w:rPr>
            </w:pPr>
          </w:p>
        </w:tc>
        <w:tc>
          <w:tcPr>
            <w:tcW w:w="925" w:type="dxa"/>
            <w:noWrap w:val="0"/>
            <w:vAlign w:val="top"/>
          </w:tcPr>
          <w:p w14:paraId="01C1E44E">
            <w:pPr>
              <w:spacing w:line="360" w:lineRule="auto"/>
              <w:rPr>
                <w:rFonts w:hint="eastAsia" w:ascii="宋体" w:hAnsi="宋体" w:eastAsia="宋体" w:cs="宋体"/>
                <w:color w:val="auto"/>
                <w:szCs w:val="21"/>
                <w:highlight w:val="none"/>
              </w:rPr>
            </w:pPr>
          </w:p>
        </w:tc>
        <w:tc>
          <w:tcPr>
            <w:tcW w:w="875" w:type="dxa"/>
            <w:noWrap w:val="0"/>
            <w:vAlign w:val="top"/>
          </w:tcPr>
          <w:p w14:paraId="44FAF62A">
            <w:pPr>
              <w:spacing w:line="360" w:lineRule="auto"/>
              <w:rPr>
                <w:rFonts w:hint="eastAsia" w:ascii="宋体" w:hAnsi="宋体" w:eastAsia="宋体" w:cs="宋体"/>
                <w:color w:val="auto"/>
                <w:szCs w:val="21"/>
                <w:highlight w:val="none"/>
              </w:rPr>
            </w:pPr>
          </w:p>
        </w:tc>
        <w:tc>
          <w:tcPr>
            <w:tcW w:w="1360" w:type="dxa"/>
            <w:noWrap w:val="0"/>
            <w:vAlign w:val="top"/>
          </w:tcPr>
          <w:p w14:paraId="4035697C">
            <w:pPr>
              <w:spacing w:line="360" w:lineRule="auto"/>
              <w:rPr>
                <w:rFonts w:hint="eastAsia" w:ascii="宋体" w:hAnsi="宋体" w:eastAsia="宋体" w:cs="宋体"/>
                <w:color w:val="auto"/>
                <w:szCs w:val="21"/>
                <w:highlight w:val="none"/>
              </w:rPr>
            </w:pPr>
          </w:p>
        </w:tc>
        <w:tc>
          <w:tcPr>
            <w:tcW w:w="1181" w:type="dxa"/>
            <w:noWrap w:val="0"/>
            <w:vAlign w:val="top"/>
          </w:tcPr>
          <w:p w14:paraId="54FCF86C">
            <w:pPr>
              <w:spacing w:line="360" w:lineRule="auto"/>
              <w:rPr>
                <w:rFonts w:hint="eastAsia" w:ascii="宋体" w:hAnsi="宋体" w:eastAsia="宋体" w:cs="宋体"/>
                <w:color w:val="auto"/>
                <w:szCs w:val="21"/>
                <w:highlight w:val="none"/>
              </w:rPr>
            </w:pPr>
          </w:p>
        </w:tc>
        <w:tc>
          <w:tcPr>
            <w:tcW w:w="1237" w:type="dxa"/>
            <w:noWrap w:val="0"/>
            <w:vAlign w:val="top"/>
          </w:tcPr>
          <w:p w14:paraId="03BB49CB">
            <w:pPr>
              <w:spacing w:line="360" w:lineRule="auto"/>
              <w:rPr>
                <w:rFonts w:hint="eastAsia" w:ascii="宋体" w:hAnsi="宋体" w:eastAsia="宋体" w:cs="宋体"/>
                <w:color w:val="auto"/>
                <w:szCs w:val="21"/>
                <w:highlight w:val="none"/>
              </w:rPr>
            </w:pPr>
          </w:p>
        </w:tc>
      </w:tr>
      <w:tr w14:paraId="53B4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noWrap w:val="0"/>
            <w:vAlign w:val="top"/>
          </w:tcPr>
          <w:p w14:paraId="311DAA9C">
            <w:pPr>
              <w:spacing w:line="360" w:lineRule="auto"/>
              <w:rPr>
                <w:rFonts w:hint="eastAsia" w:ascii="宋体" w:hAnsi="宋体" w:eastAsia="宋体" w:cs="宋体"/>
                <w:color w:val="auto"/>
                <w:szCs w:val="21"/>
                <w:highlight w:val="none"/>
              </w:rPr>
            </w:pPr>
          </w:p>
        </w:tc>
        <w:tc>
          <w:tcPr>
            <w:tcW w:w="1185" w:type="dxa"/>
            <w:noWrap w:val="0"/>
            <w:vAlign w:val="top"/>
          </w:tcPr>
          <w:p w14:paraId="0F4307E3">
            <w:pPr>
              <w:spacing w:line="360" w:lineRule="auto"/>
              <w:rPr>
                <w:rFonts w:hint="eastAsia" w:ascii="宋体" w:hAnsi="宋体" w:eastAsia="宋体" w:cs="宋体"/>
                <w:color w:val="auto"/>
                <w:szCs w:val="21"/>
                <w:highlight w:val="none"/>
              </w:rPr>
            </w:pPr>
          </w:p>
        </w:tc>
        <w:tc>
          <w:tcPr>
            <w:tcW w:w="1697" w:type="dxa"/>
            <w:noWrap w:val="0"/>
            <w:vAlign w:val="top"/>
          </w:tcPr>
          <w:p w14:paraId="665FB944">
            <w:pPr>
              <w:spacing w:line="360" w:lineRule="auto"/>
              <w:rPr>
                <w:rFonts w:hint="eastAsia" w:ascii="宋体" w:hAnsi="宋体" w:eastAsia="宋体" w:cs="宋体"/>
                <w:color w:val="auto"/>
                <w:szCs w:val="21"/>
                <w:highlight w:val="none"/>
              </w:rPr>
            </w:pPr>
          </w:p>
        </w:tc>
        <w:tc>
          <w:tcPr>
            <w:tcW w:w="925" w:type="dxa"/>
            <w:noWrap w:val="0"/>
            <w:vAlign w:val="top"/>
          </w:tcPr>
          <w:p w14:paraId="1912EB92">
            <w:pPr>
              <w:spacing w:line="360" w:lineRule="auto"/>
              <w:rPr>
                <w:rFonts w:hint="eastAsia" w:ascii="宋体" w:hAnsi="宋体" w:eastAsia="宋体" w:cs="宋体"/>
                <w:color w:val="auto"/>
                <w:szCs w:val="21"/>
                <w:highlight w:val="none"/>
              </w:rPr>
            </w:pPr>
          </w:p>
        </w:tc>
        <w:tc>
          <w:tcPr>
            <w:tcW w:w="875" w:type="dxa"/>
            <w:noWrap w:val="0"/>
            <w:vAlign w:val="top"/>
          </w:tcPr>
          <w:p w14:paraId="76826A50">
            <w:pPr>
              <w:spacing w:line="360" w:lineRule="auto"/>
              <w:rPr>
                <w:rFonts w:hint="eastAsia" w:ascii="宋体" w:hAnsi="宋体" w:eastAsia="宋体" w:cs="宋体"/>
                <w:color w:val="auto"/>
                <w:szCs w:val="21"/>
                <w:highlight w:val="none"/>
              </w:rPr>
            </w:pPr>
          </w:p>
        </w:tc>
        <w:tc>
          <w:tcPr>
            <w:tcW w:w="1360" w:type="dxa"/>
            <w:noWrap w:val="0"/>
            <w:vAlign w:val="top"/>
          </w:tcPr>
          <w:p w14:paraId="43E42E9A">
            <w:pPr>
              <w:spacing w:line="360" w:lineRule="auto"/>
              <w:rPr>
                <w:rFonts w:hint="eastAsia" w:ascii="宋体" w:hAnsi="宋体" w:eastAsia="宋体" w:cs="宋体"/>
                <w:color w:val="auto"/>
                <w:szCs w:val="21"/>
                <w:highlight w:val="none"/>
              </w:rPr>
            </w:pPr>
          </w:p>
        </w:tc>
        <w:tc>
          <w:tcPr>
            <w:tcW w:w="1181" w:type="dxa"/>
            <w:noWrap w:val="0"/>
            <w:vAlign w:val="top"/>
          </w:tcPr>
          <w:p w14:paraId="39D3A533">
            <w:pPr>
              <w:spacing w:line="360" w:lineRule="auto"/>
              <w:rPr>
                <w:rFonts w:hint="eastAsia" w:ascii="宋体" w:hAnsi="宋体" w:eastAsia="宋体" w:cs="宋体"/>
                <w:color w:val="auto"/>
                <w:szCs w:val="21"/>
                <w:highlight w:val="none"/>
              </w:rPr>
            </w:pPr>
          </w:p>
        </w:tc>
        <w:tc>
          <w:tcPr>
            <w:tcW w:w="1237" w:type="dxa"/>
            <w:noWrap w:val="0"/>
            <w:vAlign w:val="top"/>
          </w:tcPr>
          <w:p w14:paraId="177B3855">
            <w:pPr>
              <w:spacing w:line="360" w:lineRule="auto"/>
              <w:rPr>
                <w:rFonts w:hint="eastAsia" w:ascii="宋体" w:hAnsi="宋体" w:eastAsia="宋体" w:cs="宋体"/>
                <w:color w:val="auto"/>
                <w:szCs w:val="21"/>
                <w:highlight w:val="none"/>
              </w:rPr>
            </w:pPr>
          </w:p>
        </w:tc>
      </w:tr>
      <w:tr w14:paraId="3510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1F60224A">
            <w:pPr>
              <w:spacing w:line="360" w:lineRule="auto"/>
              <w:rPr>
                <w:rFonts w:hint="eastAsia" w:ascii="宋体" w:hAnsi="宋体" w:eastAsia="宋体" w:cs="宋体"/>
                <w:color w:val="auto"/>
                <w:szCs w:val="21"/>
                <w:highlight w:val="none"/>
              </w:rPr>
            </w:pPr>
          </w:p>
        </w:tc>
        <w:tc>
          <w:tcPr>
            <w:tcW w:w="1185" w:type="dxa"/>
            <w:noWrap w:val="0"/>
            <w:vAlign w:val="top"/>
          </w:tcPr>
          <w:p w14:paraId="1603B2AE">
            <w:pPr>
              <w:spacing w:line="360" w:lineRule="auto"/>
              <w:rPr>
                <w:rFonts w:hint="eastAsia" w:ascii="宋体" w:hAnsi="宋体" w:eastAsia="宋体" w:cs="宋体"/>
                <w:color w:val="auto"/>
                <w:szCs w:val="21"/>
                <w:highlight w:val="none"/>
              </w:rPr>
            </w:pPr>
          </w:p>
        </w:tc>
        <w:tc>
          <w:tcPr>
            <w:tcW w:w="1697" w:type="dxa"/>
            <w:noWrap w:val="0"/>
            <w:vAlign w:val="top"/>
          </w:tcPr>
          <w:p w14:paraId="33603499">
            <w:pPr>
              <w:spacing w:line="360" w:lineRule="auto"/>
              <w:rPr>
                <w:rFonts w:hint="eastAsia" w:ascii="宋体" w:hAnsi="宋体" w:eastAsia="宋体" w:cs="宋体"/>
                <w:color w:val="auto"/>
                <w:szCs w:val="21"/>
                <w:highlight w:val="none"/>
              </w:rPr>
            </w:pPr>
          </w:p>
        </w:tc>
        <w:tc>
          <w:tcPr>
            <w:tcW w:w="925" w:type="dxa"/>
            <w:noWrap w:val="0"/>
            <w:vAlign w:val="top"/>
          </w:tcPr>
          <w:p w14:paraId="0EEF32F4">
            <w:pPr>
              <w:spacing w:line="360" w:lineRule="auto"/>
              <w:rPr>
                <w:rFonts w:hint="eastAsia" w:ascii="宋体" w:hAnsi="宋体" w:eastAsia="宋体" w:cs="宋体"/>
                <w:color w:val="auto"/>
                <w:szCs w:val="21"/>
                <w:highlight w:val="none"/>
              </w:rPr>
            </w:pPr>
          </w:p>
        </w:tc>
        <w:tc>
          <w:tcPr>
            <w:tcW w:w="875" w:type="dxa"/>
            <w:noWrap w:val="0"/>
            <w:vAlign w:val="top"/>
          </w:tcPr>
          <w:p w14:paraId="674407A8">
            <w:pPr>
              <w:spacing w:line="360" w:lineRule="auto"/>
              <w:rPr>
                <w:rFonts w:hint="eastAsia" w:ascii="宋体" w:hAnsi="宋体" w:eastAsia="宋体" w:cs="宋体"/>
                <w:color w:val="auto"/>
                <w:szCs w:val="21"/>
                <w:highlight w:val="none"/>
              </w:rPr>
            </w:pPr>
          </w:p>
        </w:tc>
        <w:tc>
          <w:tcPr>
            <w:tcW w:w="1360" w:type="dxa"/>
            <w:noWrap w:val="0"/>
            <w:vAlign w:val="top"/>
          </w:tcPr>
          <w:p w14:paraId="19D9E7A5">
            <w:pPr>
              <w:spacing w:line="360" w:lineRule="auto"/>
              <w:rPr>
                <w:rFonts w:hint="eastAsia" w:ascii="宋体" w:hAnsi="宋体" w:eastAsia="宋体" w:cs="宋体"/>
                <w:color w:val="auto"/>
                <w:szCs w:val="21"/>
                <w:highlight w:val="none"/>
              </w:rPr>
            </w:pPr>
          </w:p>
        </w:tc>
        <w:tc>
          <w:tcPr>
            <w:tcW w:w="1181" w:type="dxa"/>
            <w:noWrap w:val="0"/>
            <w:vAlign w:val="top"/>
          </w:tcPr>
          <w:p w14:paraId="6F623CD3">
            <w:pPr>
              <w:spacing w:line="360" w:lineRule="auto"/>
              <w:rPr>
                <w:rFonts w:hint="eastAsia" w:ascii="宋体" w:hAnsi="宋体" w:eastAsia="宋体" w:cs="宋体"/>
                <w:color w:val="auto"/>
                <w:szCs w:val="21"/>
                <w:highlight w:val="none"/>
              </w:rPr>
            </w:pPr>
          </w:p>
        </w:tc>
        <w:tc>
          <w:tcPr>
            <w:tcW w:w="1237" w:type="dxa"/>
            <w:noWrap w:val="0"/>
            <w:vAlign w:val="top"/>
          </w:tcPr>
          <w:p w14:paraId="79CB5F3D">
            <w:pPr>
              <w:spacing w:line="360" w:lineRule="auto"/>
              <w:rPr>
                <w:rFonts w:hint="eastAsia" w:ascii="宋体" w:hAnsi="宋体" w:eastAsia="宋体" w:cs="宋体"/>
                <w:color w:val="auto"/>
                <w:szCs w:val="21"/>
                <w:highlight w:val="none"/>
              </w:rPr>
            </w:pPr>
          </w:p>
        </w:tc>
      </w:tr>
      <w:tr w14:paraId="6026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top"/>
          </w:tcPr>
          <w:p w14:paraId="418D1957">
            <w:pPr>
              <w:spacing w:line="360" w:lineRule="auto"/>
              <w:rPr>
                <w:rFonts w:hint="eastAsia" w:ascii="宋体" w:hAnsi="宋体" w:eastAsia="宋体" w:cs="宋体"/>
                <w:color w:val="auto"/>
                <w:szCs w:val="21"/>
                <w:highlight w:val="none"/>
              </w:rPr>
            </w:pPr>
          </w:p>
        </w:tc>
        <w:tc>
          <w:tcPr>
            <w:tcW w:w="1185" w:type="dxa"/>
            <w:noWrap w:val="0"/>
            <w:vAlign w:val="top"/>
          </w:tcPr>
          <w:p w14:paraId="73438B9D">
            <w:pPr>
              <w:spacing w:line="360" w:lineRule="auto"/>
              <w:rPr>
                <w:rFonts w:hint="eastAsia" w:ascii="宋体" w:hAnsi="宋体" w:eastAsia="宋体" w:cs="宋体"/>
                <w:color w:val="auto"/>
                <w:szCs w:val="21"/>
                <w:highlight w:val="none"/>
              </w:rPr>
            </w:pPr>
          </w:p>
        </w:tc>
        <w:tc>
          <w:tcPr>
            <w:tcW w:w="1697" w:type="dxa"/>
            <w:noWrap w:val="0"/>
            <w:vAlign w:val="top"/>
          </w:tcPr>
          <w:p w14:paraId="3A00908F">
            <w:pPr>
              <w:spacing w:line="360" w:lineRule="auto"/>
              <w:rPr>
                <w:rFonts w:hint="eastAsia" w:ascii="宋体" w:hAnsi="宋体" w:eastAsia="宋体" w:cs="宋体"/>
                <w:color w:val="auto"/>
                <w:szCs w:val="21"/>
                <w:highlight w:val="none"/>
              </w:rPr>
            </w:pPr>
          </w:p>
        </w:tc>
        <w:tc>
          <w:tcPr>
            <w:tcW w:w="925" w:type="dxa"/>
            <w:noWrap w:val="0"/>
            <w:vAlign w:val="top"/>
          </w:tcPr>
          <w:p w14:paraId="694755FD">
            <w:pPr>
              <w:spacing w:line="360" w:lineRule="auto"/>
              <w:rPr>
                <w:rFonts w:hint="eastAsia" w:ascii="宋体" w:hAnsi="宋体" w:eastAsia="宋体" w:cs="宋体"/>
                <w:color w:val="auto"/>
                <w:szCs w:val="21"/>
                <w:highlight w:val="none"/>
              </w:rPr>
            </w:pPr>
          </w:p>
        </w:tc>
        <w:tc>
          <w:tcPr>
            <w:tcW w:w="875" w:type="dxa"/>
            <w:noWrap w:val="0"/>
            <w:vAlign w:val="top"/>
          </w:tcPr>
          <w:p w14:paraId="412BFF76">
            <w:pPr>
              <w:spacing w:line="360" w:lineRule="auto"/>
              <w:rPr>
                <w:rFonts w:hint="eastAsia" w:ascii="宋体" w:hAnsi="宋体" w:eastAsia="宋体" w:cs="宋体"/>
                <w:color w:val="auto"/>
                <w:szCs w:val="21"/>
                <w:highlight w:val="none"/>
              </w:rPr>
            </w:pPr>
          </w:p>
        </w:tc>
        <w:tc>
          <w:tcPr>
            <w:tcW w:w="1360" w:type="dxa"/>
            <w:noWrap w:val="0"/>
            <w:vAlign w:val="top"/>
          </w:tcPr>
          <w:p w14:paraId="7257D6DB">
            <w:pPr>
              <w:spacing w:line="360" w:lineRule="auto"/>
              <w:rPr>
                <w:rFonts w:hint="eastAsia" w:ascii="宋体" w:hAnsi="宋体" w:eastAsia="宋体" w:cs="宋体"/>
                <w:color w:val="auto"/>
                <w:szCs w:val="21"/>
                <w:highlight w:val="none"/>
              </w:rPr>
            </w:pPr>
          </w:p>
        </w:tc>
        <w:tc>
          <w:tcPr>
            <w:tcW w:w="1181" w:type="dxa"/>
            <w:noWrap w:val="0"/>
            <w:vAlign w:val="top"/>
          </w:tcPr>
          <w:p w14:paraId="5C914EBF">
            <w:pPr>
              <w:spacing w:line="360" w:lineRule="auto"/>
              <w:rPr>
                <w:rFonts w:hint="eastAsia" w:ascii="宋体" w:hAnsi="宋体" w:eastAsia="宋体" w:cs="宋体"/>
                <w:color w:val="auto"/>
                <w:szCs w:val="21"/>
                <w:highlight w:val="none"/>
              </w:rPr>
            </w:pPr>
          </w:p>
        </w:tc>
        <w:tc>
          <w:tcPr>
            <w:tcW w:w="1237" w:type="dxa"/>
            <w:noWrap w:val="0"/>
            <w:vAlign w:val="top"/>
          </w:tcPr>
          <w:p w14:paraId="257CDDA5">
            <w:pPr>
              <w:spacing w:line="360" w:lineRule="auto"/>
              <w:rPr>
                <w:rFonts w:hint="eastAsia" w:ascii="宋体" w:hAnsi="宋体" w:eastAsia="宋体" w:cs="宋体"/>
                <w:color w:val="auto"/>
                <w:szCs w:val="21"/>
                <w:highlight w:val="none"/>
              </w:rPr>
            </w:pPr>
          </w:p>
        </w:tc>
      </w:tr>
      <w:tr w14:paraId="7991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noWrap w:val="0"/>
            <w:vAlign w:val="top"/>
          </w:tcPr>
          <w:p w14:paraId="3ED36FEF">
            <w:pPr>
              <w:spacing w:line="360" w:lineRule="auto"/>
              <w:rPr>
                <w:rFonts w:hint="eastAsia" w:ascii="宋体" w:hAnsi="宋体" w:eastAsia="宋体" w:cs="宋体"/>
                <w:color w:val="auto"/>
                <w:szCs w:val="21"/>
                <w:highlight w:val="none"/>
              </w:rPr>
            </w:pPr>
          </w:p>
        </w:tc>
        <w:tc>
          <w:tcPr>
            <w:tcW w:w="1185" w:type="dxa"/>
            <w:noWrap w:val="0"/>
            <w:vAlign w:val="top"/>
          </w:tcPr>
          <w:p w14:paraId="46E71FF0">
            <w:pPr>
              <w:spacing w:line="360" w:lineRule="auto"/>
              <w:rPr>
                <w:rFonts w:hint="eastAsia" w:ascii="宋体" w:hAnsi="宋体" w:eastAsia="宋体" w:cs="宋体"/>
                <w:color w:val="auto"/>
                <w:szCs w:val="21"/>
                <w:highlight w:val="none"/>
              </w:rPr>
            </w:pPr>
          </w:p>
        </w:tc>
        <w:tc>
          <w:tcPr>
            <w:tcW w:w="1697" w:type="dxa"/>
            <w:noWrap w:val="0"/>
            <w:vAlign w:val="top"/>
          </w:tcPr>
          <w:p w14:paraId="4D8C826B">
            <w:pPr>
              <w:spacing w:line="360" w:lineRule="auto"/>
              <w:rPr>
                <w:rFonts w:hint="eastAsia" w:ascii="宋体" w:hAnsi="宋体" w:eastAsia="宋体" w:cs="宋体"/>
                <w:color w:val="auto"/>
                <w:szCs w:val="21"/>
                <w:highlight w:val="none"/>
              </w:rPr>
            </w:pPr>
          </w:p>
        </w:tc>
        <w:tc>
          <w:tcPr>
            <w:tcW w:w="925" w:type="dxa"/>
            <w:noWrap w:val="0"/>
            <w:vAlign w:val="top"/>
          </w:tcPr>
          <w:p w14:paraId="082A33FE">
            <w:pPr>
              <w:spacing w:line="360" w:lineRule="auto"/>
              <w:rPr>
                <w:rFonts w:hint="eastAsia" w:ascii="宋体" w:hAnsi="宋体" w:eastAsia="宋体" w:cs="宋体"/>
                <w:color w:val="auto"/>
                <w:szCs w:val="21"/>
                <w:highlight w:val="none"/>
              </w:rPr>
            </w:pPr>
          </w:p>
        </w:tc>
        <w:tc>
          <w:tcPr>
            <w:tcW w:w="875" w:type="dxa"/>
            <w:noWrap w:val="0"/>
            <w:vAlign w:val="top"/>
          </w:tcPr>
          <w:p w14:paraId="6A504284">
            <w:pPr>
              <w:spacing w:line="360" w:lineRule="auto"/>
              <w:rPr>
                <w:rFonts w:hint="eastAsia" w:ascii="宋体" w:hAnsi="宋体" w:eastAsia="宋体" w:cs="宋体"/>
                <w:color w:val="auto"/>
                <w:szCs w:val="21"/>
                <w:highlight w:val="none"/>
              </w:rPr>
            </w:pPr>
          </w:p>
        </w:tc>
        <w:tc>
          <w:tcPr>
            <w:tcW w:w="1360" w:type="dxa"/>
            <w:noWrap w:val="0"/>
            <w:vAlign w:val="top"/>
          </w:tcPr>
          <w:p w14:paraId="25C160E2">
            <w:pPr>
              <w:spacing w:line="360" w:lineRule="auto"/>
              <w:rPr>
                <w:rFonts w:hint="eastAsia" w:ascii="宋体" w:hAnsi="宋体" w:eastAsia="宋体" w:cs="宋体"/>
                <w:color w:val="auto"/>
                <w:szCs w:val="21"/>
                <w:highlight w:val="none"/>
              </w:rPr>
            </w:pPr>
          </w:p>
        </w:tc>
        <w:tc>
          <w:tcPr>
            <w:tcW w:w="1181" w:type="dxa"/>
            <w:noWrap w:val="0"/>
            <w:vAlign w:val="top"/>
          </w:tcPr>
          <w:p w14:paraId="09520D4C">
            <w:pPr>
              <w:spacing w:line="360" w:lineRule="auto"/>
              <w:rPr>
                <w:rFonts w:hint="eastAsia" w:ascii="宋体" w:hAnsi="宋体" w:eastAsia="宋体" w:cs="宋体"/>
                <w:color w:val="auto"/>
                <w:szCs w:val="21"/>
                <w:highlight w:val="none"/>
              </w:rPr>
            </w:pPr>
          </w:p>
        </w:tc>
        <w:tc>
          <w:tcPr>
            <w:tcW w:w="1237" w:type="dxa"/>
            <w:noWrap w:val="0"/>
            <w:vAlign w:val="top"/>
          </w:tcPr>
          <w:p w14:paraId="08E42F5F">
            <w:pPr>
              <w:spacing w:line="360" w:lineRule="auto"/>
              <w:rPr>
                <w:rFonts w:hint="eastAsia" w:ascii="宋体" w:hAnsi="宋体" w:eastAsia="宋体" w:cs="宋体"/>
                <w:color w:val="auto"/>
                <w:szCs w:val="21"/>
                <w:highlight w:val="none"/>
              </w:rPr>
            </w:pPr>
          </w:p>
        </w:tc>
      </w:tr>
    </w:tbl>
    <w:p w14:paraId="7B98EDDF">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 xml:space="preserve">  </w:t>
      </w:r>
    </w:p>
    <w:permEnd w:id="145"/>
    <w:p w14:paraId="56FCECD1">
      <w:pPr>
        <w:spacing w:line="360" w:lineRule="auto"/>
        <w:jc w:val="right"/>
        <w:rPr>
          <w:rFonts w:hint="eastAsia"/>
          <w:color w:val="auto"/>
          <w:highlight w:val="none"/>
        </w:rPr>
      </w:pPr>
      <w:r>
        <w:rPr>
          <w:rFonts w:hint="eastAsia" w:ascii="宋体" w:hAnsi="宋体" w:eastAsia="宋体" w:cs="宋体"/>
          <w:b/>
          <w:color w:val="auto"/>
          <w:szCs w:val="21"/>
          <w:highlight w:val="none"/>
        </w:rPr>
        <w:br w:type="page"/>
      </w:r>
      <w:bookmarkStart w:id="459" w:name="_Toc1041121413_WPSOffice_Level2"/>
      <w:bookmarkStart w:id="460" w:name="_Toc96060075_WPSOffice_Level1"/>
      <w:r>
        <w:rPr>
          <w:rFonts w:hint="eastAsia" w:ascii="宋体" w:hAnsi="宋体" w:eastAsia="宋体" w:cs="宋体"/>
          <w:color w:val="auto"/>
          <w:sz w:val="28"/>
          <w:szCs w:val="28"/>
          <w:highlight w:val="none"/>
        </w:rPr>
        <w:t>正本（副本）</w:t>
      </w:r>
      <w:bookmarkEnd w:id="459"/>
      <w:bookmarkEnd w:id="460"/>
    </w:p>
    <w:p w14:paraId="05D4C896">
      <w:pPr>
        <w:spacing w:line="360" w:lineRule="auto"/>
        <w:rPr>
          <w:rFonts w:hint="eastAsia" w:ascii="宋体" w:hAnsi="宋体"/>
          <w:color w:val="auto"/>
          <w:szCs w:val="21"/>
          <w:highlight w:val="none"/>
        </w:rPr>
      </w:pPr>
    </w:p>
    <w:p w14:paraId="698F1F0A">
      <w:pPr>
        <w:spacing w:line="360" w:lineRule="auto"/>
        <w:rPr>
          <w:rFonts w:hint="eastAsia" w:ascii="宋体" w:hAnsi="宋体"/>
          <w:color w:val="auto"/>
          <w:szCs w:val="21"/>
          <w:highlight w:val="none"/>
        </w:rPr>
      </w:pPr>
    </w:p>
    <w:p w14:paraId="6160FA11">
      <w:pPr>
        <w:pStyle w:val="10"/>
        <w:spacing w:line="360" w:lineRule="auto"/>
        <w:jc w:val="center"/>
        <w:rPr>
          <w:rFonts w:hint="eastAsia" w:ascii="宋体" w:hAnsi="宋体" w:eastAsia="宋体"/>
          <w:b/>
          <w:bCs/>
          <w:color w:val="auto"/>
          <w:sz w:val="40"/>
          <w:szCs w:val="40"/>
          <w:highlight w:val="none"/>
          <w:lang w:eastAsia="zh-CN"/>
        </w:rPr>
      </w:pPr>
      <w:r>
        <w:rPr>
          <w:rFonts w:hint="eastAsia" w:ascii="宋体" w:hAnsi="宋体"/>
          <w:b/>
          <w:bCs/>
          <w:color w:val="auto"/>
          <w:sz w:val="40"/>
          <w:szCs w:val="40"/>
          <w:highlight w:val="none"/>
          <w:lang w:eastAsia="zh-CN"/>
        </w:rPr>
        <w:t>项目名称</w:t>
      </w:r>
    </w:p>
    <w:p w14:paraId="4EA3811F">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41E77D8E">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A1491C1">
      <w:pPr>
        <w:tabs>
          <w:tab w:val="left" w:pos="-951"/>
          <w:tab w:val="left" w:pos="4267"/>
          <w:tab w:val="left" w:pos="7925"/>
        </w:tabs>
        <w:adjustRightInd w:val="0"/>
        <w:snapToGrid w:val="0"/>
        <w:spacing w:line="360" w:lineRule="auto"/>
        <w:ind w:right="-6"/>
        <w:jc w:val="center"/>
        <w:rPr>
          <w:rFonts w:hint="eastAsia" w:ascii="宋体" w:hAnsi="宋体"/>
          <w:bCs/>
          <w:color w:val="auto"/>
          <w:sz w:val="84"/>
          <w:szCs w:val="84"/>
          <w:highlight w:val="none"/>
        </w:rPr>
      </w:pPr>
      <w:r>
        <w:rPr>
          <w:rFonts w:hint="eastAsia" w:ascii="宋体" w:hAnsi="宋体"/>
          <w:bCs/>
          <w:color w:val="auto"/>
          <w:sz w:val="84"/>
          <w:szCs w:val="84"/>
          <w:highlight w:val="none"/>
          <w:lang w:val="en-US" w:eastAsia="zh-CN"/>
        </w:rPr>
        <w:t>经济</w:t>
      </w:r>
      <w:r>
        <w:rPr>
          <w:rFonts w:hint="eastAsia" w:ascii="宋体" w:hAnsi="宋体"/>
          <w:bCs/>
          <w:color w:val="auto"/>
          <w:sz w:val="84"/>
          <w:szCs w:val="84"/>
          <w:highlight w:val="none"/>
        </w:rPr>
        <w:t>标函</w:t>
      </w:r>
    </w:p>
    <w:p w14:paraId="3F175858">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62B2ABE">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4EFDA33E">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1E36729">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881D9CE">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rPr>
      </w:pPr>
    </w:p>
    <w:p w14:paraId="4A4077D7">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lang w:eastAsia="zh-CN"/>
        </w:rPr>
        <w:t>（加盖电子印章）</w:t>
      </w:r>
    </w:p>
    <w:p w14:paraId="69698C5C">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14:paraId="7956CCCA">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non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14:paraId="6426DB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6EFA9A4D">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14:paraId="4A33813D">
      <w:pPr>
        <w:spacing w:line="420" w:lineRule="exact"/>
        <w:jc w:val="left"/>
        <w:rPr>
          <w:rFonts w:hint="eastAsia" w:ascii="宋体" w:hAnsi="宋体"/>
          <w:color w:val="auto"/>
          <w:sz w:val="28"/>
          <w:szCs w:val="28"/>
          <w:highlight w:val="none"/>
        </w:rPr>
      </w:pPr>
    </w:p>
    <w:p w14:paraId="730C4766">
      <w:pPr>
        <w:bidi w:val="0"/>
        <w:rPr>
          <w:rFonts w:hint="eastAsia"/>
        </w:rPr>
      </w:pPr>
    </w:p>
    <w:p w14:paraId="4B32D309">
      <w:pPr>
        <w:rPr>
          <w:rFonts w:hint="eastAsia"/>
        </w:rPr>
      </w:pPr>
    </w:p>
    <w:p w14:paraId="4C4385FD">
      <w:pPr>
        <w:spacing w:line="420" w:lineRule="exact"/>
        <w:jc w:val="left"/>
        <w:rPr>
          <w:rFonts w:hint="eastAsia" w:ascii="宋体" w:hAnsi="宋体"/>
          <w:color w:val="auto"/>
          <w:sz w:val="28"/>
          <w:szCs w:val="28"/>
          <w:highlight w:val="none"/>
        </w:rPr>
      </w:pPr>
    </w:p>
    <w:p w14:paraId="2E837014">
      <w:pPr>
        <w:spacing w:line="420" w:lineRule="exact"/>
        <w:jc w:val="left"/>
        <w:rPr>
          <w:rFonts w:hint="eastAsia" w:ascii="宋体" w:hAnsi="宋体"/>
          <w:color w:val="auto"/>
          <w:sz w:val="21"/>
          <w:szCs w:val="21"/>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、“正本”或“副本”字样</w:t>
      </w:r>
      <w:r>
        <w:rPr>
          <w:rFonts w:hint="eastAsia" w:ascii="宋体" w:hAnsi="宋体" w:eastAsia="宋体" w:cs="宋体"/>
          <w:color w:val="auto"/>
          <w:sz w:val="21"/>
          <w:szCs w:val="21"/>
          <w:highlight w:val="none"/>
        </w:rPr>
        <w:t>（电子标书免</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eastAsia="zh-CN"/>
        </w:rPr>
        <w:t>经济标</w:t>
      </w:r>
      <w:r>
        <w:rPr>
          <w:rFonts w:hint="eastAsia" w:ascii="宋体" w:hAnsi="宋体"/>
          <w:color w:val="auto"/>
          <w:sz w:val="21"/>
          <w:szCs w:val="21"/>
          <w:highlight w:val="none"/>
        </w:rPr>
        <w:t>”或“</w:t>
      </w:r>
      <w:r>
        <w:rPr>
          <w:rFonts w:hint="eastAsia" w:ascii="宋体" w:hAnsi="宋体"/>
          <w:color w:val="auto"/>
          <w:sz w:val="21"/>
          <w:szCs w:val="21"/>
          <w:highlight w:val="none"/>
          <w:lang w:val="en-US" w:eastAsia="zh-CN"/>
        </w:rPr>
        <w:t>经济</w:t>
      </w:r>
      <w:r>
        <w:rPr>
          <w:rFonts w:hint="eastAsia" w:ascii="宋体" w:hAnsi="宋体"/>
          <w:color w:val="auto"/>
          <w:sz w:val="21"/>
          <w:szCs w:val="21"/>
          <w:highlight w:val="none"/>
        </w:rPr>
        <w:t>标函”字样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6F2A0932">
      <w:pPr>
        <w:spacing w:line="420" w:lineRule="exact"/>
        <w:jc w:val="center"/>
        <w:rPr>
          <w:rFonts w:hAnsi="宋体"/>
          <w:b/>
          <w:color w:val="auto"/>
          <w:sz w:val="28"/>
          <w:szCs w:val="28"/>
          <w:highlight w:val="none"/>
        </w:rPr>
      </w:pPr>
      <w:r>
        <w:rPr>
          <w:rFonts w:hint="eastAsia" w:ascii="宋体" w:hAnsi="宋体"/>
          <w:color w:val="auto"/>
          <w:sz w:val="21"/>
          <w:szCs w:val="21"/>
          <w:highlight w:val="none"/>
        </w:rPr>
        <w:br w:type="page"/>
      </w:r>
      <w:r>
        <w:rPr>
          <w:rFonts w:hint="eastAsia" w:hAnsi="宋体"/>
          <w:b/>
          <w:color w:val="auto"/>
          <w:sz w:val="28"/>
          <w:szCs w:val="28"/>
          <w:highlight w:val="none"/>
          <w:lang w:val="en-US" w:eastAsia="zh-CN"/>
        </w:rPr>
        <w:t>投标</w:t>
      </w:r>
      <w:r>
        <w:rPr>
          <w:rFonts w:hint="eastAsia" w:hAnsi="宋体"/>
          <w:b/>
          <w:color w:val="auto"/>
          <w:sz w:val="28"/>
          <w:szCs w:val="28"/>
          <w:highlight w:val="none"/>
        </w:rPr>
        <w:t>报价单</w:t>
      </w:r>
    </w:p>
    <w:p w14:paraId="28F912FE">
      <w:pPr>
        <w:pStyle w:val="14"/>
        <w:spacing w:line="360" w:lineRule="auto"/>
        <w:ind w:firstLine="420" w:firstLineChars="200"/>
        <w:rPr>
          <w:rFonts w:hAnsi="宋体"/>
          <w:color w:val="auto"/>
          <w:szCs w:val="21"/>
          <w:highlight w:val="none"/>
        </w:rPr>
      </w:pPr>
    </w:p>
    <w:p w14:paraId="5AE08746">
      <w:pPr>
        <w:ind w:firstLine="420" w:firstLineChars="200"/>
      </w:pPr>
      <w:r>
        <w:rPr>
          <w:rFonts w:hint="eastAsia"/>
        </w:rPr>
        <w:t>根据已收到的</w:t>
      </w:r>
      <w:r>
        <w:rPr>
          <w:rFonts w:hint="eastAsia"/>
          <w:u w:val="single"/>
        </w:rPr>
        <w:t xml:space="preserve">        （项目名称）</w:t>
      </w:r>
      <w:r>
        <w:rPr>
          <w:rFonts w:hint="eastAsia"/>
          <w:u w:val="single"/>
          <w:lang w:val="en-US" w:eastAsia="zh-CN"/>
        </w:rPr>
        <w:t xml:space="preserve">     </w:t>
      </w:r>
      <w:r>
        <w:rPr>
          <w:rFonts w:hint="eastAsia"/>
        </w:rPr>
        <w:t>招标文件，我单位经考察现场和研究本项目招标文件、合同条款、答疑纪要、补充通知和其他有关文件后，愿以下述</w:t>
      </w:r>
      <w:r>
        <w:rPr>
          <w:rFonts w:hint="eastAsia"/>
          <w:lang w:val="en-US" w:eastAsia="zh-CN"/>
        </w:rPr>
        <w:t>取费</w:t>
      </w:r>
      <w:r>
        <w:rPr>
          <w:rFonts w:hint="eastAsia"/>
        </w:rPr>
        <w:t>承包本项目的</w:t>
      </w:r>
      <w:r>
        <w:rPr>
          <w:rFonts w:hint="eastAsia"/>
          <w:lang w:eastAsia="zh-CN"/>
        </w:rPr>
        <w:t>勘察设计</w:t>
      </w:r>
      <w:r>
        <w:rPr>
          <w:rFonts w:hint="eastAsia"/>
        </w:rPr>
        <w:t>任务。</w:t>
      </w:r>
    </w:p>
    <w:p w14:paraId="3387390A">
      <w:pPr>
        <w:spacing w:line="360" w:lineRule="auto"/>
        <w:jc w:val="center"/>
        <w:rPr>
          <w:rFonts w:hint="eastAsia"/>
          <w:b/>
          <w:bCs/>
          <w:color w:val="auto"/>
          <w:sz w:val="28"/>
          <w:szCs w:val="28"/>
          <w:highlight w:val="none"/>
        </w:rPr>
      </w:pPr>
      <w:permStart w:id="146" w:edGrp="everyone"/>
      <w:r>
        <w:rPr>
          <w:rFonts w:hint="eastAsia"/>
          <w:b w:val="0"/>
          <w:bCs w:val="0"/>
          <w:color w:val="auto"/>
          <w:sz w:val="28"/>
          <w:szCs w:val="28"/>
          <w:highlight w:val="none"/>
        </w:rPr>
        <w:t>报价单清单明细表</w:t>
      </w:r>
    </w:p>
    <w:tbl>
      <w:tblPr>
        <w:tblStyle w:val="26"/>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958"/>
        <w:gridCol w:w="4455"/>
        <w:gridCol w:w="1944"/>
      </w:tblGrid>
      <w:tr w14:paraId="08CF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544754B">
            <w:pPr>
              <w:snapToGrid w:val="0"/>
              <w:spacing w:line="360" w:lineRule="auto"/>
              <w:rPr>
                <w:rFonts w:hint="eastAsia" w:ascii="宋体"/>
                <w:color w:val="auto"/>
                <w:szCs w:val="21"/>
                <w:highlight w:val="none"/>
                <w:u w:val="none"/>
              </w:rPr>
            </w:pPr>
            <w:r>
              <w:rPr>
                <w:rFonts w:hint="eastAsia" w:ascii="宋体"/>
                <w:color w:val="auto"/>
                <w:szCs w:val="21"/>
                <w:highlight w:val="none"/>
                <w:u w:val="none"/>
              </w:rPr>
              <w:t>序号</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01A56620">
            <w:pPr>
              <w:snapToGrid w:val="0"/>
              <w:spacing w:line="360" w:lineRule="auto"/>
              <w:jc w:val="center"/>
              <w:rPr>
                <w:rFonts w:hint="eastAsia" w:ascii="宋体"/>
                <w:color w:val="auto"/>
                <w:szCs w:val="21"/>
                <w:highlight w:val="none"/>
                <w:u w:val="none"/>
              </w:rPr>
            </w:pPr>
            <w:r>
              <w:rPr>
                <w:rFonts w:hint="eastAsia" w:ascii="宋体"/>
                <w:color w:val="auto"/>
                <w:szCs w:val="21"/>
                <w:highlight w:val="none"/>
                <w:u w:val="none"/>
                <w:lang w:val="en-US" w:eastAsia="zh-CN"/>
              </w:rPr>
              <w:t>分项报价</w:t>
            </w:r>
            <w:r>
              <w:rPr>
                <w:rFonts w:hint="eastAsia" w:ascii="宋体"/>
                <w:color w:val="auto"/>
                <w:szCs w:val="21"/>
                <w:highlight w:val="none"/>
                <w:u w:val="none"/>
              </w:rPr>
              <w:t>内容</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47F6106E">
            <w:pPr>
              <w:snapToGrid w:val="0"/>
              <w:spacing w:line="360" w:lineRule="auto"/>
              <w:jc w:val="center"/>
              <w:rPr>
                <w:rFonts w:hint="eastAsia" w:ascii="宋体"/>
                <w:color w:val="auto"/>
                <w:szCs w:val="21"/>
                <w:highlight w:val="none"/>
                <w:u w:val="none"/>
                <w:lang w:val="en-US" w:eastAsia="zh-CN"/>
              </w:rPr>
            </w:pPr>
            <w:r>
              <w:rPr>
                <w:rFonts w:hint="eastAsia" w:ascii="宋体"/>
                <w:color w:val="auto"/>
                <w:szCs w:val="21"/>
                <w:highlight w:val="none"/>
                <w:u w:val="none"/>
                <w:lang w:val="en-US" w:eastAsia="zh-CN"/>
              </w:rPr>
              <w:t>分项报价（元）</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1199B8D">
            <w:pPr>
              <w:snapToGrid w:val="0"/>
              <w:spacing w:line="360" w:lineRule="auto"/>
              <w:jc w:val="center"/>
              <w:rPr>
                <w:rFonts w:hint="eastAsia" w:ascii="宋体"/>
                <w:color w:val="auto"/>
                <w:szCs w:val="21"/>
                <w:highlight w:val="none"/>
                <w:u w:val="none"/>
                <w:lang w:val="en-US" w:eastAsia="zh-CN"/>
              </w:rPr>
            </w:pPr>
            <w:r>
              <w:rPr>
                <w:rFonts w:hint="eastAsia" w:ascii="宋体"/>
                <w:color w:val="auto"/>
                <w:szCs w:val="21"/>
                <w:highlight w:val="none"/>
                <w:u w:val="none"/>
                <w:lang w:val="en-US" w:eastAsia="zh-CN"/>
              </w:rPr>
              <w:t>备注</w:t>
            </w:r>
          </w:p>
        </w:tc>
      </w:tr>
      <w:tr w14:paraId="5955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5BF4424E">
            <w:pPr>
              <w:snapToGrid w:val="0"/>
              <w:spacing w:line="360" w:lineRule="auto"/>
              <w:jc w:val="center"/>
              <w:rPr>
                <w:rFonts w:hint="eastAsia" w:ascii="宋体"/>
                <w:color w:val="auto"/>
                <w:szCs w:val="21"/>
                <w:highlight w:val="none"/>
                <w:u w:val="none"/>
              </w:rPr>
            </w:pPr>
            <w:r>
              <w:rPr>
                <w:rFonts w:hint="eastAsia" w:ascii="宋体"/>
                <w:color w:val="auto"/>
                <w:szCs w:val="21"/>
                <w:highlight w:val="none"/>
                <w:u w:val="none"/>
              </w:rPr>
              <w:t>1</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2B83F538">
            <w:pPr>
              <w:snapToGrid w:val="0"/>
              <w:spacing w:line="360" w:lineRule="auto"/>
              <w:jc w:val="center"/>
              <w:rPr>
                <w:rFonts w:hint="default" w:ascii="宋体" w:eastAsia="宋体"/>
                <w:color w:val="auto"/>
                <w:szCs w:val="21"/>
                <w:highlight w:val="none"/>
                <w:u w:val="none"/>
                <w:lang w:val="en-US" w:eastAsia="zh-CN"/>
              </w:rPr>
            </w:pPr>
            <w:r>
              <w:rPr>
                <w:rFonts w:hint="eastAsia" w:ascii="宋体"/>
                <w:color w:val="auto"/>
                <w:szCs w:val="21"/>
                <w:highlight w:val="none"/>
                <w:u w:val="none"/>
                <w:lang w:val="en-US" w:eastAsia="zh-CN"/>
              </w:rPr>
              <w:t>勘察费</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39FF1613">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14:paraId="017F4D25">
            <w:pPr>
              <w:snapToGrid w:val="0"/>
              <w:spacing w:line="360" w:lineRule="auto"/>
              <w:rPr>
                <w:rFonts w:hint="default" w:ascii="宋体" w:eastAsia="宋体"/>
                <w:color w:val="auto"/>
                <w:szCs w:val="21"/>
                <w:highlight w:val="none"/>
                <w:u w:val="none"/>
                <w:lang w:val="en-US" w:eastAsia="zh-CN"/>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0A3983AF">
            <w:pPr>
              <w:snapToGrid w:val="0"/>
              <w:spacing w:line="360" w:lineRule="auto"/>
              <w:rPr>
                <w:rFonts w:hint="default" w:ascii="宋体" w:eastAsia="宋体" w:cs="宋体"/>
                <w:color w:val="auto"/>
                <w:highlight w:val="none"/>
                <w:lang w:val="en-US" w:eastAsia="zh-CN" w:bidi="ar"/>
              </w:rPr>
            </w:pPr>
          </w:p>
        </w:tc>
      </w:tr>
      <w:tr w14:paraId="14E7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6BCC697">
            <w:pPr>
              <w:snapToGrid w:val="0"/>
              <w:spacing w:line="360" w:lineRule="auto"/>
              <w:jc w:val="center"/>
              <w:rPr>
                <w:rFonts w:hint="eastAsia" w:ascii="宋体"/>
                <w:color w:val="auto"/>
                <w:kern w:val="2"/>
                <w:sz w:val="21"/>
                <w:szCs w:val="21"/>
                <w:highlight w:val="none"/>
                <w:u w:val="none"/>
                <w:lang w:val="en-US" w:eastAsia="zh-CN" w:bidi="ar-SA"/>
              </w:rPr>
            </w:pPr>
            <w:r>
              <w:rPr>
                <w:rFonts w:hint="eastAsia" w:ascii="宋体"/>
                <w:color w:val="auto"/>
                <w:szCs w:val="21"/>
                <w:highlight w:val="none"/>
                <w:u w:val="none"/>
              </w:rPr>
              <w:t>2</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68A86E62">
            <w:pPr>
              <w:snapToGrid w:val="0"/>
              <w:spacing w:line="360" w:lineRule="auto"/>
              <w:jc w:val="center"/>
              <w:rPr>
                <w:rFonts w:hint="eastAsia" w:ascii="宋体" w:eastAsia="宋体"/>
                <w:color w:val="auto"/>
                <w:kern w:val="2"/>
                <w:sz w:val="21"/>
                <w:szCs w:val="21"/>
                <w:highlight w:val="none"/>
                <w:u w:val="none"/>
                <w:lang w:val="en-US" w:eastAsia="zh-CN" w:bidi="ar-SA"/>
              </w:rPr>
            </w:pPr>
            <w:r>
              <w:rPr>
                <w:rFonts w:hint="eastAsia" w:ascii="宋体"/>
                <w:color w:val="auto"/>
                <w:szCs w:val="21"/>
                <w:highlight w:val="none"/>
                <w:u w:val="none"/>
                <w:lang w:val="en-US" w:eastAsia="zh-CN"/>
              </w:rPr>
              <w:t>设计费</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87AE4A9">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14:paraId="60A3C44F">
            <w:pPr>
              <w:snapToGrid w:val="0"/>
              <w:spacing w:line="360" w:lineRule="auto"/>
              <w:rPr>
                <w:rFonts w:hint="eastAsia" w:ascii="宋体" w:eastAsia="宋体"/>
                <w:color w:val="auto"/>
                <w:kern w:val="2"/>
                <w:sz w:val="21"/>
                <w:szCs w:val="21"/>
                <w:highlight w:val="none"/>
                <w:u w:val="none"/>
                <w:lang w:val="en-US" w:eastAsia="zh-CN" w:bidi="ar-SA"/>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E8CCD44">
            <w:pPr>
              <w:snapToGrid w:val="0"/>
              <w:spacing w:line="360" w:lineRule="auto"/>
              <w:rPr>
                <w:rFonts w:hint="eastAsia" w:ascii="宋体" w:cs="宋体"/>
                <w:color w:val="auto"/>
                <w:highlight w:val="none"/>
                <w:lang w:bidi="ar"/>
              </w:rPr>
            </w:pPr>
          </w:p>
        </w:tc>
      </w:tr>
      <w:tr w14:paraId="75CC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618" w:type="dxa"/>
            <w:gridSpan w:val="2"/>
            <w:tcBorders>
              <w:top w:val="single" w:color="auto" w:sz="4" w:space="0"/>
              <w:left w:val="single" w:color="auto" w:sz="4" w:space="0"/>
              <w:bottom w:val="single" w:color="auto" w:sz="4" w:space="0"/>
              <w:right w:val="single" w:color="auto" w:sz="4" w:space="0"/>
            </w:tcBorders>
            <w:noWrap w:val="0"/>
            <w:vAlign w:val="center"/>
          </w:tcPr>
          <w:p w14:paraId="479B8D04">
            <w:pPr>
              <w:snapToGrid w:val="0"/>
              <w:spacing w:line="360" w:lineRule="auto"/>
              <w:jc w:val="center"/>
              <w:rPr>
                <w:rFonts w:hint="eastAsia"/>
                <w:color w:val="auto"/>
                <w:highlight w:val="none"/>
                <w:lang w:val="en-US" w:eastAsia="zh-CN"/>
              </w:rPr>
            </w:pPr>
            <w:r>
              <w:rPr>
                <w:rFonts w:hint="eastAsia"/>
                <w:color w:val="auto"/>
                <w:highlight w:val="none"/>
                <w:lang w:val="en-US" w:eastAsia="zh-CN"/>
              </w:rPr>
              <w:t>投标总报价</w:t>
            </w:r>
          </w:p>
          <w:p w14:paraId="18392735">
            <w:pPr>
              <w:snapToGrid w:val="0"/>
              <w:spacing w:line="360" w:lineRule="auto"/>
              <w:jc w:val="center"/>
              <w:rPr>
                <w:rFonts w:hint="eastAsia" w:ascii="宋体"/>
                <w:color w:val="auto"/>
                <w:szCs w:val="21"/>
                <w:highlight w:val="none"/>
                <w:u w:val="none"/>
                <w:lang w:val="en-US" w:eastAsia="zh-CN"/>
              </w:rPr>
            </w:pPr>
            <w:r>
              <w:rPr>
                <w:rFonts w:hint="eastAsia" w:ascii="宋体" w:cs="Times New Roman"/>
                <w:b w:val="0"/>
                <w:bCs w:val="0"/>
                <w:color w:val="auto"/>
                <w:kern w:val="2"/>
                <w:sz w:val="21"/>
                <w:szCs w:val="21"/>
                <w:highlight w:val="none"/>
                <w:u w:val="none"/>
                <w:lang w:val="en-US" w:eastAsia="zh-CN" w:bidi="ar-SA"/>
              </w:rPr>
              <w:t>（</w:t>
            </w:r>
            <w:r>
              <w:rPr>
                <w:rFonts w:hint="eastAsia" w:ascii="宋体" w:hAnsi="Times New Roman" w:eastAsia="宋体" w:cs="Times New Roman"/>
                <w:b w:val="0"/>
                <w:bCs w:val="0"/>
                <w:color w:val="auto"/>
                <w:kern w:val="2"/>
                <w:sz w:val="21"/>
                <w:szCs w:val="21"/>
                <w:highlight w:val="none"/>
                <w:u w:val="none"/>
                <w:lang w:val="en-US" w:eastAsia="zh-CN" w:bidi="ar-SA"/>
              </w:rPr>
              <w:t>1+2</w:t>
            </w:r>
            <w:r>
              <w:rPr>
                <w:rFonts w:hint="eastAsia" w:ascii="宋体" w:cs="Times New Roman"/>
                <w:b w:val="0"/>
                <w:bCs w:val="0"/>
                <w:color w:val="auto"/>
                <w:kern w:val="2"/>
                <w:sz w:val="21"/>
                <w:szCs w:val="21"/>
                <w:highlight w:val="none"/>
                <w:u w:val="none"/>
                <w:lang w:val="en-US" w:eastAsia="zh-CN" w:bidi="ar-SA"/>
              </w:rPr>
              <w:t>）</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A62DBB7">
            <w:pPr>
              <w:rPr>
                <w:color w:val="auto"/>
                <w:highlight w:val="none"/>
              </w:rPr>
            </w:pPr>
            <w:r>
              <w:rPr>
                <w:rFonts w:hint="eastAsia" w:ascii="宋体" w:cs="宋体"/>
                <w:color w:val="auto"/>
                <w:highlight w:val="none"/>
                <w:lang w:bidi="ar"/>
              </w:rPr>
              <w:t>小写：</w:t>
            </w:r>
            <w:r>
              <w:rPr>
                <w:rFonts w:ascii="宋体" w:cs="宋体"/>
                <w:color w:val="auto"/>
                <w:highlight w:val="none"/>
                <w:u w:val="single"/>
                <w:lang w:bidi="ar"/>
              </w:rPr>
              <w:t xml:space="preserve">                  </w:t>
            </w:r>
          </w:p>
          <w:p w14:paraId="23497371">
            <w:pPr>
              <w:snapToGrid w:val="0"/>
              <w:spacing w:line="360" w:lineRule="auto"/>
              <w:rPr>
                <w:rFonts w:hint="eastAsia" w:ascii="宋体" w:cs="宋体"/>
                <w:color w:val="auto"/>
                <w:highlight w:val="none"/>
                <w:lang w:bidi="ar"/>
              </w:rPr>
            </w:pPr>
            <w:r>
              <w:rPr>
                <w:rFonts w:hint="eastAsia" w:ascii="宋体" w:cs="宋体"/>
                <w:color w:val="auto"/>
                <w:highlight w:val="none"/>
                <w:lang w:bidi="ar"/>
              </w:rPr>
              <w:t>大写：</w:t>
            </w:r>
            <w:r>
              <w:rPr>
                <w:rFonts w:ascii="宋体" w:cs="宋体"/>
                <w:color w:val="auto"/>
                <w:highlight w:val="none"/>
                <w:u w:val="single"/>
                <w:lang w:bidi="ar"/>
              </w:rPr>
              <w:t xml:space="preserve">                  </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B65FE9B">
            <w:pPr>
              <w:snapToGrid w:val="0"/>
              <w:spacing w:line="360" w:lineRule="auto"/>
              <w:rPr>
                <w:rFonts w:hint="eastAsia" w:ascii="宋体" w:cs="宋体"/>
                <w:color w:val="auto"/>
                <w:highlight w:val="none"/>
                <w:lang w:bidi="ar"/>
              </w:rPr>
            </w:pPr>
          </w:p>
        </w:tc>
      </w:tr>
    </w:tbl>
    <w:p w14:paraId="4F7FD9F6">
      <w:pPr>
        <w:snapToGrid w:val="0"/>
        <w:spacing w:line="360" w:lineRule="auto"/>
        <w:ind w:firstLine="420" w:firstLineChars="200"/>
        <w:rPr>
          <w:rFonts w:hint="eastAsia" w:ascii="宋体" w:cs="Arial Unicode MS"/>
          <w:color w:val="auto"/>
          <w:szCs w:val="21"/>
          <w:highlight w:val="none"/>
        </w:rPr>
      </w:pPr>
    </w:p>
    <w:p w14:paraId="07F7EBCE">
      <w:pPr>
        <w:spacing w:line="360" w:lineRule="auto"/>
        <w:rPr>
          <w:rFonts w:hint="eastAsia" w:ascii="宋体" w:hAnsi="宋体"/>
          <w:color w:val="auto"/>
          <w:sz w:val="21"/>
          <w:szCs w:val="21"/>
          <w:highlight w:val="none"/>
        </w:rPr>
      </w:pPr>
      <w:r>
        <w:rPr>
          <w:rFonts w:hint="eastAsia" w:ascii="宋体" w:hAnsi="宋体"/>
          <w:color w:val="auto"/>
          <w:sz w:val="21"/>
          <w:szCs w:val="21"/>
          <w:highlight w:val="none"/>
          <w:lang w:eastAsia="zh-CN"/>
        </w:rPr>
        <w:t>注：</w:t>
      </w:r>
      <w:r>
        <w:rPr>
          <w:rFonts w:hint="eastAsia" w:ascii="宋体" w:hAnsi="宋体"/>
          <w:color w:val="auto"/>
          <w:sz w:val="21"/>
          <w:szCs w:val="21"/>
          <w:highlight w:val="none"/>
          <w:lang w:val="en-US" w:eastAsia="zh-CN"/>
        </w:rPr>
        <w:t xml:space="preserve">1. </w:t>
      </w:r>
      <w:r>
        <w:rPr>
          <w:rFonts w:hint="eastAsia" w:ascii="宋体" w:hAnsi="宋体"/>
          <w:color w:val="auto"/>
          <w:sz w:val="21"/>
          <w:szCs w:val="21"/>
          <w:highlight w:val="none"/>
        </w:rPr>
        <w:t>如果以上内容无法满足投标单位对报价的描述，可自行添加包含在价格因素</w:t>
      </w:r>
      <w:r>
        <w:rPr>
          <w:rFonts w:hint="eastAsia" w:ascii="宋体" w:hAnsi="宋体"/>
          <w:color w:val="auto"/>
          <w:sz w:val="21"/>
          <w:szCs w:val="21"/>
          <w:highlight w:val="none"/>
          <w:lang w:eastAsia="zh-CN"/>
        </w:rPr>
        <w:t>在</w:t>
      </w:r>
      <w:r>
        <w:rPr>
          <w:rFonts w:hint="eastAsia" w:ascii="宋体" w:hAnsi="宋体"/>
          <w:color w:val="auto"/>
          <w:sz w:val="21"/>
          <w:szCs w:val="21"/>
          <w:highlight w:val="none"/>
        </w:rPr>
        <w:t>内的一切内容。</w:t>
      </w:r>
    </w:p>
    <w:p w14:paraId="128522A7">
      <w:pPr>
        <w:numPr>
          <w:ilvl w:val="0"/>
          <w:numId w:val="0"/>
        </w:numPr>
        <w:snapToGrid w:val="0"/>
        <w:spacing w:line="360" w:lineRule="auto"/>
        <w:ind w:left="0" w:leftChars="0" w:firstLine="420" w:firstLineChars="200"/>
        <w:rPr>
          <w:rFonts w:hint="eastAsia" w:ascii="宋体"/>
          <w:color w:val="auto"/>
          <w:szCs w:val="21"/>
          <w:highlight w:val="none"/>
        </w:rPr>
      </w:pPr>
      <w:r>
        <w:rPr>
          <w:rFonts w:hint="eastAsia" w:ascii="宋体" w:hAnsi="宋体" w:eastAsia="宋体" w:cs="Arial Unicode MS"/>
          <w:color w:val="auto"/>
          <w:szCs w:val="21"/>
          <w:highlight w:val="none"/>
          <w:lang w:val="en-US" w:eastAsia="zh-CN"/>
        </w:rPr>
        <w:t xml:space="preserve">2. </w:t>
      </w:r>
      <w:r>
        <w:rPr>
          <w:rFonts w:hint="eastAsia" w:ascii="宋体" w:hAnsi="宋体" w:eastAsia="宋体" w:cs="Arial Unicode MS"/>
          <w:color w:val="auto"/>
          <w:szCs w:val="21"/>
          <w:highlight w:val="none"/>
        </w:rPr>
        <w:t>投标报价以元为单位，保留两位小数，计至分。</w:t>
      </w:r>
    </w:p>
    <w:permEnd w:id="146"/>
    <w:p w14:paraId="37379CB8">
      <w:pPr>
        <w:spacing w:line="360" w:lineRule="auto"/>
        <w:ind w:firstLine="3150" w:firstLineChars="1500"/>
        <w:rPr>
          <w:rFonts w:hint="eastAsia" w:ascii="宋体" w:hAnsi="宋体"/>
          <w:color w:val="auto"/>
          <w:sz w:val="21"/>
          <w:szCs w:val="21"/>
          <w:highlight w:val="none"/>
        </w:rPr>
      </w:pPr>
    </w:p>
    <w:p w14:paraId="69376EB3">
      <w:pPr>
        <w:spacing w:line="360" w:lineRule="auto"/>
        <w:ind w:firstLine="3150" w:firstLineChars="1500"/>
        <w:rPr>
          <w:rFonts w:hint="eastAsia" w:ascii="宋体" w:hAnsi="宋体"/>
          <w:color w:val="auto"/>
          <w:sz w:val="21"/>
          <w:szCs w:val="21"/>
          <w:highlight w:val="none"/>
        </w:rPr>
      </w:pPr>
      <w:r>
        <w:rPr>
          <w:rFonts w:hint="eastAsia" w:ascii="宋体" w:hAnsi="宋体"/>
          <w:color w:val="auto"/>
          <w:sz w:val="21"/>
          <w:szCs w:val="21"/>
          <w:highlight w:val="none"/>
        </w:rPr>
        <w:t>投标单位（</w:t>
      </w:r>
      <w:r>
        <w:rPr>
          <w:rFonts w:hint="eastAsia" w:ascii="宋体" w:hAnsi="宋体"/>
          <w:color w:val="auto"/>
          <w:sz w:val="21"/>
          <w:szCs w:val="21"/>
          <w:highlight w:val="none"/>
          <w:lang w:eastAsia="zh-CN"/>
        </w:rPr>
        <w:t>加盖电子印章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14:paraId="08F7DB3D">
      <w:pPr>
        <w:spacing w:line="360" w:lineRule="auto"/>
        <w:ind w:firstLine="3150" w:firstLineChars="1500"/>
        <w:rPr>
          <w:rFonts w:hint="eastAsia"/>
          <w:color w:val="auto"/>
          <w:highlight w:val="none"/>
        </w:rPr>
      </w:pPr>
      <w:r>
        <w:rPr>
          <w:rFonts w:hint="eastAsia" w:ascii="宋体" w:hAnsi="宋体"/>
          <w:color w:val="auto"/>
          <w:sz w:val="21"/>
          <w:szCs w:val="21"/>
          <w:highlight w:val="none"/>
        </w:rPr>
        <w:t>法定代表人或代理人（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14:paraId="0711CD07">
      <w:pPr>
        <w:spacing w:line="360" w:lineRule="auto"/>
        <w:ind w:firstLine="5880" w:firstLineChars="2800"/>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17B9A34">
      <w:pPr>
        <w:spacing w:line="360" w:lineRule="auto"/>
        <w:jc w:val="right"/>
        <w:rPr>
          <w:rFonts w:hint="eastAsia" w:ascii="宋体" w:hAnsi="宋体"/>
          <w:color w:val="auto"/>
          <w:sz w:val="28"/>
          <w:szCs w:val="28"/>
          <w:highlight w:val="none"/>
        </w:rPr>
      </w:pPr>
      <w:r>
        <w:rPr>
          <w:rFonts w:hint="eastAsia" w:ascii="宋体" w:hAnsi="宋体"/>
          <w:color w:val="auto"/>
          <w:sz w:val="28"/>
          <w:szCs w:val="28"/>
          <w:highlight w:val="none"/>
        </w:rPr>
        <w:br w:type="page"/>
      </w:r>
      <w:bookmarkStart w:id="461" w:name="_Toc418064095"/>
      <w:bookmarkStart w:id="462" w:name="_Toc421878273"/>
      <w:r>
        <w:rPr>
          <w:rFonts w:hint="eastAsia" w:ascii="宋体" w:hAnsi="宋体"/>
          <w:color w:val="auto"/>
          <w:sz w:val="28"/>
          <w:szCs w:val="28"/>
          <w:highlight w:val="none"/>
        </w:rPr>
        <w:t>正本（副本）</w:t>
      </w:r>
    </w:p>
    <w:p w14:paraId="11B18CF1">
      <w:pPr>
        <w:spacing w:line="360" w:lineRule="auto"/>
        <w:rPr>
          <w:rFonts w:hint="eastAsia" w:ascii="宋体" w:hAnsi="宋体"/>
          <w:color w:val="auto"/>
          <w:szCs w:val="21"/>
          <w:highlight w:val="none"/>
        </w:rPr>
      </w:pPr>
    </w:p>
    <w:p w14:paraId="7A3EB395">
      <w:pPr>
        <w:spacing w:line="360" w:lineRule="auto"/>
        <w:rPr>
          <w:rFonts w:hint="eastAsia" w:ascii="宋体" w:hAnsi="宋体"/>
          <w:color w:val="auto"/>
          <w:szCs w:val="21"/>
          <w:highlight w:val="none"/>
        </w:rPr>
      </w:pPr>
    </w:p>
    <w:p w14:paraId="06A94D4C">
      <w:pPr>
        <w:pStyle w:val="10"/>
        <w:spacing w:line="360" w:lineRule="auto"/>
        <w:jc w:val="center"/>
        <w:rPr>
          <w:rFonts w:hint="eastAsia" w:ascii="宋体" w:hAnsi="宋体" w:eastAsia="宋体"/>
          <w:b/>
          <w:bCs/>
          <w:color w:val="auto"/>
          <w:sz w:val="40"/>
          <w:szCs w:val="40"/>
          <w:highlight w:val="none"/>
          <w:lang w:eastAsia="zh-CN"/>
        </w:rPr>
      </w:pPr>
      <w:r>
        <w:rPr>
          <w:rFonts w:hint="eastAsia" w:ascii="宋体" w:hAnsi="宋体"/>
          <w:b/>
          <w:bCs/>
          <w:color w:val="auto"/>
          <w:sz w:val="40"/>
          <w:szCs w:val="40"/>
          <w:highlight w:val="none"/>
          <w:lang w:eastAsia="zh-CN"/>
        </w:rPr>
        <w:t>项目名称</w:t>
      </w:r>
    </w:p>
    <w:p w14:paraId="3D8B4FFD">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3D86D6F9">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43BE2FB">
      <w:pPr>
        <w:tabs>
          <w:tab w:val="left" w:pos="-951"/>
          <w:tab w:val="left" w:pos="4267"/>
          <w:tab w:val="left" w:pos="7925"/>
        </w:tabs>
        <w:adjustRightInd w:val="0"/>
        <w:snapToGrid w:val="0"/>
        <w:spacing w:line="360" w:lineRule="auto"/>
        <w:ind w:right="-6"/>
        <w:jc w:val="center"/>
        <w:rPr>
          <w:rFonts w:hint="eastAsia" w:ascii="宋体" w:hAnsi="宋体"/>
          <w:bCs/>
          <w:color w:val="auto"/>
          <w:sz w:val="84"/>
          <w:szCs w:val="84"/>
          <w:highlight w:val="none"/>
        </w:rPr>
      </w:pPr>
      <w:r>
        <w:rPr>
          <w:rFonts w:hint="eastAsia" w:ascii="宋体" w:hAnsi="宋体"/>
          <w:bCs/>
          <w:color w:val="auto"/>
          <w:sz w:val="84"/>
          <w:szCs w:val="84"/>
          <w:highlight w:val="none"/>
          <w:lang w:val="en-US" w:eastAsia="zh-CN"/>
        </w:rPr>
        <w:t>资信</w:t>
      </w:r>
      <w:r>
        <w:rPr>
          <w:rFonts w:hint="eastAsia" w:ascii="宋体" w:hAnsi="宋体"/>
          <w:bCs/>
          <w:color w:val="auto"/>
          <w:sz w:val="84"/>
          <w:szCs w:val="84"/>
          <w:highlight w:val="none"/>
        </w:rPr>
        <w:t>标函</w:t>
      </w:r>
    </w:p>
    <w:p w14:paraId="3E65302B">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7FC85726">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2D49E25F">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09C58849">
      <w:pPr>
        <w:tabs>
          <w:tab w:val="left" w:pos="-951"/>
          <w:tab w:val="left" w:pos="4267"/>
          <w:tab w:val="left" w:pos="7925"/>
        </w:tabs>
        <w:adjustRightInd w:val="0"/>
        <w:snapToGrid w:val="0"/>
        <w:spacing w:line="360" w:lineRule="auto"/>
        <w:ind w:right="-6"/>
        <w:rPr>
          <w:rFonts w:hint="eastAsia" w:ascii="宋体" w:hAnsi="宋体"/>
          <w:b/>
          <w:bCs/>
          <w:color w:val="auto"/>
          <w:szCs w:val="21"/>
          <w:highlight w:val="none"/>
        </w:rPr>
      </w:pPr>
    </w:p>
    <w:p w14:paraId="5E39B9ED">
      <w:pPr>
        <w:spacing w:line="360" w:lineRule="auto"/>
        <w:jc w:val="center"/>
        <w:rPr>
          <w:rFonts w:hint="eastAsia" w:ascii="宋体" w:hAnsi="宋体"/>
          <w:color w:val="auto"/>
          <w:sz w:val="28"/>
          <w:szCs w:val="28"/>
          <w:highlight w:val="none"/>
          <w:u w:val="single"/>
        </w:rPr>
      </w:pPr>
    </w:p>
    <w:p w14:paraId="577CA629">
      <w:pPr>
        <w:tabs>
          <w:tab w:val="left" w:pos="-951"/>
          <w:tab w:val="left" w:pos="4267"/>
          <w:tab w:val="left" w:pos="7925"/>
        </w:tabs>
        <w:adjustRightInd w:val="0"/>
        <w:snapToGrid w:val="0"/>
        <w:spacing w:line="360" w:lineRule="auto"/>
        <w:ind w:right="-6" w:firstLine="2212" w:firstLineChars="790"/>
        <w:rPr>
          <w:rFonts w:hint="eastAsia" w:ascii="宋体" w:hAnsi="宋体" w:eastAsia="宋体"/>
          <w:bCs/>
          <w:color w:val="auto"/>
          <w:sz w:val="28"/>
          <w:szCs w:val="28"/>
          <w:highlight w:val="none"/>
          <w:u w:val="single"/>
          <w:lang w:eastAsia="zh-CN"/>
        </w:rPr>
      </w:pPr>
      <w:r>
        <w:rPr>
          <w:rFonts w:hint="eastAsia" w:ascii="宋体" w:hAnsi="宋体"/>
          <w:bCs/>
          <w:color w:val="auto"/>
          <w:sz w:val="28"/>
          <w:szCs w:val="28"/>
          <w:highlight w:val="none"/>
        </w:rPr>
        <w:t>投标人全称：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加盖电子印章</w:t>
      </w:r>
      <w:r>
        <w:rPr>
          <w:rFonts w:hint="eastAsia" w:ascii="宋体" w:hAnsi="宋体"/>
          <w:bCs/>
          <w:color w:val="auto"/>
          <w:sz w:val="28"/>
          <w:szCs w:val="28"/>
          <w:highlight w:val="none"/>
          <w:u w:val="none"/>
        </w:rPr>
        <w:t>）</w:t>
      </w:r>
    </w:p>
    <w:p w14:paraId="08DB6934">
      <w:pPr>
        <w:tabs>
          <w:tab w:val="left" w:pos="-951"/>
          <w:tab w:val="left" w:pos="4267"/>
          <w:tab w:val="left" w:pos="7925"/>
        </w:tabs>
        <w:adjustRightInd w:val="0"/>
        <w:snapToGrid w:val="0"/>
        <w:spacing w:line="360" w:lineRule="auto"/>
        <w:ind w:right="-6"/>
        <w:rPr>
          <w:rFonts w:hint="eastAsia" w:ascii="宋体" w:hAnsi="宋体"/>
          <w:bCs/>
          <w:color w:val="auto"/>
          <w:sz w:val="28"/>
          <w:szCs w:val="28"/>
          <w:highlight w:val="none"/>
          <w:u w:val="single"/>
        </w:rPr>
      </w:pPr>
    </w:p>
    <w:p w14:paraId="6F69B0E8">
      <w:pPr>
        <w:tabs>
          <w:tab w:val="left" w:pos="-951"/>
          <w:tab w:val="left" w:pos="4267"/>
          <w:tab w:val="left" w:pos="7925"/>
        </w:tabs>
        <w:adjustRightInd w:val="0"/>
        <w:snapToGrid w:val="0"/>
        <w:spacing w:line="360" w:lineRule="auto"/>
        <w:ind w:right="-6" w:firstLine="2212" w:firstLineChars="790"/>
        <w:rPr>
          <w:rFonts w:hint="eastAsia" w:ascii="宋体" w:hAnsi="宋体"/>
          <w:bCs/>
          <w:color w:val="auto"/>
          <w:sz w:val="28"/>
          <w:szCs w:val="28"/>
          <w:highlight w:val="none"/>
          <w:u w:val="singl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single"/>
          <w:lang w:val="en-US" w:eastAsia="zh-CN"/>
        </w:rPr>
        <w:t xml:space="preserve">  </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u w:val="none"/>
        </w:rPr>
        <w:t>（</w:t>
      </w:r>
      <w:r>
        <w:rPr>
          <w:rFonts w:hint="eastAsia" w:ascii="宋体" w:hAnsi="宋体"/>
          <w:bCs/>
          <w:color w:val="auto"/>
          <w:sz w:val="28"/>
          <w:szCs w:val="28"/>
          <w:highlight w:val="none"/>
          <w:u w:val="none"/>
          <w:lang w:eastAsia="zh-CN"/>
        </w:rPr>
        <w:t>电子签名</w:t>
      </w:r>
      <w:r>
        <w:rPr>
          <w:rFonts w:hint="eastAsia" w:ascii="宋体" w:hAnsi="宋体"/>
          <w:bCs/>
          <w:color w:val="auto"/>
          <w:sz w:val="28"/>
          <w:szCs w:val="28"/>
          <w:highlight w:val="none"/>
          <w:u w:val="none"/>
        </w:rPr>
        <w:t>）</w:t>
      </w:r>
    </w:p>
    <w:p w14:paraId="7D896D28">
      <w:pPr>
        <w:tabs>
          <w:tab w:val="left" w:pos="-951"/>
          <w:tab w:val="left" w:pos="4267"/>
          <w:tab w:val="left" w:pos="7925"/>
        </w:tabs>
        <w:adjustRightInd w:val="0"/>
        <w:snapToGrid w:val="0"/>
        <w:spacing w:line="360" w:lineRule="auto"/>
        <w:ind w:right="-6"/>
        <w:rPr>
          <w:rFonts w:hint="eastAsia" w:ascii="宋体" w:hAnsi="宋体" w:eastAsia="宋体" w:cs="Times New Roman"/>
          <w:b/>
          <w:bCs/>
          <w:color w:val="auto"/>
          <w:szCs w:val="21"/>
          <w:highlight w:val="none"/>
        </w:rPr>
      </w:pPr>
    </w:p>
    <w:p w14:paraId="40C8C0A6">
      <w:pPr>
        <w:rPr>
          <w:rFonts w:hint="eastAsia"/>
          <w:color w:val="auto"/>
          <w:highlight w:val="none"/>
        </w:rPr>
      </w:pPr>
    </w:p>
    <w:p w14:paraId="1F705DB4">
      <w:pPr>
        <w:tabs>
          <w:tab w:val="left" w:pos="-951"/>
          <w:tab w:val="left" w:pos="4267"/>
          <w:tab w:val="left" w:pos="7925"/>
        </w:tabs>
        <w:adjustRightInd w:val="0"/>
        <w:snapToGrid w:val="0"/>
        <w:spacing w:line="360" w:lineRule="auto"/>
        <w:ind w:right="-6" w:firstLine="0" w:firstLineChars="0"/>
        <w:jc w:val="center"/>
        <w:rPr>
          <w:rFonts w:hint="eastAsia" w:ascii="宋体" w:hAnsi="宋体"/>
          <w:bCs/>
          <w:color w:val="auto"/>
          <w:sz w:val="28"/>
          <w:szCs w:val="28"/>
          <w:highlight w:val="none"/>
        </w:rPr>
      </w:pPr>
      <w:r>
        <w:rPr>
          <w:rFonts w:hint="eastAsia" w:ascii="宋体" w:hAnsi="宋体"/>
          <w:bCs/>
          <w:color w:val="auto"/>
          <w:sz w:val="28"/>
          <w:szCs w:val="28"/>
          <w:highlight w:val="none"/>
        </w:rPr>
        <w:t>年  月  日</w:t>
      </w:r>
    </w:p>
    <w:p w14:paraId="70E0A4C8">
      <w:pPr>
        <w:spacing w:line="420" w:lineRule="exact"/>
        <w:jc w:val="left"/>
        <w:rPr>
          <w:rFonts w:hint="eastAsia" w:ascii="宋体" w:hAnsi="宋体"/>
          <w:color w:val="auto"/>
          <w:sz w:val="28"/>
          <w:szCs w:val="28"/>
          <w:highlight w:val="none"/>
        </w:rPr>
      </w:pPr>
    </w:p>
    <w:p w14:paraId="554DB166">
      <w:pPr>
        <w:spacing w:line="420" w:lineRule="exact"/>
        <w:jc w:val="left"/>
        <w:rPr>
          <w:rFonts w:hint="eastAsia" w:ascii="宋体" w:hAnsi="宋体"/>
          <w:color w:val="auto"/>
          <w:sz w:val="21"/>
          <w:szCs w:val="21"/>
          <w:highlight w:val="none"/>
        </w:rPr>
      </w:pPr>
    </w:p>
    <w:p w14:paraId="06C30816">
      <w:pPr>
        <w:spacing w:line="420" w:lineRule="exact"/>
        <w:jc w:val="left"/>
        <w:rPr>
          <w:rFonts w:hint="eastAsia" w:ascii="宋体" w:hAnsi="宋体"/>
          <w:color w:val="auto"/>
          <w:sz w:val="21"/>
          <w:szCs w:val="21"/>
          <w:highlight w:val="none"/>
        </w:rPr>
      </w:pPr>
    </w:p>
    <w:p w14:paraId="25C3839D">
      <w:pPr>
        <w:spacing w:line="420" w:lineRule="exact"/>
        <w:jc w:val="left"/>
        <w:rPr>
          <w:rFonts w:ascii="宋体" w:hAnsi="宋体"/>
          <w:color w:val="auto"/>
          <w:sz w:val="21"/>
          <w:szCs w:val="21"/>
          <w:highlight w:val="none"/>
        </w:rPr>
      </w:pPr>
      <w:r>
        <w:rPr>
          <w:rFonts w:hint="eastAsia" w:ascii="宋体" w:hAnsi="宋体"/>
          <w:color w:val="auto"/>
          <w:sz w:val="21"/>
          <w:szCs w:val="21"/>
          <w:highlight w:val="none"/>
        </w:rPr>
        <w:t>说明：本封面仅供参考，格式由投标人自定，但必须包括</w:t>
      </w: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、“正本”或“副本”字样</w:t>
      </w:r>
      <w:r>
        <w:rPr>
          <w:rFonts w:hint="eastAsia" w:ascii="宋体" w:hAnsi="宋体" w:eastAsia="宋体" w:cs="宋体"/>
          <w:color w:val="auto"/>
          <w:sz w:val="21"/>
          <w:szCs w:val="21"/>
          <w:highlight w:val="none"/>
        </w:rPr>
        <w:t>（电子标书免</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资信标</w:t>
      </w:r>
      <w:r>
        <w:rPr>
          <w:rFonts w:hint="eastAsia" w:ascii="宋体" w:hAnsi="宋体"/>
          <w:color w:val="auto"/>
          <w:sz w:val="21"/>
          <w:szCs w:val="21"/>
          <w:highlight w:val="none"/>
        </w:rPr>
        <w:t>”或“</w:t>
      </w:r>
      <w:r>
        <w:rPr>
          <w:rFonts w:hint="eastAsia" w:ascii="宋体" w:hAnsi="宋体"/>
          <w:color w:val="auto"/>
          <w:sz w:val="21"/>
          <w:szCs w:val="21"/>
          <w:highlight w:val="none"/>
          <w:lang w:val="en-US" w:eastAsia="zh-CN"/>
        </w:rPr>
        <w:t>资信</w:t>
      </w:r>
      <w:r>
        <w:rPr>
          <w:rFonts w:hint="eastAsia" w:ascii="宋体" w:hAnsi="宋体"/>
          <w:color w:val="auto"/>
          <w:sz w:val="21"/>
          <w:szCs w:val="21"/>
          <w:highlight w:val="none"/>
        </w:rPr>
        <w:t>标函”字样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投标人名称、投标人</w:t>
      </w:r>
      <w:r>
        <w:rPr>
          <w:rFonts w:hint="eastAsia" w:ascii="宋体" w:hAnsi="宋体"/>
          <w:color w:val="auto"/>
          <w:sz w:val="21"/>
          <w:szCs w:val="21"/>
          <w:highlight w:val="none"/>
          <w:lang w:eastAsia="zh-CN"/>
        </w:rPr>
        <w:t>电子印章</w:t>
      </w:r>
      <w:r>
        <w:rPr>
          <w:rFonts w:hint="eastAsia" w:ascii="宋体" w:hAnsi="宋体"/>
          <w:color w:val="auto"/>
          <w:sz w:val="21"/>
          <w:szCs w:val="21"/>
          <w:highlight w:val="none"/>
        </w:rPr>
        <w:t>、投标人法定代表人或其代理人</w:t>
      </w:r>
      <w:r>
        <w:rPr>
          <w:rFonts w:hint="eastAsia" w:ascii="宋体" w:hAnsi="宋体"/>
          <w:color w:val="auto"/>
          <w:sz w:val="21"/>
          <w:szCs w:val="21"/>
          <w:highlight w:val="none"/>
          <w:lang w:eastAsia="zh-CN"/>
        </w:rPr>
        <w:t>电子签名</w:t>
      </w:r>
      <w:r>
        <w:rPr>
          <w:rFonts w:hint="eastAsia" w:ascii="宋体" w:hAnsi="宋体"/>
          <w:color w:val="auto"/>
          <w:sz w:val="21"/>
          <w:szCs w:val="21"/>
          <w:highlight w:val="none"/>
        </w:rPr>
        <w:t>。</w:t>
      </w:r>
    </w:p>
    <w:p w14:paraId="19DE187E">
      <w:pPr>
        <w:spacing w:line="360" w:lineRule="auto"/>
        <w:ind w:firstLine="420"/>
        <w:jc w:val="center"/>
        <w:rPr>
          <w:rFonts w:hint="eastAsia" w:ascii="宋体" w:hAnsi="宋体"/>
          <w:b/>
          <w:color w:val="auto"/>
          <w:sz w:val="28"/>
          <w:szCs w:val="28"/>
          <w:highlight w:val="none"/>
        </w:rPr>
      </w:pPr>
      <w:r>
        <w:rPr>
          <w:rFonts w:hint="eastAsia" w:ascii="宋体" w:hAnsi="宋体"/>
          <w:b/>
          <w:color w:val="auto"/>
          <w:sz w:val="28"/>
          <w:szCs w:val="28"/>
          <w:highlight w:val="none"/>
          <w:lang w:eastAsia="zh-CN"/>
        </w:rPr>
        <w:br w:type="page"/>
      </w:r>
      <w:r>
        <w:rPr>
          <w:rFonts w:hint="eastAsia" w:ascii="宋体" w:hAnsi="宋体"/>
          <w:b/>
          <w:color w:val="auto"/>
          <w:sz w:val="28"/>
          <w:szCs w:val="28"/>
          <w:highlight w:val="none"/>
          <w:lang w:eastAsia="zh-CN"/>
        </w:rPr>
        <w:t>资信标</w:t>
      </w:r>
      <w:r>
        <w:rPr>
          <w:rFonts w:hint="eastAsia" w:ascii="宋体" w:hAnsi="宋体"/>
          <w:b/>
          <w:color w:val="auto"/>
          <w:sz w:val="28"/>
          <w:szCs w:val="28"/>
          <w:highlight w:val="none"/>
        </w:rPr>
        <w:t>目录</w:t>
      </w:r>
    </w:p>
    <w:p w14:paraId="4166BAE9">
      <w:pPr>
        <w:spacing w:line="360" w:lineRule="auto"/>
        <w:ind w:firstLine="420" w:firstLineChars="200"/>
        <w:rPr>
          <w:rFonts w:hint="eastAsia" w:ascii="宋体" w:hAnsi="宋体" w:eastAsia="宋体" w:cs="宋体"/>
          <w:color w:val="auto"/>
          <w:sz w:val="21"/>
          <w:szCs w:val="21"/>
          <w:highlight w:val="none"/>
          <w:lang w:val="en-US" w:eastAsia="zh-CN"/>
        </w:rPr>
      </w:pPr>
      <w:bookmarkStart w:id="463" w:name="_Toc652060058_WPSOffice_Level1"/>
      <w:bookmarkStart w:id="464" w:name="_Toc660388298_WPSOffice_Level2"/>
      <w:r>
        <w:rPr>
          <w:rFonts w:hint="eastAsia" w:ascii="宋体" w:hAnsi="宋体" w:eastAsia="宋体" w:cs="宋体"/>
          <w:color w:val="auto"/>
          <w:sz w:val="21"/>
          <w:szCs w:val="21"/>
          <w:highlight w:val="none"/>
          <w:lang w:val="en-US" w:eastAsia="zh-CN"/>
        </w:rPr>
        <w:t>一、</w:t>
      </w:r>
      <w:bookmarkEnd w:id="463"/>
      <w:bookmarkEnd w:id="464"/>
      <w:r>
        <w:rPr>
          <w:rFonts w:hint="eastAsia" w:ascii="宋体" w:hAnsi="宋体" w:eastAsia="宋体" w:cs="宋体"/>
          <w:color w:val="auto"/>
          <w:sz w:val="21"/>
          <w:szCs w:val="21"/>
          <w:highlight w:val="none"/>
          <w:lang w:val="en-US" w:eastAsia="zh-CN"/>
        </w:rPr>
        <w:t>资信标函内容索引</w:t>
      </w:r>
    </w:p>
    <w:p w14:paraId="3A9081D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二、投标人资信情况汇总表</w:t>
      </w:r>
    </w:p>
    <w:p w14:paraId="62C889F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p>
    <w:p w14:paraId="42F4A1CB">
      <w:pPr>
        <w:adjustRightInd w:val="0"/>
        <w:snapToGrid w:val="0"/>
        <w:spacing w:line="360" w:lineRule="auto"/>
        <w:jc w:val="center"/>
        <w:outlineLvl w:val="2"/>
        <w:rPr>
          <w:rFonts w:hint="eastAsia" w:ascii="宋体" w:hAnsi="宋体"/>
          <w:color w:val="auto"/>
          <w:sz w:val="28"/>
          <w:szCs w:val="28"/>
          <w:highlight w:val="none"/>
        </w:rPr>
      </w:pPr>
      <w:r>
        <w:rPr>
          <w:rFonts w:hint="eastAsia" w:ascii="宋体" w:hAnsi="宋体"/>
          <w:color w:val="auto"/>
          <w:sz w:val="28"/>
          <w:szCs w:val="28"/>
          <w:highlight w:val="none"/>
          <w:lang w:eastAsia="zh-CN"/>
        </w:rPr>
        <w:br w:type="page"/>
      </w:r>
      <w:bookmarkStart w:id="465" w:name="_Toc546986570"/>
      <w:r>
        <w:rPr>
          <w:rFonts w:hint="eastAsia" w:ascii="宋体" w:hAnsi="宋体"/>
          <w:b/>
          <w:bCs/>
          <w:color w:val="auto"/>
          <w:sz w:val="28"/>
          <w:szCs w:val="28"/>
          <w:highlight w:val="none"/>
        </w:rPr>
        <w:t>一、</w:t>
      </w:r>
      <w:bookmarkEnd w:id="465"/>
      <w:r>
        <w:rPr>
          <w:rFonts w:hint="eastAsia" w:ascii="宋体" w:hAnsi="宋体"/>
          <w:b/>
          <w:bCs/>
          <w:color w:val="auto"/>
          <w:sz w:val="28"/>
          <w:szCs w:val="28"/>
          <w:highlight w:val="none"/>
        </w:rPr>
        <w:t>资信标函内容索引</w:t>
      </w:r>
    </w:p>
    <w:tbl>
      <w:tblPr>
        <w:tblStyle w:val="26"/>
        <w:tblpPr w:leftFromText="180" w:rightFromText="180" w:vertAnchor="text" w:horzAnchor="page" w:tblpX="1262" w:tblpY="287"/>
        <w:tblOverlap w:val="never"/>
        <w:tblW w:w="9370" w:type="dxa"/>
        <w:tblInd w:w="0" w:type="dxa"/>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Layout w:type="fixed"/>
        <w:tblCellMar>
          <w:top w:w="0" w:type="dxa"/>
          <w:left w:w="0" w:type="dxa"/>
          <w:bottom w:w="0" w:type="dxa"/>
          <w:right w:w="0" w:type="dxa"/>
        </w:tblCellMar>
      </w:tblPr>
      <w:tblGrid>
        <w:gridCol w:w="1288"/>
        <w:gridCol w:w="3394"/>
        <w:gridCol w:w="2314"/>
        <w:gridCol w:w="2374"/>
      </w:tblGrid>
      <w:tr w14:paraId="2EB96F4C">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1204" w:hRule="atLeast"/>
        </w:trPr>
        <w:tc>
          <w:tcPr>
            <w:tcW w:w="1288" w:type="dxa"/>
            <w:tcBorders>
              <w:top w:val="single" w:color="010101" w:sz="6" w:space="0"/>
              <w:left w:val="single" w:color="010101" w:sz="6" w:space="0"/>
              <w:bottom w:val="single" w:color="010101" w:sz="6" w:space="0"/>
              <w:right w:val="single" w:color="010101" w:sz="6" w:space="0"/>
            </w:tcBorders>
            <w:noWrap w:val="0"/>
            <w:vAlign w:val="center"/>
          </w:tcPr>
          <w:p w14:paraId="3D48B03E">
            <w:pPr>
              <w:jc w:val="center"/>
              <w:rPr>
                <w:rFonts w:hint="eastAsia"/>
                <w:lang w:val="en-US" w:eastAsia="zh-CN"/>
              </w:rPr>
            </w:pPr>
            <w:r>
              <w:rPr>
                <w:rFonts w:hint="eastAsia"/>
                <w:lang w:val="en-US" w:eastAsia="zh-CN"/>
              </w:rPr>
              <w:t>序号</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5241A056">
            <w:pPr>
              <w:jc w:val="center"/>
              <w:rPr>
                <w:rFonts w:hint="eastAsia"/>
                <w:lang w:val="en-US" w:eastAsia="zh-CN"/>
              </w:rPr>
            </w:pPr>
            <w:r>
              <w:rPr>
                <w:rFonts w:hint="eastAsia"/>
                <w:lang w:val="en-US" w:eastAsia="zh-CN"/>
              </w:rPr>
              <w:t>资信要素</w:t>
            </w:r>
          </w:p>
        </w:tc>
        <w:tc>
          <w:tcPr>
            <w:tcW w:w="2314" w:type="dxa"/>
            <w:tcBorders>
              <w:top w:val="single" w:color="010101" w:sz="6" w:space="0"/>
              <w:left w:val="single" w:color="010101" w:sz="4" w:space="0"/>
              <w:bottom w:val="single" w:color="010101" w:sz="6" w:space="0"/>
              <w:right w:val="single" w:color="010101" w:sz="4" w:space="0"/>
            </w:tcBorders>
            <w:noWrap w:val="0"/>
            <w:vAlign w:val="center"/>
          </w:tcPr>
          <w:p w14:paraId="215A4ADC">
            <w:pPr>
              <w:jc w:val="center"/>
              <w:rPr>
                <w:rFonts w:hint="eastAsia"/>
                <w:lang w:val="en-US" w:eastAsia="zh-CN"/>
              </w:rPr>
            </w:pPr>
            <w:r>
              <w:rPr>
                <w:rFonts w:hint="eastAsia"/>
                <w:lang w:val="en-US" w:eastAsia="zh-CN"/>
              </w:rPr>
              <w:t>页码索引</w:t>
            </w:r>
          </w:p>
        </w:tc>
        <w:tc>
          <w:tcPr>
            <w:tcW w:w="2374" w:type="dxa"/>
            <w:tcBorders>
              <w:top w:val="single" w:color="010101" w:sz="6" w:space="0"/>
              <w:left w:val="single" w:color="010101" w:sz="4" w:space="0"/>
              <w:bottom w:val="single" w:color="010101" w:sz="6" w:space="0"/>
              <w:right w:val="single" w:color="010101" w:sz="6" w:space="0"/>
            </w:tcBorders>
            <w:noWrap w:val="0"/>
            <w:vAlign w:val="center"/>
          </w:tcPr>
          <w:p w14:paraId="3CF4965B">
            <w:pPr>
              <w:jc w:val="center"/>
              <w:rPr>
                <w:rFonts w:hint="eastAsia"/>
                <w:lang w:val="en-US" w:eastAsia="zh-CN"/>
              </w:rPr>
            </w:pPr>
            <w:r>
              <w:rPr>
                <w:rFonts w:hint="eastAsia"/>
                <w:lang w:val="en-US" w:eastAsia="zh-CN"/>
              </w:rPr>
              <w:t>备注</w:t>
            </w:r>
          </w:p>
        </w:tc>
      </w:tr>
      <w:tr w14:paraId="52D5A5B9">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56"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14:paraId="63114893">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lang w:val="en-US" w:eastAsia="zh-CN"/>
              </w:rPr>
              <w:t>1</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031D17E">
            <w:pPr>
              <w:rPr>
                <w:rFonts w:hint="eastAsia"/>
              </w:rPr>
            </w:pPr>
          </w:p>
        </w:tc>
        <w:tc>
          <w:tcPr>
            <w:tcW w:w="2314" w:type="dxa"/>
            <w:tcBorders>
              <w:top w:val="single" w:color="auto" w:sz="4" w:space="0"/>
              <w:left w:val="single" w:color="auto" w:sz="4" w:space="0"/>
              <w:bottom w:val="single" w:color="auto" w:sz="4" w:space="0"/>
              <w:right w:val="single" w:color="auto" w:sz="4" w:space="0"/>
            </w:tcBorders>
            <w:noWrap w:val="0"/>
            <w:vAlign w:val="top"/>
          </w:tcPr>
          <w:p w14:paraId="60B7FEAB">
            <w:pPr>
              <w:rPr>
                <w:rFonts w:hint="eastAsia"/>
              </w:rPr>
            </w:pPr>
          </w:p>
        </w:tc>
        <w:tc>
          <w:tcPr>
            <w:tcW w:w="2374" w:type="dxa"/>
            <w:tcBorders>
              <w:top w:val="single" w:color="auto" w:sz="4" w:space="0"/>
              <w:left w:val="single" w:color="auto" w:sz="4" w:space="0"/>
              <w:bottom w:val="single" w:color="auto" w:sz="4" w:space="0"/>
              <w:right w:val="single" w:color="auto" w:sz="4" w:space="0"/>
            </w:tcBorders>
            <w:noWrap w:val="0"/>
            <w:vAlign w:val="top"/>
          </w:tcPr>
          <w:p w14:paraId="4F814D9B">
            <w:pPr>
              <w:rPr>
                <w:rFonts w:hint="eastAsia"/>
              </w:rPr>
            </w:pPr>
          </w:p>
        </w:tc>
      </w:tr>
      <w:tr w14:paraId="029F9FBE">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2E0411D7">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2</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41784E82">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25B11514">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3A358E06">
            <w:pPr>
              <w:rPr>
                <w:rFonts w:hint="eastAsia"/>
              </w:rPr>
            </w:pPr>
          </w:p>
        </w:tc>
      </w:tr>
      <w:tr w14:paraId="59A668B3">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5A9887EE">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3</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3C1A3BF8">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5604E0DD">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15ADAF2C">
            <w:pPr>
              <w:rPr>
                <w:rFonts w:hint="eastAsia"/>
              </w:rPr>
            </w:pPr>
          </w:p>
        </w:tc>
      </w:tr>
      <w:tr w14:paraId="7E2A78D2">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50A07196">
            <w:pPr>
              <w:numPr>
                <w:ilvl w:val="0"/>
                <w:numId w:val="0"/>
              </w:numPr>
              <w:snapToGrid w:val="0"/>
              <w:ind w:firstLine="0" w:firstLineChars="0"/>
              <w:jc w:val="center"/>
              <w:rPr>
                <w:rFonts w:hint="eastAsia" w:ascii="宋体" w:hAnsi="宋体" w:cs="Arial Unicode MS"/>
                <w:color w:val="auto"/>
                <w:szCs w:val="21"/>
                <w:highlight w:val="none"/>
                <w:lang w:val="en-US" w:eastAsia="zh-CN"/>
              </w:rPr>
            </w:pPr>
            <w:r>
              <w:rPr>
                <w:rFonts w:hint="eastAsia" w:ascii="宋体" w:hAnsi="宋体" w:cs="Arial Unicode MS"/>
                <w:color w:val="auto"/>
                <w:szCs w:val="21"/>
                <w:highlight w:val="none"/>
              </w:rPr>
              <w:t>4</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450C2957">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57897891">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63D6BE5C">
            <w:pPr>
              <w:rPr>
                <w:rFonts w:hint="eastAsia"/>
              </w:rPr>
            </w:pPr>
          </w:p>
        </w:tc>
      </w:tr>
      <w:tr w14:paraId="589EED2B">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0282C9B7">
            <w:pPr>
              <w:numPr>
                <w:ilvl w:val="0"/>
                <w:numId w:val="0"/>
              </w:numPr>
              <w:snapToGrid w:val="0"/>
              <w:ind w:firstLine="0" w:firstLineChars="0"/>
              <w:jc w:val="center"/>
              <w:rPr>
                <w:rFonts w:hint="eastAsia" w:ascii="宋体" w:hAnsi="宋体" w:cs="Arial Unicode MS"/>
                <w:color w:val="auto"/>
                <w:szCs w:val="21"/>
                <w:highlight w:val="none"/>
              </w:rPr>
            </w:pPr>
            <w:r>
              <w:rPr>
                <w:rFonts w:hint="eastAsia" w:ascii="宋体" w:hAnsi="宋体" w:cs="Arial Unicode MS"/>
                <w:color w:val="auto"/>
                <w:szCs w:val="21"/>
                <w:highlight w:val="none"/>
              </w:rPr>
              <w:t>5</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48D85156">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1315E179">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0941A33F">
            <w:pPr>
              <w:rPr>
                <w:rFonts w:hint="eastAsia"/>
              </w:rPr>
            </w:pPr>
          </w:p>
        </w:tc>
      </w:tr>
      <w:tr w14:paraId="482C41EB">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noWrap w:val="0"/>
            <w:vAlign w:val="center"/>
          </w:tcPr>
          <w:p w14:paraId="0FEE71B5">
            <w:pPr>
              <w:jc w:val="center"/>
              <w:rPr>
                <w:rFonts w:hint="eastAsia" w:ascii="宋体" w:hAnsi="宋体" w:cs="Arial Unicode MS"/>
                <w:color w:val="auto"/>
                <w:szCs w:val="21"/>
                <w:highlight w:val="none"/>
              </w:rPr>
            </w:pPr>
            <w:r>
              <w:rPr>
                <w:rFonts w:hint="eastAsia" w:ascii="宋体" w:hAnsi="宋体" w:cs="Arial Unicode MS"/>
                <w:color w:val="auto"/>
                <w:szCs w:val="21"/>
                <w:highlight w:val="none"/>
              </w:rPr>
              <w:t>……</w:t>
            </w:r>
          </w:p>
        </w:tc>
        <w:tc>
          <w:tcPr>
            <w:tcW w:w="3394" w:type="dxa"/>
            <w:tcBorders>
              <w:top w:val="single" w:color="010101" w:sz="6" w:space="0"/>
              <w:left w:val="single" w:color="010101" w:sz="6" w:space="0"/>
              <w:bottom w:val="single" w:color="010101" w:sz="6" w:space="0"/>
              <w:right w:val="single" w:color="010101" w:sz="6" w:space="0"/>
            </w:tcBorders>
            <w:noWrap w:val="0"/>
            <w:vAlign w:val="center"/>
          </w:tcPr>
          <w:p w14:paraId="3F0F2B4A">
            <w:pPr>
              <w:rPr>
                <w:rFonts w:hint="eastAsia"/>
              </w:rPr>
            </w:pPr>
          </w:p>
        </w:tc>
        <w:tc>
          <w:tcPr>
            <w:tcW w:w="2314" w:type="dxa"/>
            <w:tcBorders>
              <w:top w:val="single" w:color="010101" w:sz="6" w:space="0"/>
              <w:left w:val="single" w:color="010101" w:sz="6" w:space="0"/>
              <w:bottom w:val="single" w:color="010101" w:sz="6" w:space="0"/>
              <w:right w:val="single" w:color="010101" w:sz="6" w:space="0"/>
            </w:tcBorders>
            <w:noWrap w:val="0"/>
            <w:vAlign w:val="top"/>
          </w:tcPr>
          <w:p w14:paraId="689F07EF">
            <w:pPr>
              <w:rPr>
                <w:rFonts w:hint="eastAsia"/>
              </w:rPr>
            </w:pPr>
          </w:p>
        </w:tc>
        <w:tc>
          <w:tcPr>
            <w:tcW w:w="2374" w:type="dxa"/>
            <w:tcBorders>
              <w:top w:val="single" w:color="010101" w:sz="6" w:space="0"/>
              <w:left w:val="single" w:color="010101" w:sz="6" w:space="0"/>
              <w:bottom w:val="single" w:color="010101" w:sz="6" w:space="0"/>
              <w:right w:val="single" w:color="010101" w:sz="6" w:space="0"/>
            </w:tcBorders>
            <w:noWrap w:val="0"/>
            <w:vAlign w:val="top"/>
          </w:tcPr>
          <w:p w14:paraId="446C8D53">
            <w:pPr>
              <w:rPr>
                <w:rFonts w:hint="eastAsia"/>
              </w:rPr>
            </w:pPr>
          </w:p>
        </w:tc>
      </w:tr>
    </w:tbl>
    <w:p w14:paraId="75314E3B">
      <w:pPr>
        <w:widowControl/>
        <w:rPr>
          <w:rFonts w:hint="eastAsia" w:ascii="Times New Roman" w:hAnsi="Times New Roman" w:eastAsia="宋体" w:cs="Times New Roman"/>
          <w:b w:val="0"/>
          <w:bCs w:val="0"/>
          <w:color w:val="auto"/>
          <w:kern w:val="2"/>
          <w:sz w:val="21"/>
          <w:szCs w:val="21"/>
          <w:highlight w:val="none"/>
          <w:lang w:val="en-US" w:eastAsia="zh-CN" w:bidi="ar-SA"/>
        </w:rPr>
      </w:pPr>
    </w:p>
    <w:p w14:paraId="7FC333F6">
      <w:pPr>
        <w:widowControl/>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 xml:space="preserve">注：资信要素详见第三章 </w:t>
      </w:r>
      <w:r>
        <w:rPr>
          <w:rFonts w:hint="eastAsia" w:ascii="宋体" w:hAnsi="宋体" w:eastAsia="宋体" w:cs="宋体"/>
          <w:color w:val="auto"/>
          <w:highlight w:val="none"/>
          <w:lang w:val="en-US" w:eastAsia="zh-CN"/>
        </w:rPr>
        <w:t>评标办法</w:t>
      </w:r>
      <w:r>
        <w:rPr>
          <w:rFonts w:hint="eastAsia"/>
          <w:color w:val="auto"/>
          <w:highlight w:val="none"/>
          <w:lang w:val="en-US" w:eastAsia="zh-CN"/>
        </w:rPr>
        <w:t>、定标规则的</w:t>
      </w:r>
      <w:r>
        <w:rPr>
          <w:rFonts w:hint="eastAsia" w:ascii="Times New Roman" w:hAnsi="Times New Roman" w:eastAsia="宋体" w:cs="Times New Roman"/>
          <w:b w:val="0"/>
          <w:bCs w:val="0"/>
          <w:color w:val="auto"/>
          <w:kern w:val="2"/>
          <w:sz w:val="21"/>
          <w:szCs w:val="21"/>
          <w:highlight w:val="none"/>
          <w:lang w:val="en-US" w:eastAsia="zh-CN" w:bidi="ar-SA"/>
        </w:rPr>
        <w:t>《资信要素一览表》，投标人应如实填写对应资信要素的页码索引。</w:t>
      </w:r>
    </w:p>
    <w:p w14:paraId="489885BC">
      <w:pPr>
        <w:rPr>
          <w:rFonts w:ascii="宋体" w:hAnsi="宋体"/>
          <w:color w:val="auto"/>
          <w:highlight w:val="none"/>
        </w:rPr>
      </w:pPr>
    </w:p>
    <w:p w14:paraId="2CE75A44">
      <w:pPr>
        <w:jc w:val="center"/>
        <w:rPr>
          <w:rFonts w:hint="eastAsia" w:ascii="宋体" w:hAnsi="宋体" w:cs="宋体"/>
          <w:b/>
          <w:color w:val="auto"/>
          <w:kern w:val="0"/>
          <w:sz w:val="30"/>
          <w:szCs w:val="30"/>
          <w:highlight w:val="none"/>
        </w:rPr>
      </w:pPr>
      <w:r>
        <w:rPr>
          <w:rFonts w:hint="eastAsia" w:ascii="宋体" w:hAnsi="宋体"/>
          <w:color w:val="auto"/>
          <w:szCs w:val="21"/>
          <w:highlight w:val="none"/>
        </w:rPr>
        <w:br w:type="page"/>
      </w:r>
      <w:r>
        <w:rPr>
          <w:rFonts w:hint="eastAsia" w:ascii="宋体" w:hAnsi="宋体" w:cs="Courier New"/>
          <w:b/>
          <w:color w:val="auto"/>
          <w:sz w:val="30"/>
          <w:szCs w:val="30"/>
          <w:highlight w:val="none"/>
        </w:rPr>
        <w:t>二、投标人资信情况汇总表</w:t>
      </w:r>
    </w:p>
    <w:tbl>
      <w:tblPr>
        <w:tblStyle w:val="26"/>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74"/>
        <w:gridCol w:w="58"/>
        <w:gridCol w:w="899"/>
        <w:gridCol w:w="491"/>
        <w:gridCol w:w="291"/>
        <w:gridCol w:w="1413"/>
        <w:gridCol w:w="249"/>
        <w:gridCol w:w="388"/>
        <w:gridCol w:w="163"/>
        <w:gridCol w:w="599"/>
        <w:gridCol w:w="125"/>
        <w:gridCol w:w="461"/>
        <w:gridCol w:w="69"/>
        <w:gridCol w:w="1052"/>
        <w:gridCol w:w="444"/>
        <w:gridCol w:w="202"/>
        <w:gridCol w:w="6"/>
        <w:gridCol w:w="453"/>
        <w:gridCol w:w="426"/>
        <w:gridCol w:w="1252"/>
        <w:gridCol w:w="6"/>
      </w:tblGrid>
      <w:tr w14:paraId="1D1C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39" w:hRule="atLeast"/>
          <w:jc w:val="center"/>
        </w:trPr>
        <w:tc>
          <w:tcPr>
            <w:tcW w:w="1171" w:type="pct"/>
            <w:gridSpan w:val="5"/>
            <w:tcBorders>
              <w:tl2br w:val="nil"/>
            </w:tcBorders>
            <w:noWrap w:val="0"/>
            <w:vAlign w:val="center"/>
          </w:tcPr>
          <w:p w14:paraId="75ED94C3">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permStart w:id="147" w:edGrp="everyone"/>
            <w:r>
              <w:rPr>
                <w:rFonts w:hint="eastAsia"/>
                <w:b w:val="0"/>
                <w:color w:val="auto"/>
                <w:lang w:eastAsia="zh-CN"/>
              </w:rPr>
              <w:t>企业名称</w:t>
            </w:r>
          </w:p>
        </w:tc>
        <w:tc>
          <w:tcPr>
            <w:tcW w:w="3825" w:type="pct"/>
            <w:gridSpan w:val="16"/>
            <w:noWrap w:val="0"/>
            <w:vAlign w:val="bottom"/>
          </w:tcPr>
          <w:p w14:paraId="6171F852">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val="en-US" w:eastAsia="zh-CN"/>
              </w:rPr>
            </w:pPr>
            <w:r>
              <w:rPr>
                <w:rFonts w:hint="eastAsia"/>
                <w:b w:val="0"/>
                <w:color w:val="auto"/>
                <w:lang w:val="en-US" w:eastAsia="zh-CN"/>
              </w:rPr>
              <w:t xml:space="preserve">名称：                            </w:t>
            </w:r>
          </w:p>
          <w:p w14:paraId="50ADD7D1">
            <w:pPr>
              <w:pageBreakBefore w:val="0"/>
              <w:widowControl w:val="0"/>
              <w:kinsoku/>
              <w:wordWrap/>
              <w:overflowPunct/>
              <w:topLinePunct w:val="0"/>
              <w:bidi w:val="0"/>
              <w:adjustRightInd/>
              <w:snapToGrid/>
              <w:spacing w:line="240" w:lineRule="auto"/>
              <w:ind w:right="0"/>
              <w:jc w:val="left"/>
              <w:textAlignment w:val="auto"/>
              <w:rPr>
                <w:rFonts w:hint="eastAsia" w:eastAsia="宋体"/>
                <w:b/>
                <w:bCs/>
                <w:color w:val="auto"/>
                <w:lang w:val="en-US" w:eastAsia="zh-CN"/>
              </w:rPr>
            </w:pPr>
            <w:r>
              <w:rPr>
                <w:rFonts w:hint="eastAsia" w:ascii="Times New Roman" w:hAnsi="Times New Roman" w:eastAsia="宋体" w:cs="Times New Roman"/>
                <w:b w:val="0"/>
                <w:color w:val="auto"/>
                <w:lang w:val="en-US" w:eastAsia="zh-CN"/>
              </w:rPr>
              <w:t>社会信用代码：</w:t>
            </w:r>
          </w:p>
        </w:tc>
      </w:tr>
      <w:tr w14:paraId="7260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14:paraId="42D6A45F">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r>
              <w:rPr>
                <w:rFonts w:hint="eastAsia"/>
                <w:b w:val="0"/>
                <w:color w:val="auto"/>
                <w:lang w:eastAsia="zh-CN"/>
              </w:rPr>
              <w:t>注册地址</w:t>
            </w:r>
          </w:p>
        </w:tc>
        <w:tc>
          <w:tcPr>
            <w:tcW w:w="3825" w:type="pct"/>
            <w:gridSpan w:val="16"/>
            <w:noWrap w:val="0"/>
            <w:vAlign w:val="bottom"/>
          </w:tcPr>
          <w:p w14:paraId="3717E1C1">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14:paraId="6E41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14:paraId="0FC67F8A">
            <w:pPr>
              <w:pageBreakBefore w:val="0"/>
              <w:widowControl w:val="0"/>
              <w:kinsoku/>
              <w:wordWrap/>
              <w:overflowPunct/>
              <w:topLinePunct w:val="0"/>
              <w:bidi w:val="0"/>
              <w:adjustRightInd/>
              <w:snapToGrid/>
              <w:spacing w:line="240" w:lineRule="auto"/>
              <w:ind w:right="0"/>
              <w:jc w:val="left"/>
              <w:textAlignment w:val="auto"/>
              <w:rPr>
                <w:rFonts w:hint="default"/>
                <w:b w:val="0"/>
                <w:color w:val="auto"/>
                <w:lang w:val="en-US" w:eastAsia="zh-CN"/>
              </w:rPr>
            </w:pPr>
            <w:r>
              <w:rPr>
                <w:rFonts w:hint="eastAsia"/>
                <w:b w:val="0"/>
                <w:color w:val="auto"/>
                <w:lang w:val="en-US" w:eastAsia="zh-CN"/>
              </w:rPr>
              <w:t>注册资金</w:t>
            </w:r>
          </w:p>
        </w:tc>
        <w:tc>
          <w:tcPr>
            <w:tcW w:w="3825" w:type="pct"/>
            <w:gridSpan w:val="16"/>
            <w:noWrap w:val="0"/>
            <w:vAlign w:val="bottom"/>
          </w:tcPr>
          <w:p w14:paraId="5D3CDE55">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14:paraId="0759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171" w:type="pct"/>
            <w:gridSpan w:val="5"/>
            <w:noWrap w:val="0"/>
            <w:vAlign w:val="center"/>
          </w:tcPr>
          <w:p w14:paraId="44D48B4A">
            <w:pPr>
              <w:pageBreakBefore w:val="0"/>
              <w:widowControl w:val="0"/>
              <w:kinsoku/>
              <w:wordWrap/>
              <w:overflowPunct/>
              <w:topLinePunct w:val="0"/>
              <w:bidi w:val="0"/>
              <w:adjustRightInd/>
              <w:snapToGrid/>
              <w:spacing w:line="240" w:lineRule="auto"/>
              <w:ind w:right="0" w:rightChars="0"/>
              <w:jc w:val="left"/>
              <w:textAlignment w:val="auto"/>
              <w:rPr>
                <w:rFonts w:hint="default"/>
                <w:b w:val="0"/>
                <w:color w:val="auto"/>
                <w:lang w:val="en-US" w:eastAsia="zh-CN"/>
              </w:rPr>
            </w:pPr>
            <w:r>
              <w:rPr>
                <w:rFonts w:hint="eastAsia"/>
                <w:b w:val="0"/>
                <w:color w:val="auto"/>
                <w:lang w:eastAsia="zh-CN"/>
              </w:rPr>
              <w:t>法定代表人姓名</w:t>
            </w:r>
          </w:p>
        </w:tc>
        <w:tc>
          <w:tcPr>
            <w:tcW w:w="1858" w:type="pct"/>
            <w:gridSpan w:val="8"/>
            <w:noWrap w:val="0"/>
            <w:vAlign w:val="bottom"/>
          </w:tcPr>
          <w:p w14:paraId="07BB58F2">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p>
        </w:tc>
        <w:tc>
          <w:tcPr>
            <w:tcW w:w="893" w:type="pct"/>
            <w:gridSpan w:val="5"/>
            <w:noWrap w:val="0"/>
            <w:vAlign w:val="bottom"/>
          </w:tcPr>
          <w:p w14:paraId="522B8F2B">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r>
              <w:rPr>
                <w:rFonts w:hint="eastAsia"/>
                <w:b w:val="0"/>
                <w:color w:val="auto"/>
                <w:lang w:eastAsia="zh-CN"/>
              </w:rPr>
              <w:t>职务</w:t>
            </w:r>
          </w:p>
        </w:tc>
        <w:tc>
          <w:tcPr>
            <w:tcW w:w="1073" w:type="pct"/>
            <w:gridSpan w:val="3"/>
            <w:noWrap w:val="0"/>
            <w:vAlign w:val="bottom"/>
          </w:tcPr>
          <w:p w14:paraId="3776FB63">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14:paraId="42F4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22" w:hRule="atLeast"/>
          <w:jc w:val="center"/>
        </w:trPr>
        <w:tc>
          <w:tcPr>
            <w:tcW w:w="1171" w:type="pct"/>
            <w:gridSpan w:val="5"/>
            <w:noWrap w:val="0"/>
            <w:vAlign w:val="center"/>
          </w:tcPr>
          <w:p w14:paraId="557E535B">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r>
              <w:rPr>
                <w:rFonts w:hint="eastAsia"/>
                <w:b w:val="0"/>
                <w:color w:val="auto"/>
                <w:lang w:eastAsia="zh-CN"/>
              </w:rPr>
              <w:t>企业资质证书</w:t>
            </w:r>
          </w:p>
        </w:tc>
        <w:tc>
          <w:tcPr>
            <w:tcW w:w="3825" w:type="pct"/>
            <w:gridSpan w:val="16"/>
            <w:noWrap w:val="0"/>
            <w:vAlign w:val="bottom"/>
          </w:tcPr>
          <w:p w14:paraId="7F25FB6F">
            <w:pPr>
              <w:pageBreakBefore w:val="0"/>
              <w:widowControl w:val="0"/>
              <w:kinsoku/>
              <w:wordWrap/>
              <w:overflowPunct/>
              <w:topLinePunct w:val="0"/>
              <w:bidi w:val="0"/>
              <w:adjustRightInd/>
              <w:snapToGrid/>
              <w:spacing w:line="240" w:lineRule="auto"/>
              <w:ind w:right="0"/>
              <w:jc w:val="left"/>
              <w:textAlignment w:val="auto"/>
              <w:rPr>
                <w:rFonts w:hint="eastAsia"/>
                <w:color w:val="auto"/>
                <w:lang w:val="en-US" w:eastAsia="zh-CN"/>
              </w:rPr>
            </w:pPr>
            <w:r>
              <w:rPr>
                <w:rFonts w:hint="eastAsia"/>
                <w:color w:val="auto"/>
                <w:lang w:val="en-US" w:eastAsia="zh-CN"/>
              </w:rPr>
              <w:t>资质等级：</w:t>
            </w:r>
          </w:p>
          <w:p w14:paraId="76AE4B29">
            <w:pPr>
              <w:pStyle w:val="6"/>
              <w:pageBreakBefore w:val="0"/>
              <w:widowControl w:val="0"/>
              <w:kinsoku/>
              <w:wordWrap/>
              <w:overflowPunct/>
              <w:topLinePunct w:val="0"/>
              <w:bidi w:val="0"/>
              <w:spacing w:line="240" w:lineRule="auto"/>
              <w:textAlignment w:val="auto"/>
              <w:rPr>
                <w:rFonts w:hint="default"/>
                <w:color w:val="auto"/>
                <w:lang w:val="en-US"/>
              </w:rPr>
            </w:pPr>
            <w:r>
              <w:rPr>
                <w:rFonts w:hint="eastAsia"/>
                <w:b w:val="0"/>
                <w:color w:val="auto"/>
                <w:lang w:val="en-US" w:eastAsia="zh-CN"/>
              </w:rPr>
              <w:t>证书编号：</w:t>
            </w:r>
          </w:p>
        </w:tc>
      </w:tr>
      <w:tr w14:paraId="4910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69" w:hRule="atLeast"/>
          <w:jc w:val="center"/>
        </w:trPr>
        <w:tc>
          <w:tcPr>
            <w:tcW w:w="4996" w:type="pct"/>
            <w:gridSpan w:val="21"/>
            <w:noWrap w:val="0"/>
            <w:vAlign w:val="center"/>
          </w:tcPr>
          <w:p w14:paraId="32C66C9A">
            <w:pPr>
              <w:pageBreakBefore w:val="0"/>
              <w:widowControl w:val="0"/>
              <w:kinsoku/>
              <w:wordWrap/>
              <w:overflowPunct/>
              <w:topLinePunct w:val="0"/>
              <w:bidi w:val="0"/>
              <w:adjustRightInd/>
              <w:snapToGrid/>
              <w:spacing w:line="240" w:lineRule="auto"/>
              <w:ind w:right="0"/>
              <w:jc w:val="center"/>
              <w:textAlignment w:val="auto"/>
              <w:rPr>
                <w:rFonts w:hint="eastAsia"/>
                <w:b w:val="0"/>
                <w:color w:val="auto"/>
                <w:lang w:eastAsia="zh-CN"/>
              </w:rPr>
            </w:pPr>
            <w:r>
              <w:rPr>
                <w:rFonts w:hint="eastAsia"/>
                <w:b w:val="0"/>
                <w:bCs/>
                <w:color w:val="auto"/>
                <w:lang w:eastAsia="zh-CN"/>
              </w:rPr>
              <w:t>联合体成员单位情况（如有）</w:t>
            </w:r>
          </w:p>
        </w:tc>
      </w:tr>
      <w:tr w14:paraId="22C2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9" w:hRule="atLeast"/>
          <w:jc w:val="center"/>
        </w:trPr>
        <w:tc>
          <w:tcPr>
            <w:tcW w:w="1317" w:type="pct"/>
            <w:gridSpan w:val="6"/>
            <w:noWrap w:val="0"/>
            <w:vAlign w:val="center"/>
          </w:tcPr>
          <w:p w14:paraId="0E5681F1">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r>
              <w:rPr>
                <w:rFonts w:hint="eastAsia"/>
                <w:b w:val="0"/>
                <w:color w:val="auto"/>
                <w:lang w:eastAsia="zh-CN"/>
              </w:rPr>
              <w:t>企业名称</w:t>
            </w:r>
          </w:p>
        </w:tc>
        <w:tc>
          <w:tcPr>
            <w:tcW w:w="3679" w:type="pct"/>
            <w:gridSpan w:val="15"/>
            <w:noWrap w:val="0"/>
            <w:vAlign w:val="bottom"/>
          </w:tcPr>
          <w:p w14:paraId="68B26257">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val="en-US" w:eastAsia="zh-CN"/>
              </w:rPr>
            </w:pPr>
            <w:r>
              <w:rPr>
                <w:rFonts w:hint="eastAsia"/>
                <w:b w:val="0"/>
                <w:color w:val="auto"/>
                <w:lang w:val="en-US" w:eastAsia="zh-CN"/>
              </w:rPr>
              <w:t xml:space="preserve">名称：                            </w:t>
            </w:r>
          </w:p>
          <w:p w14:paraId="4B406015">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r>
              <w:rPr>
                <w:rFonts w:hint="eastAsia" w:ascii="Times New Roman" w:hAnsi="Times New Roman" w:eastAsia="宋体" w:cs="Times New Roman"/>
                <w:b w:val="0"/>
                <w:color w:val="auto"/>
                <w:lang w:val="en-US" w:eastAsia="zh-CN"/>
              </w:rPr>
              <w:t>社会信用代码：</w:t>
            </w:r>
          </w:p>
        </w:tc>
      </w:tr>
      <w:tr w14:paraId="2237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14:paraId="6F1B3413">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r>
              <w:rPr>
                <w:rFonts w:hint="eastAsia"/>
                <w:b w:val="0"/>
                <w:color w:val="auto"/>
                <w:lang w:eastAsia="zh-CN"/>
              </w:rPr>
              <w:t>注册地址</w:t>
            </w:r>
          </w:p>
        </w:tc>
        <w:tc>
          <w:tcPr>
            <w:tcW w:w="3679" w:type="pct"/>
            <w:gridSpan w:val="15"/>
            <w:noWrap w:val="0"/>
            <w:vAlign w:val="bottom"/>
          </w:tcPr>
          <w:p w14:paraId="6AF76A14">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14:paraId="5167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14:paraId="045630B1">
            <w:pPr>
              <w:pageBreakBefore w:val="0"/>
              <w:widowControl w:val="0"/>
              <w:kinsoku/>
              <w:wordWrap/>
              <w:overflowPunct/>
              <w:topLinePunct w:val="0"/>
              <w:bidi w:val="0"/>
              <w:adjustRightInd/>
              <w:snapToGrid/>
              <w:spacing w:line="240" w:lineRule="auto"/>
              <w:ind w:right="0"/>
              <w:jc w:val="left"/>
              <w:textAlignment w:val="auto"/>
              <w:rPr>
                <w:rFonts w:hint="eastAsia"/>
                <w:b w:val="0"/>
                <w:color w:val="auto"/>
                <w:lang w:eastAsia="zh-CN"/>
              </w:rPr>
            </w:pPr>
            <w:r>
              <w:rPr>
                <w:rFonts w:hint="eastAsia"/>
                <w:b w:val="0"/>
                <w:color w:val="auto"/>
                <w:lang w:val="en-US" w:eastAsia="zh-CN"/>
              </w:rPr>
              <w:t>注册资金</w:t>
            </w:r>
          </w:p>
        </w:tc>
        <w:tc>
          <w:tcPr>
            <w:tcW w:w="3679" w:type="pct"/>
            <w:gridSpan w:val="15"/>
            <w:noWrap w:val="0"/>
            <w:vAlign w:val="bottom"/>
          </w:tcPr>
          <w:p w14:paraId="31D6EC0D">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14:paraId="0C11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317" w:type="pct"/>
            <w:gridSpan w:val="6"/>
            <w:noWrap w:val="0"/>
            <w:vAlign w:val="center"/>
          </w:tcPr>
          <w:p w14:paraId="707F7152">
            <w:pPr>
              <w:pageBreakBefore w:val="0"/>
              <w:widowControl w:val="0"/>
              <w:kinsoku/>
              <w:wordWrap/>
              <w:overflowPunct/>
              <w:topLinePunct w:val="0"/>
              <w:bidi w:val="0"/>
              <w:adjustRightInd/>
              <w:snapToGrid/>
              <w:spacing w:line="240" w:lineRule="auto"/>
              <w:ind w:right="0" w:rightChars="0"/>
              <w:jc w:val="left"/>
              <w:textAlignment w:val="auto"/>
              <w:rPr>
                <w:rFonts w:hint="default"/>
                <w:b w:val="0"/>
                <w:color w:val="auto"/>
                <w:lang w:val="en-US" w:eastAsia="zh-CN"/>
              </w:rPr>
            </w:pPr>
            <w:r>
              <w:rPr>
                <w:rFonts w:hint="eastAsia"/>
                <w:b w:val="0"/>
                <w:color w:val="auto"/>
                <w:lang w:eastAsia="zh-CN"/>
              </w:rPr>
              <w:t>法定代表人姓名</w:t>
            </w:r>
          </w:p>
        </w:tc>
        <w:tc>
          <w:tcPr>
            <w:tcW w:w="1712" w:type="pct"/>
            <w:gridSpan w:val="7"/>
            <w:noWrap w:val="0"/>
            <w:vAlign w:val="bottom"/>
          </w:tcPr>
          <w:p w14:paraId="49B1BA25">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p>
        </w:tc>
        <w:tc>
          <w:tcPr>
            <w:tcW w:w="890" w:type="pct"/>
            <w:gridSpan w:val="4"/>
            <w:noWrap w:val="0"/>
            <w:vAlign w:val="bottom"/>
          </w:tcPr>
          <w:p w14:paraId="601F4887">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r>
              <w:rPr>
                <w:rFonts w:hint="eastAsia"/>
                <w:b w:val="0"/>
                <w:color w:val="auto"/>
                <w:lang w:eastAsia="zh-CN"/>
              </w:rPr>
              <w:t>职务</w:t>
            </w:r>
          </w:p>
        </w:tc>
        <w:tc>
          <w:tcPr>
            <w:tcW w:w="1076" w:type="pct"/>
            <w:gridSpan w:val="4"/>
            <w:noWrap w:val="0"/>
            <w:vAlign w:val="bottom"/>
          </w:tcPr>
          <w:p w14:paraId="3761E211">
            <w:pPr>
              <w:pageBreakBefore w:val="0"/>
              <w:widowControl w:val="0"/>
              <w:kinsoku/>
              <w:wordWrap/>
              <w:overflowPunct/>
              <w:topLinePunct w:val="0"/>
              <w:bidi w:val="0"/>
              <w:adjustRightInd/>
              <w:snapToGrid/>
              <w:spacing w:line="240" w:lineRule="auto"/>
              <w:ind w:right="0"/>
              <w:jc w:val="left"/>
              <w:textAlignment w:val="auto"/>
              <w:rPr>
                <w:rFonts w:hint="eastAsia"/>
                <w:b w:val="0"/>
                <w:color w:val="auto"/>
              </w:rPr>
            </w:pPr>
          </w:p>
        </w:tc>
      </w:tr>
      <w:tr w14:paraId="4ABC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22" w:hRule="atLeast"/>
          <w:jc w:val="center"/>
        </w:trPr>
        <w:tc>
          <w:tcPr>
            <w:tcW w:w="1317" w:type="pct"/>
            <w:gridSpan w:val="6"/>
            <w:noWrap w:val="0"/>
            <w:vAlign w:val="center"/>
          </w:tcPr>
          <w:p w14:paraId="0408C987">
            <w:pPr>
              <w:pageBreakBefore w:val="0"/>
              <w:widowControl w:val="0"/>
              <w:kinsoku/>
              <w:wordWrap/>
              <w:overflowPunct/>
              <w:topLinePunct w:val="0"/>
              <w:bidi w:val="0"/>
              <w:adjustRightInd/>
              <w:snapToGrid/>
              <w:spacing w:line="240" w:lineRule="auto"/>
              <w:ind w:right="0" w:rightChars="0"/>
              <w:jc w:val="left"/>
              <w:textAlignment w:val="auto"/>
              <w:rPr>
                <w:rFonts w:hint="eastAsia"/>
                <w:b w:val="0"/>
                <w:color w:val="auto"/>
                <w:lang w:val="en-US" w:eastAsia="zh-CN"/>
              </w:rPr>
            </w:pPr>
            <w:r>
              <w:rPr>
                <w:rFonts w:hint="eastAsia"/>
                <w:b w:val="0"/>
                <w:color w:val="auto"/>
                <w:lang w:eastAsia="zh-CN"/>
              </w:rPr>
              <w:t>企业资质证书</w:t>
            </w:r>
          </w:p>
        </w:tc>
        <w:tc>
          <w:tcPr>
            <w:tcW w:w="3679" w:type="pct"/>
            <w:gridSpan w:val="15"/>
            <w:noWrap w:val="0"/>
            <w:vAlign w:val="bottom"/>
          </w:tcPr>
          <w:p w14:paraId="220F7C11">
            <w:pPr>
              <w:pageBreakBefore w:val="0"/>
              <w:widowControl w:val="0"/>
              <w:kinsoku/>
              <w:wordWrap/>
              <w:overflowPunct/>
              <w:topLinePunct w:val="0"/>
              <w:bidi w:val="0"/>
              <w:adjustRightInd/>
              <w:snapToGrid/>
              <w:spacing w:line="240" w:lineRule="auto"/>
              <w:ind w:right="0"/>
              <w:jc w:val="left"/>
              <w:textAlignment w:val="auto"/>
              <w:rPr>
                <w:rFonts w:hint="eastAsia"/>
                <w:color w:val="auto"/>
                <w:lang w:val="en-US" w:eastAsia="zh-CN"/>
              </w:rPr>
            </w:pPr>
            <w:r>
              <w:rPr>
                <w:rFonts w:hint="eastAsia"/>
                <w:color w:val="auto"/>
                <w:lang w:val="en-US" w:eastAsia="zh-CN"/>
              </w:rPr>
              <w:t>资质等级：</w:t>
            </w:r>
          </w:p>
          <w:p w14:paraId="673550F5">
            <w:pPr>
              <w:pStyle w:val="6"/>
              <w:pageBreakBefore w:val="0"/>
              <w:widowControl w:val="0"/>
              <w:kinsoku/>
              <w:wordWrap/>
              <w:overflowPunct/>
              <w:topLinePunct w:val="0"/>
              <w:bidi w:val="0"/>
              <w:spacing w:line="240" w:lineRule="auto"/>
              <w:textAlignment w:val="auto"/>
              <w:rPr>
                <w:rFonts w:hint="eastAsia"/>
                <w:color w:val="auto"/>
              </w:rPr>
            </w:pPr>
            <w:r>
              <w:rPr>
                <w:rFonts w:hint="eastAsia"/>
                <w:b w:val="0"/>
                <w:color w:val="auto"/>
                <w:lang w:val="en-US" w:eastAsia="zh-CN"/>
              </w:rPr>
              <w:t>证书编号：</w:t>
            </w:r>
          </w:p>
        </w:tc>
      </w:tr>
      <w:tr w14:paraId="2648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4996" w:type="pct"/>
            <w:gridSpan w:val="21"/>
            <w:noWrap w:val="0"/>
            <w:vAlign w:val="center"/>
          </w:tcPr>
          <w:p w14:paraId="7A79ADC7">
            <w:pPr>
              <w:pageBreakBefore w:val="0"/>
              <w:widowControl w:val="0"/>
              <w:kinsoku/>
              <w:wordWrap/>
              <w:overflowPunct/>
              <w:topLinePunct w:val="0"/>
              <w:bidi w:val="0"/>
              <w:spacing w:line="240" w:lineRule="auto"/>
              <w:ind w:left="34"/>
              <w:jc w:val="both"/>
              <w:textAlignment w:val="auto"/>
              <w:rPr>
                <w:rFonts w:hint="default" w:ascii="宋体" w:hAnsi="宋体" w:cs="宋体"/>
                <w:b w:val="0"/>
                <w:color w:val="auto"/>
                <w:highlight w:val="none"/>
                <w:lang w:val="en-US"/>
              </w:rPr>
            </w:pPr>
            <w:r>
              <w:rPr>
                <w:rFonts w:hint="eastAsia" w:ascii="宋体" w:hAnsi="宋体" w:cs="宋体"/>
                <w:color w:val="000000"/>
                <w:szCs w:val="21"/>
                <w:highlight w:val="none"/>
                <w:lang w:val="en-US" w:eastAsia="zh-CN"/>
              </w:rPr>
              <w:t>以下人员信息中，</w:t>
            </w:r>
            <w:r>
              <w:rPr>
                <w:rFonts w:hint="eastAsia" w:ascii="宋体" w:hAnsi="宋体" w:cs="宋体"/>
                <w:color w:val="000000"/>
                <w:szCs w:val="21"/>
                <w:highlight w:val="none"/>
                <w:lang w:eastAsia="zh-CN"/>
              </w:rPr>
              <w:t>项目负责人可以兼任设计项目负责人，</w:t>
            </w:r>
            <w:r>
              <w:rPr>
                <w:rFonts w:hint="eastAsia" w:ascii="宋体" w:hAnsi="宋体" w:cs="宋体"/>
                <w:color w:val="000000"/>
                <w:szCs w:val="21"/>
                <w:highlight w:val="none"/>
                <w:lang w:val="en-US" w:eastAsia="zh-CN"/>
              </w:rPr>
              <w:t>若有兼任情况，可只提供项目负责人信息</w:t>
            </w:r>
          </w:p>
        </w:tc>
      </w:tr>
      <w:tr w14:paraId="4EA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14:paraId="53EE6CC3">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序号</w:t>
            </w:r>
          </w:p>
        </w:tc>
        <w:tc>
          <w:tcPr>
            <w:tcW w:w="620" w:type="pct"/>
            <w:gridSpan w:val="3"/>
            <w:noWrap w:val="0"/>
            <w:vAlign w:val="center"/>
          </w:tcPr>
          <w:p w14:paraId="39D9DDE2">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拟任职务</w:t>
            </w:r>
          </w:p>
        </w:tc>
        <w:tc>
          <w:tcPr>
            <w:tcW w:w="394" w:type="pct"/>
            <w:gridSpan w:val="2"/>
            <w:noWrap w:val="0"/>
            <w:vAlign w:val="center"/>
          </w:tcPr>
          <w:p w14:paraId="6D72F478">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姓名</w:t>
            </w:r>
          </w:p>
        </w:tc>
        <w:tc>
          <w:tcPr>
            <w:tcW w:w="837" w:type="pct"/>
            <w:gridSpan w:val="2"/>
            <w:noWrap w:val="0"/>
            <w:vAlign w:val="center"/>
          </w:tcPr>
          <w:p w14:paraId="39364CFE">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注册执业资格</w:t>
            </w:r>
          </w:p>
        </w:tc>
        <w:tc>
          <w:tcPr>
            <w:tcW w:w="642" w:type="pct"/>
            <w:gridSpan w:val="4"/>
            <w:noWrap w:val="0"/>
            <w:vAlign w:val="center"/>
          </w:tcPr>
          <w:p w14:paraId="09C16603">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职称等级</w:t>
            </w:r>
          </w:p>
        </w:tc>
        <w:tc>
          <w:tcPr>
            <w:tcW w:w="1020" w:type="pct"/>
            <w:gridSpan w:val="4"/>
            <w:noWrap w:val="0"/>
            <w:vAlign w:val="center"/>
          </w:tcPr>
          <w:p w14:paraId="3807F088">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职称专业</w:t>
            </w:r>
          </w:p>
        </w:tc>
        <w:tc>
          <w:tcPr>
            <w:tcW w:w="547" w:type="pct"/>
            <w:gridSpan w:val="4"/>
            <w:noWrap w:val="0"/>
            <w:vAlign w:val="center"/>
          </w:tcPr>
          <w:p w14:paraId="28617C58">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最高学历</w:t>
            </w:r>
          </w:p>
        </w:tc>
        <w:tc>
          <w:tcPr>
            <w:tcW w:w="630" w:type="pct"/>
            <w:noWrap w:val="0"/>
            <w:vAlign w:val="center"/>
          </w:tcPr>
          <w:p w14:paraId="5E098946">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备注</w:t>
            </w:r>
          </w:p>
        </w:tc>
      </w:tr>
      <w:tr w14:paraId="6BE6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14:paraId="6A082F59">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r>
              <w:rPr>
                <w:rFonts w:hint="eastAsia" w:ascii="宋体" w:hAnsi="宋体" w:cs="宋体"/>
                <w:b w:val="0"/>
                <w:color w:val="auto"/>
                <w:highlight w:val="none"/>
              </w:rPr>
              <w:t>1</w:t>
            </w:r>
          </w:p>
        </w:tc>
        <w:tc>
          <w:tcPr>
            <w:tcW w:w="620" w:type="pct"/>
            <w:gridSpan w:val="3"/>
            <w:noWrap w:val="0"/>
            <w:vAlign w:val="center"/>
          </w:tcPr>
          <w:p w14:paraId="26E7A40C">
            <w:pPr>
              <w:pageBreakBefore w:val="0"/>
              <w:widowControl w:val="0"/>
              <w:kinsoku/>
              <w:wordWrap/>
              <w:overflowPunct/>
              <w:topLinePunct w:val="0"/>
              <w:bidi w:val="0"/>
              <w:spacing w:line="240" w:lineRule="auto"/>
              <w:ind w:left="34"/>
              <w:textAlignment w:val="auto"/>
              <w:rPr>
                <w:rFonts w:ascii="宋体" w:hAnsi="宋体" w:cs="宋体"/>
                <w:b w:val="0"/>
                <w:color w:val="auto"/>
                <w:sz w:val="24"/>
                <w:highlight w:val="none"/>
              </w:rPr>
            </w:pPr>
            <w:r>
              <w:rPr>
                <w:rFonts w:hint="eastAsia" w:ascii="宋体" w:hAnsi="宋体" w:cs="宋体"/>
                <w:b w:val="0"/>
                <w:color w:val="auto"/>
                <w:highlight w:val="none"/>
              </w:rPr>
              <w:t>项目负责人</w:t>
            </w:r>
          </w:p>
        </w:tc>
        <w:tc>
          <w:tcPr>
            <w:tcW w:w="394" w:type="pct"/>
            <w:gridSpan w:val="2"/>
            <w:noWrap w:val="0"/>
            <w:vAlign w:val="center"/>
          </w:tcPr>
          <w:p w14:paraId="071B4D72">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p>
        </w:tc>
        <w:tc>
          <w:tcPr>
            <w:tcW w:w="837" w:type="pct"/>
            <w:gridSpan w:val="2"/>
            <w:noWrap w:val="0"/>
            <w:vAlign w:val="center"/>
          </w:tcPr>
          <w:p w14:paraId="3BAF6077">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p>
        </w:tc>
        <w:tc>
          <w:tcPr>
            <w:tcW w:w="642" w:type="pct"/>
            <w:gridSpan w:val="4"/>
            <w:noWrap w:val="0"/>
            <w:vAlign w:val="center"/>
          </w:tcPr>
          <w:p w14:paraId="3CBF7D8E">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1020" w:type="pct"/>
            <w:gridSpan w:val="4"/>
            <w:noWrap w:val="0"/>
            <w:vAlign w:val="center"/>
          </w:tcPr>
          <w:p w14:paraId="6B236605">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p>
        </w:tc>
        <w:tc>
          <w:tcPr>
            <w:tcW w:w="547" w:type="pct"/>
            <w:gridSpan w:val="4"/>
            <w:noWrap w:val="0"/>
            <w:vAlign w:val="center"/>
          </w:tcPr>
          <w:p w14:paraId="176E1F27">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p>
        </w:tc>
        <w:tc>
          <w:tcPr>
            <w:tcW w:w="630" w:type="pct"/>
            <w:noWrap w:val="0"/>
            <w:vAlign w:val="center"/>
          </w:tcPr>
          <w:p w14:paraId="2A95C1B7">
            <w:pPr>
              <w:pageBreakBefore w:val="0"/>
              <w:widowControl w:val="0"/>
              <w:kinsoku/>
              <w:wordWrap/>
              <w:overflowPunct/>
              <w:topLinePunct w:val="0"/>
              <w:bidi w:val="0"/>
              <w:spacing w:line="240" w:lineRule="auto"/>
              <w:ind w:left="34"/>
              <w:jc w:val="center"/>
              <w:textAlignment w:val="auto"/>
              <w:rPr>
                <w:rFonts w:ascii="宋体" w:hAnsi="宋体"/>
                <w:b w:val="0"/>
                <w:color w:val="auto"/>
                <w:highlight w:val="none"/>
              </w:rPr>
            </w:pPr>
            <w:r>
              <w:rPr>
                <w:rFonts w:hint="eastAsia" w:ascii="宋体" w:hAnsi="宋体"/>
                <w:b w:val="0"/>
                <w:color w:val="auto"/>
                <w:highlight w:val="none"/>
              </w:rPr>
              <w:t>见资信标</w:t>
            </w:r>
          </w:p>
          <w:p w14:paraId="4B11A58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b w:val="0"/>
                <w:color w:val="auto"/>
                <w:highlight w:val="none"/>
              </w:rPr>
              <w:t>（）页</w:t>
            </w:r>
          </w:p>
        </w:tc>
      </w:tr>
      <w:tr w14:paraId="6FDF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14:paraId="67B55AB6">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r>
              <w:rPr>
                <w:rFonts w:hint="eastAsia" w:ascii="宋体" w:hAnsi="宋体" w:cs="宋体"/>
                <w:b w:val="0"/>
                <w:color w:val="auto"/>
                <w:highlight w:val="none"/>
              </w:rPr>
              <w:t>2</w:t>
            </w:r>
          </w:p>
        </w:tc>
        <w:tc>
          <w:tcPr>
            <w:tcW w:w="620" w:type="pct"/>
            <w:gridSpan w:val="3"/>
            <w:noWrap w:val="0"/>
            <w:vAlign w:val="center"/>
          </w:tcPr>
          <w:p w14:paraId="1F866DCC">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勘察</w:t>
            </w:r>
            <w:r>
              <w:rPr>
                <w:rFonts w:hint="eastAsia" w:ascii="宋体" w:hAnsi="宋体" w:eastAsia="宋体" w:cs="宋体"/>
                <w:b w:val="0"/>
                <w:color w:val="auto"/>
                <w:highlight w:val="none"/>
              </w:rPr>
              <w:t>项目负责人</w:t>
            </w:r>
          </w:p>
        </w:tc>
        <w:tc>
          <w:tcPr>
            <w:tcW w:w="394" w:type="pct"/>
            <w:gridSpan w:val="2"/>
            <w:noWrap w:val="0"/>
            <w:vAlign w:val="center"/>
          </w:tcPr>
          <w:p w14:paraId="1C184EA0">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37" w:type="pct"/>
            <w:gridSpan w:val="2"/>
            <w:noWrap w:val="0"/>
            <w:vAlign w:val="center"/>
          </w:tcPr>
          <w:p w14:paraId="15CBC21D">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642" w:type="pct"/>
            <w:gridSpan w:val="4"/>
            <w:noWrap w:val="0"/>
            <w:vAlign w:val="center"/>
          </w:tcPr>
          <w:p w14:paraId="09CB7679">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1020" w:type="pct"/>
            <w:gridSpan w:val="4"/>
            <w:noWrap w:val="0"/>
            <w:vAlign w:val="center"/>
          </w:tcPr>
          <w:p w14:paraId="3F1653DD">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47" w:type="pct"/>
            <w:gridSpan w:val="4"/>
            <w:noWrap w:val="0"/>
            <w:vAlign w:val="center"/>
          </w:tcPr>
          <w:p w14:paraId="499E0B82">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630" w:type="pct"/>
            <w:noWrap w:val="0"/>
            <w:vAlign w:val="center"/>
          </w:tcPr>
          <w:p w14:paraId="66FCF4AF">
            <w:pPr>
              <w:pageBreakBefore w:val="0"/>
              <w:widowControl w:val="0"/>
              <w:kinsoku/>
              <w:wordWrap/>
              <w:overflowPunct/>
              <w:topLinePunct w:val="0"/>
              <w:bidi w:val="0"/>
              <w:spacing w:line="240" w:lineRule="auto"/>
              <w:ind w:left="34"/>
              <w:jc w:val="center"/>
              <w:textAlignment w:val="auto"/>
              <w:rPr>
                <w:rFonts w:ascii="宋体" w:hAnsi="宋体"/>
                <w:b w:val="0"/>
                <w:color w:val="auto"/>
                <w:highlight w:val="none"/>
              </w:rPr>
            </w:pPr>
            <w:r>
              <w:rPr>
                <w:rFonts w:hint="eastAsia" w:ascii="宋体" w:hAnsi="宋体"/>
                <w:b w:val="0"/>
                <w:color w:val="auto"/>
                <w:highlight w:val="none"/>
              </w:rPr>
              <w:t>见资信标</w:t>
            </w:r>
          </w:p>
          <w:p w14:paraId="7CB3EACE">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b w:val="0"/>
                <w:color w:val="auto"/>
                <w:highlight w:val="none"/>
              </w:rPr>
              <w:t>（）页</w:t>
            </w:r>
          </w:p>
        </w:tc>
      </w:tr>
      <w:tr w14:paraId="520D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4" w:hRule="atLeast"/>
          <w:jc w:val="center"/>
        </w:trPr>
        <w:tc>
          <w:tcPr>
            <w:tcW w:w="303" w:type="pct"/>
            <w:noWrap w:val="0"/>
            <w:vAlign w:val="center"/>
          </w:tcPr>
          <w:p w14:paraId="049CA0C9">
            <w:pPr>
              <w:pageBreakBefore w:val="0"/>
              <w:widowControl w:val="0"/>
              <w:kinsoku/>
              <w:wordWrap/>
              <w:overflowPunct/>
              <w:topLinePunct w:val="0"/>
              <w:bidi w:val="0"/>
              <w:spacing w:line="240" w:lineRule="auto"/>
              <w:ind w:left="34"/>
              <w:jc w:val="center"/>
              <w:textAlignment w:val="auto"/>
              <w:rPr>
                <w:rFonts w:ascii="宋体" w:hAnsi="宋体" w:cs="宋体"/>
                <w:b w:val="0"/>
                <w:color w:val="auto"/>
                <w:sz w:val="24"/>
                <w:highlight w:val="none"/>
              </w:rPr>
            </w:pPr>
            <w:r>
              <w:rPr>
                <w:rFonts w:hint="eastAsia" w:ascii="宋体" w:hAnsi="宋体" w:cs="宋体"/>
                <w:b w:val="0"/>
                <w:color w:val="auto"/>
                <w:highlight w:val="none"/>
              </w:rPr>
              <w:t>3</w:t>
            </w:r>
          </w:p>
        </w:tc>
        <w:tc>
          <w:tcPr>
            <w:tcW w:w="620" w:type="pct"/>
            <w:gridSpan w:val="3"/>
            <w:noWrap w:val="0"/>
            <w:vAlign w:val="center"/>
          </w:tcPr>
          <w:p w14:paraId="123F3C40">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设计</w:t>
            </w:r>
            <w:r>
              <w:rPr>
                <w:rFonts w:hint="eastAsia" w:ascii="宋体" w:hAnsi="宋体" w:eastAsia="宋体" w:cs="宋体"/>
                <w:b w:val="0"/>
                <w:color w:val="auto"/>
                <w:highlight w:val="none"/>
              </w:rPr>
              <w:t>项目负责人</w:t>
            </w:r>
          </w:p>
        </w:tc>
        <w:tc>
          <w:tcPr>
            <w:tcW w:w="394" w:type="pct"/>
            <w:gridSpan w:val="2"/>
            <w:noWrap w:val="0"/>
            <w:vAlign w:val="center"/>
          </w:tcPr>
          <w:p w14:paraId="6D0932C2">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37" w:type="pct"/>
            <w:gridSpan w:val="2"/>
            <w:noWrap w:val="0"/>
            <w:vAlign w:val="center"/>
          </w:tcPr>
          <w:p w14:paraId="5BA492B0">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642" w:type="pct"/>
            <w:gridSpan w:val="4"/>
            <w:noWrap w:val="0"/>
            <w:vAlign w:val="center"/>
          </w:tcPr>
          <w:p w14:paraId="0453BFF9">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p>
        </w:tc>
        <w:tc>
          <w:tcPr>
            <w:tcW w:w="1020" w:type="pct"/>
            <w:gridSpan w:val="4"/>
            <w:noWrap w:val="0"/>
            <w:vAlign w:val="center"/>
          </w:tcPr>
          <w:p w14:paraId="79C757E3">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47" w:type="pct"/>
            <w:gridSpan w:val="4"/>
            <w:noWrap w:val="0"/>
            <w:vAlign w:val="center"/>
          </w:tcPr>
          <w:p w14:paraId="1CE88C3E">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630" w:type="pct"/>
            <w:noWrap w:val="0"/>
            <w:vAlign w:val="center"/>
          </w:tcPr>
          <w:p w14:paraId="7A08A989">
            <w:pPr>
              <w:pageBreakBefore w:val="0"/>
              <w:widowControl w:val="0"/>
              <w:kinsoku/>
              <w:wordWrap/>
              <w:overflowPunct/>
              <w:topLinePunct w:val="0"/>
              <w:bidi w:val="0"/>
              <w:spacing w:line="240" w:lineRule="auto"/>
              <w:ind w:left="34"/>
              <w:jc w:val="center"/>
              <w:textAlignment w:val="auto"/>
              <w:rPr>
                <w:rFonts w:ascii="宋体" w:hAnsi="宋体"/>
                <w:b w:val="0"/>
                <w:color w:val="auto"/>
                <w:highlight w:val="none"/>
              </w:rPr>
            </w:pPr>
            <w:r>
              <w:rPr>
                <w:rFonts w:hint="eastAsia" w:ascii="宋体" w:hAnsi="宋体"/>
                <w:b w:val="0"/>
                <w:color w:val="auto"/>
                <w:highlight w:val="none"/>
              </w:rPr>
              <w:t>见资信标</w:t>
            </w:r>
          </w:p>
          <w:p w14:paraId="460800C1">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b w:val="0"/>
                <w:color w:val="auto"/>
                <w:highlight w:val="none"/>
              </w:rPr>
              <w:t>（）页</w:t>
            </w:r>
          </w:p>
        </w:tc>
      </w:tr>
      <w:tr w14:paraId="5552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4" w:hRule="atLeast"/>
          <w:jc w:val="center"/>
        </w:trPr>
        <w:tc>
          <w:tcPr>
            <w:tcW w:w="303" w:type="pct"/>
            <w:noWrap w:val="0"/>
            <w:vAlign w:val="center"/>
          </w:tcPr>
          <w:p w14:paraId="1532F2EA">
            <w:pPr>
              <w:pageBreakBefore w:val="0"/>
              <w:widowControl w:val="0"/>
              <w:kinsoku/>
              <w:wordWrap/>
              <w:overflowPunct/>
              <w:topLinePunct w:val="0"/>
              <w:bidi w:val="0"/>
              <w:spacing w:line="240" w:lineRule="auto"/>
              <w:ind w:left="34"/>
              <w:jc w:val="center"/>
              <w:textAlignment w:val="auto"/>
              <w:rPr>
                <w:rFonts w:hint="default" w:ascii="宋体" w:hAnsi="宋体" w:eastAsia="宋体" w:cs="宋体"/>
                <w:b w:val="0"/>
                <w:color w:val="auto"/>
                <w:highlight w:val="none"/>
                <w:lang w:val="en-US" w:eastAsia="zh-CN"/>
              </w:rPr>
            </w:pPr>
            <w:r>
              <w:rPr>
                <w:rFonts w:hint="eastAsia" w:ascii="宋体" w:hAnsi="宋体" w:eastAsia="宋体" w:cs="宋体"/>
                <w:b w:val="0"/>
                <w:color w:val="auto"/>
                <w:highlight w:val="none"/>
                <w:lang w:val="en-US" w:eastAsia="zh-CN"/>
              </w:rPr>
              <w:t>...</w:t>
            </w:r>
          </w:p>
        </w:tc>
        <w:tc>
          <w:tcPr>
            <w:tcW w:w="620" w:type="pct"/>
            <w:gridSpan w:val="3"/>
            <w:noWrap w:val="0"/>
            <w:vAlign w:val="center"/>
          </w:tcPr>
          <w:p w14:paraId="49BD4EA6">
            <w:pPr>
              <w:pageBreakBefore w:val="0"/>
              <w:widowControl w:val="0"/>
              <w:kinsoku/>
              <w:wordWrap/>
              <w:overflowPunct/>
              <w:topLinePunct w:val="0"/>
              <w:bidi w:val="0"/>
              <w:spacing w:line="240" w:lineRule="auto"/>
              <w:ind w:right="-6"/>
              <w:textAlignment w:val="auto"/>
              <w:rPr>
                <w:rFonts w:ascii="宋体" w:hAnsi="宋体" w:eastAsia="宋体" w:cs="宋体"/>
                <w:b w:val="0"/>
                <w:bCs/>
                <w:color w:val="auto"/>
                <w:sz w:val="22"/>
                <w:szCs w:val="22"/>
                <w:highlight w:val="none"/>
              </w:rPr>
            </w:pPr>
          </w:p>
        </w:tc>
        <w:tc>
          <w:tcPr>
            <w:tcW w:w="394" w:type="pct"/>
            <w:gridSpan w:val="2"/>
            <w:noWrap w:val="0"/>
            <w:vAlign w:val="center"/>
          </w:tcPr>
          <w:p w14:paraId="68ECF3D8">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37" w:type="pct"/>
            <w:gridSpan w:val="2"/>
            <w:noWrap w:val="0"/>
            <w:vAlign w:val="center"/>
          </w:tcPr>
          <w:p w14:paraId="43813174">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642" w:type="pct"/>
            <w:gridSpan w:val="4"/>
            <w:noWrap w:val="0"/>
            <w:vAlign w:val="center"/>
          </w:tcPr>
          <w:p w14:paraId="0DE00879">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020" w:type="pct"/>
            <w:gridSpan w:val="4"/>
            <w:noWrap w:val="0"/>
            <w:vAlign w:val="center"/>
          </w:tcPr>
          <w:p w14:paraId="40352A5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47" w:type="pct"/>
            <w:gridSpan w:val="4"/>
            <w:noWrap w:val="0"/>
            <w:vAlign w:val="center"/>
          </w:tcPr>
          <w:p w14:paraId="3A4C4235">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630" w:type="pct"/>
            <w:noWrap w:val="0"/>
            <w:vAlign w:val="center"/>
          </w:tcPr>
          <w:p w14:paraId="6EDEB863">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r>
      <w:tr w14:paraId="00C3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67" w:hRule="atLeast"/>
          <w:jc w:val="center"/>
        </w:trPr>
        <w:tc>
          <w:tcPr>
            <w:tcW w:w="4996" w:type="pct"/>
            <w:gridSpan w:val="21"/>
            <w:noWrap w:val="0"/>
            <w:vAlign w:val="center"/>
          </w:tcPr>
          <w:p w14:paraId="19C5BEC3">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b w:val="0"/>
                <w:color w:val="auto"/>
                <w:highlight w:val="none"/>
              </w:rPr>
              <w:t>拟派</w:t>
            </w:r>
            <w:r>
              <w:rPr>
                <w:rFonts w:hint="eastAsia" w:ascii="宋体" w:hAnsi="宋体" w:eastAsia="宋体" w:cs="宋体"/>
                <w:b w:val="0"/>
                <w:bCs/>
                <w:color w:val="auto"/>
                <w:highlight w:val="none"/>
              </w:rPr>
              <w:t>项目负责人个人</w:t>
            </w:r>
            <w:r>
              <w:rPr>
                <w:rFonts w:hint="eastAsia" w:ascii="宋体" w:hAnsi="宋体" w:eastAsia="宋体" w:cs="宋体"/>
                <w:color w:val="auto"/>
                <w:szCs w:val="21"/>
                <w:highlight w:val="none"/>
                <w:lang w:val="en-US" w:eastAsia="zh-CN"/>
              </w:rPr>
              <w:t>同类工程</w:t>
            </w:r>
            <w:r>
              <w:rPr>
                <w:rFonts w:hint="eastAsia" w:ascii="宋体" w:hAnsi="宋体" w:eastAsia="宋体" w:cs="宋体"/>
                <w:b w:val="0"/>
                <w:bCs/>
                <w:color w:val="auto"/>
                <w:highlight w:val="none"/>
              </w:rPr>
              <w:t>业绩  合计    项</w:t>
            </w:r>
          </w:p>
        </w:tc>
      </w:tr>
      <w:tr w14:paraId="31A1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6E41EFAE">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序号</w:t>
            </w:r>
          </w:p>
        </w:tc>
        <w:tc>
          <w:tcPr>
            <w:tcW w:w="1909" w:type="pct"/>
            <w:gridSpan w:val="7"/>
            <w:noWrap w:val="0"/>
            <w:vAlign w:val="center"/>
          </w:tcPr>
          <w:p w14:paraId="59AFAB0E">
            <w:pPr>
              <w:pageBreakBefore w:val="0"/>
              <w:widowControl w:val="0"/>
              <w:kinsoku/>
              <w:wordWrap/>
              <w:overflowPunct/>
              <w:topLinePunct w:val="0"/>
              <w:bidi w:val="0"/>
              <w:spacing w:line="240" w:lineRule="auto"/>
              <w:jc w:val="center"/>
              <w:textAlignment w:val="auto"/>
              <w:rPr>
                <w:rFonts w:hint="eastAsia" w:ascii="宋体" w:hAnsi="宋体" w:eastAsia="宋体" w:cs="宋体"/>
                <w:b w:val="0"/>
                <w:color w:val="auto"/>
                <w:highlight w:val="none"/>
                <w:lang w:val="en-US" w:eastAsia="zh-CN"/>
              </w:rPr>
            </w:pPr>
            <w:r>
              <w:rPr>
                <w:rFonts w:hint="eastAsia" w:ascii="宋体" w:hAnsi="宋体" w:eastAsia="宋体" w:cs="宋体"/>
                <w:b w:val="0"/>
                <w:bCs/>
                <w:color w:val="auto"/>
                <w:highlight w:val="none"/>
              </w:rPr>
              <w:t>业绩</w:t>
            </w:r>
            <w:r>
              <w:rPr>
                <w:rFonts w:hint="eastAsia" w:ascii="宋体" w:hAnsi="宋体" w:eastAsia="宋体" w:cs="宋体"/>
                <w:b w:val="0"/>
                <w:bCs/>
                <w:color w:val="auto"/>
                <w:highlight w:val="none"/>
                <w:lang w:val="en-US" w:eastAsia="zh-CN"/>
              </w:rPr>
              <w:t>项目名称</w:t>
            </w:r>
          </w:p>
        </w:tc>
        <w:tc>
          <w:tcPr>
            <w:tcW w:w="713" w:type="pct"/>
            <w:gridSpan w:val="5"/>
            <w:noWrap w:val="0"/>
            <w:vAlign w:val="center"/>
          </w:tcPr>
          <w:p w14:paraId="79E4D352">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合同金额</w:t>
            </w:r>
          </w:p>
          <w:p w14:paraId="255D6D13">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（万元）</w:t>
            </w:r>
          </w:p>
        </w:tc>
        <w:tc>
          <w:tcPr>
            <w:tcW w:w="753" w:type="pct"/>
            <w:gridSpan w:val="2"/>
            <w:noWrap w:val="0"/>
            <w:vAlign w:val="center"/>
          </w:tcPr>
          <w:p w14:paraId="09E20693">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合同签订日期</w:t>
            </w:r>
          </w:p>
        </w:tc>
        <w:tc>
          <w:tcPr>
            <w:tcW w:w="1181" w:type="pct"/>
            <w:gridSpan w:val="6"/>
            <w:noWrap w:val="0"/>
            <w:vAlign w:val="center"/>
          </w:tcPr>
          <w:p w14:paraId="4D1E2173">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备注</w:t>
            </w:r>
          </w:p>
        </w:tc>
      </w:tr>
      <w:tr w14:paraId="334E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2FF4A929">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1909" w:type="pct"/>
            <w:gridSpan w:val="7"/>
            <w:noWrap w:val="0"/>
            <w:vAlign w:val="center"/>
          </w:tcPr>
          <w:p w14:paraId="71BA47E9">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14:paraId="025F41DA">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14:paraId="4278F303">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1181" w:type="pct"/>
            <w:gridSpan w:val="6"/>
            <w:noWrap w:val="0"/>
            <w:vAlign w:val="center"/>
          </w:tcPr>
          <w:p w14:paraId="340B8CCB">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5661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7A2866DD">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1909" w:type="pct"/>
            <w:gridSpan w:val="7"/>
            <w:noWrap w:val="0"/>
            <w:vAlign w:val="center"/>
          </w:tcPr>
          <w:p w14:paraId="27C0D1A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14:paraId="2996E303">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14:paraId="62D6E59C">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181" w:type="pct"/>
            <w:gridSpan w:val="6"/>
            <w:noWrap w:val="0"/>
            <w:vAlign w:val="center"/>
          </w:tcPr>
          <w:p w14:paraId="30703250">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5F13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6CF9E81D">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1909" w:type="pct"/>
            <w:gridSpan w:val="7"/>
            <w:noWrap w:val="0"/>
            <w:vAlign w:val="center"/>
          </w:tcPr>
          <w:p w14:paraId="5E3170FF">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14:paraId="085729D2">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14:paraId="2598941A">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181" w:type="pct"/>
            <w:gridSpan w:val="6"/>
            <w:noWrap w:val="0"/>
            <w:vAlign w:val="center"/>
          </w:tcPr>
          <w:p w14:paraId="7487D37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276E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14:paraId="755579BD">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b w:val="0"/>
                <w:color w:val="auto"/>
                <w:highlight w:val="none"/>
              </w:rPr>
              <w:t>拟派</w:t>
            </w:r>
            <w:r>
              <w:rPr>
                <w:rFonts w:hint="eastAsia" w:ascii="宋体" w:hAnsi="宋体" w:eastAsia="宋体" w:cs="宋体"/>
                <w:b w:val="0"/>
                <w:bCs/>
                <w:color w:val="auto"/>
                <w:highlight w:val="none"/>
                <w:lang w:val="en-US" w:eastAsia="zh-CN"/>
              </w:rPr>
              <w:t>勘察</w:t>
            </w:r>
            <w:r>
              <w:rPr>
                <w:rFonts w:hint="eastAsia" w:ascii="宋体" w:hAnsi="宋体" w:eastAsia="宋体" w:cs="宋体"/>
                <w:b w:val="0"/>
                <w:bCs/>
                <w:color w:val="auto"/>
                <w:highlight w:val="none"/>
              </w:rPr>
              <w:t>项目负责人个人</w:t>
            </w:r>
            <w:r>
              <w:rPr>
                <w:rFonts w:hint="eastAsia" w:ascii="宋体" w:hAnsi="宋体" w:eastAsia="宋体" w:cs="宋体"/>
                <w:color w:val="auto"/>
                <w:szCs w:val="21"/>
                <w:highlight w:val="none"/>
                <w:lang w:val="en-US" w:eastAsia="zh-CN"/>
              </w:rPr>
              <w:t>同类工程</w:t>
            </w:r>
            <w:r>
              <w:rPr>
                <w:rFonts w:hint="eastAsia" w:ascii="宋体" w:hAnsi="宋体" w:eastAsia="宋体" w:cs="宋体"/>
                <w:b w:val="0"/>
                <w:bCs/>
                <w:color w:val="auto"/>
                <w:highlight w:val="none"/>
              </w:rPr>
              <w:t>业绩  合计    项</w:t>
            </w:r>
          </w:p>
        </w:tc>
      </w:tr>
      <w:tr w14:paraId="78BE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3A10B0D9">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序号</w:t>
            </w:r>
          </w:p>
        </w:tc>
        <w:tc>
          <w:tcPr>
            <w:tcW w:w="1909" w:type="pct"/>
            <w:gridSpan w:val="7"/>
            <w:noWrap w:val="0"/>
            <w:vAlign w:val="center"/>
          </w:tcPr>
          <w:p w14:paraId="425A1104">
            <w:pPr>
              <w:pageBreakBefore w:val="0"/>
              <w:widowControl w:val="0"/>
              <w:kinsoku/>
              <w:wordWrap/>
              <w:overflowPunct/>
              <w:topLinePunct w:val="0"/>
              <w:bidi w:val="0"/>
              <w:spacing w:line="240" w:lineRule="auto"/>
              <w:jc w:val="center"/>
              <w:textAlignment w:val="auto"/>
              <w:rPr>
                <w:rFonts w:hint="eastAsia" w:ascii="宋体" w:hAnsi="宋体" w:eastAsia="宋体" w:cs="宋体"/>
                <w:b w:val="0"/>
                <w:color w:val="auto"/>
                <w:highlight w:val="none"/>
                <w:lang w:eastAsia="zh-CN"/>
              </w:rPr>
            </w:pPr>
            <w:r>
              <w:rPr>
                <w:rFonts w:hint="eastAsia" w:ascii="宋体" w:hAnsi="宋体" w:eastAsia="宋体" w:cs="宋体"/>
                <w:b w:val="0"/>
                <w:bCs/>
                <w:color w:val="auto"/>
                <w:highlight w:val="none"/>
              </w:rPr>
              <w:t>业绩</w:t>
            </w:r>
            <w:r>
              <w:rPr>
                <w:rFonts w:hint="eastAsia" w:ascii="宋体" w:hAnsi="宋体" w:eastAsia="宋体" w:cs="宋体"/>
                <w:b w:val="0"/>
                <w:bCs/>
                <w:color w:val="auto"/>
                <w:highlight w:val="none"/>
                <w:lang w:val="en-US" w:eastAsia="zh-CN"/>
              </w:rPr>
              <w:t>项目名称</w:t>
            </w:r>
          </w:p>
        </w:tc>
        <w:tc>
          <w:tcPr>
            <w:tcW w:w="713" w:type="pct"/>
            <w:gridSpan w:val="5"/>
            <w:noWrap w:val="0"/>
            <w:vAlign w:val="center"/>
          </w:tcPr>
          <w:p w14:paraId="4BD53116">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合同金额</w:t>
            </w:r>
          </w:p>
          <w:p w14:paraId="757CAC5D">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（万元）</w:t>
            </w:r>
          </w:p>
        </w:tc>
        <w:tc>
          <w:tcPr>
            <w:tcW w:w="753" w:type="pct"/>
            <w:gridSpan w:val="2"/>
            <w:noWrap w:val="0"/>
            <w:vAlign w:val="center"/>
          </w:tcPr>
          <w:p w14:paraId="7552AC5B">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合同签订日期</w:t>
            </w:r>
          </w:p>
        </w:tc>
        <w:tc>
          <w:tcPr>
            <w:tcW w:w="1181" w:type="pct"/>
            <w:gridSpan w:val="6"/>
            <w:noWrap w:val="0"/>
            <w:vAlign w:val="center"/>
          </w:tcPr>
          <w:p w14:paraId="0F4FA135">
            <w:pPr>
              <w:pageBreakBefore w:val="0"/>
              <w:widowControl w:val="0"/>
              <w:kinsoku/>
              <w:wordWrap/>
              <w:overflowPunct/>
              <w:topLinePunct w:val="0"/>
              <w:bidi w:val="0"/>
              <w:spacing w:line="240" w:lineRule="auto"/>
              <w:jc w:val="center"/>
              <w:textAlignment w:val="auto"/>
              <w:rPr>
                <w:rFonts w:ascii="宋体" w:hAnsi="宋体" w:cs="宋体"/>
                <w:b w:val="0"/>
                <w:color w:val="auto"/>
                <w:highlight w:val="none"/>
              </w:rPr>
            </w:pPr>
            <w:r>
              <w:rPr>
                <w:rFonts w:hint="eastAsia" w:ascii="宋体" w:hAnsi="宋体" w:eastAsia="宋体" w:cs="宋体"/>
                <w:b w:val="0"/>
                <w:color w:val="auto"/>
                <w:highlight w:val="none"/>
              </w:rPr>
              <w:t>备注</w:t>
            </w:r>
          </w:p>
        </w:tc>
      </w:tr>
      <w:tr w14:paraId="6D2F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2D2F1D8E">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1909" w:type="pct"/>
            <w:gridSpan w:val="7"/>
            <w:noWrap w:val="0"/>
            <w:vAlign w:val="center"/>
          </w:tcPr>
          <w:p w14:paraId="43BED741">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14:paraId="21A1440E">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14:paraId="087C67E2">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p>
        </w:tc>
        <w:tc>
          <w:tcPr>
            <w:tcW w:w="1181" w:type="pct"/>
            <w:gridSpan w:val="6"/>
            <w:noWrap w:val="0"/>
            <w:vAlign w:val="center"/>
          </w:tcPr>
          <w:p w14:paraId="4D2186A9">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4C5A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2F6889A5">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1909" w:type="pct"/>
            <w:gridSpan w:val="7"/>
            <w:noWrap w:val="0"/>
            <w:vAlign w:val="center"/>
          </w:tcPr>
          <w:p w14:paraId="2206841D">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14:paraId="711493B4">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14:paraId="629CE82D">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181" w:type="pct"/>
            <w:gridSpan w:val="6"/>
            <w:noWrap w:val="0"/>
            <w:vAlign w:val="center"/>
          </w:tcPr>
          <w:p w14:paraId="3A901704">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03A7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5DE3D147">
            <w:pPr>
              <w:pageBreakBefore w:val="0"/>
              <w:widowControl w:val="0"/>
              <w:kinsoku/>
              <w:wordWrap/>
              <w:overflowPunct/>
              <w:topLinePunct w:val="0"/>
              <w:bidi w:val="0"/>
              <w:spacing w:line="240" w:lineRule="auto"/>
              <w:ind w:left="34"/>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1909" w:type="pct"/>
            <w:gridSpan w:val="7"/>
            <w:noWrap w:val="0"/>
            <w:vAlign w:val="center"/>
          </w:tcPr>
          <w:p w14:paraId="3ED270F3">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3" w:type="pct"/>
            <w:gridSpan w:val="5"/>
            <w:noWrap w:val="0"/>
            <w:vAlign w:val="center"/>
          </w:tcPr>
          <w:p w14:paraId="0CCFDB0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53" w:type="pct"/>
            <w:gridSpan w:val="2"/>
            <w:noWrap w:val="0"/>
            <w:vAlign w:val="center"/>
          </w:tcPr>
          <w:p w14:paraId="11BA79AA">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1181" w:type="pct"/>
            <w:gridSpan w:val="6"/>
            <w:noWrap w:val="0"/>
            <w:vAlign w:val="center"/>
          </w:tcPr>
          <w:p w14:paraId="7F007CF5">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650C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14:paraId="5C6C0342">
            <w:pPr>
              <w:pageBreakBefore w:val="0"/>
              <w:widowControl w:val="0"/>
              <w:kinsoku/>
              <w:wordWrap/>
              <w:overflowPunct/>
              <w:topLinePunct w:val="0"/>
              <w:bidi w:val="0"/>
              <w:spacing w:line="240" w:lineRule="auto"/>
              <w:ind w:left="34"/>
              <w:textAlignment w:val="auto"/>
              <w:rPr>
                <w:rFonts w:hint="eastAsia" w:ascii="宋体" w:hAnsi="宋体" w:eastAsia="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b w:val="0"/>
                <w:color w:val="auto"/>
                <w:highlight w:val="none"/>
              </w:rPr>
              <w:t>拟派</w:t>
            </w:r>
            <w:r>
              <w:rPr>
                <w:rFonts w:hint="eastAsia" w:ascii="宋体" w:hAnsi="宋体" w:eastAsia="宋体" w:cs="宋体"/>
                <w:b w:val="0"/>
                <w:bCs/>
                <w:color w:val="auto"/>
                <w:highlight w:val="none"/>
                <w:lang w:val="en-US" w:eastAsia="zh-CN"/>
              </w:rPr>
              <w:t>设计</w:t>
            </w:r>
            <w:r>
              <w:rPr>
                <w:rFonts w:hint="eastAsia" w:ascii="宋体" w:hAnsi="宋体" w:eastAsia="宋体" w:cs="宋体"/>
                <w:b w:val="0"/>
                <w:bCs/>
                <w:color w:val="auto"/>
                <w:highlight w:val="none"/>
              </w:rPr>
              <w:t>项目负责人个人</w:t>
            </w:r>
            <w:r>
              <w:rPr>
                <w:rFonts w:hint="eastAsia" w:ascii="宋体" w:hAnsi="宋体" w:eastAsia="宋体" w:cs="宋体"/>
                <w:color w:val="auto"/>
                <w:szCs w:val="21"/>
                <w:highlight w:val="none"/>
                <w:lang w:val="en-US" w:eastAsia="zh-CN"/>
              </w:rPr>
              <w:t>同类工程</w:t>
            </w:r>
            <w:r>
              <w:rPr>
                <w:rFonts w:hint="eastAsia" w:ascii="宋体" w:hAnsi="宋体" w:eastAsia="宋体" w:cs="宋体"/>
                <w:b w:val="0"/>
                <w:bCs/>
                <w:color w:val="auto"/>
                <w:highlight w:val="none"/>
              </w:rPr>
              <w:t>业绩  合计    项</w:t>
            </w:r>
          </w:p>
        </w:tc>
      </w:tr>
      <w:tr w14:paraId="4283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44A43E57">
            <w:pPr>
              <w:pageBreakBefore w:val="0"/>
              <w:widowControl w:val="0"/>
              <w:kinsoku/>
              <w:wordWrap/>
              <w:overflowPunct/>
              <w:topLinePunct w:val="0"/>
              <w:bidi w:val="0"/>
              <w:spacing w:line="240" w:lineRule="auto"/>
              <w:jc w:val="center"/>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序号</w:t>
            </w:r>
          </w:p>
        </w:tc>
        <w:tc>
          <w:tcPr>
            <w:tcW w:w="1991" w:type="pct"/>
            <w:gridSpan w:val="8"/>
            <w:noWrap w:val="0"/>
            <w:vAlign w:val="center"/>
          </w:tcPr>
          <w:p w14:paraId="14593A34">
            <w:pPr>
              <w:pageBreakBefore w:val="0"/>
              <w:widowControl w:val="0"/>
              <w:kinsoku/>
              <w:wordWrap/>
              <w:overflowPunct/>
              <w:topLinePunct w:val="0"/>
              <w:bidi w:val="0"/>
              <w:spacing w:line="240" w:lineRule="auto"/>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bCs/>
                <w:color w:val="auto"/>
                <w:highlight w:val="none"/>
              </w:rPr>
              <w:t>业绩</w:t>
            </w:r>
            <w:r>
              <w:rPr>
                <w:rFonts w:hint="eastAsia" w:ascii="宋体" w:hAnsi="宋体" w:eastAsia="宋体" w:cs="宋体"/>
                <w:b w:val="0"/>
                <w:bCs/>
                <w:color w:val="auto"/>
                <w:highlight w:val="none"/>
                <w:lang w:val="en-US" w:eastAsia="zh-CN"/>
              </w:rPr>
              <w:t>项目名称</w:t>
            </w:r>
          </w:p>
        </w:tc>
        <w:tc>
          <w:tcPr>
            <w:tcW w:w="631" w:type="pct"/>
            <w:gridSpan w:val="4"/>
            <w:noWrap w:val="0"/>
            <w:vAlign w:val="center"/>
          </w:tcPr>
          <w:p w14:paraId="155C4C39">
            <w:pPr>
              <w:pageBreakBefore w:val="0"/>
              <w:widowControl w:val="0"/>
              <w:kinsoku/>
              <w:wordWrap/>
              <w:overflowPunct/>
              <w:topLinePunct w:val="0"/>
              <w:bidi w:val="0"/>
              <w:spacing w:line="240" w:lineRule="auto"/>
              <w:jc w:val="center"/>
              <w:textAlignment w:val="auto"/>
              <w:rPr>
                <w:rFonts w:ascii="宋体" w:hAnsi="宋体" w:eastAsia="宋体" w:cs="宋体"/>
                <w:b w:val="0"/>
                <w:color w:val="auto"/>
                <w:highlight w:val="none"/>
              </w:rPr>
            </w:pPr>
            <w:r>
              <w:rPr>
                <w:rFonts w:hint="eastAsia" w:ascii="宋体" w:hAnsi="宋体" w:eastAsia="宋体" w:cs="宋体"/>
                <w:b w:val="0"/>
                <w:color w:val="auto"/>
                <w:highlight w:val="none"/>
              </w:rPr>
              <w:t>合同金额</w:t>
            </w:r>
          </w:p>
          <w:p w14:paraId="707F12A1">
            <w:pPr>
              <w:pageBreakBefore w:val="0"/>
              <w:widowControl w:val="0"/>
              <w:kinsoku/>
              <w:wordWrap/>
              <w:overflowPunct/>
              <w:topLinePunct w:val="0"/>
              <w:bidi w:val="0"/>
              <w:spacing w:line="240" w:lineRule="auto"/>
              <w:jc w:val="center"/>
              <w:textAlignment w:val="auto"/>
              <w:rPr>
                <w:rFonts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（万元）</w:t>
            </w:r>
          </w:p>
        </w:tc>
        <w:tc>
          <w:tcPr>
            <w:tcW w:w="753" w:type="pct"/>
            <w:gridSpan w:val="2"/>
            <w:noWrap w:val="0"/>
            <w:vAlign w:val="center"/>
          </w:tcPr>
          <w:p w14:paraId="3A44F02A">
            <w:pPr>
              <w:pageBreakBefore w:val="0"/>
              <w:widowControl w:val="0"/>
              <w:kinsoku/>
              <w:wordWrap/>
              <w:overflowPunct/>
              <w:topLinePunct w:val="0"/>
              <w:bidi w:val="0"/>
              <w:spacing w:line="240" w:lineRule="auto"/>
              <w:jc w:val="center"/>
              <w:textAlignment w:val="auto"/>
              <w:rPr>
                <w:rFonts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合同签订日期</w:t>
            </w:r>
          </w:p>
        </w:tc>
        <w:tc>
          <w:tcPr>
            <w:tcW w:w="1181" w:type="pct"/>
            <w:gridSpan w:val="6"/>
            <w:noWrap w:val="0"/>
            <w:vAlign w:val="center"/>
          </w:tcPr>
          <w:p w14:paraId="473016F0">
            <w:pPr>
              <w:pageBreakBefore w:val="0"/>
              <w:widowControl w:val="0"/>
              <w:kinsoku/>
              <w:wordWrap/>
              <w:overflowPunct/>
              <w:topLinePunct w:val="0"/>
              <w:bidi w:val="0"/>
              <w:spacing w:line="240" w:lineRule="auto"/>
              <w:jc w:val="center"/>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备注</w:t>
            </w:r>
          </w:p>
        </w:tc>
      </w:tr>
      <w:tr w14:paraId="3DA4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209FB820">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1</w:t>
            </w:r>
          </w:p>
        </w:tc>
        <w:tc>
          <w:tcPr>
            <w:tcW w:w="1991" w:type="pct"/>
            <w:gridSpan w:val="8"/>
            <w:noWrap w:val="0"/>
            <w:vAlign w:val="center"/>
          </w:tcPr>
          <w:p w14:paraId="25D9F84F">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14:paraId="35CFD73D">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14:paraId="00CF8D2E">
            <w:pPr>
              <w:pageBreakBefore w:val="0"/>
              <w:widowControl w:val="0"/>
              <w:kinsoku/>
              <w:wordWrap/>
              <w:overflowPunct/>
              <w:topLinePunct w:val="0"/>
              <w:bidi w:val="0"/>
              <w:spacing w:line="240" w:lineRule="auto"/>
              <w:ind w:left="34" w:leftChars="0"/>
              <w:textAlignment w:val="auto"/>
              <w:rPr>
                <w:rFonts w:ascii="宋体" w:hAnsi="宋体" w:eastAsia="宋体" w:cs="宋体"/>
                <w:b w:val="0"/>
                <w:snapToGrid w:val="0"/>
                <w:color w:val="auto"/>
                <w:sz w:val="21"/>
                <w:szCs w:val="21"/>
                <w:highlight w:val="none"/>
                <w:lang w:val="en-US" w:eastAsia="zh-CN" w:bidi="ar-SA"/>
              </w:rPr>
            </w:pPr>
          </w:p>
        </w:tc>
        <w:tc>
          <w:tcPr>
            <w:tcW w:w="1181" w:type="pct"/>
            <w:gridSpan w:val="6"/>
            <w:noWrap w:val="0"/>
            <w:vAlign w:val="center"/>
          </w:tcPr>
          <w:p w14:paraId="4DB95A1C">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14:paraId="2A35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73E431DD">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2</w:t>
            </w:r>
          </w:p>
        </w:tc>
        <w:tc>
          <w:tcPr>
            <w:tcW w:w="1991" w:type="pct"/>
            <w:gridSpan w:val="8"/>
            <w:noWrap w:val="0"/>
            <w:vAlign w:val="center"/>
          </w:tcPr>
          <w:p w14:paraId="77ED4E71">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14:paraId="3AB5DC24">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14:paraId="51EB5ACF">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1181" w:type="pct"/>
            <w:gridSpan w:val="6"/>
            <w:noWrap w:val="0"/>
            <w:vAlign w:val="center"/>
          </w:tcPr>
          <w:p w14:paraId="4681CEE7">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14:paraId="1696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gridSpan w:val="2"/>
            <w:noWrap w:val="0"/>
            <w:vAlign w:val="center"/>
          </w:tcPr>
          <w:p w14:paraId="5C01F65E">
            <w:pPr>
              <w:pageBreakBefore w:val="0"/>
              <w:widowControl w:val="0"/>
              <w:kinsoku/>
              <w:wordWrap/>
              <w:overflowPunct/>
              <w:topLinePunct w:val="0"/>
              <w:bidi w:val="0"/>
              <w:spacing w:line="240" w:lineRule="auto"/>
              <w:ind w:left="34" w:leftChars="0"/>
              <w:jc w:val="center"/>
              <w:textAlignment w:val="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3</w:t>
            </w:r>
          </w:p>
        </w:tc>
        <w:tc>
          <w:tcPr>
            <w:tcW w:w="1991" w:type="pct"/>
            <w:gridSpan w:val="8"/>
            <w:noWrap w:val="0"/>
            <w:vAlign w:val="center"/>
          </w:tcPr>
          <w:p w14:paraId="4314E099">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631" w:type="pct"/>
            <w:gridSpan w:val="4"/>
            <w:noWrap w:val="0"/>
            <w:vAlign w:val="center"/>
          </w:tcPr>
          <w:p w14:paraId="73EAF11F">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753" w:type="pct"/>
            <w:gridSpan w:val="2"/>
            <w:noWrap w:val="0"/>
            <w:vAlign w:val="center"/>
          </w:tcPr>
          <w:p w14:paraId="71336F76">
            <w:pPr>
              <w:pageBreakBefore w:val="0"/>
              <w:widowControl w:val="0"/>
              <w:kinsoku/>
              <w:wordWrap/>
              <w:overflowPunct/>
              <w:topLinePunct w:val="0"/>
              <w:bidi w:val="0"/>
              <w:spacing w:line="240" w:lineRule="auto"/>
              <w:ind w:left="34" w:leftChars="0"/>
              <w:textAlignment w:val="auto"/>
              <w:rPr>
                <w:rFonts w:ascii="宋体" w:hAnsi="宋体" w:eastAsia="Arial" w:cs="宋体"/>
                <w:b w:val="0"/>
                <w:snapToGrid w:val="0"/>
                <w:color w:val="auto"/>
                <w:sz w:val="21"/>
                <w:szCs w:val="21"/>
                <w:highlight w:val="none"/>
                <w:lang w:val="en-US" w:eastAsia="zh-CN" w:bidi="ar-SA"/>
              </w:rPr>
            </w:pPr>
          </w:p>
        </w:tc>
        <w:tc>
          <w:tcPr>
            <w:tcW w:w="1181" w:type="pct"/>
            <w:gridSpan w:val="6"/>
            <w:noWrap w:val="0"/>
            <w:vAlign w:val="center"/>
          </w:tcPr>
          <w:p w14:paraId="6E198672">
            <w:pPr>
              <w:pageBreakBefore w:val="0"/>
              <w:widowControl w:val="0"/>
              <w:kinsoku/>
              <w:wordWrap/>
              <w:overflowPunct/>
              <w:topLinePunct w:val="0"/>
              <w:bidi w:val="0"/>
              <w:spacing w:line="240" w:lineRule="auto"/>
              <w:ind w:left="34" w:leftChars="0"/>
              <w:textAlignment w:val="auto"/>
              <w:rPr>
                <w:rFonts w:hint="eastAsia" w:ascii="宋体" w:hAnsi="宋体" w:eastAsia="Arial" w:cs="宋体"/>
                <w:b w:val="0"/>
                <w:snapToGrid w:val="0"/>
                <w:color w:val="auto"/>
                <w:sz w:val="21"/>
                <w:szCs w:val="21"/>
                <w:highlight w:val="none"/>
                <w:lang w:val="en-US" w:eastAsia="zh-CN" w:bidi="ar-SA"/>
              </w:rPr>
            </w:pPr>
            <w:r>
              <w:rPr>
                <w:rFonts w:hint="eastAsia" w:ascii="宋体" w:hAnsi="宋体" w:eastAsia="宋体" w:cs="宋体"/>
                <w:b w:val="0"/>
                <w:color w:val="auto"/>
                <w:highlight w:val="none"/>
              </w:rPr>
              <w:t>见资信标（）页</w:t>
            </w:r>
          </w:p>
        </w:tc>
      </w:tr>
      <w:tr w14:paraId="3D3D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14:paraId="3B68EFB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color w:val="auto"/>
                <w:highlight w:val="none"/>
              </w:rPr>
              <w:t>同类</w:t>
            </w:r>
            <w:r>
              <w:rPr>
                <w:rFonts w:hint="eastAsia" w:ascii="宋体" w:hAnsi="宋体" w:eastAsia="宋体" w:cs="宋体"/>
                <w:color w:val="auto"/>
                <w:highlight w:val="none"/>
                <w:lang w:val="en-US" w:eastAsia="zh-CN"/>
              </w:rPr>
              <w:t>工程</w:t>
            </w:r>
            <w:r>
              <w:rPr>
                <w:rFonts w:hint="eastAsia" w:ascii="宋体" w:hAnsi="宋体" w:eastAsia="宋体" w:cs="宋体"/>
                <w:b/>
                <w:bCs/>
                <w:color w:val="auto"/>
                <w:highlight w:val="none"/>
                <w:lang w:val="en-US" w:eastAsia="zh-CN"/>
              </w:rPr>
              <w:t>勘察</w:t>
            </w:r>
            <w:r>
              <w:rPr>
                <w:rFonts w:hint="eastAsia" w:ascii="宋体" w:hAnsi="宋体" w:eastAsia="宋体" w:cs="宋体"/>
                <w:color w:val="auto"/>
                <w:highlight w:val="none"/>
              </w:rPr>
              <w:t>业绩</w:t>
            </w:r>
            <w:r>
              <w:rPr>
                <w:rFonts w:hint="eastAsia" w:ascii="宋体" w:hAnsi="宋体" w:eastAsia="宋体" w:cs="宋体"/>
                <w:b w:val="0"/>
                <w:color w:val="auto"/>
                <w:highlight w:val="none"/>
                <w:lang w:eastAsia="zh-CN"/>
              </w:rPr>
              <w:t>，</w:t>
            </w:r>
            <w:r>
              <w:rPr>
                <w:rFonts w:hint="eastAsia" w:ascii="宋体" w:hAnsi="宋体" w:cs="宋体"/>
                <w:b w:val="0"/>
                <w:color w:val="auto"/>
                <w:highlight w:val="none"/>
              </w:rPr>
              <w:t>合计</w:t>
            </w:r>
            <w:r>
              <w:rPr>
                <w:rFonts w:ascii="宋体" w:hAnsi="宋体" w:cs="宋体"/>
                <w:b w:val="0"/>
                <w:color w:val="auto"/>
                <w:highlight w:val="none"/>
              </w:rPr>
              <w:t xml:space="preserve">    </w:t>
            </w:r>
            <w:r>
              <w:rPr>
                <w:rFonts w:hint="eastAsia" w:ascii="宋体" w:hAnsi="宋体" w:cs="宋体"/>
                <w:b w:val="0"/>
                <w:color w:val="auto"/>
                <w:highlight w:val="none"/>
              </w:rPr>
              <w:t>项</w:t>
            </w:r>
          </w:p>
        </w:tc>
      </w:tr>
      <w:tr w14:paraId="29E9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6954B766">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b w:val="0"/>
                <w:color w:val="auto"/>
                <w:highlight w:val="none"/>
              </w:rPr>
              <w:t>序号</w:t>
            </w:r>
          </w:p>
        </w:tc>
        <w:tc>
          <w:tcPr>
            <w:tcW w:w="847" w:type="pct"/>
            <w:gridSpan w:val="3"/>
            <w:noWrap w:val="0"/>
            <w:vAlign w:val="center"/>
          </w:tcPr>
          <w:p w14:paraId="50763BB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b w:val="0"/>
                <w:color w:val="auto"/>
                <w:highlight w:val="none"/>
              </w:rPr>
              <w:t>工程项目名称</w:t>
            </w:r>
          </w:p>
        </w:tc>
        <w:tc>
          <w:tcPr>
            <w:tcW w:w="711" w:type="pct"/>
            <w:noWrap w:val="0"/>
            <w:vAlign w:val="center"/>
          </w:tcPr>
          <w:p w14:paraId="45C7C580">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b w:val="0"/>
                <w:color w:val="auto"/>
                <w:highlight w:val="none"/>
              </w:rPr>
              <w:t>工程规模</w:t>
            </w:r>
          </w:p>
        </w:tc>
        <w:tc>
          <w:tcPr>
            <w:tcW w:w="704" w:type="pct"/>
            <w:gridSpan w:val="4"/>
            <w:noWrap w:val="0"/>
            <w:vAlign w:val="center"/>
          </w:tcPr>
          <w:p w14:paraId="43AE896B">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合同价</w:t>
            </w:r>
          </w:p>
          <w:p w14:paraId="40D9E0C2">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（万元）</w:t>
            </w:r>
          </w:p>
        </w:tc>
        <w:tc>
          <w:tcPr>
            <w:tcW w:w="860" w:type="pct"/>
            <w:gridSpan w:val="4"/>
            <w:noWrap w:val="0"/>
            <w:tcMar>
              <w:top w:w="0" w:type="dxa"/>
              <w:left w:w="28" w:type="dxa"/>
              <w:bottom w:w="0" w:type="dxa"/>
              <w:right w:w="28" w:type="dxa"/>
            </w:tcMar>
            <w:vAlign w:val="center"/>
          </w:tcPr>
          <w:p w14:paraId="38046311">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eastAsia="宋体"/>
                <w:b w:val="0"/>
                <w:color w:val="auto"/>
                <w:highlight w:val="none"/>
              </w:rPr>
              <w:t>合同签订</w:t>
            </w:r>
            <w:r>
              <w:rPr>
                <w:rStyle w:val="34"/>
                <w:rFonts w:hint="eastAsia"/>
                <w:b w:val="0"/>
                <w:color w:val="auto"/>
                <w:highlight w:val="none"/>
              </w:rPr>
              <w:t>时间</w:t>
            </w:r>
          </w:p>
        </w:tc>
        <w:tc>
          <w:tcPr>
            <w:tcW w:w="556" w:type="pct"/>
            <w:gridSpan w:val="4"/>
            <w:noWrap w:val="0"/>
            <w:vAlign w:val="center"/>
          </w:tcPr>
          <w:p w14:paraId="62D5EBED">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建设单位</w:t>
            </w:r>
          </w:p>
        </w:tc>
        <w:tc>
          <w:tcPr>
            <w:tcW w:w="848" w:type="pct"/>
            <w:gridSpan w:val="3"/>
            <w:noWrap w:val="0"/>
            <w:vAlign w:val="center"/>
          </w:tcPr>
          <w:p w14:paraId="377391DD">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备注</w:t>
            </w:r>
          </w:p>
        </w:tc>
      </w:tr>
      <w:tr w14:paraId="429E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131A12B2">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847" w:type="pct"/>
            <w:gridSpan w:val="3"/>
            <w:noWrap w:val="0"/>
            <w:vAlign w:val="center"/>
          </w:tcPr>
          <w:p w14:paraId="27A65920">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14:paraId="140EA235">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14:paraId="1416C4A8">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14:paraId="31C5E1FE">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14:paraId="002133F8">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center"/>
          </w:tcPr>
          <w:p w14:paraId="7392BD5D">
            <w:pPr>
              <w:pageBreakBefore w:val="0"/>
              <w:widowControl w:val="0"/>
              <w:kinsoku/>
              <w:wordWrap/>
              <w:overflowPunct/>
              <w:topLinePunct w:val="0"/>
              <w:bidi w:val="0"/>
              <w:spacing w:line="240" w:lineRule="auto"/>
              <w:ind w:left="34"/>
              <w:jc w:val="both"/>
              <w:textAlignment w:val="auto"/>
              <w:rPr>
                <w:rFonts w:ascii="宋体" w:hAnsi="宋体" w:cs="宋体"/>
                <w:b w:val="0"/>
                <w:color w:val="auto"/>
                <w:highlight w:val="none"/>
              </w:rPr>
            </w:pPr>
            <w:r>
              <w:rPr>
                <w:rFonts w:hint="eastAsia" w:ascii="宋体" w:hAnsi="宋体"/>
                <w:b w:val="0"/>
                <w:color w:val="auto"/>
                <w:highlight w:val="none"/>
              </w:rPr>
              <w:t>见资信标（）页</w:t>
            </w:r>
          </w:p>
        </w:tc>
      </w:tr>
      <w:tr w14:paraId="7AE6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3225560B">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847" w:type="pct"/>
            <w:gridSpan w:val="3"/>
            <w:noWrap w:val="0"/>
            <w:vAlign w:val="center"/>
          </w:tcPr>
          <w:p w14:paraId="4447F596">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14:paraId="067F135C">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14:paraId="71CBAF64">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14:paraId="6E5D9A7F">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14:paraId="5A02A813">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14:paraId="6AB80815">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6F1B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1AF47707">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847" w:type="pct"/>
            <w:gridSpan w:val="3"/>
            <w:noWrap w:val="0"/>
            <w:vAlign w:val="center"/>
          </w:tcPr>
          <w:p w14:paraId="63CD2DC2">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14:paraId="202AA983">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14:paraId="71EE4522">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14:paraId="3A52028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14:paraId="76FA8D22">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14:paraId="26236173">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52FC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2"/>
            <w:noWrap w:val="0"/>
            <w:vAlign w:val="center"/>
          </w:tcPr>
          <w:p w14:paraId="563828C4">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color w:val="auto"/>
              </w:rPr>
              <w:t>资信要素一览表要求</w:t>
            </w:r>
            <w:r>
              <w:rPr>
                <w:rFonts w:hint="eastAsia" w:ascii="宋体" w:hAnsi="宋体" w:cs="宋体"/>
                <w:color w:val="auto"/>
                <w:kern w:val="0"/>
              </w:rPr>
              <w:t>时段内，</w:t>
            </w:r>
            <w:r>
              <w:rPr>
                <w:rFonts w:hint="eastAsia" w:ascii="宋体" w:hAnsi="宋体" w:eastAsia="宋体" w:cs="宋体"/>
                <w:color w:val="auto"/>
                <w:highlight w:val="none"/>
              </w:rPr>
              <w:t>同类</w:t>
            </w:r>
            <w:r>
              <w:rPr>
                <w:rFonts w:hint="eastAsia" w:ascii="宋体" w:hAnsi="宋体" w:eastAsia="宋体" w:cs="宋体"/>
                <w:color w:val="auto"/>
                <w:highlight w:val="none"/>
                <w:lang w:val="en-US" w:eastAsia="zh-CN"/>
              </w:rPr>
              <w:t>工程</w:t>
            </w:r>
            <w:r>
              <w:rPr>
                <w:rFonts w:hint="eastAsia" w:ascii="宋体" w:hAnsi="宋体" w:eastAsia="宋体" w:cs="宋体"/>
                <w:b/>
                <w:bCs/>
                <w:color w:val="auto"/>
                <w:highlight w:val="none"/>
                <w:lang w:val="en-US" w:eastAsia="zh-CN"/>
              </w:rPr>
              <w:t>设计</w:t>
            </w:r>
            <w:r>
              <w:rPr>
                <w:rFonts w:hint="eastAsia" w:ascii="宋体" w:hAnsi="宋体" w:eastAsia="宋体" w:cs="宋体"/>
                <w:color w:val="auto"/>
                <w:highlight w:val="none"/>
              </w:rPr>
              <w:t>业绩</w:t>
            </w:r>
            <w:r>
              <w:rPr>
                <w:rFonts w:hint="eastAsia" w:ascii="宋体" w:hAnsi="宋体" w:eastAsia="宋体" w:cs="宋体"/>
                <w:b w:val="0"/>
                <w:color w:val="auto"/>
                <w:highlight w:val="none"/>
                <w:lang w:eastAsia="zh-CN"/>
              </w:rPr>
              <w:t>，</w:t>
            </w:r>
            <w:r>
              <w:rPr>
                <w:rFonts w:hint="eastAsia" w:ascii="宋体" w:hAnsi="宋体" w:cs="宋体"/>
                <w:b w:val="0"/>
                <w:color w:val="auto"/>
                <w:highlight w:val="none"/>
              </w:rPr>
              <w:t>合计</w:t>
            </w:r>
            <w:r>
              <w:rPr>
                <w:rFonts w:ascii="宋体" w:hAnsi="宋体" w:cs="宋体"/>
                <w:b w:val="0"/>
                <w:color w:val="auto"/>
                <w:highlight w:val="none"/>
              </w:rPr>
              <w:t xml:space="preserve">    </w:t>
            </w:r>
            <w:r>
              <w:rPr>
                <w:rFonts w:hint="eastAsia" w:ascii="宋体" w:hAnsi="宋体" w:cs="宋体"/>
                <w:b w:val="0"/>
                <w:color w:val="auto"/>
                <w:highlight w:val="none"/>
              </w:rPr>
              <w:t>项</w:t>
            </w:r>
          </w:p>
        </w:tc>
      </w:tr>
      <w:tr w14:paraId="70B8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7414EF4B">
            <w:pPr>
              <w:pageBreakBefore w:val="0"/>
              <w:widowControl w:val="0"/>
              <w:kinsoku/>
              <w:wordWrap/>
              <w:overflowPunct/>
              <w:topLinePunct w:val="0"/>
              <w:bidi w:val="0"/>
              <w:spacing w:line="240" w:lineRule="auto"/>
              <w:ind w:left="34" w:leftChars="0"/>
              <w:textAlignment w:val="auto"/>
              <w:rPr>
                <w:rFonts w:ascii="宋体" w:hAnsi="宋体" w:cs="宋体"/>
                <w:b w:val="0"/>
                <w:color w:val="auto"/>
                <w:szCs w:val="21"/>
                <w:highlight w:val="none"/>
              </w:rPr>
            </w:pPr>
            <w:r>
              <w:rPr>
                <w:rFonts w:hint="eastAsia" w:ascii="宋体" w:hAnsi="宋体" w:cs="宋体"/>
                <w:b w:val="0"/>
                <w:color w:val="auto"/>
                <w:highlight w:val="none"/>
              </w:rPr>
              <w:t>序号</w:t>
            </w:r>
          </w:p>
        </w:tc>
        <w:tc>
          <w:tcPr>
            <w:tcW w:w="847" w:type="pct"/>
            <w:gridSpan w:val="3"/>
            <w:noWrap w:val="0"/>
            <w:vAlign w:val="center"/>
          </w:tcPr>
          <w:p w14:paraId="7BF31FC3">
            <w:pPr>
              <w:pageBreakBefore w:val="0"/>
              <w:widowControl w:val="0"/>
              <w:kinsoku/>
              <w:wordWrap/>
              <w:overflowPunct/>
              <w:topLinePunct w:val="0"/>
              <w:bidi w:val="0"/>
              <w:spacing w:line="240" w:lineRule="auto"/>
              <w:ind w:left="34" w:leftChars="0"/>
              <w:textAlignment w:val="auto"/>
              <w:rPr>
                <w:rFonts w:ascii="宋体" w:hAnsi="宋体" w:cs="宋体"/>
                <w:b w:val="0"/>
                <w:color w:val="auto"/>
                <w:szCs w:val="21"/>
                <w:highlight w:val="none"/>
              </w:rPr>
            </w:pPr>
            <w:r>
              <w:rPr>
                <w:rFonts w:hint="eastAsia" w:ascii="宋体" w:hAnsi="宋体" w:cs="宋体"/>
                <w:b w:val="0"/>
                <w:color w:val="auto"/>
                <w:highlight w:val="none"/>
              </w:rPr>
              <w:t>工程项目名称</w:t>
            </w:r>
          </w:p>
        </w:tc>
        <w:tc>
          <w:tcPr>
            <w:tcW w:w="711" w:type="pct"/>
            <w:noWrap w:val="0"/>
            <w:vAlign w:val="center"/>
          </w:tcPr>
          <w:p w14:paraId="0533663D">
            <w:pPr>
              <w:pageBreakBefore w:val="0"/>
              <w:widowControl w:val="0"/>
              <w:kinsoku/>
              <w:wordWrap/>
              <w:overflowPunct/>
              <w:topLinePunct w:val="0"/>
              <w:bidi w:val="0"/>
              <w:spacing w:line="240" w:lineRule="auto"/>
              <w:ind w:left="34" w:leftChars="0"/>
              <w:textAlignment w:val="auto"/>
              <w:rPr>
                <w:rFonts w:ascii="宋体" w:hAnsi="宋体" w:cs="宋体"/>
                <w:b w:val="0"/>
                <w:color w:val="auto"/>
                <w:szCs w:val="21"/>
                <w:highlight w:val="none"/>
              </w:rPr>
            </w:pPr>
            <w:r>
              <w:rPr>
                <w:rFonts w:hint="eastAsia" w:ascii="宋体" w:hAnsi="宋体" w:cs="宋体"/>
                <w:b w:val="0"/>
                <w:color w:val="auto"/>
                <w:highlight w:val="none"/>
              </w:rPr>
              <w:t>工程规模</w:t>
            </w:r>
          </w:p>
        </w:tc>
        <w:tc>
          <w:tcPr>
            <w:tcW w:w="704" w:type="pct"/>
            <w:gridSpan w:val="4"/>
            <w:noWrap w:val="0"/>
            <w:vAlign w:val="center"/>
          </w:tcPr>
          <w:p w14:paraId="1313482E">
            <w:pPr>
              <w:pageBreakBefore w:val="0"/>
              <w:widowControl w:val="0"/>
              <w:kinsoku/>
              <w:wordWrap/>
              <w:overflowPunct/>
              <w:topLinePunct w:val="0"/>
              <w:bidi w:val="0"/>
              <w:spacing w:line="240" w:lineRule="auto"/>
              <w:ind w:left="34"/>
              <w:jc w:val="center"/>
              <w:textAlignment w:val="auto"/>
              <w:rPr>
                <w:rFonts w:ascii="宋体" w:hAnsi="宋体" w:cs="宋体"/>
                <w:b w:val="0"/>
                <w:color w:val="auto"/>
                <w:highlight w:val="none"/>
              </w:rPr>
            </w:pPr>
            <w:r>
              <w:rPr>
                <w:rFonts w:hint="eastAsia" w:ascii="宋体" w:hAnsi="宋体" w:cs="宋体"/>
                <w:b w:val="0"/>
                <w:color w:val="auto"/>
                <w:highlight w:val="none"/>
              </w:rPr>
              <w:t>合同价</w:t>
            </w:r>
          </w:p>
          <w:p w14:paraId="5DCBB0A1">
            <w:pPr>
              <w:pageBreakBefore w:val="0"/>
              <w:widowControl w:val="0"/>
              <w:kinsoku/>
              <w:wordWrap/>
              <w:overflowPunct/>
              <w:topLinePunct w:val="0"/>
              <w:bidi w:val="0"/>
              <w:spacing w:line="240" w:lineRule="auto"/>
              <w:ind w:left="34" w:leftChars="0"/>
              <w:jc w:val="center"/>
              <w:textAlignment w:val="auto"/>
              <w:rPr>
                <w:rFonts w:ascii="宋体" w:hAnsi="宋体" w:cs="宋体"/>
                <w:b w:val="0"/>
                <w:color w:val="auto"/>
                <w:szCs w:val="21"/>
                <w:highlight w:val="none"/>
              </w:rPr>
            </w:pPr>
            <w:r>
              <w:rPr>
                <w:rFonts w:hint="eastAsia" w:ascii="宋体" w:hAnsi="宋体" w:cs="宋体"/>
                <w:b w:val="0"/>
                <w:color w:val="auto"/>
                <w:highlight w:val="none"/>
              </w:rPr>
              <w:t>（万元）</w:t>
            </w:r>
          </w:p>
        </w:tc>
        <w:tc>
          <w:tcPr>
            <w:tcW w:w="860" w:type="pct"/>
            <w:gridSpan w:val="4"/>
            <w:noWrap w:val="0"/>
            <w:tcMar>
              <w:top w:w="0" w:type="dxa"/>
              <w:left w:w="28" w:type="dxa"/>
              <w:bottom w:w="0" w:type="dxa"/>
              <w:right w:w="28" w:type="dxa"/>
            </w:tcMar>
            <w:vAlign w:val="center"/>
          </w:tcPr>
          <w:p w14:paraId="6508AAF0">
            <w:pPr>
              <w:pageBreakBefore w:val="0"/>
              <w:widowControl w:val="0"/>
              <w:kinsoku/>
              <w:wordWrap/>
              <w:overflowPunct/>
              <w:topLinePunct w:val="0"/>
              <w:bidi w:val="0"/>
              <w:spacing w:line="240" w:lineRule="auto"/>
              <w:ind w:left="34" w:leftChars="0"/>
              <w:jc w:val="center"/>
              <w:textAlignment w:val="auto"/>
              <w:rPr>
                <w:rFonts w:ascii="宋体" w:hAnsi="宋体" w:cs="宋体"/>
                <w:b w:val="0"/>
                <w:color w:val="auto"/>
                <w:szCs w:val="21"/>
                <w:highlight w:val="none"/>
              </w:rPr>
            </w:pPr>
            <w:r>
              <w:rPr>
                <w:rFonts w:hint="eastAsia" w:ascii="宋体" w:hAnsi="宋体" w:eastAsia="宋体"/>
                <w:b w:val="0"/>
                <w:color w:val="auto"/>
                <w:highlight w:val="none"/>
              </w:rPr>
              <w:t>合同签订</w:t>
            </w:r>
            <w:r>
              <w:rPr>
                <w:rStyle w:val="34"/>
                <w:rFonts w:hint="eastAsia"/>
                <w:b w:val="0"/>
                <w:color w:val="auto"/>
                <w:highlight w:val="none"/>
              </w:rPr>
              <w:t>时间</w:t>
            </w:r>
          </w:p>
        </w:tc>
        <w:tc>
          <w:tcPr>
            <w:tcW w:w="556" w:type="pct"/>
            <w:gridSpan w:val="4"/>
            <w:noWrap w:val="0"/>
            <w:vAlign w:val="center"/>
          </w:tcPr>
          <w:p w14:paraId="27FFDFB8">
            <w:pPr>
              <w:pageBreakBefore w:val="0"/>
              <w:widowControl w:val="0"/>
              <w:kinsoku/>
              <w:wordWrap/>
              <w:overflowPunct/>
              <w:topLinePunct w:val="0"/>
              <w:bidi w:val="0"/>
              <w:spacing w:line="240" w:lineRule="auto"/>
              <w:ind w:left="34" w:leftChars="0"/>
              <w:jc w:val="center"/>
              <w:textAlignment w:val="auto"/>
              <w:rPr>
                <w:rFonts w:ascii="宋体" w:hAnsi="宋体" w:cs="宋体"/>
                <w:b w:val="0"/>
                <w:color w:val="auto"/>
                <w:szCs w:val="21"/>
                <w:highlight w:val="none"/>
              </w:rPr>
            </w:pPr>
            <w:r>
              <w:rPr>
                <w:rFonts w:hint="eastAsia" w:ascii="宋体" w:hAnsi="宋体" w:cs="宋体"/>
                <w:b w:val="0"/>
                <w:color w:val="auto"/>
                <w:highlight w:val="none"/>
              </w:rPr>
              <w:t>建设单位</w:t>
            </w:r>
          </w:p>
        </w:tc>
        <w:tc>
          <w:tcPr>
            <w:tcW w:w="848" w:type="pct"/>
            <w:gridSpan w:val="3"/>
            <w:noWrap w:val="0"/>
            <w:vAlign w:val="center"/>
          </w:tcPr>
          <w:p w14:paraId="7343B464">
            <w:pPr>
              <w:pageBreakBefore w:val="0"/>
              <w:widowControl w:val="0"/>
              <w:kinsoku/>
              <w:wordWrap/>
              <w:overflowPunct/>
              <w:topLinePunct w:val="0"/>
              <w:bidi w:val="0"/>
              <w:spacing w:line="240" w:lineRule="auto"/>
              <w:ind w:left="34" w:leftChars="0"/>
              <w:jc w:val="center"/>
              <w:textAlignment w:val="auto"/>
              <w:rPr>
                <w:rFonts w:ascii="宋体" w:hAnsi="宋体" w:cs="宋体"/>
                <w:b w:val="0"/>
                <w:color w:val="auto"/>
                <w:highlight w:val="none"/>
              </w:rPr>
            </w:pPr>
            <w:r>
              <w:rPr>
                <w:rFonts w:hint="eastAsia" w:ascii="宋体" w:hAnsi="宋体" w:cs="宋体"/>
                <w:b w:val="0"/>
                <w:color w:val="auto"/>
                <w:highlight w:val="none"/>
              </w:rPr>
              <w:t>备注</w:t>
            </w:r>
          </w:p>
        </w:tc>
      </w:tr>
      <w:tr w14:paraId="08EC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414A7770">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1</w:t>
            </w:r>
          </w:p>
        </w:tc>
        <w:tc>
          <w:tcPr>
            <w:tcW w:w="847" w:type="pct"/>
            <w:gridSpan w:val="3"/>
            <w:noWrap w:val="0"/>
            <w:vAlign w:val="center"/>
          </w:tcPr>
          <w:p w14:paraId="79467344">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14:paraId="7BF99646">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14:paraId="5E38B382">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14:paraId="4BEBBD2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14:paraId="2465A92E">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center"/>
          </w:tcPr>
          <w:p w14:paraId="17AEB404">
            <w:pPr>
              <w:pageBreakBefore w:val="0"/>
              <w:widowControl w:val="0"/>
              <w:kinsoku/>
              <w:wordWrap/>
              <w:overflowPunct/>
              <w:topLinePunct w:val="0"/>
              <w:bidi w:val="0"/>
              <w:spacing w:line="240" w:lineRule="auto"/>
              <w:ind w:left="34" w:leftChars="0"/>
              <w:jc w:val="both"/>
              <w:textAlignment w:val="auto"/>
              <w:rPr>
                <w:rFonts w:ascii="宋体" w:hAnsi="宋体" w:cs="宋体"/>
                <w:b w:val="0"/>
                <w:color w:val="auto"/>
                <w:highlight w:val="none"/>
              </w:rPr>
            </w:pPr>
            <w:r>
              <w:rPr>
                <w:rFonts w:hint="eastAsia" w:ascii="宋体" w:hAnsi="宋体"/>
                <w:b w:val="0"/>
                <w:color w:val="auto"/>
                <w:highlight w:val="none"/>
              </w:rPr>
              <w:t>见资信标（）页</w:t>
            </w:r>
          </w:p>
        </w:tc>
      </w:tr>
      <w:tr w14:paraId="6577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296BD2C2">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2</w:t>
            </w:r>
          </w:p>
        </w:tc>
        <w:tc>
          <w:tcPr>
            <w:tcW w:w="847" w:type="pct"/>
            <w:gridSpan w:val="3"/>
            <w:noWrap w:val="0"/>
            <w:vAlign w:val="center"/>
          </w:tcPr>
          <w:p w14:paraId="3523F559">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14:paraId="5F733944">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14:paraId="3F38035A">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14:paraId="26020D3E">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14:paraId="0C02C9B0">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14:paraId="468899C1">
            <w:pPr>
              <w:pageBreakBefore w:val="0"/>
              <w:widowControl w:val="0"/>
              <w:kinsoku/>
              <w:wordWrap/>
              <w:overflowPunct/>
              <w:topLinePunct w:val="0"/>
              <w:bidi w:val="0"/>
              <w:spacing w:line="240" w:lineRule="auto"/>
              <w:ind w:left="34" w:leftChars="0"/>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0B89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0" w:type="pct"/>
            <w:gridSpan w:val="3"/>
            <w:noWrap w:val="0"/>
            <w:vAlign w:val="center"/>
          </w:tcPr>
          <w:p w14:paraId="0B623F46">
            <w:pPr>
              <w:pageBreakBefore w:val="0"/>
              <w:widowControl w:val="0"/>
              <w:kinsoku/>
              <w:wordWrap/>
              <w:overflowPunct/>
              <w:topLinePunct w:val="0"/>
              <w:bidi w:val="0"/>
              <w:spacing w:line="240" w:lineRule="auto"/>
              <w:ind w:left="34"/>
              <w:textAlignment w:val="auto"/>
              <w:rPr>
                <w:rFonts w:ascii="宋体" w:hAnsi="宋体" w:eastAsia="宋体" w:cs="宋体"/>
                <w:b w:val="0"/>
                <w:color w:val="auto"/>
                <w:highlight w:val="none"/>
              </w:rPr>
            </w:pPr>
            <w:r>
              <w:rPr>
                <w:rFonts w:hint="eastAsia" w:ascii="宋体" w:hAnsi="宋体" w:eastAsia="宋体" w:cs="宋体"/>
                <w:b w:val="0"/>
                <w:color w:val="auto"/>
                <w:highlight w:val="none"/>
              </w:rPr>
              <w:t>3</w:t>
            </w:r>
          </w:p>
        </w:tc>
        <w:tc>
          <w:tcPr>
            <w:tcW w:w="847" w:type="pct"/>
            <w:gridSpan w:val="3"/>
            <w:noWrap w:val="0"/>
            <w:vAlign w:val="center"/>
          </w:tcPr>
          <w:p w14:paraId="7EB53A1C">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11" w:type="pct"/>
            <w:noWrap w:val="0"/>
            <w:vAlign w:val="center"/>
          </w:tcPr>
          <w:p w14:paraId="1C1FC794">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704" w:type="pct"/>
            <w:gridSpan w:val="4"/>
            <w:noWrap w:val="0"/>
            <w:vAlign w:val="center"/>
          </w:tcPr>
          <w:p w14:paraId="74BAC4B6">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60" w:type="pct"/>
            <w:gridSpan w:val="4"/>
            <w:noWrap w:val="0"/>
            <w:tcMar>
              <w:top w:w="0" w:type="dxa"/>
              <w:left w:w="28" w:type="dxa"/>
              <w:bottom w:w="0" w:type="dxa"/>
              <w:right w:w="28" w:type="dxa"/>
            </w:tcMar>
            <w:vAlign w:val="center"/>
          </w:tcPr>
          <w:p w14:paraId="3255BC1C">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556" w:type="pct"/>
            <w:gridSpan w:val="4"/>
            <w:noWrap w:val="0"/>
            <w:vAlign w:val="center"/>
          </w:tcPr>
          <w:p w14:paraId="028D4727">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14:paraId="37A58D5B">
            <w:pPr>
              <w:pageBreakBefore w:val="0"/>
              <w:widowControl w:val="0"/>
              <w:kinsoku/>
              <w:wordWrap/>
              <w:overflowPunct/>
              <w:topLinePunct w:val="0"/>
              <w:bidi w:val="0"/>
              <w:spacing w:line="240" w:lineRule="auto"/>
              <w:ind w:left="34" w:leftChars="0"/>
              <w:textAlignment w:val="auto"/>
              <w:rPr>
                <w:rFonts w:ascii="宋体" w:hAnsi="宋体" w:cs="宋体"/>
                <w:b w:val="0"/>
                <w:color w:val="auto"/>
                <w:highlight w:val="none"/>
              </w:rPr>
            </w:pPr>
            <w:r>
              <w:rPr>
                <w:rFonts w:hint="eastAsia" w:ascii="宋体" w:hAnsi="宋体" w:eastAsia="宋体" w:cs="宋体"/>
                <w:b w:val="0"/>
                <w:color w:val="auto"/>
                <w:highlight w:val="none"/>
              </w:rPr>
              <w:t>见资信标（）页</w:t>
            </w:r>
          </w:p>
        </w:tc>
      </w:tr>
      <w:tr w14:paraId="541E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17" w:type="pct"/>
            <w:gridSpan w:val="6"/>
            <w:noWrap w:val="0"/>
            <w:vAlign w:val="center"/>
          </w:tcPr>
          <w:p w14:paraId="36649AC8">
            <w:pPr>
              <w:pageBreakBefore w:val="0"/>
              <w:widowControl w:val="0"/>
              <w:kinsoku/>
              <w:wordWrap/>
              <w:overflowPunct/>
              <w:topLinePunct w:val="0"/>
              <w:bidi w:val="0"/>
              <w:spacing w:line="240" w:lineRule="auto"/>
              <w:ind w:left="34"/>
              <w:textAlignment w:val="auto"/>
            </w:pPr>
            <w:r>
              <w:rPr>
                <w:rFonts w:hint="eastAsia" w:ascii="宋体" w:hAnsi="宋体" w:eastAsia="宋体" w:cs="宋体"/>
                <w:color w:val="auto"/>
                <w:highlight w:val="none"/>
              </w:rPr>
              <w:t>企业不良行为记录情况</w:t>
            </w:r>
            <w:r>
              <w:rPr>
                <w:rFonts w:hint="eastAsia" w:ascii="宋体" w:hAnsi="宋体" w:eastAsia="宋体" w:cs="宋体"/>
                <w:color w:val="auto"/>
                <w:sz w:val="21"/>
                <w:szCs w:val="21"/>
                <w:highlight w:val="none"/>
                <w:lang w:val="en-US" w:eastAsia="zh-CN"/>
              </w:rPr>
              <w:t>（如为联合体投标，联合体各方均需填写）</w:t>
            </w:r>
          </w:p>
        </w:tc>
        <w:tc>
          <w:tcPr>
            <w:tcW w:w="2833" w:type="pct"/>
            <w:gridSpan w:val="13"/>
            <w:noWrap w:val="0"/>
            <w:vAlign w:val="center"/>
          </w:tcPr>
          <w:p w14:paraId="64DD4CA6">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p>
        </w:tc>
        <w:tc>
          <w:tcPr>
            <w:tcW w:w="848" w:type="pct"/>
            <w:gridSpan w:val="3"/>
            <w:noWrap w:val="0"/>
            <w:vAlign w:val="top"/>
          </w:tcPr>
          <w:p w14:paraId="3A12C972">
            <w:pPr>
              <w:keepNext w:val="0"/>
              <w:keepLines w:val="0"/>
              <w:pageBreakBefore w:val="0"/>
              <w:widowControl w:val="0"/>
              <w:kinsoku/>
              <w:wordWrap/>
              <w:overflowPunct/>
              <w:topLinePunct w:val="0"/>
              <w:autoSpaceDE/>
              <w:autoSpaceDN/>
              <w:bidi w:val="0"/>
              <w:adjustRightInd/>
              <w:snapToGrid/>
              <w:spacing w:line="240" w:lineRule="auto"/>
              <w:ind w:left="34" w:leftChars="0"/>
              <w:textAlignment w:val="auto"/>
              <w:rPr>
                <w:rFonts w:hint="eastAsia" w:ascii="宋体" w:hAnsi="宋体" w:cs="宋体"/>
                <w:color w:val="auto"/>
                <w:szCs w:val="21"/>
              </w:rPr>
            </w:pPr>
            <w:r>
              <w:rPr>
                <w:rFonts w:hint="eastAsia" w:ascii="宋体" w:hAnsi="宋体" w:cs="宋体"/>
                <w:color w:val="auto"/>
                <w:szCs w:val="21"/>
              </w:rPr>
              <w:t>如有不良行为记录需详细列出。</w:t>
            </w:r>
          </w:p>
          <w:p w14:paraId="5BCACF44">
            <w:pPr>
              <w:keepNext w:val="0"/>
              <w:keepLines w:val="0"/>
              <w:pageBreakBefore w:val="0"/>
              <w:widowControl w:val="0"/>
              <w:kinsoku/>
              <w:wordWrap/>
              <w:overflowPunct/>
              <w:topLinePunct w:val="0"/>
              <w:autoSpaceDE/>
              <w:autoSpaceDN/>
              <w:bidi w:val="0"/>
              <w:adjustRightInd/>
              <w:snapToGrid/>
              <w:spacing w:line="240" w:lineRule="auto"/>
              <w:ind w:left="34" w:left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见资信标（）页</w:t>
            </w:r>
          </w:p>
        </w:tc>
      </w:tr>
      <w:tr w14:paraId="249B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17" w:type="pct"/>
            <w:gridSpan w:val="6"/>
            <w:noWrap w:val="0"/>
            <w:vAlign w:val="center"/>
          </w:tcPr>
          <w:p w14:paraId="6DE0E680">
            <w:pPr>
              <w:pageBreakBefore w:val="0"/>
              <w:widowControl w:val="0"/>
              <w:kinsoku/>
              <w:wordWrap/>
              <w:overflowPunct/>
              <w:topLinePunct w:val="0"/>
              <w:bidi w:val="0"/>
              <w:spacing w:line="240" w:lineRule="auto"/>
              <w:ind w:left="34"/>
              <w:textAlignment w:val="auto"/>
              <w:rPr>
                <w:rFonts w:ascii="宋体" w:hAnsi="宋体" w:cs="宋体"/>
                <w:b w:val="0"/>
                <w:color w:val="auto"/>
                <w:highlight w:val="none"/>
              </w:rPr>
            </w:pPr>
            <w:r>
              <w:rPr>
                <w:rFonts w:hint="eastAsia" w:ascii="宋体" w:hAnsi="宋体" w:cs="宋体"/>
                <w:b w:val="0"/>
                <w:bCs w:val="0"/>
                <w:color w:val="000000"/>
                <w:kern w:val="0"/>
                <w:szCs w:val="21"/>
                <w:highlight w:val="none"/>
                <w:lang w:val="en-US" w:eastAsia="zh-CN" w:bidi="ar"/>
              </w:rPr>
              <w:t>诚信等级情况</w:t>
            </w:r>
          </w:p>
        </w:tc>
        <w:tc>
          <w:tcPr>
            <w:tcW w:w="2833" w:type="pct"/>
            <w:gridSpan w:val="13"/>
            <w:noWrap w:val="0"/>
            <w:vAlign w:val="center"/>
          </w:tcPr>
          <w:p w14:paraId="7B9FD44C">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勘察企业</w:t>
            </w:r>
            <w:r>
              <w:rPr>
                <w:rFonts w:hint="eastAsia" w:ascii="宋体" w:hAnsi="宋体" w:eastAsia="宋体" w:cs="宋体"/>
                <w:color w:val="auto"/>
                <w:sz w:val="21"/>
                <w:szCs w:val="21"/>
                <w:highlight w:val="none"/>
                <w:lang w:val="en-US" w:eastAsia="zh-CN"/>
              </w:rPr>
              <w:t>诚信等级：</w:t>
            </w:r>
          </w:p>
          <w:p w14:paraId="098BC32E">
            <w:pPr>
              <w:pageBreakBefore w:val="0"/>
              <w:widowControl w:val="0"/>
              <w:kinsoku/>
              <w:wordWrap/>
              <w:overflowPunct/>
              <w:topLinePunct w:val="0"/>
              <w:autoSpaceDE/>
              <w:autoSpaceDN/>
              <w:bidi w:val="0"/>
              <w:adjustRightInd/>
              <w:snapToGrid/>
              <w:spacing w:line="240" w:lineRule="auto"/>
              <w:jc w:val="both"/>
              <w:textAlignment w:val="auto"/>
              <w:rPr>
                <w:rFonts w:hint="default"/>
                <w:color w:val="auto"/>
                <w:lang w:val="en-US" w:eastAsia="zh-CN"/>
              </w:rPr>
            </w:pPr>
            <w:r>
              <w:rPr>
                <w:rFonts w:hint="eastAsia" w:ascii="宋体" w:hAnsi="宋体" w:cs="宋体"/>
                <w:color w:val="auto"/>
                <w:sz w:val="21"/>
                <w:szCs w:val="21"/>
                <w:highlight w:val="none"/>
                <w:lang w:val="en-US" w:eastAsia="zh-CN"/>
              </w:rPr>
              <w:t>设计企业</w:t>
            </w:r>
            <w:r>
              <w:rPr>
                <w:rFonts w:hint="eastAsia" w:ascii="宋体" w:hAnsi="宋体" w:eastAsia="宋体" w:cs="宋体"/>
                <w:color w:val="auto"/>
                <w:sz w:val="21"/>
                <w:szCs w:val="21"/>
                <w:highlight w:val="none"/>
                <w:lang w:val="en-US" w:eastAsia="zh-CN"/>
              </w:rPr>
              <w:t>诚信等级：</w:t>
            </w:r>
          </w:p>
        </w:tc>
        <w:tc>
          <w:tcPr>
            <w:tcW w:w="848" w:type="pct"/>
            <w:gridSpan w:val="3"/>
            <w:noWrap w:val="0"/>
            <w:vAlign w:val="top"/>
          </w:tcPr>
          <w:p w14:paraId="5FD2EBD1">
            <w:pPr>
              <w:pageBreakBefore w:val="0"/>
              <w:widowControl w:val="0"/>
              <w:kinsoku/>
              <w:wordWrap/>
              <w:overflowPunct/>
              <w:topLinePunct w:val="0"/>
              <w:bidi w:val="0"/>
              <w:spacing w:line="240" w:lineRule="auto"/>
              <w:ind w:left="34" w:left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见资信标（）页</w:t>
            </w:r>
          </w:p>
        </w:tc>
      </w:tr>
    </w:tbl>
    <w:p w14:paraId="20E7BF25">
      <w:pPr>
        <w:widowControl w:val="0"/>
        <w:kinsoku/>
        <w:spacing w:line="360" w:lineRule="auto"/>
        <w:jc w:val="both"/>
        <w:rPr>
          <w:rFonts w:hint="eastAsia" w:ascii="宋体" w:hAnsi="宋体" w:eastAsia="宋体" w:cs="宋体"/>
          <w:color w:val="auto"/>
          <w:highlight w:val="none"/>
        </w:rPr>
      </w:pPr>
    </w:p>
    <w:p w14:paraId="34784EB6">
      <w:pPr>
        <w:widowControl w:val="0"/>
        <w:kinsoku/>
        <w:spacing w:line="360" w:lineRule="auto"/>
        <w:jc w:val="both"/>
        <w:rPr>
          <w:rFonts w:ascii="宋体" w:hAnsi="宋体" w:eastAsia="宋体" w:cs="宋体"/>
          <w:color w:val="auto"/>
          <w:highlight w:val="none"/>
        </w:rPr>
      </w:pPr>
      <w:r>
        <w:rPr>
          <w:rFonts w:hint="eastAsia" w:ascii="宋体" w:hAnsi="宋体" w:eastAsia="宋体" w:cs="宋体"/>
          <w:color w:val="auto"/>
          <w:highlight w:val="none"/>
        </w:rPr>
        <w:t>注：1、具体要求参照《资信要素一览表》及说明，要求提供的证明资料可作为本表附件；</w:t>
      </w:r>
    </w:p>
    <w:p w14:paraId="218843C4">
      <w:pPr>
        <w:widowControl w:val="0"/>
        <w:kinsoku/>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2、本表的内容须如实填写，其中业绩栏、</w:t>
      </w:r>
      <w:r>
        <w:rPr>
          <w:rFonts w:hint="eastAsia" w:ascii="宋体" w:hAnsi="宋体"/>
          <w:color w:val="auto"/>
          <w:highlight w:val="none"/>
        </w:rPr>
        <w:t>奖项</w:t>
      </w:r>
      <w:r>
        <w:rPr>
          <w:rFonts w:hint="eastAsia" w:ascii="宋体" w:hAnsi="宋体" w:eastAsia="宋体"/>
          <w:color w:val="auto"/>
          <w:highlight w:val="none"/>
        </w:rPr>
        <w:t>栏</w:t>
      </w:r>
      <w:r>
        <w:rPr>
          <w:rFonts w:ascii="宋体" w:hAnsi="宋体" w:cs="宋体"/>
          <w:color w:val="auto"/>
          <w:highlight w:val="none"/>
        </w:rPr>
        <w:t>允许留空</w:t>
      </w:r>
      <w:r>
        <w:rPr>
          <w:rFonts w:hint="eastAsia" w:ascii="宋体" w:hAnsi="宋体" w:eastAsia="宋体" w:cs="宋体"/>
          <w:color w:val="auto"/>
          <w:highlight w:val="none"/>
        </w:rPr>
        <w:t>（打“/”）</w:t>
      </w:r>
      <w:r>
        <w:rPr>
          <w:rFonts w:ascii="宋体" w:hAnsi="宋体" w:cs="宋体"/>
          <w:color w:val="auto"/>
          <w:highlight w:val="none"/>
        </w:rPr>
        <w:t>；</w:t>
      </w:r>
      <w:r>
        <w:rPr>
          <w:rFonts w:hint="eastAsia" w:ascii="宋体" w:hAnsi="宋体" w:cs="宋体"/>
          <w:color w:val="auto"/>
          <w:highlight w:val="none"/>
        </w:rPr>
        <w:t>奖项栏如有内容则查询网址必须填写</w:t>
      </w:r>
      <w:r>
        <w:rPr>
          <w:rFonts w:hint="eastAsia" w:ascii="宋体" w:hAnsi="宋体" w:eastAsia="宋体" w:cs="宋体"/>
          <w:color w:val="auto"/>
          <w:highlight w:val="none"/>
        </w:rPr>
        <w:t>；如表中填写的内容与事实不一致（在投标截止后根据合法程序变更的除外），将视为投标人弄虚作假，招标人有权按提交虚假材料进行投标行为上报行政主管部门处理，一切后果由投标人承担；</w:t>
      </w:r>
    </w:p>
    <w:p w14:paraId="7C054775">
      <w:pPr>
        <w:tabs>
          <w:tab w:val="left" w:pos="9354"/>
        </w:tabs>
        <w:spacing w:line="360" w:lineRule="auto"/>
        <w:ind w:right="-2"/>
        <w:jc w:val="left"/>
        <w:rPr>
          <w:rFonts w:hint="eastAsia" w:ascii="宋体" w:hAnsi="宋体"/>
          <w:color w:val="auto"/>
          <w:szCs w:val="21"/>
          <w:highlight w:val="none"/>
        </w:rPr>
      </w:pPr>
      <w:r>
        <w:rPr>
          <w:rFonts w:hint="eastAsia" w:ascii="宋体" w:hAnsi="宋体" w:eastAsia="宋体" w:cs="宋体"/>
          <w:color w:val="auto"/>
          <w:highlight w:val="none"/>
        </w:rPr>
        <w:t>3、本表内容均不做评审（评分或评价或评级），但要求投标人认真响应各项内容，供定标委员会作定标参考。</w:t>
      </w:r>
    </w:p>
    <w:p w14:paraId="0E7C2BCB">
      <w:pPr>
        <w:tabs>
          <w:tab w:val="left" w:pos="9354"/>
        </w:tabs>
        <w:spacing w:line="360" w:lineRule="auto"/>
        <w:ind w:right="-2"/>
        <w:jc w:val="left"/>
        <w:rPr>
          <w:rFonts w:hint="eastAsia" w:ascii="宋体" w:hAnsi="宋体"/>
          <w:color w:val="auto"/>
          <w:szCs w:val="21"/>
          <w:highlight w:val="none"/>
        </w:rPr>
      </w:pPr>
    </w:p>
    <w:permEnd w:id="147"/>
    <w:p w14:paraId="6FC2AD90">
      <w:pPr>
        <w:adjustRightInd w:val="0"/>
        <w:snapToGrid w:val="0"/>
        <w:spacing w:line="360" w:lineRule="auto"/>
        <w:jc w:val="center"/>
        <w:rPr>
          <w:color w:val="auto"/>
          <w:highlight w:val="none"/>
        </w:rPr>
      </w:pPr>
      <w:r>
        <w:rPr>
          <w:rFonts w:hint="eastAsia" w:ascii="宋体" w:hAnsi="宋体"/>
          <w:color w:val="auto"/>
          <w:sz w:val="28"/>
          <w:szCs w:val="28"/>
          <w:highlight w:val="none"/>
          <w:lang w:eastAsia="zh-CN"/>
        </w:rPr>
        <w:br w:type="page"/>
      </w:r>
      <w:bookmarkEnd w:id="461"/>
      <w:bookmarkEnd w:id="462"/>
      <w:bookmarkStart w:id="466" w:name="_Toc8882"/>
      <w:bookmarkStart w:id="467" w:name="_Toc2134"/>
      <w:bookmarkStart w:id="468" w:name="_Toc25780"/>
      <w:bookmarkStart w:id="469" w:name="_Toc16621436"/>
      <w:bookmarkStart w:id="470" w:name="_Toc24568"/>
      <w:bookmarkStart w:id="471" w:name="_Toc23951"/>
      <w:bookmarkStart w:id="472" w:name="_Toc14314"/>
      <w:bookmarkStart w:id="473" w:name="_Toc22388"/>
      <w:bookmarkStart w:id="474" w:name="_Toc1151148767"/>
      <w:r>
        <w:rPr>
          <w:rStyle w:val="36"/>
          <w:rFonts w:hint="eastAsia"/>
          <w:color w:val="auto"/>
          <w:highlight w:val="none"/>
        </w:rPr>
        <w:t>第七章 招标人对招标文件范本条款的修改</w:t>
      </w:r>
      <w:bookmarkEnd w:id="466"/>
      <w:bookmarkEnd w:id="467"/>
      <w:bookmarkEnd w:id="468"/>
      <w:bookmarkEnd w:id="469"/>
      <w:bookmarkEnd w:id="470"/>
      <w:bookmarkEnd w:id="471"/>
      <w:bookmarkEnd w:id="472"/>
      <w:bookmarkEnd w:id="473"/>
      <w:bookmarkEnd w:id="474"/>
    </w:p>
    <w:p w14:paraId="728DCD95">
      <w:pPr>
        <w:tabs>
          <w:tab w:val="left" w:pos="6635"/>
        </w:tabs>
        <w:spacing w:line="360" w:lineRule="auto"/>
        <w:ind w:firstLine="570"/>
        <w:rPr>
          <w:rFonts w:hint="eastAsia" w:ascii="宋体" w:hAnsi="宋体"/>
          <w:b/>
          <w:bCs/>
          <w:color w:val="auto"/>
          <w:sz w:val="24"/>
          <w:highlight w:val="none"/>
        </w:rPr>
      </w:pPr>
      <w:r>
        <w:rPr>
          <w:rFonts w:hint="eastAsia" w:ascii="宋体" w:hAnsi="宋体"/>
          <w:b/>
          <w:bCs/>
          <w:color w:val="auto"/>
          <w:sz w:val="24"/>
          <w:highlight w:val="none"/>
        </w:rPr>
        <w:t>声明：根据项目需要，招标人对《</w:t>
      </w:r>
      <w:r>
        <w:rPr>
          <w:rFonts w:hint="eastAsia" w:ascii="宋体" w:hAnsi="宋体"/>
          <w:b/>
          <w:bCs/>
          <w:color w:val="auto"/>
          <w:sz w:val="24"/>
          <w:highlight w:val="none"/>
          <w:lang w:eastAsia="zh-CN"/>
        </w:rPr>
        <w:t>勘察、设计</w:t>
      </w:r>
      <w:r>
        <w:rPr>
          <w:rFonts w:hint="eastAsia" w:ascii="宋体" w:hAnsi="宋体"/>
          <w:b/>
          <w:bCs/>
          <w:color w:val="auto"/>
          <w:sz w:val="24"/>
          <w:highlight w:val="none"/>
        </w:rPr>
        <w:t>招标文件》作了修改，与范本条款不同之处，均在本章中列明，并以本章为准，原文不再有效。</w:t>
      </w:r>
    </w:p>
    <w:p w14:paraId="7F029CB8">
      <w:pPr>
        <w:numPr>
          <w:ilvl w:val="0"/>
          <w:numId w:val="0"/>
        </w:numPr>
        <w:spacing w:line="480" w:lineRule="auto"/>
        <w:rPr>
          <w:rFonts w:hint="eastAsia"/>
          <w:b/>
          <w:color w:val="auto"/>
          <w:szCs w:val="21"/>
          <w:highlight w:val="none"/>
        </w:rPr>
      </w:pPr>
      <w:permStart w:id="148" w:edGrp="everyone"/>
      <w:r>
        <w:rPr>
          <w:rFonts w:hint="eastAsia"/>
          <w:b/>
          <w:color w:val="auto"/>
          <w:szCs w:val="21"/>
          <w:highlight w:val="none"/>
          <w:lang w:val="en-US" w:eastAsia="zh-CN"/>
        </w:rPr>
        <w:t xml:space="preserve">1. </w:t>
      </w:r>
      <w:r>
        <w:rPr>
          <w:rFonts w:hint="eastAsia"/>
          <w:b/>
          <w:color w:val="auto"/>
          <w:szCs w:val="21"/>
          <w:highlight w:val="none"/>
        </w:rPr>
        <w:t>增加内容</w:t>
      </w:r>
    </w:p>
    <w:p w14:paraId="2C696BFB">
      <w:pPr>
        <w:spacing w:line="480" w:lineRule="auto"/>
        <w:rPr>
          <w:b/>
          <w:color w:val="auto"/>
          <w:szCs w:val="21"/>
          <w:highlight w:val="none"/>
        </w:rPr>
      </w:pPr>
      <w:r>
        <w:rPr>
          <w:rFonts w:hint="eastAsia"/>
          <w:b/>
          <w:color w:val="auto"/>
          <w:szCs w:val="21"/>
          <w:highlight w:val="none"/>
        </w:rPr>
        <w:t>1.1 章节条款号：</w:t>
      </w:r>
      <w:r>
        <w:rPr>
          <w:rFonts w:hint="eastAsia" w:ascii="宋体" w:hAnsi="宋体" w:cs="宋体"/>
          <w:b/>
          <w:color w:val="auto"/>
          <w:szCs w:val="21"/>
        </w:rPr>
        <w:t xml:space="preserve">第二章·投标人须知（一）投标人须知前附表·增加条款 </w:t>
      </w:r>
      <w:r>
        <w:rPr>
          <w:rFonts w:hint="eastAsia" w:ascii="宋体" w:hAnsi="宋体" w:cs="宋体"/>
          <w:b/>
          <w:color w:val="auto"/>
          <w:szCs w:val="21"/>
          <w:lang w:val="en-US" w:eastAsia="zh-CN"/>
        </w:rPr>
        <w:t>14.4</w:t>
      </w:r>
      <w:r>
        <w:rPr>
          <w:rFonts w:hint="eastAsia" w:ascii="宋体" w:hAnsi="宋体" w:cs="宋体"/>
          <w:b/>
          <w:color w:val="auto"/>
          <w:szCs w:val="21"/>
        </w:rPr>
        <w:t>—</w:t>
      </w:r>
      <w:r>
        <w:rPr>
          <w:rFonts w:hint="eastAsia" w:ascii="宋体" w:hAnsi="宋体" w:cs="宋体"/>
          <w:b/>
          <w:color w:val="auto"/>
          <w:szCs w:val="21"/>
          <w:lang w:val="en-US" w:eastAsia="zh-CN"/>
        </w:rPr>
        <w:t xml:space="preserve"> 14.9</w:t>
      </w:r>
      <w:r>
        <w:rPr>
          <w:b/>
          <w:color w:val="auto"/>
          <w:szCs w:val="21"/>
          <w:highlight w:val="none"/>
        </w:rPr>
        <w:t xml:space="preserve">              </w:t>
      </w:r>
    </w:p>
    <w:p w14:paraId="67F0E6BF">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现文：</w:t>
      </w:r>
    </w:p>
    <w:tbl>
      <w:tblPr>
        <w:tblStyle w:val="26"/>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4"/>
        <w:gridCol w:w="695"/>
        <w:gridCol w:w="8361"/>
      </w:tblGrid>
      <w:tr w14:paraId="02C0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atLeast"/>
          <w:jc w:val="center"/>
        </w:trPr>
        <w:tc>
          <w:tcPr>
            <w:tcW w:w="884" w:type="dxa"/>
            <w:vMerge w:val="restart"/>
            <w:noWrap w:val="0"/>
            <w:vAlign w:val="center"/>
          </w:tcPr>
          <w:p w14:paraId="06F70C07">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14.4</w:t>
            </w:r>
          </w:p>
        </w:tc>
        <w:tc>
          <w:tcPr>
            <w:tcW w:w="9056" w:type="dxa"/>
            <w:gridSpan w:val="2"/>
            <w:noWrap w:val="0"/>
            <w:vAlign w:val="center"/>
          </w:tcPr>
          <w:p w14:paraId="331B25C1">
            <w:pPr>
              <w:spacing w:line="400" w:lineRule="exact"/>
              <w:jc w:val="center"/>
              <w:rPr>
                <w:rFonts w:hint="eastAsia" w:ascii="宋体" w:hAnsi="宋体" w:cs="宋体"/>
                <w:b/>
                <w:bCs/>
                <w:szCs w:val="21"/>
                <w:lang w:val="en-US" w:eastAsia="zh-CN"/>
              </w:rPr>
            </w:pPr>
            <w:r>
              <w:rPr>
                <w:rFonts w:hint="eastAsia" w:ascii="宋体" w:hAnsi="宋体" w:cs="宋体"/>
                <w:b/>
                <w:bCs/>
                <w:color w:val="auto"/>
                <w:szCs w:val="21"/>
                <w:lang w:val="en-US" w:eastAsia="zh-CN"/>
              </w:rPr>
              <w:t>违约金及承诺一览表</w:t>
            </w:r>
          </w:p>
        </w:tc>
      </w:tr>
      <w:tr w14:paraId="6C69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atLeast"/>
          <w:jc w:val="center"/>
        </w:trPr>
        <w:tc>
          <w:tcPr>
            <w:tcW w:w="884" w:type="dxa"/>
            <w:vMerge w:val="continue"/>
            <w:noWrap w:val="0"/>
            <w:vAlign w:val="center"/>
          </w:tcPr>
          <w:p w14:paraId="114D0CD3">
            <w:pPr>
              <w:spacing w:line="400" w:lineRule="exact"/>
              <w:jc w:val="center"/>
              <w:rPr>
                <w:rFonts w:hint="default" w:ascii="宋体" w:hAnsi="宋体" w:eastAsia="宋体" w:cs="宋体"/>
                <w:szCs w:val="21"/>
                <w:lang w:val="en-US" w:eastAsia="zh-CN"/>
              </w:rPr>
            </w:pPr>
          </w:p>
        </w:tc>
        <w:tc>
          <w:tcPr>
            <w:tcW w:w="695" w:type="dxa"/>
            <w:noWrap w:val="0"/>
            <w:vAlign w:val="center"/>
          </w:tcPr>
          <w:p w14:paraId="4F5511ED">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8361" w:type="dxa"/>
            <w:noWrap w:val="0"/>
            <w:vAlign w:val="center"/>
          </w:tcPr>
          <w:p w14:paraId="572CEA78">
            <w:pPr>
              <w:spacing w:line="400" w:lineRule="exact"/>
              <w:rPr>
                <w:rFonts w:hint="eastAsia" w:ascii="宋体" w:hAnsi="宋体" w:cs="宋体"/>
                <w:color w:val="auto"/>
                <w:szCs w:val="21"/>
              </w:rPr>
            </w:pPr>
            <w:r>
              <w:rPr>
                <w:rFonts w:hint="eastAsia" w:ascii="宋体" w:hAnsi="宋体" w:cs="宋体"/>
                <w:color w:val="auto"/>
                <w:szCs w:val="21"/>
              </w:rPr>
              <w:t>拟投入本项目的项目负责人可兼任设计项目负责人，其余人员须一人一职位，不得兼任。</w:t>
            </w:r>
          </w:p>
        </w:tc>
      </w:tr>
      <w:tr w14:paraId="51BA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14:paraId="50BA68BF">
            <w:pPr>
              <w:spacing w:line="400" w:lineRule="exact"/>
              <w:jc w:val="center"/>
              <w:rPr>
                <w:rFonts w:hint="eastAsia" w:ascii="宋体" w:hAnsi="宋体" w:cs="宋体"/>
                <w:szCs w:val="21"/>
              </w:rPr>
            </w:pPr>
          </w:p>
        </w:tc>
        <w:tc>
          <w:tcPr>
            <w:tcW w:w="695" w:type="dxa"/>
            <w:noWrap w:val="0"/>
            <w:vAlign w:val="center"/>
          </w:tcPr>
          <w:p w14:paraId="3F5E866F">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8361" w:type="dxa"/>
            <w:noWrap w:val="0"/>
            <w:vAlign w:val="center"/>
          </w:tcPr>
          <w:p w14:paraId="2A144F6E">
            <w:pPr>
              <w:spacing w:line="400" w:lineRule="exact"/>
              <w:rPr>
                <w:rFonts w:hint="eastAsia" w:ascii="宋体" w:hAnsi="宋体" w:cs="宋体"/>
                <w:color w:val="auto"/>
                <w:szCs w:val="21"/>
              </w:rPr>
            </w:pPr>
            <w:r>
              <w:rPr>
                <w:rFonts w:hint="eastAsia" w:ascii="宋体" w:hAnsi="宋体" w:cs="宋体"/>
                <w:color w:val="auto"/>
                <w:szCs w:val="21"/>
              </w:rPr>
              <w:t>中标人在收到中标通知书后5个日历天内，应派代表与招标人联系，商讨签订合同事宜，并在中标通知书发出</w:t>
            </w:r>
            <w:r>
              <w:rPr>
                <w:rFonts w:hint="eastAsia" w:ascii="宋体" w:hAnsi="宋体" w:cs="宋体"/>
                <w:color w:val="auto"/>
                <w:szCs w:val="21"/>
                <w:lang w:val="en-US" w:eastAsia="zh-CN"/>
              </w:rPr>
              <w:t>30</w:t>
            </w:r>
            <w:r>
              <w:rPr>
                <w:rFonts w:hint="eastAsia" w:ascii="宋体" w:hAnsi="宋体" w:cs="宋体"/>
                <w:color w:val="auto"/>
                <w:szCs w:val="21"/>
              </w:rPr>
              <w:t>个日历天内完成合同订立。</w:t>
            </w:r>
          </w:p>
        </w:tc>
      </w:tr>
      <w:tr w14:paraId="63EF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atLeast"/>
          <w:jc w:val="center"/>
        </w:trPr>
        <w:tc>
          <w:tcPr>
            <w:tcW w:w="884" w:type="dxa"/>
            <w:vMerge w:val="continue"/>
            <w:noWrap w:val="0"/>
            <w:vAlign w:val="center"/>
          </w:tcPr>
          <w:p w14:paraId="58A2E9D9">
            <w:pPr>
              <w:spacing w:line="400" w:lineRule="exact"/>
              <w:jc w:val="center"/>
              <w:rPr>
                <w:rFonts w:hint="eastAsia" w:ascii="宋体" w:hAnsi="宋体" w:cs="宋体"/>
                <w:szCs w:val="21"/>
              </w:rPr>
            </w:pPr>
          </w:p>
        </w:tc>
        <w:tc>
          <w:tcPr>
            <w:tcW w:w="695" w:type="dxa"/>
            <w:noWrap w:val="0"/>
            <w:vAlign w:val="center"/>
          </w:tcPr>
          <w:p w14:paraId="51F8346E">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8361" w:type="dxa"/>
            <w:noWrap w:val="0"/>
            <w:vAlign w:val="center"/>
          </w:tcPr>
          <w:p w14:paraId="778A63AA">
            <w:pPr>
              <w:spacing w:line="400" w:lineRule="exact"/>
              <w:rPr>
                <w:rFonts w:ascii="宋体" w:hAnsi="宋体" w:cs="宋体"/>
                <w:color w:val="auto"/>
                <w:szCs w:val="21"/>
              </w:rPr>
            </w:pPr>
            <w:r>
              <w:rPr>
                <w:rFonts w:hint="eastAsia" w:ascii="宋体" w:hAnsi="宋体" w:cs="宋体"/>
                <w:color w:val="auto"/>
                <w:szCs w:val="21"/>
              </w:rPr>
              <w:t>当招标人对施工图、布局等需作局部调整或修改，甚至不采用中标方案，要求中标人重新设计时，中标人应无条件配合。该调整、修改或重新设计所产生的费用应包含在本次投标设计费报价内。</w:t>
            </w:r>
          </w:p>
          <w:p w14:paraId="7D4672EB">
            <w:pPr>
              <w:spacing w:line="400" w:lineRule="exact"/>
              <w:rPr>
                <w:rFonts w:hint="eastAsia" w:ascii="宋体" w:hAnsi="宋体" w:cs="宋体"/>
                <w:color w:val="auto"/>
                <w:szCs w:val="21"/>
              </w:rPr>
            </w:pPr>
            <w:r>
              <w:rPr>
                <w:rFonts w:hint="eastAsia" w:ascii="宋体" w:hAnsi="宋体" w:cs="宋体"/>
                <w:color w:val="auto"/>
                <w:szCs w:val="21"/>
              </w:rPr>
              <w:t>中标人应按招标人意见、评标委员会评审意见、施工图设计文件审查意见修改设计，不得另行收费。</w:t>
            </w:r>
          </w:p>
        </w:tc>
      </w:tr>
      <w:tr w14:paraId="7B90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atLeast"/>
          <w:jc w:val="center"/>
        </w:trPr>
        <w:tc>
          <w:tcPr>
            <w:tcW w:w="884" w:type="dxa"/>
            <w:vMerge w:val="continue"/>
            <w:noWrap w:val="0"/>
            <w:vAlign w:val="center"/>
          </w:tcPr>
          <w:p w14:paraId="4E424B87">
            <w:pPr>
              <w:spacing w:line="400" w:lineRule="exact"/>
              <w:jc w:val="center"/>
              <w:rPr>
                <w:rFonts w:hint="eastAsia" w:ascii="宋体" w:hAnsi="宋体" w:cs="宋体"/>
                <w:szCs w:val="21"/>
              </w:rPr>
            </w:pPr>
          </w:p>
        </w:tc>
        <w:tc>
          <w:tcPr>
            <w:tcW w:w="695" w:type="dxa"/>
            <w:noWrap w:val="0"/>
            <w:vAlign w:val="center"/>
          </w:tcPr>
          <w:p w14:paraId="59BAEB58">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8361" w:type="dxa"/>
            <w:noWrap w:val="0"/>
            <w:vAlign w:val="center"/>
          </w:tcPr>
          <w:p w14:paraId="43BB916E">
            <w:pPr>
              <w:spacing w:line="400" w:lineRule="exact"/>
              <w:rPr>
                <w:rFonts w:ascii="宋体" w:hAnsi="宋体" w:cs="宋体"/>
                <w:bCs/>
                <w:color w:val="auto"/>
                <w:szCs w:val="21"/>
              </w:rPr>
            </w:pPr>
            <w:r>
              <w:rPr>
                <w:rFonts w:hint="eastAsia" w:ascii="宋体" w:hAnsi="宋体" w:cs="宋体"/>
                <w:bCs/>
                <w:color w:val="auto"/>
                <w:szCs w:val="21"/>
              </w:rPr>
              <w:t>（1）</w:t>
            </w:r>
            <w:r>
              <w:rPr>
                <w:rFonts w:hint="eastAsia" w:ascii="宋体" w:hAnsi="宋体" w:cs="宋体"/>
                <w:color w:val="auto"/>
                <w:szCs w:val="21"/>
              </w:rPr>
              <w:t>中标人</w:t>
            </w:r>
            <w:r>
              <w:rPr>
                <w:rFonts w:hint="eastAsia" w:ascii="宋体" w:hAnsi="宋体" w:cs="宋体"/>
                <w:bCs/>
                <w:color w:val="auto"/>
                <w:szCs w:val="21"/>
              </w:rPr>
              <w:t>如设计漏项的，</w:t>
            </w:r>
            <w:r>
              <w:rPr>
                <w:rFonts w:hint="eastAsia" w:ascii="宋体" w:hAnsi="宋体" w:cs="宋体"/>
                <w:bCs/>
                <w:color w:val="auto"/>
                <w:szCs w:val="21"/>
                <w:lang w:eastAsia="zh-CN"/>
              </w:rPr>
              <w:t>计扣</w:t>
            </w:r>
            <w:r>
              <w:rPr>
                <w:rFonts w:hint="eastAsia" w:ascii="宋体" w:hAnsi="宋体" w:cs="宋体"/>
                <w:bCs/>
                <w:color w:val="auto"/>
                <w:szCs w:val="21"/>
              </w:rPr>
              <w:t>漏项部分设计费的100%</w:t>
            </w:r>
            <w:r>
              <w:rPr>
                <w:rFonts w:hint="eastAsia" w:ascii="宋体" w:hAnsi="宋体" w:cs="宋体"/>
                <w:bCs/>
                <w:color w:val="auto"/>
                <w:szCs w:val="21"/>
                <w:lang w:eastAsia="zh-CN"/>
              </w:rPr>
              <w:t>作为违约金</w:t>
            </w:r>
            <w:r>
              <w:rPr>
                <w:rFonts w:hint="eastAsia" w:ascii="宋体" w:hAnsi="宋体" w:cs="宋体"/>
                <w:bCs/>
                <w:color w:val="auto"/>
                <w:szCs w:val="21"/>
              </w:rPr>
              <w:t>；重大设计漏项的，将提交给中山市住房和城乡建设局进行诚信扣分处理。</w:t>
            </w:r>
          </w:p>
          <w:p w14:paraId="52904DAC">
            <w:pPr>
              <w:spacing w:line="400" w:lineRule="exact"/>
              <w:rPr>
                <w:rFonts w:ascii="宋体" w:hAnsi="宋体" w:cs="宋体"/>
                <w:bCs/>
                <w:color w:val="auto"/>
                <w:szCs w:val="21"/>
              </w:rPr>
            </w:pPr>
            <w:r>
              <w:rPr>
                <w:rFonts w:hint="eastAsia" w:ascii="宋体" w:hAnsi="宋体" w:cs="宋体"/>
                <w:bCs/>
                <w:color w:val="auto"/>
                <w:szCs w:val="21"/>
              </w:rPr>
              <w:t>（2）</w:t>
            </w:r>
            <w:r>
              <w:rPr>
                <w:rFonts w:hint="eastAsia" w:ascii="宋体" w:hAnsi="宋体" w:cs="宋体"/>
                <w:color w:val="auto"/>
                <w:szCs w:val="21"/>
              </w:rPr>
              <w:t>中标人</w:t>
            </w:r>
            <w:r>
              <w:rPr>
                <w:rFonts w:hint="eastAsia" w:ascii="宋体" w:hAnsi="宋体" w:cs="宋体"/>
                <w:bCs/>
                <w:color w:val="auto"/>
                <w:szCs w:val="21"/>
              </w:rPr>
              <w:t>如勘察漏项的，</w:t>
            </w:r>
            <w:r>
              <w:rPr>
                <w:rFonts w:hint="eastAsia" w:ascii="宋体" w:hAnsi="宋体" w:cs="宋体"/>
                <w:bCs/>
                <w:color w:val="auto"/>
                <w:szCs w:val="21"/>
                <w:lang w:eastAsia="zh-CN"/>
              </w:rPr>
              <w:t>计扣</w:t>
            </w:r>
            <w:r>
              <w:rPr>
                <w:rFonts w:hint="eastAsia" w:ascii="宋体" w:hAnsi="宋体" w:cs="宋体"/>
                <w:bCs/>
                <w:color w:val="auto"/>
                <w:szCs w:val="21"/>
              </w:rPr>
              <w:t>漏项部分勘察费的100%</w:t>
            </w:r>
            <w:r>
              <w:rPr>
                <w:rFonts w:hint="eastAsia" w:ascii="宋体" w:hAnsi="宋体" w:cs="宋体"/>
                <w:bCs/>
                <w:color w:val="auto"/>
                <w:szCs w:val="21"/>
                <w:lang w:eastAsia="zh-CN"/>
              </w:rPr>
              <w:t>作为违约金</w:t>
            </w:r>
            <w:r>
              <w:rPr>
                <w:rFonts w:hint="eastAsia" w:ascii="宋体" w:hAnsi="宋体" w:cs="宋体"/>
                <w:bCs/>
                <w:color w:val="auto"/>
                <w:szCs w:val="21"/>
              </w:rPr>
              <w:t>；重大勘察漏项的，将提交给中山市住房和城乡建设局进行诚信扣分处理。</w:t>
            </w:r>
          </w:p>
          <w:p w14:paraId="0445BB67">
            <w:pPr>
              <w:spacing w:line="400" w:lineRule="exact"/>
              <w:rPr>
                <w:rFonts w:hint="eastAsia" w:ascii="宋体" w:hAnsi="宋体" w:cs="宋体"/>
                <w:color w:val="auto"/>
                <w:szCs w:val="21"/>
              </w:rPr>
            </w:pPr>
            <w:r>
              <w:rPr>
                <w:rFonts w:hint="eastAsia" w:ascii="宋体" w:hAnsi="宋体" w:cs="宋体"/>
                <w:color w:val="auto"/>
                <w:szCs w:val="21"/>
              </w:rPr>
              <w:t>（3）因中标人勘察设计成果文件失误导致工程项目出现损失的，由中标人承担相应的责任。</w:t>
            </w:r>
          </w:p>
        </w:tc>
      </w:tr>
      <w:tr w14:paraId="3B73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2" w:hRule="atLeast"/>
          <w:jc w:val="center"/>
        </w:trPr>
        <w:tc>
          <w:tcPr>
            <w:tcW w:w="884" w:type="dxa"/>
            <w:vMerge w:val="continue"/>
            <w:noWrap w:val="0"/>
            <w:vAlign w:val="center"/>
          </w:tcPr>
          <w:p w14:paraId="5E35BB36">
            <w:pPr>
              <w:spacing w:line="400" w:lineRule="exact"/>
              <w:jc w:val="center"/>
              <w:rPr>
                <w:rFonts w:hint="eastAsia" w:ascii="宋体" w:hAnsi="宋体" w:cs="宋体"/>
                <w:szCs w:val="21"/>
              </w:rPr>
            </w:pPr>
          </w:p>
        </w:tc>
        <w:tc>
          <w:tcPr>
            <w:tcW w:w="695" w:type="dxa"/>
            <w:noWrap w:val="0"/>
            <w:vAlign w:val="center"/>
          </w:tcPr>
          <w:p w14:paraId="178BC905">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8361" w:type="dxa"/>
            <w:noWrap w:val="0"/>
            <w:vAlign w:val="center"/>
          </w:tcPr>
          <w:p w14:paraId="006E7BF9">
            <w:pPr>
              <w:pStyle w:val="6"/>
              <w:rPr>
                <w:rFonts w:ascii="宋体" w:hAnsi="宋体"/>
                <w:b w:val="0"/>
                <w:bCs w:val="0"/>
                <w:color w:val="auto"/>
                <w:szCs w:val="21"/>
                <w:lang w:val="en-US" w:eastAsia="zh-CN"/>
              </w:rPr>
            </w:pPr>
            <w:r>
              <w:rPr>
                <w:rFonts w:hint="eastAsia" w:ascii="宋体" w:hAnsi="宋体"/>
                <w:b w:val="0"/>
                <w:bCs w:val="0"/>
                <w:color w:val="auto"/>
                <w:szCs w:val="21"/>
                <w:lang w:val="en-US" w:eastAsia="zh-CN"/>
              </w:rPr>
              <w:t>（1）由于设计人设计错误造成工程质量事故损失，设计人除负责采取补救措施外，应免收受损失部分的设计费，并根据损失程度向招标人支付赔偿金，赔偿金数额由双方商定；</w:t>
            </w:r>
          </w:p>
          <w:p w14:paraId="54B5A13A">
            <w:pPr>
              <w:pStyle w:val="6"/>
              <w:rPr>
                <w:rFonts w:ascii="宋体" w:hAnsi="宋体"/>
                <w:b w:val="0"/>
                <w:bCs w:val="0"/>
                <w:color w:val="auto"/>
                <w:szCs w:val="21"/>
                <w:lang w:val="en-US" w:eastAsia="zh-CN"/>
              </w:rPr>
            </w:pPr>
            <w:r>
              <w:rPr>
                <w:rFonts w:hint="eastAsia" w:ascii="宋体" w:hAnsi="宋体"/>
                <w:b w:val="0"/>
                <w:bCs w:val="0"/>
                <w:color w:val="auto"/>
                <w:szCs w:val="21"/>
                <w:lang w:val="en-US" w:eastAsia="zh-CN"/>
              </w:rPr>
              <w:t>（2）设计单位编制工程概算时，在未取得招标人同意的情况下，擅自扩大规模，未实行投资控制约定，概算送审金额大于项目投资估算（或项目设计限额）10%，导致调概影响项目执行计划的，招标人将</w:t>
            </w:r>
            <w:r>
              <w:rPr>
                <w:rFonts w:hint="eastAsia" w:ascii="宋体" w:hAnsi="宋体" w:cs="宋体"/>
                <w:bCs/>
                <w:color w:val="auto"/>
                <w:szCs w:val="21"/>
                <w:lang w:eastAsia="zh-CN"/>
              </w:rPr>
              <w:t>计扣</w:t>
            </w:r>
            <w:r>
              <w:rPr>
                <w:rFonts w:hint="eastAsia" w:ascii="宋体" w:hAnsi="宋体"/>
                <w:b w:val="0"/>
                <w:bCs w:val="0"/>
                <w:color w:val="auto"/>
                <w:szCs w:val="21"/>
                <w:lang w:val="en-US" w:eastAsia="zh-CN"/>
              </w:rPr>
              <w:t>设计费的10%</w:t>
            </w:r>
            <w:r>
              <w:rPr>
                <w:rFonts w:hint="eastAsia" w:ascii="宋体" w:hAnsi="宋体" w:cs="宋体"/>
                <w:bCs/>
                <w:color w:val="auto"/>
                <w:szCs w:val="21"/>
                <w:lang w:eastAsia="zh-CN"/>
              </w:rPr>
              <w:t>作为违约金</w:t>
            </w:r>
            <w:r>
              <w:rPr>
                <w:rFonts w:hint="eastAsia" w:ascii="宋体" w:hAnsi="宋体"/>
                <w:b w:val="0"/>
                <w:bCs w:val="0"/>
                <w:color w:val="auto"/>
                <w:szCs w:val="21"/>
                <w:lang w:val="en-US" w:eastAsia="zh-CN"/>
              </w:rPr>
              <w:t>，在中标人的下一期进度款支付前进行扣除，并提交给中山市城乡建设和管理局进行诚信扣分处理。</w:t>
            </w:r>
          </w:p>
        </w:tc>
      </w:tr>
      <w:tr w14:paraId="22DB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7" w:hRule="atLeast"/>
          <w:jc w:val="center"/>
        </w:trPr>
        <w:tc>
          <w:tcPr>
            <w:tcW w:w="884" w:type="dxa"/>
            <w:vMerge w:val="continue"/>
            <w:noWrap w:val="0"/>
            <w:vAlign w:val="center"/>
          </w:tcPr>
          <w:p w14:paraId="6D11471E">
            <w:pPr>
              <w:spacing w:line="400" w:lineRule="exact"/>
              <w:jc w:val="center"/>
              <w:rPr>
                <w:rFonts w:ascii="宋体" w:hAnsi="宋体" w:cs="宋体"/>
                <w:szCs w:val="21"/>
              </w:rPr>
            </w:pPr>
          </w:p>
        </w:tc>
        <w:tc>
          <w:tcPr>
            <w:tcW w:w="695" w:type="dxa"/>
            <w:noWrap w:val="0"/>
            <w:vAlign w:val="center"/>
          </w:tcPr>
          <w:p w14:paraId="3EDBC85E">
            <w:pPr>
              <w:spacing w:line="400" w:lineRule="exact"/>
              <w:jc w:val="center"/>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6</w:t>
            </w:r>
          </w:p>
        </w:tc>
        <w:tc>
          <w:tcPr>
            <w:tcW w:w="8361" w:type="dxa"/>
            <w:noWrap w:val="0"/>
            <w:vAlign w:val="center"/>
          </w:tcPr>
          <w:p w14:paraId="1FD1F40B">
            <w:pPr>
              <w:pStyle w:val="6"/>
              <w:keepNext/>
              <w:keepLines/>
              <w:pageBreakBefore w:val="0"/>
              <w:widowControl w:val="0"/>
              <w:kinsoku/>
              <w:wordWrap/>
              <w:overflowPunct/>
              <w:topLinePunct w:val="0"/>
              <w:autoSpaceDE/>
              <w:autoSpaceDN/>
              <w:bidi w:val="0"/>
              <w:adjustRightInd/>
              <w:snapToGrid/>
              <w:spacing w:line="400" w:lineRule="exact"/>
              <w:textAlignment w:val="auto"/>
              <w:rPr>
                <w:rFonts w:ascii="宋体" w:hAnsi="宋体"/>
                <w:b w:val="0"/>
                <w:bCs w:val="0"/>
                <w:color w:val="auto"/>
                <w:szCs w:val="21"/>
                <w:lang w:val="en-US" w:eastAsia="zh-CN"/>
              </w:rPr>
            </w:pPr>
            <w:r>
              <w:rPr>
                <w:rFonts w:hint="eastAsia" w:ascii="宋体" w:hAnsi="宋体"/>
                <w:b w:val="0"/>
                <w:bCs w:val="0"/>
                <w:color w:val="auto"/>
                <w:szCs w:val="21"/>
                <w:lang w:val="en-US" w:eastAsia="zh-CN"/>
              </w:rPr>
              <w:t>为保证工作顺利进行，中标单位项目负责人须在项目评审、方案汇报及建设单位要求到场的会议（如项目负责人有特殊情况不能到场，须经建设单位同意后，可委派其他勘察、设计人员参加），否则每次</w:t>
            </w:r>
            <w:r>
              <w:rPr>
                <w:rFonts w:hint="eastAsia" w:ascii="宋体" w:hAnsi="宋体" w:cs="宋体"/>
                <w:b w:val="0"/>
                <w:bCs w:val="0"/>
                <w:color w:val="auto"/>
                <w:szCs w:val="21"/>
                <w:lang w:eastAsia="zh-CN"/>
              </w:rPr>
              <w:t>计扣</w:t>
            </w:r>
            <w:r>
              <w:rPr>
                <w:rFonts w:hint="eastAsia" w:ascii="宋体" w:hAnsi="宋体"/>
                <w:b w:val="0"/>
                <w:bCs w:val="0"/>
                <w:color w:val="auto"/>
                <w:szCs w:val="21"/>
                <w:lang w:val="en-US" w:eastAsia="zh-CN"/>
              </w:rPr>
              <w:t>10000元</w:t>
            </w:r>
            <w:r>
              <w:rPr>
                <w:rFonts w:hint="eastAsia" w:ascii="宋体" w:hAnsi="宋体" w:cs="宋体"/>
                <w:b w:val="0"/>
                <w:bCs w:val="0"/>
                <w:color w:val="auto"/>
                <w:szCs w:val="21"/>
                <w:lang w:eastAsia="zh-CN"/>
              </w:rPr>
              <w:t>作为违约金</w:t>
            </w:r>
            <w:r>
              <w:rPr>
                <w:rFonts w:hint="eastAsia" w:ascii="宋体" w:hAnsi="宋体"/>
                <w:b w:val="0"/>
                <w:bCs w:val="0"/>
                <w:color w:val="auto"/>
                <w:szCs w:val="21"/>
                <w:lang w:val="en-US" w:eastAsia="zh-CN"/>
              </w:rPr>
              <w:t>，在中标人的下一期进度款支付前进行</w:t>
            </w:r>
            <w:r>
              <w:rPr>
                <w:rFonts w:hint="eastAsia" w:ascii="宋体" w:hAnsi="宋体" w:cs="宋体"/>
                <w:b w:val="0"/>
                <w:bCs w:val="0"/>
                <w:color w:val="auto"/>
                <w:kern w:val="0"/>
                <w:szCs w:val="21"/>
                <w:lang w:eastAsia="zh-CN"/>
              </w:rPr>
              <w:t>扣除</w:t>
            </w:r>
            <w:r>
              <w:rPr>
                <w:rFonts w:hint="eastAsia" w:ascii="宋体" w:hAnsi="宋体"/>
                <w:b w:val="0"/>
                <w:bCs w:val="0"/>
                <w:color w:val="auto"/>
                <w:szCs w:val="21"/>
                <w:lang w:val="en-US" w:eastAsia="zh-CN"/>
              </w:rPr>
              <w:t>。</w:t>
            </w:r>
          </w:p>
        </w:tc>
      </w:tr>
      <w:tr w14:paraId="560F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87" w:hRule="atLeast"/>
          <w:jc w:val="center"/>
        </w:trPr>
        <w:tc>
          <w:tcPr>
            <w:tcW w:w="884" w:type="dxa"/>
            <w:vMerge w:val="continue"/>
            <w:noWrap w:val="0"/>
            <w:vAlign w:val="center"/>
          </w:tcPr>
          <w:p w14:paraId="362FC4C1">
            <w:pPr>
              <w:spacing w:line="400" w:lineRule="exact"/>
              <w:jc w:val="center"/>
              <w:rPr>
                <w:rFonts w:ascii="宋体" w:hAnsi="宋体" w:cs="宋体"/>
                <w:szCs w:val="21"/>
              </w:rPr>
            </w:pPr>
          </w:p>
        </w:tc>
        <w:tc>
          <w:tcPr>
            <w:tcW w:w="695" w:type="dxa"/>
            <w:noWrap w:val="0"/>
            <w:vAlign w:val="center"/>
          </w:tcPr>
          <w:p w14:paraId="4D7860DD">
            <w:pPr>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8361" w:type="dxa"/>
            <w:noWrap w:val="0"/>
            <w:vAlign w:val="center"/>
          </w:tcPr>
          <w:p w14:paraId="3054FA79">
            <w:pPr>
              <w:spacing w:line="400" w:lineRule="exact"/>
              <w:rPr>
                <w:rFonts w:ascii="宋体" w:hAnsi="宋体" w:cs="宋体"/>
                <w:color w:val="auto"/>
                <w:szCs w:val="21"/>
              </w:rPr>
            </w:pPr>
            <w:r>
              <w:rPr>
                <w:rFonts w:hint="eastAsia" w:ascii="宋体" w:hAnsi="宋体" w:cs="宋体"/>
                <w:color w:val="auto"/>
                <w:kern w:val="0"/>
                <w:szCs w:val="21"/>
              </w:rPr>
              <w:t>在接到招标人中标通知后，立即开展</w:t>
            </w:r>
            <w:r>
              <w:rPr>
                <w:rFonts w:hint="eastAsia" w:ascii="宋体" w:hAnsi="宋体" w:cs="宋体"/>
                <w:color w:val="auto"/>
                <w:kern w:val="0"/>
                <w:szCs w:val="21"/>
                <w:lang w:val="en-US" w:eastAsia="zh-CN"/>
              </w:rPr>
              <w:t>勘察、</w:t>
            </w:r>
            <w:r>
              <w:rPr>
                <w:rFonts w:hint="eastAsia" w:ascii="宋体" w:hAnsi="宋体" w:cs="宋体"/>
                <w:color w:val="auto"/>
                <w:kern w:val="0"/>
                <w:szCs w:val="21"/>
              </w:rPr>
              <w:t>设计工作，按招标文件和合同条件、技术规范要求的质量和进度完成全部</w:t>
            </w:r>
            <w:r>
              <w:rPr>
                <w:rFonts w:hint="eastAsia" w:ascii="宋体" w:hAnsi="宋体" w:cs="宋体"/>
                <w:color w:val="auto"/>
                <w:kern w:val="0"/>
                <w:szCs w:val="21"/>
                <w:lang w:val="en-US" w:eastAsia="zh-CN"/>
              </w:rPr>
              <w:t>勘察、</w:t>
            </w:r>
            <w:r>
              <w:rPr>
                <w:rFonts w:hint="eastAsia" w:ascii="宋体" w:hAnsi="宋体" w:cs="宋体"/>
                <w:color w:val="auto"/>
                <w:kern w:val="0"/>
                <w:szCs w:val="21"/>
              </w:rPr>
              <w:t>设计工作。</w:t>
            </w:r>
            <w:r>
              <w:rPr>
                <w:rFonts w:hint="eastAsia" w:ascii="宋体" w:hAnsi="宋体" w:cs="宋体"/>
                <w:color w:val="auto"/>
                <w:szCs w:val="21"/>
              </w:rPr>
              <w:t>如非招标人原因引起工期滞后的，每推迟1天</w:t>
            </w:r>
            <w:r>
              <w:rPr>
                <w:rFonts w:hint="eastAsia" w:ascii="宋体" w:hAnsi="宋体" w:cs="宋体"/>
                <w:bCs/>
                <w:color w:val="auto"/>
                <w:szCs w:val="21"/>
                <w:lang w:eastAsia="zh-CN"/>
              </w:rPr>
              <w:t>计扣</w:t>
            </w:r>
            <w:r>
              <w:rPr>
                <w:rFonts w:hint="eastAsia" w:ascii="宋体" w:hAnsi="宋体" w:cs="宋体"/>
                <w:color w:val="auto"/>
                <w:szCs w:val="21"/>
              </w:rPr>
              <w:t>10000元</w:t>
            </w:r>
            <w:r>
              <w:rPr>
                <w:rFonts w:hint="eastAsia" w:ascii="宋体" w:hAnsi="宋体" w:cs="宋体"/>
                <w:bCs/>
                <w:color w:val="auto"/>
                <w:szCs w:val="21"/>
                <w:lang w:eastAsia="zh-CN"/>
              </w:rPr>
              <w:t>作为违约金</w:t>
            </w:r>
            <w:r>
              <w:rPr>
                <w:rFonts w:hint="eastAsia" w:ascii="宋体" w:hAnsi="宋体" w:cs="宋体"/>
                <w:color w:val="auto"/>
                <w:szCs w:val="21"/>
              </w:rPr>
              <w:t>，</w:t>
            </w:r>
            <w:r>
              <w:rPr>
                <w:rFonts w:hint="eastAsia" w:ascii="宋体" w:hAnsi="宋体" w:cs="宋体"/>
                <w:color w:val="auto"/>
                <w:kern w:val="0"/>
                <w:szCs w:val="21"/>
              </w:rPr>
              <w:t>在中标人的下一期进度款支付前进行</w:t>
            </w:r>
            <w:r>
              <w:rPr>
                <w:rFonts w:hint="eastAsia" w:ascii="宋体" w:hAnsi="宋体" w:cs="宋体"/>
                <w:color w:val="auto"/>
                <w:kern w:val="0"/>
                <w:szCs w:val="21"/>
                <w:lang w:eastAsia="zh-CN"/>
              </w:rPr>
              <w:t>扣除</w:t>
            </w:r>
            <w:r>
              <w:rPr>
                <w:rFonts w:hint="eastAsia" w:ascii="宋体" w:hAnsi="宋体" w:cs="宋体"/>
                <w:color w:val="auto"/>
                <w:kern w:val="0"/>
                <w:szCs w:val="21"/>
              </w:rPr>
              <w:t>，</w:t>
            </w:r>
            <w:r>
              <w:rPr>
                <w:rFonts w:hint="eastAsia" w:ascii="宋体" w:hAnsi="宋体" w:cs="宋体"/>
                <w:color w:val="auto"/>
                <w:szCs w:val="21"/>
              </w:rPr>
              <w:t>延迟累计超过30个日历天，招标人有权解除合同并</w:t>
            </w:r>
            <w:r>
              <w:rPr>
                <w:rFonts w:hint="eastAsia" w:ascii="宋体" w:hAnsi="宋体" w:eastAsia="宋体" w:cs="宋体"/>
                <w:color w:val="auto"/>
                <w:highlight w:val="none"/>
                <w:lang w:eastAsia="zh-CN"/>
              </w:rPr>
              <w:t>没收履约保证金，</w:t>
            </w:r>
            <w:r>
              <w:rPr>
                <w:rFonts w:hint="eastAsia" w:ascii="宋体" w:hAnsi="宋体" w:cs="宋体"/>
                <w:color w:val="auto"/>
                <w:szCs w:val="21"/>
              </w:rPr>
              <w:t>同时上报行政主管部门。</w:t>
            </w:r>
          </w:p>
          <w:p w14:paraId="60FB6F94">
            <w:pPr>
              <w:spacing w:line="400" w:lineRule="exact"/>
              <w:rPr>
                <w:rFonts w:ascii="宋体" w:hAnsi="宋体" w:cs="宋体"/>
                <w:color w:val="auto"/>
                <w:szCs w:val="21"/>
              </w:rPr>
            </w:pPr>
            <w:r>
              <w:rPr>
                <w:rFonts w:hint="eastAsia" w:ascii="宋体" w:hAnsi="宋体" w:cs="宋体"/>
                <w:color w:val="auto"/>
                <w:szCs w:val="21"/>
              </w:rPr>
              <w:t>注：如中标人逾期交付工程</w:t>
            </w:r>
            <w:r>
              <w:rPr>
                <w:rFonts w:hint="eastAsia" w:ascii="宋体" w:hAnsi="宋体" w:cs="宋体"/>
                <w:color w:val="auto"/>
                <w:szCs w:val="21"/>
                <w:lang w:val="en-US" w:eastAsia="zh-CN"/>
              </w:rPr>
              <w:t>勘察、</w:t>
            </w:r>
            <w:r>
              <w:rPr>
                <w:rFonts w:hint="eastAsia" w:ascii="宋体" w:hAnsi="宋体" w:cs="宋体"/>
                <w:color w:val="auto"/>
                <w:szCs w:val="21"/>
              </w:rPr>
              <w:t>设计文件，则延期时间按以下计算：</w:t>
            </w:r>
          </w:p>
          <w:p w14:paraId="2C1C4988">
            <w:pPr>
              <w:spacing w:line="400" w:lineRule="exact"/>
              <w:rPr>
                <w:rFonts w:ascii="宋体" w:hAnsi="宋体" w:cs="宋体"/>
                <w:color w:val="auto"/>
                <w:szCs w:val="21"/>
              </w:rPr>
            </w:pPr>
            <w:r>
              <w:rPr>
                <w:rFonts w:hint="eastAsia" w:ascii="宋体" w:hAnsi="宋体" w:cs="宋体"/>
                <w:color w:val="auto"/>
                <w:szCs w:val="21"/>
              </w:rPr>
              <w:t>（1）超出</w:t>
            </w:r>
            <w:r>
              <w:rPr>
                <w:rFonts w:hint="eastAsia"/>
                <w:color w:val="auto"/>
                <w:lang w:val="en-US" w:eastAsia="zh-CN"/>
              </w:rPr>
              <w:t>《勘察设计成果要求》</w:t>
            </w:r>
            <w:r>
              <w:rPr>
                <w:rFonts w:hint="eastAsia" w:ascii="宋体" w:hAnsi="宋体" w:cs="宋体"/>
                <w:color w:val="auto"/>
                <w:szCs w:val="21"/>
              </w:rPr>
              <w:t>各阶段所列资料及文件提交时间的，从超出时间要求之日计至该项资料及文件完成之日；</w:t>
            </w:r>
          </w:p>
          <w:p w14:paraId="02698CBE">
            <w:pPr>
              <w:spacing w:line="400" w:lineRule="exact"/>
              <w:rPr>
                <w:rFonts w:ascii="宋体" w:hAnsi="宋体" w:cs="宋体"/>
                <w:color w:val="auto"/>
                <w:szCs w:val="21"/>
              </w:rPr>
            </w:pPr>
            <w:r>
              <w:rPr>
                <w:rFonts w:hint="eastAsia" w:ascii="宋体" w:hAnsi="宋体" w:cs="宋体"/>
                <w:color w:val="auto"/>
                <w:szCs w:val="21"/>
              </w:rPr>
              <w:t>（2）电子报批、概算报批、技术审查等流程第二次报批不通过次日起（第二次报批距第一次报批不通过时间不得超过10个日历天）计至最终报批通过之日；</w:t>
            </w:r>
          </w:p>
          <w:p w14:paraId="3FC8C049">
            <w:pPr>
              <w:spacing w:line="400" w:lineRule="exact"/>
              <w:rPr>
                <w:rFonts w:ascii="宋体" w:hAnsi="宋体" w:cs="宋体"/>
                <w:color w:val="auto"/>
                <w:szCs w:val="21"/>
              </w:rPr>
            </w:pPr>
            <w:r>
              <w:rPr>
                <w:rFonts w:hint="eastAsia" w:ascii="宋体" w:hAnsi="宋体" w:cs="宋体"/>
                <w:color w:val="auto"/>
                <w:szCs w:val="21"/>
              </w:rPr>
              <w:t>（3）在预算编制过程中发现须补充变更图纸的，从第三次要求补充图纸之日计至预算编制送审前最后一次补充图纸之日。</w:t>
            </w:r>
          </w:p>
          <w:p w14:paraId="74E21044">
            <w:pPr>
              <w:spacing w:line="400" w:lineRule="exact"/>
              <w:rPr>
                <w:rFonts w:ascii="宋体" w:hAnsi="宋体" w:cs="宋体"/>
                <w:color w:val="auto"/>
                <w:szCs w:val="21"/>
              </w:rPr>
            </w:pPr>
            <w:r>
              <w:rPr>
                <w:rFonts w:hint="eastAsia" w:ascii="宋体" w:hAnsi="宋体" w:cs="宋体"/>
                <w:color w:val="auto"/>
                <w:szCs w:val="21"/>
              </w:rPr>
              <w:t>（4）总延期时间为以上延迟天数累计。</w:t>
            </w:r>
          </w:p>
        </w:tc>
      </w:tr>
      <w:tr w14:paraId="30A0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884" w:type="dxa"/>
            <w:vMerge w:val="continue"/>
            <w:noWrap w:val="0"/>
            <w:vAlign w:val="center"/>
          </w:tcPr>
          <w:p w14:paraId="1CF9D1AB">
            <w:pPr>
              <w:spacing w:line="400" w:lineRule="exact"/>
              <w:jc w:val="center"/>
              <w:rPr>
                <w:rFonts w:ascii="宋体" w:hAnsi="宋体" w:cs="宋体"/>
                <w:szCs w:val="21"/>
              </w:rPr>
            </w:pPr>
          </w:p>
        </w:tc>
        <w:tc>
          <w:tcPr>
            <w:tcW w:w="695" w:type="dxa"/>
            <w:noWrap w:val="0"/>
            <w:vAlign w:val="center"/>
          </w:tcPr>
          <w:p w14:paraId="3467F9A5">
            <w:pPr>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w:t>
            </w:r>
          </w:p>
        </w:tc>
        <w:tc>
          <w:tcPr>
            <w:tcW w:w="8361" w:type="dxa"/>
            <w:noWrap w:val="0"/>
            <w:vAlign w:val="center"/>
          </w:tcPr>
          <w:p w14:paraId="4F2C0C06">
            <w:pPr>
              <w:spacing w:line="400" w:lineRule="exact"/>
              <w:rPr>
                <w:rFonts w:ascii="宋体" w:hAnsi="宋体" w:cs="宋体"/>
                <w:color w:val="auto"/>
                <w:szCs w:val="21"/>
              </w:rPr>
            </w:pPr>
            <w:r>
              <w:rPr>
                <w:rFonts w:hint="eastAsia" w:ascii="宋体" w:hAnsi="宋体" w:cs="宋体"/>
                <w:color w:val="auto"/>
                <w:szCs w:val="21"/>
              </w:rPr>
              <w:t>初步设计阶段编制满足概算送审要求的概算报告书（需加盖注册造价工程师执业印章）并配合审核工作。</w:t>
            </w:r>
          </w:p>
        </w:tc>
      </w:tr>
      <w:tr w14:paraId="0E08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jc w:val="center"/>
        </w:trPr>
        <w:tc>
          <w:tcPr>
            <w:tcW w:w="884" w:type="dxa"/>
            <w:vMerge w:val="continue"/>
            <w:noWrap w:val="0"/>
            <w:vAlign w:val="center"/>
          </w:tcPr>
          <w:p w14:paraId="60C3419A">
            <w:pPr>
              <w:spacing w:line="400" w:lineRule="exact"/>
              <w:jc w:val="center"/>
              <w:rPr>
                <w:rFonts w:ascii="宋体" w:hAnsi="宋体" w:cs="宋体"/>
                <w:szCs w:val="21"/>
              </w:rPr>
            </w:pPr>
          </w:p>
        </w:tc>
        <w:tc>
          <w:tcPr>
            <w:tcW w:w="695" w:type="dxa"/>
            <w:noWrap w:val="0"/>
            <w:vAlign w:val="center"/>
          </w:tcPr>
          <w:p w14:paraId="6B8EEE4B">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p>
        </w:tc>
        <w:tc>
          <w:tcPr>
            <w:tcW w:w="8361" w:type="dxa"/>
            <w:shd w:val="clear" w:color="auto" w:fill="auto"/>
            <w:noWrap w:val="0"/>
            <w:vAlign w:val="center"/>
          </w:tcPr>
          <w:p w14:paraId="30BA5A12">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highlight w:val="none"/>
              </w:rPr>
              <w:t>中标人保证本工程的勘察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设计人员必须与投标书中相关人员和岗位相符，如需更换，须报招标人备案同意后才能更换，</w:t>
            </w:r>
            <w:r>
              <w:rPr>
                <w:rFonts w:hint="eastAsia" w:ascii="宋体" w:hAnsi="宋体" w:eastAsia="宋体" w:cs="宋体"/>
                <w:color w:val="auto"/>
                <w:highlight w:val="none"/>
                <w:lang w:eastAsia="zh-CN"/>
              </w:rPr>
              <w:t>若擅自变更，未签订合同的，视为弃标，若签订合同的，招标人有权终止合同，并没收履约保证金</w:t>
            </w:r>
            <w:r>
              <w:rPr>
                <w:rFonts w:hint="eastAsia" w:ascii="宋体" w:hAnsi="宋体" w:eastAsia="宋体" w:cs="宋体"/>
                <w:color w:val="auto"/>
                <w:highlight w:val="none"/>
              </w:rPr>
              <w:t>。中标人投入的勘察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人员凡发生变更的，无论是中标人自身原因或是其工作不满足招标人要求，被招标人要求更换的，或未经招标人允许，设计图纸上的设计人员与中标通知书上的人员不符的，均需向招标人支付违约金。如变更人员为项目负责人、勘察</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负责人或设计</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负责人的，中标人愿意按每次50000元</w:t>
            </w:r>
            <w:r>
              <w:rPr>
                <w:rFonts w:hint="eastAsia" w:ascii="宋体" w:hAnsi="宋体" w:eastAsia="宋体" w:cs="宋体"/>
                <w:color w:val="auto"/>
                <w:szCs w:val="21"/>
                <w:lang w:val="en-US" w:eastAsia="zh-CN"/>
              </w:rPr>
              <w:t>/次</w:t>
            </w:r>
            <w:r>
              <w:rPr>
                <w:rFonts w:hint="eastAsia" w:ascii="宋体" w:hAnsi="宋体" w:cs="宋体"/>
                <w:bCs/>
                <w:color w:val="auto"/>
                <w:szCs w:val="21"/>
                <w:lang w:eastAsia="zh-CN"/>
              </w:rPr>
              <w:t>作为违约金</w:t>
            </w:r>
            <w:r>
              <w:rPr>
                <w:rFonts w:hint="eastAsia" w:ascii="宋体" w:hAnsi="宋体" w:eastAsia="宋体" w:cs="宋体"/>
                <w:color w:val="auto"/>
                <w:highlight w:val="none"/>
              </w:rPr>
              <w:t>，变更人员为其他人员发生变更的，按每次20000元</w:t>
            </w:r>
            <w:r>
              <w:rPr>
                <w:rFonts w:hint="eastAsia" w:ascii="宋体" w:hAnsi="宋体" w:eastAsia="宋体" w:cs="宋体"/>
                <w:color w:val="auto"/>
                <w:szCs w:val="21"/>
                <w:lang w:val="en-US" w:eastAsia="zh-CN"/>
              </w:rPr>
              <w:t>/次</w:t>
            </w:r>
            <w:r>
              <w:rPr>
                <w:rFonts w:hint="eastAsia" w:ascii="宋体" w:hAnsi="宋体" w:cs="宋体"/>
                <w:bCs/>
                <w:color w:val="auto"/>
                <w:szCs w:val="21"/>
                <w:lang w:eastAsia="zh-CN"/>
              </w:rPr>
              <w:t>作为违约金</w:t>
            </w:r>
            <w:r>
              <w:rPr>
                <w:rFonts w:hint="eastAsia" w:ascii="宋体" w:hAnsi="宋体" w:eastAsia="宋体" w:cs="宋体"/>
                <w:color w:val="auto"/>
                <w:highlight w:val="none"/>
              </w:rPr>
              <w:t>，</w:t>
            </w:r>
            <w:r>
              <w:rPr>
                <w:rFonts w:hint="eastAsia" w:ascii="宋体" w:hAnsi="宋体" w:eastAsia="宋体" w:cs="宋体"/>
                <w:color w:val="auto"/>
                <w:szCs w:val="21"/>
              </w:rPr>
              <w:t>在中标人的下一期进度款支付前进行</w:t>
            </w:r>
            <w:r>
              <w:rPr>
                <w:rFonts w:hint="eastAsia" w:ascii="宋体" w:hAnsi="宋体" w:cs="宋体"/>
                <w:color w:val="auto"/>
                <w:kern w:val="0"/>
                <w:szCs w:val="21"/>
                <w:lang w:eastAsia="zh-CN"/>
              </w:rPr>
              <w:t>扣除</w:t>
            </w:r>
            <w:r>
              <w:rPr>
                <w:rFonts w:hint="eastAsia" w:ascii="宋体" w:hAnsi="宋体" w:eastAsia="宋体" w:cs="宋体"/>
                <w:color w:val="auto"/>
                <w:highlight w:val="none"/>
              </w:rPr>
              <w:t>。</w:t>
            </w:r>
          </w:p>
        </w:tc>
      </w:tr>
      <w:tr w14:paraId="0C36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jc w:val="center"/>
        </w:trPr>
        <w:tc>
          <w:tcPr>
            <w:tcW w:w="884" w:type="dxa"/>
            <w:vMerge w:val="continue"/>
            <w:noWrap w:val="0"/>
            <w:vAlign w:val="center"/>
          </w:tcPr>
          <w:p w14:paraId="7711E5C9">
            <w:pPr>
              <w:spacing w:line="400" w:lineRule="exact"/>
              <w:jc w:val="center"/>
              <w:rPr>
                <w:rFonts w:ascii="宋体" w:hAnsi="宋体" w:cs="宋体"/>
                <w:szCs w:val="21"/>
              </w:rPr>
            </w:pPr>
          </w:p>
        </w:tc>
        <w:tc>
          <w:tcPr>
            <w:tcW w:w="695" w:type="dxa"/>
            <w:noWrap w:val="0"/>
            <w:vAlign w:val="center"/>
          </w:tcPr>
          <w:p w14:paraId="5CB3D22A">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10</w:t>
            </w:r>
          </w:p>
        </w:tc>
        <w:tc>
          <w:tcPr>
            <w:tcW w:w="8361" w:type="dxa"/>
            <w:shd w:val="clear" w:color="auto" w:fill="auto"/>
            <w:noWrap w:val="0"/>
            <w:vAlign w:val="center"/>
          </w:tcPr>
          <w:p w14:paraId="023BE708">
            <w:pPr>
              <w:spacing w:line="400" w:lineRule="exac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严格按照甲方的相关要求进行工程设计。对招标人提出的优化要求，中标人有责任和义务进行修改，如果因中标人原因导致设计修改达不到要求或拒绝修改设计，招标人将有权终止合同，并计扣设计部分合同5%的违约金，在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14:paraId="2372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4" w:hRule="atLeast"/>
          <w:jc w:val="center"/>
        </w:trPr>
        <w:tc>
          <w:tcPr>
            <w:tcW w:w="884" w:type="dxa"/>
            <w:vMerge w:val="continue"/>
            <w:noWrap w:val="0"/>
            <w:vAlign w:val="center"/>
          </w:tcPr>
          <w:p w14:paraId="331FADA5">
            <w:pPr>
              <w:spacing w:line="400" w:lineRule="exact"/>
              <w:jc w:val="center"/>
              <w:rPr>
                <w:rFonts w:hint="eastAsia" w:ascii="宋体" w:hAnsi="宋体" w:cs="宋体"/>
                <w:szCs w:val="21"/>
              </w:rPr>
            </w:pPr>
          </w:p>
        </w:tc>
        <w:tc>
          <w:tcPr>
            <w:tcW w:w="695" w:type="dxa"/>
            <w:noWrap w:val="0"/>
            <w:vAlign w:val="center"/>
          </w:tcPr>
          <w:p w14:paraId="676AEF65">
            <w:pPr>
              <w:spacing w:line="40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11</w:t>
            </w:r>
          </w:p>
        </w:tc>
        <w:tc>
          <w:tcPr>
            <w:tcW w:w="8361" w:type="dxa"/>
            <w:shd w:val="clear" w:color="auto" w:fill="auto"/>
            <w:noWrap w:val="0"/>
            <w:vAlign w:val="center"/>
          </w:tcPr>
          <w:p w14:paraId="0615CA1B">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中标人将勘察设计任务转包，或者未经招标人同意私自分包的，招标人将有权终止合同，并计扣</w:t>
            </w:r>
            <w:r>
              <w:rPr>
                <w:rFonts w:hint="eastAsia" w:ascii="宋体" w:hAnsi="宋体" w:eastAsia="宋体" w:cs="宋体"/>
                <w:color w:val="auto"/>
                <w:szCs w:val="21"/>
                <w:lang w:val="en-US" w:eastAsia="zh-CN"/>
              </w:rPr>
              <w:t>勘察费或</w:t>
            </w:r>
            <w:r>
              <w:rPr>
                <w:rFonts w:hint="eastAsia" w:ascii="宋体" w:hAnsi="宋体" w:eastAsia="宋体" w:cs="宋体"/>
                <w:color w:val="auto"/>
                <w:szCs w:val="21"/>
              </w:rPr>
              <w:t>设计费合同价5%的违约金，在</w:t>
            </w:r>
            <w:r>
              <w:rPr>
                <w:rFonts w:hint="eastAsia" w:ascii="宋体" w:hAnsi="宋体" w:eastAsia="宋体" w:cs="宋体"/>
                <w:color w:val="auto"/>
                <w:szCs w:val="21"/>
                <w:lang w:val="en-US" w:eastAsia="zh-CN"/>
              </w:rPr>
              <w:t>勘察费或</w:t>
            </w:r>
            <w:r>
              <w:rPr>
                <w:rFonts w:hint="eastAsia" w:ascii="宋体" w:hAnsi="宋体" w:eastAsia="宋体" w:cs="宋体"/>
                <w:color w:val="auto"/>
                <w:szCs w:val="21"/>
              </w:rPr>
              <w:t>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14:paraId="7D28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14:paraId="36504CE2">
            <w:pPr>
              <w:spacing w:line="400" w:lineRule="exact"/>
              <w:jc w:val="center"/>
              <w:rPr>
                <w:rFonts w:hint="eastAsia" w:ascii="宋体" w:hAnsi="宋体" w:cs="宋体"/>
                <w:szCs w:val="21"/>
              </w:rPr>
            </w:pPr>
          </w:p>
        </w:tc>
        <w:tc>
          <w:tcPr>
            <w:tcW w:w="695" w:type="dxa"/>
            <w:noWrap w:val="0"/>
            <w:vAlign w:val="center"/>
          </w:tcPr>
          <w:p w14:paraId="6203BD59">
            <w:pPr>
              <w:spacing w:line="40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12</w:t>
            </w:r>
          </w:p>
        </w:tc>
        <w:tc>
          <w:tcPr>
            <w:tcW w:w="8361" w:type="dxa"/>
            <w:shd w:val="clear" w:color="auto" w:fill="auto"/>
            <w:noWrap w:val="0"/>
            <w:vAlign w:val="center"/>
          </w:tcPr>
          <w:p w14:paraId="61BBCA59">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因设计深度不够、资料不实或质量低劣并且未通过招标人或招标人委托单位或上级主管部门的审查时，中标人应无偿进行修改设计，直至设计文件通过上级主管部门审批；若经过修改设计仍达不到相关法律法规、规范等要求</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，招标人有权终止设计任务，取消中标人履行下阶段工作的资格，并将计扣设计部分合同价5%的违约金，在设计费结算前进行</w:t>
            </w:r>
            <w:r>
              <w:rPr>
                <w:rFonts w:hint="eastAsia" w:ascii="宋体" w:hAnsi="宋体" w:eastAsia="宋体" w:cs="宋体"/>
                <w:color w:val="auto"/>
                <w:szCs w:val="21"/>
                <w:lang w:val="en-US" w:eastAsia="zh-CN"/>
              </w:rPr>
              <w:t>扣除</w:t>
            </w:r>
            <w:r>
              <w:rPr>
                <w:rFonts w:hint="eastAsia" w:ascii="宋体" w:hAnsi="宋体" w:eastAsia="宋体" w:cs="宋体"/>
                <w:color w:val="auto"/>
                <w:szCs w:val="21"/>
              </w:rPr>
              <w:t>。</w:t>
            </w:r>
          </w:p>
        </w:tc>
      </w:tr>
      <w:tr w14:paraId="1B9F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9" w:hRule="atLeast"/>
          <w:jc w:val="center"/>
        </w:trPr>
        <w:tc>
          <w:tcPr>
            <w:tcW w:w="884" w:type="dxa"/>
            <w:vMerge w:val="continue"/>
            <w:noWrap w:val="0"/>
            <w:vAlign w:val="center"/>
          </w:tcPr>
          <w:p w14:paraId="7394C002">
            <w:pPr>
              <w:spacing w:line="400" w:lineRule="exact"/>
              <w:jc w:val="center"/>
              <w:rPr>
                <w:rFonts w:hint="eastAsia" w:ascii="宋体" w:hAnsi="宋体"/>
                <w:kern w:val="0"/>
                <w:szCs w:val="21"/>
              </w:rPr>
            </w:pPr>
          </w:p>
        </w:tc>
        <w:tc>
          <w:tcPr>
            <w:tcW w:w="695" w:type="dxa"/>
            <w:noWrap w:val="0"/>
            <w:vAlign w:val="center"/>
          </w:tcPr>
          <w:p w14:paraId="1426CF7B">
            <w:pPr>
              <w:spacing w:line="4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8361" w:type="dxa"/>
            <w:shd w:val="clear" w:color="auto" w:fill="auto"/>
            <w:noWrap w:val="0"/>
            <w:vAlign w:val="center"/>
          </w:tcPr>
          <w:p w14:paraId="3FA31551">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本项目所有款项支付须经相关部门审批，因资金审批等原因导致的延迟付款不视为任一方违约责任，投标人应充分清楚知悉其中风险，招标人不需承担因此导致的逾期利息及其他费用。</w:t>
            </w:r>
          </w:p>
        </w:tc>
      </w:tr>
      <w:tr w14:paraId="334E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884" w:type="dxa"/>
            <w:vMerge w:val="continue"/>
            <w:noWrap w:val="0"/>
            <w:vAlign w:val="center"/>
          </w:tcPr>
          <w:p w14:paraId="59FD70CE">
            <w:pPr>
              <w:spacing w:line="400" w:lineRule="exact"/>
              <w:jc w:val="center"/>
              <w:rPr>
                <w:rFonts w:ascii="宋体" w:hAnsi="宋体" w:cs="宋体"/>
                <w:szCs w:val="21"/>
              </w:rPr>
            </w:pPr>
          </w:p>
        </w:tc>
        <w:tc>
          <w:tcPr>
            <w:tcW w:w="695" w:type="dxa"/>
            <w:noWrap w:val="0"/>
            <w:vAlign w:val="center"/>
          </w:tcPr>
          <w:p w14:paraId="3DC1D11C">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w:t>
            </w:r>
          </w:p>
        </w:tc>
        <w:tc>
          <w:tcPr>
            <w:tcW w:w="8361" w:type="dxa"/>
            <w:shd w:val="clear" w:color="auto" w:fill="auto"/>
            <w:noWrap w:val="0"/>
            <w:vAlign w:val="center"/>
          </w:tcPr>
          <w:p w14:paraId="3AA0A8BA">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投标人应按照《关于做好2024年我市诚信管理平台建设工程企业资质延期工作的通知》的要求做好更新诚信平台企业信息工作，如因不及时更新诚信平台企业信息所造成的后果由企业自行承担。</w:t>
            </w:r>
          </w:p>
        </w:tc>
      </w:tr>
      <w:tr w14:paraId="2FE4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884" w:type="dxa"/>
            <w:noWrap w:val="0"/>
            <w:vAlign w:val="center"/>
          </w:tcPr>
          <w:p w14:paraId="752C30EA">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14.5</w:t>
            </w:r>
          </w:p>
        </w:tc>
        <w:tc>
          <w:tcPr>
            <w:tcW w:w="9056" w:type="dxa"/>
            <w:gridSpan w:val="2"/>
            <w:noWrap w:val="0"/>
            <w:vAlign w:val="center"/>
          </w:tcPr>
          <w:p w14:paraId="0CBA3528">
            <w:pPr>
              <w:bidi w:val="0"/>
              <w:spacing w:line="360" w:lineRule="auto"/>
              <w:rPr>
                <w:rFonts w:hint="eastAsia"/>
                <w:color w:val="auto"/>
                <w:lang w:val="en-US" w:eastAsia="zh-CN"/>
              </w:rPr>
            </w:pPr>
            <w:r>
              <w:rPr>
                <w:rFonts w:hint="eastAsia" w:ascii="宋体" w:hAnsi="宋体"/>
                <w:color w:val="auto"/>
                <w:szCs w:val="21"/>
              </w:rPr>
              <w:t>本项目中标通知书、合同签订采用在线签章，须按公共资源交易平台的要求操作（招标人有要求除外）。</w:t>
            </w:r>
          </w:p>
        </w:tc>
      </w:tr>
      <w:tr w14:paraId="1C04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6" w:hRule="atLeast"/>
          <w:jc w:val="center"/>
        </w:trPr>
        <w:tc>
          <w:tcPr>
            <w:tcW w:w="884" w:type="dxa"/>
            <w:noWrap w:val="0"/>
            <w:vAlign w:val="center"/>
          </w:tcPr>
          <w:p w14:paraId="79917370">
            <w:pPr>
              <w:spacing w:line="40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14.6</w:t>
            </w:r>
          </w:p>
        </w:tc>
        <w:tc>
          <w:tcPr>
            <w:tcW w:w="9056" w:type="dxa"/>
            <w:gridSpan w:val="2"/>
            <w:noWrap w:val="0"/>
            <w:vAlign w:val="center"/>
          </w:tcPr>
          <w:p w14:paraId="15E5C381">
            <w:pPr>
              <w:bidi w:val="0"/>
              <w:spacing w:line="360" w:lineRule="auto"/>
              <w:rPr>
                <w:rFonts w:hint="eastAsia" w:ascii="宋体" w:hAnsi="宋体"/>
                <w:color w:val="auto"/>
                <w:kern w:val="2"/>
                <w:sz w:val="21"/>
                <w:szCs w:val="21"/>
                <w:lang w:val="en-US" w:eastAsia="zh-CN" w:bidi="ar-SA"/>
              </w:rPr>
            </w:pPr>
            <w:r>
              <w:rPr>
                <w:rFonts w:hint="eastAsia"/>
                <w:color w:val="auto"/>
                <w:lang w:val="en-US" w:eastAsia="zh-CN"/>
              </w:rPr>
              <w:t>本项目投标时无须提供纸质标书，中标单位在中标候选人公示结束后发出中标通知书前提供资格标、技术标、效果图展板给招标代理（投标文件均为一式五份，其中正本一份，须为原件；副本四份，可为正本的复印件。正副本封面均须加盖投标人公章并胶装及编写页码，在正副本的封面右上角注明“正本”或“副本”。提供效果图展板一套（建议数量不超过5张）。效果图以A1（841mm×594mm）规格制作，图纸比例不限。效果图需裱在轻质板上，轻质板尺寸与效果图一致。）</w:t>
            </w:r>
          </w:p>
        </w:tc>
      </w:tr>
      <w:tr w14:paraId="0970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atLeast"/>
          <w:jc w:val="center"/>
        </w:trPr>
        <w:tc>
          <w:tcPr>
            <w:tcW w:w="884" w:type="dxa"/>
            <w:noWrap w:val="0"/>
            <w:vAlign w:val="center"/>
          </w:tcPr>
          <w:p w14:paraId="2423AE5C">
            <w:pPr>
              <w:spacing w:line="400" w:lineRule="exact"/>
              <w:jc w:val="center"/>
              <w:rPr>
                <w:rFonts w:hint="eastAsia" w:ascii="宋体" w:hAnsi="宋体" w:cs="宋体"/>
                <w:szCs w:val="21"/>
                <w:lang w:val="en-US" w:eastAsia="zh-CN"/>
              </w:rPr>
            </w:pPr>
            <w:r>
              <w:rPr>
                <w:rFonts w:hint="eastAsia" w:ascii="宋体" w:hAnsi="宋体" w:eastAsia="宋体" w:cs="宋体"/>
                <w:color w:val="auto"/>
                <w:szCs w:val="21"/>
                <w:lang w:val="en-US" w:eastAsia="zh-CN"/>
              </w:rPr>
              <w:t>14.7</w:t>
            </w:r>
          </w:p>
        </w:tc>
        <w:tc>
          <w:tcPr>
            <w:tcW w:w="9056" w:type="dxa"/>
            <w:gridSpan w:val="2"/>
            <w:noWrap w:val="0"/>
            <w:vAlign w:val="center"/>
          </w:tcPr>
          <w:p w14:paraId="21AF9144">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rPr>
              <w:t>资信标上传PDF版电子标书1份和可编辑的word版标书1份（word版标书可无需提供标书中的图片或复印件或扫描件）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word版标书不参与评审。</w:t>
            </w:r>
          </w:p>
        </w:tc>
      </w:tr>
      <w:tr w14:paraId="7F21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8" w:hRule="atLeast"/>
          <w:jc w:val="center"/>
        </w:trPr>
        <w:tc>
          <w:tcPr>
            <w:tcW w:w="884" w:type="dxa"/>
            <w:noWrap w:val="0"/>
            <w:vAlign w:val="center"/>
          </w:tcPr>
          <w:p w14:paraId="60FCCFBB">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14.8</w:t>
            </w:r>
          </w:p>
        </w:tc>
        <w:tc>
          <w:tcPr>
            <w:tcW w:w="9056" w:type="dxa"/>
            <w:gridSpan w:val="2"/>
            <w:noWrap w:val="0"/>
            <w:vAlign w:val="center"/>
          </w:tcPr>
          <w:p w14:paraId="6E038563">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本项目招标代理服务费由中标人向招标代理机构支付，具体如下：</w:t>
            </w:r>
          </w:p>
          <w:p w14:paraId="53D79835">
            <w:pPr>
              <w:spacing w:line="360" w:lineRule="auto"/>
              <w:jc w:val="both"/>
              <w:rPr>
                <w:rFonts w:hint="eastAsia" w:ascii="宋体" w:hAnsi="宋体"/>
                <w:color w:val="auto"/>
                <w:kern w:val="2"/>
                <w:sz w:val="21"/>
                <w:szCs w:val="21"/>
                <w:lang w:val="en-US" w:eastAsia="zh-CN" w:bidi="ar-SA"/>
              </w:rPr>
            </w:pPr>
            <w:r>
              <w:rPr>
                <w:rFonts w:hint="eastAsia" w:ascii="宋体" w:hAnsi="宋体" w:eastAsia="宋体" w:cs="宋体"/>
                <w:color w:val="auto"/>
                <w:szCs w:val="21"/>
                <w:lang w:val="en-US" w:eastAsia="zh-CN"/>
              </w:rPr>
              <w:t>本工程招标代理服务费收费按照《招标代理服务收费标准(计价格[2002]1980号文)》收费标准计取服务费用。包干金额为：</w:t>
            </w:r>
            <w:r>
              <w:rPr>
                <w:rFonts w:hint="eastAsia" w:ascii="宋体" w:hAnsi="宋体" w:cs="宋体"/>
                <w:color w:val="auto"/>
                <w:szCs w:val="21"/>
                <w:lang w:val="en-US" w:eastAsia="zh-CN"/>
              </w:rPr>
              <w:t>20</w:t>
            </w:r>
            <w:r>
              <w:rPr>
                <w:rFonts w:hint="eastAsia" w:ascii="宋体" w:hAnsi="宋体" w:eastAsia="宋体" w:cs="宋体"/>
                <w:color w:val="auto"/>
                <w:szCs w:val="21"/>
                <w:lang w:val="en-US" w:eastAsia="zh-CN"/>
              </w:rPr>
              <w:t>000.00元由中标人在领取中标通知书前以银行转账的方式一次性支付给本工程的招标代理机构。</w:t>
            </w:r>
          </w:p>
        </w:tc>
      </w:tr>
      <w:tr w14:paraId="4436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8" w:hRule="atLeast"/>
          <w:jc w:val="center"/>
        </w:trPr>
        <w:tc>
          <w:tcPr>
            <w:tcW w:w="884" w:type="dxa"/>
            <w:noWrap w:val="0"/>
            <w:vAlign w:val="center"/>
          </w:tcPr>
          <w:p w14:paraId="6E4CD9ED">
            <w:pPr>
              <w:spacing w:line="400" w:lineRule="exact"/>
              <w:jc w:val="center"/>
              <w:rPr>
                <w:rFonts w:hint="default" w:ascii="宋体" w:hAnsi="宋体" w:cs="宋体"/>
                <w:szCs w:val="21"/>
                <w:lang w:val="en-US" w:eastAsia="zh-CN"/>
              </w:rPr>
            </w:pPr>
            <w:r>
              <w:rPr>
                <w:rFonts w:hint="eastAsia" w:ascii="宋体" w:hAnsi="宋体" w:cs="宋体"/>
                <w:szCs w:val="21"/>
                <w:lang w:val="en-US" w:eastAsia="zh-CN"/>
              </w:rPr>
              <w:t>14.9</w:t>
            </w:r>
          </w:p>
        </w:tc>
        <w:tc>
          <w:tcPr>
            <w:tcW w:w="9056" w:type="dxa"/>
            <w:gridSpan w:val="2"/>
            <w:noWrap w:val="0"/>
            <w:vAlign w:val="center"/>
          </w:tcPr>
          <w:p w14:paraId="2D68AC72">
            <w:pPr>
              <w:widowControl w:val="0"/>
              <w:kinsoku/>
              <w:adjustRightInd/>
              <w:snapToGrid/>
              <w:spacing w:line="360" w:lineRule="auto"/>
              <w:jc w:val="both"/>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最高投标限价</w:t>
            </w:r>
          </w:p>
          <w:p w14:paraId="310A41FD">
            <w:pPr>
              <w:widowControl w:val="0"/>
              <w:kinsoku/>
              <w:adjustRightInd/>
              <w:snapToGrid/>
              <w:spacing w:line="360" w:lineRule="auto"/>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勘察设计费</w:t>
            </w:r>
            <w:r>
              <w:rPr>
                <w:rFonts w:hint="eastAsia" w:ascii="宋体" w:hAnsi="宋体" w:eastAsia="宋体" w:cs="宋体"/>
                <w:color w:val="auto"/>
                <w:highlight w:val="none"/>
                <w:lang w:val="en-US" w:eastAsia="zh-CN"/>
              </w:rPr>
              <w:t>最高投标限价</w:t>
            </w:r>
            <w:r>
              <w:rPr>
                <w:rFonts w:hint="eastAsia" w:ascii="宋体" w:hAnsi="宋体" w:eastAsia="宋体" w:cs="宋体"/>
                <w:color w:val="auto"/>
                <w:highlight w:val="none"/>
              </w:rPr>
              <w:t>为5553360.00元，其中勘察费</w:t>
            </w:r>
            <w:r>
              <w:rPr>
                <w:rFonts w:hint="eastAsia" w:ascii="宋体" w:hAnsi="宋体" w:eastAsia="宋体" w:cs="宋体"/>
                <w:color w:val="auto"/>
                <w:highlight w:val="none"/>
                <w:lang w:val="en-US" w:eastAsia="zh-CN"/>
              </w:rPr>
              <w:t>最高投标限价</w:t>
            </w:r>
            <w:r>
              <w:rPr>
                <w:rFonts w:hint="eastAsia" w:ascii="宋体" w:hAnsi="宋体" w:eastAsia="宋体" w:cs="宋体"/>
                <w:color w:val="auto"/>
                <w:highlight w:val="none"/>
              </w:rPr>
              <w:t>为2282900.00*（1-40%）=1369740.00元、设计费</w:t>
            </w:r>
            <w:r>
              <w:rPr>
                <w:rFonts w:hint="eastAsia" w:ascii="宋体" w:hAnsi="宋体" w:eastAsia="宋体" w:cs="宋体"/>
                <w:color w:val="auto"/>
                <w:highlight w:val="none"/>
                <w:lang w:val="en-US" w:eastAsia="zh-CN"/>
              </w:rPr>
              <w:t>最高投标限价</w:t>
            </w:r>
            <w:r>
              <w:rPr>
                <w:rFonts w:hint="eastAsia" w:ascii="宋体" w:hAnsi="宋体" w:eastAsia="宋体" w:cs="宋体"/>
                <w:color w:val="auto"/>
                <w:highlight w:val="none"/>
              </w:rPr>
              <w:t>为6972700.00*（1-40%）=4183620.00元。投标报价小于或等于投标报价上限值的为有效报价，必须同时对两部分投标报价且投标报价均不超过招标控制价（含招标控制价）为有效投标报价，否则按无效报价处理。</w:t>
            </w:r>
          </w:p>
          <w:p w14:paraId="305EBDBC">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中标价包括包含工程地质详细勘察（含测量</w:t>
            </w:r>
            <w:r>
              <w:rPr>
                <w:rFonts w:hint="eastAsia" w:ascii="宋体" w:hAnsi="宋体" w:cs="宋体"/>
                <w:color w:val="auto"/>
                <w:highlight w:val="none"/>
                <w:lang w:eastAsia="zh-CN" w:bidi="ar"/>
              </w:rPr>
              <w:t>和</w:t>
            </w:r>
            <w:r>
              <w:rPr>
                <w:rFonts w:hint="eastAsia" w:ascii="宋体" w:hAnsi="宋体" w:eastAsia="宋体" w:cs="宋体"/>
                <w:color w:val="auto"/>
                <w:highlight w:val="none"/>
                <w:lang w:bidi="ar"/>
              </w:rPr>
              <w:t>编制勘察报告）等和工程设计（包括方案设计、初步设计及概算编制、施工图设计、配合招标人施工图审查（包含各专业图纸审查）、施工现场指导与监督、工程调整和竣工验收设计服务等）的全部费用，包括但不限于以下与本项目有关的各项费用：</w:t>
            </w:r>
          </w:p>
          <w:p w14:paraId="4CFCAFE1">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（1）</w:t>
            </w:r>
            <w:r>
              <w:rPr>
                <w:rFonts w:hint="eastAsia" w:ascii="宋体" w:hAnsi="宋体" w:cs="宋体"/>
                <w:color w:val="auto"/>
                <w:highlight w:val="none"/>
                <w:lang w:eastAsia="zh-CN" w:bidi="ar"/>
              </w:rPr>
              <w:t>初测</w:t>
            </w:r>
            <w:r>
              <w:rPr>
                <w:rFonts w:hint="eastAsia" w:ascii="宋体" w:hAnsi="宋体" w:eastAsia="宋体" w:cs="宋体"/>
                <w:color w:val="auto"/>
                <w:highlight w:val="none"/>
                <w:lang w:bidi="ar"/>
              </w:rPr>
              <w:t>（含</w:t>
            </w:r>
            <w:r>
              <w:rPr>
                <w:rFonts w:hint="eastAsia" w:ascii="宋体" w:hAnsi="宋体" w:cs="宋体"/>
                <w:color w:val="auto"/>
                <w:highlight w:val="none"/>
                <w:lang w:eastAsia="zh-CN" w:bidi="ar"/>
              </w:rPr>
              <w:t>测量</w:t>
            </w:r>
            <w:r>
              <w:rPr>
                <w:rFonts w:hint="eastAsia" w:ascii="宋体" w:hAnsi="宋体" w:eastAsia="宋体" w:cs="宋体"/>
                <w:color w:val="auto"/>
                <w:highlight w:val="none"/>
                <w:lang w:bidi="ar"/>
              </w:rPr>
              <w:t>、地形测量、管线物探）产生的费用。</w:t>
            </w:r>
          </w:p>
          <w:p w14:paraId="69025580">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（2）工程勘察钻探、试验及编制勘察报告费用。</w:t>
            </w:r>
          </w:p>
          <w:p w14:paraId="43C6DC91">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（3）工程设计和所必需的专题研究费用、外业现场考察费用。</w:t>
            </w:r>
          </w:p>
          <w:p w14:paraId="3567E030">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（4）配合工程设计工作提供业主初步设计审查、规划报建、施工报建及施工招标等阶段所需的设计成果，工程数量和工程说明、相应图纸。</w:t>
            </w:r>
          </w:p>
          <w:p w14:paraId="3AB45961">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（5）配合业主初步设计概算送审工作，设计概算编制费用。</w:t>
            </w:r>
          </w:p>
          <w:p w14:paraId="6DB50892">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（6）勘察报告（测量成果）及内容应满足施工图设计深度需要。</w:t>
            </w:r>
          </w:p>
          <w:p w14:paraId="11AAAA25">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（7）履行中标工作内容期间，根据招标人要求派驻建设单位提供咨询服务人员及其产生的相关费用。</w:t>
            </w:r>
          </w:p>
          <w:p w14:paraId="05CAC913">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（8）施工期间业主技术咨询及现场服务等产生费用。</w:t>
            </w:r>
          </w:p>
          <w:p w14:paraId="2332E0D5">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（9）勘察报告、设计文件等有关成果、图纸的印刷出版费用、快递费，工作人员意外保险费、差旅费，外业现场考察费用（含人工费、住宿费、交通费等），税费等。</w:t>
            </w:r>
          </w:p>
          <w:p w14:paraId="0535979C">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（10）由于规划变更或其他事项引起勘察设计文件的变更，中标人应无条件按招标人要求完成勘察设计文件变更编制、报审等工作，费用不予增加。</w:t>
            </w:r>
          </w:p>
          <w:p w14:paraId="4932858C">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（11）本项目施工过程中须进行补勘的，由此产生费用不予增加。</w:t>
            </w:r>
          </w:p>
          <w:p w14:paraId="058B6BB3">
            <w:pPr>
              <w:widowControl w:val="0"/>
              <w:kinsoku/>
              <w:adjustRightInd/>
              <w:snapToGrid/>
              <w:spacing w:line="360" w:lineRule="auto"/>
              <w:ind w:firstLine="420" w:firstLineChars="200"/>
              <w:jc w:val="both"/>
              <w:rPr>
                <w:rFonts w:ascii="宋体" w:hAnsi="宋体" w:eastAsia="宋体" w:cs="宋体"/>
                <w:color w:val="auto"/>
                <w:highlight w:val="none"/>
                <w:lang w:bidi="ar"/>
              </w:rPr>
            </w:pPr>
            <w:r>
              <w:rPr>
                <w:rFonts w:hint="eastAsia" w:ascii="宋体" w:hAnsi="宋体" w:eastAsia="宋体" w:cs="宋体"/>
                <w:color w:val="auto"/>
                <w:highlight w:val="none"/>
                <w:lang w:bidi="ar"/>
              </w:rPr>
              <w:t>（12）为完成本招标文件规定的义务，投标人认为有必要计入的其它费用。</w:t>
            </w:r>
          </w:p>
          <w:p w14:paraId="65C4A645">
            <w:pPr>
              <w:spacing w:line="360" w:lineRule="auto"/>
              <w:jc w:val="both"/>
              <w:rPr>
                <w:rFonts w:hint="eastAsia" w:ascii="宋体" w:hAnsi="宋体" w:eastAsia="宋体" w:cs="宋体"/>
                <w:color w:val="auto"/>
                <w:szCs w:val="21"/>
                <w:lang w:val="en-US" w:eastAsia="zh-CN"/>
              </w:rPr>
            </w:pPr>
            <w:r>
              <w:rPr>
                <w:rFonts w:hint="eastAsia" w:ascii="宋体" w:hAnsi="宋体" w:eastAsia="宋体" w:cs="宋体"/>
                <w:color w:val="auto"/>
                <w:highlight w:val="none"/>
                <w:lang w:bidi="ar"/>
              </w:rPr>
              <w:t>中标单位必须配合招标人按建设进度要求进行方案整合、优化，按时完成方案设计及优化、初步设计和施工图设计工作，应严格按照招标人投资控制的上限要求进行工程设计。设计概算不能超过估算（非设计方原因的不可抗力因素除外），超过估算时由中标单位无偿优化设计。中标单位不能完成时可由招标人自行委托第三方优化，优化费用由中标单位支付。</w:t>
            </w:r>
          </w:p>
        </w:tc>
      </w:tr>
    </w:tbl>
    <w:p w14:paraId="29D3AA7E">
      <w:pPr>
        <w:pBdr>
          <w:bottom w:val="single" w:color="auto" w:sz="6" w:space="1"/>
        </w:pBdr>
        <w:spacing w:line="480" w:lineRule="auto"/>
        <w:ind w:firstLine="472" w:firstLineChars="224"/>
        <w:rPr>
          <w:rFonts w:hint="eastAsia"/>
          <w:b/>
          <w:color w:val="auto"/>
          <w:szCs w:val="21"/>
          <w:highlight w:val="none"/>
        </w:rPr>
      </w:pPr>
    </w:p>
    <w:p w14:paraId="551BDF19">
      <w:pPr>
        <w:pBdr>
          <w:bottom w:val="single" w:color="auto" w:sz="6" w:space="1"/>
        </w:pBdr>
        <w:spacing w:line="480" w:lineRule="auto"/>
        <w:rPr>
          <w:rFonts w:hint="eastAsia"/>
          <w:b/>
          <w:color w:val="auto"/>
          <w:szCs w:val="21"/>
          <w:highlight w:val="none"/>
        </w:rPr>
      </w:pPr>
      <w:r>
        <w:rPr>
          <w:rFonts w:hint="eastAsia"/>
          <w:b/>
          <w:color w:val="auto"/>
          <w:szCs w:val="21"/>
          <w:highlight w:val="none"/>
        </w:rPr>
        <w:t>1.2 章节条款号：</w:t>
      </w:r>
    </w:p>
    <w:p w14:paraId="0828F3D7">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现文：</w:t>
      </w:r>
    </w:p>
    <w:p w14:paraId="2F53ED02">
      <w:pPr>
        <w:numPr>
          <w:ilvl w:val="0"/>
          <w:numId w:val="0"/>
        </w:numPr>
        <w:spacing w:line="480" w:lineRule="auto"/>
        <w:rPr>
          <w:rFonts w:hint="eastAsia"/>
          <w:b/>
          <w:color w:val="auto"/>
          <w:szCs w:val="21"/>
          <w:highlight w:val="none"/>
        </w:rPr>
      </w:pPr>
      <w:r>
        <w:rPr>
          <w:rFonts w:hint="eastAsia"/>
          <w:b/>
          <w:color w:val="auto"/>
          <w:szCs w:val="21"/>
          <w:highlight w:val="none"/>
          <w:lang w:val="en-US" w:eastAsia="zh-CN"/>
        </w:rPr>
        <w:t xml:space="preserve">2. </w:t>
      </w:r>
      <w:r>
        <w:rPr>
          <w:rFonts w:hint="eastAsia"/>
          <w:b/>
          <w:color w:val="auto"/>
          <w:szCs w:val="21"/>
          <w:highlight w:val="none"/>
        </w:rPr>
        <w:t>删除内容</w:t>
      </w:r>
    </w:p>
    <w:p w14:paraId="464FC3E2">
      <w:pPr>
        <w:spacing w:line="480" w:lineRule="auto"/>
        <w:rPr>
          <w:b/>
          <w:color w:val="auto"/>
          <w:szCs w:val="21"/>
          <w:highlight w:val="none"/>
        </w:rPr>
      </w:pPr>
      <w:r>
        <w:rPr>
          <w:rFonts w:hint="eastAsia"/>
          <w:b/>
          <w:color w:val="auto"/>
          <w:szCs w:val="21"/>
          <w:highlight w:val="none"/>
        </w:rPr>
        <w:t>2.1 章节条款号：</w:t>
      </w:r>
      <w:r>
        <w:rPr>
          <w:b/>
          <w:color w:val="auto"/>
          <w:szCs w:val="21"/>
          <w:highlight w:val="none"/>
        </w:rPr>
        <w:t xml:space="preserve">            </w:t>
      </w:r>
    </w:p>
    <w:p w14:paraId="4475A866">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原文：</w:t>
      </w:r>
    </w:p>
    <w:p w14:paraId="35603253">
      <w:pPr>
        <w:pBdr>
          <w:bottom w:val="single" w:color="auto" w:sz="6" w:space="1"/>
        </w:pBdr>
        <w:spacing w:line="480" w:lineRule="auto"/>
        <w:rPr>
          <w:b/>
          <w:color w:val="auto"/>
          <w:szCs w:val="21"/>
          <w:highlight w:val="none"/>
        </w:rPr>
      </w:pPr>
      <w:r>
        <w:rPr>
          <w:rFonts w:hint="eastAsia"/>
          <w:b/>
          <w:color w:val="auto"/>
          <w:szCs w:val="21"/>
          <w:highlight w:val="none"/>
        </w:rPr>
        <w:t>2.2 章节条款号：</w:t>
      </w:r>
    </w:p>
    <w:p w14:paraId="34703B0E">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原文：</w:t>
      </w:r>
    </w:p>
    <w:p w14:paraId="687CAC5C">
      <w:pPr>
        <w:numPr>
          <w:ilvl w:val="0"/>
          <w:numId w:val="0"/>
        </w:numPr>
        <w:spacing w:line="480" w:lineRule="auto"/>
        <w:rPr>
          <w:rFonts w:hint="eastAsia"/>
          <w:b/>
          <w:color w:val="auto"/>
          <w:szCs w:val="21"/>
          <w:highlight w:val="none"/>
        </w:rPr>
      </w:pPr>
      <w:r>
        <w:rPr>
          <w:rFonts w:hint="eastAsia"/>
          <w:b/>
          <w:color w:val="auto"/>
          <w:szCs w:val="21"/>
          <w:highlight w:val="none"/>
          <w:lang w:val="en-US" w:eastAsia="zh-CN"/>
        </w:rPr>
        <w:t xml:space="preserve">3. </w:t>
      </w:r>
      <w:r>
        <w:rPr>
          <w:rFonts w:hint="eastAsia"/>
          <w:b/>
          <w:color w:val="auto"/>
          <w:szCs w:val="21"/>
          <w:highlight w:val="none"/>
        </w:rPr>
        <w:t>修改内容</w:t>
      </w:r>
    </w:p>
    <w:p w14:paraId="4B09B212">
      <w:pPr>
        <w:spacing w:line="480" w:lineRule="auto"/>
        <w:rPr>
          <w:b/>
          <w:color w:val="auto"/>
          <w:szCs w:val="21"/>
          <w:highlight w:val="none"/>
        </w:rPr>
      </w:pPr>
      <w:r>
        <w:rPr>
          <w:rFonts w:hint="eastAsia"/>
          <w:b/>
          <w:color w:val="auto"/>
          <w:szCs w:val="21"/>
          <w:highlight w:val="none"/>
        </w:rPr>
        <w:t>3.1章节条款号：</w:t>
      </w:r>
    </w:p>
    <w:p w14:paraId="3789F82E">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原文：</w:t>
      </w:r>
    </w:p>
    <w:p w14:paraId="2A1956A5">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现文：</w:t>
      </w:r>
    </w:p>
    <w:p w14:paraId="1F2365CE">
      <w:pPr>
        <w:pBdr>
          <w:bottom w:val="single" w:color="auto" w:sz="6" w:space="1"/>
        </w:pBdr>
        <w:spacing w:line="480" w:lineRule="auto"/>
        <w:rPr>
          <w:rFonts w:hint="eastAsia"/>
          <w:b/>
          <w:color w:val="auto"/>
          <w:szCs w:val="21"/>
          <w:highlight w:val="none"/>
        </w:rPr>
      </w:pPr>
      <w:r>
        <w:rPr>
          <w:rFonts w:hint="eastAsia"/>
          <w:b/>
          <w:color w:val="auto"/>
          <w:szCs w:val="21"/>
          <w:highlight w:val="none"/>
        </w:rPr>
        <w:t>3.2 章节条款号：</w:t>
      </w:r>
    </w:p>
    <w:p w14:paraId="6BD49A2D">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原文：</w:t>
      </w:r>
    </w:p>
    <w:p w14:paraId="451316AE">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现文：</w:t>
      </w:r>
    </w:p>
    <w:permEnd w:id="148"/>
    <w:p w14:paraId="58A5F327">
      <w:pPr>
        <w:spacing w:line="480" w:lineRule="auto"/>
        <w:ind w:firstLine="472" w:firstLineChars="224"/>
        <w:rPr>
          <w:rFonts w:hint="eastAsia"/>
          <w:b/>
          <w:color w:val="auto"/>
          <w:szCs w:val="21"/>
          <w:highlight w:val="none"/>
        </w:rPr>
      </w:pPr>
      <w:r>
        <w:rPr>
          <w:rFonts w:hint="eastAsia"/>
          <w:b/>
          <w:color w:val="auto"/>
          <w:szCs w:val="21"/>
          <w:highlight w:val="none"/>
        </w:rPr>
        <w:t>注：以上修改，仅限于本范本中有可供选择条款的情形。（以下无正文）</w:t>
      </w:r>
    </w:p>
    <w:sectPr>
      <w:pgSz w:w="11906" w:h="16838"/>
      <w:pgMar w:top="1418" w:right="1134" w:bottom="1140"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00"/>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364E1">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52</w:t>
    </w:r>
    <w:r>
      <w:fldChar w:fldCharType="end"/>
    </w:r>
  </w:p>
  <w:p w14:paraId="1A51D2E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DD2E">
    <w:pPr>
      <w:pStyle w:val="18"/>
      <w:framePr w:wrap="around" w:vAnchor="text" w:hAnchor="margin" w:xAlign="center" w:y="1"/>
      <w:rPr>
        <w:rStyle w:val="31"/>
      </w:rPr>
    </w:pPr>
    <w:r>
      <w:fldChar w:fldCharType="begin"/>
    </w:r>
    <w:r>
      <w:rPr>
        <w:rStyle w:val="31"/>
      </w:rPr>
      <w:instrText xml:space="preserve">PAGE  </w:instrText>
    </w:r>
    <w:r>
      <w:fldChar w:fldCharType="end"/>
    </w:r>
  </w:p>
  <w:p w14:paraId="52C0D519">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FA0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2EF63"/>
    <w:multiLevelType w:val="singleLevel"/>
    <w:tmpl w:val="DED2EF63"/>
    <w:lvl w:ilvl="0" w:tentative="0">
      <w:start w:val="1"/>
      <w:numFmt w:val="decimal"/>
      <w:suff w:val="nothing"/>
      <w:lvlText w:val="13.1.%1 "/>
      <w:lvlJc w:val="left"/>
      <w:pPr>
        <w:tabs>
          <w:tab w:val="left" w:pos="0"/>
        </w:tabs>
        <w:ind w:left="0" w:firstLine="403"/>
      </w:pPr>
      <w:rPr>
        <w:rFonts w:hint="default" w:ascii="宋体" w:hAnsi="宋体" w:eastAsia="宋体" w:cs="宋体"/>
      </w:rPr>
    </w:lvl>
  </w:abstractNum>
  <w:abstractNum w:abstractNumId="1">
    <w:nsid w:val="FA9DEDD6"/>
    <w:multiLevelType w:val="singleLevel"/>
    <w:tmpl w:val="FA9DEDD6"/>
    <w:lvl w:ilvl="0" w:tentative="0">
      <w:start w:val="1"/>
      <w:numFmt w:val="chineseCounting"/>
      <w:suff w:val="nothing"/>
      <w:lvlText w:val="%1、"/>
      <w:lvlJc w:val="left"/>
      <w:pPr>
        <w:ind w:left="0" w:firstLine="420"/>
      </w:pPr>
      <w:rPr>
        <w:rFonts w:hint="eastAsia"/>
      </w:rPr>
    </w:lvl>
  </w:abstractNum>
  <w:abstractNum w:abstractNumId="2">
    <w:nsid w:val="0000001E"/>
    <w:multiLevelType w:val="multilevel"/>
    <w:tmpl w:val="0000001E"/>
    <w:lvl w:ilvl="0" w:tentative="0">
      <w:start w:val="1"/>
      <w:numFmt w:val="decimal"/>
      <w:pStyle w:val="63"/>
      <w:lvlText w:val="%1."/>
      <w:lvlJc w:val="left"/>
      <w:pPr>
        <w:tabs>
          <w:tab w:val="left" w:pos="851"/>
        </w:tabs>
        <w:ind w:left="851" w:hanging="851"/>
      </w:pPr>
      <w:rPr>
        <w:rFonts w:hint="eastAsia" w:eastAsia="宋体" w:cs="Times New Roman"/>
        <w:b/>
        <w:i w:val="0"/>
        <w:sz w:val="24"/>
      </w:rPr>
    </w:lvl>
    <w:lvl w:ilvl="1" w:tentative="0">
      <w:start w:val="1"/>
      <w:numFmt w:val="decimal"/>
      <w:lvlText w:val="%1.%2"/>
      <w:lvlJc w:val="left"/>
      <w:pPr>
        <w:tabs>
          <w:tab w:val="left" w:pos="851"/>
        </w:tabs>
        <w:ind w:left="851" w:hanging="851"/>
      </w:pPr>
      <w:rPr>
        <w:rFonts w:hint="eastAsia" w:eastAsia="宋体" w:cs="Times New Roman"/>
        <w:b w:val="0"/>
        <w:i w:val="0"/>
        <w:color w:val="auto"/>
        <w:sz w:val="21"/>
        <w:szCs w:val="21"/>
      </w:rPr>
    </w:lvl>
    <w:lvl w:ilvl="2" w:tentative="0">
      <w:start w:val="1"/>
      <w:numFmt w:val="decimal"/>
      <w:lvlText w:val="（%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0D4787D3"/>
    <w:multiLevelType w:val="singleLevel"/>
    <w:tmpl w:val="0D4787D3"/>
    <w:lvl w:ilvl="0" w:tentative="0">
      <w:start w:val="1"/>
      <w:numFmt w:val="decimal"/>
      <w:suff w:val="nothing"/>
      <w:lvlText w:val="%1）"/>
      <w:lvlJc w:val="left"/>
      <w:pPr>
        <w:ind w:left="525" w:firstLine="0"/>
      </w:pPr>
    </w:lvl>
  </w:abstractNum>
  <w:abstractNum w:abstractNumId="4">
    <w:nsid w:val="235C5017"/>
    <w:multiLevelType w:val="singleLevel"/>
    <w:tmpl w:val="235C5017"/>
    <w:lvl w:ilvl="0" w:tentative="0">
      <w:start w:val="1"/>
      <w:numFmt w:val="decimal"/>
      <w:suff w:val="nothing"/>
      <w:lvlText w:val="%1、"/>
      <w:lvlJc w:val="left"/>
      <w:pPr>
        <w:ind w:left="0" w:firstLine="403"/>
      </w:pPr>
      <w:rPr>
        <w:rFonts w:hint="default"/>
      </w:rPr>
    </w:lvl>
  </w:abstractNum>
  <w:abstractNum w:abstractNumId="5">
    <w:nsid w:val="2DFF9968"/>
    <w:multiLevelType w:val="singleLevel"/>
    <w:tmpl w:val="2DFF9968"/>
    <w:lvl w:ilvl="0" w:tentative="0">
      <w:start w:val="1"/>
      <w:numFmt w:val="decimal"/>
      <w:suff w:val="nothing"/>
      <w:lvlText w:val="13.2.%1 "/>
      <w:lvlJc w:val="left"/>
      <w:pPr>
        <w:tabs>
          <w:tab w:val="left" w:pos="0"/>
        </w:tabs>
        <w:ind w:left="0" w:firstLine="403"/>
      </w:pPr>
      <w:rPr>
        <w:rFonts w:hint="default" w:ascii="宋体" w:hAnsi="宋体" w:eastAsia="宋体" w:cs="宋体"/>
      </w:rPr>
    </w:lvl>
  </w:abstractNum>
  <w:abstractNum w:abstractNumId="6">
    <w:nsid w:val="45B98E54"/>
    <w:multiLevelType w:val="singleLevel"/>
    <w:tmpl w:val="45B98E54"/>
    <w:lvl w:ilvl="0" w:tentative="0">
      <w:start w:val="2"/>
      <w:numFmt w:val="decimal"/>
      <w:suff w:val="space"/>
      <w:lvlText w:val="%1."/>
      <w:lvlJc w:val="left"/>
    </w:lvl>
  </w:abstractNum>
  <w:abstractNum w:abstractNumId="7">
    <w:nsid w:val="4EEE3AB8"/>
    <w:multiLevelType w:val="singleLevel"/>
    <w:tmpl w:val="4EEE3AB8"/>
    <w:lvl w:ilvl="0" w:tentative="0">
      <w:start w:val="5"/>
      <w:numFmt w:val="decimal"/>
      <w:suff w:val="space"/>
      <w:lvlText w:val="%1."/>
      <w:lvlJc w:val="left"/>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u14afSIvGw1NEqV0ibGsWZEGHwM=" w:salt="h/aNn4RnzB7uv7ed5b8QSw=="/>
  <w:defaultTabStop w:val="420"/>
  <w:hyphenationZone w:val="36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A1YmJhMzFlYmViNGEzNmY0NjdlMjYwMmY0YmEifQ=="/>
  </w:docVars>
  <w:rsids>
    <w:rsidRoot w:val="00172A27"/>
    <w:rsid w:val="00001594"/>
    <w:rsid w:val="00001E20"/>
    <w:rsid w:val="00004D73"/>
    <w:rsid w:val="00006BCB"/>
    <w:rsid w:val="000072C3"/>
    <w:rsid w:val="00007D22"/>
    <w:rsid w:val="00010368"/>
    <w:rsid w:val="0001153E"/>
    <w:rsid w:val="00011E49"/>
    <w:rsid w:val="00012343"/>
    <w:rsid w:val="00012815"/>
    <w:rsid w:val="00012B26"/>
    <w:rsid w:val="00013A92"/>
    <w:rsid w:val="00015496"/>
    <w:rsid w:val="00015C52"/>
    <w:rsid w:val="00017075"/>
    <w:rsid w:val="0001776A"/>
    <w:rsid w:val="000208E8"/>
    <w:rsid w:val="000238D4"/>
    <w:rsid w:val="00024CE5"/>
    <w:rsid w:val="000269D2"/>
    <w:rsid w:val="00026C43"/>
    <w:rsid w:val="00027E9E"/>
    <w:rsid w:val="0003025C"/>
    <w:rsid w:val="00031CF1"/>
    <w:rsid w:val="00031DE1"/>
    <w:rsid w:val="00032B6F"/>
    <w:rsid w:val="00034A70"/>
    <w:rsid w:val="00036322"/>
    <w:rsid w:val="00037377"/>
    <w:rsid w:val="000400DE"/>
    <w:rsid w:val="00041B70"/>
    <w:rsid w:val="000421D5"/>
    <w:rsid w:val="000437E4"/>
    <w:rsid w:val="00044AC3"/>
    <w:rsid w:val="000472AF"/>
    <w:rsid w:val="00052684"/>
    <w:rsid w:val="000549B1"/>
    <w:rsid w:val="00056E36"/>
    <w:rsid w:val="00060132"/>
    <w:rsid w:val="00062A97"/>
    <w:rsid w:val="00062EE7"/>
    <w:rsid w:val="000631B7"/>
    <w:rsid w:val="0006324F"/>
    <w:rsid w:val="0006426F"/>
    <w:rsid w:val="0006514D"/>
    <w:rsid w:val="000655C0"/>
    <w:rsid w:val="00072AB8"/>
    <w:rsid w:val="00073D6A"/>
    <w:rsid w:val="0007647B"/>
    <w:rsid w:val="000775C6"/>
    <w:rsid w:val="00077633"/>
    <w:rsid w:val="00081921"/>
    <w:rsid w:val="00082B1D"/>
    <w:rsid w:val="00083A91"/>
    <w:rsid w:val="00083B11"/>
    <w:rsid w:val="00085336"/>
    <w:rsid w:val="0008738D"/>
    <w:rsid w:val="000878F8"/>
    <w:rsid w:val="00087B8E"/>
    <w:rsid w:val="00087D2F"/>
    <w:rsid w:val="00087DE6"/>
    <w:rsid w:val="00090CFF"/>
    <w:rsid w:val="000921EA"/>
    <w:rsid w:val="000933D7"/>
    <w:rsid w:val="0009420F"/>
    <w:rsid w:val="00095ECE"/>
    <w:rsid w:val="0009688E"/>
    <w:rsid w:val="00096A5B"/>
    <w:rsid w:val="00096D93"/>
    <w:rsid w:val="000A0D94"/>
    <w:rsid w:val="000A0F3E"/>
    <w:rsid w:val="000A1A0F"/>
    <w:rsid w:val="000A2041"/>
    <w:rsid w:val="000A42F9"/>
    <w:rsid w:val="000A52D2"/>
    <w:rsid w:val="000B0053"/>
    <w:rsid w:val="000B045A"/>
    <w:rsid w:val="000B0E15"/>
    <w:rsid w:val="000B128B"/>
    <w:rsid w:val="000B12FF"/>
    <w:rsid w:val="000B2FB3"/>
    <w:rsid w:val="000B3537"/>
    <w:rsid w:val="000B4DE2"/>
    <w:rsid w:val="000B6228"/>
    <w:rsid w:val="000B7C93"/>
    <w:rsid w:val="000B7D6E"/>
    <w:rsid w:val="000C002E"/>
    <w:rsid w:val="000C03F0"/>
    <w:rsid w:val="000C156B"/>
    <w:rsid w:val="000C19C6"/>
    <w:rsid w:val="000C35E5"/>
    <w:rsid w:val="000C4779"/>
    <w:rsid w:val="000C47A8"/>
    <w:rsid w:val="000C5161"/>
    <w:rsid w:val="000C6B69"/>
    <w:rsid w:val="000D0247"/>
    <w:rsid w:val="000D0A30"/>
    <w:rsid w:val="000D1445"/>
    <w:rsid w:val="000D1948"/>
    <w:rsid w:val="000D253F"/>
    <w:rsid w:val="000D3A8D"/>
    <w:rsid w:val="000D59A3"/>
    <w:rsid w:val="000E18CC"/>
    <w:rsid w:val="000E2DC9"/>
    <w:rsid w:val="000E39AF"/>
    <w:rsid w:val="000E3EA5"/>
    <w:rsid w:val="000E42E4"/>
    <w:rsid w:val="000E63B6"/>
    <w:rsid w:val="000E7F04"/>
    <w:rsid w:val="000F4BF8"/>
    <w:rsid w:val="000F5F8B"/>
    <w:rsid w:val="000F66D4"/>
    <w:rsid w:val="000F6E22"/>
    <w:rsid w:val="00100F0A"/>
    <w:rsid w:val="00102975"/>
    <w:rsid w:val="001037C7"/>
    <w:rsid w:val="00104E7C"/>
    <w:rsid w:val="00105853"/>
    <w:rsid w:val="00105FB4"/>
    <w:rsid w:val="00106F02"/>
    <w:rsid w:val="001112AC"/>
    <w:rsid w:val="00112307"/>
    <w:rsid w:val="00112F4F"/>
    <w:rsid w:val="001162C6"/>
    <w:rsid w:val="0011672D"/>
    <w:rsid w:val="001177BF"/>
    <w:rsid w:val="00121BD1"/>
    <w:rsid w:val="00122100"/>
    <w:rsid w:val="001223ED"/>
    <w:rsid w:val="00122E42"/>
    <w:rsid w:val="0012336D"/>
    <w:rsid w:val="001233E6"/>
    <w:rsid w:val="001266A9"/>
    <w:rsid w:val="00130766"/>
    <w:rsid w:val="00130C30"/>
    <w:rsid w:val="001325F6"/>
    <w:rsid w:val="00134387"/>
    <w:rsid w:val="00135164"/>
    <w:rsid w:val="0013772D"/>
    <w:rsid w:val="00141D5C"/>
    <w:rsid w:val="001422BC"/>
    <w:rsid w:val="0014240B"/>
    <w:rsid w:val="00143AE8"/>
    <w:rsid w:val="0014405C"/>
    <w:rsid w:val="0014434A"/>
    <w:rsid w:val="00144C2B"/>
    <w:rsid w:val="001452A9"/>
    <w:rsid w:val="0014611F"/>
    <w:rsid w:val="00147EE5"/>
    <w:rsid w:val="0015362B"/>
    <w:rsid w:val="00153CF3"/>
    <w:rsid w:val="0015701F"/>
    <w:rsid w:val="00161661"/>
    <w:rsid w:val="001632A5"/>
    <w:rsid w:val="001668F0"/>
    <w:rsid w:val="00170852"/>
    <w:rsid w:val="00170CE1"/>
    <w:rsid w:val="00172BEF"/>
    <w:rsid w:val="0017303E"/>
    <w:rsid w:val="00173FE7"/>
    <w:rsid w:val="00175408"/>
    <w:rsid w:val="001763DB"/>
    <w:rsid w:val="001765DD"/>
    <w:rsid w:val="00177828"/>
    <w:rsid w:val="00180BA5"/>
    <w:rsid w:val="001817B7"/>
    <w:rsid w:val="00181C3B"/>
    <w:rsid w:val="00182304"/>
    <w:rsid w:val="0018438E"/>
    <w:rsid w:val="00185EE7"/>
    <w:rsid w:val="00187CF5"/>
    <w:rsid w:val="001903E8"/>
    <w:rsid w:val="00190C6E"/>
    <w:rsid w:val="0019175D"/>
    <w:rsid w:val="00191CC4"/>
    <w:rsid w:val="00196DD6"/>
    <w:rsid w:val="001A0AE4"/>
    <w:rsid w:val="001A12DF"/>
    <w:rsid w:val="001A2611"/>
    <w:rsid w:val="001A41F3"/>
    <w:rsid w:val="001A4B93"/>
    <w:rsid w:val="001A60DE"/>
    <w:rsid w:val="001A6C92"/>
    <w:rsid w:val="001A74BB"/>
    <w:rsid w:val="001A77D1"/>
    <w:rsid w:val="001B15DB"/>
    <w:rsid w:val="001B2063"/>
    <w:rsid w:val="001B392A"/>
    <w:rsid w:val="001B3BB0"/>
    <w:rsid w:val="001B491A"/>
    <w:rsid w:val="001B4E99"/>
    <w:rsid w:val="001B6029"/>
    <w:rsid w:val="001B7E41"/>
    <w:rsid w:val="001C0D8D"/>
    <w:rsid w:val="001C10EC"/>
    <w:rsid w:val="001C23CF"/>
    <w:rsid w:val="001C3FD3"/>
    <w:rsid w:val="001C6938"/>
    <w:rsid w:val="001C6B4D"/>
    <w:rsid w:val="001C6D34"/>
    <w:rsid w:val="001D104E"/>
    <w:rsid w:val="001D1504"/>
    <w:rsid w:val="001D3FEC"/>
    <w:rsid w:val="001D4C04"/>
    <w:rsid w:val="001D4C22"/>
    <w:rsid w:val="001D543A"/>
    <w:rsid w:val="001D726E"/>
    <w:rsid w:val="001E00D8"/>
    <w:rsid w:val="001E032E"/>
    <w:rsid w:val="001E04FB"/>
    <w:rsid w:val="001E21B0"/>
    <w:rsid w:val="001E243F"/>
    <w:rsid w:val="001E45CF"/>
    <w:rsid w:val="001E5382"/>
    <w:rsid w:val="001E65DC"/>
    <w:rsid w:val="001E6703"/>
    <w:rsid w:val="001E7CB3"/>
    <w:rsid w:val="001E7FA5"/>
    <w:rsid w:val="001F06D3"/>
    <w:rsid w:val="001F29B5"/>
    <w:rsid w:val="001F31BB"/>
    <w:rsid w:val="001F772B"/>
    <w:rsid w:val="0020175D"/>
    <w:rsid w:val="002048A7"/>
    <w:rsid w:val="00204BD1"/>
    <w:rsid w:val="00207105"/>
    <w:rsid w:val="0021033A"/>
    <w:rsid w:val="002117A4"/>
    <w:rsid w:val="00212323"/>
    <w:rsid w:val="0021399D"/>
    <w:rsid w:val="0021514B"/>
    <w:rsid w:val="00215ED4"/>
    <w:rsid w:val="00217C51"/>
    <w:rsid w:val="00220F57"/>
    <w:rsid w:val="002213E6"/>
    <w:rsid w:val="002219E2"/>
    <w:rsid w:val="002226AA"/>
    <w:rsid w:val="0022449E"/>
    <w:rsid w:val="00224C49"/>
    <w:rsid w:val="002254B9"/>
    <w:rsid w:val="00225ACC"/>
    <w:rsid w:val="00226522"/>
    <w:rsid w:val="0022680C"/>
    <w:rsid w:val="0023093B"/>
    <w:rsid w:val="002323EB"/>
    <w:rsid w:val="002327C5"/>
    <w:rsid w:val="002340ED"/>
    <w:rsid w:val="002341EE"/>
    <w:rsid w:val="0023469F"/>
    <w:rsid w:val="00235E65"/>
    <w:rsid w:val="00236049"/>
    <w:rsid w:val="00236950"/>
    <w:rsid w:val="00237887"/>
    <w:rsid w:val="002412D3"/>
    <w:rsid w:val="00242255"/>
    <w:rsid w:val="002433CC"/>
    <w:rsid w:val="0024367F"/>
    <w:rsid w:val="00244E0F"/>
    <w:rsid w:val="00245137"/>
    <w:rsid w:val="00245BC2"/>
    <w:rsid w:val="00247DEC"/>
    <w:rsid w:val="00253642"/>
    <w:rsid w:val="00255402"/>
    <w:rsid w:val="002555C0"/>
    <w:rsid w:val="0025624E"/>
    <w:rsid w:val="002579D1"/>
    <w:rsid w:val="00257AE0"/>
    <w:rsid w:val="00261D2B"/>
    <w:rsid w:val="00262632"/>
    <w:rsid w:val="00263CBE"/>
    <w:rsid w:val="002650D6"/>
    <w:rsid w:val="002661C1"/>
    <w:rsid w:val="0026637E"/>
    <w:rsid w:val="00270B8D"/>
    <w:rsid w:val="00272BA8"/>
    <w:rsid w:val="0027390D"/>
    <w:rsid w:val="00275390"/>
    <w:rsid w:val="002761AF"/>
    <w:rsid w:val="0027641A"/>
    <w:rsid w:val="00277D49"/>
    <w:rsid w:val="002815C6"/>
    <w:rsid w:val="0028328F"/>
    <w:rsid w:val="00284FEE"/>
    <w:rsid w:val="00287D12"/>
    <w:rsid w:val="002901A1"/>
    <w:rsid w:val="002913C6"/>
    <w:rsid w:val="00292608"/>
    <w:rsid w:val="0029352E"/>
    <w:rsid w:val="0029461E"/>
    <w:rsid w:val="00295E95"/>
    <w:rsid w:val="0029619B"/>
    <w:rsid w:val="00296218"/>
    <w:rsid w:val="00296C7C"/>
    <w:rsid w:val="00297755"/>
    <w:rsid w:val="00297C42"/>
    <w:rsid w:val="002A1C2A"/>
    <w:rsid w:val="002A3B62"/>
    <w:rsid w:val="002B20F8"/>
    <w:rsid w:val="002B2AB5"/>
    <w:rsid w:val="002B2C94"/>
    <w:rsid w:val="002B301A"/>
    <w:rsid w:val="002B43B6"/>
    <w:rsid w:val="002B4411"/>
    <w:rsid w:val="002B540E"/>
    <w:rsid w:val="002B5CF8"/>
    <w:rsid w:val="002B5D57"/>
    <w:rsid w:val="002B66CB"/>
    <w:rsid w:val="002B6741"/>
    <w:rsid w:val="002B6D1D"/>
    <w:rsid w:val="002C095E"/>
    <w:rsid w:val="002C1EDB"/>
    <w:rsid w:val="002C2667"/>
    <w:rsid w:val="002C3D60"/>
    <w:rsid w:val="002C4535"/>
    <w:rsid w:val="002C564B"/>
    <w:rsid w:val="002C5E94"/>
    <w:rsid w:val="002C6037"/>
    <w:rsid w:val="002C65D0"/>
    <w:rsid w:val="002C7342"/>
    <w:rsid w:val="002C73EC"/>
    <w:rsid w:val="002C7DB3"/>
    <w:rsid w:val="002D2BF5"/>
    <w:rsid w:val="002D5901"/>
    <w:rsid w:val="002D6E1E"/>
    <w:rsid w:val="002D7FAE"/>
    <w:rsid w:val="002E1882"/>
    <w:rsid w:val="002E2B53"/>
    <w:rsid w:val="002E3838"/>
    <w:rsid w:val="002E5D48"/>
    <w:rsid w:val="002E5F4A"/>
    <w:rsid w:val="002F335D"/>
    <w:rsid w:val="002F3772"/>
    <w:rsid w:val="002F3B46"/>
    <w:rsid w:val="002F4E29"/>
    <w:rsid w:val="002F5604"/>
    <w:rsid w:val="002F5D5B"/>
    <w:rsid w:val="002F6960"/>
    <w:rsid w:val="0030231C"/>
    <w:rsid w:val="00302C8A"/>
    <w:rsid w:val="003033A8"/>
    <w:rsid w:val="00304526"/>
    <w:rsid w:val="00304B7B"/>
    <w:rsid w:val="0030524A"/>
    <w:rsid w:val="003069D4"/>
    <w:rsid w:val="00306A42"/>
    <w:rsid w:val="00307530"/>
    <w:rsid w:val="00307BBE"/>
    <w:rsid w:val="00307E18"/>
    <w:rsid w:val="003101D0"/>
    <w:rsid w:val="0031094D"/>
    <w:rsid w:val="00312577"/>
    <w:rsid w:val="00314CA3"/>
    <w:rsid w:val="00315212"/>
    <w:rsid w:val="00320BF5"/>
    <w:rsid w:val="003213A6"/>
    <w:rsid w:val="00324236"/>
    <w:rsid w:val="00324905"/>
    <w:rsid w:val="00324D4F"/>
    <w:rsid w:val="0032726A"/>
    <w:rsid w:val="00330012"/>
    <w:rsid w:val="0033040D"/>
    <w:rsid w:val="00330B6F"/>
    <w:rsid w:val="00333D47"/>
    <w:rsid w:val="00333F11"/>
    <w:rsid w:val="003343FB"/>
    <w:rsid w:val="00334A8C"/>
    <w:rsid w:val="00334BA2"/>
    <w:rsid w:val="00335BD6"/>
    <w:rsid w:val="00335D10"/>
    <w:rsid w:val="00337280"/>
    <w:rsid w:val="003378D5"/>
    <w:rsid w:val="00340490"/>
    <w:rsid w:val="003425EF"/>
    <w:rsid w:val="003426B8"/>
    <w:rsid w:val="0034309F"/>
    <w:rsid w:val="0034350B"/>
    <w:rsid w:val="003451A1"/>
    <w:rsid w:val="00346009"/>
    <w:rsid w:val="003517D4"/>
    <w:rsid w:val="00352BA8"/>
    <w:rsid w:val="0035332F"/>
    <w:rsid w:val="003535D1"/>
    <w:rsid w:val="00353726"/>
    <w:rsid w:val="00353ADB"/>
    <w:rsid w:val="00354063"/>
    <w:rsid w:val="00354FE6"/>
    <w:rsid w:val="0035517F"/>
    <w:rsid w:val="0035635F"/>
    <w:rsid w:val="003568E1"/>
    <w:rsid w:val="00357B2D"/>
    <w:rsid w:val="00361B0D"/>
    <w:rsid w:val="00361CEA"/>
    <w:rsid w:val="00362D52"/>
    <w:rsid w:val="00362F3D"/>
    <w:rsid w:val="0036332E"/>
    <w:rsid w:val="00364BE4"/>
    <w:rsid w:val="00365322"/>
    <w:rsid w:val="003656A7"/>
    <w:rsid w:val="00367031"/>
    <w:rsid w:val="00371C72"/>
    <w:rsid w:val="003737CE"/>
    <w:rsid w:val="00373D3F"/>
    <w:rsid w:val="00375906"/>
    <w:rsid w:val="00376252"/>
    <w:rsid w:val="0037727A"/>
    <w:rsid w:val="00380E28"/>
    <w:rsid w:val="00382BF7"/>
    <w:rsid w:val="00383EDB"/>
    <w:rsid w:val="003849FB"/>
    <w:rsid w:val="00384D36"/>
    <w:rsid w:val="0038598C"/>
    <w:rsid w:val="00393D35"/>
    <w:rsid w:val="00394031"/>
    <w:rsid w:val="00395ABE"/>
    <w:rsid w:val="00396816"/>
    <w:rsid w:val="003970F7"/>
    <w:rsid w:val="003A3716"/>
    <w:rsid w:val="003A3CDE"/>
    <w:rsid w:val="003A4B0B"/>
    <w:rsid w:val="003A7284"/>
    <w:rsid w:val="003B0948"/>
    <w:rsid w:val="003B2EFC"/>
    <w:rsid w:val="003B4261"/>
    <w:rsid w:val="003B5A33"/>
    <w:rsid w:val="003B5FCB"/>
    <w:rsid w:val="003B67EF"/>
    <w:rsid w:val="003C1B39"/>
    <w:rsid w:val="003C1F92"/>
    <w:rsid w:val="003C2524"/>
    <w:rsid w:val="003C2F2F"/>
    <w:rsid w:val="003C6680"/>
    <w:rsid w:val="003D1707"/>
    <w:rsid w:val="003D46B4"/>
    <w:rsid w:val="003D48C8"/>
    <w:rsid w:val="003D5FA2"/>
    <w:rsid w:val="003D7228"/>
    <w:rsid w:val="003E0847"/>
    <w:rsid w:val="003E1D0A"/>
    <w:rsid w:val="003E2F64"/>
    <w:rsid w:val="003E3EAB"/>
    <w:rsid w:val="003E46D8"/>
    <w:rsid w:val="003E516F"/>
    <w:rsid w:val="003E7B78"/>
    <w:rsid w:val="003E7E16"/>
    <w:rsid w:val="003F01CF"/>
    <w:rsid w:val="003F0325"/>
    <w:rsid w:val="003F0B7F"/>
    <w:rsid w:val="003F5AA1"/>
    <w:rsid w:val="003F6080"/>
    <w:rsid w:val="003F6E3A"/>
    <w:rsid w:val="004001C6"/>
    <w:rsid w:val="00400279"/>
    <w:rsid w:val="00400511"/>
    <w:rsid w:val="00404474"/>
    <w:rsid w:val="00404843"/>
    <w:rsid w:val="004049DB"/>
    <w:rsid w:val="0040615D"/>
    <w:rsid w:val="00406852"/>
    <w:rsid w:val="004070DB"/>
    <w:rsid w:val="00410D78"/>
    <w:rsid w:val="00411139"/>
    <w:rsid w:val="004117B3"/>
    <w:rsid w:val="0041195A"/>
    <w:rsid w:val="00411B4A"/>
    <w:rsid w:val="0041236B"/>
    <w:rsid w:val="00413CE8"/>
    <w:rsid w:val="00413D20"/>
    <w:rsid w:val="00413EB5"/>
    <w:rsid w:val="0042035A"/>
    <w:rsid w:val="004219F5"/>
    <w:rsid w:val="00423E0A"/>
    <w:rsid w:val="00424075"/>
    <w:rsid w:val="004260C9"/>
    <w:rsid w:val="00426CAD"/>
    <w:rsid w:val="00427956"/>
    <w:rsid w:val="00427E21"/>
    <w:rsid w:val="00427F26"/>
    <w:rsid w:val="00431926"/>
    <w:rsid w:val="0043208B"/>
    <w:rsid w:val="004350E0"/>
    <w:rsid w:val="00435C97"/>
    <w:rsid w:val="0043663F"/>
    <w:rsid w:val="00436671"/>
    <w:rsid w:val="00437BF9"/>
    <w:rsid w:val="0044169F"/>
    <w:rsid w:val="00442365"/>
    <w:rsid w:val="00442858"/>
    <w:rsid w:val="004433E6"/>
    <w:rsid w:val="00450094"/>
    <w:rsid w:val="00452A34"/>
    <w:rsid w:val="004538E7"/>
    <w:rsid w:val="00453983"/>
    <w:rsid w:val="00454996"/>
    <w:rsid w:val="00455A38"/>
    <w:rsid w:val="0045702B"/>
    <w:rsid w:val="00460344"/>
    <w:rsid w:val="00462A9E"/>
    <w:rsid w:val="00464AD8"/>
    <w:rsid w:val="004662C5"/>
    <w:rsid w:val="00470B5A"/>
    <w:rsid w:val="00470BD7"/>
    <w:rsid w:val="0047164D"/>
    <w:rsid w:val="00471855"/>
    <w:rsid w:val="00471E6C"/>
    <w:rsid w:val="0047245C"/>
    <w:rsid w:val="00473EFB"/>
    <w:rsid w:val="00474499"/>
    <w:rsid w:val="00474CCA"/>
    <w:rsid w:val="00475293"/>
    <w:rsid w:val="004755C2"/>
    <w:rsid w:val="004760D3"/>
    <w:rsid w:val="004765F3"/>
    <w:rsid w:val="00476F31"/>
    <w:rsid w:val="004809EB"/>
    <w:rsid w:val="004830C7"/>
    <w:rsid w:val="00483C93"/>
    <w:rsid w:val="004849AA"/>
    <w:rsid w:val="00485BE7"/>
    <w:rsid w:val="0048641E"/>
    <w:rsid w:val="0048772C"/>
    <w:rsid w:val="00491829"/>
    <w:rsid w:val="00491D93"/>
    <w:rsid w:val="00492EA8"/>
    <w:rsid w:val="004959FF"/>
    <w:rsid w:val="004967C6"/>
    <w:rsid w:val="004A03BA"/>
    <w:rsid w:val="004A07EB"/>
    <w:rsid w:val="004A67EE"/>
    <w:rsid w:val="004B142B"/>
    <w:rsid w:val="004B186D"/>
    <w:rsid w:val="004B2C36"/>
    <w:rsid w:val="004B4A4B"/>
    <w:rsid w:val="004B5712"/>
    <w:rsid w:val="004B6EAF"/>
    <w:rsid w:val="004B735F"/>
    <w:rsid w:val="004B7B13"/>
    <w:rsid w:val="004C022A"/>
    <w:rsid w:val="004C33CA"/>
    <w:rsid w:val="004C45F3"/>
    <w:rsid w:val="004C5ADC"/>
    <w:rsid w:val="004C5EDD"/>
    <w:rsid w:val="004C75DC"/>
    <w:rsid w:val="004C7F44"/>
    <w:rsid w:val="004D0B96"/>
    <w:rsid w:val="004D1B6F"/>
    <w:rsid w:val="004D26CD"/>
    <w:rsid w:val="004D3639"/>
    <w:rsid w:val="004D3BE0"/>
    <w:rsid w:val="004D4BE4"/>
    <w:rsid w:val="004D7CEF"/>
    <w:rsid w:val="004E2AA4"/>
    <w:rsid w:val="004E3972"/>
    <w:rsid w:val="004E5CFD"/>
    <w:rsid w:val="004E5F90"/>
    <w:rsid w:val="004E7B47"/>
    <w:rsid w:val="004F1C02"/>
    <w:rsid w:val="004F245E"/>
    <w:rsid w:val="004F6C9D"/>
    <w:rsid w:val="004F7ECA"/>
    <w:rsid w:val="004F7F32"/>
    <w:rsid w:val="005003B1"/>
    <w:rsid w:val="00501675"/>
    <w:rsid w:val="00501A4B"/>
    <w:rsid w:val="00502353"/>
    <w:rsid w:val="005027FC"/>
    <w:rsid w:val="005038F0"/>
    <w:rsid w:val="00503F72"/>
    <w:rsid w:val="00507BC2"/>
    <w:rsid w:val="005123E9"/>
    <w:rsid w:val="005136C3"/>
    <w:rsid w:val="00513854"/>
    <w:rsid w:val="00514FCD"/>
    <w:rsid w:val="00515103"/>
    <w:rsid w:val="005163F5"/>
    <w:rsid w:val="0051682D"/>
    <w:rsid w:val="00521242"/>
    <w:rsid w:val="00522A4A"/>
    <w:rsid w:val="00523068"/>
    <w:rsid w:val="00523458"/>
    <w:rsid w:val="005238C1"/>
    <w:rsid w:val="00525569"/>
    <w:rsid w:val="00525893"/>
    <w:rsid w:val="00526486"/>
    <w:rsid w:val="00526933"/>
    <w:rsid w:val="00526E30"/>
    <w:rsid w:val="0052786D"/>
    <w:rsid w:val="0052798D"/>
    <w:rsid w:val="00531082"/>
    <w:rsid w:val="005311BB"/>
    <w:rsid w:val="005318CA"/>
    <w:rsid w:val="005332C8"/>
    <w:rsid w:val="00533827"/>
    <w:rsid w:val="005339C3"/>
    <w:rsid w:val="0053428B"/>
    <w:rsid w:val="00536209"/>
    <w:rsid w:val="00537AB0"/>
    <w:rsid w:val="00540482"/>
    <w:rsid w:val="0054103F"/>
    <w:rsid w:val="0054238F"/>
    <w:rsid w:val="0054279B"/>
    <w:rsid w:val="00544800"/>
    <w:rsid w:val="00545CA3"/>
    <w:rsid w:val="00546E1B"/>
    <w:rsid w:val="00553076"/>
    <w:rsid w:val="00553F1A"/>
    <w:rsid w:val="00553F52"/>
    <w:rsid w:val="00554761"/>
    <w:rsid w:val="0055489A"/>
    <w:rsid w:val="005561C1"/>
    <w:rsid w:val="00556791"/>
    <w:rsid w:val="00557417"/>
    <w:rsid w:val="00557670"/>
    <w:rsid w:val="00557F8A"/>
    <w:rsid w:val="00561BF0"/>
    <w:rsid w:val="00562E8B"/>
    <w:rsid w:val="005643B1"/>
    <w:rsid w:val="00565C48"/>
    <w:rsid w:val="00566804"/>
    <w:rsid w:val="00566C04"/>
    <w:rsid w:val="00570031"/>
    <w:rsid w:val="00570245"/>
    <w:rsid w:val="00570955"/>
    <w:rsid w:val="005737B1"/>
    <w:rsid w:val="00573E11"/>
    <w:rsid w:val="005771F1"/>
    <w:rsid w:val="00577398"/>
    <w:rsid w:val="005808F8"/>
    <w:rsid w:val="00580D15"/>
    <w:rsid w:val="005810C2"/>
    <w:rsid w:val="005825C6"/>
    <w:rsid w:val="0058277F"/>
    <w:rsid w:val="00582A69"/>
    <w:rsid w:val="00585022"/>
    <w:rsid w:val="005854E4"/>
    <w:rsid w:val="00585728"/>
    <w:rsid w:val="005909CD"/>
    <w:rsid w:val="00591AAE"/>
    <w:rsid w:val="00591B5A"/>
    <w:rsid w:val="00592C3F"/>
    <w:rsid w:val="00593337"/>
    <w:rsid w:val="00593B46"/>
    <w:rsid w:val="005954F8"/>
    <w:rsid w:val="005960C1"/>
    <w:rsid w:val="005A156A"/>
    <w:rsid w:val="005A1D68"/>
    <w:rsid w:val="005A3143"/>
    <w:rsid w:val="005A4B8B"/>
    <w:rsid w:val="005A4CB1"/>
    <w:rsid w:val="005A4D66"/>
    <w:rsid w:val="005A50EB"/>
    <w:rsid w:val="005A6142"/>
    <w:rsid w:val="005A6DBE"/>
    <w:rsid w:val="005A741A"/>
    <w:rsid w:val="005A7736"/>
    <w:rsid w:val="005A7DC7"/>
    <w:rsid w:val="005B01BA"/>
    <w:rsid w:val="005B02C9"/>
    <w:rsid w:val="005B0776"/>
    <w:rsid w:val="005B0D14"/>
    <w:rsid w:val="005B3089"/>
    <w:rsid w:val="005B467D"/>
    <w:rsid w:val="005B46DC"/>
    <w:rsid w:val="005B5DB2"/>
    <w:rsid w:val="005B61EE"/>
    <w:rsid w:val="005B7FDD"/>
    <w:rsid w:val="005C01A4"/>
    <w:rsid w:val="005C12E7"/>
    <w:rsid w:val="005C252D"/>
    <w:rsid w:val="005C302D"/>
    <w:rsid w:val="005C4D3A"/>
    <w:rsid w:val="005D0704"/>
    <w:rsid w:val="005D0EF0"/>
    <w:rsid w:val="005D21CC"/>
    <w:rsid w:val="005D2383"/>
    <w:rsid w:val="005D2D0F"/>
    <w:rsid w:val="005D2D94"/>
    <w:rsid w:val="005D39D9"/>
    <w:rsid w:val="005D5A21"/>
    <w:rsid w:val="005D74A7"/>
    <w:rsid w:val="005D769F"/>
    <w:rsid w:val="005D79E6"/>
    <w:rsid w:val="005E097B"/>
    <w:rsid w:val="005E253C"/>
    <w:rsid w:val="005E3221"/>
    <w:rsid w:val="005E3D9E"/>
    <w:rsid w:val="005E3F8D"/>
    <w:rsid w:val="005E46A6"/>
    <w:rsid w:val="005E4A70"/>
    <w:rsid w:val="005E4CC6"/>
    <w:rsid w:val="005E57B3"/>
    <w:rsid w:val="005E6BDF"/>
    <w:rsid w:val="005F1662"/>
    <w:rsid w:val="005F2C48"/>
    <w:rsid w:val="005F4D87"/>
    <w:rsid w:val="005F4FF6"/>
    <w:rsid w:val="005F5B02"/>
    <w:rsid w:val="005F629E"/>
    <w:rsid w:val="005F75D9"/>
    <w:rsid w:val="005F7D2D"/>
    <w:rsid w:val="0060043A"/>
    <w:rsid w:val="00601115"/>
    <w:rsid w:val="00602EF7"/>
    <w:rsid w:val="00603B67"/>
    <w:rsid w:val="00604501"/>
    <w:rsid w:val="00605276"/>
    <w:rsid w:val="00605767"/>
    <w:rsid w:val="00606827"/>
    <w:rsid w:val="00613664"/>
    <w:rsid w:val="00616B07"/>
    <w:rsid w:val="006202BF"/>
    <w:rsid w:val="00620438"/>
    <w:rsid w:val="00620D0A"/>
    <w:rsid w:val="00622C46"/>
    <w:rsid w:val="00623986"/>
    <w:rsid w:val="00623F73"/>
    <w:rsid w:val="00624D3E"/>
    <w:rsid w:val="0062511F"/>
    <w:rsid w:val="00625724"/>
    <w:rsid w:val="00627159"/>
    <w:rsid w:val="00627285"/>
    <w:rsid w:val="00630D45"/>
    <w:rsid w:val="0063153C"/>
    <w:rsid w:val="006322D3"/>
    <w:rsid w:val="006340BF"/>
    <w:rsid w:val="00634C77"/>
    <w:rsid w:val="006360E7"/>
    <w:rsid w:val="00640F7B"/>
    <w:rsid w:val="006443AE"/>
    <w:rsid w:val="00646475"/>
    <w:rsid w:val="006474EE"/>
    <w:rsid w:val="00650184"/>
    <w:rsid w:val="0065177F"/>
    <w:rsid w:val="006526D3"/>
    <w:rsid w:val="00652DF4"/>
    <w:rsid w:val="0065355B"/>
    <w:rsid w:val="0065373F"/>
    <w:rsid w:val="00653ACA"/>
    <w:rsid w:val="00653D12"/>
    <w:rsid w:val="00654622"/>
    <w:rsid w:val="006549AD"/>
    <w:rsid w:val="00655336"/>
    <w:rsid w:val="00655F96"/>
    <w:rsid w:val="0065688C"/>
    <w:rsid w:val="00656EEB"/>
    <w:rsid w:val="006572FF"/>
    <w:rsid w:val="00662A6D"/>
    <w:rsid w:val="006634A2"/>
    <w:rsid w:val="006648D7"/>
    <w:rsid w:val="00665080"/>
    <w:rsid w:val="00665AB4"/>
    <w:rsid w:val="00667AA2"/>
    <w:rsid w:val="00670593"/>
    <w:rsid w:val="00675006"/>
    <w:rsid w:val="0067679A"/>
    <w:rsid w:val="0067704B"/>
    <w:rsid w:val="0067771C"/>
    <w:rsid w:val="00677E29"/>
    <w:rsid w:val="00680182"/>
    <w:rsid w:val="00683C59"/>
    <w:rsid w:val="00684D51"/>
    <w:rsid w:val="006855FD"/>
    <w:rsid w:val="00685D46"/>
    <w:rsid w:val="0068661F"/>
    <w:rsid w:val="0069003D"/>
    <w:rsid w:val="00690094"/>
    <w:rsid w:val="00690DFF"/>
    <w:rsid w:val="00691928"/>
    <w:rsid w:val="006967B9"/>
    <w:rsid w:val="006A0D05"/>
    <w:rsid w:val="006A10F2"/>
    <w:rsid w:val="006A175B"/>
    <w:rsid w:val="006A1B00"/>
    <w:rsid w:val="006A38E7"/>
    <w:rsid w:val="006A3B71"/>
    <w:rsid w:val="006A43E8"/>
    <w:rsid w:val="006A67DC"/>
    <w:rsid w:val="006A7685"/>
    <w:rsid w:val="006A77DA"/>
    <w:rsid w:val="006B0BF1"/>
    <w:rsid w:val="006B1C7A"/>
    <w:rsid w:val="006B2FC7"/>
    <w:rsid w:val="006B34CD"/>
    <w:rsid w:val="006B4367"/>
    <w:rsid w:val="006B446F"/>
    <w:rsid w:val="006B4933"/>
    <w:rsid w:val="006B5007"/>
    <w:rsid w:val="006B650A"/>
    <w:rsid w:val="006B7DCD"/>
    <w:rsid w:val="006C0030"/>
    <w:rsid w:val="006C4F41"/>
    <w:rsid w:val="006C547B"/>
    <w:rsid w:val="006D0004"/>
    <w:rsid w:val="006D12AA"/>
    <w:rsid w:val="006D1A29"/>
    <w:rsid w:val="006D1F8E"/>
    <w:rsid w:val="006D31EF"/>
    <w:rsid w:val="006E0E67"/>
    <w:rsid w:val="006E19C4"/>
    <w:rsid w:val="006E2EF4"/>
    <w:rsid w:val="006E422C"/>
    <w:rsid w:val="006E58C4"/>
    <w:rsid w:val="006E6185"/>
    <w:rsid w:val="006E6436"/>
    <w:rsid w:val="006E6ECE"/>
    <w:rsid w:val="006E78CF"/>
    <w:rsid w:val="006F2C7C"/>
    <w:rsid w:val="006F3482"/>
    <w:rsid w:val="006F6E34"/>
    <w:rsid w:val="006F7179"/>
    <w:rsid w:val="007003D5"/>
    <w:rsid w:val="00700F70"/>
    <w:rsid w:val="007042EA"/>
    <w:rsid w:val="00705E8B"/>
    <w:rsid w:val="00711B7F"/>
    <w:rsid w:val="00713313"/>
    <w:rsid w:val="00714324"/>
    <w:rsid w:val="00714BC8"/>
    <w:rsid w:val="00715400"/>
    <w:rsid w:val="0071613B"/>
    <w:rsid w:val="007206E0"/>
    <w:rsid w:val="00720868"/>
    <w:rsid w:val="00721568"/>
    <w:rsid w:val="00722894"/>
    <w:rsid w:val="00723056"/>
    <w:rsid w:val="00724BE2"/>
    <w:rsid w:val="007311FF"/>
    <w:rsid w:val="007319BA"/>
    <w:rsid w:val="0073280A"/>
    <w:rsid w:val="007344F8"/>
    <w:rsid w:val="00734C58"/>
    <w:rsid w:val="00736CF3"/>
    <w:rsid w:val="00741B36"/>
    <w:rsid w:val="0074289A"/>
    <w:rsid w:val="00745428"/>
    <w:rsid w:val="00745F2C"/>
    <w:rsid w:val="007467D6"/>
    <w:rsid w:val="00751451"/>
    <w:rsid w:val="007516A5"/>
    <w:rsid w:val="0075178E"/>
    <w:rsid w:val="0075179F"/>
    <w:rsid w:val="00754831"/>
    <w:rsid w:val="00756F6F"/>
    <w:rsid w:val="007614DC"/>
    <w:rsid w:val="00761644"/>
    <w:rsid w:val="00764748"/>
    <w:rsid w:val="00764F06"/>
    <w:rsid w:val="00766BF0"/>
    <w:rsid w:val="00770441"/>
    <w:rsid w:val="007720A4"/>
    <w:rsid w:val="00772276"/>
    <w:rsid w:val="00773D12"/>
    <w:rsid w:val="00773EB3"/>
    <w:rsid w:val="00774086"/>
    <w:rsid w:val="007757D0"/>
    <w:rsid w:val="00777558"/>
    <w:rsid w:val="0077781A"/>
    <w:rsid w:val="00777D51"/>
    <w:rsid w:val="00781944"/>
    <w:rsid w:val="00782F79"/>
    <w:rsid w:val="0078331A"/>
    <w:rsid w:val="007836B8"/>
    <w:rsid w:val="00784E0F"/>
    <w:rsid w:val="00785622"/>
    <w:rsid w:val="00790AC2"/>
    <w:rsid w:val="00790FC4"/>
    <w:rsid w:val="007917D2"/>
    <w:rsid w:val="00792213"/>
    <w:rsid w:val="00792309"/>
    <w:rsid w:val="0079292B"/>
    <w:rsid w:val="007955EF"/>
    <w:rsid w:val="007955F4"/>
    <w:rsid w:val="00795B8B"/>
    <w:rsid w:val="00795FC5"/>
    <w:rsid w:val="007970E0"/>
    <w:rsid w:val="00797426"/>
    <w:rsid w:val="00797671"/>
    <w:rsid w:val="00797786"/>
    <w:rsid w:val="00797B5A"/>
    <w:rsid w:val="007A06EF"/>
    <w:rsid w:val="007A15F9"/>
    <w:rsid w:val="007A2154"/>
    <w:rsid w:val="007A3E05"/>
    <w:rsid w:val="007A4248"/>
    <w:rsid w:val="007A4946"/>
    <w:rsid w:val="007A62AA"/>
    <w:rsid w:val="007A72A2"/>
    <w:rsid w:val="007B121B"/>
    <w:rsid w:val="007B1A6B"/>
    <w:rsid w:val="007B3A8E"/>
    <w:rsid w:val="007B3B42"/>
    <w:rsid w:val="007B4249"/>
    <w:rsid w:val="007B5C6A"/>
    <w:rsid w:val="007B5D5B"/>
    <w:rsid w:val="007B7ED2"/>
    <w:rsid w:val="007C05B3"/>
    <w:rsid w:val="007C150B"/>
    <w:rsid w:val="007C193B"/>
    <w:rsid w:val="007C1E78"/>
    <w:rsid w:val="007C3E5B"/>
    <w:rsid w:val="007C47B1"/>
    <w:rsid w:val="007C581C"/>
    <w:rsid w:val="007C6F50"/>
    <w:rsid w:val="007D0BF8"/>
    <w:rsid w:val="007D249C"/>
    <w:rsid w:val="007D2CB5"/>
    <w:rsid w:val="007D496B"/>
    <w:rsid w:val="007D536D"/>
    <w:rsid w:val="007D59A0"/>
    <w:rsid w:val="007D5DE0"/>
    <w:rsid w:val="007D60C4"/>
    <w:rsid w:val="007D627B"/>
    <w:rsid w:val="007E02C5"/>
    <w:rsid w:val="007E17E9"/>
    <w:rsid w:val="007E2360"/>
    <w:rsid w:val="007E28A7"/>
    <w:rsid w:val="007E30F0"/>
    <w:rsid w:val="007E3A70"/>
    <w:rsid w:val="007E4224"/>
    <w:rsid w:val="007E4654"/>
    <w:rsid w:val="007E5927"/>
    <w:rsid w:val="007E6403"/>
    <w:rsid w:val="007E64CC"/>
    <w:rsid w:val="007E7EC3"/>
    <w:rsid w:val="007F1407"/>
    <w:rsid w:val="007F2973"/>
    <w:rsid w:val="007F3457"/>
    <w:rsid w:val="007F422E"/>
    <w:rsid w:val="007F4908"/>
    <w:rsid w:val="007F4A60"/>
    <w:rsid w:val="007F6B07"/>
    <w:rsid w:val="007F7A76"/>
    <w:rsid w:val="008038A9"/>
    <w:rsid w:val="00804135"/>
    <w:rsid w:val="008056EE"/>
    <w:rsid w:val="008062A8"/>
    <w:rsid w:val="00806866"/>
    <w:rsid w:val="0080712F"/>
    <w:rsid w:val="008144B0"/>
    <w:rsid w:val="0081489B"/>
    <w:rsid w:val="00814B6E"/>
    <w:rsid w:val="0081680E"/>
    <w:rsid w:val="0082033A"/>
    <w:rsid w:val="008219AF"/>
    <w:rsid w:val="00822E06"/>
    <w:rsid w:val="00823375"/>
    <w:rsid w:val="00825712"/>
    <w:rsid w:val="0082655D"/>
    <w:rsid w:val="00826F60"/>
    <w:rsid w:val="00830602"/>
    <w:rsid w:val="008306A3"/>
    <w:rsid w:val="0083195F"/>
    <w:rsid w:val="00832C05"/>
    <w:rsid w:val="00834EDD"/>
    <w:rsid w:val="008354D3"/>
    <w:rsid w:val="00835C5B"/>
    <w:rsid w:val="0083659F"/>
    <w:rsid w:val="00840316"/>
    <w:rsid w:val="00841BF8"/>
    <w:rsid w:val="008425F7"/>
    <w:rsid w:val="00843240"/>
    <w:rsid w:val="0084553D"/>
    <w:rsid w:val="00846255"/>
    <w:rsid w:val="00846CDD"/>
    <w:rsid w:val="008501F3"/>
    <w:rsid w:val="008519B8"/>
    <w:rsid w:val="00852F4C"/>
    <w:rsid w:val="0085337B"/>
    <w:rsid w:val="0085475B"/>
    <w:rsid w:val="00855674"/>
    <w:rsid w:val="00855B65"/>
    <w:rsid w:val="00856884"/>
    <w:rsid w:val="00856A74"/>
    <w:rsid w:val="00857459"/>
    <w:rsid w:val="0086072E"/>
    <w:rsid w:val="00860DB1"/>
    <w:rsid w:val="00862AAE"/>
    <w:rsid w:val="00862AB6"/>
    <w:rsid w:val="00862F64"/>
    <w:rsid w:val="0086582F"/>
    <w:rsid w:val="0086697F"/>
    <w:rsid w:val="00870ACB"/>
    <w:rsid w:val="00870DC8"/>
    <w:rsid w:val="00872C71"/>
    <w:rsid w:val="008731D4"/>
    <w:rsid w:val="008755CF"/>
    <w:rsid w:val="0087562B"/>
    <w:rsid w:val="00875BD7"/>
    <w:rsid w:val="00877BB3"/>
    <w:rsid w:val="00877C78"/>
    <w:rsid w:val="00880B18"/>
    <w:rsid w:val="00881117"/>
    <w:rsid w:val="00881310"/>
    <w:rsid w:val="008818D2"/>
    <w:rsid w:val="00881AF8"/>
    <w:rsid w:val="00881EE8"/>
    <w:rsid w:val="00884810"/>
    <w:rsid w:val="00885910"/>
    <w:rsid w:val="008860AA"/>
    <w:rsid w:val="008865EF"/>
    <w:rsid w:val="00890175"/>
    <w:rsid w:val="00891733"/>
    <w:rsid w:val="00891BF3"/>
    <w:rsid w:val="00891E81"/>
    <w:rsid w:val="008928D8"/>
    <w:rsid w:val="008931DD"/>
    <w:rsid w:val="008948DB"/>
    <w:rsid w:val="00896CDC"/>
    <w:rsid w:val="0089719A"/>
    <w:rsid w:val="0089750D"/>
    <w:rsid w:val="008977EE"/>
    <w:rsid w:val="008A1989"/>
    <w:rsid w:val="008A1F6B"/>
    <w:rsid w:val="008A32BB"/>
    <w:rsid w:val="008A3F45"/>
    <w:rsid w:val="008A530B"/>
    <w:rsid w:val="008A5B16"/>
    <w:rsid w:val="008A7436"/>
    <w:rsid w:val="008B1874"/>
    <w:rsid w:val="008B1918"/>
    <w:rsid w:val="008B29BE"/>
    <w:rsid w:val="008B436F"/>
    <w:rsid w:val="008B5B7E"/>
    <w:rsid w:val="008B5D1C"/>
    <w:rsid w:val="008B6779"/>
    <w:rsid w:val="008B708D"/>
    <w:rsid w:val="008B78CD"/>
    <w:rsid w:val="008C2953"/>
    <w:rsid w:val="008C2ADF"/>
    <w:rsid w:val="008C5DEA"/>
    <w:rsid w:val="008C6C94"/>
    <w:rsid w:val="008C7292"/>
    <w:rsid w:val="008D45EF"/>
    <w:rsid w:val="008D490B"/>
    <w:rsid w:val="008D72CF"/>
    <w:rsid w:val="008E0E07"/>
    <w:rsid w:val="008E2E32"/>
    <w:rsid w:val="008E3232"/>
    <w:rsid w:val="008E36C5"/>
    <w:rsid w:val="008E4F17"/>
    <w:rsid w:val="008E515F"/>
    <w:rsid w:val="008E5304"/>
    <w:rsid w:val="008E533B"/>
    <w:rsid w:val="008E54ED"/>
    <w:rsid w:val="008E5896"/>
    <w:rsid w:val="008E6C6E"/>
    <w:rsid w:val="008E6EDA"/>
    <w:rsid w:val="008F2E8E"/>
    <w:rsid w:val="008F33F6"/>
    <w:rsid w:val="008F4320"/>
    <w:rsid w:val="008F4E8B"/>
    <w:rsid w:val="008F6614"/>
    <w:rsid w:val="008F6843"/>
    <w:rsid w:val="008F6ADD"/>
    <w:rsid w:val="008F6DA6"/>
    <w:rsid w:val="008F7939"/>
    <w:rsid w:val="00900235"/>
    <w:rsid w:val="009013C7"/>
    <w:rsid w:val="009024E9"/>
    <w:rsid w:val="0090414D"/>
    <w:rsid w:val="00904936"/>
    <w:rsid w:val="00904A4A"/>
    <w:rsid w:val="009070E3"/>
    <w:rsid w:val="009077C8"/>
    <w:rsid w:val="009123D6"/>
    <w:rsid w:val="00912560"/>
    <w:rsid w:val="00912D06"/>
    <w:rsid w:val="00912E24"/>
    <w:rsid w:val="009133F6"/>
    <w:rsid w:val="00913CD2"/>
    <w:rsid w:val="00914449"/>
    <w:rsid w:val="00914B6D"/>
    <w:rsid w:val="00914BB1"/>
    <w:rsid w:val="00917421"/>
    <w:rsid w:val="00921D7A"/>
    <w:rsid w:val="00922090"/>
    <w:rsid w:val="0092278F"/>
    <w:rsid w:val="00922A81"/>
    <w:rsid w:val="00922C18"/>
    <w:rsid w:val="0092385B"/>
    <w:rsid w:val="009251DF"/>
    <w:rsid w:val="00926B0E"/>
    <w:rsid w:val="00926CAC"/>
    <w:rsid w:val="00926F64"/>
    <w:rsid w:val="00927027"/>
    <w:rsid w:val="00931003"/>
    <w:rsid w:val="00933402"/>
    <w:rsid w:val="00933CAD"/>
    <w:rsid w:val="009420E6"/>
    <w:rsid w:val="0094494A"/>
    <w:rsid w:val="00944EE0"/>
    <w:rsid w:val="00945C1A"/>
    <w:rsid w:val="009468B0"/>
    <w:rsid w:val="00946D2D"/>
    <w:rsid w:val="00947310"/>
    <w:rsid w:val="00947ABD"/>
    <w:rsid w:val="00947DDD"/>
    <w:rsid w:val="0095115C"/>
    <w:rsid w:val="00951522"/>
    <w:rsid w:val="0095242D"/>
    <w:rsid w:val="00952EBB"/>
    <w:rsid w:val="0095315D"/>
    <w:rsid w:val="00953FA2"/>
    <w:rsid w:val="0095714E"/>
    <w:rsid w:val="00960660"/>
    <w:rsid w:val="009615F5"/>
    <w:rsid w:val="00961948"/>
    <w:rsid w:val="0096203B"/>
    <w:rsid w:val="00962C17"/>
    <w:rsid w:val="009635C2"/>
    <w:rsid w:val="00964953"/>
    <w:rsid w:val="009655D3"/>
    <w:rsid w:val="0096742B"/>
    <w:rsid w:val="00970169"/>
    <w:rsid w:val="00971754"/>
    <w:rsid w:val="00974599"/>
    <w:rsid w:val="00976AA5"/>
    <w:rsid w:val="009802AF"/>
    <w:rsid w:val="009806D9"/>
    <w:rsid w:val="00982784"/>
    <w:rsid w:val="009854D5"/>
    <w:rsid w:val="00985A6C"/>
    <w:rsid w:val="00987099"/>
    <w:rsid w:val="00987F7A"/>
    <w:rsid w:val="00994784"/>
    <w:rsid w:val="00996BD4"/>
    <w:rsid w:val="009A119D"/>
    <w:rsid w:val="009A2D7E"/>
    <w:rsid w:val="009A3086"/>
    <w:rsid w:val="009A5140"/>
    <w:rsid w:val="009A7FFD"/>
    <w:rsid w:val="009B0BE3"/>
    <w:rsid w:val="009B20B8"/>
    <w:rsid w:val="009B3CCB"/>
    <w:rsid w:val="009B4261"/>
    <w:rsid w:val="009B42A6"/>
    <w:rsid w:val="009B5194"/>
    <w:rsid w:val="009B5564"/>
    <w:rsid w:val="009B5950"/>
    <w:rsid w:val="009B5D48"/>
    <w:rsid w:val="009B6388"/>
    <w:rsid w:val="009B64BD"/>
    <w:rsid w:val="009C2390"/>
    <w:rsid w:val="009C26A3"/>
    <w:rsid w:val="009C34A3"/>
    <w:rsid w:val="009C34F3"/>
    <w:rsid w:val="009C3722"/>
    <w:rsid w:val="009C3F40"/>
    <w:rsid w:val="009C474E"/>
    <w:rsid w:val="009C49F0"/>
    <w:rsid w:val="009C5D82"/>
    <w:rsid w:val="009C60F8"/>
    <w:rsid w:val="009D01FD"/>
    <w:rsid w:val="009D12AF"/>
    <w:rsid w:val="009D1F88"/>
    <w:rsid w:val="009D2978"/>
    <w:rsid w:val="009D2B9E"/>
    <w:rsid w:val="009D2FC3"/>
    <w:rsid w:val="009D37AF"/>
    <w:rsid w:val="009D5F82"/>
    <w:rsid w:val="009D6A59"/>
    <w:rsid w:val="009D7268"/>
    <w:rsid w:val="009E18F3"/>
    <w:rsid w:val="009E2368"/>
    <w:rsid w:val="009E25A8"/>
    <w:rsid w:val="009E3422"/>
    <w:rsid w:val="009E3EFC"/>
    <w:rsid w:val="009E4541"/>
    <w:rsid w:val="009E510D"/>
    <w:rsid w:val="009E58EC"/>
    <w:rsid w:val="009E5D5E"/>
    <w:rsid w:val="009E5F03"/>
    <w:rsid w:val="009E6864"/>
    <w:rsid w:val="009E7B64"/>
    <w:rsid w:val="009F33A7"/>
    <w:rsid w:val="009F3991"/>
    <w:rsid w:val="009F3D7E"/>
    <w:rsid w:val="009F527A"/>
    <w:rsid w:val="009F5AD0"/>
    <w:rsid w:val="009F6FFE"/>
    <w:rsid w:val="009F7F0D"/>
    <w:rsid w:val="00A0104F"/>
    <w:rsid w:val="00A0265E"/>
    <w:rsid w:val="00A057CA"/>
    <w:rsid w:val="00A068F5"/>
    <w:rsid w:val="00A06E6A"/>
    <w:rsid w:val="00A07B1D"/>
    <w:rsid w:val="00A11BF3"/>
    <w:rsid w:val="00A12095"/>
    <w:rsid w:val="00A12435"/>
    <w:rsid w:val="00A1461A"/>
    <w:rsid w:val="00A14830"/>
    <w:rsid w:val="00A152B5"/>
    <w:rsid w:val="00A16F58"/>
    <w:rsid w:val="00A174DD"/>
    <w:rsid w:val="00A229A0"/>
    <w:rsid w:val="00A23185"/>
    <w:rsid w:val="00A24213"/>
    <w:rsid w:val="00A24A4B"/>
    <w:rsid w:val="00A24C6C"/>
    <w:rsid w:val="00A24DD2"/>
    <w:rsid w:val="00A252D1"/>
    <w:rsid w:val="00A25FF1"/>
    <w:rsid w:val="00A27D20"/>
    <w:rsid w:val="00A3031A"/>
    <w:rsid w:val="00A318AD"/>
    <w:rsid w:val="00A32D8E"/>
    <w:rsid w:val="00A32DEE"/>
    <w:rsid w:val="00A33CE6"/>
    <w:rsid w:val="00A35555"/>
    <w:rsid w:val="00A373C1"/>
    <w:rsid w:val="00A37680"/>
    <w:rsid w:val="00A402A7"/>
    <w:rsid w:val="00A40417"/>
    <w:rsid w:val="00A405E9"/>
    <w:rsid w:val="00A4123B"/>
    <w:rsid w:val="00A41E0D"/>
    <w:rsid w:val="00A426EB"/>
    <w:rsid w:val="00A44A15"/>
    <w:rsid w:val="00A45D8A"/>
    <w:rsid w:val="00A50469"/>
    <w:rsid w:val="00A538CB"/>
    <w:rsid w:val="00A5490D"/>
    <w:rsid w:val="00A54943"/>
    <w:rsid w:val="00A54FF7"/>
    <w:rsid w:val="00A568BA"/>
    <w:rsid w:val="00A60A02"/>
    <w:rsid w:val="00A63203"/>
    <w:rsid w:val="00A654CB"/>
    <w:rsid w:val="00A71675"/>
    <w:rsid w:val="00A730EB"/>
    <w:rsid w:val="00A74650"/>
    <w:rsid w:val="00A776F0"/>
    <w:rsid w:val="00A80151"/>
    <w:rsid w:val="00A81176"/>
    <w:rsid w:val="00A81647"/>
    <w:rsid w:val="00A81946"/>
    <w:rsid w:val="00A81A20"/>
    <w:rsid w:val="00A81E28"/>
    <w:rsid w:val="00A8545F"/>
    <w:rsid w:val="00A87540"/>
    <w:rsid w:val="00A91E77"/>
    <w:rsid w:val="00A91EC2"/>
    <w:rsid w:val="00AA0F52"/>
    <w:rsid w:val="00AA66F8"/>
    <w:rsid w:val="00AA7276"/>
    <w:rsid w:val="00AB3B1C"/>
    <w:rsid w:val="00AB5586"/>
    <w:rsid w:val="00AB6816"/>
    <w:rsid w:val="00AC0F4F"/>
    <w:rsid w:val="00AC1CA1"/>
    <w:rsid w:val="00AC2468"/>
    <w:rsid w:val="00AC47D4"/>
    <w:rsid w:val="00AC657C"/>
    <w:rsid w:val="00AC6A8D"/>
    <w:rsid w:val="00AC6E11"/>
    <w:rsid w:val="00AD08AE"/>
    <w:rsid w:val="00AD0BA0"/>
    <w:rsid w:val="00AD1E1C"/>
    <w:rsid w:val="00AD3E59"/>
    <w:rsid w:val="00AD4209"/>
    <w:rsid w:val="00AD5059"/>
    <w:rsid w:val="00AD6351"/>
    <w:rsid w:val="00AE0365"/>
    <w:rsid w:val="00AE07AA"/>
    <w:rsid w:val="00AE097A"/>
    <w:rsid w:val="00AE3A4D"/>
    <w:rsid w:val="00AE5420"/>
    <w:rsid w:val="00AE65BB"/>
    <w:rsid w:val="00AE6F88"/>
    <w:rsid w:val="00AE7DFF"/>
    <w:rsid w:val="00AF1B7D"/>
    <w:rsid w:val="00AF1CC2"/>
    <w:rsid w:val="00AF20FE"/>
    <w:rsid w:val="00AF2153"/>
    <w:rsid w:val="00AF3078"/>
    <w:rsid w:val="00AF312D"/>
    <w:rsid w:val="00AF3292"/>
    <w:rsid w:val="00AF3FC7"/>
    <w:rsid w:val="00AF5E55"/>
    <w:rsid w:val="00AF73AC"/>
    <w:rsid w:val="00B003E8"/>
    <w:rsid w:val="00B0138E"/>
    <w:rsid w:val="00B02220"/>
    <w:rsid w:val="00B049DF"/>
    <w:rsid w:val="00B05B81"/>
    <w:rsid w:val="00B05F65"/>
    <w:rsid w:val="00B0759A"/>
    <w:rsid w:val="00B107DE"/>
    <w:rsid w:val="00B1087B"/>
    <w:rsid w:val="00B109BA"/>
    <w:rsid w:val="00B13202"/>
    <w:rsid w:val="00B14D7A"/>
    <w:rsid w:val="00B159A6"/>
    <w:rsid w:val="00B15B8D"/>
    <w:rsid w:val="00B16A0F"/>
    <w:rsid w:val="00B16E31"/>
    <w:rsid w:val="00B17360"/>
    <w:rsid w:val="00B17798"/>
    <w:rsid w:val="00B20525"/>
    <w:rsid w:val="00B20A4D"/>
    <w:rsid w:val="00B20AFC"/>
    <w:rsid w:val="00B22EEC"/>
    <w:rsid w:val="00B24637"/>
    <w:rsid w:val="00B27408"/>
    <w:rsid w:val="00B30933"/>
    <w:rsid w:val="00B30E71"/>
    <w:rsid w:val="00B3549F"/>
    <w:rsid w:val="00B37A3F"/>
    <w:rsid w:val="00B37B9C"/>
    <w:rsid w:val="00B40254"/>
    <w:rsid w:val="00B408A9"/>
    <w:rsid w:val="00B418FE"/>
    <w:rsid w:val="00B42E02"/>
    <w:rsid w:val="00B4353E"/>
    <w:rsid w:val="00B43A11"/>
    <w:rsid w:val="00B44586"/>
    <w:rsid w:val="00B44BEA"/>
    <w:rsid w:val="00B45BC1"/>
    <w:rsid w:val="00B46DCB"/>
    <w:rsid w:val="00B50B10"/>
    <w:rsid w:val="00B50BC7"/>
    <w:rsid w:val="00B510A8"/>
    <w:rsid w:val="00B51E13"/>
    <w:rsid w:val="00B52F41"/>
    <w:rsid w:val="00B5331C"/>
    <w:rsid w:val="00B559E3"/>
    <w:rsid w:val="00B5746F"/>
    <w:rsid w:val="00B6211A"/>
    <w:rsid w:val="00B62231"/>
    <w:rsid w:val="00B622E5"/>
    <w:rsid w:val="00B627E1"/>
    <w:rsid w:val="00B65F95"/>
    <w:rsid w:val="00B67C2A"/>
    <w:rsid w:val="00B70C3D"/>
    <w:rsid w:val="00B70E68"/>
    <w:rsid w:val="00B717F2"/>
    <w:rsid w:val="00B7204A"/>
    <w:rsid w:val="00B722BD"/>
    <w:rsid w:val="00B730C8"/>
    <w:rsid w:val="00B74FDC"/>
    <w:rsid w:val="00B761A4"/>
    <w:rsid w:val="00B81DDC"/>
    <w:rsid w:val="00B82053"/>
    <w:rsid w:val="00B827E9"/>
    <w:rsid w:val="00B847A6"/>
    <w:rsid w:val="00B8513A"/>
    <w:rsid w:val="00B87481"/>
    <w:rsid w:val="00B876F6"/>
    <w:rsid w:val="00B87CFF"/>
    <w:rsid w:val="00B92B3F"/>
    <w:rsid w:val="00B92F08"/>
    <w:rsid w:val="00B930EF"/>
    <w:rsid w:val="00B941BA"/>
    <w:rsid w:val="00B9632A"/>
    <w:rsid w:val="00B969A7"/>
    <w:rsid w:val="00B973B9"/>
    <w:rsid w:val="00B9759B"/>
    <w:rsid w:val="00B97973"/>
    <w:rsid w:val="00BA12F8"/>
    <w:rsid w:val="00BA1AF4"/>
    <w:rsid w:val="00BA37EE"/>
    <w:rsid w:val="00BA4CDA"/>
    <w:rsid w:val="00BA6C4C"/>
    <w:rsid w:val="00BA7685"/>
    <w:rsid w:val="00BB2BD3"/>
    <w:rsid w:val="00BB30B6"/>
    <w:rsid w:val="00BB3155"/>
    <w:rsid w:val="00BB6948"/>
    <w:rsid w:val="00BB6C54"/>
    <w:rsid w:val="00BB7B92"/>
    <w:rsid w:val="00BB7BCC"/>
    <w:rsid w:val="00BC0B7C"/>
    <w:rsid w:val="00BC24B5"/>
    <w:rsid w:val="00BC2A26"/>
    <w:rsid w:val="00BC2A35"/>
    <w:rsid w:val="00BC4152"/>
    <w:rsid w:val="00BC4313"/>
    <w:rsid w:val="00BC4AB6"/>
    <w:rsid w:val="00BC4E7F"/>
    <w:rsid w:val="00BC7000"/>
    <w:rsid w:val="00BC7183"/>
    <w:rsid w:val="00BD0DA0"/>
    <w:rsid w:val="00BD2D3E"/>
    <w:rsid w:val="00BD3A00"/>
    <w:rsid w:val="00BD7038"/>
    <w:rsid w:val="00BD72DD"/>
    <w:rsid w:val="00BD7828"/>
    <w:rsid w:val="00BE216A"/>
    <w:rsid w:val="00BE2D23"/>
    <w:rsid w:val="00BE5913"/>
    <w:rsid w:val="00BE5A3A"/>
    <w:rsid w:val="00BE5C9C"/>
    <w:rsid w:val="00BE60F0"/>
    <w:rsid w:val="00BE692C"/>
    <w:rsid w:val="00BE747B"/>
    <w:rsid w:val="00BF0C87"/>
    <w:rsid w:val="00BF1226"/>
    <w:rsid w:val="00BF1A01"/>
    <w:rsid w:val="00BF285F"/>
    <w:rsid w:val="00BF2DDC"/>
    <w:rsid w:val="00BF2F11"/>
    <w:rsid w:val="00BF31B6"/>
    <w:rsid w:val="00BF3366"/>
    <w:rsid w:val="00BF3448"/>
    <w:rsid w:val="00BF4019"/>
    <w:rsid w:val="00BF5490"/>
    <w:rsid w:val="00BF72BD"/>
    <w:rsid w:val="00C0245F"/>
    <w:rsid w:val="00C0311F"/>
    <w:rsid w:val="00C03E95"/>
    <w:rsid w:val="00C06478"/>
    <w:rsid w:val="00C06FEA"/>
    <w:rsid w:val="00C07239"/>
    <w:rsid w:val="00C07E04"/>
    <w:rsid w:val="00C1073B"/>
    <w:rsid w:val="00C10F1E"/>
    <w:rsid w:val="00C12254"/>
    <w:rsid w:val="00C1534C"/>
    <w:rsid w:val="00C15B24"/>
    <w:rsid w:val="00C16B62"/>
    <w:rsid w:val="00C232F7"/>
    <w:rsid w:val="00C24E0E"/>
    <w:rsid w:val="00C303E0"/>
    <w:rsid w:val="00C31853"/>
    <w:rsid w:val="00C333C4"/>
    <w:rsid w:val="00C33674"/>
    <w:rsid w:val="00C33E70"/>
    <w:rsid w:val="00C33FFC"/>
    <w:rsid w:val="00C34373"/>
    <w:rsid w:val="00C34800"/>
    <w:rsid w:val="00C34A36"/>
    <w:rsid w:val="00C36184"/>
    <w:rsid w:val="00C36D70"/>
    <w:rsid w:val="00C37F9D"/>
    <w:rsid w:val="00C415F1"/>
    <w:rsid w:val="00C41B24"/>
    <w:rsid w:val="00C435E4"/>
    <w:rsid w:val="00C43EAA"/>
    <w:rsid w:val="00C45001"/>
    <w:rsid w:val="00C45D12"/>
    <w:rsid w:val="00C50F4B"/>
    <w:rsid w:val="00C51D2A"/>
    <w:rsid w:val="00C51F81"/>
    <w:rsid w:val="00C52B73"/>
    <w:rsid w:val="00C535A0"/>
    <w:rsid w:val="00C53B29"/>
    <w:rsid w:val="00C548BA"/>
    <w:rsid w:val="00C54B0D"/>
    <w:rsid w:val="00C56B4F"/>
    <w:rsid w:val="00C6087D"/>
    <w:rsid w:val="00C60A37"/>
    <w:rsid w:val="00C620A7"/>
    <w:rsid w:val="00C63FC3"/>
    <w:rsid w:val="00C66822"/>
    <w:rsid w:val="00C6718E"/>
    <w:rsid w:val="00C713B0"/>
    <w:rsid w:val="00C73DC3"/>
    <w:rsid w:val="00C74D2A"/>
    <w:rsid w:val="00C75700"/>
    <w:rsid w:val="00C75DFC"/>
    <w:rsid w:val="00C81F4D"/>
    <w:rsid w:val="00C852DC"/>
    <w:rsid w:val="00C85A2D"/>
    <w:rsid w:val="00C8707B"/>
    <w:rsid w:val="00C900E8"/>
    <w:rsid w:val="00C919A8"/>
    <w:rsid w:val="00C94C4F"/>
    <w:rsid w:val="00C95CC7"/>
    <w:rsid w:val="00C978EC"/>
    <w:rsid w:val="00CA0106"/>
    <w:rsid w:val="00CA0458"/>
    <w:rsid w:val="00CA205A"/>
    <w:rsid w:val="00CA259C"/>
    <w:rsid w:val="00CA4543"/>
    <w:rsid w:val="00CA4B56"/>
    <w:rsid w:val="00CA5042"/>
    <w:rsid w:val="00CA604C"/>
    <w:rsid w:val="00CA63A6"/>
    <w:rsid w:val="00CA7413"/>
    <w:rsid w:val="00CB10F9"/>
    <w:rsid w:val="00CB211F"/>
    <w:rsid w:val="00CB2E33"/>
    <w:rsid w:val="00CB325B"/>
    <w:rsid w:val="00CB4D28"/>
    <w:rsid w:val="00CB6561"/>
    <w:rsid w:val="00CB6EBB"/>
    <w:rsid w:val="00CB7016"/>
    <w:rsid w:val="00CC0542"/>
    <w:rsid w:val="00CC1D75"/>
    <w:rsid w:val="00CC1E0B"/>
    <w:rsid w:val="00CC2669"/>
    <w:rsid w:val="00CC349C"/>
    <w:rsid w:val="00CC3BBF"/>
    <w:rsid w:val="00CC3D19"/>
    <w:rsid w:val="00CC4AAC"/>
    <w:rsid w:val="00CC731B"/>
    <w:rsid w:val="00CC78A5"/>
    <w:rsid w:val="00CD0FEB"/>
    <w:rsid w:val="00CD298C"/>
    <w:rsid w:val="00CD3353"/>
    <w:rsid w:val="00CD3DD3"/>
    <w:rsid w:val="00CD4DE9"/>
    <w:rsid w:val="00CD55B5"/>
    <w:rsid w:val="00CD5B01"/>
    <w:rsid w:val="00CE0637"/>
    <w:rsid w:val="00CE1F59"/>
    <w:rsid w:val="00CE52B1"/>
    <w:rsid w:val="00CE6905"/>
    <w:rsid w:val="00CE7197"/>
    <w:rsid w:val="00CE7410"/>
    <w:rsid w:val="00CF0686"/>
    <w:rsid w:val="00CF1B8C"/>
    <w:rsid w:val="00CF2E74"/>
    <w:rsid w:val="00CF3CA0"/>
    <w:rsid w:val="00CF6850"/>
    <w:rsid w:val="00CF6BA0"/>
    <w:rsid w:val="00D022E5"/>
    <w:rsid w:val="00D024D8"/>
    <w:rsid w:val="00D024EA"/>
    <w:rsid w:val="00D047BC"/>
    <w:rsid w:val="00D050B1"/>
    <w:rsid w:val="00D05B8F"/>
    <w:rsid w:val="00D06D6F"/>
    <w:rsid w:val="00D11FE6"/>
    <w:rsid w:val="00D12DCC"/>
    <w:rsid w:val="00D131A8"/>
    <w:rsid w:val="00D13862"/>
    <w:rsid w:val="00D138FD"/>
    <w:rsid w:val="00D13E8F"/>
    <w:rsid w:val="00D16488"/>
    <w:rsid w:val="00D20A76"/>
    <w:rsid w:val="00D21009"/>
    <w:rsid w:val="00D22008"/>
    <w:rsid w:val="00D241E0"/>
    <w:rsid w:val="00D24840"/>
    <w:rsid w:val="00D30134"/>
    <w:rsid w:val="00D32589"/>
    <w:rsid w:val="00D325C5"/>
    <w:rsid w:val="00D41562"/>
    <w:rsid w:val="00D42E00"/>
    <w:rsid w:val="00D4318C"/>
    <w:rsid w:val="00D4349A"/>
    <w:rsid w:val="00D43F67"/>
    <w:rsid w:val="00D46234"/>
    <w:rsid w:val="00D4632C"/>
    <w:rsid w:val="00D46369"/>
    <w:rsid w:val="00D46727"/>
    <w:rsid w:val="00D46857"/>
    <w:rsid w:val="00D478E3"/>
    <w:rsid w:val="00D52FB4"/>
    <w:rsid w:val="00D536F1"/>
    <w:rsid w:val="00D53816"/>
    <w:rsid w:val="00D53933"/>
    <w:rsid w:val="00D54B4A"/>
    <w:rsid w:val="00D56F58"/>
    <w:rsid w:val="00D57274"/>
    <w:rsid w:val="00D57CBA"/>
    <w:rsid w:val="00D57D29"/>
    <w:rsid w:val="00D61800"/>
    <w:rsid w:val="00D62999"/>
    <w:rsid w:val="00D64BC1"/>
    <w:rsid w:val="00D675C1"/>
    <w:rsid w:val="00D71D2D"/>
    <w:rsid w:val="00D7343D"/>
    <w:rsid w:val="00D740DC"/>
    <w:rsid w:val="00D75C5B"/>
    <w:rsid w:val="00D76FA3"/>
    <w:rsid w:val="00D7706B"/>
    <w:rsid w:val="00D774CF"/>
    <w:rsid w:val="00D8034A"/>
    <w:rsid w:val="00D81DFB"/>
    <w:rsid w:val="00D8296D"/>
    <w:rsid w:val="00D833E9"/>
    <w:rsid w:val="00D85C06"/>
    <w:rsid w:val="00D8667A"/>
    <w:rsid w:val="00D86941"/>
    <w:rsid w:val="00D903C6"/>
    <w:rsid w:val="00D904CE"/>
    <w:rsid w:val="00D9071C"/>
    <w:rsid w:val="00D907A4"/>
    <w:rsid w:val="00D92038"/>
    <w:rsid w:val="00D9205C"/>
    <w:rsid w:val="00D921E5"/>
    <w:rsid w:val="00D94B1D"/>
    <w:rsid w:val="00D957D2"/>
    <w:rsid w:val="00D95C57"/>
    <w:rsid w:val="00D95E98"/>
    <w:rsid w:val="00D966E6"/>
    <w:rsid w:val="00D979A1"/>
    <w:rsid w:val="00DA1E3D"/>
    <w:rsid w:val="00DA208D"/>
    <w:rsid w:val="00DA3186"/>
    <w:rsid w:val="00DA4912"/>
    <w:rsid w:val="00DA71D0"/>
    <w:rsid w:val="00DB2F66"/>
    <w:rsid w:val="00DB414F"/>
    <w:rsid w:val="00DB41B1"/>
    <w:rsid w:val="00DB4203"/>
    <w:rsid w:val="00DB4508"/>
    <w:rsid w:val="00DB5AEC"/>
    <w:rsid w:val="00DB673E"/>
    <w:rsid w:val="00DB68F1"/>
    <w:rsid w:val="00DB7977"/>
    <w:rsid w:val="00DC10F4"/>
    <w:rsid w:val="00DC2213"/>
    <w:rsid w:val="00DC411D"/>
    <w:rsid w:val="00DC497F"/>
    <w:rsid w:val="00DC4D2E"/>
    <w:rsid w:val="00DC5060"/>
    <w:rsid w:val="00DC587F"/>
    <w:rsid w:val="00DC6FF3"/>
    <w:rsid w:val="00DC714F"/>
    <w:rsid w:val="00DD22EB"/>
    <w:rsid w:val="00DD29E3"/>
    <w:rsid w:val="00DD2DB0"/>
    <w:rsid w:val="00DD31E6"/>
    <w:rsid w:val="00DD32D7"/>
    <w:rsid w:val="00DD39DD"/>
    <w:rsid w:val="00DD3EA2"/>
    <w:rsid w:val="00DD5EA9"/>
    <w:rsid w:val="00DD7119"/>
    <w:rsid w:val="00DD7759"/>
    <w:rsid w:val="00DE2293"/>
    <w:rsid w:val="00DE2EB2"/>
    <w:rsid w:val="00DE54E4"/>
    <w:rsid w:val="00DE5E8F"/>
    <w:rsid w:val="00DE7313"/>
    <w:rsid w:val="00DE7809"/>
    <w:rsid w:val="00DF0664"/>
    <w:rsid w:val="00DF19D0"/>
    <w:rsid w:val="00DF39A6"/>
    <w:rsid w:val="00DF3C31"/>
    <w:rsid w:val="00DF4F29"/>
    <w:rsid w:val="00DF568E"/>
    <w:rsid w:val="00DF5AD8"/>
    <w:rsid w:val="00DF6554"/>
    <w:rsid w:val="00DF7A52"/>
    <w:rsid w:val="00E041FD"/>
    <w:rsid w:val="00E07C68"/>
    <w:rsid w:val="00E101D6"/>
    <w:rsid w:val="00E16164"/>
    <w:rsid w:val="00E20A49"/>
    <w:rsid w:val="00E214CF"/>
    <w:rsid w:val="00E215A6"/>
    <w:rsid w:val="00E22060"/>
    <w:rsid w:val="00E2359A"/>
    <w:rsid w:val="00E23A19"/>
    <w:rsid w:val="00E262CF"/>
    <w:rsid w:val="00E268BA"/>
    <w:rsid w:val="00E32163"/>
    <w:rsid w:val="00E32289"/>
    <w:rsid w:val="00E32E4B"/>
    <w:rsid w:val="00E32E65"/>
    <w:rsid w:val="00E33B87"/>
    <w:rsid w:val="00E33CD5"/>
    <w:rsid w:val="00E347AB"/>
    <w:rsid w:val="00E34D20"/>
    <w:rsid w:val="00E34FA0"/>
    <w:rsid w:val="00E35D96"/>
    <w:rsid w:val="00E35E84"/>
    <w:rsid w:val="00E36556"/>
    <w:rsid w:val="00E368B7"/>
    <w:rsid w:val="00E368E6"/>
    <w:rsid w:val="00E37DDE"/>
    <w:rsid w:val="00E400F8"/>
    <w:rsid w:val="00E41197"/>
    <w:rsid w:val="00E42422"/>
    <w:rsid w:val="00E431E3"/>
    <w:rsid w:val="00E437C0"/>
    <w:rsid w:val="00E43F5A"/>
    <w:rsid w:val="00E455B3"/>
    <w:rsid w:val="00E47701"/>
    <w:rsid w:val="00E50AB3"/>
    <w:rsid w:val="00E52DD8"/>
    <w:rsid w:val="00E52ED0"/>
    <w:rsid w:val="00E53076"/>
    <w:rsid w:val="00E537F6"/>
    <w:rsid w:val="00E53889"/>
    <w:rsid w:val="00E55A1F"/>
    <w:rsid w:val="00E55FF6"/>
    <w:rsid w:val="00E568B2"/>
    <w:rsid w:val="00E5690E"/>
    <w:rsid w:val="00E6130B"/>
    <w:rsid w:val="00E61A3E"/>
    <w:rsid w:val="00E62FA4"/>
    <w:rsid w:val="00E63615"/>
    <w:rsid w:val="00E63A6A"/>
    <w:rsid w:val="00E64F79"/>
    <w:rsid w:val="00E6696E"/>
    <w:rsid w:val="00E66CF8"/>
    <w:rsid w:val="00E720C7"/>
    <w:rsid w:val="00E7287A"/>
    <w:rsid w:val="00E734EE"/>
    <w:rsid w:val="00E77968"/>
    <w:rsid w:val="00E80937"/>
    <w:rsid w:val="00E82CB2"/>
    <w:rsid w:val="00E82F5D"/>
    <w:rsid w:val="00E844CF"/>
    <w:rsid w:val="00E8707F"/>
    <w:rsid w:val="00E87578"/>
    <w:rsid w:val="00E92DF6"/>
    <w:rsid w:val="00E95AB0"/>
    <w:rsid w:val="00E95DA9"/>
    <w:rsid w:val="00E964F8"/>
    <w:rsid w:val="00E97E90"/>
    <w:rsid w:val="00EA10C7"/>
    <w:rsid w:val="00EA1C2D"/>
    <w:rsid w:val="00EA294C"/>
    <w:rsid w:val="00EA2BA7"/>
    <w:rsid w:val="00EA364B"/>
    <w:rsid w:val="00EA4252"/>
    <w:rsid w:val="00EA502A"/>
    <w:rsid w:val="00EA564D"/>
    <w:rsid w:val="00EA66EC"/>
    <w:rsid w:val="00EA6778"/>
    <w:rsid w:val="00EB0659"/>
    <w:rsid w:val="00EB5A14"/>
    <w:rsid w:val="00EB5E15"/>
    <w:rsid w:val="00EB6B26"/>
    <w:rsid w:val="00EB6FEC"/>
    <w:rsid w:val="00EB7369"/>
    <w:rsid w:val="00EB7E1C"/>
    <w:rsid w:val="00EB7EB5"/>
    <w:rsid w:val="00EC1F75"/>
    <w:rsid w:val="00EC2126"/>
    <w:rsid w:val="00EC62D6"/>
    <w:rsid w:val="00EC7ADE"/>
    <w:rsid w:val="00ED0D55"/>
    <w:rsid w:val="00ED769C"/>
    <w:rsid w:val="00ED7DAA"/>
    <w:rsid w:val="00EE04FB"/>
    <w:rsid w:val="00EE10B8"/>
    <w:rsid w:val="00EE1798"/>
    <w:rsid w:val="00EE1B4A"/>
    <w:rsid w:val="00EE3296"/>
    <w:rsid w:val="00EE33E1"/>
    <w:rsid w:val="00EE3F88"/>
    <w:rsid w:val="00EE41FB"/>
    <w:rsid w:val="00EE4923"/>
    <w:rsid w:val="00EE586F"/>
    <w:rsid w:val="00EE6E90"/>
    <w:rsid w:val="00EE7A28"/>
    <w:rsid w:val="00EF1876"/>
    <w:rsid w:val="00EF2C27"/>
    <w:rsid w:val="00EF2D74"/>
    <w:rsid w:val="00EF38E1"/>
    <w:rsid w:val="00EF3B0C"/>
    <w:rsid w:val="00EF406F"/>
    <w:rsid w:val="00EF48EA"/>
    <w:rsid w:val="00EF4CF1"/>
    <w:rsid w:val="00EF7278"/>
    <w:rsid w:val="00F00BB8"/>
    <w:rsid w:val="00F00BCB"/>
    <w:rsid w:val="00F022EC"/>
    <w:rsid w:val="00F0365C"/>
    <w:rsid w:val="00F05DF5"/>
    <w:rsid w:val="00F06B42"/>
    <w:rsid w:val="00F07B60"/>
    <w:rsid w:val="00F07DF0"/>
    <w:rsid w:val="00F07EC3"/>
    <w:rsid w:val="00F12A5B"/>
    <w:rsid w:val="00F130C2"/>
    <w:rsid w:val="00F14455"/>
    <w:rsid w:val="00F1508F"/>
    <w:rsid w:val="00F16B22"/>
    <w:rsid w:val="00F21099"/>
    <w:rsid w:val="00F238AF"/>
    <w:rsid w:val="00F27AED"/>
    <w:rsid w:val="00F32A7E"/>
    <w:rsid w:val="00F4126F"/>
    <w:rsid w:val="00F42B53"/>
    <w:rsid w:val="00F43865"/>
    <w:rsid w:val="00F440EA"/>
    <w:rsid w:val="00F44B23"/>
    <w:rsid w:val="00F45919"/>
    <w:rsid w:val="00F463D6"/>
    <w:rsid w:val="00F50F54"/>
    <w:rsid w:val="00F51775"/>
    <w:rsid w:val="00F52ECD"/>
    <w:rsid w:val="00F5687D"/>
    <w:rsid w:val="00F56F56"/>
    <w:rsid w:val="00F61199"/>
    <w:rsid w:val="00F615DB"/>
    <w:rsid w:val="00F61600"/>
    <w:rsid w:val="00F61C48"/>
    <w:rsid w:val="00F61F95"/>
    <w:rsid w:val="00F63110"/>
    <w:rsid w:val="00F641E1"/>
    <w:rsid w:val="00F64339"/>
    <w:rsid w:val="00F6531C"/>
    <w:rsid w:val="00F67528"/>
    <w:rsid w:val="00F71642"/>
    <w:rsid w:val="00F717A8"/>
    <w:rsid w:val="00F71EFD"/>
    <w:rsid w:val="00F71FE3"/>
    <w:rsid w:val="00F72D01"/>
    <w:rsid w:val="00F72D71"/>
    <w:rsid w:val="00F72F0F"/>
    <w:rsid w:val="00F732A1"/>
    <w:rsid w:val="00F735AE"/>
    <w:rsid w:val="00F738D6"/>
    <w:rsid w:val="00F74427"/>
    <w:rsid w:val="00F74464"/>
    <w:rsid w:val="00F75C55"/>
    <w:rsid w:val="00F804DB"/>
    <w:rsid w:val="00F8115A"/>
    <w:rsid w:val="00F82850"/>
    <w:rsid w:val="00F82876"/>
    <w:rsid w:val="00F82984"/>
    <w:rsid w:val="00F83236"/>
    <w:rsid w:val="00F865EE"/>
    <w:rsid w:val="00F867B8"/>
    <w:rsid w:val="00F87049"/>
    <w:rsid w:val="00F90429"/>
    <w:rsid w:val="00F950FE"/>
    <w:rsid w:val="00F95E4E"/>
    <w:rsid w:val="00FA1D07"/>
    <w:rsid w:val="00FA7698"/>
    <w:rsid w:val="00FB110E"/>
    <w:rsid w:val="00FB48EB"/>
    <w:rsid w:val="00FB5063"/>
    <w:rsid w:val="00FB5C65"/>
    <w:rsid w:val="00FB66DB"/>
    <w:rsid w:val="00FB72D5"/>
    <w:rsid w:val="00FB76BC"/>
    <w:rsid w:val="00FC0344"/>
    <w:rsid w:val="00FC07B9"/>
    <w:rsid w:val="00FC25EA"/>
    <w:rsid w:val="00FC4F29"/>
    <w:rsid w:val="00FC5745"/>
    <w:rsid w:val="00FC5FBF"/>
    <w:rsid w:val="00FC629C"/>
    <w:rsid w:val="00FC6CF3"/>
    <w:rsid w:val="00FC704A"/>
    <w:rsid w:val="00FD058E"/>
    <w:rsid w:val="00FD17A1"/>
    <w:rsid w:val="00FD3D01"/>
    <w:rsid w:val="00FD5E3D"/>
    <w:rsid w:val="00FD661B"/>
    <w:rsid w:val="00FD7B19"/>
    <w:rsid w:val="00FE0003"/>
    <w:rsid w:val="00FE07CF"/>
    <w:rsid w:val="00FE0C77"/>
    <w:rsid w:val="00FE3A8F"/>
    <w:rsid w:val="00FE3C12"/>
    <w:rsid w:val="00FE4B69"/>
    <w:rsid w:val="00FE5EE8"/>
    <w:rsid w:val="00FE64FA"/>
    <w:rsid w:val="00FF02B0"/>
    <w:rsid w:val="00FF05E0"/>
    <w:rsid w:val="00FF1647"/>
    <w:rsid w:val="00FF2ABC"/>
    <w:rsid w:val="00FF415D"/>
    <w:rsid w:val="00FF5B6C"/>
    <w:rsid w:val="00FF6100"/>
    <w:rsid w:val="00FF6B45"/>
    <w:rsid w:val="01176EAC"/>
    <w:rsid w:val="013A7361"/>
    <w:rsid w:val="0185688A"/>
    <w:rsid w:val="01906CB2"/>
    <w:rsid w:val="0193265F"/>
    <w:rsid w:val="019B6301"/>
    <w:rsid w:val="01A60743"/>
    <w:rsid w:val="01D409AA"/>
    <w:rsid w:val="01D93CFD"/>
    <w:rsid w:val="021C23A7"/>
    <w:rsid w:val="02200185"/>
    <w:rsid w:val="02342E96"/>
    <w:rsid w:val="02421A92"/>
    <w:rsid w:val="0245507D"/>
    <w:rsid w:val="028C7DCC"/>
    <w:rsid w:val="03074E87"/>
    <w:rsid w:val="0316268C"/>
    <w:rsid w:val="031C1719"/>
    <w:rsid w:val="032D1844"/>
    <w:rsid w:val="03383482"/>
    <w:rsid w:val="035D4F30"/>
    <w:rsid w:val="036323F7"/>
    <w:rsid w:val="03AC02F3"/>
    <w:rsid w:val="03D02352"/>
    <w:rsid w:val="040824AC"/>
    <w:rsid w:val="0412409C"/>
    <w:rsid w:val="041431CD"/>
    <w:rsid w:val="044A3E55"/>
    <w:rsid w:val="04586660"/>
    <w:rsid w:val="04695F06"/>
    <w:rsid w:val="04860B7C"/>
    <w:rsid w:val="04AC5190"/>
    <w:rsid w:val="04B55EB9"/>
    <w:rsid w:val="04E27231"/>
    <w:rsid w:val="04F60A45"/>
    <w:rsid w:val="05097AD0"/>
    <w:rsid w:val="050A1D99"/>
    <w:rsid w:val="05162D82"/>
    <w:rsid w:val="052F5BFC"/>
    <w:rsid w:val="05322665"/>
    <w:rsid w:val="053766BF"/>
    <w:rsid w:val="054664DD"/>
    <w:rsid w:val="054908B9"/>
    <w:rsid w:val="05540B32"/>
    <w:rsid w:val="056F0AF9"/>
    <w:rsid w:val="05724A30"/>
    <w:rsid w:val="05A8200E"/>
    <w:rsid w:val="064A1761"/>
    <w:rsid w:val="06505803"/>
    <w:rsid w:val="06631006"/>
    <w:rsid w:val="06661F53"/>
    <w:rsid w:val="068060BF"/>
    <w:rsid w:val="068A1D92"/>
    <w:rsid w:val="068C0DE7"/>
    <w:rsid w:val="069042DE"/>
    <w:rsid w:val="06A36963"/>
    <w:rsid w:val="06A66500"/>
    <w:rsid w:val="06C52D01"/>
    <w:rsid w:val="06EA735B"/>
    <w:rsid w:val="073C6FC1"/>
    <w:rsid w:val="07493E5A"/>
    <w:rsid w:val="075017F8"/>
    <w:rsid w:val="07692265"/>
    <w:rsid w:val="079307F3"/>
    <w:rsid w:val="07A66B3D"/>
    <w:rsid w:val="07BA7A09"/>
    <w:rsid w:val="07BB6140"/>
    <w:rsid w:val="07C01BC0"/>
    <w:rsid w:val="07CE495F"/>
    <w:rsid w:val="07EF6386"/>
    <w:rsid w:val="07F81C1F"/>
    <w:rsid w:val="07F90799"/>
    <w:rsid w:val="08077151"/>
    <w:rsid w:val="081D6A33"/>
    <w:rsid w:val="084557D9"/>
    <w:rsid w:val="084D7C2D"/>
    <w:rsid w:val="087E505B"/>
    <w:rsid w:val="088F2993"/>
    <w:rsid w:val="08AC34C9"/>
    <w:rsid w:val="08B265D9"/>
    <w:rsid w:val="08B41233"/>
    <w:rsid w:val="08BB4679"/>
    <w:rsid w:val="08D94420"/>
    <w:rsid w:val="08E232E1"/>
    <w:rsid w:val="08E858AD"/>
    <w:rsid w:val="08F41439"/>
    <w:rsid w:val="092D0F47"/>
    <w:rsid w:val="097C02BC"/>
    <w:rsid w:val="098D27B7"/>
    <w:rsid w:val="09AC1284"/>
    <w:rsid w:val="09E81BCC"/>
    <w:rsid w:val="09EF0D13"/>
    <w:rsid w:val="0A084254"/>
    <w:rsid w:val="0A0F530F"/>
    <w:rsid w:val="0A141797"/>
    <w:rsid w:val="0A2D1525"/>
    <w:rsid w:val="0A356EC3"/>
    <w:rsid w:val="0A3B6C24"/>
    <w:rsid w:val="0A5B410A"/>
    <w:rsid w:val="0A7B2440"/>
    <w:rsid w:val="0A997BC2"/>
    <w:rsid w:val="0AB70BCC"/>
    <w:rsid w:val="0AE46696"/>
    <w:rsid w:val="0AE52592"/>
    <w:rsid w:val="0AF130A7"/>
    <w:rsid w:val="0AF66CB3"/>
    <w:rsid w:val="0B0D7420"/>
    <w:rsid w:val="0B595490"/>
    <w:rsid w:val="0B873928"/>
    <w:rsid w:val="0B936458"/>
    <w:rsid w:val="0BA37CB5"/>
    <w:rsid w:val="0BBF2DC0"/>
    <w:rsid w:val="0BD8017E"/>
    <w:rsid w:val="0BE6394D"/>
    <w:rsid w:val="0BF161D0"/>
    <w:rsid w:val="0BF928B1"/>
    <w:rsid w:val="0C4B6E38"/>
    <w:rsid w:val="0C89012D"/>
    <w:rsid w:val="0CB664E7"/>
    <w:rsid w:val="0CE72509"/>
    <w:rsid w:val="0CF10F1E"/>
    <w:rsid w:val="0CF823FA"/>
    <w:rsid w:val="0D413ECD"/>
    <w:rsid w:val="0D4318A8"/>
    <w:rsid w:val="0D6503A2"/>
    <w:rsid w:val="0D6C43C8"/>
    <w:rsid w:val="0D932791"/>
    <w:rsid w:val="0DE30455"/>
    <w:rsid w:val="0DEB38D1"/>
    <w:rsid w:val="0E0824A3"/>
    <w:rsid w:val="0E1C7F48"/>
    <w:rsid w:val="0E1D0136"/>
    <w:rsid w:val="0E2B4A01"/>
    <w:rsid w:val="0E4B437F"/>
    <w:rsid w:val="0E587ED0"/>
    <w:rsid w:val="0E5C2226"/>
    <w:rsid w:val="0E79524F"/>
    <w:rsid w:val="0E7F65E6"/>
    <w:rsid w:val="0E943441"/>
    <w:rsid w:val="0E945A78"/>
    <w:rsid w:val="0EB0166A"/>
    <w:rsid w:val="0EBA2435"/>
    <w:rsid w:val="0EBBB5B1"/>
    <w:rsid w:val="0EBC79A1"/>
    <w:rsid w:val="0EC32D44"/>
    <w:rsid w:val="0EF74039"/>
    <w:rsid w:val="0F063C32"/>
    <w:rsid w:val="0F3320FE"/>
    <w:rsid w:val="0F431609"/>
    <w:rsid w:val="0F6E5CA0"/>
    <w:rsid w:val="0F7C64C6"/>
    <w:rsid w:val="0F7D4B76"/>
    <w:rsid w:val="0F85258A"/>
    <w:rsid w:val="0FB3C805"/>
    <w:rsid w:val="0FCE0AB9"/>
    <w:rsid w:val="0FF614FF"/>
    <w:rsid w:val="100C2F9D"/>
    <w:rsid w:val="10101030"/>
    <w:rsid w:val="10276E6E"/>
    <w:rsid w:val="107235B3"/>
    <w:rsid w:val="109B28F5"/>
    <w:rsid w:val="10B9293E"/>
    <w:rsid w:val="10C14D88"/>
    <w:rsid w:val="10D56D7D"/>
    <w:rsid w:val="10F24643"/>
    <w:rsid w:val="10FB0E6E"/>
    <w:rsid w:val="110B3D76"/>
    <w:rsid w:val="114511AA"/>
    <w:rsid w:val="115A2453"/>
    <w:rsid w:val="11610FC6"/>
    <w:rsid w:val="116C7CF5"/>
    <w:rsid w:val="117402DB"/>
    <w:rsid w:val="1181641C"/>
    <w:rsid w:val="11895FA3"/>
    <w:rsid w:val="118D307C"/>
    <w:rsid w:val="119147D3"/>
    <w:rsid w:val="11B04932"/>
    <w:rsid w:val="11B95320"/>
    <w:rsid w:val="11E670E9"/>
    <w:rsid w:val="11ED62E7"/>
    <w:rsid w:val="11F067B5"/>
    <w:rsid w:val="11F467C1"/>
    <w:rsid w:val="1235321F"/>
    <w:rsid w:val="124B5830"/>
    <w:rsid w:val="124E1097"/>
    <w:rsid w:val="125A6BF2"/>
    <w:rsid w:val="125B39C6"/>
    <w:rsid w:val="128747DC"/>
    <w:rsid w:val="128B5679"/>
    <w:rsid w:val="128D65FD"/>
    <w:rsid w:val="12980212"/>
    <w:rsid w:val="12AA22E4"/>
    <w:rsid w:val="12B83264"/>
    <w:rsid w:val="12C21C51"/>
    <w:rsid w:val="12C47456"/>
    <w:rsid w:val="12DC0CEE"/>
    <w:rsid w:val="12E14078"/>
    <w:rsid w:val="12E42B07"/>
    <w:rsid w:val="12E6450F"/>
    <w:rsid w:val="134D5357"/>
    <w:rsid w:val="13604173"/>
    <w:rsid w:val="136063C6"/>
    <w:rsid w:val="136259E0"/>
    <w:rsid w:val="13765D3F"/>
    <w:rsid w:val="13993C96"/>
    <w:rsid w:val="13BB7731"/>
    <w:rsid w:val="13C02EFF"/>
    <w:rsid w:val="13F40BF4"/>
    <w:rsid w:val="13F725B1"/>
    <w:rsid w:val="141460E9"/>
    <w:rsid w:val="1419712F"/>
    <w:rsid w:val="141C258C"/>
    <w:rsid w:val="143302E9"/>
    <w:rsid w:val="143556B4"/>
    <w:rsid w:val="144A7BD8"/>
    <w:rsid w:val="149E0E51"/>
    <w:rsid w:val="14A46F06"/>
    <w:rsid w:val="14BF0CBC"/>
    <w:rsid w:val="151251D4"/>
    <w:rsid w:val="153B18CE"/>
    <w:rsid w:val="153C0AE8"/>
    <w:rsid w:val="15405424"/>
    <w:rsid w:val="15435BF2"/>
    <w:rsid w:val="15456B76"/>
    <w:rsid w:val="154935D9"/>
    <w:rsid w:val="154CEFB7"/>
    <w:rsid w:val="157E49D3"/>
    <w:rsid w:val="15960E83"/>
    <w:rsid w:val="15B31A42"/>
    <w:rsid w:val="15BB6218"/>
    <w:rsid w:val="15C777B4"/>
    <w:rsid w:val="15CD658D"/>
    <w:rsid w:val="15DF34F1"/>
    <w:rsid w:val="15EF5D0A"/>
    <w:rsid w:val="160114A8"/>
    <w:rsid w:val="160973D8"/>
    <w:rsid w:val="162A6A30"/>
    <w:rsid w:val="165321AB"/>
    <w:rsid w:val="16657FED"/>
    <w:rsid w:val="16742AE7"/>
    <w:rsid w:val="168D5BC5"/>
    <w:rsid w:val="16930A17"/>
    <w:rsid w:val="16A158AD"/>
    <w:rsid w:val="16A414DB"/>
    <w:rsid w:val="16D80359"/>
    <w:rsid w:val="16F67730"/>
    <w:rsid w:val="171C5434"/>
    <w:rsid w:val="173556A9"/>
    <w:rsid w:val="173B45C7"/>
    <w:rsid w:val="173C47AC"/>
    <w:rsid w:val="175D57A5"/>
    <w:rsid w:val="176F624C"/>
    <w:rsid w:val="177D6E34"/>
    <w:rsid w:val="17965735"/>
    <w:rsid w:val="1797D14C"/>
    <w:rsid w:val="179A0DA3"/>
    <w:rsid w:val="17D43E91"/>
    <w:rsid w:val="17E1613A"/>
    <w:rsid w:val="17EF5216"/>
    <w:rsid w:val="17F821EC"/>
    <w:rsid w:val="18111E24"/>
    <w:rsid w:val="18157683"/>
    <w:rsid w:val="18350C7D"/>
    <w:rsid w:val="183B58BF"/>
    <w:rsid w:val="18534CD7"/>
    <w:rsid w:val="1866461E"/>
    <w:rsid w:val="187874B5"/>
    <w:rsid w:val="18980971"/>
    <w:rsid w:val="189C6BC5"/>
    <w:rsid w:val="18BF8E87"/>
    <w:rsid w:val="18D703EA"/>
    <w:rsid w:val="18D845C1"/>
    <w:rsid w:val="18D86C8B"/>
    <w:rsid w:val="18E41D8D"/>
    <w:rsid w:val="19353569"/>
    <w:rsid w:val="194407CD"/>
    <w:rsid w:val="194A6812"/>
    <w:rsid w:val="196178B0"/>
    <w:rsid w:val="196E2C93"/>
    <w:rsid w:val="197A625B"/>
    <w:rsid w:val="19871CEE"/>
    <w:rsid w:val="19AA62CF"/>
    <w:rsid w:val="19BDC143"/>
    <w:rsid w:val="19BE0CE0"/>
    <w:rsid w:val="19CE7A99"/>
    <w:rsid w:val="19DD4C7B"/>
    <w:rsid w:val="19DE5AD2"/>
    <w:rsid w:val="1A422421"/>
    <w:rsid w:val="1A5823C6"/>
    <w:rsid w:val="1A992E30"/>
    <w:rsid w:val="1AC31A76"/>
    <w:rsid w:val="1AD5BF27"/>
    <w:rsid w:val="1AD6B7FB"/>
    <w:rsid w:val="1ADF1F88"/>
    <w:rsid w:val="1AE1714C"/>
    <w:rsid w:val="1B2A7242"/>
    <w:rsid w:val="1B442FAC"/>
    <w:rsid w:val="1B4C6157"/>
    <w:rsid w:val="1B550FE4"/>
    <w:rsid w:val="1B55645E"/>
    <w:rsid w:val="1B6EF76B"/>
    <w:rsid w:val="1B826631"/>
    <w:rsid w:val="1B873E15"/>
    <w:rsid w:val="1BA558C3"/>
    <w:rsid w:val="1BAE45D8"/>
    <w:rsid w:val="1BB06997"/>
    <w:rsid w:val="1BBAEEAD"/>
    <w:rsid w:val="1BD16FD8"/>
    <w:rsid w:val="1BE475CF"/>
    <w:rsid w:val="1BE79CF3"/>
    <w:rsid w:val="1C337A2B"/>
    <w:rsid w:val="1C6F2066"/>
    <w:rsid w:val="1C871980"/>
    <w:rsid w:val="1C900747"/>
    <w:rsid w:val="1CA13205"/>
    <w:rsid w:val="1CA17B28"/>
    <w:rsid w:val="1CB87720"/>
    <w:rsid w:val="1CBB1BB0"/>
    <w:rsid w:val="1CC87DBB"/>
    <w:rsid w:val="1CE41CE9"/>
    <w:rsid w:val="1CF33CBE"/>
    <w:rsid w:val="1CF44F44"/>
    <w:rsid w:val="1D0E163B"/>
    <w:rsid w:val="1D446CEC"/>
    <w:rsid w:val="1D455916"/>
    <w:rsid w:val="1D6FD4F5"/>
    <w:rsid w:val="1D6FE4FB"/>
    <w:rsid w:val="1D8B2FF5"/>
    <w:rsid w:val="1D8B7B9A"/>
    <w:rsid w:val="1DAD20FA"/>
    <w:rsid w:val="1DBB5FB9"/>
    <w:rsid w:val="1DBE0159"/>
    <w:rsid w:val="1DCF03F4"/>
    <w:rsid w:val="1DE35CE0"/>
    <w:rsid w:val="1DE6534E"/>
    <w:rsid w:val="1DEBEEB7"/>
    <w:rsid w:val="1DF629A6"/>
    <w:rsid w:val="1DF7246E"/>
    <w:rsid w:val="1DFE7856"/>
    <w:rsid w:val="1E04108E"/>
    <w:rsid w:val="1E0A4507"/>
    <w:rsid w:val="1E1878F1"/>
    <w:rsid w:val="1E1C04D7"/>
    <w:rsid w:val="1E2A2DA4"/>
    <w:rsid w:val="1E387069"/>
    <w:rsid w:val="1E4964B5"/>
    <w:rsid w:val="1E5A75B1"/>
    <w:rsid w:val="1E7D89A1"/>
    <w:rsid w:val="1E7F6019"/>
    <w:rsid w:val="1E8A1FB2"/>
    <w:rsid w:val="1E8C3BF4"/>
    <w:rsid w:val="1E9217B7"/>
    <w:rsid w:val="1EA3465B"/>
    <w:rsid w:val="1EA8395A"/>
    <w:rsid w:val="1EB64E6E"/>
    <w:rsid w:val="1EB80371"/>
    <w:rsid w:val="1EBE35AF"/>
    <w:rsid w:val="1EBFA8AA"/>
    <w:rsid w:val="1ECD31ED"/>
    <w:rsid w:val="1EDD521C"/>
    <w:rsid w:val="1EF7D7C5"/>
    <w:rsid w:val="1EFE49B7"/>
    <w:rsid w:val="1F046272"/>
    <w:rsid w:val="1F073BA8"/>
    <w:rsid w:val="1F0B237A"/>
    <w:rsid w:val="1F1F6295"/>
    <w:rsid w:val="1F390CCB"/>
    <w:rsid w:val="1F3B41CE"/>
    <w:rsid w:val="1F403DCD"/>
    <w:rsid w:val="1F5D651C"/>
    <w:rsid w:val="1F6A2368"/>
    <w:rsid w:val="1F6F9FD4"/>
    <w:rsid w:val="1F7FCEF8"/>
    <w:rsid w:val="1F8A19BF"/>
    <w:rsid w:val="1F926B72"/>
    <w:rsid w:val="1FBB1A6D"/>
    <w:rsid w:val="1FBF1816"/>
    <w:rsid w:val="1FBFF158"/>
    <w:rsid w:val="1FC01F11"/>
    <w:rsid w:val="1FC73DB2"/>
    <w:rsid w:val="1FC9781C"/>
    <w:rsid w:val="1FCE593B"/>
    <w:rsid w:val="1FCF6B4F"/>
    <w:rsid w:val="1FE651A6"/>
    <w:rsid w:val="1FE81B00"/>
    <w:rsid w:val="1FEE3C71"/>
    <w:rsid w:val="1FEF922F"/>
    <w:rsid w:val="1FF11764"/>
    <w:rsid w:val="1FF53C3A"/>
    <w:rsid w:val="1FFDD3EE"/>
    <w:rsid w:val="1FFF8163"/>
    <w:rsid w:val="1FFF86D8"/>
    <w:rsid w:val="1FFFB484"/>
    <w:rsid w:val="20060E54"/>
    <w:rsid w:val="202905D3"/>
    <w:rsid w:val="202F4736"/>
    <w:rsid w:val="2038536A"/>
    <w:rsid w:val="20493BAD"/>
    <w:rsid w:val="206416B2"/>
    <w:rsid w:val="20737F11"/>
    <w:rsid w:val="20947C82"/>
    <w:rsid w:val="20AD2DAB"/>
    <w:rsid w:val="20B004AC"/>
    <w:rsid w:val="20C01CFC"/>
    <w:rsid w:val="20D451E9"/>
    <w:rsid w:val="20EC288F"/>
    <w:rsid w:val="20F06D17"/>
    <w:rsid w:val="20FB55CF"/>
    <w:rsid w:val="213B19C6"/>
    <w:rsid w:val="213D0C9D"/>
    <w:rsid w:val="21481925"/>
    <w:rsid w:val="21545F34"/>
    <w:rsid w:val="21556A3C"/>
    <w:rsid w:val="21A26B3B"/>
    <w:rsid w:val="21F7036C"/>
    <w:rsid w:val="22282297"/>
    <w:rsid w:val="222D099C"/>
    <w:rsid w:val="22341FAC"/>
    <w:rsid w:val="22715B9C"/>
    <w:rsid w:val="229D1AAE"/>
    <w:rsid w:val="22AB3233"/>
    <w:rsid w:val="22C70E9C"/>
    <w:rsid w:val="22E07847"/>
    <w:rsid w:val="22EB7DD7"/>
    <w:rsid w:val="22F5062A"/>
    <w:rsid w:val="23050288"/>
    <w:rsid w:val="23050980"/>
    <w:rsid w:val="2321052A"/>
    <w:rsid w:val="23287C3C"/>
    <w:rsid w:val="23393759"/>
    <w:rsid w:val="233E50B4"/>
    <w:rsid w:val="233F41D5"/>
    <w:rsid w:val="239EF6A5"/>
    <w:rsid w:val="23A7180F"/>
    <w:rsid w:val="23C25F4E"/>
    <w:rsid w:val="23D43947"/>
    <w:rsid w:val="23FD5A24"/>
    <w:rsid w:val="2406142C"/>
    <w:rsid w:val="240618D6"/>
    <w:rsid w:val="2407269C"/>
    <w:rsid w:val="240B1533"/>
    <w:rsid w:val="2418688B"/>
    <w:rsid w:val="24283896"/>
    <w:rsid w:val="242B2856"/>
    <w:rsid w:val="24323971"/>
    <w:rsid w:val="24477712"/>
    <w:rsid w:val="244D58D7"/>
    <w:rsid w:val="244F5021"/>
    <w:rsid w:val="246702CA"/>
    <w:rsid w:val="246B0E64"/>
    <w:rsid w:val="24723C63"/>
    <w:rsid w:val="24733772"/>
    <w:rsid w:val="247D056D"/>
    <w:rsid w:val="24807FED"/>
    <w:rsid w:val="2481342D"/>
    <w:rsid w:val="24816F73"/>
    <w:rsid w:val="2493099D"/>
    <w:rsid w:val="24A4297F"/>
    <w:rsid w:val="24A52F9B"/>
    <w:rsid w:val="24AC5D90"/>
    <w:rsid w:val="24B009BC"/>
    <w:rsid w:val="24B755C1"/>
    <w:rsid w:val="24BC74FD"/>
    <w:rsid w:val="24E76F7F"/>
    <w:rsid w:val="24F52E03"/>
    <w:rsid w:val="250F76A5"/>
    <w:rsid w:val="251251BC"/>
    <w:rsid w:val="252757E6"/>
    <w:rsid w:val="253823D7"/>
    <w:rsid w:val="253F062B"/>
    <w:rsid w:val="254A0BBB"/>
    <w:rsid w:val="254D2A92"/>
    <w:rsid w:val="2560201D"/>
    <w:rsid w:val="257A2D8B"/>
    <w:rsid w:val="258C183B"/>
    <w:rsid w:val="25916624"/>
    <w:rsid w:val="25AB74F8"/>
    <w:rsid w:val="25B377A7"/>
    <w:rsid w:val="25D02118"/>
    <w:rsid w:val="25D329D5"/>
    <w:rsid w:val="25F36252"/>
    <w:rsid w:val="25FB6680"/>
    <w:rsid w:val="2629602A"/>
    <w:rsid w:val="26330B38"/>
    <w:rsid w:val="263E766C"/>
    <w:rsid w:val="26536E6E"/>
    <w:rsid w:val="26844C42"/>
    <w:rsid w:val="269243D5"/>
    <w:rsid w:val="269C2789"/>
    <w:rsid w:val="26A37EF2"/>
    <w:rsid w:val="26BF9DC1"/>
    <w:rsid w:val="26C545E7"/>
    <w:rsid w:val="26C73BC8"/>
    <w:rsid w:val="26EAD011"/>
    <w:rsid w:val="26ED0426"/>
    <w:rsid w:val="273BF255"/>
    <w:rsid w:val="277F0FAE"/>
    <w:rsid w:val="27977421"/>
    <w:rsid w:val="27B2084F"/>
    <w:rsid w:val="27BD40D7"/>
    <w:rsid w:val="27C203B6"/>
    <w:rsid w:val="27C61A62"/>
    <w:rsid w:val="27E94403"/>
    <w:rsid w:val="27EF1FFC"/>
    <w:rsid w:val="27F61047"/>
    <w:rsid w:val="280A58E6"/>
    <w:rsid w:val="283A0114"/>
    <w:rsid w:val="285B580C"/>
    <w:rsid w:val="285B7148"/>
    <w:rsid w:val="28684901"/>
    <w:rsid w:val="28696559"/>
    <w:rsid w:val="28B13449"/>
    <w:rsid w:val="28DD6941"/>
    <w:rsid w:val="28E9232B"/>
    <w:rsid w:val="28F9799A"/>
    <w:rsid w:val="290D3AFF"/>
    <w:rsid w:val="295B0396"/>
    <w:rsid w:val="295C3AD2"/>
    <w:rsid w:val="29735546"/>
    <w:rsid w:val="298A061B"/>
    <w:rsid w:val="29C71788"/>
    <w:rsid w:val="29D27253"/>
    <w:rsid w:val="29EC318F"/>
    <w:rsid w:val="29FE7C75"/>
    <w:rsid w:val="2A397EFC"/>
    <w:rsid w:val="2A4D447D"/>
    <w:rsid w:val="2AC05D36"/>
    <w:rsid w:val="2AC563B9"/>
    <w:rsid w:val="2AD16C83"/>
    <w:rsid w:val="2AD92D2A"/>
    <w:rsid w:val="2AED757D"/>
    <w:rsid w:val="2AF00F27"/>
    <w:rsid w:val="2AFF171A"/>
    <w:rsid w:val="2B0553F7"/>
    <w:rsid w:val="2B1775AD"/>
    <w:rsid w:val="2B1A1346"/>
    <w:rsid w:val="2B1F7F46"/>
    <w:rsid w:val="2B3134E9"/>
    <w:rsid w:val="2B441C02"/>
    <w:rsid w:val="2B7A8B8E"/>
    <w:rsid w:val="2B7C3BFA"/>
    <w:rsid w:val="2B9E6F11"/>
    <w:rsid w:val="2BA128A4"/>
    <w:rsid w:val="2BB16A7C"/>
    <w:rsid w:val="2BBB9AF1"/>
    <w:rsid w:val="2BD36365"/>
    <w:rsid w:val="2BD94BFC"/>
    <w:rsid w:val="2BDB00FF"/>
    <w:rsid w:val="2BDF39FB"/>
    <w:rsid w:val="2BFBD8EB"/>
    <w:rsid w:val="2C063141"/>
    <w:rsid w:val="2C655F09"/>
    <w:rsid w:val="2C6D2EF1"/>
    <w:rsid w:val="2CAB07D7"/>
    <w:rsid w:val="2CBDA7B3"/>
    <w:rsid w:val="2CC50AC9"/>
    <w:rsid w:val="2CCA7BA9"/>
    <w:rsid w:val="2CFF3968"/>
    <w:rsid w:val="2D034773"/>
    <w:rsid w:val="2D125BFD"/>
    <w:rsid w:val="2D3451BF"/>
    <w:rsid w:val="2D4508F8"/>
    <w:rsid w:val="2D465D89"/>
    <w:rsid w:val="2D4F12E5"/>
    <w:rsid w:val="2D506C2C"/>
    <w:rsid w:val="2D595381"/>
    <w:rsid w:val="2D726820"/>
    <w:rsid w:val="2D913705"/>
    <w:rsid w:val="2D9D7020"/>
    <w:rsid w:val="2DB83B55"/>
    <w:rsid w:val="2DC0477B"/>
    <w:rsid w:val="2DC669A6"/>
    <w:rsid w:val="2DD072B5"/>
    <w:rsid w:val="2DD724C3"/>
    <w:rsid w:val="2DDD432C"/>
    <w:rsid w:val="2DFC4002"/>
    <w:rsid w:val="2E063012"/>
    <w:rsid w:val="2E2C4C9D"/>
    <w:rsid w:val="2E305D74"/>
    <w:rsid w:val="2E355E99"/>
    <w:rsid w:val="2E396CE5"/>
    <w:rsid w:val="2E454150"/>
    <w:rsid w:val="2E7FF8FB"/>
    <w:rsid w:val="2E933F40"/>
    <w:rsid w:val="2EA94463"/>
    <w:rsid w:val="2EAFEF2A"/>
    <w:rsid w:val="2EB06CD5"/>
    <w:rsid w:val="2EDA771E"/>
    <w:rsid w:val="2EDD8F4B"/>
    <w:rsid w:val="2EE03F91"/>
    <w:rsid w:val="2EE62680"/>
    <w:rsid w:val="2EE72300"/>
    <w:rsid w:val="2EE727CD"/>
    <w:rsid w:val="2EE96BDE"/>
    <w:rsid w:val="2EEE74B2"/>
    <w:rsid w:val="2EF14DD2"/>
    <w:rsid w:val="2F0D6CBD"/>
    <w:rsid w:val="2F0E709D"/>
    <w:rsid w:val="2F2E7F80"/>
    <w:rsid w:val="2F540CEA"/>
    <w:rsid w:val="2F60516D"/>
    <w:rsid w:val="2F7666EC"/>
    <w:rsid w:val="2F7E4534"/>
    <w:rsid w:val="2F7E503F"/>
    <w:rsid w:val="2F7F5ADF"/>
    <w:rsid w:val="2F9BBA8A"/>
    <w:rsid w:val="2FB12789"/>
    <w:rsid w:val="2FBB6FE3"/>
    <w:rsid w:val="2FBBB58D"/>
    <w:rsid w:val="2FC4470A"/>
    <w:rsid w:val="2FC94E71"/>
    <w:rsid w:val="2FD7B081"/>
    <w:rsid w:val="2FD86101"/>
    <w:rsid w:val="2FDA599C"/>
    <w:rsid w:val="2FDFD088"/>
    <w:rsid w:val="2FED7B34"/>
    <w:rsid w:val="2FEF1C9F"/>
    <w:rsid w:val="2FFD2FAB"/>
    <w:rsid w:val="30060DDD"/>
    <w:rsid w:val="30061299"/>
    <w:rsid w:val="30266C02"/>
    <w:rsid w:val="3040659E"/>
    <w:rsid w:val="304F3DC3"/>
    <w:rsid w:val="309645C5"/>
    <w:rsid w:val="30A91F61"/>
    <w:rsid w:val="30C2267E"/>
    <w:rsid w:val="311D081A"/>
    <w:rsid w:val="31564B46"/>
    <w:rsid w:val="3156673A"/>
    <w:rsid w:val="3157337F"/>
    <w:rsid w:val="315A1326"/>
    <w:rsid w:val="31877217"/>
    <w:rsid w:val="31931C40"/>
    <w:rsid w:val="31953888"/>
    <w:rsid w:val="319B0F9F"/>
    <w:rsid w:val="31AB6D57"/>
    <w:rsid w:val="31BF8980"/>
    <w:rsid w:val="31D02DEC"/>
    <w:rsid w:val="31EE25F8"/>
    <w:rsid w:val="320F624B"/>
    <w:rsid w:val="3227449D"/>
    <w:rsid w:val="32323FE6"/>
    <w:rsid w:val="32356E61"/>
    <w:rsid w:val="323D90ED"/>
    <w:rsid w:val="325D5CC4"/>
    <w:rsid w:val="326158AC"/>
    <w:rsid w:val="32B31703"/>
    <w:rsid w:val="32D726C2"/>
    <w:rsid w:val="32DF6379"/>
    <w:rsid w:val="32F0569E"/>
    <w:rsid w:val="32FF5CB9"/>
    <w:rsid w:val="330A1ACB"/>
    <w:rsid w:val="33264F75"/>
    <w:rsid w:val="33543836"/>
    <w:rsid w:val="335B1E3A"/>
    <w:rsid w:val="3364516C"/>
    <w:rsid w:val="338A286E"/>
    <w:rsid w:val="338F55A8"/>
    <w:rsid w:val="339FC707"/>
    <w:rsid w:val="33B36D4D"/>
    <w:rsid w:val="33B850E7"/>
    <w:rsid w:val="33BD351B"/>
    <w:rsid w:val="33D9561C"/>
    <w:rsid w:val="33DB0B1F"/>
    <w:rsid w:val="33DDA71B"/>
    <w:rsid w:val="33F75754"/>
    <w:rsid w:val="33F8E28F"/>
    <w:rsid w:val="34234796"/>
    <w:rsid w:val="345862CE"/>
    <w:rsid w:val="34847358"/>
    <w:rsid w:val="348909A4"/>
    <w:rsid w:val="3489332B"/>
    <w:rsid w:val="34BF2B82"/>
    <w:rsid w:val="34D83FA6"/>
    <w:rsid w:val="34D97A24"/>
    <w:rsid w:val="34EA3A0E"/>
    <w:rsid w:val="34FA04A0"/>
    <w:rsid w:val="34FA6E0F"/>
    <w:rsid w:val="3509378F"/>
    <w:rsid w:val="350C15D3"/>
    <w:rsid w:val="351D0231"/>
    <w:rsid w:val="356849D9"/>
    <w:rsid w:val="357844B0"/>
    <w:rsid w:val="357FEE44"/>
    <w:rsid w:val="358B3BC1"/>
    <w:rsid w:val="35A211C7"/>
    <w:rsid w:val="35A73AA5"/>
    <w:rsid w:val="35AE748D"/>
    <w:rsid w:val="35B877F7"/>
    <w:rsid w:val="35C1760F"/>
    <w:rsid w:val="35D54B79"/>
    <w:rsid w:val="35DD3257"/>
    <w:rsid w:val="35F57B16"/>
    <w:rsid w:val="35FF0A86"/>
    <w:rsid w:val="36275032"/>
    <w:rsid w:val="363C7779"/>
    <w:rsid w:val="364C5793"/>
    <w:rsid w:val="3650732A"/>
    <w:rsid w:val="365553AB"/>
    <w:rsid w:val="36621DC3"/>
    <w:rsid w:val="367904EE"/>
    <w:rsid w:val="368E0AC8"/>
    <w:rsid w:val="36B3C79D"/>
    <w:rsid w:val="36BBB9A8"/>
    <w:rsid w:val="36BE7A7D"/>
    <w:rsid w:val="36BF0241"/>
    <w:rsid w:val="36EE03B6"/>
    <w:rsid w:val="36EF05A7"/>
    <w:rsid w:val="36FD410A"/>
    <w:rsid w:val="37424376"/>
    <w:rsid w:val="37573053"/>
    <w:rsid w:val="37587B5C"/>
    <w:rsid w:val="375E7E40"/>
    <w:rsid w:val="37643AA3"/>
    <w:rsid w:val="376822D6"/>
    <w:rsid w:val="37707E3A"/>
    <w:rsid w:val="377DD90B"/>
    <w:rsid w:val="37943101"/>
    <w:rsid w:val="37990DDB"/>
    <w:rsid w:val="37CA0153"/>
    <w:rsid w:val="37D63904"/>
    <w:rsid w:val="37E6E65C"/>
    <w:rsid w:val="37E9760A"/>
    <w:rsid w:val="37F24AA3"/>
    <w:rsid w:val="37F7BCF0"/>
    <w:rsid w:val="37FCDE3C"/>
    <w:rsid w:val="37FEC830"/>
    <w:rsid w:val="37FF87F3"/>
    <w:rsid w:val="382A1279"/>
    <w:rsid w:val="38585500"/>
    <w:rsid w:val="386A6ED7"/>
    <w:rsid w:val="386F7F28"/>
    <w:rsid w:val="3888024E"/>
    <w:rsid w:val="388D3D80"/>
    <w:rsid w:val="38904990"/>
    <w:rsid w:val="389A4809"/>
    <w:rsid w:val="38C86AB9"/>
    <w:rsid w:val="38D249AB"/>
    <w:rsid w:val="38D2567B"/>
    <w:rsid w:val="38F14E8D"/>
    <w:rsid w:val="38F76303"/>
    <w:rsid w:val="3900718C"/>
    <w:rsid w:val="390D0E07"/>
    <w:rsid w:val="391651DF"/>
    <w:rsid w:val="3959F59B"/>
    <w:rsid w:val="3977261C"/>
    <w:rsid w:val="398631C0"/>
    <w:rsid w:val="3998118B"/>
    <w:rsid w:val="39AB12AA"/>
    <w:rsid w:val="39C2698F"/>
    <w:rsid w:val="39C51E54"/>
    <w:rsid w:val="39DE2E9F"/>
    <w:rsid w:val="39E4F606"/>
    <w:rsid w:val="39ED8EDD"/>
    <w:rsid w:val="39F6A27F"/>
    <w:rsid w:val="39F81E9D"/>
    <w:rsid w:val="39FE32D9"/>
    <w:rsid w:val="39FF0D34"/>
    <w:rsid w:val="3A1D5F29"/>
    <w:rsid w:val="3A227FEF"/>
    <w:rsid w:val="3A2632C7"/>
    <w:rsid w:val="3A2A6EC7"/>
    <w:rsid w:val="3A417382"/>
    <w:rsid w:val="3A46026C"/>
    <w:rsid w:val="3A724DDE"/>
    <w:rsid w:val="3A813872"/>
    <w:rsid w:val="3A856A0F"/>
    <w:rsid w:val="3A8F0A83"/>
    <w:rsid w:val="3AB80064"/>
    <w:rsid w:val="3AC21656"/>
    <w:rsid w:val="3ADA7796"/>
    <w:rsid w:val="3ADD3878"/>
    <w:rsid w:val="3ADEBEB0"/>
    <w:rsid w:val="3AE24BAA"/>
    <w:rsid w:val="3AE64B69"/>
    <w:rsid w:val="3AF801CB"/>
    <w:rsid w:val="3AF93965"/>
    <w:rsid w:val="3AFE4D9C"/>
    <w:rsid w:val="3AFF8D05"/>
    <w:rsid w:val="3B243095"/>
    <w:rsid w:val="3B260ECE"/>
    <w:rsid w:val="3B293004"/>
    <w:rsid w:val="3B2E63AA"/>
    <w:rsid w:val="3B31670D"/>
    <w:rsid w:val="3B612EFA"/>
    <w:rsid w:val="3B642813"/>
    <w:rsid w:val="3B6A021D"/>
    <w:rsid w:val="3B6E16E4"/>
    <w:rsid w:val="3B7DC219"/>
    <w:rsid w:val="3BAFDC1F"/>
    <w:rsid w:val="3BBF4C74"/>
    <w:rsid w:val="3BC771AF"/>
    <w:rsid w:val="3BCD2AE3"/>
    <w:rsid w:val="3BD32D42"/>
    <w:rsid w:val="3BD64FCD"/>
    <w:rsid w:val="3BD8722F"/>
    <w:rsid w:val="3BF40970"/>
    <w:rsid w:val="3BF7F690"/>
    <w:rsid w:val="3BFBC56C"/>
    <w:rsid w:val="3C1123CF"/>
    <w:rsid w:val="3C222CB4"/>
    <w:rsid w:val="3C3054F1"/>
    <w:rsid w:val="3C4953F6"/>
    <w:rsid w:val="3C496CA8"/>
    <w:rsid w:val="3C4F2E72"/>
    <w:rsid w:val="3C5F5692"/>
    <w:rsid w:val="3C656946"/>
    <w:rsid w:val="3C6E771C"/>
    <w:rsid w:val="3CA00003"/>
    <w:rsid w:val="3CBBE51B"/>
    <w:rsid w:val="3CBF7F75"/>
    <w:rsid w:val="3CCF415B"/>
    <w:rsid w:val="3CDF3064"/>
    <w:rsid w:val="3CF80E73"/>
    <w:rsid w:val="3CFA87DA"/>
    <w:rsid w:val="3D11161A"/>
    <w:rsid w:val="3D1425A8"/>
    <w:rsid w:val="3D32639E"/>
    <w:rsid w:val="3D5E7FF5"/>
    <w:rsid w:val="3D5F53F6"/>
    <w:rsid w:val="3D7EE8F5"/>
    <w:rsid w:val="3D8D5781"/>
    <w:rsid w:val="3D9564E2"/>
    <w:rsid w:val="3DB36BC6"/>
    <w:rsid w:val="3DB60A41"/>
    <w:rsid w:val="3DB97523"/>
    <w:rsid w:val="3DBE6F9C"/>
    <w:rsid w:val="3DD47DF1"/>
    <w:rsid w:val="3DE176A6"/>
    <w:rsid w:val="3DEF84BC"/>
    <w:rsid w:val="3DF7F23D"/>
    <w:rsid w:val="3DFB374A"/>
    <w:rsid w:val="3DFB9A4B"/>
    <w:rsid w:val="3E1C6362"/>
    <w:rsid w:val="3E236C8C"/>
    <w:rsid w:val="3E374290"/>
    <w:rsid w:val="3E585F50"/>
    <w:rsid w:val="3E5A190E"/>
    <w:rsid w:val="3E621896"/>
    <w:rsid w:val="3E6853F0"/>
    <w:rsid w:val="3E6C4AD6"/>
    <w:rsid w:val="3E7B3228"/>
    <w:rsid w:val="3E7F4C26"/>
    <w:rsid w:val="3E9A2554"/>
    <w:rsid w:val="3EA31476"/>
    <w:rsid w:val="3EABD1DB"/>
    <w:rsid w:val="3EABEFF3"/>
    <w:rsid w:val="3EBD10CA"/>
    <w:rsid w:val="3ED34C03"/>
    <w:rsid w:val="3EDFBA0D"/>
    <w:rsid w:val="3EEBEB77"/>
    <w:rsid w:val="3EF604D7"/>
    <w:rsid w:val="3EF76BF3"/>
    <w:rsid w:val="3EF777E5"/>
    <w:rsid w:val="3EF7ECAF"/>
    <w:rsid w:val="3EFE024D"/>
    <w:rsid w:val="3EFE276C"/>
    <w:rsid w:val="3EFF3324"/>
    <w:rsid w:val="3F056573"/>
    <w:rsid w:val="3F166457"/>
    <w:rsid w:val="3F3F3015"/>
    <w:rsid w:val="3F4C76DF"/>
    <w:rsid w:val="3F53DEF9"/>
    <w:rsid w:val="3F597F7D"/>
    <w:rsid w:val="3F5A1439"/>
    <w:rsid w:val="3F637620"/>
    <w:rsid w:val="3F751466"/>
    <w:rsid w:val="3F7FB2CC"/>
    <w:rsid w:val="3F986578"/>
    <w:rsid w:val="3F9B723E"/>
    <w:rsid w:val="3FAFF881"/>
    <w:rsid w:val="3FB37685"/>
    <w:rsid w:val="3FBF7D73"/>
    <w:rsid w:val="3FC314C2"/>
    <w:rsid w:val="3FC79D62"/>
    <w:rsid w:val="3FD7BCDC"/>
    <w:rsid w:val="3FDA6D1B"/>
    <w:rsid w:val="3FDF22A8"/>
    <w:rsid w:val="3FEDD051"/>
    <w:rsid w:val="3FEED886"/>
    <w:rsid w:val="3FEF54BC"/>
    <w:rsid w:val="3FF53EC3"/>
    <w:rsid w:val="3FF62D0A"/>
    <w:rsid w:val="3FF6F2F7"/>
    <w:rsid w:val="3FFB4968"/>
    <w:rsid w:val="3FFB9A90"/>
    <w:rsid w:val="3FFC0E89"/>
    <w:rsid w:val="3FFD8386"/>
    <w:rsid w:val="3FFE93CE"/>
    <w:rsid w:val="3FFE9E35"/>
    <w:rsid w:val="3FFEE5C0"/>
    <w:rsid w:val="3FFF2208"/>
    <w:rsid w:val="3FFF22A9"/>
    <w:rsid w:val="3FFFFD96"/>
    <w:rsid w:val="403D4072"/>
    <w:rsid w:val="40423D24"/>
    <w:rsid w:val="409946A0"/>
    <w:rsid w:val="40A477C4"/>
    <w:rsid w:val="40CB318C"/>
    <w:rsid w:val="40DB84EE"/>
    <w:rsid w:val="41051F14"/>
    <w:rsid w:val="413039B8"/>
    <w:rsid w:val="414F44DA"/>
    <w:rsid w:val="41535DB8"/>
    <w:rsid w:val="415E527D"/>
    <w:rsid w:val="419014A0"/>
    <w:rsid w:val="41911120"/>
    <w:rsid w:val="419A4767"/>
    <w:rsid w:val="41A61275"/>
    <w:rsid w:val="41A63255"/>
    <w:rsid w:val="41A65D11"/>
    <w:rsid w:val="41A710C5"/>
    <w:rsid w:val="41E12D0A"/>
    <w:rsid w:val="41EF6059"/>
    <w:rsid w:val="4204159C"/>
    <w:rsid w:val="422E6C26"/>
    <w:rsid w:val="42780119"/>
    <w:rsid w:val="42894888"/>
    <w:rsid w:val="42B404E3"/>
    <w:rsid w:val="42BC18B4"/>
    <w:rsid w:val="42D7AEDF"/>
    <w:rsid w:val="42D95D76"/>
    <w:rsid w:val="42DA01BE"/>
    <w:rsid w:val="42DD3AE0"/>
    <w:rsid w:val="43070493"/>
    <w:rsid w:val="4319678F"/>
    <w:rsid w:val="43296C90"/>
    <w:rsid w:val="4343436A"/>
    <w:rsid w:val="4353183F"/>
    <w:rsid w:val="43662FB4"/>
    <w:rsid w:val="437671B1"/>
    <w:rsid w:val="4385169E"/>
    <w:rsid w:val="439E7EFB"/>
    <w:rsid w:val="43A7408E"/>
    <w:rsid w:val="43B24080"/>
    <w:rsid w:val="43CF3F4E"/>
    <w:rsid w:val="43D14367"/>
    <w:rsid w:val="43EEDACE"/>
    <w:rsid w:val="441E1E60"/>
    <w:rsid w:val="44347375"/>
    <w:rsid w:val="44654BE2"/>
    <w:rsid w:val="446C1559"/>
    <w:rsid w:val="448C7B84"/>
    <w:rsid w:val="4493691C"/>
    <w:rsid w:val="44A21D28"/>
    <w:rsid w:val="44B52F47"/>
    <w:rsid w:val="44C224A4"/>
    <w:rsid w:val="44CC63EF"/>
    <w:rsid w:val="44DD6689"/>
    <w:rsid w:val="44F078A8"/>
    <w:rsid w:val="44FD6301"/>
    <w:rsid w:val="450E6E58"/>
    <w:rsid w:val="451851EA"/>
    <w:rsid w:val="451B08D2"/>
    <w:rsid w:val="45234F65"/>
    <w:rsid w:val="45441531"/>
    <w:rsid w:val="45674F69"/>
    <w:rsid w:val="4589290D"/>
    <w:rsid w:val="4597133B"/>
    <w:rsid w:val="45BD5CCC"/>
    <w:rsid w:val="45CA500D"/>
    <w:rsid w:val="45D71A00"/>
    <w:rsid w:val="45DD1F09"/>
    <w:rsid w:val="45E0709C"/>
    <w:rsid w:val="45F10DEA"/>
    <w:rsid w:val="460A3878"/>
    <w:rsid w:val="461168E5"/>
    <w:rsid w:val="462F76CB"/>
    <w:rsid w:val="46547B57"/>
    <w:rsid w:val="465808D8"/>
    <w:rsid w:val="467A1A89"/>
    <w:rsid w:val="467DBE04"/>
    <w:rsid w:val="468F7D2D"/>
    <w:rsid w:val="46923CA0"/>
    <w:rsid w:val="46941202"/>
    <w:rsid w:val="46957BD9"/>
    <w:rsid w:val="46A46E35"/>
    <w:rsid w:val="47063E94"/>
    <w:rsid w:val="47367762"/>
    <w:rsid w:val="47395694"/>
    <w:rsid w:val="47545C3E"/>
    <w:rsid w:val="475D60E2"/>
    <w:rsid w:val="479359DF"/>
    <w:rsid w:val="47992CCE"/>
    <w:rsid w:val="47A5B7C4"/>
    <w:rsid w:val="47A7459E"/>
    <w:rsid w:val="47AA6490"/>
    <w:rsid w:val="47C737CE"/>
    <w:rsid w:val="47CE135F"/>
    <w:rsid w:val="47E32732"/>
    <w:rsid w:val="47EB4FD9"/>
    <w:rsid w:val="47FA386D"/>
    <w:rsid w:val="48031435"/>
    <w:rsid w:val="4807663E"/>
    <w:rsid w:val="480A051E"/>
    <w:rsid w:val="481E567D"/>
    <w:rsid w:val="48310EDB"/>
    <w:rsid w:val="485B597B"/>
    <w:rsid w:val="48685DBA"/>
    <w:rsid w:val="489F8B93"/>
    <w:rsid w:val="48E14985"/>
    <w:rsid w:val="48FA6149"/>
    <w:rsid w:val="49021A5E"/>
    <w:rsid w:val="492369E3"/>
    <w:rsid w:val="4937272B"/>
    <w:rsid w:val="495D2C50"/>
    <w:rsid w:val="498615B1"/>
    <w:rsid w:val="49881230"/>
    <w:rsid w:val="498A028A"/>
    <w:rsid w:val="49BFC866"/>
    <w:rsid w:val="49C818CC"/>
    <w:rsid w:val="49D97D36"/>
    <w:rsid w:val="49EBFB29"/>
    <w:rsid w:val="49EF6CA3"/>
    <w:rsid w:val="49F72B69"/>
    <w:rsid w:val="49FC38CB"/>
    <w:rsid w:val="49FDC938"/>
    <w:rsid w:val="49FF892B"/>
    <w:rsid w:val="4A11120D"/>
    <w:rsid w:val="4A236EB1"/>
    <w:rsid w:val="4A2F72F2"/>
    <w:rsid w:val="4A496572"/>
    <w:rsid w:val="4A562B83"/>
    <w:rsid w:val="4A6040A5"/>
    <w:rsid w:val="4A6F5CAB"/>
    <w:rsid w:val="4A9363F2"/>
    <w:rsid w:val="4AA16D9F"/>
    <w:rsid w:val="4AE41811"/>
    <w:rsid w:val="4AE667E5"/>
    <w:rsid w:val="4AEA5736"/>
    <w:rsid w:val="4B090F95"/>
    <w:rsid w:val="4B423DC4"/>
    <w:rsid w:val="4B427BEB"/>
    <w:rsid w:val="4B5B8A7B"/>
    <w:rsid w:val="4B657CE0"/>
    <w:rsid w:val="4B677274"/>
    <w:rsid w:val="4B6C26CB"/>
    <w:rsid w:val="4B8435F5"/>
    <w:rsid w:val="4BAF7E99"/>
    <w:rsid w:val="4BB611E5"/>
    <w:rsid w:val="4BC50E9E"/>
    <w:rsid w:val="4BDFA099"/>
    <w:rsid w:val="4BE16487"/>
    <w:rsid w:val="4C1827E3"/>
    <w:rsid w:val="4C345B57"/>
    <w:rsid w:val="4C3C7D61"/>
    <w:rsid w:val="4C585E65"/>
    <w:rsid w:val="4C5F9F4A"/>
    <w:rsid w:val="4CC744F2"/>
    <w:rsid w:val="4CCE3F66"/>
    <w:rsid w:val="4CCF8B73"/>
    <w:rsid w:val="4CE71B75"/>
    <w:rsid w:val="4CFF904B"/>
    <w:rsid w:val="4D160508"/>
    <w:rsid w:val="4D3816DD"/>
    <w:rsid w:val="4D536CE8"/>
    <w:rsid w:val="4DB78F3A"/>
    <w:rsid w:val="4DC36250"/>
    <w:rsid w:val="4DDB70C8"/>
    <w:rsid w:val="4DDF35EC"/>
    <w:rsid w:val="4DE33460"/>
    <w:rsid w:val="4DE6755C"/>
    <w:rsid w:val="4DEC1465"/>
    <w:rsid w:val="4DEF363D"/>
    <w:rsid w:val="4DF5AC2C"/>
    <w:rsid w:val="4DF72787"/>
    <w:rsid w:val="4DFF8841"/>
    <w:rsid w:val="4E025A95"/>
    <w:rsid w:val="4E10291E"/>
    <w:rsid w:val="4E2249FC"/>
    <w:rsid w:val="4E3FBAED"/>
    <w:rsid w:val="4E5703EF"/>
    <w:rsid w:val="4E5B6D9F"/>
    <w:rsid w:val="4E60162A"/>
    <w:rsid w:val="4E76691E"/>
    <w:rsid w:val="4E7B1FCD"/>
    <w:rsid w:val="4E8A6881"/>
    <w:rsid w:val="4E8E3BAE"/>
    <w:rsid w:val="4EA56695"/>
    <w:rsid w:val="4EAF68CF"/>
    <w:rsid w:val="4EBD5EBD"/>
    <w:rsid w:val="4EC761FD"/>
    <w:rsid w:val="4EDC69F4"/>
    <w:rsid w:val="4EEC6E09"/>
    <w:rsid w:val="4EF03074"/>
    <w:rsid w:val="4EF77DC4"/>
    <w:rsid w:val="4EFCCB7E"/>
    <w:rsid w:val="4F035E8A"/>
    <w:rsid w:val="4F1132CF"/>
    <w:rsid w:val="4F193AD0"/>
    <w:rsid w:val="4F1A6654"/>
    <w:rsid w:val="4F23029B"/>
    <w:rsid w:val="4F36029F"/>
    <w:rsid w:val="4F455749"/>
    <w:rsid w:val="4F660CD1"/>
    <w:rsid w:val="4F6979DD"/>
    <w:rsid w:val="4F7769ED"/>
    <w:rsid w:val="4F8B0F68"/>
    <w:rsid w:val="4F990227"/>
    <w:rsid w:val="4FB10D79"/>
    <w:rsid w:val="4FBB4E26"/>
    <w:rsid w:val="4FBF42F6"/>
    <w:rsid w:val="4FBF4E06"/>
    <w:rsid w:val="4FBFF994"/>
    <w:rsid w:val="4FC695DF"/>
    <w:rsid w:val="4FCFB720"/>
    <w:rsid w:val="4FD7C01D"/>
    <w:rsid w:val="4FDBE11B"/>
    <w:rsid w:val="4FE7B0F3"/>
    <w:rsid w:val="4FED70E6"/>
    <w:rsid w:val="4FF91FD2"/>
    <w:rsid w:val="4FF969EB"/>
    <w:rsid w:val="4FFB6A30"/>
    <w:rsid w:val="50267A8B"/>
    <w:rsid w:val="50386E39"/>
    <w:rsid w:val="504F44D2"/>
    <w:rsid w:val="50601352"/>
    <w:rsid w:val="5075A5DE"/>
    <w:rsid w:val="50857D93"/>
    <w:rsid w:val="50D33427"/>
    <w:rsid w:val="51597B82"/>
    <w:rsid w:val="519A696D"/>
    <w:rsid w:val="51B06427"/>
    <w:rsid w:val="51CB0B4A"/>
    <w:rsid w:val="51D944EB"/>
    <w:rsid w:val="51F1FF98"/>
    <w:rsid w:val="51FF48ED"/>
    <w:rsid w:val="522009FD"/>
    <w:rsid w:val="522D1190"/>
    <w:rsid w:val="525E7DB1"/>
    <w:rsid w:val="526B4F12"/>
    <w:rsid w:val="52742B53"/>
    <w:rsid w:val="52A955AB"/>
    <w:rsid w:val="52BC2AFE"/>
    <w:rsid w:val="52E55FAC"/>
    <w:rsid w:val="52ED6DD6"/>
    <w:rsid w:val="532874F1"/>
    <w:rsid w:val="536A3DFF"/>
    <w:rsid w:val="539E5605"/>
    <w:rsid w:val="53B9287B"/>
    <w:rsid w:val="53C46FFC"/>
    <w:rsid w:val="53C77F81"/>
    <w:rsid w:val="53CFBD37"/>
    <w:rsid w:val="53DF754A"/>
    <w:rsid w:val="53EF7583"/>
    <w:rsid w:val="53F716B3"/>
    <w:rsid w:val="54175782"/>
    <w:rsid w:val="5426104A"/>
    <w:rsid w:val="54310F11"/>
    <w:rsid w:val="54375E8E"/>
    <w:rsid w:val="545333E8"/>
    <w:rsid w:val="54711C56"/>
    <w:rsid w:val="547160C9"/>
    <w:rsid w:val="547D8907"/>
    <w:rsid w:val="547E343C"/>
    <w:rsid w:val="54893C5D"/>
    <w:rsid w:val="549B4DBA"/>
    <w:rsid w:val="54B42188"/>
    <w:rsid w:val="54D947DE"/>
    <w:rsid w:val="54EC353E"/>
    <w:rsid w:val="54F93B76"/>
    <w:rsid w:val="550511EB"/>
    <w:rsid w:val="55394D7F"/>
    <w:rsid w:val="553E287F"/>
    <w:rsid w:val="557EC9A7"/>
    <w:rsid w:val="55AD3BCA"/>
    <w:rsid w:val="55ADC0ED"/>
    <w:rsid w:val="55C71728"/>
    <w:rsid w:val="55CE2947"/>
    <w:rsid w:val="55D33F14"/>
    <w:rsid w:val="55DEFF90"/>
    <w:rsid w:val="55DF63F2"/>
    <w:rsid w:val="55FFB1D2"/>
    <w:rsid w:val="560861AC"/>
    <w:rsid w:val="56130F8F"/>
    <w:rsid w:val="561560EF"/>
    <w:rsid w:val="56293594"/>
    <w:rsid w:val="563B796A"/>
    <w:rsid w:val="565F299A"/>
    <w:rsid w:val="56653E7C"/>
    <w:rsid w:val="56922DA5"/>
    <w:rsid w:val="569660E0"/>
    <w:rsid w:val="56987D9F"/>
    <w:rsid w:val="56BA1477"/>
    <w:rsid w:val="56BBA33B"/>
    <w:rsid w:val="56BF682A"/>
    <w:rsid w:val="56C62E6D"/>
    <w:rsid w:val="56E1D6E5"/>
    <w:rsid w:val="56E6071F"/>
    <w:rsid w:val="56F5A383"/>
    <w:rsid w:val="5707680B"/>
    <w:rsid w:val="572F45C8"/>
    <w:rsid w:val="57470D7B"/>
    <w:rsid w:val="575156AC"/>
    <w:rsid w:val="57577793"/>
    <w:rsid w:val="575794A3"/>
    <w:rsid w:val="575D625D"/>
    <w:rsid w:val="5779692F"/>
    <w:rsid w:val="577B4146"/>
    <w:rsid w:val="577E3292"/>
    <w:rsid w:val="577F2692"/>
    <w:rsid w:val="57883C05"/>
    <w:rsid w:val="57885129"/>
    <w:rsid w:val="57989BA7"/>
    <w:rsid w:val="579B1542"/>
    <w:rsid w:val="57A23AD5"/>
    <w:rsid w:val="57D53971"/>
    <w:rsid w:val="57DA74B2"/>
    <w:rsid w:val="57DBF9A5"/>
    <w:rsid w:val="57DD0F0D"/>
    <w:rsid w:val="57E6FACA"/>
    <w:rsid w:val="57F6575D"/>
    <w:rsid w:val="57F7BC90"/>
    <w:rsid w:val="57FA7A1B"/>
    <w:rsid w:val="57FB556E"/>
    <w:rsid w:val="580609B0"/>
    <w:rsid w:val="5819018E"/>
    <w:rsid w:val="5821255C"/>
    <w:rsid w:val="58366AD1"/>
    <w:rsid w:val="58402440"/>
    <w:rsid w:val="584C5C95"/>
    <w:rsid w:val="58576249"/>
    <w:rsid w:val="585854F1"/>
    <w:rsid w:val="58642350"/>
    <w:rsid w:val="58672599"/>
    <w:rsid w:val="58795FFD"/>
    <w:rsid w:val="58903D2B"/>
    <w:rsid w:val="58BF6AD1"/>
    <w:rsid w:val="58FC4AFE"/>
    <w:rsid w:val="591A7588"/>
    <w:rsid w:val="59386793"/>
    <w:rsid w:val="59534AF4"/>
    <w:rsid w:val="595F786F"/>
    <w:rsid w:val="5971325B"/>
    <w:rsid w:val="59820767"/>
    <w:rsid w:val="59843C6A"/>
    <w:rsid w:val="59D58E42"/>
    <w:rsid w:val="59DF36EC"/>
    <w:rsid w:val="59E6628D"/>
    <w:rsid w:val="59E76577"/>
    <w:rsid w:val="59F2608D"/>
    <w:rsid w:val="59F8A741"/>
    <w:rsid w:val="59FC1F4E"/>
    <w:rsid w:val="59FF3219"/>
    <w:rsid w:val="5A0043EB"/>
    <w:rsid w:val="5A493C1F"/>
    <w:rsid w:val="5A572393"/>
    <w:rsid w:val="5A5C5ECC"/>
    <w:rsid w:val="5A6F0412"/>
    <w:rsid w:val="5A7979FA"/>
    <w:rsid w:val="5A7C6376"/>
    <w:rsid w:val="5A857480"/>
    <w:rsid w:val="5ABEA537"/>
    <w:rsid w:val="5AEA47FB"/>
    <w:rsid w:val="5AEBF060"/>
    <w:rsid w:val="5AFE6864"/>
    <w:rsid w:val="5AFF8622"/>
    <w:rsid w:val="5AFF8E8C"/>
    <w:rsid w:val="5B5B2245"/>
    <w:rsid w:val="5B67F7C9"/>
    <w:rsid w:val="5B6EED47"/>
    <w:rsid w:val="5B7FDDC6"/>
    <w:rsid w:val="5B816CF4"/>
    <w:rsid w:val="5B9F79AD"/>
    <w:rsid w:val="5BAF2796"/>
    <w:rsid w:val="5BBF5E3E"/>
    <w:rsid w:val="5BCB3F03"/>
    <w:rsid w:val="5BE5D506"/>
    <w:rsid w:val="5BEF9359"/>
    <w:rsid w:val="5BEF9816"/>
    <w:rsid w:val="5BF766EB"/>
    <w:rsid w:val="5BF7E4B0"/>
    <w:rsid w:val="5BFF8803"/>
    <w:rsid w:val="5BFF9192"/>
    <w:rsid w:val="5BFFD401"/>
    <w:rsid w:val="5BFFF200"/>
    <w:rsid w:val="5BFFFC67"/>
    <w:rsid w:val="5C503871"/>
    <w:rsid w:val="5C52776A"/>
    <w:rsid w:val="5C87563A"/>
    <w:rsid w:val="5C931CC3"/>
    <w:rsid w:val="5CAB25EF"/>
    <w:rsid w:val="5CBE5215"/>
    <w:rsid w:val="5D0F5825"/>
    <w:rsid w:val="5D359B3E"/>
    <w:rsid w:val="5D41498A"/>
    <w:rsid w:val="5D4A6F71"/>
    <w:rsid w:val="5D6CD465"/>
    <w:rsid w:val="5D9B5AEF"/>
    <w:rsid w:val="5DAB53BD"/>
    <w:rsid w:val="5DB727DF"/>
    <w:rsid w:val="5DBE480F"/>
    <w:rsid w:val="5DCFC095"/>
    <w:rsid w:val="5DDD686A"/>
    <w:rsid w:val="5DE31F95"/>
    <w:rsid w:val="5DFE623D"/>
    <w:rsid w:val="5DFF9B08"/>
    <w:rsid w:val="5DFFA637"/>
    <w:rsid w:val="5E126A79"/>
    <w:rsid w:val="5E232016"/>
    <w:rsid w:val="5E336FC9"/>
    <w:rsid w:val="5E5025C9"/>
    <w:rsid w:val="5E731513"/>
    <w:rsid w:val="5E7BDE47"/>
    <w:rsid w:val="5E7F680E"/>
    <w:rsid w:val="5E853083"/>
    <w:rsid w:val="5EB5BA4B"/>
    <w:rsid w:val="5EBD5301"/>
    <w:rsid w:val="5EBEC6F3"/>
    <w:rsid w:val="5EBF3542"/>
    <w:rsid w:val="5EEC7030"/>
    <w:rsid w:val="5EEE2BC5"/>
    <w:rsid w:val="5EEEB931"/>
    <w:rsid w:val="5EF2528E"/>
    <w:rsid w:val="5EF954E9"/>
    <w:rsid w:val="5EFEA022"/>
    <w:rsid w:val="5EFF4621"/>
    <w:rsid w:val="5EFF90E9"/>
    <w:rsid w:val="5F1F80E5"/>
    <w:rsid w:val="5F2FCE9F"/>
    <w:rsid w:val="5F341662"/>
    <w:rsid w:val="5F3A1C27"/>
    <w:rsid w:val="5F3C2C19"/>
    <w:rsid w:val="5F3E2E07"/>
    <w:rsid w:val="5F3E8A4D"/>
    <w:rsid w:val="5F3F2A99"/>
    <w:rsid w:val="5F5004CD"/>
    <w:rsid w:val="5F5E5B0A"/>
    <w:rsid w:val="5F5FAEAA"/>
    <w:rsid w:val="5F6C48AD"/>
    <w:rsid w:val="5F6D6032"/>
    <w:rsid w:val="5F7A0219"/>
    <w:rsid w:val="5F7CA9BE"/>
    <w:rsid w:val="5F99248B"/>
    <w:rsid w:val="5F994149"/>
    <w:rsid w:val="5F9C25EB"/>
    <w:rsid w:val="5F9FBC4C"/>
    <w:rsid w:val="5FB33C41"/>
    <w:rsid w:val="5FB7611B"/>
    <w:rsid w:val="5FBAD245"/>
    <w:rsid w:val="5FBF482D"/>
    <w:rsid w:val="5FBF7F23"/>
    <w:rsid w:val="5FBF8644"/>
    <w:rsid w:val="5FC2422B"/>
    <w:rsid w:val="5FD3E594"/>
    <w:rsid w:val="5FDAE373"/>
    <w:rsid w:val="5FDEBB2E"/>
    <w:rsid w:val="5FE32E1F"/>
    <w:rsid w:val="5FECF5A3"/>
    <w:rsid w:val="5FED0EA7"/>
    <w:rsid w:val="5FEDC603"/>
    <w:rsid w:val="5FEFB6EE"/>
    <w:rsid w:val="5FF28F77"/>
    <w:rsid w:val="5FF36522"/>
    <w:rsid w:val="5FF5314A"/>
    <w:rsid w:val="5FF7DD0E"/>
    <w:rsid w:val="5FFAC936"/>
    <w:rsid w:val="5FFB5EB9"/>
    <w:rsid w:val="5FFD3F31"/>
    <w:rsid w:val="5FFE1613"/>
    <w:rsid w:val="5FFF2877"/>
    <w:rsid w:val="5FFFC982"/>
    <w:rsid w:val="600157FC"/>
    <w:rsid w:val="60140FB0"/>
    <w:rsid w:val="601568DE"/>
    <w:rsid w:val="601D3E3E"/>
    <w:rsid w:val="60526897"/>
    <w:rsid w:val="60841264"/>
    <w:rsid w:val="60AE1BB1"/>
    <w:rsid w:val="60B9585A"/>
    <w:rsid w:val="60BD3C35"/>
    <w:rsid w:val="60BE506B"/>
    <w:rsid w:val="60C5134F"/>
    <w:rsid w:val="60EC6236"/>
    <w:rsid w:val="60FB0378"/>
    <w:rsid w:val="60FE33B0"/>
    <w:rsid w:val="61146955"/>
    <w:rsid w:val="61215C6A"/>
    <w:rsid w:val="6123091F"/>
    <w:rsid w:val="6143039D"/>
    <w:rsid w:val="61565767"/>
    <w:rsid w:val="615C6920"/>
    <w:rsid w:val="617812E6"/>
    <w:rsid w:val="617D092C"/>
    <w:rsid w:val="61AD584E"/>
    <w:rsid w:val="61D17047"/>
    <w:rsid w:val="61D2000C"/>
    <w:rsid w:val="61D66A13"/>
    <w:rsid w:val="61DB42D3"/>
    <w:rsid w:val="61E00820"/>
    <w:rsid w:val="61E03644"/>
    <w:rsid w:val="61E3252C"/>
    <w:rsid w:val="61EB3135"/>
    <w:rsid w:val="62016C83"/>
    <w:rsid w:val="621A25FF"/>
    <w:rsid w:val="622F24EA"/>
    <w:rsid w:val="6246586F"/>
    <w:rsid w:val="62574EF0"/>
    <w:rsid w:val="625B5826"/>
    <w:rsid w:val="625E5672"/>
    <w:rsid w:val="62723F34"/>
    <w:rsid w:val="627969B4"/>
    <w:rsid w:val="628A0525"/>
    <w:rsid w:val="62A9135E"/>
    <w:rsid w:val="62BE310D"/>
    <w:rsid w:val="62CD6C81"/>
    <w:rsid w:val="62FFE515"/>
    <w:rsid w:val="630025F1"/>
    <w:rsid w:val="63063AF1"/>
    <w:rsid w:val="630F3BA9"/>
    <w:rsid w:val="6321792E"/>
    <w:rsid w:val="632E6C44"/>
    <w:rsid w:val="6337692F"/>
    <w:rsid w:val="6338784C"/>
    <w:rsid w:val="634023E1"/>
    <w:rsid w:val="63422A85"/>
    <w:rsid w:val="63467B6E"/>
    <w:rsid w:val="6363169C"/>
    <w:rsid w:val="636DB3CF"/>
    <w:rsid w:val="637F4455"/>
    <w:rsid w:val="63872F22"/>
    <w:rsid w:val="63895334"/>
    <w:rsid w:val="63937B0A"/>
    <w:rsid w:val="63BA0819"/>
    <w:rsid w:val="63BD50A4"/>
    <w:rsid w:val="63F9DAB8"/>
    <w:rsid w:val="640B0BB1"/>
    <w:rsid w:val="64382979"/>
    <w:rsid w:val="64461085"/>
    <w:rsid w:val="644D76E6"/>
    <w:rsid w:val="64576DEC"/>
    <w:rsid w:val="6475348A"/>
    <w:rsid w:val="647561B4"/>
    <w:rsid w:val="647B77F5"/>
    <w:rsid w:val="64860FE7"/>
    <w:rsid w:val="64D4317C"/>
    <w:rsid w:val="64E61700"/>
    <w:rsid w:val="64E64F39"/>
    <w:rsid w:val="64F60F6D"/>
    <w:rsid w:val="64F85643"/>
    <w:rsid w:val="64FEF010"/>
    <w:rsid w:val="650B3FD7"/>
    <w:rsid w:val="65150946"/>
    <w:rsid w:val="651E51F6"/>
    <w:rsid w:val="651FA931"/>
    <w:rsid w:val="652E6C19"/>
    <w:rsid w:val="65472B37"/>
    <w:rsid w:val="65654590"/>
    <w:rsid w:val="657D778E"/>
    <w:rsid w:val="658C582A"/>
    <w:rsid w:val="65B3734A"/>
    <w:rsid w:val="65C45983"/>
    <w:rsid w:val="65C74697"/>
    <w:rsid w:val="65D45C1E"/>
    <w:rsid w:val="65EB5BED"/>
    <w:rsid w:val="65F154A4"/>
    <w:rsid w:val="66095969"/>
    <w:rsid w:val="6617E9D6"/>
    <w:rsid w:val="661C087F"/>
    <w:rsid w:val="664E3FAD"/>
    <w:rsid w:val="66686491"/>
    <w:rsid w:val="66B75E90"/>
    <w:rsid w:val="66BBB208"/>
    <w:rsid w:val="66C145A2"/>
    <w:rsid w:val="66D457C1"/>
    <w:rsid w:val="66EF19CD"/>
    <w:rsid w:val="66F4192A"/>
    <w:rsid w:val="66F69A41"/>
    <w:rsid w:val="670C2BA3"/>
    <w:rsid w:val="670D4A21"/>
    <w:rsid w:val="671E02BE"/>
    <w:rsid w:val="67291028"/>
    <w:rsid w:val="673335DC"/>
    <w:rsid w:val="67422F7F"/>
    <w:rsid w:val="67496719"/>
    <w:rsid w:val="674FE07A"/>
    <w:rsid w:val="675C0F28"/>
    <w:rsid w:val="675FDF66"/>
    <w:rsid w:val="676B8859"/>
    <w:rsid w:val="677569DB"/>
    <w:rsid w:val="677B70DD"/>
    <w:rsid w:val="677B7129"/>
    <w:rsid w:val="677C2989"/>
    <w:rsid w:val="677F3E5A"/>
    <w:rsid w:val="677F61E7"/>
    <w:rsid w:val="679E8F7E"/>
    <w:rsid w:val="67AE51D8"/>
    <w:rsid w:val="67BFD87C"/>
    <w:rsid w:val="67C32ECB"/>
    <w:rsid w:val="67C46849"/>
    <w:rsid w:val="67EB300F"/>
    <w:rsid w:val="67FF0B0A"/>
    <w:rsid w:val="680313F7"/>
    <w:rsid w:val="68185FA6"/>
    <w:rsid w:val="685ABC98"/>
    <w:rsid w:val="688E6966"/>
    <w:rsid w:val="689877FF"/>
    <w:rsid w:val="689E643D"/>
    <w:rsid w:val="68BB6F75"/>
    <w:rsid w:val="68D11D83"/>
    <w:rsid w:val="68E0459C"/>
    <w:rsid w:val="69151573"/>
    <w:rsid w:val="69351AA8"/>
    <w:rsid w:val="694641AE"/>
    <w:rsid w:val="698E123D"/>
    <w:rsid w:val="699FD276"/>
    <w:rsid w:val="69A81DE6"/>
    <w:rsid w:val="69B31D91"/>
    <w:rsid w:val="6A0F2A90"/>
    <w:rsid w:val="6A176041"/>
    <w:rsid w:val="6A1A7C5F"/>
    <w:rsid w:val="6A27DDB0"/>
    <w:rsid w:val="6A290CB7"/>
    <w:rsid w:val="6A320387"/>
    <w:rsid w:val="6A3264C7"/>
    <w:rsid w:val="6A3A3D51"/>
    <w:rsid w:val="6A3D53AD"/>
    <w:rsid w:val="6A422F70"/>
    <w:rsid w:val="6A441C65"/>
    <w:rsid w:val="6A7571A5"/>
    <w:rsid w:val="6A7C5642"/>
    <w:rsid w:val="6A824DC7"/>
    <w:rsid w:val="6A9102F8"/>
    <w:rsid w:val="6AA44CAD"/>
    <w:rsid w:val="6AB06D96"/>
    <w:rsid w:val="6AB224C7"/>
    <w:rsid w:val="6AB62FFD"/>
    <w:rsid w:val="6ABFF216"/>
    <w:rsid w:val="6AC37FB5"/>
    <w:rsid w:val="6AFD605A"/>
    <w:rsid w:val="6AFE393D"/>
    <w:rsid w:val="6B03558A"/>
    <w:rsid w:val="6B2E0E0E"/>
    <w:rsid w:val="6B3F7686"/>
    <w:rsid w:val="6B3F82FC"/>
    <w:rsid w:val="6B493A68"/>
    <w:rsid w:val="6B5E53CC"/>
    <w:rsid w:val="6B634FAE"/>
    <w:rsid w:val="6B6555BF"/>
    <w:rsid w:val="6B6B1B19"/>
    <w:rsid w:val="6B703951"/>
    <w:rsid w:val="6B7433EA"/>
    <w:rsid w:val="6B793AD3"/>
    <w:rsid w:val="6B7BE67C"/>
    <w:rsid w:val="6B7D7410"/>
    <w:rsid w:val="6B9C0714"/>
    <w:rsid w:val="6BA95A86"/>
    <w:rsid w:val="6BADE01C"/>
    <w:rsid w:val="6BBD76BA"/>
    <w:rsid w:val="6BBE5150"/>
    <w:rsid w:val="6BDE8B9A"/>
    <w:rsid w:val="6BE52805"/>
    <w:rsid w:val="6BEA109C"/>
    <w:rsid w:val="6BEA3070"/>
    <w:rsid w:val="6BED33E9"/>
    <w:rsid w:val="6BFD7A14"/>
    <w:rsid w:val="6BFF37B1"/>
    <w:rsid w:val="6BFF95DB"/>
    <w:rsid w:val="6C090BF7"/>
    <w:rsid w:val="6C297944"/>
    <w:rsid w:val="6C2D5008"/>
    <w:rsid w:val="6C38540E"/>
    <w:rsid w:val="6C3A2754"/>
    <w:rsid w:val="6C3F5205"/>
    <w:rsid w:val="6C453542"/>
    <w:rsid w:val="6C4A3802"/>
    <w:rsid w:val="6C5B0BE7"/>
    <w:rsid w:val="6C6B706C"/>
    <w:rsid w:val="6C72227A"/>
    <w:rsid w:val="6C762DBF"/>
    <w:rsid w:val="6C8D46CE"/>
    <w:rsid w:val="6C8D5244"/>
    <w:rsid w:val="6CAA6931"/>
    <w:rsid w:val="6CAE105A"/>
    <w:rsid w:val="6CAE4276"/>
    <w:rsid w:val="6CB47E50"/>
    <w:rsid w:val="6CCB406B"/>
    <w:rsid w:val="6CDD454C"/>
    <w:rsid w:val="6CDE4ABC"/>
    <w:rsid w:val="6CF7B900"/>
    <w:rsid w:val="6D0E0974"/>
    <w:rsid w:val="6D262956"/>
    <w:rsid w:val="6D3C504A"/>
    <w:rsid w:val="6D3D54FE"/>
    <w:rsid w:val="6D534DEB"/>
    <w:rsid w:val="6D56D5AD"/>
    <w:rsid w:val="6D5A5B72"/>
    <w:rsid w:val="6D5E137B"/>
    <w:rsid w:val="6D5F309B"/>
    <w:rsid w:val="6D614100"/>
    <w:rsid w:val="6D647A5A"/>
    <w:rsid w:val="6D7164D5"/>
    <w:rsid w:val="6D73BDE0"/>
    <w:rsid w:val="6D8A4CBB"/>
    <w:rsid w:val="6D912F7A"/>
    <w:rsid w:val="6D99211B"/>
    <w:rsid w:val="6D9F911F"/>
    <w:rsid w:val="6DAC34CB"/>
    <w:rsid w:val="6DB37B15"/>
    <w:rsid w:val="6DB70634"/>
    <w:rsid w:val="6DBAF5A5"/>
    <w:rsid w:val="6DD91EFC"/>
    <w:rsid w:val="6DDF4664"/>
    <w:rsid w:val="6DED1BBA"/>
    <w:rsid w:val="6DF427E2"/>
    <w:rsid w:val="6DFB5E00"/>
    <w:rsid w:val="6DFB6D5B"/>
    <w:rsid w:val="6DFE94BE"/>
    <w:rsid w:val="6DFFA787"/>
    <w:rsid w:val="6DFFF58F"/>
    <w:rsid w:val="6E116191"/>
    <w:rsid w:val="6E365DAB"/>
    <w:rsid w:val="6E37233D"/>
    <w:rsid w:val="6E7C03FA"/>
    <w:rsid w:val="6E9BAD3A"/>
    <w:rsid w:val="6E9D0FB2"/>
    <w:rsid w:val="6E9E16D5"/>
    <w:rsid w:val="6EBED75A"/>
    <w:rsid w:val="6EBF02AC"/>
    <w:rsid w:val="6ED2525C"/>
    <w:rsid w:val="6ED56E36"/>
    <w:rsid w:val="6ED97D84"/>
    <w:rsid w:val="6EEAA243"/>
    <w:rsid w:val="6EFE73BF"/>
    <w:rsid w:val="6EFF7405"/>
    <w:rsid w:val="6EFF84B6"/>
    <w:rsid w:val="6F0BC013"/>
    <w:rsid w:val="6F3C2BDF"/>
    <w:rsid w:val="6F3DE02D"/>
    <w:rsid w:val="6F3F0F29"/>
    <w:rsid w:val="6F3F9A04"/>
    <w:rsid w:val="6F4B32A5"/>
    <w:rsid w:val="6F5F4197"/>
    <w:rsid w:val="6F615A48"/>
    <w:rsid w:val="6F67594D"/>
    <w:rsid w:val="6F73FD92"/>
    <w:rsid w:val="6F790199"/>
    <w:rsid w:val="6F7C7DBB"/>
    <w:rsid w:val="6F7D3536"/>
    <w:rsid w:val="6F875F18"/>
    <w:rsid w:val="6F9C01A8"/>
    <w:rsid w:val="6F9E2288"/>
    <w:rsid w:val="6FAF8731"/>
    <w:rsid w:val="6FB3BDBC"/>
    <w:rsid w:val="6FBDADF3"/>
    <w:rsid w:val="6FBEE868"/>
    <w:rsid w:val="6FBF0C1F"/>
    <w:rsid w:val="6FC15D60"/>
    <w:rsid w:val="6FC5F6E0"/>
    <w:rsid w:val="6FCE54FF"/>
    <w:rsid w:val="6FD74AE8"/>
    <w:rsid w:val="6FD94AC9"/>
    <w:rsid w:val="6FD99BA9"/>
    <w:rsid w:val="6FDC292F"/>
    <w:rsid w:val="6FDF4B91"/>
    <w:rsid w:val="6FE78B49"/>
    <w:rsid w:val="6FEFE815"/>
    <w:rsid w:val="6FF325EA"/>
    <w:rsid w:val="6FF36A49"/>
    <w:rsid w:val="6FF72509"/>
    <w:rsid w:val="6FF731FE"/>
    <w:rsid w:val="6FFB2249"/>
    <w:rsid w:val="6FFB90E6"/>
    <w:rsid w:val="6FFBA958"/>
    <w:rsid w:val="6FFC72C8"/>
    <w:rsid w:val="6FFCAE51"/>
    <w:rsid w:val="6FFFAF6C"/>
    <w:rsid w:val="6FFFB6D4"/>
    <w:rsid w:val="70046C9F"/>
    <w:rsid w:val="702A3945"/>
    <w:rsid w:val="702B5E94"/>
    <w:rsid w:val="709C13CF"/>
    <w:rsid w:val="70AF7E93"/>
    <w:rsid w:val="70C176FA"/>
    <w:rsid w:val="70EFDB11"/>
    <w:rsid w:val="70F9312A"/>
    <w:rsid w:val="710A7485"/>
    <w:rsid w:val="71165496"/>
    <w:rsid w:val="711B0DDE"/>
    <w:rsid w:val="71231551"/>
    <w:rsid w:val="712D2EBD"/>
    <w:rsid w:val="71327344"/>
    <w:rsid w:val="713A6E51"/>
    <w:rsid w:val="7140350D"/>
    <w:rsid w:val="714549E9"/>
    <w:rsid w:val="71543E75"/>
    <w:rsid w:val="7160205B"/>
    <w:rsid w:val="718957D5"/>
    <w:rsid w:val="718A48F2"/>
    <w:rsid w:val="71923FEE"/>
    <w:rsid w:val="71BF8ADE"/>
    <w:rsid w:val="71CA4040"/>
    <w:rsid w:val="71F85124"/>
    <w:rsid w:val="72147937"/>
    <w:rsid w:val="721703C1"/>
    <w:rsid w:val="723047A2"/>
    <w:rsid w:val="72370368"/>
    <w:rsid w:val="72402E44"/>
    <w:rsid w:val="725A0095"/>
    <w:rsid w:val="725B22AA"/>
    <w:rsid w:val="728124EA"/>
    <w:rsid w:val="728A4244"/>
    <w:rsid w:val="728F27B0"/>
    <w:rsid w:val="728FD82D"/>
    <w:rsid w:val="72D9217F"/>
    <w:rsid w:val="730F20FB"/>
    <w:rsid w:val="731F54E0"/>
    <w:rsid w:val="73210D6E"/>
    <w:rsid w:val="732150C8"/>
    <w:rsid w:val="73252FF8"/>
    <w:rsid w:val="73353292"/>
    <w:rsid w:val="733E5EB3"/>
    <w:rsid w:val="735F05CB"/>
    <w:rsid w:val="736437ED"/>
    <w:rsid w:val="738FC612"/>
    <w:rsid w:val="73BFA0F5"/>
    <w:rsid w:val="73C90155"/>
    <w:rsid w:val="73CF9394"/>
    <w:rsid w:val="73D70E93"/>
    <w:rsid w:val="73D7CED9"/>
    <w:rsid w:val="73DFC8CF"/>
    <w:rsid w:val="73EFAA5E"/>
    <w:rsid w:val="73F108E0"/>
    <w:rsid w:val="73F8CD7D"/>
    <w:rsid w:val="73FF11BC"/>
    <w:rsid w:val="73FF866C"/>
    <w:rsid w:val="73FFB289"/>
    <w:rsid w:val="7409692B"/>
    <w:rsid w:val="740E23E0"/>
    <w:rsid w:val="744979EE"/>
    <w:rsid w:val="745F3699"/>
    <w:rsid w:val="74686B07"/>
    <w:rsid w:val="747E1E24"/>
    <w:rsid w:val="749A05DB"/>
    <w:rsid w:val="749D29E4"/>
    <w:rsid w:val="74B41184"/>
    <w:rsid w:val="74B77E92"/>
    <w:rsid w:val="74E41CD4"/>
    <w:rsid w:val="74F96F13"/>
    <w:rsid w:val="74FB4F19"/>
    <w:rsid w:val="750F7709"/>
    <w:rsid w:val="75155D26"/>
    <w:rsid w:val="752217B8"/>
    <w:rsid w:val="752B2577"/>
    <w:rsid w:val="75302362"/>
    <w:rsid w:val="754676D4"/>
    <w:rsid w:val="75596703"/>
    <w:rsid w:val="756A3280"/>
    <w:rsid w:val="756F3DC0"/>
    <w:rsid w:val="757A34CC"/>
    <w:rsid w:val="75A13A40"/>
    <w:rsid w:val="75CB195D"/>
    <w:rsid w:val="75EDBCB1"/>
    <w:rsid w:val="75FB536E"/>
    <w:rsid w:val="75FD5127"/>
    <w:rsid w:val="75FF6909"/>
    <w:rsid w:val="761E940C"/>
    <w:rsid w:val="763F270E"/>
    <w:rsid w:val="764031F9"/>
    <w:rsid w:val="764D69DF"/>
    <w:rsid w:val="76633FE1"/>
    <w:rsid w:val="767983A1"/>
    <w:rsid w:val="767EB487"/>
    <w:rsid w:val="76825D08"/>
    <w:rsid w:val="7689584C"/>
    <w:rsid w:val="769FDB96"/>
    <w:rsid w:val="76B579D0"/>
    <w:rsid w:val="76B61BCF"/>
    <w:rsid w:val="76BB5732"/>
    <w:rsid w:val="76BDDF12"/>
    <w:rsid w:val="76EB5C77"/>
    <w:rsid w:val="76EC01B7"/>
    <w:rsid w:val="76EEC6F7"/>
    <w:rsid w:val="76F2B65F"/>
    <w:rsid w:val="76F68499"/>
    <w:rsid w:val="76FBB8EB"/>
    <w:rsid w:val="76FE52C2"/>
    <w:rsid w:val="76FFA7DF"/>
    <w:rsid w:val="77047750"/>
    <w:rsid w:val="772F12C1"/>
    <w:rsid w:val="773AECEA"/>
    <w:rsid w:val="773D9FCE"/>
    <w:rsid w:val="773EE348"/>
    <w:rsid w:val="77455AF2"/>
    <w:rsid w:val="774FFC0B"/>
    <w:rsid w:val="775997EB"/>
    <w:rsid w:val="77607E69"/>
    <w:rsid w:val="77678794"/>
    <w:rsid w:val="776DA77B"/>
    <w:rsid w:val="777338AC"/>
    <w:rsid w:val="777E0DB1"/>
    <w:rsid w:val="777E4DD1"/>
    <w:rsid w:val="777FCDF7"/>
    <w:rsid w:val="778D09C7"/>
    <w:rsid w:val="779B0D05"/>
    <w:rsid w:val="779F7F0A"/>
    <w:rsid w:val="77A057FC"/>
    <w:rsid w:val="77A8025E"/>
    <w:rsid w:val="77B5574F"/>
    <w:rsid w:val="77CB0899"/>
    <w:rsid w:val="77D346D9"/>
    <w:rsid w:val="77D37A63"/>
    <w:rsid w:val="77DB3B51"/>
    <w:rsid w:val="77DBA39E"/>
    <w:rsid w:val="77DDBCED"/>
    <w:rsid w:val="77DE6772"/>
    <w:rsid w:val="77DFA683"/>
    <w:rsid w:val="77EB915A"/>
    <w:rsid w:val="77EF7A74"/>
    <w:rsid w:val="77EFBCCD"/>
    <w:rsid w:val="77F28F15"/>
    <w:rsid w:val="77F3E267"/>
    <w:rsid w:val="77F58739"/>
    <w:rsid w:val="77F60396"/>
    <w:rsid w:val="77F76A7C"/>
    <w:rsid w:val="77F7E8F1"/>
    <w:rsid w:val="77FA47E4"/>
    <w:rsid w:val="77FB5B02"/>
    <w:rsid w:val="77FB6677"/>
    <w:rsid w:val="77FBC97C"/>
    <w:rsid w:val="77FC470A"/>
    <w:rsid w:val="77FE10F9"/>
    <w:rsid w:val="77FEC9D3"/>
    <w:rsid w:val="77FF72CA"/>
    <w:rsid w:val="77FFB240"/>
    <w:rsid w:val="77FFF80D"/>
    <w:rsid w:val="77FFFA72"/>
    <w:rsid w:val="781FDCA8"/>
    <w:rsid w:val="783A5C8D"/>
    <w:rsid w:val="78490B44"/>
    <w:rsid w:val="7869732D"/>
    <w:rsid w:val="786E2713"/>
    <w:rsid w:val="7871B91B"/>
    <w:rsid w:val="78814C52"/>
    <w:rsid w:val="78961A5C"/>
    <w:rsid w:val="789DB5B3"/>
    <w:rsid w:val="78C86137"/>
    <w:rsid w:val="78D7094F"/>
    <w:rsid w:val="78DC1D5B"/>
    <w:rsid w:val="78ED8153"/>
    <w:rsid w:val="78EE93C8"/>
    <w:rsid w:val="78FD69E8"/>
    <w:rsid w:val="78FD8D0C"/>
    <w:rsid w:val="792F2F2F"/>
    <w:rsid w:val="793357E6"/>
    <w:rsid w:val="79395171"/>
    <w:rsid w:val="794E4F5C"/>
    <w:rsid w:val="7957DEA2"/>
    <w:rsid w:val="79643001"/>
    <w:rsid w:val="797026BE"/>
    <w:rsid w:val="797DB447"/>
    <w:rsid w:val="79853F6B"/>
    <w:rsid w:val="798C0D84"/>
    <w:rsid w:val="798F30A2"/>
    <w:rsid w:val="79913601"/>
    <w:rsid w:val="799E4B94"/>
    <w:rsid w:val="79C32F56"/>
    <w:rsid w:val="79C594B7"/>
    <w:rsid w:val="79C7FA83"/>
    <w:rsid w:val="79CB7B43"/>
    <w:rsid w:val="79DD37D7"/>
    <w:rsid w:val="79E3201A"/>
    <w:rsid w:val="79E93C90"/>
    <w:rsid w:val="79F350A2"/>
    <w:rsid w:val="79F7E14D"/>
    <w:rsid w:val="79FEF26E"/>
    <w:rsid w:val="7A0A7A48"/>
    <w:rsid w:val="7A2250EE"/>
    <w:rsid w:val="7A35410F"/>
    <w:rsid w:val="7A3E76E3"/>
    <w:rsid w:val="7A4B2A2F"/>
    <w:rsid w:val="7A4E7237"/>
    <w:rsid w:val="7A62374F"/>
    <w:rsid w:val="7A68506E"/>
    <w:rsid w:val="7A72B9EF"/>
    <w:rsid w:val="7A7A357F"/>
    <w:rsid w:val="7A7BD879"/>
    <w:rsid w:val="7A7E7E36"/>
    <w:rsid w:val="7A964487"/>
    <w:rsid w:val="7AAF1CB7"/>
    <w:rsid w:val="7ABA08D5"/>
    <w:rsid w:val="7ABA0E1B"/>
    <w:rsid w:val="7AC30181"/>
    <w:rsid w:val="7AE9BBD1"/>
    <w:rsid w:val="7AF4682D"/>
    <w:rsid w:val="7AFD72E6"/>
    <w:rsid w:val="7AFF0B2B"/>
    <w:rsid w:val="7AFF6713"/>
    <w:rsid w:val="7B135449"/>
    <w:rsid w:val="7B1E84D0"/>
    <w:rsid w:val="7B287C7A"/>
    <w:rsid w:val="7B3D35F0"/>
    <w:rsid w:val="7B3EC01C"/>
    <w:rsid w:val="7B690375"/>
    <w:rsid w:val="7B6D3E0C"/>
    <w:rsid w:val="7B6FB3DA"/>
    <w:rsid w:val="7B6FFDDB"/>
    <w:rsid w:val="7B701F37"/>
    <w:rsid w:val="7B8A330D"/>
    <w:rsid w:val="7B8EAF97"/>
    <w:rsid w:val="7B8F6F97"/>
    <w:rsid w:val="7B990153"/>
    <w:rsid w:val="7BA52A59"/>
    <w:rsid w:val="7BAF621B"/>
    <w:rsid w:val="7BB6D0B6"/>
    <w:rsid w:val="7BB790B3"/>
    <w:rsid w:val="7BB91219"/>
    <w:rsid w:val="7BB94D95"/>
    <w:rsid w:val="7BBF9341"/>
    <w:rsid w:val="7BCB3E8A"/>
    <w:rsid w:val="7BDE1BE6"/>
    <w:rsid w:val="7BDF5C2E"/>
    <w:rsid w:val="7BDF81AD"/>
    <w:rsid w:val="7BE93389"/>
    <w:rsid w:val="7BEDFA36"/>
    <w:rsid w:val="7BEDFF1F"/>
    <w:rsid w:val="7BEF60F0"/>
    <w:rsid w:val="7BF1D5E4"/>
    <w:rsid w:val="7BF32F9C"/>
    <w:rsid w:val="7BF35974"/>
    <w:rsid w:val="7BF55E36"/>
    <w:rsid w:val="7BFDB6C4"/>
    <w:rsid w:val="7BFDE0E1"/>
    <w:rsid w:val="7BFED2AD"/>
    <w:rsid w:val="7BFEF26E"/>
    <w:rsid w:val="7BFF1747"/>
    <w:rsid w:val="7BFF4B8B"/>
    <w:rsid w:val="7BFF77C9"/>
    <w:rsid w:val="7C2E765F"/>
    <w:rsid w:val="7C320AC1"/>
    <w:rsid w:val="7C652E38"/>
    <w:rsid w:val="7C6E1430"/>
    <w:rsid w:val="7C703B4C"/>
    <w:rsid w:val="7C73655F"/>
    <w:rsid w:val="7C7D5E6B"/>
    <w:rsid w:val="7C7F63A7"/>
    <w:rsid w:val="7C8F12A7"/>
    <w:rsid w:val="7C992B83"/>
    <w:rsid w:val="7CA4190A"/>
    <w:rsid w:val="7CCF6A96"/>
    <w:rsid w:val="7CD44657"/>
    <w:rsid w:val="7CDD822D"/>
    <w:rsid w:val="7CE04061"/>
    <w:rsid w:val="7CEB78BF"/>
    <w:rsid w:val="7CEDC7DC"/>
    <w:rsid w:val="7CF37D41"/>
    <w:rsid w:val="7CFD0EC2"/>
    <w:rsid w:val="7CFE9CD3"/>
    <w:rsid w:val="7D033E9B"/>
    <w:rsid w:val="7D062501"/>
    <w:rsid w:val="7D1D94C0"/>
    <w:rsid w:val="7D2FDB01"/>
    <w:rsid w:val="7D566EAB"/>
    <w:rsid w:val="7D6BB5E1"/>
    <w:rsid w:val="7D6F5F25"/>
    <w:rsid w:val="7D75515B"/>
    <w:rsid w:val="7D7A1A3C"/>
    <w:rsid w:val="7D7E28F2"/>
    <w:rsid w:val="7D7E8025"/>
    <w:rsid w:val="7D902089"/>
    <w:rsid w:val="7D937F33"/>
    <w:rsid w:val="7D971EEF"/>
    <w:rsid w:val="7DABABC4"/>
    <w:rsid w:val="7DBA4D94"/>
    <w:rsid w:val="7DBDB871"/>
    <w:rsid w:val="7DC9850C"/>
    <w:rsid w:val="7DD130BE"/>
    <w:rsid w:val="7DDC7B37"/>
    <w:rsid w:val="7DDD2FCA"/>
    <w:rsid w:val="7DDEA0A3"/>
    <w:rsid w:val="7DDF6612"/>
    <w:rsid w:val="7DE6C635"/>
    <w:rsid w:val="7DEC13E6"/>
    <w:rsid w:val="7DEC2F26"/>
    <w:rsid w:val="7DEE02A0"/>
    <w:rsid w:val="7DF2DD53"/>
    <w:rsid w:val="7DF6472F"/>
    <w:rsid w:val="7DF6CDB7"/>
    <w:rsid w:val="7DFA1213"/>
    <w:rsid w:val="7DFD3082"/>
    <w:rsid w:val="7DFE8ABF"/>
    <w:rsid w:val="7E073086"/>
    <w:rsid w:val="7E1A3D9B"/>
    <w:rsid w:val="7E3B1AEB"/>
    <w:rsid w:val="7E4B0D5E"/>
    <w:rsid w:val="7E6263E8"/>
    <w:rsid w:val="7E6677B3"/>
    <w:rsid w:val="7E772B2E"/>
    <w:rsid w:val="7E7B1797"/>
    <w:rsid w:val="7E7B84A4"/>
    <w:rsid w:val="7E7B8B12"/>
    <w:rsid w:val="7E7BA5EC"/>
    <w:rsid w:val="7E7D5821"/>
    <w:rsid w:val="7E7E2495"/>
    <w:rsid w:val="7E8E5576"/>
    <w:rsid w:val="7EAA7214"/>
    <w:rsid w:val="7EAB7AE1"/>
    <w:rsid w:val="7EAC1CDF"/>
    <w:rsid w:val="7EB2235D"/>
    <w:rsid w:val="7EB653F2"/>
    <w:rsid w:val="7EBA146F"/>
    <w:rsid w:val="7EBB5656"/>
    <w:rsid w:val="7EC456C3"/>
    <w:rsid w:val="7EC53AD7"/>
    <w:rsid w:val="7EC6FC93"/>
    <w:rsid w:val="7EC97A8E"/>
    <w:rsid w:val="7ECC4792"/>
    <w:rsid w:val="7ED555C4"/>
    <w:rsid w:val="7ED5F2E0"/>
    <w:rsid w:val="7ED72F57"/>
    <w:rsid w:val="7ED75414"/>
    <w:rsid w:val="7ED7DA25"/>
    <w:rsid w:val="7EE221F2"/>
    <w:rsid w:val="7EE7B913"/>
    <w:rsid w:val="7EEFEDA6"/>
    <w:rsid w:val="7EF35CD7"/>
    <w:rsid w:val="7EF4995D"/>
    <w:rsid w:val="7EF77301"/>
    <w:rsid w:val="7EFB57B2"/>
    <w:rsid w:val="7EFBB187"/>
    <w:rsid w:val="7EFBE59F"/>
    <w:rsid w:val="7EFCA155"/>
    <w:rsid w:val="7EFCF466"/>
    <w:rsid w:val="7EFEF020"/>
    <w:rsid w:val="7EFF652C"/>
    <w:rsid w:val="7F0FBDE7"/>
    <w:rsid w:val="7F0FFFC2"/>
    <w:rsid w:val="7F11659C"/>
    <w:rsid w:val="7F120685"/>
    <w:rsid w:val="7F26D848"/>
    <w:rsid w:val="7F2C4B6C"/>
    <w:rsid w:val="7F38D8D7"/>
    <w:rsid w:val="7F3F4DEE"/>
    <w:rsid w:val="7F4B57D1"/>
    <w:rsid w:val="7F57AFA5"/>
    <w:rsid w:val="7F5B8965"/>
    <w:rsid w:val="7F5EE0EF"/>
    <w:rsid w:val="7F5F13DB"/>
    <w:rsid w:val="7F5F281D"/>
    <w:rsid w:val="7F66BA45"/>
    <w:rsid w:val="7F721875"/>
    <w:rsid w:val="7F746AB4"/>
    <w:rsid w:val="7F7603C1"/>
    <w:rsid w:val="7F76CB13"/>
    <w:rsid w:val="7F774273"/>
    <w:rsid w:val="7F7788B6"/>
    <w:rsid w:val="7F78AEE9"/>
    <w:rsid w:val="7F7B5A89"/>
    <w:rsid w:val="7F7BAE0E"/>
    <w:rsid w:val="7F7BFBF2"/>
    <w:rsid w:val="7F7E28FE"/>
    <w:rsid w:val="7F7EB435"/>
    <w:rsid w:val="7F7EC311"/>
    <w:rsid w:val="7F7FDFC4"/>
    <w:rsid w:val="7F977DA2"/>
    <w:rsid w:val="7F9B5315"/>
    <w:rsid w:val="7F9B794A"/>
    <w:rsid w:val="7F9C77C2"/>
    <w:rsid w:val="7F9E30F6"/>
    <w:rsid w:val="7F9F1E4F"/>
    <w:rsid w:val="7F9F29F3"/>
    <w:rsid w:val="7F9F4DE3"/>
    <w:rsid w:val="7FA127F5"/>
    <w:rsid w:val="7FA8ADA4"/>
    <w:rsid w:val="7FAFAFEE"/>
    <w:rsid w:val="7FB3888A"/>
    <w:rsid w:val="7FB6A1F4"/>
    <w:rsid w:val="7FB72523"/>
    <w:rsid w:val="7FBB083A"/>
    <w:rsid w:val="7FBB5AF4"/>
    <w:rsid w:val="7FBD9A7A"/>
    <w:rsid w:val="7FBDC033"/>
    <w:rsid w:val="7FBEC254"/>
    <w:rsid w:val="7FC6CEB6"/>
    <w:rsid w:val="7FCD0F84"/>
    <w:rsid w:val="7FCF29D8"/>
    <w:rsid w:val="7FCFD44A"/>
    <w:rsid w:val="7FD51C15"/>
    <w:rsid w:val="7FD5ECCD"/>
    <w:rsid w:val="7FD6B5C2"/>
    <w:rsid w:val="7FD97A42"/>
    <w:rsid w:val="7FDAC82F"/>
    <w:rsid w:val="7FDB0E9D"/>
    <w:rsid w:val="7FDB443E"/>
    <w:rsid w:val="7FDBBDAC"/>
    <w:rsid w:val="7FDD1DFB"/>
    <w:rsid w:val="7FDE6583"/>
    <w:rsid w:val="7FDF0E0A"/>
    <w:rsid w:val="7FDF1AE2"/>
    <w:rsid w:val="7FDF41CF"/>
    <w:rsid w:val="7FEB6563"/>
    <w:rsid w:val="7FEDB094"/>
    <w:rsid w:val="7FEF64BD"/>
    <w:rsid w:val="7FF14BDB"/>
    <w:rsid w:val="7FF3DFBE"/>
    <w:rsid w:val="7FF4E2CD"/>
    <w:rsid w:val="7FF5BD90"/>
    <w:rsid w:val="7FF67A78"/>
    <w:rsid w:val="7FF68F52"/>
    <w:rsid w:val="7FF69E6C"/>
    <w:rsid w:val="7FF712DE"/>
    <w:rsid w:val="7FF7A6DA"/>
    <w:rsid w:val="7FF7C95E"/>
    <w:rsid w:val="7FF96AC7"/>
    <w:rsid w:val="7FFAC23D"/>
    <w:rsid w:val="7FFB29A7"/>
    <w:rsid w:val="7FFBE6C1"/>
    <w:rsid w:val="7FFBEE4E"/>
    <w:rsid w:val="7FFC2B0C"/>
    <w:rsid w:val="7FFCD905"/>
    <w:rsid w:val="7FFCEA7C"/>
    <w:rsid w:val="7FFD2963"/>
    <w:rsid w:val="7FFD67BB"/>
    <w:rsid w:val="7FFD69FE"/>
    <w:rsid w:val="7FFD883D"/>
    <w:rsid w:val="7FFD9CCB"/>
    <w:rsid w:val="7FFDE590"/>
    <w:rsid w:val="7FFE2126"/>
    <w:rsid w:val="7FFEB589"/>
    <w:rsid w:val="7FFF35D1"/>
    <w:rsid w:val="7FFF37A5"/>
    <w:rsid w:val="7FFF43A8"/>
    <w:rsid w:val="7FFF4455"/>
    <w:rsid w:val="7FFF5A09"/>
    <w:rsid w:val="7FFF8A3A"/>
    <w:rsid w:val="7FFF904F"/>
    <w:rsid w:val="7FFFA6A8"/>
    <w:rsid w:val="7FFFA993"/>
    <w:rsid w:val="7FFFB172"/>
    <w:rsid w:val="7FFFC4AF"/>
    <w:rsid w:val="7FFFC4F3"/>
    <w:rsid w:val="7FFFCDB9"/>
    <w:rsid w:val="7FFFED7A"/>
    <w:rsid w:val="7FFFF5F7"/>
    <w:rsid w:val="7FFFF84A"/>
    <w:rsid w:val="80FE6756"/>
    <w:rsid w:val="81E99A64"/>
    <w:rsid w:val="85EF706C"/>
    <w:rsid w:val="877F9719"/>
    <w:rsid w:val="87FA1D0D"/>
    <w:rsid w:val="8A732AC2"/>
    <w:rsid w:val="8B7E1E23"/>
    <w:rsid w:val="8E39BF4A"/>
    <w:rsid w:val="8EEF9DB2"/>
    <w:rsid w:val="8F27FD99"/>
    <w:rsid w:val="8F998845"/>
    <w:rsid w:val="8FBB17FE"/>
    <w:rsid w:val="8FBD8D8C"/>
    <w:rsid w:val="8FBF94B3"/>
    <w:rsid w:val="8FFBD8D9"/>
    <w:rsid w:val="8FFE571B"/>
    <w:rsid w:val="92D31B71"/>
    <w:rsid w:val="94E38488"/>
    <w:rsid w:val="951DA4E4"/>
    <w:rsid w:val="95FCB47D"/>
    <w:rsid w:val="96AFDFD7"/>
    <w:rsid w:val="9756CE55"/>
    <w:rsid w:val="97A9FD84"/>
    <w:rsid w:val="97DF935C"/>
    <w:rsid w:val="97F7BBBE"/>
    <w:rsid w:val="97FDF4D3"/>
    <w:rsid w:val="97FF0CF8"/>
    <w:rsid w:val="97FF934D"/>
    <w:rsid w:val="996F8A06"/>
    <w:rsid w:val="99CDBFA2"/>
    <w:rsid w:val="99DB682D"/>
    <w:rsid w:val="99FEA083"/>
    <w:rsid w:val="9BBEA841"/>
    <w:rsid w:val="9BCBE65B"/>
    <w:rsid w:val="9BCDE67A"/>
    <w:rsid w:val="9BFCB73E"/>
    <w:rsid w:val="9BFFA772"/>
    <w:rsid w:val="9BFFD027"/>
    <w:rsid w:val="9CFFDDF2"/>
    <w:rsid w:val="9D3EEF9F"/>
    <w:rsid w:val="9D6FB334"/>
    <w:rsid w:val="9D76A323"/>
    <w:rsid w:val="9DEF4092"/>
    <w:rsid w:val="9DEFE7C3"/>
    <w:rsid w:val="9E77AA94"/>
    <w:rsid w:val="9F5E4AAA"/>
    <w:rsid w:val="9F77A085"/>
    <w:rsid w:val="9F7E3327"/>
    <w:rsid w:val="9FCFFE9E"/>
    <w:rsid w:val="9FDF97B3"/>
    <w:rsid w:val="9FEDA6E8"/>
    <w:rsid w:val="9FFF6501"/>
    <w:rsid w:val="A1FB6E91"/>
    <w:rsid w:val="A3D69831"/>
    <w:rsid w:val="A3EB37A5"/>
    <w:rsid w:val="A3F7B010"/>
    <w:rsid w:val="A3FF78CD"/>
    <w:rsid w:val="A5DF17DA"/>
    <w:rsid w:val="A5FE22A3"/>
    <w:rsid w:val="A79653B9"/>
    <w:rsid w:val="A7DC2E49"/>
    <w:rsid w:val="A9FF312A"/>
    <w:rsid w:val="AB3E1DE5"/>
    <w:rsid w:val="AB8E855F"/>
    <w:rsid w:val="ABFA02D9"/>
    <w:rsid w:val="ABFF2190"/>
    <w:rsid w:val="AC7C3ED1"/>
    <w:rsid w:val="ACE50572"/>
    <w:rsid w:val="ACFF9EF7"/>
    <w:rsid w:val="ADDFEB4C"/>
    <w:rsid w:val="ADECB257"/>
    <w:rsid w:val="ADF56CA7"/>
    <w:rsid w:val="ADFF7936"/>
    <w:rsid w:val="AE7B4D6B"/>
    <w:rsid w:val="AEF1B815"/>
    <w:rsid w:val="AEF71F05"/>
    <w:rsid w:val="AF5DDEA7"/>
    <w:rsid w:val="AF61459B"/>
    <w:rsid w:val="AF6B1FF2"/>
    <w:rsid w:val="AFDB3ED0"/>
    <w:rsid w:val="AFDCF7DC"/>
    <w:rsid w:val="AFEF40EE"/>
    <w:rsid w:val="AFF6A76F"/>
    <w:rsid w:val="AFFB527C"/>
    <w:rsid w:val="AFFBD3AC"/>
    <w:rsid w:val="B0FFC67D"/>
    <w:rsid w:val="B17DBA2E"/>
    <w:rsid w:val="B17FB05B"/>
    <w:rsid w:val="B1AFCAAC"/>
    <w:rsid w:val="B1FE7BCD"/>
    <w:rsid w:val="B2FBF5FB"/>
    <w:rsid w:val="B35F8AB5"/>
    <w:rsid w:val="B3BF7191"/>
    <w:rsid w:val="B3BFDE78"/>
    <w:rsid w:val="B3F344B8"/>
    <w:rsid w:val="B3FB4923"/>
    <w:rsid w:val="B3FFB7A7"/>
    <w:rsid w:val="B51D7051"/>
    <w:rsid w:val="B5B6472B"/>
    <w:rsid w:val="B5D99F60"/>
    <w:rsid w:val="B5DB6E5F"/>
    <w:rsid w:val="B697E6E5"/>
    <w:rsid w:val="B6FDE027"/>
    <w:rsid w:val="B6FF1083"/>
    <w:rsid w:val="B74B24A8"/>
    <w:rsid w:val="B79F73B8"/>
    <w:rsid w:val="B7BFA00C"/>
    <w:rsid w:val="B7D5E062"/>
    <w:rsid w:val="B7ED43E4"/>
    <w:rsid w:val="B7FE44B9"/>
    <w:rsid w:val="B9BF4F7B"/>
    <w:rsid w:val="BAAAA83E"/>
    <w:rsid w:val="BAF46F98"/>
    <w:rsid w:val="BAFFB254"/>
    <w:rsid w:val="BB37C12F"/>
    <w:rsid w:val="BB6B9BBD"/>
    <w:rsid w:val="BB732D7E"/>
    <w:rsid w:val="BB7E263F"/>
    <w:rsid w:val="BB7E8926"/>
    <w:rsid w:val="BBA56217"/>
    <w:rsid w:val="BBB9513C"/>
    <w:rsid w:val="BBECE7A4"/>
    <w:rsid w:val="BBEF913B"/>
    <w:rsid w:val="BBEF9D90"/>
    <w:rsid w:val="BBF749C0"/>
    <w:rsid w:val="BBF78453"/>
    <w:rsid w:val="BBFED9CF"/>
    <w:rsid w:val="BBFFE284"/>
    <w:rsid w:val="BCBD2212"/>
    <w:rsid w:val="BCBE56AA"/>
    <w:rsid w:val="BCEFD62D"/>
    <w:rsid w:val="BCFFC431"/>
    <w:rsid w:val="BD3676E7"/>
    <w:rsid w:val="BD3B2ABB"/>
    <w:rsid w:val="BD3FD527"/>
    <w:rsid w:val="BD7FAA7C"/>
    <w:rsid w:val="BDBBA5FB"/>
    <w:rsid w:val="BDBD0FA5"/>
    <w:rsid w:val="BDD726AA"/>
    <w:rsid w:val="BDD9F3A1"/>
    <w:rsid w:val="BDEF5621"/>
    <w:rsid w:val="BDF75584"/>
    <w:rsid w:val="BDFB805A"/>
    <w:rsid w:val="BDFD255E"/>
    <w:rsid w:val="BDFF36A3"/>
    <w:rsid w:val="BDFF8F05"/>
    <w:rsid w:val="BDFFE0F1"/>
    <w:rsid w:val="BE6F9D6B"/>
    <w:rsid w:val="BE76EADC"/>
    <w:rsid w:val="BEBF3A83"/>
    <w:rsid w:val="BEBF49E9"/>
    <w:rsid w:val="BEDF6922"/>
    <w:rsid w:val="BEDFF701"/>
    <w:rsid w:val="BEE3D7B4"/>
    <w:rsid w:val="BEEF2FCE"/>
    <w:rsid w:val="BEF43162"/>
    <w:rsid w:val="BEF52FD3"/>
    <w:rsid w:val="BEFCA880"/>
    <w:rsid w:val="BEFD3370"/>
    <w:rsid w:val="BEFF046B"/>
    <w:rsid w:val="BEFF9972"/>
    <w:rsid w:val="BF3C8A99"/>
    <w:rsid w:val="BF5D7376"/>
    <w:rsid w:val="BF653F9F"/>
    <w:rsid w:val="BF732FAD"/>
    <w:rsid w:val="BF77CA35"/>
    <w:rsid w:val="BF7CC280"/>
    <w:rsid w:val="BF7EEBF8"/>
    <w:rsid w:val="BF7FFFD9"/>
    <w:rsid w:val="BF9F1169"/>
    <w:rsid w:val="BFAF529B"/>
    <w:rsid w:val="BFAFC361"/>
    <w:rsid w:val="BFBF574A"/>
    <w:rsid w:val="BFBF713B"/>
    <w:rsid w:val="BFBF7D2A"/>
    <w:rsid w:val="BFCEF3A7"/>
    <w:rsid w:val="BFD920BC"/>
    <w:rsid w:val="BFDB2889"/>
    <w:rsid w:val="BFDD8CD3"/>
    <w:rsid w:val="BFDDCDDB"/>
    <w:rsid w:val="BFDFDE6B"/>
    <w:rsid w:val="BFEF2BD7"/>
    <w:rsid w:val="BFEF92E4"/>
    <w:rsid w:val="BFEFDB0D"/>
    <w:rsid w:val="BFEFF6BB"/>
    <w:rsid w:val="BFF35BAA"/>
    <w:rsid w:val="BFF5C67A"/>
    <w:rsid w:val="BFF95C6B"/>
    <w:rsid w:val="BFFA7612"/>
    <w:rsid w:val="BFFD27FB"/>
    <w:rsid w:val="BFFF6FB4"/>
    <w:rsid w:val="BFFFBEF7"/>
    <w:rsid w:val="BFFFFBBD"/>
    <w:rsid w:val="C1A672CA"/>
    <w:rsid w:val="C1BFF749"/>
    <w:rsid w:val="C1FA8C10"/>
    <w:rsid w:val="C433A223"/>
    <w:rsid w:val="C6BF613B"/>
    <w:rsid w:val="C6FF1DA5"/>
    <w:rsid w:val="C79715D1"/>
    <w:rsid w:val="C79EBCDB"/>
    <w:rsid w:val="C7B3A3BA"/>
    <w:rsid w:val="C7EB4F79"/>
    <w:rsid w:val="C8793E31"/>
    <w:rsid w:val="C8BFB345"/>
    <w:rsid w:val="C8FE5B01"/>
    <w:rsid w:val="CBC3386B"/>
    <w:rsid w:val="CBDB5A75"/>
    <w:rsid w:val="CBE7D01F"/>
    <w:rsid w:val="CBEFFB03"/>
    <w:rsid w:val="CD9AF947"/>
    <w:rsid w:val="CDD5441B"/>
    <w:rsid w:val="CDF02EF1"/>
    <w:rsid w:val="CDFB7D32"/>
    <w:rsid w:val="CDFD8871"/>
    <w:rsid w:val="CEE71838"/>
    <w:rsid w:val="CEF009E1"/>
    <w:rsid w:val="CF33A7B7"/>
    <w:rsid w:val="CFBBF8DB"/>
    <w:rsid w:val="CFF7FB03"/>
    <w:rsid w:val="CFFB4424"/>
    <w:rsid w:val="CFFE5B17"/>
    <w:rsid w:val="CFFFF784"/>
    <w:rsid w:val="D1BDF90A"/>
    <w:rsid w:val="D23FCA0D"/>
    <w:rsid w:val="D33E5609"/>
    <w:rsid w:val="D3DF6391"/>
    <w:rsid w:val="D3FFB191"/>
    <w:rsid w:val="D59FFB8A"/>
    <w:rsid w:val="D66A1B58"/>
    <w:rsid w:val="D6DF1638"/>
    <w:rsid w:val="D6FE617F"/>
    <w:rsid w:val="D777BC6E"/>
    <w:rsid w:val="D7D8A0B8"/>
    <w:rsid w:val="D7DFEB3A"/>
    <w:rsid w:val="D7ED847E"/>
    <w:rsid w:val="D7F385E1"/>
    <w:rsid w:val="D7F8A0D5"/>
    <w:rsid w:val="D7FD0AA7"/>
    <w:rsid w:val="D7FE04F8"/>
    <w:rsid w:val="D7FF811C"/>
    <w:rsid w:val="D82E9659"/>
    <w:rsid w:val="D85379F4"/>
    <w:rsid w:val="D9B6E917"/>
    <w:rsid w:val="D9F5C801"/>
    <w:rsid w:val="D9F63676"/>
    <w:rsid w:val="DA126775"/>
    <w:rsid w:val="DA3BFAFE"/>
    <w:rsid w:val="DAEC5FDD"/>
    <w:rsid w:val="DAF75490"/>
    <w:rsid w:val="DB1F8EF8"/>
    <w:rsid w:val="DB75C815"/>
    <w:rsid w:val="DBD74A1D"/>
    <w:rsid w:val="DBDD58BD"/>
    <w:rsid w:val="DBE5A38C"/>
    <w:rsid w:val="DBEC67EE"/>
    <w:rsid w:val="DBFD1C87"/>
    <w:rsid w:val="DBFF1420"/>
    <w:rsid w:val="DBFF5D5B"/>
    <w:rsid w:val="DBFFFD76"/>
    <w:rsid w:val="DCEDF33B"/>
    <w:rsid w:val="DCFBEA89"/>
    <w:rsid w:val="DCFF177D"/>
    <w:rsid w:val="DCFF7765"/>
    <w:rsid w:val="DD6722AE"/>
    <w:rsid w:val="DD7FC043"/>
    <w:rsid w:val="DDB3790D"/>
    <w:rsid w:val="DDC6BBED"/>
    <w:rsid w:val="DDD32633"/>
    <w:rsid w:val="DDD5223D"/>
    <w:rsid w:val="DDE3C9D3"/>
    <w:rsid w:val="DDEC4450"/>
    <w:rsid w:val="DDF6F8C7"/>
    <w:rsid w:val="DDFBEADC"/>
    <w:rsid w:val="DDFD8807"/>
    <w:rsid w:val="DDFD908B"/>
    <w:rsid w:val="DDFF39A8"/>
    <w:rsid w:val="DE5F2FC0"/>
    <w:rsid w:val="DE6B4D12"/>
    <w:rsid w:val="DE77BE62"/>
    <w:rsid w:val="DEBF6DAB"/>
    <w:rsid w:val="DEBFAD8D"/>
    <w:rsid w:val="DED72FEB"/>
    <w:rsid w:val="DEE63DEE"/>
    <w:rsid w:val="DEEF0C01"/>
    <w:rsid w:val="DEF85157"/>
    <w:rsid w:val="DEF956C0"/>
    <w:rsid w:val="DEFBE1CD"/>
    <w:rsid w:val="DF2D4A93"/>
    <w:rsid w:val="DF3F8A28"/>
    <w:rsid w:val="DF7A3970"/>
    <w:rsid w:val="DF7E8BD4"/>
    <w:rsid w:val="DF7FBEE8"/>
    <w:rsid w:val="DF896821"/>
    <w:rsid w:val="DF93590D"/>
    <w:rsid w:val="DF95946D"/>
    <w:rsid w:val="DF99CAC4"/>
    <w:rsid w:val="DF9F6936"/>
    <w:rsid w:val="DFB3E606"/>
    <w:rsid w:val="DFB7695D"/>
    <w:rsid w:val="DFBC1F4A"/>
    <w:rsid w:val="DFBE055B"/>
    <w:rsid w:val="DFBF37B2"/>
    <w:rsid w:val="DFBF5CAF"/>
    <w:rsid w:val="DFCE0ABB"/>
    <w:rsid w:val="DFDB9493"/>
    <w:rsid w:val="DFDF0E77"/>
    <w:rsid w:val="DFE0D82B"/>
    <w:rsid w:val="DFE33EB9"/>
    <w:rsid w:val="DFEBBD05"/>
    <w:rsid w:val="DFED544B"/>
    <w:rsid w:val="DFEDD176"/>
    <w:rsid w:val="DFEE8FCE"/>
    <w:rsid w:val="DFEEEBFE"/>
    <w:rsid w:val="DFF5BE3C"/>
    <w:rsid w:val="DFFA371E"/>
    <w:rsid w:val="DFFB29C2"/>
    <w:rsid w:val="DFFB96D3"/>
    <w:rsid w:val="DFFD5E3B"/>
    <w:rsid w:val="DFFE1841"/>
    <w:rsid w:val="DFFE1A90"/>
    <w:rsid w:val="DFFEE567"/>
    <w:rsid w:val="DFFF8FB7"/>
    <w:rsid w:val="DFFFA0B1"/>
    <w:rsid w:val="E07FF42B"/>
    <w:rsid w:val="E1B93336"/>
    <w:rsid w:val="E1FF3057"/>
    <w:rsid w:val="E2DF3C90"/>
    <w:rsid w:val="E3C77F43"/>
    <w:rsid w:val="E3EE782F"/>
    <w:rsid w:val="E3FEF005"/>
    <w:rsid w:val="E3FFDE91"/>
    <w:rsid w:val="E5BFA93E"/>
    <w:rsid w:val="E5F53032"/>
    <w:rsid w:val="E5F7ADF2"/>
    <w:rsid w:val="E5FFE099"/>
    <w:rsid w:val="E6379582"/>
    <w:rsid w:val="E65B5E4B"/>
    <w:rsid w:val="E6B9A1A8"/>
    <w:rsid w:val="E6FBC6CB"/>
    <w:rsid w:val="E6FFC5C8"/>
    <w:rsid w:val="E767A5F6"/>
    <w:rsid w:val="E77EAD9B"/>
    <w:rsid w:val="E7AFA3D3"/>
    <w:rsid w:val="E7BE725B"/>
    <w:rsid w:val="E7D59240"/>
    <w:rsid w:val="E7DF453A"/>
    <w:rsid w:val="E7EFB28C"/>
    <w:rsid w:val="E7F7BA9D"/>
    <w:rsid w:val="E7F9B5E3"/>
    <w:rsid w:val="E7FD3486"/>
    <w:rsid w:val="E7FEB0F3"/>
    <w:rsid w:val="E7FEEBAC"/>
    <w:rsid w:val="E8AFD3E7"/>
    <w:rsid w:val="E9FF4BF8"/>
    <w:rsid w:val="EA1E2BA5"/>
    <w:rsid w:val="EA9B0F32"/>
    <w:rsid w:val="EAAF953D"/>
    <w:rsid w:val="EABCC8B1"/>
    <w:rsid w:val="EAF64ED0"/>
    <w:rsid w:val="EAFB0E8D"/>
    <w:rsid w:val="EAFB95A0"/>
    <w:rsid w:val="EAFF9E05"/>
    <w:rsid w:val="EAFFD5EA"/>
    <w:rsid w:val="EB7F7793"/>
    <w:rsid w:val="EB8F7728"/>
    <w:rsid w:val="EBA75D19"/>
    <w:rsid w:val="EBBB7DC0"/>
    <w:rsid w:val="EBD7563E"/>
    <w:rsid w:val="EBED57B5"/>
    <w:rsid w:val="EBFFF498"/>
    <w:rsid w:val="EC374BB2"/>
    <w:rsid w:val="EC7C597F"/>
    <w:rsid w:val="ECB95D4C"/>
    <w:rsid w:val="ECBCB7FC"/>
    <w:rsid w:val="ECE8C611"/>
    <w:rsid w:val="ECF75AFE"/>
    <w:rsid w:val="ECFFD873"/>
    <w:rsid w:val="ED6F6ADF"/>
    <w:rsid w:val="ED7FF2A0"/>
    <w:rsid w:val="EDAF827F"/>
    <w:rsid w:val="EDD43746"/>
    <w:rsid w:val="EDEF6145"/>
    <w:rsid w:val="EDEFCE6B"/>
    <w:rsid w:val="EDF97F0E"/>
    <w:rsid w:val="EDFD591A"/>
    <w:rsid w:val="EDFE6B5D"/>
    <w:rsid w:val="EE29C9CE"/>
    <w:rsid w:val="EE71080D"/>
    <w:rsid w:val="EED79C84"/>
    <w:rsid w:val="EEFB7D51"/>
    <w:rsid w:val="EEFE134A"/>
    <w:rsid w:val="EEFFBCD2"/>
    <w:rsid w:val="EF59A8A4"/>
    <w:rsid w:val="EF6F5FD6"/>
    <w:rsid w:val="EFBB87C8"/>
    <w:rsid w:val="EFBF1C91"/>
    <w:rsid w:val="EFCF1578"/>
    <w:rsid w:val="EFCFFC50"/>
    <w:rsid w:val="EFD764E9"/>
    <w:rsid w:val="EFDAB58E"/>
    <w:rsid w:val="EFDE3090"/>
    <w:rsid w:val="EFDFA368"/>
    <w:rsid w:val="EFDFD95E"/>
    <w:rsid w:val="EFED20A7"/>
    <w:rsid w:val="EFEEA49B"/>
    <w:rsid w:val="EFEF5757"/>
    <w:rsid w:val="EFEFB5A4"/>
    <w:rsid w:val="EFF184FD"/>
    <w:rsid w:val="EFFAF26A"/>
    <w:rsid w:val="EFFBC6D6"/>
    <w:rsid w:val="EFFBE5F0"/>
    <w:rsid w:val="EFFD19B4"/>
    <w:rsid w:val="EFFD1D48"/>
    <w:rsid w:val="EFFD2401"/>
    <w:rsid w:val="EFFF220A"/>
    <w:rsid w:val="EFFF5C53"/>
    <w:rsid w:val="EFFFAA85"/>
    <w:rsid w:val="EFFFD15E"/>
    <w:rsid w:val="F14D717C"/>
    <w:rsid w:val="F1EA90BE"/>
    <w:rsid w:val="F1EDB463"/>
    <w:rsid w:val="F1F5738B"/>
    <w:rsid w:val="F1FF31AA"/>
    <w:rsid w:val="F28F302E"/>
    <w:rsid w:val="F2DC01BF"/>
    <w:rsid w:val="F2EF72A7"/>
    <w:rsid w:val="F376026C"/>
    <w:rsid w:val="F37F9CCA"/>
    <w:rsid w:val="F3A2FF10"/>
    <w:rsid w:val="F3BC31D0"/>
    <w:rsid w:val="F3DE28D2"/>
    <w:rsid w:val="F3F78DAC"/>
    <w:rsid w:val="F3FAD48A"/>
    <w:rsid w:val="F3FBB806"/>
    <w:rsid w:val="F3FD4AB9"/>
    <w:rsid w:val="F3FF0C4D"/>
    <w:rsid w:val="F3FFBEFA"/>
    <w:rsid w:val="F4FE5B28"/>
    <w:rsid w:val="F55F49B6"/>
    <w:rsid w:val="F5751852"/>
    <w:rsid w:val="F5A6676E"/>
    <w:rsid w:val="F5D5BC3D"/>
    <w:rsid w:val="F5ED2886"/>
    <w:rsid w:val="F5EE2431"/>
    <w:rsid w:val="F5F6F4DF"/>
    <w:rsid w:val="F5FAAD9C"/>
    <w:rsid w:val="F5FF94D1"/>
    <w:rsid w:val="F5FFFE54"/>
    <w:rsid w:val="F6194624"/>
    <w:rsid w:val="F62FC7F7"/>
    <w:rsid w:val="F6774D38"/>
    <w:rsid w:val="F6BB8619"/>
    <w:rsid w:val="F6BE64B6"/>
    <w:rsid w:val="F6BFE98C"/>
    <w:rsid w:val="F6C7C4DD"/>
    <w:rsid w:val="F6F2A8E3"/>
    <w:rsid w:val="F6FA3847"/>
    <w:rsid w:val="F6FD17AD"/>
    <w:rsid w:val="F6FF9F02"/>
    <w:rsid w:val="F6FFF57A"/>
    <w:rsid w:val="F71AD9E8"/>
    <w:rsid w:val="F74569DE"/>
    <w:rsid w:val="F74D7250"/>
    <w:rsid w:val="F75FBD16"/>
    <w:rsid w:val="F75FD54E"/>
    <w:rsid w:val="F76D6286"/>
    <w:rsid w:val="F77271B7"/>
    <w:rsid w:val="F77AB7AD"/>
    <w:rsid w:val="F78CBD40"/>
    <w:rsid w:val="F78FC23C"/>
    <w:rsid w:val="F799D6FC"/>
    <w:rsid w:val="F79BFA18"/>
    <w:rsid w:val="F7B260F6"/>
    <w:rsid w:val="F7BC10FD"/>
    <w:rsid w:val="F7BF5223"/>
    <w:rsid w:val="F7BFE595"/>
    <w:rsid w:val="F7CF4D1A"/>
    <w:rsid w:val="F7CF6A2E"/>
    <w:rsid w:val="F7DB2A11"/>
    <w:rsid w:val="F7DD693B"/>
    <w:rsid w:val="F7DF175D"/>
    <w:rsid w:val="F7DF5558"/>
    <w:rsid w:val="F7ED193F"/>
    <w:rsid w:val="F7EE50FF"/>
    <w:rsid w:val="F7EE8A98"/>
    <w:rsid w:val="F7EF703C"/>
    <w:rsid w:val="F7EF9007"/>
    <w:rsid w:val="F7F4A25D"/>
    <w:rsid w:val="F7F66198"/>
    <w:rsid w:val="F7FA517D"/>
    <w:rsid w:val="F7FB4EB1"/>
    <w:rsid w:val="F7FBC866"/>
    <w:rsid w:val="F7FDD059"/>
    <w:rsid w:val="F7FEED55"/>
    <w:rsid w:val="F7FF6243"/>
    <w:rsid w:val="F7FF89A1"/>
    <w:rsid w:val="F7FF94AA"/>
    <w:rsid w:val="F7FFFE00"/>
    <w:rsid w:val="F87F05BC"/>
    <w:rsid w:val="F8CD435B"/>
    <w:rsid w:val="F95F1002"/>
    <w:rsid w:val="F96C59DD"/>
    <w:rsid w:val="F96EDD88"/>
    <w:rsid w:val="F9735F4D"/>
    <w:rsid w:val="F979C334"/>
    <w:rsid w:val="F97B31AF"/>
    <w:rsid w:val="F9AFEA7D"/>
    <w:rsid w:val="FA4BC904"/>
    <w:rsid w:val="FA7B03A2"/>
    <w:rsid w:val="FA9F34E5"/>
    <w:rsid w:val="FAB6C0F9"/>
    <w:rsid w:val="FAF128FC"/>
    <w:rsid w:val="FAFBFF41"/>
    <w:rsid w:val="FAFC7430"/>
    <w:rsid w:val="FAFD3FF8"/>
    <w:rsid w:val="FAFF0000"/>
    <w:rsid w:val="FAFFAAB1"/>
    <w:rsid w:val="FAFFD6D1"/>
    <w:rsid w:val="FB1F5165"/>
    <w:rsid w:val="FB57A0C7"/>
    <w:rsid w:val="FB6C6271"/>
    <w:rsid w:val="FB6EF9AA"/>
    <w:rsid w:val="FB6F611D"/>
    <w:rsid w:val="FB7B319E"/>
    <w:rsid w:val="FB7DFABF"/>
    <w:rsid w:val="FB7F14C5"/>
    <w:rsid w:val="FB7F9CEA"/>
    <w:rsid w:val="FB7FABA5"/>
    <w:rsid w:val="FBA72207"/>
    <w:rsid w:val="FBA9C754"/>
    <w:rsid w:val="FBBB1336"/>
    <w:rsid w:val="FBBCE367"/>
    <w:rsid w:val="FBCA13B0"/>
    <w:rsid w:val="FBDB687C"/>
    <w:rsid w:val="FBDC5200"/>
    <w:rsid w:val="FBDE56F0"/>
    <w:rsid w:val="FBE66CF6"/>
    <w:rsid w:val="FBEA4A03"/>
    <w:rsid w:val="FBEB0E7C"/>
    <w:rsid w:val="FBEDF130"/>
    <w:rsid w:val="FBEFFEBC"/>
    <w:rsid w:val="FBF3B3FD"/>
    <w:rsid w:val="FBF3FD9E"/>
    <w:rsid w:val="FBF6B456"/>
    <w:rsid w:val="FBF78212"/>
    <w:rsid w:val="FBFBB5D8"/>
    <w:rsid w:val="FBFBB888"/>
    <w:rsid w:val="FBFCC32E"/>
    <w:rsid w:val="FBFDFF38"/>
    <w:rsid w:val="FBFF23AD"/>
    <w:rsid w:val="FBFF3938"/>
    <w:rsid w:val="FC173DF3"/>
    <w:rsid w:val="FC5EE709"/>
    <w:rsid w:val="FC8E71B8"/>
    <w:rsid w:val="FC9B6350"/>
    <w:rsid w:val="FCBE0D93"/>
    <w:rsid w:val="FCCBC1C3"/>
    <w:rsid w:val="FCDDBB2F"/>
    <w:rsid w:val="FCDF9D8B"/>
    <w:rsid w:val="FCE7A6AF"/>
    <w:rsid w:val="FCF0C958"/>
    <w:rsid w:val="FCF21E60"/>
    <w:rsid w:val="FCFB95F5"/>
    <w:rsid w:val="FCFF0CF3"/>
    <w:rsid w:val="FCFFB97E"/>
    <w:rsid w:val="FD3591A7"/>
    <w:rsid w:val="FD3F01E8"/>
    <w:rsid w:val="FD475CAD"/>
    <w:rsid w:val="FD67093B"/>
    <w:rsid w:val="FD763CC3"/>
    <w:rsid w:val="FD770FBF"/>
    <w:rsid w:val="FD7B86B5"/>
    <w:rsid w:val="FD7F06B9"/>
    <w:rsid w:val="FD7F093A"/>
    <w:rsid w:val="FD7F4114"/>
    <w:rsid w:val="FD7F9E75"/>
    <w:rsid w:val="FD7FB78A"/>
    <w:rsid w:val="FD9FE385"/>
    <w:rsid w:val="FDB0EAFF"/>
    <w:rsid w:val="FDB8705D"/>
    <w:rsid w:val="FDBFE2AA"/>
    <w:rsid w:val="FDCBD96D"/>
    <w:rsid w:val="FDCFBEDE"/>
    <w:rsid w:val="FDD894DA"/>
    <w:rsid w:val="FDDA36AC"/>
    <w:rsid w:val="FDDAFD1E"/>
    <w:rsid w:val="FDDE9CF6"/>
    <w:rsid w:val="FDDF3877"/>
    <w:rsid w:val="FDE7C753"/>
    <w:rsid w:val="FDEE3F90"/>
    <w:rsid w:val="FDEFD985"/>
    <w:rsid w:val="FDF1BCE1"/>
    <w:rsid w:val="FDF34C76"/>
    <w:rsid w:val="FDF3C3DD"/>
    <w:rsid w:val="FDF62F07"/>
    <w:rsid w:val="FDF656CD"/>
    <w:rsid w:val="FDF6DFF0"/>
    <w:rsid w:val="FDF7D5DB"/>
    <w:rsid w:val="FDFA1B85"/>
    <w:rsid w:val="FDFB709E"/>
    <w:rsid w:val="FDFE9E52"/>
    <w:rsid w:val="FDFF2419"/>
    <w:rsid w:val="FDFFDDE1"/>
    <w:rsid w:val="FE2E5FF5"/>
    <w:rsid w:val="FE381FF5"/>
    <w:rsid w:val="FE3B9475"/>
    <w:rsid w:val="FE4D53FA"/>
    <w:rsid w:val="FE4F7D31"/>
    <w:rsid w:val="FE7BDE8C"/>
    <w:rsid w:val="FE7EE6C6"/>
    <w:rsid w:val="FE7F4FCC"/>
    <w:rsid w:val="FE813681"/>
    <w:rsid w:val="FE85F670"/>
    <w:rsid w:val="FEAB375F"/>
    <w:rsid w:val="FEAD1C85"/>
    <w:rsid w:val="FEB5EDFE"/>
    <w:rsid w:val="FEBDCA88"/>
    <w:rsid w:val="FEBDEE10"/>
    <w:rsid w:val="FEBDF8C7"/>
    <w:rsid w:val="FEBE5739"/>
    <w:rsid w:val="FEBF1742"/>
    <w:rsid w:val="FEBFA5D9"/>
    <w:rsid w:val="FEDA59A3"/>
    <w:rsid w:val="FEDF7BDD"/>
    <w:rsid w:val="FEE725C2"/>
    <w:rsid w:val="FEEF875E"/>
    <w:rsid w:val="FEFA4AAB"/>
    <w:rsid w:val="FEFC0A50"/>
    <w:rsid w:val="FEFC4BF3"/>
    <w:rsid w:val="FEFD2716"/>
    <w:rsid w:val="FEFDF2FC"/>
    <w:rsid w:val="FEFE778E"/>
    <w:rsid w:val="FEFEB36D"/>
    <w:rsid w:val="FEFF8B5E"/>
    <w:rsid w:val="FEFFBBB4"/>
    <w:rsid w:val="FEFFEBEF"/>
    <w:rsid w:val="FF1E19E9"/>
    <w:rsid w:val="FF5B1324"/>
    <w:rsid w:val="FF5DB6F7"/>
    <w:rsid w:val="FF5F5C8E"/>
    <w:rsid w:val="FF632CA5"/>
    <w:rsid w:val="FF739A9F"/>
    <w:rsid w:val="FF73BE1B"/>
    <w:rsid w:val="FF77AC73"/>
    <w:rsid w:val="FF79908B"/>
    <w:rsid w:val="FF7BC4FE"/>
    <w:rsid w:val="FF7C5B1D"/>
    <w:rsid w:val="FF7EEEFD"/>
    <w:rsid w:val="FF7F3CCD"/>
    <w:rsid w:val="FF7F4D7E"/>
    <w:rsid w:val="FF7F53BD"/>
    <w:rsid w:val="FF8E0815"/>
    <w:rsid w:val="FF8F0874"/>
    <w:rsid w:val="FF99D463"/>
    <w:rsid w:val="FF9B5BD4"/>
    <w:rsid w:val="FF9B780E"/>
    <w:rsid w:val="FF9C2C27"/>
    <w:rsid w:val="FF9FDFC0"/>
    <w:rsid w:val="FFB3A6AA"/>
    <w:rsid w:val="FFBB494F"/>
    <w:rsid w:val="FFBBBA4D"/>
    <w:rsid w:val="FFBD3D6F"/>
    <w:rsid w:val="FFBF0476"/>
    <w:rsid w:val="FFBFCFDA"/>
    <w:rsid w:val="FFCD1B41"/>
    <w:rsid w:val="FFD31B97"/>
    <w:rsid w:val="FFD334D0"/>
    <w:rsid w:val="FFD7F73D"/>
    <w:rsid w:val="FFD8CE07"/>
    <w:rsid w:val="FFD9130D"/>
    <w:rsid w:val="FFDBE457"/>
    <w:rsid w:val="FFDE4BA4"/>
    <w:rsid w:val="FFDF0501"/>
    <w:rsid w:val="FFDF324B"/>
    <w:rsid w:val="FFDF9222"/>
    <w:rsid w:val="FFDF952F"/>
    <w:rsid w:val="FFDFE3EA"/>
    <w:rsid w:val="FFE75ED4"/>
    <w:rsid w:val="FFE93CCC"/>
    <w:rsid w:val="FFE9D826"/>
    <w:rsid w:val="FFEB6C1C"/>
    <w:rsid w:val="FFEBC0A1"/>
    <w:rsid w:val="FFEBF2EE"/>
    <w:rsid w:val="FFED53A5"/>
    <w:rsid w:val="FFEE99E1"/>
    <w:rsid w:val="FFEEB3B7"/>
    <w:rsid w:val="FFEEE57D"/>
    <w:rsid w:val="FFEF2298"/>
    <w:rsid w:val="FFF2D98A"/>
    <w:rsid w:val="FFF44DAF"/>
    <w:rsid w:val="FFF46468"/>
    <w:rsid w:val="FFF59644"/>
    <w:rsid w:val="FFF5B476"/>
    <w:rsid w:val="FFF753EE"/>
    <w:rsid w:val="FFF7F45D"/>
    <w:rsid w:val="FFF8843D"/>
    <w:rsid w:val="FFF8C6A6"/>
    <w:rsid w:val="FFFAF684"/>
    <w:rsid w:val="FFFB4FA7"/>
    <w:rsid w:val="FFFB88A1"/>
    <w:rsid w:val="FFFBD437"/>
    <w:rsid w:val="FFFBD808"/>
    <w:rsid w:val="FFFBDB46"/>
    <w:rsid w:val="FFFC23B4"/>
    <w:rsid w:val="FFFDD5E6"/>
    <w:rsid w:val="FFFE0762"/>
    <w:rsid w:val="FFFE8427"/>
    <w:rsid w:val="FFFF1100"/>
    <w:rsid w:val="FFFF51EA"/>
    <w:rsid w:val="FFFF7AA2"/>
    <w:rsid w:val="FFFF9A9B"/>
    <w:rsid w:val="FFFFA8BB"/>
    <w:rsid w:val="FFFFC69C"/>
    <w:rsid w:val="FFFFDD33"/>
    <w:rsid w:val="FFFFDE6F"/>
    <w:rsid w:val="FFFFEB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240" w:lineRule="auto"/>
      <w:outlineLvl w:val="1"/>
    </w:pPr>
    <w:rPr>
      <w:rFonts w:ascii="Arial" w:hAnsi="Arial" w:eastAsia="宋体"/>
      <w:b/>
      <w:bCs/>
      <w:sz w:val="24"/>
      <w:szCs w:val="32"/>
    </w:rPr>
  </w:style>
  <w:style w:type="paragraph" w:styleId="5">
    <w:name w:val="heading 3"/>
    <w:basedOn w:val="1"/>
    <w:next w:val="1"/>
    <w:link w:val="38"/>
    <w:qFormat/>
    <w:uiPriority w:val="0"/>
    <w:pPr>
      <w:keepNext/>
      <w:keepLines/>
      <w:spacing w:line="360" w:lineRule="auto"/>
      <w:outlineLvl w:val="2"/>
    </w:pPr>
    <w:rPr>
      <w:rFonts w:ascii="Times New Roman" w:hAnsi="Times New Roman" w:eastAsia="宋体"/>
      <w:b/>
      <w:bCs/>
      <w:sz w:val="24"/>
      <w:szCs w:val="32"/>
    </w:rPr>
  </w:style>
  <w:style w:type="paragraph" w:styleId="6">
    <w:name w:val="heading 4"/>
    <w:basedOn w:val="1"/>
    <w:next w:val="1"/>
    <w:link w:val="35"/>
    <w:qFormat/>
    <w:uiPriority w:val="0"/>
    <w:pPr>
      <w:keepNext/>
      <w:keepLines/>
      <w:spacing w:line="360" w:lineRule="auto"/>
      <w:outlineLvl w:val="3"/>
    </w:pPr>
    <w:rPr>
      <w:rFonts w:ascii="Arial" w:hAnsi="Arial"/>
      <w:b/>
      <w:bCs/>
      <w:szCs w:val="28"/>
    </w:rPr>
  </w:style>
  <w:style w:type="character" w:default="1" w:styleId="28">
    <w:name w:val="Default Paragraph Font"/>
    <w:link w:val="29"/>
    <w:semiHidden/>
    <w:qFormat/>
    <w:uiPriority w:val="0"/>
    <w:rPr>
      <w:rFonts w:ascii="Verdana" w:hAnsi="Verdana"/>
      <w:kern w:val="0"/>
      <w:szCs w:val="20"/>
      <w:lang w:eastAsia="en-US"/>
    </w:rPr>
  </w:style>
  <w:style w:type="table" w:default="1" w:styleId="26">
    <w:name w:val="Normal Table"/>
    <w:semiHidden/>
    <w:qFormat/>
    <w:uiPriority w:val="0"/>
    <w:tblPr>
      <w:tblCellMar>
        <w:top w:w="0" w:type="dxa"/>
        <w:left w:w="108" w:type="dxa"/>
        <w:bottom w:w="0" w:type="dxa"/>
        <w:right w:w="108" w:type="dxa"/>
      </w:tblCellMar>
    </w:tblPr>
  </w:style>
  <w:style w:type="paragraph" w:styleId="2">
    <w:name w:val="Normal Indent"/>
    <w:basedOn w:val="1"/>
    <w:link w:val="39"/>
    <w:qFormat/>
    <w:uiPriority w:val="0"/>
    <w:pPr>
      <w:ind w:firstLine="420" w:firstLineChars="200"/>
    </w:pPr>
  </w:style>
  <w:style w:type="paragraph" w:styleId="7">
    <w:name w:val="Document Map"/>
    <w:basedOn w:val="1"/>
    <w:qFormat/>
    <w:uiPriority w:val="0"/>
    <w:rPr>
      <w:rFonts w:ascii="宋体"/>
      <w:sz w:val="18"/>
      <w:szCs w:val="18"/>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9">
    <w:name w:val="annotation text"/>
    <w:basedOn w:val="1"/>
    <w:link w:val="40"/>
    <w:qFormat/>
    <w:uiPriority w:val="0"/>
    <w:pPr>
      <w:jc w:val="left"/>
    </w:pPr>
  </w:style>
  <w:style w:type="paragraph" w:styleId="10">
    <w:name w:val="Body Text"/>
    <w:basedOn w:val="1"/>
    <w:next w:val="11"/>
    <w:link w:val="41"/>
    <w:qFormat/>
    <w:uiPriority w:val="0"/>
    <w:pPr>
      <w:spacing w:after="120"/>
    </w:pPr>
  </w:style>
  <w:style w:type="paragraph" w:styleId="11">
    <w:name w:val="toc 5"/>
    <w:basedOn w:val="1"/>
    <w:next w:val="1"/>
    <w:qFormat/>
    <w:uiPriority w:val="0"/>
    <w:pPr>
      <w:ind w:left="1680" w:leftChars="800"/>
    </w:pPr>
    <w:rPr>
      <w:szCs w:val="24"/>
    </w:rPr>
  </w:style>
  <w:style w:type="paragraph" w:styleId="12">
    <w:name w:val="Body Text Indent"/>
    <w:basedOn w:val="1"/>
    <w:link w:val="42"/>
    <w:qFormat/>
    <w:uiPriority w:val="0"/>
    <w:pPr>
      <w:spacing w:line="500" w:lineRule="exact"/>
      <w:ind w:left="600" w:hanging="600" w:hangingChars="200"/>
      <w:outlineLvl w:val="1"/>
    </w:pPr>
    <w:rPr>
      <w:sz w:val="30"/>
    </w:rPr>
  </w:style>
  <w:style w:type="paragraph" w:styleId="13">
    <w:name w:val="toc 3"/>
    <w:basedOn w:val="1"/>
    <w:next w:val="1"/>
    <w:qFormat/>
    <w:uiPriority w:val="39"/>
    <w:pPr>
      <w:ind w:left="840" w:leftChars="400"/>
    </w:pPr>
  </w:style>
  <w:style w:type="paragraph" w:styleId="14">
    <w:name w:val="Plain Text"/>
    <w:basedOn w:val="1"/>
    <w:next w:val="6"/>
    <w:link w:val="43"/>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ind w:firstLine="560" w:firstLineChars="200"/>
    </w:pPr>
    <w:rPr>
      <w:sz w:val="28"/>
      <w:szCs w:val="28"/>
    </w:rPr>
  </w:style>
  <w:style w:type="paragraph" w:styleId="17">
    <w:name w:val="Balloon Text"/>
    <w:basedOn w:val="1"/>
    <w:link w:val="44"/>
    <w:qFormat/>
    <w:uiPriority w:val="0"/>
    <w:rPr>
      <w:sz w:val="18"/>
      <w:szCs w:val="18"/>
    </w:rPr>
  </w:style>
  <w:style w:type="paragraph" w:styleId="18">
    <w:name w:val="footer"/>
    <w:basedOn w:val="1"/>
    <w:link w:val="45"/>
    <w:qFormat/>
    <w:uiPriority w:val="0"/>
    <w:pPr>
      <w:tabs>
        <w:tab w:val="center" w:pos="4153"/>
        <w:tab w:val="right" w:pos="8306"/>
      </w:tabs>
      <w:snapToGrid w:val="0"/>
      <w:jc w:val="left"/>
    </w:pPr>
    <w:rPr>
      <w:sz w:val="18"/>
      <w:szCs w:val="18"/>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0"/>
    <w:pPr>
      <w:ind w:left="420" w:leftChars="200"/>
    </w:pPr>
  </w:style>
  <w:style w:type="paragraph" w:styleId="22">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styleId="24">
    <w:name w:val="annotation subject"/>
    <w:basedOn w:val="9"/>
    <w:next w:val="9"/>
    <w:link w:val="48"/>
    <w:qFormat/>
    <w:uiPriority w:val="0"/>
    <w:rPr>
      <w:b/>
      <w:bCs/>
    </w:rPr>
  </w:style>
  <w:style w:type="paragraph" w:styleId="25">
    <w:name w:val="Body Text First Indent"/>
    <w:basedOn w:val="10"/>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Char Char Char1 Char Char"/>
    <w:basedOn w:val="1"/>
    <w:link w:val="28"/>
    <w:qFormat/>
    <w:uiPriority w:val="0"/>
    <w:pPr>
      <w:widowControl/>
      <w:spacing w:after="160" w:line="240" w:lineRule="exact"/>
      <w:jc w:val="left"/>
    </w:pPr>
    <w:rPr>
      <w:rFonts w:ascii="Verdana" w:hAnsi="Verdana"/>
      <w:kern w:val="0"/>
      <w:szCs w:val="20"/>
      <w:lang w:eastAsia="en-US"/>
    </w:rPr>
  </w:style>
  <w:style w:type="character" w:styleId="30">
    <w:name w:val="Strong"/>
    <w:basedOn w:val="28"/>
    <w:qFormat/>
    <w:uiPriority w:val="22"/>
    <w:rPr>
      <w:b/>
      <w:bCs/>
    </w:rPr>
  </w:style>
  <w:style w:type="character" w:styleId="31">
    <w:name w:val="page number"/>
    <w:qFormat/>
    <w:uiPriority w:val="0"/>
    <w:rPr>
      <w:rFonts w:ascii="Verdana" w:hAnsi="Verdana" w:cs="Times New Roman"/>
      <w:kern w:val="0"/>
      <w:szCs w:val="20"/>
      <w:lang w:eastAsia="en-US"/>
    </w:rPr>
  </w:style>
  <w:style w:type="character" w:styleId="32">
    <w:name w:val="FollowedHyperlink"/>
    <w:qFormat/>
    <w:uiPriority w:val="0"/>
    <w:rPr>
      <w:rFonts w:ascii="Verdana" w:hAnsi="Verdana"/>
      <w:color w:val="800080"/>
      <w:kern w:val="0"/>
      <w:szCs w:val="20"/>
      <w:u w:val="none"/>
      <w:lang w:eastAsia="en-US"/>
    </w:rPr>
  </w:style>
  <w:style w:type="character" w:styleId="33">
    <w:name w:val="Hyperlink"/>
    <w:qFormat/>
    <w:uiPriority w:val="99"/>
    <w:rPr>
      <w:rFonts w:cs="Times New Roman"/>
      <w:color w:val="0000FF"/>
      <w:u w:val="single"/>
    </w:rPr>
  </w:style>
  <w:style w:type="character" w:styleId="34">
    <w:name w:val="annotation reference"/>
    <w:qFormat/>
    <w:uiPriority w:val="0"/>
    <w:rPr>
      <w:rFonts w:cs="Times New Roman"/>
      <w:sz w:val="21"/>
      <w:szCs w:val="21"/>
    </w:rPr>
  </w:style>
  <w:style w:type="character" w:customStyle="1" w:styleId="35">
    <w:name w:val="标题 4 Char"/>
    <w:link w:val="6"/>
    <w:qFormat/>
    <w:uiPriority w:val="0"/>
    <w:rPr>
      <w:rFonts w:ascii="Arial" w:hAnsi="Arial"/>
      <w:b/>
      <w:bCs/>
      <w:kern w:val="2"/>
      <w:sz w:val="21"/>
      <w:szCs w:val="28"/>
    </w:rPr>
  </w:style>
  <w:style w:type="character" w:customStyle="1" w:styleId="36">
    <w:name w:val="标题 1 Char"/>
    <w:link w:val="3"/>
    <w:qFormat/>
    <w:uiPriority w:val="0"/>
    <w:rPr>
      <w:b/>
      <w:bCs/>
      <w:kern w:val="44"/>
      <w:sz w:val="44"/>
      <w:szCs w:val="44"/>
    </w:rPr>
  </w:style>
  <w:style w:type="character" w:customStyle="1" w:styleId="37">
    <w:name w:val="标题 2 Char"/>
    <w:link w:val="4"/>
    <w:qFormat/>
    <w:uiPriority w:val="0"/>
    <w:rPr>
      <w:rFonts w:ascii="Arial" w:hAnsi="Arial" w:eastAsia="宋体"/>
      <w:b/>
      <w:bCs/>
      <w:sz w:val="24"/>
      <w:szCs w:val="32"/>
    </w:rPr>
  </w:style>
  <w:style w:type="character" w:customStyle="1" w:styleId="38">
    <w:name w:val="标题 3 Char"/>
    <w:link w:val="5"/>
    <w:qFormat/>
    <w:locked/>
    <w:uiPriority w:val="0"/>
    <w:rPr>
      <w:rFonts w:ascii="Times New Roman" w:hAnsi="Times New Roman" w:eastAsia="宋体"/>
      <w:b/>
      <w:bCs/>
      <w:kern w:val="2"/>
      <w:sz w:val="24"/>
      <w:szCs w:val="32"/>
      <w:lang w:val="en-US" w:eastAsia="zh-CN" w:bidi="ar-SA"/>
    </w:rPr>
  </w:style>
  <w:style w:type="character" w:customStyle="1" w:styleId="39">
    <w:name w:val="正文缩进 Char"/>
    <w:link w:val="2"/>
    <w:qFormat/>
    <w:locked/>
    <w:uiPriority w:val="0"/>
    <w:rPr>
      <w:rFonts w:eastAsia="宋体"/>
      <w:kern w:val="2"/>
      <w:sz w:val="21"/>
      <w:szCs w:val="24"/>
      <w:lang w:val="en-US" w:eastAsia="zh-CN" w:bidi="ar-SA"/>
    </w:rPr>
  </w:style>
  <w:style w:type="character" w:customStyle="1" w:styleId="40">
    <w:name w:val="批注文字 Char"/>
    <w:link w:val="9"/>
    <w:qFormat/>
    <w:locked/>
    <w:uiPriority w:val="0"/>
    <w:rPr>
      <w:rFonts w:eastAsia="宋体"/>
      <w:kern w:val="2"/>
      <w:sz w:val="21"/>
      <w:szCs w:val="24"/>
      <w:lang w:val="en-US" w:eastAsia="zh-CN" w:bidi="ar-SA"/>
    </w:rPr>
  </w:style>
  <w:style w:type="character" w:customStyle="1" w:styleId="41">
    <w:name w:val="正文文本 Char"/>
    <w:link w:val="10"/>
    <w:qFormat/>
    <w:uiPriority w:val="0"/>
    <w:rPr>
      <w:kern w:val="2"/>
      <w:sz w:val="21"/>
      <w:szCs w:val="24"/>
    </w:rPr>
  </w:style>
  <w:style w:type="character" w:customStyle="1" w:styleId="42">
    <w:name w:val="正文文本缩进 Char"/>
    <w:link w:val="12"/>
    <w:qFormat/>
    <w:uiPriority w:val="0"/>
    <w:rPr>
      <w:kern w:val="2"/>
      <w:sz w:val="30"/>
      <w:szCs w:val="24"/>
    </w:rPr>
  </w:style>
  <w:style w:type="character" w:customStyle="1" w:styleId="43">
    <w:name w:val="纯文本 Char"/>
    <w:link w:val="14"/>
    <w:qFormat/>
    <w:uiPriority w:val="0"/>
    <w:rPr>
      <w:rFonts w:ascii="宋体" w:hAnsi="Courier New" w:cs="Courier New"/>
      <w:kern w:val="2"/>
      <w:sz w:val="21"/>
      <w:szCs w:val="21"/>
    </w:rPr>
  </w:style>
  <w:style w:type="character" w:customStyle="1" w:styleId="44">
    <w:name w:val="批注框文本 Char"/>
    <w:link w:val="17"/>
    <w:qFormat/>
    <w:locked/>
    <w:uiPriority w:val="0"/>
    <w:rPr>
      <w:rFonts w:eastAsia="宋体"/>
      <w:kern w:val="2"/>
      <w:sz w:val="18"/>
      <w:szCs w:val="18"/>
      <w:lang w:val="en-US" w:eastAsia="zh-CN" w:bidi="ar-SA"/>
    </w:rPr>
  </w:style>
  <w:style w:type="character" w:customStyle="1" w:styleId="45">
    <w:name w:val="页脚 Char"/>
    <w:link w:val="18"/>
    <w:qFormat/>
    <w:locked/>
    <w:uiPriority w:val="0"/>
    <w:rPr>
      <w:rFonts w:eastAsia="宋体"/>
      <w:kern w:val="2"/>
      <w:sz w:val="18"/>
      <w:szCs w:val="18"/>
      <w:lang w:val="en-US" w:eastAsia="zh-CN" w:bidi="ar-SA"/>
    </w:rPr>
  </w:style>
  <w:style w:type="character" w:customStyle="1" w:styleId="46">
    <w:name w:val="页眉 Char"/>
    <w:link w:val="19"/>
    <w:qFormat/>
    <w:locked/>
    <w:uiPriority w:val="99"/>
    <w:rPr>
      <w:rFonts w:eastAsia="宋体"/>
      <w:kern w:val="2"/>
      <w:sz w:val="18"/>
      <w:szCs w:val="18"/>
      <w:lang w:val="en-US" w:eastAsia="zh-CN" w:bidi="ar-SA"/>
    </w:rPr>
  </w:style>
  <w:style w:type="character" w:customStyle="1" w:styleId="47">
    <w:name w:val="HTML 预设格式 Char"/>
    <w:link w:val="22"/>
    <w:qFormat/>
    <w:uiPriority w:val="0"/>
    <w:rPr>
      <w:rFonts w:ascii="Arial" w:hAnsi="Arial" w:cs="Arial"/>
      <w:sz w:val="24"/>
      <w:szCs w:val="24"/>
    </w:rPr>
  </w:style>
  <w:style w:type="character" w:customStyle="1" w:styleId="48">
    <w:name w:val="批注主题 Char"/>
    <w:link w:val="24"/>
    <w:qFormat/>
    <w:locked/>
    <w:uiPriority w:val="0"/>
    <w:rPr>
      <w:rFonts w:eastAsia="宋体"/>
      <w:b/>
      <w:bCs/>
      <w:kern w:val="2"/>
      <w:sz w:val="21"/>
      <w:szCs w:val="24"/>
      <w:lang w:val="en-US" w:eastAsia="zh-CN" w:bidi="ar-SA"/>
    </w:rPr>
  </w:style>
  <w:style w:type="character" w:customStyle="1" w:styleId="49">
    <w:name w:val="页码1"/>
    <w:qFormat/>
    <w:uiPriority w:val="0"/>
    <w:rPr>
      <w:rFonts w:cs="Times New Roman"/>
    </w:rPr>
  </w:style>
  <w:style w:type="character" w:customStyle="1" w:styleId="50">
    <w:name w:val="hotbutton2"/>
    <w:qFormat/>
    <w:uiPriority w:val="0"/>
    <w:rPr>
      <w:lang w:eastAsia="en-US"/>
    </w:rPr>
  </w:style>
  <w:style w:type="character" w:customStyle="1" w:styleId="51">
    <w:name w:val="表格文字 Char"/>
    <w:link w:val="52"/>
    <w:qFormat/>
    <w:uiPriority w:val="0"/>
    <w:rPr>
      <w:rFonts w:ascii="宋体" w:hAnsi="宋体"/>
      <w:kern w:val="2"/>
      <w:sz w:val="21"/>
      <w:szCs w:val="21"/>
    </w:rPr>
  </w:style>
  <w:style w:type="paragraph" w:customStyle="1" w:styleId="52">
    <w:name w:val="表格文字"/>
    <w:basedOn w:val="1"/>
    <w:link w:val="51"/>
    <w:qFormat/>
    <w:uiPriority w:val="0"/>
    <w:pPr>
      <w:snapToGrid w:val="0"/>
      <w:spacing w:line="360" w:lineRule="auto"/>
      <w:ind w:right="-34" w:rightChars="-12"/>
      <w:jc w:val="center"/>
    </w:pPr>
    <w:rPr>
      <w:rFonts w:ascii="宋体" w:hAnsi="宋体"/>
      <w:szCs w:val="21"/>
    </w:rPr>
  </w:style>
  <w:style w:type="character" w:customStyle="1" w:styleId="53">
    <w:name w:val="Char Char"/>
    <w:qFormat/>
    <w:uiPriority w:val="0"/>
    <w:rPr>
      <w:rFonts w:ascii="宋体" w:cs="Times New Roman"/>
      <w:kern w:val="2"/>
      <w:sz w:val="18"/>
      <w:szCs w:val="18"/>
    </w:rPr>
  </w:style>
  <w:style w:type="character" w:customStyle="1" w:styleId="54">
    <w:name w:val="Char Char10"/>
    <w:qFormat/>
    <w:uiPriority w:val="0"/>
    <w:rPr>
      <w:rFonts w:ascii="宋体" w:hAnsi="Courier New" w:eastAsia="宋体" w:cs="Times New Roman"/>
      <w:kern w:val="2"/>
      <w:sz w:val="24"/>
      <w:szCs w:val="24"/>
      <w:lang w:val="en-US" w:eastAsia="zh-CN" w:bidi="ar-SA"/>
    </w:rPr>
  </w:style>
  <w:style w:type="character" w:customStyle="1" w:styleId="55">
    <w:name w:val="coolbutton"/>
    <w:qFormat/>
    <w:uiPriority w:val="0"/>
    <w:rPr>
      <w:lang w:eastAsia="en-US"/>
    </w:rPr>
  </w:style>
  <w:style w:type="character" w:customStyle="1" w:styleId="56">
    <w:name w:val="表格文字 Char Char"/>
    <w:qFormat/>
    <w:uiPriority w:val="0"/>
    <w:rPr>
      <w:rFonts w:ascii="Arial" w:hAnsi="Arial" w:eastAsia="宋体"/>
      <w:kern w:val="2"/>
      <w:sz w:val="21"/>
      <w:szCs w:val="21"/>
      <w:lang w:val="en-US" w:eastAsia="zh-CN" w:bidi="ar-SA"/>
    </w:rPr>
  </w:style>
  <w:style w:type="paragraph" w:customStyle="1" w:styleId="57">
    <w:name w:val="Char"/>
    <w:basedOn w:val="7"/>
    <w:qFormat/>
    <w:uiPriority w:val="0"/>
    <w:pPr>
      <w:shd w:val="clear" w:color="auto" w:fill="000080"/>
    </w:pPr>
    <w:rPr>
      <w:rFonts w:ascii="Tahoma" w:hAnsi="Tahoma"/>
      <w:sz w:val="24"/>
      <w:szCs w:val="24"/>
    </w:rPr>
  </w:style>
  <w:style w:type="paragraph" w:customStyle="1" w:styleId="58">
    <w:name w:val="Char1"/>
    <w:basedOn w:val="7"/>
    <w:qFormat/>
    <w:uiPriority w:val="0"/>
    <w:pPr>
      <w:shd w:val="clear" w:color="auto" w:fill="000080"/>
    </w:pPr>
    <w:rPr>
      <w:rFonts w:ascii="Tahoma" w:hAnsi="Tahoma"/>
      <w:sz w:val="24"/>
      <w:szCs w:val="24"/>
    </w:rPr>
  </w:style>
  <w:style w:type="paragraph" w:customStyle="1" w:styleId="59">
    <w:name w:val="样式2"/>
    <w:basedOn w:val="3"/>
    <w:qFormat/>
    <w:uiPriority w:val="0"/>
    <w:pPr>
      <w:widowControl/>
      <w:spacing w:before="240" w:after="0" w:line="360" w:lineRule="auto"/>
      <w:jc w:val="left"/>
    </w:pPr>
    <w:rPr>
      <w:rFonts w:ascii="宋体" w:hAnsi="宋体"/>
      <w:bCs w:val="0"/>
      <w:sz w:val="24"/>
      <w:szCs w:val="24"/>
    </w:rPr>
  </w:style>
  <w:style w:type="paragraph" w:customStyle="1" w:styleId="60">
    <w:name w:val="txt14"/>
    <w:basedOn w:val="1"/>
    <w:qFormat/>
    <w:uiPriority w:val="0"/>
    <w:pPr>
      <w:widowControl/>
      <w:spacing w:before="100" w:beforeAutospacing="1" w:after="100" w:afterAutospacing="1"/>
      <w:jc w:val="left"/>
    </w:pPr>
    <w:rPr>
      <w:rFonts w:hint="eastAsia" w:ascii="宋体" w:hAnsi="宋体"/>
      <w:color w:val="000000"/>
      <w:kern w:val="0"/>
      <w:szCs w:val="21"/>
    </w:rPr>
  </w:style>
  <w:style w:type="paragraph" w:customStyle="1" w:styleId="61">
    <w:name w:val="Char Char1 Char Char Char Char Char Char Char Char Char Char"/>
    <w:basedOn w:val="1"/>
    <w:qFormat/>
    <w:uiPriority w:val="0"/>
    <w:rPr>
      <w:rFonts w:ascii="Tahoma" w:hAnsi="Tahoma"/>
      <w:sz w:val="24"/>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aaaa"/>
    <w:basedOn w:val="3"/>
    <w:qFormat/>
    <w:uiPriority w:val="0"/>
    <w:pPr>
      <w:widowControl/>
      <w:numPr>
        <w:ilvl w:val="0"/>
        <w:numId w:val="1"/>
      </w:numPr>
      <w:spacing w:before="240" w:after="0" w:line="360" w:lineRule="auto"/>
      <w:jc w:val="left"/>
    </w:pPr>
    <w:rPr>
      <w:rFonts w:ascii="宋体" w:hAnsi="宋体"/>
      <w:bCs w:val="0"/>
      <w:sz w:val="24"/>
      <w:szCs w:val="24"/>
    </w:rPr>
  </w:style>
  <w:style w:type="paragraph" w:customStyle="1" w:styleId="64">
    <w:name w:val="Char2"/>
    <w:basedOn w:val="1"/>
    <w:qFormat/>
    <w:uiPriority w:val="0"/>
    <w:rPr>
      <w:rFonts w:ascii="Tahoma" w:hAnsi="Tahoma"/>
      <w:sz w:val="24"/>
      <w:szCs w:val="20"/>
    </w:rPr>
  </w:style>
  <w:style w:type="paragraph" w:customStyle="1" w:styleId="65">
    <w:name w:val="_Style 64"/>
    <w:semiHidden/>
    <w:qFormat/>
    <w:uiPriority w:val="99"/>
    <w:rPr>
      <w:rFonts w:ascii="Times New Roman" w:hAnsi="Times New Roman" w:eastAsia="宋体" w:cs="Times New Roman"/>
      <w:kern w:val="2"/>
      <w:sz w:val="21"/>
      <w:szCs w:val="24"/>
      <w:lang w:val="en-US" w:eastAsia="zh-CN" w:bidi="ar-SA"/>
    </w:rPr>
  </w:style>
  <w:style w:type="paragraph" w:customStyle="1" w:styleId="66">
    <w:name w:val=" Char Char Char Char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67">
    <w:name w:val="默认段落字体 Para Char"/>
    <w:basedOn w:val="1"/>
    <w:qFormat/>
    <w:uiPriority w:val="0"/>
    <w:pPr>
      <w:spacing w:line="360" w:lineRule="auto"/>
      <w:jc w:val="center"/>
    </w:pPr>
  </w:style>
  <w:style w:type="paragraph" w:customStyle="1" w:styleId="68">
    <w:name w:val="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6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0">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71">
    <w:name w:val="p8"/>
    <w:basedOn w:val="1"/>
    <w:qFormat/>
    <w:uiPriority w:val="0"/>
    <w:pPr>
      <w:spacing w:line="30" w:lineRule="atLeast"/>
      <w:jc w:val="left"/>
    </w:pPr>
    <w:rPr>
      <w:rFonts w:hint="eastAsia" w:ascii="宋体" w:hAnsi="宋体" w:eastAsia="宋体" w:cs="宋体"/>
      <w:kern w:val="0"/>
      <w:szCs w:val="21"/>
    </w:rPr>
  </w:style>
  <w:style w:type="paragraph" w:customStyle="1" w:styleId="72">
    <w:name w:val="p19"/>
    <w:basedOn w:val="1"/>
    <w:qFormat/>
    <w:uiPriority w:val="0"/>
    <w:pPr>
      <w:spacing w:line="30" w:lineRule="atLeast"/>
      <w:jc w:val="left"/>
    </w:pPr>
    <w:rPr>
      <w:rFonts w:ascii="黑体" w:hAnsi="宋体" w:eastAsia="黑体"/>
      <w:kern w:val="0"/>
      <w:sz w:val="28"/>
      <w:szCs w:val="28"/>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Table Paragraph"/>
    <w:basedOn w:val="1"/>
    <w:qFormat/>
    <w:uiPriority w:val="1"/>
    <w:pPr>
      <w:autoSpaceDE w:val="0"/>
      <w:autoSpaceDN w:val="0"/>
      <w:jc w:val="left"/>
    </w:pPr>
    <w:rPr>
      <w:rFonts w:ascii="宋体" w:hAnsi="宋体" w:cs="宋体"/>
      <w:kern w:val="0"/>
      <w:sz w:val="22"/>
      <w:szCs w:val="22"/>
    </w:rPr>
  </w:style>
  <w:style w:type="paragraph" w:customStyle="1" w:styleId="75">
    <w:name w:val="Normal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样式 宋体 行距: 1.5 倍行距"/>
    <w:basedOn w:val="1"/>
    <w:qFormat/>
    <w:uiPriority w:val="0"/>
    <w:pPr>
      <w:jc w:val="center"/>
    </w:pPr>
    <w:rPr>
      <w:b/>
    </w:rPr>
  </w:style>
  <w:style w:type="paragraph" w:customStyle="1" w:styleId="77">
    <w:name w:val="样式1"/>
    <w:basedOn w:val="14"/>
    <w:autoRedefine/>
    <w:qFormat/>
    <w:uiPriority w:val="0"/>
    <w:pPr>
      <w:spacing w:line="360" w:lineRule="auto"/>
      <w:ind w:firstLine="200" w:firstLineChars="200"/>
    </w:pPr>
    <w:rPr>
      <w:rFonts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95</Pages>
  <Words>20159</Words>
  <Characters>21391</Characters>
  <Lines>240</Lines>
  <Paragraphs>67</Paragraphs>
  <TotalTime>3</TotalTime>
  <ScaleCrop>false</ScaleCrop>
  <LinksUpToDate>false</LinksUpToDate>
  <CharactersWithSpaces>21887</CharactersWithSpaces>
  <Application>WPS Office_12.1.0.18608_F1E327BC-269C-435d-A152-05C5408002CA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2019-01-28T15:46:00Z</dcterms:created>
  <dc:creator>雨林木风</dc:creator>
  <cp:lastModifiedBy>Administrator</cp:lastModifiedBy>
  <cp:lastPrinted>2022-08-23T08:58:00Z</cp:lastPrinted>
  <dcterms:modified xsi:type="dcterms:W3CDTF">2024-10-29T01:39:19Z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9DC08EC27C7A48C7BC0A6B478AEE4B95_13</vt:lpwstr>
  </property>
</Properties>
</file>